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12450"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62A990EB" wp14:editId="1E29704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F3AFD1C" w14:textId="77777777" w:rsidR="006B3847" w:rsidRPr="00303008" w:rsidRDefault="006B3847" w:rsidP="006B3847">
      <w:pPr>
        <w:rPr>
          <w:sz w:val="24"/>
          <w:szCs w:val="24"/>
          <w:lang w:val="en-GB"/>
        </w:rPr>
      </w:pPr>
    </w:p>
    <w:p w14:paraId="050CF22B" w14:textId="5D92B18A" w:rsidR="006B3847" w:rsidRPr="00303008" w:rsidRDefault="006B3847" w:rsidP="006B3847">
      <w:pPr>
        <w:tabs>
          <w:tab w:val="right" w:pos="9356"/>
        </w:tabs>
        <w:rPr>
          <w:b/>
          <w:sz w:val="24"/>
          <w:szCs w:val="24"/>
          <w:lang w:val="en-GB"/>
        </w:rPr>
      </w:pPr>
      <w:r w:rsidRPr="00303008">
        <w:rPr>
          <w:b/>
          <w:sz w:val="24"/>
          <w:szCs w:val="24"/>
          <w:lang w:val="en-GB"/>
        </w:rPr>
        <w:tab/>
      </w:r>
      <w:r w:rsidR="00E14D63">
        <w:rPr>
          <w:b/>
          <w:sz w:val="24"/>
          <w:szCs w:val="24"/>
          <w:lang w:val="en-GB"/>
        </w:rPr>
        <w:t>23 January 2025</w:t>
      </w:r>
    </w:p>
    <w:p w14:paraId="5CB30AAD" w14:textId="77777777" w:rsidR="006B3847" w:rsidRPr="00303008" w:rsidRDefault="006B3847" w:rsidP="006B3847">
      <w:pPr>
        <w:rPr>
          <w:sz w:val="24"/>
          <w:szCs w:val="24"/>
          <w:lang w:val="en-GB"/>
        </w:rPr>
      </w:pPr>
    </w:p>
    <w:p w14:paraId="5BAD6B62" w14:textId="77777777" w:rsidR="007C5D2A" w:rsidRPr="00303008" w:rsidRDefault="007C5D2A" w:rsidP="007C5D2A">
      <w:pPr>
        <w:rPr>
          <w:sz w:val="24"/>
          <w:szCs w:val="24"/>
          <w:lang w:val="en-GB"/>
        </w:rPr>
      </w:pPr>
    </w:p>
    <w:p w14:paraId="26FD74F5" w14:textId="77777777" w:rsidR="007C5D2A" w:rsidRPr="00303008" w:rsidRDefault="007C5D2A" w:rsidP="007C5D2A">
      <w:pPr>
        <w:rPr>
          <w:sz w:val="24"/>
          <w:szCs w:val="24"/>
          <w:lang w:val="en-GB"/>
        </w:rPr>
      </w:pPr>
    </w:p>
    <w:p w14:paraId="647C9320"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1A250E57" w14:textId="77777777" w:rsidR="007C5D2A" w:rsidRPr="00303008" w:rsidRDefault="007C5D2A" w:rsidP="007C5D2A">
      <w:pPr>
        <w:jc w:val="center"/>
        <w:rPr>
          <w:sz w:val="24"/>
          <w:szCs w:val="24"/>
          <w:lang w:val="en-GB"/>
        </w:rPr>
      </w:pPr>
    </w:p>
    <w:p w14:paraId="1AA3DFAC" w14:textId="77777777" w:rsidR="007C5D2A" w:rsidRPr="00303008" w:rsidRDefault="007C5D2A" w:rsidP="007C5D2A">
      <w:pPr>
        <w:jc w:val="center"/>
        <w:rPr>
          <w:b/>
          <w:sz w:val="24"/>
          <w:szCs w:val="24"/>
          <w:lang w:val="en-GB"/>
        </w:rPr>
      </w:pPr>
      <w:r w:rsidRPr="00303008">
        <w:rPr>
          <w:b/>
          <w:sz w:val="24"/>
          <w:szCs w:val="24"/>
          <w:lang w:val="en-GB"/>
        </w:rPr>
        <w:t>for</w:t>
      </w:r>
    </w:p>
    <w:p w14:paraId="1BC88894" w14:textId="77777777" w:rsidR="007C5D2A" w:rsidRPr="00303008" w:rsidRDefault="007C5D2A" w:rsidP="007C5D2A">
      <w:pPr>
        <w:jc w:val="center"/>
        <w:rPr>
          <w:sz w:val="24"/>
          <w:szCs w:val="24"/>
          <w:lang w:val="en-GB"/>
        </w:rPr>
      </w:pPr>
    </w:p>
    <w:p w14:paraId="772C46FE" w14:textId="00C2AA3A" w:rsidR="007C5D2A" w:rsidRPr="00303008" w:rsidRDefault="007D4148" w:rsidP="007C5D2A">
      <w:pPr>
        <w:jc w:val="center"/>
        <w:rPr>
          <w:b/>
          <w:sz w:val="24"/>
          <w:szCs w:val="24"/>
          <w:lang w:val="en-GB"/>
        </w:rPr>
      </w:pPr>
      <w:r>
        <w:rPr>
          <w:b/>
          <w:sz w:val="24"/>
          <w:szCs w:val="24"/>
          <w:lang w:val="en-GB"/>
        </w:rPr>
        <w:t xml:space="preserve">Bosutinib "Newbury", </w:t>
      </w:r>
      <w:r w:rsidR="00E14D63">
        <w:rPr>
          <w:b/>
          <w:sz w:val="24"/>
          <w:szCs w:val="24"/>
          <w:lang w:val="en-GB"/>
        </w:rPr>
        <w:t>filmcoated</w:t>
      </w:r>
      <w:r>
        <w:rPr>
          <w:b/>
          <w:sz w:val="24"/>
          <w:szCs w:val="24"/>
          <w:lang w:val="en-GB"/>
        </w:rPr>
        <w:t xml:space="preserve"> tablet</w:t>
      </w:r>
      <w:r w:rsidR="00E14D63">
        <w:rPr>
          <w:b/>
          <w:sz w:val="24"/>
          <w:szCs w:val="24"/>
          <w:lang w:val="en-GB"/>
        </w:rPr>
        <w:t>s</w:t>
      </w:r>
    </w:p>
    <w:p w14:paraId="78AC6512" w14:textId="77777777" w:rsidR="007C5D2A" w:rsidRPr="00303008" w:rsidRDefault="007C5D2A" w:rsidP="007C5D2A">
      <w:pPr>
        <w:jc w:val="both"/>
        <w:rPr>
          <w:sz w:val="24"/>
          <w:szCs w:val="24"/>
          <w:lang w:val="en-GB"/>
        </w:rPr>
      </w:pPr>
    </w:p>
    <w:p w14:paraId="08AE6BD6" w14:textId="77777777" w:rsidR="0042292D" w:rsidRPr="00303008" w:rsidRDefault="0042292D" w:rsidP="007C5D2A">
      <w:pPr>
        <w:jc w:val="both"/>
        <w:rPr>
          <w:sz w:val="24"/>
          <w:szCs w:val="24"/>
          <w:lang w:val="en-GB"/>
        </w:rPr>
      </w:pPr>
    </w:p>
    <w:p w14:paraId="266BB3CE"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0CDDAF1F" w14:textId="77777777" w:rsidR="008F2F8C" w:rsidRPr="00303008" w:rsidRDefault="007D4148" w:rsidP="008F2F8C">
      <w:pPr>
        <w:tabs>
          <w:tab w:val="left" w:pos="8222"/>
        </w:tabs>
        <w:ind w:left="851"/>
        <w:rPr>
          <w:sz w:val="24"/>
          <w:szCs w:val="24"/>
          <w:lang w:val="en-GB"/>
        </w:rPr>
      </w:pPr>
      <w:r>
        <w:rPr>
          <w:sz w:val="24"/>
          <w:szCs w:val="24"/>
          <w:lang w:val="en-GB"/>
        </w:rPr>
        <w:t>33723</w:t>
      </w:r>
    </w:p>
    <w:p w14:paraId="2F93DE1A" w14:textId="77777777" w:rsidR="007C5D2A" w:rsidRPr="00303008" w:rsidRDefault="007C5D2A" w:rsidP="007C5D2A">
      <w:pPr>
        <w:tabs>
          <w:tab w:val="left" w:pos="851"/>
        </w:tabs>
        <w:jc w:val="both"/>
        <w:rPr>
          <w:sz w:val="24"/>
          <w:szCs w:val="24"/>
          <w:lang w:val="en-GB"/>
        </w:rPr>
      </w:pPr>
    </w:p>
    <w:p w14:paraId="56BC5ADE"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12F6E52C" w14:textId="37442013" w:rsidR="007C5D2A" w:rsidRPr="00A17640" w:rsidRDefault="00A17640" w:rsidP="004A3BF4">
      <w:pPr>
        <w:tabs>
          <w:tab w:val="left" w:pos="851"/>
        </w:tabs>
        <w:ind w:left="851"/>
        <w:rPr>
          <w:sz w:val="24"/>
          <w:szCs w:val="24"/>
          <w:lang w:val="en-GB"/>
        </w:rPr>
      </w:pPr>
      <w:r w:rsidRPr="00A17640">
        <w:rPr>
          <w:sz w:val="24"/>
          <w:szCs w:val="24"/>
          <w:lang w:val="en-GB"/>
        </w:rPr>
        <w:t>Bosutinib "Newbury"</w:t>
      </w:r>
    </w:p>
    <w:p w14:paraId="24C27964" w14:textId="77777777" w:rsidR="007C5D2A" w:rsidRPr="00303008" w:rsidRDefault="007C5D2A" w:rsidP="004A3BF4">
      <w:pPr>
        <w:tabs>
          <w:tab w:val="left" w:pos="851"/>
        </w:tabs>
        <w:ind w:left="851"/>
        <w:rPr>
          <w:sz w:val="24"/>
          <w:szCs w:val="24"/>
          <w:lang w:val="en-GB"/>
        </w:rPr>
      </w:pPr>
    </w:p>
    <w:p w14:paraId="53B7B1D7"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291C75CC" w14:textId="77777777" w:rsidR="00A17640" w:rsidRPr="00A17640" w:rsidRDefault="00A17640" w:rsidP="00A17640">
      <w:pPr>
        <w:tabs>
          <w:tab w:val="left" w:pos="851"/>
        </w:tabs>
        <w:ind w:left="851"/>
        <w:rPr>
          <w:sz w:val="24"/>
          <w:szCs w:val="24"/>
          <w:lang w:val="en-GB"/>
        </w:rPr>
      </w:pPr>
    </w:p>
    <w:p w14:paraId="43DFEA1A" w14:textId="77777777" w:rsidR="00A17640" w:rsidRPr="00A17640" w:rsidRDefault="00A17640" w:rsidP="00A17640">
      <w:pPr>
        <w:tabs>
          <w:tab w:val="left" w:pos="851"/>
        </w:tabs>
        <w:ind w:left="851"/>
        <w:rPr>
          <w:sz w:val="24"/>
          <w:szCs w:val="24"/>
          <w:u w:val="single"/>
          <w:lang w:val="en-GB"/>
        </w:rPr>
      </w:pPr>
      <w:r w:rsidRPr="00A17640">
        <w:rPr>
          <w:sz w:val="24"/>
          <w:szCs w:val="24"/>
          <w:u w:val="single"/>
          <w:lang w:val="en-GB"/>
        </w:rPr>
        <w:t>Bosutinib "Newbury" 100 mg film-coated tablets</w:t>
      </w:r>
    </w:p>
    <w:p w14:paraId="0024BCDE" w14:textId="77777777" w:rsidR="00A17640" w:rsidRPr="00A17640" w:rsidRDefault="00A17640" w:rsidP="00A17640">
      <w:pPr>
        <w:tabs>
          <w:tab w:val="left" w:pos="851"/>
        </w:tabs>
        <w:ind w:left="851"/>
        <w:rPr>
          <w:sz w:val="24"/>
          <w:szCs w:val="24"/>
          <w:lang w:val="en-GB"/>
        </w:rPr>
      </w:pPr>
      <w:r w:rsidRPr="00A17640">
        <w:rPr>
          <w:sz w:val="24"/>
          <w:szCs w:val="24"/>
          <w:lang w:val="en-GB"/>
        </w:rPr>
        <w:t>Each film-coated tablet contains bosutinib monohydrate equivalent to 100 mg bosutinib.</w:t>
      </w:r>
    </w:p>
    <w:p w14:paraId="1C6E46D3" w14:textId="77777777" w:rsidR="00A17640" w:rsidRPr="00A17640" w:rsidRDefault="00A17640" w:rsidP="00A17640">
      <w:pPr>
        <w:tabs>
          <w:tab w:val="left" w:pos="851"/>
        </w:tabs>
        <w:ind w:left="851"/>
        <w:rPr>
          <w:sz w:val="24"/>
          <w:szCs w:val="24"/>
          <w:lang w:val="en-GB"/>
        </w:rPr>
      </w:pPr>
    </w:p>
    <w:p w14:paraId="4D9FCCA4" w14:textId="77777777" w:rsidR="00A17640" w:rsidRPr="00A17640" w:rsidRDefault="00A17640" w:rsidP="00A17640">
      <w:pPr>
        <w:tabs>
          <w:tab w:val="left" w:pos="851"/>
        </w:tabs>
        <w:ind w:left="851"/>
        <w:rPr>
          <w:sz w:val="24"/>
          <w:szCs w:val="24"/>
          <w:u w:val="single"/>
          <w:lang w:val="en-GB"/>
        </w:rPr>
      </w:pPr>
      <w:r w:rsidRPr="00A17640">
        <w:rPr>
          <w:sz w:val="24"/>
          <w:szCs w:val="24"/>
          <w:u w:val="single"/>
          <w:lang w:val="en-GB"/>
        </w:rPr>
        <w:t>Bosutinib "Newbury" 400 mg film-coated tablets</w:t>
      </w:r>
    </w:p>
    <w:p w14:paraId="067A9C74" w14:textId="77777777" w:rsidR="00A17640" w:rsidRPr="00A17640" w:rsidRDefault="00A17640" w:rsidP="00A17640">
      <w:pPr>
        <w:tabs>
          <w:tab w:val="left" w:pos="851"/>
        </w:tabs>
        <w:ind w:left="851"/>
        <w:rPr>
          <w:sz w:val="24"/>
          <w:szCs w:val="24"/>
          <w:lang w:val="en-GB"/>
        </w:rPr>
      </w:pPr>
      <w:r w:rsidRPr="00A17640">
        <w:rPr>
          <w:sz w:val="24"/>
          <w:szCs w:val="24"/>
          <w:lang w:val="en-GB"/>
        </w:rPr>
        <w:t>Each film-coated tablet contains bosutinib monohydrate equivalent to 400 mg bosutinib.</w:t>
      </w:r>
    </w:p>
    <w:p w14:paraId="28D0BEB2" w14:textId="77777777" w:rsidR="00A17640" w:rsidRPr="00A17640" w:rsidRDefault="00A17640" w:rsidP="00A17640">
      <w:pPr>
        <w:tabs>
          <w:tab w:val="left" w:pos="851"/>
        </w:tabs>
        <w:ind w:left="851"/>
        <w:rPr>
          <w:sz w:val="24"/>
          <w:szCs w:val="24"/>
          <w:lang w:val="en-GB"/>
        </w:rPr>
      </w:pPr>
    </w:p>
    <w:p w14:paraId="6B30811D" w14:textId="77777777" w:rsidR="00A17640" w:rsidRPr="00A17640" w:rsidRDefault="00A17640" w:rsidP="00A17640">
      <w:pPr>
        <w:tabs>
          <w:tab w:val="left" w:pos="851"/>
        </w:tabs>
        <w:ind w:left="851"/>
        <w:rPr>
          <w:sz w:val="24"/>
          <w:szCs w:val="24"/>
          <w:u w:val="single"/>
          <w:lang w:val="en-GB"/>
        </w:rPr>
      </w:pPr>
      <w:r w:rsidRPr="00A17640">
        <w:rPr>
          <w:sz w:val="24"/>
          <w:szCs w:val="24"/>
          <w:u w:val="single"/>
          <w:lang w:val="en-GB"/>
        </w:rPr>
        <w:t>Bosutinib "Newbury" 500 mg film-coated tablets</w:t>
      </w:r>
    </w:p>
    <w:p w14:paraId="3ED61631" w14:textId="77777777" w:rsidR="00A17640" w:rsidRPr="00A17640" w:rsidRDefault="00A17640" w:rsidP="00A17640">
      <w:pPr>
        <w:tabs>
          <w:tab w:val="left" w:pos="851"/>
        </w:tabs>
        <w:ind w:left="851"/>
        <w:rPr>
          <w:sz w:val="24"/>
          <w:szCs w:val="24"/>
          <w:lang w:val="en-GB"/>
        </w:rPr>
      </w:pPr>
      <w:r w:rsidRPr="00A17640">
        <w:rPr>
          <w:sz w:val="24"/>
          <w:szCs w:val="24"/>
          <w:lang w:val="en-GB"/>
        </w:rPr>
        <w:t>Each film-coated tablet contains bosutinib monohydrate equivalent to 500 mg bosutinib.</w:t>
      </w:r>
    </w:p>
    <w:p w14:paraId="361E3BEE" w14:textId="77777777" w:rsidR="00A17640" w:rsidRPr="00A17640" w:rsidRDefault="00A17640" w:rsidP="00A17640">
      <w:pPr>
        <w:tabs>
          <w:tab w:val="left" w:pos="851"/>
        </w:tabs>
        <w:ind w:left="851"/>
        <w:rPr>
          <w:sz w:val="24"/>
          <w:szCs w:val="24"/>
          <w:lang w:val="en-GB"/>
        </w:rPr>
      </w:pPr>
    </w:p>
    <w:p w14:paraId="40EDE30A" w14:textId="77777777" w:rsidR="00A17640" w:rsidRPr="00A17640" w:rsidRDefault="00A17640" w:rsidP="00A17640">
      <w:pPr>
        <w:tabs>
          <w:tab w:val="left" w:pos="851"/>
        </w:tabs>
        <w:ind w:left="851"/>
        <w:rPr>
          <w:sz w:val="24"/>
          <w:szCs w:val="24"/>
          <w:lang w:val="en-GB"/>
        </w:rPr>
      </w:pPr>
      <w:r w:rsidRPr="00A17640">
        <w:rPr>
          <w:sz w:val="24"/>
          <w:szCs w:val="24"/>
          <w:lang w:val="en-GB"/>
        </w:rPr>
        <w:t>For the full list of excipients, see section 6.1.</w:t>
      </w:r>
    </w:p>
    <w:p w14:paraId="012BDEB6" w14:textId="77777777" w:rsidR="00A17640" w:rsidRPr="00A17640" w:rsidRDefault="00A17640" w:rsidP="00A17640">
      <w:pPr>
        <w:tabs>
          <w:tab w:val="left" w:pos="851"/>
        </w:tabs>
        <w:ind w:left="851"/>
        <w:rPr>
          <w:sz w:val="24"/>
          <w:szCs w:val="24"/>
          <w:lang w:val="en-GB"/>
        </w:rPr>
      </w:pPr>
    </w:p>
    <w:p w14:paraId="2D2CE6E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55C594AF" w14:textId="293E4D57" w:rsidR="00A17640" w:rsidRPr="00A17640" w:rsidRDefault="00A17640" w:rsidP="00A17640">
      <w:pPr>
        <w:tabs>
          <w:tab w:val="left" w:pos="851"/>
        </w:tabs>
        <w:ind w:left="851"/>
        <w:rPr>
          <w:sz w:val="24"/>
          <w:szCs w:val="24"/>
          <w:lang w:val="en-GB"/>
        </w:rPr>
      </w:pPr>
      <w:r w:rsidRPr="00A17640">
        <w:rPr>
          <w:sz w:val="24"/>
          <w:szCs w:val="24"/>
          <w:lang w:val="en-GB"/>
        </w:rPr>
        <w:t>Film-coated tablet</w:t>
      </w:r>
      <w:r>
        <w:rPr>
          <w:sz w:val="24"/>
          <w:szCs w:val="24"/>
          <w:lang w:val="en-GB"/>
        </w:rPr>
        <w:t>s</w:t>
      </w:r>
    </w:p>
    <w:p w14:paraId="17E5EBF2" w14:textId="77777777" w:rsidR="00A17640" w:rsidRPr="00A17640" w:rsidRDefault="00A17640" w:rsidP="00A17640">
      <w:pPr>
        <w:tabs>
          <w:tab w:val="left" w:pos="851"/>
        </w:tabs>
        <w:ind w:left="851"/>
        <w:rPr>
          <w:sz w:val="24"/>
          <w:szCs w:val="24"/>
          <w:lang w:val="en-GB"/>
        </w:rPr>
      </w:pPr>
    </w:p>
    <w:p w14:paraId="6A996BBE" w14:textId="77777777" w:rsidR="00A17640" w:rsidRPr="00A17640" w:rsidRDefault="00A17640" w:rsidP="00A17640">
      <w:pPr>
        <w:tabs>
          <w:tab w:val="left" w:pos="851"/>
        </w:tabs>
        <w:ind w:left="851"/>
        <w:rPr>
          <w:sz w:val="24"/>
          <w:szCs w:val="24"/>
          <w:u w:val="single"/>
          <w:lang w:val="en-GB"/>
        </w:rPr>
      </w:pPr>
      <w:r w:rsidRPr="00A17640">
        <w:rPr>
          <w:sz w:val="24"/>
          <w:szCs w:val="24"/>
          <w:u w:val="single"/>
          <w:lang w:val="en-GB"/>
        </w:rPr>
        <w:t>Bosutinib "Newbury" 100 mg film-coated tablets</w:t>
      </w:r>
    </w:p>
    <w:p w14:paraId="1AC74725" w14:textId="77777777" w:rsidR="00A17640" w:rsidRPr="00A17640" w:rsidRDefault="00A17640" w:rsidP="00A17640">
      <w:pPr>
        <w:tabs>
          <w:tab w:val="left" w:pos="851"/>
        </w:tabs>
        <w:ind w:left="851"/>
        <w:rPr>
          <w:sz w:val="24"/>
          <w:szCs w:val="24"/>
          <w:lang w:val="en-GB"/>
        </w:rPr>
      </w:pPr>
      <w:r w:rsidRPr="00A17640">
        <w:rPr>
          <w:sz w:val="24"/>
          <w:szCs w:val="24"/>
          <w:lang w:val="en-GB"/>
        </w:rPr>
        <w:t>Light orange to orange, oval (width: approximately 6 mm; length: aproximately 11 mm) biconvex, film-coated tablet debossed with “721” on one side and plain on the other side.</w:t>
      </w:r>
    </w:p>
    <w:p w14:paraId="6A01183A" w14:textId="77777777" w:rsidR="00A17640" w:rsidRPr="00A17640" w:rsidRDefault="00A17640" w:rsidP="00A17640">
      <w:pPr>
        <w:tabs>
          <w:tab w:val="left" w:pos="851"/>
        </w:tabs>
        <w:ind w:left="851"/>
        <w:rPr>
          <w:sz w:val="24"/>
          <w:szCs w:val="24"/>
          <w:lang w:val="en-GB"/>
        </w:rPr>
      </w:pPr>
    </w:p>
    <w:p w14:paraId="470B5557" w14:textId="77777777" w:rsidR="00A17640" w:rsidRPr="00A17640" w:rsidRDefault="00A17640" w:rsidP="00A17640">
      <w:pPr>
        <w:tabs>
          <w:tab w:val="left" w:pos="851"/>
        </w:tabs>
        <w:ind w:left="851"/>
        <w:rPr>
          <w:sz w:val="24"/>
          <w:szCs w:val="24"/>
          <w:u w:val="single"/>
          <w:lang w:val="en-GB"/>
        </w:rPr>
      </w:pPr>
      <w:r w:rsidRPr="00A17640">
        <w:rPr>
          <w:sz w:val="24"/>
          <w:szCs w:val="24"/>
          <w:u w:val="single"/>
          <w:lang w:val="en-GB"/>
        </w:rPr>
        <w:t>Bosutinib "Newbury" 400 mg film-coated tablets</w:t>
      </w:r>
    </w:p>
    <w:p w14:paraId="18D5D681" w14:textId="77777777" w:rsidR="00A17640" w:rsidRPr="00A17640" w:rsidRDefault="00A17640" w:rsidP="00A17640">
      <w:pPr>
        <w:tabs>
          <w:tab w:val="left" w:pos="851"/>
        </w:tabs>
        <w:ind w:left="851"/>
        <w:rPr>
          <w:sz w:val="24"/>
          <w:szCs w:val="24"/>
          <w:lang w:val="en-GB"/>
        </w:rPr>
      </w:pPr>
      <w:r w:rsidRPr="00A17640">
        <w:rPr>
          <w:sz w:val="24"/>
          <w:szCs w:val="24"/>
          <w:lang w:val="en-GB"/>
        </w:rPr>
        <w:t>Light orange to orange, oval (width: approximately 9 mm; length: approximately 17 mm) biconvex, film-coated tablet debossed with “722” on one side and plain on the other side.</w:t>
      </w:r>
    </w:p>
    <w:p w14:paraId="5E92DBEB" w14:textId="77777777" w:rsidR="00A17640" w:rsidRPr="00A17640" w:rsidRDefault="00A17640" w:rsidP="00A17640">
      <w:pPr>
        <w:tabs>
          <w:tab w:val="left" w:pos="851"/>
        </w:tabs>
        <w:ind w:left="851"/>
        <w:rPr>
          <w:sz w:val="24"/>
          <w:szCs w:val="24"/>
          <w:lang w:val="en-GB"/>
        </w:rPr>
      </w:pPr>
    </w:p>
    <w:p w14:paraId="430BA408" w14:textId="77777777" w:rsidR="00A17640" w:rsidRPr="00A17640" w:rsidRDefault="00A17640" w:rsidP="00A17640">
      <w:pPr>
        <w:tabs>
          <w:tab w:val="left" w:pos="851"/>
        </w:tabs>
        <w:ind w:left="851"/>
        <w:rPr>
          <w:sz w:val="24"/>
          <w:szCs w:val="24"/>
          <w:u w:val="single"/>
          <w:lang w:val="en-GB"/>
        </w:rPr>
      </w:pPr>
      <w:r w:rsidRPr="00A17640">
        <w:rPr>
          <w:sz w:val="24"/>
          <w:szCs w:val="24"/>
          <w:u w:val="single"/>
          <w:lang w:val="en-GB"/>
        </w:rPr>
        <w:t>Bosutinib "Newbury" 500 mg film-coated tablets</w:t>
      </w:r>
    </w:p>
    <w:p w14:paraId="30A0A2B2" w14:textId="77777777" w:rsidR="00A17640" w:rsidRPr="00A17640" w:rsidRDefault="00A17640" w:rsidP="00A17640">
      <w:pPr>
        <w:tabs>
          <w:tab w:val="left" w:pos="851"/>
        </w:tabs>
        <w:ind w:left="851"/>
        <w:rPr>
          <w:sz w:val="24"/>
          <w:szCs w:val="24"/>
          <w:lang w:val="en-GB"/>
        </w:rPr>
      </w:pPr>
      <w:r w:rsidRPr="00A17640">
        <w:rPr>
          <w:sz w:val="24"/>
          <w:szCs w:val="24"/>
          <w:lang w:val="en-GB"/>
        </w:rPr>
        <w:t>Light red to red, oval (width: approximately 9 mm; length: approximately 18 mm) biconvex, film-coated tablet debossed with “723” on one side and plain on the other side.</w:t>
      </w:r>
    </w:p>
    <w:p w14:paraId="42EC4970" w14:textId="77777777" w:rsidR="007C5D2A" w:rsidRPr="00A17640" w:rsidRDefault="007C5D2A" w:rsidP="004A3BF4">
      <w:pPr>
        <w:tabs>
          <w:tab w:val="left" w:pos="851"/>
        </w:tabs>
        <w:ind w:left="851"/>
        <w:rPr>
          <w:sz w:val="24"/>
          <w:szCs w:val="24"/>
          <w:lang w:val="en-GB"/>
        </w:rPr>
      </w:pPr>
    </w:p>
    <w:p w14:paraId="7DCA1B3C" w14:textId="77777777" w:rsidR="007C5D2A" w:rsidRPr="00303008" w:rsidRDefault="007C5D2A" w:rsidP="004A3BF4">
      <w:pPr>
        <w:tabs>
          <w:tab w:val="left" w:pos="851"/>
        </w:tabs>
        <w:ind w:left="851"/>
        <w:rPr>
          <w:sz w:val="24"/>
          <w:szCs w:val="24"/>
          <w:lang w:val="en-GB"/>
        </w:rPr>
      </w:pPr>
    </w:p>
    <w:p w14:paraId="4D83CCEC" w14:textId="77777777" w:rsidR="007C5D2A" w:rsidRPr="00303008" w:rsidRDefault="007C5D2A" w:rsidP="007C5D2A">
      <w:pPr>
        <w:ind w:left="851" w:hanging="851"/>
        <w:rPr>
          <w:b/>
          <w:sz w:val="24"/>
          <w:szCs w:val="24"/>
          <w:lang w:val="en-GB"/>
        </w:rPr>
      </w:pPr>
      <w:r w:rsidRPr="00303008">
        <w:rPr>
          <w:b/>
          <w:sz w:val="24"/>
          <w:szCs w:val="24"/>
          <w:lang w:val="en-GB"/>
        </w:rPr>
        <w:lastRenderedPageBreak/>
        <w:t>4.</w:t>
      </w:r>
      <w:r w:rsidRPr="00303008">
        <w:rPr>
          <w:b/>
          <w:sz w:val="24"/>
          <w:szCs w:val="24"/>
          <w:lang w:val="en-GB"/>
        </w:rPr>
        <w:tab/>
        <w:t>CLINICAL PARTICULARS</w:t>
      </w:r>
    </w:p>
    <w:p w14:paraId="54596AF3" w14:textId="77777777" w:rsidR="007C5D2A" w:rsidRPr="00303008" w:rsidRDefault="007C5D2A" w:rsidP="004A3BF4">
      <w:pPr>
        <w:tabs>
          <w:tab w:val="left" w:pos="851"/>
        </w:tabs>
        <w:ind w:left="851"/>
        <w:rPr>
          <w:sz w:val="24"/>
          <w:szCs w:val="24"/>
          <w:lang w:val="en-GB"/>
        </w:rPr>
      </w:pPr>
    </w:p>
    <w:p w14:paraId="0568D7BA"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4702C740" w14:textId="77777777" w:rsidR="00A17640" w:rsidRPr="00A17640" w:rsidRDefault="00A17640" w:rsidP="00A17640">
      <w:pPr>
        <w:tabs>
          <w:tab w:val="left" w:pos="851"/>
        </w:tabs>
        <w:ind w:left="851"/>
        <w:rPr>
          <w:sz w:val="24"/>
          <w:szCs w:val="24"/>
          <w:lang w:val="en-GB"/>
        </w:rPr>
      </w:pPr>
      <w:r w:rsidRPr="00A17640">
        <w:rPr>
          <w:sz w:val="24"/>
          <w:szCs w:val="24"/>
          <w:lang w:val="en-GB"/>
        </w:rPr>
        <w:t>Bosutinib "Newbury" is indicated for the treatment of adult patients with:</w:t>
      </w:r>
    </w:p>
    <w:p w14:paraId="50A2CBC0" w14:textId="77777777" w:rsidR="00A17640" w:rsidRPr="00A17640" w:rsidRDefault="00A17640" w:rsidP="00A17640">
      <w:pPr>
        <w:tabs>
          <w:tab w:val="left" w:pos="1134"/>
        </w:tabs>
        <w:ind w:left="1134" w:hanging="283"/>
        <w:rPr>
          <w:sz w:val="24"/>
          <w:szCs w:val="24"/>
          <w:lang w:val="en-GB"/>
        </w:rPr>
      </w:pPr>
      <w:r w:rsidRPr="00A17640">
        <w:rPr>
          <w:sz w:val="24"/>
          <w:szCs w:val="24"/>
          <w:lang w:val="en-GB"/>
        </w:rPr>
        <w:t>-</w:t>
      </w:r>
      <w:r w:rsidRPr="00A17640">
        <w:rPr>
          <w:sz w:val="24"/>
          <w:szCs w:val="24"/>
          <w:lang w:val="en-GB"/>
        </w:rPr>
        <w:tab/>
        <w:t>newly-diagnosed chronic phase (CP) Philadelphia chromosome-positive chronic myelogenous leukaemia (Ph+CML).</w:t>
      </w:r>
    </w:p>
    <w:p w14:paraId="106F5500" w14:textId="77777777" w:rsidR="00A17640" w:rsidRPr="00A17640" w:rsidRDefault="00A17640" w:rsidP="00A17640">
      <w:pPr>
        <w:tabs>
          <w:tab w:val="left" w:pos="1134"/>
        </w:tabs>
        <w:ind w:left="1134" w:hanging="283"/>
        <w:rPr>
          <w:sz w:val="24"/>
          <w:szCs w:val="24"/>
          <w:lang w:val="en-GB"/>
        </w:rPr>
      </w:pPr>
      <w:r w:rsidRPr="00A17640">
        <w:rPr>
          <w:sz w:val="24"/>
          <w:szCs w:val="24"/>
          <w:lang w:val="en-GB"/>
        </w:rPr>
        <w:t>-</w:t>
      </w:r>
      <w:r w:rsidRPr="00A17640">
        <w:rPr>
          <w:sz w:val="24"/>
          <w:szCs w:val="24"/>
          <w:lang w:val="en-GB"/>
        </w:rPr>
        <w:tab/>
        <w:t>CP, accelerated phase (AP), and blast phase (BP) Ph+CML previously treated with one or more tyrosine kinase inhibitor(s) [TKI(s)] and for whom imatinib, nilotinib and dasatinib are not considered appropriate treatment options.</w:t>
      </w:r>
    </w:p>
    <w:p w14:paraId="106174BD" w14:textId="77777777" w:rsidR="007C5D2A" w:rsidRPr="00A17640" w:rsidRDefault="007C5D2A" w:rsidP="00A85D26">
      <w:pPr>
        <w:tabs>
          <w:tab w:val="left" w:pos="851"/>
        </w:tabs>
        <w:ind w:left="851"/>
        <w:rPr>
          <w:sz w:val="24"/>
          <w:szCs w:val="24"/>
          <w:lang w:val="en-GB"/>
        </w:rPr>
      </w:pPr>
    </w:p>
    <w:p w14:paraId="05C829D7"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7ADA213C" w14:textId="77777777" w:rsidR="00A17640" w:rsidRPr="00A17640" w:rsidRDefault="00A17640" w:rsidP="00A17640">
      <w:pPr>
        <w:tabs>
          <w:tab w:val="left" w:pos="851"/>
        </w:tabs>
        <w:ind w:left="851"/>
        <w:rPr>
          <w:sz w:val="24"/>
          <w:szCs w:val="24"/>
          <w:lang w:val="en-GB"/>
        </w:rPr>
      </w:pPr>
      <w:r w:rsidRPr="00A17640">
        <w:rPr>
          <w:sz w:val="24"/>
          <w:szCs w:val="24"/>
          <w:lang w:val="en-GB"/>
        </w:rPr>
        <w:t>Therapy should be initiated by a physician experienced in the diagnosis and the treatment of patients with CML.</w:t>
      </w:r>
    </w:p>
    <w:p w14:paraId="1D39F30F" w14:textId="77777777" w:rsidR="00A17640" w:rsidRPr="00A17640" w:rsidRDefault="00A17640" w:rsidP="00A17640">
      <w:pPr>
        <w:tabs>
          <w:tab w:val="left" w:pos="851"/>
        </w:tabs>
        <w:ind w:left="851"/>
        <w:rPr>
          <w:sz w:val="24"/>
          <w:szCs w:val="24"/>
          <w:lang w:val="en-GB"/>
        </w:rPr>
      </w:pPr>
    </w:p>
    <w:p w14:paraId="532E4E74" w14:textId="123756E4" w:rsidR="00A17640" w:rsidRDefault="00A17640" w:rsidP="00A17640">
      <w:pPr>
        <w:tabs>
          <w:tab w:val="left" w:pos="851"/>
        </w:tabs>
        <w:ind w:left="851"/>
        <w:rPr>
          <w:sz w:val="24"/>
          <w:szCs w:val="24"/>
          <w:u w:val="single"/>
          <w:lang w:val="en-GB"/>
        </w:rPr>
      </w:pPr>
      <w:r w:rsidRPr="00A17640">
        <w:rPr>
          <w:sz w:val="24"/>
          <w:szCs w:val="24"/>
          <w:u w:val="single"/>
          <w:lang w:val="en-GB"/>
        </w:rPr>
        <w:t>Posology</w:t>
      </w:r>
    </w:p>
    <w:p w14:paraId="700D206C" w14:textId="77777777" w:rsidR="00A17640" w:rsidRPr="00A17640" w:rsidRDefault="00A17640" w:rsidP="00A17640">
      <w:pPr>
        <w:tabs>
          <w:tab w:val="left" w:pos="851"/>
        </w:tabs>
        <w:ind w:left="851"/>
        <w:rPr>
          <w:sz w:val="24"/>
          <w:szCs w:val="24"/>
          <w:u w:val="single"/>
          <w:lang w:val="en-GB"/>
        </w:rPr>
      </w:pPr>
    </w:p>
    <w:p w14:paraId="3284A756" w14:textId="77777777" w:rsidR="00A17640" w:rsidRPr="00A17640" w:rsidRDefault="00A17640" w:rsidP="00A17640">
      <w:pPr>
        <w:tabs>
          <w:tab w:val="left" w:pos="851"/>
        </w:tabs>
        <w:ind w:left="851"/>
        <w:rPr>
          <w:i/>
          <w:sz w:val="24"/>
          <w:szCs w:val="24"/>
          <w:u w:val="single"/>
          <w:lang w:val="en-GB"/>
        </w:rPr>
      </w:pPr>
      <w:r w:rsidRPr="00A17640">
        <w:rPr>
          <w:i/>
          <w:sz w:val="24"/>
          <w:szCs w:val="24"/>
          <w:u w:val="single"/>
          <w:lang w:val="en-GB"/>
        </w:rPr>
        <w:t>Newly-diagnosed CP Ph+CML</w:t>
      </w:r>
    </w:p>
    <w:p w14:paraId="26145700" w14:textId="77777777" w:rsidR="00A17640" w:rsidRPr="00A17640" w:rsidRDefault="00A17640" w:rsidP="00A17640">
      <w:pPr>
        <w:tabs>
          <w:tab w:val="left" w:pos="851"/>
        </w:tabs>
        <w:ind w:left="851"/>
        <w:rPr>
          <w:sz w:val="24"/>
          <w:szCs w:val="24"/>
          <w:lang w:val="en-GB"/>
        </w:rPr>
      </w:pPr>
      <w:r w:rsidRPr="00A17640">
        <w:rPr>
          <w:sz w:val="24"/>
          <w:szCs w:val="24"/>
          <w:lang w:val="en-GB"/>
        </w:rPr>
        <w:t>The recommended dose is 400 mg bosutinib once daily.</w:t>
      </w:r>
    </w:p>
    <w:p w14:paraId="755A5CC9" w14:textId="77777777" w:rsidR="00A17640" w:rsidRPr="00A17640" w:rsidRDefault="00A17640" w:rsidP="00A17640">
      <w:pPr>
        <w:tabs>
          <w:tab w:val="left" w:pos="851"/>
        </w:tabs>
        <w:ind w:left="851"/>
        <w:rPr>
          <w:sz w:val="24"/>
          <w:szCs w:val="24"/>
          <w:u w:val="single"/>
          <w:lang w:val="en-GB"/>
        </w:rPr>
      </w:pPr>
    </w:p>
    <w:p w14:paraId="26A6774B" w14:textId="77777777" w:rsidR="00A17640" w:rsidRPr="00A17640" w:rsidRDefault="00A17640" w:rsidP="00A17640">
      <w:pPr>
        <w:tabs>
          <w:tab w:val="left" w:pos="851"/>
        </w:tabs>
        <w:ind w:left="851"/>
        <w:rPr>
          <w:i/>
          <w:sz w:val="24"/>
          <w:szCs w:val="24"/>
          <w:u w:val="single"/>
          <w:lang w:val="en-GB"/>
        </w:rPr>
      </w:pPr>
      <w:r w:rsidRPr="00A17640">
        <w:rPr>
          <w:i/>
          <w:sz w:val="24"/>
          <w:szCs w:val="24"/>
          <w:u w:val="single"/>
          <w:lang w:val="en-GB"/>
        </w:rPr>
        <w:t>CP, AP, or BP Ph+CML with resistance or intolerance to prior therapy</w:t>
      </w:r>
    </w:p>
    <w:p w14:paraId="5B3B3DDA" w14:textId="77777777" w:rsidR="00A17640" w:rsidRPr="00A17640" w:rsidRDefault="00A17640" w:rsidP="00A17640">
      <w:pPr>
        <w:tabs>
          <w:tab w:val="left" w:pos="851"/>
        </w:tabs>
        <w:ind w:left="851"/>
        <w:rPr>
          <w:sz w:val="24"/>
          <w:szCs w:val="24"/>
          <w:lang w:val="en-GB"/>
        </w:rPr>
      </w:pPr>
      <w:r w:rsidRPr="00A17640">
        <w:rPr>
          <w:sz w:val="24"/>
          <w:szCs w:val="24"/>
          <w:lang w:val="en-GB"/>
        </w:rPr>
        <w:t>The recommended dose is 500 mg bosutinib once daily.</w:t>
      </w:r>
    </w:p>
    <w:p w14:paraId="0AC0CA96" w14:textId="77777777" w:rsidR="00A17640" w:rsidRPr="00A17640" w:rsidRDefault="00A17640" w:rsidP="00A17640">
      <w:pPr>
        <w:tabs>
          <w:tab w:val="left" w:pos="851"/>
        </w:tabs>
        <w:ind w:left="851"/>
        <w:rPr>
          <w:sz w:val="24"/>
          <w:szCs w:val="24"/>
          <w:lang w:val="en-GB"/>
        </w:rPr>
      </w:pPr>
    </w:p>
    <w:p w14:paraId="21288FAC" w14:textId="77777777" w:rsidR="00A17640" w:rsidRPr="00A17640" w:rsidRDefault="00A17640" w:rsidP="00A17640">
      <w:pPr>
        <w:tabs>
          <w:tab w:val="left" w:pos="851"/>
        </w:tabs>
        <w:ind w:left="851"/>
        <w:rPr>
          <w:sz w:val="24"/>
          <w:szCs w:val="24"/>
          <w:lang w:val="en-GB"/>
        </w:rPr>
      </w:pPr>
      <w:r w:rsidRPr="00A17640">
        <w:rPr>
          <w:sz w:val="24"/>
          <w:szCs w:val="24"/>
          <w:lang w:val="en-GB"/>
        </w:rPr>
        <w:t>In clinical trials for both indications, treatment with bosutinib continued until disease progression or</w:t>
      </w:r>
    </w:p>
    <w:p w14:paraId="2C1C6F49" w14:textId="77777777" w:rsidR="00A17640" w:rsidRPr="00A17640" w:rsidRDefault="00A17640" w:rsidP="00A17640">
      <w:pPr>
        <w:tabs>
          <w:tab w:val="left" w:pos="851"/>
        </w:tabs>
        <w:ind w:left="851"/>
        <w:rPr>
          <w:sz w:val="24"/>
          <w:szCs w:val="24"/>
          <w:lang w:val="en-GB"/>
        </w:rPr>
      </w:pPr>
      <w:r w:rsidRPr="00A17640">
        <w:rPr>
          <w:sz w:val="24"/>
          <w:szCs w:val="24"/>
          <w:lang w:val="en-GB"/>
        </w:rPr>
        <w:t>intolerance to therapy.</w:t>
      </w:r>
    </w:p>
    <w:p w14:paraId="59E60707" w14:textId="77777777" w:rsidR="00A17640" w:rsidRPr="00A17640" w:rsidRDefault="00A17640" w:rsidP="00A17640">
      <w:pPr>
        <w:tabs>
          <w:tab w:val="left" w:pos="851"/>
        </w:tabs>
        <w:ind w:left="851"/>
        <w:rPr>
          <w:sz w:val="24"/>
          <w:szCs w:val="24"/>
          <w:lang w:val="en-GB"/>
        </w:rPr>
      </w:pPr>
    </w:p>
    <w:p w14:paraId="68A88AA1" w14:textId="77777777" w:rsidR="00A17640" w:rsidRPr="00A17640" w:rsidRDefault="00A17640" w:rsidP="00A17640">
      <w:pPr>
        <w:tabs>
          <w:tab w:val="left" w:pos="851"/>
        </w:tabs>
        <w:ind w:left="851"/>
        <w:rPr>
          <w:i/>
          <w:sz w:val="24"/>
          <w:szCs w:val="24"/>
          <w:u w:val="single"/>
          <w:lang w:val="en-GB"/>
        </w:rPr>
      </w:pPr>
      <w:r w:rsidRPr="00A17640">
        <w:rPr>
          <w:i/>
          <w:sz w:val="24"/>
          <w:szCs w:val="24"/>
          <w:u w:val="single"/>
          <w:lang w:val="en-GB"/>
        </w:rPr>
        <w:t>Dose adjustments</w:t>
      </w:r>
    </w:p>
    <w:p w14:paraId="24DB42B1" w14:textId="77777777" w:rsidR="00A17640" w:rsidRPr="00A17640" w:rsidRDefault="00A17640" w:rsidP="00A17640">
      <w:pPr>
        <w:tabs>
          <w:tab w:val="left" w:pos="851"/>
        </w:tabs>
        <w:ind w:left="851"/>
        <w:rPr>
          <w:sz w:val="24"/>
          <w:szCs w:val="24"/>
          <w:lang w:val="en-GB"/>
        </w:rPr>
      </w:pPr>
      <w:r w:rsidRPr="00A17640">
        <w:rPr>
          <w:sz w:val="24"/>
          <w:szCs w:val="24"/>
          <w:lang w:val="en-GB"/>
        </w:rPr>
        <w:t>In the Phase 1/2 clinical study in patients with CML who were resistant or intolerant to prior therapy, dose escalations from 500 mg to 600 mg once daily with food were allowed in patients who failed to demonstrate complete haematological response (CHR) by Week 8 or complete cytogenetic response (CCyR) by Week 12 and did not have Grade 3 or higher adverse events possibly-related to the investigational product. In the Phase 3 clinical study in patients with newly-diagnosed CP CML treated with bosutinib 400 mg, dose escalations by 100 mg increments to a maximum of 600 mg once daily with food were permitted if the patient failed to demonstrate breakpoint cluster region-Abelson (BCR-ABL) transcripts ≤ 10% at Month 3, did not have a Grade 3 or 4 adverse reaction at the time of escalation, and all Grade 2 non-haematological toxicities were resolved to at least Grade 1. In the Phase 4 clinical study in patients with Ph+CML previously treated with 1 or more TKI(s), dose escalations from 500 mg to 600 mg once daily with food were allowed in patients with unsatisfactory response or with signs of disease progression in the absence of any Grade 3 or 4 or persistent Grade 2 adverse events.</w:t>
      </w:r>
    </w:p>
    <w:p w14:paraId="5D4796D8" w14:textId="53581C2D" w:rsidR="00A17640" w:rsidRPr="00A17640" w:rsidRDefault="00A17640" w:rsidP="00A17640">
      <w:pPr>
        <w:tabs>
          <w:tab w:val="left" w:pos="851"/>
        </w:tabs>
        <w:ind w:left="851"/>
        <w:rPr>
          <w:sz w:val="24"/>
          <w:szCs w:val="24"/>
          <w:lang w:val="en-GB"/>
        </w:rPr>
      </w:pPr>
      <w:r w:rsidRPr="00A17640">
        <w:rPr>
          <w:sz w:val="24"/>
          <w:szCs w:val="24"/>
          <w:lang w:val="en-GB"/>
        </w:rPr>
        <w:t>In the Phase 1/2 study in patients with CML who were resistant or intolerant to prior therapy who</w:t>
      </w:r>
      <w:r>
        <w:rPr>
          <w:sz w:val="24"/>
          <w:szCs w:val="24"/>
          <w:lang w:val="en-GB"/>
        </w:rPr>
        <w:t xml:space="preserve"> </w:t>
      </w:r>
      <w:r w:rsidRPr="00A17640">
        <w:rPr>
          <w:sz w:val="24"/>
          <w:szCs w:val="24"/>
          <w:lang w:val="en-GB"/>
        </w:rPr>
        <w:t>started treatment at ≤  500 mg, 93 (93/558; 16.7%) patients had dose escalations to 600 mg daily.</w:t>
      </w:r>
    </w:p>
    <w:p w14:paraId="46A0AEDE" w14:textId="18B92B9A" w:rsidR="00A17640" w:rsidRPr="00A17640" w:rsidRDefault="00A17640" w:rsidP="00A17640">
      <w:pPr>
        <w:tabs>
          <w:tab w:val="left" w:pos="851"/>
        </w:tabs>
        <w:ind w:left="851"/>
        <w:rPr>
          <w:sz w:val="24"/>
          <w:szCs w:val="24"/>
          <w:lang w:val="en-GB"/>
        </w:rPr>
      </w:pPr>
      <w:r w:rsidRPr="00A17640">
        <w:rPr>
          <w:sz w:val="24"/>
          <w:szCs w:val="24"/>
          <w:lang w:val="en-GB"/>
        </w:rPr>
        <w:t>In the Phase 3 study in patients with newly-diagnosed CP CML who started bosutinib treatment at</w:t>
      </w:r>
      <w:r>
        <w:rPr>
          <w:sz w:val="24"/>
          <w:szCs w:val="24"/>
          <w:lang w:val="en-GB"/>
        </w:rPr>
        <w:t xml:space="preserve"> </w:t>
      </w:r>
      <w:r w:rsidRPr="00A17640">
        <w:rPr>
          <w:sz w:val="24"/>
          <w:szCs w:val="24"/>
          <w:lang w:val="en-GB"/>
        </w:rPr>
        <w:t>400 mg, a total of 58 patients (21.6%) received dose escalations to 500 mg daily. In addition, 10.4% of</w:t>
      </w:r>
      <w:r>
        <w:rPr>
          <w:sz w:val="24"/>
          <w:szCs w:val="24"/>
          <w:lang w:val="en-GB"/>
        </w:rPr>
        <w:t xml:space="preserve"> </w:t>
      </w:r>
      <w:r w:rsidRPr="00A17640">
        <w:rPr>
          <w:sz w:val="24"/>
          <w:szCs w:val="24"/>
          <w:lang w:val="en-GB"/>
        </w:rPr>
        <w:t>patients in the bosutinib treatment group had further dose escalations to 600 mg daily.</w:t>
      </w:r>
    </w:p>
    <w:p w14:paraId="3B0144ED" w14:textId="799FD0B7" w:rsidR="00A17640" w:rsidRPr="00A17640" w:rsidRDefault="00A17640" w:rsidP="00A17640">
      <w:pPr>
        <w:tabs>
          <w:tab w:val="left" w:pos="851"/>
        </w:tabs>
        <w:ind w:left="851"/>
        <w:rPr>
          <w:sz w:val="24"/>
          <w:szCs w:val="24"/>
          <w:lang w:val="en-GB"/>
        </w:rPr>
      </w:pPr>
      <w:r w:rsidRPr="00A17640">
        <w:rPr>
          <w:sz w:val="24"/>
          <w:szCs w:val="24"/>
          <w:lang w:val="en-GB"/>
        </w:rPr>
        <w:t>In the Phase 4 study in patients with Ph+CML previously treated with 1 or more TKI(s) who started</w:t>
      </w:r>
      <w:r>
        <w:rPr>
          <w:sz w:val="24"/>
          <w:szCs w:val="24"/>
          <w:lang w:val="en-GB"/>
        </w:rPr>
        <w:t xml:space="preserve"> </w:t>
      </w:r>
      <w:r w:rsidRPr="00A17640">
        <w:rPr>
          <w:sz w:val="24"/>
          <w:szCs w:val="24"/>
          <w:lang w:val="en-GB"/>
        </w:rPr>
        <w:t>bosutinib treatment at 500 mg daily, 1 patient (0.6%) had a dose escalation up to 600 mg daily.</w:t>
      </w:r>
    </w:p>
    <w:p w14:paraId="3ABE0DBE" w14:textId="77777777" w:rsidR="00A17640" w:rsidRPr="00A17640" w:rsidRDefault="00A17640" w:rsidP="00A17640">
      <w:pPr>
        <w:tabs>
          <w:tab w:val="left" w:pos="851"/>
        </w:tabs>
        <w:ind w:left="851"/>
        <w:rPr>
          <w:sz w:val="24"/>
          <w:szCs w:val="24"/>
          <w:lang w:val="en-GB"/>
        </w:rPr>
      </w:pPr>
      <w:r w:rsidRPr="00A17640">
        <w:rPr>
          <w:sz w:val="24"/>
          <w:szCs w:val="24"/>
          <w:lang w:val="en-GB"/>
        </w:rPr>
        <w:lastRenderedPageBreak/>
        <w:t>Doses greater than 600 mg/day have not been studied and, therefore, should not be given.</w:t>
      </w:r>
    </w:p>
    <w:p w14:paraId="2821FD1A" w14:textId="77777777" w:rsidR="00A17640" w:rsidRPr="00A17640" w:rsidRDefault="00A17640" w:rsidP="00A17640">
      <w:pPr>
        <w:tabs>
          <w:tab w:val="left" w:pos="851"/>
        </w:tabs>
        <w:ind w:left="851"/>
        <w:rPr>
          <w:sz w:val="24"/>
          <w:szCs w:val="24"/>
          <w:lang w:val="en-GB"/>
        </w:rPr>
      </w:pPr>
    </w:p>
    <w:p w14:paraId="3AF7A86F" w14:textId="0316E935" w:rsidR="00A17640" w:rsidRDefault="00A17640" w:rsidP="00A17640">
      <w:pPr>
        <w:tabs>
          <w:tab w:val="left" w:pos="851"/>
        </w:tabs>
        <w:ind w:left="851"/>
        <w:rPr>
          <w:i/>
          <w:sz w:val="24"/>
          <w:szCs w:val="24"/>
          <w:u w:val="single"/>
          <w:lang w:val="en-GB"/>
        </w:rPr>
      </w:pPr>
      <w:r w:rsidRPr="00A17640">
        <w:rPr>
          <w:i/>
          <w:sz w:val="24"/>
          <w:szCs w:val="24"/>
          <w:u w:val="single"/>
          <w:lang w:val="en-GB"/>
        </w:rPr>
        <w:t>Dose adjustments for adverse reactions</w:t>
      </w:r>
    </w:p>
    <w:p w14:paraId="20FD38F3" w14:textId="77777777" w:rsidR="00A17640" w:rsidRPr="00A17640" w:rsidRDefault="00A17640" w:rsidP="00A17640">
      <w:pPr>
        <w:tabs>
          <w:tab w:val="left" w:pos="851"/>
        </w:tabs>
        <w:ind w:left="851"/>
        <w:rPr>
          <w:i/>
          <w:sz w:val="24"/>
          <w:szCs w:val="24"/>
          <w:u w:val="single"/>
          <w:lang w:val="en-GB"/>
        </w:rPr>
      </w:pPr>
    </w:p>
    <w:p w14:paraId="4A0589EF" w14:textId="77777777" w:rsidR="00A17640" w:rsidRPr="00A17640" w:rsidRDefault="00A17640" w:rsidP="00A17640">
      <w:pPr>
        <w:tabs>
          <w:tab w:val="left" w:pos="851"/>
        </w:tabs>
        <w:ind w:left="851"/>
        <w:rPr>
          <w:i/>
          <w:sz w:val="24"/>
          <w:szCs w:val="24"/>
          <w:lang w:val="en-GB"/>
        </w:rPr>
      </w:pPr>
      <w:r w:rsidRPr="00A17640">
        <w:rPr>
          <w:i/>
          <w:sz w:val="24"/>
          <w:szCs w:val="24"/>
          <w:lang w:val="en-GB"/>
        </w:rPr>
        <w:t>Non-haematological adverse reactions</w:t>
      </w:r>
    </w:p>
    <w:p w14:paraId="518966F9" w14:textId="77777777" w:rsidR="00A17640" w:rsidRPr="00A17640" w:rsidRDefault="00A17640" w:rsidP="00A17640">
      <w:pPr>
        <w:tabs>
          <w:tab w:val="left" w:pos="851"/>
        </w:tabs>
        <w:ind w:left="851"/>
        <w:rPr>
          <w:sz w:val="24"/>
          <w:szCs w:val="24"/>
          <w:lang w:val="en-GB"/>
        </w:rPr>
      </w:pPr>
      <w:r w:rsidRPr="00A17640">
        <w:rPr>
          <w:sz w:val="24"/>
          <w:szCs w:val="24"/>
          <w:lang w:val="en-GB"/>
        </w:rPr>
        <w:t>If clinically significant moderate or severe non-haematological toxicity develops, bosutinib should be interrupted, and may be resumed at a dose reduced by 100 mg taken once daily after the toxicity has resolved. If clinically appropriate, re-escalation to the dose prior to the dose reduction taken once daily should be considered (see section 4.4). Doses less than 300 mg/day have been used in patients; however, efficacy has not been established.</w:t>
      </w:r>
    </w:p>
    <w:p w14:paraId="1F402D6F" w14:textId="77777777" w:rsidR="00A17640" w:rsidRPr="00A17640" w:rsidRDefault="00A17640" w:rsidP="00A17640">
      <w:pPr>
        <w:tabs>
          <w:tab w:val="left" w:pos="851"/>
        </w:tabs>
        <w:ind w:left="851"/>
        <w:rPr>
          <w:sz w:val="24"/>
          <w:szCs w:val="24"/>
          <w:lang w:val="en-GB"/>
        </w:rPr>
      </w:pPr>
    </w:p>
    <w:p w14:paraId="7C1BC008" w14:textId="77777777" w:rsidR="00A17640" w:rsidRPr="00A17640" w:rsidRDefault="00A17640" w:rsidP="00A17640">
      <w:pPr>
        <w:tabs>
          <w:tab w:val="left" w:pos="851"/>
        </w:tabs>
        <w:ind w:left="851"/>
        <w:rPr>
          <w:sz w:val="24"/>
          <w:szCs w:val="24"/>
          <w:lang w:val="en-GB"/>
        </w:rPr>
      </w:pPr>
      <w:r w:rsidRPr="00A17640">
        <w:rPr>
          <w:sz w:val="24"/>
          <w:szCs w:val="24"/>
          <w:lang w:val="en-GB"/>
        </w:rPr>
        <w:t>Elevated liver transaminases: If elevations in liver transaminases &gt; 5 × institutional upper limit of normal (ULN) occur, bosutinib should be interrupted until recovery to ≤ 2.5 × ULN and may be resumed at 400 mg once daily thereafter. If recovery takes longer than 4 weeks, discontinuation of bosutinib should be considered. If transaminase elevations ≥ 3 × ULN occur concurrently with bilirubin elevations &gt; 2 × ULN and alkaline phosphatase &lt;2 × ULN, bosutinib should be discontinued (see section 4.4).</w:t>
      </w:r>
    </w:p>
    <w:p w14:paraId="4FA2E266" w14:textId="77777777" w:rsidR="00A17640" w:rsidRPr="00A17640" w:rsidRDefault="00A17640" w:rsidP="00A17640">
      <w:pPr>
        <w:tabs>
          <w:tab w:val="left" w:pos="851"/>
        </w:tabs>
        <w:ind w:left="851"/>
        <w:rPr>
          <w:sz w:val="24"/>
          <w:szCs w:val="24"/>
          <w:lang w:val="en-GB"/>
        </w:rPr>
      </w:pPr>
    </w:p>
    <w:p w14:paraId="36D447AF" w14:textId="77777777" w:rsidR="00A17640" w:rsidRPr="00A17640" w:rsidRDefault="00A17640" w:rsidP="00A17640">
      <w:pPr>
        <w:tabs>
          <w:tab w:val="left" w:pos="851"/>
        </w:tabs>
        <w:ind w:left="851"/>
        <w:rPr>
          <w:sz w:val="24"/>
          <w:szCs w:val="24"/>
          <w:lang w:val="en-GB"/>
        </w:rPr>
      </w:pPr>
      <w:r w:rsidRPr="00A17640">
        <w:rPr>
          <w:sz w:val="24"/>
          <w:szCs w:val="24"/>
          <w:lang w:val="en-GB"/>
        </w:rPr>
        <w:t>Diarrhoea: For NCI Common Terminology Criteria for Adverse Events (CTCAE) Grade 3-4 diarrhoea, bosutinib should be interrupted and may be resumed at 400 mg once daily upon recovery to grade ≤ 1 (see section 4.4).</w:t>
      </w:r>
    </w:p>
    <w:p w14:paraId="08CEDC3E" w14:textId="77777777" w:rsidR="00A17640" w:rsidRPr="00A17640" w:rsidRDefault="00A17640" w:rsidP="00A17640">
      <w:pPr>
        <w:tabs>
          <w:tab w:val="left" w:pos="851"/>
        </w:tabs>
        <w:ind w:left="851"/>
        <w:rPr>
          <w:sz w:val="24"/>
          <w:szCs w:val="24"/>
          <w:lang w:val="en-GB"/>
        </w:rPr>
      </w:pPr>
    </w:p>
    <w:p w14:paraId="02E3FDEF" w14:textId="77777777" w:rsidR="00A17640" w:rsidRPr="00A17640" w:rsidRDefault="00A17640" w:rsidP="00A17640">
      <w:pPr>
        <w:tabs>
          <w:tab w:val="left" w:pos="851"/>
        </w:tabs>
        <w:ind w:left="851"/>
        <w:rPr>
          <w:i/>
          <w:sz w:val="24"/>
          <w:szCs w:val="24"/>
          <w:lang w:val="en-GB"/>
        </w:rPr>
      </w:pPr>
      <w:r w:rsidRPr="00A17640">
        <w:rPr>
          <w:i/>
          <w:sz w:val="24"/>
          <w:szCs w:val="24"/>
          <w:lang w:val="en-GB"/>
        </w:rPr>
        <w:t>Haematological adverse reactions</w:t>
      </w:r>
    </w:p>
    <w:p w14:paraId="7F917145" w14:textId="77777777" w:rsidR="00A17640" w:rsidRPr="00A17640" w:rsidRDefault="00A17640" w:rsidP="00A17640">
      <w:pPr>
        <w:tabs>
          <w:tab w:val="left" w:pos="851"/>
        </w:tabs>
        <w:ind w:left="851"/>
        <w:rPr>
          <w:sz w:val="24"/>
          <w:szCs w:val="24"/>
          <w:lang w:val="en-GB"/>
        </w:rPr>
      </w:pPr>
      <w:r w:rsidRPr="00A17640">
        <w:rPr>
          <w:sz w:val="24"/>
          <w:szCs w:val="24"/>
          <w:lang w:val="en-GB"/>
        </w:rPr>
        <w:t>Dose reductions are recommended for severe or persistent neutropenia and thrombocytopenia as described in Table 1:</w:t>
      </w:r>
    </w:p>
    <w:p w14:paraId="09B34DCC" w14:textId="77777777" w:rsidR="00A17640" w:rsidRPr="00A17640" w:rsidRDefault="00A17640" w:rsidP="00A17640">
      <w:pPr>
        <w:tabs>
          <w:tab w:val="left" w:pos="851"/>
        </w:tabs>
        <w:ind w:left="851"/>
        <w:rPr>
          <w:sz w:val="24"/>
          <w:szCs w:val="24"/>
          <w:lang w:val="en-GB"/>
        </w:rPr>
      </w:pPr>
    </w:p>
    <w:p w14:paraId="3EBC3A8A" w14:textId="2D7E7994" w:rsidR="00A17640" w:rsidRDefault="00A17640" w:rsidP="00A17640">
      <w:pPr>
        <w:tabs>
          <w:tab w:val="left" w:pos="851"/>
        </w:tabs>
        <w:ind w:left="851"/>
        <w:rPr>
          <w:b/>
          <w:sz w:val="24"/>
          <w:szCs w:val="24"/>
          <w:lang w:val="en-GB"/>
        </w:rPr>
      </w:pPr>
      <w:r w:rsidRPr="00A17640">
        <w:rPr>
          <w:b/>
          <w:sz w:val="24"/>
          <w:szCs w:val="24"/>
          <w:lang w:val="en-GB"/>
        </w:rPr>
        <w:t>Table 1</w:t>
      </w:r>
      <w:r w:rsidRPr="00A17640">
        <w:rPr>
          <w:b/>
          <w:sz w:val="24"/>
          <w:szCs w:val="24"/>
          <w:lang w:val="en-GB"/>
        </w:rPr>
        <w:tab/>
        <w:t>Dose adjustments for neutropenia and thrombocytopenia</w:t>
      </w:r>
    </w:p>
    <w:tbl>
      <w:tblPr>
        <w:tblW w:w="4414" w:type="pct"/>
        <w:tblInd w:w="846" w:type="dxa"/>
        <w:tblLook w:val="04A0" w:firstRow="1" w:lastRow="0" w:firstColumn="1" w:lastColumn="0" w:noHBand="0" w:noVBand="1"/>
      </w:tblPr>
      <w:tblGrid>
        <w:gridCol w:w="3686"/>
        <w:gridCol w:w="4814"/>
      </w:tblGrid>
      <w:tr w:rsidR="00A17640" w:rsidRPr="00E14D63" w14:paraId="43848DC0" w14:textId="77777777" w:rsidTr="00A17640">
        <w:tc>
          <w:tcPr>
            <w:tcW w:w="2168" w:type="pct"/>
            <w:tcBorders>
              <w:top w:val="single" w:sz="4" w:space="0" w:color="auto"/>
              <w:left w:val="single" w:sz="4" w:space="0" w:color="auto"/>
              <w:bottom w:val="single" w:sz="4" w:space="0" w:color="auto"/>
              <w:right w:val="single" w:sz="4" w:space="0" w:color="auto"/>
            </w:tcBorders>
            <w:hideMark/>
          </w:tcPr>
          <w:p w14:paraId="18E99243" w14:textId="77777777" w:rsidR="00A17640" w:rsidRPr="0072600F" w:rsidRDefault="00A17640">
            <w:pPr>
              <w:rPr>
                <w:sz w:val="22"/>
                <w:szCs w:val="22"/>
              </w:rPr>
            </w:pPr>
            <w:r w:rsidRPr="0072600F">
              <w:rPr>
                <w:szCs w:val="22"/>
              </w:rPr>
              <w:t>ANC</w:t>
            </w:r>
            <w:r w:rsidRPr="0072600F">
              <w:rPr>
                <w:szCs w:val="22"/>
                <w:vertAlign w:val="superscript"/>
              </w:rPr>
              <w:t>a</w:t>
            </w:r>
            <w:r w:rsidRPr="0072600F">
              <w:rPr>
                <w:szCs w:val="22"/>
              </w:rPr>
              <w:t xml:space="preserve"> &lt; 1.0 × 10</w:t>
            </w:r>
            <w:r w:rsidRPr="0072600F">
              <w:rPr>
                <w:szCs w:val="22"/>
                <w:vertAlign w:val="superscript"/>
              </w:rPr>
              <w:t>9</w:t>
            </w:r>
            <w:r w:rsidRPr="0072600F">
              <w:rPr>
                <w:szCs w:val="22"/>
              </w:rPr>
              <w:t>/L</w:t>
            </w:r>
          </w:p>
        </w:tc>
        <w:tc>
          <w:tcPr>
            <w:tcW w:w="2832" w:type="pct"/>
            <w:tcBorders>
              <w:top w:val="single" w:sz="4" w:space="0" w:color="auto"/>
              <w:left w:val="single" w:sz="4" w:space="0" w:color="auto"/>
              <w:bottom w:val="single" w:sz="4" w:space="0" w:color="auto"/>
              <w:right w:val="single" w:sz="4" w:space="0" w:color="auto"/>
            </w:tcBorders>
            <w:hideMark/>
          </w:tcPr>
          <w:p w14:paraId="539CDAD9" w14:textId="77777777" w:rsidR="00A17640" w:rsidRPr="0072600F" w:rsidRDefault="00A17640">
            <w:pPr>
              <w:rPr>
                <w:szCs w:val="22"/>
                <w:lang w:val="en-US"/>
              </w:rPr>
            </w:pPr>
            <w:r w:rsidRPr="0072600F">
              <w:rPr>
                <w:szCs w:val="22"/>
                <w:lang w:val="en-US"/>
              </w:rPr>
              <w:t>Hold bosutinib until ANC ≥ 1.0 × 10</w:t>
            </w:r>
            <w:r w:rsidRPr="0072600F">
              <w:rPr>
                <w:szCs w:val="22"/>
                <w:vertAlign w:val="superscript"/>
                <w:lang w:val="en-US"/>
              </w:rPr>
              <w:t>9</w:t>
            </w:r>
            <w:r w:rsidRPr="0072600F">
              <w:rPr>
                <w:szCs w:val="22"/>
                <w:lang w:val="en-US"/>
              </w:rPr>
              <w:t>/L and platelets ≥</w:t>
            </w:r>
            <w:r w:rsidRPr="0072600F">
              <w:rPr>
                <w:sz w:val="20"/>
                <w:lang w:val="en-US"/>
              </w:rPr>
              <w:t> </w:t>
            </w:r>
            <w:r w:rsidRPr="0072600F">
              <w:rPr>
                <w:szCs w:val="22"/>
                <w:lang w:val="en-US"/>
              </w:rPr>
              <w:t>50 × 10</w:t>
            </w:r>
            <w:r w:rsidRPr="0072600F">
              <w:rPr>
                <w:szCs w:val="22"/>
                <w:vertAlign w:val="superscript"/>
                <w:lang w:val="en-US"/>
              </w:rPr>
              <w:t>9</w:t>
            </w:r>
            <w:r w:rsidRPr="0072600F">
              <w:rPr>
                <w:szCs w:val="22"/>
                <w:lang w:val="en-US"/>
              </w:rPr>
              <w:t>/L.</w:t>
            </w:r>
          </w:p>
        </w:tc>
      </w:tr>
      <w:tr w:rsidR="00A17640" w:rsidRPr="0072600F" w14:paraId="05EE370E" w14:textId="77777777" w:rsidTr="00A17640">
        <w:tc>
          <w:tcPr>
            <w:tcW w:w="2168" w:type="pct"/>
            <w:tcBorders>
              <w:top w:val="single" w:sz="4" w:space="0" w:color="auto"/>
              <w:left w:val="single" w:sz="4" w:space="0" w:color="auto"/>
              <w:bottom w:val="single" w:sz="4" w:space="0" w:color="auto"/>
              <w:right w:val="single" w:sz="4" w:space="0" w:color="auto"/>
            </w:tcBorders>
            <w:hideMark/>
          </w:tcPr>
          <w:p w14:paraId="4F3ECD33" w14:textId="77777777" w:rsidR="00A17640" w:rsidRPr="0072600F" w:rsidRDefault="00A17640">
            <w:pPr>
              <w:rPr>
                <w:szCs w:val="22"/>
              </w:rPr>
            </w:pPr>
            <w:r w:rsidRPr="0072600F">
              <w:rPr>
                <w:rFonts w:ascii="TimesNewRoman" w:eastAsia="SimSun" w:hAnsi="TimesNewRoman" w:cs="TimesNewRoman"/>
                <w:szCs w:val="22"/>
                <w:lang w:val="en-US" w:eastAsia="en-GB"/>
              </w:rPr>
              <w:t>and/or</w:t>
            </w:r>
          </w:p>
        </w:tc>
        <w:tc>
          <w:tcPr>
            <w:tcW w:w="2832" w:type="pct"/>
            <w:tcBorders>
              <w:top w:val="single" w:sz="4" w:space="0" w:color="auto"/>
              <w:left w:val="single" w:sz="4" w:space="0" w:color="auto"/>
              <w:bottom w:val="single" w:sz="4" w:space="0" w:color="auto"/>
              <w:right w:val="single" w:sz="4" w:space="0" w:color="auto"/>
            </w:tcBorders>
          </w:tcPr>
          <w:p w14:paraId="3752FE30" w14:textId="77777777" w:rsidR="00A17640" w:rsidRPr="0072600F" w:rsidRDefault="00A17640">
            <w:pPr>
              <w:rPr>
                <w:szCs w:val="22"/>
              </w:rPr>
            </w:pPr>
          </w:p>
        </w:tc>
      </w:tr>
      <w:tr w:rsidR="00A17640" w:rsidRPr="00E14D63" w14:paraId="32E9C009" w14:textId="77777777" w:rsidTr="00A17640">
        <w:tc>
          <w:tcPr>
            <w:tcW w:w="2168" w:type="pct"/>
            <w:tcBorders>
              <w:top w:val="single" w:sz="4" w:space="0" w:color="auto"/>
              <w:left w:val="single" w:sz="4" w:space="0" w:color="auto"/>
              <w:bottom w:val="single" w:sz="4" w:space="0" w:color="auto"/>
              <w:right w:val="single" w:sz="4" w:space="0" w:color="auto"/>
            </w:tcBorders>
            <w:hideMark/>
          </w:tcPr>
          <w:p w14:paraId="1EC2CFBB" w14:textId="77777777" w:rsidR="00A17640" w:rsidRPr="0072600F" w:rsidRDefault="00A17640">
            <w:pPr>
              <w:rPr>
                <w:szCs w:val="22"/>
              </w:rPr>
            </w:pPr>
            <w:r w:rsidRPr="0072600F">
              <w:rPr>
                <w:szCs w:val="22"/>
              </w:rPr>
              <w:t>Platelets &lt; 50 × 10</w:t>
            </w:r>
            <w:r w:rsidRPr="0072600F">
              <w:rPr>
                <w:szCs w:val="22"/>
                <w:vertAlign w:val="superscript"/>
              </w:rPr>
              <w:t>9</w:t>
            </w:r>
            <w:r w:rsidRPr="0072600F">
              <w:rPr>
                <w:szCs w:val="22"/>
              </w:rPr>
              <w:t>/L</w:t>
            </w:r>
          </w:p>
        </w:tc>
        <w:tc>
          <w:tcPr>
            <w:tcW w:w="2832" w:type="pct"/>
            <w:tcBorders>
              <w:top w:val="single" w:sz="4" w:space="0" w:color="auto"/>
              <w:left w:val="single" w:sz="4" w:space="0" w:color="auto"/>
              <w:bottom w:val="single" w:sz="4" w:space="0" w:color="auto"/>
              <w:right w:val="single" w:sz="4" w:space="0" w:color="auto"/>
            </w:tcBorders>
          </w:tcPr>
          <w:p w14:paraId="32A802E4" w14:textId="77777777" w:rsidR="00A17640" w:rsidRPr="0072600F" w:rsidRDefault="00A17640">
            <w:pPr>
              <w:rPr>
                <w:szCs w:val="22"/>
                <w:lang w:val="en-US"/>
              </w:rPr>
            </w:pPr>
            <w:r w:rsidRPr="0072600F">
              <w:rPr>
                <w:szCs w:val="22"/>
                <w:lang w:val="en-US"/>
              </w:rPr>
              <w:t>Resume treatment with bosutinib at the same dose if recovery occurs within 2 weeks. If blood counts remain low for &gt; 2 weeks, upon recovery reduce dose by 100 mg and resume treatment.</w:t>
            </w:r>
          </w:p>
          <w:p w14:paraId="7283A304" w14:textId="77777777" w:rsidR="00A17640" w:rsidRPr="0072600F" w:rsidRDefault="00A17640">
            <w:pPr>
              <w:rPr>
                <w:szCs w:val="22"/>
                <w:lang w:val="en-US"/>
              </w:rPr>
            </w:pPr>
          </w:p>
          <w:p w14:paraId="3F11C784" w14:textId="77777777" w:rsidR="00A17640" w:rsidRPr="0072600F" w:rsidRDefault="00A17640">
            <w:pPr>
              <w:rPr>
                <w:szCs w:val="22"/>
                <w:lang w:val="en-US"/>
              </w:rPr>
            </w:pPr>
            <w:r w:rsidRPr="0072600F">
              <w:rPr>
                <w:szCs w:val="22"/>
                <w:lang w:val="en-US"/>
              </w:rPr>
              <w:t>If cytopoenia recurs, reduce dose by an additional 100 mg upon recovery and resume treatment.</w:t>
            </w:r>
          </w:p>
          <w:p w14:paraId="281FDE8F" w14:textId="77777777" w:rsidR="00A17640" w:rsidRPr="0072600F" w:rsidRDefault="00A17640">
            <w:pPr>
              <w:rPr>
                <w:szCs w:val="22"/>
                <w:lang w:val="en-US"/>
              </w:rPr>
            </w:pPr>
          </w:p>
          <w:p w14:paraId="69A9D1FD" w14:textId="77777777" w:rsidR="00A17640" w:rsidRPr="0072600F" w:rsidRDefault="00A17640">
            <w:pPr>
              <w:rPr>
                <w:szCs w:val="22"/>
                <w:lang w:val="en-US"/>
              </w:rPr>
            </w:pPr>
            <w:r w:rsidRPr="0072600F">
              <w:rPr>
                <w:szCs w:val="22"/>
                <w:lang w:val="en-US"/>
              </w:rPr>
              <w:t>Doses less than 300 mg/day have been used; however, efficacy has not been established.</w:t>
            </w:r>
          </w:p>
        </w:tc>
      </w:tr>
    </w:tbl>
    <w:p w14:paraId="5EE8F947" w14:textId="77777777" w:rsidR="00A17640" w:rsidRPr="00A17640" w:rsidRDefault="00A17640" w:rsidP="00A17640">
      <w:pPr>
        <w:tabs>
          <w:tab w:val="left" w:pos="851"/>
        </w:tabs>
        <w:ind w:left="851"/>
        <w:rPr>
          <w:sz w:val="20"/>
          <w:lang w:val="en-GB"/>
        </w:rPr>
      </w:pPr>
      <w:r w:rsidRPr="00A17640">
        <w:rPr>
          <w:sz w:val="20"/>
          <w:vertAlign w:val="superscript"/>
          <w:lang w:val="en-GB"/>
        </w:rPr>
        <w:t>a</w:t>
      </w:r>
      <w:r w:rsidRPr="00A17640">
        <w:rPr>
          <w:sz w:val="20"/>
          <w:lang w:val="en-GB"/>
        </w:rPr>
        <w:t xml:space="preserve"> ANC=absolute neutrophil count</w:t>
      </w:r>
    </w:p>
    <w:p w14:paraId="2AAFF734" w14:textId="77777777" w:rsidR="00A17640" w:rsidRPr="00A17640" w:rsidRDefault="00A17640" w:rsidP="00A17640">
      <w:pPr>
        <w:tabs>
          <w:tab w:val="left" w:pos="851"/>
        </w:tabs>
        <w:ind w:left="851"/>
        <w:rPr>
          <w:sz w:val="24"/>
          <w:szCs w:val="24"/>
          <w:lang w:val="en-GB"/>
        </w:rPr>
      </w:pPr>
    </w:p>
    <w:p w14:paraId="3BAB5AA3" w14:textId="3EE36E00" w:rsidR="00A17640" w:rsidRDefault="00A17640" w:rsidP="00A17640">
      <w:pPr>
        <w:tabs>
          <w:tab w:val="left" w:pos="851"/>
        </w:tabs>
        <w:ind w:left="851"/>
        <w:rPr>
          <w:i/>
          <w:sz w:val="24"/>
          <w:szCs w:val="24"/>
          <w:u w:val="single"/>
          <w:lang w:val="en-GB"/>
        </w:rPr>
      </w:pPr>
      <w:r w:rsidRPr="00A17640">
        <w:rPr>
          <w:i/>
          <w:sz w:val="24"/>
          <w:szCs w:val="24"/>
          <w:u w:val="single"/>
          <w:lang w:val="en-GB"/>
        </w:rPr>
        <w:t>Special populations</w:t>
      </w:r>
    </w:p>
    <w:p w14:paraId="35FFBF0E" w14:textId="77777777" w:rsidR="00A17640" w:rsidRPr="00A17640" w:rsidRDefault="00A17640" w:rsidP="00A17640">
      <w:pPr>
        <w:tabs>
          <w:tab w:val="left" w:pos="851"/>
        </w:tabs>
        <w:ind w:left="851"/>
        <w:rPr>
          <w:i/>
          <w:sz w:val="24"/>
          <w:szCs w:val="24"/>
          <w:u w:val="single"/>
          <w:lang w:val="en-GB"/>
        </w:rPr>
      </w:pPr>
    </w:p>
    <w:p w14:paraId="37C0E367" w14:textId="77777777" w:rsidR="00A17640" w:rsidRPr="00A17640" w:rsidRDefault="00A17640" w:rsidP="00A17640">
      <w:pPr>
        <w:tabs>
          <w:tab w:val="left" w:pos="851"/>
        </w:tabs>
        <w:ind w:left="851"/>
        <w:rPr>
          <w:i/>
          <w:sz w:val="24"/>
          <w:szCs w:val="24"/>
          <w:lang w:val="en-GB"/>
        </w:rPr>
      </w:pPr>
      <w:r w:rsidRPr="00A17640">
        <w:rPr>
          <w:i/>
          <w:sz w:val="24"/>
          <w:szCs w:val="24"/>
          <w:lang w:val="en-GB"/>
        </w:rPr>
        <w:t>Elderly patients (≥ 65 years)</w:t>
      </w:r>
    </w:p>
    <w:p w14:paraId="7DE0A521" w14:textId="77777777" w:rsidR="00A17640" w:rsidRPr="00A17640" w:rsidRDefault="00A17640" w:rsidP="00A17640">
      <w:pPr>
        <w:tabs>
          <w:tab w:val="left" w:pos="851"/>
        </w:tabs>
        <w:ind w:left="851"/>
        <w:rPr>
          <w:sz w:val="24"/>
          <w:szCs w:val="24"/>
          <w:lang w:val="en-GB"/>
        </w:rPr>
      </w:pPr>
      <w:r w:rsidRPr="00A17640">
        <w:rPr>
          <w:sz w:val="24"/>
          <w:szCs w:val="24"/>
          <w:lang w:val="en-GB"/>
        </w:rPr>
        <w:t>No specific dose recommendation is necessary in the elderly. Since there is limited information in the elderly, caution should be exercised in these patients.</w:t>
      </w:r>
    </w:p>
    <w:p w14:paraId="2E2BE477" w14:textId="2F5159BF" w:rsidR="00A17640" w:rsidRDefault="00A17640">
      <w:pPr>
        <w:rPr>
          <w:sz w:val="24"/>
          <w:szCs w:val="24"/>
          <w:lang w:val="en-GB"/>
        </w:rPr>
      </w:pPr>
      <w:r>
        <w:rPr>
          <w:sz w:val="24"/>
          <w:szCs w:val="24"/>
          <w:lang w:val="en-GB"/>
        </w:rPr>
        <w:br w:type="page"/>
      </w:r>
    </w:p>
    <w:p w14:paraId="5EECD02C" w14:textId="77777777" w:rsidR="00A17640" w:rsidRPr="00A17640" w:rsidRDefault="00A17640" w:rsidP="00A17640">
      <w:pPr>
        <w:tabs>
          <w:tab w:val="left" w:pos="851"/>
        </w:tabs>
        <w:ind w:left="851"/>
        <w:rPr>
          <w:sz w:val="24"/>
          <w:szCs w:val="24"/>
          <w:lang w:val="en-GB"/>
        </w:rPr>
      </w:pPr>
    </w:p>
    <w:p w14:paraId="64E87E46" w14:textId="77777777" w:rsidR="00A17640" w:rsidRPr="00A17640" w:rsidRDefault="00A17640" w:rsidP="00A17640">
      <w:pPr>
        <w:tabs>
          <w:tab w:val="left" w:pos="851"/>
        </w:tabs>
        <w:ind w:left="851"/>
        <w:rPr>
          <w:i/>
          <w:sz w:val="24"/>
          <w:szCs w:val="24"/>
          <w:lang w:val="en-GB"/>
        </w:rPr>
      </w:pPr>
      <w:r w:rsidRPr="00A17640">
        <w:rPr>
          <w:i/>
          <w:sz w:val="24"/>
          <w:szCs w:val="24"/>
          <w:lang w:val="en-GB"/>
        </w:rPr>
        <w:t>Renal impairment</w:t>
      </w:r>
    </w:p>
    <w:p w14:paraId="4641237D" w14:textId="77777777" w:rsidR="00A17640" w:rsidRPr="00A17640" w:rsidRDefault="00A17640" w:rsidP="00A17640">
      <w:pPr>
        <w:tabs>
          <w:tab w:val="left" w:pos="851"/>
        </w:tabs>
        <w:ind w:left="851"/>
        <w:rPr>
          <w:sz w:val="24"/>
          <w:szCs w:val="24"/>
          <w:lang w:val="en-GB"/>
        </w:rPr>
      </w:pPr>
      <w:r w:rsidRPr="00A17640">
        <w:rPr>
          <w:sz w:val="24"/>
          <w:szCs w:val="24"/>
          <w:lang w:val="en-GB"/>
        </w:rPr>
        <w:t>Patients with serum creatinine &gt; 1.5 × ULN were excluded from CML studies. Increasing exposure (area under curve [AUC]) in patients with moderate and severe renal impairment during studies was observed.</w:t>
      </w:r>
    </w:p>
    <w:p w14:paraId="4BFB4701" w14:textId="77777777" w:rsidR="00A17640" w:rsidRPr="00A17640" w:rsidRDefault="00A17640" w:rsidP="00A17640">
      <w:pPr>
        <w:tabs>
          <w:tab w:val="left" w:pos="851"/>
        </w:tabs>
        <w:ind w:left="851"/>
        <w:rPr>
          <w:sz w:val="24"/>
          <w:szCs w:val="24"/>
          <w:lang w:val="en-GB"/>
        </w:rPr>
      </w:pPr>
    </w:p>
    <w:p w14:paraId="01DFCDFB" w14:textId="77777777" w:rsidR="00A17640" w:rsidRPr="00A17640" w:rsidRDefault="00A17640" w:rsidP="00A17640">
      <w:pPr>
        <w:tabs>
          <w:tab w:val="left" w:pos="851"/>
        </w:tabs>
        <w:ind w:left="851"/>
        <w:rPr>
          <w:i/>
          <w:sz w:val="24"/>
          <w:szCs w:val="24"/>
          <w:lang w:val="en-GB"/>
        </w:rPr>
      </w:pPr>
      <w:r w:rsidRPr="00A17640">
        <w:rPr>
          <w:i/>
          <w:sz w:val="24"/>
          <w:szCs w:val="24"/>
          <w:lang w:val="en-GB"/>
        </w:rPr>
        <w:t>Newly-diagnosed CP Ph+CML</w:t>
      </w:r>
    </w:p>
    <w:p w14:paraId="01EDB6C8" w14:textId="77777777" w:rsidR="00A17640" w:rsidRPr="00A17640" w:rsidRDefault="00A17640" w:rsidP="00A17640">
      <w:pPr>
        <w:tabs>
          <w:tab w:val="left" w:pos="851"/>
        </w:tabs>
        <w:ind w:left="851"/>
        <w:rPr>
          <w:sz w:val="24"/>
          <w:szCs w:val="24"/>
          <w:lang w:val="en-GB"/>
        </w:rPr>
      </w:pPr>
      <w:r w:rsidRPr="00A17640">
        <w:rPr>
          <w:sz w:val="24"/>
          <w:szCs w:val="24"/>
          <w:lang w:val="en-GB"/>
        </w:rPr>
        <w:t>In patients with moderate renal impairment (creatinine clearance [CLCr] 30 to 50 ml/min, estimated by the Cockcroft-Gault formula), the recommended dose of bosutinib is 300 mg daily with food (see sections 4.4 and 5.2).</w:t>
      </w:r>
    </w:p>
    <w:p w14:paraId="1789CAA9" w14:textId="77777777" w:rsidR="00A17640" w:rsidRPr="00A17640" w:rsidRDefault="00A17640" w:rsidP="00A17640">
      <w:pPr>
        <w:tabs>
          <w:tab w:val="left" w:pos="851"/>
        </w:tabs>
        <w:ind w:left="851"/>
        <w:rPr>
          <w:sz w:val="24"/>
          <w:szCs w:val="24"/>
          <w:lang w:val="en-GB"/>
        </w:rPr>
      </w:pPr>
    </w:p>
    <w:p w14:paraId="1C30821E" w14:textId="77777777" w:rsidR="00A17640" w:rsidRPr="00A17640" w:rsidRDefault="00A17640" w:rsidP="00A17640">
      <w:pPr>
        <w:tabs>
          <w:tab w:val="left" w:pos="851"/>
        </w:tabs>
        <w:ind w:left="851"/>
        <w:rPr>
          <w:sz w:val="24"/>
          <w:szCs w:val="24"/>
          <w:lang w:val="en-GB"/>
        </w:rPr>
      </w:pPr>
      <w:r w:rsidRPr="00A17640">
        <w:rPr>
          <w:sz w:val="24"/>
          <w:szCs w:val="24"/>
          <w:lang w:val="en-GB"/>
        </w:rPr>
        <w:t>In patients with severe renal impairment (CLCr &lt; 30 ml/min, estimated by the Cockcroft-Gault formula), the recommended dose of bosutinib is 200 mg daily with food (see sections 4.4 and 5.2).</w:t>
      </w:r>
    </w:p>
    <w:p w14:paraId="0BFC8B1E" w14:textId="77777777" w:rsidR="00A17640" w:rsidRPr="00A17640" w:rsidRDefault="00A17640" w:rsidP="00A17640">
      <w:pPr>
        <w:tabs>
          <w:tab w:val="left" w:pos="851"/>
        </w:tabs>
        <w:ind w:left="851"/>
        <w:rPr>
          <w:sz w:val="24"/>
          <w:szCs w:val="24"/>
          <w:lang w:val="en-GB"/>
        </w:rPr>
      </w:pPr>
    </w:p>
    <w:p w14:paraId="7271B378" w14:textId="77777777" w:rsidR="00A17640" w:rsidRPr="00A17640" w:rsidRDefault="00A17640" w:rsidP="00A17640">
      <w:pPr>
        <w:tabs>
          <w:tab w:val="left" w:pos="851"/>
        </w:tabs>
        <w:ind w:left="851"/>
        <w:rPr>
          <w:sz w:val="24"/>
          <w:szCs w:val="24"/>
          <w:lang w:val="en-GB"/>
        </w:rPr>
      </w:pPr>
      <w:r w:rsidRPr="00A17640">
        <w:rPr>
          <w:sz w:val="24"/>
          <w:szCs w:val="24"/>
          <w:lang w:val="en-GB"/>
        </w:rPr>
        <w:t>Dose escalation to 400 mg once daily with food for patients with moderate renal impairment or to 300 mg once daily for patients with severe renal impairment may be considered if they do not experience severe or persistent moderate adverse reactions and if they do not achieve an adequate haematological, cytogenetic, or molecular response.</w:t>
      </w:r>
    </w:p>
    <w:p w14:paraId="0EFEFDEE" w14:textId="77777777" w:rsidR="00A17640" w:rsidRPr="00A17640" w:rsidRDefault="00A17640" w:rsidP="00A17640">
      <w:pPr>
        <w:tabs>
          <w:tab w:val="left" w:pos="851"/>
        </w:tabs>
        <w:ind w:left="851"/>
        <w:rPr>
          <w:sz w:val="24"/>
          <w:szCs w:val="24"/>
          <w:lang w:val="en-GB"/>
        </w:rPr>
      </w:pPr>
    </w:p>
    <w:p w14:paraId="67604656" w14:textId="77777777" w:rsidR="00A17640" w:rsidRPr="00A17640" w:rsidRDefault="00A17640" w:rsidP="00A17640">
      <w:pPr>
        <w:tabs>
          <w:tab w:val="left" w:pos="851"/>
        </w:tabs>
        <w:ind w:left="851"/>
        <w:rPr>
          <w:i/>
          <w:sz w:val="24"/>
          <w:szCs w:val="24"/>
          <w:lang w:val="en-GB"/>
        </w:rPr>
      </w:pPr>
      <w:r w:rsidRPr="00A17640">
        <w:rPr>
          <w:i/>
          <w:sz w:val="24"/>
          <w:szCs w:val="24"/>
          <w:lang w:val="en-GB"/>
        </w:rPr>
        <w:t>CP, AP, or BP Ph+CML with resistance or intolerance to prior therapy</w:t>
      </w:r>
    </w:p>
    <w:p w14:paraId="737737E4" w14:textId="77777777" w:rsidR="00A17640" w:rsidRPr="00A17640" w:rsidRDefault="00A17640" w:rsidP="00A17640">
      <w:pPr>
        <w:tabs>
          <w:tab w:val="left" w:pos="851"/>
        </w:tabs>
        <w:ind w:left="851"/>
        <w:rPr>
          <w:sz w:val="24"/>
          <w:szCs w:val="24"/>
          <w:lang w:val="en-GB"/>
        </w:rPr>
      </w:pPr>
      <w:r w:rsidRPr="00A17640">
        <w:rPr>
          <w:sz w:val="24"/>
          <w:szCs w:val="24"/>
          <w:lang w:val="en-GB"/>
        </w:rPr>
        <w:t>In patients with moderate renal impairment (CLCr 30 to 50 ml/min, calculated by the Cockcroft-Gault formula), the recommended dose of bosutinib is 400 mg daily (see sections 4.4 and 5.2).</w:t>
      </w:r>
    </w:p>
    <w:p w14:paraId="3FA82030" w14:textId="77777777" w:rsidR="00A17640" w:rsidRPr="00A17640" w:rsidRDefault="00A17640" w:rsidP="00A17640">
      <w:pPr>
        <w:tabs>
          <w:tab w:val="left" w:pos="851"/>
        </w:tabs>
        <w:ind w:left="851"/>
        <w:rPr>
          <w:sz w:val="24"/>
          <w:szCs w:val="24"/>
          <w:lang w:val="en-GB"/>
        </w:rPr>
      </w:pPr>
    </w:p>
    <w:p w14:paraId="2FE79CBE" w14:textId="77777777" w:rsidR="00A17640" w:rsidRPr="00A17640" w:rsidRDefault="00A17640" w:rsidP="00A17640">
      <w:pPr>
        <w:tabs>
          <w:tab w:val="left" w:pos="851"/>
        </w:tabs>
        <w:ind w:left="851"/>
        <w:rPr>
          <w:sz w:val="24"/>
          <w:szCs w:val="24"/>
          <w:lang w:val="en-GB"/>
        </w:rPr>
      </w:pPr>
      <w:r w:rsidRPr="00A17640">
        <w:rPr>
          <w:sz w:val="24"/>
          <w:szCs w:val="24"/>
          <w:lang w:val="en-GB"/>
        </w:rPr>
        <w:t>In patients with severe renal impairment (CLCr &lt; 30 ml/min, calculated by the Cockcroft-Gault formula), the recommended dose of bosutinib is 300 mg daily (see sections 4.4 and 5.2).</w:t>
      </w:r>
    </w:p>
    <w:p w14:paraId="6374ED8D" w14:textId="77777777" w:rsidR="00A17640" w:rsidRPr="00A17640" w:rsidRDefault="00A17640" w:rsidP="00A17640">
      <w:pPr>
        <w:tabs>
          <w:tab w:val="left" w:pos="851"/>
        </w:tabs>
        <w:ind w:left="851"/>
        <w:rPr>
          <w:sz w:val="24"/>
          <w:szCs w:val="24"/>
          <w:lang w:val="en-GB"/>
        </w:rPr>
      </w:pPr>
    </w:p>
    <w:p w14:paraId="17CA33D6" w14:textId="77777777" w:rsidR="00A17640" w:rsidRPr="00A17640" w:rsidRDefault="00A17640" w:rsidP="00A17640">
      <w:pPr>
        <w:tabs>
          <w:tab w:val="left" w:pos="851"/>
        </w:tabs>
        <w:ind w:left="851"/>
        <w:rPr>
          <w:sz w:val="24"/>
          <w:szCs w:val="24"/>
          <w:lang w:val="en-GB"/>
        </w:rPr>
      </w:pPr>
      <w:r w:rsidRPr="00A17640">
        <w:rPr>
          <w:sz w:val="24"/>
          <w:szCs w:val="24"/>
          <w:lang w:val="en-GB"/>
        </w:rPr>
        <w:t>Dose escalation to 500 mg once daily for patients with moderate renal impairment or to 400 mg once daily in patients with severe renal impairment may be considered in those who did not experience severe or persistent moderate adverse reactions, and if they do not achieve an adequate haematological, cytogenetic, or molecular response.</w:t>
      </w:r>
    </w:p>
    <w:p w14:paraId="433344A6" w14:textId="77777777" w:rsidR="00A17640" w:rsidRPr="00A17640" w:rsidRDefault="00A17640" w:rsidP="00A17640">
      <w:pPr>
        <w:tabs>
          <w:tab w:val="left" w:pos="851"/>
        </w:tabs>
        <w:ind w:left="851"/>
        <w:rPr>
          <w:sz w:val="24"/>
          <w:szCs w:val="24"/>
          <w:lang w:val="en-GB"/>
        </w:rPr>
      </w:pPr>
    </w:p>
    <w:p w14:paraId="20DD7F14" w14:textId="77777777" w:rsidR="00A17640" w:rsidRPr="00A17640" w:rsidRDefault="00A17640" w:rsidP="00A17640">
      <w:pPr>
        <w:tabs>
          <w:tab w:val="left" w:pos="851"/>
        </w:tabs>
        <w:ind w:left="851"/>
        <w:rPr>
          <w:i/>
          <w:sz w:val="24"/>
          <w:szCs w:val="24"/>
          <w:lang w:val="en-GB"/>
        </w:rPr>
      </w:pPr>
      <w:r w:rsidRPr="00A17640">
        <w:rPr>
          <w:i/>
          <w:sz w:val="24"/>
          <w:szCs w:val="24"/>
          <w:lang w:val="en-GB"/>
        </w:rPr>
        <w:t>Cardiac disorders</w:t>
      </w:r>
    </w:p>
    <w:p w14:paraId="6C60F5E2" w14:textId="77777777" w:rsidR="00A17640" w:rsidRPr="00A17640" w:rsidRDefault="00A17640" w:rsidP="00A17640">
      <w:pPr>
        <w:tabs>
          <w:tab w:val="left" w:pos="851"/>
        </w:tabs>
        <w:ind w:left="851"/>
        <w:rPr>
          <w:sz w:val="24"/>
          <w:szCs w:val="24"/>
          <w:lang w:val="en-GB"/>
        </w:rPr>
      </w:pPr>
      <w:r w:rsidRPr="00A17640">
        <w:rPr>
          <w:sz w:val="24"/>
          <w:szCs w:val="24"/>
          <w:lang w:val="en-GB"/>
        </w:rPr>
        <w:t>In clinical studies, patients with uncontrolled or significant cardiac disease (e.g., recent myocardial infarction, congestive heart failure or unstable angina) were excluded. Caution should be exercised in patients with relevant cardiac disorders (see section 4.4).</w:t>
      </w:r>
    </w:p>
    <w:p w14:paraId="5EC5D437" w14:textId="77777777" w:rsidR="00A17640" w:rsidRPr="00A17640" w:rsidRDefault="00A17640" w:rsidP="00A17640">
      <w:pPr>
        <w:tabs>
          <w:tab w:val="left" w:pos="851"/>
        </w:tabs>
        <w:ind w:left="851"/>
        <w:rPr>
          <w:sz w:val="24"/>
          <w:szCs w:val="24"/>
          <w:lang w:val="en-GB"/>
        </w:rPr>
      </w:pPr>
    </w:p>
    <w:p w14:paraId="666B1839" w14:textId="77777777" w:rsidR="00A17640" w:rsidRPr="00A17640" w:rsidRDefault="00A17640" w:rsidP="00A17640">
      <w:pPr>
        <w:tabs>
          <w:tab w:val="left" w:pos="851"/>
        </w:tabs>
        <w:ind w:left="851"/>
        <w:rPr>
          <w:i/>
          <w:sz w:val="24"/>
          <w:szCs w:val="24"/>
          <w:lang w:val="en-GB"/>
        </w:rPr>
      </w:pPr>
      <w:r w:rsidRPr="00A17640">
        <w:rPr>
          <w:i/>
          <w:sz w:val="24"/>
          <w:szCs w:val="24"/>
          <w:lang w:val="en-GB"/>
        </w:rPr>
        <w:t>Recent or ongoing clinically significant gastrointestinal disorder</w:t>
      </w:r>
    </w:p>
    <w:p w14:paraId="358D1F2B" w14:textId="77777777" w:rsidR="00A17640" w:rsidRPr="00A17640" w:rsidRDefault="00A17640" w:rsidP="00A17640">
      <w:pPr>
        <w:tabs>
          <w:tab w:val="left" w:pos="851"/>
        </w:tabs>
        <w:ind w:left="851"/>
        <w:rPr>
          <w:sz w:val="24"/>
          <w:szCs w:val="24"/>
          <w:lang w:val="en-GB"/>
        </w:rPr>
      </w:pPr>
      <w:r w:rsidRPr="00A17640">
        <w:rPr>
          <w:sz w:val="24"/>
          <w:szCs w:val="24"/>
          <w:lang w:val="en-GB"/>
        </w:rPr>
        <w:t>In clinical studies, patients with recent or ongoing clinically significant gastrointestinal disorder (e.g., severe vomiting and/or diarrhoea) were excluded. Caution should be exercised in patients with recent or ongoing clinically significant gastrointestinal disorder (see section 4.4).</w:t>
      </w:r>
    </w:p>
    <w:p w14:paraId="01F19402" w14:textId="77777777" w:rsidR="00A17640" w:rsidRPr="00A17640" w:rsidRDefault="00A17640" w:rsidP="00A17640">
      <w:pPr>
        <w:tabs>
          <w:tab w:val="left" w:pos="851"/>
        </w:tabs>
        <w:ind w:left="851"/>
        <w:rPr>
          <w:sz w:val="24"/>
          <w:szCs w:val="24"/>
          <w:lang w:val="en-GB"/>
        </w:rPr>
      </w:pPr>
    </w:p>
    <w:p w14:paraId="2BC7CCF8" w14:textId="77777777" w:rsidR="00A17640" w:rsidRPr="00A17640" w:rsidRDefault="00A17640" w:rsidP="00A17640">
      <w:pPr>
        <w:tabs>
          <w:tab w:val="left" w:pos="851"/>
        </w:tabs>
        <w:ind w:left="851"/>
        <w:rPr>
          <w:i/>
          <w:sz w:val="24"/>
          <w:szCs w:val="24"/>
          <w:lang w:val="en-GB"/>
        </w:rPr>
      </w:pPr>
      <w:r w:rsidRPr="00A17640">
        <w:rPr>
          <w:i/>
          <w:sz w:val="24"/>
          <w:szCs w:val="24"/>
          <w:lang w:val="en-GB"/>
        </w:rPr>
        <w:t>Paediatric population</w:t>
      </w:r>
    </w:p>
    <w:p w14:paraId="2B0F216F" w14:textId="77777777" w:rsidR="00A17640" w:rsidRPr="00A17640" w:rsidRDefault="00A17640" w:rsidP="00A17640">
      <w:pPr>
        <w:tabs>
          <w:tab w:val="left" w:pos="851"/>
        </w:tabs>
        <w:ind w:left="851"/>
        <w:rPr>
          <w:sz w:val="24"/>
          <w:szCs w:val="24"/>
          <w:lang w:val="en-GB"/>
        </w:rPr>
      </w:pPr>
      <w:r w:rsidRPr="00A17640">
        <w:rPr>
          <w:sz w:val="24"/>
          <w:szCs w:val="24"/>
          <w:lang w:val="en-GB"/>
        </w:rPr>
        <w:t>The safety and efficacy of bosutinib in children and adolescents less than 18 years of age have not been established. No data are available.</w:t>
      </w:r>
    </w:p>
    <w:p w14:paraId="7E8279E9" w14:textId="3DFB1561" w:rsidR="00A17640" w:rsidRDefault="00A17640">
      <w:pPr>
        <w:rPr>
          <w:sz w:val="24"/>
          <w:szCs w:val="24"/>
          <w:lang w:val="en-GB"/>
        </w:rPr>
      </w:pPr>
      <w:r>
        <w:rPr>
          <w:sz w:val="24"/>
          <w:szCs w:val="24"/>
          <w:lang w:val="en-GB"/>
        </w:rPr>
        <w:br w:type="page"/>
      </w:r>
    </w:p>
    <w:p w14:paraId="64700B91" w14:textId="77777777" w:rsidR="00A17640" w:rsidRPr="00A17640" w:rsidRDefault="00A17640" w:rsidP="00A17640">
      <w:pPr>
        <w:tabs>
          <w:tab w:val="left" w:pos="851"/>
        </w:tabs>
        <w:ind w:left="851"/>
        <w:rPr>
          <w:sz w:val="24"/>
          <w:szCs w:val="24"/>
          <w:lang w:val="en-GB"/>
        </w:rPr>
      </w:pPr>
    </w:p>
    <w:p w14:paraId="6E8BD0A2" w14:textId="77777777" w:rsidR="00A17640" w:rsidRPr="00A17640" w:rsidRDefault="00A17640" w:rsidP="00A17640">
      <w:pPr>
        <w:tabs>
          <w:tab w:val="left" w:pos="851"/>
        </w:tabs>
        <w:ind w:left="851"/>
        <w:rPr>
          <w:sz w:val="24"/>
          <w:szCs w:val="24"/>
          <w:u w:val="single"/>
          <w:lang w:val="en-GB"/>
        </w:rPr>
      </w:pPr>
      <w:r w:rsidRPr="00A17640">
        <w:rPr>
          <w:sz w:val="24"/>
          <w:szCs w:val="24"/>
          <w:u w:val="single"/>
          <w:lang w:val="en-GB"/>
        </w:rPr>
        <w:t xml:space="preserve">Method of administration </w:t>
      </w:r>
    </w:p>
    <w:p w14:paraId="04CFD3C3" w14:textId="77777777" w:rsidR="00A17640" w:rsidRPr="00A17640" w:rsidRDefault="00A17640" w:rsidP="00A17640">
      <w:pPr>
        <w:tabs>
          <w:tab w:val="left" w:pos="851"/>
        </w:tabs>
        <w:ind w:left="851"/>
        <w:rPr>
          <w:sz w:val="24"/>
          <w:szCs w:val="24"/>
          <w:lang w:val="en-GB"/>
        </w:rPr>
      </w:pPr>
      <w:r w:rsidRPr="00A17640">
        <w:rPr>
          <w:sz w:val="24"/>
          <w:szCs w:val="24"/>
          <w:lang w:val="en-GB"/>
        </w:rPr>
        <w:t>Bosutinib "Newbury" should be taken orally once daily with food (see section 5.2). If a dose is missed by more than 12 hours, the patient should not be given an additional dose. The patient should take the usual prescribed dose on the following day.</w:t>
      </w:r>
    </w:p>
    <w:p w14:paraId="0D1CD1CC" w14:textId="77777777" w:rsidR="007C5D2A" w:rsidRPr="00A17640" w:rsidRDefault="007C5D2A" w:rsidP="00A85D26">
      <w:pPr>
        <w:tabs>
          <w:tab w:val="left" w:pos="851"/>
        </w:tabs>
        <w:ind w:left="851"/>
        <w:rPr>
          <w:sz w:val="24"/>
          <w:szCs w:val="24"/>
          <w:lang w:val="en-GB"/>
        </w:rPr>
      </w:pPr>
    </w:p>
    <w:p w14:paraId="25A9258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7C8C03BB" w14:textId="77777777" w:rsidR="00D734BF" w:rsidRPr="00D734BF" w:rsidRDefault="00D734BF" w:rsidP="00D734BF">
      <w:pPr>
        <w:tabs>
          <w:tab w:val="left" w:pos="851"/>
        </w:tabs>
        <w:ind w:left="851"/>
        <w:rPr>
          <w:sz w:val="24"/>
          <w:szCs w:val="24"/>
          <w:lang w:val="en-GB"/>
        </w:rPr>
      </w:pPr>
      <w:r w:rsidRPr="00D734BF">
        <w:rPr>
          <w:sz w:val="24"/>
          <w:szCs w:val="24"/>
          <w:lang w:val="en-GB"/>
        </w:rPr>
        <w:t>Hypersensitivity to the active substance or to any of the excipients listed in section 6.1.</w:t>
      </w:r>
    </w:p>
    <w:p w14:paraId="22780576" w14:textId="77777777" w:rsidR="00D734BF" w:rsidRPr="00D734BF" w:rsidRDefault="00D734BF" w:rsidP="00D734BF">
      <w:pPr>
        <w:tabs>
          <w:tab w:val="left" w:pos="851"/>
        </w:tabs>
        <w:ind w:left="851"/>
        <w:rPr>
          <w:sz w:val="24"/>
          <w:szCs w:val="24"/>
          <w:lang w:val="en-GB"/>
        </w:rPr>
      </w:pPr>
    </w:p>
    <w:p w14:paraId="71764253" w14:textId="77777777" w:rsidR="00D734BF" w:rsidRPr="00D734BF" w:rsidRDefault="00D734BF" w:rsidP="00D734BF">
      <w:pPr>
        <w:tabs>
          <w:tab w:val="left" w:pos="851"/>
        </w:tabs>
        <w:ind w:left="851"/>
        <w:rPr>
          <w:sz w:val="24"/>
          <w:szCs w:val="24"/>
          <w:lang w:val="en-GB"/>
        </w:rPr>
      </w:pPr>
      <w:r w:rsidRPr="00D734BF">
        <w:rPr>
          <w:sz w:val="24"/>
          <w:szCs w:val="24"/>
          <w:lang w:val="en-GB"/>
        </w:rPr>
        <w:t>Hepatic impairment (see sections 5.1 and 5.2).</w:t>
      </w:r>
    </w:p>
    <w:p w14:paraId="0A1409AD" w14:textId="77777777" w:rsidR="007C5D2A" w:rsidRPr="00D734BF" w:rsidRDefault="007C5D2A" w:rsidP="003E0341">
      <w:pPr>
        <w:tabs>
          <w:tab w:val="left" w:pos="851"/>
        </w:tabs>
        <w:ind w:left="851"/>
        <w:rPr>
          <w:sz w:val="24"/>
          <w:szCs w:val="24"/>
          <w:lang w:val="en-GB"/>
        </w:rPr>
      </w:pPr>
    </w:p>
    <w:p w14:paraId="3DC3E540"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415A5885" w14:textId="77777777" w:rsidR="00D734BF" w:rsidRPr="00D734BF" w:rsidRDefault="00D734BF" w:rsidP="00D734BF">
      <w:pPr>
        <w:tabs>
          <w:tab w:val="left" w:pos="851"/>
        </w:tabs>
        <w:ind w:left="851"/>
        <w:rPr>
          <w:sz w:val="24"/>
          <w:szCs w:val="24"/>
          <w:lang w:val="en-GB"/>
        </w:rPr>
      </w:pPr>
    </w:p>
    <w:p w14:paraId="4202BA50"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Liver function abnormalities</w:t>
      </w:r>
    </w:p>
    <w:p w14:paraId="7DB25A49" w14:textId="77777777" w:rsidR="00D734BF" w:rsidRPr="00D734BF" w:rsidRDefault="00D734BF" w:rsidP="00D734BF">
      <w:pPr>
        <w:tabs>
          <w:tab w:val="left" w:pos="851"/>
        </w:tabs>
        <w:ind w:left="851"/>
        <w:rPr>
          <w:sz w:val="24"/>
          <w:szCs w:val="24"/>
          <w:lang w:val="en-GB"/>
        </w:rPr>
      </w:pPr>
      <w:r w:rsidRPr="00D734BF">
        <w:rPr>
          <w:sz w:val="24"/>
          <w:szCs w:val="24"/>
          <w:lang w:val="en-GB"/>
        </w:rPr>
        <w:t>Treatment with bosutinib is associated with elevations in serum transaminases (alanine aminotransferase [ALT], aspartate aminotransferase [AST]).</w:t>
      </w:r>
    </w:p>
    <w:p w14:paraId="3E3EB0CF" w14:textId="77777777" w:rsidR="00D734BF" w:rsidRPr="00D734BF" w:rsidRDefault="00D734BF" w:rsidP="00D734BF">
      <w:pPr>
        <w:tabs>
          <w:tab w:val="left" w:pos="851"/>
        </w:tabs>
        <w:ind w:left="851"/>
        <w:rPr>
          <w:sz w:val="24"/>
          <w:szCs w:val="24"/>
          <w:lang w:val="en-GB"/>
        </w:rPr>
      </w:pPr>
    </w:p>
    <w:p w14:paraId="0611CCA5" w14:textId="77777777" w:rsidR="00D734BF" w:rsidRPr="00D734BF" w:rsidRDefault="00D734BF" w:rsidP="00D734BF">
      <w:pPr>
        <w:tabs>
          <w:tab w:val="left" w:pos="851"/>
        </w:tabs>
        <w:ind w:left="851"/>
        <w:rPr>
          <w:sz w:val="24"/>
          <w:szCs w:val="24"/>
          <w:lang w:val="en-GB"/>
        </w:rPr>
      </w:pPr>
      <w:r w:rsidRPr="00D734BF">
        <w:rPr>
          <w:sz w:val="24"/>
          <w:szCs w:val="24"/>
          <w:lang w:val="en-GB"/>
        </w:rPr>
        <w:t>Transaminase elevations generally occurred early in the course of treatment (of the patients who experienced transaminase elevations of any grade, &gt; 80% experienced their first event within the first 3 months). Patients receiving bosutinib should have liver function tests prior to treatment initiation and monthly for the first 3 months of treatment, and as clinically indicated.</w:t>
      </w:r>
    </w:p>
    <w:p w14:paraId="73E48871" w14:textId="77777777" w:rsidR="00D734BF" w:rsidRPr="00D734BF" w:rsidRDefault="00D734BF" w:rsidP="00D734BF">
      <w:pPr>
        <w:tabs>
          <w:tab w:val="left" w:pos="851"/>
        </w:tabs>
        <w:ind w:left="851"/>
        <w:rPr>
          <w:sz w:val="24"/>
          <w:szCs w:val="24"/>
          <w:lang w:val="en-GB"/>
        </w:rPr>
      </w:pPr>
    </w:p>
    <w:p w14:paraId="2153413A" w14:textId="77777777" w:rsidR="00D734BF" w:rsidRPr="00D734BF" w:rsidRDefault="00D734BF" w:rsidP="00D734BF">
      <w:pPr>
        <w:tabs>
          <w:tab w:val="left" w:pos="851"/>
        </w:tabs>
        <w:ind w:left="851"/>
        <w:rPr>
          <w:sz w:val="24"/>
          <w:szCs w:val="24"/>
          <w:lang w:val="en-GB"/>
        </w:rPr>
      </w:pPr>
      <w:r w:rsidRPr="00D734BF">
        <w:rPr>
          <w:sz w:val="24"/>
          <w:szCs w:val="24"/>
          <w:lang w:val="en-GB"/>
        </w:rPr>
        <w:t>Patients with transaminase elevations should be managed by withholding bosutinib temporarily (with consideration given to dose reduction after recovery to Grade 1 or baseline), and/or discontinuation of bosutinib. Elevations of transaminases, particularly in the setting of concomitant increases in bilirubin, may be an early indication of drug-induced liver injury and these patients should be managed appropriately (see sections 4.2 and 4.8).</w:t>
      </w:r>
    </w:p>
    <w:p w14:paraId="11FA1063" w14:textId="77777777" w:rsidR="00D734BF" w:rsidRPr="00D734BF" w:rsidRDefault="00D734BF" w:rsidP="00D734BF">
      <w:pPr>
        <w:tabs>
          <w:tab w:val="left" w:pos="851"/>
        </w:tabs>
        <w:ind w:left="851"/>
        <w:rPr>
          <w:sz w:val="24"/>
          <w:szCs w:val="24"/>
          <w:lang w:val="en-GB"/>
        </w:rPr>
      </w:pPr>
    </w:p>
    <w:p w14:paraId="41534FED"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Diarrhoea and vomiting</w:t>
      </w:r>
    </w:p>
    <w:p w14:paraId="342E0626" w14:textId="77777777" w:rsidR="00D734BF" w:rsidRPr="00D734BF" w:rsidRDefault="00D734BF" w:rsidP="00D734BF">
      <w:pPr>
        <w:tabs>
          <w:tab w:val="left" w:pos="851"/>
        </w:tabs>
        <w:ind w:left="851"/>
        <w:rPr>
          <w:sz w:val="24"/>
          <w:szCs w:val="24"/>
          <w:lang w:val="en-GB"/>
        </w:rPr>
      </w:pPr>
      <w:r w:rsidRPr="00D734BF">
        <w:rPr>
          <w:sz w:val="24"/>
          <w:szCs w:val="24"/>
          <w:lang w:val="en-GB"/>
        </w:rPr>
        <w:t>Treatment with bosutinib is associated with diarrhoea and vomiting; therefore, patients with recent or ongoing clinically significant gastrointestinal disorder should use this medicinal product with caution and only after a careful benefit-risk assessment as respective patients were excluded from the clinical studies. Patients with diarrhoea and vomiting should be managed using standard-of-care treatment, including an antidiarrhoeal or antiemetic medicinal product and/or fluid replacement. In addition, diarrhoea and vomiting can also be managed by withholding bosutinib temporarily, dose reduction, and/or discontinuation of bosutinib (see sections 4.2 and 4.8). The antiemetic agent, domperidone, has the potential to increase QT interval (QTc) prolongation and to induce “torsade de pointes”</w:t>
      </w:r>
      <w:r w:rsidRPr="00D734BF">
        <w:rPr>
          <w:sz w:val="24"/>
          <w:szCs w:val="24"/>
          <w:lang w:val="en-GB"/>
        </w:rPr>
        <w:noBreakHyphen/>
        <w:t>arrhythmias; therefore, co-administration with domperidone should be avoided. It should only be used, if other medicinal products are not efficacious. In these situations an individual benefit-risk assessment is mandatory and patients should be monitored for occurrence of QTc prolongation.</w:t>
      </w:r>
    </w:p>
    <w:p w14:paraId="64AEAB7B" w14:textId="77777777" w:rsidR="00D734BF" w:rsidRPr="00D734BF" w:rsidRDefault="00D734BF" w:rsidP="00D734BF">
      <w:pPr>
        <w:tabs>
          <w:tab w:val="left" w:pos="851"/>
        </w:tabs>
        <w:ind w:left="851"/>
        <w:rPr>
          <w:sz w:val="24"/>
          <w:szCs w:val="24"/>
          <w:lang w:val="en-GB"/>
        </w:rPr>
      </w:pPr>
    </w:p>
    <w:p w14:paraId="1BF5790F"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Myelosuppression</w:t>
      </w:r>
    </w:p>
    <w:p w14:paraId="3331F317" w14:textId="77777777" w:rsidR="00D734BF" w:rsidRPr="00D734BF" w:rsidRDefault="00D734BF" w:rsidP="00D734BF">
      <w:pPr>
        <w:tabs>
          <w:tab w:val="left" w:pos="851"/>
        </w:tabs>
        <w:ind w:left="851"/>
        <w:rPr>
          <w:sz w:val="24"/>
          <w:szCs w:val="24"/>
          <w:lang w:val="en-GB"/>
        </w:rPr>
      </w:pPr>
      <w:r w:rsidRPr="00D734BF">
        <w:rPr>
          <w:sz w:val="24"/>
          <w:szCs w:val="24"/>
          <w:lang w:val="en-GB"/>
        </w:rPr>
        <w:t>Treatment with bosutinib is associated with myelosuppression, defined as anaemia, neutropenia, and thrombocytopenia. Complete blood counts should be performed weekly for the first month and then monthly thereafter, or as clinically indicated. Myelosuppression should/can be managed by withholding bosutinib temporarily, dose reduction, and/or discontinuation of bosutinib (see sections 4.2 and 4.8).</w:t>
      </w:r>
    </w:p>
    <w:p w14:paraId="1E478D81" w14:textId="77777777" w:rsidR="00D734BF" w:rsidRPr="00D734BF" w:rsidRDefault="00D734BF" w:rsidP="00D734BF">
      <w:pPr>
        <w:tabs>
          <w:tab w:val="left" w:pos="851"/>
        </w:tabs>
        <w:ind w:left="851"/>
        <w:rPr>
          <w:sz w:val="24"/>
          <w:szCs w:val="24"/>
          <w:lang w:val="en-GB"/>
        </w:rPr>
      </w:pPr>
    </w:p>
    <w:p w14:paraId="3A0C40AA"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Fluid retention</w:t>
      </w:r>
    </w:p>
    <w:p w14:paraId="03199972" w14:textId="77777777" w:rsidR="00D734BF" w:rsidRPr="00D734BF" w:rsidRDefault="00D734BF" w:rsidP="00D734BF">
      <w:pPr>
        <w:tabs>
          <w:tab w:val="left" w:pos="851"/>
        </w:tabs>
        <w:ind w:left="851"/>
        <w:rPr>
          <w:sz w:val="24"/>
          <w:szCs w:val="24"/>
          <w:lang w:val="en-GB"/>
        </w:rPr>
      </w:pPr>
      <w:r w:rsidRPr="00D734BF">
        <w:rPr>
          <w:sz w:val="24"/>
          <w:szCs w:val="24"/>
          <w:lang w:val="en-GB"/>
        </w:rPr>
        <w:t>Treatment with bosutinib may be associated with fluid retention including pericardial effusion, pleural effusion, pulmonary oedema and/or peripheral oedema. Patients should be monitored and managed using standard-of-care treatment. In addition, fluid retention can also be managed by withholding bosutinib temporarily, dose reduction, and/or discontinuation of bosutinib (see sections 4.2 and 4.8).</w:t>
      </w:r>
    </w:p>
    <w:p w14:paraId="08205C2C" w14:textId="77777777" w:rsidR="00D734BF" w:rsidRPr="00D734BF" w:rsidRDefault="00D734BF" w:rsidP="00D734BF">
      <w:pPr>
        <w:tabs>
          <w:tab w:val="left" w:pos="851"/>
        </w:tabs>
        <w:ind w:left="851"/>
        <w:rPr>
          <w:sz w:val="24"/>
          <w:szCs w:val="24"/>
          <w:lang w:val="en-GB"/>
        </w:rPr>
      </w:pPr>
    </w:p>
    <w:p w14:paraId="5C7CA87A"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Serum lipase</w:t>
      </w:r>
    </w:p>
    <w:p w14:paraId="35582C66" w14:textId="77777777" w:rsidR="00D734BF" w:rsidRPr="00D734BF" w:rsidRDefault="00D734BF" w:rsidP="00D734BF">
      <w:pPr>
        <w:tabs>
          <w:tab w:val="left" w:pos="851"/>
        </w:tabs>
        <w:ind w:left="851"/>
        <w:rPr>
          <w:sz w:val="24"/>
          <w:szCs w:val="24"/>
          <w:lang w:val="en-GB"/>
        </w:rPr>
      </w:pPr>
      <w:r w:rsidRPr="00D734BF">
        <w:rPr>
          <w:sz w:val="24"/>
          <w:szCs w:val="24"/>
          <w:lang w:val="en-GB"/>
        </w:rPr>
        <w:t>Elevation in serum lipase has been observed. Caution is recommended in patients with previous history of pancreatitis. In case lipase elevations are accompanied by abdominal symptoms, bosutinib should be interrupted and appropriate diagnostic measures considered to exclude pancreatitis (see section 4.2).</w:t>
      </w:r>
    </w:p>
    <w:p w14:paraId="12AC18AE" w14:textId="77777777" w:rsidR="00D734BF" w:rsidRPr="00D734BF" w:rsidRDefault="00D734BF" w:rsidP="00D734BF">
      <w:pPr>
        <w:tabs>
          <w:tab w:val="left" w:pos="851"/>
        </w:tabs>
        <w:ind w:left="851"/>
        <w:rPr>
          <w:sz w:val="24"/>
          <w:szCs w:val="24"/>
          <w:lang w:val="en-GB"/>
        </w:rPr>
      </w:pPr>
    </w:p>
    <w:p w14:paraId="6F3B7398"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Infections</w:t>
      </w:r>
    </w:p>
    <w:p w14:paraId="56CE8AC0" w14:textId="77777777" w:rsidR="00D734BF" w:rsidRPr="00D734BF" w:rsidRDefault="00D734BF" w:rsidP="00D734BF">
      <w:pPr>
        <w:tabs>
          <w:tab w:val="left" w:pos="851"/>
        </w:tabs>
        <w:ind w:left="851"/>
        <w:rPr>
          <w:sz w:val="24"/>
          <w:szCs w:val="24"/>
          <w:lang w:val="en-GB"/>
        </w:rPr>
      </w:pPr>
      <w:r w:rsidRPr="00D734BF">
        <w:rPr>
          <w:sz w:val="24"/>
          <w:szCs w:val="24"/>
          <w:lang w:val="en-GB"/>
        </w:rPr>
        <w:t>Bosutinib may predispose patients to bacterial, fungal, viral, or protozoan infections.</w:t>
      </w:r>
    </w:p>
    <w:p w14:paraId="4CADBD65" w14:textId="77777777" w:rsidR="00D734BF" w:rsidRPr="00D734BF" w:rsidRDefault="00D734BF" w:rsidP="00D734BF">
      <w:pPr>
        <w:tabs>
          <w:tab w:val="left" w:pos="851"/>
        </w:tabs>
        <w:ind w:left="851"/>
        <w:rPr>
          <w:sz w:val="24"/>
          <w:szCs w:val="24"/>
          <w:lang w:val="en-GB"/>
        </w:rPr>
      </w:pPr>
    </w:p>
    <w:p w14:paraId="404796C5"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Proarrhythmic potential</w:t>
      </w:r>
    </w:p>
    <w:p w14:paraId="156FDD8F" w14:textId="77777777" w:rsidR="00D734BF" w:rsidRPr="00D734BF" w:rsidRDefault="00D734BF" w:rsidP="00D734BF">
      <w:pPr>
        <w:tabs>
          <w:tab w:val="left" w:pos="851"/>
        </w:tabs>
        <w:ind w:left="851"/>
        <w:rPr>
          <w:sz w:val="24"/>
          <w:szCs w:val="24"/>
          <w:lang w:val="en-GB"/>
        </w:rPr>
      </w:pPr>
      <w:r w:rsidRPr="00D734BF">
        <w:rPr>
          <w:sz w:val="24"/>
          <w:szCs w:val="24"/>
          <w:lang w:val="en-GB"/>
        </w:rPr>
        <w:t>Automated machine-read QTc prolongation without accompanying arrhythmia has been observed. Bosutinib should be administered with caution to patients who have a history of or predisposition for QTc prolongation, who have uncontrolled or significant cardiac disease including recent myocardial infarction, congestive heart failure, unstable angina or clinically significant bradycardia, or who are taking medicinal products that are known to prolong the QTc (e.g., anti-arrhythmic medicinal products and other substances that may prolong QTc [see section 4.5]). The presence of hypokalaemia and hypomagnesaemia may further enhance this effect.</w:t>
      </w:r>
    </w:p>
    <w:p w14:paraId="7F937031" w14:textId="77777777" w:rsidR="00D734BF" w:rsidRPr="00D734BF" w:rsidRDefault="00D734BF" w:rsidP="00D734BF">
      <w:pPr>
        <w:tabs>
          <w:tab w:val="left" w:pos="851"/>
        </w:tabs>
        <w:ind w:left="851"/>
        <w:rPr>
          <w:sz w:val="24"/>
          <w:szCs w:val="24"/>
          <w:lang w:val="en-GB"/>
        </w:rPr>
      </w:pPr>
    </w:p>
    <w:p w14:paraId="5643FF4F" w14:textId="77777777" w:rsidR="00D734BF" w:rsidRPr="00D734BF" w:rsidRDefault="00D734BF" w:rsidP="00D734BF">
      <w:pPr>
        <w:tabs>
          <w:tab w:val="left" w:pos="851"/>
        </w:tabs>
        <w:ind w:left="851"/>
        <w:rPr>
          <w:sz w:val="24"/>
          <w:szCs w:val="24"/>
          <w:lang w:val="en-GB"/>
        </w:rPr>
      </w:pPr>
      <w:r w:rsidRPr="00D734BF">
        <w:rPr>
          <w:sz w:val="24"/>
          <w:szCs w:val="24"/>
          <w:lang w:val="en-GB"/>
        </w:rPr>
        <w:t>Monitoring for an effect on the QTc is advisable and a baseline electrocardiogram (ECG) is recommended prior to initiating therapy with bosutinib and as clinically indicated. Hypokalaemia or hypomagnesaemia must be corrected prior to bosutinib administration and should be monitored periodically during therapy.</w:t>
      </w:r>
    </w:p>
    <w:p w14:paraId="09A66F1E" w14:textId="77777777" w:rsidR="00D734BF" w:rsidRPr="00D734BF" w:rsidRDefault="00D734BF" w:rsidP="00D734BF">
      <w:pPr>
        <w:tabs>
          <w:tab w:val="left" w:pos="851"/>
        </w:tabs>
        <w:ind w:left="851"/>
        <w:rPr>
          <w:sz w:val="24"/>
          <w:szCs w:val="24"/>
          <w:lang w:val="en-GB"/>
        </w:rPr>
      </w:pPr>
    </w:p>
    <w:p w14:paraId="51017736"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Renal impairment</w:t>
      </w:r>
    </w:p>
    <w:p w14:paraId="40473DFD" w14:textId="77777777" w:rsidR="00D734BF" w:rsidRPr="00D734BF" w:rsidRDefault="00D734BF" w:rsidP="00D734BF">
      <w:pPr>
        <w:tabs>
          <w:tab w:val="left" w:pos="851"/>
        </w:tabs>
        <w:ind w:left="851"/>
        <w:rPr>
          <w:sz w:val="24"/>
          <w:szCs w:val="24"/>
          <w:lang w:val="en-GB"/>
        </w:rPr>
      </w:pPr>
      <w:r w:rsidRPr="00D734BF">
        <w:rPr>
          <w:sz w:val="24"/>
          <w:szCs w:val="24"/>
          <w:lang w:val="en-GB"/>
        </w:rPr>
        <w:t>Treatment with bosutinib may result in a clinically significant decline in renal function in CML patients. A decline over time in estimated glomerular filtration rate (eGFR) has been observed in patients treated with bosutinib in clinical studies. In patients with newly-diagnosed CP CML treated with 400 mg, the median decline from baseline in eGFR was 11.1 ml/min/1.73 m</w:t>
      </w:r>
      <w:r w:rsidRPr="00D734BF">
        <w:rPr>
          <w:sz w:val="24"/>
          <w:szCs w:val="24"/>
          <w:vertAlign w:val="superscript"/>
          <w:lang w:val="en-GB"/>
        </w:rPr>
        <w:t>2</w:t>
      </w:r>
      <w:r w:rsidRPr="00D734BF">
        <w:rPr>
          <w:sz w:val="24"/>
          <w:szCs w:val="24"/>
          <w:lang w:val="en-GB"/>
        </w:rPr>
        <w:t xml:space="preserve"> at 1 year and 14.1 ml/min/1.73 m</w:t>
      </w:r>
      <w:r w:rsidRPr="00D734BF">
        <w:rPr>
          <w:sz w:val="24"/>
          <w:szCs w:val="24"/>
          <w:vertAlign w:val="superscript"/>
          <w:lang w:val="en-GB"/>
        </w:rPr>
        <w:t>2</w:t>
      </w:r>
      <w:r w:rsidRPr="00D734BF">
        <w:rPr>
          <w:sz w:val="24"/>
          <w:szCs w:val="24"/>
          <w:lang w:val="en-GB"/>
        </w:rPr>
        <w:t xml:space="preserve"> at 5 years for patients on treatment. Treatment-naïve CML patients treated with 500 mg showed a median eGFR decline of 9.2 ml/min/1.73 m</w:t>
      </w:r>
      <w:r w:rsidRPr="00D734BF">
        <w:rPr>
          <w:sz w:val="24"/>
          <w:szCs w:val="24"/>
          <w:vertAlign w:val="superscript"/>
          <w:lang w:val="en-GB"/>
        </w:rPr>
        <w:t>2</w:t>
      </w:r>
      <w:r w:rsidRPr="00D734BF">
        <w:rPr>
          <w:sz w:val="24"/>
          <w:szCs w:val="24"/>
          <w:lang w:val="en-GB"/>
        </w:rPr>
        <w:t xml:space="preserve"> at 1 year, 12.0 ml/min/1.73 m2 at 5 years and 16.6 ml/min/1.73 m</w:t>
      </w:r>
      <w:r w:rsidRPr="00D734BF">
        <w:rPr>
          <w:sz w:val="24"/>
          <w:szCs w:val="24"/>
          <w:vertAlign w:val="superscript"/>
          <w:lang w:val="en-GB"/>
        </w:rPr>
        <w:t>2</w:t>
      </w:r>
      <w:r w:rsidRPr="00D734BF">
        <w:rPr>
          <w:sz w:val="24"/>
          <w:szCs w:val="24"/>
          <w:lang w:val="en-GB"/>
        </w:rPr>
        <w:t xml:space="preserve"> at 10 years for patients on treatment. In pre-treated patients with CP and advanced stage CML treated with 500 mg the median eGFR decline was 7.6 ml/min/1.73 m</w:t>
      </w:r>
      <w:r w:rsidRPr="00D734BF">
        <w:rPr>
          <w:sz w:val="24"/>
          <w:szCs w:val="24"/>
          <w:vertAlign w:val="superscript"/>
          <w:lang w:val="en-GB"/>
        </w:rPr>
        <w:t>2</w:t>
      </w:r>
      <w:r w:rsidRPr="00D734BF">
        <w:rPr>
          <w:sz w:val="24"/>
          <w:szCs w:val="24"/>
          <w:lang w:val="en-GB"/>
        </w:rPr>
        <w:t xml:space="preserve"> at 1 year, 12.3 ml/min/1.73 m</w:t>
      </w:r>
      <w:r w:rsidRPr="00D734BF">
        <w:rPr>
          <w:sz w:val="24"/>
          <w:szCs w:val="24"/>
          <w:vertAlign w:val="superscript"/>
          <w:lang w:val="en-GB"/>
        </w:rPr>
        <w:t>2</w:t>
      </w:r>
      <w:r w:rsidRPr="00D734BF">
        <w:rPr>
          <w:sz w:val="24"/>
          <w:szCs w:val="24"/>
          <w:lang w:val="en-GB"/>
        </w:rPr>
        <w:t xml:space="preserve"> at 5 years and 15.9 ml/min/1.73 m</w:t>
      </w:r>
      <w:r w:rsidRPr="00D734BF">
        <w:rPr>
          <w:sz w:val="24"/>
          <w:szCs w:val="24"/>
          <w:vertAlign w:val="superscript"/>
          <w:lang w:val="en-GB"/>
        </w:rPr>
        <w:t>2</w:t>
      </w:r>
      <w:r w:rsidRPr="00D734BF">
        <w:rPr>
          <w:sz w:val="24"/>
          <w:szCs w:val="24"/>
          <w:lang w:val="en-GB"/>
        </w:rPr>
        <w:t xml:space="preserve"> at 10 years for patients on treatment.</w:t>
      </w:r>
    </w:p>
    <w:p w14:paraId="0821F7EB" w14:textId="77777777" w:rsidR="00D734BF" w:rsidRPr="00D734BF" w:rsidRDefault="00D734BF" w:rsidP="00D734BF">
      <w:pPr>
        <w:tabs>
          <w:tab w:val="left" w:pos="851"/>
        </w:tabs>
        <w:ind w:left="851"/>
        <w:rPr>
          <w:sz w:val="24"/>
          <w:szCs w:val="24"/>
          <w:lang w:val="en-GB"/>
        </w:rPr>
      </w:pPr>
      <w:r w:rsidRPr="00D734BF">
        <w:rPr>
          <w:sz w:val="24"/>
          <w:szCs w:val="24"/>
          <w:lang w:val="en-GB"/>
        </w:rPr>
        <w:t>In patients with Ph+CML previously treated with 1 or more TKI(s) treated with 500 mg, the median eGFR decline from baseline was 9.2 ml/min/1.73 m</w:t>
      </w:r>
      <w:r w:rsidRPr="00D734BF">
        <w:rPr>
          <w:sz w:val="24"/>
          <w:szCs w:val="24"/>
          <w:vertAlign w:val="superscript"/>
          <w:lang w:val="en-GB"/>
        </w:rPr>
        <w:t>2</w:t>
      </w:r>
      <w:r w:rsidRPr="00D734BF">
        <w:rPr>
          <w:sz w:val="24"/>
          <w:szCs w:val="24"/>
          <w:lang w:val="en-GB"/>
        </w:rPr>
        <w:t xml:space="preserve"> at 1 year and 14.5 ml/min/1.73 m</w:t>
      </w:r>
      <w:r w:rsidRPr="00D734BF">
        <w:rPr>
          <w:sz w:val="24"/>
          <w:szCs w:val="24"/>
          <w:vertAlign w:val="superscript"/>
          <w:lang w:val="en-GB"/>
        </w:rPr>
        <w:t>2</w:t>
      </w:r>
      <w:r w:rsidRPr="00D734BF">
        <w:rPr>
          <w:sz w:val="24"/>
          <w:szCs w:val="24"/>
          <w:lang w:val="en-GB"/>
        </w:rPr>
        <w:t xml:space="preserve"> at 4 years for patients on treatment.</w:t>
      </w:r>
    </w:p>
    <w:p w14:paraId="1A30A028" w14:textId="77777777" w:rsidR="00D734BF" w:rsidRPr="00D734BF" w:rsidRDefault="00D734BF" w:rsidP="00D734BF">
      <w:pPr>
        <w:tabs>
          <w:tab w:val="left" w:pos="851"/>
        </w:tabs>
        <w:ind w:left="851"/>
        <w:rPr>
          <w:sz w:val="24"/>
          <w:szCs w:val="24"/>
          <w:lang w:val="en-GB"/>
        </w:rPr>
      </w:pPr>
    </w:p>
    <w:p w14:paraId="567CD155" w14:textId="77777777" w:rsidR="00D734BF" w:rsidRPr="00D734BF" w:rsidRDefault="00D734BF" w:rsidP="00D734BF">
      <w:pPr>
        <w:tabs>
          <w:tab w:val="left" w:pos="851"/>
        </w:tabs>
        <w:ind w:left="851"/>
        <w:rPr>
          <w:sz w:val="24"/>
          <w:szCs w:val="24"/>
          <w:lang w:val="en-GB"/>
        </w:rPr>
      </w:pPr>
      <w:r w:rsidRPr="00D734BF">
        <w:rPr>
          <w:sz w:val="24"/>
          <w:szCs w:val="24"/>
          <w:lang w:val="en-GB"/>
        </w:rPr>
        <w:t xml:space="preserve">It is important that renal function is assessed prior to treatment initiation and closely monitored during therapy with bosutinib, with particular attention in those patients who have pre-existing renal compromise or in those patients exhibiting risk factors for renal </w:t>
      </w:r>
      <w:r w:rsidRPr="00D734BF">
        <w:rPr>
          <w:sz w:val="24"/>
          <w:szCs w:val="24"/>
          <w:lang w:val="en-GB"/>
        </w:rPr>
        <w:lastRenderedPageBreak/>
        <w:t>dysfunction, including concomitant use of medicinal products with potential for nephrotoxicity, such as diuretics, angiotensin-converting enzyme (ACE) inhibitors, angiotensin receptor blockers, and nonsteroidal anti-inflammatory drugs (NSAIDs).</w:t>
      </w:r>
    </w:p>
    <w:p w14:paraId="0D778991" w14:textId="77777777" w:rsidR="00D734BF" w:rsidRPr="00D734BF" w:rsidRDefault="00D734BF" w:rsidP="00D734BF">
      <w:pPr>
        <w:tabs>
          <w:tab w:val="left" w:pos="851"/>
        </w:tabs>
        <w:ind w:left="851"/>
        <w:rPr>
          <w:sz w:val="24"/>
          <w:szCs w:val="24"/>
          <w:lang w:val="en-GB"/>
        </w:rPr>
      </w:pPr>
    </w:p>
    <w:p w14:paraId="3DE5316E" w14:textId="77777777" w:rsidR="00D734BF" w:rsidRPr="00D734BF" w:rsidRDefault="00D734BF" w:rsidP="00D734BF">
      <w:pPr>
        <w:tabs>
          <w:tab w:val="left" w:pos="851"/>
        </w:tabs>
        <w:ind w:left="851"/>
        <w:rPr>
          <w:sz w:val="24"/>
          <w:szCs w:val="24"/>
          <w:lang w:val="en-GB"/>
        </w:rPr>
      </w:pPr>
      <w:r w:rsidRPr="00D734BF">
        <w:rPr>
          <w:sz w:val="24"/>
          <w:szCs w:val="24"/>
          <w:lang w:val="en-GB"/>
        </w:rPr>
        <w:t>In a renal impairment study, bosutinib exposures were increased in subjects with moderately and severely impaired renal function. Dose reduction is recommended for patients with moderate or severe renal impairment (see sections 4.2 and 5.2).</w:t>
      </w:r>
    </w:p>
    <w:p w14:paraId="1CA613D1" w14:textId="77777777" w:rsidR="00D734BF" w:rsidRPr="00D734BF" w:rsidRDefault="00D734BF" w:rsidP="00D734BF">
      <w:pPr>
        <w:tabs>
          <w:tab w:val="left" w:pos="851"/>
        </w:tabs>
        <w:ind w:left="851"/>
        <w:rPr>
          <w:sz w:val="24"/>
          <w:szCs w:val="24"/>
          <w:lang w:val="en-GB"/>
        </w:rPr>
      </w:pPr>
    </w:p>
    <w:p w14:paraId="2A52FE03" w14:textId="77777777" w:rsidR="00D734BF" w:rsidRPr="00D734BF" w:rsidRDefault="00D734BF" w:rsidP="00D734BF">
      <w:pPr>
        <w:tabs>
          <w:tab w:val="left" w:pos="851"/>
        </w:tabs>
        <w:ind w:left="851"/>
        <w:rPr>
          <w:sz w:val="24"/>
          <w:szCs w:val="24"/>
          <w:lang w:val="en-GB"/>
        </w:rPr>
      </w:pPr>
      <w:r w:rsidRPr="00D734BF">
        <w:rPr>
          <w:sz w:val="24"/>
          <w:szCs w:val="24"/>
          <w:lang w:val="en-GB"/>
        </w:rPr>
        <w:t>Patients with serum creatinine &gt; 1.5 × ULN were excluded from the CML studies. Based on a population pharmacokinetic analysis increasing exposure (AUC) in patients with moderate and severe renal impairment at initiation of treatment during studies was observed (see sections 4.2 and 5.2).</w:t>
      </w:r>
    </w:p>
    <w:p w14:paraId="4CE77EB3" w14:textId="77777777" w:rsidR="00D734BF" w:rsidRPr="00D734BF" w:rsidRDefault="00D734BF" w:rsidP="00D734BF">
      <w:pPr>
        <w:tabs>
          <w:tab w:val="left" w:pos="851"/>
        </w:tabs>
        <w:ind w:left="851"/>
        <w:rPr>
          <w:sz w:val="24"/>
          <w:szCs w:val="24"/>
          <w:lang w:val="en-GB"/>
        </w:rPr>
      </w:pPr>
    </w:p>
    <w:p w14:paraId="67F4690C" w14:textId="77777777" w:rsidR="00D734BF" w:rsidRPr="00D734BF" w:rsidRDefault="00D734BF" w:rsidP="00D734BF">
      <w:pPr>
        <w:tabs>
          <w:tab w:val="left" w:pos="851"/>
        </w:tabs>
        <w:ind w:left="851"/>
        <w:rPr>
          <w:sz w:val="24"/>
          <w:szCs w:val="24"/>
          <w:lang w:val="en-GB"/>
        </w:rPr>
      </w:pPr>
      <w:r w:rsidRPr="00D734BF">
        <w:rPr>
          <w:sz w:val="24"/>
          <w:szCs w:val="24"/>
          <w:lang w:val="en-GB"/>
        </w:rPr>
        <w:t>Clinical data are very limited (n=3) for CML patients with moderate renal impairment receiving an escalated dose of 600 mg bosutinib.</w:t>
      </w:r>
    </w:p>
    <w:p w14:paraId="266EF144" w14:textId="77777777" w:rsidR="00D734BF" w:rsidRPr="00D734BF" w:rsidRDefault="00D734BF" w:rsidP="00D734BF">
      <w:pPr>
        <w:tabs>
          <w:tab w:val="left" w:pos="851"/>
        </w:tabs>
        <w:ind w:left="851"/>
        <w:rPr>
          <w:sz w:val="24"/>
          <w:szCs w:val="24"/>
          <w:lang w:val="en-GB"/>
        </w:rPr>
      </w:pPr>
    </w:p>
    <w:p w14:paraId="092A7381"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Asian race</w:t>
      </w:r>
    </w:p>
    <w:p w14:paraId="3C9DDF60" w14:textId="77777777" w:rsidR="00D734BF" w:rsidRPr="00D734BF" w:rsidRDefault="00D734BF" w:rsidP="00D734BF">
      <w:pPr>
        <w:tabs>
          <w:tab w:val="left" w:pos="851"/>
        </w:tabs>
        <w:ind w:left="851"/>
        <w:rPr>
          <w:sz w:val="24"/>
          <w:szCs w:val="24"/>
          <w:lang w:val="en-GB"/>
        </w:rPr>
      </w:pPr>
      <w:r w:rsidRPr="00D734BF">
        <w:rPr>
          <w:sz w:val="24"/>
          <w:szCs w:val="24"/>
          <w:lang w:val="en-GB"/>
        </w:rPr>
        <w:t>According to population pharmacokinetic analyses, Asians had a lower clearance resulting in increased exposure. Therefore, these patients should be closely monitored for adverse reactions especially in case of dose escalation.</w:t>
      </w:r>
    </w:p>
    <w:p w14:paraId="0F8F329B" w14:textId="77777777" w:rsidR="00D734BF" w:rsidRPr="00D734BF" w:rsidRDefault="00D734BF" w:rsidP="00D734BF">
      <w:pPr>
        <w:tabs>
          <w:tab w:val="left" w:pos="851"/>
        </w:tabs>
        <w:ind w:left="851"/>
        <w:rPr>
          <w:sz w:val="24"/>
          <w:szCs w:val="24"/>
          <w:lang w:val="en-GB"/>
        </w:rPr>
      </w:pPr>
    </w:p>
    <w:p w14:paraId="039517CA"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Severe skin reactions</w:t>
      </w:r>
    </w:p>
    <w:p w14:paraId="09BE4BB2" w14:textId="77777777" w:rsidR="00D734BF" w:rsidRPr="00D734BF" w:rsidRDefault="00D734BF" w:rsidP="00D734BF">
      <w:pPr>
        <w:tabs>
          <w:tab w:val="left" w:pos="851"/>
        </w:tabs>
        <w:ind w:left="851"/>
        <w:rPr>
          <w:sz w:val="24"/>
          <w:szCs w:val="24"/>
          <w:lang w:val="en-GB"/>
        </w:rPr>
      </w:pPr>
      <w:r w:rsidRPr="00D734BF">
        <w:rPr>
          <w:sz w:val="24"/>
          <w:szCs w:val="24"/>
          <w:lang w:val="en-GB"/>
        </w:rPr>
        <w:t>Bosutinib can induce severe skin reactions such as Stevens-Johnson Syndrome and Toxic Epidermal Necrolysis. Bosutinib should be permanently discontinued in patients who experience a severe skin reaction during treatment.</w:t>
      </w:r>
    </w:p>
    <w:p w14:paraId="646A9EB0" w14:textId="77777777" w:rsidR="00D734BF" w:rsidRPr="00D734BF" w:rsidRDefault="00D734BF" w:rsidP="00D734BF">
      <w:pPr>
        <w:tabs>
          <w:tab w:val="left" w:pos="851"/>
        </w:tabs>
        <w:ind w:left="851"/>
        <w:rPr>
          <w:sz w:val="24"/>
          <w:szCs w:val="24"/>
          <w:lang w:val="en-GB"/>
        </w:rPr>
      </w:pPr>
    </w:p>
    <w:p w14:paraId="6956BA86"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Tumour lysis syndrome</w:t>
      </w:r>
    </w:p>
    <w:p w14:paraId="3F3E98CC" w14:textId="77777777" w:rsidR="00D734BF" w:rsidRPr="00D734BF" w:rsidRDefault="00D734BF" w:rsidP="00D734BF">
      <w:pPr>
        <w:tabs>
          <w:tab w:val="left" w:pos="851"/>
        </w:tabs>
        <w:ind w:left="851"/>
        <w:rPr>
          <w:sz w:val="24"/>
          <w:szCs w:val="24"/>
          <w:lang w:val="en-GB"/>
        </w:rPr>
      </w:pPr>
      <w:r w:rsidRPr="00D734BF">
        <w:rPr>
          <w:sz w:val="24"/>
          <w:szCs w:val="24"/>
          <w:lang w:val="en-GB"/>
        </w:rPr>
        <w:t>Due to the possible occurrence of tumour lysis syndrome (TLS), correction of clinically significant dehydration and treatment of high uric acid levels are recommended prior to initiation of bosutinib (see section 4.8).</w:t>
      </w:r>
    </w:p>
    <w:p w14:paraId="5F789616" w14:textId="77777777" w:rsidR="00D734BF" w:rsidRPr="00D734BF" w:rsidRDefault="00D734BF" w:rsidP="00D734BF">
      <w:pPr>
        <w:tabs>
          <w:tab w:val="left" w:pos="851"/>
        </w:tabs>
        <w:ind w:left="851"/>
        <w:rPr>
          <w:sz w:val="24"/>
          <w:szCs w:val="24"/>
          <w:lang w:val="en-GB"/>
        </w:rPr>
      </w:pPr>
    </w:p>
    <w:p w14:paraId="3022AAE0"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Hepatitis B reactivation</w:t>
      </w:r>
    </w:p>
    <w:p w14:paraId="3D0227E5" w14:textId="77777777" w:rsidR="00D734BF" w:rsidRPr="00D734BF" w:rsidRDefault="00D734BF" w:rsidP="00D734BF">
      <w:pPr>
        <w:tabs>
          <w:tab w:val="left" w:pos="851"/>
        </w:tabs>
        <w:ind w:left="851"/>
        <w:rPr>
          <w:sz w:val="24"/>
          <w:szCs w:val="24"/>
          <w:lang w:val="en-GB"/>
        </w:rPr>
      </w:pPr>
      <w:r w:rsidRPr="00D734BF">
        <w:rPr>
          <w:sz w:val="24"/>
          <w:szCs w:val="24"/>
          <w:lang w:val="en-GB"/>
        </w:rPr>
        <w:t>Reactivation of hepatitis B (HBV) in patients who are chronic carriers of this virus has occurred after these patients received BCR</w:t>
      </w:r>
      <w:r w:rsidRPr="00D734BF">
        <w:rPr>
          <w:sz w:val="24"/>
          <w:szCs w:val="24"/>
          <w:lang w:val="en-GB"/>
        </w:rPr>
        <w:noBreakHyphen/>
        <w:t>ABL TKIs. Some cases resulted in acute hepatic failure or fulminant hepatitis leading to liver transplantation or a fatal outcome.</w:t>
      </w:r>
    </w:p>
    <w:p w14:paraId="16C151D6" w14:textId="77777777" w:rsidR="00D734BF" w:rsidRPr="00D734BF" w:rsidRDefault="00D734BF" w:rsidP="00D734BF">
      <w:pPr>
        <w:tabs>
          <w:tab w:val="left" w:pos="851"/>
        </w:tabs>
        <w:ind w:left="851"/>
        <w:rPr>
          <w:sz w:val="24"/>
          <w:szCs w:val="24"/>
          <w:lang w:val="en-GB"/>
        </w:rPr>
      </w:pPr>
    </w:p>
    <w:p w14:paraId="116D49D3" w14:textId="77777777" w:rsidR="00D734BF" w:rsidRPr="00D734BF" w:rsidRDefault="00D734BF" w:rsidP="00D734BF">
      <w:pPr>
        <w:tabs>
          <w:tab w:val="left" w:pos="851"/>
        </w:tabs>
        <w:ind w:left="851"/>
        <w:rPr>
          <w:sz w:val="24"/>
          <w:szCs w:val="24"/>
          <w:lang w:val="en-GB"/>
        </w:rPr>
      </w:pPr>
      <w:r w:rsidRPr="00D734BF">
        <w:rPr>
          <w:sz w:val="24"/>
          <w:szCs w:val="24"/>
          <w:lang w:val="en-GB"/>
        </w:rPr>
        <w:t>Patients should be tested for HBV infection before initiating treatment with bosutinib. Experts in liver disease and in the treatment of HBV should be consulted before treatment is initiated in patients with positive HBV serology (including those with active disease) and for patients who test positive for HBV infection during treatment. Carriers of HBV who require treatment with bosutinib should be closely monitored for signs and symptoms of active HBV infection throughout therapy and for several months following termination of therapy (see section 4.8).</w:t>
      </w:r>
    </w:p>
    <w:p w14:paraId="28B5D748" w14:textId="77777777" w:rsidR="00D734BF" w:rsidRPr="00D734BF" w:rsidRDefault="00D734BF" w:rsidP="00D734BF">
      <w:pPr>
        <w:tabs>
          <w:tab w:val="left" w:pos="851"/>
        </w:tabs>
        <w:ind w:left="851"/>
        <w:rPr>
          <w:sz w:val="24"/>
          <w:szCs w:val="24"/>
          <w:lang w:val="en-GB"/>
        </w:rPr>
      </w:pPr>
    </w:p>
    <w:p w14:paraId="63109E66"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Photosensitivity</w:t>
      </w:r>
    </w:p>
    <w:p w14:paraId="0F99A692" w14:textId="77777777" w:rsidR="00D734BF" w:rsidRPr="00D734BF" w:rsidRDefault="00D734BF" w:rsidP="00D734BF">
      <w:pPr>
        <w:tabs>
          <w:tab w:val="left" w:pos="851"/>
        </w:tabs>
        <w:ind w:left="851"/>
        <w:rPr>
          <w:sz w:val="24"/>
          <w:szCs w:val="24"/>
          <w:lang w:val="en-GB"/>
        </w:rPr>
      </w:pPr>
      <w:r w:rsidRPr="00D734BF">
        <w:rPr>
          <w:sz w:val="24"/>
          <w:szCs w:val="24"/>
          <w:lang w:val="en-GB"/>
        </w:rPr>
        <w:t>Exposure to direct sunlight or ultraviolet (UV) radiation should be avoided or minimised due to the risk of photosensitivity associated with bosutinib treatment. Patients should be instructed to use measures such as protective clothing and sunscreen with high sun protection factor (SPF).</w:t>
      </w:r>
    </w:p>
    <w:p w14:paraId="1497D7A7" w14:textId="71AF0395" w:rsidR="00D734BF" w:rsidRDefault="00D734BF">
      <w:pPr>
        <w:rPr>
          <w:sz w:val="24"/>
          <w:szCs w:val="24"/>
          <w:lang w:val="en-GB"/>
        </w:rPr>
      </w:pPr>
      <w:r>
        <w:rPr>
          <w:sz w:val="24"/>
          <w:szCs w:val="24"/>
          <w:lang w:val="en-GB"/>
        </w:rPr>
        <w:br w:type="page"/>
      </w:r>
    </w:p>
    <w:p w14:paraId="62294EDB" w14:textId="77777777" w:rsidR="00D734BF" w:rsidRPr="00D734BF" w:rsidRDefault="00D734BF" w:rsidP="00D734BF">
      <w:pPr>
        <w:tabs>
          <w:tab w:val="left" w:pos="851"/>
        </w:tabs>
        <w:ind w:left="851"/>
        <w:rPr>
          <w:sz w:val="24"/>
          <w:szCs w:val="24"/>
          <w:lang w:val="en-GB"/>
        </w:rPr>
      </w:pPr>
    </w:p>
    <w:p w14:paraId="2038E661"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Cytochrome P-450 (CYP)3A inhibitors</w:t>
      </w:r>
    </w:p>
    <w:p w14:paraId="41EAE05E" w14:textId="77777777" w:rsidR="00D734BF" w:rsidRPr="00D734BF" w:rsidRDefault="00D734BF" w:rsidP="00D734BF">
      <w:pPr>
        <w:tabs>
          <w:tab w:val="left" w:pos="851"/>
        </w:tabs>
        <w:ind w:left="851"/>
        <w:rPr>
          <w:sz w:val="24"/>
          <w:szCs w:val="24"/>
          <w:lang w:val="en-GB"/>
        </w:rPr>
      </w:pPr>
      <w:r w:rsidRPr="00D734BF">
        <w:rPr>
          <w:sz w:val="24"/>
          <w:szCs w:val="24"/>
          <w:lang w:val="en-GB"/>
        </w:rPr>
        <w:t>The concomitant use of bosutinib with strong or moderate CYP3A inhibitors should be avoided, as an increase in bosutinib plasma concentration will occur (see section 4.5).</w:t>
      </w:r>
    </w:p>
    <w:p w14:paraId="6AAE5AC6" w14:textId="77777777" w:rsidR="00D734BF" w:rsidRPr="00D734BF" w:rsidRDefault="00D734BF" w:rsidP="00D734BF">
      <w:pPr>
        <w:tabs>
          <w:tab w:val="left" w:pos="851"/>
        </w:tabs>
        <w:ind w:left="851"/>
        <w:rPr>
          <w:sz w:val="24"/>
          <w:szCs w:val="24"/>
          <w:lang w:val="en-GB"/>
        </w:rPr>
      </w:pPr>
    </w:p>
    <w:p w14:paraId="3DDD5BF6" w14:textId="77777777" w:rsidR="00D734BF" w:rsidRPr="00D734BF" w:rsidRDefault="00D734BF" w:rsidP="00D734BF">
      <w:pPr>
        <w:tabs>
          <w:tab w:val="left" w:pos="851"/>
        </w:tabs>
        <w:ind w:left="851"/>
        <w:rPr>
          <w:sz w:val="24"/>
          <w:szCs w:val="24"/>
          <w:lang w:val="en-GB"/>
        </w:rPr>
      </w:pPr>
      <w:r w:rsidRPr="00D734BF">
        <w:rPr>
          <w:sz w:val="24"/>
          <w:szCs w:val="24"/>
          <w:lang w:val="en-GB"/>
        </w:rPr>
        <w:t>Selection of an alternate concomitant medicinal product with no or minimal CYP3A inhibition potential, if possible, is recommended.</w:t>
      </w:r>
    </w:p>
    <w:p w14:paraId="701DB3C5" w14:textId="77777777" w:rsidR="00D734BF" w:rsidRPr="00D734BF" w:rsidRDefault="00D734BF" w:rsidP="00D734BF">
      <w:pPr>
        <w:tabs>
          <w:tab w:val="left" w:pos="851"/>
        </w:tabs>
        <w:ind w:left="851"/>
        <w:rPr>
          <w:sz w:val="24"/>
          <w:szCs w:val="24"/>
          <w:lang w:val="en-GB"/>
        </w:rPr>
      </w:pPr>
    </w:p>
    <w:p w14:paraId="3E8690BE" w14:textId="77777777" w:rsidR="00D734BF" w:rsidRPr="00D734BF" w:rsidRDefault="00D734BF" w:rsidP="00D734BF">
      <w:pPr>
        <w:tabs>
          <w:tab w:val="left" w:pos="851"/>
        </w:tabs>
        <w:ind w:left="851"/>
        <w:rPr>
          <w:sz w:val="24"/>
          <w:szCs w:val="24"/>
          <w:lang w:val="en-GB"/>
        </w:rPr>
      </w:pPr>
      <w:r w:rsidRPr="00D734BF">
        <w:rPr>
          <w:sz w:val="24"/>
          <w:szCs w:val="24"/>
          <w:lang w:val="en-GB"/>
        </w:rPr>
        <w:t>If a strong or moderate CYP3A inhibitor must be administered during bosutinib treatment, an interruption of bosutinib therapy or a dose reduction in bosutinib should be considered.</w:t>
      </w:r>
    </w:p>
    <w:p w14:paraId="4B6B8C62" w14:textId="77777777" w:rsidR="00D734BF" w:rsidRPr="00D734BF" w:rsidRDefault="00D734BF" w:rsidP="00D734BF">
      <w:pPr>
        <w:tabs>
          <w:tab w:val="left" w:pos="851"/>
        </w:tabs>
        <w:ind w:left="851"/>
        <w:rPr>
          <w:sz w:val="24"/>
          <w:szCs w:val="24"/>
          <w:lang w:val="en-GB"/>
        </w:rPr>
      </w:pPr>
    </w:p>
    <w:p w14:paraId="77F570C0"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CYP3A inducers</w:t>
      </w:r>
    </w:p>
    <w:p w14:paraId="1DF37E32" w14:textId="77777777" w:rsidR="00D734BF" w:rsidRPr="00D734BF" w:rsidRDefault="00D734BF" w:rsidP="00D734BF">
      <w:pPr>
        <w:tabs>
          <w:tab w:val="left" w:pos="851"/>
        </w:tabs>
        <w:ind w:left="851"/>
        <w:rPr>
          <w:sz w:val="24"/>
          <w:szCs w:val="24"/>
          <w:lang w:val="en-GB"/>
        </w:rPr>
      </w:pPr>
      <w:r w:rsidRPr="00D734BF">
        <w:rPr>
          <w:sz w:val="24"/>
          <w:szCs w:val="24"/>
          <w:lang w:val="en-GB"/>
        </w:rPr>
        <w:t>The concomitant use of bosutinib with strong or moderate CYP3A inducers should be avoided as a decrease in bosutinib plasma concentration will occur (see section 4.5).</w:t>
      </w:r>
    </w:p>
    <w:p w14:paraId="213D152A" w14:textId="77777777" w:rsidR="00D734BF" w:rsidRPr="00D734BF" w:rsidRDefault="00D734BF" w:rsidP="00D734BF">
      <w:pPr>
        <w:tabs>
          <w:tab w:val="left" w:pos="851"/>
        </w:tabs>
        <w:ind w:left="851"/>
        <w:rPr>
          <w:sz w:val="24"/>
          <w:szCs w:val="24"/>
          <w:lang w:val="en-GB"/>
        </w:rPr>
      </w:pPr>
    </w:p>
    <w:p w14:paraId="3F61AD4C"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Food effect</w:t>
      </w:r>
    </w:p>
    <w:p w14:paraId="21420990" w14:textId="77777777" w:rsidR="00D734BF" w:rsidRPr="00D734BF" w:rsidRDefault="00D734BF" w:rsidP="00D734BF">
      <w:pPr>
        <w:tabs>
          <w:tab w:val="left" w:pos="851"/>
        </w:tabs>
        <w:ind w:left="851"/>
        <w:rPr>
          <w:sz w:val="24"/>
          <w:szCs w:val="24"/>
          <w:lang w:val="en-GB"/>
        </w:rPr>
      </w:pPr>
      <w:r w:rsidRPr="00D734BF">
        <w:rPr>
          <w:sz w:val="24"/>
          <w:szCs w:val="24"/>
          <w:lang w:val="en-GB"/>
        </w:rPr>
        <w:t>Grapefruit products, including grapefruit juice and other foods that are known to inhibit CYP3A should be avoided (see section 4.5).</w:t>
      </w:r>
    </w:p>
    <w:p w14:paraId="7D75A1B1" w14:textId="77777777" w:rsidR="00D734BF" w:rsidRPr="00D734BF" w:rsidRDefault="00D734BF" w:rsidP="00D734BF">
      <w:pPr>
        <w:tabs>
          <w:tab w:val="left" w:pos="851"/>
        </w:tabs>
        <w:ind w:left="851"/>
        <w:rPr>
          <w:sz w:val="24"/>
          <w:szCs w:val="24"/>
          <w:lang w:val="en-GB"/>
        </w:rPr>
      </w:pPr>
    </w:p>
    <w:p w14:paraId="24C8EEFA" w14:textId="77777777" w:rsidR="00D734BF" w:rsidRPr="00D734BF" w:rsidRDefault="00D734BF" w:rsidP="00D734BF">
      <w:pPr>
        <w:tabs>
          <w:tab w:val="left" w:pos="851"/>
        </w:tabs>
        <w:ind w:left="851"/>
        <w:rPr>
          <w:sz w:val="24"/>
          <w:szCs w:val="24"/>
          <w:u w:val="single"/>
          <w:lang w:val="en-GB"/>
        </w:rPr>
      </w:pPr>
      <w:r w:rsidRPr="00D734BF">
        <w:rPr>
          <w:sz w:val="24"/>
          <w:szCs w:val="24"/>
          <w:u w:val="single"/>
          <w:lang w:val="en-GB"/>
        </w:rPr>
        <w:t>Excipient(s)</w:t>
      </w:r>
    </w:p>
    <w:p w14:paraId="4B84A10C" w14:textId="77777777" w:rsidR="00D734BF" w:rsidRPr="00D734BF" w:rsidRDefault="00D734BF" w:rsidP="00D734BF">
      <w:pPr>
        <w:tabs>
          <w:tab w:val="left" w:pos="851"/>
        </w:tabs>
        <w:ind w:left="851"/>
        <w:rPr>
          <w:sz w:val="24"/>
          <w:szCs w:val="24"/>
          <w:lang w:val="en-GB"/>
        </w:rPr>
      </w:pPr>
      <w:r w:rsidRPr="00D734BF">
        <w:rPr>
          <w:sz w:val="24"/>
          <w:szCs w:val="24"/>
          <w:lang w:val="en-GB"/>
        </w:rPr>
        <w:t>This medicine contains less than 1 mmol sodium (23 mg) per 100 mg, 400 mg, or 500 mg tablet, that is to say essentially ‘sodium-free’.</w:t>
      </w:r>
    </w:p>
    <w:p w14:paraId="3E987827" w14:textId="77777777" w:rsidR="007C5D2A" w:rsidRPr="00D734BF" w:rsidRDefault="007C5D2A" w:rsidP="003E0341">
      <w:pPr>
        <w:tabs>
          <w:tab w:val="left" w:pos="851"/>
        </w:tabs>
        <w:ind w:left="851"/>
        <w:rPr>
          <w:sz w:val="24"/>
          <w:szCs w:val="24"/>
          <w:lang w:val="en-GB"/>
        </w:rPr>
      </w:pPr>
    </w:p>
    <w:p w14:paraId="7A463E04"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0E4B5870" w14:textId="77777777" w:rsidR="00E42800" w:rsidRPr="00E42800" w:rsidRDefault="00E42800" w:rsidP="00E42800">
      <w:pPr>
        <w:tabs>
          <w:tab w:val="left" w:pos="851"/>
        </w:tabs>
        <w:ind w:left="851"/>
        <w:rPr>
          <w:sz w:val="24"/>
          <w:szCs w:val="24"/>
          <w:lang w:val="en-GB"/>
        </w:rPr>
      </w:pPr>
    </w:p>
    <w:p w14:paraId="7B8C70CA" w14:textId="77777777" w:rsidR="00E42800" w:rsidRPr="00E42800" w:rsidRDefault="00E42800" w:rsidP="00E42800">
      <w:pPr>
        <w:tabs>
          <w:tab w:val="left" w:pos="851"/>
        </w:tabs>
        <w:ind w:left="851"/>
        <w:rPr>
          <w:sz w:val="24"/>
          <w:szCs w:val="24"/>
          <w:u w:val="single"/>
          <w:lang w:val="en-GB"/>
        </w:rPr>
      </w:pPr>
      <w:r w:rsidRPr="00E42800">
        <w:rPr>
          <w:sz w:val="24"/>
          <w:szCs w:val="24"/>
          <w:u w:val="single"/>
          <w:lang w:val="en-GB"/>
        </w:rPr>
        <w:t>Effects of other medicinal products on bosutinib</w:t>
      </w:r>
    </w:p>
    <w:p w14:paraId="688068B9" w14:textId="77777777" w:rsidR="00E42800" w:rsidRDefault="00E42800" w:rsidP="00E42800">
      <w:pPr>
        <w:tabs>
          <w:tab w:val="left" w:pos="851"/>
        </w:tabs>
        <w:ind w:left="851"/>
        <w:rPr>
          <w:i/>
          <w:sz w:val="24"/>
          <w:szCs w:val="24"/>
          <w:lang w:val="en-GB"/>
        </w:rPr>
      </w:pPr>
    </w:p>
    <w:p w14:paraId="55CFE6C0" w14:textId="2E1B4DB2" w:rsidR="00E42800" w:rsidRPr="00E42800" w:rsidRDefault="00E42800" w:rsidP="00E42800">
      <w:pPr>
        <w:tabs>
          <w:tab w:val="left" w:pos="851"/>
        </w:tabs>
        <w:ind w:left="851"/>
        <w:rPr>
          <w:i/>
          <w:sz w:val="24"/>
          <w:szCs w:val="24"/>
          <w:lang w:val="en-GB"/>
        </w:rPr>
      </w:pPr>
      <w:r w:rsidRPr="00E42800">
        <w:rPr>
          <w:i/>
          <w:sz w:val="24"/>
          <w:szCs w:val="24"/>
          <w:lang w:val="en-GB"/>
        </w:rPr>
        <w:t>CYP3A inhibitors</w:t>
      </w:r>
    </w:p>
    <w:p w14:paraId="23D426D9" w14:textId="77777777" w:rsidR="00E42800" w:rsidRPr="00E42800" w:rsidRDefault="00E42800" w:rsidP="00E42800">
      <w:pPr>
        <w:tabs>
          <w:tab w:val="left" w:pos="851"/>
        </w:tabs>
        <w:ind w:left="851"/>
        <w:rPr>
          <w:sz w:val="24"/>
          <w:szCs w:val="24"/>
          <w:lang w:val="en-GB"/>
        </w:rPr>
      </w:pPr>
      <w:r w:rsidRPr="00E42800">
        <w:rPr>
          <w:sz w:val="24"/>
          <w:szCs w:val="24"/>
          <w:lang w:val="en-GB"/>
        </w:rPr>
        <w:t>The concomitant use of bosutinib with strong CYP3A inhibitors (including, but not limited to itraconazole, ketoconazole, posaconazole, voriconazole, clarithromycin, telithromycin, nefazodone, mibefradil, indinavir, lopinavir/ritonavir, nelfinavir, ritonavir, saquinavir, boceprevir, telaprevir, grapefruit products including grapefruit juice) or moderate CYP3A inhibitors (including, but not limited to fluconazole, ciprofloxacin, erythromycin, diltiazem, verapamil, amprenavir, atazanavir, darunavir/ritonavir, fosamprenavir, aprepitant, crizotinib, imatinib) should be avoided, as an increase in bosutinib plasma concentration will occur.</w:t>
      </w:r>
    </w:p>
    <w:p w14:paraId="1CE3172B" w14:textId="77777777" w:rsidR="00E42800" w:rsidRPr="00E42800" w:rsidRDefault="00E42800" w:rsidP="00E42800">
      <w:pPr>
        <w:tabs>
          <w:tab w:val="left" w:pos="851"/>
        </w:tabs>
        <w:ind w:left="851"/>
        <w:rPr>
          <w:sz w:val="24"/>
          <w:szCs w:val="24"/>
          <w:lang w:val="en-GB"/>
        </w:rPr>
      </w:pPr>
    </w:p>
    <w:p w14:paraId="4EFC9946" w14:textId="77777777" w:rsidR="00E42800" w:rsidRPr="00E42800" w:rsidRDefault="00E42800" w:rsidP="00E42800">
      <w:pPr>
        <w:tabs>
          <w:tab w:val="left" w:pos="851"/>
        </w:tabs>
        <w:ind w:left="851"/>
        <w:rPr>
          <w:sz w:val="24"/>
          <w:szCs w:val="24"/>
          <w:lang w:val="en-GB"/>
        </w:rPr>
      </w:pPr>
      <w:r w:rsidRPr="00E42800">
        <w:rPr>
          <w:sz w:val="24"/>
          <w:szCs w:val="24"/>
          <w:lang w:val="en-GB"/>
        </w:rPr>
        <w:t>Caution should be exercised if mild CYP3A inhibitors are used concomitantly with bosutinib.</w:t>
      </w:r>
    </w:p>
    <w:p w14:paraId="4B90E54D" w14:textId="77777777" w:rsidR="00E42800" w:rsidRPr="00E42800" w:rsidRDefault="00E42800" w:rsidP="00E42800">
      <w:pPr>
        <w:tabs>
          <w:tab w:val="left" w:pos="851"/>
        </w:tabs>
        <w:ind w:left="851"/>
        <w:rPr>
          <w:sz w:val="24"/>
          <w:szCs w:val="24"/>
          <w:lang w:val="en-GB"/>
        </w:rPr>
      </w:pPr>
    </w:p>
    <w:p w14:paraId="10B990C5" w14:textId="77777777" w:rsidR="00E42800" w:rsidRPr="00E42800" w:rsidRDefault="00E42800" w:rsidP="00E42800">
      <w:pPr>
        <w:tabs>
          <w:tab w:val="left" w:pos="851"/>
        </w:tabs>
        <w:ind w:left="851"/>
        <w:rPr>
          <w:sz w:val="24"/>
          <w:szCs w:val="24"/>
          <w:lang w:val="en-GB"/>
        </w:rPr>
      </w:pPr>
      <w:r w:rsidRPr="00E42800">
        <w:rPr>
          <w:sz w:val="24"/>
          <w:szCs w:val="24"/>
          <w:lang w:val="en-GB"/>
        </w:rPr>
        <w:t>Selection of an alternate concomitant medicinal product with no or minimal CYP3A enzyme inhibition potential, if possible, is recommended.</w:t>
      </w:r>
    </w:p>
    <w:p w14:paraId="39F38838" w14:textId="77777777" w:rsidR="00E42800" w:rsidRPr="00E42800" w:rsidRDefault="00E42800" w:rsidP="00E42800">
      <w:pPr>
        <w:tabs>
          <w:tab w:val="left" w:pos="851"/>
        </w:tabs>
        <w:ind w:left="851"/>
        <w:rPr>
          <w:sz w:val="24"/>
          <w:szCs w:val="24"/>
          <w:lang w:val="en-GB"/>
        </w:rPr>
      </w:pPr>
    </w:p>
    <w:p w14:paraId="4EBD9E17" w14:textId="77777777" w:rsidR="00E42800" w:rsidRPr="00E42800" w:rsidRDefault="00E42800" w:rsidP="00E42800">
      <w:pPr>
        <w:tabs>
          <w:tab w:val="left" w:pos="851"/>
        </w:tabs>
        <w:ind w:left="851"/>
        <w:rPr>
          <w:sz w:val="24"/>
          <w:szCs w:val="24"/>
          <w:lang w:val="en-GB"/>
        </w:rPr>
      </w:pPr>
      <w:r w:rsidRPr="00E42800">
        <w:rPr>
          <w:sz w:val="24"/>
          <w:szCs w:val="24"/>
          <w:lang w:val="en-GB"/>
        </w:rPr>
        <w:t>If a strong or moderate CYP3A inhibitor must be administered during bosutinib treatment, an interruption of bosutinib therapy or a dose reduction in bosutinib should be considered.</w:t>
      </w:r>
    </w:p>
    <w:p w14:paraId="5B66B8B6" w14:textId="77777777" w:rsidR="00E42800" w:rsidRPr="00E42800" w:rsidRDefault="00E42800" w:rsidP="00E42800">
      <w:pPr>
        <w:tabs>
          <w:tab w:val="left" w:pos="851"/>
        </w:tabs>
        <w:ind w:left="851"/>
        <w:rPr>
          <w:sz w:val="24"/>
          <w:szCs w:val="24"/>
          <w:lang w:val="en-GB"/>
        </w:rPr>
      </w:pPr>
    </w:p>
    <w:p w14:paraId="0EC90E96" w14:textId="77777777" w:rsidR="00E42800" w:rsidRPr="00E42800" w:rsidRDefault="00E42800" w:rsidP="00E42800">
      <w:pPr>
        <w:tabs>
          <w:tab w:val="left" w:pos="851"/>
        </w:tabs>
        <w:ind w:left="851"/>
        <w:rPr>
          <w:sz w:val="24"/>
          <w:szCs w:val="24"/>
          <w:lang w:val="en-GB"/>
        </w:rPr>
      </w:pPr>
      <w:r w:rsidRPr="00E42800">
        <w:rPr>
          <w:sz w:val="24"/>
          <w:szCs w:val="24"/>
          <w:lang w:val="en-GB"/>
        </w:rPr>
        <w:t>In a study of 24 healthy subjects in whom 5 daily doses of 400 mg ketoconazole (a strong CYP3A inhibitor) were co-administered with a single dose of 100 mg bosutinib under fasting conditions, ketoconazole increased bosutinib C</w:t>
      </w:r>
      <w:r w:rsidRPr="00E42800">
        <w:rPr>
          <w:sz w:val="24"/>
          <w:szCs w:val="24"/>
          <w:vertAlign w:val="subscript"/>
          <w:lang w:val="en-GB"/>
        </w:rPr>
        <w:t>max</w:t>
      </w:r>
      <w:r w:rsidRPr="00E42800">
        <w:rPr>
          <w:sz w:val="24"/>
          <w:szCs w:val="24"/>
          <w:lang w:val="en-GB"/>
        </w:rPr>
        <w:t xml:space="preserve"> by 5.2</w:t>
      </w:r>
      <w:r w:rsidRPr="00E42800">
        <w:rPr>
          <w:sz w:val="24"/>
          <w:szCs w:val="24"/>
          <w:lang w:val="en-GB"/>
        </w:rPr>
        <w:noBreakHyphen/>
        <w:t>fold, and bosutinib AUC in plasma by 8.6</w:t>
      </w:r>
      <w:r w:rsidRPr="00E42800">
        <w:rPr>
          <w:sz w:val="24"/>
          <w:szCs w:val="24"/>
          <w:lang w:val="en-GB"/>
        </w:rPr>
        <w:noBreakHyphen/>
        <w:t>fold, as compared with administration of bosutinib alone.</w:t>
      </w:r>
    </w:p>
    <w:p w14:paraId="52415C9E" w14:textId="77777777" w:rsidR="00E42800" w:rsidRPr="00E42800" w:rsidRDefault="00E42800" w:rsidP="00E42800">
      <w:pPr>
        <w:tabs>
          <w:tab w:val="left" w:pos="851"/>
        </w:tabs>
        <w:ind w:left="851"/>
        <w:rPr>
          <w:sz w:val="24"/>
          <w:szCs w:val="24"/>
          <w:lang w:val="en-GB"/>
        </w:rPr>
      </w:pPr>
    </w:p>
    <w:p w14:paraId="308B0838" w14:textId="77777777" w:rsidR="00E42800" w:rsidRPr="00E42800" w:rsidRDefault="00E42800" w:rsidP="00E42800">
      <w:pPr>
        <w:tabs>
          <w:tab w:val="left" w:pos="851"/>
        </w:tabs>
        <w:ind w:left="851"/>
        <w:rPr>
          <w:sz w:val="24"/>
          <w:szCs w:val="24"/>
          <w:lang w:val="en-GB"/>
        </w:rPr>
      </w:pPr>
      <w:r w:rsidRPr="00E42800">
        <w:rPr>
          <w:sz w:val="24"/>
          <w:szCs w:val="24"/>
          <w:lang w:val="en-GB"/>
        </w:rPr>
        <w:lastRenderedPageBreak/>
        <w:t>In a study of 20 healthy subjects, in whom a single dose of 125 mg aprepitant (a moderate CYP3A inhibitor) was co-administered with a single dose of 500 mg bosutinib under fed conditions, aprepitant increased bosutinib C</w:t>
      </w:r>
      <w:r w:rsidRPr="00E42800">
        <w:rPr>
          <w:sz w:val="24"/>
          <w:szCs w:val="24"/>
          <w:vertAlign w:val="subscript"/>
          <w:lang w:val="en-GB"/>
        </w:rPr>
        <w:t>max</w:t>
      </w:r>
      <w:r w:rsidRPr="00E42800">
        <w:rPr>
          <w:sz w:val="24"/>
          <w:szCs w:val="24"/>
          <w:lang w:val="en-GB"/>
        </w:rPr>
        <w:t xml:space="preserve"> by 1.5</w:t>
      </w:r>
      <w:r w:rsidRPr="00E42800">
        <w:rPr>
          <w:sz w:val="24"/>
          <w:szCs w:val="24"/>
          <w:lang w:val="en-GB"/>
        </w:rPr>
        <w:noBreakHyphen/>
        <w:t>fold, and bosutinib AUC in plasma by 2.0</w:t>
      </w:r>
      <w:r w:rsidRPr="00E42800">
        <w:rPr>
          <w:sz w:val="24"/>
          <w:szCs w:val="24"/>
          <w:lang w:val="en-GB"/>
        </w:rPr>
        <w:noBreakHyphen/>
        <w:t>fold, as compared with administration of bosutinib alone.</w:t>
      </w:r>
    </w:p>
    <w:p w14:paraId="60C7189E" w14:textId="77777777" w:rsidR="00E42800" w:rsidRPr="00E42800" w:rsidRDefault="00E42800" w:rsidP="00E42800">
      <w:pPr>
        <w:tabs>
          <w:tab w:val="left" w:pos="851"/>
        </w:tabs>
        <w:ind w:left="851"/>
        <w:rPr>
          <w:sz w:val="24"/>
          <w:szCs w:val="24"/>
          <w:lang w:val="en-GB"/>
        </w:rPr>
      </w:pPr>
    </w:p>
    <w:p w14:paraId="51086227" w14:textId="77777777" w:rsidR="00E42800" w:rsidRPr="00E42800" w:rsidRDefault="00E42800" w:rsidP="00E42800">
      <w:pPr>
        <w:tabs>
          <w:tab w:val="left" w:pos="851"/>
        </w:tabs>
        <w:ind w:left="851"/>
        <w:rPr>
          <w:i/>
          <w:sz w:val="24"/>
          <w:szCs w:val="24"/>
          <w:lang w:val="en-GB"/>
        </w:rPr>
      </w:pPr>
      <w:r w:rsidRPr="00E42800">
        <w:rPr>
          <w:i/>
          <w:sz w:val="24"/>
          <w:szCs w:val="24"/>
          <w:lang w:val="en-GB"/>
        </w:rPr>
        <w:t>CYP3A inducers</w:t>
      </w:r>
    </w:p>
    <w:p w14:paraId="49AA5C91" w14:textId="77777777" w:rsidR="00E42800" w:rsidRPr="00E42800" w:rsidRDefault="00E42800" w:rsidP="00E42800">
      <w:pPr>
        <w:tabs>
          <w:tab w:val="left" w:pos="851"/>
        </w:tabs>
        <w:ind w:left="851"/>
        <w:rPr>
          <w:sz w:val="24"/>
          <w:szCs w:val="24"/>
          <w:lang w:val="en-GB"/>
        </w:rPr>
      </w:pPr>
      <w:r w:rsidRPr="00E42800">
        <w:rPr>
          <w:sz w:val="24"/>
          <w:szCs w:val="24"/>
          <w:lang w:val="en-GB"/>
        </w:rPr>
        <w:t>The concomitant use of bosutinib with strong CYP3A inducers (including, but not limited to carbamazepine, phenytoin, rifampicin, St. John’s Wort), or moderate CYP3A inducers (including, but not limited to bosentan, efavirenz, etravirine, modafinil, nafcillin) should be avoided, as a decrease in bosutinib plasma concentration will occur.</w:t>
      </w:r>
    </w:p>
    <w:p w14:paraId="27ADFDD2" w14:textId="77777777" w:rsidR="00E42800" w:rsidRPr="00E42800" w:rsidRDefault="00E42800" w:rsidP="00E42800">
      <w:pPr>
        <w:tabs>
          <w:tab w:val="left" w:pos="851"/>
        </w:tabs>
        <w:ind w:left="851"/>
        <w:rPr>
          <w:sz w:val="24"/>
          <w:szCs w:val="24"/>
          <w:lang w:val="en-GB"/>
        </w:rPr>
      </w:pPr>
    </w:p>
    <w:p w14:paraId="58EF1E48" w14:textId="77777777" w:rsidR="00E42800" w:rsidRPr="00E42800" w:rsidRDefault="00E42800" w:rsidP="00E42800">
      <w:pPr>
        <w:tabs>
          <w:tab w:val="left" w:pos="851"/>
        </w:tabs>
        <w:ind w:left="851"/>
        <w:rPr>
          <w:sz w:val="24"/>
          <w:szCs w:val="24"/>
          <w:lang w:val="en-GB"/>
        </w:rPr>
      </w:pPr>
      <w:r w:rsidRPr="00E42800">
        <w:rPr>
          <w:sz w:val="24"/>
          <w:szCs w:val="24"/>
          <w:lang w:val="en-GB"/>
        </w:rPr>
        <w:t>Based on the large reduction in bosutinib exposure that occurred when bosutinib was co-administered with rifampicin, increasing the dose of bosutinib when co-administering with strong or moderate CYP3A inducers is unlikely to sufficiently compensate for the loss of exposure.</w:t>
      </w:r>
    </w:p>
    <w:p w14:paraId="68698473" w14:textId="77777777" w:rsidR="00E42800" w:rsidRPr="00E42800" w:rsidRDefault="00E42800" w:rsidP="00E42800">
      <w:pPr>
        <w:tabs>
          <w:tab w:val="left" w:pos="851"/>
        </w:tabs>
        <w:ind w:left="851"/>
        <w:rPr>
          <w:sz w:val="24"/>
          <w:szCs w:val="24"/>
          <w:lang w:val="en-GB"/>
        </w:rPr>
      </w:pPr>
    </w:p>
    <w:p w14:paraId="330B16E1" w14:textId="77777777" w:rsidR="00E42800" w:rsidRPr="00E42800" w:rsidRDefault="00E42800" w:rsidP="00E42800">
      <w:pPr>
        <w:tabs>
          <w:tab w:val="left" w:pos="851"/>
        </w:tabs>
        <w:ind w:left="851"/>
        <w:rPr>
          <w:sz w:val="24"/>
          <w:szCs w:val="24"/>
          <w:lang w:val="en-GB"/>
        </w:rPr>
      </w:pPr>
      <w:r w:rsidRPr="00E42800">
        <w:rPr>
          <w:sz w:val="24"/>
          <w:szCs w:val="24"/>
          <w:lang w:val="en-GB"/>
        </w:rPr>
        <w:t>Caution is warranted if mild CYP3A inducers are used concomitantly with bosutinib.</w:t>
      </w:r>
    </w:p>
    <w:p w14:paraId="4B798D2E" w14:textId="77777777" w:rsidR="00E42800" w:rsidRPr="00E42800" w:rsidRDefault="00E42800" w:rsidP="00E42800">
      <w:pPr>
        <w:tabs>
          <w:tab w:val="left" w:pos="851"/>
        </w:tabs>
        <w:ind w:left="851"/>
        <w:rPr>
          <w:sz w:val="24"/>
          <w:szCs w:val="24"/>
          <w:lang w:val="en-GB"/>
        </w:rPr>
      </w:pPr>
    </w:p>
    <w:p w14:paraId="1129F694" w14:textId="77777777" w:rsidR="00E42800" w:rsidRPr="00E42800" w:rsidRDefault="00E42800" w:rsidP="00E42800">
      <w:pPr>
        <w:tabs>
          <w:tab w:val="left" w:pos="851"/>
        </w:tabs>
        <w:ind w:left="851"/>
        <w:rPr>
          <w:sz w:val="24"/>
          <w:szCs w:val="24"/>
          <w:lang w:val="en-GB"/>
        </w:rPr>
      </w:pPr>
      <w:r w:rsidRPr="00E42800">
        <w:rPr>
          <w:sz w:val="24"/>
          <w:szCs w:val="24"/>
          <w:lang w:val="en-GB"/>
        </w:rPr>
        <w:t>Following concomitant administration of a single dose bosutinib with 6 daily doses of 600 mg rifampicin, in 24 healthy subjects in fed state bosutinib exposure (C</w:t>
      </w:r>
      <w:r w:rsidRPr="00E42800">
        <w:rPr>
          <w:sz w:val="24"/>
          <w:szCs w:val="24"/>
          <w:vertAlign w:val="subscript"/>
          <w:lang w:val="en-GB"/>
        </w:rPr>
        <w:t>max</w:t>
      </w:r>
      <w:r w:rsidRPr="00E42800">
        <w:rPr>
          <w:sz w:val="24"/>
          <w:szCs w:val="24"/>
          <w:lang w:val="en-GB"/>
        </w:rPr>
        <w:t xml:space="preserve"> and AUC in plasma) decreased to 14% and 6%, respectively, of the values when bosutinib 500 mg was administered alone.</w:t>
      </w:r>
    </w:p>
    <w:p w14:paraId="11E54F94" w14:textId="77777777" w:rsidR="00E42800" w:rsidRPr="00E42800" w:rsidRDefault="00E42800" w:rsidP="00E42800">
      <w:pPr>
        <w:tabs>
          <w:tab w:val="left" w:pos="851"/>
        </w:tabs>
        <w:ind w:left="851"/>
        <w:rPr>
          <w:sz w:val="24"/>
          <w:szCs w:val="24"/>
          <w:lang w:val="en-GB"/>
        </w:rPr>
      </w:pPr>
    </w:p>
    <w:p w14:paraId="252AA301" w14:textId="77777777" w:rsidR="00E42800" w:rsidRPr="00E42800" w:rsidRDefault="00E42800" w:rsidP="00E42800">
      <w:pPr>
        <w:tabs>
          <w:tab w:val="left" w:pos="851"/>
        </w:tabs>
        <w:ind w:left="851"/>
        <w:rPr>
          <w:i/>
          <w:sz w:val="24"/>
          <w:szCs w:val="24"/>
          <w:lang w:val="en-GB"/>
        </w:rPr>
      </w:pPr>
      <w:r w:rsidRPr="00E42800">
        <w:rPr>
          <w:i/>
          <w:sz w:val="24"/>
          <w:szCs w:val="24"/>
          <w:lang w:val="en-GB"/>
        </w:rPr>
        <w:t>Proton pump inhibitors (PPIs)</w:t>
      </w:r>
    </w:p>
    <w:p w14:paraId="6FBC26B7" w14:textId="77777777" w:rsidR="00E42800" w:rsidRPr="00E42800" w:rsidRDefault="00E42800" w:rsidP="00E42800">
      <w:pPr>
        <w:tabs>
          <w:tab w:val="left" w:pos="851"/>
        </w:tabs>
        <w:ind w:left="851"/>
        <w:rPr>
          <w:sz w:val="24"/>
          <w:szCs w:val="24"/>
          <w:lang w:val="en-GB"/>
        </w:rPr>
      </w:pPr>
      <w:r w:rsidRPr="00E42800">
        <w:rPr>
          <w:sz w:val="24"/>
          <w:szCs w:val="24"/>
          <w:lang w:val="en-GB"/>
        </w:rPr>
        <w:t xml:space="preserve">Caution should be exercised when administering bosutinib concomitantly with PPIs. Short-acting antacids should be considered as an alternative to PPIs and administration times of bosutinib and antacids should be separated (i.e. take bosutinib in the morning and antacids in the evening) whenever possible. Bosutinib displays pH-dependent aqueous solubility </w:t>
      </w:r>
      <w:r w:rsidRPr="00E42800">
        <w:rPr>
          <w:i/>
          <w:sz w:val="24"/>
          <w:szCs w:val="24"/>
          <w:lang w:val="en-GB"/>
        </w:rPr>
        <w:t>in vitro</w:t>
      </w:r>
      <w:r w:rsidRPr="00E42800">
        <w:rPr>
          <w:sz w:val="24"/>
          <w:szCs w:val="24"/>
          <w:lang w:val="en-GB"/>
        </w:rPr>
        <w:t>. When a single oral dose of bosutinib (400 mg) was co-administered with multiple-oral doses of lansoprazole (60 mg) in a study of 24 healthy fasting subjects, bosutinib C</w:t>
      </w:r>
      <w:r w:rsidRPr="00E42800">
        <w:rPr>
          <w:sz w:val="24"/>
          <w:szCs w:val="24"/>
          <w:vertAlign w:val="subscript"/>
          <w:lang w:val="en-GB"/>
        </w:rPr>
        <w:t>max</w:t>
      </w:r>
      <w:r w:rsidRPr="00E42800">
        <w:rPr>
          <w:sz w:val="24"/>
          <w:szCs w:val="24"/>
          <w:lang w:val="en-GB"/>
        </w:rPr>
        <w:t xml:space="preserve"> and AUC decreased to 54% and 74%, respectively, of the values seen when bosutinib (400 mg) was given alone.</w:t>
      </w:r>
    </w:p>
    <w:p w14:paraId="20263404" w14:textId="77777777" w:rsidR="00E42800" w:rsidRPr="00E42800" w:rsidRDefault="00E42800" w:rsidP="00E42800">
      <w:pPr>
        <w:tabs>
          <w:tab w:val="left" w:pos="851"/>
        </w:tabs>
        <w:ind w:left="851"/>
        <w:rPr>
          <w:sz w:val="24"/>
          <w:szCs w:val="24"/>
          <w:lang w:val="en-GB"/>
        </w:rPr>
      </w:pPr>
    </w:p>
    <w:p w14:paraId="74A648E7" w14:textId="77777777" w:rsidR="00E42800" w:rsidRPr="00E42800" w:rsidRDefault="00E42800" w:rsidP="00E42800">
      <w:pPr>
        <w:tabs>
          <w:tab w:val="left" w:pos="851"/>
        </w:tabs>
        <w:ind w:left="851"/>
        <w:rPr>
          <w:sz w:val="24"/>
          <w:szCs w:val="24"/>
          <w:u w:val="single"/>
          <w:lang w:val="en-GB"/>
        </w:rPr>
      </w:pPr>
      <w:r w:rsidRPr="00E42800">
        <w:rPr>
          <w:sz w:val="24"/>
          <w:szCs w:val="24"/>
          <w:u w:val="single"/>
          <w:lang w:val="en-GB"/>
        </w:rPr>
        <w:t>Effects of bosutinib on other medicinal products</w:t>
      </w:r>
    </w:p>
    <w:p w14:paraId="2A47C2C0" w14:textId="77777777" w:rsidR="00E42800" w:rsidRPr="00E42800" w:rsidRDefault="00E42800" w:rsidP="00E42800">
      <w:pPr>
        <w:tabs>
          <w:tab w:val="left" w:pos="851"/>
        </w:tabs>
        <w:ind w:left="851"/>
        <w:rPr>
          <w:sz w:val="24"/>
          <w:szCs w:val="24"/>
          <w:lang w:val="en-GB"/>
        </w:rPr>
      </w:pPr>
      <w:r w:rsidRPr="00E42800">
        <w:rPr>
          <w:sz w:val="24"/>
          <w:szCs w:val="24"/>
          <w:lang w:val="en-GB"/>
        </w:rPr>
        <w:t>In a study of 27 healthy subjects, in whom a single dose of 500 mg bosutinib was co-administered with a single dose of 150 mg dabigatran etexilate mesylate (a P</w:t>
      </w:r>
      <w:r w:rsidRPr="00E42800">
        <w:rPr>
          <w:sz w:val="24"/>
          <w:szCs w:val="24"/>
          <w:lang w:val="en-GB"/>
        </w:rPr>
        <w:noBreakHyphen/>
        <w:t>glycoprotein [P</w:t>
      </w:r>
      <w:r w:rsidRPr="00E42800">
        <w:rPr>
          <w:sz w:val="24"/>
          <w:szCs w:val="24"/>
          <w:lang w:val="en-GB"/>
        </w:rPr>
        <w:noBreakHyphen/>
        <w:t>gp] substrate) under fed conditions, bosutinib did not increase C</w:t>
      </w:r>
      <w:r w:rsidRPr="00E42800">
        <w:rPr>
          <w:sz w:val="24"/>
          <w:szCs w:val="24"/>
          <w:vertAlign w:val="subscript"/>
          <w:lang w:val="en-GB"/>
        </w:rPr>
        <w:t>max</w:t>
      </w:r>
      <w:r w:rsidRPr="00E42800">
        <w:rPr>
          <w:sz w:val="24"/>
          <w:szCs w:val="24"/>
          <w:lang w:val="en-GB"/>
        </w:rPr>
        <w:t xml:space="preserve"> or AUC of dabigatran in plasma, as compared with administration of dabigatran etexilate mesylate alone. The study results indicate that bosutinib does not exhibit clinically relevant P</w:t>
      </w:r>
      <w:r w:rsidRPr="00E42800">
        <w:rPr>
          <w:sz w:val="24"/>
          <w:szCs w:val="24"/>
          <w:lang w:val="en-GB"/>
        </w:rPr>
        <w:noBreakHyphen/>
        <w:t>gp inhibitory effects.</w:t>
      </w:r>
    </w:p>
    <w:p w14:paraId="1E070AE8" w14:textId="77777777" w:rsidR="00E42800" w:rsidRPr="00E42800" w:rsidRDefault="00E42800" w:rsidP="00E42800">
      <w:pPr>
        <w:tabs>
          <w:tab w:val="left" w:pos="851"/>
        </w:tabs>
        <w:ind w:left="851"/>
        <w:rPr>
          <w:sz w:val="24"/>
          <w:szCs w:val="24"/>
          <w:lang w:val="en-GB"/>
        </w:rPr>
      </w:pPr>
    </w:p>
    <w:p w14:paraId="0F3A20E1" w14:textId="77777777" w:rsidR="00E42800" w:rsidRPr="00E42800" w:rsidRDefault="00E42800" w:rsidP="00E42800">
      <w:pPr>
        <w:tabs>
          <w:tab w:val="left" w:pos="851"/>
        </w:tabs>
        <w:ind w:left="851"/>
        <w:rPr>
          <w:sz w:val="24"/>
          <w:szCs w:val="24"/>
          <w:lang w:val="en-GB"/>
        </w:rPr>
      </w:pPr>
      <w:r w:rsidRPr="00E42800">
        <w:rPr>
          <w:sz w:val="24"/>
          <w:szCs w:val="24"/>
          <w:lang w:val="en-GB"/>
        </w:rPr>
        <w:t xml:space="preserve">An </w:t>
      </w:r>
      <w:r w:rsidRPr="00E42800">
        <w:rPr>
          <w:i/>
          <w:sz w:val="24"/>
          <w:szCs w:val="24"/>
          <w:lang w:val="en-GB"/>
        </w:rPr>
        <w:t>in vitro</w:t>
      </w:r>
      <w:r w:rsidRPr="00E42800">
        <w:rPr>
          <w:sz w:val="24"/>
          <w:szCs w:val="24"/>
          <w:lang w:val="en-GB"/>
        </w:rPr>
        <w:t xml:space="preserve"> study indicates that drug-drug interactions are unlikely to occur at therapeutic doses as a result of induction by bosutinib on the metabolism of medicinal products that are substrates for CYP1A2, CYP2B6, CYP2C9, CYP2C19, and CYP3A4.</w:t>
      </w:r>
    </w:p>
    <w:p w14:paraId="440C0CDD" w14:textId="77777777" w:rsidR="00E42800" w:rsidRPr="00E42800" w:rsidRDefault="00E42800" w:rsidP="00E42800">
      <w:pPr>
        <w:tabs>
          <w:tab w:val="left" w:pos="851"/>
        </w:tabs>
        <w:ind w:left="851"/>
        <w:rPr>
          <w:sz w:val="24"/>
          <w:szCs w:val="24"/>
          <w:lang w:val="en-GB"/>
        </w:rPr>
      </w:pPr>
    </w:p>
    <w:p w14:paraId="1D564BCF" w14:textId="77777777" w:rsidR="00E42800" w:rsidRPr="00E42800" w:rsidRDefault="00E42800" w:rsidP="00E42800">
      <w:pPr>
        <w:tabs>
          <w:tab w:val="left" w:pos="851"/>
        </w:tabs>
        <w:ind w:left="851"/>
        <w:rPr>
          <w:sz w:val="24"/>
          <w:szCs w:val="24"/>
          <w:lang w:val="en-GB"/>
        </w:rPr>
      </w:pPr>
      <w:r w:rsidRPr="00E42800">
        <w:rPr>
          <w:i/>
          <w:sz w:val="24"/>
          <w:szCs w:val="24"/>
          <w:lang w:val="en-GB"/>
        </w:rPr>
        <w:t>In vitro</w:t>
      </w:r>
      <w:r w:rsidRPr="00E42800">
        <w:rPr>
          <w:sz w:val="24"/>
          <w:szCs w:val="24"/>
          <w:lang w:val="en-GB"/>
        </w:rPr>
        <w:t xml:space="preserve"> studies indicate that clinical drug-drug interactions are unlikely to occur at therapeutic doses as a result of inhibition by bosutinib on the metabolism of medicinal products that are substrates for CYP1A2, CYP2A6, CYP2C8, CYP2C9, CYP2C19, CYP2D6, or CYP3A4/5.</w:t>
      </w:r>
    </w:p>
    <w:p w14:paraId="12A70FA8" w14:textId="77777777" w:rsidR="00E42800" w:rsidRPr="00E42800" w:rsidRDefault="00E42800" w:rsidP="00E42800">
      <w:pPr>
        <w:tabs>
          <w:tab w:val="left" w:pos="851"/>
        </w:tabs>
        <w:ind w:left="851"/>
        <w:rPr>
          <w:sz w:val="24"/>
          <w:szCs w:val="24"/>
          <w:lang w:val="en-GB"/>
        </w:rPr>
      </w:pPr>
    </w:p>
    <w:p w14:paraId="2E105023" w14:textId="77777777" w:rsidR="00E42800" w:rsidRPr="00E42800" w:rsidRDefault="00E42800" w:rsidP="00E42800">
      <w:pPr>
        <w:tabs>
          <w:tab w:val="left" w:pos="851"/>
        </w:tabs>
        <w:ind w:left="851"/>
        <w:rPr>
          <w:sz w:val="24"/>
          <w:szCs w:val="24"/>
          <w:lang w:val="en-GB"/>
        </w:rPr>
      </w:pPr>
      <w:r w:rsidRPr="00E42800">
        <w:rPr>
          <w:i/>
          <w:sz w:val="24"/>
          <w:szCs w:val="24"/>
          <w:lang w:val="en-GB"/>
        </w:rPr>
        <w:lastRenderedPageBreak/>
        <w:t>In vitro</w:t>
      </w:r>
      <w:r w:rsidRPr="00E42800">
        <w:rPr>
          <w:sz w:val="24"/>
          <w:szCs w:val="24"/>
          <w:lang w:val="en-GB"/>
        </w:rPr>
        <w:t xml:space="preserve"> studies indicate that bosutinib has a low potential to inhibit breast cancer resistance protein (BCRP, systemically), organic anion transporting polypeptide (OATP)1B1, OATP1B3, organic anion transporter (OAT)1, OAT3, organic cation transporter (OCT)2 at clinically relevant concentrations, but may have the potential to inhibit BCRP in the gastrointestinal tract and OCT1.</w:t>
      </w:r>
    </w:p>
    <w:p w14:paraId="42DF19B8" w14:textId="77777777" w:rsidR="00E42800" w:rsidRPr="00E42800" w:rsidRDefault="00E42800" w:rsidP="00E42800">
      <w:pPr>
        <w:tabs>
          <w:tab w:val="left" w:pos="851"/>
        </w:tabs>
        <w:ind w:left="851"/>
        <w:rPr>
          <w:sz w:val="24"/>
          <w:szCs w:val="24"/>
          <w:lang w:val="en-GB"/>
        </w:rPr>
      </w:pPr>
    </w:p>
    <w:p w14:paraId="03EA7ADE" w14:textId="77777777" w:rsidR="00E42800" w:rsidRPr="00E42800" w:rsidRDefault="00E42800" w:rsidP="00E42800">
      <w:pPr>
        <w:tabs>
          <w:tab w:val="left" w:pos="851"/>
        </w:tabs>
        <w:ind w:left="851"/>
        <w:rPr>
          <w:i/>
          <w:sz w:val="24"/>
          <w:szCs w:val="24"/>
          <w:u w:val="single"/>
          <w:lang w:val="en-GB"/>
        </w:rPr>
      </w:pPr>
      <w:r w:rsidRPr="00E42800">
        <w:rPr>
          <w:i/>
          <w:sz w:val="24"/>
          <w:szCs w:val="24"/>
          <w:u w:val="single"/>
          <w:lang w:val="en-GB"/>
        </w:rPr>
        <w:t>Anti-arrhythmic medicinal products and other substances that may prolong QT</w:t>
      </w:r>
    </w:p>
    <w:p w14:paraId="55785404" w14:textId="77777777" w:rsidR="00E42800" w:rsidRPr="00E42800" w:rsidRDefault="00E42800" w:rsidP="00E42800">
      <w:pPr>
        <w:tabs>
          <w:tab w:val="left" w:pos="851"/>
        </w:tabs>
        <w:ind w:left="851"/>
        <w:rPr>
          <w:sz w:val="24"/>
          <w:szCs w:val="24"/>
          <w:lang w:val="en-GB"/>
        </w:rPr>
      </w:pPr>
      <w:r w:rsidRPr="00E42800">
        <w:rPr>
          <w:sz w:val="24"/>
          <w:szCs w:val="24"/>
          <w:lang w:val="en-GB"/>
        </w:rPr>
        <w:t>Bosutinib should be used with caution in patients who have or may develop prolongation of QT, including those patients taking anti-arrhythmic medicinal products such as amiodarone, disopyramide, procainamide, quinidine and sotalol or other medicinal products that may lead to QT prolongation such as chloroquine, halofantrine, clarithromycin, domperidone, haloperidol, methadone, and moxifloxacin (see section 4.4).</w:t>
      </w:r>
    </w:p>
    <w:p w14:paraId="1123F417" w14:textId="77777777" w:rsidR="007C5D2A" w:rsidRPr="00E42800" w:rsidRDefault="007C5D2A" w:rsidP="003E0341">
      <w:pPr>
        <w:tabs>
          <w:tab w:val="left" w:pos="851"/>
        </w:tabs>
        <w:ind w:left="851"/>
        <w:rPr>
          <w:sz w:val="24"/>
          <w:szCs w:val="24"/>
          <w:lang w:val="en-GB"/>
        </w:rPr>
      </w:pPr>
    </w:p>
    <w:p w14:paraId="2B57DD04"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7449DF7B" w14:textId="77777777" w:rsidR="00E42800" w:rsidRPr="00E42800" w:rsidRDefault="00E42800" w:rsidP="00E42800">
      <w:pPr>
        <w:tabs>
          <w:tab w:val="left" w:pos="851"/>
        </w:tabs>
        <w:ind w:left="851"/>
        <w:rPr>
          <w:sz w:val="24"/>
          <w:szCs w:val="24"/>
          <w:lang w:val="en-GB"/>
        </w:rPr>
      </w:pPr>
    </w:p>
    <w:p w14:paraId="510F66A5" w14:textId="77777777" w:rsidR="00E42800" w:rsidRPr="00E42800" w:rsidRDefault="00E42800" w:rsidP="00E42800">
      <w:pPr>
        <w:tabs>
          <w:tab w:val="left" w:pos="851"/>
        </w:tabs>
        <w:ind w:left="851"/>
        <w:rPr>
          <w:sz w:val="24"/>
          <w:szCs w:val="24"/>
          <w:u w:val="single"/>
          <w:lang w:val="en-GB"/>
        </w:rPr>
      </w:pPr>
      <w:r w:rsidRPr="00E42800">
        <w:rPr>
          <w:sz w:val="24"/>
          <w:szCs w:val="24"/>
          <w:u w:val="single"/>
          <w:lang w:val="en-GB"/>
        </w:rPr>
        <w:t>Women of childbearing potential/Contraception</w:t>
      </w:r>
    </w:p>
    <w:p w14:paraId="56E1B69C" w14:textId="77777777" w:rsidR="00E42800" w:rsidRPr="00E42800" w:rsidRDefault="00E42800" w:rsidP="00E42800">
      <w:pPr>
        <w:tabs>
          <w:tab w:val="left" w:pos="851"/>
        </w:tabs>
        <w:ind w:left="851"/>
        <w:rPr>
          <w:sz w:val="24"/>
          <w:szCs w:val="24"/>
          <w:lang w:val="en-GB"/>
        </w:rPr>
      </w:pPr>
      <w:r w:rsidRPr="00E42800">
        <w:rPr>
          <w:sz w:val="24"/>
          <w:szCs w:val="24"/>
          <w:lang w:val="en-GB"/>
        </w:rPr>
        <w:t>Women of childbearing potential should be advised to use effective contraception during treatment with bosutinib and for at least 1 month after the last dose and to avoid becoming pregnant while receiving bosutinib. In addition, the patient should be advised that vomiting or diarrhoea may reduce the efficacy of oral contraceptives by preventing full absorption.</w:t>
      </w:r>
    </w:p>
    <w:p w14:paraId="2C276361" w14:textId="77777777" w:rsidR="00E42800" w:rsidRPr="00E42800" w:rsidRDefault="00E42800" w:rsidP="00E42800">
      <w:pPr>
        <w:tabs>
          <w:tab w:val="left" w:pos="851"/>
        </w:tabs>
        <w:ind w:left="851"/>
        <w:rPr>
          <w:sz w:val="24"/>
          <w:szCs w:val="24"/>
          <w:lang w:val="en-GB"/>
        </w:rPr>
      </w:pPr>
    </w:p>
    <w:p w14:paraId="7E1C3882" w14:textId="77777777" w:rsidR="00E42800" w:rsidRPr="00E42800" w:rsidRDefault="00E42800" w:rsidP="00E42800">
      <w:pPr>
        <w:tabs>
          <w:tab w:val="left" w:pos="851"/>
        </w:tabs>
        <w:ind w:left="851"/>
        <w:rPr>
          <w:sz w:val="24"/>
          <w:szCs w:val="24"/>
          <w:lang w:val="en-GB"/>
        </w:rPr>
      </w:pPr>
      <w:r w:rsidRPr="00E42800">
        <w:rPr>
          <w:sz w:val="24"/>
          <w:szCs w:val="24"/>
          <w:u w:val="single"/>
          <w:lang w:val="en-GB"/>
        </w:rPr>
        <w:t>Pregnancy</w:t>
      </w:r>
    </w:p>
    <w:p w14:paraId="1BB0BCE1" w14:textId="77777777" w:rsidR="00E42800" w:rsidRPr="00E42800" w:rsidRDefault="00E42800" w:rsidP="00E42800">
      <w:pPr>
        <w:tabs>
          <w:tab w:val="left" w:pos="851"/>
        </w:tabs>
        <w:ind w:left="851"/>
        <w:rPr>
          <w:sz w:val="24"/>
          <w:szCs w:val="24"/>
          <w:lang w:val="en-GB"/>
        </w:rPr>
      </w:pPr>
      <w:r w:rsidRPr="00E42800">
        <w:rPr>
          <w:sz w:val="24"/>
          <w:szCs w:val="24"/>
          <w:lang w:val="en-GB"/>
        </w:rPr>
        <w:t>There are limited amount of data in pregnant women from the use of bosutinib. Studies in animals have shown reproductive toxicity (see section 5.3). Bosutinib is not recommended for use during pregnancy, or in women of childbearing potential not using contraception. If bosutinib is used during pregnancy, or the patient becomes pregnant while taking bosutinib, she should be apprised of the potential hazard to the foetus.</w:t>
      </w:r>
    </w:p>
    <w:p w14:paraId="664ABBB5" w14:textId="77777777" w:rsidR="00E42800" w:rsidRPr="00E42800" w:rsidRDefault="00E42800" w:rsidP="00E42800">
      <w:pPr>
        <w:tabs>
          <w:tab w:val="left" w:pos="851"/>
        </w:tabs>
        <w:ind w:left="851"/>
        <w:rPr>
          <w:sz w:val="24"/>
          <w:szCs w:val="24"/>
          <w:lang w:val="en-GB"/>
        </w:rPr>
      </w:pPr>
    </w:p>
    <w:p w14:paraId="5C1002E4" w14:textId="77777777" w:rsidR="00E42800" w:rsidRPr="00E42800" w:rsidRDefault="00E42800" w:rsidP="00E42800">
      <w:pPr>
        <w:tabs>
          <w:tab w:val="left" w:pos="851"/>
        </w:tabs>
        <w:ind w:left="851"/>
        <w:rPr>
          <w:sz w:val="24"/>
          <w:szCs w:val="24"/>
          <w:u w:val="single"/>
          <w:lang w:val="en-GB"/>
        </w:rPr>
      </w:pPr>
      <w:r w:rsidRPr="00E42800">
        <w:rPr>
          <w:sz w:val="24"/>
          <w:szCs w:val="24"/>
          <w:u w:val="single"/>
          <w:lang w:val="en-GB"/>
        </w:rPr>
        <w:t>Breast-feeding</w:t>
      </w:r>
    </w:p>
    <w:p w14:paraId="6D4BD37F" w14:textId="77777777" w:rsidR="00E42800" w:rsidRPr="00E42800" w:rsidRDefault="00E42800" w:rsidP="00E42800">
      <w:pPr>
        <w:tabs>
          <w:tab w:val="left" w:pos="851"/>
        </w:tabs>
        <w:ind w:left="851"/>
        <w:rPr>
          <w:sz w:val="24"/>
          <w:szCs w:val="24"/>
          <w:lang w:val="en-GB"/>
        </w:rPr>
      </w:pPr>
      <w:r w:rsidRPr="00E42800">
        <w:rPr>
          <w:sz w:val="24"/>
          <w:szCs w:val="24"/>
          <w:lang w:val="en-GB"/>
        </w:rPr>
        <w:t>It is unknown whether bosutinib and its metabolites are excreted in human milk. A study of [</w:t>
      </w:r>
      <w:r w:rsidRPr="00E42800">
        <w:rPr>
          <w:sz w:val="24"/>
          <w:szCs w:val="24"/>
          <w:vertAlign w:val="superscript"/>
          <w:lang w:val="en-GB"/>
        </w:rPr>
        <w:t>14</w:t>
      </w:r>
      <w:r w:rsidRPr="00E42800">
        <w:rPr>
          <w:sz w:val="24"/>
          <w:szCs w:val="24"/>
          <w:lang w:val="en-GB"/>
        </w:rPr>
        <w:t>C] radiolabelled bosutinib in rats demonstrated excretion of bosutinib-derived radioactivity in breast milk (see section 5.3). A potential risk to the breast-feeding infant cannot be excluded. Breast-feeding should be discontinued during treatment with bosutinib.</w:t>
      </w:r>
    </w:p>
    <w:p w14:paraId="10FD93D8" w14:textId="77777777" w:rsidR="00E42800" w:rsidRPr="00E42800" w:rsidRDefault="00E42800" w:rsidP="00E42800">
      <w:pPr>
        <w:tabs>
          <w:tab w:val="left" w:pos="851"/>
        </w:tabs>
        <w:ind w:left="851"/>
        <w:rPr>
          <w:sz w:val="24"/>
          <w:szCs w:val="24"/>
          <w:lang w:val="en-GB"/>
        </w:rPr>
      </w:pPr>
    </w:p>
    <w:p w14:paraId="6B1D7DBD" w14:textId="77777777" w:rsidR="00E42800" w:rsidRPr="00E42800" w:rsidRDefault="00E42800" w:rsidP="00E42800">
      <w:pPr>
        <w:tabs>
          <w:tab w:val="left" w:pos="851"/>
        </w:tabs>
        <w:ind w:left="851"/>
        <w:rPr>
          <w:sz w:val="24"/>
          <w:szCs w:val="24"/>
          <w:lang w:val="en-GB"/>
        </w:rPr>
      </w:pPr>
      <w:r w:rsidRPr="00E42800">
        <w:rPr>
          <w:sz w:val="24"/>
          <w:szCs w:val="24"/>
          <w:u w:val="single"/>
          <w:lang w:val="en-GB"/>
        </w:rPr>
        <w:t>Fertility</w:t>
      </w:r>
    </w:p>
    <w:p w14:paraId="656DA54F" w14:textId="77777777" w:rsidR="00E42800" w:rsidRPr="00E42800" w:rsidRDefault="00E42800" w:rsidP="00E42800">
      <w:pPr>
        <w:tabs>
          <w:tab w:val="left" w:pos="851"/>
        </w:tabs>
        <w:ind w:left="851"/>
        <w:rPr>
          <w:sz w:val="24"/>
          <w:szCs w:val="24"/>
          <w:lang w:val="en-GB"/>
        </w:rPr>
      </w:pPr>
      <w:r w:rsidRPr="00E42800">
        <w:rPr>
          <w:sz w:val="24"/>
          <w:szCs w:val="24"/>
          <w:lang w:val="en-GB"/>
        </w:rPr>
        <w:t>Based on non-clinical findings, bosutinib has the potential to impair reproductive function and fertility in humans (see section 5.3). Men being treated with bosutinib are advised to seek advice on conservation of sperm prior to treatment because of the possibility of decreased fertility due to therapy with bosutinib.</w:t>
      </w:r>
    </w:p>
    <w:p w14:paraId="3A6BA609" w14:textId="77777777" w:rsidR="00E42800" w:rsidRPr="00E42800" w:rsidRDefault="00E42800" w:rsidP="00E42800">
      <w:pPr>
        <w:tabs>
          <w:tab w:val="left" w:pos="851"/>
        </w:tabs>
        <w:ind w:left="851"/>
        <w:rPr>
          <w:sz w:val="24"/>
          <w:szCs w:val="24"/>
          <w:lang w:val="en-GB"/>
        </w:rPr>
      </w:pPr>
    </w:p>
    <w:p w14:paraId="6771C8AB"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51BB1B03" w14:textId="77777777" w:rsidR="00883D1B" w:rsidRDefault="00883D1B" w:rsidP="00883D1B">
      <w:pPr>
        <w:tabs>
          <w:tab w:val="left" w:pos="851"/>
        </w:tabs>
        <w:ind w:left="851"/>
        <w:rPr>
          <w:sz w:val="24"/>
          <w:szCs w:val="24"/>
          <w:lang w:val="en-GB"/>
        </w:rPr>
      </w:pPr>
      <w:r>
        <w:rPr>
          <w:sz w:val="24"/>
          <w:szCs w:val="24"/>
          <w:lang w:val="en-GB"/>
        </w:rPr>
        <w:t>No traffic warning.</w:t>
      </w:r>
    </w:p>
    <w:p w14:paraId="053F8C8E" w14:textId="700D852E" w:rsidR="00883D1B" w:rsidRPr="00883D1B" w:rsidRDefault="00883D1B" w:rsidP="00883D1B">
      <w:pPr>
        <w:tabs>
          <w:tab w:val="left" w:pos="851"/>
        </w:tabs>
        <w:ind w:left="851"/>
        <w:rPr>
          <w:sz w:val="24"/>
          <w:szCs w:val="24"/>
          <w:lang w:val="en-GB"/>
        </w:rPr>
      </w:pPr>
      <w:r w:rsidRPr="00883D1B">
        <w:rPr>
          <w:sz w:val="24"/>
          <w:szCs w:val="24"/>
          <w:lang w:val="en-GB"/>
        </w:rPr>
        <w:t>Bosutinib has no or negligible influence on the ability to drive and use machines. However, if a patient taking bosutinib experiences dizziness, fatigue, visual impairment or other undesirable effects with a potential impact on the ability to drive or use machines safely, the patient should refrain from these activities for as long as the undesirable effects persist.</w:t>
      </w:r>
    </w:p>
    <w:p w14:paraId="1FE3233F" w14:textId="0AE8E33B" w:rsidR="00CC038E" w:rsidRDefault="00CC038E">
      <w:pPr>
        <w:rPr>
          <w:sz w:val="24"/>
          <w:szCs w:val="24"/>
          <w:lang w:val="en-GB"/>
        </w:rPr>
      </w:pPr>
      <w:r>
        <w:rPr>
          <w:sz w:val="24"/>
          <w:szCs w:val="24"/>
          <w:lang w:val="en-GB"/>
        </w:rPr>
        <w:br w:type="page"/>
      </w:r>
    </w:p>
    <w:p w14:paraId="2361F4A6" w14:textId="77777777" w:rsidR="007C5D2A" w:rsidRPr="00883D1B" w:rsidRDefault="007C5D2A" w:rsidP="003E0341">
      <w:pPr>
        <w:tabs>
          <w:tab w:val="left" w:pos="851"/>
        </w:tabs>
        <w:ind w:left="851"/>
        <w:rPr>
          <w:sz w:val="24"/>
          <w:szCs w:val="24"/>
          <w:lang w:val="en-GB"/>
        </w:rPr>
      </w:pPr>
    </w:p>
    <w:p w14:paraId="67CBF596"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47119112" w14:textId="77777777" w:rsidR="00883D1B" w:rsidRPr="00E14D63" w:rsidRDefault="00883D1B" w:rsidP="00883D1B">
      <w:pPr>
        <w:keepNext/>
        <w:keepLines/>
        <w:autoSpaceDE w:val="0"/>
        <w:autoSpaceDN w:val="0"/>
        <w:adjustRightInd w:val="0"/>
        <w:ind w:left="851"/>
        <w:jc w:val="both"/>
        <w:rPr>
          <w:sz w:val="24"/>
          <w:szCs w:val="24"/>
          <w:lang w:val="en-US"/>
        </w:rPr>
      </w:pPr>
    </w:p>
    <w:p w14:paraId="07F74585" w14:textId="77777777" w:rsidR="00883D1B" w:rsidRPr="00883D1B" w:rsidRDefault="00883D1B" w:rsidP="00883D1B">
      <w:pPr>
        <w:keepNext/>
        <w:keepLines/>
        <w:autoSpaceDE w:val="0"/>
        <w:autoSpaceDN w:val="0"/>
        <w:adjustRightInd w:val="0"/>
        <w:ind w:left="851"/>
        <w:jc w:val="both"/>
        <w:rPr>
          <w:sz w:val="24"/>
          <w:szCs w:val="24"/>
          <w:u w:val="single"/>
          <w:lang w:val="en-US"/>
        </w:rPr>
      </w:pPr>
      <w:r w:rsidRPr="00883D1B">
        <w:rPr>
          <w:sz w:val="24"/>
          <w:szCs w:val="24"/>
          <w:u w:val="single"/>
          <w:lang w:val="en-US"/>
        </w:rPr>
        <w:t>Summary of safety profile</w:t>
      </w:r>
    </w:p>
    <w:p w14:paraId="3432BAF6"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A total of 1,372 leukaemia patients received at least 1 dose of single-agent bosutinib. The median duration of therapy was 26.30 months (range: 0.03 to 170.49 months). These patients were either newly-diagnosed, with CP CML or were resistant or intolerant to prior therapy with chronic, accelerated, or blast phase CML or Ph+ acute lymphoblastic leukaemia (ALL). Of these patients, 268 (400 mg starting dose) and 248 (500 mg starting dose) are from the 2 Phase 3 studies in previously untreated CML patients, 60 (400 mg starting dose) are from a Phase 2 study in previously untreated CML patients, 570 and 63 (Phase 2: 500 mg starting dose) are from 2 Phase 1/2 studies in previously treated Ph+ leukaemias, and 163 (500 mg starting dose) are from a Phase 4 study in previously treated CML. The median duration of therapy was 55.1 months (range: 0. 2 to 60.05 months), 61.6 months (0.03 to 145.86 months), 15.3 months (range: 0.3 to 21.8 months), 11.1 months (range: 0.03 to 170.49 months), 30.2 months (range: 0.2 to 85.6 months), and 37.80 months (range: 0.16 to 50.0 months), respectively. The safety analyses included data from a completed extension study.</w:t>
      </w:r>
    </w:p>
    <w:p w14:paraId="193B3953" w14:textId="77777777" w:rsidR="00883D1B" w:rsidRPr="00883D1B" w:rsidRDefault="00883D1B" w:rsidP="00883D1B">
      <w:pPr>
        <w:autoSpaceDE w:val="0"/>
        <w:autoSpaceDN w:val="0"/>
        <w:adjustRightInd w:val="0"/>
        <w:ind w:left="851"/>
        <w:rPr>
          <w:sz w:val="24"/>
          <w:szCs w:val="24"/>
          <w:lang w:val="en-US"/>
        </w:rPr>
      </w:pPr>
    </w:p>
    <w:p w14:paraId="1012E359"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At least 1 adverse reaction of any toxicity grade was reported for 1,349 (98.3%) patients. The most frequent adverse reactions reported for ≥ 20% of patients were diarrhoea (80.4%), nausea (41.5%), abdominal pain (35.6%), thrombocytopenia (34.4%), vomiting (33.7%), rash (32.8%), ALT increased (28.0%), anaemia (27.2%), pyrexia (23.4%), AST increased (22.5%), fatigue (32.0%), and headache (20.3%). At least 1 Grade 3 or Grade 4 adverse reaction was reported for 943 (68.7%) patients. The Grade 3 or Grade 4 adverse reactions reported for ≥ 5% of patients were thrombocytopenia (19.7%), ALT increased (14.6%), neutropenia (10.6%), diarrhoea (10.6%), anaemia (10.3%), lipase increased</w:t>
      </w:r>
    </w:p>
    <w:p w14:paraId="3FA877AB"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(10.1%), AST increased (6.7%), and rash (5.0%).</w:t>
      </w:r>
    </w:p>
    <w:p w14:paraId="3D03A6A6" w14:textId="77777777" w:rsidR="00883D1B" w:rsidRPr="00883D1B" w:rsidRDefault="00883D1B" w:rsidP="00883D1B">
      <w:pPr>
        <w:autoSpaceDE w:val="0"/>
        <w:autoSpaceDN w:val="0"/>
        <w:adjustRightInd w:val="0"/>
        <w:ind w:left="851"/>
        <w:rPr>
          <w:sz w:val="24"/>
          <w:szCs w:val="24"/>
          <w:lang w:val="en-US"/>
        </w:rPr>
      </w:pPr>
    </w:p>
    <w:p w14:paraId="501D0BBD" w14:textId="77777777" w:rsidR="00883D1B" w:rsidRPr="00883D1B" w:rsidRDefault="00883D1B" w:rsidP="00883D1B">
      <w:pPr>
        <w:keepNext/>
        <w:autoSpaceDE w:val="0"/>
        <w:autoSpaceDN w:val="0"/>
        <w:adjustRightInd w:val="0"/>
        <w:ind w:left="851"/>
        <w:rPr>
          <w:sz w:val="24"/>
          <w:szCs w:val="24"/>
          <w:u w:val="single"/>
          <w:lang w:val="en-US"/>
        </w:rPr>
      </w:pPr>
      <w:r w:rsidRPr="00883D1B">
        <w:rPr>
          <w:sz w:val="24"/>
          <w:szCs w:val="24"/>
          <w:u w:val="single"/>
          <w:lang w:val="en-US"/>
        </w:rPr>
        <w:t>Tabulated list of adverse reactions</w:t>
      </w:r>
    </w:p>
    <w:p w14:paraId="05583EE9"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The following adverse reactions were reported in patients in bosutinib clinical studies (Table 2). These represent an evaluation of the adverse reaction data from 1,372 patients with either newly-diagnosed CP CML or with chronic, accelerated, or blast phase CML resistant or intolerant to prior therapy or Ph+ALL who have received at least 1 dose of single-agent bosutinib. These adverse reactions are presented by system organ class and frequency. Frequency categories are defined as: very common (≥ 1/10), common (≥ 1/100 to &lt; 1/10), uncommon (≥ 1/1,000 to &lt;  /100), rare (≥ 1/10,000 to &lt; 1/1,000), very rare (&lt; 1/10,000), not known (cannot be estimated from the available data). Within each frequency grouping, adverse reactions are presented in order of decreasing seriousness.</w:t>
      </w:r>
    </w:p>
    <w:p w14:paraId="25721DAE" w14:textId="77777777" w:rsidR="00883D1B" w:rsidRPr="00883D1B" w:rsidRDefault="00883D1B" w:rsidP="00883D1B">
      <w:pPr>
        <w:autoSpaceDE w:val="0"/>
        <w:autoSpaceDN w:val="0"/>
        <w:adjustRightInd w:val="0"/>
        <w:ind w:left="851"/>
        <w:jc w:val="both"/>
        <w:rPr>
          <w:sz w:val="24"/>
          <w:szCs w:val="24"/>
          <w:lang w:val="en-US"/>
        </w:rPr>
      </w:pPr>
    </w:p>
    <w:p w14:paraId="25E9560F" w14:textId="77777777" w:rsidR="00883D1B" w:rsidRPr="00883D1B" w:rsidRDefault="00883D1B" w:rsidP="00883D1B">
      <w:pPr>
        <w:keepNext/>
        <w:autoSpaceDE w:val="0"/>
        <w:autoSpaceDN w:val="0"/>
        <w:adjustRightInd w:val="0"/>
        <w:ind w:left="1134" w:hanging="1134"/>
        <w:jc w:val="both"/>
        <w:rPr>
          <w:b/>
          <w:szCs w:val="22"/>
          <w:lang w:val="en-US"/>
        </w:rPr>
      </w:pPr>
      <w:r w:rsidRPr="00883D1B">
        <w:rPr>
          <w:b/>
          <w:szCs w:val="22"/>
          <w:lang w:val="en-US"/>
        </w:rPr>
        <w:t>Table 2</w:t>
      </w:r>
      <w:r w:rsidRPr="00883D1B">
        <w:rPr>
          <w:b/>
          <w:szCs w:val="22"/>
          <w:lang w:val="en-US"/>
        </w:rPr>
        <w:tab/>
        <w:t>Adverse reactions for bosutinib</w:t>
      </w:r>
    </w:p>
    <w:tbl>
      <w:tblPr>
        <w:tblW w:w="4994" w:type="pct"/>
        <w:tblLook w:val="04A0" w:firstRow="1" w:lastRow="0" w:firstColumn="1" w:lastColumn="0" w:noHBand="0" w:noVBand="1"/>
      </w:tblPr>
      <w:tblGrid>
        <w:gridCol w:w="1652"/>
        <w:gridCol w:w="7964"/>
      </w:tblGrid>
      <w:tr w:rsidR="00883D1B" w:rsidRPr="0072600F" w14:paraId="5B8A36C4"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0397399F" w14:textId="77777777" w:rsidR="00883D1B" w:rsidRPr="0072600F" w:rsidRDefault="00883D1B">
            <w:pPr>
              <w:autoSpaceDE w:val="0"/>
              <w:autoSpaceDN w:val="0"/>
              <w:adjustRightInd w:val="0"/>
              <w:rPr>
                <w:szCs w:val="22"/>
              </w:rPr>
            </w:pPr>
            <w:r w:rsidRPr="0072600F">
              <w:rPr>
                <w:szCs w:val="22"/>
              </w:rPr>
              <w:t>Infections and infestations</w:t>
            </w:r>
          </w:p>
        </w:tc>
      </w:tr>
      <w:tr w:rsidR="00883D1B" w:rsidRPr="00E14D63" w14:paraId="307431FE"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6063EB45" w14:textId="77777777" w:rsidR="00883D1B" w:rsidRPr="0072600F" w:rsidRDefault="00883D1B">
            <w:pPr>
              <w:autoSpaceDE w:val="0"/>
              <w:autoSpaceDN w:val="0"/>
              <w:adjustRightInd w:val="0"/>
              <w:rPr>
                <w:szCs w:val="22"/>
              </w:rPr>
            </w:pPr>
            <w:r w:rsidRPr="0072600F">
              <w:rPr>
                <w:szCs w:val="22"/>
              </w:rPr>
              <w:t>very common</w:t>
            </w:r>
          </w:p>
        </w:tc>
        <w:tc>
          <w:tcPr>
            <w:tcW w:w="4141" w:type="pct"/>
            <w:tcBorders>
              <w:top w:val="single" w:sz="4" w:space="0" w:color="auto"/>
              <w:left w:val="single" w:sz="4" w:space="0" w:color="auto"/>
              <w:bottom w:val="single" w:sz="4" w:space="0" w:color="auto"/>
              <w:right w:val="single" w:sz="4" w:space="0" w:color="auto"/>
            </w:tcBorders>
            <w:hideMark/>
          </w:tcPr>
          <w:p w14:paraId="7445AFBF" w14:textId="77777777" w:rsidR="00883D1B" w:rsidRPr="0072600F" w:rsidRDefault="00883D1B">
            <w:pPr>
              <w:autoSpaceDE w:val="0"/>
              <w:autoSpaceDN w:val="0"/>
              <w:adjustRightInd w:val="0"/>
              <w:rPr>
                <w:szCs w:val="22"/>
                <w:lang w:val="en-US"/>
              </w:rPr>
            </w:pPr>
            <w:r w:rsidRPr="0072600F">
              <w:rPr>
                <w:szCs w:val="22"/>
                <w:lang w:val="en-US"/>
              </w:rPr>
              <w:t>respiratory tract infection (including lower respiratory tract infection, respiratory tract infection viral, upper respiratory tract infection, viral upper respiratory tract infection); nasopharyngitis</w:t>
            </w:r>
          </w:p>
        </w:tc>
      </w:tr>
      <w:tr w:rsidR="00883D1B" w:rsidRPr="00E14D63" w14:paraId="2A5118F8"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74AE9DA2"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69E2512D" w14:textId="77777777" w:rsidR="00883D1B" w:rsidRPr="0072600F" w:rsidRDefault="00883D1B">
            <w:pPr>
              <w:autoSpaceDE w:val="0"/>
              <w:autoSpaceDN w:val="0"/>
              <w:adjustRightInd w:val="0"/>
              <w:rPr>
                <w:szCs w:val="22"/>
                <w:lang w:val="en-US"/>
              </w:rPr>
            </w:pPr>
            <w:r w:rsidRPr="0072600F">
              <w:rPr>
                <w:szCs w:val="22"/>
                <w:lang w:val="en-US"/>
              </w:rPr>
              <w:t>pneumonia (including atypical pneumonia, pneumonia bacterial, pneumonia fungal, pneumonia necrotising, pneumonia streptococcal); influenza (including Influenza H1N1); bronchitis</w:t>
            </w:r>
          </w:p>
        </w:tc>
      </w:tr>
      <w:tr w:rsidR="00883D1B" w:rsidRPr="00E14D63" w14:paraId="67B342B2"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0437B1F9" w14:textId="77777777" w:rsidR="00883D1B" w:rsidRPr="0072600F" w:rsidRDefault="00883D1B">
            <w:pPr>
              <w:autoSpaceDE w:val="0"/>
              <w:autoSpaceDN w:val="0"/>
              <w:adjustRightInd w:val="0"/>
              <w:rPr>
                <w:szCs w:val="22"/>
                <w:lang w:val="en-US"/>
              </w:rPr>
            </w:pPr>
            <w:r w:rsidRPr="0072600F">
              <w:rPr>
                <w:szCs w:val="22"/>
                <w:lang w:val="en-US"/>
              </w:rPr>
              <w:t>Neoplasms benign, malignant and unspecified (incl cysts and polyps)</w:t>
            </w:r>
          </w:p>
        </w:tc>
      </w:tr>
      <w:tr w:rsidR="00883D1B" w:rsidRPr="0072600F" w14:paraId="6A4201BD"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63128B11" w14:textId="77777777" w:rsidR="00883D1B" w:rsidRPr="0072600F" w:rsidRDefault="00883D1B">
            <w:pPr>
              <w:autoSpaceDE w:val="0"/>
              <w:autoSpaceDN w:val="0"/>
              <w:adjustRightInd w:val="0"/>
              <w:rPr>
                <w:szCs w:val="22"/>
              </w:rPr>
            </w:pPr>
            <w:r w:rsidRPr="0072600F">
              <w:rPr>
                <w:szCs w:val="22"/>
              </w:rPr>
              <w:t>uncommon</w:t>
            </w:r>
          </w:p>
        </w:tc>
        <w:tc>
          <w:tcPr>
            <w:tcW w:w="4141" w:type="pct"/>
            <w:tcBorders>
              <w:top w:val="single" w:sz="4" w:space="0" w:color="auto"/>
              <w:left w:val="single" w:sz="4" w:space="0" w:color="auto"/>
              <w:bottom w:val="single" w:sz="4" w:space="0" w:color="auto"/>
              <w:right w:val="single" w:sz="4" w:space="0" w:color="auto"/>
            </w:tcBorders>
            <w:hideMark/>
          </w:tcPr>
          <w:p w14:paraId="596DF44D" w14:textId="77777777" w:rsidR="00883D1B" w:rsidRPr="0072600F" w:rsidRDefault="00883D1B">
            <w:pPr>
              <w:autoSpaceDE w:val="0"/>
              <w:autoSpaceDN w:val="0"/>
              <w:adjustRightInd w:val="0"/>
              <w:rPr>
                <w:szCs w:val="22"/>
              </w:rPr>
            </w:pPr>
            <w:r w:rsidRPr="0072600F">
              <w:rPr>
                <w:szCs w:val="22"/>
              </w:rPr>
              <w:t>tumour lysis syndrome**</w:t>
            </w:r>
          </w:p>
        </w:tc>
      </w:tr>
      <w:tr w:rsidR="00883D1B" w:rsidRPr="00E14D63" w14:paraId="0359BE0C"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0149B2B7" w14:textId="77777777" w:rsidR="00883D1B" w:rsidRPr="0072600F" w:rsidRDefault="00883D1B">
            <w:pPr>
              <w:autoSpaceDE w:val="0"/>
              <w:autoSpaceDN w:val="0"/>
              <w:adjustRightInd w:val="0"/>
              <w:rPr>
                <w:szCs w:val="22"/>
                <w:lang w:val="en-US"/>
              </w:rPr>
            </w:pPr>
            <w:r w:rsidRPr="0072600F">
              <w:rPr>
                <w:szCs w:val="22"/>
                <w:lang w:val="en-US"/>
              </w:rPr>
              <w:t>Blood and lymphatic system disorders</w:t>
            </w:r>
          </w:p>
        </w:tc>
      </w:tr>
      <w:tr w:rsidR="00883D1B" w:rsidRPr="00E14D63" w14:paraId="72F7D349"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24DC823E" w14:textId="77777777" w:rsidR="00883D1B" w:rsidRPr="0072600F" w:rsidRDefault="00883D1B">
            <w:pPr>
              <w:autoSpaceDE w:val="0"/>
              <w:autoSpaceDN w:val="0"/>
              <w:adjustRightInd w:val="0"/>
              <w:rPr>
                <w:szCs w:val="22"/>
              </w:rPr>
            </w:pPr>
            <w:r w:rsidRPr="0072600F">
              <w:rPr>
                <w:szCs w:val="22"/>
              </w:rPr>
              <w:lastRenderedPageBreak/>
              <w:t>very common</w:t>
            </w:r>
          </w:p>
        </w:tc>
        <w:tc>
          <w:tcPr>
            <w:tcW w:w="4141" w:type="pct"/>
            <w:tcBorders>
              <w:top w:val="single" w:sz="4" w:space="0" w:color="auto"/>
              <w:left w:val="single" w:sz="4" w:space="0" w:color="auto"/>
              <w:bottom w:val="single" w:sz="4" w:space="0" w:color="auto"/>
              <w:right w:val="single" w:sz="4" w:space="0" w:color="auto"/>
            </w:tcBorders>
            <w:hideMark/>
          </w:tcPr>
          <w:p w14:paraId="3A7D461E" w14:textId="77777777" w:rsidR="00883D1B" w:rsidRPr="0072600F" w:rsidRDefault="00883D1B">
            <w:pPr>
              <w:autoSpaceDE w:val="0"/>
              <w:autoSpaceDN w:val="0"/>
              <w:adjustRightInd w:val="0"/>
              <w:rPr>
                <w:szCs w:val="22"/>
                <w:lang w:val="en-US"/>
              </w:rPr>
            </w:pPr>
            <w:r w:rsidRPr="0072600F">
              <w:rPr>
                <w:szCs w:val="22"/>
                <w:lang w:val="en-US"/>
              </w:rPr>
              <w:t>thrombocytopenia (including platelet count decreased); neutropenia (including neutrophil count decreased), anaemia (including haemoglobin decreased, red blood cell count decreased)</w:t>
            </w:r>
          </w:p>
        </w:tc>
      </w:tr>
      <w:tr w:rsidR="00883D1B" w:rsidRPr="00E14D63" w14:paraId="71A07433"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28718CB6"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272FD8E4" w14:textId="77777777" w:rsidR="00883D1B" w:rsidRPr="0072600F" w:rsidRDefault="00883D1B">
            <w:pPr>
              <w:autoSpaceDE w:val="0"/>
              <w:autoSpaceDN w:val="0"/>
              <w:adjustRightInd w:val="0"/>
              <w:rPr>
                <w:szCs w:val="22"/>
                <w:lang w:val="en-US"/>
              </w:rPr>
            </w:pPr>
            <w:r w:rsidRPr="0072600F">
              <w:rPr>
                <w:szCs w:val="22"/>
                <w:lang w:val="en-US"/>
              </w:rPr>
              <w:t>leukopenia (including white blood cell count decreased)</w:t>
            </w:r>
          </w:p>
        </w:tc>
      </w:tr>
      <w:tr w:rsidR="00883D1B" w:rsidRPr="0072600F" w14:paraId="3FF9BBE6"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3396AC68" w14:textId="77777777" w:rsidR="00883D1B" w:rsidRPr="0072600F" w:rsidRDefault="00883D1B">
            <w:pPr>
              <w:autoSpaceDE w:val="0"/>
              <w:autoSpaceDN w:val="0"/>
              <w:adjustRightInd w:val="0"/>
              <w:rPr>
                <w:szCs w:val="22"/>
              </w:rPr>
            </w:pPr>
            <w:r w:rsidRPr="0072600F">
              <w:rPr>
                <w:szCs w:val="22"/>
              </w:rPr>
              <w:t>uncommon</w:t>
            </w:r>
          </w:p>
        </w:tc>
        <w:tc>
          <w:tcPr>
            <w:tcW w:w="4141" w:type="pct"/>
            <w:tcBorders>
              <w:top w:val="single" w:sz="4" w:space="0" w:color="auto"/>
              <w:left w:val="single" w:sz="4" w:space="0" w:color="auto"/>
              <w:bottom w:val="single" w:sz="4" w:space="0" w:color="auto"/>
              <w:right w:val="single" w:sz="4" w:space="0" w:color="auto"/>
            </w:tcBorders>
            <w:hideMark/>
          </w:tcPr>
          <w:p w14:paraId="3660F091" w14:textId="77777777" w:rsidR="00883D1B" w:rsidRPr="0072600F" w:rsidRDefault="00883D1B">
            <w:pPr>
              <w:autoSpaceDE w:val="0"/>
              <w:autoSpaceDN w:val="0"/>
              <w:adjustRightInd w:val="0"/>
              <w:rPr>
                <w:szCs w:val="22"/>
              </w:rPr>
            </w:pPr>
            <w:r w:rsidRPr="0072600F">
              <w:rPr>
                <w:szCs w:val="22"/>
              </w:rPr>
              <w:t>febrile neutropenia, granulocytopenia</w:t>
            </w:r>
          </w:p>
        </w:tc>
      </w:tr>
      <w:tr w:rsidR="00883D1B" w:rsidRPr="0072600F" w14:paraId="1FDFBB17"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6AAA3C7F" w14:textId="77777777" w:rsidR="00883D1B" w:rsidRPr="0072600F" w:rsidRDefault="00883D1B">
            <w:pPr>
              <w:autoSpaceDE w:val="0"/>
              <w:autoSpaceDN w:val="0"/>
              <w:adjustRightInd w:val="0"/>
              <w:rPr>
                <w:szCs w:val="22"/>
              </w:rPr>
            </w:pPr>
            <w:r w:rsidRPr="0072600F">
              <w:rPr>
                <w:szCs w:val="22"/>
              </w:rPr>
              <w:t>Immune system disorders</w:t>
            </w:r>
          </w:p>
        </w:tc>
      </w:tr>
      <w:tr w:rsidR="00883D1B" w:rsidRPr="0072600F" w14:paraId="13AFC4F8"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65192ADC"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118E1B08" w14:textId="77777777" w:rsidR="00883D1B" w:rsidRPr="0072600F" w:rsidRDefault="00883D1B">
            <w:pPr>
              <w:autoSpaceDE w:val="0"/>
              <w:autoSpaceDN w:val="0"/>
              <w:adjustRightInd w:val="0"/>
              <w:rPr>
                <w:szCs w:val="22"/>
              </w:rPr>
            </w:pPr>
            <w:r w:rsidRPr="0072600F">
              <w:rPr>
                <w:szCs w:val="22"/>
              </w:rPr>
              <w:t>drug hypersensitivity</w:t>
            </w:r>
          </w:p>
        </w:tc>
      </w:tr>
      <w:tr w:rsidR="00883D1B" w:rsidRPr="0072600F" w14:paraId="441780B1"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5924275F" w14:textId="77777777" w:rsidR="00883D1B" w:rsidRPr="0072600F" w:rsidRDefault="00883D1B">
            <w:pPr>
              <w:autoSpaceDE w:val="0"/>
              <w:autoSpaceDN w:val="0"/>
              <w:adjustRightInd w:val="0"/>
              <w:rPr>
                <w:szCs w:val="22"/>
              </w:rPr>
            </w:pPr>
            <w:r w:rsidRPr="0072600F">
              <w:rPr>
                <w:szCs w:val="22"/>
              </w:rPr>
              <w:t>uncommon</w:t>
            </w:r>
          </w:p>
        </w:tc>
        <w:tc>
          <w:tcPr>
            <w:tcW w:w="4141" w:type="pct"/>
            <w:tcBorders>
              <w:top w:val="single" w:sz="4" w:space="0" w:color="auto"/>
              <w:left w:val="single" w:sz="4" w:space="0" w:color="auto"/>
              <w:bottom w:val="single" w:sz="4" w:space="0" w:color="auto"/>
              <w:right w:val="single" w:sz="4" w:space="0" w:color="auto"/>
            </w:tcBorders>
            <w:hideMark/>
          </w:tcPr>
          <w:p w14:paraId="5B075A13" w14:textId="77777777" w:rsidR="00883D1B" w:rsidRPr="0072600F" w:rsidRDefault="00883D1B">
            <w:pPr>
              <w:autoSpaceDE w:val="0"/>
              <w:autoSpaceDN w:val="0"/>
              <w:adjustRightInd w:val="0"/>
              <w:rPr>
                <w:szCs w:val="22"/>
              </w:rPr>
            </w:pPr>
            <w:r w:rsidRPr="0072600F">
              <w:rPr>
                <w:szCs w:val="22"/>
              </w:rPr>
              <w:t>anaphylactic shock</w:t>
            </w:r>
          </w:p>
        </w:tc>
      </w:tr>
      <w:tr w:rsidR="00883D1B" w:rsidRPr="0072600F" w14:paraId="1DED3546"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54B0CE75" w14:textId="77777777" w:rsidR="00883D1B" w:rsidRPr="0072600F" w:rsidRDefault="00883D1B">
            <w:pPr>
              <w:autoSpaceDE w:val="0"/>
              <w:autoSpaceDN w:val="0"/>
              <w:adjustRightInd w:val="0"/>
              <w:rPr>
                <w:szCs w:val="22"/>
              </w:rPr>
            </w:pPr>
            <w:r w:rsidRPr="0072600F">
              <w:rPr>
                <w:szCs w:val="22"/>
              </w:rPr>
              <w:t>Metabolism and nutrition disorders</w:t>
            </w:r>
          </w:p>
        </w:tc>
      </w:tr>
      <w:tr w:rsidR="00883D1B" w:rsidRPr="0072600F" w14:paraId="49233D01"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30217EF2" w14:textId="77777777" w:rsidR="00883D1B" w:rsidRPr="0072600F" w:rsidRDefault="00883D1B">
            <w:pPr>
              <w:autoSpaceDE w:val="0"/>
              <w:autoSpaceDN w:val="0"/>
              <w:adjustRightInd w:val="0"/>
              <w:rPr>
                <w:szCs w:val="22"/>
              </w:rPr>
            </w:pPr>
            <w:r w:rsidRPr="0072600F">
              <w:rPr>
                <w:szCs w:val="22"/>
              </w:rPr>
              <w:t>very common</w:t>
            </w:r>
          </w:p>
        </w:tc>
        <w:tc>
          <w:tcPr>
            <w:tcW w:w="4141" w:type="pct"/>
            <w:tcBorders>
              <w:top w:val="single" w:sz="4" w:space="0" w:color="auto"/>
              <w:left w:val="single" w:sz="4" w:space="0" w:color="auto"/>
              <w:bottom w:val="single" w:sz="4" w:space="0" w:color="auto"/>
              <w:right w:val="single" w:sz="4" w:space="0" w:color="auto"/>
            </w:tcBorders>
            <w:hideMark/>
          </w:tcPr>
          <w:p w14:paraId="100FCC74" w14:textId="77777777" w:rsidR="00883D1B" w:rsidRPr="0072600F" w:rsidRDefault="00883D1B">
            <w:pPr>
              <w:autoSpaceDE w:val="0"/>
              <w:autoSpaceDN w:val="0"/>
              <w:adjustRightInd w:val="0"/>
              <w:rPr>
                <w:szCs w:val="22"/>
              </w:rPr>
            </w:pPr>
            <w:r w:rsidRPr="0072600F">
              <w:rPr>
                <w:szCs w:val="22"/>
              </w:rPr>
              <w:t>decreased appetite</w:t>
            </w:r>
          </w:p>
        </w:tc>
      </w:tr>
      <w:tr w:rsidR="00883D1B" w:rsidRPr="00E14D63" w14:paraId="052A4283"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67E83869"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52C9074F" w14:textId="77777777" w:rsidR="00883D1B" w:rsidRPr="0072600F" w:rsidRDefault="00883D1B">
            <w:pPr>
              <w:autoSpaceDE w:val="0"/>
              <w:autoSpaceDN w:val="0"/>
              <w:adjustRightInd w:val="0"/>
              <w:rPr>
                <w:szCs w:val="22"/>
                <w:lang w:val="en-US"/>
              </w:rPr>
            </w:pPr>
            <w:r w:rsidRPr="0072600F">
              <w:rPr>
                <w:szCs w:val="22"/>
                <w:lang w:val="en-US"/>
              </w:rPr>
              <w:t>dehydration; hyperkalaemia (including blood potassium increased), hypophosphataemia (including blood phosphorus decreased)</w:t>
            </w:r>
          </w:p>
        </w:tc>
      </w:tr>
      <w:tr w:rsidR="00883D1B" w:rsidRPr="0072600F" w14:paraId="3F7CA60F"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414642C7" w14:textId="77777777" w:rsidR="00883D1B" w:rsidRPr="0072600F" w:rsidRDefault="00883D1B">
            <w:pPr>
              <w:autoSpaceDE w:val="0"/>
              <w:autoSpaceDN w:val="0"/>
              <w:adjustRightInd w:val="0"/>
              <w:rPr>
                <w:szCs w:val="22"/>
              </w:rPr>
            </w:pPr>
            <w:r w:rsidRPr="0072600F">
              <w:rPr>
                <w:szCs w:val="22"/>
              </w:rPr>
              <w:t>Nervous system disorders</w:t>
            </w:r>
          </w:p>
        </w:tc>
      </w:tr>
      <w:tr w:rsidR="00883D1B" w:rsidRPr="0072600F" w14:paraId="7820BA0F"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2BFB5827" w14:textId="77777777" w:rsidR="00883D1B" w:rsidRPr="0072600F" w:rsidRDefault="00883D1B">
            <w:pPr>
              <w:autoSpaceDE w:val="0"/>
              <w:autoSpaceDN w:val="0"/>
              <w:adjustRightInd w:val="0"/>
              <w:rPr>
                <w:szCs w:val="22"/>
              </w:rPr>
            </w:pPr>
            <w:r w:rsidRPr="0072600F">
              <w:rPr>
                <w:szCs w:val="22"/>
              </w:rPr>
              <w:t>very common</w:t>
            </w:r>
          </w:p>
        </w:tc>
        <w:tc>
          <w:tcPr>
            <w:tcW w:w="4141" w:type="pct"/>
            <w:tcBorders>
              <w:top w:val="single" w:sz="4" w:space="0" w:color="auto"/>
              <w:left w:val="single" w:sz="4" w:space="0" w:color="auto"/>
              <w:bottom w:val="single" w:sz="4" w:space="0" w:color="auto"/>
              <w:right w:val="single" w:sz="4" w:space="0" w:color="auto"/>
            </w:tcBorders>
            <w:hideMark/>
          </w:tcPr>
          <w:p w14:paraId="6471ADAD" w14:textId="77777777" w:rsidR="00883D1B" w:rsidRPr="0072600F" w:rsidRDefault="00883D1B">
            <w:pPr>
              <w:autoSpaceDE w:val="0"/>
              <w:autoSpaceDN w:val="0"/>
              <w:adjustRightInd w:val="0"/>
              <w:rPr>
                <w:szCs w:val="22"/>
              </w:rPr>
            </w:pPr>
            <w:r w:rsidRPr="0072600F">
              <w:rPr>
                <w:szCs w:val="22"/>
              </w:rPr>
              <w:t>dizziness; headache</w:t>
            </w:r>
          </w:p>
        </w:tc>
      </w:tr>
      <w:tr w:rsidR="00883D1B" w:rsidRPr="0072600F" w14:paraId="1295E128"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1A8EC717"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727877B9" w14:textId="77777777" w:rsidR="00883D1B" w:rsidRPr="0072600F" w:rsidRDefault="00883D1B">
            <w:pPr>
              <w:autoSpaceDE w:val="0"/>
              <w:autoSpaceDN w:val="0"/>
              <w:adjustRightInd w:val="0"/>
              <w:rPr>
                <w:szCs w:val="22"/>
              </w:rPr>
            </w:pPr>
            <w:r w:rsidRPr="0072600F">
              <w:rPr>
                <w:szCs w:val="22"/>
              </w:rPr>
              <w:t>dysgeusia</w:t>
            </w:r>
          </w:p>
        </w:tc>
      </w:tr>
      <w:tr w:rsidR="00883D1B" w:rsidRPr="0072600F" w14:paraId="55AF6A28"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1AEB7335" w14:textId="77777777" w:rsidR="00883D1B" w:rsidRPr="0072600F" w:rsidRDefault="00883D1B">
            <w:pPr>
              <w:autoSpaceDE w:val="0"/>
              <w:autoSpaceDN w:val="0"/>
              <w:adjustRightInd w:val="0"/>
              <w:rPr>
                <w:szCs w:val="22"/>
              </w:rPr>
            </w:pPr>
            <w:r w:rsidRPr="0072600F">
              <w:rPr>
                <w:szCs w:val="22"/>
              </w:rPr>
              <w:t>Ear and labyrinth disorders</w:t>
            </w:r>
          </w:p>
        </w:tc>
      </w:tr>
      <w:tr w:rsidR="00883D1B" w:rsidRPr="0072600F" w14:paraId="58A2D9FE"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45885952"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1AD781FF" w14:textId="77777777" w:rsidR="00883D1B" w:rsidRPr="0072600F" w:rsidRDefault="00883D1B">
            <w:pPr>
              <w:autoSpaceDE w:val="0"/>
              <w:autoSpaceDN w:val="0"/>
              <w:adjustRightInd w:val="0"/>
              <w:rPr>
                <w:szCs w:val="22"/>
              </w:rPr>
            </w:pPr>
            <w:r w:rsidRPr="0072600F">
              <w:rPr>
                <w:szCs w:val="22"/>
              </w:rPr>
              <w:t>tinnitus</w:t>
            </w:r>
          </w:p>
        </w:tc>
      </w:tr>
      <w:tr w:rsidR="00883D1B" w:rsidRPr="0072600F" w14:paraId="47968817"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7A91D49D" w14:textId="77777777" w:rsidR="00883D1B" w:rsidRPr="0072600F" w:rsidRDefault="00883D1B">
            <w:pPr>
              <w:autoSpaceDE w:val="0"/>
              <w:autoSpaceDN w:val="0"/>
              <w:adjustRightInd w:val="0"/>
              <w:rPr>
                <w:szCs w:val="22"/>
              </w:rPr>
            </w:pPr>
            <w:r w:rsidRPr="0072600F">
              <w:rPr>
                <w:szCs w:val="22"/>
              </w:rPr>
              <w:t>Cardiac disorders</w:t>
            </w:r>
          </w:p>
        </w:tc>
      </w:tr>
      <w:tr w:rsidR="00883D1B" w:rsidRPr="0072600F" w14:paraId="5BEDDD2A"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74EFBA56"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2BCC693C" w14:textId="77777777" w:rsidR="00883D1B" w:rsidRPr="0072600F" w:rsidRDefault="00883D1B">
            <w:pPr>
              <w:autoSpaceDE w:val="0"/>
              <w:autoSpaceDN w:val="0"/>
              <w:adjustRightInd w:val="0"/>
              <w:rPr>
                <w:szCs w:val="22"/>
              </w:rPr>
            </w:pPr>
            <w:r w:rsidRPr="0072600F">
              <w:rPr>
                <w:szCs w:val="22"/>
              </w:rPr>
              <w:t>pericardial effusion</w:t>
            </w:r>
          </w:p>
        </w:tc>
      </w:tr>
      <w:tr w:rsidR="00883D1B" w:rsidRPr="0072600F" w14:paraId="0457EDA0"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4F4A8134" w14:textId="77777777" w:rsidR="00883D1B" w:rsidRPr="0072600F" w:rsidRDefault="00883D1B">
            <w:pPr>
              <w:autoSpaceDE w:val="0"/>
              <w:autoSpaceDN w:val="0"/>
              <w:adjustRightInd w:val="0"/>
              <w:rPr>
                <w:szCs w:val="22"/>
              </w:rPr>
            </w:pPr>
            <w:r w:rsidRPr="0072600F">
              <w:rPr>
                <w:szCs w:val="22"/>
              </w:rPr>
              <w:t>uncommon</w:t>
            </w:r>
          </w:p>
        </w:tc>
        <w:tc>
          <w:tcPr>
            <w:tcW w:w="4141" w:type="pct"/>
            <w:tcBorders>
              <w:top w:val="single" w:sz="4" w:space="0" w:color="auto"/>
              <w:left w:val="single" w:sz="4" w:space="0" w:color="auto"/>
              <w:bottom w:val="single" w:sz="4" w:space="0" w:color="auto"/>
              <w:right w:val="single" w:sz="4" w:space="0" w:color="auto"/>
            </w:tcBorders>
            <w:hideMark/>
          </w:tcPr>
          <w:p w14:paraId="784B85C6" w14:textId="77777777" w:rsidR="00883D1B" w:rsidRPr="0072600F" w:rsidRDefault="00883D1B">
            <w:pPr>
              <w:autoSpaceDE w:val="0"/>
              <w:autoSpaceDN w:val="0"/>
              <w:adjustRightInd w:val="0"/>
              <w:rPr>
                <w:szCs w:val="22"/>
              </w:rPr>
            </w:pPr>
            <w:r w:rsidRPr="0072600F">
              <w:rPr>
                <w:szCs w:val="22"/>
              </w:rPr>
              <w:t>pericarditis</w:t>
            </w:r>
          </w:p>
        </w:tc>
      </w:tr>
      <w:tr w:rsidR="00883D1B" w:rsidRPr="0072600F" w14:paraId="103AC735"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3C43CDCB" w14:textId="77777777" w:rsidR="00883D1B" w:rsidRPr="0072600F" w:rsidRDefault="00883D1B">
            <w:pPr>
              <w:autoSpaceDE w:val="0"/>
              <w:autoSpaceDN w:val="0"/>
              <w:adjustRightInd w:val="0"/>
              <w:rPr>
                <w:szCs w:val="22"/>
              </w:rPr>
            </w:pPr>
            <w:r w:rsidRPr="0072600F">
              <w:rPr>
                <w:szCs w:val="22"/>
              </w:rPr>
              <w:t>Vascular disorders</w:t>
            </w:r>
          </w:p>
        </w:tc>
      </w:tr>
      <w:tr w:rsidR="00883D1B" w:rsidRPr="00E14D63" w14:paraId="25222BDA"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39F8E34B"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1C348013" w14:textId="77777777" w:rsidR="00883D1B" w:rsidRPr="0072600F" w:rsidRDefault="00883D1B">
            <w:pPr>
              <w:autoSpaceDE w:val="0"/>
              <w:autoSpaceDN w:val="0"/>
              <w:adjustRightInd w:val="0"/>
              <w:rPr>
                <w:szCs w:val="22"/>
                <w:lang w:val="en-US"/>
              </w:rPr>
            </w:pPr>
            <w:r w:rsidRPr="0072600F">
              <w:rPr>
                <w:szCs w:val="22"/>
                <w:lang w:val="en-US"/>
              </w:rPr>
              <w:t>hypertension (including blood pressure increased, blood pressure systolic increased, essential hypertension, hypertensive crisis)</w:t>
            </w:r>
          </w:p>
        </w:tc>
      </w:tr>
      <w:tr w:rsidR="00883D1B" w:rsidRPr="00E14D63" w14:paraId="2D989C1D"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2AF90098" w14:textId="77777777" w:rsidR="00883D1B" w:rsidRPr="0072600F" w:rsidRDefault="00883D1B">
            <w:pPr>
              <w:autoSpaceDE w:val="0"/>
              <w:autoSpaceDN w:val="0"/>
              <w:adjustRightInd w:val="0"/>
              <w:rPr>
                <w:szCs w:val="22"/>
                <w:lang w:val="en-US"/>
              </w:rPr>
            </w:pPr>
            <w:r w:rsidRPr="0072600F">
              <w:rPr>
                <w:szCs w:val="22"/>
                <w:lang w:val="en-US"/>
              </w:rPr>
              <w:t>Respiratory, thoracic and mediastinal disorders</w:t>
            </w:r>
          </w:p>
        </w:tc>
      </w:tr>
      <w:tr w:rsidR="00883D1B" w:rsidRPr="0072600F" w14:paraId="11AC6B84"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52A9D6A8" w14:textId="77777777" w:rsidR="00883D1B" w:rsidRPr="0072600F" w:rsidRDefault="00883D1B">
            <w:pPr>
              <w:autoSpaceDE w:val="0"/>
              <w:autoSpaceDN w:val="0"/>
              <w:adjustRightInd w:val="0"/>
              <w:rPr>
                <w:szCs w:val="22"/>
              </w:rPr>
            </w:pPr>
            <w:r w:rsidRPr="0072600F">
              <w:rPr>
                <w:szCs w:val="22"/>
              </w:rPr>
              <w:t>very common</w:t>
            </w:r>
          </w:p>
        </w:tc>
        <w:tc>
          <w:tcPr>
            <w:tcW w:w="4141" w:type="pct"/>
            <w:tcBorders>
              <w:top w:val="single" w:sz="4" w:space="0" w:color="auto"/>
              <w:left w:val="single" w:sz="4" w:space="0" w:color="auto"/>
              <w:bottom w:val="single" w:sz="4" w:space="0" w:color="auto"/>
              <w:right w:val="single" w:sz="4" w:space="0" w:color="auto"/>
            </w:tcBorders>
            <w:hideMark/>
          </w:tcPr>
          <w:p w14:paraId="589CC7DE" w14:textId="77777777" w:rsidR="00883D1B" w:rsidRPr="0072600F" w:rsidRDefault="00883D1B">
            <w:pPr>
              <w:autoSpaceDE w:val="0"/>
              <w:autoSpaceDN w:val="0"/>
              <w:adjustRightInd w:val="0"/>
              <w:rPr>
                <w:szCs w:val="22"/>
              </w:rPr>
            </w:pPr>
            <w:r w:rsidRPr="0072600F">
              <w:rPr>
                <w:szCs w:val="22"/>
              </w:rPr>
              <w:t>pleural effusion, dyspnoea, cough</w:t>
            </w:r>
          </w:p>
        </w:tc>
      </w:tr>
      <w:tr w:rsidR="00883D1B" w:rsidRPr="00E14D63" w14:paraId="08086885"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1EA54E98"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46C4D411" w14:textId="77777777" w:rsidR="00883D1B" w:rsidRPr="0072600F" w:rsidRDefault="00883D1B">
            <w:pPr>
              <w:autoSpaceDE w:val="0"/>
              <w:autoSpaceDN w:val="0"/>
              <w:adjustRightInd w:val="0"/>
              <w:rPr>
                <w:szCs w:val="22"/>
                <w:lang w:val="en-US"/>
              </w:rPr>
            </w:pPr>
            <w:r w:rsidRPr="0072600F">
              <w:rPr>
                <w:szCs w:val="22"/>
                <w:lang w:val="en-US"/>
              </w:rPr>
              <w:t>pulmonary hypertension (including pulmonary arterial hypertension, pulmonary arterial pressure increased); respiratory failure</w:t>
            </w:r>
          </w:p>
        </w:tc>
      </w:tr>
      <w:tr w:rsidR="00883D1B" w:rsidRPr="00E14D63" w14:paraId="6080299F"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459E6FB6" w14:textId="77777777" w:rsidR="00883D1B" w:rsidRPr="0072600F" w:rsidRDefault="00883D1B">
            <w:pPr>
              <w:autoSpaceDE w:val="0"/>
              <w:autoSpaceDN w:val="0"/>
              <w:adjustRightInd w:val="0"/>
              <w:rPr>
                <w:szCs w:val="22"/>
              </w:rPr>
            </w:pPr>
            <w:r w:rsidRPr="0072600F">
              <w:rPr>
                <w:szCs w:val="22"/>
              </w:rPr>
              <w:t>uncommon</w:t>
            </w:r>
          </w:p>
        </w:tc>
        <w:tc>
          <w:tcPr>
            <w:tcW w:w="4141" w:type="pct"/>
            <w:tcBorders>
              <w:top w:val="single" w:sz="4" w:space="0" w:color="auto"/>
              <w:left w:val="single" w:sz="4" w:space="0" w:color="auto"/>
              <w:bottom w:val="single" w:sz="4" w:space="0" w:color="auto"/>
              <w:right w:val="single" w:sz="4" w:space="0" w:color="auto"/>
            </w:tcBorders>
            <w:hideMark/>
          </w:tcPr>
          <w:p w14:paraId="6A307833" w14:textId="77777777" w:rsidR="00883D1B" w:rsidRPr="0072600F" w:rsidRDefault="00883D1B">
            <w:pPr>
              <w:autoSpaceDE w:val="0"/>
              <w:autoSpaceDN w:val="0"/>
              <w:adjustRightInd w:val="0"/>
              <w:rPr>
                <w:szCs w:val="22"/>
                <w:lang w:val="en-US"/>
              </w:rPr>
            </w:pPr>
            <w:r w:rsidRPr="0072600F">
              <w:rPr>
                <w:szCs w:val="22"/>
                <w:lang w:val="en-US"/>
              </w:rPr>
              <w:t>acute pulmonary oedema (including pulmonary oedema)</w:t>
            </w:r>
          </w:p>
        </w:tc>
      </w:tr>
      <w:tr w:rsidR="00883D1B" w:rsidRPr="0072600F" w14:paraId="713D9F8B"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2FC9A496" w14:textId="77777777" w:rsidR="00883D1B" w:rsidRPr="0072600F" w:rsidRDefault="00883D1B">
            <w:pPr>
              <w:autoSpaceDE w:val="0"/>
              <w:autoSpaceDN w:val="0"/>
              <w:adjustRightInd w:val="0"/>
              <w:rPr>
                <w:szCs w:val="22"/>
              </w:rPr>
            </w:pPr>
            <w:r w:rsidRPr="0072600F">
              <w:rPr>
                <w:szCs w:val="22"/>
              </w:rPr>
              <w:t>not known</w:t>
            </w:r>
          </w:p>
        </w:tc>
        <w:tc>
          <w:tcPr>
            <w:tcW w:w="4141" w:type="pct"/>
            <w:tcBorders>
              <w:top w:val="single" w:sz="4" w:space="0" w:color="auto"/>
              <w:left w:val="single" w:sz="4" w:space="0" w:color="auto"/>
              <w:bottom w:val="single" w:sz="4" w:space="0" w:color="auto"/>
              <w:right w:val="single" w:sz="4" w:space="0" w:color="auto"/>
            </w:tcBorders>
            <w:hideMark/>
          </w:tcPr>
          <w:p w14:paraId="65BBD094" w14:textId="77777777" w:rsidR="00883D1B" w:rsidRPr="0072600F" w:rsidRDefault="00883D1B">
            <w:pPr>
              <w:autoSpaceDE w:val="0"/>
              <w:autoSpaceDN w:val="0"/>
              <w:adjustRightInd w:val="0"/>
              <w:rPr>
                <w:szCs w:val="22"/>
              </w:rPr>
            </w:pPr>
            <w:r w:rsidRPr="0072600F">
              <w:rPr>
                <w:szCs w:val="22"/>
              </w:rPr>
              <w:t>interstitial lung disease</w:t>
            </w:r>
          </w:p>
        </w:tc>
      </w:tr>
      <w:tr w:rsidR="00883D1B" w:rsidRPr="0072600F" w14:paraId="04EADCFD" w14:textId="77777777" w:rsidTr="00883D1B">
        <w:trPr>
          <w:trHeight w:val="283"/>
        </w:trPr>
        <w:tc>
          <w:tcPr>
            <w:tcW w:w="5000" w:type="pct"/>
            <w:gridSpan w:val="2"/>
            <w:tcBorders>
              <w:top w:val="single" w:sz="4" w:space="0" w:color="auto"/>
              <w:left w:val="single" w:sz="4" w:space="0" w:color="auto"/>
              <w:bottom w:val="single" w:sz="4" w:space="0" w:color="auto"/>
              <w:right w:val="single" w:sz="4" w:space="0" w:color="auto"/>
            </w:tcBorders>
            <w:hideMark/>
          </w:tcPr>
          <w:p w14:paraId="641E9945" w14:textId="77777777" w:rsidR="00883D1B" w:rsidRPr="0072600F" w:rsidRDefault="00883D1B">
            <w:pPr>
              <w:autoSpaceDE w:val="0"/>
              <w:autoSpaceDN w:val="0"/>
              <w:adjustRightInd w:val="0"/>
              <w:rPr>
                <w:szCs w:val="22"/>
              </w:rPr>
            </w:pPr>
            <w:r w:rsidRPr="0072600F">
              <w:rPr>
                <w:szCs w:val="22"/>
              </w:rPr>
              <w:t>Gastrointestinal disorders</w:t>
            </w:r>
          </w:p>
        </w:tc>
      </w:tr>
      <w:tr w:rsidR="00883D1B" w:rsidRPr="00E14D63" w14:paraId="4F68D795"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412C7F1F" w14:textId="77777777" w:rsidR="00883D1B" w:rsidRPr="0072600F" w:rsidRDefault="00883D1B">
            <w:pPr>
              <w:autoSpaceDE w:val="0"/>
              <w:autoSpaceDN w:val="0"/>
              <w:adjustRightInd w:val="0"/>
              <w:rPr>
                <w:szCs w:val="22"/>
              </w:rPr>
            </w:pPr>
            <w:r w:rsidRPr="0072600F">
              <w:rPr>
                <w:szCs w:val="22"/>
              </w:rPr>
              <w:t>very common</w:t>
            </w:r>
          </w:p>
        </w:tc>
        <w:tc>
          <w:tcPr>
            <w:tcW w:w="4141" w:type="pct"/>
            <w:tcBorders>
              <w:top w:val="single" w:sz="4" w:space="0" w:color="auto"/>
              <w:left w:val="single" w:sz="4" w:space="0" w:color="auto"/>
              <w:bottom w:val="single" w:sz="4" w:space="0" w:color="auto"/>
              <w:right w:val="single" w:sz="4" w:space="0" w:color="auto"/>
            </w:tcBorders>
            <w:hideMark/>
          </w:tcPr>
          <w:p w14:paraId="63159E5A" w14:textId="77777777" w:rsidR="00883D1B" w:rsidRPr="0072600F" w:rsidRDefault="00883D1B">
            <w:pPr>
              <w:autoSpaceDE w:val="0"/>
              <w:autoSpaceDN w:val="0"/>
              <w:adjustRightInd w:val="0"/>
              <w:rPr>
                <w:szCs w:val="22"/>
                <w:lang w:val="en-US"/>
              </w:rPr>
            </w:pPr>
            <w:r w:rsidRPr="0072600F">
              <w:rPr>
                <w:szCs w:val="22"/>
                <w:lang w:val="en-US"/>
              </w:rPr>
              <w:t>diarrhoea; vomiting; nausea; abdominal pain (including abdominal discomfort, abdominal pain lower, abdominal pain upper, abdominal tenderness, gastrointestinal pain)</w:t>
            </w:r>
          </w:p>
        </w:tc>
      </w:tr>
      <w:tr w:rsidR="00883D1B" w:rsidRPr="00E14D63" w14:paraId="2E0C0B7A"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042356C2"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5AC40BF8" w14:textId="77777777" w:rsidR="00883D1B" w:rsidRPr="0072600F" w:rsidRDefault="00883D1B">
            <w:pPr>
              <w:autoSpaceDE w:val="0"/>
              <w:autoSpaceDN w:val="0"/>
              <w:adjustRightInd w:val="0"/>
              <w:rPr>
                <w:szCs w:val="22"/>
                <w:lang w:val="en-US"/>
              </w:rPr>
            </w:pPr>
            <w:r w:rsidRPr="0072600F">
              <w:rPr>
                <w:szCs w:val="22"/>
                <w:lang w:val="en-US"/>
              </w:rPr>
              <w:t>gastrointestinal haemorrhage (including anal haemorrhage, gastric haemorrhage, intestinal haemorrhage, lower gastrointestinal haemorrhage, rectal haemorrhage, upper gastrointestinal haemorrhage); pancreatitis (including pancreatitis acute); gastritis</w:t>
            </w:r>
          </w:p>
        </w:tc>
      </w:tr>
      <w:tr w:rsidR="00883D1B" w:rsidRPr="0072600F" w14:paraId="52197510"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1F210DC1" w14:textId="77777777" w:rsidR="00883D1B" w:rsidRPr="0072600F" w:rsidRDefault="00883D1B">
            <w:pPr>
              <w:autoSpaceDE w:val="0"/>
              <w:autoSpaceDN w:val="0"/>
              <w:adjustRightInd w:val="0"/>
              <w:rPr>
                <w:szCs w:val="22"/>
              </w:rPr>
            </w:pPr>
            <w:r w:rsidRPr="0072600F">
              <w:rPr>
                <w:szCs w:val="22"/>
              </w:rPr>
              <w:t>Hepatobiliary disorders</w:t>
            </w:r>
          </w:p>
        </w:tc>
      </w:tr>
      <w:tr w:rsidR="00883D1B" w:rsidRPr="00E14D63" w14:paraId="3B9DFB9A"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35ACB962"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3E50C4E3" w14:textId="77777777" w:rsidR="00883D1B" w:rsidRPr="0072600F" w:rsidRDefault="00883D1B">
            <w:pPr>
              <w:autoSpaceDE w:val="0"/>
              <w:autoSpaceDN w:val="0"/>
              <w:adjustRightInd w:val="0"/>
              <w:rPr>
                <w:szCs w:val="22"/>
                <w:lang w:val="en-US"/>
              </w:rPr>
            </w:pPr>
            <w:r w:rsidRPr="0072600F">
              <w:rPr>
                <w:szCs w:val="22"/>
                <w:lang w:val="en-US"/>
              </w:rPr>
              <w:t>hepatotoxicity (including hepatitis, hepatitis toxic, liver disorder); hepatic function abnormal (including hepatic enzyme increased, liver function test abnormal, liver function test increased, transaminases increased)</w:t>
            </w:r>
          </w:p>
        </w:tc>
      </w:tr>
      <w:tr w:rsidR="00883D1B" w:rsidRPr="00E14D63" w14:paraId="558799AF"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36CA1332" w14:textId="77777777" w:rsidR="00883D1B" w:rsidRPr="0072600F" w:rsidRDefault="00883D1B">
            <w:pPr>
              <w:autoSpaceDE w:val="0"/>
              <w:autoSpaceDN w:val="0"/>
              <w:adjustRightInd w:val="0"/>
              <w:rPr>
                <w:szCs w:val="22"/>
              </w:rPr>
            </w:pPr>
            <w:r w:rsidRPr="0072600F">
              <w:rPr>
                <w:szCs w:val="22"/>
              </w:rPr>
              <w:t>uncommon</w:t>
            </w:r>
          </w:p>
        </w:tc>
        <w:tc>
          <w:tcPr>
            <w:tcW w:w="4141" w:type="pct"/>
            <w:tcBorders>
              <w:top w:val="single" w:sz="4" w:space="0" w:color="auto"/>
              <w:left w:val="single" w:sz="4" w:space="0" w:color="auto"/>
              <w:bottom w:val="single" w:sz="4" w:space="0" w:color="auto"/>
              <w:right w:val="single" w:sz="4" w:space="0" w:color="auto"/>
            </w:tcBorders>
            <w:hideMark/>
          </w:tcPr>
          <w:p w14:paraId="014F2D40" w14:textId="77777777" w:rsidR="00883D1B" w:rsidRPr="0072600F" w:rsidRDefault="00883D1B">
            <w:pPr>
              <w:autoSpaceDE w:val="0"/>
              <w:autoSpaceDN w:val="0"/>
              <w:adjustRightInd w:val="0"/>
              <w:rPr>
                <w:szCs w:val="22"/>
                <w:lang w:val="en-US"/>
              </w:rPr>
            </w:pPr>
            <w:r w:rsidRPr="0072600F">
              <w:rPr>
                <w:szCs w:val="22"/>
                <w:lang w:val="en-US"/>
              </w:rPr>
              <w:t>liver injury (including drug-induced liver injury, hepatocellular injury)</w:t>
            </w:r>
          </w:p>
        </w:tc>
      </w:tr>
      <w:tr w:rsidR="00883D1B" w:rsidRPr="00E14D63" w14:paraId="321F0A07"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4E1FB993" w14:textId="77777777" w:rsidR="00883D1B" w:rsidRPr="0072600F" w:rsidRDefault="00883D1B">
            <w:pPr>
              <w:autoSpaceDE w:val="0"/>
              <w:autoSpaceDN w:val="0"/>
              <w:adjustRightInd w:val="0"/>
              <w:rPr>
                <w:szCs w:val="22"/>
                <w:lang w:val="en-US"/>
              </w:rPr>
            </w:pPr>
            <w:r w:rsidRPr="0072600F">
              <w:rPr>
                <w:szCs w:val="22"/>
                <w:lang w:val="en-US"/>
              </w:rPr>
              <w:t>Skin and subcutaneous tissue disorders</w:t>
            </w:r>
          </w:p>
        </w:tc>
      </w:tr>
      <w:tr w:rsidR="00883D1B" w:rsidRPr="00E14D63" w14:paraId="3DAC09E9"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6BD08F46" w14:textId="77777777" w:rsidR="00883D1B" w:rsidRPr="0072600F" w:rsidRDefault="00883D1B">
            <w:pPr>
              <w:autoSpaceDE w:val="0"/>
              <w:autoSpaceDN w:val="0"/>
              <w:adjustRightInd w:val="0"/>
              <w:rPr>
                <w:szCs w:val="22"/>
              </w:rPr>
            </w:pPr>
            <w:r w:rsidRPr="0072600F">
              <w:rPr>
                <w:szCs w:val="22"/>
              </w:rPr>
              <w:t>very common</w:t>
            </w:r>
          </w:p>
        </w:tc>
        <w:tc>
          <w:tcPr>
            <w:tcW w:w="4141" w:type="pct"/>
            <w:tcBorders>
              <w:top w:val="single" w:sz="4" w:space="0" w:color="auto"/>
              <w:left w:val="single" w:sz="4" w:space="0" w:color="auto"/>
              <w:bottom w:val="single" w:sz="4" w:space="0" w:color="auto"/>
              <w:right w:val="single" w:sz="4" w:space="0" w:color="auto"/>
            </w:tcBorders>
            <w:hideMark/>
          </w:tcPr>
          <w:p w14:paraId="3B155D60" w14:textId="77777777" w:rsidR="00883D1B" w:rsidRPr="0072600F" w:rsidRDefault="00883D1B">
            <w:pPr>
              <w:autoSpaceDE w:val="0"/>
              <w:autoSpaceDN w:val="0"/>
              <w:adjustRightInd w:val="0"/>
              <w:rPr>
                <w:szCs w:val="22"/>
                <w:lang w:val="en-US"/>
              </w:rPr>
            </w:pPr>
            <w:r w:rsidRPr="0072600F">
              <w:rPr>
                <w:szCs w:val="22"/>
                <w:lang w:val="en-US"/>
              </w:rPr>
              <w:t>rash (including rash macular, rash maculo-papular, rash papular, rash pruritic); pruritus</w:t>
            </w:r>
          </w:p>
        </w:tc>
      </w:tr>
      <w:tr w:rsidR="00883D1B" w:rsidRPr="00E14D63" w14:paraId="7186DB87"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0C0507EA"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380D4E6F" w14:textId="77777777" w:rsidR="00883D1B" w:rsidRPr="0072600F" w:rsidRDefault="00883D1B">
            <w:pPr>
              <w:autoSpaceDE w:val="0"/>
              <w:autoSpaceDN w:val="0"/>
              <w:adjustRightInd w:val="0"/>
              <w:rPr>
                <w:szCs w:val="22"/>
                <w:lang w:val="en-US"/>
              </w:rPr>
            </w:pPr>
            <w:r w:rsidRPr="0072600F">
              <w:rPr>
                <w:szCs w:val="22"/>
                <w:lang w:val="en-US"/>
              </w:rPr>
              <w:t>photosensitivity reaction (including polymorphic light eruption), urticaria, acne</w:t>
            </w:r>
          </w:p>
        </w:tc>
      </w:tr>
      <w:tr w:rsidR="00883D1B" w:rsidRPr="0072600F" w14:paraId="2EE42FA3"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5DA0B6C3" w14:textId="77777777" w:rsidR="00883D1B" w:rsidRPr="0072600F" w:rsidRDefault="00883D1B">
            <w:pPr>
              <w:autoSpaceDE w:val="0"/>
              <w:autoSpaceDN w:val="0"/>
              <w:adjustRightInd w:val="0"/>
              <w:rPr>
                <w:szCs w:val="22"/>
              </w:rPr>
            </w:pPr>
            <w:r w:rsidRPr="0072600F">
              <w:rPr>
                <w:szCs w:val="22"/>
              </w:rPr>
              <w:t>uncommon</w:t>
            </w:r>
          </w:p>
        </w:tc>
        <w:tc>
          <w:tcPr>
            <w:tcW w:w="4141" w:type="pct"/>
            <w:tcBorders>
              <w:top w:val="single" w:sz="4" w:space="0" w:color="auto"/>
              <w:left w:val="single" w:sz="4" w:space="0" w:color="auto"/>
              <w:bottom w:val="single" w:sz="4" w:space="0" w:color="auto"/>
              <w:right w:val="single" w:sz="4" w:space="0" w:color="auto"/>
            </w:tcBorders>
            <w:hideMark/>
          </w:tcPr>
          <w:p w14:paraId="79904641" w14:textId="77777777" w:rsidR="00883D1B" w:rsidRPr="0072600F" w:rsidRDefault="00883D1B">
            <w:pPr>
              <w:autoSpaceDE w:val="0"/>
              <w:autoSpaceDN w:val="0"/>
              <w:adjustRightInd w:val="0"/>
              <w:rPr>
                <w:szCs w:val="22"/>
              </w:rPr>
            </w:pPr>
            <w:r w:rsidRPr="0072600F">
              <w:rPr>
                <w:szCs w:val="22"/>
              </w:rPr>
              <w:t>erythema multiforme; exfoliative rash; drug eruption</w:t>
            </w:r>
          </w:p>
        </w:tc>
      </w:tr>
      <w:tr w:rsidR="00883D1B" w:rsidRPr="00E14D63" w14:paraId="70E12CCE"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03045C28" w14:textId="77777777" w:rsidR="00883D1B" w:rsidRPr="0072600F" w:rsidRDefault="00883D1B">
            <w:pPr>
              <w:autoSpaceDE w:val="0"/>
              <w:autoSpaceDN w:val="0"/>
              <w:adjustRightInd w:val="0"/>
              <w:rPr>
                <w:szCs w:val="22"/>
              </w:rPr>
            </w:pPr>
            <w:r w:rsidRPr="0072600F">
              <w:rPr>
                <w:szCs w:val="22"/>
              </w:rPr>
              <w:t>not known</w:t>
            </w:r>
          </w:p>
        </w:tc>
        <w:tc>
          <w:tcPr>
            <w:tcW w:w="4141" w:type="pct"/>
            <w:tcBorders>
              <w:top w:val="single" w:sz="4" w:space="0" w:color="auto"/>
              <w:left w:val="single" w:sz="4" w:space="0" w:color="auto"/>
              <w:bottom w:val="single" w:sz="4" w:space="0" w:color="auto"/>
              <w:right w:val="single" w:sz="4" w:space="0" w:color="auto"/>
            </w:tcBorders>
            <w:hideMark/>
          </w:tcPr>
          <w:p w14:paraId="59501923" w14:textId="77777777" w:rsidR="00883D1B" w:rsidRPr="0072600F" w:rsidRDefault="00883D1B">
            <w:pPr>
              <w:autoSpaceDE w:val="0"/>
              <w:autoSpaceDN w:val="0"/>
              <w:adjustRightInd w:val="0"/>
              <w:rPr>
                <w:szCs w:val="22"/>
                <w:lang w:val="en-US"/>
              </w:rPr>
            </w:pPr>
            <w:r w:rsidRPr="0072600F">
              <w:rPr>
                <w:szCs w:val="22"/>
                <w:lang w:val="en-US"/>
              </w:rPr>
              <w:t>Stevens-Johnson Syndrome**; toxic epidermal necrolysis**</w:t>
            </w:r>
          </w:p>
        </w:tc>
      </w:tr>
      <w:tr w:rsidR="00883D1B" w:rsidRPr="00E14D63" w14:paraId="2CE77CD5"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0980CA8F" w14:textId="77777777" w:rsidR="00883D1B" w:rsidRPr="0072600F" w:rsidRDefault="00883D1B">
            <w:pPr>
              <w:autoSpaceDE w:val="0"/>
              <w:autoSpaceDN w:val="0"/>
              <w:adjustRightInd w:val="0"/>
              <w:rPr>
                <w:szCs w:val="22"/>
                <w:lang w:val="en-US"/>
              </w:rPr>
            </w:pPr>
            <w:r w:rsidRPr="0072600F">
              <w:rPr>
                <w:szCs w:val="22"/>
                <w:lang w:val="en-US"/>
              </w:rPr>
              <w:t>Musculoskeletal and connective tissue disorders</w:t>
            </w:r>
          </w:p>
        </w:tc>
      </w:tr>
      <w:tr w:rsidR="00883D1B" w:rsidRPr="0072600F" w14:paraId="61FB62E2"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47ACC9A6" w14:textId="77777777" w:rsidR="00883D1B" w:rsidRPr="0072600F" w:rsidRDefault="00883D1B">
            <w:pPr>
              <w:autoSpaceDE w:val="0"/>
              <w:autoSpaceDN w:val="0"/>
              <w:adjustRightInd w:val="0"/>
              <w:rPr>
                <w:szCs w:val="22"/>
              </w:rPr>
            </w:pPr>
            <w:r w:rsidRPr="0072600F">
              <w:rPr>
                <w:szCs w:val="22"/>
              </w:rPr>
              <w:t>very common</w:t>
            </w:r>
          </w:p>
        </w:tc>
        <w:tc>
          <w:tcPr>
            <w:tcW w:w="4141" w:type="pct"/>
            <w:tcBorders>
              <w:top w:val="single" w:sz="4" w:space="0" w:color="auto"/>
              <w:left w:val="single" w:sz="4" w:space="0" w:color="auto"/>
              <w:bottom w:val="single" w:sz="4" w:space="0" w:color="auto"/>
              <w:right w:val="single" w:sz="4" w:space="0" w:color="auto"/>
            </w:tcBorders>
            <w:hideMark/>
          </w:tcPr>
          <w:p w14:paraId="4AC0D014" w14:textId="77777777" w:rsidR="00883D1B" w:rsidRPr="0072600F" w:rsidRDefault="00883D1B">
            <w:pPr>
              <w:autoSpaceDE w:val="0"/>
              <w:autoSpaceDN w:val="0"/>
              <w:adjustRightInd w:val="0"/>
              <w:rPr>
                <w:szCs w:val="22"/>
              </w:rPr>
            </w:pPr>
            <w:r w:rsidRPr="0072600F">
              <w:rPr>
                <w:szCs w:val="22"/>
              </w:rPr>
              <w:t>arthralgia; back pain</w:t>
            </w:r>
          </w:p>
        </w:tc>
      </w:tr>
      <w:tr w:rsidR="00883D1B" w:rsidRPr="0072600F" w14:paraId="7DB6604B"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040D6D38"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1223AD27" w14:textId="77777777" w:rsidR="00883D1B" w:rsidRPr="0072600F" w:rsidRDefault="00883D1B">
            <w:pPr>
              <w:autoSpaceDE w:val="0"/>
              <w:autoSpaceDN w:val="0"/>
              <w:adjustRightInd w:val="0"/>
              <w:rPr>
                <w:szCs w:val="22"/>
              </w:rPr>
            </w:pPr>
            <w:r w:rsidRPr="0072600F">
              <w:rPr>
                <w:szCs w:val="22"/>
              </w:rPr>
              <w:t>myalgia</w:t>
            </w:r>
          </w:p>
        </w:tc>
      </w:tr>
      <w:tr w:rsidR="00883D1B" w:rsidRPr="0072600F" w14:paraId="067E65C5"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5899271D" w14:textId="77777777" w:rsidR="00883D1B" w:rsidRPr="0072600F" w:rsidRDefault="00883D1B">
            <w:pPr>
              <w:autoSpaceDE w:val="0"/>
              <w:autoSpaceDN w:val="0"/>
              <w:adjustRightInd w:val="0"/>
              <w:rPr>
                <w:szCs w:val="22"/>
              </w:rPr>
            </w:pPr>
            <w:r w:rsidRPr="0072600F">
              <w:rPr>
                <w:szCs w:val="22"/>
              </w:rPr>
              <w:lastRenderedPageBreak/>
              <w:t>Renal and urinary disorders</w:t>
            </w:r>
          </w:p>
        </w:tc>
      </w:tr>
      <w:tr w:rsidR="00883D1B" w:rsidRPr="00E14D63" w14:paraId="171B2530"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3A12EF10"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036A1102" w14:textId="77777777" w:rsidR="00883D1B" w:rsidRPr="0072600F" w:rsidRDefault="00883D1B">
            <w:pPr>
              <w:autoSpaceDE w:val="0"/>
              <w:autoSpaceDN w:val="0"/>
              <w:adjustRightInd w:val="0"/>
              <w:rPr>
                <w:szCs w:val="22"/>
                <w:lang w:val="en-US"/>
              </w:rPr>
            </w:pPr>
            <w:r w:rsidRPr="0072600F">
              <w:rPr>
                <w:szCs w:val="22"/>
                <w:lang w:val="en-US"/>
              </w:rPr>
              <w:t>acute kidney injury; renal failure; renal impairment</w:t>
            </w:r>
          </w:p>
        </w:tc>
      </w:tr>
      <w:tr w:rsidR="00883D1B" w:rsidRPr="00E14D63" w14:paraId="30E82C67"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076E6367" w14:textId="77777777" w:rsidR="00883D1B" w:rsidRPr="0072600F" w:rsidRDefault="00883D1B">
            <w:pPr>
              <w:autoSpaceDE w:val="0"/>
              <w:autoSpaceDN w:val="0"/>
              <w:adjustRightInd w:val="0"/>
              <w:rPr>
                <w:szCs w:val="22"/>
                <w:lang w:val="en-US"/>
              </w:rPr>
            </w:pPr>
            <w:r w:rsidRPr="0072600F">
              <w:rPr>
                <w:szCs w:val="22"/>
                <w:lang w:val="en-US"/>
              </w:rPr>
              <w:t>General disorders and administration site conditions</w:t>
            </w:r>
          </w:p>
        </w:tc>
      </w:tr>
      <w:tr w:rsidR="00883D1B" w:rsidRPr="00E14D63" w14:paraId="61510728"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55FC37EB" w14:textId="77777777" w:rsidR="00883D1B" w:rsidRPr="0072600F" w:rsidRDefault="00883D1B">
            <w:pPr>
              <w:autoSpaceDE w:val="0"/>
              <w:autoSpaceDN w:val="0"/>
              <w:adjustRightInd w:val="0"/>
              <w:rPr>
                <w:szCs w:val="22"/>
              </w:rPr>
            </w:pPr>
            <w:r w:rsidRPr="0072600F">
              <w:rPr>
                <w:szCs w:val="22"/>
              </w:rPr>
              <w:t>very common</w:t>
            </w:r>
          </w:p>
        </w:tc>
        <w:tc>
          <w:tcPr>
            <w:tcW w:w="4141" w:type="pct"/>
            <w:tcBorders>
              <w:top w:val="single" w:sz="4" w:space="0" w:color="auto"/>
              <w:left w:val="single" w:sz="4" w:space="0" w:color="auto"/>
              <w:bottom w:val="single" w:sz="4" w:space="0" w:color="auto"/>
              <w:right w:val="single" w:sz="4" w:space="0" w:color="auto"/>
            </w:tcBorders>
            <w:hideMark/>
          </w:tcPr>
          <w:p w14:paraId="47FA1DAB" w14:textId="77777777" w:rsidR="00883D1B" w:rsidRPr="0072600F" w:rsidRDefault="00883D1B">
            <w:pPr>
              <w:autoSpaceDE w:val="0"/>
              <w:autoSpaceDN w:val="0"/>
              <w:adjustRightInd w:val="0"/>
              <w:rPr>
                <w:szCs w:val="22"/>
                <w:lang w:val="en-US"/>
              </w:rPr>
            </w:pPr>
            <w:r w:rsidRPr="0072600F">
              <w:rPr>
                <w:szCs w:val="22"/>
                <w:lang w:val="en-US"/>
              </w:rPr>
              <w:t>oedema (including eyelid oedema, face oedema, generalised oedema, localised oedema, oedema peripheral, periorbital oedema, periorbital swelling, peripheral swelling, swelling, swelling of eyelid); pyrexia; fatigue (including asthenia, malaise)</w:t>
            </w:r>
          </w:p>
        </w:tc>
      </w:tr>
      <w:tr w:rsidR="00883D1B" w:rsidRPr="00E14D63" w14:paraId="388605D6"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7C8C61CB"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3090A7E7" w14:textId="77777777" w:rsidR="00883D1B" w:rsidRPr="0072600F" w:rsidRDefault="00883D1B">
            <w:pPr>
              <w:autoSpaceDE w:val="0"/>
              <w:autoSpaceDN w:val="0"/>
              <w:adjustRightInd w:val="0"/>
              <w:rPr>
                <w:szCs w:val="22"/>
                <w:lang w:val="en-US"/>
              </w:rPr>
            </w:pPr>
            <w:r w:rsidRPr="0072600F">
              <w:rPr>
                <w:szCs w:val="22"/>
                <w:lang w:val="en-US"/>
              </w:rPr>
              <w:t>chest pain (including chest discomfort); pain</w:t>
            </w:r>
          </w:p>
        </w:tc>
      </w:tr>
      <w:tr w:rsidR="00883D1B" w:rsidRPr="0072600F" w14:paraId="31616766" w14:textId="77777777" w:rsidTr="00883D1B">
        <w:tc>
          <w:tcPr>
            <w:tcW w:w="5000" w:type="pct"/>
            <w:gridSpan w:val="2"/>
            <w:tcBorders>
              <w:top w:val="single" w:sz="4" w:space="0" w:color="auto"/>
              <w:left w:val="single" w:sz="4" w:space="0" w:color="auto"/>
              <w:bottom w:val="single" w:sz="4" w:space="0" w:color="auto"/>
              <w:right w:val="single" w:sz="4" w:space="0" w:color="auto"/>
            </w:tcBorders>
            <w:hideMark/>
          </w:tcPr>
          <w:p w14:paraId="089AB012" w14:textId="77777777" w:rsidR="00883D1B" w:rsidRPr="0072600F" w:rsidRDefault="00883D1B">
            <w:pPr>
              <w:autoSpaceDE w:val="0"/>
              <w:autoSpaceDN w:val="0"/>
              <w:adjustRightInd w:val="0"/>
              <w:rPr>
                <w:szCs w:val="22"/>
              </w:rPr>
            </w:pPr>
            <w:r w:rsidRPr="0072600F">
              <w:rPr>
                <w:szCs w:val="22"/>
              </w:rPr>
              <w:t>Investigations</w:t>
            </w:r>
          </w:p>
        </w:tc>
      </w:tr>
      <w:tr w:rsidR="00883D1B" w:rsidRPr="00E14D63" w14:paraId="6ABBB8B8"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00C88B20" w14:textId="77777777" w:rsidR="00883D1B" w:rsidRPr="0072600F" w:rsidRDefault="00883D1B">
            <w:pPr>
              <w:autoSpaceDE w:val="0"/>
              <w:autoSpaceDN w:val="0"/>
              <w:adjustRightInd w:val="0"/>
              <w:rPr>
                <w:szCs w:val="22"/>
              </w:rPr>
            </w:pPr>
            <w:r w:rsidRPr="0072600F">
              <w:rPr>
                <w:szCs w:val="22"/>
              </w:rPr>
              <w:t>very common</w:t>
            </w:r>
          </w:p>
        </w:tc>
        <w:tc>
          <w:tcPr>
            <w:tcW w:w="4141" w:type="pct"/>
            <w:tcBorders>
              <w:top w:val="single" w:sz="4" w:space="0" w:color="auto"/>
              <w:left w:val="single" w:sz="4" w:space="0" w:color="auto"/>
              <w:bottom w:val="single" w:sz="4" w:space="0" w:color="auto"/>
              <w:right w:val="single" w:sz="4" w:space="0" w:color="auto"/>
            </w:tcBorders>
            <w:hideMark/>
          </w:tcPr>
          <w:p w14:paraId="288E00A6" w14:textId="77777777" w:rsidR="00883D1B" w:rsidRPr="0072600F" w:rsidRDefault="00883D1B">
            <w:pPr>
              <w:autoSpaceDE w:val="0"/>
              <w:autoSpaceDN w:val="0"/>
              <w:adjustRightInd w:val="0"/>
              <w:rPr>
                <w:szCs w:val="22"/>
                <w:lang w:val="en-US"/>
              </w:rPr>
            </w:pPr>
            <w:r w:rsidRPr="0072600F">
              <w:rPr>
                <w:szCs w:val="22"/>
                <w:lang w:val="en-US"/>
              </w:rPr>
              <w:t>lipase increased (including hyperlipasaemia); alanine aminotransferase increased (including alanine aminotransferase abnormal); aspartate aminotransferase increased; blood creatinine increased</w:t>
            </w:r>
          </w:p>
        </w:tc>
      </w:tr>
      <w:tr w:rsidR="00883D1B" w:rsidRPr="00E14D63" w14:paraId="1E53C0A0" w14:textId="77777777" w:rsidTr="00883D1B">
        <w:tc>
          <w:tcPr>
            <w:tcW w:w="859" w:type="pct"/>
            <w:tcBorders>
              <w:top w:val="single" w:sz="4" w:space="0" w:color="auto"/>
              <w:left w:val="single" w:sz="4" w:space="0" w:color="auto"/>
              <w:bottom w:val="single" w:sz="4" w:space="0" w:color="auto"/>
              <w:right w:val="single" w:sz="4" w:space="0" w:color="auto"/>
            </w:tcBorders>
            <w:hideMark/>
          </w:tcPr>
          <w:p w14:paraId="3EAA5D13" w14:textId="77777777" w:rsidR="00883D1B" w:rsidRPr="0072600F" w:rsidRDefault="00883D1B">
            <w:pPr>
              <w:autoSpaceDE w:val="0"/>
              <w:autoSpaceDN w:val="0"/>
              <w:adjustRightInd w:val="0"/>
              <w:rPr>
                <w:szCs w:val="22"/>
              </w:rPr>
            </w:pPr>
            <w:r w:rsidRPr="0072600F">
              <w:rPr>
                <w:szCs w:val="22"/>
              </w:rPr>
              <w:t>common</w:t>
            </w:r>
          </w:p>
        </w:tc>
        <w:tc>
          <w:tcPr>
            <w:tcW w:w="4141" w:type="pct"/>
            <w:tcBorders>
              <w:top w:val="single" w:sz="4" w:space="0" w:color="auto"/>
              <w:left w:val="single" w:sz="4" w:space="0" w:color="auto"/>
              <w:bottom w:val="single" w:sz="4" w:space="0" w:color="auto"/>
              <w:right w:val="single" w:sz="4" w:space="0" w:color="auto"/>
            </w:tcBorders>
            <w:hideMark/>
          </w:tcPr>
          <w:p w14:paraId="28C16531" w14:textId="77777777" w:rsidR="00883D1B" w:rsidRPr="0072600F" w:rsidRDefault="00883D1B">
            <w:pPr>
              <w:autoSpaceDE w:val="0"/>
              <w:autoSpaceDN w:val="0"/>
              <w:adjustRightInd w:val="0"/>
              <w:rPr>
                <w:szCs w:val="22"/>
                <w:lang w:val="en-US"/>
              </w:rPr>
            </w:pPr>
            <w:r w:rsidRPr="0072600F">
              <w:rPr>
                <w:szCs w:val="22"/>
                <w:lang w:val="en-US"/>
              </w:rPr>
              <w:t>electrocardiogram QT prolonged (including Long QT syndrome); amylase increased (including hyperamylasaemia); blood creatine phosphokinase increased; gamma-glutamyltransferase increased; blood bilirubin increased (including hyperbilirubinaemia, bilirubin conjugated increased, blood bilirubin unconjugated increased)</w:t>
            </w:r>
          </w:p>
        </w:tc>
      </w:tr>
    </w:tbl>
    <w:p w14:paraId="0E1179F8" w14:textId="77777777" w:rsidR="00883D1B" w:rsidRDefault="00883D1B" w:rsidP="00883D1B">
      <w:pPr>
        <w:autoSpaceDE w:val="0"/>
        <w:autoSpaceDN w:val="0"/>
        <w:adjustRightInd w:val="0"/>
        <w:jc w:val="both"/>
        <w:rPr>
          <w:sz w:val="20"/>
          <w:lang w:val="en-GB" w:eastAsia="en-US"/>
        </w:rPr>
      </w:pPr>
      <w:r w:rsidRPr="00883D1B">
        <w:rPr>
          <w:sz w:val="20"/>
          <w:lang w:val="en-US"/>
        </w:rPr>
        <w:t>** Adverse reaction identified post marketing.</w:t>
      </w:r>
    </w:p>
    <w:p w14:paraId="4F80C947" w14:textId="77777777" w:rsidR="00883D1B" w:rsidRPr="00883D1B" w:rsidRDefault="00883D1B" w:rsidP="00883D1B">
      <w:pPr>
        <w:keepNext/>
        <w:autoSpaceDE w:val="0"/>
        <w:autoSpaceDN w:val="0"/>
        <w:adjustRightInd w:val="0"/>
        <w:ind w:left="851"/>
        <w:rPr>
          <w:sz w:val="24"/>
          <w:szCs w:val="24"/>
          <w:u w:val="single"/>
          <w:lang w:val="en-US"/>
        </w:rPr>
      </w:pPr>
    </w:p>
    <w:p w14:paraId="1AB68CC0" w14:textId="77777777" w:rsidR="00883D1B" w:rsidRPr="00883D1B" w:rsidRDefault="00883D1B" w:rsidP="00883D1B">
      <w:pPr>
        <w:keepNext/>
        <w:autoSpaceDE w:val="0"/>
        <w:autoSpaceDN w:val="0"/>
        <w:adjustRightInd w:val="0"/>
        <w:ind w:left="851"/>
        <w:rPr>
          <w:sz w:val="24"/>
          <w:szCs w:val="24"/>
          <w:u w:val="single"/>
          <w:lang w:val="en-US"/>
        </w:rPr>
      </w:pPr>
      <w:r w:rsidRPr="00883D1B">
        <w:rPr>
          <w:sz w:val="24"/>
          <w:szCs w:val="24"/>
          <w:u w:val="single"/>
          <w:lang w:val="en-US"/>
        </w:rPr>
        <w:t>Description of selected adverse reactions</w:t>
      </w:r>
    </w:p>
    <w:p w14:paraId="68426110"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The descriptions included below are based on the safety population of 1,372 patients who received at least 1 dose of bosutinib and had either newly-diagnosed CP CML or were resistant or intolerant to prior therapy with CP, AP, or BP CML, or Ph+ALL.</w:t>
      </w:r>
    </w:p>
    <w:p w14:paraId="55928F4F" w14:textId="77777777" w:rsidR="00883D1B" w:rsidRPr="00883D1B" w:rsidRDefault="00883D1B" w:rsidP="00883D1B">
      <w:pPr>
        <w:autoSpaceDE w:val="0"/>
        <w:autoSpaceDN w:val="0"/>
        <w:adjustRightInd w:val="0"/>
        <w:ind w:left="851"/>
        <w:rPr>
          <w:sz w:val="24"/>
          <w:szCs w:val="24"/>
          <w:lang w:val="en-US"/>
        </w:rPr>
      </w:pPr>
    </w:p>
    <w:p w14:paraId="7290A423" w14:textId="77777777" w:rsidR="00883D1B" w:rsidRPr="00883D1B" w:rsidRDefault="00883D1B" w:rsidP="00883D1B">
      <w:pPr>
        <w:keepNext/>
        <w:autoSpaceDE w:val="0"/>
        <w:autoSpaceDN w:val="0"/>
        <w:adjustRightInd w:val="0"/>
        <w:ind w:left="851"/>
        <w:rPr>
          <w:i/>
          <w:sz w:val="24"/>
          <w:szCs w:val="24"/>
          <w:lang w:val="en-US"/>
        </w:rPr>
      </w:pPr>
      <w:r w:rsidRPr="00883D1B">
        <w:rPr>
          <w:i/>
          <w:sz w:val="24"/>
          <w:szCs w:val="24"/>
          <w:lang w:val="en-US"/>
        </w:rPr>
        <w:t>Blood and lymphatic system disorders</w:t>
      </w:r>
    </w:p>
    <w:p w14:paraId="31F5B5C5"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Of the 372 (27.1%) patients with reports of adverse reactions of anaemia, 6 patients discontinued bosutinib due to anaemia. Maximum toxicity of Grade 1 occurred in 95 (25.5%) patients, Grade 2 in 135 (36.3%) patients, Grade 3 in 113 patients (30.4%), and Grade 4 in 29 (7.8%) patients. Among these patients, the median time to first event was 29 days (range: 1 to 3,999 days) and the median duration per event was 22 days (range: 1 to 3,682 days).</w:t>
      </w:r>
    </w:p>
    <w:p w14:paraId="3A4B2580" w14:textId="77777777" w:rsidR="00883D1B" w:rsidRPr="00883D1B" w:rsidRDefault="00883D1B" w:rsidP="00883D1B">
      <w:pPr>
        <w:autoSpaceDE w:val="0"/>
        <w:autoSpaceDN w:val="0"/>
        <w:adjustRightInd w:val="0"/>
        <w:ind w:left="851"/>
        <w:rPr>
          <w:sz w:val="24"/>
          <w:szCs w:val="24"/>
          <w:lang w:val="en-US"/>
        </w:rPr>
      </w:pPr>
    </w:p>
    <w:p w14:paraId="6FEA7EA8"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Of the 209 (15.2%) patients with reports of adverse reactions of neutropenia, 19 patients discontinued bosutinib due to neutropenia. Maximum toxicity of Grade 1 occurred in 19 patients (9.1%), Grade 2 in 45 (21.5%) patients, Grade 3 in 95 (45.5%) patients, and Grade 4 in 50 (23.9%) patients. Among these patients, the median time to first event was 56 days (range: 1 to 1,769 days), and the median duration per event was 15 days (range: 1 to 913 days).</w:t>
      </w:r>
    </w:p>
    <w:p w14:paraId="1209E719" w14:textId="77777777" w:rsidR="00883D1B" w:rsidRPr="00883D1B" w:rsidRDefault="00883D1B" w:rsidP="00883D1B">
      <w:pPr>
        <w:autoSpaceDE w:val="0"/>
        <w:autoSpaceDN w:val="0"/>
        <w:adjustRightInd w:val="0"/>
        <w:ind w:left="851"/>
        <w:rPr>
          <w:sz w:val="24"/>
          <w:szCs w:val="24"/>
          <w:lang w:val="en-US"/>
        </w:rPr>
      </w:pPr>
    </w:p>
    <w:p w14:paraId="20F36B7F"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Of the 472 (34.4%) patients with reports of adverse reactions of thrombocytopenia, 42 patients discontinued bosutinib due to thrombocytopenia. Maximum toxicity of Grade 1 occurred in 114 (24.2%) patients, Grade 2 in 88 (18.6%) patients, Grade 3 in 172 (36.4%) patients, and Grade 4 in 98 (20.8%) patients. Among these patients, the median time to first event was 28 days (range: 1 to 1,688 days), and median duration per event was 15 days (range: 1 to 3,921 days).</w:t>
      </w:r>
    </w:p>
    <w:p w14:paraId="356FB091" w14:textId="77777777" w:rsidR="00883D1B" w:rsidRPr="00883D1B" w:rsidRDefault="00883D1B" w:rsidP="00883D1B">
      <w:pPr>
        <w:autoSpaceDE w:val="0"/>
        <w:autoSpaceDN w:val="0"/>
        <w:adjustRightInd w:val="0"/>
        <w:ind w:left="851"/>
        <w:rPr>
          <w:sz w:val="24"/>
          <w:szCs w:val="24"/>
          <w:lang w:val="en-US"/>
        </w:rPr>
      </w:pPr>
    </w:p>
    <w:p w14:paraId="18D584D1" w14:textId="77777777" w:rsidR="00883D1B" w:rsidRPr="00883D1B" w:rsidRDefault="00883D1B" w:rsidP="00883D1B">
      <w:pPr>
        <w:keepNext/>
        <w:autoSpaceDE w:val="0"/>
        <w:autoSpaceDN w:val="0"/>
        <w:adjustRightInd w:val="0"/>
        <w:ind w:left="851"/>
        <w:rPr>
          <w:i/>
          <w:sz w:val="24"/>
          <w:szCs w:val="24"/>
          <w:lang w:val="en-US"/>
        </w:rPr>
      </w:pPr>
      <w:r w:rsidRPr="00883D1B">
        <w:rPr>
          <w:i/>
          <w:sz w:val="24"/>
          <w:szCs w:val="24"/>
          <w:lang w:val="en-US"/>
        </w:rPr>
        <w:t>Hepatobiliary disorders</w:t>
      </w:r>
    </w:p>
    <w:p w14:paraId="52550D1B"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Among patients with reports of adverse reactions of elevations in either ALT or AST (all grades), the median time of onset observed was 29 days with a range of onset 1 to 3,995 days for ALT and AST.</w:t>
      </w:r>
    </w:p>
    <w:p w14:paraId="23E4B414"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lastRenderedPageBreak/>
        <w:t>The median duration of an event was 17 days (range: 1 to 1,148 days), and 15 days (range: 1 to 803 days) for ALT and AST, respectively.</w:t>
      </w:r>
    </w:p>
    <w:p w14:paraId="17DD32FE" w14:textId="77777777" w:rsidR="00883D1B" w:rsidRPr="00883D1B" w:rsidRDefault="00883D1B" w:rsidP="00883D1B">
      <w:pPr>
        <w:autoSpaceDE w:val="0"/>
        <w:autoSpaceDN w:val="0"/>
        <w:adjustRightInd w:val="0"/>
        <w:ind w:left="851"/>
        <w:rPr>
          <w:sz w:val="24"/>
          <w:szCs w:val="24"/>
          <w:lang w:val="en-US"/>
        </w:rPr>
      </w:pPr>
    </w:p>
    <w:p w14:paraId="1BF9F7F1"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Two cases consistent with drug-induced liver injury (defined as concurrent elevations in ALT or AST ≥ 3 × ULN with total bilirubin &gt; 2 × ULN and with alkaline phosphatase &lt; 2 × ULN) without alternative causes have occurred in 2/1,711 (0.1%) subjects treated with bosutinib.</w:t>
      </w:r>
    </w:p>
    <w:p w14:paraId="5FA99ED5" w14:textId="77777777" w:rsidR="00883D1B" w:rsidRPr="00883D1B" w:rsidRDefault="00883D1B" w:rsidP="00883D1B">
      <w:pPr>
        <w:autoSpaceDE w:val="0"/>
        <w:autoSpaceDN w:val="0"/>
        <w:adjustRightInd w:val="0"/>
        <w:ind w:left="851"/>
        <w:rPr>
          <w:sz w:val="24"/>
          <w:szCs w:val="24"/>
          <w:lang w:val="en-US"/>
        </w:rPr>
      </w:pPr>
    </w:p>
    <w:p w14:paraId="093F39C2" w14:textId="77777777" w:rsidR="00883D1B" w:rsidRPr="00883D1B" w:rsidRDefault="00883D1B" w:rsidP="00883D1B">
      <w:pPr>
        <w:keepNext/>
        <w:autoSpaceDE w:val="0"/>
        <w:autoSpaceDN w:val="0"/>
        <w:adjustRightInd w:val="0"/>
        <w:ind w:left="851"/>
        <w:rPr>
          <w:i/>
          <w:sz w:val="24"/>
          <w:szCs w:val="24"/>
          <w:lang w:val="en-US"/>
        </w:rPr>
      </w:pPr>
      <w:r w:rsidRPr="00883D1B">
        <w:rPr>
          <w:i/>
          <w:sz w:val="24"/>
          <w:szCs w:val="24"/>
          <w:lang w:val="en-US"/>
        </w:rPr>
        <w:t>Hepatitis B reactivation</w:t>
      </w:r>
    </w:p>
    <w:p w14:paraId="59977BED"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Hepatitis B reactivation has been reported in association with BCR</w:t>
      </w:r>
      <w:r w:rsidRPr="00883D1B">
        <w:rPr>
          <w:sz w:val="24"/>
          <w:szCs w:val="24"/>
          <w:lang w:val="en-US"/>
        </w:rPr>
        <w:noBreakHyphen/>
        <w:t>ABL TKIs. Some cases resulted in acute hepatic failure or fulminant hepatitis leading to liver transplantation or a fatal outcome (see section 4.4).</w:t>
      </w:r>
    </w:p>
    <w:p w14:paraId="237A12A2" w14:textId="77777777" w:rsidR="00883D1B" w:rsidRPr="00883D1B" w:rsidRDefault="00883D1B" w:rsidP="00883D1B">
      <w:pPr>
        <w:autoSpaceDE w:val="0"/>
        <w:autoSpaceDN w:val="0"/>
        <w:adjustRightInd w:val="0"/>
        <w:ind w:left="851"/>
        <w:rPr>
          <w:sz w:val="24"/>
          <w:szCs w:val="24"/>
          <w:lang w:val="en-US"/>
        </w:rPr>
      </w:pPr>
    </w:p>
    <w:p w14:paraId="1D299B08" w14:textId="77777777" w:rsidR="00883D1B" w:rsidRPr="00883D1B" w:rsidRDefault="00883D1B" w:rsidP="00883D1B">
      <w:pPr>
        <w:keepNext/>
        <w:autoSpaceDE w:val="0"/>
        <w:autoSpaceDN w:val="0"/>
        <w:adjustRightInd w:val="0"/>
        <w:ind w:left="851"/>
        <w:rPr>
          <w:i/>
          <w:sz w:val="24"/>
          <w:szCs w:val="24"/>
          <w:lang w:val="en-US"/>
        </w:rPr>
      </w:pPr>
      <w:r w:rsidRPr="00883D1B">
        <w:rPr>
          <w:i/>
          <w:sz w:val="24"/>
          <w:szCs w:val="24"/>
          <w:lang w:val="en-US"/>
        </w:rPr>
        <w:t>Gastrointestinal disorders</w:t>
      </w:r>
    </w:p>
    <w:p w14:paraId="602D5500"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Of the 1,103 (80.4%) patients that experienced diarrhoea, 14 patients discontinued bosutinib due to this event. Concomitant medicinal products were given to treat diarrhoea in 756 (68.5%) patients. Maximum toxicity of Grade 1 occurred in 575 (52.1%) patients, Grade 2 in 383 (34.7%) patients, Grade 3 in 144 (13.1%) patients; 1 patient (0.1%) experienced a Grade 4 event. Among patients with diarrhoea, the median time to first event was 2 days (range: 1 to 2,702 days) and the median duration of any grade of diarrhoea was 2 days (range: 1 to 4,247 days).</w:t>
      </w:r>
    </w:p>
    <w:p w14:paraId="4622CBB3"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Among the 1,103 patients with diarrhoea, 218 patients (19.8%) were managed with treatment interruption and of these 208 (95.4%) were rechallenged with bosutinib. Of those who were rechallenged, 201 (96.6%) did not have a subsequent event or did not discontinue bosutinib due to a subsequent event of diarrhoea.</w:t>
      </w:r>
    </w:p>
    <w:p w14:paraId="3FED5EAE" w14:textId="77777777" w:rsidR="00883D1B" w:rsidRPr="00883D1B" w:rsidRDefault="00883D1B" w:rsidP="00883D1B">
      <w:pPr>
        <w:autoSpaceDE w:val="0"/>
        <w:autoSpaceDN w:val="0"/>
        <w:adjustRightInd w:val="0"/>
        <w:ind w:left="851"/>
        <w:rPr>
          <w:sz w:val="24"/>
          <w:szCs w:val="24"/>
          <w:lang w:val="en-US"/>
        </w:rPr>
      </w:pPr>
    </w:p>
    <w:p w14:paraId="10560C16" w14:textId="77777777" w:rsidR="00883D1B" w:rsidRPr="00883D1B" w:rsidRDefault="00883D1B" w:rsidP="00883D1B">
      <w:pPr>
        <w:keepNext/>
        <w:autoSpaceDE w:val="0"/>
        <w:autoSpaceDN w:val="0"/>
        <w:adjustRightInd w:val="0"/>
        <w:ind w:left="851"/>
        <w:rPr>
          <w:i/>
          <w:sz w:val="24"/>
          <w:szCs w:val="24"/>
          <w:lang w:val="en-US"/>
        </w:rPr>
      </w:pPr>
      <w:r w:rsidRPr="00883D1B">
        <w:rPr>
          <w:i/>
          <w:sz w:val="24"/>
          <w:szCs w:val="24"/>
          <w:lang w:val="en-US"/>
        </w:rPr>
        <w:t>Cardiac disorders</w:t>
      </w:r>
    </w:p>
    <w:p w14:paraId="501A576C" w14:textId="77777777" w:rsidR="00883D1B" w:rsidRPr="00883D1B" w:rsidRDefault="00883D1B" w:rsidP="00883D1B">
      <w:pPr>
        <w:autoSpaceDE w:val="0"/>
        <w:autoSpaceDN w:val="0"/>
        <w:adjustRightInd w:val="0"/>
        <w:ind w:left="851"/>
        <w:rPr>
          <w:sz w:val="24"/>
          <w:szCs w:val="24"/>
          <w:lang w:val="en-US"/>
        </w:rPr>
      </w:pPr>
      <w:r w:rsidRPr="00883D1B">
        <w:rPr>
          <w:sz w:val="24"/>
          <w:szCs w:val="24"/>
          <w:lang w:val="en-US"/>
        </w:rPr>
        <w:t>Seven patients (0.5%) experienced QTcF prolongation (greater than 500 ms). Eleven (0.8%) patients experienced QTcF increase &gt; 60 ms from baseline. Patients with uncontrolled or significant cardiovascular disease including QTc prolongation, at baseline, were not included in clinical studies (see sections 5.1 and 5.3).</w:t>
      </w:r>
    </w:p>
    <w:p w14:paraId="1D98A340" w14:textId="77777777" w:rsidR="00883D1B" w:rsidRPr="00883D1B" w:rsidRDefault="00883D1B" w:rsidP="00883D1B">
      <w:pPr>
        <w:autoSpaceDE w:val="0"/>
        <w:autoSpaceDN w:val="0"/>
        <w:adjustRightInd w:val="0"/>
        <w:ind w:left="851"/>
        <w:rPr>
          <w:sz w:val="24"/>
          <w:szCs w:val="24"/>
          <w:lang w:val="en-US"/>
        </w:rPr>
      </w:pPr>
    </w:p>
    <w:p w14:paraId="03BBA000" w14:textId="77777777" w:rsidR="00883D1B" w:rsidRPr="00883D1B" w:rsidRDefault="00883D1B" w:rsidP="00883D1B">
      <w:pPr>
        <w:keepNext/>
        <w:autoSpaceDE w:val="0"/>
        <w:autoSpaceDN w:val="0"/>
        <w:adjustRightInd w:val="0"/>
        <w:ind w:left="851"/>
        <w:rPr>
          <w:sz w:val="24"/>
          <w:szCs w:val="24"/>
          <w:u w:val="single"/>
          <w:lang w:val="en-US"/>
        </w:rPr>
      </w:pPr>
      <w:r w:rsidRPr="00883D1B">
        <w:rPr>
          <w:sz w:val="24"/>
          <w:szCs w:val="24"/>
          <w:u w:val="single"/>
          <w:lang w:val="en-US"/>
        </w:rPr>
        <w:t>Reporting of suspected adverse reactions</w:t>
      </w:r>
    </w:p>
    <w:p w14:paraId="6687B49B" w14:textId="77777777" w:rsidR="00CC038E" w:rsidRPr="00CC038E" w:rsidRDefault="00883D1B" w:rsidP="00883D1B">
      <w:pPr>
        <w:autoSpaceDE w:val="0"/>
        <w:autoSpaceDN w:val="0"/>
        <w:adjustRightInd w:val="0"/>
        <w:ind w:left="851"/>
        <w:rPr>
          <w:sz w:val="24"/>
          <w:szCs w:val="24"/>
          <w:lang w:val="en-US"/>
        </w:rPr>
      </w:pPr>
      <w:r w:rsidRPr="00883D1B">
        <w:rPr>
          <w:sz w:val="24"/>
          <w:szCs w:val="24"/>
          <w:lang w:val="en-US"/>
        </w:rPr>
        <w:t xml:space="preserve">Reporting suspected adverse reactions after authorisation of the medicinal product is important. It allows continued monitoring of the benefit/risk balance of the medicinal </w:t>
      </w:r>
      <w:r w:rsidRPr="00CC038E">
        <w:rPr>
          <w:sz w:val="24"/>
          <w:szCs w:val="24"/>
          <w:lang w:val="en-US"/>
        </w:rPr>
        <w:t>product. Healthcare professionals are asked to report any suspected adverse reactions via</w:t>
      </w:r>
      <w:r w:rsidR="00CC038E" w:rsidRPr="00CC038E">
        <w:rPr>
          <w:sz w:val="24"/>
          <w:szCs w:val="24"/>
          <w:lang w:val="en-US"/>
        </w:rPr>
        <w:t>:</w:t>
      </w:r>
    </w:p>
    <w:p w14:paraId="08F0B85A" w14:textId="77777777" w:rsidR="00CC038E" w:rsidRPr="00E14D63" w:rsidRDefault="00CC038E" w:rsidP="00CC038E">
      <w:pPr>
        <w:autoSpaceDE w:val="0"/>
        <w:autoSpaceDN w:val="0"/>
        <w:adjustRightInd w:val="0"/>
        <w:ind w:left="851"/>
        <w:rPr>
          <w:sz w:val="24"/>
          <w:szCs w:val="24"/>
          <w:lang w:val="en-US"/>
        </w:rPr>
      </w:pPr>
      <w:bookmarkStart w:id="2" w:name="_Hlk112685907"/>
    </w:p>
    <w:p w14:paraId="15DD0C98" w14:textId="77777777" w:rsidR="00CC038E" w:rsidRPr="00CC038E" w:rsidRDefault="00CC038E" w:rsidP="00CC038E">
      <w:pPr>
        <w:autoSpaceDE w:val="0"/>
        <w:autoSpaceDN w:val="0"/>
        <w:adjustRightInd w:val="0"/>
        <w:ind w:left="851"/>
        <w:rPr>
          <w:sz w:val="24"/>
          <w:szCs w:val="24"/>
        </w:rPr>
      </w:pPr>
      <w:bookmarkStart w:id="3" w:name="_Hlk117501544"/>
      <w:bookmarkStart w:id="4" w:name="_Hlk112664459"/>
      <w:r w:rsidRPr="00CC038E">
        <w:rPr>
          <w:sz w:val="24"/>
          <w:szCs w:val="24"/>
        </w:rPr>
        <w:t>Lægemiddelstyrelsen</w:t>
      </w:r>
    </w:p>
    <w:p w14:paraId="5C38EA06" w14:textId="77777777" w:rsidR="00CC038E" w:rsidRPr="00CC038E" w:rsidRDefault="00CC038E" w:rsidP="00CC038E">
      <w:pPr>
        <w:autoSpaceDE w:val="0"/>
        <w:autoSpaceDN w:val="0"/>
        <w:adjustRightInd w:val="0"/>
        <w:ind w:left="851"/>
        <w:rPr>
          <w:sz w:val="24"/>
          <w:szCs w:val="24"/>
        </w:rPr>
      </w:pPr>
      <w:bookmarkStart w:id="5" w:name="_Hlk117501524"/>
      <w:bookmarkEnd w:id="3"/>
      <w:r w:rsidRPr="00CC038E">
        <w:rPr>
          <w:sz w:val="24"/>
          <w:szCs w:val="24"/>
        </w:rPr>
        <w:t>Axel Heides Gade 1</w:t>
      </w:r>
    </w:p>
    <w:p w14:paraId="0E76DAF9" w14:textId="77777777" w:rsidR="00CC038E" w:rsidRPr="00CC038E" w:rsidRDefault="00CC038E" w:rsidP="00CC038E">
      <w:pPr>
        <w:autoSpaceDE w:val="0"/>
        <w:autoSpaceDN w:val="0"/>
        <w:adjustRightInd w:val="0"/>
        <w:ind w:left="851"/>
        <w:rPr>
          <w:sz w:val="24"/>
          <w:szCs w:val="24"/>
        </w:rPr>
      </w:pPr>
      <w:r w:rsidRPr="00CC038E">
        <w:rPr>
          <w:sz w:val="24"/>
          <w:szCs w:val="24"/>
        </w:rPr>
        <w:t>DK-2300 København S</w:t>
      </w:r>
    </w:p>
    <w:p w14:paraId="00BB406D" w14:textId="77777777" w:rsidR="00CC038E" w:rsidRPr="00CC038E" w:rsidRDefault="00CC038E" w:rsidP="00CC038E">
      <w:pPr>
        <w:autoSpaceDE w:val="0"/>
        <w:autoSpaceDN w:val="0"/>
        <w:adjustRightInd w:val="0"/>
        <w:ind w:left="851"/>
        <w:rPr>
          <w:sz w:val="24"/>
          <w:szCs w:val="24"/>
          <w:lang w:val="en-US"/>
        </w:rPr>
      </w:pPr>
      <w:r w:rsidRPr="00CC038E">
        <w:rPr>
          <w:sz w:val="24"/>
          <w:szCs w:val="24"/>
          <w:lang w:val="en-US"/>
        </w:rPr>
        <w:t>Websted: www.meldenbivirkning.dk</w:t>
      </w:r>
      <w:bookmarkEnd w:id="2"/>
      <w:bookmarkEnd w:id="4"/>
      <w:bookmarkEnd w:id="5"/>
    </w:p>
    <w:p w14:paraId="25B8D5BE" w14:textId="25907464" w:rsidR="00883D1B" w:rsidRPr="00CC038E" w:rsidRDefault="00883D1B" w:rsidP="00883D1B">
      <w:pPr>
        <w:ind w:left="851"/>
        <w:rPr>
          <w:sz w:val="24"/>
          <w:szCs w:val="24"/>
          <w:lang w:val="en-US"/>
        </w:rPr>
      </w:pPr>
    </w:p>
    <w:p w14:paraId="4C85D36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7BAD585E" w14:textId="77777777" w:rsidR="00E55C68" w:rsidRPr="00E55C68" w:rsidRDefault="00E55C68" w:rsidP="00E55C68">
      <w:pPr>
        <w:tabs>
          <w:tab w:val="left" w:pos="851"/>
        </w:tabs>
        <w:ind w:left="851"/>
        <w:rPr>
          <w:sz w:val="24"/>
          <w:szCs w:val="24"/>
          <w:lang w:val="en-GB"/>
        </w:rPr>
      </w:pPr>
      <w:r w:rsidRPr="00E55C68">
        <w:rPr>
          <w:sz w:val="24"/>
          <w:szCs w:val="24"/>
          <w:lang w:val="en-GB"/>
        </w:rPr>
        <w:t>Experience with bosutinib overdose in clinical studies was limited to isolated cases. Patients who take an overdose of bosutinib should be observed and given appropriate supportive treatment.</w:t>
      </w:r>
    </w:p>
    <w:p w14:paraId="44240B0E" w14:textId="77777777" w:rsidR="00E55C68" w:rsidRPr="00E55C68" w:rsidRDefault="00E55C68" w:rsidP="00E55C68">
      <w:pPr>
        <w:tabs>
          <w:tab w:val="left" w:pos="851"/>
        </w:tabs>
        <w:ind w:left="851"/>
        <w:rPr>
          <w:sz w:val="24"/>
          <w:szCs w:val="24"/>
          <w:lang w:val="en-GB"/>
        </w:rPr>
      </w:pPr>
    </w:p>
    <w:p w14:paraId="4AA6BA63" w14:textId="77777777" w:rsidR="008F2F8C" w:rsidRPr="00E14D63" w:rsidRDefault="0042292D" w:rsidP="0042292D">
      <w:pPr>
        <w:tabs>
          <w:tab w:val="left" w:pos="851"/>
        </w:tabs>
        <w:rPr>
          <w:b/>
          <w:sz w:val="24"/>
          <w:szCs w:val="24"/>
        </w:rPr>
      </w:pPr>
      <w:r w:rsidRPr="00E14D63">
        <w:rPr>
          <w:b/>
          <w:sz w:val="24"/>
          <w:szCs w:val="24"/>
        </w:rPr>
        <w:t>4.10</w:t>
      </w:r>
      <w:r w:rsidRPr="00E14D63">
        <w:rPr>
          <w:b/>
          <w:sz w:val="24"/>
          <w:szCs w:val="24"/>
        </w:rPr>
        <w:tab/>
        <w:t>Legal status</w:t>
      </w:r>
    </w:p>
    <w:p w14:paraId="79494A1E" w14:textId="73B20906" w:rsidR="00AD2E36" w:rsidRPr="00E14D63" w:rsidRDefault="00E55C68" w:rsidP="00AD2E36">
      <w:pPr>
        <w:tabs>
          <w:tab w:val="left" w:pos="851"/>
        </w:tabs>
        <w:ind w:left="851"/>
        <w:rPr>
          <w:sz w:val="24"/>
          <w:szCs w:val="24"/>
        </w:rPr>
      </w:pPr>
      <w:r w:rsidRPr="00E14D63">
        <w:rPr>
          <w:sz w:val="24"/>
          <w:szCs w:val="24"/>
        </w:rPr>
        <w:t>BEGR (kun til sygehuse)</w:t>
      </w:r>
    </w:p>
    <w:p w14:paraId="0BAD5F28" w14:textId="77777777" w:rsidR="007C5D2A" w:rsidRPr="00E14D63" w:rsidRDefault="007C5D2A" w:rsidP="003E0341">
      <w:pPr>
        <w:tabs>
          <w:tab w:val="left" w:pos="851"/>
        </w:tabs>
        <w:ind w:left="851"/>
        <w:rPr>
          <w:sz w:val="24"/>
          <w:szCs w:val="24"/>
        </w:rPr>
      </w:pPr>
    </w:p>
    <w:p w14:paraId="1528378F" w14:textId="77777777" w:rsidR="00AD2E36" w:rsidRPr="00E14D63" w:rsidRDefault="00AD2E36" w:rsidP="003E0341">
      <w:pPr>
        <w:tabs>
          <w:tab w:val="left" w:pos="851"/>
        </w:tabs>
        <w:ind w:left="851"/>
        <w:rPr>
          <w:sz w:val="24"/>
          <w:szCs w:val="24"/>
        </w:rPr>
      </w:pPr>
    </w:p>
    <w:p w14:paraId="42E81B00" w14:textId="77777777" w:rsidR="007C5D2A" w:rsidRPr="00303008" w:rsidRDefault="007C5D2A" w:rsidP="007C5D2A">
      <w:pPr>
        <w:tabs>
          <w:tab w:val="left" w:pos="851"/>
        </w:tabs>
        <w:rPr>
          <w:b/>
          <w:sz w:val="24"/>
          <w:szCs w:val="24"/>
          <w:lang w:val="en-GB"/>
        </w:rPr>
      </w:pPr>
      <w:r w:rsidRPr="00303008">
        <w:rPr>
          <w:b/>
          <w:sz w:val="24"/>
          <w:szCs w:val="24"/>
          <w:lang w:val="en-GB"/>
        </w:rPr>
        <w:lastRenderedPageBreak/>
        <w:t>5.</w:t>
      </w:r>
      <w:r w:rsidRPr="00303008">
        <w:rPr>
          <w:b/>
          <w:sz w:val="24"/>
          <w:szCs w:val="24"/>
          <w:lang w:val="en-GB"/>
        </w:rPr>
        <w:tab/>
        <w:t>PHARMACOLOGICAL PROPERTIES</w:t>
      </w:r>
    </w:p>
    <w:p w14:paraId="5D60B5BA" w14:textId="77777777" w:rsidR="007C5D2A" w:rsidRDefault="007C5D2A" w:rsidP="003E0341">
      <w:pPr>
        <w:tabs>
          <w:tab w:val="left" w:pos="851"/>
        </w:tabs>
        <w:ind w:left="851"/>
        <w:rPr>
          <w:sz w:val="24"/>
          <w:szCs w:val="24"/>
          <w:lang w:val="en-GB"/>
        </w:rPr>
      </w:pPr>
    </w:p>
    <w:p w14:paraId="62287B8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72A4EF2C" w14:textId="77777777" w:rsidR="000D0C23" w:rsidRPr="000D0C23" w:rsidRDefault="000D0C23" w:rsidP="000D0C23">
      <w:pPr>
        <w:ind w:left="851"/>
        <w:outlineLvl w:val="0"/>
        <w:rPr>
          <w:noProof/>
          <w:sz w:val="24"/>
          <w:szCs w:val="24"/>
          <w:lang w:val="en-US"/>
        </w:rPr>
      </w:pPr>
      <w:r w:rsidRPr="000D0C23">
        <w:rPr>
          <w:sz w:val="24"/>
          <w:szCs w:val="24"/>
          <w:lang w:val="en-US"/>
        </w:rPr>
        <w:t>Pharmacotherapeutic group: Antineoplastic agents, protein kinase inhibitors, ATC code: L01EA04.</w:t>
      </w:r>
    </w:p>
    <w:p w14:paraId="3C786DF6" w14:textId="77777777" w:rsidR="000D0C23" w:rsidRPr="000D0C23" w:rsidRDefault="000D0C23" w:rsidP="000D0C23">
      <w:pPr>
        <w:autoSpaceDE w:val="0"/>
        <w:autoSpaceDN w:val="0"/>
        <w:adjustRightInd w:val="0"/>
        <w:ind w:left="851"/>
        <w:rPr>
          <w:sz w:val="24"/>
          <w:szCs w:val="24"/>
          <w:lang w:val="en-US"/>
        </w:rPr>
      </w:pPr>
    </w:p>
    <w:p w14:paraId="731F3D52" w14:textId="77777777" w:rsidR="000D0C23" w:rsidRPr="000D0C23" w:rsidRDefault="000D0C23" w:rsidP="000D0C23">
      <w:pPr>
        <w:keepNext/>
        <w:autoSpaceDE w:val="0"/>
        <w:autoSpaceDN w:val="0"/>
        <w:adjustRightInd w:val="0"/>
        <w:ind w:left="851"/>
        <w:rPr>
          <w:sz w:val="24"/>
          <w:szCs w:val="24"/>
          <w:u w:val="single"/>
          <w:lang w:val="en-US"/>
        </w:rPr>
      </w:pPr>
      <w:r w:rsidRPr="000D0C23">
        <w:rPr>
          <w:sz w:val="24"/>
          <w:szCs w:val="24"/>
          <w:u w:val="single"/>
          <w:lang w:val="en-US"/>
        </w:rPr>
        <w:t>Mechanism of action</w:t>
      </w:r>
    </w:p>
    <w:p w14:paraId="10807385"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Bosutinib belongs to a pharmacological class of medicinal products known as kinase inhibitors. Bosutinib inhibits the abnormal BCR</w:t>
      </w:r>
      <w:r w:rsidRPr="000D0C23">
        <w:rPr>
          <w:sz w:val="24"/>
          <w:szCs w:val="24"/>
          <w:lang w:val="en-US"/>
        </w:rPr>
        <w:noBreakHyphen/>
        <w:t>ABL kinase that promotes CML. Modelling studies indicate that bosutinib binds the kinase domain of BCR</w:t>
      </w:r>
      <w:r w:rsidRPr="000D0C23">
        <w:rPr>
          <w:sz w:val="24"/>
          <w:szCs w:val="24"/>
          <w:lang w:val="en-US"/>
        </w:rPr>
        <w:noBreakHyphen/>
        <w:t>ABL. Bosutinib is also an inhibitor of Src family kinases including Src, Lyn and Hck. Bosutinib minimally inhibits platelet-derived growth factor (PDGF) receptor and c</w:t>
      </w:r>
      <w:r w:rsidRPr="000D0C23">
        <w:rPr>
          <w:sz w:val="24"/>
          <w:szCs w:val="24"/>
          <w:lang w:val="en-US"/>
        </w:rPr>
        <w:noBreakHyphen/>
        <w:t>Kit.</w:t>
      </w:r>
    </w:p>
    <w:p w14:paraId="2ADC6B31" w14:textId="77777777" w:rsidR="000D0C23" w:rsidRPr="000D0C23" w:rsidRDefault="000D0C23" w:rsidP="000D0C23">
      <w:pPr>
        <w:autoSpaceDE w:val="0"/>
        <w:autoSpaceDN w:val="0"/>
        <w:adjustRightInd w:val="0"/>
        <w:ind w:left="851"/>
        <w:rPr>
          <w:sz w:val="24"/>
          <w:szCs w:val="24"/>
          <w:lang w:val="en-US"/>
        </w:rPr>
      </w:pPr>
    </w:p>
    <w:p w14:paraId="65090147"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 xml:space="preserve">In </w:t>
      </w:r>
      <w:r w:rsidRPr="000D0C23">
        <w:rPr>
          <w:i/>
          <w:sz w:val="24"/>
          <w:szCs w:val="24"/>
          <w:lang w:val="en-US"/>
        </w:rPr>
        <w:t>in vitro</w:t>
      </w:r>
      <w:r w:rsidRPr="000D0C23">
        <w:rPr>
          <w:sz w:val="24"/>
          <w:szCs w:val="24"/>
          <w:lang w:val="en-US"/>
        </w:rPr>
        <w:t xml:space="preserve"> studies, bosutinib inhibits proliferation and survival of established CML cell lines, Ph+ALL cell lines, and patient-derived primary primitive CML cells. Bosutinib inhibited 16 of 18 imatinib-resistant forms of BCR</w:t>
      </w:r>
      <w:r w:rsidRPr="000D0C23">
        <w:rPr>
          <w:sz w:val="24"/>
          <w:szCs w:val="24"/>
          <w:lang w:val="en-US"/>
        </w:rPr>
        <w:noBreakHyphen/>
        <w:t>ABL expressed in murine myeloid cell lines. Bosutinib treatment reduced the size of CML tumours growing in nude mice and inhibited growth of murine myeloid tumours expressing imatinib-resistant forms of BCR</w:t>
      </w:r>
      <w:r w:rsidRPr="000D0C23">
        <w:rPr>
          <w:sz w:val="24"/>
          <w:szCs w:val="24"/>
          <w:lang w:val="en-US"/>
        </w:rPr>
        <w:noBreakHyphen/>
        <w:t>ABL. Bosutinib also inhibits receptor tyrosine kinases c</w:t>
      </w:r>
      <w:r w:rsidRPr="000D0C23">
        <w:rPr>
          <w:sz w:val="24"/>
          <w:szCs w:val="24"/>
          <w:lang w:val="en-US"/>
        </w:rPr>
        <w:noBreakHyphen/>
        <w:t>Fms, EphA and B receptors, Trk family kinases, Axl family kinases, Tec family kinases, some members of the ErbB family, the non-receptor tyrosine kinase Csk, serine/threonine kinases of the Ste20 family, and 2 calmodulin-dependent protein kinases.</w:t>
      </w:r>
    </w:p>
    <w:p w14:paraId="2582EFC4" w14:textId="77777777" w:rsidR="000D0C23" w:rsidRPr="000D0C23" w:rsidRDefault="000D0C23" w:rsidP="000D0C23">
      <w:pPr>
        <w:autoSpaceDE w:val="0"/>
        <w:autoSpaceDN w:val="0"/>
        <w:adjustRightInd w:val="0"/>
        <w:ind w:left="851"/>
        <w:rPr>
          <w:sz w:val="24"/>
          <w:szCs w:val="24"/>
          <w:lang w:val="en-US"/>
        </w:rPr>
      </w:pPr>
    </w:p>
    <w:p w14:paraId="2B34E60E" w14:textId="77777777" w:rsidR="000D0C23" w:rsidRPr="000D0C23" w:rsidRDefault="000D0C23" w:rsidP="000D0C23">
      <w:pPr>
        <w:keepNext/>
        <w:autoSpaceDE w:val="0"/>
        <w:autoSpaceDN w:val="0"/>
        <w:adjustRightInd w:val="0"/>
        <w:ind w:left="851"/>
        <w:rPr>
          <w:sz w:val="24"/>
          <w:szCs w:val="24"/>
          <w:u w:val="single"/>
          <w:lang w:val="en-US"/>
        </w:rPr>
      </w:pPr>
      <w:r w:rsidRPr="000D0C23">
        <w:rPr>
          <w:sz w:val="24"/>
          <w:szCs w:val="24"/>
          <w:u w:val="single"/>
          <w:lang w:val="en-US"/>
        </w:rPr>
        <w:t>Pharmacodynamic effects</w:t>
      </w:r>
    </w:p>
    <w:p w14:paraId="276A753D"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effect of bosutinib 500 mg administration on corrected QTc was evaluated in a randomised, single-dose, double-blind (with respect to bosutinib), crossover, placebo- and open-label moxifloxacin-controlled study in healthy subjects.</w:t>
      </w:r>
    </w:p>
    <w:p w14:paraId="3A2069F2" w14:textId="77777777" w:rsidR="000D0C23" w:rsidRPr="000D0C23" w:rsidRDefault="000D0C23" w:rsidP="000D0C23">
      <w:pPr>
        <w:autoSpaceDE w:val="0"/>
        <w:autoSpaceDN w:val="0"/>
        <w:adjustRightInd w:val="0"/>
        <w:ind w:left="851"/>
        <w:rPr>
          <w:sz w:val="24"/>
          <w:szCs w:val="24"/>
          <w:lang w:val="en-US"/>
        </w:rPr>
      </w:pPr>
    </w:p>
    <w:p w14:paraId="088D3904"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data from this study indicate that bosutinib does not prolong the QTc in healthy subjects at the dose of 500 mg daily with food, and under conditions that give rise to supratherapeutic plasma concentrations. Following administration of a single oral dose of bosutinib 500 mg (therapeutic dose) and bosutinib 500 mg with ketoconazole 400 mg (to achieve supratherapeutic concentrations of bosutinib) in healthy subjects, the upper bound of the 1</w:t>
      </w:r>
      <w:r w:rsidRPr="000D0C23">
        <w:rPr>
          <w:sz w:val="24"/>
          <w:szCs w:val="24"/>
          <w:lang w:val="en-US"/>
        </w:rPr>
        <w:noBreakHyphen/>
        <w:t>sided 95% confidence interval (CI) around the mean change in QTc was less than 10 ms at all post-dose time points, and no adverse events suggestive of QTc prolongation were observed.</w:t>
      </w:r>
    </w:p>
    <w:p w14:paraId="2CD10899" w14:textId="77777777" w:rsidR="000D0C23" w:rsidRPr="000D0C23" w:rsidRDefault="000D0C23" w:rsidP="000D0C23">
      <w:pPr>
        <w:autoSpaceDE w:val="0"/>
        <w:autoSpaceDN w:val="0"/>
        <w:adjustRightInd w:val="0"/>
        <w:ind w:left="851"/>
        <w:rPr>
          <w:sz w:val="24"/>
          <w:szCs w:val="24"/>
          <w:lang w:val="en-US"/>
        </w:rPr>
      </w:pPr>
    </w:p>
    <w:p w14:paraId="6A43AD9F"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In a study in liver impaired subjects, an increasing frequency of QTc prolongation &gt; 450 ms with declining hepatic function was observed. In the Phase 1/2 clinical study in patients with previously treated Ph+ leukaemias treated with bosutinib 500 mg, QTcF increase &gt; 60 ms from baseline was observed in 9 (1.6%) of 570 patients. In the Phase 3 clinical study in patients with newly-diagnosed CP CML treated with bosutinib 400 mg, there were no patients in the bosutinib treatment group (N=268) with a QTcF increase of &gt; 60 ms from baseline. In the Phase 3 clinical study in patients with newly</w:t>
      </w:r>
      <w:r w:rsidRPr="000D0C23">
        <w:rPr>
          <w:sz w:val="24"/>
          <w:szCs w:val="24"/>
          <w:lang w:val="en-US"/>
        </w:rPr>
        <w:noBreakHyphen/>
        <w:t>diagnosed Ph+CP CML treated with bosutinib 500 mg, QTcF increase &gt; 60 ms from baseline was observed in 2 (0.8%) of 248 patients receiving bosutinib. In the Phase 4 clinical study in patients with Ph+CML previously treated with 1 or more TKI(s) treated with bosutinib 500 mg (N=163), there were no patients with a QTcF increase &gt; 60 ms from baseline. A proarrhythmic potential of bosutinib cannot be ruled out.</w:t>
      </w:r>
    </w:p>
    <w:p w14:paraId="41689703" w14:textId="77777777" w:rsidR="000D0C23" w:rsidRPr="000D0C23" w:rsidRDefault="000D0C23" w:rsidP="000D0C23">
      <w:pPr>
        <w:autoSpaceDE w:val="0"/>
        <w:autoSpaceDN w:val="0"/>
        <w:adjustRightInd w:val="0"/>
        <w:ind w:left="851"/>
        <w:rPr>
          <w:sz w:val="24"/>
          <w:szCs w:val="24"/>
          <w:lang w:val="en-US"/>
        </w:rPr>
      </w:pPr>
    </w:p>
    <w:p w14:paraId="6476174B" w14:textId="7952FB9D" w:rsidR="000D0C23" w:rsidRDefault="000D0C23" w:rsidP="000D0C23">
      <w:pPr>
        <w:keepNext/>
        <w:keepLines/>
        <w:autoSpaceDE w:val="0"/>
        <w:autoSpaceDN w:val="0"/>
        <w:adjustRightInd w:val="0"/>
        <w:ind w:left="851"/>
        <w:rPr>
          <w:sz w:val="24"/>
          <w:szCs w:val="24"/>
          <w:u w:val="single"/>
          <w:lang w:val="en-US"/>
        </w:rPr>
      </w:pPr>
      <w:r w:rsidRPr="000D0C23">
        <w:rPr>
          <w:sz w:val="24"/>
          <w:szCs w:val="24"/>
          <w:u w:val="single"/>
          <w:lang w:val="en-US"/>
        </w:rPr>
        <w:lastRenderedPageBreak/>
        <w:t>Clinical efficacy</w:t>
      </w:r>
    </w:p>
    <w:p w14:paraId="7F8BA3A7" w14:textId="77777777" w:rsidR="000D0C23" w:rsidRPr="000D0C23" w:rsidRDefault="000D0C23" w:rsidP="000D0C23">
      <w:pPr>
        <w:keepNext/>
        <w:keepLines/>
        <w:autoSpaceDE w:val="0"/>
        <w:autoSpaceDN w:val="0"/>
        <w:adjustRightInd w:val="0"/>
        <w:ind w:left="851"/>
        <w:rPr>
          <w:sz w:val="24"/>
          <w:szCs w:val="24"/>
          <w:u w:val="single"/>
          <w:lang w:val="en-US"/>
        </w:rPr>
      </w:pPr>
    </w:p>
    <w:p w14:paraId="216883D8" w14:textId="2B1233FB" w:rsidR="000D0C23" w:rsidRDefault="000D0C23" w:rsidP="000D0C23">
      <w:pPr>
        <w:keepNext/>
        <w:keepLines/>
        <w:autoSpaceDE w:val="0"/>
        <w:autoSpaceDN w:val="0"/>
        <w:adjustRightInd w:val="0"/>
        <w:ind w:left="851"/>
        <w:rPr>
          <w:i/>
          <w:sz w:val="24"/>
          <w:szCs w:val="24"/>
          <w:u w:val="single"/>
          <w:lang w:val="en-US"/>
        </w:rPr>
      </w:pPr>
      <w:r w:rsidRPr="000D0C23">
        <w:rPr>
          <w:i/>
          <w:sz w:val="24"/>
          <w:szCs w:val="24"/>
          <w:u w:val="single"/>
          <w:lang w:val="en-US"/>
        </w:rPr>
        <w:t>Clinical study in CP previously untreated CML</w:t>
      </w:r>
    </w:p>
    <w:p w14:paraId="7460F6D4" w14:textId="77777777" w:rsidR="000D0C23" w:rsidRPr="000D0C23" w:rsidRDefault="000D0C23" w:rsidP="000D0C23">
      <w:pPr>
        <w:keepNext/>
        <w:keepLines/>
        <w:autoSpaceDE w:val="0"/>
        <w:autoSpaceDN w:val="0"/>
        <w:adjustRightInd w:val="0"/>
        <w:ind w:left="851"/>
        <w:rPr>
          <w:i/>
          <w:sz w:val="24"/>
          <w:szCs w:val="24"/>
          <w:u w:val="single"/>
          <w:lang w:val="en-US"/>
        </w:rPr>
      </w:pPr>
    </w:p>
    <w:p w14:paraId="4196C904" w14:textId="77777777" w:rsidR="000D0C23" w:rsidRPr="000D0C23" w:rsidRDefault="000D0C23" w:rsidP="000D0C23">
      <w:pPr>
        <w:keepNext/>
        <w:keepLines/>
        <w:autoSpaceDE w:val="0"/>
        <w:autoSpaceDN w:val="0"/>
        <w:adjustRightInd w:val="0"/>
        <w:ind w:left="851"/>
        <w:rPr>
          <w:i/>
          <w:sz w:val="24"/>
          <w:szCs w:val="24"/>
          <w:lang w:val="en-US"/>
        </w:rPr>
      </w:pPr>
      <w:r w:rsidRPr="000D0C23">
        <w:rPr>
          <w:i/>
          <w:sz w:val="24"/>
          <w:szCs w:val="24"/>
          <w:lang w:val="en-US"/>
        </w:rPr>
        <w:t>Bosutinib 400 mg study</w:t>
      </w:r>
    </w:p>
    <w:p w14:paraId="50AA663C"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A 2-arm, Phase 3, open-label, multicentre superiority trial was conducted to investigate the efficacy and safety of bosutinib 400 mg once daily alone compared with imatinib 400 mg once daily alone in adult patients with newly-diagnosed Ph+CP CML. The trial randomised 536 patients (268 in each treatment group) with Ph+ or Ph-newly-diagnosed CP CML (intent-to-treat population [ITT]) including 487 patients with Ph+CML harbouring b2a2 and/or b3a2 transcripts and baseline BCR</w:t>
      </w:r>
      <w:r w:rsidRPr="000D0C23">
        <w:rPr>
          <w:sz w:val="24"/>
          <w:szCs w:val="24"/>
          <w:lang w:val="en-US"/>
        </w:rPr>
        <w:noBreakHyphen/>
        <w:t>ABL copies &gt; 0 (modified intent-to-treat [mITT] population).</w:t>
      </w:r>
    </w:p>
    <w:p w14:paraId="3420E616" w14:textId="77777777" w:rsidR="000D0C23" w:rsidRPr="000D0C23" w:rsidRDefault="000D0C23" w:rsidP="000D0C23">
      <w:pPr>
        <w:autoSpaceDE w:val="0"/>
        <w:autoSpaceDN w:val="0"/>
        <w:adjustRightInd w:val="0"/>
        <w:ind w:left="851"/>
        <w:rPr>
          <w:sz w:val="24"/>
          <w:szCs w:val="24"/>
          <w:lang w:val="en-US"/>
        </w:rPr>
      </w:pPr>
    </w:p>
    <w:p w14:paraId="6D27AF1C"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primary efficacy endpoint was the proportion demonstrating a major molecular response (MMR) at 12 months (48 weeks) in the bosutinib treatment group compared with that in the imatinib treatment group in the mITT population. MMR was defined as ≤ 0.1% BCR</w:t>
      </w:r>
      <w:r w:rsidRPr="000D0C23">
        <w:rPr>
          <w:sz w:val="24"/>
          <w:szCs w:val="24"/>
          <w:lang w:val="en-US"/>
        </w:rPr>
        <w:noBreakHyphen/>
        <w:t>ABL/ABL ratio by international scale (corresponding to ≥ 3 log reduction from standardised baseline) with a minimum of 3,000 ABL transcripts as assessed by the central laboratory.</w:t>
      </w:r>
    </w:p>
    <w:p w14:paraId="2675AC33" w14:textId="77777777" w:rsidR="000D0C23" w:rsidRPr="000D0C23" w:rsidRDefault="000D0C23" w:rsidP="000D0C23">
      <w:pPr>
        <w:autoSpaceDE w:val="0"/>
        <w:autoSpaceDN w:val="0"/>
        <w:adjustRightInd w:val="0"/>
        <w:ind w:left="851"/>
        <w:rPr>
          <w:sz w:val="24"/>
          <w:szCs w:val="24"/>
          <w:lang w:val="en-US"/>
        </w:rPr>
      </w:pPr>
    </w:p>
    <w:p w14:paraId="0B5BF114"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Key secondary endpoints included complete cytogenetic response (CCyR) by 12 months, duration of CCyR, duration of MMR, event-free survival (EFS), and overall survival (OS). CCyR by Month 12, was defined as the absence of Ph+ metaphases in chromosome banding analysis of ≥ 20 metaphases derived from bone marrow aspirate or MMR if an adequate cytogenetic assessment was unavailable. The p-values for endpoints other than MMR at 12 months and CCyR by 12 months have not been adjusted for multiple comparisons.</w:t>
      </w:r>
    </w:p>
    <w:p w14:paraId="613C49DB" w14:textId="77777777" w:rsidR="000D0C23" w:rsidRPr="000D0C23" w:rsidRDefault="000D0C23" w:rsidP="000D0C23">
      <w:pPr>
        <w:autoSpaceDE w:val="0"/>
        <w:autoSpaceDN w:val="0"/>
        <w:adjustRightInd w:val="0"/>
        <w:ind w:left="851"/>
        <w:rPr>
          <w:sz w:val="24"/>
          <w:szCs w:val="24"/>
          <w:lang w:val="en-US"/>
        </w:rPr>
      </w:pPr>
    </w:p>
    <w:p w14:paraId="60EA3C3C"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Baseline characteristics for the mITT population were well balanced between the 2 treatment groups with respect to age (median age was 52 years for the bosutinib group and 53 years for the imatinib group with 19.5% and 17.4% of patients 65 years of age or older, respectively); gender (women 42.3% and 44.0%, respectively); race (Caucasian 78.0% and 77.6%, Asian 12.2% and 12.4%, Black or African American 4.1% and 4.1%, and Other 5.7% and 5.4%, respectively, and 1 unknown in the imatinib group); and Sokal risk score (low risk 35.0% and 39.4%, intermediate risk 43.5% and 38.2%, high risk 21.5% and 22.4%, respectively).</w:t>
      </w:r>
    </w:p>
    <w:p w14:paraId="1515B64C" w14:textId="77777777" w:rsidR="000D0C23" w:rsidRPr="000D0C23" w:rsidRDefault="000D0C23" w:rsidP="000D0C23">
      <w:pPr>
        <w:autoSpaceDE w:val="0"/>
        <w:autoSpaceDN w:val="0"/>
        <w:adjustRightInd w:val="0"/>
        <w:ind w:left="851"/>
        <w:rPr>
          <w:sz w:val="24"/>
          <w:szCs w:val="24"/>
          <w:lang w:val="en-US"/>
        </w:rPr>
      </w:pPr>
    </w:p>
    <w:p w14:paraId="7CFF35AE"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After 60 months of follow-up in the mITT population, 60.2% of patients treated with bosutinib (N=246) and 59.8% of patients treated with imatinib (N=239) were still receiving first-line treatment. After 60 months of follow-up in the mITT population, discontinuations due to disease progression to AP or BP CML for bosutinib-treated patients were 0.8% compared to 1.7% for imatinib-treated patients. Six (2.4%) bosutinib patients and 7 (2.9%) imatinib patients transformed to AP CML or BP CML. Discontinuations due to suboptimal response or treatment failure as assessed by the investigator occurred for 5.3% of patients in the bosutinib-treated group compared to 15.5% of patients in the imatinib-treated group. Twelve (4.9%) patients on bosutinib and 14 (5.8%) patients on imatinib died while on study. No additional transformations occurred in the ITT population, there were 2 additional deaths in the bosutinib arm in the ITT population.</w:t>
      </w:r>
    </w:p>
    <w:p w14:paraId="65BB5DA1" w14:textId="77777777" w:rsidR="000D0C23" w:rsidRPr="000D0C23" w:rsidRDefault="000D0C23" w:rsidP="000D0C23">
      <w:pPr>
        <w:autoSpaceDE w:val="0"/>
        <w:autoSpaceDN w:val="0"/>
        <w:adjustRightInd w:val="0"/>
        <w:ind w:left="851"/>
        <w:rPr>
          <w:sz w:val="24"/>
          <w:szCs w:val="24"/>
          <w:lang w:val="en-US"/>
        </w:rPr>
      </w:pPr>
    </w:p>
    <w:p w14:paraId="6003C86C"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efficacy results of MMR and CCyR are summarised in Table 3.</w:t>
      </w:r>
    </w:p>
    <w:p w14:paraId="0C2CB666" w14:textId="77777777" w:rsidR="000D0C23" w:rsidRPr="000D0C23" w:rsidRDefault="000D0C23" w:rsidP="000D0C23">
      <w:pPr>
        <w:autoSpaceDE w:val="0"/>
        <w:autoSpaceDN w:val="0"/>
        <w:adjustRightInd w:val="0"/>
        <w:rPr>
          <w:szCs w:val="22"/>
          <w:lang w:val="en-US"/>
        </w:rPr>
      </w:pPr>
    </w:p>
    <w:p w14:paraId="2A5E0E65" w14:textId="77777777" w:rsidR="000D0C23" w:rsidRPr="000D0C23" w:rsidRDefault="000D0C23" w:rsidP="000D0C23">
      <w:pPr>
        <w:keepNext/>
        <w:autoSpaceDE w:val="0"/>
        <w:autoSpaceDN w:val="0"/>
        <w:adjustRightInd w:val="0"/>
        <w:ind w:left="1134" w:hanging="1134"/>
        <w:rPr>
          <w:b/>
          <w:szCs w:val="22"/>
          <w:lang w:val="en-US"/>
        </w:rPr>
      </w:pPr>
      <w:r w:rsidRPr="000D0C23">
        <w:rPr>
          <w:b/>
          <w:szCs w:val="22"/>
          <w:lang w:val="en-US"/>
        </w:rPr>
        <w:lastRenderedPageBreak/>
        <w:t>Table 3</w:t>
      </w:r>
      <w:r w:rsidRPr="000D0C23">
        <w:rPr>
          <w:b/>
          <w:szCs w:val="22"/>
          <w:lang w:val="en-US"/>
        </w:rPr>
        <w:tab/>
        <w:t>Summary of MMR at Months 12 and 18 and CCyR by Month 12, by treatment group in the mITT population</w:t>
      </w:r>
    </w:p>
    <w:tbl>
      <w:tblPr>
        <w:tblW w:w="5000" w:type="pct"/>
        <w:tblLook w:val="04A0" w:firstRow="1" w:lastRow="0" w:firstColumn="1" w:lastColumn="0" w:noHBand="0" w:noVBand="1"/>
      </w:tblPr>
      <w:tblGrid>
        <w:gridCol w:w="3306"/>
        <w:gridCol w:w="2261"/>
        <w:gridCol w:w="2261"/>
        <w:gridCol w:w="1800"/>
      </w:tblGrid>
      <w:tr w:rsidR="000D0C23" w:rsidRPr="00930211" w14:paraId="08810B9E" w14:textId="77777777" w:rsidTr="000D0C23">
        <w:trPr>
          <w:tblHeader/>
        </w:trPr>
        <w:tc>
          <w:tcPr>
            <w:tcW w:w="1717" w:type="pct"/>
            <w:tcBorders>
              <w:top w:val="single" w:sz="4" w:space="0" w:color="auto"/>
              <w:left w:val="single" w:sz="4" w:space="0" w:color="auto"/>
              <w:bottom w:val="single" w:sz="4" w:space="0" w:color="auto"/>
              <w:right w:val="single" w:sz="4" w:space="0" w:color="auto"/>
            </w:tcBorders>
            <w:vAlign w:val="center"/>
            <w:hideMark/>
          </w:tcPr>
          <w:p w14:paraId="755AFA07" w14:textId="77777777" w:rsidR="000D0C23" w:rsidRPr="00930211" w:rsidRDefault="000D0C23">
            <w:pPr>
              <w:autoSpaceDE w:val="0"/>
              <w:autoSpaceDN w:val="0"/>
              <w:adjustRightInd w:val="0"/>
              <w:rPr>
                <w:szCs w:val="22"/>
              </w:rPr>
            </w:pPr>
            <w:r w:rsidRPr="00930211">
              <w:rPr>
                <w:szCs w:val="22"/>
              </w:rPr>
              <w:t>Response</w:t>
            </w:r>
          </w:p>
        </w:tc>
        <w:tc>
          <w:tcPr>
            <w:tcW w:w="1174" w:type="pct"/>
            <w:tcBorders>
              <w:top w:val="single" w:sz="4" w:space="0" w:color="auto"/>
              <w:left w:val="single" w:sz="4" w:space="0" w:color="auto"/>
              <w:bottom w:val="single" w:sz="4" w:space="0" w:color="auto"/>
              <w:right w:val="single" w:sz="4" w:space="0" w:color="auto"/>
            </w:tcBorders>
            <w:vAlign w:val="center"/>
            <w:hideMark/>
          </w:tcPr>
          <w:p w14:paraId="3E36C75E" w14:textId="77777777" w:rsidR="000D0C23" w:rsidRPr="00930211" w:rsidRDefault="000D0C23">
            <w:pPr>
              <w:autoSpaceDE w:val="0"/>
              <w:autoSpaceDN w:val="0"/>
              <w:adjustRightInd w:val="0"/>
              <w:jc w:val="center"/>
              <w:rPr>
                <w:szCs w:val="22"/>
              </w:rPr>
            </w:pPr>
            <w:r w:rsidRPr="00930211">
              <w:rPr>
                <w:szCs w:val="22"/>
              </w:rPr>
              <w:t>Bosutinib</w:t>
            </w:r>
          </w:p>
          <w:p w14:paraId="568B3F7B" w14:textId="77777777" w:rsidR="000D0C23" w:rsidRPr="00930211" w:rsidRDefault="000D0C23">
            <w:pPr>
              <w:autoSpaceDE w:val="0"/>
              <w:autoSpaceDN w:val="0"/>
              <w:adjustRightInd w:val="0"/>
              <w:jc w:val="center"/>
              <w:rPr>
                <w:szCs w:val="22"/>
              </w:rPr>
            </w:pPr>
            <w:r w:rsidRPr="00930211">
              <w:rPr>
                <w:szCs w:val="22"/>
              </w:rPr>
              <w:t>(N=246)</w:t>
            </w:r>
          </w:p>
        </w:tc>
        <w:tc>
          <w:tcPr>
            <w:tcW w:w="1174" w:type="pct"/>
            <w:tcBorders>
              <w:top w:val="single" w:sz="4" w:space="0" w:color="auto"/>
              <w:left w:val="single" w:sz="4" w:space="0" w:color="auto"/>
              <w:bottom w:val="single" w:sz="4" w:space="0" w:color="auto"/>
              <w:right w:val="single" w:sz="4" w:space="0" w:color="auto"/>
            </w:tcBorders>
            <w:vAlign w:val="center"/>
            <w:hideMark/>
          </w:tcPr>
          <w:p w14:paraId="370F45D3" w14:textId="77777777" w:rsidR="000D0C23" w:rsidRPr="00930211" w:rsidRDefault="000D0C23">
            <w:pPr>
              <w:autoSpaceDE w:val="0"/>
              <w:autoSpaceDN w:val="0"/>
              <w:adjustRightInd w:val="0"/>
              <w:jc w:val="center"/>
              <w:rPr>
                <w:szCs w:val="22"/>
              </w:rPr>
            </w:pPr>
            <w:r w:rsidRPr="00930211">
              <w:rPr>
                <w:szCs w:val="22"/>
              </w:rPr>
              <w:t>Imatinib</w:t>
            </w:r>
          </w:p>
          <w:p w14:paraId="5FF677F5" w14:textId="77777777" w:rsidR="000D0C23" w:rsidRPr="00930211" w:rsidRDefault="000D0C23">
            <w:pPr>
              <w:autoSpaceDE w:val="0"/>
              <w:autoSpaceDN w:val="0"/>
              <w:adjustRightInd w:val="0"/>
              <w:jc w:val="center"/>
              <w:rPr>
                <w:szCs w:val="22"/>
              </w:rPr>
            </w:pPr>
            <w:r w:rsidRPr="00930211">
              <w:rPr>
                <w:szCs w:val="22"/>
              </w:rPr>
              <w:t>(N=241)</w:t>
            </w:r>
          </w:p>
        </w:tc>
        <w:tc>
          <w:tcPr>
            <w:tcW w:w="935" w:type="pct"/>
            <w:tcBorders>
              <w:top w:val="single" w:sz="4" w:space="0" w:color="auto"/>
              <w:left w:val="single" w:sz="4" w:space="0" w:color="auto"/>
              <w:bottom w:val="single" w:sz="4" w:space="0" w:color="auto"/>
              <w:right w:val="single" w:sz="4" w:space="0" w:color="auto"/>
            </w:tcBorders>
            <w:vAlign w:val="center"/>
            <w:hideMark/>
          </w:tcPr>
          <w:p w14:paraId="0D64D6B6" w14:textId="77777777" w:rsidR="000D0C23" w:rsidRPr="00930211" w:rsidRDefault="000D0C23">
            <w:pPr>
              <w:autoSpaceDE w:val="0"/>
              <w:autoSpaceDN w:val="0"/>
              <w:adjustRightInd w:val="0"/>
              <w:jc w:val="center"/>
              <w:rPr>
                <w:szCs w:val="22"/>
              </w:rPr>
            </w:pPr>
            <w:r w:rsidRPr="00930211">
              <w:rPr>
                <w:szCs w:val="22"/>
              </w:rPr>
              <w:t>Odds ratio</w:t>
            </w:r>
          </w:p>
          <w:p w14:paraId="708DBC63" w14:textId="77777777" w:rsidR="000D0C23" w:rsidRPr="00930211" w:rsidRDefault="000D0C23">
            <w:pPr>
              <w:autoSpaceDE w:val="0"/>
              <w:autoSpaceDN w:val="0"/>
              <w:adjustRightInd w:val="0"/>
              <w:jc w:val="center"/>
              <w:rPr>
                <w:szCs w:val="22"/>
              </w:rPr>
            </w:pPr>
            <w:r w:rsidRPr="00930211">
              <w:rPr>
                <w:szCs w:val="22"/>
              </w:rPr>
              <w:t>(95% CI)</w:t>
            </w:r>
            <w:r w:rsidRPr="00930211">
              <w:rPr>
                <w:szCs w:val="22"/>
                <w:vertAlign w:val="superscript"/>
              </w:rPr>
              <w:t>a</w:t>
            </w:r>
          </w:p>
        </w:tc>
      </w:tr>
      <w:tr w:rsidR="000D0C23" w:rsidRPr="00930211" w14:paraId="33D8EC2C" w14:textId="77777777" w:rsidTr="000D0C23">
        <w:tc>
          <w:tcPr>
            <w:tcW w:w="1717" w:type="pct"/>
            <w:tcBorders>
              <w:top w:val="single" w:sz="4" w:space="0" w:color="auto"/>
              <w:left w:val="single" w:sz="4" w:space="0" w:color="auto"/>
              <w:bottom w:val="single" w:sz="4" w:space="0" w:color="auto"/>
              <w:right w:val="single" w:sz="4" w:space="0" w:color="auto"/>
            </w:tcBorders>
            <w:hideMark/>
          </w:tcPr>
          <w:p w14:paraId="59A7645E" w14:textId="77777777" w:rsidR="000D0C23" w:rsidRPr="00930211" w:rsidRDefault="000D0C23">
            <w:pPr>
              <w:autoSpaceDE w:val="0"/>
              <w:autoSpaceDN w:val="0"/>
              <w:adjustRightInd w:val="0"/>
              <w:rPr>
                <w:szCs w:val="22"/>
                <w:lang w:val="en-US"/>
              </w:rPr>
            </w:pPr>
            <w:r w:rsidRPr="00930211">
              <w:rPr>
                <w:szCs w:val="22"/>
                <w:lang w:val="en-US"/>
              </w:rPr>
              <w:t>Major molecular response</w:t>
            </w:r>
          </w:p>
          <w:p w14:paraId="05C25E4B" w14:textId="77777777" w:rsidR="000D0C23" w:rsidRPr="00930211" w:rsidRDefault="000D0C23">
            <w:pPr>
              <w:autoSpaceDE w:val="0"/>
              <w:autoSpaceDN w:val="0"/>
              <w:adjustRightInd w:val="0"/>
              <w:rPr>
                <w:szCs w:val="22"/>
                <w:lang w:val="en-US"/>
              </w:rPr>
            </w:pPr>
            <w:r w:rsidRPr="00930211">
              <w:rPr>
                <w:szCs w:val="22"/>
                <w:lang w:val="en-US"/>
              </w:rPr>
              <w:t>MMR at Month 12, n (%)</w:t>
            </w:r>
          </w:p>
          <w:p w14:paraId="0CA80531" w14:textId="77777777" w:rsidR="000D0C23" w:rsidRPr="00930211" w:rsidRDefault="000D0C23">
            <w:pPr>
              <w:autoSpaceDE w:val="0"/>
              <w:autoSpaceDN w:val="0"/>
              <w:adjustRightInd w:val="0"/>
              <w:rPr>
                <w:szCs w:val="22"/>
              </w:rPr>
            </w:pPr>
            <w:r w:rsidRPr="00930211">
              <w:rPr>
                <w:szCs w:val="22"/>
              </w:rPr>
              <w:t>(95% CI)</w:t>
            </w:r>
          </w:p>
        </w:tc>
        <w:tc>
          <w:tcPr>
            <w:tcW w:w="1174" w:type="pct"/>
            <w:tcBorders>
              <w:top w:val="single" w:sz="4" w:space="0" w:color="auto"/>
              <w:left w:val="single" w:sz="4" w:space="0" w:color="auto"/>
              <w:bottom w:val="single" w:sz="4" w:space="0" w:color="auto"/>
              <w:right w:val="single" w:sz="4" w:space="0" w:color="auto"/>
            </w:tcBorders>
            <w:vAlign w:val="center"/>
            <w:hideMark/>
          </w:tcPr>
          <w:p w14:paraId="24DBE725" w14:textId="77777777" w:rsidR="000D0C23" w:rsidRPr="00930211" w:rsidRDefault="000D0C23">
            <w:pPr>
              <w:autoSpaceDE w:val="0"/>
              <w:autoSpaceDN w:val="0"/>
              <w:adjustRightInd w:val="0"/>
              <w:jc w:val="center"/>
              <w:rPr>
                <w:szCs w:val="22"/>
              </w:rPr>
            </w:pPr>
            <w:r w:rsidRPr="00930211">
              <w:rPr>
                <w:szCs w:val="22"/>
              </w:rPr>
              <w:t>116 (47.2)</w:t>
            </w:r>
            <w:r w:rsidRPr="00930211">
              <w:rPr>
                <w:szCs w:val="22"/>
                <w:vertAlign w:val="superscript"/>
              </w:rPr>
              <w:t>b</w:t>
            </w:r>
          </w:p>
          <w:p w14:paraId="233F2EB7" w14:textId="77777777" w:rsidR="000D0C23" w:rsidRPr="00930211" w:rsidRDefault="000D0C23">
            <w:pPr>
              <w:autoSpaceDE w:val="0"/>
              <w:autoSpaceDN w:val="0"/>
              <w:adjustRightInd w:val="0"/>
              <w:jc w:val="center"/>
              <w:rPr>
                <w:szCs w:val="22"/>
              </w:rPr>
            </w:pPr>
            <w:r w:rsidRPr="00930211">
              <w:rPr>
                <w:szCs w:val="22"/>
              </w:rPr>
              <w:t>(40.9,53.4)</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9EFE5C4" w14:textId="77777777" w:rsidR="000D0C23" w:rsidRPr="00930211" w:rsidRDefault="000D0C23">
            <w:pPr>
              <w:autoSpaceDE w:val="0"/>
              <w:autoSpaceDN w:val="0"/>
              <w:adjustRightInd w:val="0"/>
              <w:jc w:val="center"/>
              <w:rPr>
                <w:szCs w:val="22"/>
              </w:rPr>
            </w:pPr>
            <w:r w:rsidRPr="00930211">
              <w:rPr>
                <w:szCs w:val="22"/>
              </w:rPr>
              <w:t>89 (36.9)</w:t>
            </w:r>
          </w:p>
          <w:p w14:paraId="134E6E64" w14:textId="77777777" w:rsidR="000D0C23" w:rsidRPr="00930211" w:rsidRDefault="000D0C23">
            <w:pPr>
              <w:autoSpaceDE w:val="0"/>
              <w:autoSpaceDN w:val="0"/>
              <w:adjustRightInd w:val="0"/>
              <w:jc w:val="center"/>
              <w:rPr>
                <w:szCs w:val="22"/>
              </w:rPr>
            </w:pPr>
            <w:r w:rsidRPr="00930211">
              <w:rPr>
                <w:szCs w:val="22"/>
              </w:rPr>
              <w:t>(30.8,43.0)</w:t>
            </w:r>
          </w:p>
        </w:tc>
        <w:tc>
          <w:tcPr>
            <w:tcW w:w="935" w:type="pct"/>
            <w:tcBorders>
              <w:top w:val="single" w:sz="4" w:space="0" w:color="auto"/>
              <w:left w:val="single" w:sz="4" w:space="0" w:color="auto"/>
              <w:bottom w:val="single" w:sz="4" w:space="0" w:color="auto"/>
              <w:right w:val="single" w:sz="4" w:space="0" w:color="auto"/>
            </w:tcBorders>
            <w:vAlign w:val="center"/>
            <w:hideMark/>
          </w:tcPr>
          <w:p w14:paraId="42EDB22B" w14:textId="77777777" w:rsidR="000D0C23" w:rsidRPr="00930211" w:rsidRDefault="000D0C23">
            <w:pPr>
              <w:autoSpaceDE w:val="0"/>
              <w:autoSpaceDN w:val="0"/>
              <w:adjustRightInd w:val="0"/>
              <w:jc w:val="center"/>
              <w:rPr>
                <w:szCs w:val="22"/>
              </w:rPr>
            </w:pPr>
            <w:r w:rsidRPr="00930211">
              <w:rPr>
                <w:szCs w:val="22"/>
              </w:rPr>
              <w:t>1.55 (1.07,2.23)</w:t>
            </w:r>
          </w:p>
        </w:tc>
      </w:tr>
      <w:tr w:rsidR="000D0C23" w:rsidRPr="00930211" w14:paraId="18795DC4" w14:textId="77777777" w:rsidTr="000D0C23">
        <w:tc>
          <w:tcPr>
            <w:tcW w:w="1717" w:type="pct"/>
            <w:tcBorders>
              <w:top w:val="single" w:sz="4" w:space="0" w:color="auto"/>
              <w:left w:val="single" w:sz="4" w:space="0" w:color="auto"/>
              <w:bottom w:val="single" w:sz="4" w:space="0" w:color="auto"/>
              <w:right w:val="single" w:sz="4" w:space="0" w:color="auto"/>
            </w:tcBorders>
            <w:hideMark/>
          </w:tcPr>
          <w:p w14:paraId="23E91194" w14:textId="77777777" w:rsidR="000D0C23" w:rsidRPr="00930211" w:rsidRDefault="000D0C23">
            <w:pPr>
              <w:autoSpaceDE w:val="0"/>
              <w:autoSpaceDN w:val="0"/>
              <w:adjustRightInd w:val="0"/>
              <w:rPr>
                <w:szCs w:val="22"/>
              </w:rPr>
            </w:pPr>
            <w:r w:rsidRPr="00930211">
              <w:rPr>
                <w:szCs w:val="22"/>
              </w:rPr>
              <w:t>1-sided p-value</w:t>
            </w:r>
          </w:p>
        </w:tc>
        <w:tc>
          <w:tcPr>
            <w:tcW w:w="3283" w:type="pct"/>
            <w:gridSpan w:val="3"/>
            <w:tcBorders>
              <w:top w:val="single" w:sz="4" w:space="0" w:color="auto"/>
              <w:left w:val="single" w:sz="4" w:space="0" w:color="auto"/>
              <w:bottom w:val="single" w:sz="4" w:space="0" w:color="auto"/>
              <w:right w:val="single" w:sz="4" w:space="0" w:color="auto"/>
            </w:tcBorders>
            <w:vAlign w:val="center"/>
            <w:hideMark/>
          </w:tcPr>
          <w:p w14:paraId="3F541A15" w14:textId="77777777" w:rsidR="000D0C23" w:rsidRPr="00930211" w:rsidRDefault="000D0C23">
            <w:pPr>
              <w:autoSpaceDE w:val="0"/>
              <w:autoSpaceDN w:val="0"/>
              <w:adjustRightInd w:val="0"/>
              <w:jc w:val="center"/>
              <w:rPr>
                <w:szCs w:val="22"/>
              </w:rPr>
            </w:pPr>
            <w:r w:rsidRPr="00930211">
              <w:rPr>
                <w:szCs w:val="22"/>
              </w:rPr>
              <w:t>0.0100</w:t>
            </w:r>
            <w:r w:rsidRPr="00930211">
              <w:rPr>
                <w:szCs w:val="22"/>
                <w:vertAlign w:val="superscript"/>
              </w:rPr>
              <w:t>b</w:t>
            </w:r>
          </w:p>
        </w:tc>
      </w:tr>
      <w:tr w:rsidR="000D0C23" w:rsidRPr="00930211" w14:paraId="33A4A24A" w14:textId="77777777" w:rsidTr="000D0C23">
        <w:tc>
          <w:tcPr>
            <w:tcW w:w="1717" w:type="pct"/>
            <w:tcBorders>
              <w:top w:val="single" w:sz="4" w:space="0" w:color="auto"/>
              <w:left w:val="single" w:sz="4" w:space="0" w:color="auto"/>
              <w:bottom w:val="single" w:sz="4" w:space="0" w:color="auto"/>
              <w:right w:val="single" w:sz="4" w:space="0" w:color="auto"/>
            </w:tcBorders>
            <w:hideMark/>
          </w:tcPr>
          <w:p w14:paraId="030EDC48" w14:textId="77777777" w:rsidR="000D0C23" w:rsidRPr="00930211" w:rsidRDefault="000D0C23">
            <w:pPr>
              <w:autoSpaceDE w:val="0"/>
              <w:autoSpaceDN w:val="0"/>
              <w:adjustRightInd w:val="0"/>
              <w:rPr>
                <w:szCs w:val="22"/>
                <w:lang w:val="en-US"/>
              </w:rPr>
            </w:pPr>
            <w:r w:rsidRPr="00930211">
              <w:rPr>
                <w:szCs w:val="22"/>
                <w:lang w:val="en-US"/>
              </w:rPr>
              <w:t>MMR at Month 18, n (%)</w:t>
            </w:r>
          </w:p>
          <w:p w14:paraId="6C2572D9" w14:textId="77777777" w:rsidR="000D0C23" w:rsidRPr="00930211" w:rsidRDefault="000D0C23">
            <w:pPr>
              <w:autoSpaceDE w:val="0"/>
              <w:autoSpaceDN w:val="0"/>
              <w:adjustRightInd w:val="0"/>
              <w:rPr>
                <w:szCs w:val="22"/>
                <w:lang w:val="en-US"/>
              </w:rPr>
            </w:pPr>
            <w:r w:rsidRPr="00930211">
              <w:rPr>
                <w:szCs w:val="22"/>
                <w:lang w:val="en-US"/>
              </w:rPr>
              <w:t>(95% CI)</w:t>
            </w:r>
          </w:p>
        </w:tc>
        <w:tc>
          <w:tcPr>
            <w:tcW w:w="1174" w:type="pct"/>
            <w:tcBorders>
              <w:top w:val="single" w:sz="4" w:space="0" w:color="auto"/>
              <w:left w:val="single" w:sz="4" w:space="0" w:color="auto"/>
              <w:bottom w:val="single" w:sz="4" w:space="0" w:color="auto"/>
              <w:right w:val="single" w:sz="4" w:space="0" w:color="auto"/>
            </w:tcBorders>
            <w:vAlign w:val="center"/>
            <w:hideMark/>
          </w:tcPr>
          <w:p w14:paraId="73B3CD9E" w14:textId="77777777" w:rsidR="000D0C23" w:rsidRPr="00930211" w:rsidRDefault="000D0C23">
            <w:pPr>
              <w:autoSpaceDE w:val="0"/>
              <w:autoSpaceDN w:val="0"/>
              <w:adjustRightInd w:val="0"/>
              <w:jc w:val="center"/>
              <w:rPr>
                <w:szCs w:val="22"/>
              </w:rPr>
            </w:pPr>
            <w:r w:rsidRPr="00930211">
              <w:rPr>
                <w:szCs w:val="22"/>
              </w:rPr>
              <w:t>140 (56.9)</w:t>
            </w:r>
          </w:p>
          <w:p w14:paraId="53E40E9F" w14:textId="77777777" w:rsidR="000D0C23" w:rsidRPr="00930211" w:rsidRDefault="000D0C23">
            <w:pPr>
              <w:autoSpaceDE w:val="0"/>
              <w:autoSpaceDN w:val="0"/>
              <w:adjustRightInd w:val="0"/>
              <w:jc w:val="center"/>
              <w:rPr>
                <w:szCs w:val="22"/>
              </w:rPr>
            </w:pPr>
            <w:r w:rsidRPr="00930211">
              <w:rPr>
                <w:szCs w:val="22"/>
              </w:rPr>
              <w:t>(50.7,63.1)</w:t>
            </w:r>
          </w:p>
        </w:tc>
        <w:tc>
          <w:tcPr>
            <w:tcW w:w="1174" w:type="pct"/>
            <w:tcBorders>
              <w:top w:val="single" w:sz="4" w:space="0" w:color="auto"/>
              <w:left w:val="single" w:sz="4" w:space="0" w:color="auto"/>
              <w:bottom w:val="single" w:sz="4" w:space="0" w:color="auto"/>
              <w:right w:val="single" w:sz="4" w:space="0" w:color="auto"/>
            </w:tcBorders>
            <w:vAlign w:val="center"/>
            <w:hideMark/>
          </w:tcPr>
          <w:p w14:paraId="6F11DD13" w14:textId="77777777" w:rsidR="000D0C23" w:rsidRPr="00930211" w:rsidRDefault="000D0C23">
            <w:pPr>
              <w:jc w:val="center"/>
              <w:rPr>
                <w:szCs w:val="22"/>
              </w:rPr>
            </w:pPr>
            <w:r w:rsidRPr="00930211">
              <w:rPr>
                <w:szCs w:val="22"/>
              </w:rPr>
              <w:t>115 (47.7)</w:t>
            </w:r>
          </w:p>
          <w:p w14:paraId="1B5B10A6" w14:textId="77777777" w:rsidR="000D0C23" w:rsidRPr="00930211" w:rsidRDefault="000D0C23">
            <w:pPr>
              <w:jc w:val="center"/>
              <w:rPr>
                <w:szCs w:val="22"/>
              </w:rPr>
            </w:pPr>
            <w:r w:rsidRPr="00930211">
              <w:rPr>
                <w:szCs w:val="22"/>
              </w:rPr>
              <w:t>(41.4,54.0)</w:t>
            </w:r>
          </w:p>
        </w:tc>
        <w:tc>
          <w:tcPr>
            <w:tcW w:w="935" w:type="pct"/>
            <w:tcBorders>
              <w:top w:val="single" w:sz="4" w:space="0" w:color="auto"/>
              <w:left w:val="single" w:sz="4" w:space="0" w:color="auto"/>
              <w:bottom w:val="single" w:sz="4" w:space="0" w:color="auto"/>
              <w:right w:val="single" w:sz="4" w:space="0" w:color="auto"/>
            </w:tcBorders>
            <w:vAlign w:val="center"/>
            <w:hideMark/>
          </w:tcPr>
          <w:p w14:paraId="0F9A75C4" w14:textId="77777777" w:rsidR="000D0C23" w:rsidRPr="00930211" w:rsidRDefault="000D0C23">
            <w:pPr>
              <w:autoSpaceDE w:val="0"/>
              <w:autoSpaceDN w:val="0"/>
              <w:adjustRightInd w:val="0"/>
              <w:jc w:val="center"/>
              <w:rPr>
                <w:szCs w:val="22"/>
              </w:rPr>
            </w:pPr>
            <w:r w:rsidRPr="00930211">
              <w:rPr>
                <w:szCs w:val="22"/>
              </w:rPr>
              <w:t>1.45 (1.02,2.07)</w:t>
            </w:r>
          </w:p>
        </w:tc>
      </w:tr>
      <w:tr w:rsidR="000D0C23" w:rsidRPr="00930211" w14:paraId="4F4F258A" w14:textId="77777777" w:rsidTr="000D0C23">
        <w:tc>
          <w:tcPr>
            <w:tcW w:w="1717" w:type="pct"/>
            <w:tcBorders>
              <w:top w:val="single" w:sz="4" w:space="0" w:color="auto"/>
              <w:left w:val="single" w:sz="4" w:space="0" w:color="auto"/>
              <w:bottom w:val="single" w:sz="4" w:space="0" w:color="auto"/>
              <w:right w:val="single" w:sz="4" w:space="0" w:color="auto"/>
            </w:tcBorders>
            <w:hideMark/>
          </w:tcPr>
          <w:p w14:paraId="4DF2D2AA" w14:textId="77777777" w:rsidR="000D0C23" w:rsidRPr="00930211" w:rsidRDefault="000D0C23">
            <w:pPr>
              <w:autoSpaceDE w:val="0"/>
              <w:autoSpaceDN w:val="0"/>
              <w:adjustRightInd w:val="0"/>
              <w:rPr>
                <w:szCs w:val="22"/>
              </w:rPr>
            </w:pPr>
            <w:r w:rsidRPr="00930211">
              <w:rPr>
                <w:szCs w:val="22"/>
              </w:rPr>
              <w:t>1-sided p-value</w:t>
            </w:r>
          </w:p>
        </w:tc>
        <w:tc>
          <w:tcPr>
            <w:tcW w:w="3283" w:type="pct"/>
            <w:gridSpan w:val="3"/>
            <w:tcBorders>
              <w:top w:val="single" w:sz="4" w:space="0" w:color="auto"/>
              <w:left w:val="single" w:sz="4" w:space="0" w:color="auto"/>
              <w:bottom w:val="single" w:sz="4" w:space="0" w:color="auto"/>
              <w:right w:val="single" w:sz="4" w:space="0" w:color="auto"/>
            </w:tcBorders>
            <w:vAlign w:val="center"/>
            <w:hideMark/>
          </w:tcPr>
          <w:p w14:paraId="77889F2B" w14:textId="77777777" w:rsidR="000D0C23" w:rsidRPr="00930211" w:rsidRDefault="000D0C23">
            <w:pPr>
              <w:autoSpaceDE w:val="0"/>
              <w:autoSpaceDN w:val="0"/>
              <w:adjustRightInd w:val="0"/>
              <w:jc w:val="center"/>
              <w:rPr>
                <w:szCs w:val="22"/>
              </w:rPr>
            </w:pPr>
            <w:r w:rsidRPr="00930211">
              <w:rPr>
                <w:szCs w:val="22"/>
              </w:rPr>
              <w:t>0.0208</w:t>
            </w:r>
            <w:r w:rsidRPr="00930211">
              <w:rPr>
                <w:szCs w:val="22"/>
                <w:vertAlign w:val="superscript"/>
              </w:rPr>
              <w:t>c</w:t>
            </w:r>
          </w:p>
        </w:tc>
      </w:tr>
      <w:tr w:rsidR="000D0C23" w14:paraId="52AF5C84" w14:textId="77777777" w:rsidTr="000D0C23">
        <w:tc>
          <w:tcPr>
            <w:tcW w:w="1717" w:type="pct"/>
            <w:tcBorders>
              <w:top w:val="single" w:sz="4" w:space="0" w:color="auto"/>
              <w:left w:val="single" w:sz="4" w:space="0" w:color="auto"/>
              <w:bottom w:val="single" w:sz="4" w:space="0" w:color="auto"/>
              <w:right w:val="single" w:sz="4" w:space="0" w:color="auto"/>
            </w:tcBorders>
            <w:hideMark/>
          </w:tcPr>
          <w:p w14:paraId="2A5FEEC9" w14:textId="77777777" w:rsidR="000D0C23" w:rsidRPr="00930211" w:rsidRDefault="000D0C23">
            <w:pPr>
              <w:autoSpaceDE w:val="0"/>
              <w:autoSpaceDN w:val="0"/>
              <w:adjustRightInd w:val="0"/>
              <w:rPr>
                <w:szCs w:val="22"/>
                <w:lang w:val="en-US"/>
              </w:rPr>
            </w:pPr>
            <w:r w:rsidRPr="00930211">
              <w:rPr>
                <w:szCs w:val="22"/>
                <w:lang w:val="en-US"/>
              </w:rPr>
              <w:t>Complete cytogenetic response</w:t>
            </w:r>
          </w:p>
          <w:p w14:paraId="3D584BB8" w14:textId="77777777" w:rsidR="000D0C23" w:rsidRPr="00930211" w:rsidRDefault="000D0C23">
            <w:pPr>
              <w:autoSpaceDE w:val="0"/>
              <w:autoSpaceDN w:val="0"/>
              <w:adjustRightInd w:val="0"/>
              <w:rPr>
                <w:szCs w:val="22"/>
                <w:lang w:val="en-US"/>
              </w:rPr>
            </w:pPr>
            <w:r w:rsidRPr="00930211">
              <w:rPr>
                <w:szCs w:val="22"/>
                <w:lang w:val="en-US"/>
              </w:rPr>
              <w:t>CCyR by Month 12, n (%)</w:t>
            </w:r>
          </w:p>
          <w:p w14:paraId="7F5D9C3E" w14:textId="77777777" w:rsidR="000D0C23" w:rsidRDefault="000D0C23">
            <w:pPr>
              <w:autoSpaceDE w:val="0"/>
              <w:autoSpaceDN w:val="0"/>
              <w:adjustRightInd w:val="0"/>
              <w:rPr>
                <w:szCs w:val="22"/>
              </w:rPr>
            </w:pPr>
            <w:r w:rsidRPr="00930211">
              <w:rPr>
                <w:szCs w:val="22"/>
              </w:rPr>
              <w:t>(95% CI)</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54004E3" w14:textId="77777777" w:rsidR="000D0C23" w:rsidRPr="00930211" w:rsidRDefault="000D0C23">
            <w:pPr>
              <w:autoSpaceDE w:val="0"/>
              <w:autoSpaceDN w:val="0"/>
              <w:adjustRightInd w:val="0"/>
              <w:jc w:val="center"/>
              <w:rPr>
                <w:szCs w:val="22"/>
              </w:rPr>
            </w:pPr>
            <w:r w:rsidRPr="00930211">
              <w:rPr>
                <w:szCs w:val="22"/>
              </w:rPr>
              <w:t>190 (77.2)</w:t>
            </w:r>
            <w:r w:rsidRPr="00930211">
              <w:rPr>
                <w:szCs w:val="22"/>
                <w:vertAlign w:val="superscript"/>
              </w:rPr>
              <w:t>b</w:t>
            </w:r>
          </w:p>
          <w:p w14:paraId="440856CD" w14:textId="77777777" w:rsidR="000D0C23" w:rsidRPr="00930211" w:rsidRDefault="000D0C23">
            <w:pPr>
              <w:autoSpaceDE w:val="0"/>
              <w:autoSpaceDN w:val="0"/>
              <w:adjustRightInd w:val="0"/>
              <w:jc w:val="center"/>
              <w:rPr>
                <w:szCs w:val="22"/>
              </w:rPr>
            </w:pPr>
            <w:r w:rsidRPr="00930211">
              <w:rPr>
                <w:szCs w:val="22"/>
              </w:rPr>
              <w:t>(72.0,82.5)</w:t>
            </w:r>
          </w:p>
        </w:tc>
        <w:tc>
          <w:tcPr>
            <w:tcW w:w="1174" w:type="pct"/>
            <w:tcBorders>
              <w:top w:val="single" w:sz="4" w:space="0" w:color="auto"/>
              <w:left w:val="single" w:sz="4" w:space="0" w:color="auto"/>
              <w:bottom w:val="single" w:sz="4" w:space="0" w:color="auto"/>
              <w:right w:val="single" w:sz="4" w:space="0" w:color="auto"/>
            </w:tcBorders>
            <w:vAlign w:val="center"/>
            <w:hideMark/>
          </w:tcPr>
          <w:p w14:paraId="0EF6C440" w14:textId="77777777" w:rsidR="000D0C23" w:rsidRPr="00930211" w:rsidRDefault="000D0C23">
            <w:pPr>
              <w:autoSpaceDE w:val="0"/>
              <w:autoSpaceDN w:val="0"/>
              <w:adjustRightInd w:val="0"/>
              <w:jc w:val="center"/>
              <w:rPr>
                <w:szCs w:val="22"/>
              </w:rPr>
            </w:pPr>
            <w:r w:rsidRPr="00930211">
              <w:rPr>
                <w:szCs w:val="22"/>
              </w:rPr>
              <w:t>160 (66.4)</w:t>
            </w:r>
          </w:p>
          <w:p w14:paraId="2BD3938F" w14:textId="77777777" w:rsidR="000D0C23" w:rsidRPr="00930211" w:rsidRDefault="000D0C23">
            <w:pPr>
              <w:autoSpaceDE w:val="0"/>
              <w:autoSpaceDN w:val="0"/>
              <w:adjustRightInd w:val="0"/>
              <w:jc w:val="center"/>
              <w:rPr>
                <w:szCs w:val="22"/>
              </w:rPr>
            </w:pPr>
            <w:r w:rsidRPr="00930211">
              <w:rPr>
                <w:szCs w:val="22"/>
              </w:rPr>
              <w:t>(60.4,72.4)</w:t>
            </w:r>
          </w:p>
        </w:tc>
        <w:tc>
          <w:tcPr>
            <w:tcW w:w="935" w:type="pct"/>
            <w:tcBorders>
              <w:top w:val="single" w:sz="4" w:space="0" w:color="auto"/>
              <w:left w:val="single" w:sz="4" w:space="0" w:color="auto"/>
              <w:bottom w:val="single" w:sz="4" w:space="0" w:color="auto"/>
              <w:right w:val="single" w:sz="4" w:space="0" w:color="auto"/>
            </w:tcBorders>
            <w:vAlign w:val="center"/>
            <w:hideMark/>
          </w:tcPr>
          <w:p w14:paraId="6ED09349" w14:textId="77777777" w:rsidR="000D0C23" w:rsidRPr="00930211" w:rsidRDefault="000D0C23">
            <w:pPr>
              <w:autoSpaceDE w:val="0"/>
              <w:autoSpaceDN w:val="0"/>
              <w:adjustRightInd w:val="0"/>
              <w:jc w:val="center"/>
              <w:rPr>
                <w:szCs w:val="22"/>
              </w:rPr>
            </w:pPr>
            <w:r w:rsidRPr="00930211">
              <w:rPr>
                <w:szCs w:val="22"/>
              </w:rPr>
              <w:t>1.74 (1.16,2.61)</w:t>
            </w:r>
          </w:p>
        </w:tc>
      </w:tr>
      <w:tr w:rsidR="000D0C23" w:rsidRPr="00930211" w14:paraId="2AF7F115" w14:textId="77777777" w:rsidTr="000D0C23">
        <w:tc>
          <w:tcPr>
            <w:tcW w:w="1717" w:type="pct"/>
            <w:tcBorders>
              <w:top w:val="single" w:sz="4" w:space="0" w:color="auto"/>
              <w:left w:val="single" w:sz="4" w:space="0" w:color="auto"/>
              <w:bottom w:val="single" w:sz="4" w:space="0" w:color="auto"/>
              <w:right w:val="single" w:sz="4" w:space="0" w:color="auto"/>
            </w:tcBorders>
            <w:hideMark/>
          </w:tcPr>
          <w:p w14:paraId="2C7D1DAE" w14:textId="77777777" w:rsidR="000D0C23" w:rsidRPr="00930211" w:rsidRDefault="000D0C23">
            <w:pPr>
              <w:autoSpaceDE w:val="0"/>
              <w:autoSpaceDN w:val="0"/>
              <w:adjustRightInd w:val="0"/>
              <w:rPr>
                <w:szCs w:val="22"/>
              </w:rPr>
            </w:pPr>
            <w:r w:rsidRPr="00930211">
              <w:rPr>
                <w:szCs w:val="22"/>
              </w:rPr>
              <w:t>1-sided p-value</w:t>
            </w:r>
          </w:p>
        </w:tc>
        <w:tc>
          <w:tcPr>
            <w:tcW w:w="3283" w:type="pct"/>
            <w:gridSpan w:val="3"/>
            <w:tcBorders>
              <w:top w:val="single" w:sz="4" w:space="0" w:color="auto"/>
              <w:left w:val="single" w:sz="4" w:space="0" w:color="auto"/>
              <w:bottom w:val="single" w:sz="4" w:space="0" w:color="auto"/>
              <w:right w:val="single" w:sz="4" w:space="0" w:color="auto"/>
            </w:tcBorders>
            <w:hideMark/>
          </w:tcPr>
          <w:p w14:paraId="56E85B00" w14:textId="77777777" w:rsidR="000D0C23" w:rsidRPr="00930211" w:rsidRDefault="000D0C23">
            <w:pPr>
              <w:autoSpaceDE w:val="0"/>
              <w:autoSpaceDN w:val="0"/>
              <w:adjustRightInd w:val="0"/>
              <w:jc w:val="center"/>
              <w:rPr>
                <w:szCs w:val="22"/>
              </w:rPr>
            </w:pPr>
            <w:r w:rsidRPr="00930211">
              <w:rPr>
                <w:szCs w:val="22"/>
              </w:rPr>
              <w:t>0.0037</w:t>
            </w:r>
            <w:r w:rsidRPr="00930211">
              <w:rPr>
                <w:szCs w:val="22"/>
                <w:vertAlign w:val="superscript"/>
              </w:rPr>
              <w:t>b</w:t>
            </w:r>
          </w:p>
        </w:tc>
      </w:tr>
    </w:tbl>
    <w:p w14:paraId="04E8838E" w14:textId="77777777" w:rsidR="000D0C23" w:rsidRDefault="000D0C23" w:rsidP="000D0C23">
      <w:pPr>
        <w:autoSpaceDE w:val="0"/>
        <w:autoSpaceDN w:val="0"/>
        <w:adjustRightInd w:val="0"/>
        <w:rPr>
          <w:sz w:val="20"/>
          <w:lang w:val="en-GB" w:eastAsia="en-US"/>
        </w:rPr>
      </w:pPr>
      <w:r w:rsidRPr="000D0C23">
        <w:rPr>
          <w:sz w:val="20"/>
          <w:lang w:val="en-US"/>
        </w:rPr>
        <w:t>Note: MMR was defined as ≤</w:t>
      </w:r>
      <w:r w:rsidRPr="000D0C23">
        <w:rPr>
          <w:szCs w:val="22"/>
          <w:lang w:val="en-US"/>
        </w:rPr>
        <w:t> </w:t>
      </w:r>
      <w:r w:rsidRPr="000D0C23">
        <w:rPr>
          <w:sz w:val="20"/>
          <w:lang w:val="en-US"/>
        </w:rPr>
        <w:t>0.1% BCR-ABL/ABL ratio by international scale (corresponding to ≥3 log reduction from standardised baseline) with a minimum of 3,000 ABL transcripts assessed by the central laboratory. Complete cytogenetic response was defined as the absence of Ph+ metaphases in chromosome banding analysis of ≥ 20 metaphases derived from bone marrow aspirate or MMR if an adequate cytogenetic assessment was unavailable.</w:t>
      </w:r>
    </w:p>
    <w:p w14:paraId="670B98A7" w14:textId="77777777" w:rsidR="000D0C23" w:rsidRPr="000D0C23" w:rsidRDefault="000D0C23" w:rsidP="000D0C23">
      <w:pPr>
        <w:autoSpaceDE w:val="0"/>
        <w:autoSpaceDN w:val="0"/>
        <w:adjustRightInd w:val="0"/>
        <w:rPr>
          <w:sz w:val="20"/>
          <w:lang w:val="en-US"/>
        </w:rPr>
      </w:pPr>
      <w:r w:rsidRPr="000D0C23">
        <w:rPr>
          <w:sz w:val="20"/>
          <w:lang w:val="en-US"/>
        </w:rPr>
        <w:t>Abbreviations: BCR-ABL=breakpoint cluster region-Abelson; CI=confidence interval; CMH=Cochran-Mantel-Haenszel; CCyR=complete cytogenetic response; mITT=modified intent-to-treat; MMR=major molecular response; N/n=number of patients; Ph+=Philadelphia chromosome-positive.</w:t>
      </w:r>
    </w:p>
    <w:p w14:paraId="42EC361B" w14:textId="77777777" w:rsidR="000D0C23" w:rsidRPr="000D0C23" w:rsidRDefault="000D0C23" w:rsidP="000D0C23">
      <w:pPr>
        <w:autoSpaceDE w:val="0"/>
        <w:autoSpaceDN w:val="0"/>
        <w:adjustRightInd w:val="0"/>
        <w:rPr>
          <w:sz w:val="20"/>
          <w:lang w:val="en-US"/>
        </w:rPr>
      </w:pPr>
      <w:r w:rsidRPr="000D0C23">
        <w:rPr>
          <w:sz w:val="20"/>
          <w:vertAlign w:val="superscript"/>
          <w:lang w:val="en-US"/>
        </w:rPr>
        <w:t>a</w:t>
      </w:r>
      <w:r w:rsidRPr="000D0C23">
        <w:rPr>
          <w:sz w:val="20"/>
          <w:lang w:val="en-US"/>
        </w:rPr>
        <w:t xml:space="preserve"> Adjusted for geographical region and Sokal score at randomisation.</w:t>
      </w:r>
    </w:p>
    <w:p w14:paraId="7AE471D0" w14:textId="77777777" w:rsidR="000D0C23" w:rsidRPr="000D0C23" w:rsidRDefault="000D0C23" w:rsidP="000D0C23">
      <w:pPr>
        <w:autoSpaceDE w:val="0"/>
        <w:autoSpaceDN w:val="0"/>
        <w:adjustRightInd w:val="0"/>
        <w:ind w:left="142" w:hanging="142"/>
        <w:rPr>
          <w:sz w:val="20"/>
          <w:lang w:val="en-US"/>
        </w:rPr>
      </w:pPr>
      <w:r w:rsidRPr="000D0C23">
        <w:rPr>
          <w:sz w:val="20"/>
          <w:vertAlign w:val="superscript"/>
          <w:lang w:val="en-US"/>
        </w:rPr>
        <w:t>b</w:t>
      </w:r>
      <w:r w:rsidRPr="000D0C23">
        <w:rPr>
          <w:sz w:val="20"/>
          <w:lang w:val="en-US"/>
        </w:rPr>
        <w:t xml:space="preserve"> Statistically significant comparison at the pre-specified significance level; based on CMH test stratified by geographical region and Sokal score at randomisation.</w:t>
      </w:r>
    </w:p>
    <w:p w14:paraId="28EF27C2" w14:textId="77777777" w:rsidR="000D0C23" w:rsidRPr="000D0C23" w:rsidRDefault="000D0C23" w:rsidP="000D0C23">
      <w:pPr>
        <w:autoSpaceDE w:val="0"/>
        <w:autoSpaceDN w:val="0"/>
        <w:adjustRightInd w:val="0"/>
        <w:rPr>
          <w:sz w:val="20"/>
          <w:lang w:val="en-US"/>
        </w:rPr>
      </w:pPr>
      <w:r w:rsidRPr="000D0C23">
        <w:rPr>
          <w:sz w:val="20"/>
          <w:vertAlign w:val="superscript"/>
          <w:lang w:val="en-US"/>
        </w:rPr>
        <w:t>c</w:t>
      </w:r>
      <w:r w:rsidRPr="000D0C23">
        <w:rPr>
          <w:sz w:val="20"/>
          <w:lang w:val="en-US"/>
        </w:rPr>
        <w:t xml:space="preserve"> Based on CMH test stratified by geographical region and Sokal score at randomisation.</w:t>
      </w:r>
    </w:p>
    <w:p w14:paraId="79D5063B" w14:textId="77777777" w:rsidR="000D0C23" w:rsidRPr="000D0C23" w:rsidRDefault="000D0C23" w:rsidP="000D0C23">
      <w:pPr>
        <w:autoSpaceDE w:val="0"/>
        <w:autoSpaceDN w:val="0"/>
        <w:adjustRightInd w:val="0"/>
        <w:ind w:left="851"/>
        <w:rPr>
          <w:sz w:val="24"/>
          <w:szCs w:val="24"/>
          <w:lang w:val="en-US"/>
        </w:rPr>
      </w:pPr>
    </w:p>
    <w:p w14:paraId="7C5CED95"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At Month 12, the MR</w:t>
      </w:r>
      <w:r w:rsidRPr="000D0C23">
        <w:rPr>
          <w:sz w:val="24"/>
          <w:szCs w:val="24"/>
          <w:vertAlign w:val="superscript"/>
          <w:lang w:val="en-US"/>
        </w:rPr>
        <w:t>4</w:t>
      </w:r>
      <w:r w:rsidRPr="000D0C23">
        <w:rPr>
          <w:sz w:val="24"/>
          <w:szCs w:val="24"/>
          <w:lang w:val="en-US"/>
        </w:rPr>
        <w:t xml:space="preserve"> rate (defined as ≤ 0.01% BCR</w:t>
      </w:r>
      <w:r w:rsidRPr="000D0C23">
        <w:rPr>
          <w:sz w:val="24"/>
          <w:szCs w:val="24"/>
          <w:lang w:val="en-US"/>
        </w:rPr>
        <w:noBreakHyphen/>
        <w:t>ABL [corresponding to ≥ 4 log reduction from standardised baseline] with a minimum of 9,800 ABL transcripts) was higher in the bosutinib treatment group compared to the imatinib treatment group in the mITT population (20.7% [95% CI: 15.7%, 25.8%] versus 12.0% [95% CI: 7.9%, 16.1%], respectively, odds ratio (OR) 1.88 [95% CI: 1.15, 3.08], 1-sided p-value=0.0052).</w:t>
      </w:r>
    </w:p>
    <w:p w14:paraId="1413598E" w14:textId="77777777" w:rsidR="000D0C23" w:rsidRPr="000D0C23" w:rsidRDefault="000D0C23" w:rsidP="000D0C23">
      <w:pPr>
        <w:autoSpaceDE w:val="0"/>
        <w:autoSpaceDN w:val="0"/>
        <w:adjustRightInd w:val="0"/>
        <w:ind w:left="851"/>
        <w:rPr>
          <w:sz w:val="24"/>
          <w:szCs w:val="24"/>
          <w:lang w:val="en-US"/>
        </w:rPr>
      </w:pPr>
    </w:p>
    <w:p w14:paraId="455F49C5"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At Months 3, 6, and 9, the proportion of patients with MMR was higher in the bosutinib treatment group compared to the imatinib treatment group (Table 4).</w:t>
      </w:r>
    </w:p>
    <w:p w14:paraId="739DD258" w14:textId="77777777" w:rsidR="000D0C23" w:rsidRPr="000D0C23" w:rsidRDefault="000D0C23" w:rsidP="000D0C23">
      <w:pPr>
        <w:autoSpaceDE w:val="0"/>
        <w:autoSpaceDN w:val="0"/>
        <w:adjustRightInd w:val="0"/>
        <w:ind w:left="851"/>
        <w:rPr>
          <w:sz w:val="24"/>
          <w:szCs w:val="24"/>
          <w:lang w:val="en-US"/>
        </w:rPr>
      </w:pPr>
    </w:p>
    <w:p w14:paraId="089B7AA0" w14:textId="77777777" w:rsidR="000D0C23" w:rsidRPr="000D0C23" w:rsidRDefault="000D0C23" w:rsidP="000D0C23">
      <w:pPr>
        <w:keepNext/>
        <w:autoSpaceDE w:val="0"/>
        <w:autoSpaceDN w:val="0"/>
        <w:adjustRightInd w:val="0"/>
        <w:ind w:left="1134" w:hanging="1134"/>
        <w:rPr>
          <w:b/>
          <w:szCs w:val="22"/>
          <w:lang w:val="en-US"/>
        </w:rPr>
      </w:pPr>
      <w:r w:rsidRPr="000D0C23">
        <w:rPr>
          <w:b/>
          <w:szCs w:val="22"/>
          <w:lang w:val="en-US"/>
        </w:rPr>
        <w:t>Table 4</w:t>
      </w:r>
      <w:r w:rsidRPr="000D0C23">
        <w:rPr>
          <w:b/>
          <w:szCs w:val="22"/>
          <w:lang w:val="en-US"/>
        </w:rPr>
        <w:tab/>
        <w:t>Comparison of MMR at Months 3, 6, and 9 by treatment in the mITT population</w:t>
      </w:r>
    </w:p>
    <w:tbl>
      <w:tblPr>
        <w:tblW w:w="5000" w:type="pct"/>
        <w:tblLook w:val="04A0" w:firstRow="1" w:lastRow="0" w:firstColumn="1" w:lastColumn="0" w:noHBand="0" w:noVBand="1"/>
      </w:tblPr>
      <w:tblGrid>
        <w:gridCol w:w="2407"/>
        <w:gridCol w:w="2407"/>
        <w:gridCol w:w="2407"/>
        <w:gridCol w:w="2407"/>
      </w:tblGrid>
      <w:tr w:rsidR="000D0C23" w:rsidRPr="00EF1F5F" w14:paraId="71F5A86A" w14:textId="77777777" w:rsidTr="000D0C23">
        <w:tc>
          <w:tcPr>
            <w:tcW w:w="1250" w:type="pct"/>
            <w:vMerge w:val="restart"/>
            <w:tcBorders>
              <w:top w:val="single" w:sz="4" w:space="0" w:color="auto"/>
              <w:left w:val="single" w:sz="4" w:space="0" w:color="auto"/>
              <w:bottom w:val="single" w:sz="4" w:space="0" w:color="auto"/>
              <w:right w:val="single" w:sz="4" w:space="0" w:color="auto"/>
            </w:tcBorders>
            <w:vAlign w:val="center"/>
            <w:hideMark/>
          </w:tcPr>
          <w:p w14:paraId="4FBBFAF4" w14:textId="77777777" w:rsidR="000D0C23" w:rsidRPr="00EF1F5F" w:rsidRDefault="000D0C23">
            <w:pPr>
              <w:autoSpaceDE w:val="0"/>
              <w:autoSpaceDN w:val="0"/>
              <w:adjustRightInd w:val="0"/>
              <w:rPr>
                <w:szCs w:val="22"/>
              </w:rPr>
            </w:pPr>
            <w:r w:rsidRPr="00EF1F5F">
              <w:rPr>
                <w:szCs w:val="22"/>
              </w:rPr>
              <w:t>Time</w:t>
            </w: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799750A2" w14:textId="77777777" w:rsidR="000D0C23" w:rsidRPr="00EF1F5F" w:rsidRDefault="000D0C23">
            <w:pPr>
              <w:autoSpaceDE w:val="0"/>
              <w:autoSpaceDN w:val="0"/>
              <w:adjustRightInd w:val="0"/>
              <w:jc w:val="center"/>
              <w:rPr>
                <w:szCs w:val="22"/>
                <w:lang w:val="en-US"/>
              </w:rPr>
            </w:pPr>
            <w:r w:rsidRPr="00EF1F5F">
              <w:rPr>
                <w:szCs w:val="22"/>
                <w:lang w:val="en-US"/>
              </w:rPr>
              <w:t>Number (%) of subjects with MMR</w:t>
            </w:r>
          </w:p>
        </w:tc>
        <w:tc>
          <w:tcPr>
            <w:tcW w:w="1250" w:type="pct"/>
            <w:vMerge w:val="restart"/>
            <w:tcBorders>
              <w:top w:val="single" w:sz="4" w:space="0" w:color="auto"/>
              <w:left w:val="single" w:sz="4" w:space="0" w:color="auto"/>
              <w:bottom w:val="single" w:sz="4" w:space="0" w:color="auto"/>
              <w:right w:val="single" w:sz="4" w:space="0" w:color="auto"/>
            </w:tcBorders>
            <w:vAlign w:val="bottom"/>
            <w:hideMark/>
          </w:tcPr>
          <w:p w14:paraId="3CFD4991" w14:textId="77777777" w:rsidR="000D0C23" w:rsidRPr="00EF1F5F" w:rsidRDefault="000D0C23">
            <w:pPr>
              <w:autoSpaceDE w:val="0"/>
              <w:autoSpaceDN w:val="0"/>
              <w:adjustRightInd w:val="0"/>
              <w:jc w:val="center"/>
              <w:rPr>
                <w:szCs w:val="22"/>
              </w:rPr>
            </w:pPr>
            <w:r w:rsidRPr="00EF1F5F">
              <w:rPr>
                <w:szCs w:val="22"/>
              </w:rPr>
              <w:t>Odds ratio</w:t>
            </w:r>
          </w:p>
          <w:p w14:paraId="5BFC1D1C" w14:textId="77777777" w:rsidR="000D0C23" w:rsidRPr="00EF1F5F" w:rsidRDefault="000D0C23">
            <w:pPr>
              <w:autoSpaceDE w:val="0"/>
              <w:autoSpaceDN w:val="0"/>
              <w:adjustRightInd w:val="0"/>
              <w:jc w:val="center"/>
              <w:rPr>
                <w:szCs w:val="22"/>
              </w:rPr>
            </w:pPr>
            <w:r w:rsidRPr="00EF1F5F">
              <w:rPr>
                <w:szCs w:val="22"/>
              </w:rPr>
              <w:t>(95% CI)</w:t>
            </w:r>
            <w:r w:rsidRPr="00EF1F5F">
              <w:rPr>
                <w:szCs w:val="22"/>
                <w:vertAlign w:val="superscript"/>
              </w:rPr>
              <w:t>a</w:t>
            </w:r>
          </w:p>
        </w:tc>
      </w:tr>
      <w:tr w:rsidR="000D0C23" w:rsidRPr="00EF1F5F" w14:paraId="3BC0B14A" w14:textId="77777777" w:rsidTr="000D0C23">
        <w:tc>
          <w:tcPr>
            <w:tcW w:w="0" w:type="auto"/>
            <w:vMerge/>
            <w:tcBorders>
              <w:top w:val="single" w:sz="4" w:space="0" w:color="auto"/>
              <w:left w:val="single" w:sz="4" w:space="0" w:color="auto"/>
              <w:bottom w:val="single" w:sz="4" w:space="0" w:color="auto"/>
              <w:right w:val="single" w:sz="4" w:space="0" w:color="auto"/>
            </w:tcBorders>
            <w:vAlign w:val="center"/>
            <w:hideMark/>
          </w:tcPr>
          <w:p w14:paraId="784AE443" w14:textId="77777777" w:rsidR="000D0C23" w:rsidRPr="00EF1F5F" w:rsidRDefault="000D0C23">
            <w:pPr>
              <w:rPr>
                <w:sz w:val="22"/>
                <w:szCs w:val="22"/>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6C23E4FC" w14:textId="77777777" w:rsidR="000D0C23" w:rsidRPr="00EF1F5F" w:rsidRDefault="000D0C23">
            <w:pPr>
              <w:autoSpaceDE w:val="0"/>
              <w:autoSpaceDN w:val="0"/>
              <w:adjustRightInd w:val="0"/>
              <w:jc w:val="center"/>
              <w:rPr>
                <w:szCs w:val="22"/>
              </w:rPr>
            </w:pPr>
            <w:r w:rsidRPr="00EF1F5F">
              <w:rPr>
                <w:szCs w:val="22"/>
              </w:rPr>
              <w:t>Bosutinib</w:t>
            </w:r>
          </w:p>
          <w:p w14:paraId="3814811F" w14:textId="77777777" w:rsidR="000D0C23" w:rsidRPr="00EF1F5F" w:rsidRDefault="000D0C23">
            <w:pPr>
              <w:autoSpaceDE w:val="0"/>
              <w:autoSpaceDN w:val="0"/>
              <w:adjustRightInd w:val="0"/>
              <w:jc w:val="center"/>
              <w:rPr>
                <w:szCs w:val="22"/>
              </w:rPr>
            </w:pPr>
            <w:r w:rsidRPr="00EF1F5F">
              <w:rPr>
                <w:szCs w:val="22"/>
              </w:rPr>
              <w:t>(N=246)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5AA598F" w14:textId="77777777" w:rsidR="000D0C23" w:rsidRPr="00EF1F5F" w:rsidRDefault="000D0C23">
            <w:pPr>
              <w:autoSpaceDE w:val="0"/>
              <w:autoSpaceDN w:val="0"/>
              <w:adjustRightInd w:val="0"/>
              <w:jc w:val="center"/>
              <w:rPr>
                <w:szCs w:val="22"/>
              </w:rPr>
            </w:pPr>
            <w:r w:rsidRPr="00EF1F5F">
              <w:rPr>
                <w:szCs w:val="22"/>
              </w:rPr>
              <w:t>Imatinib</w:t>
            </w:r>
          </w:p>
          <w:p w14:paraId="733A6783" w14:textId="77777777" w:rsidR="000D0C23" w:rsidRPr="00EF1F5F" w:rsidRDefault="000D0C23">
            <w:pPr>
              <w:autoSpaceDE w:val="0"/>
              <w:autoSpaceDN w:val="0"/>
              <w:adjustRightInd w:val="0"/>
              <w:jc w:val="center"/>
              <w:rPr>
                <w:szCs w:val="22"/>
              </w:rPr>
            </w:pPr>
            <w:r w:rsidRPr="00EF1F5F">
              <w:rPr>
                <w:szCs w:val="22"/>
              </w:rPr>
              <w:t>(N=241)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1FF02" w14:textId="77777777" w:rsidR="000D0C23" w:rsidRPr="00EF1F5F" w:rsidRDefault="000D0C23">
            <w:pPr>
              <w:rPr>
                <w:sz w:val="22"/>
                <w:szCs w:val="22"/>
                <w:lang w:val="en-GB" w:eastAsia="en-US"/>
              </w:rPr>
            </w:pPr>
          </w:p>
        </w:tc>
      </w:tr>
      <w:tr w:rsidR="000D0C23" w:rsidRPr="00EF1F5F" w14:paraId="7934E9FD"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6A5E3B3F" w14:textId="77777777" w:rsidR="000D0C23" w:rsidRPr="00EF1F5F" w:rsidRDefault="000D0C23">
            <w:pPr>
              <w:autoSpaceDE w:val="0"/>
              <w:autoSpaceDN w:val="0"/>
              <w:adjustRightInd w:val="0"/>
              <w:rPr>
                <w:szCs w:val="22"/>
              </w:rPr>
            </w:pPr>
            <w:r w:rsidRPr="00EF1F5F">
              <w:rPr>
                <w:szCs w:val="22"/>
              </w:rPr>
              <w:t>Month 3</w:t>
            </w:r>
          </w:p>
          <w:p w14:paraId="3C13D826" w14:textId="77777777" w:rsidR="000D0C23" w:rsidRPr="00EF1F5F" w:rsidRDefault="000D0C23">
            <w:pPr>
              <w:autoSpaceDE w:val="0"/>
              <w:autoSpaceDN w:val="0"/>
              <w:adjustRightInd w:val="0"/>
              <w:ind w:left="176"/>
              <w:rPr>
                <w:szCs w:val="22"/>
              </w:rPr>
            </w:pPr>
            <w:r w:rsidRPr="00EF1F5F">
              <w:rPr>
                <w:szCs w:val="22"/>
              </w:rPr>
              <w:t>(95% CI)</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057F1BC" w14:textId="77777777" w:rsidR="000D0C23" w:rsidRPr="00EF1F5F" w:rsidRDefault="000D0C23">
            <w:pPr>
              <w:autoSpaceDE w:val="0"/>
              <w:autoSpaceDN w:val="0"/>
              <w:adjustRightInd w:val="0"/>
              <w:jc w:val="center"/>
              <w:rPr>
                <w:szCs w:val="22"/>
              </w:rPr>
            </w:pPr>
            <w:r w:rsidRPr="00EF1F5F">
              <w:rPr>
                <w:szCs w:val="22"/>
              </w:rPr>
              <w:t>10 (4.1)</w:t>
            </w:r>
          </w:p>
          <w:p w14:paraId="28E1A186" w14:textId="77777777" w:rsidR="000D0C23" w:rsidRPr="00EF1F5F" w:rsidRDefault="000D0C23">
            <w:pPr>
              <w:autoSpaceDE w:val="0"/>
              <w:autoSpaceDN w:val="0"/>
              <w:adjustRightInd w:val="0"/>
              <w:jc w:val="center"/>
              <w:rPr>
                <w:szCs w:val="22"/>
              </w:rPr>
            </w:pPr>
            <w:r w:rsidRPr="00EF1F5F">
              <w:rPr>
                <w:szCs w:val="22"/>
              </w:rPr>
              <w:t>(1.6,6.5)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2FE5E8E" w14:textId="77777777" w:rsidR="000D0C23" w:rsidRPr="00EF1F5F" w:rsidRDefault="000D0C23">
            <w:pPr>
              <w:autoSpaceDE w:val="0"/>
              <w:autoSpaceDN w:val="0"/>
              <w:adjustRightInd w:val="0"/>
              <w:jc w:val="center"/>
              <w:rPr>
                <w:szCs w:val="22"/>
              </w:rPr>
            </w:pPr>
            <w:r w:rsidRPr="00EF1F5F">
              <w:rPr>
                <w:szCs w:val="22"/>
              </w:rPr>
              <w:t>4 (1.7)</w:t>
            </w:r>
          </w:p>
          <w:p w14:paraId="237E555D" w14:textId="77777777" w:rsidR="000D0C23" w:rsidRPr="00EF1F5F" w:rsidRDefault="000D0C23">
            <w:pPr>
              <w:autoSpaceDE w:val="0"/>
              <w:autoSpaceDN w:val="0"/>
              <w:adjustRightInd w:val="0"/>
              <w:jc w:val="center"/>
              <w:rPr>
                <w:szCs w:val="22"/>
              </w:rPr>
            </w:pPr>
            <w:r w:rsidRPr="00EF1F5F">
              <w:rPr>
                <w:szCs w:val="22"/>
              </w:rPr>
              <w:t>(0.0,3.3)</w:t>
            </w:r>
          </w:p>
        </w:tc>
        <w:tc>
          <w:tcPr>
            <w:tcW w:w="1250" w:type="pct"/>
            <w:tcBorders>
              <w:top w:val="single" w:sz="4" w:space="0" w:color="auto"/>
              <w:left w:val="single" w:sz="4" w:space="0" w:color="auto"/>
              <w:bottom w:val="single" w:sz="4" w:space="0" w:color="auto"/>
              <w:right w:val="single" w:sz="4" w:space="0" w:color="auto"/>
            </w:tcBorders>
            <w:hideMark/>
          </w:tcPr>
          <w:p w14:paraId="409D9A4A" w14:textId="77777777" w:rsidR="000D0C23" w:rsidRPr="00EF1F5F" w:rsidRDefault="000D0C23">
            <w:pPr>
              <w:autoSpaceDE w:val="0"/>
              <w:autoSpaceDN w:val="0"/>
              <w:adjustRightInd w:val="0"/>
              <w:jc w:val="center"/>
              <w:rPr>
                <w:szCs w:val="22"/>
              </w:rPr>
            </w:pPr>
            <w:r w:rsidRPr="00EF1F5F">
              <w:rPr>
                <w:szCs w:val="22"/>
              </w:rPr>
              <w:t>2.48 (0.77,7.98)</w:t>
            </w:r>
          </w:p>
        </w:tc>
      </w:tr>
      <w:tr w:rsidR="000D0C23" w:rsidRPr="00EF1F5F" w14:paraId="4FBE74D4"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7E017855" w14:textId="77777777" w:rsidR="000D0C23" w:rsidRPr="00EF1F5F" w:rsidRDefault="000D0C23">
            <w:pPr>
              <w:autoSpaceDE w:val="0"/>
              <w:autoSpaceDN w:val="0"/>
              <w:adjustRightInd w:val="0"/>
              <w:rPr>
                <w:szCs w:val="22"/>
              </w:rPr>
            </w:pPr>
            <w:r w:rsidRPr="00EF1F5F">
              <w:rPr>
                <w:szCs w:val="22"/>
              </w:rPr>
              <w:t>1-sided p-valueb</w:t>
            </w:r>
          </w:p>
        </w:tc>
        <w:tc>
          <w:tcPr>
            <w:tcW w:w="3750" w:type="pct"/>
            <w:gridSpan w:val="3"/>
            <w:tcBorders>
              <w:top w:val="single" w:sz="4" w:space="0" w:color="auto"/>
              <w:left w:val="single" w:sz="4" w:space="0" w:color="auto"/>
              <w:bottom w:val="single" w:sz="4" w:space="0" w:color="auto"/>
              <w:right w:val="single" w:sz="4" w:space="0" w:color="auto"/>
            </w:tcBorders>
            <w:vAlign w:val="center"/>
            <w:hideMark/>
          </w:tcPr>
          <w:p w14:paraId="1972449A" w14:textId="77777777" w:rsidR="000D0C23" w:rsidRPr="00EF1F5F" w:rsidRDefault="000D0C23">
            <w:pPr>
              <w:autoSpaceDE w:val="0"/>
              <w:autoSpaceDN w:val="0"/>
              <w:adjustRightInd w:val="0"/>
              <w:jc w:val="center"/>
              <w:rPr>
                <w:szCs w:val="22"/>
              </w:rPr>
            </w:pPr>
            <w:r w:rsidRPr="00EF1F5F">
              <w:rPr>
                <w:szCs w:val="22"/>
              </w:rPr>
              <w:t>0.0578</w:t>
            </w:r>
          </w:p>
        </w:tc>
      </w:tr>
      <w:tr w:rsidR="000D0C23" w:rsidRPr="00EF1F5F" w14:paraId="69996501"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5894BB49" w14:textId="77777777" w:rsidR="000D0C23" w:rsidRPr="00EF1F5F" w:rsidRDefault="000D0C23">
            <w:pPr>
              <w:autoSpaceDE w:val="0"/>
              <w:autoSpaceDN w:val="0"/>
              <w:adjustRightInd w:val="0"/>
              <w:rPr>
                <w:szCs w:val="22"/>
              </w:rPr>
            </w:pPr>
            <w:r w:rsidRPr="00EF1F5F">
              <w:rPr>
                <w:szCs w:val="22"/>
              </w:rPr>
              <w:t>Month 6</w:t>
            </w:r>
          </w:p>
          <w:p w14:paraId="5CE1CA4A" w14:textId="77777777" w:rsidR="000D0C23" w:rsidRPr="00EF1F5F" w:rsidRDefault="000D0C23">
            <w:pPr>
              <w:autoSpaceDE w:val="0"/>
              <w:autoSpaceDN w:val="0"/>
              <w:adjustRightInd w:val="0"/>
              <w:ind w:left="176"/>
              <w:rPr>
                <w:szCs w:val="22"/>
              </w:rPr>
            </w:pPr>
            <w:r w:rsidRPr="00EF1F5F">
              <w:rPr>
                <w:szCs w:val="22"/>
              </w:rPr>
              <w:t>(95% CI)</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D1A72DD" w14:textId="77777777" w:rsidR="000D0C23" w:rsidRPr="00EF1F5F" w:rsidRDefault="000D0C23">
            <w:pPr>
              <w:autoSpaceDE w:val="0"/>
              <w:autoSpaceDN w:val="0"/>
              <w:adjustRightInd w:val="0"/>
              <w:jc w:val="center"/>
              <w:rPr>
                <w:szCs w:val="22"/>
              </w:rPr>
            </w:pPr>
            <w:r w:rsidRPr="00EF1F5F">
              <w:rPr>
                <w:szCs w:val="22"/>
              </w:rPr>
              <w:t>86 (35.0)</w:t>
            </w:r>
          </w:p>
          <w:p w14:paraId="5AB57D66" w14:textId="77777777" w:rsidR="000D0C23" w:rsidRPr="00EF1F5F" w:rsidRDefault="000D0C23">
            <w:pPr>
              <w:autoSpaceDE w:val="0"/>
              <w:autoSpaceDN w:val="0"/>
              <w:adjustRightInd w:val="0"/>
              <w:jc w:val="center"/>
              <w:rPr>
                <w:szCs w:val="22"/>
              </w:rPr>
            </w:pPr>
            <w:r w:rsidRPr="00EF1F5F">
              <w:rPr>
                <w:szCs w:val="22"/>
              </w:rPr>
              <w:t>(29.0,40.9)</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F988838" w14:textId="77777777" w:rsidR="000D0C23" w:rsidRPr="00EF1F5F" w:rsidRDefault="000D0C23">
            <w:pPr>
              <w:autoSpaceDE w:val="0"/>
              <w:autoSpaceDN w:val="0"/>
              <w:adjustRightInd w:val="0"/>
              <w:jc w:val="center"/>
              <w:rPr>
                <w:szCs w:val="22"/>
              </w:rPr>
            </w:pPr>
            <w:r w:rsidRPr="00EF1F5F">
              <w:rPr>
                <w:szCs w:val="22"/>
              </w:rPr>
              <w:t>44 (18.3)</w:t>
            </w:r>
          </w:p>
          <w:p w14:paraId="19AEC834" w14:textId="77777777" w:rsidR="000D0C23" w:rsidRPr="00EF1F5F" w:rsidRDefault="000D0C23">
            <w:pPr>
              <w:autoSpaceDE w:val="0"/>
              <w:autoSpaceDN w:val="0"/>
              <w:adjustRightInd w:val="0"/>
              <w:jc w:val="center"/>
              <w:rPr>
                <w:szCs w:val="22"/>
              </w:rPr>
            </w:pPr>
            <w:r w:rsidRPr="00EF1F5F">
              <w:rPr>
                <w:szCs w:val="22"/>
              </w:rPr>
              <w:t>(13.4,23.1)</w:t>
            </w:r>
          </w:p>
        </w:tc>
        <w:tc>
          <w:tcPr>
            <w:tcW w:w="1250" w:type="pct"/>
            <w:tcBorders>
              <w:top w:val="single" w:sz="4" w:space="0" w:color="auto"/>
              <w:left w:val="single" w:sz="4" w:space="0" w:color="auto"/>
              <w:bottom w:val="single" w:sz="4" w:space="0" w:color="auto"/>
              <w:right w:val="single" w:sz="4" w:space="0" w:color="auto"/>
            </w:tcBorders>
            <w:hideMark/>
          </w:tcPr>
          <w:p w14:paraId="6143301B" w14:textId="77777777" w:rsidR="000D0C23" w:rsidRPr="00EF1F5F" w:rsidRDefault="000D0C23">
            <w:pPr>
              <w:autoSpaceDE w:val="0"/>
              <w:autoSpaceDN w:val="0"/>
              <w:adjustRightInd w:val="0"/>
              <w:jc w:val="center"/>
              <w:rPr>
                <w:szCs w:val="22"/>
              </w:rPr>
            </w:pPr>
            <w:r w:rsidRPr="00EF1F5F">
              <w:rPr>
                <w:szCs w:val="22"/>
              </w:rPr>
              <w:t>2.42 (1.59,3.69)</w:t>
            </w:r>
          </w:p>
        </w:tc>
      </w:tr>
      <w:tr w:rsidR="000D0C23" w:rsidRPr="00EF1F5F" w14:paraId="3503D169"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3CC4D877" w14:textId="77777777" w:rsidR="000D0C23" w:rsidRPr="00EF1F5F" w:rsidRDefault="000D0C23">
            <w:pPr>
              <w:autoSpaceDE w:val="0"/>
              <w:autoSpaceDN w:val="0"/>
              <w:adjustRightInd w:val="0"/>
              <w:rPr>
                <w:szCs w:val="22"/>
              </w:rPr>
            </w:pPr>
            <w:r w:rsidRPr="00EF1F5F">
              <w:rPr>
                <w:szCs w:val="22"/>
              </w:rPr>
              <w:t>1-sided p-valueb</w:t>
            </w:r>
          </w:p>
        </w:tc>
        <w:tc>
          <w:tcPr>
            <w:tcW w:w="3750" w:type="pct"/>
            <w:gridSpan w:val="3"/>
            <w:tcBorders>
              <w:top w:val="single" w:sz="4" w:space="0" w:color="auto"/>
              <w:left w:val="single" w:sz="4" w:space="0" w:color="auto"/>
              <w:bottom w:val="single" w:sz="4" w:space="0" w:color="auto"/>
              <w:right w:val="single" w:sz="4" w:space="0" w:color="auto"/>
            </w:tcBorders>
            <w:vAlign w:val="center"/>
            <w:hideMark/>
          </w:tcPr>
          <w:p w14:paraId="66B125CB" w14:textId="77777777" w:rsidR="000D0C23" w:rsidRPr="00EF1F5F" w:rsidRDefault="000D0C23">
            <w:pPr>
              <w:autoSpaceDE w:val="0"/>
              <w:autoSpaceDN w:val="0"/>
              <w:adjustRightInd w:val="0"/>
              <w:jc w:val="center"/>
              <w:rPr>
                <w:szCs w:val="22"/>
              </w:rPr>
            </w:pPr>
            <w:r w:rsidRPr="00EF1F5F">
              <w:rPr>
                <w:szCs w:val="22"/>
              </w:rPr>
              <w:t>&lt; 0.0001</w:t>
            </w:r>
          </w:p>
        </w:tc>
      </w:tr>
      <w:tr w:rsidR="000D0C23" w:rsidRPr="00EF1F5F" w14:paraId="65E4C74A"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6E857BDD" w14:textId="77777777" w:rsidR="000D0C23" w:rsidRPr="00EF1F5F" w:rsidRDefault="000D0C23">
            <w:pPr>
              <w:autoSpaceDE w:val="0"/>
              <w:autoSpaceDN w:val="0"/>
              <w:adjustRightInd w:val="0"/>
              <w:rPr>
                <w:szCs w:val="22"/>
              </w:rPr>
            </w:pPr>
            <w:r w:rsidRPr="00EF1F5F">
              <w:rPr>
                <w:szCs w:val="22"/>
              </w:rPr>
              <w:t>Month 9</w:t>
            </w:r>
          </w:p>
          <w:p w14:paraId="11EDBB82" w14:textId="77777777" w:rsidR="000D0C23" w:rsidRPr="00EF1F5F" w:rsidRDefault="000D0C23">
            <w:pPr>
              <w:autoSpaceDE w:val="0"/>
              <w:autoSpaceDN w:val="0"/>
              <w:adjustRightInd w:val="0"/>
              <w:ind w:left="176"/>
              <w:rPr>
                <w:szCs w:val="22"/>
              </w:rPr>
            </w:pPr>
            <w:r w:rsidRPr="00EF1F5F">
              <w:rPr>
                <w:szCs w:val="22"/>
              </w:rPr>
              <w:t>(95% CI)</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83F2531" w14:textId="77777777" w:rsidR="000D0C23" w:rsidRPr="00EF1F5F" w:rsidRDefault="000D0C23">
            <w:pPr>
              <w:autoSpaceDE w:val="0"/>
              <w:autoSpaceDN w:val="0"/>
              <w:adjustRightInd w:val="0"/>
              <w:jc w:val="center"/>
              <w:rPr>
                <w:szCs w:val="22"/>
              </w:rPr>
            </w:pPr>
            <w:r w:rsidRPr="00EF1F5F">
              <w:rPr>
                <w:szCs w:val="22"/>
              </w:rPr>
              <w:t>104 (42.3)</w:t>
            </w:r>
          </w:p>
          <w:p w14:paraId="5982C721" w14:textId="77777777" w:rsidR="000D0C23" w:rsidRPr="00EF1F5F" w:rsidRDefault="000D0C23">
            <w:pPr>
              <w:autoSpaceDE w:val="0"/>
              <w:autoSpaceDN w:val="0"/>
              <w:adjustRightInd w:val="0"/>
              <w:jc w:val="center"/>
              <w:rPr>
                <w:szCs w:val="22"/>
              </w:rPr>
            </w:pPr>
            <w:r w:rsidRPr="00EF1F5F">
              <w:rPr>
                <w:szCs w:val="22"/>
              </w:rPr>
              <w:t>(36.1,48.4)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91E2046" w14:textId="77777777" w:rsidR="000D0C23" w:rsidRPr="00EF1F5F" w:rsidRDefault="000D0C23">
            <w:pPr>
              <w:autoSpaceDE w:val="0"/>
              <w:autoSpaceDN w:val="0"/>
              <w:adjustRightInd w:val="0"/>
              <w:jc w:val="center"/>
              <w:rPr>
                <w:szCs w:val="22"/>
              </w:rPr>
            </w:pPr>
            <w:r w:rsidRPr="00EF1F5F">
              <w:rPr>
                <w:szCs w:val="22"/>
              </w:rPr>
              <w:t>71 (29.5)</w:t>
            </w:r>
          </w:p>
          <w:p w14:paraId="63C8C464" w14:textId="77777777" w:rsidR="000D0C23" w:rsidRPr="00EF1F5F" w:rsidRDefault="000D0C23">
            <w:pPr>
              <w:autoSpaceDE w:val="0"/>
              <w:autoSpaceDN w:val="0"/>
              <w:adjustRightInd w:val="0"/>
              <w:jc w:val="center"/>
              <w:rPr>
                <w:szCs w:val="22"/>
              </w:rPr>
            </w:pPr>
            <w:r w:rsidRPr="00EF1F5F">
              <w:rPr>
                <w:szCs w:val="22"/>
              </w:rPr>
              <w:t>(23.7,35.2)</w:t>
            </w:r>
          </w:p>
        </w:tc>
        <w:tc>
          <w:tcPr>
            <w:tcW w:w="1250" w:type="pct"/>
            <w:tcBorders>
              <w:top w:val="single" w:sz="4" w:space="0" w:color="auto"/>
              <w:left w:val="single" w:sz="4" w:space="0" w:color="auto"/>
              <w:bottom w:val="single" w:sz="4" w:space="0" w:color="auto"/>
              <w:right w:val="single" w:sz="4" w:space="0" w:color="auto"/>
            </w:tcBorders>
            <w:hideMark/>
          </w:tcPr>
          <w:p w14:paraId="28231B8D" w14:textId="77777777" w:rsidR="000D0C23" w:rsidRPr="00EF1F5F" w:rsidRDefault="000D0C23">
            <w:pPr>
              <w:autoSpaceDE w:val="0"/>
              <w:autoSpaceDN w:val="0"/>
              <w:adjustRightInd w:val="0"/>
              <w:jc w:val="center"/>
              <w:rPr>
                <w:szCs w:val="22"/>
              </w:rPr>
            </w:pPr>
            <w:r w:rsidRPr="00EF1F5F">
              <w:rPr>
                <w:szCs w:val="22"/>
              </w:rPr>
              <w:t>1.78 (1.22,2.60)</w:t>
            </w:r>
          </w:p>
        </w:tc>
      </w:tr>
      <w:tr w:rsidR="000D0C23" w:rsidRPr="00EF1F5F" w14:paraId="62AA1669"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14BE3E46" w14:textId="77777777" w:rsidR="000D0C23" w:rsidRPr="00EF1F5F" w:rsidRDefault="000D0C23">
            <w:pPr>
              <w:autoSpaceDE w:val="0"/>
              <w:autoSpaceDN w:val="0"/>
              <w:adjustRightInd w:val="0"/>
              <w:rPr>
                <w:szCs w:val="22"/>
              </w:rPr>
            </w:pPr>
            <w:r w:rsidRPr="00EF1F5F">
              <w:rPr>
                <w:szCs w:val="22"/>
              </w:rPr>
              <w:t>1-sided p-valueb</w:t>
            </w:r>
          </w:p>
        </w:tc>
        <w:tc>
          <w:tcPr>
            <w:tcW w:w="3750" w:type="pct"/>
            <w:gridSpan w:val="3"/>
            <w:tcBorders>
              <w:top w:val="single" w:sz="4" w:space="0" w:color="auto"/>
              <w:left w:val="single" w:sz="4" w:space="0" w:color="auto"/>
              <w:bottom w:val="single" w:sz="4" w:space="0" w:color="auto"/>
              <w:right w:val="single" w:sz="4" w:space="0" w:color="auto"/>
            </w:tcBorders>
            <w:vAlign w:val="center"/>
            <w:hideMark/>
          </w:tcPr>
          <w:p w14:paraId="6167B57B" w14:textId="77777777" w:rsidR="000D0C23" w:rsidRPr="00EF1F5F" w:rsidRDefault="000D0C23">
            <w:pPr>
              <w:autoSpaceDE w:val="0"/>
              <w:autoSpaceDN w:val="0"/>
              <w:adjustRightInd w:val="0"/>
              <w:jc w:val="center"/>
              <w:rPr>
                <w:szCs w:val="22"/>
              </w:rPr>
            </w:pPr>
            <w:r w:rsidRPr="00EF1F5F">
              <w:rPr>
                <w:szCs w:val="22"/>
              </w:rPr>
              <w:t>0.0015</w:t>
            </w:r>
          </w:p>
        </w:tc>
      </w:tr>
    </w:tbl>
    <w:p w14:paraId="322A951C" w14:textId="77777777" w:rsidR="000D0C23" w:rsidRDefault="000D0C23" w:rsidP="000D0C23">
      <w:pPr>
        <w:autoSpaceDE w:val="0"/>
        <w:autoSpaceDN w:val="0"/>
        <w:adjustRightInd w:val="0"/>
        <w:rPr>
          <w:sz w:val="20"/>
          <w:lang w:val="en-GB" w:eastAsia="en-US"/>
        </w:rPr>
      </w:pPr>
      <w:r w:rsidRPr="000D0C23">
        <w:rPr>
          <w:sz w:val="20"/>
          <w:lang w:val="en-US"/>
        </w:rPr>
        <w:t>Note: Percentages were based on number of patients in each treatment group. MMR was defined as ≤</w:t>
      </w:r>
      <w:r w:rsidRPr="000D0C23">
        <w:rPr>
          <w:szCs w:val="22"/>
          <w:lang w:val="en-US"/>
        </w:rPr>
        <w:t> </w:t>
      </w:r>
      <w:r w:rsidRPr="000D0C23">
        <w:rPr>
          <w:sz w:val="20"/>
          <w:lang w:val="en-US"/>
        </w:rPr>
        <w:t xml:space="preserve">0.1% </w:t>
      </w:r>
    </w:p>
    <w:p w14:paraId="26A71A48" w14:textId="77777777" w:rsidR="000D0C23" w:rsidRPr="000D0C23" w:rsidRDefault="000D0C23" w:rsidP="000D0C23">
      <w:pPr>
        <w:autoSpaceDE w:val="0"/>
        <w:autoSpaceDN w:val="0"/>
        <w:adjustRightInd w:val="0"/>
        <w:rPr>
          <w:sz w:val="20"/>
          <w:lang w:val="en-US"/>
        </w:rPr>
      </w:pPr>
      <w:r w:rsidRPr="000D0C23">
        <w:rPr>
          <w:sz w:val="20"/>
          <w:lang w:val="en-US"/>
        </w:rPr>
        <w:t>BCR-ABL/ABL ratio on international scale (corresponding to ≥ 3 log reduction from standardised baseline) with a minimum of 3,000 ABL transcripts assessed by the central laboratory.</w:t>
      </w:r>
    </w:p>
    <w:p w14:paraId="73A7FE17" w14:textId="77777777" w:rsidR="000D0C23" w:rsidRPr="000D0C23" w:rsidRDefault="000D0C23" w:rsidP="000D0C23">
      <w:pPr>
        <w:autoSpaceDE w:val="0"/>
        <w:autoSpaceDN w:val="0"/>
        <w:adjustRightInd w:val="0"/>
        <w:rPr>
          <w:sz w:val="20"/>
          <w:lang w:val="en-US"/>
        </w:rPr>
      </w:pPr>
      <w:r w:rsidRPr="000D0C23">
        <w:rPr>
          <w:sz w:val="20"/>
          <w:lang w:val="en-US"/>
        </w:rPr>
        <w:t>Abbreviations: BCR-ABL=breakpoint cluster region-Abelson; CI=confidence interval; CMH=Cochran-Mantel-Haenszel; mITT=modified intent-to-treat; MMR=major molecular response; N=number of patients.</w:t>
      </w:r>
    </w:p>
    <w:p w14:paraId="0ECBB291" w14:textId="77777777" w:rsidR="000D0C23" w:rsidRPr="000D0C23" w:rsidRDefault="000D0C23" w:rsidP="000D0C23">
      <w:pPr>
        <w:autoSpaceDE w:val="0"/>
        <w:autoSpaceDN w:val="0"/>
        <w:adjustRightInd w:val="0"/>
        <w:rPr>
          <w:sz w:val="20"/>
          <w:lang w:val="en-US"/>
        </w:rPr>
      </w:pPr>
      <w:r w:rsidRPr="000D0C23">
        <w:rPr>
          <w:sz w:val="20"/>
          <w:vertAlign w:val="superscript"/>
          <w:lang w:val="en-US"/>
        </w:rPr>
        <w:lastRenderedPageBreak/>
        <w:t>a</w:t>
      </w:r>
      <w:r w:rsidRPr="000D0C23">
        <w:rPr>
          <w:sz w:val="20"/>
          <w:lang w:val="en-US"/>
        </w:rPr>
        <w:t xml:space="preserve"> Adjusted for geographical region and Sokal score at randomisation.</w:t>
      </w:r>
    </w:p>
    <w:p w14:paraId="378E220B" w14:textId="77777777" w:rsidR="000D0C23" w:rsidRPr="000D0C23" w:rsidRDefault="000D0C23" w:rsidP="000D0C23">
      <w:pPr>
        <w:autoSpaceDE w:val="0"/>
        <w:autoSpaceDN w:val="0"/>
        <w:adjustRightInd w:val="0"/>
        <w:rPr>
          <w:sz w:val="20"/>
          <w:lang w:val="en-US"/>
        </w:rPr>
      </w:pPr>
      <w:r w:rsidRPr="000D0C23">
        <w:rPr>
          <w:sz w:val="20"/>
          <w:vertAlign w:val="superscript"/>
          <w:lang w:val="en-US"/>
        </w:rPr>
        <w:t>b</w:t>
      </w:r>
      <w:r w:rsidRPr="000D0C23">
        <w:rPr>
          <w:sz w:val="20"/>
          <w:lang w:val="en-US"/>
        </w:rPr>
        <w:t xml:space="preserve"> Based on CMH test stratified by geographical region and Sokal score at randomisation.</w:t>
      </w:r>
    </w:p>
    <w:p w14:paraId="62BCD0C4" w14:textId="77777777" w:rsidR="000D0C23" w:rsidRPr="000D0C23" w:rsidRDefault="000D0C23" w:rsidP="000D0C23">
      <w:pPr>
        <w:autoSpaceDE w:val="0"/>
        <w:autoSpaceDN w:val="0"/>
        <w:adjustRightInd w:val="0"/>
        <w:ind w:left="851"/>
        <w:rPr>
          <w:sz w:val="24"/>
          <w:szCs w:val="24"/>
          <w:lang w:val="en-US"/>
        </w:rPr>
      </w:pPr>
    </w:p>
    <w:p w14:paraId="00A1E811"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By Month 60 in the mITT population, the proportion of patients with MMR, MR</w:t>
      </w:r>
      <w:r w:rsidRPr="000D0C23">
        <w:rPr>
          <w:sz w:val="24"/>
          <w:szCs w:val="24"/>
          <w:vertAlign w:val="superscript"/>
          <w:lang w:val="en-US"/>
        </w:rPr>
        <w:t>4</w:t>
      </w:r>
      <w:r w:rsidRPr="000D0C23">
        <w:rPr>
          <w:sz w:val="24"/>
          <w:szCs w:val="24"/>
          <w:lang w:val="en-US"/>
        </w:rPr>
        <w:t xml:space="preserve"> and MR</w:t>
      </w:r>
      <w:r w:rsidRPr="000D0C23">
        <w:rPr>
          <w:sz w:val="24"/>
          <w:szCs w:val="24"/>
          <w:vertAlign w:val="superscript"/>
          <w:lang w:val="en-US"/>
        </w:rPr>
        <w:t>4.5</w:t>
      </w:r>
      <w:r w:rsidRPr="000D0C23">
        <w:rPr>
          <w:sz w:val="24"/>
          <w:szCs w:val="24"/>
          <w:lang w:val="en-US"/>
        </w:rPr>
        <w:t xml:space="preserve"> was higher in the bosutinib group compared to the imatinib group (Table 5). MMR rates by Month 60 across Sokal risk subgroups are summarised in Table 6.</w:t>
      </w:r>
    </w:p>
    <w:p w14:paraId="5E508720" w14:textId="77777777" w:rsidR="000D0C23" w:rsidRPr="000D0C23" w:rsidRDefault="000D0C23" w:rsidP="000D0C23">
      <w:pPr>
        <w:autoSpaceDE w:val="0"/>
        <w:autoSpaceDN w:val="0"/>
        <w:adjustRightInd w:val="0"/>
        <w:ind w:left="851"/>
        <w:rPr>
          <w:sz w:val="24"/>
          <w:szCs w:val="24"/>
          <w:lang w:val="en-US"/>
        </w:rPr>
      </w:pPr>
    </w:p>
    <w:p w14:paraId="525CC43F" w14:textId="77777777" w:rsidR="000D0C23" w:rsidRPr="000D0C23" w:rsidRDefault="000D0C23" w:rsidP="000D0C23">
      <w:pPr>
        <w:keepNext/>
        <w:autoSpaceDE w:val="0"/>
        <w:autoSpaceDN w:val="0"/>
        <w:adjustRightInd w:val="0"/>
        <w:ind w:left="1134" w:hanging="1134"/>
        <w:rPr>
          <w:b/>
          <w:szCs w:val="22"/>
          <w:lang w:val="en-US"/>
        </w:rPr>
      </w:pPr>
      <w:r w:rsidRPr="000D0C23">
        <w:rPr>
          <w:b/>
          <w:szCs w:val="22"/>
          <w:lang w:val="en-US"/>
        </w:rPr>
        <w:t>Table 5</w:t>
      </w:r>
      <w:r w:rsidRPr="000D0C23">
        <w:rPr>
          <w:b/>
          <w:szCs w:val="22"/>
          <w:lang w:val="en-US"/>
        </w:rPr>
        <w:tab/>
        <w:t>Summary of molecular response by Month 60 in the mITT population</w:t>
      </w:r>
    </w:p>
    <w:tbl>
      <w:tblPr>
        <w:tblW w:w="5000" w:type="pct"/>
        <w:tblLook w:val="04A0" w:firstRow="1" w:lastRow="0" w:firstColumn="1" w:lastColumn="0" w:noHBand="0" w:noVBand="1"/>
      </w:tblPr>
      <w:tblGrid>
        <w:gridCol w:w="2407"/>
        <w:gridCol w:w="2407"/>
        <w:gridCol w:w="2407"/>
        <w:gridCol w:w="2407"/>
      </w:tblGrid>
      <w:tr w:rsidR="000D0C23" w:rsidRPr="00EF1F5F" w14:paraId="2DCA3ADE" w14:textId="77777777" w:rsidTr="000D0C23">
        <w:trPr>
          <w:tblHeader/>
        </w:trPr>
        <w:tc>
          <w:tcPr>
            <w:tcW w:w="1250" w:type="pct"/>
            <w:tcBorders>
              <w:top w:val="single" w:sz="4" w:space="0" w:color="auto"/>
              <w:left w:val="single" w:sz="4" w:space="0" w:color="auto"/>
              <w:bottom w:val="single" w:sz="4" w:space="0" w:color="auto"/>
              <w:right w:val="single" w:sz="4" w:space="0" w:color="auto"/>
            </w:tcBorders>
            <w:vAlign w:val="center"/>
            <w:hideMark/>
          </w:tcPr>
          <w:p w14:paraId="4BE18039" w14:textId="77777777" w:rsidR="000D0C23" w:rsidRPr="00EF1F5F" w:rsidRDefault="000D0C23">
            <w:pPr>
              <w:autoSpaceDE w:val="0"/>
              <w:autoSpaceDN w:val="0"/>
              <w:adjustRightInd w:val="0"/>
              <w:jc w:val="center"/>
              <w:rPr>
                <w:szCs w:val="22"/>
              </w:rPr>
            </w:pPr>
            <w:r w:rsidRPr="00EF1F5F">
              <w:rPr>
                <w:szCs w:val="22"/>
              </w:rPr>
              <w:t>Response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500F4A8" w14:textId="77777777" w:rsidR="000D0C23" w:rsidRPr="00EF1F5F" w:rsidRDefault="000D0C23">
            <w:pPr>
              <w:autoSpaceDE w:val="0"/>
              <w:autoSpaceDN w:val="0"/>
              <w:adjustRightInd w:val="0"/>
              <w:jc w:val="center"/>
              <w:rPr>
                <w:szCs w:val="22"/>
              </w:rPr>
            </w:pPr>
            <w:r w:rsidRPr="00EF1F5F">
              <w:rPr>
                <w:szCs w:val="22"/>
              </w:rPr>
              <w:t>Bosutinib</w:t>
            </w:r>
          </w:p>
          <w:p w14:paraId="30B6A4BA" w14:textId="77777777" w:rsidR="000D0C23" w:rsidRPr="00EF1F5F" w:rsidRDefault="000D0C23">
            <w:pPr>
              <w:autoSpaceDE w:val="0"/>
              <w:autoSpaceDN w:val="0"/>
              <w:adjustRightInd w:val="0"/>
              <w:jc w:val="center"/>
              <w:rPr>
                <w:szCs w:val="22"/>
              </w:rPr>
            </w:pPr>
            <w:r w:rsidRPr="00EF1F5F">
              <w:rPr>
                <w:szCs w:val="22"/>
              </w:rPr>
              <w:t>(N=246)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9DA4949" w14:textId="77777777" w:rsidR="000D0C23" w:rsidRPr="00EF1F5F" w:rsidRDefault="000D0C23">
            <w:pPr>
              <w:autoSpaceDE w:val="0"/>
              <w:autoSpaceDN w:val="0"/>
              <w:adjustRightInd w:val="0"/>
              <w:jc w:val="center"/>
              <w:rPr>
                <w:szCs w:val="22"/>
              </w:rPr>
            </w:pPr>
            <w:r w:rsidRPr="00EF1F5F">
              <w:rPr>
                <w:szCs w:val="22"/>
              </w:rPr>
              <w:t>Imatinib</w:t>
            </w:r>
          </w:p>
          <w:p w14:paraId="763A6DED" w14:textId="77777777" w:rsidR="000D0C23" w:rsidRPr="00EF1F5F" w:rsidRDefault="000D0C23">
            <w:pPr>
              <w:autoSpaceDE w:val="0"/>
              <w:autoSpaceDN w:val="0"/>
              <w:adjustRightInd w:val="0"/>
              <w:jc w:val="center"/>
              <w:rPr>
                <w:szCs w:val="22"/>
              </w:rPr>
            </w:pPr>
            <w:r w:rsidRPr="00EF1F5F">
              <w:rPr>
                <w:szCs w:val="22"/>
              </w:rPr>
              <w:t>(N=241)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A981954" w14:textId="77777777" w:rsidR="000D0C23" w:rsidRPr="00EF1F5F" w:rsidRDefault="000D0C23">
            <w:pPr>
              <w:autoSpaceDE w:val="0"/>
              <w:autoSpaceDN w:val="0"/>
              <w:adjustRightInd w:val="0"/>
              <w:jc w:val="center"/>
              <w:rPr>
                <w:szCs w:val="22"/>
              </w:rPr>
            </w:pPr>
            <w:r w:rsidRPr="00EF1F5F">
              <w:rPr>
                <w:szCs w:val="22"/>
              </w:rPr>
              <w:t>Odds ratio</w:t>
            </w:r>
          </w:p>
          <w:p w14:paraId="78108BA5" w14:textId="77777777" w:rsidR="000D0C23" w:rsidRPr="00EF1F5F" w:rsidRDefault="000D0C23">
            <w:pPr>
              <w:autoSpaceDE w:val="0"/>
              <w:autoSpaceDN w:val="0"/>
              <w:adjustRightInd w:val="0"/>
              <w:jc w:val="center"/>
              <w:rPr>
                <w:szCs w:val="22"/>
              </w:rPr>
            </w:pPr>
            <w:r w:rsidRPr="00EF1F5F">
              <w:rPr>
                <w:szCs w:val="22"/>
              </w:rPr>
              <w:t>(95% CI)</w:t>
            </w:r>
            <w:r w:rsidRPr="00EF1F5F">
              <w:rPr>
                <w:szCs w:val="22"/>
                <w:vertAlign w:val="superscript"/>
              </w:rPr>
              <w:t>a</w:t>
            </w:r>
          </w:p>
        </w:tc>
      </w:tr>
      <w:tr w:rsidR="000D0C23" w:rsidRPr="00E14D63" w14:paraId="0E21B9D9"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42412F4A" w14:textId="77777777" w:rsidR="000D0C23" w:rsidRPr="00EF1F5F" w:rsidRDefault="000D0C23">
            <w:pPr>
              <w:autoSpaceDE w:val="0"/>
              <w:autoSpaceDN w:val="0"/>
              <w:adjustRightInd w:val="0"/>
              <w:rPr>
                <w:szCs w:val="22"/>
                <w:lang w:val="en-US"/>
              </w:rPr>
            </w:pPr>
            <w:r w:rsidRPr="00EF1F5F">
              <w:rPr>
                <w:szCs w:val="22"/>
                <w:lang w:val="en-US"/>
              </w:rPr>
              <w:t>Molecular response by Month 60, n (%) (95% CI)</w:t>
            </w:r>
          </w:p>
        </w:tc>
        <w:tc>
          <w:tcPr>
            <w:tcW w:w="1250" w:type="pct"/>
            <w:tcBorders>
              <w:top w:val="single" w:sz="4" w:space="0" w:color="auto"/>
              <w:left w:val="single" w:sz="4" w:space="0" w:color="auto"/>
              <w:bottom w:val="single" w:sz="4" w:space="0" w:color="auto"/>
              <w:right w:val="single" w:sz="4" w:space="0" w:color="auto"/>
            </w:tcBorders>
          </w:tcPr>
          <w:p w14:paraId="59BFFF26" w14:textId="77777777" w:rsidR="000D0C23" w:rsidRPr="00EF1F5F" w:rsidRDefault="000D0C23">
            <w:pPr>
              <w:autoSpaceDE w:val="0"/>
              <w:autoSpaceDN w:val="0"/>
              <w:adjustRightInd w:val="0"/>
              <w:rPr>
                <w:szCs w:val="22"/>
                <w:lang w:val="en-US"/>
              </w:rPr>
            </w:pPr>
          </w:p>
        </w:tc>
        <w:tc>
          <w:tcPr>
            <w:tcW w:w="1250" w:type="pct"/>
            <w:tcBorders>
              <w:top w:val="single" w:sz="4" w:space="0" w:color="auto"/>
              <w:left w:val="single" w:sz="4" w:space="0" w:color="auto"/>
              <w:bottom w:val="single" w:sz="4" w:space="0" w:color="auto"/>
              <w:right w:val="single" w:sz="4" w:space="0" w:color="auto"/>
            </w:tcBorders>
          </w:tcPr>
          <w:p w14:paraId="35AC49C5" w14:textId="77777777" w:rsidR="000D0C23" w:rsidRPr="00EF1F5F" w:rsidRDefault="000D0C23">
            <w:pPr>
              <w:autoSpaceDE w:val="0"/>
              <w:autoSpaceDN w:val="0"/>
              <w:adjustRightInd w:val="0"/>
              <w:rPr>
                <w:szCs w:val="22"/>
                <w:lang w:val="en-US"/>
              </w:rPr>
            </w:pPr>
          </w:p>
        </w:tc>
        <w:tc>
          <w:tcPr>
            <w:tcW w:w="1250" w:type="pct"/>
            <w:tcBorders>
              <w:top w:val="single" w:sz="4" w:space="0" w:color="auto"/>
              <w:left w:val="single" w:sz="4" w:space="0" w:color="auto"/>
              <w:bottom w:val="single" w:sz="4" w:space="0" w:color="auto"/>
              <w:right w:val="single" w:sz="4" w:space="0" w:color="auto"/>
            </w:tcBorders>
          </w:tcPr>
          <w:p w14:paraId="2D96D2CC" w14:textId="77777777" w:rsidR="000D0C23" w:rsidRPr="008F5372" w:rsidRDefault="000D0C23">
            <w:pPr>
              <w:autoSpaceDE w:val="0"/>
              <w:autoSpaceDN w:val="0"/>
              <w:adjustRightInd w:val="0"/>
              <w:rPr>
                <w:szCs w:val="22"/>
                <w:lang w:val="en-US"/>
              </w:rPr>
            </w:pPr>
          </w:p>
        </w:tc>
      </w:tr>
      <w:tr w:rsidR="000D0C23" w:rsidRPr="00EF1F5F" w14:paraId="7BCFA13A"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3EE3763A" w14:textId="77777777" w:rsidR="000D0C23" w:rsidRPr="00EF1F5F" w:rsidRDefault="000D0C23">
            <w:pPr>
              <w:autoSpaceDE w:val="0"/>
              <w:autoSpaceDN w:val="0"/>
              <w:adjustRightInd w:val="0"/>
              <w:ind w:left="318"/>
              <w:rPr>
                <w:szCs w:val="22"/>
              </w:rPr>
            </w:pPr>
            <w:r w:rsidRPr="00EF1F5F">
              <w:rPr>
                <w:szCs w:val="22"/>
              </w:rPr>
              <w:t>MMR</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73B51FB" w14:textId="77777777" w:rsidR="000D0C23" w:rsidRPr="00EF1F5F" w:rsidRDefault="000D0C23">
            <w:pPr>
              <w:autoSpaceDE w:val="0"/>
              <w:autoSpaceDN w:val="0"/>
              <w:adjustRightInd w:val="0"/>
              <w:jc w:val="center"/>
              <w:rPr>
                <w:szCs w:val="22"/>
              </w:rPr>
            </w:pPr>
            <w:r w:rsidRPr="00EF1F5F">
              <w:rPr>
                <w:szCs w:val="22"/>
              </w:rPr>
              <w:t>182 (74.0)</w:t>
            </w:r>
          </w:p>
          <w:p w14:paraId="79C4EBE3" w14:textId="77777777" w:rsidR="000D0C23" w:rsidRPr="00EF1F5F" w:rsidRDefault="000D0C23">
            <w:pPr>
              <w:autoSpaceDE w:val="0"/>
              <w:autoSpaceDN w:val="0"/>
              <w:adjustRightInd w:val="0"/>
              <w:jc w:val="center"/>
              <w:rPr>
                <w:szCs w:val="22"/>
              </w:rPr>
            </w:pPr>
            <w:r w:rsidRPr="00EF1F5F">
              <w:rPr>
                <w:szCs w:val="22"/>
              </w:rPr>
              <w:t>(68.5,79.5)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29A5E47" w14:textId="77777777" w:rsidR="000D0C23" w:rsidRPr="00EF1F5F" w:rsidRDefault="000D0C23">
            <w:pPr>
              <w:autoSpaceDE w:val="0"/>
              <w:autoSpaceDN w:val="0"/>
              <w:adjustRightInd w:val="0"/>
              <w:jc w:val="center"/>
              <w:rPr>
                <w:szCs w:val="22"/>
              </w:rPr>
            </w:pPr>
            <w:r w:rsidRPr="00EF1F5F">
              <w:rPr>
                <w:szCs w:val="22"/>
              </w:rPr>
              <w:t>158 (65.6)</w:t>
            </w:r>
          </w:p>
          <w:p w14:paraId="471F722E" w14:textId="77777777" w:rsidR="000D0C23" w:rsidRPr="00EF1F5F" w:rsidRDefault="000D0C23">
            <w:pPr>
              <w:autoSpaceDE w:val="0"/>
              <w:autoSpaceDN w:val="0"/>
              <w:adjustRightInd w:val="0"/>
              <w:jc w:val="center"/>
              <w:rPr>
                <w:szCs w:val="22"/>
              </w:rPr>
            </w:pPr>
            <w:r w:rsidRPr="00EF1F5F">
              <w:rPr>
                <w:szCs w:val="22"/>
              </w:rPr>
              <w:t>(59.6,71.6)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C6C24E2" w14:textId="77777777" w:rsidR="000D0C23" w:rsidRPr="00EF1F5F" w:rsidRDefault="000D0C23">
            <w:pPr>
              <w:autoSpaceDE w:val="0"/>
              <w:autoSpaceDN w:val="0"/>
              <w:adjustRightInd w:val="0"/>
              <w:jc w:val="center"/>
              <w:rPr>
                <w:szCs w:val="22"/>
              </w:rPr>
            </w:pPr>
            <w:r w:rsidRPr="00EF1F5F">
              <w:rPr>
                <w:szCs w:val="22"/>
              </w:rPr>
              <w:t>1.52 (1.02,2.25)</w:t>
            </w:r>
          </w:p>
        </w:tc>
      </w:tr>
      <w:tr w:rsidR="000D0C23" w:rsidRPr="00EF1F5F" w14:paraId="12844102"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676937F0" w14:textId="77777777" w:rsidR="000D0C23" w:rsidRPr="00EF1F5F" w:rsidRDefault="000D0C23">
            <w:pPr>
              <w:autoSpaceDE w:val="0"/>
              <w:autoSpaceDN w:val="0"/>
              <w:adjustRightInd w:val="0"/>
              <w:ind w:left="318"/>
              <w:rPr>
                <w:szCs w:val="22"/>
              </w:rPr>
            </w:pPr>
            <w:r w:rsidRPr="00EF1F5F">
              <w:rPr>
                <w:szCs w:val="22"/>
              </w:rPr>
              <w:t>MR</w:t>
            </w:r>
            <w:r w:rsidRPr="00EF1F5F">
              <w:rPr>
                <w:szCs w:val="22"/>
                <w:vertAlign w:val="superscript"/>
              </w:rPr>
              <w:t>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A93D46B" w14:textId="77777777" w:rsidR="000D0C23" w:rsidRPr="00EF1F5F" w:rsidRDefault="000D0C23">
            <w:pPr>
              <w:autoSpaceDE w:val="0"/>
              <w:autoSpaceDN w:val="0"/>
              <w:adjustRightInd w:val="0"/>
              <w:jc w:val="center"/>
              <w:rPr>
                <w:szCs w:val="22"/>
              </w:rPr>
            </w:pPr>
            <w:r w:rsidRPr="00EF1F5F">
              <w:rPr>
                <w:szCs w:val="22"/>
              </w:rPr>
              <w:t>145 (58.9)</w:t>
            </w:r>
          </w:p>
          <w:p w14:paraId="2448EBBB" w14:textId="77777777" w:rsidR="000D0C23" w:rsidRPr="00EF1F5F" w:rsidRDefault="000D0C23">
            <w:pPr>
              <w:autoSpaceDE w:val="0"/>
              <w:autoSpaceDN w:val="0"/>
              <w:adjustRightInd w:val="0"/>
              <w:jc w:val="center"/>
              <w:rPr>
                <w:szCs w:val="22"/>
              </w:rPr>
            </w:pPr>
            <w:r w:rsidRPr="00EF1F5F">
              <w:rPr>
                <w:szCs w:val="22"/>
              </w:rPr>
              <w:t>(52.8,65.1)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C883D20" w14:textId="77777777" w:rsidR="000D0C23" w:rsidRPr="00EF1F5F" w:rsidRDefault="000D0C23">
            <w:pPr>
              <w:autoSpaceDE w:val="0"/>
              <w:autoSpaceDN w:val="0"/>
              <w:adjustRightInd w:val="0"/>
              <w:jc w:val="center"/>
              <w:rPr>
                <w:szCs w:val="22"/>
              </w:rPr>
            </w:pPr>
            <w:r w:rsidRPr="00EF1F5F">
              <w:rPr>
                <w:szCs w:val="22"/>
              </w:rPr>
              <w:t>120 (49.8)</w:t>
            </w:r>
          </w:p>
          <w:p w14:paraId="319DC673" w14:textId="77777777" w:rsidR="000D0C23" w:rsidRPr="00EF1F5F" w:rsidRDefault="000D0C23">
            <w:pPr>
              <w:autoSpaceDE w:val="0"/>
              <w:autoSpaceDN w:val="0"/>
              <w:adjustRightInd w:val="0"/>
              <w:jc w:val="center"/>
              <w:rPr>
                <w:szCs w:val="22"/>
              </w:rPr>
            </w:pPr>
            <w:r w:rsidRPr="00EF1F5F">
              <w:rPr>
                <w:szCs w:val="22"/>
              </w:rPr>
              <w:t>(43.5,56.1)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CD2EABE" w14:textId="77777777" w:rsidR="000D0C23" w:rsidRPr="00EF1F5F" w:rsidRDefault="000D0C23">
            <w:pPr>
              <w:autoSpaceDE w:val="0"/>
              <w:autoSpaceDN w:val="0"/>
              <w:adjustRightInd w:val="0"/>
              <w:jc w:val="center"/>
              <w:rPr>
                <w:szCs w:val="22"/>
              </w:rPr>
            </w:pPr>
            <w:r w:rsidRPr="00EF1F5F">
              <w:rPr>
                <w:szCs w:val="22"/>
              </w:rPr>
              <w:t>1.46 (1.02,2.09)</w:t>
            </w:r>
          </w:p>
        </w:tc>
      </w:tr>
      <w:tr w:rsidR="000D0C23" w:rsidRPr="00EF1F5F" w14:paraId="31CE29B2"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76BEB63A" w14:textId="77777777" w:rsidR="000D0C23" w:rsidRPr="00EF1F5F" w:rsidRDefault="000D0C23">
            <w:pPr>
              <w:autoSpaceDE w:val="0"/>
              <w:autoSpaceDN w:val="0"/>
              <w:adjustRightInd w:val="0"/>
              <w:ind w:left="318"/>
              <w:rPr>
                <w:szCs w:val="22"/>
              </w:rPr>
            </w:pPr>
            <w:r w:rsidRPr="00EF1F5F">
              <w:rPr>
                <w:szCs w:val="22"/>
              </w:rPr>
              <w:t>MR</w:t>
            </w:r>
            <w:r w:rsidRPr="00EF1F5F">
              <w:rPr>
                <w:szCs w:val="22"/>
                <w:vertAlign w:val="superscript"/>
              </w:rPr>
              <w:t>4.5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D61BA5F" w14:textId="77777777" w:rsidR="000D0C23" w:rsidRPr="00EF1F5F" w:rsidRDefault="000D0C23">
            <w:pPr>
              <w:autoSpaceDE w:val="0"/>
              <w:autoSpaceDN w:val="0"/>
              <w:adjustRightInd w:val="0"/>
              <w:jc w:val="center"/>
              <w:rPr>
                <w:szCs w:val="22"/>
              </w:rPr>
            </w:pPr>
            <w:r w:rsidRPr="00EF1F5F">
              <w:rPr>
                <w:szCs w:val="22"/>
              </w:rPr>
              <w:t>119 (48.4)</w:t>
            </w:r>
          </w:p>
          <w:p w14:paraId="7937862E" w14:textId="77777777" w:rsidR="000D0C23" w:rsidRPr="00EF1F5F" w:rsidRDefault="000D0C23">
            <w:pPr>
              <w:autoSpaceDE w:val="0"/>
              <w:autoSpaceDN w:val="0"/>
              <w:adjustRightInd w:val="0"/>
              <w:jc w:val="center"/>
              <w:rPr>
                <w:szCs w:val="22"/>
              </w:rPr>
            </w:pPr>
            <w:r w:rsidRPr="00EF1F5F">
              <w:rPr>
                <w:szCs w:val="22"/>
              </w:rPr>
              <w:t>(42.1,54.6)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2239157" w14:textId="77777777" w:rsidR="000D0C23" w:rsidRPr="00EF1F5F" w:rsidRDefault="000D0C23">
            <w:pPr>
              <w:autoSpaceDE w:val="0"/>
              <w:autoSpaceDN w:val="0"/>
              <w:adjustRightInd w:val="0"/>
              <w:jc w:val="center"/>
              <w:rPr>
                <w:szCs w:val="22"/>
              </w:rPr>
            </w:pPr>
            <w:r w:rsidRPr="00EF1F5F">
              <w:rPr>
                <w:szCs w:val="22"/>
              </w:rPr>
              <w:t>93 (38.6)</w:t>
            </w:r>
          </w:p>
          <w:p w14:paraId="098B8F8D" w14:textId="77777777" w:rsidR="000D0C23" w:rsidRPr="00EF1F5F" w:rsidRDefault="000D0C23">
            <w:pPr>
              <w:autoSpaceDE w:val="0"/>
              <w:autoSpaceDN w:val="0"/>
              <w:adjustRightInd w:val="0"/>
              <w:jc w:val="center"/>
              <w:rPr>
                <w:szCs w:val="22"/>
              </w:rPr>
            </w:pPr>
            <w:r w:rsidRPr="00EF1F5F">
              <w:rPr>
                <w:szCs w:val="22"/>
              </w:rPr>
              <w:t>(32.4,44.7)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A0EB8A3" w14:textId="77777777" w:rsidR="000D0C23" w:rsidRPr="00EF1F5F" w:rsidRDefault="000D0C23">
            <w:pPr>
              <w:autoSpaceDE w:val="0"/>
              <w:autoSpaceDN w:val="0"/>
              <w:adjustRightInd w:val="0"/>
              <w:jc w:val="center"/>
              <w:rPr>
                <w:szCs w:val="22"/>
              </w:rPr>
            </w:pPr>
            <w:r w:rsidRPr="00EF1F5F">
              <w:rPr>
                <w:szCs w:val="22"/>
              </w:rPr>
              <w:t>1.50 (1.05,2.16)</w:t>
            </w:r>
          </w:p>
        </w:tc>
      </w:tr>
    </w:tbl>
    <w:p w14:paraId="4D225B65" w14:textId="77777777" w:rsidR="000D0C23" w:rsidRDefault="000D0C23" w:rsidP="000D0C23">
      <w:pPr>
        <w:autoSpaceDE w:val="0"/>
        <w:autoSpaceDN w:val="0"/>
        <w:adjustRightInd w:val="0"/>
        <w:rPr>
          <w:sz w:val="20"/>
          <w:lang w:val="en-GB" w:eastAsia="en-US"/>
        </w:rPr>
      </w:pPr>
      <w:r w:rsidRPr="000D0C23">
        <w:rPr>
          <w:sz w:val="20"/>
          <w:lang w:val="en-US"/>
        </w:rPr>
        <w:t>Note: MMR/MR</w:t>
      </w:r>
      <w:r w:rsidRPr="000D0C23">
        <w:rPr>
          <w:sz w:val="20"/>
          <w:vertAlign w:val="superscript"/>
          <w:lang w:val="en-US"/>
        </w:rPr>
        <w:t>4</w:t>
      </w:r>
      <w:r w:rsidRPr="000D0C23">
        <w:rPr>
          <w:sz w:val="20"/>
          <w:lang w:val="en-US"/>
        </w:rPr>
        <w:t>/MR</w:t>
      </w:r>
      <w:r w:rsidRPr="000D0C23">
        <w:rPr>
          <w:sz w:val="20"/>
          <w:vertAlign w:val="superscript"/>
          <w:lang w:val="en-US"/>
        </w:rPr>
        <w:t>4.5</w:t>
      </w:r>
      <w:r w:rsidRPr="000D0C23">
        <w:rPr>
          <w:sz w:val="20"/>
          <w:lang w:val="en-US"/>
        </w:rPr>
        <w:t xml:space="preserve"> were defined as ≤</w:t>
      </w:r>
      <w:r w:rsidRPr="000D0C23">
        <w:rPr>
          <w:szCs w:val="22"/>
          <w:lang w:val="en-US"/>
        </w:rPr>
        <w:t> </w:t>
      </w:r>
      <w:r w:rsidRPr="000D0C23">
        <w:rPr>
          <w:sz w:val="20"/>
          <w:lang w:val="en-US"/>
        </w:rPr>
        <w:t>0.1/0.01/0.0032% BCR-ABL/ABL ratio on international scale (corresponding to ≥ 3/4/4.5 log reduction from standardised baseline) with a minimum of 3,000/9,800/30,990 ABL transcripts assessed by the central laboratory.</w:t>
      </w:r>
    </w:p>
    <w:p w14:paraId="3A190157" w14:textId="77777777" w:rsidR="000D0C23" w:rsidRPr="000D0C23" w:rsidRDefault="000D0C23" w:rsidP="000D0C23">
      <w:pPr>
        <w:autoSpaceDE w:val="0"/>
        <w:autoSpaceDN w:val="0"/>
        <w:adjustRightInd w:val="0"/>
        <w:rPr>
          <w:sz w:val="20"/>
          <w:lang w:val="en-US"/>
        </w:rPr>
      </w:pPr>
      <w:r w:rsidRPr="000D0C23">
        <w:rPr>
          <w:sz w:val="20"/>
          <w:lang w:val="en-US"/>
        </w:rPr>
        <w:t xml:space="preserve">Abbreviations: BCR-ABL=breakpoint cluster region-Abelson; CI=confidence interval; mITT=modified intent-to-treat; MMR=major molecular response; MR=molecular response; N/n=number of patients. </w:t>
      </w:r>
    </w:p>
    <w:p w14:paraId="6C5543AA" w14:textId="77777777" w:rsidR="000D0C23" w:rsidRPr="000D0C23" w:rsidRDefault="000D0C23" w:rsidP="000D0C23">
      <w:pPr>
        <w:autoSpaceDE w:val="0"/>
        <w:autoSpaceDN w:val="0"/>
        <w:adjustRightInd w:val="0"/>
        <w:rPr>
          <w:sz w:val="20"/>
          <w:lang w:val="en-US"/>
        </w:rPr>
      </w:pPr>
      <w:r w:rsidRPr="000D0C23">
        <w:rPr>
          <w:sz w:val="20"/>
          <w:vertAlign w:val="superscript"/>
          <w:lang w:val="en-US"/>
        </w:rPr>
        <w:t>a</w:t>
      </w:r>
      <w:r w:rsidRPr="000D0C23">
        <w:rPr>
          <w:sz w:val="20"/>
          <w:lang w:val="en-US"/>
        </w:rPr>
        <w:t xml:space="preserve"> Adjusted for geographical region and Sokal score at randomisation.</w:t>
      </w:r>
    </w:p>
    <w:p w14:paraId="1E11C187" w14:textId="77777777" w:rsidR="000D0C23" w:rsidRPr="000D0C23" w:rsidRDefault="000D0C23" w:rsidP="000D0C23">
      <w:pPr>
        <w:autoSpaceDE w:val="0"/>
        <w:autoSpaceDN w:val="0"/>
        <w:adjustRightInd w:val="0"/>
        <w:rPr>
          <w:sz w:val="22"/>
          <w:szCs w:val="22"/>
          <w:lang w:val="en-US"/>
        </w:rPr>
      </w:pPr>
    </w:p>
    <w:p w14:paraId="2A3A19C2" w14:textId="77777777" w:rsidR="000D0C23" w:rsidRPr="000D0C23" w:rsidRDefault="000D0C23" w:rsidP="000D0C23">
      <w:pPr>
        <w:keepNext/>
        <w:keepLines/>
        <w:autoSpaceDE w:val="0"/>
        <w:autoSpaceDN w:val="0"/>
        <w:adjustRightInd w:val="0"/>
        <w:ind w:left="1134" w:hanging="1134"/>
        <w:rPr>
          <w:b/>
          <w:szCs w:val="22"/>
          <w:lang w:val="en-US"/>
        </w:rPr>
      </w:pPr>
      <w:r w:rsidRPr="000D0C23">
        <w:rPr>
          <w:b/>
          <w:szCs w:val="22"/>
          <w:lang w:val="en-US"/>
        </w:rPr>
        <w:t>Table 6</w:t>
      </w:r>
      <w:r w:rsidRPr="000D0C23">
        <w:rPr>
          <w:b/>
          <w:szCs w:val="22"/>
          <w:lang w:val="en-US"/>
        </w:rPr>
        <w:tab/>
        <w:t>Summary of MMR by Month 60 by Sokal risk score in the mITT population</w:t>
      </w:r>
    </w:p>
    <w:tbl>
      <w:tblPr>
        <w:tblW w:w="5000" w:type="pct"/>
        <w:tblLook w:val="04A0" w:firstRow="1" w:lastRow="0" w:firstColumn="1" w:lastColumn="0" w:noHBand="0" w:noVBand="1"/>
      </w:tblPr>
      <w:tblGrid>
        <w:gridCol w:w="2407"/>
        <w:gridCol w:w="2407"/>
        <w:gridCol w:w="2407"/>
        <w:gridCol w:w="2407"/>
      </w:tblGrid>
      <w:tr w:rsidR="000D0C23" w:rsidRPr="008F5372" w14:paraId="4659D595" w14:textId="77777777" w:rsidTr="000D0C23">
        <w:trPr>
          <w:tblHeader/>
        </w:trPr>
        <w:tc>
          <w:tcPr>
            <w:tcW w:w="1250" w:type="pct"/>
            <w:tcBorders>
              <w:top w:val="single" w:sz="4" w:space="0" w:color="auto"/>
              <w:left w:val="single" w:sz="4" w:space="0" w:color="auto"/>
              <w:bottom w:val="single" w:sz="4" w:space="0" w:color="auto"/>
              <w:right w:val="single" w:sz="4" w:space="0" w:color="auto"/>
            </w:tcBorders>
            <w:vAlign w:val="center"/>
            <w:hideMark/>
          </w:tcPr>
          <w:p w14:paraId="11FAE66B" w14:textId="77777777" w:rsidR="000D0C23" w:rsidRPr="008F5372" w:rsidRDefault="000D0C23">
            <w:pPr>
              <w:autoSpaceDE w:val="0"/>
              <w:autoSpaceDN w:val="0"/>
              <w:adjustRightInd w:val="0"/>
              <w:jc w:val="center"/>
              <w:rPr>
                <w:szCs w:val="22"/>
              </w:rPr>
            </w:pPr>
            <w:r w:rsidRPr="008F5372">
              <w:rPr>
                <w:szCs w:val="22"/>
              </w:rPr>
              <w:t>Response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1666086" w14:textId="77777777" w:rsidR="000D0C23" w:rsidRPr="008F5372" w:rsidRDefault="000D0C23">
            <w:pPr>
              <w:autoSpaceDE w:val="0"/>
              <w:autoSpaceDN w:val="0"/>
              <w:adjustRightInd w:val="0"/>
              <w:jc w:val="center"/>
              <w:rPr>
                <w:szCs w:val="22"/>
              </w:rPr>
            </w:pPr>
            <w:r w:rsidRPr="008F5372">
              <w:rPr>
                <w:szCs w:val="22"/>
              </w:rPr>
              <w:t>Bosutinib</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F91E3BA" w14:textId="77777777" w:rsidR="000D0C23" w:rsidRPr="008F5372" w:rsidRDefault="000D0C23">
            <w:pPr>
              <w:autoSpaceDE w:val="0"/>
              <w:autoSpaceDN w:val="0"/>
              <w:adjustRightInd w:val="0"/>
              <w:jc w:val="center"/>
              <w:rPr>
                <w:szCs w:val="22"/>
              </w:rPr>
            </w:pPr>
            <w:r w:rsidRPr="008F5372">
              <w:rPr>
                <w:szCs w:val="22"/>
              </w:rPr>
              <w:t>Imatinib</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ADA1165" w14:textId="77777777" w:rsidR="000D0C23" w:rsidRPr="008F5372" w:rsidRDefault="000D0C23">
            <w:pPr>
              <w:autoSpaceDE w:val="0"/>
              <w:autoSpaceDN w:val="0"/>
              <w:adjustRightInd w:val="0"/>
              <w:jc w:val="center"/>
              <w:rPr>
                <w:szCs w:val="22"/>
              </w:rPr>
            </w:pPr>
            <w:r w:rsidRPr="008F5372">
              <w:rPr>
                <w:szCs w:val="22"/>
              </w:rPr>
              <w:t>Odds ratio</w:t>
            </w:r>
          </w:p>
          <w:p w14:paraId="6AD9F35B" w14:textId="77777777" w:rsidR="000D0C23" w:rsidRPr="008F5372" w:rsidRDefault="000D0C23">
            <w:pPr>
              <w:autoSpaceDE w:val="0"/>
              <w:autoSpaceDN w:val="0"/>
              <w:adjustRightInd w:val="0"/>
              <w:jc w:val="center"/>
              <w:rPr>
                <w:szCs w:val="22"/>
              </w:rPr>
            </w:pPr>
            <w:r w:rsidRPr="008F5372">
              <w:rPr>
                <w:szCs w:val="22"/>
              </w:rPr>
              <w:t>(95% CI)</w:t>
            </w:r>
          </w:p>
        </w:tc>
      </w:tr>
      <w:tr w:rsidR="000D0C23" w:rsidRPr="008F5372" w14:paraId="05DAF113"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7F6381C7" w14:textId="77777777" w:rsidR="000D0C23" w:rsidRPr="008F5372" w:rsidRDefault="000D0C23">
            <w:pPr>
              <w:autoSpaceDE w:val="0"/>
              <w:autoSpaceDN w:val="0"/>
              <w:adjustRightInd w:val="0"/>
              <w:rPr>
                <w:szCs w:val="22"/>
                <w:lang w:val="en-US"/>
              </w:rPr>
            </w:pPr>
            <w:r w:rsidRPr="008F5372">
              <w:rPr>
                <w:szCs w:val="22"/>
                <w:lang w:val="en-US"/>
              </w:rPr>
              <w:t>Low Sokal risk</w:t>
            </w:r>
          </w:p>
          <w:p w14:paraId="2776A887" w14:textId="77777777" w:rsidR="000D0C23" w:rsidRPr="008F5372" w:rsidRDefault="000D0C23">
            <w:pPr>
              <w:autoSpaceDE w:val="0"/>
              <w:autoSpaceDN w:val="0"/>
              <w:adjustRightInd w:val="0"/>
              <w:rPr>
                <w:szCs w:val="22"/>
                <w:lang w:val="en-US"/>
              </w:rPr>
            </w:pPr>
            <w:r w:rsidRPr="008F5372">
              <w:rPr>
                <w:szCs w:val="22"/>
                <w:lang w:val="en-US"/>
              </w:rPr>
              <w:t>MMR, n (%)</w:t>
            </w:r>
          </w:p>
          <w:p w14:paraId="0E2C18FD" w14:textId="77777777" w:rsidR="000D0C23" w:rsidRPr="008F5372" w:rsidRDefault="000D0C23">
            <w:pPr>
              <w:autoSpaceDE w:val="0"/>
              <w:autoSpaceDN w:val="0"/>
              <w:adjustRightInd w:val="0"/>
              <w:rPr>
                <w:szCs w:val="22"/>
              </w:rPr>
            </w:pPr>
            <w:r w:rsidRPr="008F5372">
              <w:rPr>
                <w:szCs w:val="22"/>
              </w:rPr>
              <w:t>(95% CI)</w:t>
            </w:r>
          </w:p>
        </w:tc>
        <w:tc>
          <w:tcPr>
            <w:tcW w:w="1250" w:type="pct"/>
            <w:tcBorders>
              <w:top w:val="single" w:sz="4" w:space="0" w:color="auto"/>
              <w:left w:val="single" w:sz="4" w:space="0" w:color="auto"/>
              <w:bottom w:val="single" w:sz="4" w:space="0" w:color="auto"/>
              <w:right w:val="single" w:sz="4" w:space="0" w:color="auto"/>
            </w:tcBorders>
            <w:hideMark/>
          </w:tcPr>
          <w:p w14:paraId="4CC7627F" w14:textId="77777777" w:rsidR="000D0C23" w:rsidRPr="008F5372" w:rsidRDefault="000D0C23">
            <w:pPr>
              <w:autoSpaceDE w:val="0"/>
              <w:autoSpaceDN w:val="0"/>
              <w:adjustRightInd w:val="0"/>
              <w:rPr>
                <w:szCs w:val="22"/>
              </w:rPr>
            </w:pPr>
            <w:r w:rsidRPr="008F5372">
              <w:rPr>
                <w:szCs w:val="22"/>
              </w:rPr>
              <w:t>N=86</w:t>
            </w:r>
          </w:p>
          <w:p w14:paraId="181A9202" w14:textId="77777777" w:rsidR="000D0C23" w:rsidRPr="008F5372" w:rsidRDefault="000D0C23">
            <w:pPr>
              <w:autoSpaceDE w:val="0"/>
              <w:autoSpaceDN w:val="0"/>
              <w:adjustRightInd w:val="0"/>
              <w:rPr>
                <w:szCs w:val="22"/>
              </w:rPr>
            </w:pPr>
            <w:r w:rsidRPr="008F5372">
              <w:rPr>
                <w:szCs w:val="22"/>
              </w:rPr>
              <w:t>67 (77.9)</w:t>
            </w:r>
          </w:p>
          <w:p w14:paraId="4E601178" w14:textId="77777777" w:rsidR="000D0C23" w:rsidRPr="008F5372" w:rsidRDefault="000D0C23">
            <w:pPr>
              <w:autoSpaceDE w:val="0"/>
              <w:autoSpaceDN w:val="0"/>
              <w:adjustRightInd w:val="0"/>
              <w:rPr>
                <w:szCs w:val="22"/>
              </w:rPr>
            </w:pPr>
            <w:r w:rsidRPr="008F5372">
              <w:rPr>
                <w:szCs w:val="22"/>
              </w:rPr>
              <w:t>(69.1,86.7)</w:t>
            </w:r>
          </w:p>
        </w:tc>
        <w:tc>
          <w:tcPr>
            <w:tcW w:w="1250" w:type="pct"/>
            <w:tcBorders>
              <w:top w:val="single" w:sz="4" w:space="0" w:color="auto"/>
              <w:left w:val="single" w:sz="4" w:space="0" w:color="auto"/>
              <w:bottom w:val="single" w:sz="4" w:space="0" w:color="auto"/>
              <w:right w:val="single" w:sz="4" w:space="0" w:color="auto"/>
            </w:tcBorders>
            <w:hideMark/>
          </w:tcPr>
          <w:p w14:paraId="568B1204" w14:textId="77777777" w:rsidR="000D0C23" w:rsidRPr="008F5372" w:rsidRDefault="000D0C23">
            <w:pPr>
              <w:autoSpaceDE w:val="0"/>
              <w:autoSpaceDN w:val="0"/>
              <w:adjustRightInd w:val="0"/>
              <w:rPr>
                <w:szCs w:val="22"/>
              </w:rPr>
            </w:pPr>
            <w:r w:rsidRPr="008F5372">
              <w:rPr>
                <w:szCs w:val="22"/>
              </w:rPr>
              <w:t>N=95</w:t>
            </w:r>
          </w:p>
          <w:p w14:paraId="303F1319" w14:textId="77777777" w:rsidR="000D0C23" w:rsidRPr="008F5372" w:rsidRDefault="000D0C23">
            <w:pPr>
              <w:autoSpaceDE w:val="0"/>
              <w:autoSpaceDN w:val="0"/>
              <w:adjustRightInd w:val="0"/>
              <w:rPr>
                <w:szCs w:val="22"/>
              </w:rPr>
            </w:pPr>
            <w:r w:rsidRPr="008F5372">
              <w:rPr>
                <w:szCs w:val="22"/>
              </w:rPr>
              <w:t>68 (71.6)</w:t>
            </w:r>
          </w:p>
          <w:p w14:paraId="7ECC7248" w14:textId="77777777" w:rsidR="000D0C23" w:rsidRPr="008F5372" w:rsidRDefault="000D0C23">
            <w:pPr>
              <w:autoSpaceDE w:val="0"/>
              <w:autoSpaceDN w:val="0"/>
              <w:adjustRightInd w:val="0"/>
              <w:rPr>
                <w:szCs w:val="22"/>
              </w:rPr>
            </w:pPr>
            <w:r w:rsidRPr="008F5372">
              <w:rPr>
                <w:szCs w:val="22"/>
              </w:rPr>
              <w:t>(62.5,80.6)</w:t>
            </w:r>
          </w:p>
        </w:tc>
        <w:tc>
          <w:tcPr>
            <w:tcW w:w="1250" w:type="pct"/>
            <w:tcBorders>
              <w:top w:val="single" w:sz="4" w:space="0" w:color="auto"/>
              <w:left w:val="single" w:sz="4" w:space="0" w:color="auto"/>
              <w:bottom w:val="single" w:sz="4" w:space="0" w:color="auto"/>
              <w:right w:val="single" w:sz="4" w:space="0" w:color="auto"/>
            </w:tcBorders>
            <w:hideMark/>
          </w:tcPr>
          <w:p w14:paraId="044929F3" w14:textId="77777777" w:rsidR="000D0C23" w:rsidRPr="008F5372" w:rsidRDefault="000D0C23">
            <w:pPr>
              <w:autoSpaceDE w:val="0"/>
              <w:autoSpaceDN w:val="0"/>
              <w:adjustRightInd w:val="0"/>
              <w:rPr>
                <w:szCs w:val="22"/>
              </w:rPr>
            </w:pPr>
            <w:r w:rsidRPr="008F5372">
              <w:rPr>
                <w:szCs w:val="22"/>
              </w:rPr>
              <w:t>1.40 (0.71,2.76)</w:t>
            </w:r>
          </w:p>
        </w:tc>
      </w:tr>
      <w:tr w:rsidR="000D0C23" w:rsidRPr="008F5372" w14:paraId="208CFDAB"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3B5F164E" w14:textId="77777777" w:rsidR="000D0C23" w:rsidRPr="008F5372" w:rsidRDefault="000D0C23">
            <w:pPr>
              <w:autoSpaceDE w:val="0"/>
              <w:autoSpaceDN w:val="0"/>
              <w:adjustRightInd w:val="0"/>
              <w:rPr>
                <w:szCs w:val="22"/>
                <w:lang w:val="en-US"/>
              </w:rPr>
            </w:pPr>
            <w:r w:rsidRPr="008F5372">
              <w:rPr>
                <w:szCs w:val="22"/>
                <w:lang w:val="en-US"/>
              </w:rPr>
              <w:t>Intermediate Sokal risk</w:t>
            </w:r>
          </w:p>
          <w:p w14:paraId="49E79536" w14:textId="77777777" w:rsidR="000D0C23" w:rsidRPr="008F5372" w:rsidRDefault="000D0C23">
            <w:pPr>
              <w:autoSpaceDE w:val="0"/>
              <w:autoSpaceDN w:val="0"/>
              <w:adjustRightInd w:val="0"/>
              <w:rPr>
                <w:szCs w:val="22"/>
                <w:lang w:val="en-US"/>
              </w:rPr>
            </w:pPr>
            <w:r w:rsidRPr="008F5372">
              <w:rPr>
                <w:szCs w:val="22"/>
                <w:lang w:val="en-US"/>
              </w:rPr>
              <w:t>MMR, n (%)</w:t>
            </w:r>
          </w:p>
          <w:p w14:paraId="54542184" w14:textId="77777777" w:rsidR="000D0C23" w:rsidRPr="008F5372" w:rsidRDefault="000D0C23">
            <w:pPr>
              <w:autoSpaceDE w:val="0"/>
              <w:autoSpaceDN w:val="0"/>
              <w:adjustRightInd w:val="0"/>
              <w:rPr>
                <w:szCs w:val="22"/>
              </w:rPr>
            </w:pPr>
            <w:r w:rsidRPr="008F5372">
              <w:rPr>
                <w:szCs w:val="22"/>
              </w:rPr>
              <w:t>(95% CI)</w:t>
            </w:r>
          </w:p>
        </w:tc>
        <w:tc>
          <w:tcPr>
            <w:tcW w:w="1250" w:type="pct"/>
            <w:tcBorders>
              <w:top w:val="single" w:sz="4" w:space="0" w:color="auto"/>
              <w:left w:val="single" w:sz="4" w:space="0" w:color="auto"/>
              <w:bottom w:val="single" w:sz="4" w:space="0" w:color="auto"/>
              <w:right w:val="single" w:sz="4" w:space="0" w:color="auto"/>
            </w:tcBorders>
            <w:hideMark/>
          </w:tcPr>
          <w:p w14:paraId="3A96AA2F" w14:textId="77777777" w:rsidR="000D0C23" w:rsidRPr="008F5372" w:rsidRDefault="000D0C23">
            <w:pPr>
              <w:autoSpaceDE w:val="0"/>
              <w:autoSpaceDN w:val="0"/>
              <w:adjustRightInd w:val="0"/>
              <w:rPr>
                <w:szCs w:val="22"/>
              </w:rPr>
            </w:pPr>
            <w:r w:rsidRPr="008F5372">
              <w:rPr>
                <w:szCs w:val="22"/>
              </w:rPr>
              <w:t>N=107</w:t>
            </w:r>
          </w:p>
          <w:p w14:paraId="410B8FC3" w14:textId="77777777" w:rsidR="000D0C23" w:rsidRPr="008F5372" w:rsidRDefault="000D0C23">
            <w:pPr>
              <w:autoSpaceDE w:val="0"/>
              <w:autoSpaceDN w:val="0"/>
              <w:adjustRightInd w:val="0"/>
              <w:rPr>
                <w:szCs w:val="22"/>
              </w:rPr>
            </w:pPr>
            <w:r w:rsidRPr="008F5372">
              <w:rPr>
                <w:szCs w:val="22"/>
              </w:rPr>
              <w:t>79 (73.8)</w:t>
            </w:r>
          </w:p>
          <w:p w14:paraId="7396F8A3" w14:textId="77777777" w:rsidR="000D0C23" w:rsidRPr="008F5372" w:rsidRDefault="000D0C23">
            <w:pPr>
              <w:autoSpaceDE w:val="0"/>
              <w:autoSpaceDN w:val="0"/>
              <w:adjustRightInd w:val="0"/>
              <w:rPr>
                <w:szCs w:val="22"/>
              </w:rPr>
            </w:pPr>
            <w:r w:rsidRPr="008F5372">
              <w:rPr>
                <w:szCs w:val="22"/>
              </w:rPr>
              <w:t>(65.5,82.2)</w:t>
            </w:r>
          </w:p>
        </w:tc>
        <w:tc>
          <w:tcPr>
            <w:tcW w:w="1250" w:type="pct"/>
            <w:tcBorders>
              <w:top w:val="single" w:sz="4" w:space="0" w:color="auto"/>
              <w:left w:val="single" w:sz="4" w:space="0" w:color="auto"/>
              <w:bottom w:val="single" w:sz="4" w:space="0" w:color="auto"/>
              <w:right w:val="single" w:sz="4" w:space="0" w:color="auto"/>
            </w:tcBorders>
            <w:hideMark/>
          </w:tcPr>
          <w:p w14:paraId="01CD8C64" w14:textId="77777777" w:rsidR="000D0C23" w:rsidRPr="008F5372" w:rsidRDefault="000D0C23">
            <w:pPr>
              <w:autoSpaceDE w:val="0"/>
              <w:autoSpaceDN w:val="0"/>
              <w:adjustRightInd w:val="0"/>
              <w:rPr>
                <w:szCs w:val="22"/>
              </w:rPr>
            </w:pPr>
            <w:r w:rsidRPr="008F5372">
              <w:rPr>
                <w:szCs w:val="22"/>
              </w:rPr>
              <w:t>N=92</w:t>
            </w:r>
          </w:p>
          <w:p w14:paraId="458F7F84" w14:textId="77777777" w:rsidR="000D0C23" w:rsidRPr="008F5372" w:rsidRDefault="000D0C23">
            <w:pPr>
              <w:autoSpaceDE w:val="0"/>
              <w:autoSpaceDN w:val="0"/>
              <w:adjustRightInd w:val="0"/>
              <w:rPr>
                <w:szCs w:val="22"/>
              </w:rPr>
            </w:pPr>
            <w:r w:rsidRPr="008F5372">
              <w:rPr>
                <w:szCs w:val="22"/>
              </w:rPr>
              <w:t>62 (67.4)</w:t>
            </w:r>
          </w:p>
          <w:p w14:paraId="2D1BC4B9" w14:textId="77777777" w:rsidR="000D0C23" w:rsidRPr="008F5372" w:rsidRDefault="000D0C23">
            <w:pPr>
              <w:autoSpaceDE w:val="0"/>
              <w:autoSpaceDN w:val="0"/>
              <w:adjustRightInd w:val="0"/>
              <w:rPr>
                <w:szCs w:val="22"/>
              </w:rPr>
            </w:pPr>
            <w:r w:rsidRPr="008F5372">
              <w:rPr>
                <w:szCs w:val="22"/>
              </w:rPr>
              <w:t>(57.8,77.0)</w:t>
            </w:r>
          </w:p>
        </w:tc>
        <w:tc>
          <w:tcPr>
            <w:tcW w:w="1250" w:type="pct"/>
            <w:tcBorders>
              <w:top w:val="single" w:sz="4" w:space="0" w:color="auto"/>
              <w:left w:val="single" w:sz="4" w:space="0" w:color="auto"/>
              <w:bottom w:val="single" w:sz="4" w:space="0" w:color="auto"/>
              <w:right w:val="single" w:sz="4" w:space="0" w:color="auto"/>
            </w:tcBorders>
            <w:hideMark/>
          </w:tcPr>
          <w:p w14:paraId="1D56A88D" w14:textId="77777777" w:rsidR="000D0C23" w:rsidRPr="008F5372" w:rsidRDefault="000D0C23">
            <w:pPr>
              <w:autoSpaceDE w:val="0"/>
              <w:autoSpaceDN w:val="0"/>
              <w:adjustRightInd w:val="0"/>
              <w:rPr>
                <w:szCs w:val="22"/>
              </w:rPr>
            </w:pPr>
            <w:r w:rsidRPr="008F5372">
              <w:rPr>
                <w:szCs w:val="22"/>
              </w:rPr>
              <w:t>1.37 (0.74,2.52)</w:t>
            </w:r>
          </w:p>
        </w:tc>
      </w:tr>
      <w:tr w:rsidR="000D0C23" w:rsidRPr="008F5372" w14:paraId="6F78E2A4" w14:textId="77777777" w:rsidTr="000D0C23">
        <w:tc>
          <w:tcPr>
            <w:tcW w:w="1250" w:type="pct"/>
            <w:tcBorders>
              <w:top w:val="single" w:sz="4" w:space="0" w:color="auto"/>
              <w:left w:val="single" w:sz="4" w:space="0" w:color="auto"/>
              <w:bottom w:val="single" w:sz="4" w:space="0" w:color="auto"/>
              <w:right w:val="single" w:sz="4" w:space="0" w:color="auto"/>
            </w:tcBorders>
            <w:hideMark/>
          </w:tcPr>
          <w:p w14:paraId="5BEC57CB" w14:textId="77777777" w:rsidR="000D0C23" w:rsidRPr="008F5372" w:rsidRDefault="000D0C23">
            <w:pPr>
              <w:autoSpaceDE w:val="0"/>
              <w:autoSpaceDN w:val="0"/>
              <w:adjustRightInd w:val="0"/>
              <w:rPr>
                <w:szCs w:val="22"/>
                <w:lang w:val="en-US"/>
              </w:rPr>
            </w:pPr>
            <w:r w:rsidRPr="008F5372">
              <w:rPr>
                <w:szCs w:val="22"/>
                <w:lang w:val="en-US"/>
              </w:rPr>
              <w:t>High Sokal risk</w:t>
            </w:r>
          </w:p>
          <w:p w14:paraId="14F0FC50" w14:textId="77777777" w:rsidR="000D0C23" w:rsidRPr="008F5372" w:rsidRDefault="000D0C23">
            <w:pPr>
              <w:autoSpaceDE w:val="0"/>
              <w:autoSpaceDN w:val="0"/>
              <w:adjustRightInd w:val="0"/>
              <w:rPr>
                <w:szCs w:val="22"/>
                <w:lang w:val="en-US"/>
              </w:rPr>
            </w:pPr>
            <w:r w:rsidRPr="008F5372">
              <w:rPr>
                <w:szCs w:val="22"/>
                <w:lang w:val="en-US"/>
              </w:rPr>
              <w:t>MMR, n (%)</w:t>
            </w:r>
          </w:p>
          <w:p w14:paraId="7C0C3C4F" w14:textId="77777777" w:rsidR="000D0C23" w:rsidRPr="008F5372" w:rsidRDefault="000D0C23">
            <w:pPr>
              <w:autoSpaceDE w:val="0"/>
              <w:autoSpaceDN w:val="0"/>
              <w:adjustRightInd w:val="0"/>
              <w:rPr>
                <w:szCs w:val="22"/>
              </w:rPr>
            </w:pPr>
            <w:r w:rsidRPr="008F5372">
              <w:rPr>
                <w:szCs w:val="22"/>
              </w:rPr>
              <w:t>(95% CI)</w:t>
            </w:r>
          </w:p>
        </w:tc>
        <w:tc>
          <w:tcPr>
            <w:tcW w:w="1250" w:type="pct"/>
            <w:tcBorders>
              <w:top w:val="single" w:sz="4" w:space="0" w:color="auto"/>
              <w:left w:val="single" w:sz="4" w:space="0" w:color="auto"/>
              <w:bottom w:val="single" w:sz="4" w:space="0" w:color="auto"/>
              <w:right w:val="single" w:sz="4" w:space="0" w:color="auto"/>
            </w:tcBorders>
            <w:hideMark/>
          </w:tcPr>
          <w:p w14:paraId="7C72AC30" w14:textId="77777777" w:rsidR="000D0C23" w:rsidRPr="008F5372" w:rsidRDefault="000D0C23">
            <w:pPr>
              <w:autoSpaceDE w:val="0"/>
              <w:autoSpaceDN w:val="0"/>
              <w:adjustRightInd w:val="0"/>
              <w:rPr>
                <w:szCs w:val="22"/>
                <w:lang w:val="en-US"/>
              </w:rPr>
            </w:pPr>
            <w:r w:rsidRPr="008F5372">
              <w:rPr>
                <w:szCs w:val="22"/>
                <w:lang w:val="en-US"/>
              </w:rPr>
              <w:t>N=53</w:t>
            </w:r>
          </w:p>
          <w:p w14:paraId="5644B9A1" w14:textId="77777777" w:rsidR="000D0C23" w:rsidRPr="008F5372" w:rsidRDefault="000D0C23">
            <w:pPr>
              <w:autoSpaceDE w:val="0"/>
              <w:autoSpaceDN w:val="0"/>
              <w:adjustRightInd w:val="0"/>
              <w:rPr>
                <w:szCs w:val="22"/>
                <w:lang w:val="en-US"/>
              </w:rPr>
            </w:pPr>
            <w:r w:rsidRPr="008F5372">
              <w:rPr>
                <w:szCs w:val="22"/>
                <w:lang w:val="en-US"/>
              </w:rPr>
              <w:t>36 (67.9)</w:t>
            </w:r>
          </w:p>
          <w:p w14:paraId="259229A2" w14:textId="77777777" w:rsidR="000D0C23" w:rsidRPr="008F5372" w:rsidRDefault="000D0C23">
            <w:pPr>
              <w:autoSpaceDE w:val="0"/>
              <w:autoSpaceDN w:val="0"/>
              <w:adjustRightInd w:val="0"/>
              <w:rPr>
                <w:szCs w:val="22"/>
                <w:lang w:val="en-GB"/>
              </w:rPr>
            </w:pPr>
            <w:r w:rsidRPr="008F5372">
              <w:rPr>
                <w:szCs w:val="22"/>
                <w:lang w:val="en-US"/>
              </w:rPr>
              <w:t>(55.4,80.5)</w:t>
            </w:r>
          </w:p>
        </w:tc>
        <w:tc>
          <w:tcPr>
            <w:tcW w:w="1250" w:type="pct"/>
            <w:tcBorders>
              <w:top w:val="single" w:sz="4" w:space="0" w:color="auto"/>
              <w:left w:val="single" w:sz="4" w:space="0" w:color="auto"/>
              <w:bottom w:val="single" w:sz="4" w:space="0" w:color="auto"/>
              <w:right w:val="single" w:sz="4" w:space="0" w:color="auto"/>
            </w:tcBorders>
            <w:hideMark/>
          </w:tcPr>
          <w:p w14:paraId="73540503" w14:textId="77777777" w:rsidR="000D0C23" w:rsidRPr="008F5372" w:rsidRDefault="000D0C23">
            <w:pPr>
              <w:autoSpaceDE w:val="0"/>
              <w:autoSpaceDN w:val="0"/>
              <w:adjustRightInd w:val="0"/>
              <w:rPr>
                <w:szCs w:val="22"/>
              </w:rPr>
            </w:pPr>
            <w:r w:rsidRPr="008F5372">
              <w:rPr>
                <w:szCs w:val="22"/>
              </w:rPr>
              <w:t>N=54</w:t>
            </w:r>
          </w:p>
          <w:p w14:paraId="79514A22" w14:textId="77777777" w:rsidR="000D0C23" w:rsidRPr="008F5372" w:rsidRDefault="000D0C23">
            <w:pPr>
              <w:autoSpaceDE w:val="0"/>
              <w:autoSpaceDN w:val="0"/>
              <w:adjustRightInd w:val="0"/>
              <w:rPr>
                <w:szCs w:val="22"/>
              </w:rPr>
            </w:pPr>
            <w:r w:rsidRPr="008F5372">
              <w:rPr>
                <w:szCs w:val="22"/>
              </w:rPr>
              <w:t>28 (51.9)</w:t>
            </w:r>
          </w:p>
          <w:p w14:paraId="3E95F8E8" w14:textId="77777777" w:rsidR="000D0C23" w:rsidRPr="008F5372" w:rsidRDefault="000D0C23">
            <w:pPr>
              <w:autoSpaceDE w:val="0"/>
              <w:autoSpaceDN w:val="0"/>
              <w:adjustRightInd w:val="0"/>
              <w:rPr>
                <w:szCs w:val="22"/>
              </w:rPr>
            </w:pPr>
            <w:r w:rsidRPr="008F5372">
              <w:rPr>
                <w:szCs w:val="22"/>
              </w:rPr>
              <w:t>(38.5,65.2)</w:t>
            </w:r>
          </w:p>
        </w:tc>
        <w:tc>
          <w:tcPr>
            <w:tcW w:w="1250" w:type="pct"/>
            <w:tcBorders>
              <w:top w:val="single" w:sz="4" w:space="0" w:color="auto"/>
              <w:left w:val="single" w:sz="4" w:space="0" w:color="auto"/>
              <w:bottom w:val="single" w:sz="4" w:space="0" w:color="auto"/>
              <w:right w:val="single" w:sz="4" w:space="0" w:color="auto"/>
            </w:tcBorders>
            <w:hideMark/>
          </w:tcPr>
          <w:p w14:paraId="1A7AAE2E" w14:textId="77777777" w:rsidR="000D0C23" w:rsidRPr="008F5372" w:rsidRDefault="000D0C23">
            <w:pPr>
              <w:autoSpaceDE w:val="0"/>
              <w:autoSpaceDN w:val="0"/>
              <w:adjustRightInd w:val="0"/>
              <w:rPr>
                <w:szCs w:val="22"/>
              </w:rPr>
            </w:pPr>
            <w:r w:rsidRPr="008F5372">
              <w:rPr>
                <w:szCs w:val="22"/>
              </w:rPr>
              <w:t>1.97 (0.90,4.32)</w:t>
            </w:r>
          </w:p>
        </w:tc>
      </w:tr>
    </w:tbl>
    <w:p w14:paraId="0B9B95CF" w14:textId="77777777" w:rsidR="000D0C23" w:rsidRDefault="000D0C23" w:rsidP="000D0C23">
      <w:pPr>
        <w:autoSpaceDE w:val="0"/>
        <w:autoSpaceDN w:val="0"/>
        <w:adjustRightInd w:val="0"/>
        <w:rPr>
          <w:sz w:val="20"/>
          <w:lang w:val="en-GB" w:eastAsia="en-US"/>
        </w:rPr>
      </w:pPr>
      <w:r w:rsidRPr="000D0C23">
        <w:rPr>
          <w:sz w:val="20"/>
          <w:lang w:val="en-US"/>
        </w:rPr>
        <w:t>Note: Percentages were based on number of patients in each treatment group. MMR was defined as ≤</w:t>
      </w:r>
      <w:r w:rsidRPr="000D0C23">
        <w:rPr>
          <w:szCs w:val="22"/>
          <w:lang w:val="en-US"/>
        </w:rPr>
        <w:t> </w:t>
      </w:r>
      <w:r w:rsidRPr="000D0C23">
        <w:rPr>
          <w:sz w:val="20"/>
          <w:lang w:val="en-US"/>
        </w:rPr>
        <w:t>0.1%</w:t>
      </w:r>
    </w:p>
    <w:p w14:paraId="6ACECCC9" w14:textId="77777777" w:rsidR="000D0C23" w:rsidRPr="000D0C23" w:rsidRDefault="000D0C23" w:rsidP="000D0C23">
      <w:pPr>
        <w:autoSpaceDE w:val="0"/>
        <w:autoSpaceDN w:val="0"/>
        <w:adjustRightInd w:val="0"/>
        <w:rPr>
          <w:sz w:val="20"/>
          <w:lang w:val="en-US"/>
        </w:rPr>
      </w:pPr>
      <w:r w:rsidRPr="000D0C23">
        <w:rPr>
          <w:sz w:val="20"/>
          <w:lang w:val="en-US"/>
        </w:rPr>
        <w:t>BCR-ABL/ABL ratio on international scale (corresponding to ≥ 3 log reduction from standardised baseline) with</w:t>
      </w:r>
    </w:p>
    <w:p w14:paraId="1A9329C4" w14:textId="77777777" w:rsidR="000D0C23" w:rsidRPr="000D0C23" w:rsidRDefault="000D0C23" w:rsidP="000D0C23">
      <w:pPr>
        <w:autoSpaceDE w:val="0"/>
        <w:autoSpaceDN w:val="0"/>
        <w:adjustRightInd w:val="0"/>
        <w:rPr>
          <w:sz w:val="20"/>
          <w:lang w:val="en-US"/>
        </w:rPr>
      </w:pPr>
      <w:r w:rsidRPr="000D0C23">
        <w:rPr>
          <w:sz w:val="20"/>
          <w:lang w:val="en-US"/>
        </w:rPr>
        <w:t>a minimum of 3,000 ABL transcripts assessed by the central laboratory.</w:t>
      </w:r>
    </w:p>
    <w:p w14:paraId="1AB609AA" w14:textId="77777777" w:rsidR="000D0C23" w:rsidRPr="000D0C23" w:rsidRDefault="000D0C23" w:rsidP="000D0C23">
      <w:pPr>
        <w:autoSpaceDE w:val="0"/>
        <w:autoSpaceDN w:val="0"/>
        <w:adjustRightInd w:val="0"/>
        <w:rPr>
          <w:sz w:val="20"/>
          <w:lang w:val="en-US"/>
        </w:rPr>
      </w:pPr>
      <w:r w:rsidRPr="000D0C23">
        <w:rPr>
          <w:sz w:val="20"/>
          <w:lang w:val="en-US"/>
        </w:rPr>
        <w:t>Abbreviations: BCR-ABL=breakpoint cluster region-Abelson; CI=confidence interval; mITT=modified</w:t>
      </w:r>
    </w:p>
    <w:p w14:paraId="549D80D8" w14:textId="77777777" w:rsidR="000D0C23" w:rsidRPr="000D0C23" w:rsidRDefault="000D0C23" w:rsidP="000D0C23">
      <w:pPr>
        <w:autoSpaceDE w:val="0"/>
        <w:autoSpaceDN w:val="0"/>
        <w:adjustRightInd w:val="0"/>
        <w:rPr>
          <w:sz w:val="20"/>
          <w:lang w:val="en-US"/>
        </w:rPr>
      </w:pPr>
      <w:r w:rsidRPr="000D0C23">
        <w:rPr>
          <w:sz w:val="20"/>
          <w:lang w:val="en-US"/>
        </w:rPr>
        <w:t>intent-to-treat; MMR=major molecular response; N/n=number of patients.</w:t>
      </w:r>
    </w:p>
    <w:p w14:paraId="3964C040" w14:textId="77777777" w:rsidR="000D0C23" w:rsidRPr="000D0C23" w:rsidRDefault="000D0C23" w:rsidP="000D0C23">
      <w:pPr>
        <w:autoSpaceDE w:val="0"/>
        <w:autoSpaceDN w:val="0"/>
        <w:adjustRightInd w:val="0"/>
        <w:ind w:left="851"/>
        <w:rPr>
          <w:sz w:val="24"/>
          <w:szCs w:val="24"/>
          <w:lang w:val="en-US"/>
        </w:rPr>
      </w:pPr>
    </w:p>
    <w:p w14:paraId="693032A9"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 xml:space="preserve">The cumulative incidence of CCyR adjusted for the competing risk of treatment discontinuation without CCyR was higher in the bosutinib treatment group compared to the imatinib treatment group in the mITT population (83.3% [95% CI: 78.1%, 87.4%] versus 76.8% [95% CI: 70.9%, 81.6%] at Month 60; hazard ratio [HR] from a stratified proportional sub distributional hazards model: 1.35, [95% CI: 1.11, 1.64]). The median time to CCyR (responders only) was 24.0 weeks (range: 11.4 to 120.7) in the bosutinib group compared to the 24.3 weeks (range: 11.4 to 96.6) in the imatinib group. </w:t>
      </w:r>
    </w:p>
    <w:p w14:paraId="79146E4F" w14:textId="77777777" w:rsidR="000D0C23" w:rsidRPr="000D0C23" w:rsidRDefault="000D0C23" w:rsidP="000D0C23">
      <w:pPr>
        <w:autoSpaceDE w:val="0"/>
        <w:autoSpaceDN w:val="0"/>
        <w:adjustRightInd w:val="0"/>
        <w:ind w:left="851"/>
        <w:rPr>
          <w:sz w:val="24"/>
          <w:szCs w:val="24"/>
          <w:lang w:val="en-US"/>
        </w:rPr>
      </w:pPr>
    </w:p>
    <w:p w14:paraId="1FD8C2A3"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lastRenderedPageBreak/>
        <w:t>The median time to MMR, MR</w:t>
      </w:r>
      <w:r w:rsidRPr="000D0C23">
        <w:rPr>
          <w:sz w:val="24"/>
          <w:szCs w:val="24"/>
          <w:vertAlign w:val="superscript"/>
          <w:lang w:val="en-US"/>
        </w:rPr>
        <w:t>4</w:t>
      </w:r>
      <w:r w:rsidRPr="000D0C23">
        <w:rPr>
          <w:sz w:val="24"/>
          <w:szCs w:val="24"/>
          <w:lang w:val="en-US"/>
        </w:rPr>
        <w:t xml:space="preserve"> and MR</w:t>
      </w:r>
      <w:r w:rsidRPr="000D0C23">
        <w:rPr>
          <w:sz w:val="24"/>
          <w:szCs w:val="24"/>
          <w:vertAlign w:val="superscript"/>
          <w:lang w:val="en-US"/>
        </w:rPr>
        <w:t>4.5</w:t>
      </w:r>
      <w:r w:rsidRPr="000D0C23">
        <w:rPr>
          <w:sz w:val="24"/>
          <w:szCs w:val="24"/>
          <w:lang w:val="en-US"/>
        </w:rPr>
        <w:t xml:space="preserve"> (responders only) was 36.1 weeks (range: 11.9 to 241.9), 83.7 weeks (range: 12.4 to 244.3), and 108.0 weeks (range: 24.1 to 242.1), respectively, for the bosutinib treatment group versus 47.7 weeks (range: 12.1 to 216.1), 84.4 weeks (range: 23.6 to 241.9), and 120.4 weeks (range: 24.6 to 240.7), respectively, for the imatinib treatment group in the mITT population.</w:t>
      </w:r>
    </w:p>
    <w:p w14:paraId="59AFBD75" w14:textId="77777777" w:rsidR="000D0C23" w:rsidRPr="000D0C23" w:rsidRDefault="000D0C23" w:rsidP="000D0C23">
      <w:pPr>
        <w:autoSpaceDE w:val="0"/>
        <w:autoSpaceDN w:val="0"/>
        <w:adjustRightInd w:val="0"/>
        <w:ind w:left="851"/>
        <w:rPr>
          <w:sz w:val="24"/>
          <w:szCs w:val="24"/>
          <w:lang w:val="en-US"/>
        </w:rPr>
      </w:pPr>
    </w:p>
    <w:p w14:paraId="46040DF7"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cumulative incidence of MMR, MR</w:t>
      </w:r>
      <w:r w:rsidRPr="000D0C23">
        <w:rPr>
          <w:sz w:val="24"/>
          <w:szCs w:val="24"/>
          <w:vertAlign w:val="superscript"/>
          <w:lang w:val="en-US"/>
        </w:rPr>
        <w:t>4</w:t>
      </w:r>
      <w:r w:rsidRPr="000D0C23">
        <w:rPr>
          <w:sz w:val="24"/>
          <w:szCs w:val="24"/>
          <w:lang w:val="en-US"/>
        </w:rPr>
        <w:t xml:space="preserve"> and MR</w:t>
      </w:r>
      <w:r w:rsidRPr="000D0C23">
        <w:rPr>
          <w:sz w:val="24"/>
          <w:szCs w:val="24"/>
          <w:vertAlign w:val="superscript"/>
          <w:lang w:val="en-US"/>
        </w:rPr>
        <w:t>4.5</w:t>
      </w:r>
      <w:r w:rsidRPr="000D0C23">
        <w:rPr>
          <w:sz w:val="24"/>
          <w:szCs w:val="24"/>
          <w:lang w:val="en-US"/>
        </w:rPr>
        <w:t xml:space="preserve"> adjusted for the competing risk of treatment discontinuation without the event was higher with bosutinib compared to imatinib as shown in Figures 1 to 3.</w:t>
      </w:r>
    </w:p>
    <w:p w14:paraId="24989C1E" w14:textId="77777777" w:rsidR="000D0C23" w:rsidRPr="000D0C23" w:rsidRDefault="000D0C23" w:rsidP="000D0C23">
      <w:pPr>
        <w:autoSpaceDE w:val="0"/>
        <w:autoSpaceDN w:val="0"/>
        <w:adjustRightInd w:val="0"/>
        <w:rPr>
          <w:szCs w:val="22"/>
          <w:lang w:val="en-US"/>
        </w:rPr>
      </w:pPr>
    </w:p>
    <w:p w14:paraId="0DA9E725" w14:textId="77777777" w:rsidR="000D0C23" w:rsidRPr="000D0C23" w:rsidRDefault="000D0C23" w:rsidP="000D0C23">
      <w:pPr>
        <w:keepNext/>
        <w:autoSpaceDE w:val="0"/>
        <w:autoSpaceDN w:val="0"/>
        <w:adjustRightInd w:val="0"/>
        <w:ind w:left="1134" w:hanging="1134"/>
        <w:rPr>
          <w:b/>
          <w:szCs w:val="22"/>
          <w:lang w:val="en-US"/>
        </w:rPr>
      </w:pPr>
      <w:r w:rsidRPr="000D0C23">
        <w:rPr>
          <w:b/>
          <w:szCs w:val="22"/>
          <w:lang w:val="en-US"/>
        </w:rPr>
        <w:t>Figure 1</w:t>
      </w:r>
      <w:r w:rsidRPr="000D0C23">
        <w:rPr>
          <w:b/>
          <w:szCs w:val="22"/>
          <w:lang w:val="en-US"/>
        </w:rPr>
        <w:tab/>
        <w:t>Cumulative incidence of MMR (mITT population)</w:t>
      </w:r>
    </w:p>
    <w:p w14:paraId="4A152B6A" w14:textId="2B202878" w:rsidR="000D0C23" w:rsidRDefault="000D0C23" w:rsidP="000D0C23">
      <w:pPr>
        <w:autoSpaceDE w:val="0"/>
        <w:autoSpaceDN w:val="0"/>
        <w:adjustRightInd w:val="0"/>
        <w:rPr>
          <w:szCs w:val="22"/>
        </w:rPr>
      </w:pPr>
      <w:r>
        <w:rPr>
          <w:noProof/>
          <w:szCs w:val="22"/>
        </w:rPr>
        <w:drawing>
          <wp:inline distT="0" distB="0" distL="0" distR="0" wp14:anchorId="142052C3" wp14:editId="5954F3F7">
            <wp:extent cx="5632450" cy="4133850"/>
            <wp:effectExtent l="0" t="0" r="635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0" cy="4133850"/>
                    </a:xfrm>
                    <a:prstGeom prst="rect">
                      <a:avLst/>
                    </a:prstGeom>
                    <a:noFill/>
                    <a:ln>
                      <a:noFill/>
                    </a:ln>
                  </pic:spPr>
                </pic:pic>
              </a:graphicData>
            </a:graphic>
          </wp:inline>
        </w:drawing>
      </w:r>
    </w:p>
    <w:p w14:paraId="292F6B75" w14:textId="77777777" w:rsidR="000D0C23" w:rsidRDefault="000D0C23" w:rsidP="000D0C23">
      <w:pPr>
        <w:autoSpaceDE w:val="0"/>
        <w:autoSpaceDN w:val="0"/>
        <w:adjustRightInd w:val="0"/>
        <w:rPr>
          <w:szCs w:val="22"/>
        </w:rPr>
      </w:pPr>
    </w:p>
    <w:p w14:paraId="1B3A3B34" w14:textId="77777777" w:rsidR="000D0C23" w:rsidRPr="000D0C23" w:rsidRDefault="000D0C23" w:rsidP="000D0C23">
      <w:pPr>
        <w:keepNext/>
        <w:autoSpaceDE w:val="0"/>
        <w:autoSpaceDN w:val="0"/>
        <w:adjustRightInd w:val="0"/>
        <w:ind w:left="1134" w:hanging="1134"/>
        <w:rPr>
          <w:b/>
          <w:szCs w:val="22"/>
          <w:lang w:val="en-US"/>
        </w:rPr>
      </w:pPr>
      <w:r w:rsidRPr="000D0C23">
        <w:rPr>
          <w:b/>
          <w:szCs w:val="22"/>
          <w:lang w:val="en-US"/>
        </w:rPr>
        <w:lastRenderedPageBreak/>
        <w:t>Figure 2</w:t>
      </w:r>
      <w:r w:rsidRPr="000D0C23">
        <w:rPr>
          <w:b/>
          <w:szCs w:val="22"/>
          <w:lang w:val="en-US"/>
        </w:rPr>
        <w:tab/>
        <w:t>Cumulative incidence of MR</w:t>
      </w:r>
      <w:r w:rsidRPr="000D0C23">
        <w:rPr>
          <w:b/>
          <w:szCs w:val="22"/>
          <w:vertAlign w:val="superscript"/>
          <w:lang w:val="en-US"/>
        </w:rPr>
        <w:t>4</w:t>
      </w:r>
      <w:r w:rsidRPr="000D0C23">
        <w:rPr>
          <w:b/>
          <w:szCs w:val="22"/>
          <w:lang w:val="en-US"/>
        </w:rPr>
        <w:t xml:space="preserve"> (mITT population)</w:t>
      </w:r>
    </w:p>
    <w:p w14:paraId="23FDE93F" w14:textId="442E2F19" w:rsidR="000D0C23" w:rsidRDefault="000D0C23" w:rsidP="000D0C23">
      <w:pPr>
        <w:autoSpaceDE w:val="0"/>
        <w:autoSpaceDN w:val="0"/>
        <w:adjustRightInd w:val="0"/>
        <w:rPr>
          <w:szCs w:val="22"/>
        </w:rPr>
      </w:pPr>
      <w:r>
        <w:rPr>
          <w:noProof/>
          <w:szCs w:val="22"/>
        </w:rPr>
        <w:drawing>
          <wp:inline distT="0" distB="0" distL="0" distR="0" wp14:anchorId="3713C18E" wp14:editId="786B371C">
            <wp:extent cx="5238750" cy="37592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759200"/>
                    </a:xfrm>
                    <a:prstGeom prst="rect">
                      <a:avLst/>
                    </a:prstGeom>
                    <a:noFill/>
                    <a:ln>
                      <a:noFill/>
                    </a:ln>
                  </pic:spPr>
                </pic:pic>
              </a:graphicData>
            </a:graphic>
          </wp:inline>
        </w:drawing>
      </w:r>
    </w:p>
    <w:p w14:paraId="5EE9E7EE" w14:textId="77777777" w:rsidR="000D0C23" w:rsidRDefault="000D0C23" w:rsidP="000D0C23">
      <w:pPr>
        <w:autoSpaceDE w:val="0"/>
        <w:autoSpaceDN w:val="0"/>
        <w:adjustRightInd w:val="0"/>
        <w:rPr>
          <w:szCs w:val="22"/>
        </w:rPr>
      </w:pPr>
    </w:p>
    <w:p w14:paraId="4E7391B1" w14:textId="77777777" w:rsidR="000D0C23" w:rsidRDefault="000D0C23" w:rsidP="000D0C23">
      <w:pPr>
        <w:autoSpaceDE w:val="0"/>
        <w:autoSpaceDN w:val="0"/>
        <w:adjustRightInd w:val="0"/>
        <w:rPr>
          <w:szCs w:val="22"/>
        </w:rPr>
      </w:pPr>
    </w:p>
    <w:p w14:paraId="42A91349" w14:textId="77777777" w:rsidR="000D0C23" w:rsidRPr="000D0C23" w:rsidRDefault="000D0C23" w:rsidP="000D0C23">
      <w:pPr>
        <w:keepNext/>
        <w:autoSpaceDE w:val="0"/>
        <w:autoSpaceDN w:val="0"/>
        <w:adjustRightInd w:val="0"/>
        <w:ind w:left="1134" w:hanging="1134"/>
        <w:rPr>
          <w:b/>
          <w:szCs w:val="22"/>
          <w:lang w:val="en-US"/>
        </w:rPr>
      </w:pPr>
      <w:r w:rsidRPr="000D0C23">
        <w:rPr>
          <w:b/>
          <w:szCs w:val="22"/>
          <w:lang w:val="en-US"/>
        </w:rPr>
        <w:t>Figure 3</w:t>
      </w:r>
      <w:r w:rsidRPr="000D0C23">
        <w:rPr>
          <w:b/>
          <w:szCs w:val="22"/>
          <w:lang w:val="en-US"/>
        </w:rPr>
        <w:tab/>
        <w:t>Cumulative incidence of MR</w:t>
      </w:r>
      <w:r w:rsidRPr="000D0C23">
        <w:rPr>
          <w:b/>
          <w:szCs w:val="22"/>
          <w:vertAlign w:val="superscript"/>
          <w:lang w:val="en-US"/>
        </w:rPr>
        <w:t>4.5</w:t>
      </w:r>
      <w:r w:rsidRPr="000D0C23">
        <w:rPr>
          <w:b/>
          <w:szCs w:val="22"/>
          <w:lang w:val="en-US"/>
        </w:rPr>
        <w:t xml:space="preserve"> (mITT population)</w:t>
      </w:r>
    </w:p>
    <w:p w14:paraId="6B55A525" w14:textId="67935F45" w:rsidR="000D0C23" w:rsidRDefault="000D0C23" w:rsidP="000D0C23">
      <w:pPr>
        <w:autoSpaceDE w:val="0"/>
        <w:autoSpaceDN w:val="0"/>
        <w:adjustRightInd w:val="0"/>
        <w:rPr>
          <w:szCs w:val="22"/>
        </w:rPr>
      </w:pPr>
      <w:r>
        <w:rPr>
          <w:noProof/>
          <w:szCs w:val="22"/>
        </w:rPr>
        <w:drawing>
          <wp:inline distT="0" distB="0" distL="0" distR="0" wp14:anchorId="0BF53FB4" wp14:editId="09A0596D">
            <wp:extent cx="5302250" cy="38290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2250" cy="3829050"/>
                    </a:xfrm>
                    <a:prstGeom prst="rect">
                      <a:avLst/>
                    </a:prstGeom>
                    <a:noFill/>
                    <a:ln>
                      <a:noFill/>
                    </a:ln>
                  </pic:spPr>
                </pic:pic>
              </a:graphicData>
            </a:graphic>
          </wp:inline>
        </w:drawing>
      </w:r>
    </w:p>
    <w:p w14:paraId="4FAD5D2C" w14:textId="77777777" w:rsidR="000D0C23" w:rsidRPr="000D0C23" w:rsidRDefault="000D0C23" w:rsidP="000D0C23">
      <w:pPr>
        <w:autoSpaceDE w:val="0"/>
        <w:autoSpaceDN w:val="0"/>
        <w:adjustRightInd w:val="0"/>
        <w:ind w:left="851"/>
        <w:rPr>
          <w:sz w:val="24"/>
          <w:szCs w:val="24"/>
        </w:rPr>
      </w:pPr>
    </w:p>
    <w:p w14:paraId="48DC4E01"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 xml:space="preserve">In the mITT population, among patients who achieved CCyR, the Kaplan-Meier estimate of maintaining a response at Year 4 was 97.4% (95% CI: 93.9%, 98.9%) and 93.7% (95% CI: 88.9%, 96.5%) in the bosutinib and imatinib groups (HR 0.39 [95% CI: 0.14, </w:t>
      </w:r>
      <w:r w:rsidRPr="000D0C23">
        <w:rPr>
          <w:sz w:val="24"/>
          <w:szCs w:val="24"/>
          <w:lang w:val="en-US"/>
        </w:rPr>
        <w:lastRenderedPageBreak/>
        <w:t>1.13]), respectively. Among patients who achieved MMR, the Kaplan-Meier estimate of maintaining a response at Year 4 was 92.2% (95% CI: 86.8%, 95.4%) and 92.0% (95% CI: 85.9%, 95.5%) in the bosutinib and imatinib groups (HR 1.09 [95% CI: 0.49, 2.44]), respectively.</w:t>
      </w:r>
    </w:p>
    <w:p w14:paraId="46A96137" w14:textId="77777777" w:rsidR="000D0C23" w:rsidRPr="000D0C23" w:rsidRDefault="000D0C23" w:rsidP="000D0C23">
      <w:pPr>
        <w:autoSpaceDE w:val="0"/>
        <w:autoSpaceDN w:val="0"/>
        <w:adjustRightInd w:val="0"/>
        <w:ind w:left="851"/>
        <w:rPr>
          <w:sz w:val="24"/>
          <w:szCs w:val="24"/>
          <w:lang w:val="en-US"/>
        </w:rPr>
      </w:pPr>
    </w:p>
    <w:p w14:paraId="6B03678D"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By Month 60, 43.9% (95% CI: 37.7%, 50.1%) and 38.6% (95% CI: 32.4%, 44.7%) of bosutinib- and imatinib-treated patients (OR 1.24 [95% CI: 0.87, 1.78]) in the mITT population, respectively, had sustained MR</w:t>
      </w:r>
      <w:r w:rsidRPr="000D0C23">
        <w:rPr>
          <w:sz w:val="24"/>
          <w:szCs w:val="24"/>
          <w:vertAlign w:val="superscript"/>
          <w:lang w:val="en-US"/>
        </w:rPr>
        <w:t>4</w:t>
      </w:r>
      <w:r w:rsidRPr="000D0C23">
        <w:rPr>
          <w:sz w:val="24"/>
          <w:szCs w:val="24"/>
          <w:lang w:val="en-US"/>
        </w:rPr>
        <w:t xml:space="preserve"> defined by the following criteria: treatment for at least 3 years with at least MR</w:t>
      </w:r>
      <w:r w:rsidRPr="000D0C23">
        <w:rPr>
          <w:sz w:val="24"/>
          <w:szCs w:val="24"/>
          <w:vertAlign w:val="superscript"/>
          <w:lang w:val="en-US"/>
        </w:rPr>
        <w:t>4</w:t>
      </w:r>
      <w:r w:rsidRPr="000D0C23">
        <w:rPr>
          <w:sz w:val="24"/>
          <w:szCs w:val="24"/>
          <w:lang w:val="en-US"/>
        </w:rPr>
        <w:t xml:space="preserve"> at all assessments during a 1</w:t>
      </w:r>
      <w:r w:rsidRPr="000D0C23">
        <w:rPr>
          <w:sz w:val="24"/>
          <w:szCs w:val="24"/>
          <w:lang w:val="en-US"/>
        </w:rPr>
        <w:noBreakHyphen/>
        <w:t>year period.</w:t>
      </w:r>
    </w:p>
    <w:p w14:paraId="7CA86DA0" w14:textId="77777777" w:rsidR="000D0C23" w:rsidRPr="000D0C23" w:rsidRDefault="000D0C23" w:rsidP="000D0C23">
      <w:pPr>
        <w:autoSpaceDE w:val="0"/>
        <w:autoSpaceDN w:val="0"/>
        <w:adjustRightInd w:val="0"/>
        <w:ind w:left="851"/>
        <w:rPr>
          <w:sz w:val="24"/>
          <w:szCs w:val="24"/>
          <w:lang w:val="en-US"/>
        </w:rPr>
      </w:pPr>
    </w:p>
    <w:p w14:paraId="6482986C"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cumulative incidence of on-treatment EFS events at Month 60 in the mITT population was 6.9% (95% CI: 4.2%, 10.5%) in the bosutinib arm and 10.4% (95% CI: 6.9%, 14.6%) in the imatinib arm (HR 0.64, 95% CI: 0.35, 1.17).</w:t>
      </w:r>
    </w:p>
    <w:p w14:paraId="011E4679" w14:textId="77777777" w:rsidR="000D0C23" w:rsidRPr="000D0C23" w:rsidRDefault="000D0C23" w:rsidP="000D0C23">
      <w:pPr>
        <w:autoSpaceDE w:val="0"/>
        <w:autoSpaceDN w:val="0"/>
        <w:adjustRightInd w:val="0"/>
        <w:ind w:left="851"/>
        <w:rPr>
          <w:sz w:val="24"/>
          <w:szCs w:val="24"/>
          <w:lang w:val="en-US"/>
        </w:rPr>
      </w:pPr>
    </w:p>
    <w:p w14:paraId="01823E44"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Kaplan-Meier estimates of OS at Month 60 for bosutinib and imatinib patients in the mITT population were 94.9% (95% CI: 91.1%, 97.0%) and 94.0% (95% CI: 90.1%, 96.4%), respectively (HR 0.80, 95% CI: 0.37, 1.73).</w:t>
      </w:r>
    </w:p>
    <w:p w14:paraId="7C9B73EB" w14:textId="77777777" w:rsidR="000D0C23" w:rsidRPr="000D0C23" w:rsidRDefault="000D0C23" w:rsidP="000D0C23">
      <w:pPr>
        <w:autoSpaceDE w:val="0"/>
        <w:autoSpaceDN w:val="0"/>
        <w:adjustRightInd w:val="0"/>
        <w:ind w:left="851"/>
        <w:rPr>
          <w:sz w:val="24"/>
          <w:szCs w:val="24"/>
          <w:lang w:val="en-US"/>
        </w:rPr>
      </w:pPr>
    </w:p>
    <w:p w14:paraId="72BAF311"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In a retrospective analysis, among evaluable patients in the ITT population, more patients in the bosutinib arm 200/248 (80.6%) achieved early molecular response (BCR</w:t>
      </w:r>
      <w:r w:rsidRPr="000D0C23">
        <w:rPr>
          <w:sz w:val="24"/>
          <w:szCs w:val="24"/>
          <w:lang w:val="en-US"/>
        </w:rPr>
        <w:noBreakHyphen/>
        <w:t>ABL transcripts ≤ 10% at 3 months) compared to patients in the imatinib arm 153/253 (60.5%), OR 2.72 (95% CI: 1.82, 4.08).</w:t>
      </w:r>
    </w:p>
    <w:p w14:paraId="090BCC0A"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MMR and EFS at Month 60 in bosutinib patients with and without early molecular response are summarised in Table 7.</w:t>
      </w:r>
    </w:p>
    <w:p w14:paraId="249F4EA9" w14:textId="77777777" w:rsidR="000D0C23" w:rsidRPr="000D0C23" w:rsidRDefault="000D0C23" w:rsidP="000D0C23">
      <w:pPr>
        <w:autoSpaceDE w:val="0"/>
        <w:autoSpaceDN w:val="0"/>
        <w:adjustRightInd w:val="0"/>
        <w:rPr>
          <w:szCs w:val="22"/>
          <w:lang w:val="en-US"/>
        </w:rPr>
      </w:pPr>
    </w:p>
    <w:p w14:paraId="0E99779F" w14:textId="77777777" w:rsidR="000D0C23" w:rsidRPr="000D0C23" w:rsidRDefault="000D0C23" w:rsidP="000D0C23">
      <w:pPr>
        <w:keepNext/>
        <w:autoSpaceDE w:val="0"/>
        <w:autoSpaceDN w:val="0"/>
        <w:adjustRightInd w:val="0"/>
        <w:ind w:left="1134" w:hanging="1134"/>
        <w:rPr>
          <w:b/>
          <w:szCs w:val="22"/>
          <w:lang w:val="en-US"/>
        </w:rPr>
      </w:pPr>
      <w:r w:rsidRPr="000D0C23">
        <w:rPr>
          <w:b/>
          <w:szCs w:val="22"/>
          <w:lang w:val="en-US"/>
        </w:rPr>
        <w:t>Table 7</w:t>
      </w:r>
      <w:r w:rsidRPr="000D0C23">
        <w:rPr>
          <w:b/>
          <w:szCs w:val="22"/>
          <w:lang w:val="en-US"/>
        </w:rPr>
        <w:tab/>
        <w:t>Outcomes at Month 60 in bosutinib patients with BCR-ABL ≤10% vs &gt; 10% at Month 3 in the ITT population</w:t>
      </w:r>
    </w:p>
    <w:tbl>
      <w:tblPr>
        <w:tblW w:w="0" w:type="auto"/>
        <w:tblLook w:val="04A0" w:firstRow="1" w:lastRow="0" w:firstColumn="1" w:lastColumn="0" w:noHBand="0" w:noVBand="1"/>
      </w:tblPr>
      <w:tblGrid>
        <w:gridCol w:w="2265"/>
        <w:gridCol w:w="2265"/>
        <w:gridCol w:w="2265"/>
        <w:gridCol w:w="2266"/>
      </w:tblGrid>
      <w:tr w:rsidR="000D0C23" w:rsidRPr="008F5372" w14:paraId="4D8EA1DD" w14:textId="77777777" w:rsidTr="000D0C23">
        <w:tc>
          <w:tcPr>
            <w:tcW w:w="2265" w:type="dxa"/>
            <w:tcBorders>
              <w:top w:val="single" w:sz="4" w:space="0" w:color="auto"/>
              <w:left w:val="single" w:sz="4" w:space="0" w:color="auto"/>
              <w:bottom w:val="single" w:sz="4" w:space="0" w:color="auto"/>
              <w:right w:val="single" w:sz="4" w:space="0" w:color="auto"/>
            </w:tcBorders>
            <w:hideMark/>
          </w:tcPr>
          <w:p w14:paraId="308EDA84" w14:textId="77777777" w:rsidR="000D0C23" w:rsidRPr="008F5372" w:rsidRDefault="000D0C23">
            <w:pPr>
              <w:autoSpaceDE w:val="0"/>
              <w:autoSpaceDN w:val="0"/>
              <w:adjustRightInd w:val="0"/>
              <w:jc w:val="center"/>
              <w:rPr>
                <w:szCs w:val="22"/>
              </w:rPr>
            </w:pPr>
            <w:r w:rsidRPr="008F5372">
              <w:rPr>
                <w:szCs w:val="22"/>
              </w:rPr>
              <w:t>Bosutinib (N=248)</w:t>
            </w:r>
          </w:p>
        </w:tc>
        <w:tc>
          <w:tcPr>
            <w:tcW w:w="2265" w:type="dxa"/>
            <w:tcBorders>
              <w:top w:val="single" w:sz="4" w:space="0" w:color="auto"/>
              <w:left w:val="single" w:sz="4" w:space="0" w:color="auto"/>
              <w:bottom w:val="single" w:sz="4" w:space="0" w:color="auto"/>
              <w:right w:val="single" w:sz="4" w:space="0" w:color="auto"/>
            </w:tcBorders>
            <w:hideMark/>
          </w:tcPr>
          <w:p w14:paraId="7361C5ED" w14:textId="77777777" w:rsidR="000D0C23" w:rsidRPr="008F5372" w:rsidRDefault="000D0C23">
            <w:pPr>
              <w:autoSpaceDE w:val="0"/>
              <w:autoSpaceDN w:val="0"/>
              <w:adjustRightInd w:val="0"/>
              <w:jc w:val="center"/>
              <w:rPr>
                <w:szCs w:val="22"/>
                <w:lang w:val="en-US"/>
              </w:rPr>
            </w:pPr>
            <w:r w:rsidRPr="008F5372">
              <w:rPr>
                <w:szCs w:val="22"/>
                <w:lang w:val="en-US"/>
              </w:rPr>
              <w:t>Patients with BCR</w:t>
            </w:r>
            <w:r w:rsidRPr="008F5372">
              <w:rPr>
                <w:szCs w:val="22"/>
                <w:lang w:val="en-US"/>
              </w:rPr>
              <w:noBreakHyphen/>
              <w:t>ABL ≤ 10% at 3 Months</w:t>
            </w:r>
          </w:p>
          <w:p w14:paraId="08F31C59" w14:textId="77777777" w:rsidR="000D0C23" w:rsidRPr="008F5372" w:rsidRDefault="000D0C23">
            <w:pPr>
              <w:autoSpaceDE w:val="0"/>
              <w:autoSpaceDN w:val="0"/>
              <w:adjustRightInd w:val="0"/>
              <w:jc w:val="center"/>
              <w:rPr>
                <w:szCs w:val="22"/>
              </w:rPr>
            </w:pPr>
            <w:r w:rsidRPr="008F5372">
              <w:rPr>
                <w:szCs w:val="22"/>
              </w:rPr>
              <w:t>(N=200)</w:t>
            </w:r>
          </w:p>
        </w:tc>
        <w:tc>
          <w:tcPr>
            <w:tcW w:w="2265" w:type="dxa"/>
            <w:tcBorders>
              <w:top w:val="single" w:sz="4" w:space="0" w:color="auto"/>
              <w:left w:val="single" w:sz="4" w:space="0" w:color="auto"/>
              <w:bottom w:val="single" w:sz="4" w:space="0" w:color="auto"/>
              <w:right w:val="single" w:sz="4" w:space="0" w:color="auto"/>
            </w:tcBorders>
            <w:hideMark/>
          </w:tcPr>
          <w:p w14:paraId="7193308F" w14:textId="77777777" w:rsidR="000D0C23" w:rsidRPr="008F5372" w:rsidRDefault="000D0C23">
            <w:pPr>
              <w:autoSpaceDE w:val="0"/>
              <w:autoSpaceDN w:val="0"/>
              <w:adjustRightInd w:val="0"/>
              <w:jc w:val="center"/>
              <w:rPr>
                <w:szCs w:val="22"/>
                <w:lang w:val="en-US"/>
              </w:rPr>
            </w:pPr>
            <w:r w:rsidRPr="008F5372">
              <w:rPr>
                <w:szCs w:val="22"/>
                <w:lang w:val="en-US"/>
              </w:rPr>
              <w:t>Patients with BCR</w:t>
            </w:r>
            <w:r w:rsidRPr="008F5372">
              <w:rPr>
                <w:szCs w:val="22"/>
                <w:lang w:val="en-US"/>
              </w:rPr>
              <w:noBreakHyphen/>
              <w:t>ABL &gt; 10% at 3 Months</w:t>
            </w:r>
          </w:p>
          <w:p w14:paraId="36BAE0ED" w14:textId="77777777" w:rsidR="000D0C23" w:rsidRPr="008F5372" w:rsidRDefault="000D0C23">
            <w:pPr>
              <w:autoSpaceDE w:val="0"/>
              <w:autoSpaceDN w:val="0"/>
              <w:adjustRightInd w:val="0"/>
              <w:jc w:val="center"/>
              <w:rPr>
                <w:szCs w:val="22"/>
              </w:rPr>
            </w:pPr>
            <w:r w:rsidRPr="008F5372">
              <w:rPr>
                <w:szCs w:val="22"/>
              </w:rPr>
              <w:t>(N=48)</w:t>
            </w:r>
          </w:p>
        </w:tc>
        <w:tc>
          <w:tcPr>
            <w:tcW w:w="2266" w:type="dxa"/>
            <w:tcBorders>
              <w:top w:val="single" w:sz="4" w:space="0" w:color="auto"/>
              <w:left w:val="single" w:sz="4" w:space="0" w:color="auto"/>
              <w:bottom w:val="single" w:sz="4" w:space="0" w:color="auto"/>
              <w:right w:val="single" w:sz="4" w:space="0" w:color="auto"/>
            </w:tcBorders>
            <w:hideMark/>
          </w:tcPr>
          <w:p w14:paraId="3A53AB0E" w14:textId="77777777" w:rsidR="000D0C23" w:rsidRPr="008F5372" w:rsidRDefault="000D0C23">
            <w:pPr>
              <w:autoSpaceDE w:val="0"/>
              <w:autoSpaceDN w:val="0"/>
              <w:adjustRightInd w:val="0"/>
              <w:jc w:val="center"/>
              <w:rPr>
                <w:szCs w:val="22"/>
              </w:rPr>
            </w:pPr>
            <w:r w:rsidRPr="008F5372">
              <w:rPr>
                <w:szCs w:val="22"/>
              </w:rPr>
              <w:t>Hazard Ratio</w:t>
            </w:r>
          </w:p>
          <w:p w14:paraId="36D61273" w14:textId="77777777" w:rsidR="000D0C23" w:rsidRPr="008F5372" w:rsidRDefault="000D0C23">
            <w:pPr>
              <w:autoSpaceDE w:val="0"/>
              <w:autoSpaceDN w:val="0"/>
              <w:adjustRightInd w:val="0"/>
              <w:jc w:val="center"/>
              <w:rPr>
                <w:szCs w:val="22"/>
              </w:rPr>
            </w:pPr>
            <w:r w:rsidRPr="008F5372">
              <w:rPr>
                <w:szCs w:val="22"/>
              </w:rPr>
              <w:t>(95% CI)</w:t>
            </w:r>
            <w:r w:rsidRPr="008F5372">
              <w:rPr>
                <w:szCs w:val="22"/>
                <w:vertAlign w:val="superscript"/>
              </w:rPr>
              <w:t>a</w:t>
            </w:r>
          </w:p>
        </w:tc>
      </w:tr>
      <w:tr w:rsidR="000D0C23" w:rsidRPr="008F5372" w14:paraId="6D44035C" w14:textId="77777777" w:rsidTr="000D0C23">
        <w:tc>
          <w:tcPr>
            <w:tcW w:w="2265" w:type="dxa"/>
            <w:tcBorders>
              <w:top w:val="single" w:sz="4" w:space="0" w:color="auto"/>
              <w:left w:val="single" w:sz="4" w:space="0" w:color="auto"/>
              <w:bottom w:val="single" w:sz="4" w:space="0" w:color="auto"/>
              <w:right w:val="single" w:sz="4" w:space="0" w:color="auto"/>
            </w:tcBorders>
            <w:hideMark/>
          </w:tcPr>
          <w:p w14:paraId="73E47E30" w14:textId="77777777" w:rsidR="000D0C23" w:rsidRPr="008F5372" w:rsidRDefault="000D0C23">
            <w:pPr>
              <w:autoSpaceDE w:val="0"/>
              <w:autoSpaceDN w:val="0"/>
              <w:adjustRightInd w:val="0"/>
              <w:rPr>
                <w:szCs w:val="22"/>
                <w:lang w:val="en-US"/>
              </w:rPr>
            </w:pPr>
            <w:r w:rsidRPr="008F5372">
              <w:rPr>
                <w:szCs w:val="22"/>
                <w:lang w:val="en-US"/>
              </w:rPr>
              <w:t>Cumulative incidence of MMR, % (95% CI)</w:t>
            </w:r>
          </w:p>
        </w:tc>
        <w:tc>
          <w:tcPr>
            <w:tcW w:w="2265" w:type="dxa"/>
            <w:tcBorders>
              <w:top w:val="single" w:sz="4" w:space="0" w:color="auto"/>
              <w:left w:val="single" w:sz="4" w:space="0" w:color="auto"/>
              <w:bottom w:val="single" w:sz="4" w:space="0" w:color="auto"/>
              <w:right w:val="single" w:sz="4" w:space="0" w:color="auto"/>
            </w:tcBorders>
            <w:hideMark/>
          </w:tcPr>
          <w:p w14:paraId="1FC9EEA7" w14:textId="77777777" w:rsidR="000D0C23" w:rsidRPr="008F5372" w:rsidRDefault="000D0C23">
            <w:pPr>
              <w:autoSpaceDE w:val="0"/>
              <w:autoSpaceDN w:val="0"/>
              <w:adjustRightInd w:val="0"/>
              <w:jc w:val="center"/>
              <w:rPr>
                <w:szCs w:val="22"/>
              </w:rPr>
            </w:pPr>
            <w:r w:rsidRPr="008F5372">
              <w:rPr>
                <w:szCs w:val="22"/>
              </w:rPr>
              <w:t>84.0 (78.1,88.4)</w:t>
            </w:r>
          </w:p>
        </w:tc>
        <w:tc>
          <w:tcPr>
            <w:tcW w:w="2265" w:type="dxa"/>
            <w:tcBorders>
              <w:top w:val="single" w:sz="4" w:space="0" w:color="auto"/>
              <w:left w:val="single" w:sz="4" w:space="0" w:color="auto"/>
              <w:bottom w:val="single" w:sz="4" w:space="0" w:color="auto"/>
              <w:right w:val="single" w:sz="4" w:space="0" w:color="auto"/>
            </w:tcBorders>
            <w:hideMark/>
          </w:tcPr>
          <w:p w14:paraId="20D52FD9" w14:textId="77777777" w:rsidR="000D0C23" w:rsidRPr="008F5372" w:rsidRDefault="000D0C23">
            <w:pPr>
              <w:autoSpaceDE w:val="0"/>
              <w:autoSpaceDN w:val="0"/>
              <w:adjustRightInd w:val="0"/>
              <w:jc w:val="center"/>
              <w:rPr>
                <w:szCs w:val="22"/>
              </w:rPr>
            </w:pPr>
            <w:r w:rsidRPr="008F5372">
              <w:rPr>
                <w:szCs w:val="22"/>
              </w:rPr>
              <w:t>56.5 (41.1,69.4)</w:t>
            </w:r>
          </w:p>
        </w:tc>
        <w:tc>
          <w:tcPr>
            <w:tcW w:w="2266" w:type="dxa"/>
            <w:tcBorders>
              <w:top w:val="single" w:sz="4" w:space="0" w:color="auto"/>
              <w:left w:val="single" w:sz="4" w:space="0" w:color="auto"/>
              <w:bottom w:val="single" w:sz="4" w:space="0" w:color="auto"/>
              <w:right w:val="single" w:sz="4" w:space="0" w:color="auto"/>
            </w:tcBorders>
            <w:hideMark/>
          </w:tcPr>
          <w:p w14:paraId="2D994DA2" w14:textId="77777777" w:rsidR="000D0C23" w:rsidRPr="008F5372" w:rsidRDefault="000D0C23">
            <w:pPr>
              <w:autoSpaceDE w:val="0"/>
              <w:autoSpaceDN w:val="0"/>
              <w:adjustRightInd w:val="0"/>
              <w:jc w:val="center"/>
              <w:rPr>
                <w:szCs w:val="22"/>
              </w:rPr>
            </w:pPr>
            <w:r w:rsidRPr="008F5372">
              <w:rPr>
                <w:szCs w:val="22"/>
              </w:rPr>
              <w:t>2.67 (1.90,3.75)</w:t>
            </w:r>
          </w:p>
        </w:tc>
      </w:tr>
      <w:tr w:rsidR="000D0C23" w:rsidRPr="008F5372" w14:paraId="2889D7C0" w14:textId="77777777" w:rsidTr="000D0C23">
        <w:tc>
          <w:tcPr>
            <w:tcW w:w="2265" w:type="dxa"/>
            <w:tcBorders>
              <w:top w:val="single" w:sz="4" w:space="0" w:color="auto"/>
              <w:left w:val="single" w:sz="4" w:space="0" w:color="auto"/>
              <w:bottom w:val="single" w:sz="4" w:space="0" w:color="auto"/>
              <w:right w:val="single" w:sz="4" w:space="0" w:color="auto"/>
            </w:tcBorders>
            <w:hideMark/>
          </w:tcPr>
          <w:p w14:paraId="6541D383" w14:textId="77777777" w:rsidR="000D0C23" w:rsidRPr="008F5372" w:rsidRDefault="000D0C23">
            <w:pPr>
              <w:autoSpaceDE w:val="0"/>
              <w:autoSpaceDN w:val="0"/>
              <w:adjustRightInd w:val="0"/>
              <w:rPr>
                <w:szCs w:val="22"/>
                <w:lang w:val="en-US"/>
              </w:rPr>
            </w:pPr>
            <w:r w:rsidRPr="008F5372">
              <w:rPr>
                <w:szCs w:val="22"/>
                <w:lang w:val="en-US"/>
              </w:rPr>
              <w:t>Cumulative incidence of EFS events, % (95% CI)</w:t>
            </w:r>
          </w:p>
        </w:tc>
        <w:tc>
          <w:tcPr>
            <w:tcW w:w="2265" w:type="dxa"/>
            <w:tcBorders>
              <w:top w:val="single" w:sz="4" w:space="0" w:color="auto"/>
              <w:left w:val="single" w:sz="4" w:space="0" w:color="auto"/>
              <w:bottom w:val="single" w:sz="4" w:space="0" w:color="auto"/>
              <w:right w:val="single" w:sz="4" w:space="0" w:color="auto"/>
            </w:tcBorders>
            <w:hideMark/>
          </w:tcPr>
          <w:p w14:paraId="295C226E" w14:textId="77777777" w:rsidR="000D0C23" w:rsidRPr="008F5372" w:rsidRDefault="000D0C23">
            <w:pPr>
              <w:autoSpaceDE w:val="0"/>
              <w:autoSpaceDN w:val="0"/>
              <w:adjustRightInd w:val="0"/>
              <w:jc w:val="center"/>
              <w:rPr>
                <w:szCs w:val="22"/>
              </w:rPr>
            </w:pPr>
            <w:r w:rsidRPr="008F5372">
              <w:rPr>
                <w:szCs w:val="22"/>
              </w:rPr>
              <w:t>5.5 (2.9,9.3)</w:t>
            </w:r>
          </w:p>
        </w:tc>
        <w:tc>
          <w:tcPr>
            <w:tcW w:w="2265" w:type="dxa"/>
            <w:tcBorders>
              <w:top w:val="single" w:sz="4" w:space="0" w:color="auto"/>
              <w:left w:val="single" w:sz="4" w:space="0" w:color="auto"/>
              <w:bottom w:val="single" w:sz="4" w:space="0" w:color="auto"/>
              <w:right w:val="single" w:sz="4" w:space="0" w:color="auto"/>
            </w:tcBorders>
            <w:hideMark/>
          </w:tcPr>
          <w:p w14:paraId="4EA1A7A2" w14:textId="77777777" w:rsidR="000D0C23" w:rsidRPr="008F5372" w:rsidRDefault="000D0C23">
            <w:pPr>
              <w:autoSpaceDE w:val="0"/>
              <w:autoSpaceDN w:val="0"/>
              <w:adjustRightInd w:val="0"/>
              <w:jc w:val="center"/>
              <w:rPr>
                <w:szCs w:val="22"/>
              </w:rPr>
            </w:pPr>
            <w:r w:rsidRPr="008F5372">
              <w:rPr>
                <w:szCs w:val="22"/>
              </w:rPr>
              <w:t>12.5 (5.1,23.4)</w:t>
            </w:r>
          </w:p>
        </w:tc>
        <w:tc>
          <w:tcPr>
            <w:tcW w:w="2266" w:type="dxa"/>
            <w:tcBorders>
              <w:top w:val="single" w:sz="4" w:space="0" w:color="auto"/>
              <w:left w:val="single" w:sz="4" w:space="0" w:color="auto"/>
              <w:bottom w:val="single" w:sz="4" w:space="0" w:color="auto"/>
              <w:right w:val="single" w:sz="4" w:space="0" w:color="auto"/>
            </w:tcBorders>
            <w:hideMark/>
          </w:tcPr>
          <w:p w14:paraId="2AA8CB3E" w14:textId="77777777" w:rsidR="000D0C23" w:rsidRPr="008F5372" w:rsidRDefault="000D0C23">
            <w:pPr>
              <w:autoSpaceDE w:val="0"/>
              <w:autoSpaceDN w:val="0"/>
              <w:adjustRightInd w:val="0"/>
              <w:jc w:val="center"/>
              <w:rPr>
                <w:szCs w:val="22"/>
              </w:rPr>
            </w:pPr>
            <w:r w:rsidRPr="008F5372">
              <w:rPr>
                <w:szCs w:val="22"/>
              </w:rPr>
              <w:t>0.40 (0.14,1.17)</w:t>
            </w:r>
          </w:p>
        </w:tc>
      </w:tr>
    </w:tbl>
    <w:p w14:paraId="4B26AC81" w14:textId="77777777" w:rsidR="000D0C23" w:rsidRDefault="000D0C23" w:rsidP="000D0C23">
      <w:pPr>
        <w:autoSpaceDE w:val="0"/>
        <w:autoSpaceDN w:val="0"/>
        <w:adjustRightInd w:val="0"/>
        <w:rPr>
          <w:sz w:val="20"/>
          <w:lang w:val="en-GB" w:eastAsia="en-US"/>
        </w:rPr>
      </w:pPr>
      <w:r w:rsidRPr="000D0C23">
        <w:rPr>
          <w:sz w:val="20"/>
          <w:lang w:val="en-US"/>
        </w:rPr>
        <w:t>Abbreviations: BCR-ABL=breakpoint cluster region-Abelson; CI=confidence interval; ITT=intent-to-treat;</w:t>
      </w:r>
    </w:p>
    <w:p w14:paraId="25B49CD8" w14:textId="77777777" w:rsidR="000D0C23" w:rsidRPr="000D0C23" w:rsidRDefault="000D0C23" w:rsidP="000D0C23">
      <w:pPr>
        <w:autoSpaceDE w:val="0"/>
        <w:autoSpaceDN w:val="0"/>
        <w:adjustRightInd w:val="0"/>
        <w:rPr>
          <w:sz w:val="20"/>
          <w:lang w:val="en-US"/>
        </w:rPr>
      </w:pPr>
      <w:r w:rsidRPr="000D0C23">
        <w:rPr>
          <w:sz w:val="20"/>
          <w:lang w:val="en-US"/>
        </w:rPr>
        <w:t>MMR=major molecular response; EFS=event free survival; N=number of patients with ≥ 3 000 ABL copies at Month 3.</w:t>
      </w:r>
    </w:p>
    <w:p w14:paraId="1CF1C4FD" w14:textId="77777777" w:rsidR="000D0C23" w:rsidRPr="000D0C23" w:rsidRDefault="000D0C23" w:rsidP="000D0C23">
      <w:pPr>
        <w:autoSpaceDE w:val="0"/>
        <w:autoSpaceDN w:val="0"/>
        <w:adjustRightInd w:val="0"/>
        <w:rPr>
          <w:sz w:val="20"/>
          <w:lang w:val="en-US"/>
        </w:rPr>
      </w:pPr>
      <w:r w:rsidRPr="000D0C23">
        <w:rPr>
          <w:sz w:val="20"/>
          <w:vertAlign w:val="superscript"/>
          <w:lang w:val="en-US"/>
        </w:rPr>
        <w:t>a</w:t>
      </w:r>
      <w:r w:rsidRPr="000D0C23">
        <w:rPr>
          <w:sz w:val="20"/>
          <w:lang w:val="en-US"/>
        </w:rPr>
        <w:t xml:space="preserve"> Adjusted for geographical region and Sokal score at randomisation.</w:t>
      </w:r>
    </w:p>
    <w:p w14:paraId="021EF26F" w14:textId="77777777" w:rsidR="000D0C23" w:rsidRPr="000D0C23" w:rsidRDefault="000D0C23" w:rsidP="000D0C23">
      <w:pPr>
        <w:autoSpaceDE w:val="0"/>
        <w:autoSpaceDN w:val="0"/>
        <w:adjustRightInd w:val="0"/>
        <w:ind w:left="851"/>
        <w:rPr>
          <w:sz w:val="24"/>
          <w:szCs w:val="24"/>
          <w:lang w:val="en-US"/>
        </w:rPr>
      </w:pPr>
    </w:p>
    <w:p w14:paraId="78473B9A"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Fewer patients in the bosutinib arm [6 (2.4%) bosutinib and 12 (5.0%) imatinib] had newly detectable mutations at 60 months in the mITT population.</w:t>
      </w:r>
    </w:p>
    <w:p w14:paraId="5FC67463" w14:textId="77777777" w:rsidR="000D0C23" w:rsidRPr="000D0C23" w:rsidRDefault="000D0C23" w:rsidP="000D0C23">
      <w:pPr>
        <w:autoSpaceDE w:val="0"/>
        <w:autoSpaceDN w:val="0"/>
        <w:adjustRightInd w:val="0"/>
        <w:ind w:left="851"/>
        <w:rPr>
          <w:sz w:val="24"/>
          <w:szCs w:val="24"/>
          <w:lang w:val="en-US"/>
        </w:rPr>
      </w:pPr>
    </w:p>
    <w:p w14:paraId="5B6BEB08" w14:textId="77777777" w:rsidR="000D0C23" w:rsidRPr="000D0C23" w:rsidRDefault="000D0C23" w:rsidP="000D0C23">
      <w:pPr>
        <w:autoSpaceDE w:val="0"/>
        <w:autoSpaceDN w:val="0"/>
        <w:adjustRightInd w:val="0"/>
        <w:ind w:left="851"/>
        <w:rPr>
          <w:i/>
          <w:sz w:val="24"/>
          <w:szCs w:val="24"/>
          <w:lang w:val="en-US"/>
        </w:rPr>
      </w:pPr>
      <w:r w:rsidRPr="000D0C23">
        <w:rPr>
          <w:i/>
          <w:sz w:val="24"/>
          <w:szCs w:val="24"/>
          <w:lang w:val="en-US"/>
        </w:rPr>
        <w:t>Phase 1/2 Clinical study in imatinib-resistant or intolerant CML in CP, AP, and BP</w:t>
      </w:r>
    </w:p>
    <w:p w14:paraId="56246F6A"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A single-arm, Phase 1/2 open-label, multicentre trial was conducted to evaluate the efficacy and safety of bosutinib 500 mg once daily in patients with imatinib-resistant or -intolerant CML with separate cohorts for chronic, accelerated, and blast phase disease previously treated with 1 prior TKI (imatinib) or more than 1 TKI (imatinib followed by dasatinib and/or nilotinib).</w:t>
      </w:r>
    </w:p>
    <w:p w14:paraId="4ED329B9" w14:textId="77777777" w:rsidR="000D0C23" w:rsidRPr="000D0C23" w:rsidRDefault="000D0C23" w:rsidP="000D0C23">
      <w:pPr>
        <w:autoSpaceDE w:val="0"/>
        <w:autoSpaceDN w:val="0"/>
        <w:adjustRightInd w:val="0"/>
        <w:ind w:left="851"/>
        <w:rPr>
          <w:sz w:val="24"/>
          <w:szCs w:val="24"/>
          <w:lang w:val="en-US"/>
        </w:rPr>
      </w:pPr>
    </w:p>
    <w:p w14:paraId="15F46D7C"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 xml:space="preserve">There were 570 patients treated with bosutinib in this trial including CP CML patients previously treated with only 1 prior TKI (imatinib), CP CML patients previously treated </w:t>
      </w:r>
      <w:r w:rsidRPr="000D0C23">
        <w:rPr>
          <w:sz w:val="24"/>
          <w:szCs w:val="24"/>
          <w:lang w:val="en-US"/>
        </w:rPr>
        <w:lastRenderedPageBreak/>
        <w:t>with imatinib and at least 1 additional TKI (dasatinib and/or nilotinib), CML patients in accelerated or blast phase previously treated with at least 1 TKI (imatinib) and patients with Ph+ALL previously treated with at least 1 TKI (imatinib).</w:t>
      </w:r>
    </w:p>
    <w:p w14:paraId="5D18E844" w14:textId="77777777" w:rsidR="000D0C23" w:rsidRPr="000D0C23" w:rsidRDefault="000D0C23" w:rsidP="000D0C23">
      <w:pPr>
        <w:autoSpaceDE w:val="0"/>
        <w:autoSpaceDN w:val="0"/>
        <w:adjustRightInd w:val="0"/>
        <w:ind w:left="851"/>
        <w:rPr>
          <w:sz w:val="24"/>
          <w:szCs w:val="24"/>
          <w:lang w:val="en-US"/>
        </w:rPr>
      </w:pPr>
    </w:p>
    <w:p w14:paraId="1F9357B7"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primary efficacy endpoint of the study was the major cytogenetic response (MCyR) rate at Week 24 in patients with imatinib-resistant CP CML previously treated with only 1 prior TKI (imatinib). Other efficacy endpoints include the cumulative cytogenetic and molecular response rates, time to and duration of cytogenetic and molecular responses, response in baseline mutations, transformation to AP/BP, progression free survival and OS for all cohorts.</w:t>
      </w:r>
    </w:p>
    <w:p w14:paraId="7298C73E" w14:textId="77777777" w:rsidR="000D0C23" w:rsidRPr="000D0C23" w:rsidRDefault="000D0C23" w:rsidP="000D0C23">
      <w:pPr>
        <w:autoSpaceDE w:val="0"/>
        <w:autoSpaceDN w:val="0"/>
        <w:adjustRightInd w:val="0"/>
        <w:ind w:left="851"/>
        <w:rPr>
          <w:sz w:val="24"/>
          <w:szCs w:val="24"/>
          <w:lang w:val="en-US"/>
        </w:rPr>
      </w:pPr>
    </w:p>
    <w:p w14:paraId="6A208577"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Patients who were still receiving bosutinib at the end of the Phase 1/2 study and were benefiting from bosutinib treatment as judged by the investigator, as well as those patients who had already discontinued bosutinib as part of the Phase 1/2 study and were in long-term follow-up for survival or had completed the Phase 1/2 study, were eligible for enrollment into the extension study. Each patient remained in the extension study, either on bosutinib treatment or in long-term survival follow-up, until the last patient reached 10 years of follow-up, as calculated from the date of his/her first dose of bosutinib administered in the Phase 1/2 study.</w:t>
      </w:r>
    </w:p>
    <w:p w14:paraId="7CAD0E74" w14:textId="77777777" w:rsidR="000D0C23" w:rsidRPr="000D0C23" w:rsidRDefault="000D0C23" w:rsidP="000D0C23">
      <w:pPr>
        <w:autoSpaceDE w:val="0"/>
        <w:autoSpaceDN w:val="0"/>
        <w:adjustRightInd w:val="0"/>
        <w:ind w:left="851"/>
        <w:rPr>
          <w:sz w:val="24"/>
          <w:szCs w:val="24"/>
          <w:lang w:val="en-US"/>
        </w:rPr>
      </w:pPr>
    </w:p>
    <w:p w14:paraId="16106B62"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Extension study efficacy endpoints included duration of cytogenetic and molecular responses, transformation to AP/BP, progression free survival, and OS.</w:t>
      </w:r>
    </w:p>
    <w:p w14:paraId="0EF4502B" w14:textId="77777777" w:rsidR="000D0C23" w:rsidRPr="000D0C23" w:rsidRDefault="000D0C23" w:rsidP="000D0C23">
      <w:pPr>
        <w:autoSpaceDE w:val="0"/>
        <w:autoSpaceDN w:val="0"/>
        <w:adjustRightInd w:val="0"/>
        <w:ind w:left="851"/>
        <w:rPr>
          <w:sz w:val="24"/>
          <w:szCs w:val="24"/>
          <w:lang w:val="en-US"/>
        </w:rPr>
      </w:pPr>
    </w:p>
    <w:p w14:paraId="4DB432A0"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efficacy analyses included data from this completed extension study.</w:t>
      </w:r>
    </w:p>
    <w:p w14:paraId="1506F606" w14:textId="77777777" w:rsidR="000D0C23" w:rsidRPr="000D0C23" w:rsidRDefault="000D0C23" w:rsidP="000D0C23">
      <w:pPr>
        <w:autoSpaceDE w:val="0"/>
        <w:autoSpaceDN w:val="0"/>
        <w:adjustRightInd w:val="0"/>
        <w:ind w:left="851"/>
        <w:rPr>
          <w:sz w:val="24"/>
          <w:szCs w:val="24"/>
          <w:lang w:val="en-US"/>
        </w:rPr>
      </w:pPr>
    </w:p>
    <w:p w14:paraId="47190C1C" w14:textId="77777777" w:rsidR="000D0C23" w:rsidRPr="000D0C23" w:rsidRDefault="000D0C23" w:rsidP="000D0C23">
      <w:pPr>
        <w:keepNext/>
        <w:autoSpaceDE w:val="0"/>
        <w:autoSpaceDN w:val="0"/>
        <w:adjustRightInd w:val="0"/>
        <w:ind w:left="851"/>
        <w:rPr>
          <w:i/>
          <w:sz w:val="24"/>
          <w:szCs w:val="24"/>
          <w:lang w:val="en-US"/>
        </w:rPr>
      </w:pPr>
      <w:r w:rsidRPr="000D0C23">
        <w:rPr>
          <w:i/>
          <w:sz w:val="24"/>
          <w:szCs w:val="24"/>
          <w:lang w:val="en-US"/>
        </w:rPr>
        <w:t>CP CML Patients</w:t>
      </w:r>
    </w:p>
    <w:p w14:paraId="26F27666"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efficacy results for Ph+CP CML patients previously treated with imatinib and at least 1 additional TKI (minimum follow-up 120 months, median treatment duration of 9 months (range: 0.23 to 164.28 months) and 20.2% and 7.6% still on-treatment at 60 and 120 months, respectively) and the results for Ph+CP CML patients previously treated with only imatinib (minimum follow-up 120 months, median treatment duration of 26 months (range: 0.16 to 170.49 months) and 40.5% and 19.4% still on-treatment at 60 and 120 months, respectively) are presented in Table 8.</w:t>
      </w:r>
    </w:p>
    <w:p w14:paraId="3EB4F3EE" w14:textId="77777777" w:rsidR="000D0C23" w:rsidRPr="000D0C23" w:rsidRDefault="000D0C23" w:rsidP="000D0C23">
      <w:pPr>
        <w:autoSpaceDE w:val="0"/>
        <w:autoSpaceDN w:val="0"/>
        <w:adjustRightInd w:val="0"/>
        <w:ind w:left="851"/>
        <w:rPr>
          <w:sz w:val="24"/>
          <w:szCs w:val="24"/>
          <w:lang w:val="en-US"/>
        </w:rPr>
      </w:pPr>
    </w:p>
    <w:p w14:paraId="3EFED93D" w14:textId="77777777" w:rsidR="000D0C23" w:rsidRPr="000D0C23" w:rsidRDefault="000D0C23" w:rsidP="000D0C23">
      <w:pPr>
        <w:keepNext/>
        <w:autoSpaceDE w:val="0"/>
        <w:autoSpaceDN w:val="0"/>
        <w:adjustRightInd w:val="0"/>
        <w:ind w:left="851"/>
        <w:rPr>
          <w:i/>
          <w:sz w:val="24"/>
          <w:szCs w:val="24"/>
          <w:lang w:val="en-US"/>
        </w:rPr>
      </w:pPr>
      <w:r w:rsidRPr="000D0C23">
        <w:rPr>
          <w:i/>
          <w:sz w:val="24"/>
          <w:szCs w:val="24"/>
          <w:lang w:val="en-US"/>
        </w:rPr>
        <w:t>AP and BP CML patients</w:t>
      </w:r>
    </w:p>
    <w:p w14:paraId="51E0C297"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efficacy results for AP (minimum follow-up 120 months, median treatment duration of 10 months (range: 0.10 to 156.15 months) and 12.7% and 7.6% still on-treatment at 60 and 120 months, respectively) and BP (minimum follow-up 120 months, median treatment duration of 2.8 months (range: 0.03 to 71.38 months) and 3.1% and 0% still on-treatment at 60 and 120 months, respectively) Ph+CML patients are present in Table 8.</w:t>
      </w:r>
    </w:p>
    <w:p w14:paraId="3695F4FF" w14:textId="77777777" w:rsidR="000D0C23" w:rsidRPr="000D0C23" w:rsidRDefault="000D0C23" w:rsidP="000D0C23">
      <w:pPr>
        <w:autoSpaceDE w:val="0"/>
        <w:autoSpaceDN w:val="0"/>
        <w:adjustRightInd w:val="0"/>
        <w:rPr>
          <w:szCs w:val="22"/>
          <w:lang w:val="en-US"/>
        </w:rPr>
      </w:pPr>
    </w:p>
    <w:p w14:paraId="31E4A1D2" w14:textId="77777777" w:rsidR="000D0C23" w:rsidRPr="000D0C23" w:rsidRDefault="000D0C23" w:rsidP="000D0C23">
      <w:pPr>
        <w:keepNext/>
        <w:autoSpaceDE w:val="0"/>
        <w:autoSpaceDN w:val="0"/>
        <w:adjustRightInd w:val="0"/>
        <w:ind w:left="1134" w:hanging="1134"/>
        <w:rPr>
          <w:b/>
          <w:szCs w:val="22"/>
          <w:lang w:val="en-US"/>
        </w:rPr>
      </w:pPr>
      <w:r w:rsidRPr="000D0C23">
        <w:rPr>
          <w:b/>
          <w:szCs w:val="22"/>
          <w:lang w:val="en-US"/>
        </w:rPr>
        <w:t>Table 8</w:t>
      </w:r>
      <w:r w:rsidRPr="000D0C23">
        <w:rPr>
          <w:b/>
          <w:szCs w:val="22"/>
          <w:lang w:val="en-US"/>
        </w:rPr>
        <w:tab/>
        <w:t>Efficacy results in previously treated patients with chronic and advanced phase CML*</w:t>
      </w:r>
    </w:p>
    <w:tbl>
      <w:tblPr>
        <w:tblW w:w="5000" w:type="pct"/>
        <w:tblLook w:val="04A0" w:firstRow="1" w:lastRow="0" w:firstColumn="1" w:lastColumn="0" w:noHBand="0" w:noVBand="1"/>
      </w:tblPr>
      <w:tblGrid>
        <w:gridCol w:w="3397"/>
        <w:gridCol w:w="1552"/>
        <w:gridCol w:w="1525"/>
        <w:gridCol w:w="1519"/>
        <w:gridCol w:w="1635"/>
      </w:tblGrid>
      <w:tr w:rsidR="000D0C23" w:rsidRPr="00E14D63" w14:paraId="21FEE1B4" w14:textId="77777777" w:rsidTr="000D0C23">
        <w:trPr>
          <w:tblHeader/>
        </w:trPr>
        <w:tc>
          <w:tcPr>
            <w:tcW w:w="1764" w:type="pct"/>
            <w:tcBorders>
              <w:top w:val="single" w:sz="4" w:space="0" w:color="auto"/>
              <w:left w:val="single" w:sz="4" w:space="0" w:color="auto"/>
              <w:bottom w:val="single" w:sz="4" w:space="0" w:color="auto"/>
              <w:right w:val="single" w:sz="4" w:space="0" w:color="auto"/>
            </w:tcBorders>
          </w:tcPr>
          <w:p w14:paraId="2B20BE32" w14:textId="77777777" w:rsidR="000D0C23" w:rsidRPr="008F5372" w:rsidRDefault="000D0C23">
            <w:pPr>
              <w:autoSpaceDE w:val="0"/>
              <w:autoSpaceDN w:val="0"/>
              <w:adjustRightInd w:val="0"/>
              <w:rPr>
                <w:sz w:val="22"/>
                <w:szCs w:val="22"/>
                <w:lang w:val="en-US"/>
              </w:rPr>
            </w:pPr>
          </w:p>
        </w:tc>
        <w:tc>
          <w:tcPr>
            <w:tcW w:w="806" w:type="pct"/>
            <w:tcBorders>
              <w:top w:val="single" w:sz="4" w:space="0" w:color="auto"/>
              <w:left w:val="single" w:sz="4" w:space="0" w:color="auto"/>
              <w:bottom w:val="single" w:sz="4" w:space="0" w:color="auto"/>
              <w:right w:val="single" w:sz="4" w:space="0" w:color="auto"/>
            </w:tcBorders>
            <w:hideMark/>
          </w:tcPr>
          <w:p w14:paraId="222D53E4" w14:textId="77777777" w:rsidR="000D0C23" w:rsidRPr="008F5372" w:rsidRDefault="000D0C23">
            <w:pPr>
              <w:autoSpaceDE w:val="0"/>
              <w:autoSpaceDN w:val="0"/>
              <w:adjustRightInd w:val="0"/>
              <w:jc w:val="center"/>
              <w:rPr>
                <w:sz w:val="22"/>
                <w:szCs w:val="22"/>
                <w:lang w:val="en-US"/>
              </w:rPr>
            </w:pPr>
            <w:r w:rsidRPr="008F5372">
              <w:rPr>
                <w:sz w:val="22"/>
                <w:szCs w:val="22"/>
                <w:lang w:val="en-US"/>
              </w:rPr>
              <w:t>Ph+CP CML with prior imatinib treatment only</w:t>
            </w:r>
          </w:p>
        </w:tc>
        <w:tc>
          <w:tcPr>
            <w:tcW w:w="792" w:type="pct"/>
            <w:tcBorders>
              <w:top w:val="single" w:sz="4" w:space="0" w:color="auto"/>
              <w:left w:val="single" w:sz="4" w:space="0" w:color="auto"/>
              <w:bottom w:val="single" w:sz="4" w:space="0" w:color="auto"/>
              <w:right w:val="single" w:sz="4" w:space="0" w:color="auto"/>
            </w:tcBorders>
            <w:hideMark/>
          </w:tcPr>
          <w:p w14:paraId="3FF80F7F" w14:textId="77777777" w:rsidR="000D0C23" w:rsidRPr="008F5372" w:rsidRDefault="000D0C23">
            <w:pPr>
              <w:autoSpaceDE w:val="0"/>
              <w:autoSpaceDN w:val="0"/>
              <w:adjustRightInd w:val="0"/>
              <w:jc w:val="center"/>
              <w:rPr>
                <w:sz w:val="22"/>
                <w:szCs w:val="22"/>
                <w:lang w:val="en-US"/>
              </w:rPr>
            </w:pPr>
            <w:r w:rsidRPr="008F5372">
              <w:rPr>
                <w:sz w:val="22"/>
                <w:szCs w:val="22"/>
                <w:lang w:val="en-US"/>
              </w:rPr>
              <w:t>Ph+CP CML with prior treatment with imatinib and dasatinib or nilotinib</w:t>
            </w:r>
          </w:p>
        </w:tc>
        <w:tc>
          <w:tcPr>
            <w:tcW w:w="789" w:type="pct"/>
            <w:tcBorders>
              <w:top w:val="single" w:sz="4" w:space="0" w:color="auto"/>
              <w:left w:val="single" w:sz="4" w:space="0" w:color="auto"/>
              <w:bottom w:val="single" w:sz="4" w:space="0" w:color="auto"/>
              <w:right w:val="single" w:sz="4" w:space="0" w:color="auto"/>
            </w:tcBorders>
            <w:hideMark/>
          </w:tcPr>
          <w:p w14:paraId="2A77416C" w14:textId="77777777" w:rsidR="000D0C23" w:rsidRPr="008F5372" w:rsidRDefault="000D0C23">
            <w:pPr>
              <w:autoSpaceDE w:val="0"/>
              <w:autoSpaceDN w:val="0"/>
              <w:adjustRightInd w:val="0"/>
              <w:jc w:val="center"/>
              <w:rPr>
                <w:sz w:val="22"/>
                <w:szCs w:val="22"/>
                <w:lang w:val="en-US"/>
              </w:rPr>
            </w:pPr>
            <w:r w:rsidRPr="008F5372">
              <w:rPr>
                <w:sz w:val="22"/>
                <w:szCs w:val="22"/>
                <w:lang w:val="en-US"/>
              </w:rPr>
              <w:t>Accelerated phase with prior treatment of at least imatinib</w:t>
            </w:r>
          </w:p>
        </w:tc>
        <w:tc>
          <w:tcPr>
            <w:tcW w:w="850" w:type="pct"/>
            <w:tcBorders>
              <w:top w:val="single" w:sz="4" w:space="0" w:color="auto"/>
              <w:left w:val="single" w:sz="4" w:space="0" w:color="auto"/>
              <w:bottom w:val="single" w:sz="4" w:space="0" w:color="auto"/>
              <w:right w:val="single" w:sz="4" w:space="0" w:color="auto"/>
            </w:tcBorders>
            <w:hideMark/>
          </w:tcPr>
          <w:p w14:paraId="3C158E3F" w14:textId="77777777" w:rsidR="000D0C23" w:rsidRPr="008F5372" w:rsidRDefault="000D0C23">
            <w:pPr>
              <w:autoSpaceDE w:val="0"/>
              <w:autoSpaceDN w:val="0"/>
              <w:adjustRightInd w:val="0"/>
              <w:jc w:val="center"/>
              <w:rPr>
                <w:sz w:val="22"/>
                <w:szCs w:val="22"/>
                <w:lang w:val="en-US"/>
              </w:rPr>
            </w:pPr>
            <w:r w:rsidRPr="008F5372">
              <w:rPr>
                <w:sz w:val="22"/>
                <w:szCs w:val="22"/>
                <w:lang w:val="en-US"/>
              </w:rPr>
              <w:t>Blast phase with prior treatment of at least imatinib</w:t>
            </w:r>
          </w:p>
        </w:tc>
      </w:tr>
      <w:tr w:rsidR="000D0C23" w:rsidRPr="008F5372" w14:paraId="5A323915"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4A256F90" w14:textId="77777777" w:rsidR="000D0C23" w:rsidRPr="008F5372" w:rsidRDefault="000D0C23">
            <w:pPr>
              <w:autoSpaceDE w:val="0"/>
              <w:autoSpaceDN w:val="0"/>
              <w:adjustRightInd w:val="0"/>
              <w:rPr>
                <w:sz w:val="22"/>
                <w:szCs w:val="22"/>
                <w:lang w:val="en-US"/>
              </w:rPr>
            </w:pPr>
            <w:r w:rsidRPr="008F5372">
              <w:rPr>
                <w:sz w:val="22"/>
                <w:szCs w:val="22"/>
                <w:lang w:val="en-US"/>
              </w:rPr>
              <w:t>Cumulative cytogenetic response</w:t>
            </w:r>
            <w:r w:rsidRPr="008F5372">
              <w:rPr>
                <w:sz w:val="22"/>
                <w:szCs w:val="22"/>
                <w:vertAlign w:val="superscript"/>
                <w:lang w:val="en-US"/>
              </w:rPr>
              <w:t>a</w:t>
            </w:r>
          </w:p>
          <w:p w14:paraId="1935B17F" w14:textId="77777777" w:rsidR="000D0C23" w:rsidRPr="008F5372" w:rsidRDefault="000D0C23">
            <w:pPr>
              <w:autoSpaceDE w:val="0"/>
              <w:autoSpaceDN w:val="0"/>
              <w:adjustRightInd w:val="0"/>
              <w:ind w:left="176"/>
              <w:rPr>
                <w:sz w:val="22"/>
                <w:szCs w:val="22"/>
                <w:lang w:val="en-US"/>
              </w:rPr>
            </w:pPr>
            <w:r w:rsidRPr="008F5372">
              <w:rPr>
                <w:sz w:val="22"/>
                <w:szCs w:val="22"/>
                <w:lang w:val="en-US"/>
              </w:rPr>
              <w:t>MCyR, % (95% CI)</w:t>
            </w:r>
          </w:p>
          <w:p w14:paraId="3BE701DF" w14:textId="77777777" w:rsidR="000D0C23" w:rsidRPr="008F5372" w:rsidRDefault="000D0C23">
            <w:pPr>
              <w:autoSpaceDE w:val="0"/>
              <w:autoSpaceDN w:val="0"/>
              <w:adjustRightInd w:val="0"/>
              <w:ind w:left="176"/>
              <w:rPr>
                <w:sz w:val="22"/>
                <w:szCs w:val="22"/>
              </w:rPr>
            </w:pPr>
            <w:r w:rsidRPr="008F5372">
              <w:rPr>
                <w:sz w:val="22"/>
                <w:szCs w:val="22"/>
              </w:rPr>
              <w:t>CCyR, % (95% CI)</w:t>
            </w:r>
          </w:p>
        </w:tc>
        <w:tc>
          <w:tcPr>
            <w:tcW w:w="806" w:type="pct"/>
            <w:tcBorders>
              <w:top w:val="single" w:sz="4" w:space="0" w:color="auto"/>
              <w:left w:val="single" w:sz="4" w:space="0" w:color="auto"/>
              <w:bottom w:val="single" w:sz="4" w:space="0" w:color="auto"/>
              <w:right w:val="single" w:sz="4" w:space="0" w:color="auto"/>
            </w:tcBorders>
            <w:hideMark/>
          </w:tcPr>
          <w:p w14:paraId="283F8C59" w14:textId="77777777" w:rsidR="000D0C23" w:rsidRPr="008F5372" w:rsidRDefault="000D0C23">
            <w:pPr>
              <w:autoSpaceDE w:val="0"/>
              <w:autoSpaceDN w:val="0"/>
              <w:adjustRightInd w:val="0"/>
              <w:jc w:val="center"/>
              <w:rPr>
                <w:sz w:val="22"/>
                <w:szCs w:val="22"/>
              </w:rPr>
            </w:pPr>
            <w:r w:rsidRPr="008F5372">
              <w:rPr>
                <w:sz w:val="22"/>
                <w:szCs w:val="22"/>
              </w:rPr>
              <w:t>N=262</w:t>
            </w:r>
          </w:p>
          <w:p w14:paraId="28F7FEFC" w14:textId="77777777" w:rsidR="000D0C23" w:rsidRPr="008F5372" w:rsidRDefault="000D0C23">
            <w:pPr>
              <w:autoSpaceDE w:val="0"/>
              <w:autoSpaceDN w:val="0"/>
              <w:adjustRightInd w:val="0"/>
              <w:jc w:val="center"/>
              <w:rPr>
                <w:sz w:val="22"/>
                <w:szCs w:val="22"/>
              </w:rPr>
            </w:pPr>
            <w:r w:rsidRPr="008F5372">
              <w:rPr>
                <w:sz w:val="22"/>
                <w:szCs w:val="22"/>
              </w:rPr>
              <w:t>59.9</w:t>
            </w:r>
          </w:p>
          <w:p w14:paraId="4CFDDC6B" w14:textId="77777777" w:rsidR="000D0C23" w:rsidRPr="008F5372" w:rsidRDefault="000D0C23">
            <w:pPr>
              <w:autoSpaceDE w:val="0"/>
              <w:autoSpaceDN w:val="0"/>
              <w:adjustRightInd w:val="0"/>
              <w:jc w:val="center"/>
              <w:rPr>
                <w:sz w:val="22"/>
                <w:szCs w:val="22"/>
              </w:rPr>
            </w:pPr>
            <w:r w:rsidRPr="008F5372">
              <w:rPr>
                <w:sz w:val="22"/>
                <w:szCs w:val="22"/>
              </w:rPr>
              <w:t>(53.7,65.9)</w:t>
            </w:r>
          </w:p>
          <w:p w14:paraId="41FDCAAA" w14:textId="77777777" w:rsidR="000D0C23" w:rsidRPr="008F5372" w:rsidRDefault="000D0C23">
            <w:pPr>
              <w:autoSpaceDE w:val="0"/>
              <w:autoSpaceDN w:val="0"/>
              <w:adjustRightInd w:val="0"/>
              <w:jc w:val="center"/>
              <w:rPr>
                <w:sz w:val="22"/>
                <w:szCs w:val="22"/>
              </w:rPr>
            </w:pPr>
            <w:r w:rsidRPr="008F5372">
              <w:rPr>
                <w:sz w:val="22"/>
                <w:szCs w:val="22"/>
              </w:rPr>
              <w:t>49.6</w:t>
            </w:r>
          </w:p>
          <w:p w14:paraId="4054B4C6" w14:textId="77777777" w:rsidR="000D0C23" w:rsidRPr="008F5372" w:rsidRDefault="000D0C23">
            <w:pPr>
              <w:autoSpaceDE w:val="0"/>
              <w:autoSpaceDN w:val="0"/>
              <w:adjustRightInd w:val="0"/>
              <w:jc w:val="center"/>
              <w:rPr>
                <w:sz w:val="22"/>
                <w:szCs w:val="22"/>
              </w:rPr>
            </w:pPr>
            <w:r w:rsidRPr="008F5372">
              <w:rPr>
                <w:sz w:val="22"/>
                <w:szCs w:val="22"/>
              </w:rPr>
              <w:lastRenderedPageBreak/>
              <w:t>(43.4,55.8)</w:t>
            </w:r>
          </w:p>
        </w:tc>
        <w:tc>
          <w:tcPr>
            <w:tcW w:w="792" w:type="pct"/>
            <w:tcBorders>
              <w:top w:val="single" w:sz="4" w:space="0" w:color="auto"/>
              <w:left w:val="single" w:sz="4" w:space="0" w:color="auto"/>
              <w:bottom w:val="single" w:sz="4" w:space="0" w:color="auto"/>
              <w:right w:val="single" w:sz="4" w:space="0" w:color="auto"/>
            </w:tcBorders>
            <w:hideMark/>
          </w:tcPr>
          <w:p w14:paraId="0CA7E1AE" w14:textId="77777777" w:rsidR="000D0C23" w:rsidRPr="008F5372" w:rsidRDefault="000D0C23">
            <w:pPr>
              <w:autoSpaceDE w:val="0"/>
              <w:autoSpaceDN w:val="0"/>
              <w:adjustRightInd w:val="0"/>
              <w:jc w:val="center"/>
              <w:rPr>
                <w:sz w:val="22"/>
                <w:szCs w:val="22"/>
              </w:rPr>
            </w:pPr>
            <w:r w:rsidRPr="008F5372">
              <w:rPr>
                <w:sz w:val="22"/>
                <w:szCs w:val="22"/>
              </w:rPr>
              <w:lastRenderedPageBreak/>
              <w:t>N=112</w:t>
            </w:r>
          </w:p>
          <w:p w14:paraId="1F898A35" w14:textId="77777777" w:rsidR="000D0C23" w:rsidRPr="008F5372" w:rsidRDefault="000D0C23">
            <w:pPr>
              <w:autoSpaceDE w:val="0"/>
              <w:autoSpaceDN w:val="0"/>
              <w:adjustRightInd w:val="0"/>
              <w:jc w:val="center"/>
              <w:rPr>
                <w:sz w:val="22"/>
                <w:szCs w:val="22"/>
              </w:rPr>
            </w:pPr>
            <w:r w:rsidRPr="008F5372">
              <w:rPr>
                <w:sz w:val="22"/>
                <w:szCs w:val="22"/>
              </w:rPr>
              <w:t>42.0</w:t>
            </w:r>
          </w:p>
          <w:p w14:paraId="7A87DD5B" w14:textId="77777777" w:rsidR="000D0C23" w:rsidRPr="008F5372" w:rsidRDefault="000D0C23">
            <w:pPr>
              <w:autoSpaceDE w:val="0"/>
              <w:autoSpaceDN w:val="0"/>
              <w:adjustRightInd w:val="0"/>
              <w:jc w:val="center"/>
              <w:rPr>
                <w:sz w:val="22"/>
                <w:szCs w:val="22"/>
              </w:rPr>
            </w:pPr>
            <w:r w:rsidRPr="008F5372">
              <w:rPr>
                <w:sz w:val="22"/>
                <w:szCs w:val="22"/>
              </w:rPr>
              <w:t>(32.7,51.7)</w:t>
            </w:r>
          </w:p>
          <w:p w14:paraId="4943DE8C" w14:textId="77777777" w:rsidR="000D0C23" w:rsidRPr="008F5372" w:rsidRDefault="000D0C23">
            <w:pPr>
              <w:autoSpaceDE w:val="0"/>
              <w:autoSpaceDN w:val="0"/>
              <w:adjustRightInd w:val="0"/>
              <w:jc w:val="center"/>
              <w:rPr>
                <w:sz w:val="22"/>
                <w:szCs w:val="22"/>
              </w:rPr>
            </w:pPr>
            <w:r w:rsidRPr="008F5372">
              <w:rPr>
                <w:sz w:val="22"/>
                <w:szCs w:val="22"/>
              </w:rPr>
              <w:t>32.1</w:t>
            </w:r>
          </w:p>
          <w:p w14:paraId="4BBD8FAE" w14:textId="77777777" w:rsidR="000D0C23" w:rsidRPr="008F5372" w:rsidRDefault="000D0C23">
            <w:pPr>
              <w:autoSpaceDE w:val="0"/>
              <w:autoSpaceDN w:val="0"/>
              <w:adjustRightInd w:val="0"/>
              <w:jc w:val="center"/>
              <w:rPr>
                <w:sz w:val="22"/>
                <w:szCs w:val="22"/>
              </w:rPr>
            </w:pPr>
            <w:r w:rsidRPr="008F5372">
              <w:rPr>
                <w:sz w:val="22"/>
                <w:szCs w:val="22"/>
              </w:rPr>
              <w:lastRenderedPageBreak/>
              <w:t>(23.6,41.6)</w:t>
            </w:r>
          </w:p>
        </w:tc>
        <w:tc>
          <w:tcPr>
            <w:tcW w:w="789" w:type="pct"/>
            <w:tcBorders>
              <w:top w:val="single" w:sz="4" w:space="0" w:color="auto"/>
              <w:left w:val="single" w:sz="4" w:space="0" w:color="auto"/>
              <w:bottom w:val="single" w:sz="4" w:space="0" w:color="auto"/>
              <w:right w:val="single" w:sz="4" w:space="0" w:color="auto"/>
            </w:tcBorders>
            <w:hideMark/>
          </w:tcPr>
          <w:p w14:paraId="423DD27D" w14:textId="77777777" w:rsidR="000D0C23" w:rsidRPr="008F5372" w:rsidRDefault="000D0C23">
            <w:pPr>
              <w:autoSpaceDE w:val="0"/>
              <w:autoSpaceDN w:val="0"/>
              <w:adjustRightInd w:val="0"/>
              <w:jc w:val="center"/>
              <w:rPr>
                <w:sz w:val="22"/>
                <w:szCs w:val="22"/>
              </w:rPr>
            </w:pPr>
            <w:r w:rsidRPr="008F5372">
              <w:rPr>
                <w:sz w:val="22"/>
                <w:szCs w:val="22"/>
              </w:rPr>
              <w:lastRenderedPageBreak/>
              <w:t>N=72</w:t>
            </w:r>
          </w:p>
          <w:p w14:paraId="58C0DBCD" w14:textId="77777777" w:rsidR="000D0C23" w:rsidRPr="008F5372" w:rsidRDefault="000D0C23">
            <w:pPr>
              <w:autoSpaceDE w:val="0"/>
              <w:autoSpaceDN w:val="0"/>
              <w:adjustRightInd w:val="0"/>
              <w:jc w:val="center"/>
              <w:rPr>
                <w:sz w:val="22"/>
                <w:szCs w:val="22"/>
              </w:rPr>
            </w:pPr>
            <w:r w:rsidRPr="008F5372">
              <w:rPr>
                <w:sz w:val="22"/>
                <w:szCs w:val="22"/>
              </w:rPr>
              <w:t>40.3</w:t>
            </w:r>
          </w:p>
          <w:p w14:paraId="79BD31DE" w14:textId="77777777" w:rsidR="000D0C23" w:rsidRPr="008F5372" w:rsidRDefault="000D0C23">
            <w:pPr>
              <w:autoSpaceDE w:val="0"/>
              <w:autoSpaceDN w:val="0"/>
              <w:adjustRightInd w:val="0"/>
              <w:jc w:val="center"/>
              <w:rPr>
                <w:sz w:val="22"/>
                <w:szCs w:val="22"/>
              </w:rPr>
            </w:pPr>
            <w:r w:rsidRPr="008F5372">
              <w:rPr>
                <w:sz w:val="22"/>
                <w:szCs w:val="22"/>
              </w:rPr>
              <w:t>(28.9,52.5)</w:t>
            </w:r>
          </w:p>
          <w:p w14:paraId="6A2F0F27" w14:textId="77777777" w:rsidR="000D0C23" w:rsidRPr="008F5372" w:rsidRDefault="000D0C23">
            <w:pPr>
              <w:autoSpaceDE w:val="0"/>
              <w:autoSpaceDN w:val="0"/>
              <w:adjustRightInd w:val="0"/>
              <w:jc w:val="center"/>
              <w:rPr>
                <w:sz w:val="22"/>
                <w:szCs w:val="22"/>
              </w:rPr>
            </w:pPr>
            <w:r w:rsidRPr="008F5372">
              <w:rPr>
                <w:sz w:val="22"/>
                <w:szCs w:val="22"/>
              </w:rPr>
              <w:t>30.6</w:t>
            </w:r>
          </w:p>
          <w:p w14:paraId="2A652E99" w14:textId="77777777" w:rsidR="000D0C23" w:rsidRPr="008F5372" w:rsidRDefault="000D0C23">
            <w:pPr>
              <w:autoSpaceDE w:val="0"/>
              <w:autoSpaceDN w:val="0"/>
              <w:adjustRightInd w:val="0"/>
              <w:jc w:val="center"/>
              <w:rPr>
                <w:sz w:val="22"/>
                <w:szCs w:val="22"/>
              </w:rPr>
            </w:pPr>
            <w:r w:rsidRPr="008F5372">
              <w:rPr>
                <w:sz w:val="22"/>
                <w:szCs w:val="22"/>
              </w:rPr>
              <w:lastRenderedPageBreak/>
              <w:t>(20.2,42.5)</w:t>
            </w:r>
          </w:p>
        </w:tc>
        <w:tc>
          <w:tcPr>
            <w:tcW w:w="850" w:type="pct"/>
            <w:tcBorders>
              <w:top w:val="single" w:sz="4" w:space="0" w:color="auto"/>
              <w:left w:val="single" w:sz="4" w:space="0" w:color="auto"/>
              <w:bottom w:val="single" w:sz="4" w:space="0" w:color="auto"/>
              <w:right w:val="single" w:sz="4" w:space="0" w:color="auto"/>
            </w:tcBorders>
            <w:hideMark/>
          </w:tcPr>
          <w:p w14:paraId="06B97ED9" w14:textId="77777777" w:rsidR="000D0C23" w:rsidRPr="008F5372" w:rsidRDefault="000D0C23">
            <w:pPr>
              <w:autoSpaceDE w:val="0"/>
              <w:autoSpaceDN w:val="0"/>
              <w:adjustRightInd w:val="0"/>
              <w:jc w:val="center"/>
              <w:rPr>
                <w:sz w:val="22"/>
                <w:szCs w:val="22"/>
              </w:rPr>
            </w:pPr>
            <w:r w:rsidRPr="008F5372">
              <w:rPr>
                <w:sz w:val="22"/>
                <w:szCs w:val="22"/>
              </w:rPr>
              <w:lastRenderedPageBreak/>
              <w:t>N=54</w:t>
            </w:r>
          </w:p>
          <w:p w14:paraId="15440774" w14:textId="77777777" w:rsidR="000D0C23" w:rsidRPr="008F5372" w:rsidRDefault="000D0C23">
            <w:pPr>
              <w:autoSpaceDE w:val="0"/>
              <w:autoSpaceDN w:val="0"/>
              <w:adjustRightInd w:val="0"/>
              <w:jc w:val="center"/>
              <w:rPr>
                <w:sz w:val="22"/>
                <w:szCs w:val="22"/>
              </w:rPr>
            </w:pPr>
            <w:r w:rsidRPr="008F5372">
              <w:rPr>
                <w:sz w:val="22"/>
                <w:szCs w:val="22"/>
              </w:rPr>
              <w:t>37.0</w:t>
            </w:r>
          </w:p>
          <w:p w14:paraId="6DDE9E97" w14:textId="77777777" w:rsidR="000D0C23" w:rsidRPr="008F5372" w:rsidRDefault="000D0C23">
            <w:pPr>
              <w:autoSpaceDE w:val="0"/>
              <w:autoSpaceDN w:val="0"/>
              <w:adjustRightInd w:val="0"/>
              <w:jc w:val="center"/>
              <w:rPr>
                <w:sz w:val="22"/>
                <w:szCs w:val="22"/>
              </w:rPr>
            </w:pPr>
            <w:r w:rsidRPr="008F5372">
              <w:rPr>
                <w:sz w:val="22"/>
                <w:szCs w:val="22"/>
              </w:rPr>
              <w:t>(24.3,51.3)</w:t>
            </w:r>
          </w:p>
          <w:p w14:paraId="10770291" w14:textId="77777777" w:rsidR="000D0C23" w:rsidRPr="008F5372" w:rsidRDefault="000D0C23">
            <w:pPr>
              <w:autoSpaceDE w:val="0"/>
              <w:autoSpaceDN w:val="0"/>
              <w:adjustRightInd w:val="0"/>
              <w:jc w:val="center"/>
              <w:rPr>
                <w:sz w:val="22"/>
                <w:szCs w:val="22"/>
              </w:rPr>
            </w:pPr>
            <w:r w:rsidRPr="008F5372">
              <w:rPr>
                <w:sz w:val="22"/>
                <w:szCs w:val="22"/>
              </w:rPr>
              <w:t>27.8</w:t>
            </w:r>
          </w:p>
          <w:p w14:paraId="40AA23F5" w14:textId="77777777" w:rsidR="000D0C23" w:rsidRPr="008F5372" w:rsidRDefault="000D0C23">
            <w:pPr>
              <w:autoSpaceDE w:val="0"/>
              <w:autoSpaceDN w:val="0"/>
              <w:adjustRightInd w:val="0"/>
              <w:jc w:val="center"/>
              <w:rPr>
                <w:sz w:val="22"/>
                <w:szCs w:val="22"/>
              </w:rPr>
            </w:pPr>
            <w:r w:rsidRPr="008F5372">
              <w:rPr>
                <w:sz w:val="22"/>
                <w:szCs w:val="22"/>
              </w:rPr>
              <w:lastRenderedPageBreak/>
              <w:t>(16.5,41.6)</w:t>
            </w:r>
          </w:p>
        </w:tc>
      </w:tr>
      <w:tr w:rsidR="000D0C23" w:rsidRPr="008F5372" w14:paraId="5EA9B653"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53C4B49E" w14:textId="77777777" w:rsidR="000D0C23" w:rsidRPr="008F5372" w:rsidRDefault="000D0C23">
            <w:pPr>
              <w:autoSpaceDE w:val="0"/>
              <w:autoSpaceDN w:val="0"/>
              <w:adjustRightInd w:val="0"/>
              <w:rPr>
                <w:sz w:val="22"/>
                <w:szCs w:val="22"/>
                <w:lang w:val="en-US"/>
              </w:rPr>
            </w:pPr>
            <w:r w:rsidRPr="008F5372">
              <w:rPr>
                <w:sz w:val="22"/>
                <w:szCs w:val="22"/>
                <w:lang w:val="en-US"/>
              </w:rPr>
              <w:lastRenderedPageBreak/>
              <w:t>Cumulative molecular</w:t>
            </w:r>
          </w:p>
          <w:p w14:paraId="3C51F102" w14:textId="77777777" w:rsidR="000D0C23" w:rsidRPr="008F5372" w:rsidRDefault="000D0C23">
            <w:pPr>
              <w:autoSpaceDE w:val="0"/>
              <w:autoSpaceDN w:val="0"/>
              <w:adjustRightInd w:val="0"/>
              <w:rPr>
                <w:sz w:val="22"/>
                <w:szCs w:val="22"/>
                <w:lang w:val="en-US"/>
              </w:rPr>
            </w:pPr>
            <w:r w:rsidRPr="008F5372">
              <w:rPr>
                <w:sz w:val="22"/>
                <w:szCs w:val="22"/>
                <w:lang w:val="en-US"/>
              </w:rPr>
              <w:t>response</w:t>
            </w:r>
            <w:r w:rsidRPr="008F5372">
              <w:rPr>
                <w:sz w:val="22"/>
                <w:szCs w:val="22"/>
                <w:vertAlign w:val="superscript"/>
                <w:lang w:val="en-US"/>
              </w:rPr>
              <w:t>a</w:t>
            </w:r>
          </w:p>
          <w:p w14:paraId="2E97AAE0" w14:textId="77777777" w:rsidR="000D0C23" w:rsidRPr="008F5372" w:rsidRDefault="000D0C23">
            <w:pPr>
              <w:autoSpaceDE w:val="0"/>
              <w:autoSpaceDN w:val="0"/>
              <w:adjustRightInd w:val="0"/>
              <w:ind w:left="176"/>
              <w:rPr>
                <w:sz w:val="22"/>
                <w:szCs w:val="22"/>
                <w:lang w:val="en-US"/>
              </w:rPr>
            </w:pPr>
            <w:r w:rsidRPr="008F5372">
              <w:rPr>
                <w:sz w:val="22"/>
                <w:szCs w:val="22"/>
                <w:lang w:val="en-US"/>
              </w:rPr>
              <w:t>MMR, % (95% CI)</w:t>
            </w:r>
          </w:p>
          <w:p w14:paraId="0B83225A" w14:textId="77777777" w:rsidR="000D0C23" w:rsidRPr="008F5372" w:rsidRDefault="000D0C23">
            <w:pPr>
              <w:autoSpaceDE w:val="0"/>
              <w:autoSpaceDN w:val="0"/>
              <w:adjustRightInd w:val="0"/>
              <w:ind w:left="176"/>
              <w:rPr>
                <w:sz w:val="22"/>
                <w:szCs w:val="22"/>
              </w:rPr>
            </w:pPr>
            <w:r w:rsidRPr="008F5372">
              <w:rPr>
                <w:sz w:val="22"/>
                <w:szCs w:val="22"/>
              </w:rPr>
              <w:t>MR4, % (95% CI)</w:t>
            </w:r>
          </w:p>
        </w:tc>
        <w:tc>
          <w:tcPr>
            <w:tcW w:w="806" w:type="pct"/>
            <w:tcBorders>
              <w:top w:val="single" w:sz="4" w:space="0" w:color="auto"/>
              <w:left w:val="single" w:sz="4" w:space="0" w:color="auto"/>
              <w:bottom w:val="single" w:sz="4" w:space="0" w:color="auto"/>
              <w:right w:val="single" w:sz="4" w:space="0" w:color="auto"/>
            </w:tcBorders>
            <w:hideMark/>
          </w:tcPr>
          <w:p w14:paraId="40C99B68" w14:textId="77777777" w:rsidR="000D0C23" w:rsidRPr="008F5372" w:rsidRDefault="000D0C23">
            <w:pPr>
              <w:autoSpaceDE w:val="0"/>
              <w:autoSpaceDN w:val="0"/>
              <w:adjustRightInd w:val="0"/>
              <w:jc w:val="center"/>
              <w:rPr>
                <w:sz w:val="22"/>
                <w:szCs w:val="22"/>
              </w:rPr>
            </w:pPr>
            <w:r w:rsidRPr="008F5372">
              <w:rPr>
                <w:sz w:val="22"/>
                <w:szCs w:val="22"/>
              </w:rPr>
              <w:t>N=197</w:t>
            </w:r>
          </w:p>
          <w:p w14:paraId="115BADEA" w14:textId="77777777" w:rsidR="000D0C23" w:rsidRPr="008F5372" w:rsidRDefault="000D0C23">
            <w:pPr>
              <w:autoSpaceDE w:val="0"/>
              <w:autoSpaceDN w:val="0"/>
              <w:adjustRightInd w:val="0"/>
              <w:jc w:val="center"/>
              <w:rPr>
                <w:sz w:val="22"/>
                <w:szCs w:val="22"/>
              </w:rPr>
            </w:pPr>
            <w:r w:rsidRPr="008F5372">
              <w:rPr>
                <w:sz w:val="22"/>
                <w:szCs w:val="22"/>
              </w:rPr>
              <w:t>42.1</w:t>
            </w:r>
          </w:p>
          <w:p w14:paraId="052BA847" w14:textId="77777777" w:rsidR="000D0C23" w:rsidRPr="008F5372" w:rsidRDefault="000D0C23">
            <w:pPr>
              <w:autoSpaceDE w:val="0"/>
              <w:autoSpaceDN w:val="0"/>
              <w:adjustRightInd w:val="0"/>
              <w:jc w:val="center"/>
              <w:rPr>
                <w:sz w:val="22"/>
                <w:szCs w:val="22"/>
              </w:rPr>
            </w:pPr>
            <w:r w:rsidRPr="008F5372">
              <w:rPr>
                <w:sz w:val="22"/>
                <w:szCs w:val="22"/>
              </w:rPr>
              <w:t>(35.1,49.4)</w:t>
            </w:r>
          </w:p>
          <w:p w14:paraId="76E35D18" w14:textId="77777777" w:rsidR="000D0C23" w:rsidRPr="008F5372" w:rsidRDefault="000D0C23">
            <w:pPr>
              <w:autoSpaceDE w:val="0"/>
              <w:autoSpaceDN w:val="0"/>
              <w:adjustRightInd w:val="0"/>
              <w:jc w:val="center"/>
              <w:rPr>
                <w:sz w:val="22"/>
                <w:szCs w:val="22"/>
              </w:rPr>
            </w:pPr>
            <w:r w:rsidRPr="008F5372">
              <w:rPr>
                <w:sz w:val="22"/>
                <w:szCs w:val="22"/>
              </w:rPr>
              <w:t>37.1</w:t>
            </w:r>
          </w:p>
          <w:p w14:paraId="0B774F7E" w14:textId="77777777" w:rsidR="000D0C23" w:rsidRPr="008F5372" w:rsidRDefault="000D0C23">
            <w:pPr>
              <w:autoSpaceDE w:val="0"/>
              <w:autoSpaceDN w:val="0"/>
              <w:adjustRightInd w:val="0"/>
              <w:jc w:val="center"/>
              <w:rPr>
                <w:sz w:val="22"/>
                <w:szCs w:val="22"/>
              </w:rPr>
            </w:pPr>
            <w:r w:rsidRPr="008F5372">
              <w:rPr>
                <w:sz w:val="22"/>
                <w:szCs w:val="22"/>
              </w:rPr>
              <w:t>(30.3,44.2)</w:t>
            </w:r>
          </w:p>
        </w:tc>
        <w:tc>
          <w:tcPr>
            <w:tcW w:w="792" w:type="pct"/>
            <w:tcBorders>
              <w:top w:val="single" w:sz="4" w:space="0" w:color="auto"/>
              <w:left w:val="single" w:sz="4" w:space="0" w:color="auto"/>
              <w:bottom w:val="single" w:sz="4" w:space="0" w:color="auto"/>
              <w:right w:val="single" w:sz="4" w:space="0" w:color="auto"/>
            </w:tcBorders>
            <w:hideMark/>
          </w:tcPr>
          <w:p w14:paraId="7B314C4B" w14:textId="77777777" w:rsidR="000D0C23" w:rsidRPr="008F5372" w:rsidRDefault="000D0C23">
            <w:pPr>
              <w:autoSpaceDE w:val="0"/>
              <w:autoSpaceDN w:val="0"/>
              <w:adjustRightInd w:val="0"/>
              <w:ind w:left="-86"/>
              <w:jc w:val="center"/>
              <w:rPr>
                <w:sz w:val="22"/>
                <w:szCs w:val="22"/>
              </w:rPr>
            </w:pPr>
            <w:r w:rsidRPr="008F5372">
              <w:rPr>
                <w:sz w:val="22"/>
                <w:szCs w:val="22"/>
              </w:rPr>
              <w:t>N=107</w:t>
            </w:r>
          </w:p>
          <w:p w14:paraId="2D48C9F1" w14:textId="77777777" w:rsidR="000D0C23" w:rsidRPr="008F5372" w:rsidRDefault="000D0C23">
            <w:pPr>
              <w:autoSpaceDE w:val="0"/>
              <w:autoSpaceDN w:val="0"/>
              <w:adjustRightInd w:val="0"/>
              <w:ind w:left="-86"/>
              <w:jc w:val="center"/>
              <w:rPr>
                <w:sz w:val="22"/>
                <w:szCs w:val="22"/>
              </w:rPr>
            </w:pPr>
            <w:r w:rsidRPr="008F5372">
              <w:rPr>
                <w:sz w:val="22"/>
                <w:szCs w:val="22"/>
              </w:rPr>
              <w:t>17.8</w:t>
            </w:r>
          </w:p>
          <w:p w14:paraId="5C77DD38" w14:textId="77777777" w:rsidR="000D0C23" w:rsidRPr="008F5372" w:rsidRDefault="000D0C23">
            <w:pPr>
              <w:autoSpaceDE w:val="0"/>
              <w:autoSpaceDN w:val="0"/>
              <w:adjustRightInd w:val="0"/>
              <w:ind w:left="-86"/>
              <w:jc w:val="center"/>
              <w:rPr>
                <w:sz w:val="22"/>
                <w:szCs w:val="22"/>
              </w:rPr>
            </w:pPr>
            <w:r w:rsidRPr="008F5372">
              <w:rPr>
                <w:sz w:val="22"/>
                <w:szCs w:val="22"/>
              </w:rPr>
              <w:t>(11.0,26.3)</w:t>
            </w:r>
          </w:p>
          <w:p w14:paraId="7D6E8FCC" w14:textId="77777777" w:rsidR="000D0C23" w:rsidRPr="008F5372" w:rsidRDefault="000D0C23">
            <w:pPr>
              <w:autoSpaceDE w:val="0"/>
              <w:autoSpaceDN w:val="0"/>
              <w:adjustRightInd w:val="0"/>
              <w:ind w:left="-86"/>
              <w:jc w:val="center"/>
              <w:rPr>
                <w:sz w:val="22"/>
                <w:szCs w:val="22"/>
              </w:rPr>
            </w:pPr>
            <w:r w:rsidRPr="008F5372">
              <w:rPr>
                <w:sz w:val="22"/>
                <w:szCs w:val="22"/>
              </w:rPr>
              <w:t>15.0 (8.8,23.1)</w:t>
            </w:r>
          </w:p>
        </w:tc>
        <w:tc>
          <w:tcPr>
            <w:tcW w:w="789" w:type="pct"/>
            <w:tcBorders>
              <w:top w:val="single" w:sz="4" w:space="0" w:color="auto"/>
              <w:left w:val="single" w:sz="4" w:space="0" w:color="auto"/>
              <w:bottom w:val="single" w:sz="4" w:space="0" w:color="auto"/>
              <w:right w:val="single" w:sz="4" w:space="0" w:color="auto"/>
            </w:tcBorders>
            <w:hideMark/>
          </w:tcPr>
          <w:p w14:paraId="158F78E0" w14:textId="77777777" w:rsidR="000D0C23" w:rsidRPr="008F5372" w:rsidRDefault="000D0C23">
            <w:pPr>
              <w:autoSpaceDE w:val="0"/>
              <w:autoSpaceDN w:val="0"/>
              <w:adjustRightInd w:val="0"/>
              <w:ind w:left="-132"/>
              <w:jc w:val="center"/>
              <w:rPr>
                <w:sz w:val="22"/>
                <w:szCs w:val="22"/>
              </w:rPr>
            </w:pPr>
            <w:r w:rsidRPr="008F5372">
              <w:rPr>
                <w:sz w:val="22"/>
                <w:szCs w:val="22"/>
              </w:rPr>
              <w:t>N=54</w:t>
            </w:r>
          </w:p>
          <w:p w14:paraId="3C1CF547" w14:textId="77777777" w:rsidR="000D0C23" w:rsidRPr="008F5372" w:rsidRDefault="000D0C23">
            <w:pPr>
              <w:autoSpaceDE w:val="0"/>
              <w:autoSpaceDN w:val="0"/>
              <w:adjustRightInd w:val="0"/>
              <w:ind w:left="-132"/>
              <w:jc w:val="center"/>
              <w:rPr>
                <w:sz w:val="22"/>
                <w:szCs w:val="22"/>
              </w:rPr>
            </w:pPr>
            <w:r w:rsidRPr="008F5372">
              <w:rPr>
                <w:sz w:val="22"/>
                <w:szCs w:val="22"/>
              </w:rPr>
              <w:t>16.7 (7.9,29.3)</w:t>
            </w:r>
          </w:p>
          <w:p w14:paraId="3DFA7EB5" w14:textId="77777777" w:rsidR="000D0C23" w:rsidRPr="008F5372" w:rsidRDefault="000D0C23">
            <w:pPr>
              <w:autoSpaceDE w:val="0"/>
              <w:autoSpaceDN w:val="0"/>
              <w:adjustRightInd w:val="0"/>
              <w:ind w:left="-132"/>
              <w:jc w:val="center"/>
              <w:rPr>
                <w:sz w:val="22"/>
                <w:szCs w:val="22"/>
              </w:rPr>
            </w:pPr>
            <w:r w:rsidRPr="008F5372">
              <w:rPr>
                <w:sz w:val="22"/>
                <w:szCs w:val="22"/>
              </w:rPr>
              <w:t>13.0 (5.4,24.9)</w:t>
            </w:r>
          </w:p>
        </w:tc>
        <w:tc>
          <w:tcPr>
            <w:tcW w:w="850" w:type="pct"/>
            <w:tcBorders>
              <w:top w:val="single" w:sz="4" w:space="0" w:color="auto"/>
              <w:left w:val="single" w:sz="4" w:space="0" w:color="auto"/>
              <w:bottom w:val="single" w:sz="4" w:space="0" w:color="auto"/>
              <w:right w:val="single" w:sz="4" w:space="0" w:color="auto"/>
            </w:tcBorders>
            <w:hideMark/>
          </w:tcPr>
          <w:p w14:paraId="4DDBBE65" w14:textId="77777777" w:rsidR="000D0C23" w:rsidRPr="008F5372" w:rsidRDefault="000D0C23">
            <w:pPr>
              <w:autoSpaceDE w:val="0"/>
              <w:autoSpaceDN w:val="0"/>
              <w:adjustRightInd w:val="0"/>
              <w:jc w:val="center"/>
              <w:rPr>
                <w:sz w:val="22"/>
                <w:szCs w:val="22"/>
              </w:rPr>
            </w:pPr>
            <w:r w:rsidRPr="008F5372">
              <w:rPr>
                <w:sz w:val="22"/>
                <w:szCs w:val="22"/>
              </w:rPr>
              <w:t>N=48</w:t>
            </w:r>
          </w:p>
          <w:p w14:paraId="0223FDF7" w14:textId="77777777" w:rsidR="000D0C23" w:rsidRPr="008F5372" w:rsidRDefault="000D0C23">
            <w:pPr>
              <w:autoSpaceDE w:val="0"/>
              <w:autoSpaceDN w:val="0"/>
              <w:adjustRightInd w:val="0"/>
              <w:jc w:val="center"/>
              <w:rPr>
                <w:sz w:val="22"/>
                <w:szCs w:val="22"/>
              </w:rPr>
            </w:pPr>
            <w:r w:rsidRPr="008F5372">
              <w:rPr>
                <w:sz w:val="22"/>
                <w:szCs w:val="22"/>
              </w:rPr>
              <w:t>10.4 (3.5,22.7)</w:t>
            </w:r>
          </w:p>
          <w:p w14:paraId="39D294F8" w14:textId="77777777" w:rsidR="000D0C23" w:rsidRPr="008F5372" w:rsidRDefault="000D0C23">
            <w:pPr>
              <w:autoSpaceDE w:val="0"/>
              <w:autoSpaceDN w:val="0"/>
              <w:adjustRightInd w:val="0"/>
              <w:jc w:val="center"/>
              <w:rPr>
                <w:sz w:val="22"/>
                <w:szCs w:val="22"/>
              </w:rPr>
            </w:pPr>
            <w:r w:rsidRPr="008F5372">
              <w:rPr>
                <w:sz w:val="22"/>
                <w:szCs w:val="22"/>
              </w:rPr>
              <w:t>10.4 (3.5,22.7)</w:t>
            </w:r>
          </w:p>
        </w:tc>
      </w:tr>
      <w:tr w:rsidR="000D0C23" w:rsidRPr="008F5372" w14:paraId="4A7B5D11"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2FC482E4" w14:textId="77777777" w:rsidR="000D0C23" w:rsidRPr="008F5372" w:rsidRDefault="000D0C23">
            <w:pPr>
              <w:autoSpaceDE w:val="0"/>
              <w:autoSpaceDN w:val="0"/>
              <w:adjustRightInd w:val="0"/>
              <w:rPr>
                <w:sz w:val="22"/>
                <w:szCs w:val="22"/>
                <w:lang w:val="en-US"/>
              </w:rPr>
            </w:pPr>
            <w:r w:rsidRPr="008F5372">
              <w:rPr>
                <w:sz w:val="22"/>
                <w:szCs w:val="22"/>
                <w:lang w:val="en-US"/>
              </w:rPr>
              <w:t>Time to MCyR for responders only</w:t>
            </w:r>
            <w:r w:rsidRPr="008F5372">
              <w:rPr>
                <w:sz w:val="22"/>
                <w:szCs w:val="22"/>
                <w:vertAlign w:val="superscript"/>
                <w:lang w:val="en-US"/>
              </w:rPr>
              <w:t>b</w:t>
            </w:r>
            <w:r w:rsidRPr="008F5372">
              <w:rPr>
                <w:sz w:val="22"/>
                <w:szCs w:val="22"/>
                <w:lang w:val="en-US"/>
              </w:rPr>
              <w:t>, median (range), weeks</w:t>
            </w:r>
          </w:p>
        </w:tc>
        <w:tc>
          <w:tcPr>
            <w:tcW w:w="806" w:type="pct"/>
            <w:tcBorders>
              <w:top w:val="single" w:sz="4" w:space="0" w:color="auto"/>
              <w:left w:val="single" w:sz="4" w:space="0" w:color="auto"/>
              <w:bottom w:val="single" w:sz="4" w:space="0" w:color="auto"/>
              <w:right w:val="single" w:sz="4" w:space="0" w:color="auto"/>
            </w:tcBorders>
            <w:hideMark/>
          </w:tcPr>
          <w:p w14:paraId="20DE3E85" w14:textId="77777777" w:rsidR="000D0C23" w:rsidRPr="008F5372" w:rsidRDefault="000D0C23">
            <w:pPr>
              <w:autoSpaceDE w:val="0"/>
              <w:autoSpaceDN w:val="0"/>
              <w:adjustRightInd w:val="0"/>
              <w:jc w:val="center"/>
              <w:rPr>
                <w:sz w:val="22"/>
                <w:szCs w:val="22"/>
              </w:rPr>
            </w:pPr>
            <w:r w:rsidRPr="008F5372">
              <w:rPr>
                <w:sz w:val="22"/>
                <w:szCs w:val="22"/>
              </w:rPr>
              <w:t>12.3</w:t>
            </w:r>
          </w:p>
          <w:p w14:paraId="0911380E" w14:textId="77777777" w:rsidR="000D0C23" w:rsidRPr="008F5372" w:rsidRDefault="000D0C23">
            <w:pPr>
              <w:autoSpaceDE w:val="0"/>
              <w:autoSpaceDN w:val="0"/>
              <w:adjustRightInd w:val="0"/>
              <w:jc w:val="center"/>
              <w:rPr>
                <w:sz w:val="22"/>
                <w:szCs w:val="22"/>
              </w:rPr>
            </w:pPr>
            <w:r w:rsidRPr="008F5372">
              <w:rPr>
                <w:sz w:val="22"/>
                <w:szCs w:val="22"/>
              </w:rPr>
              <w:t>(4.0,346.0)</w:t>
            </w:r>
          </w:p>
        </w:tc>
        <w:tc>
          <w:tcPr>
            <w:tcW w:w="792" w:type="pct"/>
            <w:tcBorders>
              <w:top w:val="single" w:sz="4" w:space="0" w:color="auto"/>
              <w:left w:val="single" w:sz="4" w:space="0" w:color="auto"/>
              <w:bottom w:val="single" w:sz="4" w:space="0" w:color="auto"/>
              <w:right w:val="single" w:sz="4" w:space="0" w:color="auto"/>
            </w:tcBorders>
            <w:hideMark/>
          </w:tcPr>
          <w:p w14:paraId="74A02C5A" w14:textId="77777777" w:rsidR="000D0C23" w:rsidRPr="008F5372" w:rsidRDefault="000D0C23">
            <w:pPr>
              <w:autoSpaceDE w:val="0"/>
              <w:autoSpaceDN w:val="0"/>
              <w:adjustRightInd w:val="0"/>
              <w:jc w:val="center"/>
              <w:rPr>
                <w:sz w:val="22"/>
                <w:szCs w:val="22"/>
              </w:rPr>
            </w:pPr>
            <w:r w:rsidRPr="008F5372">
              <w:rPr>
                <w:sz w:val="22"/>
                <w:szCs w:val="22"/>
              </w:rPr>
              <w:t>12.3</w:t>
            </w:r>
          </w:p>
          <w:p w14:paraId="3FD26C89" w14:textId="77777777" w:rsidR="000D0C23" w:rsidRPr="008F5372" w:rsidRDefault="000D0C23">
            <w:pPr>
              <w:autoSpaceDE w:val="0"/>
              <w:autoSpaceDN w:val="0"/>
              <w:adjustRightInd w:val="0"/>
              <w:jc w:val="center"/>
              <w:rPr>
                <w:sz w:val="22"/>
                <w:szCs w:val="22"/>
              </w:rPr>
            </w:pPr>
            <w:r w:rsidRPr="008F5372">
              <w:rPr>
                <w:sz w:val="22"/>
                <w:szCs w:val="22"/>
              </w:rPr>
              <w:t>(3.9,550.6)</w:t>
            </w:r>
          </w:p>
        </w:tc>
        <w:tc>
          <w:tcPr>
            <w:tcW w:w="789" w:type="pct"/>
            <w:tcBorders>
              <w:top w:val="single" w:sz="4" w:space="0" w:color="auto"/>
              <w:left w:val="single" w:sz="4" w:space="0" w:color="auto"/>
              <w:bottom w:val="single" w:sz="4" w:space="0" w:color="auto"/>
              <w:right w:val="single" w:sz="4" w:space="0" w:color="auto"/>
            </w:tcBorders>
            <w:hideMark/>
          </w:tcPr>
          <w:p w14:paraId="069A96B8" w14:textId="77777777" w:rsidR="000D0C23" w:rsidRPr="008F5372" w:rsidRDefault="000D0C23">
            <w:pPr>
              <w:autoSpaceDE w:val="0"/>
              <w:autoSpaceDN w:val="0"/>
              <w:adjustRightInd w:val="0"/>
              <w:jc w:val="center"/>
              <w:rPr>
                <w:sz w:val="22"/>
                <w:szCs w:val="22"/>
              </w:rPr>
            </w:pPr>
            <w:r w:rsidRPr="008F5372">
              <w:rPr>
                <w:sz w:val="22"/>
                <w:szCs w:val="22"/>
              </w:rPr>
              <w:t>12.0</w:t>
            </w:r>
          </w:p>
          <w:p w14:paraId="7394C73D" w14:textId="77777777" w:rsidR="000D0C23" w:rsidRPr="008F5372" w:rsidRDefault="000D0C23">
            <w:pPr>
              <w:autoSpaceDE w:val="0"/>
              <w:autoSpaceDN w:val="0"/>
              <w:adjustRightInd w:val="0"/>
              <w:jc w:val="center"/>
              <w:rPr>
                <w:sz w:val="22"/>
                <w:szCs w:val="22"/>
              </w:rPr>
            </w:pPr>
            <w:r w:rsidRPr="008F5372">
              <w:rPr>
                <w:sz w:val="22"/>
                <w:szCs w:val="22"/>
              </w:rPr>
              <w:t>(3.9,144.7)</w:t>
            </w:r>
          </w:p>
        </w:tc>
        <w:tc>
          <w:tcPr>
            <w:tcW w:w="850" w:type="pct"/>
            <w:tcBorders>
              <w:top w:val="single" w:sz="4" w:space="0" w:color="auto"/>
              <w:left w:val="single" w:sz="4" w:space="0" w:color="auto"/>
              <w:bottom w:val="single" w:sz="4" w:space="0" w:color="auto"/>
              <w:right w:val="single" w:sz="4" w:space="0" w:color="auto"/>
            </w:tcBorders>
            <w:hideMark/>
          </w:tcPr>
          <w:p w14:paraId="2DAC6A6B" w14:textId="77777777" w:rsidR="000D0C23" w:rsidRPr="008F5372" w:rsidRDefault="000D0C23">
            <w:pPr>
              <w:autoSpaceDE w:val="0"/>
              <w:autoSpaceDN w:val="0"/>
              <w:adjustRightInd w:val="0"/>
              <w:jc w:val="center"/>
              <w:rPr>
                <w:sz w:val="22"/>
                <w:szCs w:val="22"/>
              </w:rPr>
            </w:pPr>
            <w:r w:rsidRPr="008F5372">
              <w:rPr>
                <w:sz w:val="22"/>
                <w:szCs w:val="22"/>
              </w:rPr>
              <w:t>8.2 (3.9,25.1)</w:t>
            </w:r>
          </w:p>
        </w:tc>
      </w:tr>
      <w:tr w:rsidR="000D0C23" w:rsidRPr="008F5372" w14:paraId="39DF28E8"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79AE38FA" w14:textId="77777777" w:rsidR="000D0C23" w:rsidRPr="008F5372" w:rsidRDefault="000D0C23">
            <w:pPr>
              <w:autoSpaceDE w:val="0"/>
              <w:autoSpaceDN w:val="0"/>
              <w:adjustRightInd w:val="0"/>
              <w:rPr>
                <w:sz w:val="22"/>
                <w:szCs w:val="22"/>
                <w:lang w:val="en-US"/>
              </w:rPr>
            </w:pPr>
            <w:r w:rsidRPr="008F5372">
              <w:rPr>
                <w:sz w:val="22"/>
                <w:szCs w:val="22"/>
                <w:lang w:val="en-US"/>
              </w:rPr>
              <w:t>Duration of MCyR</w:t>
            </w:r>
            <w:r w:rsidRPr="008F5372">
              <w:rPr>
                <w:sz w:val="22"/>
                <w:szCs w:val="22"/>
                <w:vertAlign w:val="superscript"/>
                <w:lang w:val="en-US"/>
              </w:rPr>
              <w:t>b</w:t>
            </w:r>
          </w:p>
          <w:p w14:paraId="2BCCCCED" w14:textId="77777777" w:rsidR="000D0C23" w:rsidRPr="008F5372" w:rsidRDefault="000D0C23">
            <w:pPr>
              <w:autoSpaceDE w:val="0"/>
              <w:autoSpaceDN w:val="0"/>
              <w:adjustRightInd w:val="0"/>
              <w:ind w:left="176"/>
              <w:rPr>
                <w:sz w:val="22"/>
                <w:szCs w:val="22"/>
                <w:lang w:val="en-US"/>
              </w:rPr>
            </w:pPr>
            <w:r w:rsidRPr="008F5372">
              <w:rPr>
                <w:sz w:val="22"/>
                <w:szCs w:val="22"/>
                <w:lang w:val="en-US"/>
              </w:rPr>
              <w:t>K-M at year 5, % (95% CI)</w:t>
            </w:r>
          </w:p>
          <w:p w14:paraId="6ADE6E8C" w14:textId="77777777" w:rsidR="000D0C23" w:rsidRPr="008F5372" w:rsidRDefault="000D0C23">
            <w:pPr>
              <w:autoSpaceDE w:val="0"/>
              <w:autoSpaceDN w:val="0"/>
              <w:adjustRightInd w:val="0"/>
              <w:ind w:left="176"/>
              <w:rPr>
                <w:sz w:val="22"/>
                <w:szCs w:val="22"/>
                <w:lang w:val="en-US"/>
              </w:rPr>
            </w:pPr>
            <w:r w:rsidRPr="008F5372">
              <w:rPr>
                <w:sz w:val="22"/>
                <w:szCs w:val="22"/>
                <w:lang w:val="en-US"/>
              </w:rPr>
              <w:t>K-M at year 10, % (95% CI)</w:t>
            </w:r>
          </w:p>
          <w:p w14:paraId="7243D184" w14:textId="77777777" w:rsidR="000D0C23" w:rsidRPr="008F5372" w:rsidRDefault="000D0C23">
            <w:pPr>
              <w:autoSpaceDE w:val="0"/>
              <w:autoSpaceDN w:val="0"/>
              <w:adjustRightInd w:val="0"/>
              <w:ind w:left="176"/>
              <w:rPr>
                <w:sz w:val="22"/>
                <w:szCs w:val="22"/>
              </w:rPr>
            </w:pPr>
            <w:r w:rsidRPr="008F5372">
              <w:rPr>
                <w:sz w:val="22"/>
                <w:szCs w:val="22"/>
              </w:rPr>
              <w:t>Median, weeks (95% CI)</w:t>
            </w:r>
          </w:p>
        </w:tc>
        <w:tc>
          <w:tcPr>
            <w:tcW w:w="806" w:type="pct"/>
            <w:tcBorders>
              <w:top w:val="single" w:sz="4" w:space="0" w:color="auto"/>
              <w:left w:val="single" w:sz="4" w:space="0" w:color="auto"/>
              <w:bottom w:val="single" w:sz="4" w:space="0" w:color="auto"/>
              <w:right w:val="single" w:sz="4" w:space="0" w:color="auto"/>
            </w:tcBorders>
            <w:hideMark/>
          </w:tcPr>
          <w:p w14:paraId="2EC99B15" w14:textId="77777777" w:rsidR="000D0C23" w:rsidRPr="008F5372" w:rsidRDefault="000D0C23">
            <w:pPr>
              <w:autoSpaceDE w:val="0"/>
              <w:autoSpaceDN w:val="0"/>
              <w:adjustRightInd w:val="0"/>
              <w:jc w:val="center"/>
              <w:rPr>
                <w:sz w:val="22"/>
                <w:szCs w:val="22"/>
              </w:rPr>
            </w:pPr>
            <w:r w:rsidRPr="008F5372">
              <w:rPr>
                <w:sz w:val="22"/>
                <w:szCs w:val="22"/>
              </w:rPr>
              <w:t>N=157</w:t>
            </w:r>
          </w:p>
          <w:p w14:paraId="074F3E4A" w14:textId="77777777" w:rsidR="000D0C23" w:rsidRPr="008F5372" w:rsidRDefault="000D0C23">
            <w:pPr>
              <w:autoSpaceDE w:val="0"/>
              <w:autoSpaceDN w:val="0"/>
              <w:adjustRightInd w:val="0"/>
              <w:jc w:val="center"/>
              <w:rPr>
                <w:sz w:val="22"/>
                <w:szCs w:val="22"/>
              </w:rPr>
            </w:pPr>
            <w:r w:rsidRPr="008F5372">
              <w:rPr>
                <w:sz w:val="22"/>
                <w:szCs w:val="22"/>
              </w:rPr>
              <w:t>70.7</w:t>
            </w:r>
          </w:p>
          <w:p w14:paraId="06153F34" w14:textId="77777777" w:rsidR="000D0C23" w:rsidRPr="008F5372" w:rsidRDefault="000D0C23">
            <w:pPr>
              <w:autoSpaceDE w:val="0"/>
              <w:autoSpaceDN w:val="0"/>
              <w:adjustRightInd w:val="0"/>
              <w:jc w:val="center"/>
              <w:rPr>
                <w:sz w:val="22"/>
                <w:szCs w:val="22"/>
              </w:rPr>
            </w:pPr>
            <w:r w:rsidRPr="008F5372">
              <w:rPr>
                <w:sz w:val="22"/>
                <w:szCs w:val="22"/>
              </w:rPr>
              <w:t>(63.1,78.3)</w:t>
            </w:r>
          </w:p>
          <w:p w14:paraId="782668B5" w14:textId="77777777" w:rsidR="000D0C23" w:rsidRPr="008F5372" w:rsidRDefault="000D0C23">
            <w:pPr>
              <w:autoSpaceDE w:val="0"/>
              <w:autoSpaceDN w:val="0"/>
              <w:adjustRightInd w:val="0"/>
              <w:jc w:val="center"/>
              <w:rPr>
                <w:sz w:val="22"/>
                <w:szCs w:val="22"/>
              </w:rPr>
            </w:pPr>
            <w:r w:rsidRPr="008F5372">
              <w:rPr>
                <w:sz w:val="22"/>
                <w:szCs w:val="22"/>
              </w:rPr>
              <w:t>65.3</w:t>
            </w:r>
          </w:p>
          <w:p w14:paraId="748BD825" w14:textId="77777777" w:rsidR="000D0C23" w:rsidRPr="008F5372" w:rsidRDefault="000D0C23">
            <w:pPr>
              <w:autoSpaceDE w:val="0"/>
              <w:autoSpaceDN w:val="0"/>
              <w:adjustRightInd w:val="0"/>
              <w:jc w:val="center"/>
              <w:rPr>
                <w:sz w:val="22"/>
                <w:szCs w:val="22"/>
              </w:rPr>
            </w:pPr>
            <w:r w:rsidRPr="008F5372">
              <w:rPr>
                <w:sz w:val="22"/>
                <w:szCs w:val="22"/>
              </w:rPr>
              <w:t>(56.6,74.0)</w:t>
            </w:r>
          </w:p>
          <w:p w14:paraId="33EFEEF7" w14:textId="77777777" w:rsidR="000D0C23" w:rsidRPr="008F5372" w:rsidRDefault="000D0C23">
            <w:pPr>
              <w:autoSpaceDE w:val="0"/>
              <w:autoSpaceDN w:val="0"/>
              <w:adjustRightInd w:val="0"/>
              <w:jc w:val="center"/>
              <w:rPr>
                <w:sz w:val="22"/>
                <w:szCs w:val="22"/>
              </w:rPr>
            </w:pPr>
            <w:r w:rsidRPr="008F5372">
              <w:rPr>
                <w:sz w:val="22"/>
                <w:szCs w:val="22"/>
              </w:rPr>
              <w:t>N/R</w:t>
            </w:r>
          </w:p>
        </w:tc>
        <w:tc>
          <w:tcPr>
            <w:tcW w:w="792" w:type="pct"/>
            <w:tcBorders>
              <w:top w:val="single" w:sz="4" w:space="0" w:color="auto"/>
              <w:left w:val="single" w:sz="4" w:space="0" w:color="auto"/>
              <w:bottom w:val="single" w:sz="4" w:space="0" w:color="auto"/>
              <w:right w:val="single" w:sz="4" w:space="0" w:color="auto"/>
            </w:tcBorders>
            <w:hideMark/>
          </w:tcPr>
          <w:p w14:paraId="16AF4663" w14:textId="77777777" w:rsidR="000D0C23" w:rsidRPr="008F5372" w:rsidRDefault="000D0C23">
            <w:pPr>
              <w:autoSpaceDE w:val="0"/>
              <w:autoSpaceDN w:val="0"/>
              <w:adjustRightInd w:val="0"/>
              <w:jc w:val="center"/>
              <w:rPr>
                <w:sz w:val="22"/>
                <w:szCs w:val="22"/>
              </w:rPr>
            </w:pPr>
            <w:r w:rsidRPr="008F5372">
              <w:rPr>
                <w:sz w:val="22"/>
                <w:szCs w:val="22"/>
              </w:rPr>
              <w:t>N=47</w:t>
            </w:r>
          </w:p>
          <w:p w14:paraId="5D2BF079" w14:textId="77777777" w:rsidR="000D0C23" w:rsidRPr="008F5372" w:rsidRDefault="000D0C23">
            <w:pPr>
              <w:autoSpaceDE w:val="0"/>
              <w:autoSpaceDN w:val="0"/>
              <w:adjustRightInd w:val="0"/>
              <w:jc w:val="center"/>
              <w:rPr>
                <w:sz w:val="22"/>
                <w:szCs w:val="22"/>
              </w:rPr>
            </w:pPr>
            <w:r w:rsidRPr="008F5372">
              <w:rPr>
                <w:sz w:val="22"/>
                <w:szCs w:val="22"/>
              </w:rPr>
              <w:t>66.6</w:t>
            </w:r>
          </w:p>
          <w:p w14:paraId="79B527BF" w14:textId="77777777" w:rsidR="000D0C23" w:rsidRPr="008F5372" w:rsidRDefault="000D0C23">
            <w:pPr>
              <w:autoSpaceDE w:val="0"/>
              <w:autoSpaceDN w:val="0"/>
              <w:adjustRightInd w:val="0"/>
              <w:jc w:val="center"/>
              <w:rPr>
                <w:sz w:val="22"/>
                <w:szCs w:val="22"/>
              </w:rPr>
            </w:pPr>
            <w:r w:rsidRPr="008F5372">
              <w:rPr>
                <w:sz w:val="22"/>
                <w:szCs w:val="22"/>
              </w:rPr>
              <w:t>(51.5,81.7)</w:t>
            </w:r>
          </w:p>
          <w:p w14:paraId="35C2C9C4" w14:textId="77777777" w:rsidR="000D0C23" w:rsidRPr="008F5372" w:rsidRDefault="000D0C23">
            <w:pPr>
              <w:autoSpaceDE w:val="0"/>
              <w:autoSpaceDN w:val="0"/>
              <w:adjustRightInd w:val="0"/>
              <w:jc w:val="center"/>
              <w:rPr>
                <w:sz w:val="22"/>
                <w:szCs w:val="22"/>
              </w:rPr>
            </w:pPr>
            <w:r w:rsidRPr="008F5372">
              <w:rPr>
                <w:sz w:val="22"/>
                <w:szCs w:val="22"/>
              </w:rPr>
              <w:t>55.3</w:t>
            </w:r>
          </w:p>
          <w:p w14:paraId="0CC335F4" w14:textId="77777777" w:rsidR="000D0C23" w:rsidRPr="008F5372" w:rsidRDefault="000D0C23">
            <w:pPr>
              <w:autoSpaceDE w:val="0"/>
              <w:autoSpaceDN w:val="0"/>
              <w:adjustRightInd w:val="0"/>
              <w:jc w:val="center"/>
              <w:rPr>
                <w:sz w:val="22"/>
                <w:szCs w:val="22"/>
              </w:rPr>
            </w:pPr>
            <w:r w:rsidRPr="008F5372">
              <w:rPr>
                <w:sz w:val="22"/>
                <w:szCs w:val="22"/>
              </w:rPr>
              <w:t>(36.3,74.4)</w:t>
            </w:r>
          </w:p>
          <w:p w14:paraId="37F98BA3" w14:textId="77777777" w:rsidR="000D0C23" w:rsidRPr="008F5372" w:rsidRDefault="000D0C23">
            <w:pPr>
              <w:autoSpaceDE w:val="0"/>
              <w:autoSpaceDN w:val="0"/>
              <w:adjustRightInd w:val="0"/>
              <w:jc w:val="center"/>
              <w:rPr>
                <w:sz w:val="22"/>
                <w:szCs w:val="22"/>
              </w:rPr>
            </w:pPr>
            <w:r w:rsidRPr="008F5372">
              <w:rPr>
                <w:sz w:val="22"/>
                <w:szCs w:val="22"/>
              </w:rPr>
              <w:t>N/R</w:t>
            </w:r>
          </w:p>
        </w:tc>
        <w:tc>
          <w:tcPr>
            <w:tcW w:w="789" w:type="pct"/>
            <w:tcBorders>
              <w:top w:val="single" w:sz="4" w:space="0" w:color="auto"/>
              <w:left w:val="single" w:sz="4" w:space="0" w:color="auto"/>
              <w:bottom w:val="single" w:sz="4" w:space="0" w:color="auto"/>
              <w:right w:val="single" w:sz="4" w:space="0" w:color="auto"/>
            </w:tcBorders>
            <w:hideMark/>
          </w:tcPr>
          <w:p w14:paraId="7B6EB651" w14:textId="77777777" w:rsidR="000D0C23" w:rsidRPr="008F5372" w:rsidRDefault="000D0C23">
            <w:pPr>
              <w:autoSpaceDE w:val="0"/>
              <w:autoSpaceDN w:val="0"/>
              <w:adjustRightInd w:val="0"/>
              <w:jc w:val="center"/>
              <w:rPr>
                <w:sz w:val="22"/>
                <w:szCs w:val="22"/>
              </w:rPr>
            </w:pPr>
            <w:r w:rsidRPr="008F5372">
              <w:rPr>
                <w:sz w:val="22"/>
                <w:szCs w:val="22"/>
              </w:rPr>
              <w:t>N=29</w:t>
            </w:r>
          </w:p>
          <w:p w14:paraId="615533EA" w14:textId="77777777" w:rsidR="000D0C23" w:rsidRPr="008F5372" w:rsidRDefault="000D0C23">
            <w:pPr>
              <w:autoSpaceDE w:val="0"/>
              <w:autoSpaceDN w:val="0"/>
              <w:adjustRightInd w:val="0"/>
              <w:jc w:val="center"/>
              <w:rPr>
                <w:sz w:val="22"/>
                <w:szCs w:val="22"/>
              </w:rPr>
            </w:pPr>
            <w:r w:rsidRPr="008F5372">
              <w:rPr>
                <w:sz w:val="22"/>
                <w:szCs w:val="22"/>
              </w:rPr>
              <w:t>40.8</w:t>
            </w:r>
          </w:p>
          <w:p w14:paraId="1CB586D4" w14:textId="77777777" w:rsidR="000D0C23" w:rsidRPr="008F5372" w:rsidRDefault="000D0C23">
            <w:pPr>
              <w:autoSpaceDE w:val="0"/>
              <w:autoSpaceDN w:val="0"/>
              <w:adjustRightInd w:val="0"/>
              <w:jc w:val="center"/>
              <w:rPr>
                <w:sz w:val="22"/>
                <w:szCs w:val="22"/>
              </w:rPr>
            </w:pPr>
            <w:r w:rsidRPr="008F5372">
              <w:rPr>
                <w:sz w:val="22"/>
                <w:szCs w:val="22"/>
              </w:rPr>
              <w:t>(20.9,60.7)</w:t>
            </w:r>
          </w:p>
          <w:p w14:paraId="7B023F4A" w14:textId="77777777" w:rsidR="000D0C23" w:rsidRPr="008F5372" w:rsidRDefault="000D0C23">
            <w:pPr>
              <w:autoSpaceDE w:val="0"/>
              <w:autoSpaceDN w:val="0"/>
              <w:adjustRightInd w:val="0"/>
              <w:jc w:val="center"/>
              <w:rPr>
                <w:sz w:val="22"/>
                <w:szCs w:val="22"/>
              </w:rPr>
            </w:pPr>
            <w:r w:rsidRPr="008F5372">
              <w:rPr>
                <w:sz w:val="22"/>
                <w:szCs w:val="22"/>
              </w:rPr>
              <w:t>40.8</w:t>
            </w:r>
          </w:p>
          <w:p w14:paraId="2042F6A4" w14:textId="77777777" w:rsidR="000D0C23" w:rsidRPr="008F5372" w:rsidRDefault="000D0C23">
            <w:pPr>
              <w:autoSpaceDE w:val="0"/>
              <w:autoSpaceDN w:val="0"/>
              <w:adjustRightInd w:val="0"/>
              <w:jc w:val="center"/>
              <w:rPr>
                <w:sz w:val="22"/>
                <w:szCs w:val="22"/>
              </w:rPr>
            </w:pPr>
            <w:r w:rsidRPr="008F5372">
              <w:rPr>
                <w:sz w:val="22"/>
                <w:szCs w:val="22"/>
              </w:rPr>
              <w:t>(20.9,60.7)</w:t>
            </w:r>
          </w:p>
          <w:p w14:paraId="43FCB5B0" w14:textId="77777777" w:rsidR="000D0C23" w:rsidRPr="008F5372" w:rsidRDefault="000D0C23">
            <w:pPr>
              <w:autoSpaceDE w:val="0"/>
              <w:autoSpaceDN w:val="0"/>
              <w:adjustRightInd w:val="0"/>
              <w:jc w:val="center"/>
              <w:rPr>
                <w:sz w:val="22"/>
                <w:szCs w:val="22"/>
              </w:rPr>
            </w:pPr>
            <w:r w:rsidRPr="008F5372">
              <w:rPr>
                <w:sz w:val="22"/>
                <w:szCs w:val="22"/>
              </w:rPr>
              <w:t>84.0 (24.0,N/E)</w:t>
            </w:r>
          </w:p>
        </w:tc>
        <w:tc>
          <w:tcPr>
            <w:tcW w:w="850" w:type="pct"/>
            <w:tcBorders>
              <w:top w:val="single" w:sz="4" w:space="0" w:color="auto"/>
              <w:left w:val="single" w:sz="4" w:space="0" w:color="auto"/>
              <w:bottom w:val="single" w:sz="4" w:space="0" w:color="auto"/>
              <w:right w:val="single" w:sz="4" w:space="0" w:color="auto"/>
            </w:tcBorders>
            <w:hideMark/>
          </w:tcPr>
          <w:p w14:paraId="50D2FF0C" w14:textId="77777777" w:rsidR="000D0C23" w:rsidRPr="008F5372" w:rsidRDefault="000D0C23">
            <w:pPr>
              <w:autoSpaceDE w:val="0"/>
              <w:autoSpaceDN w:val="0"/>
              <w:adjustRightInd w:val="0"/>
              <w:jc w:val="center"/>
              <w:rPr>
                <w:sz w:val="22"/>
                <w:szCs w:val="22"/>
              </w:rPr>
            </w:pPr>
            <w:r w:rsidRPr="008F5372">
              <w:rPr>
                <w:sz w:val="22"/>
                <w:szCs w:val="22"/>
              </w:rPr>
              <w:t>N=20</w:t>
            </w:r>
          </w:p>
          <w:p w14:paraId="498F4E98" w14:textId="77777777" w:rsidR="000D0C23" w:rsidRPr="008F5372" w:rsidRDefault="000D0C23">
            <w:pPr>
              <w:autoSpaceDE w:val="0"/>
              <w:autoSpaceDN w:val="0"/>
              <w:adjustRightInd w:val="0"/>
              <w:jc w:val="center"/>
              <w:rPr>
                <w:sz w:val="22"/>
                <w:szCs w:val="22"/>
              </w:rPr>
            </w:pPr>
            <w:r w:rsidRPr="008F5372">
              <w:rPr>
                <w:sz w:val="22"/>
                <w:szCs w:val="22"/>
              </w:rPr>
              <w:t>21.2 (0.1,42.3)</w:t>
            </w:r>
          </w:p>
          <w:p w14:paraId="19C6F1E4" w14:textId="77777777" w:rsidR="000D0C23" w:rsidRPr="008F5372" w:rsidRDefault="000D0C23">
            <w:pPr>
              <w:autoSpaceDE w:val="0"/>
              <w:autoSpaceDN w:val="0"/>
              <w:adjustRightInd w:val="0"/>
              <w:jc w:val="center"/>
              <w:rPr>
                <w:sz w:val="22"/>
                <w:szCs w:val="22"/>
              </w:rPr>
            </w:pPr>
            <w:r w:rsidRPr="008F5372">
              <w:rPr>
                <w:sz w:val="22"/>
                <w:szCs w:val="22"/>
              </w:rPr>
              <w:t>N/E</w:t>
            </w:r>
          </w:p>
          <w:p w14:paraId="003A750C" w14:textId="77777777" w:rsidR="000D0C23" w:rsidRPr="008F5372" w:rsidRDefault="000D0C23">
            <w:pPr>
              <w:autoSpaceDE w:val="0"/>
              <w:autoSpaceDN w:val="0"/>
              <w:adjustRightInd w:val="0"/>
              <w:jc w:val="center"/>
              <w:rPr>
                <w:sz w:val="22"/>
                <w:szCs w:val="22"/>
              </w:rPr>
            </w:pPr>
            <w:r w:rsidRPr="008F5372">
              <w:rPr>
                <w:sz w:val="22"/>
                <w:szCs w:val="22"/>
              </w:rPr>
              <w:t>29.1</w:t>
            </w:r>
          </w:p>
          <w:p w14:paraId="5DA91032" w14:textId="77777777" w:rsidR="000D0C23" w:rsidRPr="008F5372" w:rsidRDefault="000D0C23">
            <w:pPr>
              <w:autoSpaceDE w:val="0"/>
              <w:autoSpaceDN w:val="0"/>
              <w:adjustRightInd w:val="0"/>
              <w:jc w:val="center"/>
              <w:rPr>
                <w:sz w:val="22"/>
                <w:szCs w:val="22"/>
              </w:rPr>
            </w:pPr>
            <w:r w:rsidRPr="008F5372">
              <w:rPr>
                <w:sz w:val="22"/>
                <w:szCs w:val="22"/>
              </w:rPr>
              <w:t>(11.9,38.3)</w:t>
            </w:r>
          </w:p>
        </w:tc>
      </w:tr>
      <w:tr w:rsidR="000D0C23" w:rsidRPr="008F5372" w14:paraId="559A6420"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41310CDF" w14:textId="77777777" w:rsidR="000D0C23" w:rsidRPr="008F5372" w:rsidRDefault="000D0C23">
            <w:pPr>
              <w:autoSpaceDE w:val="0"/>
              <w:autoSpaceDN w:val="0"/>
              <w:adjustRightInd w:val="0"/>
              <w:rPr>
                <w:sz w:val="22"/>
                <w:szCs w:val="22"/>
                <w:lang w:val="en-US"/>
              </w:rPr>
            </w:pPr>
            <w:r w:rsidRPr="008F5372">
              <w:rPr>
                <w:sz w:val="22"/>
                <w:szCs w:val="22"/>
                <w:lang w:val="en-US"/>
              </w:rPr>
              <w:t>Time to CCyR for responders only</w:t>
            </w:r>
            <w:r w:rsidRPr="008F5372">
              <w:rPr>
                <w:sz w:val="22"/>
                <w:szCs w:val="22"/>
                <w:vertAlign w:val="superscript"/>
                <w:lang w:val="en-US"/>
              </w:rPr>
              <w:t>b</w:t>
            </w:r>
            <w:r w:rsidRPr="008F5372">
              <w:rPr>
                <w:sz w:val="22"/>
                <w:szCs w:val="22"/>
                <w:lang w:val="en-US"/>
              </w:rPr>
              <w:t>, median (range), weeks</w:t>
            </w:r>
          </w:p>
        </w:tc>
        <w:tc>
          <w:tcPr>
            <w:tcW w:w="806" w:type="pct"/>
            <w:tcBorders>
              <w:top w:val="single" w:sz="4" w:space="0" w:color="auto"/>
              <w:left w:val="single" w:sz="4" w:space="0" w:color="auto"/>
              <w:bottom w:val="single" w:sz="4" w:space="0" w:color="auto"/>
              <w:right w:val="single" w:sz="4" w:space="0" w:color="auto"/>
            </w:tcBorders>
            <w:hideMark/>
          </w:tcPr>
          <w:p w14:paraId="11C79085" w14:textId="77777777" w:rsidR="000D0C23" w:rsidRPr="008F5372" w:rsidRDefault="000D0C23">
            <w:pPr>
              <w:autoSpaceDE w:val="0"/>
              <w:autoSpaceDN w:val="0"/>
              <w:adjustRightInd w:val="0"/>
              <w:jc w:val="center"/>
              <w:rPr>
                <w:sz w:val="22"/>
                <w:szCs w:val="22"/>
              </w:rPr>
            </w:pPr>
            <w:r w:rsidRPr="008F5372">
              <w:rPr>
                <w:sz w:val="22"/>
                <w:szCs w:val="22"/>
              </w:rPr>
              <w:t>24.0</w:t>
            </w:r>
          </w:p>
          <w:p w14:paraId="2FFFF910" w14:textId="77777777" w:rsidR="000D0C23" w:rsidRPr="008F5372" w:rsidRDefault="000D0C23">
            <w:pPr>
              <w:autoSpaceDE w:val="0"/>
              <w:autoSpaceDN w:val="0"/>
              <w:adjustRightInd w:val="0"/>
              <w:jc w:val="center"/>
              <w:rPr>
                <w:sz w:val="22"/>
                <w:szCs w:val="22"/>
              </w:rPr>
            </w:pPr>
            <w:r w:rsidRPr="008F5372">
              <w:rPr>
                <w:sz w:val="22"/>
                <w:szCs w:val="22"/>
              </w:rPr>
              <w:t>(7.7,240.6)</w:t>
            </w:r>
          </w:p>
        </w:tc>
        <w:tc>
          <w:tcPr>
            <w:tcW w:w="792" w:type="pct"/>
            <w:tcBorders>
              <w:top w:val="single" w:sz="4" w:space="0" w:color="auto"/>
              <w:left w:val="single" w:sz="4" w:space="0" w:color="auto"/>
              <w:bottom w:val="single" w:sz="4" w:space="0" w:color="auto"/>
              <w:right w:val="single" w:sz="4" w:space="0" w:color="auto"/>
            </w:tcBorders>
            <w:hideMark/>
          </w:tcPr>
          <w:p w14:paraId="0A029DE0" w14:textId="77777777" w:rsidR="000D0C23" w:rsidRPr="008F5372" w:rsidRDefault="000D0C23">
            <w:pPr>
              <w:autoSpaceDE w:val="0"/>
              <w:autoSpaceDN w:val="0"/>
              <w:adjustRightInd w:val="0"/>
              <w:jc w:val="center"/>
              <w:rPr>
                <w:sz w:val="22"/>
                <w:szCs w:val="22"/>
              </w:rPr>
            </w:pPr>
            <w:r w:rsidRPr="008F5372">
              <w:rPr>
                <w:sz w:val="22"/>
                <w:szCs w:val="22"/>
              </w:rPr>
              <w:t>24.0</w:t>
            </w:r>
          </w:p>
          <w:p w14:paraId="216F63A8" w14:textId="77777777" w:rsidR="000D0C23" w:rsidRPr="008F5372" w:rsidRDefault="000D0C23">
            <w:pPr>
              <w:autoSpaceDE w:val="0"/>
              <w:autoSpaceDN w:val="0"/>
              <w:adjustRightInd w:val="0"/>
              <w:jc w:val="center"/>
              <w:rPr>
                <w:sz w:val="22"/>
                <w:szCs w:val="22"/>
              </w:rPr>
            </w:pPr>
            <w:r w:rsidRPr="008F5372">
              <w:rPr>
                <w:sz w:val="22"/>
                <w:szCs w:val="22"/>
              </w:rPr>
              <w:t>(11.6,216.0)</w:t>
            </w:r>
          </w:p>
        </w:tc>
        <w:tc>
          <w:tcPr>
            <w:tcW w:w="789" w:type="pct"/>
            <w:tcBorders>
              <w:top w:val="single" w:sz="4" w:space="0" w:color="auto"/>
              <w:left w:val="single" w:sz="4" w:space="0" w:color="auto"/>
              <w:bottom w:val="single" w:sz="4" w:space="0" w:color="auto"/>
              <w:right w:val="single" w:sz="4" w:space="0" w:color="auto"/>
            </w:tcBorders>
            <w:hideMark/>
          </w:tcPr>
          <w:p w14:paraId="494EF03C" w14:textId="77777777" w:rsidR="000D0C23" w:rsidRPr="008F5372" w:rsidRDefault="000D0C23">
            <w:pPr>
              <w:autoSpaceDE w:val="0"/>
              <w:autoSpaceDN w:val="0"/>
              <w:adjustRightInd w:val="0"/>
              <w:jc w:val="center"/>
              <w:rPr>
                <w:sz w:val="22"/>
                <w:szCs w:val="22"/>
              </w:rPr>
            </w:pPr>
            <w:r w:rsidRPr="008F5372">
              <w:rPr>
                <w:sz w:val="22"/>
                <w:szCs w:val="22"/>
              </w:rPr>
              <w:t>23.8</w:t>
            </w:r>
          </w:p>
          <w:p w14:paraId="7462FD38" w14:textId="77777777" w:rsidR="000D0C23" w:rsidRPr="008F5372" w:rsidRDefault="000D0C23">
            <w:pPr>
              <w:autoSpaceDE w:val="0"/>
              <w:autoSpaceDN w:val="0"/>
              <w:adjustRightInd w:val="0"/>
              <w:jc w:val="center"/>
              <w:rPr>
                <w:sz w:val="22"/>
                <w:szCs w:val="22"/>
              </w:rPr>
            </w:pPr>
            <w:r w:rsidRPr="008F5372">
              <w:rPr>
                <w:sz w:val="22"/>
                <w:szCs w:val="22"/>
              </w:rPr>
              <w:t>(4.1,120.0)</w:t>
            </w:r>
          </w:p>
        </w:tc>
        <w:tc>
          <w:tcPr>
            <w:tcW w:w="850" w:type="pct"/>
            <w:tcBorders>
              <w:top w:val="single" w:sz="4" w:space="0" w:color="auto"/>
              <w:left w:val="single" w:sz="4" w:space="0" w:color="auto"/>
              <w:bottom w:val="single" w:sz="4" w:space="0" w:color="auto"/>
              <w:right w:val="single" w:sz="4" w:space="0" w:color="auto"/>
            </w:tcBorders>
            <w:hideMark/>
          </w:tcPr>
          <w:p w14:paraId="14993BDE" w14:textId="77777777" w:rsidR="000D0C23" w:rsidRPr="008F5372" w:rsidRDefault="000D0C23">
            <w:pPr>
              <w:autoSpaceDE w:val="0"/>
              <w:autoSpaceDN w:val="0"/>
              <w:adjustRightInd w:val="0"/>
              <w:jc w:val="center"/>
              <w:rPr>
                <w:sz w:val="22"/>
                <w:szCs w:val="22"/>
              </w:rPr>
            </w:pPr>
            <w:r w:rsidRPr="008F5372">
              <w:rPr>
                <w:sz w:val="22"/>
                <w:szCs w:val="22"/>
              </w:rPr>
              <w:t>8.4 (3.9,25.1)</w:t>
            </w:r>
          </w:p>
        </w:tc>
      </w:tr>
      <w:tr w:rsidR="000D0C23" w:rsidRPr="008F5372" w14:paraId="23C10206"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1F000D79" w14:textId="77777777" w:rsidR="000D0C23" w:rsidRPr="008F5372" w:rsidRDefault="000D0C23">
            <w:pPr>
              <w:autoSpaceDE w:val="0"/>
              <w:autoSpaceDN w:val="0"/>
              <w:adjustRightInd w:val="0"/>
              <w:rPr>
                <w:sz w:val="22"/>
                <w:szCs w:val="22"/>
                <w:lang w:val="en-US"/>
              </w:rPr>
            </w:pPr>
            <w:r w:rsidRPr="008F5372">
              <w:rPr>
                <w:sz w:val="22"/>
                <w:szCs w:val="22"/>
                <w:lang w:val="en-US"/>
              </w:rPr>
              <w:t>Duration of CCyR</w:t>
            </w:r>
            <w:r w:rsidRPr="008F5372">
              <w:rPr>
                <w:sz w:val="22"/>
                <w:szCs w:val="22"/>
                <w:vertAlign w:val="superscript"/>
                <w:lang w:val="en-US"/>
              </w:rPr>
              <w:t>b</w:t>
            </w:r>
          </w:p>
          <w:p w14:paraId="6011995F" w14:textId="77777777" w:rsidR="000D0C23" w:rsidRPr="008F5372" w:rsidRDefault="000D0C23">
            <w:pPr>
              <w:autoSpaceDE w:val="0"/>
              <w:autoSpaceDN w:val="0"/>
              <w:adjustRightInd w:val="0"/>
              <w:ind w:left="176"/>
              <w:rPr>
                <w:sz w:val="22"/>
                <w:szCs w:val="22"/>
                <w:lang w:val="en-US"/>
              </w:rPr>
            </w:pPr>
            <w:r w:rsidRPr="008F5372">
              <w:rPr>
                <w:sz w:val="22"/>
                <w:szCs w:val="22"/>
                <w:lang w:val="en-US"/>
              </w:rPr>
              <w:t>K-M at year 5, % (95% CI)</w:t>
            </w:r>
          </w:p>
          <w:p w14:paraId="1E35B71E" w14:textId="77777777" w:rsidR="000D0C23" w:rsidRPr="008F5372" w:rsidRDefault="000D0C23">
            <w:pPr>
              <w:autoSpaceDE w:val="0"/>
              <w:autoSpaceDN w:val="0"/>
              <w:adjustRightInd w:val="0"/>
              <w:ind w:left="176"/>
              <w:rPr>
                <w:sz w:val="22"/>
                <w:szCs w:val="22"/>
                <w:lang w:val="en-US"/>
              </w:rPr>
            </w:pPr>
            <w:r w:rsidRPr="008F5372">
              <w:rPr>
                <w:sz w:val="22"/>
                <w:szCs w:val="22"/>
                <w:lang w:val="en-US"/>
              </w:rPr>
              <w:t>K-M at year 10, % (95% CI)</w:t>
            </w:r>
          </w:p>
          <w:p w14:paraId="0DBEB911" w14:textId="77777777" w:rsidR="000D0C23" w:rsidRPr="008F5372" w:rsidRDefault="000D0C23">
            <w:pPr>
              <w:autoSpaceDE w:val="0"/>
              <w:autoSpaceDN w:val="0"/>
              <w:adjustRightInd w:val="0"/>
              <w:ind w:left="176"/>
              <w:rPr>
                <w:sz w:val="22"/>
                <w:szCs w:val="22"/>
              </w:rPr>
            </w:pPr>
            <w:r w:rsidRPr="008F5372">
              <w:rPr>
                <w:sz w:val="22"/>
                <w:szCs w:val="22"/>
              </w:rPr>
              <w:t>Median, weeks (95% CI)</w:t>
            </w:r>
          </w:p>
        </w:tc>
        <w:tc>
          <w:tcPr>
            <w:tcW w:w="806" w:type="pct"/>
            <w:tcBorders>
              <w:top w:val="single" w:sz="4" w:space="0" w:color="auto"/>
              <w:left w:val="single" w:sz="4" w:space="0" w:color="auto"/>
              <w:bottom w:val="single" w:sz="4" w:space="0" w:color="auto"/>
              <w:right w:val="single" w:sz="4" w:space="0" w:color="auto"/>
            </w:tcBorders>
            <w:hideMark/>
          </w:tcPr>
          <w:p w14:paraId="68CE795F" w14:textId="77777777" w:rsidR="000D0C23" w:rsidRPr="008F5372" w:rsidRDefault="000D0C23">
            <w:pPr>
              <w:autoSpaceDE w:val="0"/>
              <w:autoSpaceDN w:val="0"/>
              <w:adjustRightInd w:val="0"/>
              <w:jc w:val="center"/>
              <w:rPr>
                <w:sz w:val="22"/>
                <w:szCs w:val="22"/>
              </w:rPr>
            </w:pPr>
            <w:r w:rsidRPr="008F5372">
              <w:rPr>
                <w:sz w:val="22"/>
                <w:szCs w:val="22"/>
              </w:rPr>
              <w:t>N=130</w:t>
            </w:r>
          </w:p>
          <w:p w14:paraId="54131431" w14:textId="77777777" w:rsidR="000D0C23" w:rsidRPr="008F5372" w:rsidRDefault="000D0C23">
            <w:pPr>
              <w:autoSpaceDE w:val="0"/>
              <w:autoSpaceDN w:val="0"/>
              <w:adjustRightInd w:val="0"/>
              <w:jc w:val="center"/>
              <w:rPr>
                <w:sz w:val="22"/>
                <w:szCs w:val="22"/>
              </w:rPr>
            </w:pPr>
            <w:r w:rsidRPr="008F5372">
              <w:rPr>
                <w:sz w:val="22"/>
                <w:szCs w:val="22"/>
              </w:rPr>
              <w:t>69.7</w:t>
            </w:r>
          </w:p>
          <w:p w14:paraId="7AFA7E1A" w14:textId="77777777" w:rsidR="000D0C23" w:rsidRPr="008F5372" w:rsidRDefault="000D0C23">
            <w:pPr>
              <w:autoSpaceDE w:val="0"/>
              <w:autoSpaceDN w:val="0"/>
              <w:adjustRightInd w:val="0"/>
              <w:jc w:val="center"/>
              <w:rPr>
                <w:sz w:val="22"/>
                <w:szCs w:val="22"/>
              </w:rPr>
            </w:pPr>
            <w:r w:rsidRPr="008F5372">
              <w:rPr>
                <w:sz w:val="22"/>
                <w:szCs w:val="22"/>
              </w:rPr>
              <w:t>(61.3,78.2)</w:t>
            </w:r>
          </w:p>
          <w:p w14:paraId="76C4B7A2" w14:textId="77777777" w:rsidR="000D0C23" w:rsidRPr="008F5372" w:rsidRDefault="000D0C23">
            <w:pPr>
              <w:autoSpaceDE w:val="0"/>
              <w:autoSpaceDN w:val="0"/>
              <w:adjustRightInd w:val="0"/>
              <w:jc w:val="center"/>
              <w:rPr>
                <w:sz w:val="22"/>
                <w:szCs w:val="22"/>
              </w:rPr>
            </w:pPr>
            <w:r w:rsidRPr="008F5372">
              <w:rPr>
                <w:sz w:val="22"/>
                <w:szCs w:val="22"/>
              </w:rPr>
              <w:t>63.4</w:t>
            </w:r>
          </w:p>
          <w:p w14:paraId="73C5BC5B" w14:textId="77777777" w:rsidR="000D0C23" w:rsidRPr="008F5372" w:rsidRDefault="000D0C23">
            <w:pPr>
              <w:autoSpaceDE w:val="0"/>
              <w:autoSpaceDN w:val="0"/>
              <w:adjustRightInd w:val="0"/>
              <w:jc w:val="center"/>
              <w:rPr>
                <w:sz w:val="22"/>
                <w:szCs w:val="22"/>
              </w:rPr>
            </w:pPr>
            <w:r w:rsidRPr="008F5372">
              <w:rPr>
                <w:sz w:val="22"/>
                <w:szCs w:val="22"/>
              </w:rPr>
              <w:t>(54.0,72.8)</w:t>
            </w:r>
          </w:p>
          <w:p w14:paraId="03D7EEAA" w14:textId="77777777" w:rsidR="000D0C23" w:rsidRPr="008F5372" w:rsidRDefault="000D0C23">
            <w:pPr>
              <w:autoSpaceDE w:val="0"/>
              <w:autoSpaceDN w:val="0"/>
              <w:adjustRightInd w:val="0"/>
              <w:jc w:val="center"/>
              <w:rPr>
                <w:sz w:val="22"/>
                <w:szCs w:val="22"/>
              </w:rPr>
            </w:pPr>
            <w:r w:rsidRPr="008F5372">
              <w:rPr>
                <w:sz w:val="22"/>
                <w:szCs w:val="22"/>
              </w:rPr>
              <w:t>N/R</w:t>
            </w:r>
          </w:p>
        </w:tc>
        <w:tc>
          <w:tcPr>
            <w:tcW w:w="792" w:type="pct"/>
            <w:tcBorders>
              <w:top w:val="single" w:sz="4" w:space="0" w:color="auto"/>
              <w:left w:val="single" w:sz="4" w:space="0" w:color="auto"/>
              <w:bottom w:val="single" w:sz="4" w:space="0" w:color="auto"/>
              <w:right w:val="single" w:sz="4" w:space="0" w:color="auto"/>
            </w:tcBorders>
            <w:hideMark/>
          </w:tcPr>
          <w:p w14:paraId="0DEBB020" w14:textId="77777777" w:rsidR="000D0C23" w:rsidRPr="008F5372" w:rsidRDefault="000D0C23">
            <w:pPr>
              <w:autoSpaceDE w:val="0"/>
              <w:autoSpaceDN w:val="0"/>
              <w:adjustRightInd w:val="0"/>
              <w:jc w:val="center"/>
              <w:rPr>
                <w:sz w:val="22"/>
                <w:szCs w:val="22"/>
              </w:rPr>
            </w:pPr>
            <w:r w:rsidRPr="008F5372">
              <w:rPr>
                <w:sz w:val="22"/>
                <w:szCs w:val="22"/>
              </w:rPr>
              <w:t>N=36</w:t>
            </w:r>
          </w:p>
          <w:p w14:paraId="25D0703A" w14:textId="77777777" w:rsidR="000D0C23" w:rsidRPr="008F5372" w:rsidRDefault="000D0C23">
            <w:pPr>
              <w:autoSpaceDE w:val="0"/>
              <w:autoSpaceDN w:val="0"/>
              <w:adjustRightInd w:val="0"/>
              <w:jc w:val="center"/>
              <w:rPr>
                <w:sz w:val="22"/>
                <w:szCs w:val="22"/>
              </w:rPr>
            </w:pPr>
            <w:r w:rsidRPr="008F5372">
              <w:rPr>
                <w:sz w:val="22"/>
                <w:szCs w:val="22"/>
              </w:rPr>
              <w:t>54.4</w:t>
            </w:r>
          </w:p>
          <w:p w14:paraId="486E282D" w14:textId="77777777" w:rsidR="000D0C23" w:rsidRPr="008F5372" w:rsidRDefault="000D0C23">
            <w:pPr>
              <w:autoSpaceDE w:val="0"/>
              <w:autoSpaceDN w:val="0"/>
              <w:adjustRightInd w:val="0"/>
              <w:jc w:val="center"/>
              <w:rPr>
                <w:sz w:val="22"/>
                <w:szCs w:val="22"/>
              </w:rPr>
            </w:pPr>
            <w:r w:rsidRPr="008F5372">
              <w:rPr>
                <w:sz w:val="22"/>
                <w:szCs w:val="22"/>
              </w:rPr>
              <w:t>(36.7,72.1)</w:t>
            </w:r>
          </w:p>
          <w:p w14:paraId="45082EA6" w14:textId="77777777" w:rsidR="000D0C23" w:rsidRPr="008F5372" w:rsidRDefault="000D0C23">
            <w:pPr>
              <w:autoSpaceDE w:val="0"/>
              <w:autoSpaceDN w:val="0"/>
              <w:adjustRightInd w:val="0"/>
              <w:jc w:val="center"/>
              <w:rPr>
                <w:sz w:val="22"/>
                <w:szCs w:val="22"/>
              </w:rPr>
            </w:pPr>
            <w:r w:rsidRPr="008F5372">
              <w:rPr>
                <w:sz w:val="22"/>
                <w:szCs w:val="22"/>
              </w:rPr>
              <w:t>40.8</w:t>
            </w:r>
          </w:p>
          <w:p w14:paraId="65F26A26" w14:textId="77777777" w:rsidR="000D0C23" w:rsidRPr="008F5372" w:rsidRDefault="000D0C23">
            <w:pPr>
              <w:autoSpaceDE w:val="0"/>
              <w:autoSpaceDN w:val="0"/>
              <w:adjustRightInd w:val="0"/>
              <w:jc w:val="center"/>
              <w:rPr>
                <w:sz w:val="22"/>
                <w:szCs w:val="22"/>
              </w:rPr>
            </w:pPr>
            <w:r w:rsidRPr="008F5372">
              <w:rPr>
                <w:sz w:val="22"/>
                <w:szCs w:val="22"/>
              </w:rPr>
              <w:t>(22.0,59.6)</w:t>
            </w:r>
          </w:p>
          <w:p w14:paraId="1FDF1776" w14:textId="77777777" w:rsidR="000D0C23" w:rsidRPr="008F5372" w:rsidRDefault="000D0C23">
            <w:pPr>
              <w:autoSpaceDE w:val="0"/>
              <w:autoSpaceDN w:val="0"/>
              <w:adjustRightInd w:val="0"/>
              <w:jc w:val="center"/>
              <w:rPr>
                <w:sz w:val="22"/>
                <w:szCs w:val="22"/>
              </w:rPr>
            </w:pPr>
            <w:r w:rsidRPr="008F5372">
              <w:rPr>
                <w:sz w:val="22"/>
                <w:szCs w:val="22"/>
              </w:rPr>
              <w:t>252.0</w:t>
            </w:r>
          </w:p>
          <w:p w14:paraId="4C93D3AC" w14:textId="77777777" w:rsidR="000D0C23" w:rsidRPr="008F5372" w:rsidRDefault="000D0C23">
            <w:pPr>
              <w:autoSpaceDE w:val="0"/>
              <w:autoSpaceDN w:val="0"/>
              <w:adjustRightInd w:val="0"/>
              <w:jc w:val="center"/>
              <w:rPr>
                <w:sz w:val="22"/>
                <w:szCs w:val="22"/>
              </w:rPr>
            </w:pPr>
            <w:r w:rsidRPr="008F5372">
              <w:rPr>
                <w:sz w:val="22"/>
                <w:szCs w:val="22"/>
              </w:rPr>
              <w:t>(24.0,N/E)</w:t>
            </w:r>
          </w:p>
        </w:tc>
        <w:tc>
          <w:tcPr>
            <w:tcW w:w="789" w:type="pct"/>
            <w:tcBorders>
              <w:top w:val="single" w:sz="4" w:space="0" w:color="auto"/>
              <w:left w:val="single" w:sz="4" w:space="0" w:color="auto"/>
              <w:bottom w:val="single" w:sz="4" w:space="0" w:color="auto"/>
              <w:right w:val="single" w:sz="4" w:space="0" w:color="auto"/>
            </w:tcBorders>
            <w:hideMark/>
          </w:tcPr>
          <w:p w14:paraId="5E2C441A" w14:textId="77777777" w:rsidR="000D0C23" w:rsidRPr="008F5372" w:rsidRDefault="000D0C23">
            <w:pPr>
              <w:autoSpaceDE w:val="0"/>
              <w:autoSpaceDN w:val="0"/>
              <w:adjustRightInd w:val="0"/>
              <w:jc w:val="center"/>
              <w:rPr>
                <w:sz w:val="22"/>
                <w:szCs w:val="22"/>
              </w:rPr>
            </w:pPr>
            <w:r w:rsidRPr="008F5372">
              <w:rPr>
                <w:sz w:val="22"/>
                <w:szCs w:val="22"/>
              </w:rPr>
              <w:t>N=22</w:t>
            </w:r>
          </w:p>
          <w:p w14:paraId="633D7262" w14:textId="77777777" w:rsidR="000D0C23" w:rsidRPr="008F5372" w:rsidRDefault="000D0C23">
            <w:pPr>
              <w:autoSpaceDE w:val="0"/>
              <w:autoSpaceDN w:val="0"/>
              <w:adjustRightInd w:val="0"/>
              <w:jc w:val="center"/>
              <w:rPr>
                <w:sz w:val="22"/>
                <w:szCs w:val="22"/>
              </w:rPr>
            </w:pPr>
            <w:r w:rsidRPr="008F5372">
              <w:rPr>
                <w:sz w:val="22"/>
                <w:szCs w:val="22"/>
              </w:rPr>
              <w:t>40.0</w:t>
            </w:r>
          </w:p>
          <w:p w14:paraId="475A0ABE" w14:textId="77777777" w:rsidR="000D0C23" w:rsidRPr="008F5372" w:rsidRDefault="000D0C23">
            <w:pPr>
              <w:autoSpaceDE w:val="0"/>
              <w:autoSpaceDN w:val="0"/>
              <w:adjustRightInd w:val="0"/>
              <w:jc w:val="center"/>
              <w:rPr>
                <w:sz w:val="22"/>
                <w:szCs w:val="22"/>
              </w:rPr>
            </w:pPr>
            <w:r w:rsidRPr="008F5372">
              <w:rPr>
                <w:sz w:val="22"/>
                <w:szCs w:val="22"/>
              </w:rPr>
              <w:t>(18.5,61.5)</w:t>
            </w:r>
          </w:p>
          <w:p w14:paraId="645AFF80" w14:textId="77777777" w:rsidR="000D0C23" w:rsidRPr="008F5372" w:rsidRDefault="000D0C23">
            <w:pPr>
              <w:autoSpaceDE w:val="0"/>
              <w:autoSpaceDN w:val="0"/>
              <w:adjustRightInd w:val="0"/>
              <w:jc w:val="center"/>
              <w:rPr>
                <w:sz w:val="22"/>
                <w:szCs w:val="22"/>
              </w:rPr>
            </w:pPr>
            <w:r w:rsidRPr="008F5372">
              <w:rPr>
                <w:sz w:val="22"/>
                <w:szCs w:val="22"/>
              </w:rPr>
              <w:t>40.0</w:t>
            </w:r>
          </w:p>
          <w:p w14:paraId="1208C199" w14:textId="77777777" w:rsidR="000D0C23" w:rsidRPr="008F5372" w:rsidRDefault="000D0C23">
            <w:pPr>
              <w:autoSpaceDE w:val="0"/>
              <w:autoSpaceDN w:val="0"/>
              <w:adjustRightInd w:val="0"/>
              <w:jc w:val="center"/>
              <w:rPr>
                <w:sz w:val="22"/>
                <w:szCs w:val="22"/>
              </w:rPr>
            </w:pPr>
            <w:r w:rsidRPr="008F5372">
              <w:rPr>
                <w:sz w:val="22"/>
                <w:szCs w:val="22"/>
              </w:rPr>
              <w:t>(18.5,61.5)</w:t>
            </w:r>
          </w:p>
          <w:p w14:paraId="74F7B3DD" w14:textId="77777777" w:rsidR="000D0C23" w:rsidRPr="008F5372" w:rsidRDefault="000D0C23">
            <w:pPr>
              <w:autoSpaceDE w:val="0"/>
              <w:autoSpaceDN w:val="0"/>
              <w:adjustRightInd w:val="0"/>
              <w:jc w:val="center"/>
              <w:rPr>
                <w:sz w:val="22"/>
                <w:szCs w:val="22"/>
              </w:rPr>
            </w:pPr>
            <w:r w:rsidRPr="008F5372">
              <w:rPr>
                <w:sz w:val="22"/>
                <w:szCs w:val="22"/>
              </w:rPr>
              <w:t>72.0 (36.1,N/E)</w:t>
            </w:r>
          </w:p>
        </w:tc>
        <w:tc>
          <w:tcPr>
            <w:tcW w:w="850" w:type="pct"/>
            <w:tcBorders>
              <w:top w:val="single" w:sz="4" w:space="0" w:color="auto"/>
              <w:left w:val="single" w:sz="4" w:space="0" w:color="auto"/>
              <w:bottom w:val="single" w:sz="4" w:space="0" w:color="auto"/>
              <w:right w:val="single" w:sz="4" w:space="0" w:color="auto"/>
            </w:tcBorders>
            <w:hideMark/>
          </w:tcPr>
          <w:p w14:paraId="5DBC28B5" w14:textId="77777777" w:rsidR="000D0C23" w:rsidRPr="008F5372" w:rsidRDefault="000D0C23">
            <w:pPr>
              <w:autoSpaceDE w:val="0"/>
              <w:autoSpaceDN w:val="0"/>
              <w:adjustRightInd w:val="0"/>
              <w:jc w:val="center"/>
              <w:rPr>
                <w:sz w:val="22"/>
                <w:szCs w:val="22"/>
              </w:rPr>
            </w:pPr>
            <w:r w:rsidRPr="008F5372">
              <w:rPr>
                <w:sz w:val="22"/>
                <w:szCs w:val="22"/>
              </w:rPr>
              <w:t>N=15</w:t>
            </w:r>
          </w:p>
          <w:p w14:paraId="167298AC" w14:textId="77777777" w:rsidR="000D0C23" w:rsidRPr="008F5372" w:rsidRDefault="000D0C23">
            <w:pPr>
              <w:autoSpaceDE w:val="0"/>
              <w:autoSpaceDN w:val="0"/>
              <w:adjustRightInd w:val="0"/>
              <w:jc w:val="center"/>
              <w:rPr>
                <w:sz w:val="22"/>
                <w:szCs w:val="22"/>
              </w:rPr>
            </w:pPr>
            <w:r w:rsidRPr="008F5372">
              <w:rPr>
                <w:sz w:val="22"/>
                <w:szCs w:val="22"/>
              </w:rPr>
              <w:t>24.9 (0.9,48.9)</w:t>
            </w:r>
          </w:p>
          <w:p w14:paraId="4557CE0F" w14:textId="77777777" w:rsidR="000D0C23" w:rsidRPr="008F5372" w:rsidRDefault="000D0C23">
            <w:pPr>
              <w:autoSpaceDE w:val="0"/>
              <w:autoSpaceDN w:val="0"/>
              <w:adjustRightInd w:val="0"/>
              <w:jc w:val="center"/>
              <w:rPr>
                <w:sz w:val="22"/>
                <w:szCs w:val="22"/>
              </w:rPr>
            </w:pPr>
            <w:r w:rsidRPr="008F5372">
              <w:rPr>
                <w:sz w:val="22"/>
                <w:szCs w:val="22"/>
              </w:rPr>
              <w:t>N/E</w:t>
            </w:r>
          </w:p>
          <w:p w14:paraId="5488EB8A" w14:textId="77777777" w:rsidR="000D0C23" w:rsidRPr="008F5372" w:rsidRDefault="000D0C23">
            <w:pPr>
              <w:autoSpaceDE w:val="0"/>
              <w:autoSpaceDN w:val="0"/>
              <w:adjustRightInd w:val="0"/>
              <w:jc w:val="center"/>
              <w:rPr>
                <w:sz w:val="22"/>
                <w:szCs w:val="22"/>
              </w:rPr>
            </w:pPr>
            <w:r w:rsidRPr="008F5372">
              <w:rPr>
                <w:sz w:val="22"/>
                <w:szCs w:val="22"/>
              </w:rPr>
              <w:t>20.0 (9.1,29.6)</w:t>
            </w:r>
          </w:p>
        </w:tc>
      </w:tr>
      <w:tr w:rsidR="000D0C23" w:rsidRPr="008F5372" w14:paraId="476C05F9"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3E776171" w14:textId="77777777" w:rsidR="000D0C23" w:rsidRPr="008F5372" w:rsidRDefault="000D0C23">
            <w:pPr>
              <w:autoSpaceDE w:val="0"/>
              <w:autoSpaceDN w:val="0"/>
              <w:adjustRightInd w:val="0"/>
              <w:rPr>
                <w:sz w:val="22"/>
                <w:szCs w:val="22"/>
                <w:lang w:val="en-US"/>
              </w:rPr>
            </w:pPr>
            <w:r w:rsidRPr="008F5372">
              <w:rPr>
                <w:sz w:val="22"/>
                <w:szCs w:val="22"/>
                <w:lang w:val="en-US"/>
              </w:rPr>
              <w:t>Time to MMR for responders only</w:t>
            </w:r>
            <w:r w:rsidRPr="008F5372">
              <w:rPr>
                <w:sz w:val="22"/>
                <w:szCs w:val="22"/>
                <w:vertAlign w:val="superscript"/>
                <w:lang w:val="en-US"/>
              </w:rPr>
              <w:t>b</w:t>
            </w:r>
            <w:r w:rsidRPr="008F5372">
              <w:rPr>
                <w:sz w:val="22"/>
                <w:szCs w:val="22"/>
                <w:lang w:val="en-US"/>
              </w:rPr>
              <w:t>, median (range), weeks</w:t>
            </w:r>
          </w:p>
        </w:tc>
        <w:tc>
          <w:tcPr>
            <w:tcW w:w="806" w:type="pct"/>
            <w:tcBorders>
              <w:top w:val="single" w:sz="4" w:space="0" w:color="auto"/>
              <w:left w:val="single" w:sz="4" w:space="0" w:color="auto"/>
              <w:bottom w:val="single" w:sz="4" w:space="0" w:color="auto"/>
              <w:right w:val="single" w:sz="4" w:space="0" w:color="auto"/>
            </w:tcBorders>
            <w:hideMark/>
          </w:tcPr>
          <w:p w14:paraId="04E20DE9" w14:textId="77777777" w:rsidR="000D0C23" w:rsidRPr="008F5372" w:rsidRDefault="000D0C23">
            <w:pPr>
              <w:autoSpaceDE w:val="0"/>
              <w:autoSpaceDN w:val="0"/>
              <w:adjustRightInd w:val="0"/>
              <w:jc w:val="center"/>
              <w:rPr>
                <w:sz w:val="22"/>
                <w:szCs w:val="22"/>
              </w:rPr>
            </w:pPr>
            <w:r w:rsidRPr="008F5372">
              <w:rPr>
                <w:sz w:val="22"/>
                <w:szCs w:val="22"/>
              </w:rPr>
              <w:t>35.6</w:t>
            </w:r>
          </w:p>
          <w:p w14:paraId="6F3C5FA9" w14:textId="77777777" w:rsidR="000D0C23" w:rsidRPr="008F5372" w:rsidRDefault="000D0C23">
            <w:pPr>
              <w:autoSpaceDE w:val="0"/>
              <w:autoSpaceDN w:val="0"/>
              <w:adjustRightInd w:val="0"/>
              <w:jc w:val="center"/>
              <w:rPr>
                <w:sz w:val="22"/>
                <w:szCs w:val="22"/>
              </w:rPr>
            </w:pPr>
            <w:r w:rsidRPr="008F5372">
              <w:rPr>
                <w:sz w:val="22"/>
                <w:szCs w:val="22"/>
              </w:rPr>
              <w:t>(3.1,367.1)</w:t>
            </w:r>
          </w:p>
        </w:tc>
        <w:tc>
          <w:tcPr>
            <w:tcW w:w="792" w:type="pct"/>
            <w:tcBorders>
              <w:top w:val="single" w:sz="4" w:space="0" w:color="auto"/>
              <w:left w:val="single" w:sz="4" w:space="0" w:color="auto"/>
              <w:bottom w:val="single" w:sz="4" w:space="0" w:color="auto"/>
              <w:right w:val="single" w:sz="4" w:space="0" w:color="auto"/>
            </w:tcBorders>
            <w:hideMark/>
          </w:tcPr>
          <w:p w14:paraId="7A2EC330" w14:textId="77777777" w:rsidR="000D0C23" w:rsidRPr="008F5372" w:rsidRDefault="000D0C23">
            <w:pPr>
              <w:autoSpaceDE w:val="0"/>
              <w:autoSpaceDN w:val="0"/>
              <w:adjustRightInd w:val="0"/>
              <w:jc w:val="center"/>
              <w:rPr>
                <w:sz w:val="22"/>
                <w:szCs w:val="22"/>
              </w:rPr>
            </w:pPr>
            <w:r w:rsidRPr="008F5372">
              <w:rPr>
                <w:sz w:val="22"/>
                <w:szCs w:val="22"/>
              </w:rPr>
              <w:t>12.4</w:t>
            </w:r>
          </w:p>
          <w:p w14:paraId="6F02FEBF" w14:textId="77777777" w:rsidR="000D0C23" w:rsidRPr="008F5372" w:rsidRDefault="000D0C23">
            <w:pPr>
              <w:autoSpaceDE w:val="0"/>
              <w:autoSpaceDN w:val="0"/>
              <w:adjustRightInd w:val="0"/>
              <w:jc w:val="center"/>
              <w:rPr>
                <w:sz w:val="22"/>
                <w:szCs w:val="22"/>
              </w:rPr>
            </w:pPr>
            <w:r w:rsidRPr="008F5372">
              <w:rPr>
                <w:sz w:val="22"/>
                <w:szCs w:val="22"/>
              </w:rPr>
              <w:t>(4.0,171.7)</w:t>
            </w:r>
          </w:p>
        </w:tc>
        <w:tc>
          <w:tcPr>
            <w:tcW w:w="789" w:type="pct"/>
            <w:tcBorders>
              <w:top w:val="single" w:sz="4" w:space="0" w:color="auto"/>
              <w:left w:val="single" w:sz="4" w:space="0" w:color="auto"/>
              <w:bottom w:val="single" w:sz="4" w:space="0" w:color="auto"/>
              <w:right w:val="single" w:sz="4" w:space="0" w:color="auto"/>
            </w:tcBorders>
            <w:hideMark/>
          </w:tcPr>
          <w:p w14:paraId="60F3DE65" w14:textId="77777777" w:rsidR="000D0C23" w:rsidRPr="008F5372" w:rsidRDefault="000D0C23">
            <w:pPr>
              <w:autoSpaceDE w:val="0"/>
              <w:autoSpaceDN w:val="0"/>
              <w:adjustRightInd w:val="0"/>
              <w:jc w:val="center"/>
              <w:rPr>
                <w:sz w:val="22"/>
                <w:szCs w:val="22"/>
              </w:rPr>
            </w:pPr>
            <w:r w:rsidRPr="008F5372">
              <w:rPr>
                <w:sz w:val="22"/>
                <w:szCs w:val="22"/>
              </w:rPr>
              <w:t>36.1</w:t>
            </w:r>
          </w:p>
          <w:p w14:paraId="06A7B005" w14:textId="77777777" w:rsidR="000D0C23" w:rsidRPr="008F5372" w:rsidRDefault="000D0C23">
            <w:pPr>
              <w:autoSpaceDE w:val="0"/>
              <w:autoSpaceDN w:val="0"/>
              <w:adjustRightInd w:val="0"/>
              <w:jc w:val="center"/>
              <w:rPr>
                <w:sz w:val="22"/>
                <w:szCs w:val="22"/>
              </w:rPr>
            </w:pPr>
            <w:r w:rsidRPr="008F5372">
              <w:rPr>
                <w:sz w:val="22"/>
                <w:szCs w:val="22"/>
              </w:rPr>
              <w:t>(12.1,144.1)</w:t>
            </w:r>
          </w:p>
        </w:tc>
        <w:tc>
          <w:tcPr>
            <w:tcW w:w="850" w:type="pct"/>
            <w:tcBorders>
              <w:top w:val="single" w:sz="4" w:space="0" w:color="auto"/>
              <w:left w:val="single" w:sz="4" w:space="0" w:color="auto"/>
              <w:bottom w:val="single" w:sz="4" w:space="0" w:color="auto"/>
              <w:right w:val="single" w:sz="4" w:space="0" w:color="auto"/>
            </w:tcBorders>
            <w:hideMark/>
          </w:tcPr>
          <w:p w14:paraId="6A1875CC" w14:textId="77777777" w:rsidR="000D0C23" w:rsidRPr="008F5372" w:rsidRDefault="000D0C23">
            <w:pPr>
              <w:autoSpaceDE w:val="0"/>
              <w:autoSpaceDN w:val="0"/>
              <w:adjustRightInd w:val="0"/>
              <w:jc w:val="center"/>
              <w:rPr>
                <w:sz w:val="22"/>
                <w:szCs w:val="22"/>
              </w:rPr>
            </w:pPr>
            <w:r w:rsidRPr="008F5372">
              <w:rPr>
                <w:sz w:val="22"/>
                <w:szCs w:val="22"/>
              </w:rPr>
              <w:t>4.7 (3.9,168.9)</w:t>
            </w:r>
          </w:p>
        </w:tc>
      </w:tr>
      <w:tr w:rsidR="000D0C23" w:rsidRPr="008F5372" w14:paraId="62CB6E8F"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162E0CC2" w14:textId="77777777" w:rsidR="000D0C23" w:rsidRPr="008F5372" w:rsidRDefault="000D0C23">
            <w:pPr>
              <w:autoSpaceDE w:val="0"/>
              <w:autoSpaceDN w:val="0"/>
              <w:adjustRightInd w:val="0"/>
              <w:rPr>
                <w:sz w:val="22"/>
                <w:szCs w:val="22"/>
                <w:lang w:val="en-US"/>
              </w:rPr>
            </w:pPr>
            <w:r w:rsidRPr="008F5372">
              <w:rPr>
                <w:sz w:val="22"/>
                <w:szCs w:val="22"/>
                <w:lang w:val="en-US"/>
              </w:rPr>
              <w:t>Duration of MMR</w:t>
            </w:r>
            <w:r w:rsidRPr="008F5372">
              <w:rPr>
                <w:sz w:val="22"/>
                <w:szCs w:val="22"/>
                <w:vertAlign w:val="superscript"/>
                <w:lang w:val="en-US"/>
              </w:rPr>
              <w:t>b</w:t>
            </w:r>
          </w:p>
          <w:p w14:paraId="7FAC2625" w14:textId="77777777" w:rsidR="000D0C23" w:rsidRPr="008F5372" w:rsidRDefault="000D0C23">
            <w:pPr>
              <w:autoSpaceDE w:val="0"/>
              <w:autoSpaceDN w:val="0"/>
              <w:adjustRightInd w:val="0"/>
              <w:ind w:left="176"/>
              <w:rPr>
                <w:sz w:val="22"/>
                <w:szCs w:val="22"/>
                <w:lang w:val="en-US"/>
              </w:rPr>
            </w:pPr>
            <w:r w:rsidRPr="008F5372">
              <w:rPr>
                <w:sz w:val="22"/>
                <w:szCs w:val="22"/>
                <w:lang w:val="en-US"/>
              </w:rPr>
              <w:t>K-M at year 5, % (95% CI)</w:t>
            </w:r>
          </w:p>
          <w:p w14:paraId="0A405813" w14:textId="77777777" w:rsidR="000D0C23" w:rsidRPr="008F5372" w:rsidRDefault="000D0C23">
            <w:pPr>
              <w:autoSpaceDE w:val="0"/>
              <w:autoSpaceDN w:val="0"/>
              <w:adjustRightInd w:val="0"/>
              <w:ind w:left="176"/>
              <w:rPr>
                <w:sz w:val="22"/>
                <w:szCs w:val="22"/>
                <w:lang w:val="en-US"/>
              </w:rPr>
            </w:pPr>
            <w:r w:rsidRPr="008F5372">
              <w:rPr>
                <w:sz w:val="22"/>
                <w:szCs w:val="22"/>
                <w:lang w:val="en-US"/>
              </w:rPr>
              <w:t>K-M at year 10, % (95% CI)</w:t>
            </w:r>
          </w:p>
          <w:p w14:paraId="617F837A" w14:textId="77777777" w:rsidR="000D0C23" w:rsidRPr="008F5372" w:rsidRDefault="000D0C23">
            <w:pPr>
              <w:autoSpaceDE w:val="0"/>
              <w:autoSpaceDN w:val="0"/>
              <w:adjustRightInd w:val="0"/>
              <w:ind w:left="176"/>
              <w:rPr>
                <w:sz w:val="22"/>
                <w:szCs w:val="22"/>
              </w:rPr>
            </w:pPr>
            <w:r w:rsidRPr="008F5372">
              <w:rPr>
                <w:sz w:val="22"/>
                <w:szCs w:val="22"/>
              </w:rPr>
              <w:t>Median, weeks (95% CI)</w:t>
            </w:r>
          </w:p>
        </w:tc>
        <w:tc>
          <w:tcPr>
            <w:tcW w:w="806" w:type="pct"/>
            <w:tcBorders>
              <w:top w:val="single" w:sz="4" w:space="0" w:color="auto"/>
              <w:left w:val="single" w:sz="4" w:space="0" w:color="auto"/>
              <w:bottom w:val="single" w:sz="4" w:space="0" w:color="auto"/>
              <w:right w:val="single" w:sz="4" w:space="0" w:color="auto"/>
            </w:tcBorders>
            <w:hideMark/>
          </w:tcPr>
          <w:p w14:paraId="73E3D076" w14:textId="77777777" w:rsidR="000D0C23" w:rsidRPr="008F5372" w:rsidRDefault="000D0C23">
            <w:pPr>
              <w:autoSpaceDE w:val="0"/>
              <w:autoSpaceDN w:val="0"/>
              <w:adjustRightInd w:val="0"/>
              <w:jc w:val="center"/>
              <w:rPr>
                <w:sz w:val="22"/>
                <w:szCs w:val="22"/>
              </w:rPr>
            </w:pPr>
            <w:r w:rsidRPr="008F5372">
              <w:rPr>
                <w:sz w:val="22"/>
                <w:szCs w:val="22"/>
              </w:rPr>
              <w:t>N=83</w:t>
            </w:r>
          </w:p>
          <w:p w14:paraId="05C1235A" w14:textId="77777777" w:rsidR="000D0C23" w:rsidRPr="008F5372" w:rsidRDefault="000D0C23">
            <w:pPr>
              <w:autoSpaceDE w:val="0"/>
              <w:autoSpaceDN w:val="0"/>
              <w:adjustRightInd w:val="0"/>
              <w:jc w:val="center"/>
              <w:rPr>
                <w:sz w:val="22"/>
                <w:szCs w:val="22"/>
              </w:rPr>
            </w:pPr>
            <w:r w:rsidRPr="008F5372">
              <w:rPr>
                <w:sz w:val="22"/>
                <w:szCs w:val="22"/>
              </w:rPr>
              <w:t>74.1</w:t>
            </w:r>
          </w:p>
          <w:p w14:paraId="5D75D723" w14:textId="77777777" w:rsidR="000D0C23" w:rsidRPr="008F5372" w:rsidRDefault="000D0C23">
            <w:pPr>
              <w:autoSpaceDE w:val="0"/>
              <w:autoSpaceDN w:val="0"/>
              <w:adjustRightInd w:val="0"/>
              <w:jc w:val="center"/>
              <w:rPr>
                <w:sz w:val="22"/>
                <w:szCs w:val="22"/>
              </w:rPr>
            </w:pPr>
            <w:r w:rsidRPr="008F5372">
              <w:rPr>
                <w:sz w:val="22"/>
                <w:szCs w:val="22"/>
              </w:rPr>
              <w:t>(64.2,83.9)</w:t>
            </w:r>
          </w:p>
          <w:p w14:paraId="0CCB3056" w14:textId="77777777" w:rsidR="000D0C23" w:rsidRPr="008F5372" w:rsidRDefault="000D0C23">
            <w:pPr>
              <w:autoSpaceDE w:val="0"/>
              <w:autoSpaceDN w:val="0"/>
              <w:adjustRightInd w:val="0"/>
              <w:jc w:val="center"/>
              <w:rPr>
                <w:sz w:val="22"/>
                <w:szCs w:val="22"/>
              </w:rPr>
            </w:pPr>
            <w:r w:rsidRPr="008F5372">
              <w:rPr>
                <w:sz w:val="22"/>
                <w:szCs w:val="22"/>
              </w:rPr>
              <w:t>63.4</w:t>
            </w:r>
          </w:p>
          <w:p w14:paraId="6A0A05D1" w14:textId="77777777" w:rsidR="000D0C23" w:rsidRPr="008F5372" w:rsidRDefault="000D0C23">
            <w:pPr>
              <w:autoSpaceDE w:val="0"/>
              <w:autoSpaceDN w:val="0"/>
              <w:adjustRightInd w:val="0"/>
              <w:jc w:val="center"/>
              <w:rPr>
                <w:sz w:val="22"/>
                <w:szCs w:val="22"/>
              </w:rPr>
            </w:pPr>
            <w:r w:rsidRPr="008F5372">
              <w:rPr>
                <w:sz w:val="22"/>
                <w:szCs w:val="22"/>
              </w:rPr>
              <w:t>(50.2,76.6)</w:t>
            </w:r>
          </w:p>
          <w:p w14:paraId="1D8E1412" w14:textId="77777777" w:rsidR="000D0C23" w:rsidRPr="008F5372" w:rsidRDefault="000D0C23">
            <w:pPr>
              <w:autoSpaceDE w:val="0"/>
              <w:autoSpaceDN w:val="0"/>
              <w:adjustRightInd w:val="0"/>
              <w:jc w:val="center"/>
              <w:rPr>
                <w:sz w:val="22"/>
                <w:szCs w:val="22"/>
              </w:rPr>
            </w:pPr>
            <w:r w:rsidRPr="008F5372">
              <w:rPr>
                <w:sz w:val="22"/>
                <w:szCs w:val="22"/>
              </w:rPr>
              <w:t>N/R</w:t>
            </w:r>
          </w:p>
        </w:tc>
        <w:tc>
          <w:tcPr>
            <w:tcW w:w="792" w:type="pct"/>
            <w:tcBorders>
              <w:top w:val="single" w:sz="4" w:space="0" w:color="auto"/>
              <w:left w:val="single" w:sz="4" w:space="0" w:color="auto"/>
              <w:bottom w:val="single" w:sz="4" w:space="0" w:color="auto"/>
              <w:right w:val="single" w:sz="4" w:space="0" w:color="auto"/>
            </w:tcBorders>
            <w:hideMark/>
          </w:tcPr>
          <w:p w14:paraId="6EA4B4A7" w14:textId="77777777" w:rsidR="000D0C23" w:rsidRPr="008F5372" w:rsidRDefault="000D0C23">
            <w:pPr>
              <w:autoSpaceDE w:val="0"/>
              <w:autoSpaceDN w:val="0"/>
              <w:adjustRightInd w:val="0"/>
              <w:jc w:val="center"/>
              <w:rPr>
                <w:sz w:val="22"/>
                <w:szCs w:val="22"/>
              </w:rPr>
            </w:pPr>
            <w:r w:rsidRPr="008F5372">
              <w:rPr>
                <w:sz w:val="22"/>
                <w:szCs w:val="22"/>
              </w:rPr>
              <w:t>N=19</w:t>
            </w:r>
          </w:p>
          <w:p w14:paraId="3FB35AC3" w14:textId="77777777" w:rsidR="000D0C23" w:rsidRPr="008F5372" w:rsidRDefault="000D0C23">
            <w:pPr>
              <w:autoSpaceDE w:val="0"/>
              <w:autoSpaceDN w:val="0"/>
              <w:adjustRightInd w:val="0"/>
              <w:jc w:val="center"/>
              <w:rPr>
                <w:sz w:val="22"/>
                <w:szCs w:val="22"/>
              </w:rPr>
            </w:pPr>
            <w:r w:rsidRPr="008F5372">
              <w:rPr>
                <w:sz w:val="22"/>
                <w:szCs w:val="22"/>
              </w:rPr>
              <w:t>70.0</w:t>
            </w:r>
          </w:p>
          <w:p w14:paraId="5EADBA7D" w14:textId="77777777" w:rsidR="000D0C23" w:rsidRPr="008F5372" w:rsidRDefault="000D0C23">
            <w:pPr>
              <w:autoSpaceDE w:val="0"/>
              <w:autoSpaceDN w:val="0"/>
              <w:adjustRightInd w:val="0"/>
              <w:jc w:val="center"/>
              <w:rPr>
                <w:sz w:val="22"/>
                <w:szCs w:val="22"/>
              </w:rPr>
            </w:pPr>
            <w:r w:rsidRPr="008F5372">
              <w:rPr>
                <w:sz w:val="22"/>
                <w:szCs w:val="22"/>
              </w:rPr>
              <w:t>(47.5,92.5)</w:t>
            </w:r>
          </w:p>
          <w:p w14:paraId="49D82A79" w14:textId="77777777" w:rsidR="000D0C23" w:rsidRPr="008F5372" w:rsidRDefault="000D0C23">
            <w:pPr>
              <w:autoSpaceDE w:val="0"/>
              <w:autoSpaceDN w:val="0"/>
              <w:adjustRightInd w:val="0"/>
              <w:jc w:val="center"/>
              <w:rPr>
                <w:sz w:val="22"/>
                <w:szCs w:val="22"/>
              </w:rPr>
            </w:pPr>
            <w:r w:rsidRPr="008F5372">
              <w:rPr>
                <w:sz w:val="22"/>
                <w:szCs w:val="22"/>
              </w:rPr>
              <w:t>70.0</w:t>
            </w:r>
          </w:p>
          <w:p w14:paraId="04E22E5D" w14:textId="77777777" w:rsidR="000D0C23" w:rsidRPr="008F5372" w:rsidRDefault="000D0C23">
            <w:pPr>
              <w:autoSpaceDE w:val="0"/>
              <w:autoSpaceDN w:val="0"/>
              <w:adjustRightInd w:val="0"/>
              <w:jc w:val="center"/>
              <w:rPr>
                <w:sz w:val="22"/>
                <w:szCs w:val="22"/>
              </w:rPr>
            </w:pPr>
            <w:r w:rsidRPr="008F5372">
              <w:rPr>
                <w:sz w:val="22"/>
                <w:szCs w:val="22"/>
              </w:rPr>
              <w:t>(47.5,92.5)</w:t>
            </w:r>
          </w:p>
          <w:p w14:paraId="7419676B" w14:textId="77777777" w:rsidR="000D0C23" w:rsidRPr="008F5372" w:rsidRDefault="000D0C23">
            <w:pPr>
              <w:autoSpaceDE w:val="0"/>
              <w:autoSpaceDN w:val="0"/>
              <w:adjustRightInd w:val="0"/>
              <w:jc w:val="center"/>
              <w:rPr>
                <w:sz w:val="22"/>
                <w:szCs w:val="22"/>
              </w:rPr>
            </w:pPr>
            <w:r w:rsidRPr="008F5372">
              <w:rPr>
                <w:sz w:val="22"/>
                <w:szCs w:val="22"/>
              </w:rPr>
              <w:t>N/R</w:t>
            </w:r>
          </w:p>
        </w:tc>
        <w:tc>
          <w:tcPr>
            <w:tcW w:w="789" w:type="pct"/>
            <w:tcBorders>
              <w:top w:val="single" w:sz="4" w:space="0" w:color="auto"/>
              <w:left w:val="single" w:sz="4" w:space="0" w:color="auto"/>
              <w:bottom w:val="single" w:sz="4" w:space="0" w:color="auto"/>
              <w:right w:val="single" w:sz="4" w:space="0" w:color="auto"/>
            </w:tcBorders>
            <w:hideMark/>
          </w:tcPr>
          <w:p w14:paraId="0DA17893" w14:textId="77777777" w:rsidR="000D0C23" w:rsidRPr="008F5372" w:rsidRDefault="000D0C23">
            <w:pPr>
              <w:autoSpaceDE w:val="0"/>
              <w:autoSpaceDN w:val="0"/>
              <w:adjustRightInd w:val="0"/>
              <w:jc w:val="center"/>
              <w:rPr>
                <w:sz w:val="22"/>
                <w:szCs w:val="22"/>
              </w:rPr>
            </w:pPr>
            <w:r w:rsidRPr="008F5372">
              <w:rPr>
                <w:sz w:val="22"/>
                <w:szCs w:val="22"/>
              </w:rPr>
              <w:t>N=9</w:t>
            </w:r>
          </w:p>
          <w:p w14:paraId="069B46E5" w14:textId="77777777" w:rsidR="000D0C23" w:rsidRPr="008F5372" w:rsidRDefault="000D0C23">
            <w:pPr>
              <w:autoSpaceDE w:val="0"/>
              <w:autoSpaceDN w:val="0"/>
              <w:adjustRightInd w:val="0"/>
              <w:jc w:val="center"/>
              <w:rPr>
                <w:sz w:val="22"/>
                <w:szCs w:val="22"/>
              </w:rPr>
            </w:pPr>
            <w:r w:rsidRPr="008F5372">
              <w:rPr>
                <w:sz w:val="22"/>
                <w:szCs w:val="22"/>
              </w:rPr>
              <w:t>66.7</w:t>
            </w:r>
          </w:p>
          <w:p w14:paraId="0DFB681B" w14:textId="77777777" w:rsidR="000D0C23" w:rsidRPr="008F5372" w:rsidRDefault="000D0C23">
            <w:pPr>
              <w:autoSpaceDE w:val="0"/>
              <w:autoSpaceDN w:val="0"/>
              <w:adjustRightInd w:val="0"/>
              <w:jc w:val="center"/>
              <w:rPr>
                <w:sz w:val="22"/>
                <w:szCs w:val="22"/>
              </w:rPr>
            </w:pPr>
            <w:r w:rsidRPr="008F5372">
              <w:rPr>
                <w:sz w:val="22"/>
                <w:szCs w:val="22"/>
              </w:rPr>
              <w:t>(35.9,97.5)</w:t>
            </w:r>
          </w:p>
          <w:p w14:paraId="00D58E08" w14:textId="77777777" w:rsidR="000D0C23" w:rsidRPr="008F5372" w:rsidRDefault="000D0C23">
            <w:pPr>
              <w:autoSpaceDE w:val="0"/>
              <w:autoSpaceDN w:val="0"/>
              <w:adjustRightInd w:val="0"/>
              <w:jc w:val="center"/>
              <w:rPr>
                <w:sz w:val="22"/>
                <w:szCs w:val="22"/>
              </w:rPr>
            </w:pPr>
            <w:r w:rsidRPr="008F5372">
              <w:rPr>
                <w:sz w:val="22"/>
                <w:szCs w:val="22"/>
              </w:rPr>
              <w:t>66.7</w:t>
            </w:r>
          </w:p>
          <w:p w14:paraId="1BB6818E" w14:textId="77777777" w:rsidR="000D0C23" w:rsidRPr="008F5372" w:rsidRDefault="000D0C23">
            <w:pPr>
              <w:autoSpaceDE w:val="0"/>
              <w:autoSpaceDN w:val="0"/>
              <w:adjustRightInd w:val="0"/>
              <w:jc w:val="center"/>
              <w:rPr>
                <w:sz w:val="22"/>
                <w:szCs w:val="22"/>
              </w:rPr>
            </w:pPr>
            <w:r w:rsidRPr="008F5372">
              <w:rPr>
                <w:sz w:val="22"/>
                <w:szCs w:val="22"/>
              </w:rPr>
              <w:t>(35.9,97.5)</w:t>
            </w:r>
          </w:p>
          <w:p w14:paraId="4394E45A" w14:textId="77777777" w:rsidR="000D0C23" w:rsidRPr="008F5372" w:rsidRDefault="000D0C23">
            <w:pPr>
              <w:autoSpaceDE w:val="0"/>
              <w:autoSpaceDN w:val="0"/>
              <w:adjustRightInd w:val="0"/>
              <w:jc w:val="center"/>
              <w:rPr>
                <w:sz w:val="22"/>
                <w:szCs w:val="22"/>
              </w:rPr>
            </w:pPr>
            <w:r w:rsidRPr="008F5372">
              <w:rPr>
                <w:sz w:val="22"/>
                <w:szCs w:val="22"/>
              </w:rPr>
              <w:t>N/R</w:t>
            </w:r>
          </w:p>
        </w:tc>
        <w:tc>
          <w:tcPr>
            <w:tcW w:w="850" w:type="pct"/>
            <w:tcBorders>
              <w:top w:val="single" w:sz="4" w:space="0" w:color="auto"/>
              <w:left w:val="single" w:sz="4" w:space="0" w:color="auto"/>
              <w:bottom w:val="single" w:sz="4" w:space="0" w:color="auto"/>
              <w:right w:val="single" w:sz="4" w:space="0" w:color="auto"/>
            </w:tcBorders>
            <w:hideMark/>
          </w:tcPr>
          <w:p w14:paraId="420925C7" w14:textId="77777777" w:rsidR="000D0C23" w:rsidRPr="008F5372" w:rsidRDefault="000D0C23">
            <w:pPr>
              <w:autoSpaceDE w:val="0"/>
              <w:autoSpaceDN w:val="0"/>
              <w:adjustRightInd w:val="0"/>
              <w:jc w:val="center"/>
              <w:rPr>
                <w:sz w:val="22"/>
                <w:szCs w:val="22"/>
              </w:rPr>
            </w:pPr>
            <w:r w:rsidRPr="008F5372">
              <w:rPr>
                <w:sz w:val="22"/>
                <w:szCs w:val="22"/>
              </w:rPr>
              <w:t>N=5</w:t>
            </w:r>
          </w:p>
          <w:p w14:paraId="73FB139D" w14:textId="77777777" w:rsidR="000D0C23" w:rsidRPr="008F5372" w:rsidRDefault="000D0C23">
            <w:pPr>
              <w:autoSpaceDE w:val="0"/>
              <w:autoSpaceDN w:val="0"/>
              <w:adjustRightInd w:val="0"/>
              <w:jc w:val="center"/>
              <w:rPr>
                <w:sz w:val="22"/>
                <w:szCs w:val="22"/>
              </w:rPr>
            </w:pPr>
            <w:r w:rsidRPr="008F5372">
              <w:rPr>
                <w:sz w:val="22"/>
                <w:szCs w:val="22"/>
              </w:rPr>
              <w:t>60.0</w:t>
            </w:r>
          </w:p>
          <w:p w14:paraId="022C6374" w14:textId="77777777" w:rsidR="000D0C23" w:rsidRPr="008F5372" w:rsidRDefault="000D0C23">
            <w:pPr>
              <w:autoSpaceDE w:val="0"/>
              <w:autoSpaceDN w:val="0"/>
              <w:adjustRightInd w:val="0"/>
              <w:jc w:val="center"/>
              <w:rPr>
                <w:sz w:val="22"/>
                <w:szCs w:val="22"/>
              </w:rPr>
            </w:pPr>
            <w:r w:rsidRPr="008F5372">
              <w:rPr>
                <w:sz w:val="22"/>
                <w:szCs w:val="22"/>
              </w:rPr>
              <w:t>(17.1,100.0)</w:t>
            </w:r>
          </w:p>
          <w:p w14:paraId="7BEFFE87" w14:textId="77777777" w:rsidR="000D0C23" w:rsidRPr="008F5372" w:rsidRDefault="000D0C23">
            <w:pPr>
              <w:autoSpaceDE w:val="0"/>
              <w:autoSpaceDN w:val="0"/>
              <w:adjustRightInd w:val="0"/>
              <w:jc w:val="center"/>
              <w:rPr>
                <w:sz w:val="22"/>
                <w:szCs w:val="22"/>
              </w:rPr>
            </w:pPr>
            <w:r w:rsidRPr="008F5372">
              <w:rPr>
                <w:sz w:val="22"/>
                <w:szCs w:val="22"/>
              </w:rPr>
              <w:t>N/E</w:t>
            </w:r>
          </w:p>
          <w:p w14:paraId="41047363" w14:textId="77777777" w:rsidR="000D0C23" w:rsidRPr="008F5372" w:rsidRDefault="000D0C23">
            <w:pPr>
              <w:autoSpaceDE w:val="0"/>
              <w:autoSpaceDN w:val="0"/>
              <w:adjustRightInd w:val="0"/>
              <w:jc w:val="center"/>
              <w:rPr>
                <w:sz w:val="22"/>
                <w:szCs w:val="22"/>
              </w:rPr>
            </w:pPr>
            <w:r w:rsidRPr="008F5372">
              <w:rPr>
                <w:sz w:val="22"/>
                <w:szCs w:val="22"/>
              </w:rPr>
              <w:t>N/R</w:t>
            </w:r>
          </w:p>
        </w:tc>
      </w:tr>
      <w:tr w:rsidR="000D0C23" w:rsidRPr="008F5372" w14:paraId="64E9CAF7"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315D5CBC" w14:textId="77777777" w:rsidR="000D0C23" w:rsidRPr="008F5372" w:rsidRDefault="000D0C23">
            <w:pPr>
              <w:autoSpaceDE w:val="0"/>
              <w:autoSpaceDN w:val="0"/>
              <w:adjustRightInd w:val="0"/>
              <w:rPr>
                <w:sz w:val="22"/>
                <w:szCs w:val="22"/>
                <w:lang w:val="en-US"/>
              </w:rPr>
            </w:pPr>
            <w:r w:rsidRPr="008F5372">
              <w:rPr>
                <w:sz w:val="22"/>
                <w:szCs w:val="22"/>
                <w:lang w:val="en-US"/>
              </w:rPr>
              <w:t>Time to MR</w:t>
            </w:r>
            <w:r w:rsidRPr="008F5372">
              <w:rPr>
                <w:sz w:val="22"/>
                <w:szCs w:val="22"/>
                <w:vertAlign w:val="superscript"/>
                <w:lang w:val="en-US"/>
              </w:rPr>
              <w:t>4</w:t>
            </w:r>
            <w:r w:rsidRPr="008F5372">
              <w:rPr>
                <w:sz w:val="22"/>
                <w:szCs w:val="22"/>
                <w:lang w:val="en-US"/>
              </w:rPr>
              <w:t xml:space="preserve"> for responders only</w:t>
            </w:r>
            <w:r w:rsidRPr="008F5372">
              <w:rPr>
                <w:sz w:val="22"/>
                <w:szCs w:val="22"/>
                <w:vertAlign w:val="superscript"/>
                <w:lang w:val="en-US"/>
              </w:rPr>
              <w:t>b</w:t>
            </w:r>
            <w:r w:rsidRPr="008F5372">
              <w:rPr>
                <w:sz w:val="22"/>
                <w:szCs w:val="22"/>
                <w:lang w:val="en-US"/>
              </w:rPr>
              <w:t>, median (range), weeks</w:t>
            </w:r>
          </w:p>
        </w:tc>
        <w:tc>
          <w:tcPr>
            <w:tcW w:w="806" w:type="pct"/>
            <w:tcBorders>
              <w:top w:val="single" w:sz="4" w:space="0" w:color="auto"/>
              <w:left w:val="single" w:sz="4" w:space="0" w:color="auto"/>
              <w:bottom w:val="single" w:sz="4" w:space="0" w:color="auto"/>
              <w:right w:val="single" w:sz="4" w:space="0" w:color="auto"/>
            </w:tcBorders>
            <w:hideMark/>
          </w:tcPr>
          <w:p w14:paraId="65BB6AA4" w14:textId="77777777" w:rsidR="000D0C23" w:rsidRPr="008F5372" w:rsidRDefault="000D0C23">
            <w:pPr>
              <w:autoSpaceDE w:val="0"/>
              <w:autoSpaceDN w:val="0"/>
              <w:adjustRightInd w:val="0"/>
              <w:jc w:val="center"/>
              <w:rPr>
                <w:sz w:val="22"/>
                <w:szCs w:val="22"/>
              </w:rPr>
            </w:pPr>
            <w:r w:rsidRPr="008F5372">
              <w:rPr>
                <w:sz w:val="22"/>
                <w:szCs w:val="22"/>
              </w:rPr>
              <w:t>28.0</w:t>
            </w:r>
          </w:p>
          <w:p w14:paraId="61F70751" w14:textId="77777777" w:rsidR="000D0C23" w:rsidRPr="008F5372" w:rsidRDefault="000D0C23">
            <w:pPr>
              <w:autoSpaceDE w:val="0"/>
              <w:autoSpaceDN w:val="0"/>
              <w:adjustRightInd w:val="0"/>
              <w:jc w:val="center"/>
              <w:rPr>
                <w:sz w:val="22"/>
                <w:szCs w:val="22"/>
              </w:rPr>
            </w:pPr>
            <w:r w:rsidRPr="008F5372">
              <w:rPr>
                <w:sz w:val="22"/>
                <w:szCs w:val="22"/>
              </w:rPr>
              <w:t>(3.1,583.1)</w:t>
            </w:r>
          </w:p>
        </w:tc>
        <w:tc>
          <w:tcPr>
            <w:tcW w:w="792" w:type="pct"/>
            <w:tcBorders>
              <w:top w:val="single" w:sz="4" w:space="0" w:color="auto"/>
              <w:left w:val="single" w:sz="4" w:space="0" w:color="auto"/>
              <w:bottom w:val="single" w:sz="4" w:space="0" w:color="auto"/>
              <w:right w:val="single" w:sz="4" w:space="0" w:color="auto"/>
            </w:tcBorders>
            <w:hideMark/>
          </w:tcPr>
          <w:p w14:paraId="5CE0A449" w14:textId="77777777" w:rsidR="000D0C23" w:rsidRPr="008F5372" w:rsidRDefault="000D0C23">
            <w:pPr>
              <w:autoSpaceDE w:val="0"/>
              <w:autoSpaceDN w:val="0"/>
              <w:adjustRightInd w:val="0"/>
              <w:jc w:val="center"/>
              <w:rPr>
                <w:sz w:val="22"/>
                <w:szCs w:val="22"/>
              </w:rPr>
            </w:pPr>
            <w:r w:rsidRPr="008F5372">
              <w:rPr>
                <w:sz w:val="22"/>
                <w:szCs w:val="22"/>
              </w:rPr>
              <w:t>23.8</w:t>
            </w:r>
          </w:p>
          <w:p w14:paraId="310B7A02" w14:textId="77777777" w:rsidR="000D0C23" w:rsidRPr="008F5372" w:rsidRDefault="000D0C23">
            <w:pPr>
              <w:autoSpaceDE w:val="0"/>
              <w:autoSpaceDN w:val="0"/>
              <w:adjustRightInd w:val="0"/>
              <w:jc w:val="center"/>
              <w:rPr>
                <w:sz w:val="22"/>
                <w:szCs w:val="22"/>
              </w:rPr>
            </w:pPr>
            <w:r w:rsidRPr="008F5372">
              <w:rPr>
                <w:sz w:val="22"/>
                <w:szCs w:val="22"/>
              </w:rPr>
              <w:t>(4.0,240.1)</w:t>
            </w:r>
          </w:p>
        </w:tc>
        <w:tc>
          <w:tcPr>
            <w:tcW w:w="789" w:type="pct"/>
            <w:tcBorders>
              <w:top w:val="single" w:sz="4" w:space="0" w:color="auto"/>
              <w:left w:val="single" w:sz="4" w:space="0" w:color="auto"/>
              <w:bottom w:val="single" w:sz="4" w:space="0" w:color="auto"/>
              <w:right w:val="single" w:sz="4" w:space="0" w:color="auto"/>
            </w:tcBorders>
            <w:hideMark/>
          </w:tcPr>
          <w:p w14:paraId="20547160" w14:textId="77777777" w:rsidR="000D0C23" w:rsidRPr="008F5372" w:rsidRDefault="000D0C23">
            <w:pPr>
              <w:autoSpaceDE w:val="0"/>
              <w:autoSpaceDN w:val="0"/>
              <w:adjustRightInd w:val="0"/>
              <w:jc w:val="center"/>
              <w:rPr>
                <w:sz w:val="22"/>
                <w:szCs w:val="22"/>
              </w:rPr>
            </w:pPr>
            <w:r w:rsidRPr="008F5372">
              <w:rPr>
                <w:sz w:val="22"/>
                <w:szCs w:val="22"/>
              </w:rPr>
              <w:t>24.1</w:t>
            </w:r>
          </w:p>
          <w:p w14:paraId="628E30C3" w14:textId="77777777" w:rsidR="000D0C23" w:rsidRPr="008F5372" w:rsidRDefault="000D0C23">
            <w:pPr>
              <w:autoSpaceDE w:val="0"/>
              <w:autoSpaceDN w:val="0"/>
              <w:adjustRightInd w:val="0"/>
              <w:jc w:val="center"/>
              <w:rPr>
                <w:sz w:val="22"/>
                <w:szCs w:val="22"/>
              </w:rPr>
            </w:pPr>
            <w:r w:rsidRPr="008F5372">
              <w:rPr>
                <w:sz w:val="22"/>
                <w:szCs w:val="22"/>
              </w:rPr>
              <w:t>(22.9,96.0)</w:t>
            </w:r>
          </w:p>
        </w:tc>
        <w:tc>
          <w:tcPr>
            <w:tcW w:w="850" w:type="pct"/>
            <w:tcBorders>
              <w:top w:val="single" w:sz="4" w:space="0" w:color="auto"/>
              <w:left w:val="single" w:sz="4" w:space="0" w:color="auto"/>
              <w:bottom w:val="single" w:sz="4" w:space="0" w:color="auto"/>
              <w:right w:val="single" w:sz="4" w:space="0" w:color="auto"/>
            </w:tcBorders>
            <w:hideMark/>
          </w:tcPr>
          <w:p w14:paraId="03F18E39" w14:textId="77777777" w:rsidR="000D0C23" w:rsidRPr="008F5372" w:rsidRDefault="000D0C23">
            <w:pPr>
              <w:autoSpaceDE w:val="0"/>
              <w:autoSpaceDN w:val="0"/>
              <w:adjustRightInd w:val="0"/>
              <w:jc w:val="center"/>
              <w:rPr>
                <w:sz w:val="22"/>
                <w:szCs w:val="22"/>
              </w:rPr>
            </w:pPr>
            <w:r w:rsidRPr="008F5372">
              <w:rPr>
                <w:sz w:val="22"/>
                <w:szCs w:val="22"/>
              </w:rPr>
              <w:t>4.7 (3.9,284.9)</w:t>
            </w:r>
          </w:p>
        </w:tc>
      </w:tr>
      <w:tr w:rsidR="000D0C23" w:rsidRPr="008F5372" w14:paraId="08E0D417"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781C50A6" w14:textId="77777777" w:rsidR="000D0C23" w:rsidRPr="008F5372" w:rsidRDefault="000D0C23">
            <w:pPr>
              <w:autoSpaceDE w:val="0"/>
              <w:autoSpaceDN w:val="0"/>
              <w:adjustRightInd w:val="0"/>
              <w:rPr>
                <w:sz w:val="22"/>
                <w:szCs w:val="22"/>
                <w:lang w:val="en-US"/>
              </w:rPr>
            </w:pPr>
            <w:r w:rsidRPr="008F5372">
              <w:rPr>
                <w:sz w:val="22"/>
                <w:szCs w:val="22"/>
                <w:lang w:val="en-US"/>
              </w:rPr>
              <w:t>Duration of MR</w:t>
            </w:r>
            <w:r w:rsidRPr="008F5372">
              <w:rPr>
                <w:sz w:val="22"/>
                <w:szCs w:val="22"/>
                <w:vertAlign w:val="superscript"/>
                <w:lang w:val="en-US"/>
              </w:rPr>
              <w:t>4b,e</w:t>
            </w:r>
          </w:p>
          <w:p w14:paraId="714EF839" w14:textId="77777777" w:rsidR="000D0C23" w:rsidRPr="008F5372" w:rsidRDefault="000D0C23">
            <w:pPr>
              <w:autoSpaceDE w:val="0"/>
              <w:autoSpaceDN w:val="0"/>
              <w:adjustRightInd w:val="0"/>
              <w:ind w:left="176"/>
              <w:rPr>
                <w:sz w:val="22"/>
                <w:szCs w:val="22"/>
                <w:lang w:val="en-US"/>
              </w:rPr>
            </w:pPr>
            <w:r w:rsidRPr="008F5372">
              <w:rPr>
                <w:sz w:val="22"/>
                <w:szCs w:val="22"/>
                <w:lang w:val="en-US"/>
              </w:rPr>
              <w:t>K-M at year 5, % (95% CI)</w:t>
            </w:r>
          </w:p>
          <w:p w14:paraId="7D958FB9" w14:textId="77777777" w:rsidR="000D0C23" w:rsidRPr="008F5372" w:rsidRDefault="000D0C23">
            <w:pPr>
              <w:autoSpaceDE w:val="0"/>
              <w:autoSpaceDN w:val="0"/>
              <w:adjustRightInd w:val="0"/>
              <w:ind w:left="176"/>
              <w:rPr>
                <w:sz w:val="22"/>
                <w:szCs w:val="22"/>
                <w:lang w:val="en-US"/>
              </w:rPr>
            </w:pPr>
            <w:r w:rsidRPr="008F5372">
              <w:rPr>
                <w:sz w:val="22"/>
                <w:szCs w:val="22"/>
                <w:lang w:val="en-US"/>
              </w:rPr>
              <w:t>K-M at year 10, % (95% CI)</w:t>
            </w:r>
          </w:p>
          <w:p w14:paraId="6DB7B77F" w14:textId="77777777" w:rsidR="000D0C23" w:rsidRPr="008F5372" w:rsidRDefault="000D0C23">
            <w:pPr>
              <w:autoSpaceDE w:val="0"/>
              <w:autoSpaceDN w:val="0"/>
              <w:adjustRightInd w:val="0"/>
              <w:ind w:left="176"/>
              <w:rPr>
                <w:sz w:val="22"/>
                <w:szCs w:val="22"/>
              </w:rPr>
            </w:pPr>
            <w:r w:rsidRPr="008F5372">
              <w:rPr>
                <w:sz w:val="22"/>
                <w:szCs w:val="22"/>
              </w:rPr>
              <w:t>Median, weeks (95% CI)</w:t>
            </w:r>
          </w:p>
        </w:tc>
        <w:tc>
          <w:tcPr>
            <w:tcW w:w="806" w:type="pct"/>
            <w:tcBorders>
              <w:top w:val="single" w:sz="4" w:space="0" w:color="auto"/>
              <w:left w:val="single" w:sz="4" w:space="0" w:color="auto"/>
              <w:bottom w:val="single" w:sz="4" w:space="0" w:color="auto"/>
              <w:right w:val="single" w:sz="4" w:space="0" w:color="auto"/>
            </w:tcBorders>
            <w:hideMark/>
          </w:tcPr>
          <w:p w14:paraId="3C0776C0" w14:textId="77777777" w:rsidR="000D0C23" w:rsidRPr="008F5372" w:rsidRDefault="000D0C23">
            <w:pPr>
              <w:autoSpaceDE w:val="0"/>
              <w:autoSpaceDN w:val="0"/>
              <w:adjustRightInd w:val="0"/>
              <w:jc w:val="center"/>
              <w:rPr>
                <w:sz w:val="22"/>
                <w:szCs w:val="22"/>
              </w:rPr>
            </w:pPr>
            <w:r w:rsidRPr="008F5372">
              <w:rPr>
                <w:sz w:val="22"/>
                <w:szCs w:val="22"/>
              </w:rPr>
              <w:t>N=73</w:t>
            </w:r>
          </w:p>
          <w:p w14:paraId="05638815" w14:textId="77777777" w:rsidR="000D0C23" w:rsidRPr="008F5372" w:rsidRDefault="000D0C23">
            <w:pPr>
              <w:autoSpaceDE w:val="0"/>
              <w:autoSpaceDN w:val="0"/>
              <w:adjustRightInd w:val="0"/>
              <w:jc w:val="center"/>
              <w:rPr>
                <w:sz w:val="22"/>
                <w:szCs w:val="22"/>
              </w:rPr>
            </w:pPr>
            <w:r w:rsidRPr="008F5372">
              <w:rPr>
                <w:sz w:val="22"/>
                <w:szCs w:val="22"/>
              </w:rPr>
              <w:t>74.7</w:t>
            </w:r>
          </w:p>
          <w:p w14:paraId="5668496C" w14:textId="77777777" w:rsidR="000D0C23" w:rsidRPr="008F5372" w:rsidRDefault="000D0C23">
            <w:pPr>
              <w:autoSpaceDE w:val="0"/>
              <w:autoSpaceDN w:val="0"/>
              <w:adjustRightInd w:val="0"/>
              <w:jc w:val="center"/>
              <w:rPr>
                <w:sz w:val="22"/>
                <w:szCs w:val="22"/>
              </w:rPr>
            </w:pPr>
            <w:r w:rsidRPr="008F5372">
              <w:rPr>
                <w:sz w:val="22"/>
                <w:szCs w:val="22"/>
              </w:rPr>
              <w:t>(64.2,85.2)</w:t>
            </w:r>
          </w:p>
          <w:p w14:paraId="79D58C1F" w14:textId="77777777" w:rsidR="000D0C23" w:rsidRPr="008F5372" w:rsidRDefault="000D0C23">
            <w:pPr>
              <w:autoSpaceDE w:val="0"/>
              <w:autoSpaceDN w:val="0"/>
              <w:adjustRightInd w:val="0"/>
              <w:jc w:val="center"/>
              <w:rPr>
                <w:sz w:val="22"/>
                <w:szCs w:val="22"/>
              </w:rPr>
            </w:pPr>
            <w:r w:rsidRPr="008F5372">
              <w:rPr>
                <w:sz w:val="22"/>
                <w:szCs w:val="22"/>
              </w:rPr>
              <w:t>60.8</w:t>
            </w:r>
          </w:p>
          <w:p w14:paraId="106D83F1" w14:textId="77777777" w:rsidR="000D0C23" w:rsidRPr="008F5372" w:rsidRDefault="000D0C23">
            <w:pPr>
              <w:autoSpaceDE w:val="0"/>
              <w:autoSpaceDN w:val="0"/>
              <w:adjustRightInd w:val="0"/>
              <w:jc w:val="center"/>
              <w:rPr>
                <w:sz w:val="22"/>
                <w:szCs w:val="22"/>
              </w:rPr>
            </w:pPr>
            <w:r w:rsidRPr="008F5372">
              <w:rPr>
                <w:sz w:val="22"/>
                <w:szCs w:val="22"/>
              </w:rPr>
              <w:t>(46.1,75.4)</w:t>
            </w:r>
          </w:p>
          <w:p w14:paraId="546B5FA2" w14:textId="77777777" w:rsidR="000D0C23" w:rsidRPr="008F5372" w:rsidRDefault="000D0C23">
            <w:pPr>
              <w:autoSpaceDE w:val="0"/>
              <w:autoSpaceDN w:val="0"/>
              <w:adjustRightInd w:val="0"/>
              <w:jc w:val="center"/>
              <w:rPr>
                <w:sz w:val="22"/>
                <w:szCs w:val="22"/>
              </w:rPr>
            </w:pPr>
            <w:r w:rsidRPr="008F5372">
              <w:rPr>
                <w:sz w:val="22"/>
                <w:szCs w:val="22"/>
              </w:rPr>
              <w:t>N/R</w:t>
            </w:r>
          </w:p>
        </w:tc>
        <w:tc>
          <w:tcPr>
            <w:tcW w:w="792" w:type="pct"/>
            <w:tcBorders>
              <w:top w:val="single" w:sz="4" w:space="0" w:color="auto"/>
              <w:left w:val="single" w:sz="4" w:space="0" w:color="auto"/>
              <w:bottom w:val="single" w:sz="4" w:space="0" w:color="auto"/>
              <w:right w:val="single" w:sz="4" w:space="0" w:color="auto"/>
            </w:tcBorders>
            <w:hideMark/>
          </w:tcPr>
          <w:p w14:paraId="3640B4B3" w14:textId="77777777" w:rsidR="000D0C23" w:rsidRPr="008F5372" w:rsidRDefault="000D0C23">
            <w:pPr>
              <w:autoSpaceDE w:val="0"/>
              <w:autoSpaceDN w:val="0"/>
              <w:adjustRightInd w:val="0"/>
              <w:jc w:val="center"/>
              <w:rPr>
                <w:sz w:val="22"/>
                <w:szCs w:val="22"/>
              </w:rPr>
            </w:pPr>
            <w:r w:rsidRPr="008F5372">
              <w:rPr>
                <w:sz w:val="22"/>
                <w:szCs w:val="22"/>
              </w:rPr>
              <w:t>N/A</w:t>
            </w:r>
          </w:p>
        </w:tc>
        <w:tc>
          <w:tcPr>
            <w:tcW w:w="789" w:type="pct"/>
            <w:tcBorders>
              <w:top w:val="single" w:sz="4" w:space="0" w:color="auto"/>
              <w:left w:val="single" w:sz="4" w:space="0" w:color="auto"/>
              <w:bottom w:val="single" w:sz="4" w:space="0" w:color="auto"/>
              <w:right w:val="single" w:sz="4" w:space="0" w:color="auto"/>
            </w:tcBorders>
            <w:hideMark/>
          </w:tcPr>
          <w:p w14:paraId="6B61119D" w14:textId="77777777" w:rsidR="000D0C23" w:rsidRPr="008F5372" w:rsidRDefault="000D0C23">
            <w:pPr>
              <w:autoSpaceDE w:val="0"/>
              <w:autoSpaceDN w:val="0"/>
              <w:adjustRightInd w:val="0"/>
              <w:jc w:val="center"/>
              <w:rPr>
                <w:sz w:val="22"/>
                <w:szCs w:val="22"/>
              </w:rPr>
            </w:pPr>
            <w:r w:rsidRPr="008F5372">
              <w:rPr>
                <w:sz w:val="22"/>
                <w:szCs w:val="22"/>
              </w:rPr>
              <w:t>N/A</w:t>
            </w:r>
          </w:p>
        </w:tc>
        <w:tc>
          <w:tcPr>
            <w:tcW w:w="850" w:type="pct"/>
            <w:tcBorders>
              <w:top w:val="single" w:sz="4" w:space="0" w:color="auto"/>
              <w:left w:val="single" w:sz="4" w:space="0" w:color="auto"/>
              <w:bottom w:val="single" w:sz="4" w:space="0" w:color="auto"/>
              <w:right w:val="single" w:sz="4" w:space="0" w:color="auto"/>
            </w:tcBorders>
            <w:hideMark/>
          </w:tcPr>
          <w:p w14:paraId="05EDA508" w14:textId="77777777" w:rsidR="000D0C23" w:rsidRPr="008F5372" w:rsidRDefault="000D0C23">
            <w:pPr>
              <w:autoSpaceDE w:val="0"/>
              <w:autoSpaceDN w:val="0"/>
              <w:adjustRightInd w:val="0"/>
              <w:jc w:val="center"/>
              <w:rPr>
                <w:sz w:val="22"/>
                <w:szCs w:val="22"/>
              </w:rPr>
            </w:pPr>
            <w:r w:rsidRPr="008F5372">
              <w:rPr>
                <w:sz w:val="22"/>
                <w:szCs w:val="22"/>
              </w:rPr>
              <w:t>N/A</w:t>
            </w:r>
          </w:p>
        </w:tc>
      </w:tr>
      <w:tr w:rsidR="000D0C23" w:rsidRPr="008F5372" w14:paraId="61E94B73"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343521F7" w14:textId="77777777" w:rsidR="000D0C23" w:rsidRPr="008F5372" w:rsidRDefault="000D0C23">
            <w:pPr>
              <w:autoSpaceDE w:val="0"/>
              <w:autoSpaceDN w:val="0"/>
              <w:adjustRightInd w:val="0"/>
              <w:rPr>
                <w:sz w:val="22"/>
                <w:szCs w:val="22"/>
                <w:lang w:val="en-US"/>
              </w:rPr>
            </w:pPr>
            <w:r w:rsidRPr="008F5372">
              <w:rPr>
                <w:sz w:val="22"/>
                <w:szCs w:val="22"/>
                <w:lang w:val="en-US"/>
              </w:rPr>
              <w:t>Transformation to AP/ BP</w:t>
            </w:r>
            <w:r w:rsidRPr="008F5372">
              <w:rPr>
                <w:sz w:val="22"/>
                <w:szCs w:val="22"/>
                <w:vertAlign w:val="superscript"/>
                <w:lang w:val="en-US"/>
              </w:rPr>
              <w:t>c</w:t>
            </w:r>
          </w:p>
          <w:p w14:paraId="7564CFA1" w14:textId="77777777" w:rsidR="000D0C23" w:rsidRPr="008F5372" w:rsidRDefault="000D0C23">
            <w:pPr>
              <w:autoSpaceDE w:val="0"/>
              <w:autoSpaceDN w:val="0"/>
              <w:adjustRightInd w:val="0"/>
              <w:rPr>
                <w:sz w:val="22"/>
                <w:szCs w:val="22"/>
                <w:lang w:val="en-US"/>
              </w:rPr>
            </w:pPr>
            <w:r w:rsidRPr="008F5372">
              <w:rPr>
                <w:sz w:val="22"/>
                <w:szCs w:val="22"/>
                <w:lang w:val="en-US"/>
              </w:rPr>
              <w:t xml:space="preserve">On—treatment </w:t>
            </w:r>
          </w:p>
          <w:p w14:paraId="377E3798" w14:textId="77777777" w:rsidR="000D0C23" w:rsidRPr="008F5372" w:rsidRDefault="000D0C23">
            <w:pPr>
              <w:autoSpaceDE w:val="0"/>
              <w:autoSpaceDN w:val="0"/>
              <w:adjustRightInd w:val="0"/>
              <w:rPr>
                <w:sz w:val="22"/>
                <w:szCs w:val="22"/>
              </w:rPr>
            </w:pPr>
            <w:r w:rsidRPr="008F5372">
              <w:rPr>
                <w:sz w:val="22"/>
                <w:szCs w:val="22"/>
              </w:rPr>
              <w:t>transformation, n</w:t>
            </w:r>
          </w:p>
        </w:tc>
        <w:tc>
          <w:tcPr>
            <w:tcW w:w="806" w:type="pct"/>
            <w:tcBorders>
              <w:top w:val="single" w:sz="4" w:space="0" w:color="auto"/>
              <w:left w:val="single" w:sz="4" w:space="0" w:color="auto"/>
              <w:bottom w:val="single" w:sz="4" w:space="0" w:color="auto"/>
              <w:right w:val="single" w:sz="4" w:space="0" w:color="auto"/>
            </w:tcBorders>
            <w:hideMark/>
          </w:tcPr>
          <w:p w14:paraId="00278F79" w14:textId="77777777" w:rsidR="000D0C23" w:rsidRPr="008F5372" w:rsidRDefault="000D0C23">
            <w:pPr>
              <w:autoSpaceDE w:val="0"/>
              <w:autoSpaceDN w:val="0"/>
              <w:adjustRightInd w:val="0"/>
              <w:jc w:val="center"/>
              <w:rPr>
                <w:sz w:val="22"/>
                <w:szCs w:val="22"/>
              </w:rPr>
            </w:pPr>
            <w:r w:rsidRPr="008F5372">
              <w:rPr>
                <w:sz w:val="22"/>
                <w:szCs w:val="22"/>
              </w:rPr>
              <w:t>N=284</w:t>
            </w:r>
          </w:p>
          <w:p w14:paraId="08B7D2DA" w14:textId="77777777" w:rsidR="000D0C23" w:rsidRPr="008F5372" w:rsidRDefault="000D0C23">
            <w:pPr>
              <w:autoSpaceDE w:val="0"/>
              <w:autoSpaceDN w:val="0"/>
              <w:adjustRightInd w:val="0"/>
              <w:jc w:val="center"/>
              <w:rPr>
                <w:sz w:val="22"/>
                <w:szCs w:val="22"/>
              </w:rPr>
            </w:pPr>
            <w:r w:rsidRPr="008F5372">
              <w:rPr>
                <w:sz w:val="22"/>
                <w:szCs w:val="22"/>
              </w:rPr>
              <w:t>15</w:t>
            </w:r>
          </w:p>
        </w:tc>
        <w:tc>
          <w:tcPr>
            <w:tcW w:w="792" w:type="pct"/>
            <w:tcBorders>
              <w:top w:val="single" w:sz="4" w:space="0" w:color="auto"/>
              <w:left w:val="single" w:sz="4" w:space="0" w:color="auto"/>
              <w:bottom w:val="single" w:sz="4" w:space="0" w:color="auto"/>
              <w:right w:val="single" w:sz="4" w:space="0" w:color="auto"/>
            </w:tcBorders>
            <w:hideMark/>
          </w:tcPr>
          <w:p w14:paraId="0F20AA06" w14:textId="77777777" w:rsidR="000D0C23" w:rsidRPr="008F5372" w:rsidRDefault="000D0C23">
            <w:pPr>
              <w:autoSpaceDE w:val="0"/>
              <w:autoSpaceDN w:val="0"/>
              <w:adjustRightInd w:val="0"/>
              <w:jc w:val="center"/>
              <w:rPr>
                <w:sz w:val="22"/>
                <w:szCs w:val="22"/>
              </w:rPr>
            </w:pPr>
            <w:r w:rsidRPr="008F5372">
              <w:rPr>
                <w:sz w:val="22"/>
                <w:szCs w:val="22"/>
              </w:rPr>
              <w:t>N=119</w:t>
            </w:r>
          </w:p>
          <w:p w14:paraId="73276C34" w14:textId="77777777" w:rsidR="000D0C23" w:rsidRPr="008F5372" w:rsidRDefault="000D0C23">
            <w:pPr>
              <w:autoSpaceDE w:val="0"/>
              <w:autoSpaceDN w:val="0"/>
              <w:adjustRightInd w:val="0"/>
              <w:jc w:val="center"/>
              <w:rPr>
                <w:sz w:val="22"/>
                <w:szCs w:val="22"/>
              </w:rPr>
            </w:pPr>
            <w:r w:rsidRPr="008F5372">
              <w:rPr>
                <w:sz w:val="22"/>
                <w:szCs w:val="22"/>
              </w:rPr>
              <w:t>5</w:t>
            </w:r>
          </w:p>
        </w:tc>
        <w:tc>
          <w:tcPr>
            <w:tcW w:w="789" w:type="pct"/>
            <w:tcBorders>
              <w:top w:val="single" w:sz="4" w:space="0" w:color="auto"/>
              <w:left w:val="single" w:sz="4" w:space="0" w:color="auto"/>
              <w:bottom w:val="single" w:sz="4" w:space="0" w:color="auto"/>
              <w:right w:val="single" w:sz="4" w:space="0" w:color="auto"/>
            </w:tcBorders>
            <w:hideMark/>
          </w:tcPr>
          <w:p w14:paraId="4A6EF526" w14:textId="77777777" w:rsidR="000D0C23" w:rsidRPr="008F5372" w:rsidRDefault="000D0C23">
            <w:pPr>
              <w:autoSpaceDE w:val="0"/>
              <w:autoSpaceDN w:val="0"/>
              <w:adjustRightInd w:val="0"/>
              <w:jc w:val="center"/>
              <w:rPr>
                <w:sz w:val="22"/>
                <w:szCs w:val="22"/>
              </w:rPr>
            </w:pPr>
            <w:r w:rsidRPr="008F5372">
              <w:rPr>
                <w:sz w:val="22"/>
                <w:szCs w:val="22"/>
              </w:rPr>
              <w:t>N=79</w:t>
            </w:r>
          </w:p>
          <w:p w14:paraId="1DBF8467" w14:textId="77777777" w:rsidR="000D0C23" w:rsidRPr="008F5372" w:rsidRDefault="000D0C23">
            <w:pPr>
              <w:autoSpaceDE w:val="0"/>
              <w:autoSpaceDN w:val="0"/>
              <w:adjustRightInd w:val="0"/>
              <w:jc w:val="center"/>
              <w:rPr>
                <w:sz w:val="22"/>
                <w:szCs w:val="22"/>
              </w:rPr>
            </w:pPr>
            <w:r w:rsidRPr="008F5372">
              <w:rPr>
                <w:sz w:val="22"/>
                <w:szCs w:val="22"/>
              </w:rPr>
              <w:t>3</w:t>
            </w:r>
          </w:p>
        </w:tc>
        <w:tc>
          <w:tcPr>
            <w:tcW w:w="850" w:type="pct"/>
            <w:tcBorders>
              <w:top w:val="single" w:sz="4" w:space="0" w:color="auto"/>
              <w:left w:val="single" w:sz="4" w:space="0" w:color="auto"/>
              <w:bottom w:val="single" w:sz="4" w:space="0" w:color="auto"/>
              <w:right w:val="single" w:sz="4" w:space="0" w:color="auto"/>
            </w:tcBorders>
            <w:hideMark/>
          </w:tcPr>
          <w:p w14:paraId="574735D7" w14:textId="77777777" w:rsidR="000D0C23" w:rsidRPr="008F5372" w:rsidRDefault="000D0C23">
            <w:pPr>
              <w:autoSpaceDE w:val="0"/>
              <w:autoSpaceDN w:val="0"/>
              <w:adjustRightInd w:val="0"/>
              <w:jc w:val="center"/>
              <w:rPr>
                <w:sz w:val="22"/>
                <w:szCs w:val="22"/>
              </w:rPr>
            </w:pPr>
            <w:r w:rsidRPr="008F5372">
              <w:rPr>
                <w:sz w:val="22"/>
                <w:szCs w:val="22"/>
              </w:rPr>
              <w:t>N/A</w:t>
            </w:r>
          </w:p>
        </w:tc>
      </w:tr>
      <w:tr w:rsidR="000D0C23" w:rsidRPr="008F5372" w14:paraId="2B981AB5"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4E006C85" w14:textId="77777777" w:rsidR="000D0C23" w:rsidRPr="008F5372" w:rsidRDefault="000D0C23">
            <w:pPr>
              <w:autoSpaceDE w:val="0"/>
              <w:autoSpaceDN w:val="0"/>
              <w:adjustRightInd w:val="0"/>
              <w:rPr>
                <w:sz w:val="22"/>
                <w:szCs w:val="22"/>
                <w:lang w:val="en-US"/>
              </w:rPr>
            </w:pPr>
            <w:r w:rsidRPr="008F5372">
              <w:rPr>
                <w:sz w:val="22"/>
                <w:szCs w:val="22"/>
                <w:lang w:val="en-US"/>
              </w:rPr>
              <w:t>Progression-free survival</w:t>
            </w:r>
            <w:r w:rsidRPr="008F5372">
              <w:rPr>
                <w:sz w:val="22"/>
                <w:szCs w:val="22"/>
                <w:vertAlign w:val="superscript"/>
                <w:lang w:val="en-US"/>
              </w:rPr>
              <w:t>c</w:t>
            </w:r>
          </w:p>
          <w:p w14:paraId="014FF9D2" w14:textId="77777777" w:rsidR="000D0C23" w:rsidRPr="008F5372" w:rsidRDefault="000D0C23">
            <w:pPr>
              <w:autoSpaceDE w:val="0"/>
              <w:autoSpaceDN w:val="0"/>
              <w:adjustRightInd w:val="0"/>
              <w:ind w:left="176"/>
              <w:rPr>
                <w:sz w:val="22"/>
                <w:szCs w:val="22"/>
                <w:lang w:val="en-US"/>
              </w:rPr>
            </w:pPr>
            <w:r w:rsidRPr="008F5372">
              <w:rPr>
                <w:sz w:val="22"/>
                <w:szCs w:val="22"/>
                <w:lang w:val="en-US"/>
              </w:rPr>
              <w:t xml:space="preserve">CumInc at year 5, % </w:t>
            </w:r>
          </w:p>
          <w:p w14:paraId="742F960C" w14:textId="77777777" w:rsidR="000D0C23" w:rsidRPr="008F5372" w:rsidRDefault="000D0C23">
            <w:pPr>
              <w:autoSpaceDE w:val="0"/>
              <w:autoSpaceDN w:val="0"/>
              <w:adjustRightInd w:val="0"/>
              <w:ind w:left="176"/>
              <w:rPr>
                <w:sz w:val="22"/>
                <w:szCs w:val="22"/>
                <w:lang w:val="en-US"/>
              </w:rPr>
            </w:pPr>
            <w:r w:rsidRPr="008F5372">
              <w:rPr>
                <w:sz w:val="22"/>
                <w:szCs w:val="22"/>
                <w:lang w:val="en-US"/>
              </w:rPr>
              <w:t>(95% CI)</w:t>
            </w:r>
            <w:r w:rsidRPr="008F5372">
              <w:rPr>
                <w:sz w:val="22"/>
                <w:szCs w:val="22"/>
                <w:vertAlign w:val="superscript"/>
                <w:lang w:val="en-US"/>
              </w:rPr>
              <w:t>d</w:t>
            </w:r>
          </w:p>
          <w:p w14:paraId="609C435E" w14:textId="77777777" w:rsidR="000D0C23" w:rsidRPr="008F5372" w:rsidRDefault="000D0C23">
            <w:pPr>
              <w:autoSpaceDE w:val="0"/>
              <w:autoSpaceDN w:val="0"/>
              <w:adjustRightInd w:val="0"/>
              <w:ind w:left="176"/>
              <w:rPr>
                <w:sz w:val="22"/>
                <w:szCs w:val="22"/>
                <w:lang w:val="en-US"/>
              </w:rPr>
            </w:pPr>
            <w:r w:rsidRPr="008F5372">
              <w:rPr>
                <w:sz w:val="22"/>
                <w:szCs w:val="22"/>
                <w:lang w:val="en-US"/>
              </w:rPr>
              <w:t xml:space="preserve">CumInc at year 10, % </w:t>
            </w:r>
          </w:p>
          <w:p w14:paraId="65D16003" w14:textId="77777777" w:rsidR="000D0C23" w:rsidRPr="008F5372" w:rsidRDefault="000D0C23">
            <w:pPr>
              <w:autoSpaceDE w:val="0"/>
              <w:autoSpaceDN w:val="0"/>
              <w:adjustRightInd w:val="0"/>
              <w:ind w:left="176"/>
              <w:rPr>
                <w:sz w:val="22"/>
                <w:szCs w:val="22"/>
              </w:rPr>
            </w:pPr>
            <w:r w:rsidRPr="008F5372">
              <w:rPr>
                <w:sz w:val="22"/>
                <w:szCs w:val="22"/>
              </w:rPr>
              <w:t>(95% CI)</w:t>
            </w:r>
            <w:r w:rsidRPr="008F5372">
              <w:rPr>
                <w:sz w:val="22"/>
                <w:szCs w:val="22"/>
                <w:vertAlign w:val="superscript"/>
              </w:rPr>
              <w:t>d</w:t>
            </w:r>
          </w:p>
        </w:tc>
        <w:tc>
          <w:tcPr>
            <w:tcW w:w="806" w:type="pct"/>
            <w:tcBorders>
              <w:top w:val="single" w:sz="4" w:space="0" w:color="auto"/>
              <w:left w:val="single" w:sz="4" w:space="0" w:color="auto"/>
              <w:bottom w:val="single" w:sz="4" w:space="0" w:color="auto"/>
              <w:right w:val="single" w:sz="4" w:space="0" w:color="auto"/>
            </w:tcBorders>
            <w:hideMark/>
          </w:tcPr>
          <w:p w14:paraId="2C5D3E64" w14:textId="77777777" w:rsidR="000D0C23" w:rsidRPr="008F5372" w:rsidRDefault="000D0C23">
            <w:pPr>
              <w:autoSpaceDE w:val="0"/>
              <w:autoSpaceDN w:val="0"/>
              <w:adjustRightInd w:val="0"/>
              <w:jc w:val="center"/>
              <w:rPr>
                <w:sz w:val="22"/>
                <w:szCs w:val="22"/>
              </w:rPr>
            </w:pPr>
            <w:r w:rsidRPr="008F5372">
              <w:rPr>
                <w:sz w:val="22"/>
                <w:szCs w:val="22"/>
              </w:rPr>
              <w:t>N=284</w:t>
            </w:r>
          </w:p>
          <w:p w14:paraId="102F3A01" w14:textId="77777777" w:rsidR="000D0C23" w:rsidRPr="008F5372" w:rsidRDefault="000D0C23">
            <w:pPr>
              <w:autoSpaceDE w:val="0"/>
              <w:autoSpaceDN w:val="0"/>
              <w:adjustRightInd w:val="0"/>
              <w:jc w:val="center"/>
              <w:rPr>
                <w:sz w:val="22"/>
                <w:szCs w:val="22"/>
              </w:rPr>
            </w:pPr>
            <w:r w:rsidRPr="008F5372">
              <w:rPr>
                <w:sz w:val="22"/>
                <w:szCs w:val="22"/>
              </w:rPr>
              <w:t>19.7</w:t>
            </w:r>
          </w:p>
          <w:p w14:paraId="7ED0EA43" w14:textId="77777777" w:rsidR="000D0C23" w:rsidRPr="008F5372" w:rsidRDefault="000D0C23">
            <w:pPr>
              <w:autoSpaceDE w:val="0"/>
              <w:autoSpaceDN w:val="0"/>
              <w:adjustRightInd w:val="0"/>
              <w:jc w:val="center"/>
              <w:rPr>
                <w:sz w:val="22"/>
                <w:szCs w:val="22"/>
              </w:rPr>
            </w:pPr>
            <w:r w:rsidRPr="008F5372">
              <w:rPr>
                <w:sz w:val="22"/>
                <w:szCs w:val="22"/>
              </w:rPr>
              <w:t>(15.6,24.9)</w:t>
            </w:r>
          </w:p>
          <w:p w14:paraId="2FB80B7F" w14:textId="77777777" w:rsidR="000D0C23" w:rsidRPr="008F5372" w:rsidRDefault="000D0C23">
            <w:pPr>
              <w:autoSpaceDE w:val="0"/>
              <w:autoSpaceDN w:val="0"/>
              <w:adjustRightInd w:val="0"/>
              <w:jc w:val="center"/>
              <w:rPr>
                <w:sz w:val="22"/>
                <w:szCs w:val="22"/>
              </w:rPr>
            </w:pPr>
            <w:r w:rsidRPr="008F5372">
              <w:rPr>
                <w:sz w:val="22"/>
                <w:szCs w:val="22"/>
              </w:rPr>
              <w:t>23.9</w:t>
            </w:r>
          </w:p>
          <w:p w14:paraId="429DC40E" w14:textId="77777777" w:rsidR="000D0C23" w:rsidRPr="008F5372" w:rsidRDefault="000D0C23">
            <w:pPr>
              <w:autoSpaceDE w:val="0"/>
              <w:autoSpaceDN w:val="0"/>
              <w:adjustRightInd w:val="0"/>
              <w:jc w:val="center"/>
              <w:rPr>
                <w:sz w:val="22"/>
                <w:szCs w:val="22"/>
              </w:rPr>
            </w:pPr>
            <w:r w:rsidRPr="008F5372">
              <w:rPr>
                <w:sz w:val="22"/>
                <w:szCs w:val="22"/>
              </w:rPr>
              <w:t>(19.5,29.5)</w:t>
            </w:r>
          </w:p>
        </w:tc>
        <w:tc>
          <w:tcPr>
            <w:tcW w:w="792" w:type="pct"/>
            <w:tcBorders>
              <w:top w:val="single" w:sz="4" w:space="0" w:color="auto"/>
              <w:left w:val="single" w:sz="4" w:space="0" w:color="auto"/>
              <w:bottom w:val="single" w:sz="4" w:space="0" w:color="auto"/>
              <w:right w:val="single" w:sz="4" w:space="0" w:color="auto"/>
            </w:tcBorders>
            <w:hideMark/>
          </w:tcPr>
          <w:p w14:paraId="39771A6A" w14:textId="77777777" w:rsidR="000D0C23" w:rsidRPr="008F5372" w:rsidRDefault="000D0C23">
            <w:pPr>
              <w:autoSpaceDE w:val="0"/>
              <w:autoSpaceDN w:val="0"/>
              <w:adjustRightInd w:val="0"/>
              <w:jc w:val="center"/>
              <w:rPr>
                <w:sz w:val="22"/>
                <w:szCs w:val="22"/>
              </w:rPr>
            </w:pPr>
            <w:r w:rsidRPr="008F5372">
              <w:rPr>
                <w:sz w:val="22"/>
                <w:szCs w:val="22"/>
              </w:rPr>
              <w:t>N=119</w:t>
            </w:r>
          </w:p>
          <w:p w14:paraId="293D195E" w14:textId="77777777" w:rsidR="000D0C23" w:rsidRPr="008F5372" w:rsidRDefault="000D0C23">
            <w:pPr>
              <w:autoSpaceDE w:val="0"/>
              <w:autoSpaceDN w:val="0"/>
              <w:adjustRightInd w:val="0"/>
              <w:jc w:val="center"/>
              <w:rPr>
                <w:sz w:val="22"/>
                <w:szCs w:val="22"/>
              </w:rPr>
            </w:pPr>
            <w:r w:rsidRPr="008F5372">
              <w:rPr>
                <w:sz w:val="22"/>
                <w:szCs w:val="22"/>
              </w:rPr>
              <w:t>24.4</w:t>
            </w:r>
          </w:p>
          <w:p w14:paraId="28030238" w14:textId="77777777" w:rsidR="000D0C23" w:rsidRPr="008F5372" w:rsidRDefault="000D0C23">
            <w:pPr>
              <w:autoSpaceDE w:val="0"/>
              <w:autoSpaceDN w:val="0"/>
              <w:adjustRightInd w:val="0"/>
              <w:jc w:val="center"/>
              <w:rPr>
                <w:sz w:val="22"/>
                <w:szCs w:val="22"/>
              </w:rPr>
            </w:pPr>
            <w:r w:rsidRPr="008F5372">
              <w:rPr>
                <w:sz w:val="22"/>
                <w:szCs w:val="22"/>
              </w:rPr>
              <w:t>(17.8,33.4)</w:t>
            </w:r>
          </w:p>
          <w:p w14:paraId="1678D45F" w14:textId="77777777" w:rsidR="000D0C23" w:rsidRPr="008F5372" w:rsidRDefault="000D0C23">
            <w:pPr>
              <w:autoSpaceDE w:val="0"/>
              <w:autoSpaceDN w:val="0"/>
              <w:adjustRightInd w:val="0"/>
              <w:jc w:val="center"/>
              <w:rPr>
                <w:sz w:val="22"/>
                <w:szCs w:val="22"/>
              </w:rPr>
            </w:pPr>
            <w:r w:rsidRPr="008F5372">
              <w:rPr>
                <w:sz w:val="22"/>
                <w:szCs w:val="22"/>
              </w:rPr>
              <w:t>26.9</w:t>
            </w:r>
          </w:p>
          <w:p w14:paraId="3477F291" w14:textId="77777777" w:rsidR="000D0C23" w:rsidRPr="008F5372" w:rsidRDefault="000D0C23">
            <w:pPr>
              <w:autoSpaceDE w:val="0"/>
              <w:autoSpaceDN w:val="0"/>
              <w:adjustRightInd w:val="0"/>
              <w:jc w:val="center"/>
              <w:rPr>
                <w:sz w:val="22"/>
                <w:szCs w:val="22"/>
              </w:rPr>
            </w:pPr>
            <w:r w:rsidRPr="008F5372">
              <w:rPr>
                <w:sz w:val="22"/>
                <w:szCs w:val="22"/>
              </w:rPr>
              <w:t>(20.0,36.2)</w:t>
            </w:r>
          </w:p>
        </w:tc>
        <w:tc>
          <w:tcPr>
            <w:tcW w:w="789" w:type="pct"/>
            <w:tcBorders>
              <w:top w:val="single" w:sz="4" w:space="0" w:color="auto"/>
              <w:left w:val="single" w:sz="4" w:space="0" w:color="auto"/>
              <w:bottom w:val="single" w:sz="4" w:space="0" w:color="auto"/>
              <w:right w:val="single" w:sz="4" w:space="0" w:color="auto"/>
            </w:tcBorders>
            <w:hideMark/>
          </w:tcPr>
          <w:p w14:paraId="78A16509" w14:textId="77777777" w:rsidR="000D0C23" w:rsidRPr="008F5372" w:rsidRDefault="000D0C23">
            <w:pPr>
              <w:autoSpaceDE w:val="0"/>
              <w:autoSpaceDN w:val="0"/>
              <w:adjustRightInd w:val="0"/>
              <w:jc w:val="center"/>
              <w:rPr>
                <w:sz w:val="22"/>
                <w:szCs w:val="22"/>
              </w:rPr>
            </w:pPr>
            <w:r w:rsidRPr="008F5372">
              <w:rPr>
                <w:sz w:val="22"/>
                <w:szCs w:val="22"/>
              </w:rPr>
              <w:t>N=79</w:t>
            </w:r>
          </w:p>
          <w:p w14:paraId="62AE0B98" w14:textId="77777777" w:rsidR="000D0C23" w:rsidRPr="008F5372" w:rsidRDefault="000D0C23">
            <w:pPr>
              <w:autoSpaceDE w:val="0"/>
              <w:autoSpaceDN w:val="0"/>
              <w:adjustRightInd w:val="0"/>
              <w:jc w:val="center"/>
              <w:rPr>
                <w:sz w:val="22"/>
                <w:szCs w:val="22"/>
              </w:rPr>
            </w:pPr>
            <w:r w:rsidRPr="008F5372">
              <w:rPr>
                <w:sz w:val="22"/>
                <w:szCs w:val="22"/>
              </w:rPr>
              <w:t>41.8</w:t>
            </w:r>
          </w:p>
          <w:p w14:paraId="49FFB3D7" w14:textId="77777777" w:rsidR="000D0C23" w:rsidRPr="008F5372" w:rsidRDefault="000D0C23">
            <w:pPr>
              <w:autoSpaceDE w:val="0"/>
              <w:autoSpaceDN w:val="0"/>
              <w:adjustRightInd w:val="0"/>
              <w:jc w:val="center"/>
              <w:rPr>
                <w:sz w:val="22"/>
                <w:szCs w:val="22"/>
              </w:rPr>
            </w:pPr>
            <w:r w:rsidRPr="008F5372">
              <w:rPr>
                <w:sz w:val="22"/>
                <w:szCs w:val="22"/>
              </w:rPr>
              <w:t>(32.2,54.2)</w:t>
            </w:r>
          </w:p>
          <w:p w14:paraId="71A30EFA" w14:textId="77777777" w:rsidR="000D0C23" w:rsidRPr="008F5372" w:rsidRDefault="000D0C23">
            <w:pPr>
              <w:autoSpaceDE w:val="0"/>
              <w:autoSpaceDN w:val="0"/>
              <w:adjustRightInd w:val="0"/>
              <w:jc w:val="center"/>
              <w:rPr>
                <w:sz w:val="22"/>
                <w:szCs w:val="22"/>
              </w:rPr>
            </w:pPr>
            <w:r w:rsidRPr="008F5372">
              <w:rPr>
                <w:sz w:val="22"/>
                <w:szCs w:val="22"/>
              </w:rPr>
              <w:t>41.8</w:t>
            </w:r>
          </w:p>
          <w:p w14:paraId="17827ECA" w14:textId="77777777" w:rsidR="000D0C23" w:rsidRPr="008F5372" w:rsidRDefault="000D0C23">
            <w:pPr>
              <w:autoSpaceDE w:val="0"/>
              <w:autoSpaceDN w:val="0"/>
              <w:adjustRightInd w:val="0"/>
              <w:jc w:val="center"/>
              <w:rPr>
                <w:sz w:val="22"/>
                <w:szCs w:val="22"/>
              </w:rPr>
            </w:pPr>
            <w:r w:rsidRPr="008F5372">
              <w:rPr>
                <w:sz w:val="22"/>
                <w:szCs w:val="22"/>
              </w:rPr>
              <w:t>(32.2,54.2)</w:t>
            </w:r>
          </w:p>
        </w:tc>
        <w:tc>
          <w:tcPr>
            <w:tcW w:w="850" w:type="pct"/>
            <w:tcBorders>
              <w:top w:val="single" w:sz="4" w:space="0" w:color="auto"/>
              <w:left w:val="single" w:sz="4" w:space="0" w:color="auto"/>
              <w:bottom w:val="single" w:sz="4" w:space="0" w:color="auto"/>
              <w:right w:val="single" w:sz="4" w:space="0" w:color="auto"/>
            </w:tcBorders>
            <w:hideMark/>
          </w:tcPr>
          <w:p w14:paraId="0446C981" w14:textId="77777777" w:rsidR="000D0C23" w:rsidRPr="008F5372" w:rsidRDefault="000D0C23">
            <w:pPr>
              <w:autoSpaceDE w:val="0"/>
              <w:autoSpaceDN w:val="0"/>
              <w:adjustRightInd w:val="0"/>
              <w:jc w:val="center"/>
              <w:rPr>
                <w:sz w:val="22"/>
                <w:szCs w:val="22"/>
              </w:rPr>
            </w:pPr>
            <w:r w:rsidRPr="008F5372">
              <w:rPr>
                <w:sz w:val="22"/>
                <w:szCs w:val="22"/>
              </w:rPr>
              <w:t>N=64</w:t>
            </w:r>
          </w:p>
          <w:p w14:paraId="2AACFD3B" w14:textId="77777777" w:rsidR="000D0C23" w:rsidRPr="008F5372" w:rsidRDefault="000D0C23">
            <w:pPr>
              <w:autoSpaceDE w:val="0"/>
              <w:autoSpaceDN w:val="0"/>
              <w:adjustRightInd w:val="0"/>
              <w:jc w:val="center"/>
              <w:rPr>
                <w:sz w:val="22"/>
                <w:szCs w:val="22"/>
              </w:rPr>
            </w:pPr>
            <w:r w:rsidRPr="008F5372">
              <w:rPr>
                <w:sz w:val="22"/>
                <w:szCs w:val="22"/>
              </w:rPr>
              <w:t>67.2</w:t>
            </w:r>
          </w:p>
          <w:p w14:paraId="497B9015" w14:textId="77777777" w:rsidR="000D0C23" w:rsidRPr="008F5372" w:rsidRDefault="000D0C23">
            <w:pPr>
              <w:autoSpaceDE w:val="0"/>
              <w:autoSpaceDN w:val="0"/>
              <w:adjustRightInd w:val="0"/>
              <w:jc w:val="center"/>
              <w:rPr>
                <w:sz w:val="22"/>
                <w:szCs w:val="22"/>
              </w:rPr>
            </w:pPr>
            <w:r w:rsidRPr="008F5372">
              <w:rPr>
                <w:sz w:val="22"/>
                <w:szCs w:val="22"/>
              </w:rPr>
              <w:t>(56.6,79.7)</w:t>
            </w:r>
          </w:p>
          <w:p w14:paraId="245352B1" w14:textId="77777777" w:rsidR="000D0C23" w:rsidRPr="008F5372" w:rsidRDefault="000D0C23">
            <w:pPr>
              <w:autoSpaceDE w:val="0"/>
              <w:autoSpaceDN w:val="0"/>
              <w:adjustRightInd w:val="0"/>
              <w:jc w:val="center"/>
              <w:rPr>
                <w:sz w:val="22"/>
                <w:szCs w:val="22"/>
              </w:rPr>
            </w:pPr>
            <w:r w:rsidRPr="008F5372">
              <w:rPr>
                <w:sz w:val="22"/>
                <w:szCs w:val="22"/>
              </w:rPr>
              <w:t>N/E</w:t>
            </w:r>
          </w:p>
        </w:tc>
      </w:tr>
      <w:tr w:rsidR="000D0C23" w:rsidRPr="008F5372" w14:paraId="460F5DE6" w14:textId="77777777" w:rsidTr="000D0C23">
        <w:tc>
          <w:tcPr>
            <w:tcW w:w="1764" w:type="pct"/>
            <w:tcBorders>
              <w:top w:val="single" w:sz="4" w:space="0" w:color="auto"/>
              <w:left w:val="single" w:sz="4" w:space="0" w:color="auto"/>
              <w:bottom w:val="single" w:sz="4" w:space="0" w:color="auto"/>
              <w:right w:val="single" w:sz="4" w:space="0" w:color="auto"/>
            </w:tcBorders>
            <w:hideMark/>
          </w:tcPr>
          <w:p w14:paraId="05455365" w14:textId="77777777" w:rsidR="000D0C23" w:rsidRPr="008F5372" w:rsidRDefault="000D0C23">
            <w:pPr>
              <w:autoSpaceDE w:val="0"/>
              <w:autoSpaceDN w:val="0"/>
              <w:adjustRightInd w:val="0"/>
              <w:rPr>
                <w:sz w:val="22"/>
                <w:szCs w:val="22"/>
                <w:lang w:val="en-US"/>
              </w:rPr>
            </w:pPr>
            <w:r w:rsidRPr="008F5372">
              <w:rPr>
                <w:sz w:val="22"/>
                <w:szCs w:val="22"/>
                <w:lang w:val="en-US"/>
              </w:rPr>
              <w:t>Overall survival</w:t>
            </w:r>
            <w:r w:rsidRPr="008F5372">
              <w:rPr>
                <w:sz w:val="22"/>
                <w:szCs w:val="22"/>
                <w:vertAlign w:val="superscript"/>
                <w:lang w:val="en-US"/>
              </w:rPr>
              <w:t>c</w:t>
            </w:r>
          </w:p>
          <w:p w14:paraId="4F9D01AA" w14:textId="77777777" w:rsidR="000D0C23" w:rsidRPr="008F5372" w:rsidRDefault="000D0C23">
            <w:pPr>
              <w:autoSpaceDE w:val="0"/>
              <w:autoSpaceDN w:val="0"/>
              <w:adjustRightInd w:val="0"/>
              <w:ind w:left="176"/>
              <w:rPr>
                <w:sz w:val="22"/>
                <w:szCs w:val="22"/>
                <w:lang w:val="en-US"/>
              </w:rPr>
            </w:pPr>
            <w:r w:rsidRPr="008F5372">
              <w:rPr>
                <w:sz w:val="22"/>
                <w:szCs w:val="22"/>
                <w:lang w:val="en-US"/>
              </w:rPr>
              <w:lastRenderedPageBreak/>
              <w:t>K-M at year 5, % (95% CI)</w:t>
            </w:r>
          </w:p>
          <w:p w14:paraId="5555A488" w14:textId="77777777" w:rsidR="000D0C23" w:rsidRPr="008F5372" w:rsidRDefault="000D0C23">
            <w:pPr>
              <w:autoSpaceDE w:val="0"/>
              <w:autoSpaceDN w:val="0"/>
              <w:adjustRightInd w:val="0"/>
              <w:ind w:left="176"/>
              <w:rPr>
                <w:sz w:val="22"/>
                <w:szCs w:val="22"/>
                <w:lang w:val="en-US"/>
              </w:rPr>
            </w:pPr>
            <w:r w:rsidRPr="008F5372">
              <w:rPr>
                <w:sz w:val="22"/>
                <w:szCs w:val="22"/>
                <w:lang w:val="en-US"/>
              </w:rPr>
              <w:t>K-M at year 10, % (95% CI)</w:t>
            </w:r>
          </w:p>
          <w:p w14:paraId="5195E413" w14:textId="77777777" w:rsidR="000D0C23" w:rsidRPr="008F5372" w:rsidRDefault="000D0C23">
            <w:pPr>
              <w:autoSpaceDE w:val="0"/>
              <w:autoSpaceDN w:val="0"/>
              <w:adjustRightInd w:val="0"/>
              <w:ind w:left="176"/>
              <w:rPr>
                <w:sz w:val="22"/>
                <w:szCs w:val="22"/>
              </w:rPr>
            </w:pPr>
            <w:r w:rsidRPr="008F5372">
              <w:rPr>
                <w:sz w:val="22"/>
                <w:szCs w:val="22"/>
              </w:rPr>
              <w:t>Median, months (95% CI)</w:t>
            </w:r>
          </w:p>
        </w:tc>
        <w:tc>
          <w:tcPr>
            <w:tcW w:w="806" w:type="pct"/>
            <w:tcBorders>
              <w:top w:val="single" w:sz="4" w:space="0" w:color="auto"/>
              <w:left w:val="single" w:sz="4" w:space="0" w:color="auto"/>
              <w:bottom w:val="single" w:sz="4" w:space="0" w:color="auto"/>
              <w:right w:val="single" w:sz="4" w:space="0" w:color="auto"/>
            </w:tcBorders>
            <w:hideMark/>
          </w:tcPr>
          <w:p w14:paraId="7E5B919A" w14:textId="77777777" w:rsidR="000D0C23" w:rsidRPr="008F5372" w:rsidRDefault="000D0C23">
            <w:pPr>
              <w:autoSpaceDE w:val="0"/>
              <w:autoSpaceDN w:val="0"/>
              <w:adjustRightInd w:val="0"/>
              <w:jc w:val="center"/>
              <w:rPr>
                <w:sz w:val="22"/>
                <w:szCs w:val="22"/>
              </w:rPr>
            </w:pPr>
            <w:r w:rsidRPr="008F5372">
              <w:rPr>
                <w:sz w:val="22"/>
                <w:szCs w:val="22"/>
              </w:rPr>
              <w:lastRenderedPageBreak/>
              <w:t>N=284</w:t>
            </w:r>
          </w:p>
          <w:p w14:paraId="19EDC5F2" w14:textId="77777777" w:rsidR="000D0C23" w:rsidRPr="008F5372" w:rsidRDefault="000D0C23">
            <w:pPr>
              <w:autoSpaceDE w:val="0"/>
              <w:autoSpaceDN w:val="0"/>
              <w:adjustRightInd w:val="0"/>
              <w:jc w:val="center"/>
              <w:rPr>
                <w:sz w:val="22"/>
                <w:szCs w:val="22"/>
              </w:rPr>
            </w:pPr>
            <w:r w:rsidRPr="008F5372">
              <w:rPr>
                <w:sz w:val="22"/>
                <w:szCs w:val="22"/>
              </w:rPr>
              <w:lastRenderedPageBreak/>
              <w:t>83.5</w:t>
            </w:r>
          </w:p>
          <w:p w14:paraId="51CF9846" w14:textId="77777777" w:rsidR="000D0C23" w:rsidRPr="008F5372" w:rsidRDefault="000D0C23">
            <w:pPr>
              <w:autoSpaceDE w:val="0"/>
              <w:autoSpaceDN w:val="0"/>
              <w:adjustRightInd w:val="0"/>
              <w:jc w:val="center"/>
              <w:rPr>
                <w:sz w:val="22"/>
                <w:szCs w:val="22"/>
              </w:rPr>
            </w:pPr>
            <w:r w:rsidRPr="008F5372">
              <w:rPr>
                <w:sz w:val="22"/>
                <w:szCs w:val="22"/>
              </w:rPr>
              <w:t>(78.7,88.3)</w:t>
            </w:r>
          </w:p>
          <w:p w14:paraId="24119A96" w14:textId="77777777" w:rsidR="000D0C23" w:rsidRPr="008F5372" w:rsidRDefault="000D0C23">
            <w:pPr>
              <w:autoSpaceDE w:val="0"/>
              <w:autoSpaceDN w:val="0"/>
              <w:adjustRightInd w:val="0"/>
              <w:jc w:val="center"/>
              <w:rPr>
                <w:sz w:val="22"/>
                <w:szCs w:val="22"/>
              </w:rPr>
            </w:pPr>
            <w:r w:rsidRPr="008F5372">
              <w:rPr>
                <w:sz w:val="22"/>
                <w:szCs w:val="22"/>
              </w:rPr>
              <w:t>71.5</w:t>
            </w:r>
          </w:p>
          <w:p w14:paraId="52642836" w14:textId="77777777" w:rsidR="000D0C23" w:rsidRPr="008F5372" w:rsidRDefault="000D0C23">
            <w:pPr>
              <w:autoSpaceDE w:val="0"/>
              <w:autoSpaceDN w:val="0"/>
              <w:adjustRightInd w:val="0"/>
              <w:jc w:val="center"/>
              <w:rPr>
                <w:sz w:val="22"/>
                <w:szCs w:val="22"/>
              </w:rPr>
            </w:pPr>
            <w:r w:rsidRPr="008F5372">
              <w:rPr>
                <w:sz w:val="22"/>
                <w:szCs w:val="22"/>
              </w:rPr>
              <w:t>(64.4,78.7)</w:t>
            </w:r>
          </w:p>
          <w:p w14:paraId="6767708A" w14:textId="77777777" w:rsidR="000D0C23" w:rsidRPr="008F5372" w:rsidRDefault="000D0C23">
            <w:pPr>
              <w:autoSpaceDE w:val="0"/>
              <w:autoSpaceDN w:val="0"/>
              <w:adjustRightInd w:val="0"/>
              <w:jc w:val="center"/>
              <w:rPr>
                <w:sz w:val="22"/>
                <w:szCs w:val="22"/>
              </w:rPr>
            </w:pPr>
            <w:r w:rsidRPr="008F5372">
              <w:rPr>
                <w:sz w:val="22"/>
                <w:szCs w:val="22"/>
              </w:rPr>
              <w:t>N/R</w:t>
            </w:r>
          </w:p>
        </w:tc>
        <w:tc>
          <w:tcPr>
            <w:tcW w:w="792" w:type="pct"/>
            <w:tcBorders>
              <w:top w:val="single" w:sz="4" w:space="0" w:color="auto"/>
              <w:left w:val="single" w:sz="4" w:space="0" w:color="auto"/>
              <w:bottom w:val="single" w:sz="4" w:space="0" w:color="auto"/>
              <w:right w:val="single" w:sz="4" w:space="0" w:color="auto"/>
            </w:tcBorders>
            <w:hideMark/>
          </w:tcPr>
          <w:p w14:paraId="06553E92" w14:textId="77777777" w:rsidR="000D0C23" w:rsidRPr="008F5372" w:rsidRDefault="000D0C23">
            <w:pPr>
              <w:autoSpaceDE w:val="0"/>
              <w:autoSpaceDN w:val="0"/>
              <w:adjustRightInd w:val="0"/>
              <w:jc w:val="center"/>
              <w:rPr>
                <w:sz w:val="22"/>
                <w:szCs w:val="22"/>
              </w:rPr>
            </w:pPr>
            <w:r w:rsidRPr="008F5372">
              <w:rPr>
                <w:sz w:val="22"/>
                <w:szCs w:val="22"/>
              </w:rPr>
              <w:lastRenderedPageBreak/>
              <w:t>N=119</w:t>
            </w:r>
          </w:p>
          <w:p w14:paraId="0F4E11C0" w14:textId="77777777" w:rsidR="000D0C23" w:rsidRPr="008F5372" w:rsidRDefault="000D0C23">
            <w:pPr>
              <w:autoSpaceDE w:val="0"/>
              <w:autoSpaceDN w:val="0"/>
              <w:adjustRightInd w:val="0"/>
              <w:jc w:val="center"/>
              <w:rPr>
                <w:sz w:val="22"/>
                <w:szCs w:val="22"/>
              </w:rPr>
            </w:pPr>
            <w:r w:rsidRPr="008F5372">
              <w:rPr>
                <w:sz w:val="22"/>
                <w:szCs w:val="22"/>
              </w:rPr>
              <w:lastRenderedPageBreak/>
              <w:t>74.1</w:t>
            </w:r>
          </w:p>
          <w:p w14:paraId="410BBAC2" w14:textId="77777777" w:rsidR="000D0C23" w:rsidRPr="008F5372" w:rsidRDefault="000D0C23">
            <w:pPr>
              <w:autoSpaceDE w:val="0"/>
              <w:autoSpaceDN w:val="0"/>
              <w:adjustRightInd w:val="0"/>
              <w:jc w:val="center"/>
              <w:rPr>
                <w:sz w:val="22"/>
                <w:szCs w:val="22"/>
              </w:rPr>
            </w:pPr>
            <w:r w:rsidRPr="008F5372">
              <w:rPr>
                <w:sz w:val="22"/>
                <w:szCs w:val="22"/>
              </w:rPr>
              <w:t>(64.8,83.4)</w:t>
            </w:r>
          </w:p>
          <w:p w14:paraId="7A086D4E" w14:textId="77777777" w:rsidR="000D0C23" w:rsidRPr="008F5372" w:rsidRDefault="000D0C23">
            <w:pPr>
              <w:autoSpaceDE w:val="0"/>
              <w:autoSpaceDN w:val="0"/>
              <w:adjustRightInd w:val="0"/>
              <w:jc w:val="center"/>
              <w:rPr>
                <w:sz w:val="22"/>
                <w:szCs w:val="22"/>
              </w:rPr>
            </w:pPr>
            <w:r w:rsidRPr="008F5372">
              <w:rPr>
                <w:sz w:val="22"/>
                <w:szCs w:val="22"/>
              </w:rPr>
              <w:t>60.4</w:t>
            </w:r>
          </w:p>
          <w:p w14:paraId="30563875" w14:textId="77777777" w:rsidR="000D0C23" w:rsidRPr="008F5372" w:rsidRDefault="000D0C23">
            <w:pPr>
              <w:autoSpaceDE w:val="0"/>
              <w:autoSpaceDN w:val="0"/>
              <w:adjustRightInd w:val="0"/>
              <w:jc w:val="center"/>
              <w:rPr>
                <w:sz w:val="22"/>
                <w:szCs w:val="22"/>
              </w:rPr>
            </w:pPr>
            <w:r w:rsidRPr="008F5372">
              <w:rPr>
                <w:sz w:val="22"/>
                <w:szCs w:val="22"/>
              </w:rPr>
              <w:t>(47.2,73.7)</w:t>
            </w:r>
          </w:p>
          <w:p w14:paraId="76C0A25D" w14:textId="77777777" w:rsidR="000D0C23" w:rsidRPr="008F5372" w:rsidRDefault="000D0C23">
            <w:pPr>
              <w:autoSpaceDE w:val="0"/>
              <w:autoSpaceDN w:val="0"/>
              <w:adjustRightInd w:val="0"/>
              <w:jc w:val="center"/>
              <w:rPr>
                <w:sz w:val="22"/>
                <w:szCs w:val="22"/>
              </w:rPr>
            </w:pPr>
            <w:r w:rsidRPr="008F5372">
              <w:rPr>
                <w:sz w:val="22"/>
                <w:szCs w:val="22"/>
              </w:rPr>
              <w:t>N/R</w:t>
            </w:r>
          </w:p>
        </w:tc>
        <w:tc>
          <w:tcPr>
            <w:tcW w:w="789" w:type="pct"/>
            <w:tcBorders>
              <w:top w:val="single" w:sz="4" w:space="0" w:color="auto"/>
              <w:left w:val="single" w:sz="4" w:space="0" w:color="auto"/>
              <w:bottom w:val="single" w:sz="4" w:space="0" w:color="auto"/>
              <w:right w:val="single" w:sz="4" w:space="0" w:color="auto"/>
            </w:tcBorders>
            <w:hideMark/>
          </w:tcPr>
          <w:p w14:paraId="5721BD06" w14:textId="77777777" w:rsidR="000D0C23" w:rsidRPr="008F5372" w:rsidRDefault="000D0C23">
            <w:pPr>
              <w:autoSpaceDE w:val="0"/>
              <w:autoSpaceDN w:val="0"/>
              <w:adjustRightInd w:val="0"/>
              <w:jc w:val="center"/>
              <w:rPr>
                <w:sz w:val="22"/>
                <w:szCs w:val="22"/>
              </w:rPr>
            </w:pPr>
            <w:r w:rsidRPr="008F5372">
              <w:rPr>
                <w:sz w:val="22"/>
                <w:szCs w:val="22"/>
              </w:rPr>
              <w:lastRenderedPageBreak/>
              <w:t>N=79</w:t>
            </w:r>
          </w:p>
          <w:p w14:paraId="445D771B" w14:textId="77777777" w:rsidR="000D0C23" w:rsidRPr="008F5372" w:rsidRDefault="000D0C23">
            <w:pPr>
              <w:autoSpaceDE w:val="0"/>
              <w:autoSpaceDN w:val="0"/>
              <w:adjustRightInd w:val="0"/>
              <w:jc w:val="center"/>
              <w:rPr>
                <w:sz w:val="22"/>
                <w:szCs w:val="22"/>
              </w:rPr>
            </w:pPr>
            <w:r w:rsidRPr="008F5372">
              <w:rPr>
                <w:sz w:val="22"/>
                <w:szCs w:val="22"/>
              </w:rPr>
              <w:lastRenderedPageBreak/>
              <w:t>58.5</w:t>
            </w:r>
          </w:p>
          <w:p w14:paraId="50AF1E2D" w14:textId="77777777" w:rsidR="000D0C23" w:rsidRPr="008F5372" w:rsidRDefault="000D0C23">
            <w:pPr>
              <w:autoSpaceDE w:val="0"/>
              <w:autoSpaceDN w:val="0"/>
              <w:adjustRightInd w:val="0"/>
              <w:jc w:val="center"/>
              <w:rPr>
                <w:sz w:val="22"/>
                <w:szCs w:val="22"/>
              </w:rPr>
            </w:pPr>
            <w:r w:rsidRPr="008F5372">
              <w:rPr>
                <w:sz w:val="22"/>
                <w:szCs w:val="22"/>
              </w:rPr>
              <w:t>(46.9,70.2)</w:t>
            </w:r>
          </w:p>
          <w:p w14:paraId="6925763E" w14:textId="77777777" w:rsidR="000D0C23" w:rsidRPr="008F5372" w:rsidRDefault="000D0C23">
            <w:pPr>
              <w:autoSpaceDE w:val="0"/>
              <w:autoSpaceDN w:val="0"/>
              <w:adjustRightInd w:val="0"/>
              <w:jc w:val="center"/>
              <w:rPr>
                <w:sz w:val="22"/>
                <w:szCs w:val="22"/>
              </w:rPr>
            </w:pPr>
            <w:r w:rsidRPr="008F5372">
              <w:rPr>
                <w:sz w:val="22"/>
                <w:szCs w:val="22"/>
              </w:rPr>
              <w:t>50.7</w:t>
            </w:r>
          </w:p>
          <w:p w14:paraId="5D3616D1" w14:textId="77777777" w:rsidR="000D0C23" w:rsidRPr="008F5372" w:rsidRDefault="000D0C23">
            <w:pPr>
              <w:autoSpaceDE w:val="0"/>
              <w:autoSpaceDN w:val="0"/>
              <w:adjustRightInd w:val="0"/>
              <w:jc w:val="center"/>
              <w:rPr>
                <w:sz w:val="22"/>
                <w:szCs w:val="22"/>
              </w:rPr>
            </w:pPr>
            <w:r w:rsidRPr="008F5372">
              <w:rPr>
                <w:sz w:val="22"/>
                <w:szCs w:val="22"/>
              </w:rPr>
              <w:t>(36.5,65.0)</w:t>
            </w:r>
          </w:p>
          <w:p w14:paraId="7F163826" w14:textId="77777777" w:rsidR="000D0C23" w:rsidRPr="008F5372" w:rsidRDefault="000D0C23">
            <w:pPr>
              <w:autoSpaceDE w:val="0"/>
              <w:autoSpaceDN w:val="0"/>
              <w:adjustRightInd w:val="0"/>
              <w:jc w:val="center"/>
              <w:rPr>
                <w:sz w:val="22"/>
                <w:szCs w:val="22"/>
              </w:rPr>
            </w:pPr>
            <w:r w:rsidRPr="008F5372">
              <w:rPr>
                <w:sz w:val="22"/>
                <w:szCs w:val="22"/>
              </w:rPr>
              <w:t>N/R</w:t>
            </w:r>
          </w:p>
        </w:tc>
        <w:tc>
          <w:tcPr>
            <w:tcW w:w="850" w:type="pct"/>
            <w:tcBorders>
              <w:top w:val="single" w:sz="4" w:space="0" w:color="auto"/>
              <w:left w:val="single" w:sz="4" w:space="0" w:color="auto"/>
              <w:bottom w:val="single" w:sz="4" w:space="0" w:color="auto"/>
              <w:right w:val="single" w:sz="4" w:space="0" w:color="auto"/>
            </w:tcBorders>
            <w:hideMark/>
          </w:tcPr>
          <w:p w14:paraId="1274FD0C" w14:textId="77777777" w:rsidR="000D0C23" w:rsidRPr="008F5372" w:rsidRDefault="000D0C23">
            <w:pPr>
              <w:autoSpaceDE w:val="0"/>
              <w:autoSpaceDN w:val="0"/>
              <w:adjustRightInd w:val="0"/>
              <w:jc w:val="center"/>
              <w:rPr>
                <w:sz w:val="22"/>
                <w:szCs w:val="22"/>
              </w:rPr>
            </w:pPr>
            <w:r w:rsidRPr="008F5372">
              <w:rPr>
                <w:sz w:val="22"/>
                <w:szCs w:val="22"/>
              </w:rPr>
              <w:lastRenderedPageBreak/>
              <w:t>N=64</w:t>
            </w:r>
          </w:p>
          <w:p w14:paraId="2D1C76EC" w14:textId="77777777" w:rsidR="000D0C23" w:rsidRPr="008F5372" w:rsidRDefault="000D0C23">
            <w:pPr>
              <w:tabs>
                <w:tab w:val="left" w:pos="1304"/>
              </w:tabs>
              <w:autoSpaceDE w:val="0"/>
              <w:autoSpaceDN w:val="0"/>
              <w:adjustRightInd w:val="0"/>
              <w:ind w:left="-251" w:right="-120"/>
              <w:jc w:val="center"/>
              <w:rPr>
                <w:sz w:val="22"/>
                <w:szCs w:val="22"/>
              </w:rPr>
            </w:pPr>
            <w:r w:rsidRPr="008F5372">
              <w:rPr>
                <w:sz w:val="22"/>
                <w:szCs w:val="22"/>
              </w:rPr>
              <w:lastRenderedPageBreak/>
              <w:t>22.5 (7.1,37.9)</w:t>
            </w:r>
          </w:p>
          <w:p w14:paraId="380B131A" w14:textId="77777777" w:rsidR="000D0C23" w:rsidRPr="008F5372" w:rsidRDefault="000D0C23">
            <w:pPr>
              <w:autoSpaceDE w:val="0"/>
              <w:autoSpaceDN w:val="0"/>
              <w:adjustRightInd w:val="0"/>
              <w:ind w:left="-109"/>
              <w:jc w:val="center"/>
              <w:rPr>
                <w:sz w:val="22"/>
                <w:szCs w:val="22"/>
              </w:rPr>
            </w:pPr>
            <w:r w:rsidRPr="008F5372">
              <w:rPr>
                <w:sz w:val="22"/>
                <w:szCs w:val="22"/>
              </w:rPr>
              <w:t>22.5 (7.1,37.9)</w:t>
            </w:r>
          </w:p>
          <w:p w14:paraId="1BE89E58" w14:textId="77777777" w:rsidR="000D0C23" w:rsidRPr="008F5372" w:rsidRDefault="000D0C23">
            <w:pPr>
              <w:autoSpaceDE w:val="0"/>
              <w:autoSpaceDN w:val="0"/>
              <w:adjustRightInd w:val="0"/>
              <w:ind w:left="-119" w:right="-120"/>
              <w:jc w:val="center"/>
              <w:rPr>
                <w:sz w:val="22"/>
                <w:szCs w:val="22"/>
              </w:rPr>
            </w:pPr>
            <w:r w:rsidRPr="008F5372">
              <w:rPr>
                <w:sz w:val="22"/>
                <w:szCs w:val="22"/>
              </w:rPr>
              <w:t>10.9 (8.7,19.7)</w:t>
            </w:r>
          </w:p>
        </w:tc>
      </w:tr>
    </w:tbl>
    <w:p w14:paraId="569228C7" w14:textId="77777777" w:rsidR="000D0C23" w:rsidRDefault="000D0C23" w:rsidP="000D0C23">
      <w:pPr>
        <w:autoSpaceDE w:val="0"/>
        <w:autoSpaceDN w:val="0"/>
        <w:adjustRightInd w:val="0"/>
        <w:rPr>
          <w:sz w:val="20"/>
          <w:lang w:val="en-GB" w:eastAsia="en-US"/>
        </w:rPr>
      </w:pPr>
      <w:r w:rsidRPr="000D0C23">
        <w:rPr>
          <w:sz w:val="20"/>
          <w:lang w:val="en-US"/>
        </w:rPr>
        <w:lastRenderedPageBreak/>
        <w:t>Snapshot date: Phase 1/2 Study 02Oct2015, Extension Study 02Sep2020.</w:t>
      </w:r>
    </w:p>
    <w:p w14:paraId="40334D88" w14:textId="77777777" w:rsidR="000D0C23" w:rsidRPr="000D0C23" w:rsidRDefault="000D0C23" w:rsidP="000D0C23">
      <w:pPr>
        <w:autoSpaceDE w:val="0"/>
        <w:autoSpaceDN w:val="0"/>
        <w:adjustRightInd w:val="0"/>
        <w:rPr>
          <w:sz w:val="20"/>
          <w:lang w:val="en-US"/>
        </w:rPr>
      </w:pPr>
      <w:r w:rsidRPr="000D0C23">
        <w:rPr>
          <w:sz w:val="20"/>
          <w:lang w:val="en-US"/>
        </w:rPr>
        <w:t>Cytogenetic Response criteria: MCyR included Complete [0% Ph+ metaphases from bone marrow or &lt;</w:t>
      </w:r>
      <w:r w:rsidRPr="000D0C23">
        <w:rPr>
          <w:szCs w:val="22"/>
          <w:lang w:val="en-US"/>
        </w:rPr>
        <w:t> </w:t>
      </w:r>
      <w:r w:rsidRPr="000D0C23">
        <w:rPr>
          <w:sz w:val="20"/>
          <w:lang w:val="en-US"/>
        </w:rPr>
        <w:t>1% positive cells from fluorescent in situ hybridisation (FISH)] or partial (1%-35%) cytogenetic responses.</w:t>
      </w:r>
    </w:p>
    <w:p w14:paraId="0B32422F" w14:textId="77777777" w:rsidR="000D0C23" w:rsidRPr="000D0C23" w:rsidRDefault="000D0C23" w:rsidP="000D0C23">
      <w:pPr>
        <w:autoSpaceDE w:val="0"/>
        <w:autoSpaceDN w:val="0"/>
        <w:adjustRightInd w:val="0"/>
        <w:rPr>
          <w:sz w:val="20"/>
          <w:lang w:val="en-US"/>
        </w:rPr>
      </w:pPr>
      <w:r w:rsidRPr="000D0C23">
        <w:rPr>
          <w:sz w:val="20"/>
          <w:lang w:val="en-US"/>
        </w:rPr>
        <w:t>Cytogenetic responses were based on the percentage of Ph+ metaphases among ≥ 20 metaphase cells in each bone marrow sample. FISH analysis (≥ 200 cells) could be used for post-baseline cytogenetic assessments if ≥ 20 metaphases were not available. In the extension study, CCyR was imputed from MMR if a valid cytogenetic assessment was not available on a specific date.</w:t>
      </w:r>
    </w:p>
    <w:p w14:paraId="2221CE82" w14:textId="77777777" w:rsidR="000D0C23" w:rsidRPr="000D0C23" w:rsidRDefault="000D0C23" w:rsidP="000D0C23">
      <w:pPr>
        <w:autoSpaceDE w:val="0"/>
        <w:autoSpaceDN w:val="0"/>
        <w:adjustRightInd w:val="0"/>
        <w:rPr>
          <w:sz w:val="20"/>
          <w:lang w:val="en-US"/>
        </w:rPr>
      </w:pPr>
      <w:r w:rsidRPr="000D0C23">
        <w:rPr>
          <w:sz w:val="20"/>
          <w:lang w:val="en-US"/>
        </w:rPr>
        <w:t>Molecular response criteria: In the Phase 1/2 Study, MMR/MR</w:t>
      </w:r>
      <w:r w:rsidRPr="000D0C23">
        <w:rPr>
          <w:sz w:val="20"/>
          <w:vertAlign w:val="superscript"/>
          <w:lang w:val="en-US"/>
        </w:rPr>
        <w:t>4</w:t>
      </w:r>
      <w:r w:rsidRPr="000D0C23">
        <w:rPr>
          <w:sz w:val="20"/>
          <w:lang w:val="en-US"/>
        </w:rPr>
        <w:t xml:space="preserve"> was defined as ≤</w:t>
      </w:r>
      <w:r w:rsidRPr="000D0C23">
        <w:rPr>
          <w:szCs w:val="22"/>
          <w:lang w:val="en-US"/>
        </w:rPr>
        <w:t> </w:t>
      </w:r>
      <w:r w:rsidRPr="000D0C23">
        <w:rPr>
          <w:sz w:val="20"/>
          <w:lang w:val="en-US"/>
        </w:rPr>
        <w:t>0.1/0.01% BCR-ABL transcripts as assessed by a central laboratory (not on the international scale). In the extension study, responders had MMR/MR</w:t>
      </w:r>
      <w:r w:rsidRPr="000D0C23">
        <w:rPr>
          <w:sz w:val="20"/>
          <w:vertAlign w:val="superscript"/>
          <w:lang w:val="en-US"/>
        </w:rPr>
        <w:t>4</w:t>
      </w:r>
      <w:r w:rsidRPr="000D0C23">
        <w:rPr>
          <w:sz w:val="20"/>
          <w:lang w:val="en-US"/>
        </w:rPr>
        <w:t xml:space="preserve"> denoted on the case report form as assessed by a local laboratory.</w:t>
      </w:r>
    </w:p>
    <w:p w14:paraId="05FC0502" w14:textId="77777777" w:rsidR="000D0C23" w:rsidRPr="000D0C23" w:rsidRDefault="000D0C23" w:rsidP="000D0C23">
      <w:pPr>
        <w:autoSpaceDE w:val="0"/>
        <w:autoSpaceDN w:val="0"/>
        <w:adjustRightInd w:val="0"/>
        <w:rPr>
          <w:sz w:val="20"/>
          <w:lang w:val="en-US"/>
        </w:rPr>
      </w:pPr>
      <w:r w:rsidRPr="000D0C23">
        <w:rPr>
          <w:sz w:val="20"/>
          <w:lang w:val="en-US"/>
        </w:rPr>
        <w:t>Abbreviations: AP=accelerated phase; BP=blast phase; Ph+=Philadelphia chromosome-positive; CP=chronic phase; CML=chronic myelogenous leukaemia; K-M=Kaplan-Meier; N/n=number of patients; N/A=not applicable; N/R=not reached as of minimum follow-up; N/E=not estimable; CI=confidence interval; MCyR=major cytogenetic response; CCyR=complete cytogenetic response; CumInc=cumulative incidence; MMR=major molecular response; BCR-ABL=breakpoint cluster region-Abelson.</w:t>
      </w:r>
    </w:p>
    <w:p w14:paraId="3058BE8C" w14:textId="77777777" w:rsidR="000D0C23" w:rsidRPr="000D0C23" w:rsidRDefault="000D0C23" w:rsidP="000D0C23">
      <w:pPr>
        <w:autoSpaceDE w:val="0"/>
        <w:autoSpaceDN w:val="0"/>
        <w:adjustRightInd w:val="0"/>
        <w:rPr>
          <w:sz w:val="20"/>
          <w:lang w:val="en-US"/>
        </w:rPr>
      </w:pPr>
      <w:r w:rsidRPr="000D0C23">
        <w:rPr>
          <w:sz w:val="20"/>
          <w:vertAlign w:val="superscript"/>
          <w:lang w:val="en-US"/>
        </w:rPr>
        <w:t>a</w:t>
      </w:r>
      <w:r w:rsidRPr="000D0C23">
        <w:rPr>
          <w:sz w:val="20"/>
          <w:lang w:val="en-US"/>
        </w:rPr>
        <w:t xml:space="preserve"> Includes patients (N) with a valid baseline assessment for cytogenetic and patients not from China, South Africa, India, or Russia for molecular as samples could not be exported for molecular assessment in those countries. The analyses allow baseline responders who maintained response post-baseline to be responders. Minimum follow-up time (time from last patient first dose to data snapshot date) of 120 months.</w:t>
      </w:r>
    </w:p>
    <w:p w14:paraId="5792C9C3" w14:textId="77777777" w:rsidR="000D0C23" w:rsidRPr="000D0C23" w:rsidRDefault="000D0C23" w:rsidP="000D0C23">
      <w:pPr>
        <w:autoSpaceDE w:val="0"/>
        <w:autoSpaceDN w:val="0"/>
        <w:adjustRightInd w:val="0"/>
        <w:rPr>
          <w:sz w:val="20"/>
          <w:lang w:val="en-US"/>
        </w:rPr>
      </w:pPr>
      <w:r w:rsidRPr="000D0C23">
        <w:rPr>
          <w:sz w:val="20"/>
          <w:vertAlign w:val="superscript"/>
          <w:lang w:val="en-US"/>
        </w:rPr>
        <w:t>b</w:t>
      </w:r>
      <w:r w:rsidRPr="000D0C23">
        <w:rPr>
          <w:sz w:val="20"/>
          <w:lang w:val="en-US"/>
        </w:rPr>
        <w:t xml:space="preserve"> Includes patients (N) who attained or maintained response.</w:t>
      </w:r>
    </w:p>
    <w:p w14:paraId="355333EE" w14:textId="77777777" w:rsidR="000D0C23" w:rsidRPr="000D0C23" w:rsidRDefault="000D0C23" w:rsidP="000D0C23">
      <w:pPr>
        <w:autoSpaceDE w:val="0"/>
        <w:autoSpaceDN w:val="0"/>
        <w:adjustRightInd w:val="0"/>
        <w:rPr>
          <w:sz w:val="20"/>
          <w:lang w:val="en-US"/>
        </w:rPr>
      </w:pPr>
      <w:r w:rsidRPr="000D0C23">
        <w:rPr>
          <w:sz w:val="20"/>
          <w:vertAlign w:val="superscript"/>
          <w:lang w:val="en-US"/>
        </w:rPr>
        <w:t>c</w:t>
      </w:r>
      <w:r w:rsidRPr="000D0C23">
        <w:rPr>
          <w:sz w:val="20"/>
          <w:lang w:val="en-US"/>
        </w:rPr>
        <w:t xml:space="preserve"> Including patients (N) who received at least 1 dose of bosutinib.</w:t>
      </w:r>
    </w:p>
    <w:p w14:paraId="53FBEF20" w14:textId="77777777" w:rsidR="000D0C23" w:rsidRPr="000D0C23" w:rsidRDefault="000D0C23" w:rsidP="000D0C23">
      <w:pPr>
        <w:autoSpaceDE w:val="0"/>
        <w:autoSpaceDN w:val="0"/>
        <w:adjustRightInd w:val="0"/>
        <w:rPr>
          <w:sz w:val="20"/>
          <w:lang w:val="en-US"/>
        </w:rPr>
      </w:pPr>
      <w:r w:rsidRPr="000D0C23">
        <w:rPr>
          <w:sz w:val="20"/>
          <w:vertAlign w:val="superscript"/>
          <w:lang w:val="en-US"/>
        </w:rPr>
        <w:t>d</w:t>
      </w:r>
      <w:r w:rsidRPr="000D0C23">
        <w:rPr>
          <w:sz w:val="20"/>
          <w:lang w:val="en-US"/>
        </w:rPr>
        <w:t xml:space="preserve"> Cumulative incidence analysis adjusting for the competing risk of treatment discontinuation without the event.</w:t>
      </w:r>
    </w:p>
    <w:p w14:paraId="03118B46" w14:textId="77777777" w:rsidR="000D0C23" w:rsidRPr="000D0C23" w:rsidRDefault="000D0C23" w:rsidP="000D0C23">
      <w:pPr>
        <w:autoSpaceDE w:val="0"/>
        <w:autoSpaceDN w:val="0"/>
        <w:adjustRightInd w:val="0"/>
        <w:rPr>
          <w:sz w:val="20"/>
          <w:lang w:val="en-US"/>
        </w:rPr>
      </w:pPr>
      <w:r w:rsidRPr="000D0C23">
        <w:rPr>
          <w:sz w:val="20"/>
          <w:vertAlign w:val="superscript"/>
          <w:lang w:val="en-US"/>
        </w:rPr>
        <w:t>e</w:t>
      </w:r>
      <w:r w:rsidRPr="000D0C23">
        <w:rPr>
          <w:sz w:val="20"/>
          <w:lang w:val="en-US"/>
        </w:rPr>
        <w:t xml:space="preserve"> Not analysed for groups with limited numbers.</w:t>
      </w:r>
    </w:p>
    <w:p w14:paraId="5318BE71" w14:textId="46EA0A44" w:rsidR="000D0C23" w:rsidRDefault="000D0C23">
      <w:pPr>
        <w:rPr>
          <w:sz w:val="22"/>
          <w:szCs w:val="22"/>
          <w:lang w:val="en-US"/>
        </w:rPr>
      </w:pPr>
      <w:r>
        <w:rPr>
          <w:sz w:val="22"/>
          <w:szCs w:val="22"/>
          <w:lang w:val="en-US"/>
        </w:rPr>
        <w:br w:type="page"/>
      </w:r>
    </w:p>
    <w:p w14:paraId="1B98B83C" w14:textId="77777777" w:rsidR="000D0C23" w:rsidRPr="000D0C23" w:rsidRDefault="000D0C23" w:rsidP="000D0C23">
      <w:pPr>
        <w:autoSpaceDE w:val="0"/>
        <w:autoSpaceDN w:val="0"/>
        <w:adjustRightInd w:val="0"/>
        <w:rPr>
          <w:sz w:val="22"/>
          <w:szCs w:val="22"/>
          <w:lang w:val="en-US"/>
        </w:rPr>
      </w:pPr>
    </w:p>
    <w:p w14:paraId="774ECFDD"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Overall Survival in the CP, AP and BP cohorts is displayed graphically in Figure 4.</w:t>
      </w:r>
    </w:p>
    <w:p w14:paraId="258947D3" w14:textId="77777777" w:rsidR="000D0C23" w:rsidRPr="000D0C23" w:rsidRDefault="000D0C23" w:rsidP="000D0C23">
      <w:pPr>
        <w:autoSpaceDE w:val="0"/>
        <w:autoSpaceDN w:val="0"/>
        <w:adjustRightInd w:val="0"/>
        <w:rPr>
          <w:szCs w:val="22"/>
          <w:lang w:val="en-US"/>
        </w:rPr>
      </w:pPr>
    </w:p>
    <w:p w14:paraId="1E952AEB" w14:textId="77777777" w:rsidR="000D0C23" w:rsidRPr="000D0C23" w:rsidRDefault="000D0C23" w:rsidP="000D0C23">
      <w:pPr>
        <w:keepNext/>
        <w:autoSpaceDE w:val="0"/>
        <w:autoSpaceDN w:val="0"/>
        <w:adjustRightInd w:val="0"/>
        <w:rPr>
          <w:b/>
          <w:szCs w:val="22"/>
          <w:lang w:val="en-US"/>
        </w:rPr>
      </w:pPr>
      <w:r w:rsidRPr="000D0C23">
        <w:rPr>
          <w:b/>
          <w:szCs w:val="22"/>
          <w:lang w:val="en-US"/>
        </w:rPr>
        <w:t>Figure 4</w:t>
      </w:r>
      <w:r w:rsidRPr="000D0C23">
        <w:rPr>
          <w:b/>
          <w:szCs w:val="22"/>
          <w:lang w:val="en-US"/>
        </w:rPr>
        <w:tab/>
        <w:t>Kaplan-Meier Estimate of Overall Survival (OS) in CP2L, CP3L, AP, and BP</w:t>
      </w:r>
    </w:p>
    <w:p w14:paraId="5B9C34DD" w14:textId="410363C9" w:rsidR="000D0C23" w:rsidRDefault="000D0C23" w:rsidP="000D0C23">
      <w:pPr>
        <w:autoSpaceDE w:val="0"/>
        <w:autoSpaceDN w:val="0"/>
        <w:adjustRightInd w:val="0"/>
        <w:rPr>
          <w:szCs w:val="22"/>
        </w:rPr>
      </w:pPr>
      <w:r>
        <w:rPr>
          <w:noProof/>
          <w:szCs w:val="22"/>
        </w:rPr>
        <w:drawing>
          <wp:inline distT="0" distB="0" distL="0" distR="0" wp14:anchorId="5A998B12" wp14:editId="529BE094">
            <wp:extent cx="5759450" cy="38163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816350"/>
                    </a:xfrm>
                    <a:prstGeom prst="rect">
                      <a:avLst/>
                    </a:prstGeom>
                    <a:noFill/>
                    <a:ln>
                      <a:noFill/>
                    </a:ln>
                  </pic:spPr>
                </pic:pic>
              </a:graphicData>
            </a:graphic>
          </wp:inline>
        </w:drawing>
      </w:r>
    </w:p>
    <w:p w14:paraId="12A4E4AB" w14:textId="77777777" w:rsidR="000D0C23" w:rsidRDefault="000D0C23" w:rsidP="000D0C23">
      <w:pPr>
        <w:autoSpaceDE w:val="0"/>
        <w:autoSpaceDN w:val="0"/>
        <w:adjustRightInd w:val="0"/>
        <w:rPr>
          <w:szCs w:val="22"/>
        </w:rPr>
      </w:pPr>
    </w:p>
    <w:p w14:paraId="5AE53A8D" w14:textId="77777777" w:rsidR="000D0C23" w:rsidRPr="000D0C23" w:rsidRDefault="000D0C23" w:rsidP="000D0C23">
      <w:pPr>
        <w:autoSpaceDE w:val="0"/>
        <w:autoSpaceDN w:val="0"/>
        <w:adjustRightInd w:val="0"/>
        <w:ind w:left="1134" w:hanging="1134"/>
        <w:rPr>
          <w:b/>
          <w:szCs w:val="22"/>
          <w:lang w:val="en-US"/>
        </w:rPr>
      </w:pPr>
      <w:r w:rsidRPr="000D0C23">
        <w:rPr>
          <w:b/>
          <w:szCs w:val="22"/>
          <w:lang w:val="en-US"/>
        </w:rPr>
        <w:t>Table 9</w:t>
      </w:r>
      <w:r w:rsidRPr="000D0C23">
        <w:rPr>
          <w:b/>
          <w:szCs w:val="22"/>
          <w:lang w:val="en-US"/>
        </w:rPr>
        <w:tab/>
        <w:t>Response by baseline BCR-ABL mutation status in CP CML evaluable population: prior imatinib and dasatinib and/or nilotinib (third-line)</w:t>
      </w:r>
    </w:p>
    <w:tbl>
      <w:tblPr>
        <w:tblW w:w="5000" w:type="pct"/>
        <w:tblLook w:val="04A0" w:firstRow="1" w:lastRow="0" w:firstColumn="1" w:lastColumn="0" w:noHBand="0" w:noVBand="1"/>
      </w:tblPr>
      <w:tblGrid>
        <w:gridCol w:w="3208"/>
        <w:gridCol w:w="2962"/>
        <w:gridCol w:w="3458"/>
      </w:tblGrid>
      <w:tr w:rsidR="000D0C23" w:rsidRPr="008F5372" w14:paraId="5E5F1D43" w14:textId="77777777" w:rsidTr="000D0C23">
        <w:tc>
          <w:tcPr>
            <w:tcW w:w="1666" w:type="pct"/>
            <w:tcBorders>
              <w:top w:val="single" w:sz="4" w:space="0" w:color="auto"/>
              <w:left w:val="single" w:sz="4" w:space="0" w:color="auto"/>
              <w:bottom w:val="single" w:sz="4" w:space="0" w:color="auto"/>
              <w:right w:val="single" w:sz="4" w:space="0" w:color="auto"/>
            </w:tcBorders>
            <w:hideMark/>
          </w:tcPr>
          <w:p w14:paraId="27042989" w14:textId="77777777" w:rsidR="000D0C23" w:rsidRPr="008F5372" w:rsidRDefault="000D0C23">
            <w:pPr>
              <w:autoSpaceDE w:val="0"/>
              <w:autoSpaceDN w:val="0"/>
              <w:adjustRightInd w:val="0"/>
              <w:rPr>
                <w:sz w:val="22"/>
                <w:szCs w:val="22"/>
              </w:rPr>
            </w:pPr>
            <w:r w:rsidRPr="008F5372">
              <w:rPr>
                <w:sz w:val="22"/>
                <w:szCs w:val="22"/>
              </w:rPr>
              <w:t>BCR-ABL mutation status at baseline</w:t>
            </w:r>
          </w:p>
        </w:tc>
        <w:tc>
          <w:tcPr>
            <w:tcW w:w="1538" w:type="pct"/>
            <w:tcBorders>
              <w:top w:val="single" w:sz="4" w:space="0" w:color="auto"/>
              <w:left w:val="single" w:sz="4" w:space="0" w:color="auto"/>
              <w:bottom w:val="single" w:sz="4" w:space="0" w:color="auto"/>
              <w:right w:val="single" w:sz="4" w:space="0" w:color="auto"/>
            </w:tcBorders>
            <w:hideMark/>
          </w:tcPr>
          <w:p w14:paraId="65BA3F57" w14:textId="77777777" w:rsidR="000D0C23" w:rsidRPr="008F5372" w:rsidRDefault="000D0C23">
            <w:pPr>
              <w:autoSpaceDE w:val="0"/>
              <w:autoSpaceDN w:val="0"/>
              <w:adjustRightInd w:val="0"/>
              <w:jc w:val="center"/>
              <w:rPr>
                <w:sz w:val="22"/>
                <w:szCs w:val="22"/>
                <w:lang w:val="en-US"/>
              </w:rPr>
            </w:pPr>
            <w:r w:rsidRPr="008F5372">
              <w:rPr>
                <w:sz w:val="22"/>
                <w:szCs w:val="22"/>
                <w:lang w:val="en-US"/>
              </w:rPr>
              <w:t>Incidence at baseline</w:t>
            </w:r>
          </w:p>
          <w:p w14:paraId="351CCCE4" w14:textId="77777777" w:rsidR="000D0C23" w:rsidRPr="008F5372" w:rsidRDefault="000D0C23">
            <w:pPr>
              <w:autoSpaceDE w:val="0"/>
              <w:autoSpaceDN w:val="0"/>
              <w:adjustRightInd w:val="0"/>
              <w:jc w:val="center"/>
              <w:rPr>
                <w:sz w:val="22"/>
                <w:szCs w:val="22"/>
                <w:lang w:val="en-US"/>
              </w:rPr>
            </w:pPr>
            <w:r w:rsidRPr="008F5372">
              <w:rPr>
                <w:sz w:val="22"/>
                <w:szCs w:val="22"/>
                <w:lang w:val="en-US"/>
              </w:rPr>
              <w:t>n (%)</w:t>
            </w:r>
            <w:r w:rsidRPr="008F5372">
              <w:rPr>
                <w:sz w:val="22"/>
                <w:szCs w:val="22"/>
                <w:vertAlign w:val="superscript"/>
                <w:lang w:val="en-US"/>
              </w:rPr>
              <w:t>a</w:t>
            </w:r>
          </w:p>
        </w:tc>
        <w:tc>
          <w:tcPr>
            <w:tcW w:w="1796" w:type="pct"/>
            <w:tcBorders>
              <w:top w:val="single" w:sz="4" w:space="0" w:color="auto"/>
              <w:left w:val="single" w:sz="4" w:space="0" w:color="auto"/>
              <w:bottom w:val="single" w:sz="4" w:space="0" w:color="auto"/>
              <w:right w:val="single" w:sz="4" w:space="0" w:color="auto"/>
            </w:tcBorders>
            <w:hideMark/>
          </w:tcPr>
          <w:p w14:paraId="2CED09F7" w14:textId="77777777" w:rsidR="000D0C23" w:rsidRPr="008F5372" w:rsidRDefault="000D0C23">
            <w:pPr>
              <w:tabs>
                <w:tab w:val="left" w:pos="0"/>
              </w:tabs>
              <w:autoSpaceDE w:val="0"/>
              <w:autoSpaceDN w:val="0"/>
              <w:adjustRightInd w:val="0"/>
              <w:jc w:val="center"/>
              <w:rPr>
                <w:sz w:val="22"/>
                <w:szCs w:val="22"/>
                <w:lang w:val="en-US"/>
              </w:rPr>
            </w:pPr>
            <w:r w:rsidRPr="008F5372">
              <w:rPr>
                <w:sz w:val="22"/>
                <w:szCs w:val="22"/>
                <w:lang w:val="en-US"/>
              </w:rPr>
              <w:t>MCyR attained or maintained Resp/Eval</w:t>
            </w:r>
            <w:r w:rsidRPr="008F5372">
              <w:rPr>
                <w:sz w:val="22"/>
                <w:szCs w:val="22"/>
                <w:vertAlign w:val="superscript"/>
                <w:lang w:val="en-US"/>
              </w:rPr>
              <w:t>b</w:t>
            </w:r>
            <w:r w:rsidRPr="008F5372">
              <w:rPr>
                <w:sz w:val="22"/>
                <w:szCs w:val="22"/>
                <w:lang w:val="en-US"/>
              </w:rPr>
              <w:t xml:space="preserve"> (%) </w:t>
            </w:r>
          </w:p>
          <w:p w14:paraId="1CA418FB" w14:textId="77777777" w:rsidR="000D0C23" w:rsidRPr="008F5372" w:rsidRDefault="000D0C23">
            <w:pPr>
              <w:tabs>
                <w:tab w:val="left" w:pos="0"/>
              </w:tabs>
              <w:autoSpaceDE w:val="0"/>
              <w:autoSpaceDN w:val="0"/>
              <w:adjustRightInd w:val="0"/>
              <w:jc w:val="center"/>
              <w:rPr>
                <w:sz w:val="22"/>
                <w:szCs w:val="22"/>
              </w:rPr>
            </w:pPr>
            <w:r w:rsidRPr="008F5372">
              <w:rPr>
                <w:sz w:val="22"/>
                <w:szCs w:val="22"/>
              </w:rPr>
              <w:t>N=112</w:t>
            </w:r>
          </w:p>
        </w:tc>
      </w:tr>
      <w:tr w:rsidR="000D0C23" w:rsidRPr="008F5372" w14:paraId="48CDD126" w14:textId="77777777" w:rsidTr="000D0C23">
        <w:tc>
          <w:tcPr>
            <w:tcW w:w="1666" w:type="pct"/>
            <w:tcBorders>
              <w:top w:val="single" w:sz="4" w:space="0" w:color="auto"/>
              <w:left w:val="single" w:sz="4" w:space="0" w:color="auto"/>
              <w:bottom w:val="single" w:sz="4" w:space="0" w:color="auto"/>
              <w:right w:val="single" w:sz="4" w:space="0" w:color="auto"/>
            </w:tcBorders>
            <w:hideMark/>
          </w:tcPr>
          <w:p w14:paraId="01F28982" w14:textId="77777777" w:rsidR="000D0C23" w:rsidRPr="008F5372" w:rsidRDefault="000D0C23">
            <w:pPr>
              <w:autoSpaceDE w:val="0"/>
              <w:autoSpaceDN w:val="0"/>
              <w:adjustRightInd w:val="0"/>
              <w:rPr>
                <w:sz w:val="22"/>
                <w:szCs w:val="22"/>
              </w:rPr>
            </w:pPr>
            <w:r w:rsidRPr="008F5372">
              <w:rPr>
                <w:sz w:val="22"/>
                <w:szCs w:val="22"/>
              </w:rPr>
              <w:t>Mutation assessed</w:t>
            </w:r>
          </w:p>
        </w:tc>
        <w:tc>
          <w:tcPr>
            <w:tcW w:w="1538" w:type="pct"/>
            <w:tcBorders>
              <w:top w:val="single" w:sz="4" w:space="0" w:color="auto"/>
              <w:left w:val="single" w:sz="4" w:space="0" w:color="auto"/>
              <w:bottom w:val="single" w:sz="4" w:space="0" w:color="auto"/>
              <w:right w:val="single" w:sz="4" w:space="0" w:color="auto"/>
            </w:tcBorders>
            <w:hideMark/>
          </w:tcPr>
          <w:p w14:paraId="5091DE7F" w14:textId="77777777" w:rsidR="000D0C23" w:rsidRPr="008F5372" w:rsidRDefault="000D0C23">
            <w:pPr>
              <w:autoSpaceDE w:val="0"/>
              <w:autoSpaceDN w:val="0"/>
              <w:adjustRightInd w:val="0"/>
              <w:jc w:val="center"/>
              <w:rPr>
                <w:sz w:val="22"/>
                <w:szCs w:val="22"/>
              </w:rPr>
            </w:pPr>
            <w:r w:rsidRPr="008F5372">
              <w:rPr>
                <w:sz w:val="22"/>
                <w:szCs w:val="22"/>
              </w:rPr>
              <w:t>98 (100.0)</w:t>
            </w:r>
          </w:p>
        </w:tc>
        <w:tc>
          <w:tcPr>
            <w:tcW w:w="1796" w:type="pct"/>
            <w:tcBorders>
              <w:top w:val="single" w:sz="4" w:space="0" w:color="auto"/>
              <w:left w:val="single" w:sz="4" w:space="0" w:color="auto"/>
              <w:bottom w:val="single" w:sz="4" w:space="0" w:color="auto"/>
              <w:right w:val="single" w:sz="4" w:space="0" w:color="auto"/>
            </w:tcBorders>
            <w:hideMark/>
          </w:tcPr>
          <w:p w14:paraId="071196AB" w14:textId="77777777" w:rsidR="000D0C23" w:rsidRPr="008F5372" w:rsidRDefault="000D0C23">
            <w:pPr>
              <w:autoSpaceDE w:val="0"/>
              <w:autoSpaceDN w:val="0"/>
              <w:adjustRightInd w:val="0"/>
              <w:jc w:val="center"/>
              <w:rPr>
                <w:sz w:val="22"/>
                <w:szCs w:val="22"/>
              </w:rPr>
            </w:pPr>
            <w:r w:rsidRPr="008F5372">
              <w:rPr>
                <w:sz w:val="22"/>
                <w:szCs w:val="22"/>
              </w:rPr>
              <w:t>36/92 (39.1)</w:t>
            </w:r>
          </w:p>
        </w:tc>
      </w:tr>
      <w:tr w:rsidR="000D0C23" w:rsidRPr="008F5372" w14:paraId="0F8BEF66" w14:textId="77777777" w:rsidTr="000D0C23">
        <w:tc>
          <w:tcPr>
            <w:tcW w:w="1666" w:type="pct"/>
            <w:tcBorders>
              <w:top w:val="single" w:sz="4" w:space="0" w:color="auto"/>
              <w:left w:val="single" w:sz="4" w:space="0" w:color="auto"/>
              <w:bottom w:val="single" w:sz="4" w:space="0" w:color="auto"/>
              <w:right w:val="single" w:sz="4" w:space="0" w:color="auto"/>
            </w:tcBorders>
            <w:hideMark/>
          </w:tcPr>
          <w:p w14:paraId="1ADD6D08" w14:textId="77777777" w:rsidR="000D0C23" w:rsidRPr="008F5372" w:rsidRDefault="000D0C23">
            <w:pPr>
              <w:autoSpaceDE w:val="0"/>
              <w:autoSpaceDN w:val="0"/>
              <w:adjustRightInd w:val="0"/>
              <w:ind w:left="176"/>
              <w:rPr>
                <w:sz w:val="22"/>
                <w:szCs w:val="22"/>
              </w:rPr>
            </w:pPr>
            <w:r w:rsidRPr="008F5372">
              <w:rPr>
                <w:sz w:val="22"/>
                <w:szCs w:val="22"/>
              </w:rPr>
              <w:t>No mutation</w:t>
            </w:r>
          </w:p>
        </w:tc>
        <w:tc>
          <w:tcPr>
            <w:tcW w:w="1538" w:type="pct"/>
            <w:tcBorders>
              <w:top w:val="single" w:sz="4" w:space="0" w:color="auto"/>
              <w:left w:val="single" w:sz="4" w:space="0" w:color="auto"/>
              <w:bottom w:val="single" w:sz="4" w:space="0" w:color="auto"/>
              <w:right w:val="single" w:sz="4" w:space="0" w:color="auto"/>
            </w:tcBorders>
            <w:hideMark/>
          </w:tcPr>
          <w:p w14:paraId="3BAC97A9" w14:textId="77777777" w:rsidR="000D0C23" w:rsidRPr="008F5372" w:rsidRDefault="000D0C23">
            <w:pPr>
              <w:autoSpaceDE w:val="0"/>
              <w:autoSpaceDN w:val="0"/>
              <w:adjustRightInd w:val="0"/>
              <w:jc w:val="center"/>
              <w:rPr>
                <w:sz w:val="22"/>
                <w:szCs w:val="22"/>
              </w:rPr>
            </w:pPr>
            <w:r w:rsidRPr="008F5372">
              <w:rPr>
                <w:sz w:val="22"/>
                <w:szCs w:val="22"/>
              </w:rPr>
              <w:t>59 (60.2)</w:t>
            </w:r>
          </w:p>
        </w:tc>
        <w:tc>
          <w:tcPr>
            <w:tcW w:w="1796" w:type="pct"/>
            <w:tcBorders>
              <w:top w:val="single" w:sz="4" w:space="0" w:color="auto"/>
              <w:left w:val="single" w:sz="4" w:space="0" w:color="auto"/>
              <w:bottom w:val="single" w:sz="4" w:space="0" w:color="auto"/>
              <w:right w:val="single" w:sz="4" w:space="0" w:color="auto"/>
            </w:tcBorders>
            <w:hideMark/>
          </w:tcPr>
          <w:p w14:paraId="6742FA5F" w14:textId="77777777" w:rsidR="000D0C23" w:rsidRPr="008F5372" w:rsidRDefault="000D0C23">
            <w:pPr>
              <w:autoSpaceDE w:val="0"/>
              <w:autoSpaceDN w:val="0"/>
              <w:adjustRightInd w:val="0"/>
              <w:jc w:val="center"/>
              <w:rPr>
                <w:sz w:val="22"/>
                <w:szCs w:val="22"/>
              </w:rPr>
            </w:pPr>
            <w:r w:rsidRPr="008F5372">
              <w:rPr>
                <w:sz w:val="22"/>
                <w:szCs w:val="22"/>
              </w:rPr>
              <w:t>23/55 (41.8)</w:t>
            </w:r>
          </w:p>
        </w:tc>
      </w:tr>
      <w:tr w:rsidR="000D0C23" w:rsidRPr="008F5372" w14:paraId="33584B03" w14:textId="77777777" w:rsidTr="000D0C23">
        <w:tc>
          <w:tcPr>
            <w:tcW w:w="1666" w:type="pct"/>
            <w:tcBorders>
              <w:top w:val="single" w:sz="4" w:space="0" w:color="auto"/>
              <w:left w:val="single" w:sz="4" w:space="0" w:color="auto"/>
              <w:bottom w:val="single" w:sz="4" w:space="0" w:color="auto"/>
              <w:right w:val="single" w:sz="4" w:space="0" w:color="auto"/>
            </w:tcBorders>
            <w:hideMark/>
          </w:tcPr>
          <w:p w14:paraId="066BCA37" w14:textId="77777777" w:rsidR="000D0C23" w:rsidRPr="008F5372" w:rsidRDefault="000D0C23">
            <w:pPr>
              <w:autoSpaceDE w:val="0"/>
              <w:autoSpaceDN w:val="0"/>
              <w:adjustRightInd w:val="0"/>
              <w:ind w:left="176"/>
              <w:rPr>
                <w:sz w:val="22"/>
                <w:szCs w:val="22"/>
              </w:rPr>
            </w:pPr>
            <w:r w:rsidRPr="008F5372">
              <w:rPr>
                <w:sz w:val="22"/>
                <w:szCs w:val="22"/>
              </w:rPr>
              <w:t>At least 1 mutation</w:t>
            </w:r>
          </w:p>
        </w:tc>
        <w:tc>
          <w:tcPr>
            <w:tcW w:w="1538" w:type="pct"/>
            <w:tcBorders>
              <w:top w:val="single" w:sz="4" w:space="0" w:color="auto"/>
              <w:left w:val="single" w:sz="4" w:space="0" w:color="auto"/>
              <w:bottom w:val="single" w:sz="4" w:space="0" w:color="auto"/>
              <w:right w:val="single" w:sz="4" w:space="0" w:color="auto"/>
            </w:tcBorders>
            <w:hideMark/>
          </w:tcPr>
          <w:p w14:paraId="70394F42" w14:textId="77777777" w:rsidR="000D0C23" w:rsidRPr="008F5372" w:rsidRDefault="000D0C23">
            <w:pPr>
              <w:autoSpaceDE w:val="0"/>
              <w:autoSpaceDN w:val="0"/>
              <w:adjustRightInd w:val="0"/>
              <w:jc w:val="center"/>
              <w:rPr>
                <w:sz w:val="22"/>
                <w:szCs w:val="22"/>
              </w:rPr>
            </w:pPr>
            <w:r w:rsidRPr="008F5372">
              <w:rPr>
                <w:sz w:val="22"/>
                <w:szCs w:val="22"/>
              </w:rPr>
              <w:t>39 (39.8)</w:t>
            </w:r>
          </w:p>
        </w:tc>
        <w:tc>
          <w:tcPr>
            <w:tcW w:w="1796" w:type="pct"/>
            <w:tcBorders>
              <w:top w:val="single" w:sz="4" w:space="0" w:color="auto"/>
              <w:left w:val="single" w:sz="4" w:space="0" w:color="auto"/>
              <w:bottom w:val="single" w:sz="4" w:space="0" w:color="auto"/>
              <w:right w:val="single" w:sz="4" w:space="0" w:color="auto"/>
            </w:tcBorders>
            <w:hideMark/>
          </w:tcPr>
          <w:p w14:paraId="61A2886B" w14:textId="77777777" w:rsidR="000D0C23" w:rsidRPr="008F5372" w:rsidRDefault="000D0C23">
            <w:pPr>
              <w:autoSpaceDE w:val="0"/>
              <w:autoSpaceDN w:val="0"/>
              <w:adjustRightInd w:val="0"/>
              <w:jc w:val="center"/>
              <w:rPr>
                <w:sz w:val="22"/>
                <w:szCs w:val="22"/>
              </w:rPr>
            </w:pPr>
            <w:r w:rsidRPr="008F5372">
              <w:rPr>
                <w:sz w:val="22"/>
                <w:szCs w:val="22"/>
              </w:rPr>
              <w:t>13/37 (35.1)</w:t>
            </w:r>
          </w:p>
        </w:tc>
      </w:tr>
      <w:tr w:rsidR="000D0C23" w:rsidRPr="008F5372" w14:paraId="6DBBE4C2" w14:textId="77777777" w:rsidTr="000D0C23">
        <w:tc>
          <w:tcPr>
            <w:tcW w:w="1666" w:type="pct"/>
            <w:tcBorders>
              <w:top w:val="single" w:sz="4" w:space="0" w:color="auto"/>
              <w:left w:val="single" w:sz="4" w:space="0" w:color="auto"/>
              <w:bottom w:val="single" w:sz="4" w:space="0" w:color="auto"/>
              <w:right w:val="single" w:sz="4" w:space="0" w:color="auto"/>
            </w:tcBorders>
            <w:hideMark/>
          </w:tcPr>
          <w:p w14:paraId="5D427945" w14:textId="77777777" w:rsidR="000D0C23" w:rsidRPr="008F5372" w:rsidRDefault="000D0C23">
            <w:pPr>
              <w:autoSpaceDE w:val="0"/>
              <w:autoSpaceDN w:val="0"/>
              <w:adjustRightInd w:val="0"/>
              <w:rPr>
                <w:sz w:val="22"/>
                <w:szCs w:val="22"/>
              </w:rPr>
            </w:pPr>
            <w:r w:rsidRPr="008F5372">
              <w:rPr>
                <w:sz w:val="22"/>
                <w:szCs w:val="22"/>
              </w:rPr>
              <w:t>Dasatinib resistant mutations</w:t>
            </w:r>
          </w:p>
        </w:tc>
        <w:tc>
          <w:tcPr>
            <w:tcW w:w="1538" w:type="pct"/>
            <w:tcBorders>
              <w:top w:val="single" w:sz="4" w:space="0" w:color="auto"/>
              <w:left w:val="single" w:sz="4" w:space="0" w:color="auto"/>
              <w:bottom w:val="single" w:sz="4" w:space="0" w:color="auto"/>
              <w:right w:val="single" w:sz="4" w:space="0" w:color="auto"/>
            </w:tcBorders>
            <w:hideMark/>
          </w:tcPr>
          <w:p w14:paraId="5A333B55" w14:textId="77777777" w:rsidR="000D0C23" w:rsidRPr="008F5372" w:rsidRDefault="000D0C23">
            <w:pPr>
              <w:autoSpaceDE w:val="0"/>
              <w:autoSpaceDN w:val="0"/>
              <w:adjustRightInd w:val="0"/>
              <w:jc w:val="center"/>
              <w:rPr>
                <w:sz w:val="22"/>
                <w:szCs w:val="22"/>
              </w:rPr>
            </w:pPr>
            <w:r w:rsidRPr="008F5372">
              <w:rPr>
                <w:sz w:val="22"/>
                <w:szCs w:val="22"/>
              </w:rPr>
              <w:t>10 (10.2)</w:t>
            </w:r>
          </w:p>
        </w:tc>
        <w:tc>
          <w:tcPr>
            <w:tcW w:w="1796" w:type="pct"/>
            <w:tcBorders>
              <w:top w:val="single" w:sz="4" w:space="0" w:color="auto"/>
              <w:left w:val="single" w:sz="4" w:space="0" w:color="auto"/>
              <w:bottom w:val="single" w:sz="4" w:space="0" w:color="auto"/>
              <w:right w:val="single" w:sz="4" w:space="0" w:color="auto"/>
            </w:tcBorders>
            <w:hideMark/>
          </w:tcPr>
          <w:p w14:paraId="7A7821F6" w14:textId="77777777" w:rsidR="000D0C23" w:rsidRPr="008F5372" w:rsidRDefault="000D0C23">
            <w:pPr>
              <w:autoSpaceDE w:val="0"/>
              <w:autoSpaceDN w:val="0"/>
              <w:adjustRightInd w:val="0"/>
              <w:jc w:val="center"/>
              <w:rPr>
                <w:sz w:val="22"/>
                <w:szCs w:val="22"/>
              </w:rPr>
            </w:pPr>
            <w:r w:rsidRPr="008F5372">
              <w:rPr>
                <w:sz w:val="22"/>
                <w:szCs w:val="22"/>
              </w:rPr>
              <w:t>1/9 (11.1)</w:t>
            </w:r>
          </w:p>
        </w:tc>
      </w:tr>
      <w:tr w:rsidR="000D0C23" w:rsidRPr="008F5372" w14:paraId="0DE7A22C" w14:textId="77777777" w:rsidTr="000D0C23">
        <w:tc>
          <w:tcPr>
            <w:tcW w:w="1666" w:type="pct"/>
            <w:tcBorders>
              <w:top w:val="single" w:sz="4" w:space="0" w:color="auto"/>
              <w:left w:val="single" w:sz="4" w:space="0" w:color="auto"/>
              <w:bottom w:val="single" w:sz="4" w:space="0" w:color="auto"/>
              <w:right w:val="single" w:sz="4" w:space="0" w:color="auto"/>
            </w:tcBorders>
            <w:hideMark/>
          </w:tcPr>
          <w:p w14:paraId="5C43D332" w14:textId="77777777" w:rsidR="000D0C23" w:rsidRPr="008F5372" w:rsidRDefault="000D0C23">
            <w:pPr>
              <w:autoSpaceDE w:val="0"/>
              <w:autoSpaceDN w:val="0"/>
              <w:adjustRightInd w:val="0"/>
              <w:ind w:left="176"/>
              <w:rPr>
                <w:sz w:val="22"/>
                <w:szCs w:val="22"/>
              </w:rPr>
            </w:pPr>
            <w:r w:rsidRPr="008F5372">
              <w:rPr>
                <w:sz w:val="22"/>
                <w:szCs w:val="22"/>
              </w:rPr>
              <w:t>E255K/V</w:t>
            </w:r>
          </w:p>
        </w:tc>
        <w:tc>
          <w:tcPr>
            <w:tcW w:w="1538" w:type="pct"/>
            <w:tcBorders>
              <w:top w:val="single" w:sz="4" w:space="0" w:color="auto"/>
              <w:left w:val="single" w:sz="4" w:space="0" w:color="auto"/>
              <w:bottom w:val="single" w:sz="4" w:space="0" w:color="auto"/>
              <w:right w:val="single" w:sz="4" w:space="0" w:color="auto"/>
            </w:tcBorders>
            <w:hideMark/>
          </w:tcPr>
          <w:p w14:paraId="310A1495" w14:textId="77777777" w:rsidR="000D0C23" w:rsidRPr="008F5372" w:rsidRDefault="000D0C23">
            <w:pPr>
              <w:autoSpaceDE w:val="0"/>
              <w:autoSpaceDN w:val="0"/>
              <w:adjustRightInd w:val="0"/>
              <w:jc w:val="center"/>
              <w:rPr>
                <w:sz w:val="22"/>
                <w:szCs w:val="22"/>
              </w:rPr>
            </w:pPr>
            <w:r w:rsidRPr="008F5372">
              <w:rPr>
                <w:sz w:val="22"/>
                <w:szCs w:val="22"/>
              </w:rPr>
              <w:t>2 (2.0)</w:t>
            </w:r>
          </w:p>
        </w:tc>
        <w:tc>
          <w:tcPr>
            <w:tcW w:w="1796" w:type="pct"/>
            <w:tcBorders>
              <w:top w:val="single" w:sz="4" w:space="0" w:color="auto"/>
              <w:left w:val="single" w:sz="4" w:space="0" w:color="auto"/>
              <w:bottom w:val="single" w:sz="4" w:space="0" w:color="auto"/>
              <w:right w:val="single" w:sz="4" w:space="0" w:color="auto"/>
            </w:tcBorders>
            <w:hideMark/>
          </w:tcPr>
          <w:p w14:paraId="6AC475C9" w14:textId="77777777" w:rsidR="000D0C23" w:rsidRPr="008F5372" w:rsidRDefault="000D0C23">
            <w:pPr>
              <w:autoSpaceDE w:val="0"/>
              <w:autoSpaceDN w:val="0"/>
              <w:adjustRightInd w:val="0"/>
              <w:jc w:val="center"/>
              <w:rPr>
                <w:sz w:val="22"/>
                <w:szCs w:val="22"/>
              </w:rPr>
            </w:pPr>
            <w:r w:rsidRPr="008F5372">
              <w:rPr>
                <w:sz w:val="22"/>
                <w:szCs w:val="22"/>
              </w:rPr>
              <w:t>0/2</w:t>
            </w:r>
          </w:p>
        </w:tc>
      </w:tr>
      <w:tr w:rsidR="000D0C23" w:rsidRPr="008F5372" w14:paraId="57273C07" w14:textId="77777777" w:rsidTr="000D0C23">
        <w:tc>
          <w:tcPr>
            <w:tcW w:w="1666" w:type="pct"/>
            <w:tcBorders>
              <w:top w:val="single" w:sz="4" w:space="0" w:color="auto"/>
              <w:left w:val="single" w:sz="4" w:space="0" w:color="auto"/>
              <w:bottom w:val="single" w:sz="4" w:space="0" w:color="auto"/>
              <w:right w:val="single" w:sz="4" w:space="0" w:color="auto"/>
            </w:tcBorders>
            <w:hideMark/>
          </w:tcPr>
          <w:p w14:paraId="0A453918" w14:textId="77777777" w:rsidR="000D0C23" w:rsidRPr="008F5372" w:rsidRDefault="000D0C23">
            <w:pPr>
              <w:autoSpaceDE w:val="0"/>
              <w:autoSpaceDN w:val="0"/>
              <w:adjustRightInd w:val="0"/>
              <w:ind w:left="176"/>
              <w:rPr>
                <w:sz w:val="22"/>
                <w:szCs w:val="22"/>
              </w:rPr>
            </w:pPr>
            <w:r w:rsidRPr="008F5372">
              <w:rPr>
                <w:sz w:val="22"/>
                <w:szCs w:val="22"/>
              </w:rPr>
              <w:t>F317L</w:t>
            </w:r>
          </w:p>
        </w:tc>
        <w:tc>
          <w:tcPr>
            <w:tcW w:w="1538" w:type="pct"/>
            <w:tcBorders>
              <w:top w:val="single" w:sz="4" w:space="0" w:color="auto"/>
              <w:left w:val="single" w:sz="4" w:space="0" w:color="auto"/>
              <w:bottom w:val="single" w:sz="4" w:space="0" w:color="auto"/>
              <w:right w:val="single" w:sz="4" w:space="0" w:color="auto"/>
            </w:tcBorders>
            <w:hideMark/>
          </w:tcPr>
          <w:p w14:paraId="1CAC0FA8" w14:textId="77777777" w:rsidR="000D0C23" w:rsidRPr="008F5372" w:rsidRDefault="000D0C23">
            <w:pPr>
              <w:autoSpaceDE w:val="0"/>
              <w:autoSpaceDN w:val="0"/>
              <w:adjustRightInd w:val="0"/>
              <w:jc w:val="center"/>
              <w:rPr>
                <w:sz w:val="22"/>
                <w:szCs w:val="22"/>
              </w:rPr>
            </w:pPr>
            <w:r w:rsidRPr="008F5372">
              <w:rPr>
                <w:sz w:val="22"/>
                <w:szCs w:val="22"/>
              </w:rPr>
              <w:t>8 (8.2)</w:t>
            </w:r>
          </w:p>
        </w:tc>
        <w:tc>
          <w:tcPr>
            <w:tcW w:w="1796" w:type="pct"/>
            <w:tcBorders>
              <w:top w:val="single" w:sz="4" w:space="0" w:color="auto"/>
              <w:left w:val="single" w:sz="4" w:space="0" w:color="auto"/>
              <w:bottom w:val="single" w:sz="4" w:space="0" w:color="auto"/>
              <w:right w:val="single" w:sz="4" w:space="0" w:color="auto"/>
            </w:tcBorders>
            <w:hideMark/>
          </w:tcPr>
          <w:p w14:paraId="0FE173E1" w14:textId="77777777" w:rsidR="000D0C23" w:rsidRPr="008F5372" w:rsidRDefault="000D0C23">
            <w:pPr>
              <w:autoSpaceDE w:val="0"/>
              <w:autoSpaceDN w:val="0"/>
              <w:adjustRightInd w:val="0"/>
              <w:jc w:val="center"/>
              <w:rPr>
                <w:sz w:val="22"/>
                <w:szCs w:val="22"/>
              </w:rPr>
            </w:pPr>
            <w:r w:rsidRPr="008F5372">
              <w:rPr>
                <w:sz w:val="22"/>
                <w:szCs w:val="22"/>
              </w:rPr>
              <w:t>1/7 (14.3)</w:t>
            </w:r>
          </w:p>
        </w:tc>
      </w:tr>
      <w:tr w:rsidR="000D0C23" w:rsidRPr="008F5372" w14:paraId="7B36A3EF" w14:textId="77777777" w:rsidTr="000D0C23">
        <w:tc>
          <w:tcPr>
            <w:tcW w:w="1666" w:type="pct"/>
            <w:tcBorders>
              <w:top w:val="single" w:sz="4" w:space="0" w:color="auto"/>
              <w:left w:val="single" w:sz="4" w:space="0" w:color="auto"/>
              <w:bottom w:val="single" w:sz="4" w:space="0" w:color="auto"/>
              <w:right w:val="single" w:sz="4" w:space="0" w:color="auto"/>
            </w:tcBorders>
            <w:hideMark/>
          </w:tcPr>
          <w:p w14:paraId="1736C8B7" w14:textId="77777777" w:rsidR="000D0C23" w:rsidRPr="008F5372" w:rsidRDefault="000D0C23">
            <w:pPr>
              <w:autoSpaceDE w:val="0"/>
              <w:autoSpaceDN w:val="0"/>
              <w:adjustRightInd w:val="0"/>
              <w:rPr>
                <w:sz w:val="22"/>
                <w:szCs w:val="22"/>
              </w:rPr>
            </w:pPr>
            <w:r w:rsidRPr="008F5372">
              <w:rPr>
                <w:sz w:val="22"/>
                <w:szCs w:val="22"/>
              </w:rPr>
              <w:t>Nilotinib resistant mutations</w:t>
            </w:r>
            <w:r w:rsidRPr="008F5372">
              <w:rPr>
                <w:sz w:val="22"/>
                <w:szCs w:val="22"/>
                <w:vertAlign w:val="superscript"/>
              </w:rPr>
              <w:t>c</w:t>
            </w:r>
          </w:p>
        </w:tc>
        <w:tc>
          <w:tcPr>
            <w:tcW w:w="1538" w:type="pct"/>
            <w:tcBorders>
              <w:top w:val="single" w:sz="4" w:space="0" w:color="auto"/>
              <w:left w:val="single" w:sz="4" w:space="0" w:color="auto"/>
              <w:bottom w:val="single" w:sz="4" w:space="0" w:color="auto"/>
              <w:right w:val="single" w:sz="4" w:space="0" w:color="auto"/>
            </w:tcBorders>
            <w:hideMark/>
          </w:tcPr>
          <w:p w14:paraId="2BBEC4BC" w14:textId="77777777" w:rsidR="000D0C23" w:rsidRPr="008F5372" w:rsidRDefault="000D0C23">
            <w:pPr>
              <w:autoSpaceDE w:val="0"/>
              <w:autoSpaceDN w:val="0"/>
              <w:adjustRightInd w:val="0"/>
              <w:jc w:val="center"/>
              <w:rPr>
                <w:sz w:val="22"/>
                <w:szCs w:val="22"/>
              </w:rPr>
            </w:pPr>
            <w:r w:rsidRPr="008F5372">
              <w:rPr>
                <w:sz w:val="22"/>
                <w:szCs w:val="22"/>
              </w:rPr>
              <w:t>13 (13.3)</w:t>
            </w:r>
          </w:p>
        </w:tc>
        <w:tc>
          <w:tcPr>
            <w:tcW w:w="1796" w:type="pct"/>
            <w:tcBorders>
              <w:top w:val="single" w:sz="4" w:space="0" w:color="auto"/>
              <w:left w:val="single" w:sz="4" w:space="0" w:color="auto"/>
              <w:bottom w:val="single" w:sz="4" w:space="0" w:color="auto"/>
              <w:right w:val="single" w:sz="4" w:space="0" w:color="auto"/>
            </w:tcBorders>
            <w:hideMark/>
          </w:tcPr>
          <w:p w14:paraId="508E393C" w14:textId="77777777" w:rsidR="000D0C23" w:rsidRPr="008F5372" w:rsidRDefault="000D0C23">
            <w:pPr>
              <w:autoSpaceDE w:val="0"/>
              <w:autoSpaceDN w:val="0"/>
              <w:adjustRightInd w:val="0"/>
              <w:jc w:val="center"/>
              <w:rPr>
                <w:sz w:val="22"/>
                <w:szCs w:val="22"/>
              </w:rPr>
            </w:pPr>
            <w:r w:rsidRPr="008F5372">
              <w:rPr>
                <w:sz w:val="22"/>
                <w:szCs w:val="22"/>
              </w:rPr>
              <w:t>8/13 (61.5)</w:t>
            </w:r>
          </w:p>
        </w:tc>
      </w:tr>
      <w:tr w:rsidR="000D0C23" w:rsidRPr="008F5372" w14:paraId="5401A25D" w14:textId="77777777" w:rsidTr="000D0C23">
        <w:tc>
          <w:tcPr>
            <w:tcW w:w="1666" w:type="pct"/>
            <w:tcBorders>
              <w:top w:val="single" w:sz="4" w:space="0" w:color="auto"/>
              <w:left w:val="single" w:sz="4" w:space="0" w:color="auto"/>
              <w:bottom w:val="single" w:sz="4" w:space="0" w:color="auto"/>
              <w:right w:val="single" w:sz="4" w:space="0" w:color="auto"/>
            </w:tcBorders>
            <w:hideMark/>
          </w:tcPr>
          <w:p w14:paraId="7A3C12AA" w14:textId="77777777" w:rsidR="000D0C23" w:rsidRPr="008F5372" w:rsidRDefault="000D0C23">
            <w:pPr>
              <w:autoSpaceDE w:val="0"/>
              <w:autoSpaceDN w:val="0"/>
              <w:adjustRightInd w:val="0"/>
              <w:ind w:left="176"/>
              <w:rPr>
                <w:sz w:val="22"/>
                <w:szCs w:val="22"/>
              </w:rPr>
            </w:pPr>
            <w:r w:rsidRPr="008F5372">
              <w:rPr>
                <w:sz w:val="22"/>
                <w:szCs w:val="22"/>
              </w:rPr>
              <w:t>Y253H</w:t>
            </w:r>
          </w:p>
        </w:tc>
        <w:tc>
          <w:tcPr>
            <w:tcW w:w="1538" w:type="pct"/>
            <w:tcBorders>
              <w:top w:val="single" w:sz="4" w:space="0" w:color="auto"/>
              <w:left w:val="single" w:sz="4" w:space="0" w:color="auto"/>
              <w:bottom w:val="single" w:sz="4" w:space="0" w:color="auto"/>
              <w:right w:val="single" w:sz="4" w:space="0" w:color="auto"/>
            </w:tcBorders>
            <w:hideMark/>
          </w:tcPr>
          <w:p w14:paraId="6DA4F3EC" w14:textId="77777777" w:rsidR="000D0C23" w:rsidRPr="008F5372" w:rsidRDefault="000D0C23">
            <w:pPr>
              <w:autoSpaceDE w:val="0"/>
              <w:autoSpaceDN w:val="0"/>
              <w:adjustRightInd w:val="0"/>
              <w:jc w:val="center"/>
              <w:rPr>
                <w:sz w:val="22"/>
                <w:szCs w:val="22"/>
              </w:rPr>
            </w:pPr>
            <w:r w:rsidRPr="008F5372">
              <w:rPr>
                <w:sz w:val="22"/>
                <w:szCs w:val="22"/>
              </w:rPr>
              <w:t>6 (6.1)</w:t>
            </w:r>
          </w:p>
        </w:tc>
        <w:tc>
          <w:tcPr>
            <w:tcW w:w="1796" w:type="pct"/>
            <w:tcBorders>
              <w:top w:val="single" w:sz="4" w:space="0" w:color="auto"/>
              <w:left w:val="single" w:sz="4" w:space="0" w:color="auto"/>
              <w:bottom w:val="single" w:sz="4" w:space="0" w:color="auto"/>
              <w:right w:val="single" w:sz="4" w:space="0" w:color="auto"/>
            </w:tcBorders>
            <w:hideMark/>
          </w:tcPr>
          <w:p w14:paraId="6C2EA1CA" w14:textId="77777777" w:rsidR="000D0C23" w:rsidRPr="008F5372" w:rsidRDefault="000D0C23">
            <w:pPr>
              <w:autoSpaceDE w:val="0"/>
              <w:autoSpaceDN w:val="0"/>
              <w:adjustRightInd w:val="0"/>
              <w:jc w:val="center"/>
              <w:rPr>
                <w:sz w:val="22"/>
                <w:szCs w:val="22"/>
              </w:rPr>
            </w:pPr>
            <w:r w:rsidRPr="008F5372">
              <w:rPr>
                <w:sz w:val="22"/>
                <w:szCs w:val="22"/>
              </w:rPr>
              <w:t>5/6 (83.3)</w:t>
            </w:r>
          </w:p>
        </w:tc>
      </w:tr>
      <w:tr w:rsidR="000D0C23" w:rsidRPr="008F5372" w14:paraId="79F114C4" w14:textId="77777777" w:rsidTr="000D0C23">
        <w:tc>
          <w:tcPr>
            <w:tcW w:w="1666" w:type="pct"/>
            <w:tcBorders>
              <w:top w:val="single" w:sz="4" w:space="0" w:color="auto"/>
              <w:left w:val="single" w:sz="4" w:space="0" w:color="auto"/>
              <w:bottom w:val="single" w:sz="4" w:space="0" w:color="auto"/>
              <w:right w:val="single" w:sz="4" w:space="0" w:color="auto"/>
            </w:tcBorders>
            <w:hideMark/>
          </w:tcPr>
          <w:p w14:paraId="5DBEBDD9" w14:textId="77777777" w:rsidR="000D0C23" w:rsidRPr="008F5372" w:rsidRDefault="000D0C23">
            <w:pPr>
              <w:autoSpaceDE w:val="0"/>
              <w:autoSpaceDN w:val="0"/>
              <w:adjustRightInd w:val="0"/>
              <w:ind w:left="176"/>
              <w:rPr>
                <w:sz w:val="22"/>
                <w:szCs w:val="22"/>
              </w:rPr>
            </w:pPr>
            <w:r w:rsidRPr="008F5372">
              <w:rPr>
                <w:sz w:val="22"/>
                <w:szCs w:val="22"/>
              </w:rPr>
              <w:t>E255K/V</w:t>
            </w:r>
          </w:p>
        </w:tc>
        <w:tc>
          <w:tcPr>
            <w:tcW w:w="1538" w:type="pct"/>
            <w:tcBorders>
              <w:top w:val="single" w:sz="4" w:space="0" w:color="auto"/>
              <w:left w:val="single" w:sz="4" w:space="0" w:color="auto"/>
              <w:bottom w:val="single" w:sz="4" w:space="0" w:color="auto"/>
              <w:right w:val="single" w:sz="4" w:space="0" w:color="auto"/>
            </w:tcBorders>
            <w:hideMark/>
          </w:tcPr>
          <w:p w14:paraId="79861588" w14:textId="77777777" w:rsidR="000D0C23" w:rsidRPr="008F5372" w:rsidRDefault="000D0C23">
            <w:pPr>
              <w:autoSpaceDE w:val="0"/>
              <w:autoSpaceDN w:val="0"/>
              <w:adjustRightInd w:val="0"/>
              <w:jc w:val="center"/>
              <w:rPr>
                <w:sz w:val="22"/>
                <w:szCs w:val="22"/>
              </w:rPr>
            </w:pPr>
            <w:r w:rsidRPr="008F5372">
              <w:rPr>
                <w:sz w:val="22"/>
                <w:szCs w:val="22"/>
              </w:rPr>
              <w:t>2 (2.0)</w:t>
            </w:r>
          </w:p>
        </w:tc>
        <w:tc>
          <w:tcPr>
            <w:tcW w:w="1796" w:type="pct"/>
            <w:tcBorders>
              <w:top w:val="single" w:sz="4" w:space="0" w:color="auto"/>
              <w:left w:val="single" w:sz="4" w:space="0" w:color="auto"/>
              <w:bottom w:val="single" w:sz="4" w:space="0" w:color="auto"/>
              <w:right w:val="single" w:sz="4" w:space="0" w:color="auto"/>
            </w:tcBorders>
            <w:hideMark/>
          </w:tcPr>
          <w:p w14:paraId="27F4EB3C" w14:textId="77777777" w:rsidR="000D0C23" w:rsidRPr="008F5372" w:rsidRDefault="000D0C23">
            <w:pPr>
              <w:autoSpaceDE w:val="0"/>
              <w:autoSpaceDN w:val="0"/>
              <w:adjustRightInd w:val="0"/>
              <w:jc w:val="center"/>
              <w:rPr>
                <w:sz w:val="22"/>
                <w:szCs w:val="22"/>
              </w:rPr>
            </w:pPr>
            <w:r w:rsidRPr="008F5372">
              <w:rPr>
                <w:sz w:val="22"/>
                <w:szCs w:val="22"/>
              </w:rPr>
              <w:t>0/2</w:t>
            </w:r>
          </w:p>
        </w:tc>
      </w:tr>
      <w:tr w:rsidR="000D0C23" w:rsidRPr="008F5372" w14:paraId="51AE0FC4" w14:textId="77777777" w:rsidTr="000D0C23">
        <w:tc>
          <w:tcPr>
            <w:tcW w:w="1666" w:type="pct"/>
            <w:tcBorders>
              <w:top w:val="single" w:sz="4" w:space="0" w:color="auto"/>
              <w:left w:val="single" w:sz="4" w:space="0" w:color="auto"/>
              <w:bottom w:val="single" w:sz="4" w:space="0" w:color="auto"/>
              <w:right w:val="single" w:sz="4" w:space="0" w:color="auto"/>
            </w:tcBorders>
            <w:hideMark/>
          </w:tcPr>
          <w:p w14:paraId="30B69758" w14:textId="77777777" w:rsidR="000D0C23" w:rsidRPr="008F5372" w:rsidRDefault="000D0C23">
            <w:pPr>
              <w:autoSpaceDE w:val="0"/>
              <w:autoSpaceDN w:val="0"/>
              <w:adjustRightInd w:val="0"/>
              <w:ind w:left="176"/>
              <w:rPr>
                <w:sz w:val="22"/>
                <w:szCs w:val="22"/>
              </w:rPr>
            </w:pPr>
            <w:r w:rsidRPr="008F5372">
              <w:rPr>
                <w:sz w:val="22"/>
                <w:szCs w:val="22"/>
              </w:rPr>
              <w:t>F359C/I/V</w:t>
            </w:r>
          </w:p>
        </w:tc>
        <w:tc>
          <w:tcPr>
            <w:tcW w:w="1538" w:type="pct"/>
            <w:tcBorders>
              <w:top w:val="single" w:sz="4" w:space="0" w:color="auto"/>
              <w:left w:val="single" w:sz="4" w:space="0" w:color="auto"/>
              <w:bottom w:val="single" w:sz="4" w:space="0" w:color="auto"/>
              <w:right w:val="single" w:sz="4" w:space="0" w:color="auto"/>
            </w:tcBorders>
            <w:hideMark/>
          </w:tcPr>
          <w:p w14:paraId="67D8D36C" w14:textId="77777777" w:rsidR="000D0C23" w:rsidRPr="008F5372" w:rsidRDefault="000D0C23">
            <w:pPr>
              <w:autoSpaceDE w:val="0"/>
              <w:autoSpaceDN w:val="0"/>
              <w:adjustRightInd w:val="0"/>
              <w:jc w:val="center"/>
              <w:rPr>
                <w:sz w:val="22"/>
                <w:szCs w:val="22"/>
              </w:rPr>
            </w:pPr>
            <w:r w:rsidRPr="008F5372">
              <w:rPr>
                <w:sz w:val="22"/>
                <w:szCs w:val="22"/>
              </w:rPr>
              <w:t>7 (7.1)</w:t>
            </w:r>
          </w:p>
        </w:tc>
        <w:tc>
          <w:tcPr>
            <w:tcW w:w="1796" w:type="pct"/>
            <w:tcBorders>
              <w:top w:val="single" w:sz="4" w:space="0" w:color="auto"/>
              <w:left w:val="single" w:sz="4" w:space="0" w:color="auto"/>
              <w:bottom w:val="single" w:sz="4" w:space="0" w:color="auto"/>
              <w:right w:val="single" w:sz="4" w:space="0" w:color="auto"/>
            </w:tcBorders>
            <w:hideMark/>
          </w:tcPr>
          <w:p w14:paraId="0433C8E1" w14:textId="77777777" w:rsidR="000D0C23" w:rsidRPr="008F5372" w:rsidRDefault="000D0C23">
            <w:pPr>
              <w:autoSpaceDE w:val="0"/>
              <w:autoSpaceDN w:val="0"/>
              <w:adjustRightInd w:val="0"/>
              <w:jc w:val="center"/>
              <w:rPr>
                <w:sz w:val="22"/>
                <w:szCs w:val="22"/>
              </w:rPr>
            </w:pPr>
            <w:r w:rsidRPr="008F5372">
              <w:rPr>
                <w:sz w:val="22"/>
                <w:szCs w:val="22"/>
              </w:rPr>
              <w:t>5/7 (71.4)</w:t>
            </w:r>
          </w:p>
        </w:tc>
      </w:tr>
    </w:tbl>
    <w:p w14:paraId="1D9FBC9B" w14:textId="77777777" w:rsidR="000D0C23" w:rsidRDefault="000D0C23" w:rsidP="000D0C23">
      <w:pPr>
        <w:autoSpaceDE w:val="0"/>
        <w:autoSpaceDN w:val="0"/>
        <w:adjustRightInd w:val="0"/>
        <w:rPr>
          <w:sz w:val="20"/>
          <w:lang w:val="en-GB" w:eastAsia="en-US"/>
        </w:rPr>
      </w:pPr>
      <w:r w:rsidRPr="000D0C23">
        <w:rPr>
          <w:sz w:val="20"/>
          <w:lang w:val="en-US"/>
        </w:rPr>
        <w:t>Snapshot date: Phase 1/2 Study 02Oct2015, Extension Study 02Sep2020</w:t>
      </w:r>
    </w:p>
    <w:p w14:paraId="14133717" w14:textId="77777777" w:rsidR="000D0C23" w:rsidRPr="000D0C23" w:rsidRDefault="000D0C23" w:rsidP="000D0C23">
      <w:pPr>
        <w:autoSpaceDE w:val="0"/>
        <w:autoSpaceDN w:val="0"/>
        <w:adjustRightInd w:val="0"/>
        <w:rPr>
          <w:sz w:val="20"/>
          <w:lang w:val="en-US"/>
        </w:rPr>
      </w:pPr>
      <w:r w:rsidRPr="000D0C23">
        <w:rPr>
          <w:sz w:val="20"/>
          <w:lang w:val="en-US"/>
        </w:rPr>
        <w:t>Note: Baseline mutations were identified before the patient's first dose of study drug.</w:t>
      </w:r>
    </w:p>
    <w:p w14:paraId="40352A59" w14:textId="77777777" w:rsidR="000D0C23" w:rsidRPr="000D0C23" w:rsidRDefault="000D0C23" w:rsidP="000D0C23">
      <w:pPr>
        <w:autoSpaceDE w:val="0"/>
        <w:autoSpaceDN w:val="0"/>
        <w:adjustRightInd w:val="0"/>
        <w:rPr>
          <w:sz w:val="20"/>
          <w:lang w:val="en-US"/>
        </w:rPr>
      </w:pPr>
      <w:r w:rsidRPr="000D0C23">
        <w:rPr>
          <w:sz w:val="20"/>
          <w:lang w:val="en-US"/>
        </w:rPr>
        <w:t>Abbreviations: BCR-ABL=breakpoint cluster region-Abelson; CP=chronic phase; CML=chronic myelogenous leukaemia; MCyR=major cytogenetic response; N/n=number of patients; Resp=responders; Eval=evaluable.</w:t>
      </w:r>
    </w:p>
    <w:p w14:paraId="52A66CA0" w14:textId="77777777" w:rsidR="000D0C23" w:rsidRPr="000D0C23" w:rsidRDefault="000D0C23" w:rsidP="000D0C23">
      <w:pPr>
        <w:autoSpaceDE w:val="0"/>
        <w:autoSpaceDN w:val="0"/>
        <w:adjustRightInd w:val="0"/>
        <w:rPr>
          <w:sz w:val="20"/>
          <w:lang w:val="en-US"/>
        </w:rPr>
      </w:pPr>
      <w:r w:rsidRPr="000D0C23">
        <w:rPr>
          <w:sz w:val="20"/>
          <w:vertAlign w:val="superscript"/>
          <w:lang w:val="en-US"/>
        </w:rPr>
        <w:t>a</w:t>
      </w:r>
      <w:r w:rsidRPr="000D0C23">
        <w:rPr>
          <w:sz w:val="20"/>
          <w:lang w:val="en-US"/>
        </w:rPr>
        <w:t xml:space="preserve"> The percentage is based on number of patients with baseline mutation assessment.</w:t>
      </w:r>
    </w:p>
    <w:p w14:paraId="55A21D3A" w14:textId="77777777" w:rsidR="000D0C23" w:rsidRPr="000D0C23" w:rsidRDefault="000D0C23" w:rsidP="000D0C23">
      <w:pPr>
        <w:autoSpaceDE w:val="0"/>
        <w:autoSpaceDN w:val="0"/>
        <w:adjustRightInd w:val="0"/>
        <w:rPr>
          <w:sz w:val="20"/>
          <w:lang w:val="en-US"/>
        </w:rPr>
      </w:pPr>
      <w:r w:rsidRPr="000D0C23">
        <w:rPr>
          <w:sz w:val="20"/>
          <w:vertAlign w:val="superscript"/>
          <w:lang w:val="en-US"/>
        </w:rPr>
        <w:t>b</w:t>
      </w:r>
      <w:r w:rsidRPr="000D0C23">
        <w:rPr>
          <w:sz w:val="20"/>
          <w:lang w:val="en-US"/>
        </w:rPr>
        <w:t xml:space="preserve"> The evaluable population includes patients who had a valid baseline disease assessment.</w:t>
      </w:r>
    </w:p>
    <w:p w14:paraId="47481183" w14:textId="77777777" w:rsidR="000D0C23" w:rsidRPr="000D0C23" w:rsidRDefault="000D0C23" w:rsidP="000D0C23">
      <w:pPr>
        <w:autoSpaceDE w:val="0"/>
        <w:autoSpaceDN w:val="0"/>
        <w:adjustRightInd w:val="0"/>
        <w:rPr>
          <w:sz w:val="20"/>
          <w:lang w:val="en-US"/>
        </w:rPr>
      </w:pPr>
      <w:r w:rsidRPr="000D0C23">
        <w:rPr>
          <w:sz w:val="20"/>
          <w:vertAlign w:val="superscript"/>
          <w:lang w:val="en-US"/>
        </w:rPr>
        <w:t>c</w:t>
      </w:r>
      <w:r w:rsidRPr="000D0C23">
        <w:rPr>
          <w:sz w:val="20"/>
          <w:lang w:val="en-US"/>
        </w:rPr>
        <w:t xml:space="preserve"> 2 patients had more than 1 mutation in this category.</w:t>
      </w:r>
    </w:p>
    <w:p w14:paraId="32D4A775" w14:textId="77777777" w:rsidR="000D0C23" w:rsidRPr="000D0C23" w:rsidRDefault="000D0C23" w:rsidP="000D0C23">
      <w:pPr>
        <w:autoSpaceDE w:val="0"/>
        <w:autoSpaceDN w:val="0"/>
        <w:adjustRightInd w:val="0"/>
        <w:ind w:left="851"/>
        <w:rPr>
          <w:sz w:val="24"/>
          <w:szCs w:val="24"/>
          <w:lang w:val="en-US"/>
        </w:rPr>
      </w:pPr>
    </w:p>
    <w:p w14:paraId="2328F751"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One patient with the E255V mutation previously treated with nilotinib achieved CHR as best response.</w:t>
      </w:r>
    </w:p>
    <w:p w14:paraId="75A4A0A9" w14:textId="77777777" w:rsidR="000D0C23" w:rsidRPr="000D0C23" w:rsidRDefault="000D0C23" w:rsidP="000D0C23">
      <w:pPr>
        <w:autoSpaceDE w:val="0"/>
        <w:autoSpaceDN w:val="0"/>
        <w:adjustRightInd w:val="0"/>
        <w:ind w:left="851"/>
        <w:rPr>
          <w:sz w:val="24"/>
          <w:szCs w:val="24"/>
          <w:lang w:val="en-US"/>
        </w:rPr>
      </w:pPr>
    </w:p>
    <w:p w14:paraId="47B4631D" w14:textId="77777777" w:rsidR="000D0C23" w:rsidRPr="000D0C23" w:rsidRDefault="000D0C23" w:rsidP="000D0C23">
      <w:pPr>
        <w:autoSpaceDE w:val="0"/>
        <w:autoSpaceDN w:val="0"/>
        <w:adjustRightInd w:val="0"/>
        <w:ind w:left="851"/>
        <w:rPr>
          <w:sz w:val="24"/>
          <w:szCs w:val="24"/>
          <w:lang w:val="en-US"/>
        </w:rPr>
      </w:pPr>
      <w:r w:rsidRPr="000D0C23">
        <w:rPr>
          <w:i/>
          <w:sz w:val="24"/>
          <w:szCs w:val="24"/>
          <w:lang w:val="en-US"/>
        </w:rPr>
        <w:lastRenderedPageBreak/>
        <w:t>In vitro</w:t>
      </w:r>
      <w:r w:rsidRPr="000D0C23">
        <w:rPr>
          <w:sz w:val="24"/>
          <w:szCs w:val="24"/>
          <w:lang w:val="en-US"/>
        </w:rPr>
        <w:t xml:space="preserve"> testing indicated that bosutinib had limited activity against the T315I or the V299L mutation. Therefore, clinical activity in patients with these mutations is not expected.</w:t>
      </w:r>
    </w:p>
    <w:p w14:paraId="6E4B22C7" w14:textId="77777777" w:rsidR="000D0C23" w:rsidRPr="000D0C23" w:rsidRDefault="000D0C23" w:rsidP="000D0C23">
      <w:pPr>
        <w:autoSpaceDE w:val="0"/>
        <w:autoSpaceDN w:val="0"/>
        <w:adjustRightInd w:val="0"/>
        <w:ind w:left="851"/>
        <w:rPr>
          <w:sz w:val="24"/>
          <w:szCs w:val="24"/>
          <w:lang w:val="en-US"/>
        </w:rPr>
      </w:pPr>
    </w:p>
    <w:p w14:paraId="538224ED" w14:textId="77777777" w:rsidR="000D0C23" w:rsidRPr="000D0C23" w:rsidRDefault="000D0C23" w:rsidP="000D0C23">
      <w:pPr>
        <w:keepNext/>
        <w:autoSpaceDE w:val="0"/>
        <w:autoSpaceDN w:val="0"/>
        <w:adjustRightInd w:val="0"/>
        <w:ind w:left="851"/>
        <w:rPr>
          <w:i/>
          <w:sz w:val="24"/>
          <w:szCs w:val="24"/>
          <w:lang w:val="en-US"/>
        </w:rPr>
      </w:pPr>
      <w:r w:rsidRPr="000D0C23">
        <w:rPr>
          <w:i/>
          <w:sz w:val="24"/>
          <w:szCs w:val="24"/>
          <w:lang w:val="en-US"/>
        </w:rPr>
        <w:t>Phase 4 Clinical study in Ph+CML previously treated with 1 or more TKI(s)</w:t>
      </w:r>
    </w:p>
    <w:p w14:paraId="42CF8305"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A single-arm, Phase 4 open-label, non-randomised, multi-centre study was conducted to evaluate the efficacy and safety of bosutinib 500 mg once daily in patients with TKI-resistant or TKI-intolerant CML with separate cohorts for CP, AP or BP disease previously treated with 1 or more prior TKIs.</w:t>
      </w:r>
    </w:p>
    <w:p w14:paraId="2DE23860" w14:textId="77777777" w:rsidR="000D0C23" w:rsidRPr="000D0C23" w:rsidRDefault="000D0C23" w:rsidP="000D0C23">
      <w:pPr>
        <w:autoSpaceDE w:val="0"/>
        <w:autoSpaceDN w:val="0"/>
        <w:adjustRightInd w:val="0"/>
        <w:ind w:left="851"/>
        <w:rPr>
          <w:sz w:val="24"/>
          <w:szCs w:val="24"/>
          <w:lang w:val="en-US"/>
        </w:rPr>
      </w:pPr>
    </w:p>
    <w:p w14:paraId="5A998162"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There were 163 patients treated with bosutinib in this trial including 46 patients with CP Ph+CML and treated previously with 1 prior TKI (imatinib or dasatinib or nilotinib), 61 CP Ph+CML patients previously treated with 2 prior TKIs (imatinib and/or dasatinib and/or nilotinib), 49 CP Ph+CML patients treated with 3 prior TKIs (imatinib and dasatinib and nilotinib), 4 patients with AP Ph+CML</w:t>
      </w:r>
    </w:p>
    <w:p w14:paraId="4E056385"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previously treated with at least 1 TKI (2 patients treated with 2 prior TKIs and 2 patients treated with 3 prior TKIs) and 3 patients with Ph</w:t>
      </w:r>
      <w:r w:rsidRPr="000D0C23">
        <w:rPr>
          <w:sz w:val="24"/>
          <w:szCs w:val="24"/>
          <w:lang w:val="en-US"/>
        </w:rPr>
        <w:noBreakHyphen/>
        <w:t>CML treated with at least 1 prior TKI.</w:t>
      </w:r>
    </w:p>
    <w:p w14:paraId="3FC7B3C4" w14:textId="77777777" w:rsidR="000D0C23" w:rsidRPr="000D0C23" w:rsidRDefault="000D0C23" w:rsidP="000D0C23">
      <w:pPr>
        <w:autoSpaceDE w:val="0"/>
        <w:autoSpaceDN w:val="0"/>
        <w:adjustRightInd w:val="0"/>
        <w:ind w:left="851"/>
        <w:rPr>
          <w:sz w:val="24"/>
          <w:szCs w:val="24"/>
          <w:lang w:val="en-US"/>
        </w:rPr>
      </w:pPr>
    </w:p>
    <w:p w14:paraId="6B4846DC"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primary efficacy endpoint was cumulative confirmed MCyR by 1 year (Week 52) in patients with CP Ph+CML previously treated with 1 or 2 prior TKIs and patients with CP Ph+CML previously treated with 3 prior TKIs. For patients with AP and BP Ph+CML with any prior TKI therapy, the primary efficacy endpoint was cumulative confirmed overall haematological response (OHR) by 1 year (Week 52). Other efficacy endpoints in Ph+ CP CML patients include cumulative cytogenetic and molecular response, the duration of cytogenetic and molecular responses, response in baseline mutations, transformation to AP/BP, PFS, and OS. Additional endpoints in the Ph+ AP/BP cohort include cumulative cytogenetic and molecular responses rates, PFS and OS.</w:t>
      </w:r>
    </w:p>
    <w:p w14:paraId="4ED34BE6" w14:textId="77777777" w:rsidR="000D0C23" w:rsidRPr="000D0C23" w:rsidRDefault="000D0C23" w:rsidP="000D0C23">
      <w:pPr>
        <w:autoSpaceDE w:val="0"/>
        <w:autoSpaceDN w:val="0"/>
        <w:adjustRightInd w:val="0"/>
        <w:ind w:left="851"/>
        <w:rPr>
          <w:sz w:val="24"/>
          <w:szCs w:val="24"/>
          <w:lang w:val="en-US"/>
        </w:rPr>
      </w:pPr>
    </w:p>
    <w:p w14:paraId="1B1398A3" w14:textId="77777777" w:rsidR="000D0C23" w:rsidRPr="000D0C23" w:rsidRDefault="000D0C23" w:rsidP="000D0C23">
      <w:pPr>
        <w:autoSpaceDE w:val="0"/>
        <w:autoSpaceDN w:val="0"/>
        <w:adjustRightInd w:val="0"/>
        <w:ind w:left="851"/>
        <w:rPr>
          <w:i/>
          <w:sz w:val="24"/>
          <w:szCs w:val="24"/>
          <w:lang w:val="en-US"/>
        </w:rPr>
      </w:pPr>
      <w:r w:rsidRPr="000D0C23">
        <w:rPr>
          <w:i/>
          <w:sz w:val="24"/>
          <w:szCs w:val="24"/>
          <w:lang w:val="en-US"/>
        </w:rPr>
        <w:t>CP CML patients</w:t>
      </w:r>
    </w:p>
    <w:p w14:paraId="59D37623"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primary endpoint of cumulative confirmed MCyR (95% CI) rate by 1 year (52 weeks) was 76.5% (66.9, 84.5) in patients treated with 1 or 2 prior TKIs and 62.2% (46.5, 76.2) in patients treated with 3 prior TKIs.</w:t>
      </w:r>
    </w:p>
    <w:p w14:paraId="2067FD26" w14:textId="77777777" w:rsidR="000D0C23" w:rsidRPr="000D0C23" w:rsidRDefault="000D0C23" w:rsidP="000D0C23">
      <w:pPr>
        <w:autoSpaceDE w:val="0"/>
        <w:autoSpaceDN w:val="0"/>
        <w:adjustRightInd w:val="0"/>
        <w:ind w:left="851"/>
        <w:rPr>
          <w:sz w:val="24"/>
          <w:szCs w:val="24"/>
          <w:lang w:val="en-US"/>
        </w:rPr>
      </w:pPr>
    </w:p>
    <w:p w14:paraId="50676BE0"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Additional efficacy results at study closure, after a minimum follow-up of 3 years, in Ph+ CP CML patients treated with 1 (median treatment duration 47.5 months (range: 0.9 to 50.1 months) and 60.9% still on-treatment), 2 (median treatment duration 41.9 months (range: 0.4 to 48.9 months) and 45.9% still on-treatment) and 3 (median treatment duration 20.0 months (range: 0.2 to 48.9 months) and 38.8% still on-treatment) prior TKIs are presented in Table 10.</w:t>
      </w:r>
    </w:p>
    <w:p w14:paraId="2AA25EBF" w14:textId="77777777" w:rsidR="000D0C23" w:rsidRPr="000D0C23" w:rsidRDefault="000D0C23" w:rsidP="000D0C23">
      <w:pPr>
        <w:autoSpaceDE w:val="0"/>
        <w:autoSpaceDN w:val="0"/>
        <w:adjustRightInd w:val="0"/>
        <w:ind w:left="851"/>
        <w:rPr>
          <w:sz w:val="24"/>
          <w:szCs w:val="24"/>
          <w:lang w:val="en-US"/>
        </w:rPr>
      </w:pPr>
    </w:p>
    <w:p w14:paraId="32198E38" w14:textId="77777777" w:rsidR="000D0C23" w:rsidRPr="000D0C23" w:rsidRDefault="000D0C23" w:rsidP="000D0C23">
      <w:pPr>
        <w:autoSpaceDE w:val="0"/>
        <w:autoSpaceDN w:val="0"/>
        <w:adjustRightInd w:val="0"/>
        <w:ind w:left="1134" w:hanging="1134"/>
        <w:rPr>
          <w:b/>
          <w:szCs w:val="22"/>
          <w:lang w:val="en-US"/>
        </w:rPr>
      </w:pPr>
      <w:r w:rsidRPr="000D0C23">
        <w:rPr>
          <w:b/>
          <w:szCs w:val="22"/>
          <w:lang w:val="en-US"/>
        </w:rPr>
        <w:t>Table 10</w:t>
      </w:r>
      <w:r w:rsidRPr="000D0C23">
        <w:rPr>
          <w:b/>
          <w:szCs w:val="22"/>
          <w:lang w:val="en-US"/>
        </w:rPr>
        <w:tab/>
        <w:t>Efficacy results in previously treated patients with chronic phase Ph+CML</w:t>
      </w:r>
    </w:p>
    <w:tbl>
      <w:tblPr>
        <w:tblW w:w="4994" w:type="pct"/>
        <w:tblLook w:val="04A0" w:firstRow="1" w:lastRow="0" w:firstColumn="1" w:lastColumn="0" w:noHBand="0" w:noVBand="1"/>
      </w:tblPr>
      <w:tblGrid>
        <w:gridCol w:w="2555"/>
        <w:gridCol w:w="1806"/>
        <w:gridCol w:w="1808"/>
        <w:gridCol w:w="1808"/>
        <w:gridCol w:w="1639"/>
      </w:tblGrid>
      <w:tr w:rsidR="000D0C23" w:rsidRPr="00E14D63" w14:paraId="3646CD9F" w14:textId="77777777" w:rsidTr="000D0C23">
        <w:trPr>
          <w:tblHeader/>
        </w:trPr>
        <w:tc>
          <w:tcPr>
            <w:tcW w:w="1329" w:type="pct"/>
            <w:tcBorders>
              <w:top w:val="single" w:sz="4" w:space="0" w:color="auto"/>
              <w:left w:val="single" w:sz="4" w:space="0" w:color="auto"/>
              <w:bottom w:val="single" w:sz="4" w:space="0" w:color="auto"/>
              <w:right w:val="single" w:sz="4" w:space="0" w:color="auto"/>
            </w:tcBorders>
          </w:tcPr>
          <w:p w14:paraId="1971C31A" w14:textId="77777777" w:rsidR="000D0C23" w:rsidRPr="008F5372" w:rsidRDefault="000D0C23">
            <w:pPr>
              <w:autoSpaceDE w:val="0"/>
              <w:autoSpaceDN w:val="0"/>
              <w:adjustRightInd w:val="0"/>
              <w:rPr>
                <w:sz w:val="22"/>
                <w:szCs w:val="22"/>
                <w:lang w:val="en-US"/>
              </w:rPr>
            </w:pPr>
          </w:p>
        </w:tc>
        <w:tc>
          <w:tcPr>
            <w:tcW w:w="939" w:type="pct"/>
            <w:tcBorders>
              <w:top w:val="single" w:sz="4" w:space="0" w:color="auto"/>
              <w:left w:val="single" w:sz="4" w:space="0" w:color="auto"/>
              <w:bottom w:val="single" w:sz="4" w:space="0" w:color="auto"/>
              <w:right w:val="single" w:sz="4" w:space="0" w:color="auto"/>
            </w:tcBorders>
            <w:hideMark/>
          </w:tcPr>
          <w:p w14:paraId="3C567E3C" w14:textId="77777777" w:rsidR="000D0C23" w:rsidRPr="008F5372" w:rsidRDefault="000D0C23">
            <w:pPr>
              <w:autoSpaceDE w:val="0"/>
              <w:autoSpaceDN w:val="0"/>
              <w:adjustRightInd w:val="0"/>
              <w:jc w:val="center"/>
              <w:rPr>
                <w:sz w:val="22"/>
                <w:szCs w:val="22"/>
                <w:lang w:val="en-US"/>
              </w:rPr>
            </w:pPr>
            <w:r w:rsidRPr="008F5372">
              <w:rPr>
                <w:sz w:val="22"/>
                <w:szCs w:val="22"/>
                <w:lang w:val="en-US"/>
              </w:rPr>
              <w:t>Ph+ CP CML treated with 1 prior TKI</w:t>
            </w:r>
          </w:p>
        </w:tc>
        <w:tc>
          <w:tcPr>
            <w:tcW w:w="940" w:type="pct"/>
            <w:tcBorders>
              <w:top w:val="single" w:sz="4" w:space="0" w:color="auto"/>
              <w:left w:val="single" w:sz="4" w:space="0" w:color="auto"/>
              <w:bottom w:val="single" w:sz="4" w:space="0" w:color="auto"/>
              <w:right w:val="single" w:sz="4" w:space="0" w:color="auto"/>
            </w:tcBorders>
            <w:hideMark/>
          </w:tcPr>
          <w:p w14:paraId="5D3589B4" w14:textId="77777777" w:rsidR="000D0C23" w:rsidRPr="008F5372" w:rsidRDefault="000D0C23">
            <w:pPr>
              <w:autoSpaceDE w:val="0"/>
              <w:autoSpaceDN w:val="0"/>
              <w:adjustRightInd w:val="0"/>
              <w:jc w:val="center"/>
              <w:rPr>
                <w:sz w:val="22"/>
                <w:szCs w:val="22"/>
                <w:lang w:val="en-US"/>
              </w:rPr>
            </w:pPr>
            <w:r w:rsidRPr="008F5372">
              <w:rPr>
                <w:sz w:val="22"/>
                <w:szCs w:val="22"/>
                <w:lang w:val="en-US"/>
              </w:rPr>
              <w:t>Ph+ CP CML treated with 2 prior TKIs</w:t>
            </w:r>
          </w:p>
        </w:tc>
        <w:tc>
          <w:tcPr>
            <w:tcW w:w="940" w:type="pct"/>
            <w:tcBorders>
              <w:top w:val="single" w:sz="4" w:space="0" w:color="auto"/>
              <w:left w:val="single" w:sz="4" w:space="0" w:color="auto"/>
              <w:bottom w:val="single" w:sz="4" w:space="0" w:color="auto"/>
              <w:right w:val="single" w:sz="4" w:space="0" w:color="auto"/>
            </w:tcBorders>
            <w:hideMark/>
          </w:tcPr>
          <w:p w14:paraId="69F0AA49" w14:textId="77777777" w:rsidR="000D0C23" w:rsidRPr="008F5372" w:rsidRDefault="000D0C23">
            <w:pPr>
              <w:autoSpaceDE w:val="0"/>
              <w:autoSpaceDN w:val="0"/>
              <w:adjustRightInd w:val="0"/>
              <w:jc w:val="center"/>
              <w:rPr>
                <w:sz w:val="22"/>
                <w:szCs w:val="22"/>
                <w:lang w:val="en-US"/>
              </w:rPr>
            </w:pPr>
            <w:r w:rsidRPr="008F5372">
              <w:rPr>
                <w:sz w:val="22"/>
                <w:szCs w:val="22"/>
                <w:lang w:val="en-US"/>
              </w:rPr>
              <w:t>Ph+ CP CML treated with 3 prior TKIs</w:t>
            </w:r>
          </w:p>
        </w:tc>
        <w:tc>
          <w:tcPr>
            <w:tcW w:w="852" w:type="pct"/>
            <w:tcBorders>
              <w:top w:val="single" w:sz="4" w:space="0" w:color="auto"/>
              <w:left w:val="single" w:sz="4" w:space="0" w:color="auto"/>
              <w:bottom w:val="single" w:sz="4" w:space="0" w:color="auto"/>
              <w:right w:val="single" w:sz="4" w:space="0" w:color="auto"/>
            </w:tcBorders>
            <w:hideMark/>
          </w:tcPr>
          <w:p w14:paraId="50C1A1F0" w14:textId="77777777" w:rsidR="000D0C23" w:rsidRPr="008F5372" w:rsidRDefault="000D0C23">
            <w:pPr>
              <w:autoSpaceDE w:val="0"/>
              <w:autoSpaceDN w:val="0"/>
              <w:adjustRightInd w:val="0"/>
              <w:jc w:val="center"/>
              <w:rPr>
                <w:sz w:val="22"/>
                <w:szCs w:val="22"/>
                <w:lang w:val="en-US"/>
              </w:rPr>
            </w:pPr>
            <w:r w:rsidRPr="008F5372">
              <w:rPr>
                <w:sz w:val="22"/>
                <w:szCs w:val="22"/>
                <w:lang w:val="en-US"/>
              </w:rPr>
              <w:t>Total Ph+</w:t>
            </w:r>
          </w:p>
          <w:p w14:paraId="2F6E51D9" w14:textId="77777777" w:rsidR="000D0C23" w:rsidRPr="008F5372" w:rsidRDefault="000D0C23">
            <w:pPr>
              <w:autoSpaceDE w:val="0"/>
              <w:autoSpaceDN w:val="0"/>
              <w:adjustRightInd w:val="0"/>
              <w:jc w:val="center"/>
              <w:rPr>
                <w:sz w:val="22"/>
                <w:szCs w:val="22"/>
                <w:lang w:val="en-US"/>
              </w:rPr>
            </w:pPr>
            <w:r w:rsidRPr="008F5372">
              <w:rPr>
                <w:sz w:val="22"/>
                <w:szCs w:val="22"/>
                <w:lang w:val="en-US"/>
              </w:rPr>
              <w:t>CP CML cohort</w:t>
            </w:r>
          </w:p>
        </w:tc>
      </w:tr>
      <w:tr w:rsidR="000D0C23" w:rsidRPr="008F5372" w14:paraId="5EB30FED" w14:textId="77777777" w:rsidTr="000D0C23">
        <w:trPr>
          <w:trHeight w:val="516"/>
        </w:trPr>
        <w:tc>
          <w:tcPr>
            <w:tcW w:w="1329" w:type="pct"/>
            <w:tcBorders>
              <w:top w:val="single" w:sz="4" w:space="0" w:color="auto"/>
              <w:left w:val="single" w:sz="4" w:space="0" w:color="auto"/>
              <w:bottom w:val="nil"/>
              <w:right w:val="single" w:sz="4" w:space="0" w:color="auto"/>
            </w:tcBorders>
            <w:hideMark/>
          </w:tcPr>
          <w:p w14:paraId="554B13CB" w14:textId="77777777" w:rsidR="000D0C23" w:rsidRPr="008F5372" w:rsidRDefault="000D0C23">
            <w:pPr>
              <w:autoSpaceDE w:val="0"/>
              <w:autoSpaceDN w:val="0"/>
              <w:adjustRightInd w:val="0"/>
              <w:rPr>
                <w:sz w:val="22"/>
                <w:szCs w:val="22"/>
              </w:rPr>
            </w:pPr>
            <w:r w:rsidRPr="008F5372">
              <w:rPr>
                <w:sz w:val="22"/>
                <w:szCs w:val="22"/>
              </w:rPr>
              <w:t xml:space="preserve">Cumulative confirmed </w:t>
            </w:r>
          </w:p>
        </w:tc>
        <w:tc>
          <w:tcPr>
            <w:tcW w:w="939" w:type="pct"/>
            <w:tcBorders>
              <w:top w:val="single" w:sz="4" w:space="0" w:color="auto"/>
              <w:left w:val="single" w:sz="4" w:space="0" w:color="auto"/>
              <w:bottom w:val="nil"/>
              <w:right w:val="single" w:sz="4" w:space="0" w:color="auto"/>
            </w:tcBorders>
            <w:hideMark/>
          </w:tcPr>
          <w:p w14:paraId="3C433414" w14:textId="77777777" w:rsidR="000D0C23" w:rsidRPr="008F5372" w:rsidRDefault="000D0C23">
            <w:pPr>
              <w:autoSpaceDE w:val="0"/>
              <w:autoSpaceDN w:val="0"/>
              <w:adjustRightInd w:val="0"/>
              <w:jc w:val="center"/>
              <w:rPr>
                <w:sz w:val="22"/>
                <w:szCs w:val="22"/>
              </w:rPr>
            </w:pPr>
            <w:r w:rsidRPr="008F5372">
              <w:rPr>
                <w:sz w:val="22"/>
                <w:szCs w:val="22"/>
              </w:rPr>
              <w:t>N=43</w:t>
            </w:r>
          </w:p>
        </w:tc>
        <w:tc>
          <w:tcPr>
            <w:tcW w:w="940" w:type="pct"/>
            <w:tcBorders>
              <w:top w:val="single" w:sz="4" w:space="0" w:color="auto"/>
              <w:left w:val="single" w:sz="4" w:space="0" w:color="auto"/>
              <w:bottom w:val="nil"/>
              <w:right w:val="single" w:sz="4" w:space="0" w:color="auto"/>
            </w:tcBorders>
            <w:hideMark/>
          </w:tcPr>
          <w:p w14:paraId="7931BB3A" w14:textId="77777777" w:rsidR="000D0C23" w:rsidRPr="008F5372" w:rsidRDefault="000D0C23">
            <w:pPr>
              <w:autoSpaceDE w:val="0"/>
              <w:autoSpaceDN w:val="0"/>
              <w:adjustRightInd w:val="0"/>
              <w:jc w:val="center"/>
              <w:rPr>
                <w:sz w:val="22"/>
                <w:szCs w:val="22"/>
              </w:rPr>
            </w:pPr>
            <w:r w:rsidRPr="008F5372">
              <w:rPr>
                <w:sz w:val="22"/>
                <w:szCs w:val="22"/>
              </w:rPr>
              <w:t>N=55</w:t>
            </w:r>
          </w:p>
        </w:tc>
        <w:tc>
          <w:tcPr>
            <w:tcW w:w="940" w:type="pct"/>
            <w:tcBorders>
              <w:top w:val="single" w:sz="4" w:space="0" w:color="auto"/>
              <w:left w:val="single" w:sz="4" w:space="0" w:color="auto"/>
              <w:bottom w:val="nil"/>
              <w:right w:val="single" w:sz="4" w:space="0" w:color="auto"/>
            </w:tcBorders>
            <w:hideMark/>
          </w:tcPr>
          <w:p w14:paraId="03E8A9B8" w14:textId="77777777" w:rsidR="000D0C23" w:rsidRPr="008F5372" w:rsidRDefault="000D0C23">
            <w:pPr>
              <w:autoSpaceDE w:val="0"/>
              <w:autoSpaceDN w:val="0"/>
              <w:adjustRightInd w:val="0"/>
              <w:jc w:val="center"/>
              <w:rPr>
                <w:sz w:val="22"/>
                <w:szCs w:val="22"/>
              </w:rPr>
            </w:pPr>
            <w:r w:rsidRPr="008F5372">
              <w:rPr>
                <w:sz w:val="22"/>
                <w:szCs w:val="22"/>
              </w:rPr>
              <w:t>N=45</w:t>
            </w:r>
          </w:p>
        </w:tc>
        <w:tc>
          <w:tcPr>
            <w:tcW w:w="852" w:type="pct"/>
            <w:tcBorders>
              <w:top w:val="single" w:sz="4" w:space="0" w:color="auto"/>
              <w:left w:val="single" w:sz="4" w:space="0" w:color="auto"/>
              <w:bottom w:val="nil"/>
              <w:right w:val="single" w:sz="4" w:space="0" w:color="auto"/>
            </w:tcBorders>
            <w:hideMark/>
          </w:tcPr>
          <w:p w14:paraId="0FC39EE2" w14:textId="77777777" w:rsidR="000D0C23" w:rsidRPr="008F5372" w:rsidRDefault="000D0C23">
            <w:pPr>
              <w:autoSpaceDE w:val="0"/>
              <w:autoSpaceDN w:val="0"/>
              <w:adjustRightInd w:val="0"/>
              <w:jc w:val="center"/>
              <w:rPr>
                <w:sz w:val="22"/>
                <w:szCs w:val="22"/>
              </w:rPr>
            </w:pPr>
            <w:r w:rsidRPr="008F5372">
              <w:rPr>
                <w:sz w:val="22"/>
                <w:szCs w:val="22"/>
              </w:rPr>
              <w:t>N=143</w:t>
            </w:r>
          </w:p>
        </w:tc>
      </w:tr>
      <w:tr w:rsidR="000D0C23" w:rsidRPr="008F5372" w14:paraId="13F7D1CA" w14:textId="77777777" w:rsidTr="000D0C23">
        <w:tc>
          <w:tcPr>
            <w:tcW w:w="1329" w:type="pct"/>
            <w:tcBorders>
              <w:top w:val="nil"/>
              <w:left w:val="single" w:sz="4" w:space="0" w:color="auto"/>
              <w:bottom w:val="single" w:sz="4" w:space="0" w:color="auto"/>
              <w:right w:val="single" w:sz="4" w:space="0" w:color="auto"/>
            </w:tcBorders>
            <w:hideMark/>
          </w:tcPr>
          <w:p w14:paraId="1676F069" w14:textId="77777777" w:rsidR="000D0C23" w:rsidRPr="008F5372" w:rsidRDefault="000D0C23">
            <w:pPr>
              <w:autoSpaceDE w:val="0"/>
              <w:autoSpaceDN w:val="0"/>
              <w:adjustRightInd w:val="0"/>
              <w:rPr>
                <w:sz w:val="22"/>
                <w:szCs w:val="22"/>
              </w:rPr>
            </w:pPr>
            <w:r w:rsidRPr="008F5372">
              <w:rPr>
                <w:sz w:val="22"/>
                <w:szCs w:val="22"/>
              </w:rPr>
              <w:t>MCyR</w:t>
            </w:r>
            <w:r w:rsidRPr="008F5372">
              <w:rPr>
                <w:sz w:val="22"/>
                <w:szCs w:val="22"/>
                <w:vertAlign w:val="superscript"/>
              </w:rPr>
              <w:t>a</w:t>
            </w:r>
            <w:r w:rsidRPr="008F5372">
              <w:rPr>
                <w:sz w:val="22"/>
                <w:szCs w:val="22"/>
              </w:rPr>
              <w:t xml:space="preserve"> by 1 year, % (95% CI)</w:t>
            </w:r>
          </w:p>
        </w:tc>
        <w:tc>
          <w:tcPr>
            <w:tcW w:w="939" w:type="pct"/>
            <w:tcBorders>
              <w:top w:val="nil"/>
              <w:left w:val="single" w:sz="4" w:space="0" w:color="auto"/>
              <w:bottom w:val="single" w:sz="4" w:space="0" w:color="auto"/>
              <w:right w:val="single" w:sz="4" w:space="0" w:color="auto"/>
            </w:tcBorders>
            <w:hideMark/>
          </w:tcPr>
          <w:p w14:paraId="6BF1A28A" w14:textId="77777777" w:rsidR="000D0C23" w:rsidRPr="008F5372" w:rsidRDefault="000D0C23">
            <w:pPr>
              <w:autoSpaceDE w:val="0"/>
              <w:autoSpaceDN w:val="0"/>
              <w:adjustRightInd w:val="0"/>
              <w:jc w:val="center"/>
              <w:rPr>
                <w:sz w:val="22"/>
                <w:szCs w:val="22"/>
              </w:rPr>
            </w:pPr>
            <w:r w:rsidRPr="008F5372">
              <w:rPr>
                <w:sz w:val="22"/>
                <w:szCs w:val="22"/>
              </w:rPr>
              <w:t>83.7 (69.3,93.2)</w:t>
            </w:r>
          </w:p>
        </w:tc>
        <w:tc>
          <w:tcPr>
            <w:tcW w:w="940" w:type="pct"/>
            <w:tcBorders>
              <w:top w:val="nil"/>
              <w:left w:val="single" w:sz="4" w:space="0" w:color="auto"/>
              <w:bottom w:val="single" w:sz="4" w:space="0" w:color="auto"/>
              <w:right w:val="single" w:sz="4" w:space="0" w:color="auto"/>
            </w:tcBorders>
            <w:hideMark/>
          </w:tcPr>
          <w:p w14:paraId="2FF58364" w14:textId="77777777" w:rsidR="000D0C23" w:rsidRPr="008F5372" w:rsidRDefault="000D0C23">
            <w:pPr>
              <w:autoSpaceDE w:val="0"/>
              <w:autoSpaceDN w:val="0"/>
              <w:adjustRightInd w:val="0"/>
              <w:jc w:val="center"/>
              <w:rPr>
                <w:sz w:val="22"/>
                <w:szCs w:val="22"/>
              </w:rPr>
            </w:pPr>
            <w:r w:rsidRPr="008F5372">
              <w:rPr>
                <w:sz w:val="22"/>
                <w:szCs w:val="22"/>
              </w:rPr>
              <w:t>70.9 (57.1,82.4)</w:t>
            </w:r>
          </w:p>
        </w:tc>
        <w:tc>
          <w:tcPr>
            <w:tcW w:w="940" w:type="pct"/>
            <w:tcBorders>
              <w:top w:val="nil"/>
              <w:left w:val="single" w:sz="4" w:space="0" w:color="auto"/>
              <w:bottom w:val="single" w:sz="4" w:space="0" w:color="auto"/>
              <w:right w:val="single" w:sz="4" w:space="0" w:color="auto"/>
            </w:tcBorders>
            <w:hideMark/>
          </w:tcPr>
          <w:p w14:paraId="78BE6585" w14:textId="77777777" w:rsidR="000D0C23" w:rsidRPr="008F5372" w:rsidRDefault="000D0C23">
            <w:pPr>
              <w:autoSpaceDE w:val="0"/>
              <w:autoSpaceDN w:val="0"/>
              <w:adjustRightInd w:val="0"/>
              <w:jc w:val="center"/>
              <w:rPr>
                <w:sz w:val="22"/>
                <w:szCs w:val="22"/>
              </w:rPr>
            </w:pPr>
            <w:r w:rsidRPr="008F5372">
              <w:rPr>
                <w:sz w:val="22"/>
                <w:szCs w:val="22"/>
              </w:rPr>
              <w:t>62.2 (46.5,76.2)</w:t>
            </w:r>
          </w:p>
        </w:tc>
        <w:tc>
          <w:tcPr>
            <w:tcW w:w="852" w:type="pct"/>
            <w:tcBorders>
              <w:top w:val="nil"/>
              <w:left w:val="single" w:sz="4" w:space="0" w:color="auto"/>
              <w:bottom w:val="single" w:sz="4" w:space="0" w:color="auto"/>
              <w:right w:val="single" w:sz="4" w:space="0" w:color="auto"/>
            </w:tcBorders>
            <w:hideMark/>
          </w:tcPr>
          <w:p w14:paraId="3B49A97C" w14:textId="77777777" w:rsidR="000D0C23" w:rsidRPr="008F5372" w:rsidRDefault="000D0C23">
            <w:pPr>
              <w:autoSpaceDE w:val="0"/>
              <w:autoSpaceDN w:val="0"/>
              <w:adjustRightInd w:val="0"/>
              <w:ind w:right="-120"/>
              <w:jc w:val="center"/>
              <w:rPr>
                <w:sz w:val="22"/>
                <w:szCs w:val="22"/>
              </w:rPr>
            </w:pPr>
            <w:r w:rsidRPr="008F5372">
              <w:rPr>
                <w:sz w:val="22"/>
                <w:szCs w:val="22"/>
              </w:rPr>
              <w:t>72.0 (63.9,79.2)</w:t>
            </w:r>
          </w:p>
        </w:tc>
      </w:tr>
      <w:tr w:rsidR="000D0C23" w:rsidRPr="008F5372" w14:paraId="0E70B22F" w14:textId="77777777" w:rsidTr="000D0C23">
        <w:tc>
          <w:tcPr>
            <w:tcW w:w="1329" w:type="pct"/>
            <w:tcBorders>
              <w:top w:val="single" w:sz="4" w:space="0" w:color="auto"/>
              <w:left w:val="single" w:sz="4" w:space="0" w:color="auto"/>
              <w:bottom w:val="nil"/>
              <w:right w:val="single" w:sz="4" w:space="0" w:color="auto"/>
            </w:tcBorders>
          </w:tcPr>
          <w:p w14:paraId="253800C3" w14:textId="77777777" w:rsidR="000D0C23" w:rsidRPr="008F5372" w:rsidRDefault="000D0C23">
            <w:pPr>
              <w:autoSpaceDE w:val="0"/>
              <w:autoSpaceDN w:val="0"/>
              <w:adjustRightInd w:val="0"/>
              <w:rPr>
                <w:sz w:val="22"/>
                <w:szCs w:val="22"/>
                <w:vertAlign w:val="superscript"/>
              </w:rPr>
            </w:pPr>
            <w:r w:rsidRPr="008F5372">
              <w:rPr>
                <w:sz w:val="22"/>
                <w:szCs w:val="22"/>
              </w:rPr>
              <w:t>Cumulative cytogenetic response</w:t>
            </w:r>
            <w:r w:rsidRPr="008F5372">
              <w:rPr>
                <w:sz w:val="22"/>
                <w:szCs w:val="22"/>
                <w:vertAlign w:val="superscript"/>
              </w:rPr>
              <w:t>a,b</w:t>
            </w:r>
          </w:p>
          <w:p w14:paraId="7081EC2A" w14:textId="77777777" w:rsidR="000D0C23" w:rsidRPr="008F5372" w:rsidRDefault="000D0C23">
            <w:pPr>
              <w:autoSpaceDE w:val="0"/>
              <w:autoSpaceDN w:val="0"/>
              <w:adjustRightInd w:val="0"/>
              <w:rPr>
                <w:sz w:val="22"/>
                <w:szCs w:val="22"/>
              </w:rPr>
            </w:pPr>
          </w:p>
        </w:tc>
        <w:tc>
          <w:tcPr>
            <w:tcW w:w="939" w:type="pct"/>
            <w:tcBorders>
              <w:top w:val="single" w:sz="4" w:space="0" w:color="auto"/>
              <w:left w:val="single" w:sz="4" w:space="0" w:color="auto"/>
              <w:bottom w:val="nil"/>
              <w:right w:val="single" w:sz="4" w:space="0" w:color="auto"/>
            </w:tcBorders>
            <w:hideMark/>
          </w:tcPr>
          <w:p w14:paraId="434DF15B" w14:textId="77777777" w:rsidR="000D0C23" w:rsidRPr="008F5372" w:rsidRDefault="000D0C23">
            <w:pPr>
              <w:autoSpaceDE w:val="0"/>
              <w:autoSpaceDN w:val="0"/>
              <w:adjustRightInd w:val="0"/>
              <w:jc w:val="center"/>
              <w:rPr>
                <w:sz w:val="22"/>
                <w:szCs w:val="22"/>
              </w:rPr>
            </w:pPr>
            <w:r w:rsidRPr="008F5372">
              <w:rPr>
                <w:sz w:val="22"/>
                <w:szCs w:val="22"/>
              </w:rPr>
              <w:t>N=43</w:t>
            </w:r>
          </w:p>
        </w:tc>
        <w:tc>
          <w:tcPr>
            <w:tcW w:w="940" w:type="pct"/>
            <w:tcBorders>
              <w:top w:val="single" w:sz="4" w:space="0" w:color="auto"/>
              <w:left w:val="single" w:sz="4" w:space="0" w:color="auto"/>
              <w:bottom w:val="nil"/>
              <w:right w:val="single" w:sz="4" w:space="0" w:color="auto"/>
            </w:tcBorders>
            <w:hideMark/>
          </w:tcPr>
          <w:p w14:paraId="203111B1" w14:textId="77777777" w:rsidR="000D0C23" w:rsidRPr="008F5372" w:rsidRDefault="000D0C23">
            <w:pPr>
              <w:autoSpaceDE w:val="0"/>
              <w:autoSpaceDN w:val="0"/>
              <w:adjustRightInd w:val="0"/>
              <w:jc w:val="center"/>
              <w:rPr>
                <w:sz w:val="22"/>
                <w:szCs w:val="22"/>
              </w:rPr>
            </w:pPr>
            <w:r w:rsidRPr="008F5372">
              <w:rPr>
                <w:sz w:val="22"/>
                <w:szCs w:val="22"/>
              </w:rPr>
              <w:t>N=55</w:t>
            </w:r>
          </w:p>
        </w:tc>
        <w:tc>
          <w:tcPr>
            <w:tcW w:w="940" w:type="pct"/>
            <w:tcBorders>
              <w:top w:val="single" w:sz="4" w:space="0" w:color="auto"/>
              <w:left w:val="single" w:sz="4" w:space="0" w:color="auto"/>
              <w:bottom w:val="nil"/>
              <w:right w:val="single" w:sz="4" w:space="0" w:color="auto"/>
            </w:tcBorders>
            <w:hideMark/>
          </w:tcPr>
          <w:p w14:paraId="158080C8" w14:textId="77777777" w:rsidR="000D0C23" w:rsidRPr="008F5372" w:rsidRDefault="000D0C23">
            <w:pPr>
              <w:autoSpaceDE w:val="0"/>
              <w:autoSpaceDN w:val="0"/>
              <w:adjustRightInd w:val="0"/>
              <w:jc w:val="center"/>
              <w:rPr>
                <w:sz w:val="22"/>
                <w:szCs w:val="22"/>
              </w:rPr>
            </w:pPr>
            <w:r w:rsidRPr="008F5372">
              <w:rPr>
                <w:sz w:val="22"/>
                <w:szCs w:val="22"/>
              </w:rPr>
              <w:t>N=45</w:t>
            </w:r>
          </w:p>
        </w:tc>
        <w:tc>
          <w:tcPr>
            <w:tcW w:w="852" w:type="pct"/>
            <w:tcBorders>
              <w:top w:val="single" w:sz="4" w:space="0" w:color="auto"/>
              <w:left w:val="single" w:sz="4" w:space="0" w:color="auto"/>
              <w:bottom w:val="nil"/>
              <w:right w:val="single" w:sz="4" w:space="0" w:color="auto"/>
            </w:tcBorders>
            <w:hideMark/>
          </w:tcPr>
          <w:p w14:paraId="7DD92516" w14:textId="77777777" w:rsidR="000D0C23" w:rsidRPr="008F5372" w:rsidRDefault="000D0C23">
            <w:pPr>
              <w:autoSpaceDE w:val="0"/>
              <w:autoSpaceDN w:val="0"/>
              <w:adjustRightInd w:val="0"/>
              <w:jc w:val="center"/>
              <w:rPr>
                <w:sz w:val="22"/>
                <w:szCs w:val="22"/>
              </w:rPr>
            </w:pPr>
            <w:r w:rsidRPr="008F5372">
              <w:rPr>
                <w:sz w:val="22"/>
                <w:szCs w:val="22"/>
              </w:rPr>
              <w:t>N=143</w:t>
            </w:r>
          </w:p>
        </w:tc>
      </w:tr>
      <w:tr w:rsidR="000D0C23" w:rsidRPr="008F5372" w14:paraId="5491D4CF" w14:textId="77777777" w:rsidTr="000D0C23">
        <w:tc>
          <w:tcPr>
            <w:tcW w:w="1329" w:type="pct"/>
            <w:tcBorders>
              <w:top w:val="nil"/>
              <w:left w:val="single" w:sz="4" w:space="0" w:color="auto"/>
              <w:bottom w:val="nil"/>
              <w:right w:val="single" w:sz="4" w:space="0" w:color="auto"/>
            </w:tcBorders>
          </w:tcPr>
          <w:p w14:paraId="14706BDA" w14:textId="77777777" w:rsidR="000D0C23" w:rsidRPr="008F5372" w:rsidRDefault="000D0C23">
            <w:pPr>
              <w:autoSpaceDE w:val="0"/>
              <w:autoSpaceDN w:val="0"/>
              <w:adjustRightInd w:val="0"/>
              <w:rPr>
                <w:sz w:val="22"/>
                <w:szCs w:val="22"/>
              </w:rPr>
            </w:pPr>
            <w:r w:rsidRPr="008F5372">
              <w:rPr>
                <w:sz w:val="22"/>
                <w:szCs w:val="22"/>
              </w:rPr>
              <w:t>MCyR, % (95% CI)</w:t>
            </w:r>
          </w:p>
          <w:p w14:paraId="37E63534" w14:textId="77777777" w:rsidR="000D0C23" w:rsidRPr="008F5372" w:rsidRDefault="000D0C23">
            <w:pPr>
              <w:autoSpaceDE w:val="0"/>
              <w:autoSpaceDN w:val="0"/>
              <w:adjustRightInd w:val="0"/>
              <w:rPr>
                <w:sz w:val="22"/>
                <w:szCs w:val="22"/>
              </w:rPr>
            </w:pPr>
          </w:p>
        </w:tc>
        <w:tc>
          <w:tcPr>
            <w:tcW w:w="939" w:type="pct"/>
            <w:tcBorders>
              <w:top w:val="nil"/>
              <w:left w:val="single" w:sz="4" w:space="0" w:color="auto"/>
              <w:bottom w:val="nil"/>
              <w:right w:val="single" w:sz="4" w:space="0" w:color="auto"/>
            </w:tcBorders>
            <w:hideMark/>
          </w:tcPr>
          <w:p w14:paraId="1593EFC6" w14:textId="77777777" w:rsidR="000D0C23" w:rsidRPr="008F5372" w:rsidRDefault="000D0C23">
            <w:pPr>
              <w:autoSpaceDE w:val="0"/>
              <w:autoSpaceDN w:val="0"/>
              <w:adjustRightInd w:val="0"/>
              <w:jc w:val="center"/>
              <w:rPr>
                <w:sz w:val="22"/>
                <w:szCs w:val="22"/>
              </w:rPr>
            </w:pPr>
            <w:r w:rsidRPr="008F5372">
              <w:rPr>
                <w:sz w:val="22"/>
                <w:szCs w:val="22"/>
              </w:rPr>
              <w:t>88.4 (74.9,96.1)</w:t>
            </w:r>
          </w:p>
        </w:tc>
        <w:tc>
          <w:tcPr>
            <w:tcW w:w="940" w:type="pct"/>
            <w:tcBorders>
              <w:top w:val="nil"/>
              <w:left w:val="single" w:sz="4" w:space="0" w:color="auto"/>
              <w:bottom w:val="nil"/>
              <w:right w:val="single" w:sz="4" w:space="0" w:color="auto"/>
            </w:tcBorders>
            <w:hideMark/>
          </w:tcPr>
          <w:p w14:paraId="67623746" w14:textId="77777777" w:rsidR="000D0C23" w:rsidRPr="008F5372" w:rsidRDefault="000D0C23">
            <w:pPr>
              <w:autoSpaceDE w:val="0"/>
              <w:autoSpaceDN w:val="0"/>
              <w:adjustRightInd w:val="0"/>
              <w:jc w:val="center"/>
              <w:rPr>
                <w:sz w:val="22"/>
                <w:szCs w:val="22"/>
              </w:rPr>
            </w:pPr>
            <w:r w:rsidRPr="008F5372">
              <w:rPr>
                <w:sz w:val="22"/>
                <w:szCs w:val="22"/>
              </w:rPr>
              <w:t>85.5 (73.3,93.5)</w:t>
            </w:r>
          </w:p>
        </w:tc>
        <w:tc>
          <w:tcPr>
            <w:tcW w:w="940" w:type="pct"/>
            <w:tcBorders>
              <w:top w:val="nil"/>
              <w:left w:val="single" w:sz="4" w:space="0" w:color="auto"/>
              <w:bottom w:val="nil"/>
              <w:right w:val="single" w:sz="4" w:space="0" w:color="auto"/>
            </w:tcBorders>
            <w:hideMark/>
          </w:tcPr>
          <w:p w14:paraId="3DEF690C" w14:textId="77777777" w:rsidR="000D0C23" w:rsidRPr="008F5372" w:rsidRDefault="000D0C23">
            <w:pPr>
              <w:autoSpaceDE w:val="0"/>
              <w:autoSpaceDN w:val="0"/>
              <w:adjustRightInd w:val="0"/>
              <w:jc w:val="center"/>
              <w:rPr>
                <w:sz w:val="22"/>
                <w:szCs w:val="22"/>
              </w:rPr>
            </w:pPr>
            <w:r w:rsidRPr="008F5372">
              <w:rPr>
                <w:sz w:val="22"/>
                <w:szCs w:val="22"/>
              </w:rPr>
              <w:t>77.8 (62.9,88.8)</w:t>
            </w:r>
          </w:p>
        </w:tc>
        <w:tc>
          <w:tcPr>
            <w:tcW w:w="852" w:type="pct"/>
            <w:tcBorders>
              <w:top w:val="nil"/>
              <w:left w:val="single" w:sz="4" w:space="0" w:color="auto"/>
              <w:bottom w:val="nil"/>
              <w:right w:val="single" w:sz="4" w:space="0" w:color="auto"/>
            </w:tcBorders>
            <w:hideMark/>
          </w:tcPr>
          <w:p w14:paraId="249DCB6D" w14:textId="77777777" w:rsidR="000D0C23" w:rsidRPr="008F5372" w:rsidRDefault="000D0C23">
            <w:pPr>
              <w:autoSpaceDE w:val="0"/>
              <w:autoSpaceDN w:val="0"/>
              <w:adjustRightInd w:val="0"/>
              <w:ind w:right="-120"/>
              <w:jc w:val="center"/>
              <w:rPr>
                <w:sz w:val="22"/>
                <w:szCs w:val="22"/>
              </w:rPr>
            </w:pPr>
            <w:r w:rsidRPr="008F5372">
              <w:rPr>
                <w:sz w:val="22"/>
                <w:szCs w:val="22"/>
              </w:rPr>
              <w:t>83.9 (76.9,89.5)</w:t>
            </w:r>
          </w:p>
        </w:tc>
      </w:tr>
      <w:tr w:rsidR="000D0C23" w:rsidRPr="008F5372" w14:paraId="3591EC90" w14:textId="77777777" w:rsidTr="000D0C23">
        <w:tc>
          <w:tcPr>
            <w:tcW w:w="1329" w:type="pct"/>
            <w:tcBorders>
              <w:top w:val="nil"/>
              <w:left w:val="single" w:sz="4" w:space="0" w:color="auto"/>
              <w:bottom w:val="single" w:sz="4" w:space="0" w:color="auto"/>
              <w:right w:val="single" w:sz="4" w:space="0" w:color="auto"/>
            </w:tcBorders>
            <w:hideMark/>
          </w:tcPr>
          <w:p w14:paraId="799DFC96" w14:textId="77777777" w:rsidR="000D0C23" w:rsidRPr="008F5372" w:rsidRDefault="000D0C23">
            <w:pPr>
              <w:autoSpaceDE w:val="0"/>
              <w:autoSpaceDN w:val="0"/>
              <w:adjustRightInd w:val="0"/>
              <w:rPr>
                <w:sz w:val="22"/>
                <w:szCs w:val="22"/>
              </w:rPr>
            </w:pPr>
            <w:r w:rsidRPr="008F5372">
              <w:rPr>
                <w:sz w:val="22"/>
                <w:szCs w:val="22"/>
              </w:rPr>
              <w:lastRenderedPageBreak/>
              <w:t>CCyR, % (95% CI)</w:t>
            </w:r>
          </w:p>
        </w:tc>
        <w:tc>
          <w:tcPr>
            <w:tcW w:w="939" w:type="pct"/>
            <w:tcBorders>
              <w:top w:val="nil"/>
              <w:left w:val="single" w:sz="4" w:space="0" w:color="auto"/>
              <w:bottom w:val="single" w:sz="4" w:space="0" w:color="auto"/>
              <w:right w:val="single" w:sz="4" w:space="0" w:color="auto"/>
            </w:tcBorders>
            <w:hideMark/>
          </w:tcPr>
          <w:p w14:paraId="3CEFFC34" w14:textId="77777777" w:rsidR="000D0C23" w:rsidRPr="008F5372" w:rsidRDefault="000D0C23">
            <w:pPr>
              <w:autoSpaceDE w:val="0"/>
              <w:autoSpaceDN w:val="0"/>
              <w:adjustRightInd w:val="0"/>
              <w:ind w:right="-103"/>
              <w:jc w:val="center"/>
              <w:rPr>
                <w:sz w:val="22"/>
                <w:szCs w:val="22"/>
              </w:rPr>
            </w:pPr>
            <w:r w:rsidRPr="008F5372">
              <w:rPr>
                <w:sz w:val="22"/>
                <w:szCs w:val="22"/>
              </w:rPr>
              <w:t>86.0 (72.1,94.7)</w:t>
            </w:r>
          </w:p>
        </w:tc>
        <w:tc>
          <w:tcPr>
            <w:tcW w:w="940" w:type="pct"/>
            <w:tcBorders>
              <w:top w:val="nil"/>
              <w:left w:val="single" w:sz="4" w:space="0" w:color="auto"/>
              <w:bottom w:val="single" w:sz="4" w:space="0" w:color="auto"/>
              <w:right w:val="single" w:sz="4" w:space="0" w:color="auto"/>
            </w:tcBorders>
            <w:hideMark/>
          </w:tcPr>
          <w:p w14:paraId="5DAB3E84" w14:textId="77777777" w:rsidR="000D0C23" w:rsidRPr="008F5372" w:rsidRDefault="000D0C23">
            <w:pPr>
              <w:autoSpaceDE w:val="0"/>
              <w:autoSpaceDN w:val="0"/>
              <w:adjustRightInd w:val="0"/>
              <w:jc w:val="center"/>
              <w:rPr>
                <w:sz w:val="22"/>
                <w:szCs w:val="22"/>
              </w:rPr>
            </w:pPr>
            <w:r w:rsidRPr="008F5372">
              <w:rPr>
                <w:sz w:val="22"/>
                <w:szCs w:val="22"/>
              </w:rPr>
              <w:t>83.6 (71.2,92.2)</w:t>
            </w:r>
          </w:p>
        </w:tc>
        <w:tc>
          <w:tcPr>
            <w:tcW w:w="940" w:type="pct"/>
            <w:tcBorders>
              <w:top w:val="nil"/>
              <w:left w:val="single" w:sz="4" w:space="0" w:color="auto"/>
              <w:bottom w:val="single" w:sz="4" w:space="0" w:color="auto"/>
              <w:right w:val="single" w:sz="4" w:space="0" w:color="auto"/>
            </w:tcBorders>
            <w:hideMark/>
          </w:tcPr>
          <w:p w14:paraId="0D8A2FD0" w14:textId="77777777" w:rsidR="000D0C23" w:rsidRPr="008F5372" w:rsidRDefault="000D0C23">
            <w:pPr>
              <w:autoSpaceDE w:val="0"/>
              <w:autoSpaceDN w:val="0"/>
              <w:adjustRightInd w:val="0"/>
              <w:jc w:val="center"/>
              <w:rPr>
                <w:sz w:val="22"/>
                <w:szCs w:val="22"/>
              </w:rPr>
            </w:pPr>
            <w:r w:rsidRPr="008F5372">
              <w:rPr>
                <w:sz w:val="22"/>
                <w:szCs w:val="22"/>
              </w:rPr>
              <w:t>73.3 (58.1,85.4)</w:t>
            </w:r>
          </w:p>
        </w:tc>
        <w:tc>
          <w:tcPr>
            <w:tcW w:w="852" w:type="pct"/>
            <w:tcBorders>
              <w:top w:val="nil"/>
              <w:left w:val="single" w:sz="4" w:space="0" w:color="auto"/>
              <w:bottom w:val="single" w:sz="4" w:space="0" w:color="auto"/>
              <w:right w:val="single" w:sz="4" w:space="0" w:color="auto"/>
            </w:tcBorders>
            <w:hideMark/>
          </w:tcPr>
          <w:p w14:paraId="0958FA95" w14:textId="77777777" w:rsidR="000D0C23" w:rsidRPr="008F5372" w:rsidRDefault="000D0C23">
            <w:pPr>
              <w:autoSpaceDE w:val="0"/>
              <w:autoSpaceDN w:val="0"/>
              <w:adjustRightInd w:val="0"/>
              <w:ind w:right="-120"/>
              <w:jc w:val="center"/>
              <w:rPr>
                <w:sz w:val="22"/>
                <w:szCs w:val="22"/>
              </w:rPr>
            </w:pPr>
            <w:r w:rsidRPr="008F5372">
              <w:rPr>
                <w:sz w:val="22"/>
                <w:szCs w:val="22"/>
              </w:rPr>
              <w:t>81.1 (73.7,87.2)</w:t>
            </w:r>
          </w:p>
        </w:tc>
      </w:tr>
      <w:tr w:rsidR="000D0C23" w:rsidRPr="008F5372" w14:paraId="34B25920" w14:textId="77777777" w:rsidTr="000D0C23">
        <w:tc>
          <w:tcPr>
            <w:tcW w:w="1329" w:type="pct"/>
            <w:tcBorders>
              <w:top w:val="single" w:sz="4" w:space="0" w:color="auto"/>
              <w:left w:val="single" w:sz="4" w:space="0" w:color="auto"/>
              <w:bottom w:val="nil"/>
              <w:right w:val="single" w:sz="4" w:space="0" w:color="auto"/>
            </w:tcBorders>
          </w:tcPr>
          <w:p w14:paraId="3A2D2043" w14:textId="77777777" w:rsidR="000D0C23" w:rsidRPr="008F5372" w:rsidRDefault="000D0C23">
            <w:pPr>
              <w:autoSpaceDE w:val="0"/>
              <w:autoSpaceDN w:val="0"/>
              <w:adjustRightInd w:val="0"/>
              <w:rPr>
                <w:sz w:val="22"/>
                <w:szCs w:val="22"/>
              </w:rPr>
            </w:pPr>
            <w:r w:rsidRPr="008F5372">
              <w:rPr>
                <w:sz w:val="22"/>
                <w:szCs w:val="22"/>
              </w:rPr>
              <w:t>Cumulative molecular</w:t>
            </w:r>
          </w:p>
          <w:p w14:paraId="703B7CE9" w14:textId="77777777" w:rsidR="000D0C23" w:rsidRPr="008F5372" w:rsidRDefault="000D0C23">
            <w:pPr>
              <w:autoSpaceDE w:val="0"/>
              <w:autoSpaceDN w:val="0"/>
              <w:adjustRightInd w:val="0"/>
              <w:rPr>
                <w:sz w:val="22"/>
                <w:szCs w:val="22"/>
                <w:vertAlign w:val="superscript"/>
              </w:rPr>
            </w:pPr>
            <w:r w:rsidRPr="008F5372">
              <w:rPr>
                <w:sz w:val="22"/>
                <w:szCs w:val="22"/>
              </w:rPr>
              <w:t>response</w:t>
            </w:r>
            <w:r w:rsidRPr="008F5372">
              <w:rPr>
                <w:sz w:val="22"/>
                <w:szCs w:val="22"/>
                <w:vertAlign w:val="superscript"/>
              </w:rPr>
              <w:t>a,b</w:t>
            </w:r>
          </w:p>
          <w:p w14:paraId="3533D6EE" w14:textId="77777777" w:rsidR="000D0C23" w:rsidRPr="008F5372" w:rsidRDefault="000D0C23">
            <w:pPr>
              <w:autoSpaceDE w:val="0"/>
              <w:autoSpaceDN w:val="0"/>
              <w:adjustRightInd w:val="0"/>
              <w:rPr>
                <w:sz w:val="22"/>
                <w:szCs w:val="22"/>
              </w:rPr>
            </w:pPr>
          </w:p>
        </w:tc>
        <w:tc>
          <w:tcPr>
            <w:tcW w:w="939" w:type="pct"/>
            <w:tcBorders>
              <w:top w:val="single" w:sz="4" w:space="0" w:color="auto"/>
              <w:left w:val="single" w:sz="4" w:space="0" w:color="auto"/>
              <w:bottom w:val="nil"/>
              <w:right w:val="single" w:sz="4" w:space="0" w:color="auto"/>
            </w:tcBorders>
            <w:hideMark/>
          </w:tcPr>
          <w:p w14:paraId="20C92BAD" w14:textId="77777777" w:rsidR="000D0C23" w:rsidRPr="008F5372" w:rsidRDefault="000D0C23">
            <w:pPr>
              <w:autoSpaceDE w:val="0"/>
              <w:autoSpaceDN w:val="0"/>
              <w:adjustRightInd w:val="0"/>
              <w:jc w:val="center"/>
              <w:rPr>
                <w:sz w:val="22"/>
                <w:szCs w:val="22"/>
              </w:rPr>
            </w:pPr>
            <w:r w:rsidRPr="008F5372">
              <w:rPr>
                <w:sz w:val="22"/>
                <w:szCs w:val="22"/>
              </w:rPr>
              <w:t>N=46</w:t>
            </w:r>
          </w:p>
        </w:tc>
        <w:tc>
          <w:tcPr>
            <w:tcW w:w="940" w:type="pct"/>
            <w:tcBorders>
              <w:top w:val="single" w:sz="4" w:space="0" w:color="auto"/>
              <w:left w:val="single" w:sz="4" w:space="0" w:color="auto"/>
              <w:bottom w:val="nil"/>
              <w:right w:val="single" w:sz="4" w:space="0" w:color="auto"/>
            </w:tcBorders>
            <w:hideMark/>
          </w:tcPr>
          <w:p w14:paraId="609D3CB3" w14:textId="77777777" w:rsidR="000D0C23" w:rsidRPr="008F5372" w:rsidRDefault="000D0C23">
            <w:pPr>
              <w:autoSpaceDE w:val="0"/>
              <w:autoSpaceDN w:val="0"/>
              <w:adjustRightInd w:val="0"/>
              <w:jc w:val="center"/>
              <w:rPr>
                <w:sz w:val="22"/>
                <w:szCs w:val="22"/>
              </w:rPr>
            </w:pPr>
            <w:r w:rsidRPr="008F5372">
              <w:rPr>
                <w:sz w:val="22"/>
                <w:szCs w:val="22"/>
              </w:rPr>
              <w:t>N=55</w:t>
            </w:r>
          </w:p>
        </w:tc>
        <w:tc>
          <w:tcPr>
            <w:tcW w:w="940" w:type="pct"/>
            <w:tcBorders>
              <w:top w:val="single" w:sz="4" w:space="0" w:color="auto"/>
              <w:left w:val="single" w:sz="4" w:space="0" w:color="auto"/>
              <w:bottom w:val="nil"/>
              <w:right w:val="single" w:sz="4" w:space="0" w:color="auto"/>
            </w:tcBorders>
            <w:hideMark/>
          </w:tcPr>
          <w:p w14:paraId="0B2E895B" w14:textId="77777777" w:rsidR="000D0C23" w:rsidRPr="008F5372" w:rsidRDefault="000D0C23">
            <w:pPr>
              <w:autoSpaceDE w:val="0"/>
              <w:autoSpaceDN w:val="0"/>
              <w:adjustRightInd w:val="0"/>
              <w:jc w:val="center"/>
              <w:rPr>
                <w:sz w:val="22"/>
                <w:szCs w:val="22"/>
              </w:rPr>
            </w:pPr>
            <w:r w:rsidRPr="008F5372">
              <w:rPr>
                <w:sz w:val="22"/>
                <w:szCs w:val="22"/>
              </w:rPr>
              <w:t>N=48</w:t>
            </w:r>
          </w:p>
        </w:tc>
        <w:tc>
          <w:tcPr>
            <w:tcW w:w="852" w:type="pct"/>
            <w:tcBorders>
              <w:top w:val="single" w:sz="4" w:space="0" w:color="auto"/>
              <w:left w:val="single" w:sz="4" w:space="0" w:color="auto"/>
              <w:bottom w:val="nil"/>
              <w:right w:val="single" w:sz="4" w:space="0" w:color="auto"/>
            </w:tcBorders>
            <w:hideMark/>
          </w:tcPr>
          <w:p w14:paraId="135811DF" w14:textId="77777777" w:rsidR="000D0C23" w:rsidRPr="008F5372" w:rsidRDefault="000D0C23">
            <w:pPr>
              <w:autoSpaceDE w:val="0"/>
              <w:autoSpaceDN w:val="0"/>
              <w:adjustRightInd w:val="0"/>
              <w:jc w:val="center"/>
              <w:rPr>
                <w:sz w:val="22"/>
                <w:szCs w:val="22"/>
              </w:rPr>
            </w:pPr>
            <w:r w:rsidRPr="008F5372">
              <w:rPr>
                <w:sz w:val="22"/>
                <w:szCs w:val="22"/>
              </w:rPr>
              <w:t>N=149</w:t>
            </w:r>
          </w:p>
        </w:tc>
      </w:tr>
      <w:tr w:rsidR="000D0C23" w:rsidRPr="008F5372" w14:paraId="71BACFD0" w14:textId="77777777" w:rsidTr="000D0C23">
        <w:tc>
          <w:tcPr>
            <w:tcW w:w="1329" w:type="pct"/>
            <w:tcBorders>
              <w:top w:val="nil"/>
              <w:left w:val="single" w:sz="4" w:space="0" w:color="auto"/>
              <w:bottom w:val="nil"/>
              <w:right w:val="single" w:sz="4" w:space="0" w:color="auto"/>
            </w:tcBorders>
          </w:tcPr>
          <w:p w14:paraId="3911F48C" w14:textId="77777777" w:rsidR="000D0C23" w:rsidRPr="008F5372" w:rsidRDefault="000D0C23">
            <w:pPr>
              <w:autoSpaceDE w:val="0"/>
              <w:autoSpaceDN w:val="0"/>
              <w:adjustRightInd w:val="0"/>
              <w:rPr>
                <w:sz w:val="22"/>
                <w:szCs w:val="22"/>
              </w:rPr>
            </w:pPr>
            <w:r w:rsidRPr="008F5372">
              <w:rPr>
                <w:sz w:val="22"/>
                <w:szCs w:val="22"/>
              </w:rPr>
              <w:t>MMR, % (95% CI)</w:t>
            </w:r>
          </w:p>
          <w:p w14:paraId="00DF6320" w14:textId="77777777" w:rsidR="000D0C23" w:rsidRPr="008F5372" w:rsidRDefault="000D0C23">
            <w:pPr>
              <w:autoSpaceDE w:val="0"/>
              <w:autoSpaceDN w:val="0"/>
              <w:adjustRightInd w:val="0"/>
              <w:rPr>
                <w:sz w:val="22"/>
                <w:szCs w:val="22"/>
              </w:rPr>
            </w:pPr>
          </w:p>
        </w:tc>
        <w:tc>
          <w:tcPr>
            <w:tcW w:w="939" w:type="pct"/>
            <w:tcBorders>
              <w:top w:val="nil"/>
              <w:left w:val="single" w:sz="4" w:space="0" w:color="auto"/>
              <w:bottom w:val="nil"/>
              <w:right w:val="single" w:sz="4" w:space="0" w:color="auto"/>
            </w:tcBorders>
            <w:hideMark/>
          </w:tcPr>
          <w:p w14:paraId="14EA61F3" w14:textId="77777777" w:rsidR="000D0C23" w:rsidRPr="008F5372" w:rsidRDefault="000D0C23">
            <w:pPr>
              <w:autoSpaceDE w:val="0"/>
              <w:autoSpaceDN w:val="0"/>
              <w:adjustRightInd w:val="0"/>
              <w:jc w:val="center"/>
              <w:rPr>
                <w:sz w:val="22"/>
                <w:szCs w:val="22"/>
              </w:rPr>
            </w:pPr>
            <w:r w:rsidRPr="008F5372">
              <w:rPr>
                <w:sz w:val="22"/>
                <w:szCs w:val="22"/>
              </w:rPr>
              <w:t>82.6 (68.6,92.2)</w:t>
            </w:r>
          </w:p>
        </w:tc>
        <w:tc>
          <w:tcPr>
            <w:tcW w:w="940" w:type="pct"/>
            <w:tcBorders>
              <w:top w:val="nil"/>
              <w:left w:val="single" w:sz="4" w:space="0" w:color="auto"/>
              <w:bottom w:val="nil"/>
              <w:right w:val="single" w:sz="4" w:space="0" w:color="auto"/>
            </w:tcBorders>
            <w:hideMark/>
          </w:tcPr>
          <w:p w14:paraId="7EBC57E7" w14:textId="77777777" w:rsidR="000D0C23" w:rsidRPr="008F5372" w:rsidRDefault="000D0C23">
            <w:pPr>
              <w:autoSpaceDE w:val="0"/>
              <w:autoSpaceDN w:val="0"/>
              <w:adjustRightInd w:val="0"/>
              <w:jc w:val="center"/>
              <w:rPr>
                <w:sz w:val="22"/>
                <w:szCs w:val="22"/>
              </w:rPr>
            </w:pPr>
            <w:r w:rsidRPr="008F5372">
              <w:rPr>
                <w:sz w:val="22"/>
                <w:szCs w:val="22"/>
              </w:rPr>
              <w:t>76.4 (63.0,86.8)</w:t>
            </w:r>
          </w:p>
        </w:tc>
        <w:tc>
          <w:tcPr>
            <w:tcW w:w="940" w:type="pct"/>
            <w:tcBorders>
              <w:top w:val="nil"/>
              <w:left w:val="single" w:sz="4" w:space="0" w:color="auto"/>
              <w:bottom w:val="nil"/>
              <w:right w:val="single" w:sz="4" w:space="0" w:color="auto"/>
            </w:tcBorders>
            <w:hideMark/>
          </w:tcPr>
          <w:p w14:paraId="1A854034" w14:textId="77777777" w:rsidR="000D0C23" w:rsidRPr="008F5372" w:rsidRDefault="000D0C23">
            <w:pPr>
              <w:autoSpaceDE w:val="0"/>
              <w:autoSpaceDN w:val="0"/>
              <w:adjustRightInd w:val="0"/>
              <w:jc w:val="center"/>
              <w:rPr>
                <w:sz w:val="22"/>
                <w:szCs w:val="22"/>
              </w:rPr>
            </w:pPr>
            <w:r w:rsidRPr="008F5372">
              <w:rPr>
                <w:sz w:val="22"/>
                <w:szCs w:val="22"/>
              </w:rPr>
              <w:t>56.3 (41.2,70.5)</w:t>
            </w:r>
          </w:p>
        </w:tc>
        <w:tc>
          <w:tcPr>
            <w:tcW w:w="852" w:type="pct"/>
            <w:tcBorders>
              <w:top w:val="nil"/>
              <w:left w:val="single" w:sz="4" w:space="0" w:color="auto"/>
              <w:bottom w:val="nil"/>
              <w:right w:val="single" w:sz="4" w:space="0" w:color="auto"/>
            </w:tcBorders>
            <w:hideMark/>
          </w:tcPr>
          <w:p w14:paraId="04FCCFC1" w14:textId="77777777" w:rsidR="000D0C23" w:rsidRPr="008F5372" w:rsidRDefault="000D0C23">
            <w:pPr>
              <w:autoSpaceDE w:val="0"/>
              <w:autoSpaceDN w:val="0"/>
              <w:adjustRightInd w:val="0"/>
              <w:ind w:right="-120"/>
              <w:jc w:val="center"/>
              <w:rPr>
                <w:sz w:val="22"/>
                <w:szCs w:val="22"/>
              </w:rPr>
            </w:pPr>
            <w:r w:rsidRPr="008F5372">
              <w:rPr>
                <w:sz w:val="22"/>
                <w:szCs w:val="22"/>
              </w:rPr>
              <w:t>71.8 (63.9,78.9)</w:t>
            </w:r>
          </w:p>
        </w:tc>
      </w:tr>
      <w:tr w:rsidR="000D0C23" w:rsidRPr="008F5372" w14:paraId="3EE2518B" w14:textId="77777777" w:rsidTr="000D0C23">
        <w:tc>
          <w:tcPr>
            <w:tcW w:w="1329" w:type="pct"/>
            <w:tcBorders>
              <w:top w:val="nil"/>
              <w:left w:val="single" w:sz="4" w:space="0" w:color="auto"/>
              <w:bottom w:val="nil"/>
              <w:right w:val="single" w:sz="4" w:space="0" w:color="auto"/>
            </w:tcBorders>
          </w:tcPr>
          <w:p w14:paraId="26C36150" w14:textId="77777777" w:rsidR="000D0C23" w:rsidRPr="008F5372" w:rsidRDefault="000D0C23">
            <w:pPr>
              <w:autoSpaceDE w:val="0"/>
              <w:autoSpaceDN w:val="0"/>
              <w:adjustRightInd w:val="0"/>
              <w:rPr>
                <w:sz w:val="22"/>
                <w:szCs w:val="22"/>
              </w:rPr>
            </w:pPr>
            <w:r w:rsidRPr="008F5372">
              <w:rPr>
                <w:sz w:val="22"/>
                <w:szCs w:val="22"/>
              </w:rPr>
              <w:t>MR</w:t>
            </w:r>
            <w:r w:rsidRPr="008F5372">
              <w:rPr>
                <w:sz w:val="22"/>
                <w:szCs w:val="22"/>
                <w:vertAlign w:val="superscript"/>
              </w:rPr>
              <w:t>4</w:t>
            </w:r>
            <w:r w:rsidRPr="008F5372">
              <w:rPr>
                <w:sz w:val="22"/>
                <w:szCs w:val="22"/>
              </w:rPr>
              <w:t>, % (95% CI)</w:t>
            </w:r>
          </w:p>
          <w:p w14:paraId="3079128E" w14:textId="77777777" w:rsidR="000D0C23" w:rsidRPr="008F5372" w:rsidRDefault="000D0C23">
            <w:pPr>
              <w:autoSpaceDE w:val="0"/>
              <w:autoSpaceDN w:val="0"/>
              <w:adjustRightInd w:val="0"/>
              <w:rPr>
                <w:sz w:val="22"/>
                <w:szCs w:val="22"/>
              </w:rPr>
            </w:pPr>
          </w:p>
        </w:tc>
        <w:tc>
          <w:tcPr>
            <w:tcW w:w="939" w:type="pct"/>
            <w:tcBorders>
              <w:top w:val="nil"/>
              <w:left w:val="single" w:sz="4" w:space="0" w:color="auto"/>
              <w:bottom w:val="nil"/>
              <w:right w:val="single" w:sz="4" w:space="0" w:color="auto"/>
            </w:tcBorders>
            <w:hideMark/>
          </w:tcPr>
          <w:p w14:paraId="2FC998EB" w14:textId="77777777" w:rsidR="000D0C23" w:rsidRPr="008F5372" w:rsidRDefault="000D0C23">
            <w:pPr>
              <w:autoSpaceDE w:val="0"/>
              <w:autoSpaceDN w:val="0"/>
              <w:adjustRightInd w:val="0"/>
              <w:jc w:val="center"/>
              <w:rPr>
                <w:sz w:val="22"/>
                <w:szCs w:val="22"/>
              </w:rPr>
            </w:pPr>
            <w:r w:rsidRPr="008F5372">
              <w:rPr>
                <w:sz w:val="22"/>
                <w:szCs w:val="22"/>
              </w:rPr>
              <w:t>73.9 (58.9,85.7)</w:t>
            </w:r>
          </w:p>
        </w:tc>
        <w:tc>
          <w:tcPr>
            <w:tcW w:w="940" w:type="pct"/>
            <w:tcBorders>
              <w:top w:val="nil"/>
              <w:left w:val="single" w:sz="4" w:space="0" w:color="auto"/>
              <w:bottom w:val="nil"/>
              <w:right w:val="single" w:sz="4" w:space="0" w:color="auto"/>
            </w:tcBorders>
            <w:hideMark/>
          </w:tcPr>
          <w:p w14:paraId="63FC4636" w14:textId="77777777" w:rsidR="000D0C23" w:rsidRPr="008F5372" w:rsidRDefault="000D0C23">
            <w:pPr>
              <w:autoSpaceDE w:val="0"/>
              <w:autoSpaceDN w:val="0"/>
              <w:adjustRightInd w:val="0"/>
              <w:jc w:val="center"/>
              <w:rPr>
                <w:sz w:val="22"/>
                <w:szCs w:val="22"/>
              </w:rPr>
            </w:pPr>
            <w:r w:rsidRPr="008F5372">
              <w:rPr>
                <w:sz w:val="22"/>
                <w:szCs w:val="22"/>
              </w:rPr>
              <w:t>63.6 (49.6,76.2)</w:t>
            </w:r>
          </w:p>
        </w:tc>
        <w:tc>
          <w:tcPr>
            <w:tcW w:w="940" w:type="pct"/>
            <w:tcBorders>
              <w:top w:val="nil"/>
              <w:left w:val="single" w:sz="4" w:space="0" w:color="auto"/>
              <w:bottom w:val="nil"/>
              <w:right w:val="single" w:sz="4" w:space="0" w:color="auto"/>
            </w:tcBorders>
            <w:hideMark/>
          </w:tcPr>
          <w:p w14:paraId="601E7376" w14:textId="77777777" w:rsidR="000D0C23" w:rsidRPr="008F5372" w:rsidRDefault="000D0C23">
            <w:pPr>
              <w:autoSpaceDE w:val="0"/>
              <w:autoSpaceDN w:val="0"/>
              <w:adjustRightInd w:val="0"/>
              <w:jc w:val="center"/>
              <w:rPr>
                <w:sz w:val="22"/>
                <w:szCs w:val="22"/>
              </w:rPr>
            </w:pPr>
            <w:r w:rsidRPr="008F5372">
              <w:rPr>
                <w:sz w:val="22"/>
                <w:szCs w:val="22"/>
              </w:rPr>
              <w:t>41.7 (27.6,56.8)</w:t>
            </w:r>
          </w:p>
        </w:tc>
        <w:tc>
          <w:tcPr>
            <w:tcW w:w="852" w:type="pct"/>
            <w:tcBorders>
              <w:top w:val="nil"/>
              <w:left w:val="single" w:sz="4" w:space="0" w:color="auto"/>
              <w:bottom w:val="nil"/>
              <w:right w:val="single" w:sz="4" w:space="0" w:color="auto"/>
            </w:tcBorders>
            <w:hideMark/>
          </w:tcPr>
          <w:p w14:paraId="0B405AA6" w14:textId="77777777" w:rsidR="000D0C23" w:rsidRPr="008F5372" w:rsidRDefault="000D0C23">
            <w:pPr>
              <w:autoSpaceDE w:val="0"/>
              <w:autoSpaceDN w:val="0"/>
              <w:adjustRightInd w:val="0"/>
              <w:ind w:right="-120"/>
              <w:jc w:val="center"/>
              <w:rPr>
                <w:sz w:val="22"/>
                <w:szCs w:val="22"/>
              </w:rPr>
            </w:pPr>
            <w:r w:rsidRPr="008F5372">
              <w:rPr>
                <w:sz w:val="22"/>
                <w:szCs w:val="22"/>
              </w:rPr>
              <w:t>59.7 (51.4,67.7)</w:t>
            </w:r>
          </w:p>
        </w:tc>
      </w:tr>
      <w:tr w:rsidR="000D0C23" w:rsidRPr="008F5372" w14:paraId="4540311A" w14:textId="77777777" w:rsidTr="000D0C23">
        <w:tc>
          <w:tcPr>
            <w:tcW w:w="1329" w:type="pct"/>
            <w:tcBorders>
              <w:top w:val="nil"/>
              <w:left w:val="single" w:sz="4" w:space="0" w:color="auto"/>
              <w:bottom w:val="single" w:sz="4" w:space="0" w:color="auto"/>
              <w:right w:val="single" w:sz="4" w:space="0" w:color="auto"/>
            </w:tcBorders>
            <w:hideMark/>
          </w:tcPr>
          <w:p w14:paraId="0B5F2707" w14:textId="77777777" w:rsidR="000D0C23" w:rsidRPr="008F5372" w:rsidRDefault="000D0C23">
            <w:pPr>
              <w:autoSpaceDE w:val="0"/>
              <w:autoSpaceDN w:val="0"/>
              <w:adjustRightInd w:val="0"/>
              <w:rPr>
                <w:sz w:val="22"/>
                <w:szCs w:val="22"/>
              </w:rPr>
            </w:pPr>
            <w:r w:rsidRPr="008F5372">
              <w:rPr>
                <w:sz w:val="22"/>
                <w:szCs w:val="22"/>
              </w:rPr>
              <w:t>MR</w:t>
            </w:r>
            <w:r w:rsidRPr="008F5372">
              <w:rPr>
                <w:sz w:val="22"/>
                <w:szCs w:val="22"/>
                <w:vertAlign w:val="superscript"/>
              </w:rPr>
              <w:t>4.5</w:t>
            </w:r>
            <w:r w:rsidRPr="008F5372">
              <w:rPr>
                <w:sz w:val="22"/>
                <w:szCs w:val="22"/>
              </w:rPr>
              <w:t>, % (95% CI)</w:t>
            </w:r>
          </w:p>
        </w:tc>
        <w:tc>
          <w:tcPr>
            <w:tcW w:w="939" w:type="pct"/>
            <w:tcBorders>
              <w:top w:val="nil"/>
              <w:left w:val="single" w:sz="4" w:space="0" w:color="auto"/>
              <w:bottom w:val="single" w:sz="4" w:space="0" w:color="auto"/>
              <w:right w:val="single" w:sz="4" w:space="0" w:color="auto"/>
            </w:tcBorders>
            <w:hideMark/>
          </w:tcPr>
          <w:p w14:paraId="5C68EFBD" w14:textId="77777777" w:rsidR="000D0C23" w:rsidRPr="008F5372" w:rsidRDefault="000D0C23">
            <w:pPr>
              <w:autoSpaceDE w:val="0"/>
              <w:autoSpaceDN w:val="0"/>
              <w:adjustRightInd w:val="0"/>
              <w:jc w:val="center"/>
              <w:rPr>
                <w:sz w:val="22"/>
                <w:szCs w:val="22"/>
              </w:rPr>
            </w:pPr>
            <w:r w:rsidRPr="008F5372">
              <w:rPr>
                <w:sz w:val="22"/>
                <w:szCs w:val="22"/>
              </w:rPr>
              <w:t>58.7 (43.2,73.0)</w:t>
            </w:r>
          </w:p>
        </w:tc>
        <w:tc>
          <w:tcPr>
            <w:tcW w:w="940" w:type="pct"/>
            <w:tcBorders>
              <w:top w:val="nil"/>
              <w:left w:val="single" w:sz="4" w:space="0" w:color="auto"/>
              <w:bottom w:val="single" w:sz="4" w:space="0" w:color="auto"/>
              <w:right w:val="single" w:sz="4" w:space="0" w:color="auto"/>
            </w:tcBorders>
            <w:hideMark/>
          </w:tcPr>
          <w:p w14:paraId="40C20857" w14:textId="77777777" w:rsidR="000D0C23" w:rsidRPr="008F5372" w:rsidRDefault="000D0C23">
            <w:pPr>
              <w:autoSpaceDE w:val="0"/>
              <w:autoSpaceDN w:val="0"/>
              <w:adjustRightInd w:val="0"/>
              <w:jc w:val="center"/>
              <w:rPr>
                <w:sz w:val="22"/>
                <w:szCs w:val="22"/>
              </w:rPr>
            </w:pPr>
            <w:r w:rsidRPr="008F5372">
              <w:rPr>
                <w:sz w:val="22"/>
                <w:szCs w:val="22"/>
              </w:rPr>
              <w:t>50.9 (37.1,64.6)</w:t>
            </w:r>
          </w:p>
        </w:tc>
        <w:tc>
          <w:tcPr>
            <w:tcW w:w="940" w:type="pct"/>
            <w:tcBorders>
              <w:top w:val="nil"/>
              <w:left w:val="single" w:sz="4" w:space="0" w:color="auto"/>
              <w:bottom w:val="single" w:sz="4" w:space="0" w:color="auto"/>
              <w:right w:val="single" w:sz="4" w:space="0" w:color="auto"/>
            </w:tcBorders>
            <w:hideMark/>
          </w:tcPr>
          <w:p w14:paraId="6EC6D3E9" w14:textId="77777777" w:rsidR="000D0C23" w:rsidRPr="008F5372" w:rsidRDefault="000D0C23">
            <w:pPr>
              <w:autoSpaceDE w:val="0"/>
              <w:autoSpaceDN w:val="0"/>
              <w:adjustRightInd w:val="0"/>
              <w:jc w:val="center"/>
              <w:rPr>
                <w:sz w:val="22"/>
                <w:szCs w:val="22"/>
              </w:rPr>
            </w:pPr>
            <w:r w:rsidRPr="008F5372">
              <w:rPr>
                <w:sz w:val="22"/>
                <w:szCs w:val="22"/>
              </w:rPr>
              <w:t>35.4 (22.2,50.5)</w:t>
            </w:r>
          </w:p>
        </w:tc>
        <w:tc>
          <w:tcPr>
            <w:tcW w:w="852" w:type="pct"/>
            <w:tcBorders>
              <w:top w:val="nil"/>
              <w:left w:val="single" w:sz="4" w:space="0" w:color="auto"/>
              <w:bottom w:val="single" w:sz="4" w:space="0" w:color="auto"/>
              <w:right w:val="single" w:sz="4" w:space="0" w:color="auto"/>
            </w:tcBorders>
            <w:hideMark/>
          </w:tcPr>
          <w:p w14:paraId="5CBC7778" w14:textId="77777777" w:rsidR="000D0C23" w:rsidRPr="008F5372" w:rsidRDefault="000D0C23">
            <w:pPr>
              <w:autoSpaceDE w:val="0"/>
              <w:autoSpaceDN w:val="0"/>
              <w:adjustRightInd w:val="0"/>
              <w:ind w:right="-120"/>
              <w:jc w:val="center"/>
              <w:rPr>
                <w:sz w:val="22"/>
                <w:szCs w:val="22"/>
              </w:rPr>
            </w:pPr>
            <w:r w:rsidRPr="008F5372">
              <w:rPr>
                <w:sz w:val="22"/>
                <w:szCs w:val="22"/>
              </w:rPr>
              <w:t>48.3 (40.1,56.6)</w:t>
            </w:r>
          </w:p>
        </w:tc>
      </w:tr>
      <w:tr w:rsidR="000D0C23" w:rsidRPr="00E14D63" w14:paraId="1971166E" w14:textId="77777777" w:rsidTr="000D0C23">
        <w:tc>
          <w:tcPr>
            <w:tcW w:w="1329" w:type="pct"/>
            <w:tcBorders>
              <w:top w:val="single" w:sz="4" w:space="0" w:color="auto"/>
              <w:left w:val="single" w:sz="4" w:space="0" w:color="auto"/>
              <w:bottom w:val="nil"/>
              <w:right w:val="single" w:sz="4" w:space="0" w:color="auto"/>
            </w:tcBorders>
            <w:hideMark/>
          </w:tcPr>
          <w:p w14:paraId="4AA88B9C" w14:textId="77777777" w:rsidR="000D0C23" w:rsidRPr="008F5372" w:rsidRDefault="000D0C23">
            <w:pPr>
              <w:autoSpaceDE w:val="0"/>
              <w:autoSpaceDN w:val="0"/>
              <w:adjustRightInd w:val="0"/>
              <w:rPr>
                <w:sz w:val="22"/>
                <w:szCs w:val="22"/>
                <w:lang w:val="en-US"/>
              </w:rPr>
            </w:pPr>
            <w:r w:rsidRPr="008F5372">
              <w:rPr>
                <w:sz w:val="22"/>
                <w:szCs w:val="22"/>
                <w:lang w:val="en-US"/>
              </w:rPr>
              <w:t>Time to cytogenetic response for responders only</w:t>
            </w:r>
            <w:r w:rsidRPr="008F5372">
              <w:rPr>
                <w:sz w:val="22"/>
                <w:szCs w:val="22"/>
                <w:vertAlign w:val="superscript"/>
                <w:lang w:val="en-US"/>
              </w:rPr>
              <w:t>b</w:t>
            </w:r>
            <w:r w:rsidRPr="008F5372">
              <w:rPr>
                <w:sz w:val="22"/>
                <w:szCs w:val="22"/>
                <w:lang w:val="en-US"/>
              </w:rPr>
              <w:t>, median (range), months</w:t>
            </w:r>
          </w:p>
        </w:tc>
        <w:tc>
          <w:tcPr>
            <w:tcW w:w="939" w:type="pct"/>
            <w:tcBorders>
              <w:top w:val="single" w:sz="4" w:space="0" w:color="auto"/>
              <w:left w:val="single" w:sz="4" w:space="0" w:color="auto"/>
              <w:bottom w:val="nil"/>
              <w:right w:val="single" w:sz="4" w:space="0" w:color="auto"/>
            </w:tcBorders>
          </w:tcPr>
          <w:p w14:paraId="3F00BF5B" w14:textId="77777777" w:rsidR="000D0C23" w:rsidRPr="008F5372" w:rsidRDefault="000D0C23">
            <w:pPr>
              <w:autoSpaceDE w:val="0"/>
              <w:autoSpaceDN w:val="0"/>
              <w:adjustRightInd w:val="0"/>
              <w:jc w:val="center"/>
              <w:rPr>
                <w:sz w:val="22"/>
                <w:szCs w:val="22"/>
                <w:lang w:val="en-US"/>
              </w:rPr>
            </w:pPr>
          </w:p>
        </w:tc>
        <w:tc>
          <w:tcPr>
            <w:tcW w:w="940" w:type="pct"/>
            <w:tcBorders>
              <w:top w:val="single" w:sz="4" w:space="0" w:color="auto"/>
              <w:left w:val="single" w:sz="4" w:space="0" w:color="auto"/>
              <w:bottom w:val="nil"/>
              <w:right w:val="single" w:sz="4" w:space="0" w:color="auto"/>
            </w:tcBorders>
          </w:tcPr>
          <w:p w14:paraId="1AB9DE2D" w14:textId="77777777" w:rsidR="000D0C23" w:rsidRPr="008F5372" w:rsidRDefault="000D0C23">
            <w:pPr>
              <w:autoSpaceDE w:val="0"/>
              <w:autoSpaceDN w:val="0"/>
              <w:adjustRightInd w:val="0"/>
              <w:jc w:val="center"/>
              <w:rPr>
                <w:sz w:val="22"/>
                <w:szCs w:val="22"/>
                <w:lang w:val="en-US"/>
              </w:rPr>
            </w:pPr>
          </w:p>
        </w:tc>
        <w:tc>
          <w:tcPr>
            <w:tcW w:w="940" w:type="pct"/>
            <w:tcBorders>
              <w:top w:val="single" w:sz="4" w:space="0" w:color="auto"/>
              <w:left w:val="single" w:sz="4" w:space="0" w:color="auto"/>
              <w:bottom w:val="nil"/>
              <w:right w:val="single" w:sz="4" w:space="0" w:color="auto"/>
            </w:tcBorders>
          </w:tcPr>
          <w:p w14:paraId="678D2F33" w14:textId="77777777" w:rsidR="000D0C23" w:rsidRPr="008F5372" w:rsidRDefault="000D0C23">
            <w:pPr>
              <w:autoSpaceDE w:val="0"/>
              <w:autoSpaceDN w:val="0"/>
              <w:adjustRightInd w:val="0"/>
              <w:jc w:val="center"/>
              <w:rPr>
                <w:sz w:val="22"/>
                <w:szCs w:val="22"/>
                <w:lang w:val="en-US"/>
              </w:rPr>
            </w:pPr>
          </w:p>
        </w:tc>
        <w:tc>
          <w:tcPr>
            <w:tcW w:w="852" w:type="pct"/>
            <w:tcBorders>
              <w:top w:val="single" w:sz="4" w:space="0" w:color="auto"/>
              <w:left w:val="single" w:sz="4" w:space="0" w:color="auto"/>
              <w:bottom w:val="nil"/>
              <w:right w:val="single" w:sz="4" w:space="0" w:color="auto"/>
            </w:tcBorders>
          </w:tcPr>
          <w:p w14:paraId="2E58A2FA" w14:textId="77777777" w:rsidR="000D0C23" w:rsidRPr="008F5372" w:rsidRDefault="000D0C23">
            <w:pPr>
              <w:autoSpaceDE w:val="0"/>
              <w:autoSpaceDN w:val="0"/>
              <w:adjustRightInd w:val="0"/>
              <w:jc w:val="center"/>
              <w:rPr>
                <w:sz w:val="22"/>
                <w:szCs w:val="22"/>
                <w:lang w:val="en-US"/>
              </w:rPr>
            </w:pPr>
          </w:p>
        </w:tc>
      </w:tr>
      <w:tr w:rsidR="000D0C23" w:rsidRPr="008F5372" w14:paraId="175A7309" w14:textId="77777777" w:rsidTr="000D0C23">
        <w:tc>
          <w:tcPr>
            <w:tcW w:w="1329" w:type="pct"/>
            <w:tcBorders>
              <w:top w:val="nil"/>
              <w:left w:val="single" w:sz="4" w:space="0" w:color="auto"/>
              <w:bottom w:val="nil"/>
              <w:right w:val="single" w:sz="4" w:space="0" w:color="auto"/>
            </w:tcBorders>
          </w:tcPr>
          <w:p w14:paraId="227649FD" w14:textId="77777777" w:rsidR="000D0C23" w:rsidRPr="008F5372" w:rsidRDefault="000D0C23">
            <w:pPr>
              <w:autoSpaceDE w:val="0"/>
              <w:autoSpaceDN w:val="0"/>
              <w:adjustRightInd w:val="0"/>
              <w:rPr>
                <w:sz w:val="22"/>
                <w:szCs w:val="22"/>
              </w:rPr>
            </w:pPr>
            <w:r w:rsidRPr="008F5372">
              <w:rPr>
                <w:sz w:val="22"/>
                <w:szCs w:val="22"/>
              </w:rPr>
              <w:t>MCyR</w:t>
            </w:r>
          </w:p>
          <w:p w14:paraId="2F012216" w14:textId="77777777" w:rsidR="000D0C23" w:rsidRPr="008F5372" w:rsidRDefault="000D0C23">
            <w:pPr>
              <w:autoSpaceDE w:val="0"/>
              <w:autoSpaceDN w:val="0"/>
              <w:adjustRightInd w:val="0"/>
              <w:rPr>
                <w:sz w:val="22"/>
                <w:szCs w:val="22"/>
              </w:rPr>
            </w:pPr>
          </w:p>
        </w:tc>
        <w:tc>
          <w:tcPr>
            <w:tcW w:w="939" w:type="pct"/>
            <w:tcBorders>
              <w:top w:val="nil"/>
              <w:left w:val="single" w:sz="4" w:space="0" w:color="auto"/>
              <w:bottom w:val="nil"/>
              <w:right w:val="single" w:sz="4" w:space="0" w:color="auto"/>
            </w:tcBorders>
            <w:hideMark/>
          </w:tcPr>
          <w:p w14:paraId="59858227" w14:textId="77777777" w:rsidR="000D0C23" w:rsidRPr="008F5372" w:rsidRDefault="000D0C23">
            <w:pPr>
              <w:autoSpaceDE w:val="0"/>
              <w:autoSpaceDN w:val="0"/>
              <w:adjustRightInd w:val="0"/>
              <w:jc w:val="center"/>
              <w:rPr>
                <w:sz w:val="22"/>
                <w:szCs w:val="22"/>
              </w:rPr>
            </w:pPr>
            <w:r w:rsidRPr="008F5372">
              <w:rPr>
                <w:sz w:val="22"/>
                <w:szCs w:val="22"/>
              </w:rPr>
              <w:t>3.0 (1.0,11.8)</w:t>
            </w:r>
          </w:p>
        </w:tc>
        <w:tc>
          <w:tcPr>
            <w:tcW w:w="940" w:type="pct"/>
            <w:tcBorders>
              <w:top w:val="nil"/>
              <w:left w:val="single" w:sz="4" w:space="0" w:color="auto"/>
              <w:bottom w:val="nil"/>
              <w:right w:val="single" w:sz="4" w:space="0" w:color="auto"/>
            </w:tcBorders>
            <w:hideMark/>
          </w:tcPr>
          <w:p w14:paraId="71DEFC0A" w14:textId="77777777" w:rsidR="000D0C23" w:rsidRPr="008F5372" w:rsidRDefault="000D0C23">
            <w:pPr>
              <w:autoSpaceDE w:val="0"/>
              <w:autoSpaceDN w:val="0"/>
              <w:adjustRightInd w:val="0"/>
              <w:jc w:val="center"/>
              <w:rPr>
                <w:sz w:val="22"/>
                <w:szCs w:val="22"/>
              </w:rPr>
            </w:pPr>
            <w:r w:rsidRPr="008F5372">
              <w:rPr>
                <w:sz w:val="22"/>
                <w:szCs w:val="22"/>
              </w:rPr>
              <w:t>2.9 (0.3,6.4)</w:t>
            </w:r>
          </w:p>
        </w:tc>
        <w:tc>
          <w:tcPr>
            <w:tcW w:w="940" w:type="pct"/>
            <w:tcBorders>
              <w:top w:val="nil"/>
              <w:left w:val="single" w:sz="4" w:space="0" w:color="auto"/>
              <w:bottom w:val="nil"/>
              <w:right w:val="single" w:sz="4" w:space="0" w:color="auto"/>
            </w:tcBorders>
            <w:hideMark/>
          </w:tcPr>
          <w:p w14:paraId="1277FEBA" w14:textId="77777777" w:rsidR="000D0C23" w:rsidRPr="008F5372" w:rsidRDefault="000D0C23">
            <w:pPr>
              <w:autoSpaceDE w:val="0"/>
              <w:autoSpaceDN w:val="0"/>
              <w:adjustRightInd w:val="0"/>
              <w:jc w:val="center"/>
              <w:rPr>
                <w:sz w:val="22"/>
                <w:szCs w:val="22"/>
              </w:rPr>
            </w:pPr>
            <w:r w:rsidRPr="008F5372">
              <w:rPr>
                <w:sz w:val="22"/>
                <w:szCs w:val="22"/>
              </w:rPr>
              <w:t>3.0 (1.8,8.8)</w:t>
            </w:r>
          </w:p>
        </w:tc>
        <w:tc>
          <w:tcPr>
            <w:tcW w:w="852" w:type="pct"/>
            <w:tcBorders>
              <w:top w:val="nil"/>
              <w:left w:val="single" w:sz="4" w:space="0" w:color="auto"/>
              <w:bottom w:val="nil"/>
              <w:right w:val="single" w:sz="4" w:space="0" w:color="auto"/>
            </w:tcBorders>
            <w:hideMark/>
          </w:tcPr>
          <w:p w14:paraId="2073D90C" w14:textId="77777777" w:rsidR="000D0C23" w:rsidRPr="008F5372" w:rsidRDefault="000D0C23">
            <w:pPr>
              <w:autoSpaceDE w:val="0"/>
              <w:autoSpaceDN w:val="0"/>
              <w:adjustRightInd w:val="0"/>
              <w:jc w:val="center"/>
              <w:rPr>
                <w:sz w:val="22"/>
                <w:szCs w:val="22"/>
              </w:rPr>
            </w:pPr>
            <w:r w:rsidRPr="008F5372">
              <w:rPr>
                <w:sz w:val="22"/>
                <w:szCs w:val="22"/>
              </w:rPr>
              <w:t>3.0 (0.3,11.8)</w:t>
            </w:r>
          </w:p>
        </w:tc>
      </w:tr>
      <w:tr w:rsidR="000D0C23" w:rsidRPr="008F5372" w14:paraId="23B23049" w14:textId="77777777" w:rsidTr="000D0C23">
        <w:tc>
          <w:tcPr>
            <w:tcW w:w="1329" w:type="pct"/>
            <w:tcBorders>
              <w:top w:val="nil"/>
              <w:left w:val="single" w:sz="4" w:space="0" w:color="auto"/>
              <w:bottom w:val="single" w:sz="4" w:space="0" w:color="auto"/>
              <w:right w:val="single" w:sz="4" w:space="0" w:color="auto"/>
            </w:tcBorders>
            <w:hideMark/>
          </w:tcPr>
          <w:p w14:paraId="03FBD34D" w14:textId="77777777" w:rsidR="000D0C23" w:rsidRPr="008F5372" w:rsidRDefault="000D0C23">
            <w:pPr>
              <w:autoSpaceDE w:val="0"/>
              <w:autoSpaceDN w:val="0"/>
              <w:adjustRightInd w:val="0"/>
              <w:rPr>
                <w:sz w:val="22"/>
                <w:szCs w:val="22"/>
              </w:rPr>
            </w:pPr>
            <w:r w:rsidRPr="008F5372">
              <w:rPr>
                <w:sz w:val="22"/>
                <w:szCs w:val="22"/>
              </w:rPr>
              <w:t>CCyR</w:t>
            </w:r>
          </w:p>
        </w:tc>
        <w:tc>
          <w:tcPr>
            <w:tcW w:w="939" w:type="pct"/>
            <w:tcBorders>
              <w:top w:val="nil"/>
              <w:left w:val="single" w:sz="4" w:space="0" w:color="auto"/>
              <w:bottom w:val="single" w:sz="4" w:space="0" w:color="auto"/>
              <w:right w:val="single" w:sz="4" w:space="0" w:color="auto"/>
            </w:tcBorders>
            <w:hideMark/>
          </w:tcPr>
          <w:p w14:paraId="6EE5D8D5" w14:textId="77777777" w:rsidR="000D0C23" w:rsidRPr="008F5372" w:rsidRDefault="000D0C23">
            <w:pPr>
              <w:autoSpaceDE w:val="0"/>
              <w:autoSpaceDN w:val="0"/>
              <w:adjustRightInd w:val="0"/>
              <w:jc w:val="center"/>
              <w:rPr>
                <w:sz w:val="22"/>
                <w:szCs w:val="22"/>
              </w:rPr>
            </w:pPr>
            <w:r w:rsidRPr="008F5372">
              <w:rPr>
                <w:sz w:val="22"/>
                <w:szCs w:val="22"/>
              </w:rPr>
              <w:t>3.0 (1.0,17.6)</w:t>
            </w:r>
          </w:p>
        </w:tc>
        <w:tc>
          <w:tcPr>
            <w:tcW w:w="940" w:type="pct"/>
            <w:tcBorders>
              <w:top w:val="nil"/>
              <w:left w:val="single" w:sz="4" w:space="0" w:color="auto"/>
              <w:bottom w:val="single" w:sz="4" w:space="0" w:color="auto"/>
              <w:right w:val="single" w:sz="4" w:space="0" w:color="auto"/>
            </w:tcBorders>
            <w:hideMark/>
          </w:tcPr>
          <w:p w14:paraId="02BC5580" w14:textId="77777777" w:rsidR="000D0C23" w:rsidRPr="008F5372" w:rsidRDefault="000D0C23">
            <w:pPr>
              <w:autoSpaceDE w:val="0"/>
              <w:autoSpaceDN w:val="0"/>
              <w:adjustRightInd w:val="0"/>
              <w:jc w:val="center"/>
              <w:rPr>
                <w:sz w:val="22"/>
                <w:szCs w:val="22"/>
              </w:rPr>
            </w:pPr>
            <w:r w:rsidRPr="008F5372">
              <w:rPr>
                <w:sz w:val="22"/>
                <w:szCs w:val="22"/>
              </w:rPr>
              <w:t>2.9 (0.3,6.4)</w:t>
            </w:r>
          </w:p>
        </w:tc>
        <w:tc>
          <w:tcPr>
            <w:tcW w:w="940" w:type="pct"/>
            <w:tcBorders>
              <w:top w:val="nil"/>
              <w:left w:val="single" w:sz="4" w:space="0" w:color="auto"/>
              <w:bottom w:val="single" w:sz="4" w:space="0" w:color="auto"/>
              <w:right w:val="single" w:sz="4" w:space="0" w:color="auto"/>
            </w:tcBorders>
            <w:hideMark/>
          </w:tcPr>
          <w:p w14:paraId="0E28B531" w14:textId="77777777" w:rsidR="000D0C23" w:rsidRPr="008F5372" w:rsidRDefault="000D0C23">
            <w:pPr>
              <w:autoSpaceDE w:val="0"/>
              <w:autoSpaceDN w:val="0"/>
              <w:adjustRightInd w:val="0"/>
              <w:jc w:val="center"/>
              <w:rPr>
                <w:sz w:val="22"/>
                <w:szCs w:val="22"/>
              </w:rPr>
            </w:pPr>
            <w:r w:rsidRPr="008F5372">
              <w:rPr>
                <w:sz w:val="22"/>
                <w:szCs w:val="22"/>
              </w:rPr>
              <w:t>3.0 (1.8,8.8)</w:t>
            </w:r>
          </w:p>
        </w:tc>
        <w:tc>
          <w:tcPr>
            <w:tcW w:w="852" w:type="pct"/>
            <w:tcBorders>
              <w:top w:val="nil"/>
              <w:left w:val="single" w:sz="4" w:space="0" w:color="auto"/>
              <w:bottom w:val="single" w:sz="4" w:space="0" w:color="auto"/>
              <w:right w:val="single" w:sz="4" w:space="0" w:color="auto"/>
            </w:tcBorders>
            <w:hideMark/>
          </w:tcPr>
          <w:p w14:paraId="4ABBDA4A" w14:textId="77777777" w:rsidR="000D0C23" w:rsidRPr="008F5372" w:rsidRDefault="000D0C23">
            <w:pPr>
              <w:autoSpaceDE w:val="0"/>
              <w:autoSpaceDN w:val="0"/>
              <w:adjustRightInd w:val="0"/>
              <w:jc w:val="center"/>
              <w:rPr>
                <w:sz w:val="22"/>
                <w:szCs w:val="22"/>
              </w:rPr>
            </w:pPr>
            <w:r w:rsidRPr="008F5372">
              <w:rPr>
                <w:sz w:val="22"/>
                <w:szCs w:val="22"/>
              </w:rPr>
              <w:t>3.0 (0.3,17.6)</w:t>
            </w:r>
          </w:p>
        </w:tc>
      </w:tr>
      <w:tr w:rsidR="000D0C23" w:rsidRPr="008F5372" w14:paraId="4FD960D0" w14:textId="77777777" w:rsidTr="000D0C23">
        <w:tc>
          <w:tcPr>
            <w:tcW w:w="1329" w:type="pct"/>
            <w:tcBorders>
              <w:top w:val="single" w:sz="4" w:space="0" w:color="auto"/>
              <w:left w:val="single" w:sz="4" w:space="0" w:color="auto"/>
              <w:bottom w:val="nil"/>
              <w:right w:val="single" w:sz="4" w:space="0" w:color="auto"/>
            </w:tcBorders>
          </w:tcPr>
          <w:p w14:paraId="05F32D7A" w14:textId="77777777" w:rsidR="000D0C23" w:rsidRPr="008F5372" w:rsidRDefault="000D0C23">
            <w:pPr>
              <w:autoSpaceDE w:val="0"/>
              <w:autoSpaceDN w:val="0"/>
              <w:adjustRightInd w:val="0"/>
              <w:rPr>
                <w:sz w:val="22"/>
                <w:szCs w:val="22"/>
                <w:vertAlign w:val="superscript"/>
              </w:rPr>
            </w:pPr>
            <w:r w:rsidRPr="008F5372">
              <w:rPr>
                <w:sz w:val="22"/>
                <w:szCs w:val="22"/>
              </w:rPr>
              <w:t>Duration of cytogenetic response</w:t>
            </w:r>
            <w:r w:rsidRPr="008F5372">
              <w:rPr>
                <w:sz w:val="22"/>
                <w:szCs w:val="22"/>
                <w:vertAlign w:val="superscript"/>
              </w:rPr>
              <w:t>b</w:t>
            </w:r>
          </w:p>
          <w:p w14:paraId="5D244356" w14:textId="77777777" w:rsidR="000D0C23" w:rsidRPr="008F5372" w:rsidRDefault="000D0C23">
            <w:pPr>
              <w:autoSpaceDE w:val="0"/>
              <w:autoSpaceDN w:val="0"/>
              <w:adjustRightInd w:val="0"/>
              <w:rPr>
                <w:sz w:val="22"/>
                <w:szCs w:val="22"/>
              </w:rPr>
            </w:pPr>
          </w:p>
        </w:tc>
        <w:tc>
          <w:tcPr>
            <w:tcW w:w="939" w:type="pct"/>
            <w:tcBorders>
              <w:top w:val="single" w:sz="4" w:space="0" w:color="auto"/>
              <w:left w:val="single" w:sz="4" w:space="0" w:color="auto"/>
              <w:bottom w:val="nil"/>
              <w:right w:val="single" w:sz="4" w:space="0" w:color="auto"/>
            </w:tcBorders>
          </w:tcPr>
          <w:p w14:paraId="533825EA" w14:textId="77777777" w:rsidR="000D0C23" w:rsidRPr="008F5372" w:rsidRDefault="000D0C23">
            <w:pPr>
              <w:autoSpaceDE w:val="0"/>
              <w:autoSpaceDN w:val="0"/>
              <w:adjustRightInd w:val="0"/>
              <w:jc w:val="center"/>
              <w:rPr>
                <w:sz w:val="22"/>
                <w:szCs w:val="22"/>
              </w:rPr>
            </w:pPr>
          </w:p>
        </w:tc>
        <w:tc>
          <w:tcPr>
            <w:tcW w:w="940" w:type="pct"/>
            <w:tcBorders>
              <w:top w:val="single" w:sz="4" w:space="0" w:color="auto"/>
              <w:left w:val="single" w:sz="4" w:space="0" w:color="auto"/>
              <w:bottom w:val="nil"/>
              <w:right w:val="single" w:sz="4" w:space="0" w:color="auto"/>
            </w:tcBorders>
          </w:tcPr>
          <w:p w14:paraId="2C135C86" w14:textId="77777777" w:rsidR="000D0C23" w:rsidRPr="008F5372" w:rsidRDefault="000D0C23">
            <w:pPr>
              <w:autoSpaceDE w:val="0"/>
              <w:autoSpaceDN w:val="0"/>
              <w:adjustRightInd w:val="0"/>
              <w:jc w:val="center"/>
              <w:rPr>
                <w:sz w:val="22"/>
                <w:szCs w:val="22"/>
              </w:rPr>
            </w:pPr>
          </w:p>
        </w:tc>
        <w:tc>
          <w:tcPr>
            <w:tcW w:w="940" w:type="pct"/>
            <w:tcBorders>
              <w:top w:val="single" w:sz="4" w:space="0" w:color="auto"/>
              <w:left w:val="single" w:sz="4" w:space="0" w:color="auto"/>
              <w:bottom w:val="nil"/>
              <w:right w:val="single" w:sz="4" w:space="0" w:color="auto"/>
            </w:tcBorders>
          </w:tcPr>
          <w:p w14:paraId="7DD14456" w14:textId="77777777" w:rsidR="000D0C23" w:rsidRPr="008F5372" w:rsidRDefault="000D0C23">
            <w:pPr>
              <w:autoSpaceDE w:val="0"/>
              <w:autoSpaceDN w:val="0"/>
              <w:adjustRightInd w:val="0"/>
              <w:jc w:val="center"/>
              <w:rPr>
                <w:sz w:val="22"/>
                <w:szCs w:val="22"/>
              </w:rPr>
            </w:pPr>
          </w:p>
        </w:tc>
        <w:tc>
          <w:tcPr>
            <w:tcW w:w="852" w:type="pct"/>
            <w:tcBorders>
              <w:top w:val="single" w:sz="4" w:space="0" w:color="auto"/>
              <w:left w:val="single" w:sz="4" w:space="0" w:color="auto"/>
              <w:bottom w:val="nil"/>
              <w:right w:val="single" w:sz="4" w:space="0" w:color="auto"/>
            </w:tcBorders>
          </w:tcPr>
          <w:p w14:paraId="60379844" w14:textId="77777777" w:rsidR="000D0C23" w:rsidRPr="008F5372" w:rsidRDefault="000D0C23">
            <w:pPr>
              <w:autoSpaceDE w:val="0"/>
              <w:autoSpaceDN w:val="0"/>
              <w:adjustRightInd w:val="0"/>
              <w:jc w:val="center"/>
              <w:rPr>
                <w:sz w:val="22"/>
                <w:szCs w:val="22"/>
              </w:rPr>
            </w:pPr>
          </w:p>
        </w:tc>
      </w:tr>
      <w:tr w:rsidR="000D0C23" w:rsidRPr="008F5372" w14:paraId="6F886CBD" w14:textId="77777777" w:rsidTr="000D0C23">
        <w:tc>
          <w:tcPr>
            <w:tcW w:w="1329" w:type="pct"/>
            <w:tcBorders>
              <w:top w:val="nil"/>
              <w:left w:val="single" w:sz="4" w:space="0" w:color="auto"/>
              <w:bottom w:val="nil"/>
              <w:right w:val="single" w:sz="4" w:space="0" w:color="auto"/>
            </w:tcBorders>
          </w:tcPr>
          <w:p w14:paraId="6163EBEB" w14:textId="77777777" w:rsidR="000D0C23" w:rsidRPr="008F5372" w:rsidRDefault="000D0C23">
            <w:pPr>
              <w:autoSpaceDE w:val="0"/>
              <w:autoSpaceDN w:val="0"/>
              <w:adjustRightInd w:val="0"/>
              <w:rPr>
                <w:sz w:val="22"/>
                <w:szCs w:val="22"/>
                <w:lang w:val="en-US"/>
              </w:rPr>
            </w:pPr>
            <w:r w:rsidRPr="008F5372">
              <w:rPr>
                <w:sz w:val="22"/>
                <w:szCs w:val="22"/>
                <w:lang w:val="en-US"/>
              </w:rPr>
              <w:t>MCyR, K-M at year 3, % (95% CI)</w:t>
            </w:r>
          </w:p>
          <w:p w14:paraId="515E86D6" w14:textId="77777777" w:rsidR="000D0C23" w:rsidRPr="008F5372" w:rsidRDefault="000D0C23">
            <w:pPr>
              <w:autoSpaceDE w:val="0"/>
              <w:autoSpaceDN w:val="0"/>
              <w:adjustRightInd w:val="0"/>
              <w:rPr>
                <w:sz w:val="22"/>
                <w:szCs w:val="22"/>
                <w:lang w:val="en-US"/>
              </w:rPr>
            </w:pPr>
          </w:p>
        </w:tc>
        <w:tc>
          <w:tcPr>
            <w:tcW w:w="939" w:type="pct"/>
            <w:tcBorders>
              <w:top w:val="nil"/>
              <w:left w:val="single" w:sz="4" w:space="0" w:color="auto"/>
              <w:bottom w:val="nil"/>
              <w:right w:val="single" w:sz="4" w:space="0" w:color="auto"/>
            </w:tcBorders>
            <w:hideMark/>
          </w:tcPr>
          <w:p w14:paraId="3267B23C" w14:textId="77777777" w:rsidR="000D0C23" w:rsidRPr="008F5372" w:rsidRDefault="000D0C23">
            <w:pPr>
              <w:autoSpaceDE w:val="0"/>
              <w:autoSpaceDN w:val="0"/>
              <w:adjustRightInd w:val="0"/>
              <w:jc w:val="center"/>
              <w:rPr>
                <w:sz w:val="22"/>
                <w:szCs w:val="22"/>
              </w:rPr>
            </w:pPr>
            <w:r w:rsidRPr="008F5372">
              <w:rPr>
                <w:sz w:val="22"/>
                <w:szCs w:val="22"/>
              </w:rPr>
              <w:t>96.6 (77.9,99.5)</w:t>
            </w:r>
          </w:p>
        </w:tc>
        <w:tc>
          <w:tcPr>
            <w:tcW w:w="940" w:type="pct"/>
            <w:tcBorders>
              <w:top w:val="nil"/>
              <w:left w:val="single" w:sz="4" w:space="0" w:color="auto"/>
              <w:bottom w:val="nil"/>
              <w:right w:val="single" w:sz="4" w:space="0" w:color="auto"/>
            </w:tcBorders>
            <w:hideMark/>
          </w:tcPr>
          <w:p w14:paraId="4F2D7040" w14:textId="77777777" w:rsidR="000D0C23" w:rsidRPr="008F5372" w:rsidRDefault="000D0C23">
            <w:pPr>
              <w:autoSpaceDE w:val="0"/>
              <w:autoSpaceDN w:val="0"/>
              <w:adjustRightInd w:val="0"/>
              <w:jc w:val="center"/>
              <w:rPr>
                <w:sz w:val="22"/>
                <w:szCs w:val="22"/>
              </w:rPr>
            </w:pPr>
            <w:r w:rsidRPr="008F5372">
              <w:rPr>
                <w:sz w:val="22"/>
                <w:szCs w:val="22"/>
              </w:rPr>
              <w:t>94.4 (79.2,98.6)</w:t>
            </w:r>
          </w:p>
        </w:tc>
        <w:tc>
          <w:tcPr>
            <w:tcW w:w="940" w:type="pct"/>
            <w:tcBorders>
              <w:top w:val="nil"/>
              <w:left w:val="single" w:sz="4" w:space="0" w:color="auto"/>
              <w:bottom w:val="nil"/>
              <w:right w:val="single" w:sz="4" w:space="0" w:color="auto"/>
            </w:tcBorders>
            <w:hideMark/>
          </w:tcPr>
          <w:p w14:paraId="1D3839E5" w14:textId="77777777" w:rsidR="000D0C23" w:rsidRPr="008F5372" w:rsidRDefault="000D0C23">
            <w:pPr>
              <w:autoSpaceDE w:val="0"/>
              <w:autoSpaceDN w:val="0"/>
              <w:adjustRightInd w:val="0"/>
              <w:jc w:val="center"/>
              <w:rPr>
                <w:sz w:val="22"/>
                <w:szCs w:val="22"/>
              </w:rPr>
            </w:pPr>
            <w:r w:rsidRPr="008F5372">
              <w:rPr>
                <w:sz w:val="22"/>
                <w:szCs w:val="22"/>
              </w:rPr>
              <w:t>96.9 (79.8,99.6)</w:t>
            </w:r>
          </w:p>
        </w:tc>
        <w:tc>
          <w:tcPr>
            <w:tcW w:w="852" w:type="pct"/>
            <w:tcBorders>
              <w:top w:val="nil"/>
              <w:left w:val="single" w:sz="4" w:space="0" w:color="auto"/>
              <w:bottom w:val="nil"/>
              <w:right w:val="single" w:sz="4" w:space="0" w:color="auto"/>
            </w:tcBorders>
            <w:hideMark/>
          </w:tcPr>
          <w:p w14:paraId="1111B639" w14:textId="77777777" w:rsidR="000D0C23" w:rsidRPr="008F5372" w:rsidRDefault="000D0C23">
            <w:pPr>
              <w:autoSpaceDE w:val="0"/>
              <w:autoSpaceDN w:val="0"/>
              <w:adjustRightInd w:val="0"/>
              <w:ind w:right="-120"/>
              <w:jc w:val="center"/>
              <w:rPr>
                <w:sz w:val="22"/>
                <w:szCs w:val="22"/>
              </w:rPr>
            </w:pPr>
            <w:r w:rsidRPr="008F5372">
              <w:rPr>
                <w:sz w:val="22"/>
                <w:szCs w:val="22"/>
              </w:rPr>
              <w:t>95.6 (88.7,98.4)</w:t>
            </w:r>
          </w:p>
        </w:tc>
      </w:tr>
      <w:tr w:rsidR="000D0C23" w:rsidRPr="008F5372" w14:paraId="6E743631" w14:textId="77777777" w:rsidTr="000D0C23">
        <w:tc>
          <w:tcPr>
            <w:tcW w:w="1329" w:type="pct"/>
            <w:tcBorders>
              <w:top w:val="nil"/>
              <w:left w:val="single" w:sz="4" w:space="0" w:color="auto"/>
              <w:bottom w:val="single" w:sz="4" w:space="0" w:color="auto"/>
              <w:right w:val="single" w:sz="4" w:space="0" w:color="auto"/>
            </w:tcBorders>
            <w:hideMark/>
          </w:tcPr>
          <w:p w14:paraId="5FC08C2A" w14:textId="77777777" w:rsidR="000D0C23" w:rsidRPr="008F5372" w:rsidRDefault="000D0C23">
            <w:pPr>
              <w:autoSpaceDE w:val="0"/>
              <w:autoSpaceDN w:val="0"/>
              <w:adjustRightInd w:val="0"/>
              <w:rPr>
                <w:sz w:val="22"/>
                <w:szCs w:val="22"/>
                <w:lang w:val="en-US"/>
              </w:rPr>
            </w:pPr>
            <w:r w:rsidRPr="008F5372">
              <w:rPr>
                <w:sz w:val="22"/>
                <w:szCs w:val="22"/>
                <w:lang w:val="en-US"/>
              </w:rPr>
              <w:t>CCyR, K-M at year 3, % (95% CI)</w:t>
            </w:r>
          </w:p>
        </w:tc>
        <w:tc>
          <w:tcPr>
            <w:tcW w:w="939" w:type="pct"/>
            <w:tcBorders>
              <w:top w:val="nil"/>
              <w:left w:val="single" w:sz="4" w:space="0" w:color="auto"/>
              <w:bottom w:val="single" w:sz="4" w:space="0" w:color="auto"/>
              <w:right w:val="single" w:sz="4" w:space="0" w:color="auto"/>
            </w:tcBorders>
            <w:hideMark/>
          </w:tcPr>
          <w:p w14:paraId="78CE0AAF" w14:textId="77777777" w:rsidR="000D0C23" w:rsidRPr="008F5372" w:rsidRDefault="000D0C23">
            <w:pPr>
              <w:autoSpaceDE w:val="0"/>
              <w:autoSpaceDN w:val="0"/>
              <w:adjustRightInd w:val="0"/>
              <w:jc w:val="center"/>
              <w:rPr>
                <w:sz w:val="22"/>
                <w:szCs w:val="22"/>
              </w:rPr>
            </w:pPr>
            <w:r w:rsidRPr="008F5372">
              <w:rPr>
                <w:sz w:val="22"/>
                <w:szCs w:val="22"/>
              </w:rPr>
              <w:t>96.4 (77.2,99.5)</w:t>
            </w:r>
          </w:p>
        </w:tc>
        <w:tc>
          <w:tcPr>
            <w:tcW w:w="940" w:type="pct"/>
            <w:tcBorders>
              <w:top w:val="nil"/>
              <w:left w:val="single" w:sz="4" w:space="0" w:color="auto"/>
              <w:bottom w:val="single" w:sz="4" w:space="0" w:color="auto"/>
              <w:right w:val="single" w:sz="4" w:space="0" w:color="auto"/>
            </w:tcBorders>
            <w:hideMark/>
          </w:tcPr>
          <w:p w14:paraId="137CDD34" w14:textId="77777777" w:rsidR="000D0C23" w:rsidRPr="008F5372" w:rsidRDefault="000D0C23">
            <w:pPr>
              <w:autoSpaceDE w:val="0"/>
              <w:autoSpaceDN w:val="0"/>
              <w:adjustRightInd w:val="0"/>
              <w:jc w:val="center"/>
              <w:rPr>
                <w:sz w:val="22"/>
                <w:szCs w:val="22"/>
              </w:rPr>
            </w:pPr>
            <w:r w:rsidRPr="008F5372">
              <w:rPr>
                <w:sz w:val="22"/>
                <w:szCs w:val="22"/>
              </w:rPr>
              <w:t>94.4 (79.2,98.6)</w:t>
            </w:r>
          </w:p>
        </w:tc>
        <w:tc>
          <w:tcPr>
            <w:tcW w:w="940" w:type="pct"/>
            <w:tcBorders>
              <w:top w:val="nil"/>
              <w:left w:val="single" w:sz="4" w:space="0" w:color="auto"/>
              <w:bottom w:val="single" w:sz="4" w:space="0" w:color="auto"/>
              <w:right w:val="single" w:sz="4" w:space="0" w:color="auto"/>
            </w:tcBorders>
          </w:tcPr>
          <w:p w14:paraId="383ED0A9" w14:textId="77777777" w:rsidR="000D0C23" w:rsidRPr="008F5372" w:rsidRDefault="000D0C23">
            <w:pPr>
              <w:autoSpaceDE w:val="0"/>
              <w:autoSpaceDN w:val="0"/>
              <w:adjustRightInd w:val="0"/>
              <w:jc w:val="center"/>
              <w:rPr>
                <w:sz w:val="22"/>
                <w:szCs w:val="22"/>
              </w:rPr>
            </w:pPr>
            <w:r w:rsidRPr="008F5372">
              <w:rPr>
                <w:sz w:val="22"/>
                <w:szCs w:val="22"/>
              </w:rPr>
              <w:t>100.0</w:t>
            </w:r>
          </w:p>
          <w:p w14:paraId="5CD7A2C8" w14:textId="77777777" w:rsidR="000D0C23" w:rsidRPr="008F5372" w:rsidRDefault="000D0C23">
            <w:pPr>
              <w:autoSpaceDE w:val="0"/>
              <w:autoSpaceDN w:val="0"/>
              <w:adjustRightInd w:val="0"/>
              <w:jc w:val="center"/>
              <w:rPr>
                <w:sz w:val="22"/>
                <w:szCs w:val="22"/>
              </w:rPr>
            </w:pPr>
            <w:r w:rsidRPr="008F5372">
              <w:rPr>
                <w:sz w:val="22"/>
                <w:szCs w:val="22"/>
              </w:rPr>
              <w:t>(100.0,100.0)</w:t>
            </w:r>
          </w:p>
          <w:p w14:paraId="578CC61F" w14:textId="77777777" w:rsidR="000D0C23" w:rsidRPr="008F5372" w:rsidRDefault="000D0C23">
            <w:pPr>
              <w:autoSpaceDE w:val="0"/>
              <w:autoSpaceDN w:val="0"/>
              <w:adjustRightInd w:val="0"/>
              <w:jc w:val="center"/>
              <w:rPr>
                <w:sz w:val="22"/>
                <w:szCs w:val="22"/>
              </w:rPr>
            </w:pPr>
          </w:p>
        </w:tc>
        <w:tc>
          <w:tcPr>
            <w:tcW w:w="852" w:type="pct"/>
            <w:tcBorders>
              <w:top w:val="nil"/>
              <w:left w:val="single" w:sz="4" w:space="0" w:color="auto"/>
              <w:bottom w:val="single" w:sz="4" w:space="0" w:color="auto"/>
              <w:right w:val="single" w:sz="4" w:space="0" w:color="auto"/>
            </w:tcBorders>
            <w:hideMark/>
          </w:tcPr>
          <w:p w14:paraId="4E996994" w14:textId="77777777" w:rsidR="000D0C23" w:rsidRPr="008F5372" w:rsidRDefault="000D0C23">
            <w:pPr>
              <w:autoSpaceDE w:val="0"/>
              <w:autoSpaceDN w:val="0"/>
              <w:adjustRightInd w:val="0"/>
              <w:ind w:right="-120"/>
              <w:jc w:val="center"/>
              <w:rPr>
                <w:sz w:val="22"/>
                <w:szCs w:val="22"/>
              </w:rPr>
            </w:pPr>
            <w:r w:rsidRPr="008F5372">
              <w:rPr>
                <w:sz w:val="22"/>
                <w:szCs w:val="22"/>
              </w:rPr>
              <w:t>96.5 (89.5,98.9)</w:t>
            </w:r>
          </w:p>
        </w:tc>
      </w:tr>
      <w:tr w:rsidR="000D0C23" w:rsidRPr="00E14D63" w14:paraId="5F8C523D" w14:textId="77777777" w:rsidTr="000D0C23">
        <w:tc>
          <w:tcPr>
            <w:tcW w:w="1329" w:type="pct"/>
            <w:tcBorders>
              <w:top w:val="single" w:sz="4" w:space="0" w:color="auto"/>
              <w:left w:val="single" w:sz="4" w:space="0" w:color="auto"/>
              <w:bottom w:val="nil"/>
              <w:right w:val="single" w:sz="4" w:space="0" w:color="auto"/>
            </w:tcBorders>
          </w:tcPr>
          <w:p w14:paraId="7B4FF76C" w14:textId="77777777" w:rsidR="000D0C23" w:rsidRPr="008F5372" w:rsidRDefault="000D0C23">
            <w:pPr>
              <w:autoSpaceDE w:val="0"/>
              <w:autoSpaceDN w:val="0"/>
              <w:adjustRightInd w:val="0"/>
              <w:rPr>
                <w:sz w:val="22"/>
                <w:szCs w:val="22"/>
                <w:lang w:val="en-US"/>
              </w:rPr>
            </w:pPr>
            <w:r w:rsidRPr="008F5372">
              <w:rPr>
                <w:sz w:val="22"/>
                <w:szCs w:val="22"/>
                <w:lang w:val="en-US"/>
              </w:rPr>
              <w:t>Time to molecular response for responders only, median (range), months</w:t>
            </w:r>
          </w:p>
          <w:p w14:paraId="45D3F3BA" w14:textId="77777777" w:rsidR="000D0C23" w:rsidRPr="008F5372" w:rsidRDefault="000D0C23">
            <w:pPr>
              <w:autoSpaceDE w:val="0"/>
              <w:autoSpaceDN w:val="0"/>
              <w:adjustRightInd w:val="0"/>
              <w:rPr>
                <w:sz w:val="22"/>
                <w:szCs w:val="22"/>
                <w:lang w:val="en-US"/>
              </w:rPr>
            </w:pPr>
          </w:p>
        </w:tc>
        <w:tc>
          <w:tcPr>
            <w:tcW w:w="939" w:type="pct"/>
            <w:tcBorders>
              <w:top w:val="single" w:sz="4" w:space="0" w:color="auto"/>
              <w:left w:val="single" w:sz="4" w:space="0" w:color="auto"/>
              <w:bottom w:val="nil"/>
              <w:right w:val="single" w:sz="4" w:space="0" w:color="auto"/>
            </w:tcBorders>
          </w:tcPr>
          <w:p w14:paraId="6F3A0C65" w14:textId="77777777" w:rsidR="000D0C23" w:rsidRPr="008F5372" w:rsidRDefault="000D0C23">
            <w:pPr>
              <w:autoSpaceDE w:val="0"/>
              <w:autoSpaceDN w:val="0"/>
              <w:adjustRightInd w:val="0"/>
              <w:jc w:val="center"/>
              <w:rPr>
                <w:sz w:val="22"/>
                <w:szCs w:val="22"/>
                <w:lang w:val="en-US"/>
              </w:rPr>
            </w:pPr>
          </w:p>
        </w:tc>
        <w:tc>
          <w:tcPr>
            <w:tcW w:w="940" w:type="pct"/>
            <w:tcBorders>
              <w:top w:val="single" w:sz="4" w:space="0" w:color="auto"/>
              <w:left w:val="single" w:sz="4" w:space="0" w:color="auto"/>
              <w:bottom w:val="nil"/>
              <w:right w:val="single" w:sz="4" w:space="0" w:color="auto"/>
            </w:tcBorders>
          </w:tcPr>
          <w:p w14:paraId="20FA7920" w14:textId="77777777" w:rsidR="000D0C23" w:rsidRPr="008F5372" w:rsidRDefault="000D0C23">
            <w:pPr>
              <w:autoSpaceDE w:val="0"/>
              <w:autoSpaceDN w:val="0"/>
              <w:adjustRightInd w:val="0"/>
              <w:jc w:val="center"/>
              <w:rPr>
                <w:sz w:val="22"/>
                <w:szCs w:val="22"/>
                <w:lang w:val="en-US"/>
              </w:rPr>
            </w:pPr>
          </w:p>
        </w:tc>
        <w:tc>
          <w:tcPr>
            <w:tcW w:w="940" w:type="pct"/>
            <w:tcBorders>
              <w:top w:val="single" w:sz="4" w:space="0" w:color="auto"/>
              <w:left w:val="single" w:sz="4" w:space="0" w:color="auto"/>
              <w:bottom w:val="nil"/>
              <w:right w:val="single" w:sz="4" w:space="0" w:color="auto"/>
            </w:tcBorders>
          </w:tcPr>
          <w:p w14:paraId="440592F9" w14:textId="77777777" w:rsidR="000D0C23" w:rsidRPr="008F5372" w:rsidRDefault="000D0C23">
            <w:pPr>
              <w:autoSpaceDE w:val="0"/>
              <w:autoSpaceDN w:val="0"/>
              <w:adjustRightInd w:val="0"/>
              <w:jc w:val="center"/>
              <w:rPr>
                <w:sz w:val="22"/>
                <w:szCs w:val="22"/>
                <w:lang w:val="en-US"/>
              </w:rPr>
            </w:pPr>
          </w:p>
        </w:tc>
        <w:tc>
          <w:tcPr>
            <w:tcW w:w="852" w:type="pct"/>
            <w:tcBorders>
              <w:top w:val="single" w:sz="4" w:space="0" w:color="auto"/>
              <w:left w:val="single" w:sz="4" w:space="0" w:color="auto"/>
              <w:bottom w:val="nil"/>
              <w:right w:val="single" w:sz="4" w:space="0" w:color="auto"/>
            </w:tcBorders>
          </w:tcPr>
          <w:p w14:paraId="24E425D6" w14:textId="77777777" w:rsidR="000D0C23" w:rsidRPr="008F5372" w:rsidRDefault="000D0C23">
            <w:pPr>
              <w:autoSpaceDE w:val="0"/>
              <w:autoSpaceDN w:val="0"/>
              <w:adjustRightInd w:val="0"/>
              <w:jc w:val="center"/>
              <w:rPr>
                <w:sz w:val="22"/>
                <w:szCs w:val="22"/>
                <w:lang w:val="en-US"/>
              </w:rPr>
            </w:pPr>
          </w:p>
        </w:tc>
      </w:tr>
      <w:tr w:rsidR="000D0C23" w:rsidRPr="008F5372" w14:paraId="3212893E" w14:textId="77777777" w:rsidTr="000D0C23">
        <w:tc>
          <w:tcPr>
            <w:tcW w:w="1329" w:type="pct"/>
            <w:tcBorders>
              <w:top w:val="nil"/>
              <w:left w:val="single" w:sz="4" w:space="0" w:color="auto"/>
              <w:bottom w:val="nil"/>
              <w:right w:val="single" w:sz="4" w:space="0" w:color="auto"/>
            </w:tcBorders>
          </w:tcPr>
          <w:p w14:paraId="253BE3A6" w14:textId="77777777" w:rsidR="000D0C23" w:rsidRPr="008F5372" w:rsidRDefault="000D0C23">
            <w:pPr>
              <w:autoSpaceDE w:val="0"/>
              <w:autoSpaceDN w:val="0"/>
              <w:adjustRightInd w:val="0"/>
              <w:rPr>
                <w:sz w:val="22"/>
                <w:szCs w:val="22"/>
              </w:rPr>
            </w:pPr>
            <w:r w:rsidRPr="008F5372">
              <w:rPr>
                <w:sz w:val="22"/>
                <w:szCs w:val="22"/>
              </w:rPr>
              <w:t>MMR</w:t>
            </w:r>
          </w:p>
          <w:p w14:paraId="059929F4" w14:textId="77777777" w:rsidR="000D0C23" w:rsidRPr="008F5372" w:rsidRDefault="000D0C23">
            <w:pPr>
              <w:autoSpaceDE w:val="0"/>
              <w:autoSpaceDN w:val="0"/>
              <w:adjustRightInd w:val="0"/>
              <w:rPr>
                <w:sz w:val="22"/>
                <w:szCs w:val="22"/>
              </w:rPr>
            </w:pPr>
          </w:p>
        </w:tc>
        <w:tc>
          <w:tcPr>
            <w:tcW w:w="939" w:type="pct"/>
            <w:tcBorders>
              <w:top w:val="nil"/>
              <w:left w:val="single" w:sz="4" w:space="0" w:color="auto"/>
              <w:bottom w:val="nil"/>
              <w:right w:val="single" w:sz="4" w:space="0" w:color="auto"/>
            </w:tcBorders>
            <w:hideMark/>
          </w:tcPr>
          <w:p w14:paraId="5FEB3687" w14:textId="77777777" w:rsidR="000D0C23" w:rsidRPr="008F5372" w:rsidRDefault="000D0C23">
            <w:pPr>
              <w:autoSpaceDE w:val="0"/>
              <w:autoSpaceDN w:val="0"/>
              <w:adjustRightInd w:val="0"/>
              <w:jc w:val="center"/>
              <w:rPr>
                <w:sz w:val="22"/>
                <w:szCs w:val="22"/>
              </w:rPr>
            </w:pPr>
            <w:r w:rsidRPr="008F5372">
              <w:rPr>
                <w:sz w:val="22"/>
                <w:szCs w:val="22"/>
              </w:rPr>
              <w:t>3.0 (2.8,23.3)</w:t>
            </w:r>
          </w:p>
        </w:tc>
        <w:tc>
          <w:tcPr>
            <w:tcW w:w="940" w:type="pct"/>
            <w:tcBorders>
              <w:top w:val="nil"/>
              <w:left w:val="single" w:sz="4" w:space="0" w:color="auto"/>
              <w:bottom w:val="nil"/>
              <w:right w:val="single" w:sz="4" w:space="0" w:color="auto"/>
            </w:tcBorders>
            <w:hideMark/>
          </w:tcPr>
          <w:p w14:paraId="5D97BE6B" w14:textId="77777777" w:rsidR="000D0C23" w:rsidRPr="008F5372" w:rsidRDefault="000D0C23">
            <w:pPr>
              <w:autoSpaceDE w:val="0"/>
              <w:autoSpaceDN w:val="0"/>
              <w:adjustRightInd w:val="0"/>
              <w:jc w:val="center"/>
              <w:rPr>
                <w:sz w:val="22"/>
                <w:szCs w:val="22"/>
              </w:rPr>
            </w:pPr>
            <w:r w:rsidRPr="008F5372">
              <w:rPr>
                <w:sz w:val="22"/>
                <w:szCs w:val="22"/>
              </w:rPr>
              <w:t>3.0 (1.0,35.9)</w:t>
            </w:r>
          </w:p>
        </w:tc>
        <w:tc>
          <w:tcPr>
            <w:tcW w:w="940" w:type="pct"/>
            <w:tcBorders>
              <w:top w:val="nil"/>
              <w:left w:val="single" w:sz="4" w:space="0" w:color="auto"/>
              <w:bottom w:val="nil"/>
              <w:right w:val="single" w:sz="4" w:space="0" w:color="auto"/>
            </w:tcBorders>
            <w:hideMark/>
          </w:tcPr>
          <w:p w14:paraId="217105DC" w14:textId="77777777" w:rsidR="000D0C23" w:rsidRPr="008F5372" w:rsidRDefault="000D0C23">
            <w:pPr>
              <w:autoSpaceDE w:val="0"/>
              <w:autoSpaceDN w:val="0"/>
              <w:adjustRightInd w:val="0"/>
              <w:jc w:val="center"/>
              <w:rPr>
                <w:sz w:val="22"/>
                <w:szCs w:val="22"/>
              </w:rPr>
            </w:pPr>
            <w:r w:rsidRPr="008F5372">
              <w:rPr>
                <w:sz w:val="22"/>
                <w:szCs w:val="22"/>
              </w:rPr>
              <w:t>3.1 (1.8,9.3)</w:t>
            </w:r>
          </w:p>
        </w:tc>
        <w:tc>
          <w:tcPr>
            <w:tcW w:w="852" w:type="pct"/>
            <w:tcBorders>
              <w:top w:val="nil"/>
              <w:left w:val="single" w:sz="4" w:space="0" w:color="auto"/>
              <w:bottom w:val="nil"/>
              <w:right w:val="single" w:sz="4" w:space="0" w:color="auto"/>
            </w:tcBorders>
            <w:hideMark/>
          </w:tcPr>
          <w:p w14:paraId="07FA8D7C" w14:textId="77777777" w:rsidR="000D0C23" w:rsidRPr="008F5372" w:rsidRDefault="000D0C23">
            <w:pPr>
              <w:autoSpaceDE w:val="0"/>
              <w:autoSpaceDN w:val="0"/>
              <w:adjustRightInd w:val="0"/>
              <w:jc w:val="center"/>
              <w:rPr>
                <w:sz w:val="22"/>
                <w:szCs w:val="22"/>
              </w:rPr>
            </w:pPr>
            <w:r w:rsidRPr="008F5372">
              <w:rPr>
                <w:sz w:val="22"/>
                <w:szCs w:val="22"/>
              </w:rPr>
              <w:t>3.0 (1.0,35.9)</w:t>
            </w:r>
          </w:p>
        </w:tc>
      </w:tr>
      <w:tr w:rsidR="000D0C23" w:rsidRPr="008F5372" w14:paraId="1B080AC2" w14:textId="77777777" w:rsidTr="000D0C23">
        <w:tc>
          <w:tcPr>
            <w:tcW w:w="1329" w:type="pct"/>
            <w:tcBorders>
              <w:top w:val="nil"/>
              <w:left w:val="single" w:sz="4" w:space="0" w:color="auto"/>
              <w:bottom w:val="nil"/>
              <w:right w:val="single" w:sz="4" w:space="0" w:color="auto"/>
            </w:tcBorders>
          </w:tcPr>
          <w:p w14:paraId="0C27D609" w14:textId="77777777" w:rsidR="000D0C23" w:rsidRPr="008F5372" w:rsidRDefault="000D0C23">
            <w:pPr>
              <w:autoSpaceDE w:val="0"/>
              <w:autoSpaceDN w:val="0"/>
              <w:adjustRightInd w:val="0"/>
              <w:rPr>
                <w:sz w:val="22"/>
                <w:szCs w:val="22"/>
              </w:rPr>
            </w:pPr>
            <w:r w:rsidRPr="008F5372">
              <w:rPr>
                <w:sz w:val="22"/>
                <w:szCs w:val="22"/>
              </w:rPr>
              <w:t>MR</w:t>
            </w:r>
            <w:r w:rsidRPr="008F5372">
              <w:rPr>
                <w:sz w:val="22"/>
                <w:szCs w:val="22"/>
                <w:vertAlign w:val="superscript"/>
              </w:rPr>
              <w:t>4</w:t>
            </w:r>
          </w:p>
          <w:p w14:paraId="6F4AC7D2" w14:textId="77777777" w:rsidR="000D0C23" w:rsidRPr="008F5372" w:rsidRDefault="000D0C23">
            <w:pPr>
              <w:autoSpaceDE w:val="0"/>
              <w:autoSpaceDN w:val="0"/>
              <w:adjustRightInd w:val="0"/>
              <w:rPr>
                <w:sz w:val="22"/>
                <w:szCs w:val="22"/>
              </w:rPr>
            </w:pPr>
          </w:p>
        </w:tc>
        <w:tc>
          <w:tcPr>
            <w:tcW w:w="939" w:type="pct"/>
            <w:tcBorders>
              <w:top w:val="nil"/>
              <w:left w:val="single" w:sz="4" w:space="0" w:color="auto"/>
              <w:bottom w:val="nil"/>
              <w:right w:val="single" w:sz="4" w:space="0" w:color="auto"/>
            </w:tcBorders>
            <w:hideMark/>
          </w:tcPr>
          <w:p w14:paraId="22E0B81B" w14:textId="77777777" w:rsidR="000D0C23" w:rsidRPr="008F5372" w:rsidRDefault="000D0C23">
            <w:pPr>
              <w:autoSpaceDE w:val="0"/>
              <w:autoSpaceDN w:val="0"/>
              <w:adjustRightInd w:val="0"/>
              <w:jc w:val="center"/>
              <w:rPr>
                <w:sz w:val="22"/>
                <w:szCs w:val="22"/>
              </w:rPr>
            </w:pPr>
            <w:r w:rsidRPr="008F5372">
              <w:rPr>
                <w:sz w:val="22"/>
                <w:szCs w:val="22"/>
              </w:rPr>
              <w:t>6.0 (2.8,47.4)</w:t>
            </w:r>
          </w:p>
        </w:tc>
        <w:tc>
          <w:tcPr>
            <w:tcW w:w="940" w:type="pct"/>
            <w:tcBorders>
              <w:top w:val="nil"/>
              <w:left w:val="single" w:sz="4" w:space="0" w:color="auto"/>
              <w:bottom w:val="nil"/>
              <w:right w:val="single" w:sz="4" w:space="0" w:color="auto"/>
            </w:tcBorders>
            <w:hideMark/>
          </w:tcPr>
          <w:p w14:paraId="22039E2E" w14:textId="77777777" w:rsidR="000D0C23" w:rsidRPr="008F5372" w:rsidRDefault="000D0C23">
            <w:pPr>
              <w:autoSpaceDE w:val="0"/>
              <w:autoSpaceDN w:val="0"/>
              <w:adjustRightInd w:val="0"/>
              <w:jc w:val="center"/>
              <w:rPr>
                <w:sz w:val="22"/>
                <w:szCs w:val="22"/>
              </w:rPr>
            </w:pPr>
            <w:r w:rsidRPr="008F5372">
              <w:rPr>
                <w:sz w:val="22"/>
                <w:szCs w:val="22"/>
              </w:rPr>
              <w:t>3.1 (1.0,36.1)</w:t>
            </w:r>
          </w:p>
        </w:tc>
        <w:tc>
          <w:tcPr>
            <w:tcW w:w="940" w:type="pct"/>
            <w:tcBorders>
              <w:top w:val="nil"/>
              <w:left w:val="single" w:sz="4" w:space="0" w:color="auto"/>
              <w:bottom w:val="nil"/>
              <w:right w:val="single" w:sz="4" w:space="0" w:color="auto"/>
            </w:tcBorders>
            <w:hideMark/>
          </w:tcPr>
          <w:p w14:paraId="7FD8114A" w14:textId="77777777" w:rsidR="000D0C23" w:rsidRPr="008F5372" w:rsidRDefault="000D0C23">
            <w:pPr>
              <w:autoSpaceDE w:val="0"/>
              <w:autoSpaceDN w:val="0"/>
              <w:adjustRightInd w:val="0"/>
              <w:jc w:val="center"/>
              <w:rPr>
                <w:sz w:val="22"/>
                <w:szCs w:val="22"/>
              </w:rPr>
            </w:pPr>
            <w:r w:rsidRPr="008F5372">
              <w:rPr>
                <w:sz w:val="22"/>
                <w:szCs w:val="22"/>
              </w:rPr>
              <w:t>3.2 (1.8,47.9)</w:t>
            </w:r>
          </w:p>
        </w:tc>
        <w:tc>
          <w:tcPr>
            <w:tcW w:w="852" w:type="pct"/>
            <w:tcBorders>
              <w:top w:val="nil"/>
              <w:left w:val="single" w:sz="4" w:space="0" w:color="auto"/>
              <w:bottom w:val="nil"/>
              <w:right w:val="single" w:sz="4" w:space="0" w:color="auto"/>
            </w:tcBorders>
            <w:hideMark/>
          </w:tcPr>
          <w:p w14:paraId="1F1C4822" w14:textId="77777777" w:rsidR="000D0C23" w:rsidRPr="008F5372" w:rsidRDefault="000D0C23">
            <w:pPr>
              <w:autoSpaceDE w:val="0"/>
              <w:autoSpaceDN w:val="0"/>
              <w:adjustRightInd w:val="0"/>
              <w:jc w:val="center"/>
              <w:rPr>
                <w:sz w:val="22"/>
                <w:szCs w:val="22"/>
              </w:rPr>
            </w:pPr>
            <w:r w:rsidRPr="008F5372">
              <w:rPr>
                <w:sz w:val="22"/>
                <w:szCs w:val="22"/>
              </w:rPr>
              <w:t>5.5 (1.0,47.9)</w:t>
            </w:r>
          </w:p>
        </w:tc>
      </w:tr>
      <w:tr w:rsidR="000D0C23" w:rsidRPr="008F5372" w14:paraId="01AAA716" w14:textId="77777777" w:rsidTr="000D0C23">
        <w:tc>
          <w:tcPr>
            <w:tcW w:w="1329" w:type="pct"/>
            <w:tcBorders>
              <w:top w:val="nil"/>
              <w:left w:val="single" w:sz="4" w:space="0" w:color="auto"/>
              <w:bottom w:val="single" w:sz="4" w:space="0" w:color="auto"/>
              <w:right w:val="single" w:sz="4" w:space="0" w:color="auto"/>
            </w:tcBorders>
            <w:hideMark/>
          </w:tcPr>
          <w:p w14:paraId="1E91761E" w14:textId="77777777" w:rsidR="000D0C23" w:rsidRPr="008F5372" w:rsidRDefault="000D0C23">
            <w:pPr>
              <w:autoSpaceDE w:val="0"/>
              <w:autoSpaceDN w:val="0"/>
              <w:adjustRightInd w:val="0"/>
              <w:rPr>
                <w:sz w:val="22"/>
                <w:szCs w:val="22"/>
              </w:rPr>
            </w:pPr>
            <w:r w:rsidRPr="008F5372">
              <w:rPr>
                <w:sz w:val="22"/>
                <w:szCs w:val="22"/>
              </w:rPr>
              <w:t>MR</w:t>
            </w:r>
            <w:r w:rsidRPr="008F5372">
              <w:rPr>
                <w:sz w:val="22"/>
                <w:szCs w:val="22"/>
                <w:vertAlign w:val="superscript"/>
              </w:rPr>
              <w:t>4.5</w:t>
            </w:r>
          </w:p>
        </w:tc>
        <w:tc>
          <w:tcPr>
            <w:tcW w:w="939" w:type="pct"/>
            <w:tcBorders>
              <w:top w:val="nil"/>
              <w:left w:val="single" w:sz="4" w:space="0" w:color="auto"/>
              <w:bottom w:val="single" w:sz="4" w:space="0" w:color="auto"/>
              <w:right w:val="single" w:sz="4" w:space="0" w:color="auto"/>
            </w:tcBorders>
            <w:hideMark/>
          </w:tcPr>
          <w:p w14:paraId="4D6D14DF" w14:textId="77777777" w:rsidR="000D0C23" w:rsidRPr="008F5372" w:rsidRDefault="000D0C23">
            <w:pPr>
              <w:autoSpaceDE w:val="0"/>
              <w:autoSpaceDN w:val="0"/>
              <w:adjustRightInd w:val="0"/>
              <w:jc w:val="center"/>
              <w:rPr>
                <w:sz w:val="22"/>
                <w:szCs w:val="22"/>
              </w:rPr>
            </w:pPr>
            <w:r w:rsidRPr="008F5372">
              <w:rPr>
                <w:sz w:val="22"/>
                <w:szCs w:val="22"/>
              </w:rPr>
              <w:t>9.2 (2.8,47.6)</w:t>
            </w:r>
          </w:p>
        </w:tc>
        <w:tc>
          <w:tcPr>
            <w:tcW w:w="940" w:type="pct"/>
            <w:tcBorders>
              <w:top w:val="nil"/>
              <w:left w:val="single" w:sz="4" w:space="0" w:color="auto"/>
              <w:bottom w:val="single" w:sz="4" w:space="0" w:color="auto"/>
              <w:right w:val="single" w:sz="4" w:space="0" w:color="auto"/>
            </w:tcBorders>
            <w:hideMark/>
          </w:tcPr>
          <w:p w14:paraId="6CC67CC9" w14:textId="77777777" w:rsidR="000D0C23" w:rsidRPr="008F5372" w:rsidRDefault="000D0C23">
            <w:pPr>
              <w:autoSpaceDE w:val="0"/>
              <w:autoSpaceDN w:val="0"/>
              <w:adjustRightInd w:val="0"/>
              <w:jc w:val="center"/>
              <w:rPr>
                <w:sz w:val="22"/>
                <w:szCs w:val="22"/>
              </w:rPr>
            </w:pPr>
            <w:r w:rsidRPr="008F5372">
              <w:rPr>
                <w:sz w:val="22"/>
                <w:szCs w:val="22"/>
              </w:rPr>
              <w:t>6.0 (2.8,36.2)</w:t>
            </w:r>
          </w:p>
        </w:tc>
        <w:tc>
          <w:tcPr>
            <w:tcW w:w="940" w:type="pct"/>
            <w:tcBorders>
              <w:top w:val="nil"/>
              <w:left w:val="single" w:sz="4" w:space="0" w:color="auto"/>
              <w:bottom w:val="single" w:sz="4" w:space="0" w:color="auto"/>
              <w:right w:val="single" w:sz="4" w:space="0" w:color="auto"/>
            </w:tcBorders>
            <w:hideMark/>
          </w:tcPr>
          <w:p w14:paraId="15AE19B1" w14:textId="77777777" w:rsidR="000D0C23" w:rsidRPr="008F5372" w:rsidRDefault="000D0C23">
            <w:pPr>
              <w:autoSpaceDE w:val="0"/>
              <w:autoSpaceDN w:val="0"/>
              <w:adjustRightInd w:val="0"/>
              <w:jc w:val="center"/>
              <w:rPr>
                <w:sz w:val="22"/>
                <w:szCs w:val="22"/>
              </w:rPr>
            </w:pPr>
            <w:r w:rsidRPr="008F5372">
              <w:rPr>
                <w:sz w:val="22"/>
                <w:szCs w:val="22"/>
              </w:rPr>
              <w:t>5.8 (1.8,18.0)</w:t>
            </w:r>
          </w:p>
        </w:tc>
        <w:tc>
          <w:tcPr>
            <w:tcW w:w="852" w:type="pct"/>
            <w:tcBorders>
              <w:top w:val="nil"/>
              <w:left w:val="single" w:sz="4" w:space="0" w:color="auto"/>
              <w:bottom w:val="single" w:sz="4" w:space="0" w:color="auto"/>
              <w:right w:val="single" w:sz="4" w:space="0" w:color="auto"/>
            </w:tcBorders>
            <w:hideMark/>
          </w:tcPr>
          <w:p w14:paraId="531C59B7" w14:textId="77777777" w:rsidR="000D0C23" w:rsidRPr="008F5372" w:rsidRDefault="000D0C23">
            <w:pPr>
              <w:autoSpaceDE w:val="0"/>
              <w:autoSpaceDN w:val="0"/>
              <w:adjustRightInd w:val="0"/>
              <w:jc w:val="center"/>
              <w:rPr>
                <w:sz w:val="22"/>
                <w:szCs w:val="22"/>
              </w:rPr>
            </w:pPr>
            <w:r w:rsidRPr="008F5372">
              <w:rPr>
                <w:sz w:val="22"/>
                <w:szCs w:val="22"/>
              </w:rPr>
              <w:t>6.0 (1.8,47.6)</w:t>
            </w:r>
          </w:p>
        </w:tc>
      </w:tr>
      <w:tr w:rsidR="000D0C23" w:rsidRPr="008F5372" w14:paraId="17519317" w14:textId="77777777" w:rsidTr="000D0C23">
        <w:tc>
          <w:tcPr>
            <w:tcW w:w="1329" w:type="pct"/>
            <w:tcBorders>
              <w:top w:val="single" w:sz="4" w:space="0" w:color="auto"/>
              <w:left w:val="single" w:sz="4" w:space="0" w:color="auto"/>
              <w:bottom w:val="nil"/>
              <w:right w:val="single" w:sz="4" w:space="0" w:color="auto"/>
            </w:tcBorders>
          </w:tcPr>
          <w:p w14:paraId="0AD8B629" w14:textId="77777777" w:rsidR="000D0C23" w:rsidRPr="008F5372" w:rsidRDefault="000D0C23">
            <w:pPr>
              <w:autoSpaceDE w:val="0"/>
              <w:autoSpaceDN w:val="0"/>
              <w:adjustRightInd w:val="0"/>
              <w:rPr>
                <w:sz w:val="22"/>
                <w:szCs w:val="22"/>
                <w:vertAlign w:val="superscript"/>
              </w:rPr>
            </w:pPr>
            <w:r w:rsidRPr="008F5372">
              <w:rPr>
                <w:sz w:val="22"/>
                <w:szCs w:val="22"/>
              </w:rPr>
              <w:t>Duration of molecular response</w:t>
            </w:r>
            <w:r w:rsidRPr="008F5372">
              <w:rPr>
                <w:sz w:val="22"/>
                <w:szCs w:val="22"/>
                <w:vertAlign w:val="superscript"/>
              </w:rPr>
              <w:t>b</w:t>
            </w:r>
          </w:p>
          <w:p w14:paraId="36D0FB18" w14:textId="77777777" w:rsidR="000D0C23" w:rsidRPr="008F5372" w:rsidRDefault="000D0C23">
            <w:pPr>
              <w:autoSpaceDE w:val="0"/>
              <w:autoSpaceDN w:val="0"/>
              <w:adjustRightInd w:val="0"/>
              <w:rPr>
                <w:sz w:val="22"/>
                <w:szCs w:val="22"/>
              </w:rPr>
            </w:pPr>
          </w:p>
        </w:tc>
        <w:tc>
          <w:tcPr>
            <w:tcW w:w="939" w:type="pct"/>
            <w:tcBorders>
              <w:top w:val="single" w:sz="4" w:space="0" w:color="auto"/>
              <w:left w:val="single" w:sz="4" w:space="0" w:color="auto"/>
              <w:bottom w:val="nil"/>
              <w:right w:val="single" w:sz="4" w:space="0" w:color="auto"/>
            </w:tcBorders>
          </w:tcPr>
          <w:p w14:paraId="0A3D9B09" w14:textId="77777777" w:rsidR="000D0C23" w:rsidRPr="008F5372" w:rsidRDefault="000D0C23">
            <w:pPr>
              <w:autoSpaceDE w:val="0"/>
              <w:autoSpaceDN w:val="0"/>
              <w:adjustRightInd w:val="0"/>
              <w:jc w:val="center"/>
              <w:rPr>
                <w:sz w:val="22"/>
                <w:szCs w:val="22"/>
              </w:rPr>
            </w:pPr>
          </w:p>
        </w:tc>
        <w:tc>
          <w:tcPr>
            <w:tcW w:w="940" w:type="pct"/>
            <w:tcBorders>
              <w:top w:val="single" w:sz="4" w:space="0" w:color="auto"/>
              <w:left w:val="single" w:sz="4" w:space="0" w:color="auto"/>
              <w:bottom w:val="nil"/>
              <w:right w:val="single" w:sz="4" w:space="0" w:color="auto"/>
            </w:tcBorders>
          </w:tcPr>
          <w:p w14:paraId="78714BDB" w14:textId="77777777" w:rsidR="000D0C23" w:rsidRPr="008F5372" w:rsidRDefault="000D0C23">
            <w:pPr>
              <w:autoSpaceDE w:val="0"/>
              <w:autoSpaceDN w:val="0"/>
              <w:adjustRightInd w:val="0"/>
              <w:jc w:val="center"/>
              <w:rPr>
                <w:sz w:val="22"/>
                <w:szCs w:val="22"/>
              </w:rPr>
            </w:pPr>
          </w:p>
        </w:tc>
        <w:tc>
          <w:tcPr>
            <w:tcW w:w="940" w:type="pct"/>
            <w:tcBorders>
              <w:top w:val="single" w:sz="4" w:space="0" w:color="auto"/>
              <w:left w:val="single" w:sz="4" w:space="0" w:color="auto"/>
              <w:bottom w:val="nil"/>
              <w:right w:val="single" w:sz="4" w:space="0" w:color="auto"/>
            </w:tcBorders>
          </w:tcPr>
          <w:p w14:paraId="2D781B7A" w14:textId="77777777" w:rsidR="000D0C23" w:rsidRPr="008F5372" w:rsidRDefault="000D0C23">
            <w:pPr>
              <w:autoSpaceDE w:val="0"/>
              <w:autoSpaceDN w:val="0"/>
              <w:adjustRightInd w:val="0"/>
              <w:jc w:val="center"/>
              <w:rPr>
                <w:sz w:val="22"/>
                <w:szCs w:val="22"/>
              </w:rPr>
            </w:pPr>
          </w:p>
        </w:tc>
        <w:tc>
          <w:tcPr>
            <w:tcW w:w="852" w:type="pct"/>
            <w:tcBorders>
              <w:top w:val="single" w:sz="4" w:space="0" w:color="auto"/>
              <w:left w:val="single" w:sz="4" w:space="0" w:color="auto"/>
              <w:bottom w:val="nil"/>
              <w:right w:val="single" w:sz="4" w:space="0" w:color="auto"/>
            </w:tcBorders>
          </w:tcPr>
          <w:p w14:paraId="73C2E82A" w14:textId="77777777" w:rsidR="000D0C23" w:rsidRPr="008F5372" w:rsidRDefault="000D0C23">
            <w:pPr>
              <w:autoSpaceDE w:val="0"/>
              <w:autoSpaceDN w:val="0"/>
              <w:adjustRightInd w:val="0"/>
              <w:jc w:val="center"/>
              <w:rPr>
                <w:sz w:val="22"/>
                <w:szCs w:val="22"/>
              </w:rPr>
            </w:pPr>
          </w:p>
        </w:tc>
      </w:tr>
      <w:tr w:rsidR="000D0C23" w:rsidRPr="008F5372" w14:paraId="0FFDCFC8" w14:textId="77777777" w:rsidTr="000D0C23">
        <w:tc>
          <w:tcPr>
            <w:tcW w:w="1329" w:type="pct"/>
            <w:tcBorders>
              <w:top w:val="nil"/>
              <w:left w:val="single" w:sz="4" w:space="0" w:color="auto"/>
              <w:bottom w:val="nil"/>
              <w:right w:val="single" w:sz="4" w:space="0" w:color="auto"/>
            </w:tcBorders>
          </w:tcPr>
          <w:p w14:paraId="2F848856" w14:textId="77777777" w:rsidR="000D0C23" w:rsidRPr="008F5372" w:rsidRDefault="000D0C23">
            <w:pPr>
              <w:autoSpaceDE w:val="0"/>
              <w:autoSpaceDN w:val="0"/>
              <w:adjustRightInd w:val="0"/>
              <w:rPr>
                <w:sz w:val="22"/>
                <w:szCs w:val="22"/>
                <w:lang w:val="en-US"/>
              </w:rPr>
            </w:pPr>
            <w:r w:rsidRPr="008F5372">
              <w:rPr>
                <w:sz w:val="22"/>
                <w:szCs w:val="22"/>
                <w:lang w:val="en-US"/>
              </w:rPr>
              <w:t>MMR, K-M at year 3, % (95% CI)</w:t>
            </w:r>
          </w:p>
          <w:p w14:paraId="0A6F20D0" w14:textId="77777777" w:rsidR="000D0C23" w:rsidRPr="008F5372" w:rsidRDefault="000D0C23">
            <w:pPr>
              <w:autoSpaceDE w:val="0"/>
              <w:autoSpaceDN w:val="0"/>
              <w:adjustRightInd w:val="0"/>
              <w:rPr>
                <w:sz w:val="22"/>
                <w:szCs w:val="22"/>
                <w:lang w:val="en-US"/>
              </w:rPr>
            </w:pPr>
          </w:p>
        </w:tc>
        <w:tc>
          <w:tcPr>
            <w:tcW w:w="939" w:type="pct"/>
            <w:tcBorders>
              <w:top w:val="nil"/>
              <w:left w:val="single" w:sz="4" w:space="0" w:color="auto"/>
              <w:bottom w:val="nil"/>
              <w:right w:val="single" w:sz="4" w:space="0" w:color="auto"/>
            </w:tcBorders>
            <w:hideMark/>
          </w:tcPr>
          <w:p w14:paraId="644A8FAC" w14:textId="77777777" w:rsidR="000D0C23" w:rsidRPr="008F5372" w:rsidRDefault="000D0C23">
            <w:pPr>
              <w:autoSpaceDE w:val="0"/>
              <w:autoSpaceDN w:val="0"/>
              <w:adjustRightInd w:val="0"/>
              <w:jc w:val="center"/>
              <w:rPr>
                <w:sz w:val="22"/>
                <w:szCs w:val="22"/>
              </w:rPr>
            </w:pPr>
            <w:r w:rsidRPr="008F5372">
              <w:rPr>
                <w:sz w:val="22"/>
                <w:szCs w:val="22"/>
              </w:rPr>
              <w:t>90.7 (73.9,96.9)</w:t>
            </w:r>
          </w:p>
        </w:tc>
        <w:tc>
          <w:tcPr>
            <w:tcW w:w="940" w:type="pct"/>
            <w:tcBorders>
              <w:top w:val="nil"/>
              <w:left w:val="single" w:sz="4" w:space="0" w:color="auto"/>
              <w:bottom w:val="nil"/>
              <w:right w:val="single" w:sz="4" w:space="0" w:color="auto"/>
            </w:tcBorders>
            <w:hideMark/>
          </w:tcPr>
          <w:p w14:paraId="1B769799" w14:textId="77777777" w:rsidR="000D0C23" w:rsidRPr="008F5372" w:rsidRDefault="000D0C23">
            <w:pPr>
              <w:autoSpaceDE w:val="0"/>
              <w:autoSpaceDN w:val="0"/>
              <w:adjustRightInd w:val="0"/>
              <w:jc w:val="center"/>
              <w:rPr>
                <w:sz w:val="22"/>
                <w:szCs w:val="22"/>
              </w:rPr>
            </w:pPr>
            <w:r w:rsidRPr="008F5372">
              <w:rPr>
                <w:sz w:val="22"/>
                <w:szCs w:val="22"/>
              </w:rPr>
              <w:t>81.5 (63.2,91.3)</w:t>
            </w:r>
          </w:p>
        </w:tc>
        <w:tc>
          <w:tcPr>
            <w:tcW w:w="940" w:type="pct"/>
            <w:tcBorders>
              <w:top w:val="nil"/>
              <w:left w:val="single" w:sz="4" w:space="0" w:color="auto"/>
              <w:bottom w:val="nil"/>
              <w:right w:val="single" w:sz="4" w:space="0" w:color="auto"/>
            </w:tcBorders>
            <w:hideMark/>
          </w:tcPr>
          <w:p w14:paraId="2FA28174" w14:textId="77777777" w:rsidR="000D0C23" w:rsidRPr="008F5372" w:rsidRDefault="000D0C23">
            <w:pPr>
              <w:autoSpaceDE w:val="0"/>
              <w:autoSpaceDN w:val="0"/>
              <w:adjustRightInd w:val="0"/>
              <w:jc w:val="center"/>
              <w:rPr>
                <w:sz w:val="22"/>
                <w:szCs w:val="22"/>
              </w:rPr>
            </w:pPr>
            <w:r w:rsidRPr="008F5372">
              <w:rPr>
                <w:sz w:val="22"/>
                <w:szCs w:val="22"/>
              </w:rPr>
              <w:t>90.2 (65.9,97.5)</w:t>
            </w:r>
          </w:p>
        </w:tc>
        <w:tc>
          <w:tcPr>
            <w:tcW w:w="852" w:type="pct"/>
            <w:tcBorders>
              <w:top w:val="nil"/>
              <w:left w:val="single" w:sz="4" w:space="0" w:color="auto"/>
              <w:bottom w:val="nil"/>
              <w:right w:val="single" w:sz="4" w:space="0" w:color="auto"/>
            </w:tcBorders>
            <w:hideMark/>
          </w:tcPr>
          <w:p w14:paraId="084D13D0" w14:textId="77777777" w:rsidR="000D0C23" w:rsidRPr="008F5372" w:rsidRDefault="000D0C23">
            <w:pPr>
              <w:autoSpaceDE w:val="0"/>
              <w:autoSpaceDN w:val="0"/>
              <w:adjustRightInd w:val="0"/>
              <w:ind w:right="-120"/>
              <w:jc w:val="center"/>
              <w:rPr>
                <w:sz w:val="22"/>
                <w:szCs w:val="22"/>
              </w:rPr>
            </w:pPr>
            <w:r w:rsidRPr="008F5372">
              <w:rPr>
                <w:sz w:val="22"/>
                <w:szCs w:val="22"/>
              </w:rPr>
              <w:t>87.2 (78.0,92.7)</w:t>
            </w:r>
          </w:p>
        </w:tc>
      </w:tr>
      <w:tr w:rsidR="000D0C23" w:rsidRPr="008F5372" w14:paraId="483F134D" w14:textId="77777777" w:rsidTr="000D0C23">
        <w:tc>
          <w:tcPr>
            <w:tcW w:w="1329" w:type="pct"/>
            <w:tcBorders>
              <w:top w:val="nil"/>
              <w:left w:val="single" w:sz="4" w:space="0" w:color="auto"/>
              <w:bottom w:val="single" w:sz="4" w:space="0" w:color="auto"/>
              <w:right w:val="single" w:sz="4" w:space="0" w:color="auto"/>
            </w:tcBorders>
            <w:hideMark/>
          </w:tcPr>
          <w:p w14:paraId="1718EE7F" w14:textId="77777777" w:rsidR="000D0C23" w:rsidRPr="008F5372" w:rsidRDefault="000D0C23">
            <w:pPr>
              <w:autoSpaceDE w:val="0"/>
              <w:autoSpaceDN w:val="0"/>
              <w:adjustRightInd w:val="0"/>
              <w:rPr>
                <w:sz w:val="22"/>
                <w:szCs w:val="22"/>
                <w:lang w:val="en-US"/>
              </w:rPr>
            </w:pPr>
            <w:r w:rsidRPr="008F5372">
              <w:rPr>
                <w:sz w:val="22"/>
                <w:szCs w:val="22"/>
                <w:lang w:val="en-US"/>
              </w:rPr>
              <w:t>MR</w:t>
            </w:r>
            <w:r w:rsidRPr="008F5372">
              <w:rPr>
                <w:sz w:val="22"/>
                <w:szCs w:val="22"/>
                <w:vertAlign w:val="superscript"/>
                <w:lang w:val="en-US"/>
              </w:rPr>
              <w:t>4</w:t>
            </w:r>
            <w:r w:rsidRPr="008F5372">
              <w:rPr>
                <w:sz w:val="22"/>
                <w:szCs w:val="22"/>
                <w:lang w:val="en-US"/>
              </w:rPr>
              <w:t>, K-M at year 3, % (95% CI)</w:t>
            </w:r>
          </w:p>
        </w:tc>
        <w:tc>
          <w:tcPr>
            <w:tcW w:w="939" w:type="pct"/>
            <w:tcBorders>
              <w:top w:val="nil"/>
              <w:left w:val="single" w:sz="4" w:space="0" w:color="auto"/>
              <w:bottom w:val="single" w:sz="4" w:space="0" w:color="auto"/>
              <w:right w:val="single" w:sz="4" w:space="0" w:color="auto"/>
            </w:tcBorders>
            <w:hideMark/>
          </w:tcPr>
          <w:p w14:paraId="32823283" w14:textId="77777777" w:rsidR="000D0C23" w:rsidRPr="008F5372" w:rsidRDefault="000D0C23">
            <w:pPr>
              <w:autoSpaceDE w:val="0"/>
              <w:autoSpaceDN w:val="0"/>
              <w:adjustRightInd w:val="0"/>
              <w:ind w:right="-103"/>
              <w:jc w:val="center"/>
              <w:rPr>
                <w:sz w:val="22"/>
                <w:szCs w:val="22"/>
              </w:rPr>
            </w:pPr>
            <w:r w:rsidRPr="008F5372">
              <w:rPr>
                <w:sz w:val="22"/>
                <w:szCs w:val="22"/>
              </w:rPr>
              <w:t>89.5 (70.9,96.5)</w:t>
            </w:r>
          </w:p>
        </w:tc>
        <w:tc>
          <w:tcPr>
            <w:tcW w:w="940" w:type="pct"/>
            <w:tcBorders>
              <w:top w:val="nil"/>
              <w:left w:val="single" w:sz="4" w:space="0" w:color="auto"/>
              <w:bottom w:val="single" w:sz="4" w:space="0" w:color="auto"/>
              <w:right w:val="single" w:sz="4" w:space="0" w:color="auto"/>
            </w:tcBorders>
            <w:hideMark/>
          </w:tcPr>
          <w:p w14:paraId="47D8A428" w14:textId="77777777" w:rsidR="000D0C23" w:rsidRPr="008F5372" w:rsidRDefault="000D0C23">
            <w:pPr>
              <w:autoSpaceDE w:val="0"/>
              <w:autoSpaceDN w:val="0"/>
              <w:adjustRightInd w:val="0"/>
              <w:jc w:val="center"/>
              <w:rPr>
                <w:sz w:val="22"/>
                <w:szCs w:val="22"/>
              </w:rPr>
            </w:pPr>
            <w:r w:rsidRPr="008F5372">
              <w:rPr>
                <w:sz w:val="22"/>
                <w:szCs w:val="22"/>
              </w:rPr>
              <w:t>68.7 (48.0,82.5)</w:t>
            </w:r>
          </w:p>
        </w:tc>
        <w:tc>
          <w:tcPr>
            <w:tcW w:w="940" w:type="pct"/>
            <w:tcBorders>
              <w:top w:val="nil"/>
              <w:left w:val="single" w:sz="4" w:space="0" w:color="auto"/>
              <w:bottom w:val="single" w:sz="4" w:space="0" w:color="auto"/>
              <w:right w:val="single" w:sz="4" w:space="0" w:color="auto"/>
            </w:tcBorders>
            <w:hideMark/>
          </w:tcPr>
          <w:p w14:paraId="5D1E60D4" w14:textId="77777777" w:rsidR="000D0C23" w:rsidRPr="008F5372" w:rsidRDefault="000D0C23">
            <w:pPr>
              <w:autoSpaceDE w:val="0"/>
              <w:autoSpaceDN w:val="0"/>
              <w:adjustRightInd w:val="0"/>
              <w:jc w:val="center"/>
              <w:rPr>
                <w:sz w:val="22"/>
                <w:szCs w:val="22"/>
              </w:rPr>
            </w:pPr>
            <w:r w:rsidRPr="008F5372">
              <w:rPr>
                <w:sz w:val="22"/>
                <w:szCs w:val="22"/>
              </w:rPr>
              <w:t>85.2 (51.9,96.2)</w:t>
            </w:r>
          </w:p>
        </w:tc>
        <w:tc>
          <w:tcPr>
            <w:tcW w:w="852" w:type="pct"/>
            <w:tcBorders>
              <w:top w:val="nil"/>
              <w:left w:val="single" w:sz="4" w:space="0" w:color="auto"/>
              <w:bottom w:val="single" w:sz="4" w:space="0" w:color="auto"/>
              <w:right w:val="single" w:sz="4" w:space="0" w:color="auto"/>
            </w:tcBorders>
            <w:hideMark/>
          </w:tcPr>
          <w:p w14:paraId="71759E19" w14:textId="77777777" w:rsidR="000D0C23" w:rsidRPr="008F5372" w:rsidRDefault="000D0C23">
            <w:pPr>
              <w:autoSpaceDE w:val="0"/>
              <w:autoSpaceDN w:val="0"/>
              <w:adjustRightInd w:val="0"/>
              <w:ind w:right="-120"/>
              <w:jc w:val="center"/>
              <w:rPr>
                <w:sz w:val="22"/>
                <w:szCs w:val="22"/>
              </w:rPr>
            </w:pPr>
            <w:r w:rsidRPr="008F5372">
              <w:rPr>
                <w:sz w:val="22"/>
                <w:szCs w:val="22"/>
              </w:rPr>
              <w:t>80.7 (69.4,88.1)</w:t>
            </w:r>
          </w:p>
        </w:tc>
      </w:tr>
      <w:tr w:rsidR="000D0C23" w:rsidRPr="00E14D63" w14:paraId="429924F7" w14:textId="77777777" w:rsidTr="000D0C23">
        <w:tc>
          <w:tcPr>
            <w:tcW w:w="5000" w:type="pct"/>
            <w:gridSpan w:val="5"/>
            <w:tcBorders>
              <w:top w:val="single" w:sz="4" w:space="0" w:color="auto"/>
              <w:left w:val="single" w:sz="4" w:space="0" w:color="auto"/>
              <w:bottom w:val="single" w:sz="4" w:space="0" w:color="auto"/>
              <w:right w:val="single" w:sz="4" w:space="0" w:color="auto"/>
            </w:tcBorders>
            <w:hideMark/>
          </w:tcPr>
          <w:p w14:paraId="36D4524E" w14:textId="77777777" w:rsidR="000D0C23" w:rsidRPr="008F5372" w:rsidRDefault="000D0C23">
            <w:pPr>
              <w:autoSpaceDE w:val="0"/>
              <w:autoSpaceDN w:val="0"/>
              <w:adjustRightInd w:val="0"/>
              <w:ind w:left="34" w:right="-120"/>
              <w:rPr>
                <w:sz w:val="20"/>
                <w:lang w:val="en-US"/>
              </w:rPr>
            </w:pPr>
            <w:r w:rsidRPr="008F5372">
              <w:rPr>
                <w:sz w:val="20"/>
                <w:lang w:val="en-US"/>
              </w:rPr>
              <w:t>Snapshot date: 23Nov2020.</w:t>
            </w:r>
          </w:p>
          <w:p w14:paraId="0A66524E" w14:textId="77777777" w:rsidR="000D0C23" w:rsidRPr="008F5372" w:rsidRDefault="000D0C23">
            <w:pPr>
              <w:autoSpaceDE w:val="0"/>
              <w:autoSpaceDN w:val="0"/>
              <w:adjustRightInd w:val="0"/>
              <w:ind w:left="34" w:right="-120"/>
              <w:rPr>
                <w:sz w:val="20"/>
                <w:lang w:val="en-US"/>
              </w:rPr>
            </w:pPr>
            <w:r w:rsidRPr="008F5372">
              <w:rPr>
                <w:sz w:val="20"/>
                <w:lang w:val="en-US"/>
              </w:rPr>
              <w:t>Abbreviations: Ph+=Philadelphia chromosome-positive; CP=chronic phase; CML=chronic myelogenous leukaemia; K-M=Kaplan Meier; N=number of patients; CI=confidence interval; MCyR=major cytogenetic response; CCyR=complete cytogenetic response; MMR=major molecular response; MR4=≥ 4 log-reduction in BCR-ABL transcripts from standardised baseline; MR4.5=≥ 4.5 log-reduction in BCR-ABL transcripts from standardised baseline.</w:t>
            </w:r>
          </w:p>
          <w:p w14:paraId="12703741" w14:textId="77777777" w:rsidR="000D0C23" w:rsidRPr="008F5372" w:rsidRDefault="000D0C23">
            <w:pPr>
              <w:autoSpaceDE w:val="0"/>
              <w:autoSpaceDN w:val="0"/>
              <w:adjustRightInd w:val="0"/>
              <w:ind w:left="34" w:right="-120"/>
              <w:rPr>
                <w:sz w:val="20"/>
                <w:lang w:val="en-US"/>
              </w:rPr>
            </w:pPr>
            <w:r w:rsidRPr="008F5372">
              <w:rPr>
                <w:sz w:val="20"/>
                <w:lang w:val="en-US"/>
              </w:rPr>
              <w:t>Cumulative Confirmed MCyR criteria: Response is confirmed with 2 consecutive evaluations at least 28 days apart.</w:t>
            </w:r>
          </w:p>
          <w:p w14:paraId="760485F0" w14:textId="77777777" w:rsidR="000D0C23" w:rsidRPr="008F5372" w:rsidRDefault="000D0C23">
            <w:pPr>
              <w:autoSpaceDE w:val="0"/>
              <w:autoSpaceDN w:val="0"/>
              <w:adjustRightInd w:val="0"/>
              <w:ind w:left="34" w:right="-120"/>
              <w:rPr>
                <w:sz w:val="20"/>
                <w:lang w:val="en-US"/>
              </w:rPr>
            </w:pPr>
            <w:r w:rsidRPr="008F5372">
              <w:rPr>
                <w:sz w:val="20"/>
                <w:lang w:val="en-US"/>
              </w:rPr>
              <w:t xml:space="preserve">To be considered a responder, the patient must have maintained a baseline response for at least 52 weeks or improved from baseline. Patients with partial cytogenetic response (PCyR) at baseline must attain CCyR on-treatment to be </w:t>
            </w:r>
            <w:r w:rsidRPr="008F5372">
              <w:rPr>
                <w:sz w:val="20"/>
                <w:lang w:val="en-US"/>
              </w:rPr>
              <w:lastRenderedPageBreak/>
              <w:t>counted as a cytogenetic responder. Patients with at least MMR and a deeper molecular response than baseline are counted as confirmed CCyR.</w:t>
            </w:r>
          </w:p>
          <w:p w14:paraId="26933369" w14:textId="77777777" w:rsidR="000D0C23" w:rsidRPr="008F5372" w:rsidRDefault="000D0C23">
            <w:pPr>
              <w:autoSpaceDE w:val="0"/>
              <w:autoSpaceDN w:val="0"/>
              <w:adjustRightInd w:val="0"/>
              <w:ind w:left="34" w:right="-120"/>
              <w:rPr>
                <w:sz w:val="20"/>
                <w:lang w:val="en-US"/>
              </w:rPr>
            </w:pPr>
            <w:r w:rsidRPr="008F5372">
              <w:rPr>
                <w:sz w:val="20"/>
                <w:lang w:val="en-US"/>
              </w:rPr>
              <w:t>Cumulative Cytogenetic Response criteria: Major Cytogenetic Response included Complete [0% Ph+ metaphases from bone marrow or &lt;</w:t>
            </w:r>
            <w:r w:rsidRPr="008F5372">
              <w:rPr>
                <w:szCs w:val="22"/>
                <w:lang w:val="en-US"/>
              </w:rPr>
              <w:t> </w:t>
            </w:r>
            <w:r w:rsidRPr="008F5372">
              <w:rPr>
                <w:sz w:val="20"/>
                <w:lang w:val="en-US"/>
              </w:rPr>
              <w:t>1% positive cells from fluorescent in situ hybridisation (FISH)] or partial (1%-35%) cytogenetic responses. Cytogenetic responses were based on the percentage of Ph+ metaphases among ≥ 20 metaphase cells in each bone marrow sample. FISH analysis (≥ 200 cells) could be used to assess CCyR if ≥ 20 metaphases were not available. Patients without a valid bone marrow or FISH assessment and with at least MMR are counted as CCyR.</w:t>
            </w:r>
          </w:p>
          <w:p w14:paraId="78281A48" w14:textId="77777777" w:rsidR="000D0C23" w:rsidRPr="008F5372" w:rsidRDefault="000D0C23">
            <w:pPr>
              <w:autoSpaceDE w:val="0"/>
              <w:autoSpaceDN w:val="0"/>
              <w:adjustRightInd w:val="0"/>
              <w:ind w:left="34" w:right="-120"/>
              <w:rPr>
                <w:sz w:val="20"/>
                <w:lang w:val="en-US"/>
              </w:rPr>
            </w:pPr>
            <w:r w:rsidRPr="008F5372">
              <w:rPr>
                <w:sz w:val="20"/>
                <w:lang w:val="en-US"/>
              </w:rPr>
              <w:t>Cumulative Molecular Response criteria: MMR, MR</w:t>
            </w:r>
            <w:r w:rsidRPr="008F5372">
              <w:rPr>
                <w:sz w:val="20"/>
                <w:vertAlign w:val="superscript"/>
                <w:lang w:val="en-US"/>
              </w:rPr>
              <w:t>4</w:t>
            </w:r>
            <w:r w:rsidRPr="008F5372">
              <w:rPr>
                <w:sz w:val="20"/>
                <w:lang w:val="en-US"/>
              </w:rPr>
              <w:t>, and MR</w:t>
            </w:r>
            <w:r w:rsidRPr="008F5372">
              <w:rPr>
                <w:sz w:val="20"/>
                <w:vertAlign w:val="superscript"/>
                <w:lang w:val="en-US"/>
              </w:rPr>
              <w:t>4.5</w:t>
            </w:r>
            <w:r w:rsidRPr="008F5372">
              <w:rPr>
                <w:sz w:val="20"/>
                <w:lang w:val="en-US"/>
              </w:rPr>
              <w:t xml:space="preserve"> were defined as ≤</w:t>
            </w:r>
            <w:r w:rsidRPr="008F5372">
              <w:rPr>
                <w:szCs w:val="22"/>
                <w:lang w:val="en-US"/>
              </w:rPr>
              <w:t> </w:t>
            </w:r>
            <w:r w:rsidRPr="008F5372">
              <w:rPr>
                <w:sz w:val="20"/>
                <w:lang w:val="en-US"/>
              </w:rPr>
              <w:t>0.1%, ≤</w:t>
            </w:r>
            <w:r w:rsidRPr="008F5372">
              <w:rPr>
                <w:szCs w:val="22"/>
                <w:lang w:val="en-US"/>
              </w:rPr>
              <w:t> </w:t>
            </w:r>
            <w:r w:rsidRPr="008F5372">
              <w:rPr>
                <w:sz w:val="20"/>
                <w:lang w:val="en-US"/>
              </w:rPr>
              <w:t>0.01%, and ≤</w:t>
            </w:r>
            <w:r w:rsidRPr="008F5372">
              <w:rPr>
                <w:szCs w:val="22"/>
                <w:lang w:val="en-US"/>
              </w:rPr>
              <w:t> </w:t>
            </w:r>
            <w:r w:rsidRPr="008F5372">
              <w:rPr>
                <w:sz w:val="20"/>
                <w:lang w:val="en-US"/>
              </w:rPr>
              <w:t>0.0032% BCR-ABL/ABL ratio on international scale, respectively (corresponding to ≥</w:t>
            </w:r>
            <w:r w:rsidRPr="008F5372">
              <w:rPr>
                <w:szCs w:val="22"/>
                <w:lang w:val="en-US"/>
              </w:rPr>
              <w:t> </w:t>
            </w:r>
            <w:r w:rsidRPr="008F5372">
              <w:rPr>
                <w:sz w:val="20"/>
                <w:lang w:val="en-US"/>
              </w:rPr>
              <w:t>3, ≥</w:t>
            </w:r>
            <w:r w:rsidRPr="008F5372">
              <w:rPr>
                <w:szCs w:val="22"/>
                <w:lang w:val="en-US"/>
              </w:rPr>
              <w:t> </w:t>
            </w:r>
            <w:r w:rsidRPr="008F5372">
              <w:rPr>
                <w:sz w:val="20"/>
                <w:lang w:val="en-US"/>
              </w:rPr>
              <w:t>4, and ≥</w:t>
            </w:r>
            <w:r w:rsidRPr="008F5372">
              <w:rPr>
                <w:szCs w:val="22"/>
                <w:lang w:val="en-US"/>
              </w:rPr>
              <w:t> </w:t>
            </w:r>
            <w:r w:rsidRPr="008F5372">
              <w:rPr>
                <w:sz w:val="20"/>
                <w:lang w:val="en-US"/>
              </w:rPr>
              <w:t>4.5 log-reduction from standardised baseline) with a minimum of 10,000, 10,000, and 32,000 ABL transcripts assessed by the central laboratory, respectively.</w:t>
            </w:r>
          </w:p>
          <w:p w14:paraId="358545E0" w14:textId="77777777" w:rsidR="000D0C23" w:rsidRPr="008F5372" w:rsidRDefault="000D0C23">
            <w:pPr>
              <w:autoSpaceDE w:val="0"/>
              <w:autoSpaceDN w:val="0"/>
              <w:adjustRightInd w:val="0"/>
              <w:ind w:left="34" w:right="-120"/>
              <w:rPr>
                <w:sz w:val="20"/>
                <w:lang w:val="en-US"/>
              </w:rPr>
            </w:pPr>
            <w:r w:rsidRPr="008F5372">
              <w:rPr>
                <w:sz w:val="20"/>
                <w:vertAlign w:val="superscript"/>
                <w:lang w:val="en-US"/>
              </w:rPr>
              <w:t>a</w:t>
            </w:r>
            <w:r w:rsidRPr="008F5372">
              <w:rPr>
                <w:sz w:val="20"/>
                <w:lang w:val="en-US"/>
              </w:rPr>
              <w:t xml:space="preserve"> Includes patients (N) with a valid baseline assessment. Minimum follow-up time (time from last patient first dose to data snapshot date) of 36 months.</w:t>
            </w:r>
          </w:p>
          <w:p w14:paraId="54D676D1" w14:textId="77777777" w:rsidR="000D0C23" w:rsidRPr="008F5372" w:rsidRDefault="000D0C23">
            <w:pPr>
              <w:autoSpaceDE w:val="0"/>
              <w:autoSpaceDN w:val="0"/>
              <w:adjustRightInd w:val="0"/>
              <w:ind w:left="34" w:right="-120"/>
              <w:rPr>
                <w:sz w:val="20"/>
                <w:lang w:val="en-US"/>
              </w:rPr>
            </w:pPr>
            <w:r w:rsidRPr="008F5372">
              <w:rPr>
                <w:sz w:val="20"/>
                <w:vertAlign w:val="superscript"/>
                <w:lang w:val="en-US"/>
              </w:rPr>
              <w:t>b</w:t>
            </w:r>
            <w:r w:rsidRPr="008F5372">
              <w:rPr>
                <w:sz w:val="20"/>
                <w:lang w:val="en-US"/>
              </w:rPr>
              <w:t xml:space="preserve"> Includes patients (N) who attained or maintained response.</w:t>
            </w:r>
          </w:p>
        </w:tc>
      </w:tr>
    </w:tbl>
    <w:p w14:paraId="082BE6EF" w14:textId="77777777" w:rsidR="000D0C23" w:rsidRDefault="000D0C23" w:rsidP="000D0C23">
      <w:pPr>
        <w:autoSpaceDE w:val="0"/>
        <w:autoSpaceDN w:val="0"/>
        <w:adjustRightInd w:val="0"/>
        <w:rPr>
          <w:sz w:val="22"/>
          <w:szCs w:val="22"/>
          <w:lang w:val="en-GB" w:eastAsia="en-US"/>
        </w:rPr>
      </w:pPr>
    </w:p>
    <w:p w14:paraId="17471214"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cumulative incidence of MMR, MR</w:t>
      </w:r>
      <w:r w:rsidRPr="000D0C23">
        <w:rPr>
          <w:sz w:val="24"/>
          <w:szCs w:val="24"/>
          <w:vertAlign w:val="superscript"/>
          <w:lang w:val="en-US"/>
        </w:rPr>
        <w:t>4</w:t>
      </w:r>
      <w:r w:rsidRPr="000D0C23">
        <w:rPr>
          <w:sz w:val="24"/>
          <w:szCs w:val="24"/>
          <w:lang w:val="en-US"/>
        </w:rPr>
        <w:t xml:space="preserve"> and MR</w:t>
      </w:r>
      <w:r w:rsidRPr="000D0C23">
        <w:rPr>
          <w:sz w:val="24"/>
          <w:szCs w:val="24"/>
          <w:vertAlign w:val="superscript"/>
          <w:lang w:val="en-US"/>
        </w:rPr>
        <w:t xml:space="preserve">4.5 </w:t>
      </w:r>
      <w:r w:rsidRPr="000D0C23">
        <w:rPr>
          <w:sz w:val="24"/>
          <w:szCs w:val="24"/>
          <w:lang w:val="en-US"/>
        </w:rPr>
        <w:t>adjusted for the competing risk of treatment discontinuation without the event are shown in Figure 5.</w:t>
      </w:r>
    </w:p>
    <w:p w14:paraId="1C8D4609" w14:textId="77777777" w:rsidR="000D0C23" w:rsidRPr="000D0C23" w:rsidRDefault="000D0C23" w:rsidP="000D0C23">
      <w:pPr>
        <w:autoSpaceDE w:val="0"/>
        <w:autoSpaceDN w:val="0"/>
        <w:adjustRightInd w:val="0"/>
        <w:rPr>
          <w:szCs w:val="22"/>
          <w:lang w:val="en-US"/>
        </w:rPr>
      </w:pPr>
    </w:p>
    <w:p w14:paraId="72C486A8" w14:textId="77777777" w:rsidR="000D0C23" w:rsidRPr="000D0C23" w:rsidRDefault="000D0C23" w:rsidP="000D0C23">
      <w:pPr>
        <w:autoSpaceDE w:val="0"/>
        <w:autoSpaceDN w:val="0"/>
        <w:adjustRightInd w:val="0"/>
        <w:ind w:left="1134" w:hanging="1134"/>
        <w:rPr>
          <w:b/>
          <w:szCs w:val="22"/>
          <w:lang w:val="en-US"/>
        </w:rPr>
      </w:pPr>
      <w:r w:rsidRPr="000D0C23">
        <w:rPr>
          <w:b/>
          <w:szCs w:val="22"/>
          <w:lang w:val="en-US"/>
        </w:rPr>
        <w:t>Figure 5</w:t>
      </w:r>
      <w:r w:rsidRPr="000D0C23">
        <w:rPr>
          <w:b/>
          <w:szCs w:val="22"/>
          <w:lang w:val="en-US"/>
        </w:rPr>
        <w:tab/>
        <w:t>Cumulative Incidence of Molecular Response (CP Evaluable Population)</w:t>
      </w:r>
    </w:p>
    <w:p w14:paraId="786ECE7E" w14:textId="28D3DA6F" w:rsidR="000D0C23" w:rsidRDefault="000D0C23" w:rsidP="000D0C23">
      <w:pPr>
        <w:autoSpaceDE w:val="0"/>
        <w:autoSpaceDN w:val="0"/>
        <w:adjustRightInd w:val="0"/>
        <w:rPr>
          <w:szCs w:val="22"/>
        </w:rPr>
      </w:pPr>
      <w:r>
        <w:rPr>
          <w:noProof/>
          <w:szCs w:val="22"/>
        </w:rPr>
        <w:drawing>
          <wp:inline distT="0" distB="0" distL="0" distR="0" wp14:anchorId="4F791199" wp14:editId="433A2615">
            <wp:extent cx="5403850" cy="3187700"/>
            <wp:effectExtent l="0" t="0" r="635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3850" cy="3187700"/>
                    </a:xfrm>
                    <a:prstGeom prst="rect">
                      <a:avLst/>
                    </a:prstGeom>
                    <a:noFill/>
                    <a:ln>
                      <a:noFill/>
                    </a:ln>
                  </pic:spPr>
                </pic:pic>
              </a:graphicData>
            </a:graphic>
          </wp:inline>
        </w:drawing>
      </w:r>
    </w:p>
    <w:p w14:paraId="4DF4B487" w14:textId="38348B18" w:rsidR="00067E47" w:rsidRDefault="00067E47">
      <w:pPr>
        <w:rPr>
          <w:szCs w:val="22"/>
        </w:rPr>
      </w:pPr>
      <w:r>
        <w:rPr>
          <w:szCs w:val="22"/>
        </w:rPr>
        <w:br w:type="page"/>
      </w:r>
    </w:p>
    <w:p w14:paraId="52C8EA10" w14:textId="77777777" w:rsidR="000D0C23" w:rsidRDefault="000D0C23" w:rsidP="000D0C23">
      <w:pPr>
        <w:autoSpaceDE w:val="0"/>
        <w:autoSpaceDN w:val="0"/>
        <w:adjustRightInd w:val="0"/>
        <w:rPr>
          <w:szCs w:val="22"/>
        </w:rPr>
      </w:pPr>
    </w:p>
    <w:p w14:paraId="3FBE8984"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Achieved molecular responses by line of treatment are shown in Table 11.</w:t>
      </w:r>
    </w:p>
    <w:p w14:paraId="0BAE6B11" w14:textId="77777777" w:rsidR="000D0C23" w:rsidRPr="000D0C23" w:rsidRDefault="000D0C23" w:rsidP="000D0C23">
      <w:pPr>
        <w:autoSpaceDE w:val="0"/>
        <w:autoSpaceDN w:val="0"/>
        <w:adjustRightInd w:val="0"/>
        <w:rPr>
          <w:szCs w:val="22"/>
          <w:lang w:val="en-US"/>
        </w:rPr>
      </w:pPr>
    </w:p>
    <w:p w14:paraId="3D4E240C" w14:textId="77777777" w:rsidR="000D0C23" w:rsidRDefault="000D0C23" w:rsidP="000D0C23">
      <w:pPr>
        <w:autoSpaceDE w:val="0"/>
        <w:autoSpaceDN w:val="0"/>
        <w:adjustRightInd w:val="0"/>
        <w:ind w:left="1134" w:hanging="1134"/>
        <w:rPr>
          <w:b/>
          <w:szCs w:val="22"/>
        </w:rPr>
      </w:pPr>
      <w:r>
        <w:rPr>
          <w:b/>
          <w:szCs w:val="22"/>
        </w:rPr>
        <w:t>Table 11</w:t>
      </w:r>
      <w:r>
        <w:rPr>
          <w:b/>
          <w:szCs w:val="22"/>
        </w:rPr>
        <w:tab/>
        <w:t>Achieved molecular responses</w:t>
      </w:r>
    </w:p>
    <w:tbl>
      <w:tblPr>
        <w:tblW w:w="5000" w:type="pct"/>
        <w:tblLook w:val="04A0" w:firstRow="1" w:lastRow="0" w:firstColumn="1" w:lastColumn="0" w:noHBand="0" w:noVBand="1"/>
      </w:tblPr>
      <w:tblGrid>
        <w:gridCol w:w="2706"/>
        <w:gridCol w:w="1808"/>
        <w:gridCol w:w="1808"/>
        <w:gridCol w:w="1656"/>
        <w:gridCol w:w="1650"/>
      </w:tblGrid>
      <w:tr w:rsidR="000D0C23" w:rsidRPr="00E14D63" w14:paraId="6A409077" w14:textId="77777777" w:rsidTr="000D0C23">
        <w:trPr>
          <w:tblHeader/>
        </w:trPr>
        <w:tc>
          <w:tcPr>
            <w:tcW w:w="1405" w:type="pct"/>
            <w:tcBorders>
              <w:top w:val="single" w:sz="4" w:space="0" w:color="auto"/>
              <w:left w:val="single" w:sz="4" w:space="0" w:color="auto"/>
              <w:bottom w:val="single" w:sz="4" w:space="0" w:color="auto"/>
              <w:right w:val="single" w:sz="4" w:space="0" w:color="auto"/>
            </w:tcBorders>
          </w:tcPr>
          <w:p w14:paraId="79C9B506" w14:textId="77777777" w:rsidR="000D0C23" w:rsidRPr="008F5372" w:rsidRDefault="000D0C23">
            <w:pPr>
              <w:autoSpaceDE w:val="0"/>
              <w:autoSpaceDN w:val="0"/>
              <w:adjustRightInd w:val="0"/>
              <w:rPr>
                <w:sz w:val="22"/>
                <w:szCs w:val="22"/>
              </w:rPr>
            </w:pPr>
          </w:p>
        </w:tc>
        <w:tc>
          <w:tcPr>
            <w:tcW w:w="939" w:type="pct"/>
            <w:tcBorders>
              <w:top w:val="single" w:sz="4" w:space="0" w:color="auto"/>
              <w:left w:val="single" w:sz="4" w:space="0" w:color="auto"/>
              <w:bottom w:val="single" w:sz="4" w:space="0" w:color="auto"/>
              <w:right w:val="single" w:sz="4" w:space="0" w:color="auto"/>
            </w:tcBorders>
            <w:hideMark/>
          </w:tcPr>
          <w:p w14:paraId="4A32B11F" w14:textId="77777777" w:rsidR="000D0C23" w:rsidRPr="008F5372" w:rsidRDefault="000D0C23">
            <w:pPr>
              <w:autoSpaceDE w:val="0"/>
              <w:autoSpaceDN w:val="0"/>
              <w:adjustRightInd w:val="0"/>
              <w:jc w:val="center"/>
              <w:rPr>
                <w:sz w:val="22"/>
                <w:szCs w:val="22"/>
                <w:lang w:val="en-US"/>
              </w:rPr>
            </w:pPr>
            <w:r w:rsidRPr="008F5372">
              <w:rPr>
                <w:sz w:val="22"/>
                <w:szCs w:val="22"/>
                <w:lang w:val="en-US"/>
              </w:rPr>
              <w:t>Ph+ CP CML</w:t>
            </w:r>
          </w:p>
          <w:p w14:paraId="15C1DB8A" w14:textId="77777777" w:rsidR="000D0C23" w:rsidRPr="008F5372" w:rsidRDefault="000D0C23">
            <w:pPr>
              <w:autoSpaceDE w:val="0"/>
              <w:autoSpaceDN w:val="0"/>
              <w:adjustRightInd w:val="0"/>
              <w:jc w:val="center"/>
              <w:rPr>
                <w:sz w:val="22"/>
                <w:szCs w:val="22"/>
                <w:lang w:val="en-US"/>
              </w:rPr>
            </w:pPr>
            <w:r w:rsidRPr="008F5372">
              <w:rPr>
                <w:sz w:val="22"/>
                <w:szCs w:val="22"/>
                <w:lang w:val="en-US"/>
              </w:rPr>
              <w:t>treated with</w:t>
            </w:r>
          </w:p>
          <w:p w14:paraId="490FF87A" w14:textId="77777777" w:rsidR="000D0C23" w:rsidRPr="008F5372" w:rsidRDefault="000D0C23">
            <w:pPr>
              <w:autoSpaceDE w:val="0"/>
              <w:autoSpaceDN w:val="0"/>
              <w:adjustRightInd w:val="0"/>
              <w:jc w:val="center"/>
              <w:rPr>
                <w:sz w:val="22"/>
                <w:szCs w:val="22"/>
                <w:lang w:val="en-US"/>
              </w:rPr>
            </w:pPr>
            <w:r w:rsidRPr="008F5372">
              <w:rPr>
                <w:sz w:val="22"/>
                <w:szCs w:val="22"/>
                <w:lang w:val="en-US"/>
              </w:rPr>
              <w:t>1 prior TKI</w:t>
            </w:r>
          </w:p>
        </w:tc>
        <w:tc>
          <w:tcPr>
            <w:tcW w:w="939" w:type="pct"/>
            <w:tcBorders>
              <w:top w:val="single" w:sz="4" w:space="0" w:color="auto"/>
              <w:left w:val="single" w:sz="4" w:space="0" w:color="auto"/>
              <w:bottom w:val="single" w:sz="4" w:space="0" w:color="auto"/>
              <w:right w:val="single" w:sz="4" w:space="0" w:color="auto"/>
            </w:tcBorders>
            <w:hideMark/>
          </w:tcPr>
          <w:p w14:paraId="04BC34C5" w14:textId="77777777" w:rsidR="000D0C23" w:rsidRPr="008F5372" w:rsidRDefault="000D0C23">
            <w:pPr>
              <w:autoSpaceDE w:val="0"/>
              <w:autoSpaceDN w:val="0"/>
              <w:adjustRightInd w:val="0"/>
              <w:jc w:val="center"/>
              <w:rPr>
                <w:sz w:val="22"/>
                <w:szCs w:val="22"/>
                <w:lang w:val="en-US"/>
              </w:rPr>
            </w:pPr>
            <w:r w:rsidRPr="008F5372">
              <w:rPr>
                <w:sz w:val="22"/>
                <w:szCs w:val="22"/>
                <w:lang w:val="en-US"/>
              </w:rPr>
              <w:t>Ph+ CP CML</w:t>
            </w:r>
          </w:p>
          <w:p w14:paraId="434111E1" w14:textId="77777777" w:rsidR="000D0C23" w:rsidRPr="008F5372" w:rsidRDefault="000D0C23">
            <w:pPr>
              <w:autoSpaceDE w:val="0"/>
              <w:autoSpaceDN w:val="0"/>
              <w:adjustRightInd w:val="0"/>
              <w:jc w:val="center"/>
              <w:rPr>
                <w:sz w:val="22"/>
                <w:szCs w:val="22"/>
                <w:lang w:val="en-US"/>
              </w:rPr>
            </w:pPr>
            <w:r w:rsidRPr="008F5372">
              <w:rPr>
                <w:sz w:val="22"/>
                <w:szCs w:val="22"/>
                <w:lang w:val="en-US"/>
              </w:rPr>
              <w:t>treated with</w:t>
            </w:r>
          </w:p>
          <w:p w14:paraId="3257B3F0" w14:textId="77777777" w:rsidR="000D0C23" w:rsidRPr="008F5372" w:rsidRDefault="000D0C23">
            <w:pPr>
              <w:autoSpaceDE w:val="0"/>
              <w:autoSpaceDN w:val="0"/>
              <w:adjustRightInd w:val="0"/>
              <w:jc w:val="center"/>
              <w:rPr>
                <w:sz w:val="22"/>
                <w:szCs w:val="22"/>
                <w:lang w:val="en-US"/>
              </w:rPr>
            </w:pPr>
            <w:r w:rsidRPr="008F5372">
              <w:rPr>
                <w:sz w:val="22"/>
                <w:szCs w:val="22"/>
                <w:lang w:val="en-US"/>
              </w:rPr>
              <w:t>2 prior TKIs</w:t>
            </w:r>
          </w:p>
        </w:tc>
        <w:tc>
          <w:tcPr>
            <w:tcW w:w="860" w:type="pct"/>
            <w:tcBorders>
              <w:top w:val="single" w:sz="4" w:space="0" w:color="auto"/>
              <w:left w:val="single" w:sz="4" w:space="0" w:color="auto"/>
              <w:bottom w:val="single" w:sz="4" w:space="0" w:color="auto"/>
              <w:right w:val="single" w:sz="4" w:space="0" w:color="auto"/>
            </w:tcBorders>
            <w:hideMark/>
          </w:tcPr>
          <w:p w14:paraId="699ED7CD" w14:textId="77777777" w:rsidR="000D0C23" w:rsidRPr="008F5372" w:rsidRDefault="000D0C23">
            <w:pPr>
              <w:autoSpaceDE w:val="0"/>
              <w:autoSpaceDN w:val="0"/>
              <w:adjustRightInd w:val="0"/>
              <w:jc w:val="center"/>
              <w:rPr>
                <w:sz w:val="22"/>
                <w:szCs w:val="22"/>
                <w:lang w:val="en-US"/>
              </w:rPr>
            </w:pPr>
            <w:r w:rsidRPr="008F5372">
              <w:rPr>
                <w:sz w:val="22"/>
                <w:szCs w:val="22"/>
                <w:lang w:val="en-US"/>
              </w:rPr>
              <w:t>Ph+ CP CML</w:t>
            </w:r>
          </w:p>
          <w:p w14:paraId="0DC9B69B" w14:textId="77777777" w:rsidR="000D0C23" w:rsidRPr="008F5372" w:rsidRDefault="000D0C23">
            <w:pPr>
              <w:autoSpaceDE w:val="0"/>
              <w:autoSpaceDN w:val="0"/>
              <w:adjustRightInd w:val="0"/>
              <w:jc w:val="center"/>
              <w:rPr>
                <w:sz w:val="22"/>
                <w:szCs w:val="22"/>
                <w:lang w:val="en-US"/>
              </w:rPr>
            </w:pPr>
            <w:r w:rsidRPr="008F5372">
              <w:rPr>
                <w:sz w:val="22"/>
                <w:szCs w:val="22"/>
                <w:lang w:val="en-US"/>
              </w:rPr>
              <w:t>treated with</w:t>
            </w:r>
          </w:p>
          <w:p w14:paraId="0E6F17B4" w14:textId="77777777" w:rsidR="000D0C23" w:rsidRPr="008F5372" w:rsidRDefault="000D0C23">
            <w:pPr>
              <w:autoSpaceDE w:val="0"/>
              <w:autoSpaceDN w:val="0"/>
              <w:adjustRightInd w:val="0"/>
              <w:jc w:val="center"/>
              <w:rPr>
                <w:sz w:val="22"/>
                <w:szCs w:val="22"/>
                <w:lang w:val="en-US"/>
              </w:rPr>
            </w:pPr>
            <w:r w:rsidRPr="008F5372">
              <w:rPr>
                <w:sz w:val="22"/>
                <w:szCs w:val="22"/>
                <w:lang w:val="en-US"/>
              </w:rPr>
              <w:t>3 prior TKIs</w:t>
            </w:r>
          </w:p>
        </w:tc>
        <w:tc>
          <w:tcPr>
            <w:tcW w:w="857" w:type="pct"/>
            <w:tcBorders>
              <w:top w:val="single" w:sz="4" w:space="0" w:color="auto"/>
              <w:left w:val="single" w:sz="4" w:space="0" w:color="auto"/>
              <w:bottom w:val="single" w:sz="4" w:space="0" w:color="auto"/>
              <w:right w:val="single" w:sz="4" w:space="0" w:color="auto"/>
            </w:tcBorders>
            <w:hideMark/>
          </w:tcPr>
          <w:p w14:paraId="56ECFB21" w14:textId="77777777" w:rsidR="000D0C23" w:rsidRPr="008F5372" w:rsidRDefault="000D0C23">
            <w:pPr>
              <w:autoSpaceDE w:val="0"/>
              <w:autoSpaceDN w:val="0"/>
              <w:adjustRightInd w:val="0"/>
              <w:jc w:val="center"/>
              <w:rPr>
                <w:sz w:val="22"/>
                <w:szCs w:val="22"/>
                <w:lang w:val="en-US"/>
              </w:rPr>
            </w:pPr>
            <w:r w:rsidRPr="008F5372">
              <w:rPr>
                <w:sz w:val="22"/>
                <w:szCs w:val="22"/>
                <w:lang w:val="en-US"/>
              </w:rPr>
              <w:t>Total Ph+</w:t>
            </w:r>
          </w:p>
          <w:p w14:paraId="5C6AF74E" w14:textId="77777777" w:rsidR="000D0C23" w:rsidRPr="008F5372" w:rsidRDefault="000D0C23">
            <w:pPr>
              <w:autoSpaceDE w:val="0"/>
              <w:autoSpaceDN w:val="0"/>
              <w:adjustRightInd w:val="0"/>
              <w:jc w:val="center"/>
              <w:rPr>
                <w:sz w:val="22"/>
                <w:szCs w:val="22"/>
                <w:lang w:val="en-US"/>
              </w:rPr>
            </w:pPr>
            <w:r w:rsidRPr="008F5372">
              <w:rPr>
                <w:sz w:val="22"/>
                <w:szCs w:val="22"/>
                <w:lang w:val="en-US"/>
              </w:rPr>
              <w:t>CP CML</w:t>
            </w:r>
          </w:p>
          <w:p w14:paraId="0E9E4EC5" w14:textId="77777777" w:rsidR="000D0C23" w:rsidRPr="008F5372" w:rsidRDefault="000D0C23">
            <w:pPr>
              <w:autoSpaceDE w:val="0"/>
              <w:autoSpaceDN w:val="0"/>
              <w:adjustRightInd w:val="0"/>
              <w:jc w:val="center"/>
              <w:rPr>
                <w:sz w:val="22"/>
                <w:szCs w:val="22"/>
                <w:lang w:val="en-US"/>
              </w:rPr>
            </w:pPr>
            <w:r w:rsidRPr="008F5372">
              <w:rPr>
                <w:sz w:val="22"/>
                <w:szCs w:val="22"/>
                <w:lang w:val="en-US"/>
              </w:rPr>
              <w:t>cohort</w:t>
            </w:r>
          </w:p>
        </w:tc>
      </w:tr>
      <w:tr w:rsidR="000D0C23" w:rsidRPr="008F5372" w14:paraId="5B7C9C25" w14:textId="77777777" w:rsidTr="000D0C23">
        <w:tc>
          <w:tcPr>
            <w:tcW w:w="1405" w:type="pct"/>
            <w:tcBorders>
              <w:top w:val="single" w:sz="4" w:space="0" w:color="auto"/>
              <w:left w:val="single" w:sz="4" w:space="0" w:color="auto"/>
              <w:bottom w:val="nil"/>
              <w:right w:val="single" w:sz="4" w:space="0" w:color="auto"/>
            </w:tcBorders>
          </w:tcPr>
          <w:p w14:paraId="49F30836" w14:textId="77777777" w:rsidR="000D0C23" w:rsidRPr="008F5372" w:rsidRDefault="000D0C23">
            <w:pPr>
              <w:autoSpaceDE w:val="0"/>
              <w:autoSpaceDN w:val="0"/>
              <w:adjustRightInd w:val="0"/>
              <w:rPr>
                <w:sz w:val="22"/>
                <w:szCs w:val="22"/>
              </w:rPr>
            </w:pPr>
            <w:r w:rsidRPr="008F5372">
              <w:rPr>
                <w:sz w:val="22"/>
                <w:szCs w:val="22"/>
              </w:rPr>
              <w:t>Patients without MMR at baseline</w:t>
            </w:r>
            <w:r w:rsidRPr="008F5372">
              <w:rPr>
                <w:sz w:val="22"/>
                <w:szCs w:val="22"/>
                <w:vertAlign w:val="superscript"/>
              </w:rPr>
              <w:t>a</w:t>
            </w:r>
          </w:p>
          <w:p w14:paraId="0B8ED770" w14:textId="77777777" w:rsidR="000D0C23" w:rsidRPr="008F5372" w:rsidRDefault="000D0C23">
            <w:pPr>
              <w:autoSpaceDE w:val="0"/>
              <w:autoSpaceDN w:val="0"/>
              <w:adjustRightInd w:val="0"/>
              <w:rPr>
                <w:sz w:val="22"/>
                <w:szCs w:val="22"/>
              </w:rPr>
            </w:pPr>
          </w:p>
        </w:tc>
        <w:tc>
          <w:tcPr>
            <w:tcW w:w="939" w:type="pct"/>
            <w:tcBorders>
              <w:top w:val="single" w:sz="4" w:space="0" w:color="auto"/>
              <w:left w:val="single" w:sz="4" w:space="0" w:color="auto"/>
              <w:bottom w:val="nil"/>
              <w:right w:val="single" w:sz="4" w:space="0" w:color="auto"/>
            </w:tcBorders>
            <w:hideMark/>
          </w:tcPr>
          <w:p w14:paraId="01EB92AC" w14:textId="77777777" w:rsidR="000D0C23" w:rsidRPr="008F5372" w:rsidRDefault="000D0C23">
            <w:pPr>
              <w:autoSpaceDE w:val="0"/>
              <w:autoSpaceDN w:val="0"/>
              <w:adjustRightInd w:val="0"/>
              <w:jc w:val="center"/>
              <w:rPr>
                <w:sz w:val="22"/>
                <w:szCs w:val="22"/>
              </w:rPr>
            </w:pPr>
            <w:r w:rsidRPr="008F5372">
              <w:rPr>
                <w:sz w:val="22"/>
                <w:szCs w:val="22"/>
              </w:rPr>
              <w:t>N=25</w:t>
            </w:r>
          </w:p>
        </w:tc>
        <w:tc>
          <w:tcPr>
            <w:tcW w:w="939" w:type="pct"/>
            <w:tcBorders>
              <w:top w:val="single" w:sz="4" w:space="0" w:color="auto"/>
              <w:left w:val="single" w:sz="4" w:space="0" w:color="auto"/>
              <w:bottom w:val="nil"/>
              <w:right w:val="single" w:sz="4" w:space="0" w:color="auto"/>
            </w:tcBorders>
            <w:hideMark/>
          </w:tcPr>
          <w:p w14:paraId="45667FB0" w14:textId="77777777" w:rsidR="000D0C23" w:rsidRPr="008F5372" w:rsidRDefault="000D0C23">
            <w:pPr>
              <w:autoSpaceDE w:val="0"/>
              <w:autoSpaceDN w:val="0"/>
              <w:adjustRightInd w:val="0"/>
              <w:jc w:val="center"/>
              <w:rPr>
                <w:sz w:val="22"/>
                <w:szCs w:val="22"/>
              </w:rPr>
            </w:pPr>
            <w:r w:rsidRPr="008F5372">
              <w:rPr>
                <w:sz w:val="22"/>
                <w:szCs w:val="22"/>
              </w:rPr>
              <w:t>N=28</w:t>
            </w:r>
          </w:p>
        </w:tc>
        <w:tc>
          <w:tcPr>
            <w:tcW w:w="860" w:type="pct"/>
            <w:tcBorders>
              <w:top w:val="single" w:sz="4" w:space="0" w:color="auto"/>
              <w:left w:val="single" w:sz="4" w:space="0" w:color="auto"/>
              <w:bottom w:val="nil"/>
              <w:right w:val="single" w:sz="4" w:space="0" w:color="auto"/>
            </w:tcBorders>
            <w:hideMark/>
          </w:tcPr>
          <w:p w14:paraId="083D6D6B" w14:textId="77777777" w:rsidR="000D0C23" w:rsidRPr="008F5372" w:rsidRDefault="000D0C23">
            <w:pPr>
              <w:autoSpaceDE w:val="0"/>
              <w:autoSpaceDN w:val="0"/>
              <w:adjustRightInd w:val="0"/>
              <w:jc w:val="center"/>
              <w:rPr>
                <w:sz w:val="22"/>
                <w:szCs w:val="22"/>
              </w:rPr>
            </w:pPr>
            <w:r w:rsidRPr="008F5372">
              <w:rPr>
                <w:sz w:val="22"/>
                <w:szCs w:val="22"/>
              </w:rPr>
              <w:t>N=26</w:t>
            </w:r>
          </w:p>
        </w:tc>
        <w:tc>
          <w:tcPr>
            <w:tcW w:w="857" w:type="pct"/>
            <w:tcBorders>
              <w:top w:val="single" w:sz="4" w:space="0" w:color="auto"/>
              <w:left w:val="single" w:sz="4" w:space="0" w:color="auto"/>
              <w:bottom w:val="nil"/>
              <w:right w:val="single" w:sz="4" w:space="0" w:color="auto"/>
            </w:tcBorders>
            <w:hideMark/>
          </w:tcPr>
          <w:p w14:paraId="379B4A42" w14:textId="77777777" w:rsidR="000D0C23" w:rsidRPr="008F5372" w:rsidRDefault="000D0C23">
            <w:pPr>
              <w:autoSpaceDE w:val="0"/>
              <w:autoSpaceDN w:val="0"/>
              <w:adjustRightInd w:val="0"/>
              <w:jc w:val="center"/>
              <w:rPr>
                <w:sz w:val="22"/>
                <w:szCs w:val="22"/>
              </w:rPr>
            </w:pPr>
            <w:r w:rsidRPr="008F5372">
              <w:rPr>
                <w:sz w:val="22"/>
                <w:szCs w:val="22"/>
              </w:rPr>
              <w:t>N=79</w:t>
            </w:r>
          </w:p>
        </w:tc>
      </w:tr>
      <w:tr w:rsidR="000D0C23" w:rsidRPr="008F5372" w14:paraId="6174AC16" w14:textId="77777777" w:rsidTr="000D0C23">
        <w:tc>
          <w:tcPr>
            <w:tcW w:w="1405" w:type="pct"/>
            <w:tcBorders>
              <w:top w:val="nil"/>
              <w:left w:val="single" w:sz="4" w:space="0" w:color="auto"/>
              <w:bottom w:val="single" w:sz="4" w:space="0" w:color="auto"/>
              <w:right w:val="single" w:sz="4" w:space="0" w:color="auto"/>
            </w:tcBorders>
            <w:hideMark/>
          </w:tcPr>
          <w:p w14:paraId="567F0CEF" w14:textId="77777777" w:rsidR="000D0C23" w:rsidRPr="008F5372" w:rsidRDefault="000D0C23">
            <w:pPr>
              <w:autoSpaceDE w:val="0"/>
              <w:autoSpaceDN w:val="0"/>
              <w:adjustRightInd w:val="0"/>
              <w:rPr>
                <w:sz w:val="22"/>
                <w:szCs w:val="22"/>
              </w:rPr>
            </w:pPr>
            <w:r w:rsidRPr="008F5372">
              <w:rPr>
                <w:sz w:val="22"/>
                <w:szCs w:val="22"/>
              </w:rPr>
              <w:t>MMR, % (95% CI)</w:t>
            </w:r>
          </w:p>
        </w:tc>
        <w:tc>
          <w:tcPr>
            <w:tcW w:w="939" w:type="pct"/>
            <w:tcBorders>
              <w:top w:val="nil"/>
              <w:left w:val="single" w:sz="4" w:space="0" w:color="auto"/>
              <w:bottom w:val="single" w:sz="4" w:space="0" w:color="auto"/>
              <w:right w:val="single" w:sz="4" w:space="0" w:color="auto"/>
            </w:tcBorders>
            <w:hideMark/>
          </w:tcPr>
          <w:p w14:paraId="63201054" w14:textId="77777777" w:rsidR="000D0C23" w:rsidRPr="008F5372" w:rsidRDefault="000D0C23">
            <w:pPr>
              <w:autoSpaceDE w:val="0"/>
              <w:autoSpaceDN w:val="0"/>
              <w:adjustRightInd w:val="0"/>
              <w:jc w:val="center"/>
              <w:rPr>
                <w:sz w:val="22"/>
                <w:szCs w:val="22"/>
              </w:rPr>
            </w:pPr>
            <w:r w:rsidRPr="008F5372">
              <w:rPr>
                <w:sz w:val="22"/>
                <w:szCs w:val="22"/>
              </w:rPr>
              <w:t>76.0 (54.9,90.6)</w:t>
            </w:r>
          </w:p>
        </w:tc>
        <w:tc>
          <w:tcPr>
            <w:tcW w:w="939" w:type="pct"/>
            <w:tcBorders>
              <w:top w:val="nil"/>
              <w:left w:val="single" w:sz="4" w:space="0" w:color="auto"/>
              <w:bottom w:val="single" w:sz="4" w:space="0" w:color="auto"/>
              <w:right w:val="single" w:sz="4" w:space="0" w:color="auto"/>
            </w:tcBorders>
            <w:hideMark/>
          </w:tcPr>
          <w:p w14:paraId="601F48BF" w14:textId="77777777" w:rsidR="000D0C23" w:rsidRPr="008F5372" w:rsidRDefault="000D0C23">
            <w:pPr>
              <w:autoSpaceDE w:val="0"/>
              <w:autoSpaceDN w:val="0"/>
              <w:adjustRightInd w:val="0"/>
              <w:jc w:val="center"/>
              <w:rPr>
                <w:sz w:val="22"/>
                <w:szCs w:val="22"/>
              </w:rPr>
            </w:pPr>
            <w:r w:rsidRPr="008F5372">
              <w:rPr>
                <w:sz w:val="22"/>
                <w:szCs w:val="22"/>
              </w:rPr>
              <w:t>64.3 (44.1,81.4)</w:t>
            </w:r>
          </w:p>
        </w:tc>
        <w:tc>
          <w:tcPr>
            <w:tcW w:w="860" w:type="pct"/>
            <w:tcBorders>
              <w:top w:val="nil"/>
              <w:left w:val="single" w:sz="4" w:space="0" w:color="auto"/>
              <w:bottom w:val="single" w:sz="4" w:space="0" w:color="auto"/>
              <w:right w:val="single" w:sz="4" w:space="0" w:color="auto"/>
            </w:tcBorders>
            <w:hideMark/>
          </w:tcPr>
          <w:p w14:paraId="2B36A63F" w14:textId="77777777" w:rsidR="000D0C23" w:rsidRPr="008F5372" w:rsidRDefault="000D0C23">
            <w:pPr>
              <w:autoSpaceDE w:val="0"/>
              <w:autoSpaceDN w:val="0"/>
              <w:adjustRightInd w:val="0"/>
              <w:ind w:right="-109"/>
              <w:jc w:val="center"/>
              <w:rPr>
                <w:sz w:val="22"/>
                <w:szCs w:val="22"/>
              </w:rPr>
            </w:pPr>
            <w:r w:rsidRPr="008F5372">
              <w:rPr>
                <w:sz w:val="22"/>
                <w:szCs w:val="22"/>
              </w:rPr>
              <w:t>38.5 (20.2,59.4)</w:t>
            </w:r>
          </w:p>
        </w:tc>
        <w:tc>
          <w:tcPr>
            <w:tcW w:w="857" w:type="pct"/>
            <w:tcBorders>
              <w:top w:val="nil"/>
              <w:left w:val="single" w:sz="4" w:space="0" w:color="auto"/>
              <w:bottom w:val="single" w:sz="4" w:space="0" w:color="auto"/>
              <w:right w:val="single" w:sz="4" w:space="0" w:color="auto"/>
            </w:tcBorders>
            <w:hideMark/>
          </w:tcPr>
          <w:p w14:paraId="6A949713" w14:textId="77777777" w:rsidR="000D0C23" w:rsidRPr="008F5372" w:rsidRDefault="000D0C23">
            <w:pPr>
              <w:autoSpaceDE w:val="0"/>
              <w:autoSpaceDN w:val="0"/>
              <w:adjustRightInd w:val="0"/>
              <w:ind w:right="-120"/>
              <w:jc w:val="center"/>
              <w:rPr>
                <w:sz w:val="22"/>
                <w:szCs w:val="22"/>
              </w:rPr>
            </w:pPr>
            <w:r w:rsidRPr="008F5372">
              <w:rPr>
                <w:sz w:val="22"/>
                <w:szCs w:val="22"/>
              </w:rPr>
              <w:t>59.5 (47.9,70.4)</w:t>
            </w:r>
          </w:p>
        </w:tc>
      </w:tr>
      <w:tr w:rsidR="000D0C23" w:rsidRPr="008F5372" w14:paraId="523C2EED" w14:textId="77777777" w:rsidTr="000D0C23">
        <w:tc>
          <w:tcPr>
            <w:tcW w:w="1405" w:type="pct"/>
            <w:tcBorders>
              <w:top w:val="single" w:sz="4" w:space="0" w:color="auto"/>
              <w:left w:val="single" w:sz="4" w:space="0" w:color="auto"/>
              <w:bottom w:val="nil"/>
              <w:right w:val="single" w:sz="4" w:space="0" w:color="auto"/>
            </w:tcBorders>
          </w:tcPr>
          <w:p w14:paraId="53FAAF51" w14:textId="77777777" w:rsidR="000D0C23" w:rsidRPr="008F5372" w:rsidRDefault="000D0C23">
            <w:pPr>
              <w:autoSpaceDE w:val="0"/>
              <w:autoSpaceDN w:val="0"/>
              <w:adjustRightInd w:val="0"/>
              <w:rPr>
                <w:sz w:val="22"/>
                <w:szCs w:val="22"/>
              </w:rPr>
            </w:pPr>
            <w:r w:rsidRPr="008F5372">
              <w:rPr>
                <w:sz w:val="22"/>
                <w:szCs w:val="22"/>
              </w:rPr>
              <w:t>Patients without MR</w:t>
            </w:r>
            <w:r w:rsidRPr="008F5372">
              <w:rPr>
                <w:sz w:val="22"/>
                <w:szCs w:val="22"/>
                <w:vertAlign w:val="superscript"/>
              </w:rPr>
              <w:t>4</w:t>
            </w:r>
            <w:r w:rsidRPr="008F5372">
              <w:rPr>
                <w:sz w:val="22"/>
                <w:szCs w:val="22"/>
              </w:rPr>
              <w:t xml:space="preserve"> at</w:t>
            </w:r>
          </w:p>
          <w:p w14:paraId="5324A2C5" w14:textId="77777777" w:rsidR="000D0C23" w:rsidRPr="008F5372" w:rsidRDefault="000D0C23">
            <w:pPr>
              <w:autoSpaceDE w:val="0"/>
              <w:autoSpaceDN w:val="0"/>
              <w:adjustRightInd w:val="0"/>
              <w:rPr>
                <w:sz w:val="22"/>
                <w:szCs w:val="22"/>
              </w:rPr>
            </w:pPr>
            <w:r w:rsidRPr="008F5372">
              <w:rPr>
                <w:sz w:val="22"/>
                <w:szCs w:val="22"/>
              </w:rPr>
              <w:t>baseline</w:t>
            </w:r>
            <w:r w:rsidRPr="008F5372">
              <w:rPr>
                <w:sz w:val="22"/>
                <w:szCs w:val="22"/>
                <w:vertAlign w:val="superscript"/>
              </w:rPr>
              <w:t>a</w:t>
            </w:r>
          </w:p>
          <w:p w14:paraId="3F85526F" w14:textId="77777777" w:rsidR="000D0C23" w:rsidRPr="008F5372" w:rsidRDefault="000D0C23">
            <w:pPr>
              <w:autoSpaceDE w:val="0"/>
              <w:autoSpaceDN w:val="0"/>
              <w:adjustRightInd w:val="0"/>
              <w:rPr>
                <w:sz w:val="22"/>
                <w:szCs w:val="22"/>
              </w:rPr>
            </w:pPr>
          </w:p>
        </w:tc>
        <w:tc>
          <w:tcPr>
            <w:tcW w:w="939" w:type="pct"/>
            <w:tcBorders>
              <w:top w:val="single" w:sz="4" w:space="0" w:color="auto"/>
              <w:left w:val="single" w:sz="4" w:space="0" w:color="auto"/>
              <w:bottom w:val="nil"/>
              <w:right w:val="single" w:sz="4" w:space="0" w:color="auto"/>
            </w:tcBorders>
            <w:hideMark/>
          </w:tcPr>
          <w:p w14:paraId="78B83141" w14:textId="77777777" w:rsidR="000D0C23" w:rsidRPr="008F5372" w:rsidRDefault="000D0C23">
            <w:pPr>
              <w:autoSpaceDE w:val="0"/>
              <w:autoSpaceDN w:val="0"/>
              <w:adjustRightInd w:val="0"/>
              <w:jc w:val="center"/>
              <w:rPr>
                <w:sz w:val="22"/>
                <w:szCs w:val="22"/>
              </w:rPr>
            </w:pPr>
            <w:r w:rsidRPr="008F5372">
              <w:rPr>
                <w:sz w:val="22"/>
                <w:szCs w:val="22"/>
              </w:rPr>
              <w:t>N=37</w:t>
            </w:r>
          </w:p>
        </w:tc>
        <w:tc>
          <w:tcPr>
            <w:tcW w:w="939" w:type="pct"/>
            <w:tcBorders>
              <w:top w:val="single" w:sz="4" w:space="0" w:color="auto"/>
              <w:left w:val="single" w:sz="4" w:space="0" w:color="auto"/>
              <w:bottom w:val="nil"/>
              <w:right w:val="single" w:sz="4" w:space="0" w:color="auto"/>
            </w:tcBorders>
            <w:hideMark/>
          </w:tcPr>
          <w:p w14:paraId="4D468F03" w14:textId="77777777" w:rsidR="000D0C23" w:rsidRPr="008F5372" w:rsidRDefault="000D0C23">
            <w:pPr>
              <w:autoSpaceDE w:val="0"/>
              <w:autoSpaceDN w:val="0"/>
              <w:adjustRightInd w:val="0"/>
              <w:jc w:val="center"/>
              <w:rPr>
                <w:sz w:val="22"/>
                <w:szCs w:val="22"/>
              </w:rPr>
            </w:pPr>
            <w:r w:rsidRPr="008F5372">
              <w:rPr>
                <w:sz w:val="22"/>
                <w:szCs w:val="22"/>
              </w:rPr>
              <w:t>N=38</w:t>
            </w:r>
          </w:p>
        </w:tc>
        <w:tc>
          <w:tcPr>
            <w:tcW w:w="860" w:type="pct"/>
            <w:tcBorders>
              <w:top w:val="single" w:sz="4" w:space="0" w:color="auto"/>
              <w:left w:val="single" w:sz="4" w:space="0" w:color="auto"/>
              <w:bottom w:val="nil"/>
              <w:right w:val="single" w:sz="4" w:space="0" w:color="auto"/>
            </w:tcBorders>
            <w:hideMark/>
          </w:tcPr>
          <w:p w14:paraId="26E93E6F" w14:textId="77777777" w:rsidR="000D0C23" w:rsidRPr="008F5372" w:rsidRDefault="000D0C23">
            <w:pPr>
              <w:autoSpaceDE w:val="0"/>
              <w:autoSpaceDN w:val="0"/>
              <w:adjustRightInd w:val="0"/>
              <w:jc w:val="center"/>
              <w:rPr>
                <w:sz w:val="22"/>
                <w:szCs w:val="22"/>
              </w:rPr>
            </w:pPr>
            <w:r w:rsidRPr="008F5372">
              <w:rPr>
                <w:sz w:val="22"/>
                <w:szCs w:val="22"/>
              </w:rPr>
              <w:t>N=37</w:t>
            </w:r>
          </w:p>
        </w:tc>
        <w:tc>
          <w:tcPr>
            <w:tcW w:w="857" w:type="pct"/>
            <w:tcBorders>
              <w:top w:val="single" w:sz="4" w:space="0" w:color="auto"/>
              <w:left w:val="single" w:sz="4" w:space="0" w:color="auto"/>
              <w:bottom w:val="nil"/>
              <w:right w:val="single" w:sz="4" w:space="0" w:color="auto"/>
            </w:tcBorders>
            <w:hideMark/>
          </w:tcPr>
          <w:p w14:paraId="5D0CE1B8" w14:textId="77777777" w:rsidR="000D0C23" w:rsidRPr="008F5372" w:rsidRDefault="000D0C23">
            <w:pPr>
              <w:autoSpaceDE w:val="0"/>
              <w:autoSpaceDN w:val="0"/>
              <w:adjustRightInd w:val="0"/>
              <w:jc w:val="center"/>
              <w:rPr>
                <w:sz w:val="22"/>
                <w:szCs w:val="22"/>
              </w:rPr>
            </w:pPr>
            <w:r w:rsidRPr="008F5372">
              <w:rPr>
                <w:sz w:val="22"/>
                <w:szCs w:val="22"/>
              </w:rPr>
              <w:t>N=112</w:t>
            </w:r>
          </w:p>
        </w:tc>
      </w:tr>
      <w:tr w:rsidR="000D0C23" w:rsidRPr="008F5372" w14:paraId="35B5A8EE" w14:textId="77777777" w:rsidTr="000D0C23">
        <w:tc>
          <w:tcPr>
            <w:tcW w:w="1405" w:type="pct"/>
            <w:tcBorders>
              <w:top w:val="nil"/>
              <w:left w:val="single" w:sz="4" w:space="0" w:color="auto"/>
              <w:bottom w:val="single" w:sz="4" w:space="0" w:color="auto"/>
              <w:right w:val="single" w:sz="4" w:space="0" w:color="auto"/>
            </w:tcBorders>
            <w:hideMark/>
          </w:tcPr>
          <w:p w14:paraId="69E12731" w14:textId="77777777" w:rsidR="000D0C23" w:rsidRPr="008F5372" w:rsidRDefault="000D0C23">
            <w:pPr>
              <w:autoSpaceDE w:val="0"/>
              <w:autoSpaceDN w:val="0"/>
              <w:adjustRightInd w:val="0"/>
              <w:rPr>
                <w:sz w:val="22"/>
                <w:szCs w:val="22"/>
              </w:rPr>
            </w:pPr>
            <w:r w:rsidRPr="008F5372">
              <w:rPr>
                <w:sz w:val="22"/>
                <w:szCs w:val="22"/>
              </w:rPr>
              <w:t>MR</w:t>
            </w:r>
            <w:r w:rsidRPr="008F5372">
              <w:rPr>
                <w:sz w:val="22"/>
                <w:szCs w:val="22"/>
                <w:vertAlign w:val="superscript"/>
              </w:rPr>
              <w:t>4</w:t>
            </w:r>
            <w:r w:rsidRPr="008F5372">
              <w:rPr>
                <w:sz w:val="22"/>
                <w:szCs w:val="22"/>
              </w:rPr>
              <w:t>, % (95% CI)</w:t>
            </w:r>
          </w:p>
        </w:tc>
        <w:tc>
          <w:tcPr>
            <w:tcW w:w="939" w:type="pct"/>
            <w:tcBorders>
              <w:top w:val="nil"/>
              <w:left w:val="single" w:sz="4" w:space="0" w:color="auto"/>
              <w:bottom w:val="single" w:sz="4" w:space="0" w:color="auto"/>
              <w:right w:val="single" w:sz="4" w:space="0" w:color="auto"/>
            </w:tcBorders>
            <w:hideMark/>
          </w:tcPr>
          <w:p w14:paraId="7DA96E9F" w14:textId="77777777" w:rsidR="000D0C23" w:rsidRPr="008F5372" w:rsidRDefault="000D0C23">
            <w:pPr>
              <w:autoSpaceDE w:val="0"/>
              <w:autoSpaceDN w:val="0"/>
              <w:adjustRightInd w:val="0"/>
              <w:jc w:val="center"/>
              <w:rPr>
                <w:sz w:val="22"/>
                <w:szCs w:val="22"/>
              </w:rPr>
            </w:pPr>
            <w:r w:rsidRPr="008F5372">
              <w:rPr>
                <w:sz w:val="22"/>
                <w:szCs w:val="22"/>
              </w:rPr>
              <w:t>70.3 (53.0,84.1)</w:t>
            </w:r>
          </w:p>
        </w:tc>
        <w:tc>
          <w:tcPr>
            <w:tcW w:w="939" w:type="pct"/>
            <w:tcBorders>
              <w:top w:val="nil"/>
              <w:left w:val="single" w:sz="4" w:space="0" w:color="auto"/>
              <w:bottom w:val="single" w:sz="4" w:space="0" w:color="auto"/>
              <w:right w:val="single" w:sz="4" w:space="0" w:color="auto"/>
            </w:tcBorders>
            <w:hideMark/>
          </w:tcPr>
          <w:p w14:paraId="6805B236" w14:textId="77777777" w:rsidR="000D0C23" w:rsidRPr="008F5372" w:rsidRDefault="000D0C23">
            <w:pPr>
              <w:autoSpaceDE w:val="0"/>
              <w:autoSpaceDN w:val="0"/>
              <w:adjustRightInd w:val="0"/>
              <w:jc w:val="center"/>
              <w:rPr>
                <w:sz w:val="22"/>
                <w:szCs w:val="22"/>
              </w:rPr>
            </w:pPr>
            <w:r w:rsidRPr="008F5372">
              <w:rPr>
                <w:sz w:val="22"/>
                <w:szCs w:val="22"/>
              </w:rPr>
              <w:t>55.3 (38.3,71.4)</w:t>
            </w:r>
          </w:p>
        </w:tc>
        <w:tc>
          <w:tcPr>
            <w:tcW w:w="860" w:type="pct"/>
            <w:tcBorders>
              <w:top w:val="nil"/>
              <w:left w:val="single" w:sz="4" w:space="0" w:color="auto"/>
              <w:bottom w:val="single" w:sz="4" w:space="0" w:color="auto"/>
              <w:right w:val="single" w:sz="4" w:space="0" w:color="auto"/>
            </w:tcBorders>
            <w:hideMark/>
          </w:tcPr>
          <w:p w14:paraId="3D92A38D" w14:textId="77777777" w:rsidR="000D0C23" w:rsidRPr="008F5372" w:rsidRDefault="000D0C23">
            <w:pPr>
              <w:autoSpaceDE w:val="0"/>
              <w:autoSpaceDN w:val="0"/>
              <w:adjustRightInd w:val="0"/>
              <w:ind w:right="-109"/>
              <w:jc w:val="center"/>
              <w:rPr>
                <w:sz w:val="22"/>
                <w:szCs w:val="22"/>
              </w:rPr>
            </w:pPr>
            <w:r w:rsidRPr="008F5372">
              <w:rPr>
                <w:sz w:val="22"/>
                <w:szCs w:val="22"/>
              </w:rPr>
              <w:t>32.4 (18.0,49.8)</w:t>
            </w:r>
          </w:p>
        </w:tc>
        <w:tc>
          <w:tcPr>
            <w:tcW w:w="857" w:type="pct"/>
            <w:tcBorders>
              <w:top w:val="nil"/>
              <w:left w:val="single" w:sz="4" w:space="0" w:color="auto"/>
              <w:bottom w:val="single" w:sz="4" w:space="0" w:color="auto"/>
              <w:right w:val="single" w:sz="4" w:space="0" w:color="auto"/>
            </w:tcBorders>
            <w:hideMark/>
          </w:tcPr>
          <w:p w14:paraId="3D991B36" w14:textId="77777777" w:rsidR="000D0C23" w:rsidRPr="008F5372" w:rsidRDefault="000D0C23">
            <w:pPr>
              <w:autoSpaceDE w:val="0"/>
              <w:autoSpaceDN w:val="0"/>
              <w:adjustRightInd w:val="0"/>
              <w:ind w:right="-120"/>
              <w:jc w:val="center"/>
              <w:rPr>
                <w:sz w:val="22"/>
                <w:szCs w:val="22"/>
              </w:rPr>
            </w:pPr>
            <w:r w:rsidRPr="008F5372">
              <w:rPr>
                <w:sz w:val="22"/>
                <w:szCs w:val="22"/>
              </w:rPr>
              <w:t>52.7 (43.0,62.2)</w:t>
            </w:r>
          </w:p>
        </w:tc>
      </w:tr>
      <w:tr w:rsidR="000D0C23" w:rsidRPr="008F5372" w14:paraId="2CC9620B" w14:textId="77777777" w:rsidTr="000D0C23">
        <w:tc>
          <w:tcPr>
            <w:tcW w:w="1405" w:type="pct"/>
            <w:tcBorders>
              <w:top w:val="single" w:sz="4" w:space="0" w:color="auto"/>
              <w:left w:val="single" w:sz="4" w:space="0" w:color="auto"/>
              <w:bottom w:val="nil"/>
              <w:right w:val="single" w:sz="4" w:space="0" w:color="auto"/>
            </w:tcBorders>
          </w:tcPr>
          <w:p w14:paraId="151E82C9" w14:textId="77777777" w:rsidR="000D0C23" w:rsidRPr="008F5372" w:rsidRDefault="000D0C23">
            <w:pPr>
              <w:autoSpaceDE w:val="0"/>
              <w:autoSpaceDN w:val="0"/>
              <w:adjustRightInd w:val="0"/>
              <w:rPr>
                <w:sz w:val="22"/>
                <w:szCs w:val="22"/>
              </w:rPr>
            </w:pPr>
            <w:r w:rsidRPr="008F5372">
              <w:rPr>
                <w:sz w:val="22"/>
                <w:szCs w:val="22"/>
              </w:rPr>
              <w:t>Patients without MR</w:t>
            </w:r>
            <w:r w:rsidRPr="008F5372">
              <w:rPr>
                <w:sz w:val="22"/>
                <w:szCs w:val="22"/>
                <w:vertAlign w:val="superscript"/>
              </w:rPr>
              <w:t xml:space="preserve">4.5 </w:t>
            </w:r>
            <w:r w:rsidRPr="008F5372">
              <w:rPr>
                <w:sz w:val="22"/>
                <w:szCs w:val="22"/>
              </w:rPr>
              <w:t>at baseline</w:t>
            </w:r>
            <w:r w:rsidRPr="008F5372">
              <w:rPr>
                <w:sz w:val="22"/>
                <w:szCs w:val="22"/>
                <w:vertAlign w:val="superscript"/>
              </w:rPr>
              <w:t>a</w:t>
            </w:r>
          </w:p>
          <w:p w14:paraId="4E8C2811" w14:textId="77777777" w:rsidR="000D0C23" w:rsidRPr="008F5372" w:rsidRDefault="000D0C23">
            <w:pPr>
              <w:autoSpaceDE w:val="0"/>
              <w:autoSpaceDN w:val="0"/>
              <w:adjustRightInd w:val="0"/>
              <w:rPr>
                <w:sz w:val="22"/>
                <w:szCs w:val="22"/>
              </w:rPr>
            </w:pPr>
          </w:p>
        </w:tc>
        <w:tc>
          <w:tcPr>
            <w:tcW w:w="939" w:type="pct"/>
            <w:tcBorders>
              <w:top w:val="single" w:sz="4" w:space="0" w:color="auto"/>
              <w:left w:val="single" w:sz="4" w:space="0" w:color="auto"/>
              <w:bottom w:val="nil"/>
              <w:right w:val="single" w:sz="4" w:space="0" w:color="auto"/>
            </w:tcBorders>
            <w:hideMark/>
          </w:tcPr>
          <w:p w14:paraId="71EA0637" w14:textId="77777777" w:rsidR="000D0C23" w:rsidRPr="008F5372" w:rsidRDefault="000D0C23">
            <w:pPr>
              <w:autoSpaceDE w:val="0"/>
              <w:autoSpaceDN w:val="0"/>
              <w:adjustRightInd w:val="0"/>
              <w:jc w:val="center"/>
              <w:rPr>
                <w:sz w:val="22"/>
                <w:szCs w:val="22"/>
              </w:rPr>
            </w:pPr>
            <w:r w:rsidRPr="008F5372">
              <w:rPr>
                <w:sz w:val="22"/>
                <w:szCs w:val="22"/>
              </w:rPr>
              <w:t>N=42</w:t>
            </w:r>
          </w:p>
        </w:tc>
        <w:tc>
          <w:tcPr>
            <w:tcW w:w="939" w:type="pct"/>
            <w:tcBorders>
              <w:top w:val="single" w:sz="4" w:space="0" w:color="auto"/>
              <w:left w:val="single" w:sz="4" w:space="0" w:color="auto"/>
              <w:bottom w:val="nil"/>
              <w:right w:val="single" w:sz="4" w:space="0" w:color="auto"/>
            </w:tcBorders>
            <w:hideMark/>
          </w:tcPr>
          <w:p w14:paraId="39FD575A" w14:textId="77777777" w:rsidR="000D0C23" w:rsidRPr="008F5372" w:rsidRDefault="000D0C23">
            <w:pPr>
              <w:autoSpaceDE w:val="0"/>
              <w:autoSpaceDN w:val="0"/>
              <w:adjustRightInd w:val="0"/>
              <w:jc w:val="center"/>
              <w:rPr>
                <w:sz w:val="22"/>
                <w:szCs w:val="22"/>
              </w:rPr>
            </w:pPr>
            <w:r w:rsidRPr="008F5372">
              <w:rPr>
                <w:sz w:val="22"/>
                <w:szCs w:val="22"/>
              </w:rPr>
              <w:t>N=46</w:t>
            </w:r>
          </w:p>
        </w:tc>
        <w:tc>
          <w:tcPr>
            <w:tcW w:w="860" w:type="pct"/>
            <w:tcBorders>
              <w:top w:val="single" w:sz="4" w:space="0" w:color="auto"/>
              <w:left w:val="single" w:sz="4" w:space="0" w:color="auto"/>
              <w:bottom w:val="nil"/>
              <w:right w:val="single" w:sz="4" w:space="0" w:color="auto"/>
            </w:tcBorders>
            <w:hideMark/>
          </w:tcPr>
          <w:p w14:paraId="470CFCC6" w14:textId="77777777" w:rsidR="000D0C23" w:rsidRPr="008F5372" w:rsidRDefault="000D0C23">
            <w:pPr>
              <w:autoSpaceDE w:val="0"/>
              <w:autoSpaceDN w:val="0"/>
              <w:adjustRightInd w:val="0"/>
              <w:jc w:val="center"/>
              <w:rPr>
                <w:sz w:val="22"/>
                <w:szCs w:val="22"/>
              </w:rPr>
            </w:pPr>
            <w:r w:rsidRPr="008F5372">
              <w:rPr>
                <w:sz w:val="22"/>
                <w:szCs w:val="22"/>
              </w:rPr>
              <w:t>N=43</w:t>
            </w:r>
          </w:p>
        </w:tc>
        <w:tc>
          <w:tcPr>
            <w:tcW w:w="857" w:type="pct"/>
            <w:tcBorders>
              <w:top w:val="single" w:sz="4" w:space="0" w:color="auto"/>
              <w:left w:val="single" w:sz="4" w:space="0" w:color="auto"/>
              <w:bottom w:val="nil"/>
              <w:right w:val="single" w:sz="4" w:space="0" w:color="auto"/>
            </w:tcBorders>
            <w:hideMark/>
          </w:tcPr>
          <w:p w14:paraId="584A130B" w14:textId="77777777" w:rsidR="000D0C23" w:rsidRPr="008F5372" w:rsidRDefault="000D0C23">
            <w:pPr>
              <w:autoSpaceDE w:val="0"/>
              <w:autoSpaceDN w:val="0"/>
              <w:adjustRightInd w:val="0"/>
              <w:jc w:val="center"/>
              <w:rPr>
                <w:sz w:val="22"/>
                <w:szCs w:val="22"/>
              </w:rPr>
            </w:pPr>
            <w:r w:rsidRPr="008F5372">
              <w:rPr>
                <w:sz w:val="22"/>
                <w:szCs w:val="22"/>
              </w:rPr>
              <w:t>N=131</w:t>
            </w:r>
          </w:p>
        </w:tc>
      </w:tr>
      <w:tr w:rsidR="000D0C23" w:rsidRPr="008F5372" w14:paraId="5F09E942" w14:textId="77777777" w:rsidTr="000D0C23">
        <w:tc>
          <w:tcPr>
            <w:tcW w:w="1405" w:type="pct"/>
            <w:tcBorders>
              <w:top w:val="nil"/>
              <w:left w:val="single" w:sz="4" w:space="0" w:color="auto"/>
              <w:bottom w:val="single" w:sz="4" w:space="0" w:color="auto"/>
              <w:right w:val="single" w:sz="4" w:space="0" w:color="auto"/>
            </w:tcBorders>
            <w:hideMark/>
          </w:tcPr>
          <w:p w14:paraId="44C2F9B1" w14:textId="77777777" w:rsidR="000D0C23" w:rsidRPr="008F5372" w:rsidRDefault="000D0C23">
            <w:pPr>
              <w:autoSpaceDE w:val="0"/>
              <w:autoSpaceDN w:val="0"/>
              <w:adjustRightInd w:val="0"/>
              <w:rPr>
                <w:sz w:val="22"/>
                <w:szCs w:val="22"/>
              </w:rPr>
            </w:pPr>
            <w:r w:rsidRPr="008F5372">
              <w:rPr>
                <w:sz w:val="22"/>
                <w:szCs w:val="22"/>
              </w:rPr>
              <w:t>MR4.5, % (95% CI)</w:t>
            </w:r>
          </w:p>
        </w:tc>
        <w:tc>
          <w:tcPr>
            <w:tcW w:w="939" w:type="pct"/>
            <w:tcBorders>
              <w:top w:val="nil"/>
              <w:left w:val="single" w:sz="4" w:space="0" w:color="auto"/>
              <w:bottom w:val="single" w:sz="4" w:space="0" w:color="auto"/>
              <w:right w:val="single" w:sz="4" w:space="0" w:color="auto"/>
            </w:tcBorders>
            <w:hideMark/>
          </w:tcPr>
          <w:p w14:paraId="06F1CFE6" w14:textId="77777777" w:rsidR="000D0C23" w:rsidRPr="008F5372" w:rsidRDefault="000D0C23">
            <w:pPr>
              <w:autoSpaceDE w:val="0"/>
              <w:autoSpaceDN w:val="0"/>
              <w:adjustRightInd w:val="0"/>
              <w:jc w:val="center"/>
              <w:rPr>
                <w:sz w:val="22"/>
                <w:szCs w:val="22"/>
              </w:rPr>
            </w:pPr>
            <w:r w:rsidRPr="008F5372">
              <w:rPr>
                <w:sz w:val="22"/>
                <w:szCs w:val="22"/>
              </w:rPr>
              <w:t>54.8 (38.7,70.2)</w:t>
            </w:r>
          </w:p>
        </w:tc>
        <w:tc>
          <w:tcPr>
            <w:tcW w:w="939" w:type="pct"/>
            <w:tcBorders>
              <w:top w:val="nil"/>
              <w:left w:val="single" w:sz="4" w:space="0" w:color="auto"/>
              <w:bottom w:val="single" w:sz="4" w:space="0" w:color="auto"/>
              <w:right w:val="single" w:sz="4" w:space="0" w:color="auto"/>
            </w:tcBorders>
            <w:hideMark/>
          </w:tcPr>
          <w:p w14:paraId="05C160CF" w14:textId="77777777" w:rsidR="000D0C23" w:rsidRPr="008F5372" w:rsidRDefault="000D0C23">
            <w:pPr>
              <w:autoSpaceDE w:val="0"/>
              <w:autoSpaceDN w:val="0"/>
              <w:adjustRightInd w:val="0"/>
              <w:jc w:val="center"/>
              <w:rPr>
                <w:sz w:val="22"/>
                <w:szCs w:val="22"/>
              </w:rPr>
            </w:pPr>
            <w:r w:rsidRPr="008F5372">
              <w:rPr>
                <w:sz w:val="22"/>
                <w:szCs w:val="22"/>
              </w:rPr>
              <w:t>43.5 (28.9,58.9)</w:t>
            </w:r>
          </w:p>
        </w:tc>
        <w:tc>
          <w:tcPr>
            <w:tcW w:w="860" w:type="pct"/>
            <w:tcBorders>
              <w:top w:val="nil"/>
              <w:left w:val="single" w:sz="4" w:space="0" w:color="auto"/>
              <w:bottom w:val="single" w:sz="4" w:space="0" w:color="auto"/>
              <w:right w:val="single" w:sz="4" w:space="0" w:color="auto"/>
            </w:tcBorders>
            <w:hideMark/>
          </w:tcPr>
          <w:p w14:paraId="66AB85CA" w14:textId="77777777" w:rsidR="000D0C23" w:rsidRPr="008F5372" w:rsidRDefault="000D0C23">
            <w:pPr>
              <w:autoSpaceDE w:val="0"/>
              <w:autoSpaceDN w:val="0"/>
              <w:adjustRightInd w:val="0"/>
              <w:ind w:right="-109"/>
              <w:jc w:val="center"/>
              <w:rPr>
                <w:sz w:val="22"/>
                <w:szCs w:val="22"/>
              </w:rPr>
            </w:pPr>
            <w:r w:rsidRPr="008F5372">
              <w:rPr>
                <w:sz w:val="22"/>
                <w:szCs w:val="22"/>
              </w:rPr>
              <w:t>30.2 (17.2,46.1)</w:t>
            </w:r>
          </w:p>
        </w:tc>
        <w:tc>
          <w:tcPr>
            <w:tcW w:w="857" w:type="pct"/>
            <w:tcBorders>
              <w:top w:val="nil"/>
              <w:left w:val="single" w:sz="4" w:space="0" w:color="auto"/>
              <w:bottom w:val="single" w:sz="4" w:space="0" w:color="auto"/>
              <w:right w:val="single" w:sz="4" w:space="0" w:color="auto"/>
            </w:tcBorders>
            <w:hideMark/>
          </w:tcPr>
          <w:p w14:paraId="5D38971C" w14:textId="77777777" w:rsidR="000D0C23" w:rsidRPr="008F5372" w:rsidRDefault="000D0C23">
            <w:pPr>
              <w:autoSpaceDE w:val="0"/>
              <w:autoSpaceDN w:val="0"/>
              <w:adjustRightInd w:val="0"/>
              <w:ind w:right="-120"/>
              <w:jc w:val="center"/>
              <w:rPr>
                <w:sz w:val="22"/>
                <w:szCs w:val="22"/>
              </w:rPr>
            </w:pPr>
            <w:r w:rsidRPr="008F5372">
              <w:rPr>
                <w:sz w:val="22"/>
                <w:szCs w:val="22"/>
              </w:rPr>
              <w:t>42.7 (34.1,51.7)</w:t>
            </w:r>
          </w:p>
        </w:tc>
      </w:tr>
      <w:tr w:rsidR="000D0C23" w:rsidRPr="008F5372" w14:paraId="7C605157" w14:textId="77777777" w:rsidTr="000D0C23">
        <w:tc>
          <w:tcPr>
            <w:tcW w:w="1405" w:type="pct"/>
            <w:tcBorders>
              <w:top w:val="single" w:sz="4" w:space="0" w:color="auto"/>
              <w:left w:val="single" w:sz="4" w:space="0" w:color="auto"/>
              <w:bottom w:val="nil"/>
              <w:right w:val="single" w:sz="4" w:space="0" w:color="auto"/>
            </w:tcBorders>
          </w:tcPr>
          <w:p w14:paraId="1A466BE2" w14:textId="77777777" w:rsidR="000D0C23" w:rsidRPr="008F5372" w:rsidRDefault="000D0C23">
            <w:pPr>
              <w:autoSpaceDE w:val="0"/>
              <w:autoSpaceDN w:val="0"/>
              <w:adjustRightInd w:val="0"/>
              <w:rPr>
                <w:sz w:val="22"/>
                <w:szCs w:val="22"/>
              </w:rPr>
            </w:pPr>
            <w:r w:rsidRPr="008F5372">
              <w:rPr>
                <w:sz w:val="22"/>
                <w:szCs w:val="22"/>
              </w:rPr>
              <w:t>Patients with MMR at baseline</w:t>
            </w:r>
            <w:r w:rsidRPr="008F5372">
              <w:rPr>
                <w:sz w:val="22"/>
                <w:szCs w:val="22"/>
                <w:vertAlign w:val="superscript"/>
              </w:rPr>
              <w:t>a</w:t>
            </w:r>
            <w:r w:rsidRPr="008F5372">
              <w:rPr>
                <w:sz w:val="22"/>
                <w:szCs w:val="22"/>
              </w:rPr>
              <w:t xml:space="preserve"> </w:t>
            </w:r>
          </w:p>
          <w:p w14:paraId="1AA58DF4" w14:textId="77777777" w:rsidR="000D0C23" w:rsidRPr="008F5372" w:rsidRDefault="000D0C23">
            <w:pPr>
              <w:autoSpaceDE w:val="0"/>
              <w:autoSpaceDN w:val="0"/>
              <w:adjustRightInd w:val="0"/>
              <w:rPr>
                <w:sz w:val="22"/>
                <w:szCs w:val="22"/>
              </w:rPr>
            </w:pPr>
          </w:p>
        </w:tc>
        <w:tc>
          <w:tcPr>
            <w:tcW w:w="939" w:type="pct"/>
            <w:tcBorders>
              <w:top w:val="single" w:sz="4" w:space="0" w:color="auto"/>
              <w:left w:val="single" w:sz="4" w:space="0" w:color="auto"/>
              <w:bottom w:val="nil"/>
              <w:right w:val="single" w:sz="4" w:space="0" w:color="auto"/>
            </w:tcBorders>
            <w:hideMark/>
          </w:tcPr>
          <w:p w14:paraId="5C437CBE" w14:textId="77777777" w:rsidR="000D0C23" w:rsidRPr="008F5372" w:rsidRDefault="000D0C23">
            <w:pPr>
              <w:autoSpaceDE w:val="0"/>
              <w:autoSpaceDN w:val="0"/>
              <w:adjustRightInd w:val="0"/>
              <w:jc w:val="center"/>
              <w:rPr>
                <w:sz w:val="22"/>
                <w:szCs w:val="22"/>
              </w:rPr>
            </w:pPr>
            <w:r w:rsidRPr="008F5372">
              <w:rPr>
                <w:sz w:val="22"/>
                <w:szCs w:val="22"/>
              </w:rPr>
              <w:t>N=21</w:t>
            </w:r>
          </w:p>
        </w:tc>
        <w:tc>
          <w:tcPr>
            <w:tcW w:w="939" w:type="pct"/>
            <w:tcBorders>
              <w:top w:val="single" w:sz="4" w:space="0" w:color="auto"/>
              <w:left w:val="single" w:sz="4" w:space="0" w:color="auto"/>
              <w:bottom w:val="nil"/>
              <w:right w:val="single" w:sz="4" w:space="0" w:color="auto"/>
            </w:tcBorders>
            <w:hideMark/>
          </w:tcPr>
          <w:p w14:paraId="24155A38" w14:textId="77777777" w:rsidR="000D0C23" w:rsidRPr="008F5372" w:rsidRDefault="000D0C23">
            <w:pPr>
              <w:autoSpaceDE w:val="0"/>
              <w:autoSpaceDN w:val="0"/>
              <w:adjustRightInd w:val="0"/>
              <w:jc w:val="center"/>
              <w:rPr>
                <w:sz w:val="22"/>
                <w:szCs w:val="22"/>
              </w:rPr>
            </w:pPr>
            <w:r w:rsidRPr="008F5372">
              <w:rPr>
                <w:sz w:val="22"/>
                <w:szCs w:val="22"/>
              </w:rPr>
              <w:t>N=27</w:t>
            </w:r>
          </w:p>
        </w:tc>
        <w:tc>
          <w:tcPr>
            <w:tcW w:w="860" w:type="pct"/>
            <w:tcBorders>
              <w:top w:val="single" w:sz="4" w:space="0" w:color="auto"/>
              <w:left w:val="single" w:sz="4" w:space="0" w:color="auto"/>
              <w:bottom w:val="nil"/>
              <w:right w:val="single" w:sz="4" w:space="0" w:color="auto"/>
            </w:tcBorders>
            <w:hideMark/>
          </w:tcPr>
          <w:p w14:paraId="6232DDF9" w14:textId="77777777" w:rsidR="000D0C23" w:rsidRPr="008F5372" w:rsidRDefault="000D0C23">
            <w:pPr>
              <w:autoSpaceDE w:val="0"/>
              <w:autoSpaceDN w:val="0"/>
              <w:adjustRightInd w:val="0"/>
              <w:jc w:val="center"/>
              <w:rPr>
                <w:sz w:val="22"/>
                <w:szCs w:val="22"/>
              </w:rPr>
            </w:pPr>
            <w:r w:rsidRPr="008F5372">
              <w:rPr>
                <w:sz w:val="22"/>
                <w:szCs w:val="22"/>
              </w:rPr>
              <w:t>N=22</w:t>
            </w:r>
          </w:p>
        </w:tc>
        <w:tc>
          <w:tcPr>
            <w:tcW w:w="857" w:type="pct"/>
            <w:tcBorders>
              <w:top w:val="single" w:sz="4" w:space="0" w:color="auto"/>
              <w:left w:val="single" w:sz="4" w:space="0" w:color="auto"/>
              <w:bottom w:val="nil"/>
              <w:right w:val="single" w:sz="4" w:space="0" w:color="auto"/>
            </w:tcBorders>
            <w:hideMark/>
          </w:tcPr>
          <w:p w14:paraId="547A8C2C" w14:textId="77777777" w:rsidR="000D0C23" w:rsidRPr="008F5372" w:rsidRDefault="000D0C23">
            <w:pPr>
              <w:autoSpaceDE w:val="0"/>
              <w:autoSpaceDN w:val="0"/>
              <w:adjustRightInd w:val="0"/>
              <w:jc w:val="center"/>
              <w:rPr>
                <w:sz w:val="22"/>
                <w:szCs w:val="22"/>
              </w:rPr>
            </w:pPr>
            <w:r w:rsidRPr="008F5372">
              <w:rPr>
                <w:sz w:val="22"/>
                <w:szCs w:val="22"/>
              </w:rPr>
              <w:t>N=70</w:t>
            </w:r>
          </w:p>
        </w:tc>
      </w:tr>
      <w:tr w:rsidR="000D0C23" w:rsidRPr="008F5372" w14:paraId="428530A1" w14:textId="77777777" w:rsidTr="000D0C23">
        <w:tc>
          <w:tcPr>
            <w:tcW w:w="1405" w:type="pct"/>
            <w:tcBorders>
              <w:top w:val="nil"/>
              <w:left w:val="single" w:sz="4" w:space="0" w:color="auto"/>
              <w:bottom w:val="single" w:sz="4" w:space="0" w:color="auto"/>
              <w:right w:val="single" w:sz="4" w:space="0" w:color="auto"/>
            </w:tcBorders>
            <w:hideMark/>
          </w:tcPr>
          <w:p w14:paraId="161D8340" w14:textId="77777777" w:rsidR="000D0C23" w:rsidRPr="008F5372" w:rsidRDefault="000D0C23">
            <w:pPr>
              <w:autoSpaceDE w:val="0"/>
              <w:autoSpaceDN w:val="0"/>
              <w:adjustRightInd w:val="0"/>
              <w:ind w:right="-104"/>
              <w:rPr>
                <w:sz w:val="22"/>
                <w:szCs w:val="22"/>
              </w:rPr>
            </w:pPr>
            <w:r w:rsidRPr="008F5372">
              <w:rPr>
                <w:sz w:val="22"/>
                <w:szCs w:val="22"/>
              </w:rPr>
              <w:t>Deeper MR, % (95% CI)</w:t>
            </w:r>
          </w:p>
        </w:tc>
        <w:tc>
          <w:tcPr>
            <w:tcW w:w="939" w:type="pct"/>
            <w:tcBorders>
              <w:top w:val="nil"/>
              <w:left w:val="single" w:sz="4" w:space="0" w:color="auto"/>
              <w:bottom w:val="single" w:sz="4" w:space="0" w:color="auto"/>
              <w:right w:val="single" w:sz="4" w:space="0" w:color="auto"/>
            </w:tcBorders>
            <w:hideMark/>
          </w:tcPr>
          <w:p w14:paraId="0540DF7B" w14:textId="77777777" w:rsidR="000D0C23" w:rsidRPr="008F5372" w:rsidRDefault="000D0C23">
            <w:pPr>
              <w:autoSpaceDE w:val="0"/>
              <w:autoSpaceDN w:val="0"/>
              <w:adjustRightInd w:val="0"/>
              <w:jc w:val="center"/>
              <w:rPr>
                <w:sz w:val="22"/>
                <w:szCs w:val="22"/>
              </w:rPr>
            </w:pPr>
            <w:r w:rsidRPr="008F5372">
              <w:rPr>
                <w:sz w:val="22"/>
                <w:szCs w:val="22"/>
              </w:rPr>
              <w:t>85.7 (63.7,97.0)</w:t>
            </w:r>
          </w:p>
        </w:tc>
        <w:tc>
          <w:tcPr>
            <w:tcW w:w="939" w:type="pct"/>
            <w:tcBorders>
              <w:top w:val="nil"/>
              <w:left w:val="single" w:sz="4" w:space="0" w:color="auto"/>
              <w:bottom w:val="single" w:sz="4" w:space="0" w:color="auto"/>
              <w:right w:val="single" w:sz="4" w:space="0" w:color="auto"/>
            </w:tcBorders>
            <w:hideMark/>
          </w:tcPr>
          <w:p w14:paraId="24CA3220" w14:textId="77777777" w:rsidR="000D0C23" w:rsidRPr="008F5372" w:rsidRDefault="000D0C23">
            <w:pPr>
              <w:autoSpaceDE w:val="0"/>
              <w:autoSpaceDN w:val="0"/>
              <w:adjustRightInd w:val="0"/>
              <w:jc w:val="center"/>
              <w:rPr>
                <w:sz w:val="22"/>
                <w:szCs w:val="22"/>
              </w:rPr>
            </w:pPr>
            <w:r w:rsidRPr="008F5372">
              <w:rPr>
                <w:sz w:val="22"/>
                <w:szCs w:val="22"/>
              </w:rPr>
              <w:t>66.7 (46.0,83.5)</w:t>
            </w:r>
          </w:p>
        </w:tc>
        <w:tc>
          <w:tcPr>
            <w:tcW w:w="860" w:type="pct"/>
            <w:tcBorders>
              <w:top w:val="nil"/>
              <w:left w:val="single" w:sz="4" w:space="0" w:color="auto"/>
              <w:bottom w:val="single" w:sz="4" w:space="0" w:color="auto"/>
              <w:right w:val="single" w:sz="4" w:space="0" w:color="auto"/>
            </w:tcBorders>
            <w:hideMark/>
          </w:tcPr>
          <w:p w14:paraId="7BF1B131" w14:textId="77777777" w:rsidR="000D0C23" w:rsidRPr="008F5372" w:rsidRDefault="000D0C23">
            <w:pPr>
              <w:autoSpaceDE w:val="0"/>
              <w:autoSpaceDN w:val="0"/>
              <w:adjustRightInd w:val="0"/>
              <w:ind w:right="-109"/>
              <w:jc w:val="center"/>
              <w:rPr>
                <w:sz w:val="22"/>
                <w:szCs w:val="22"/>
              </w:rPr>
            </w:pPr>
            <w:r w:rsidRPr="008F5372">
              <w:rPr>
                <w:sz w:val="22"/>
                <w:szCs w:val="22"/>
              </w:rPr>
              <w:t>63.6 (40.7,82.8)</w:t>
            </w:r>
          </w:p>
        </w:tc>
        <w:tc>
          <w:tcPr>
            <w:tcW w:w="857" w:type="pct"/>
            <w:tcBorders>
              <w:top w:val="nil"/>
              <w:left w:val="single" w:sz="4" w:space="0" w:color="auto"/>
              <w:bottom w:val="single" w:sz="4" w:space="0" w:color="auto"/>
              <w:right w:val="single" w:sz="4" w:space="0" w:color="auto"/>
            </w:tcBorders>
            <w:hideMark/>
          </w:tcPr>
          <w:p w14:paraId="02278E27" w14:textId="77777777" w:rsidR="000D0C23" w:rsidRPr="008F5372" w:rsidRDefault="000D0C23">
            <w:pPr>
              <w:autoSpaceDE w:val="0"/>
              <w:autoSpaceDN w:val="0"/>
              <w:adjustRightInd w:val="0"/>
              <w:ind w:right="-109"/>
              <w:jc w:val="center"/>
              <w:rPr>
                <w:sz w:val="22"/>
                <w:szCs w:val="22"/>
              </w:rPr>
            </w:pPr>
            <w:r w:rsidRPr="008F5372">
              <w:rPr>
                <w:sz w:val="22"/>
                <w:szCs w:val="22"/>
              </w:rPr>
              <w:t>71.4 (59.4,81.6)</w:t>
            </w:r>
          </w:p>
        </w:tc>
      </w:tr>
      <w:tr w:rsidR="000D0C23" w:rsidRPr="00E14D63" w14:paraId="6AC767A3" w14:textId="77777777" w:rsidTr="000D0C23">
        <w:tc>
          <w:tcPr>
            <w:tcW w:w="5000" w:type="pct"/>
            <w:gridSpan w:val="5"/>
            <w:tcBorders>
              <w:top w:val="single" w:sz="4" w:space="0" w:color="auto"/>
              <w:left w:val="single" w:sz="4" w:space="0" w:color="auto"/>
              <w:bottom w:val="single" w:sz="4" w:space="0" w:color="auto"/>
              <w:right w:val="single" w:sz="4" w:space="0" w:color="auto"/>
            </w:tcBorders>
            <w:hideMark/>
          </w:tcPr>
          <w:p w14:paraId="0AA76EC1" w14:textId="77777777" w:rsidR="000D0C23" w:rsidRPr="008F5372" w:rsidRDefault="000D0C23">
            <w:pPr>
              <w:autoSpaceDE w:val="0"/>
              <w:autoSpaceDN w:val="0"/>
              <w:adjustRightInd w:val="0"/>
              <w:rPr>
                <w:sz w:val="20"/>
                <w:lang w:val="en-US"/>
              </w:rPr>
            </w:pPr>
            <w:r w:rsidRPr="008F5372">
              <w:rPr>
                <w:sz w:val="20"/>
                <w:lang w:val="en-US"/>
              </w:rPr>
              <w:t>Snapshot date: 23Nov2020.</w:t>
            </w:r>
          </w:p>
          <w:p w14:paraId="5450998F" w14:textId="77777777" w:rsidR="000D0C23" w:rsidRPr="008F5372" w:rsidRDefault="000D0C23">
            <w:pPr>
              <w:autoSpaceDE w:val="0"/>
              <w:autoSpaceDN w:val="0"/>
              <w:adjustRightInd w:val="0"/>
              <w:rPr>
                <w:sz w:val="20"/>
                <w:lang w:val="en-US"/>
              </w:rPr>
            </w:pPr>
            <w:r w:rsidRPr="008F5372">
              <w:rPr>
                <w:sz w:val="20"/>
                <w:lang w:val="en-US"/>
              </w:rPr>
              <w:t>Abbreviations: Ph+=Philadelphia chromosome-positive; CP=chronic phase; CML=chronic myelogenous leukaemia; N=number of patients; CI=confidence interval; MMR=major molecular response; MR=molecular response; MR</w:t>
            </w:r>
            <w:r w:rsidRPr="008F5372">
              <w:rPr>
                <w:sz w:val="20"/>
                <w:vertAlign w:val="superscript"/>
                <w:lang w:val="en-US"/>
              </w:rPr>
              <w:t>4</w:t>
            </w:r>
            <w:r w:rsidRPr="008F5372">
              <w:rPr>
                <w:sz w:val="20"/>
                <w:lang w:val="en-US"/>
              </w:rPr>
              <w:t>=≥ 4 log-reduction in BCR-ABL transcripts from standardised baseline; MR</w:t>
            </w:r>
            <w:r w:rsidRPr="008F5372">
              <w:rPr>
                <w:sz w:val="20"/>
                <w:vertAlign w:val="superscript"/>
                <w:lang w:val="en-US"/>
              </w:rPr>
              <w:t>4.5</w:t>
            </w:r>
            <w:r w:rsidRPr="008F5372">
              <w:rPr>
                <w:sz w:val="20"/>
                <w:lang w:val="en-US"/>
              </w:rPr>
              <w:t>=≥ 4.5 log-reduction in BCR-ABL transcripts from standardised baseline.</w:t>
            </w:r>
          </w:p>
          <w:p w14:paraId="331FECAD" w14:textId="77777777" w:rsidR="000D0C23" w:rsidRPr="008F5372" w:rsidRDefault="000D0C23">
            <w:pPr>
              <w:autoSpaceDE w:val="0"/>
              <w:autoSpaceDN w:val="0"/>
              <w:adjustRightInd w:val="0"/>
              <w:rPr>
                <w:sz w:val="20"/>
                <w:lang w:val="en-US"/>
              </w:rPr>
            </w:pPr>
            <w:r w:rsidRPr="008F5372">
              <w:rPr>
                <w:sz w:val="20"/>
                <w:vertAlign w:val="superscript"/>
                <w:lang w:val="en-US"/>
              </w:rPr>
              <w:t>a</w:t>
            </w:r>
            <w:r w:rsidRPr="008F5372">
              <w:rPr>
                <w:sz w:val="20"/>
                <w:lang w:val="en-US"/>
              </w:rPr>
              <w:t xml:space="preserve"> Includes patients (N) with a valid baseline assessment. To be considered a responder, patients must have achieved an improved response from baseline. Molecular Response criteria: MMR, MR</w:t>
            </w:r>
            <w:r w:rsidRPr="008F5372">
              <w:rPr>
                <w:sz w:val="20"/>
                <w:vertAlign w:val="superscript"/>
                <w:lang w:val="en-US"/>
              </w:rPr>
              <w:t>4</w:t>
            </w:r>
            <w:r w:rsidRPr="008F5372">
              <w:rPr>
                <w:sz w:val="20"/>
                <w:lang w:val="en-US"/>
              </w:rPr>
              <w:t>, and MR</w:t>
            </w:r>
            <w:r w:rsidRPr="008F5372">
              <w:rPr>
                <w:sz w:val="20"/>
                <w:vertAlign w:val="superscript"/>
                <w:lang w:val="en-US"/>
              </w:rPr>
              <w:t>4.5</w:t>
            </w:r>
            <w:r w:rsidRPr="008F5372">
              <w:rPr>
                <w:sz w:val="20"/>
                <w:lang w:val="en-US"/>
              </w:rPr>
              <w:t xml:space="preserve"> were defined as ≤ 0.1%, ≤ 0.01%, and ≤ 0.0032% BCR-ABL/ABL ratio on international scale, respectively (corresponding to ≥ 3, ≥ 4, and ≥ 4.5 log-reduction from standardised baseline) with a minimum of 10,000, 10,000, and 32,000 ABL transcripts assessed by the central laboratory, respectively.</w:t>
            </w:r>
          </w:p>
        </w:tc>
      </w:tr>
    </w:tbl>
    <w:p w14:paraId="7EDFBA4B" w14:textId="77777777" w:rsidR="000D0C23" w:rsidRPr="000D0C23" w:rsidRDefault="000D0C23" w:rsidP="000D0C23">
      <w:pPr>
        <w:autoSpaceDE w:val="0"/>
        <w:autoSpaceDN w:val="0"/>
        <w:adjustRightInd w:val="0"/>
        <w:ind w:left="851"/>
        <w:rPr>
          <w:sz w:val="24"/>
          <w:szCs w:val="24"/>
          <w:lang w:val="en-GB" w:eastAsia="en-US"/>
        </w:rPr>
      </w:pPr>
    </w:p>
    <w:p w14:paraId="67FAC69B"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In CP patients, there were no on-treatment progressions to AP or BP CML.</w:t>
      </w:r>
    </w:p>
    <w:p w14:paraId="1AA20FCA" w14:textId="77777777" w:rsidR="000D0C23" w:rsidRPr="000D0C23" w:rsidRDefault="000D0C23" w:rsidP="000D0C23">
      <w:pPr>
        <w:autoSpaceDE w:val="0"/>
        <w:autoSpaceDN w:val="0"/>
        <w:adjustRightInd w:val="0"/>
        <w:ind w:left="851"/>
        <w:rPr>
          <w:sz w:val="24"/>
          <w:szCs w:val="24"/>
          <w:lang w:val="en-US"/>
        </w:rPr>
      </w:pPr>
    </w:p>
    <w:p w14:paraId="564465F0" w14:textId="77777777" w:rsidR="000D0C23" w:rsidRPr="000D0C23" w:rsidRDefault="000D0C23" w:rsidP="000D0C23">
      <w:pPr>
        <w:keepNext/>
        <w:autoSpaceDE w:val="0"/>
        <w:autoSpaceDN w:val="0"/>
        <w:adjustRightInd w:val="0"/>
        <w:ind w:left="851"/>
        <w:rPr>
          <w:i/>
          <w:sz w:val="24"/>
          <w:szCs w:val="24"/>
          <w:lang w:val="en-US"/>
        </w:rPr>
      </w:pPr>
      <w:r w:rsidRPr="000D0C23">
        <w:rPr>
          <w:i/>
          <w:sz w:val="24"/>
          <w:szCs w:val="24"/>
          <w:lang w:val="en-US"/>
        </w:rPr>
        <w:t>AP CML patients</w:t>
      </w:r>
    </w:p>
    <w:p w14:paraId="190792D0"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In patients with Ph+ AP CML, the median duration of treatment was 22.1 months (range: 1.6 to 50.1 months), the cumulative confirmed OHR by 1 year (52 weeks) was 75.0% (95% CI: 19.4, 99.4), as was the cumulative CCyR rate, all 3 patients maintained their CCyR on treatment.</w:t>
      </w:r>
    </w:p>
    <w:p w14:paraId="5297FB3F" w14:textId="77777777" w:rsidR="000D0C23" w:rsidRPr="000D0C23" w:rsidRDefault="000D0C23" w:rsidP="000D0C23">
      <w:pPr>
        <w:autoSpaceDE w:val="0"/>
        <w:autoSpaceDN w:val="0"/>
        <w:adjustRightInd w:val="0"/>
        <w:ind w:left="851"/>
        <w:rPr>
          <w:sz w:val="24"/>
          <w:szCs w:val="24"/>
          <w:lang w:val="en-US"/>
        </w:rPr>
      </w:pPr>
    </w:p>
    <w:p w14:paraId="2B8E76E1" w14:textId="77777777" w:rsidR="000D0C23" w:rsidRPr="000D0C23" w:rsidRDefault="000D0C23" w:rsidP="000D0C23">
      <w:pPr>
        <w:keepNext/>
        <w:autoSpaceDE w:val="0"/>
        <w:autoSpaceDN w:val="0"/>
        <w:adjustRightInd w:val="0"/>
        <w:ind w:left="851"/>
        <w:rPr>
          <w:i/>
          <w:sz w:val="24"/>
          <w:szCs w:val="24"/>
          <w:lang w:val="en-US"/>
        </w:rPr>
      </w:pPr>
      <w:r w:rsidRPr="000D0C23">
        <w:rPr>
          <w:i/>
          <w:sz w:val="24"/>
          <w:szCs w:val="24"/>
          <w:lang w:val="en-US"/>
        </w:rPr>
        <w:t>Response by BCR-ABL Mutations at baseline</w:t>
      </w:r>
    </w:p>
    <w:p w14:paraId="13736B29"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Ten patients in the CP cohort had mutations at baseline (A365V, E453K, E255K, E255V, Q252H, L298V [n=1 each], Y253F and G250E [n=2 each]). One patient in the CP cohort had a F359I mutation identified on study day 8. One patient in the AP cohort had 2 mutations (F311L and L387F) at baseline. In the CP cohort, among patients with mutations, molecular responses were observed in 4/11 (36.4%) patients, 1 patient with a E255V mutation achieved MMR and 3 patients with F359I, Y253F and A365V respectively achieved MR</w:t>
      </w:r>
      <w:r w:rsidRPr="000D0C23">
        <w:rPr>
          <w:sz w:val="24"/>
          <w:szCs w:val="24"/>
          <w:vertAlign w:val="superscript"/>
          <w:lang w:val="en-US"/>
        </w:rPr>
        <w:t>4.5</w:t>
      </w:r>
      <w:r w:rsidRPr="000D0C23">
        <w:rPr>
          <w:sz w:val="24"/>
          <w:szCs w:val="24"/>
          <w:lang w:val="en-US"/>
        </w:rPr>
        <w:t>. The patient with mutations in the AP cohort did not achieve any response.</w:t>
      </w:r>
    </w:p>
    <w:p w14:paraId="4DE2BA11" w14:textId="77777777" w:rsidR="000D0C23" w:rsidRPr="000D0C23" w:rsidRDefault="000D0C23" w:rsidP="000D0C23">
      <w:pPr>
        <w:autoSpaceDE w:val="0"/>
        <w:autoSpaceDN w:val="0"/>
        <w:adjustRightInd w:val="0"/>
        <w:ind w:left="851"/>
        <w:rPr>
          <w:sz w:val="24"/>
          <w:szCs w:val="24"/>
          <w:lang w:val="en-US"/>
        </w:rPr>
      </w:pPr>
    </w:p>
    <w:p w14:paraId="0E090488" w14:textId="77777777" w:rsidR="000D0C23" w:rsidRPr="000D0C23" w:rsidRDefault="000D0C23" w:rsidP="000D0C23">
      <w:pPr>
        <w:keepNext/>
        <w:ind w:left="851"/>
        <w:rPr>
          <w:bCs/>
          <w:iCs/>
          <w:sz w:val="24"/>
          <w:szCs w:val="24"/>
          <w:lang w:val="en-US"/>
        </w:rPr>
      </w:pPr>
      <w:r w:rsidRPr="000D0C23">
        <w:rPr>
          <w:bCs/>
          <w:iCs/>
          <w:sz w:val="24"/>
          <w:szCs w:val="24"/>
          <w:u w:val="single"/>
          <w:lang w:val="en-US"/>
        </w:rPr>
        <w:lastRenderedPageBreak/>
        <w:t>Paediatric population</w:t>
      </w:r>
    </w:p>
    <w:p w14:paraId="0AFF8D88" w14:textId="77777777" w:rsidR="000D0C23" w:rsidRPr="000D0C23" w:rsidRDefault="000D0C23" w:rsidP="000D0C23">
      <w:pPr>
        <w:autoSpaceDE w:val="0"/>
        <w:autoSpaceDN w:val="0"/>
        <w:adjustRightInd w:val="0"/>
        <w:ind w:left="851"/>
        <w:rPr>
          <w:sz w:val="24"/>
          <w:szCs w:val="24"/>
          <w:lang w:val="en-US"/>
        </w:rPr>
      </w:pPr>
      <w:r w:rsidRPr="000D0C23">
        <w:rPr>
          <w:sz w:val="24"/>
          <w:szCs w:val="24"/>
          <w:lang w:val="en-US"/>
        </w:rPr>
        <w:t>The European Medicines Agency has deferred the obligation to submit the results of studies with the reference medicinal product containing bosutinib in one or more subsets of the paediatric population in CML (see section 4.2 for information on paediatric use).</w:t>
      </w:r>
    </w:p>
    <w:p w14:paraId="217362AD" w14:textId="77777777" w:rsidR="007C5D2A" w:rsidRPr="000D0C23" w:rsidRDefault="007C5D2A" w:rsidP="000D0C23">
      <w:pPr>
        <w:tabs>
          <w:tab w:val="left" w:pos="851"/>
        </w:tabs>
        <w:ind w:left="851"/>
        <w:rPr>
          <w:sz w:val="24"/>
          <w:szCs w:val="24"/>
          <w:lang w:val="en-GB"/>
        </w:rPr>
      </w:pPr>
    </w:p>
    <w:p w14:paraId="629D5AB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2E712541" w14:textId="77777777" w:rsidR="00067E47" w:rsidRPr="00067E47" w:rsidRDefault="00067E47" w:rsidP="00067E47">
      <w:pPr>
        <w:tabs>
          <w:tab w:val="left" w:pos="851"/>
        </w:tabs>
        <w:ind w:left="851"/>
        <w:rPr>
          <w:sz w:val="24"/>
          <w:szCs w:val="24"/>
          <w:lang w:val="en-GB"/>
        </w:rPr>
      </w:pPr>
    </w:p>
    <w:p w14:paraId="45AEFF9C" w14:textId="77777777" w:rsidR="00067E47" w:rsidRPr="00067E47" w:rsidRDefault="00067E47" w:rsidP="00067E47">
      <w:pPr>
        <w:tabs>
          <w:tab w:val="left" w:pos="851"/>
        </w:tabs>
        <w:ind w:left="851"/>
        <w:rPr>
          <w:sz w:val="24"/>
          <w:szCs w:val="24"/>
          <w:u w:val="single"/>
          <w:lang w:val="en-GB"/>
        </w:rPr>
      </w:pPr>
      <w:r w:rsidRPr="00067E47">
        <w:rPr>
          <w:sz w:val="24"/>
          <w:szCs w:val="24"/>
          <w:u w:val="single"/>
          <w:lang w:val="en-GB"/>
        </w:rPr>
        <w:t>Absorption</w:t>
      </w:r>
    </w:p>
    <w:p w14:paraId="6590EB12" w14:textId="77777777" w:rsidR="00067E47" w:rsidRPr="00067E47" w:rsidRDefault="00067E47" w:rsidP="00067E47">
      <w:pPr>
        <w:tabs>
          <w:tab w:val="left" w:pos="851"/>
        </w:tabs>
        <w:ind w:left="851"/>
        <w:rPr>
          <w:sz w:val="24"/>
          <w:szCs w:val="24"/>
          <w:lang w:val="en-GB"/>
        </w:rPr>
      </w:pPr>
      <w:r w:rsidRPr="00067E47">
        <w:rPr>
          <w:sz w:val="24"/>
          <w:szCs w:val="24"/>
          <w:lang w:val="en-GB"/>
        </w:rPr>
        <w:t>Following administration of a single dose of bosutinib (500 mg) with food in healthy subjects, the absolute bioavailability was 34%. Absorption was relatively slow, with a median time-to-peak concentration (t</w:t>
      </w:r>
      <w:r w:rsidRPr="00067E47">
        <w:rPr>
          <w:sz w:val="24"/>
          <w:szCs w:val="24"/>
          <w:vertAlign w:val="subscript"/>
          <w:lang w:val="en-GB"/>
        </w:rPr>
        <w:t>max</w:t>
      </w:r>
      <w:r w:rsidRPr="00067E47">
        <w:rPr>
          <w:sz w:val="24"/>
          <w:szCs w:val="24"/>
          <w:lang w:val="en-GB"/>
        </w:rPr>
        <w:t>) reached after 6 hours. Bosutinib exhibits dose proportional increases in AUC and C</w:t>
      </w:r>
      <w:r w:rsidRPr="00067E47">
        <w:rPr>
          <w:sz w:val="24"/>
          <w:szCs w:val="24"/>
          <w:vertAlign w:val="subscript"/>
          <w:lang w:val="en-GB"/>
        </w:rPr>
        <w:t>max</w:t>
      </w:r>
      <w:r w:rsidRPr="00067E47">
        <w:rPr>
          <w:sz w:val="24"/>
          <w:szCs w:val="24"/>
          <w:lang w:val="en-GB"/>
        </w:rPr>
        <w:t>, over the dose range of 200 to 600 mg. Food increased bosutinib C</w:t>
      </w:r>
      <w:r w:rsidRPr="00067E47">
        <w:rPr>
          <w:sz w:val="24"/>
          <w:szCs w:val="24"/>
          <w:vertAlign w:val="subscript"/>
          <w:lang w:val="en-GB"/>
        </w:rPr>
        <w:t>max</w:t>
      </w:r>
      <w:r w:rsidRPr="00067E47">
        <w:rPr>
          <w:sz w:val="24"/>
          <w:szCs w:val="24"/>
          <w:lang w:val="en-GB"/>
        </w:rPr>
        <w:t xml:space="preserve"> 1.8</w:t>
      </w:r>
      <w:r w:rsidRPr="00067E47">
        <w:rPr>
          <w:sz w:val="24"/>
          <w:szCs w:val="24"/>
          <w:lang w:val="en-GB"/>
        </w:rPr>
        <w:noBreakHyphen/>
        <w:t>fold and bosutinib AUC 1.7</w:t>
      </w:r>
      <w:r w:rsidRPr="00067E47">
        <w:rPr>
          <w:sz w:val="24"/>
          <w:szCs w:val="24"/>
          <w:lang w:val="en-GB"/>
        </w:rPr>
        <w:noBreakHyphen/>
        <w:t>fold compared to the fasting state. In CML patients at steady state, C</w:t>
      </w:r>
      <w:r w:rsidRPr="00067E47">
        <w:rPr>
          <w:sz w:val="24"/>
          <w:szCs w:val="24"/>
          <w:vertAlign w:val="subscript"/>
          <w:lang w:val="en-GB"/>
        </w:rPr>
        <w:t>max</w:t>
      </w:r>
      <w:r w:rsidRPr="00067E47">
        <w:rPr>
          <w:sz w:val="24"/>
          <w:szCs w:val="24"/>
          <w:lang w:val="en-GB"/>
        </w:rPr>
        <w:t xml:space="preserve"> (geometric mean, coefficient of variation [CV]%) was 145 (14) ng/mL, and AUC</w:t>
      </w:r>
      <w:r w:rsidRPr="00067E47">
        <w:rPr>
          <w:sz w:val="24"/>
          <w:szCs w:val="24"/>
          <w:vertAlign w:val="subscript"/>
          <w:lang w:val="en-GB"/>
        </w:rPr>
        <w:t>ss</w:t>
      </w:r>
      <w:r w:rsidRPr="00067E47">
        <w:rPr>
          <w:sz w:val="24"/>
          <w:szCs w:val="24"/>
          <w:lang w:val="en-GB"/>
        </w:rPr>
        <w:t xml:space="preserve"> (geometric mean, CV%) was 2,700 (16) ng•h/mL after daily administration of bosutinib at 400 mg with food. After 500 mg bosutinib daily with food, C</w:t>
      </w:r>
      <w:r w:rsidRPr="00067E47">
        <w:rPr>
          <w:sz w:val="24"/>
          <w:szCs w:val="24"/>
          <w:vertAlign w:val="subscript"/>
          <w:lang w:val="en-GB"/>
        </w:rPr>
        <w:t>max</w:t>
      </w:r>
      <w:r w:rsidRPr="00067E47">
        <w:rPr>
          <w:sz w:val="24"/>
          <w:szCs w:val="24"/>
          <w:lang w:val="en-GB"/>
        </w:rPr>
        <w:t xml:space="preserve"> was 200 (6) ng/mL and AUC</w:t>
      </w:r>
      <w:r w:rsidRPr="00067E47">
        <w:rPr>
          <w:sz w:val="24"/>
          <w:szCs w:val="24"/>
          <w:vertAlign w:val="subscript"/>
          <w:lang w:val="en-GB"/>
        </w:rPr>
        <w:t>ss</w:t>
      </w:r>
      <w:r w:rsidRPr="00067E47">
        <w:rPr>
          <w:sz w:val="24"/>
          <w:szCs w:val="24"/>
          <w:lang w:val="en-GB"/>
        </w:rPr>
        <w:t xml:space="preserve"> was 3,640 (12) ng•h/mL. The solubility of bosutinib is pH-dependent and absorption is reduced when gastric pH is increased (see section 4.5).</w:t>
      </w:r>
    </w:p>
    <w:p w14:paraId="039704DC" w14:textId="77777777" w:rsidR="00067E47" w:rsidRPr="00067E47" w:rsidRDefault="00067E47" w:rsidP="00067E47">
      <w:pPr>
        <w:tabs>
          <w:tab w:val="left" w:pos="851"/>
        </w:tabs>
        <w:ind w:left="851"/>
        <w:rPr>
          <w:sz w:val="24"/>
          <w:szCs w:val="24"/>
          <w:lang w:val="en-GB"/>
        </w:rPr>
      </w:pPr>
    </w:p>
    <w:p w14:paraId="53A20DF0" w14:textId="77777777" w:rsidR="00067E47" w:rsidRPr="00067E47" w:rsidRDefault="00067E47" w:rsidP="00067E47">
      <w:pPr>
        <w:tabs>
          <w:tab w:val="left" w:pos="851"/>
        </w:tabs>
        <w:ind w:left="851"/>
        <w:rPr>
          <w:sz w:val="24"/>
          <w:szCs w:val="24"/>
          <w:u w:val="single"/>
          <w:lang w:val="en-GB"/>
        </w:rPr>
      </w:pPr>
      <w:r w:rsidRPr="00067E47">
        <w:rPr>
          <w:sz w:val="24"/>
          <w:szCs w:val="24"/>
          <w:u w:val="single"/>
          <w:lang w:val="en-GB"/>
        </w:rPr>
        <w:t>Distribution</w:t>
      </w:r>
    </w:p>
    <w:p w14:paraId="0AFD9BDD" w14:textId="77777777" w:rsidR="00067E47" w:rsidRPr="00067E47" w:rsidRDefault="00067E47" w:rsidP="00067E47">
      <w:pPr>
        <w:tabs>
          <w:tab w:val="left" w:pos="851"/>
        </w:tabs>
        <w:ind w:left="851"/>
        <w:rPr>
          <w:sz w:val="24"/>
          <w:szCs w:val="24"/>
          <w:lang w:val="en-GB"/>
        </w:rPr>
      </w:pPr>
      <w:r w:rsidRPr="00067E47">
        <w:rPr>
          <w:sz w:val="24"/>
          <w:szCs w:val="24"/>
          <w:lang w:val="en-GB"/>
        </w:rPr>
        <w:t>Following administration of a single intravenous dose of 120 mg bosutinib to healthy subjects, bosutinib had a mean (% coefficient of variation [CV]) volume of distribution of 2,331 (32) L, suggesting that bosutinib is extensively distributed to extra vascular tissue.</w:t>
      </w:r>
    </w:p>
    <w:p w14:paraId="3E512170" w14:textId="77777777" w:rsidR="00067E47" w:rsidRPr="00067E47" w:rsidRDefault="00067E47" w:rsidP="00067E47">
      <w:pPr>
        <w:tabs>
          <w:tab w:val="left" w:pos="851"/>
        </w:tabs>
        <w:ind w:left="851"/>
        <w:rPr>
          <w:sz w:val="24"/>
          <w:szCs w:val="24"/>
          <w:lang w:val="en-GB"/>
        </w:rPr>
      </w:pPr>
    </w:p>
    <w:p w14:paraId="497C8959" w14:textId="77777777" w:rsidR="00067E47" w:rsidRPr="00067E47" w:rsidRDefault="00067E47" w:rsidP="00067E47">
      <w:pPr>
        <w:tabs>
          <w:tab w:val="left" w:pos="851"/>
        </w:tabs>
        <w:ind w:left="851"/>
        <w:rPr>
          <w:sz w:val="24"/>
          <w:szCs w:val="24"/>
          <w:lang w:val="en-GB"/>
        </w:rPr>
      </w:pPr>
      <w:r w:rsidRPr="00067E47">
        <w:rPr>
          <w:sz w:val="24"/>
          <w:szCs w:val="24"/>
          <w:lang w:val="en-GB"/>
        </w:rPr>
        <w:t xml:space="preserve">Bosutinib was highly bound to human plasma proteins </w:t>
      </w:r>
      <w:r w:rsidRPr="00067E47">
        <w:rPr>
          <w:i/>
          <w:sz w:val="24"/>
          <w:szCs w:val="24"/>
          <w:lang w:val="en-GB"/>
        </w:rPr>
        <w:t xml:space="preserve">in vitro </w:t>
      </w:r>
      <w:r w:rsidRPr="00067E47">
        <w:rPr>
          <w:sz w:val="24"/>
          <w:szCs w:val="24"/>
          <w:lang w:val="en-GB"/>
        </w:rPr>
        <w:t xml:space="preserve">(94%) and </w:t>
      </w:r>
      <w:r w:rsidRPr="00067E47">
        <w:rPr>
          <w:i/>
          <w:sz w:val="24"/>
          <w:szCs w:val="24"/>
          <w:lang w:val="en-GB"/>
        </w:rPr>
        <w:t>ex vivo</w:t>
      </w:r>
      <w:r w:rsidRPr="00067E47">
        <w:rPr>
          <w:sz w:val="24"/>
          <w:szCs w:val="24"/>
          <w:lang w:val="en-GB"/>
        </w:rPr>
        <w:t xml:space="preserve"> in healthy subjects (96%), and binding was not concentration-dependent.</w:t>
      </w:r>
    </w:p>
    <w:p w14:paraId="49ADF5FF" w14:textId="77777777" w:rsidR="00067E47" w:rsidRPr="00067E47" w:rsidRDefault="00067E47" w:rsidP="00067E47">
      <w:pPr>
        <w:tabs>
          <w:tab w:val="left" w:pos="851"/>
        </w:tabs>
        <w:ind w:left="851"/>
        <w:rPr>
          <w:sz w:val="24"/>
          <w:szCs w:val="24"/>
          <w:lang w:val="en-GB"/>
        </w:rPr>
      </w:pPr>
    </w:p>
    <w:p w14:paraId="31C3093C" w14:textId="77777777" w:rsidR="00067E47" w:rsidRPr="00067E47" w:rsidRDefault="00067E47" w:rsidP="00067E47">
      <w:pPr>
        <w:tabs>
          <w:tab w:val="left" w:pos="851"/>
        </w:tabs>
        <w:ind w:left="851"/>
        <w:rPr>
          <w:sz w:val="24"/>
          <w:szCs w:val="24"/>
          <w:u w:val="single"/>
          <w:lang w:val="en-GB"/>
        </w:rPr>
      </w:pPr>
      <w:r w:rsidRPr="00067E47">
        <w:rPr>
          <w:sz w:val="24"/>
          <w:szCs w:val="24"/>
          <w:u w:val="single"/>
          <w:lang w:val="en-GB"/>
        </w:rPr>
        <w:t>Biotransformation</w:t>
      </w:r>
    </w:p>
    <w:p w14:paraId="22461538" w14:textId="77777777" w:rsidR="00067E47" w:rsidRPr="00067E47" w:rsidRDefault="00067E47" w:rsidP="00067E47">
      <w:pPr>
        <w:tabs>
          <w:tab w:val="left" w:pos="851"/>
        </w:tabs>
        <w:ind w:left="851"/>
        <w:rPr>
          <w:sz w:val="24"/>
          <w:szCs w:val="24"/>
          <w:lang w:val="en-GB"/>
        </w:rPr>
      </w:pPr>
      <w:r w:rsidRPr="00067E47">
        <w:rPr>
          <w:i/>
          <w:sz w:val="24"/>
          <w:szCs w:val="24"/>
          <w:lang w:val="en-GB"/>
        </w:rPr>
        <w:t>In vitro</w:t>
      </w:r>
      <w:r w:rsidRPr="00067E47">
        <w:rPr>
          <w:sz w:val="24"/>
          <w:szCs w:val="24"/>
          <w:lang w:val="en-GB"/>
        </w:rPr>
        <w:t xml:space="preserve"> and </w:t>
      </w:r>
      <w:r w:rsidRPr="00067E47">
        <w:rPr>
          <w:i/>
          <w:sz w:val="24"/>
          <w:szCs w:val="24"/>
          <w:lang w:val="en-GB"/>
        </w:rPr>
        <w:t>in vivo</w:t>
      </w:r>
      <w:r w:rsidRPr="00067E47">
        <w:rPr>
          <w:sz w:val="24"/>
          <w:szCs w:val="24"/>
          <w:lang w:val="en-GB"/>
        </w:rPr>
        <w:t xml:space="preserve"> studies indicated that bosutinib (parent compound) undergoes predominantly hepatic metabolism in humans. Following administration of single or multiple doses of bosutinib (400 or 500 mg) to humans, the major circulating metabolites appeared to be oxydechlorinated (M2) and </w:t>
      </w:r>
      <w:r w:rsidRPr="00067E47">
        <w:rPr>
          <w:i/>
          <w:sz w:val="24"/>
          <w:szCs w:val="24"/>
          <w:lang w:val="en-GB"/>
        </w:rPr>
        <w:t>N</w:t>
      </w:r>
      <w:r w:rsidRPr="00067E47">
        <w:rPr>
          <w:i/>
          <w:sz w:val="24"/>
          <w:szCs w:val="24"/>
          <w:lang w:val="en-GB"/>
        </w:rPr>
        <w:noBreakHyphen/>
      </w:r>
      <w:r w:rsidRPr="00067E47">
        <w:rPr>
          <w:sz w:val="24"/>
          <w:szCs w:val="24"/>
          <w:lang w:val="en-GB"/>
        </w:rPr>
        <w:t xml:space="preserve">desmethylated (M5) bosutinib, with bosutinib </w:t>
      </w:r>
      <w:r w:rsidRPr="00067E47">
        <w:rPr>
          <w:i/>
          <w:sz w:val="24"/>
          <w:szCs w:val="24"/>
          <w:lang w:val="en-GB"/>
        </w:rPr>
        <w:t>N-</w:t>
      </w:r>
      <w:r w:rsidRPr="00067E47">
        <w:rPr>
          <w:sz w:val="24"/>
          <w:szCs w:val="24"/>
          <w:lang w:val="en-GB"/>
        </w:rPr>
        <w:t>oxide (M6) as a minor circulating metabolite.</w:t>
      </w:r>
    </w:p>
    <w:p w14:paraId="75A8D7B0" w14:textId="77777777" w:rsidR="00067E47" w:rsidRPr="00067E47" w:rsidRDefault="00067E47" w:rsidP="00067E47">
      <w:pPr>
        <w:tabs>
          <w:tab w:val="left" w:pos="851"/>
        </w:tabs>
        <w:ind w:left="851"/>
        <w:rPr>
          <w:sz w:val="24"/>
          <w:szCs w:val="24"/>
          <w:lang w:val="en-GB"/>
        </w:rPr>
      </w:pPr>
      <w:r w:rsidRPr="00067E47">
        <w:rPr>
          <w:sz w:val="24"/>
          <w:szCs w:val="24"/>
          <w:lang w:val="en-GB"/>
        </w:rPr>
        <w:t xml:space="preserve">The systemic exposure of N-desmethylated metabolite was 25% of the parent compound, while the oxydechlorinated metabolite was 19% of the parent compound. All 3 metabolites exhibited activity that was ≤ 5% that of bosutinib in a Src-transformed fibroblast anchorage-independent proliferation assay. In faeces, bosutinib and </w:t>
      </w:r>
      <w:r w:rsidRPr="00067E47">
        <w:rPr>
          <w:i/>
          <w:sz w:val="24"/>
          <w:szCs w:val="24"/>
          <w:lang w:val="en-GB"/>
        </w:rPr>
        <w:t>N-</w:t>
      </w:r>
      <w:r w:rsidRPr="00067E47">
        <w:rPr>
          <w:sz w:val="24"/>
          <w:szCs w:val="24"/>
          <w:lang w:val="en-GB"/>
        </w:rPr>
        <w:t>desmethyl bosutinib were the major drug-related components.</w:t>
      </w:r>
    </w:p>
    <w:p w14:paraId="69676CAD" w14:textId="77777777" w:rsidR="00067E47" w:rsidRPr="00067E47" w:rsidRDefault="00067E47" w:rsidP="00067E47">
      <w:pPr>
        <w:tabs>
          <w:tab w:val="left" w:pos="851"/>
        </w:tabs>
        <w:ind w:left="851"/>
        <w:rPr>
          <w:sz w:val="24"/>
          <w:szCs w:val="24"/>
          <w:lang w:val="en-GB"/>
        </w:rPr>
      </w:pPr>
      <w:r w:rsidRPr="00067E47">
        <w:rPr>
          <w:i/>
          <w:sz w:val="24"/>
          <w:szCs w:val="24"/>
          <w:lang w:val="en-GB"/>
        </w:rPr>
        <w:t>In vitro</w:t>
      </w:r>
      <w:r w:rsidRPr="00067E47">
        <w:rPr>
          <w:sz w:val="24"/>
          <w:szCs w:val="24"/>
          <w:lang w:val="en-GB"/>
        </w:rPr>
        <w:t xml:space="preserve"> studies with human liver microsomes indicated that the major cytochrome P450 isozyme involved in the metabolism of bosutinib is CYP3A4 and drug interaction studies have shown that ketoconazole and rifampicin had marked effect on the pharmacokinetics of bosutinib (see section 4.5).</w:t>
      </w:r>
    </w:p>
    <w:p w14:paraId="3FC11EDC" w14:textId="77777777" w:rsidR="00067E47" w:rsidRPr="00067E47" w:rsidRDefault="00067E47" w:rsidP="00067E47">
      <w:pPr>
        <w:tabs>
          <w:tab w:val="left" w:pos="851"/>
        </w:tabs>
        <w:ind w:left="851"/>
        <w:rPr>
          <w:sz w:val="24"/>
          <w:szCs w:val="24"/>
          <w:lang w:val="en-GB"/>
        </w:rPr>
      </w:pPr>
      <w:r w:rsidRPr="00067E47">
        <w:rPr>
          <w:sz w:val="24"/>
          <w:szCs w:val="24"/>
          <w:lang w:val="en-GB"/>
        </w:rPr>
        <w:t>No metabolism of bosutinib was observed with CYPs 1A2, 2A6, 2B6, 2C8, 2C9, 2C19, 2D6, 2E1, or 3A5.</w:t>
      </w:r>
    </w:p>
    <w:p w14:paraId="6EC9BAFB" w14:textId="77777777" w:rsidR="00067E47" w:rsidRPr="00067E47" w:rsidRDefault="00067E47" w:rsidP="00067E47">
      <w:pPr>
        <w:tabs>
          <w:tab w:val="left" w:pos="851"/>
        </w:tabs>
        <w:ind w:left="851"/>
        <w:rPr>
          <w:sz w:val="24"/>
          <w:szCs w:val="24"/>
          <w:lang w:val="en-GB"/>
        </w:rPr>
      </w:pPr>
    </w:p>
    <w:p w14:paraId="4C171FF3" w14:textId="77777777" w:rsidR="00067E47" w:rsidRPr="00067E47" w:rsidRDefault="00067E47" w:rsidP="00067E47">
      <w:pPr>
        <w:tabs>
          <w:tab w:val="left" w:pos="851"/>
        </w:tabs>
        <w:ind w:left="851"/>
        <w:rPr>
          <w:sz w:val="24"/>
          <w:szCs w:val="24"/>
          <w:u w:val="single"/>
          <w:lang w:val="en-GB"/>
        </w:rPr>
      </w:pPr>
      <w:r w:rsidRPr="00067E47">
        <w:rPr>
          <w:sz w:val="24"/>
          <w:szCs w:val="24"/>
          <w:u w:val="single"/>
          <w:lang w:val="en-GB"/>
        </w:rPr>
        <w:t>Elimination</w:t>
      </w:r>
    </w:p>
    <w:p w14:paraId="2E31955B" w14:textId="77777777" w:rsidR="00067E47" w:rsidRPr="00067E47" w:rsidRDefault="00067E47" w:rsidP="00067E47">
      <w:pPr>
        <w:tabs>
          <w:tab w:val="left" w:pos="851"/>
        </w:tabs>
        <w:ind w:left="851"/>
        <w:rPr>
          <w:sz w:val="24"/>
          <w:szCs w:val="24"/>
          <w:lang w:val="en-GB"/>
        </w:rPr>
      </w:pPr>
      <w:r w:rsidRPr="00067E47">
        <w:rPr>
          <w:sz w:val="24"/>
          <w:szCs w:val="24"/>
          <w:lang w:val="en-GB"/>
        </w:rPr>
        <w:t xml:space="preserve">In healthy subjects given a single intravenous dose of 120 mg bosutinib, the mean (%CV) terminal elimination half-life was 35.5 (24) hours, and the mean (%CV) clearance was 61.9 (26) L/h. In a mass-balance study with oral bosutinib, an average of 94.6% of the total dose </w:t>
      </w:r>
      <w:r w:rsidRPr="00067E47">
        <w:rPr>
          <w:sz w:val="24"/>
          <w:szCs w:val="24"/>
          <w:lang w:val="en-GB"/>
        </w:rPr>
        <w:lastRenderedPageBreak/>
        <w:t>was recovered in 9 days; faeces (91.3%) was the major route of excretion, with 3.29% of the dose recovered in urine.</w:t>
      </w:r>
    </w:p>
    <w:p w14:paraId="3F3B8300" w14:textId="77777777" w:rsidR="00067E47" w:rsidRPr="00067E47" w:rsidRDefault="00067E47" w:rsidP="00067E47">
      <w:pPr>
        <w:tabs>
          <w:tab w:val="left" w:pos="851"/>
        </w:tabs>
        <w:ind w:left="851"/>
        <w:rPr>
          <w:sz w:val="24"/>
          <w:szCs w:val="24"/>
          <w:lang w:val="en-GB"/>
        </w:rPr>
      </w:pPr>
      <w:r w:rsidRPr="00067E47">
        <w:rPr>
          <w:sz w:val="24"/>
          <w:szCs w:val="24"/>
          <w:lang w:val="en-GB"/>
        </w:rPr>
        <w:t>Seventy-five percent of the dose was recovered within 96 hours. Excretion of unchanged bosutinib in urine was low with approximately 1% of the dose in both healthy subjects and those with advanced malignant solid tumours.</w:t>
      </w:r>
    </w:p>
    <w:p w14:paraId="691D60A7" w14:textId="77777777" w:rsidR="00067E47" w:rsidRPr="00067E47" w:rsidRDefault="00067E47" w:rsidP="00067E47">
      <w:pPr>
        <w:tabs>
          <w:tab w:val="left" w:pos="851"/>
        </w:tabs>
        <w:ind w:left="851"/>
        <w:rPr>
          <w:sz w:val="24"/>
          <w:szCs w:val="24"/>
          <w:lang w:val="en-GB"/>
        </w:rPr>
      </w:pPr>
    </w:p>
    <w:p w14:paraId="2711D5B7" w14:textId="74FD9B09" w:rsidR="00067E47" w:rsidRDefault="00067E47" w:rsidP="00067E47">
      <w:pPr>
        <w:tabs>
          <w:tab w:val="left" w:pos="851"/>
        </w:tabs>
        <w:ind w:left="851"/>
        <w:rPr>
          <w:sz w:val="24"/>
          <w:szCs w:val="24"/>
          <w:u w:val="single"/>
          <w:lang w:val="en-GB"/>
        </w:rPr>
      </w:pPr>
      <w:r w:rsidRPr="00067E47">
        <w:rPr>
          <w:sz w:val="24"/>
          <w:szCs w:val="24"/>
          <w:u w:val="single"/>
          <w:lang w:val="en-GB"/>
        </w:rPr>
        <w:t>Special populations</w:t>
      </w:r>
    </w:p>
    <w:p w14:paraId="4031A82C" w14:textId="77777777" w:rsidR="00067E47" w:rsidRPr="00067E47" w:rsidRDefault="00067E47" w:rsidP="00067E47">
      <w:pPr>
        <w:tabs>
          <w:tab w:val="left" w:pos="851"/>
        </w:tabs>
        <w:ind w:left="851"/>
        <w:rPr>
          <w:sz w:val="24"/>
          <w:szCs w:val="24"/>
          <w:u w:val="single"/>
          <w:lang w:val="en-GB"/>
        </w:rPr>
      </w:pPr>
    </w:p>
    <w:p w14:paraId="7240884C" w14:textId="77777777" w:rsidR="00067E47" w:rsidRPr="00067E47" w:rsidRDefault="00067E47" w:rsidP="00067E47">
      <w:pPr>
        <w:tabs>
          <w:tab w:val="left" w:pos="851"/>
        </w:tabs>
        <w:ind w:left="851"/>
        <w:rPr>
          <w:i/>
          <w:sz w:val="24"/>
          <w:szCs w:val="24"/>
          <w:lang w:val="en-GB"/>
        </w:rPr>
      </w:pPr>
      <w:r w:rsidRPr="00067E47">
        <w:rPr>
          <w:i/>
          <w:sz w:val="24"/>
          <w:szCs w:val="24"/>
          <w:lang w:val="en-GB"/>
        </w:rPr>
        <w:t>Hepatic impairment</w:t>
      </w:r>
    </w:p>
    <w:p w14:paraId="30B9BC01" w14:textId="77777777" w:rsidR="00067E47" w:rsidRPr="00067E47" w:rsidRDefault="00067E47" w:rsidP="00067E47">
      <w:pPr>
        <w:tabs>
          <w:tab w:val="left" w:pos="851"/>
        </w:tabs>
        <w:ind w:left="851"/>
        <w:rPr>
          <w:sz w:val="24"/>
          <w:szCs w:val="24"/>
          <w:lang w:val="en-GB"/>
        </w:rPr>
      </w:pPr>
      <w:r w:rsidRPr="00067E47">
        <w:rPr>
          <w:sz w:val="24"/>
          <w:szCs w:val="24"/>
          <w:lang w:val="en-GB"/>
        </w:rPr>
        <w:t>A 200 mg dose of bosutinib administered with food was evaluated in a cohort of 18 hepatically impaired subjects (Child-Pugh classes A, B, and C) and 9 matched healthy subjects. C</w:t>
      </w:r>
      <w:r w:rsidRPr="00067E47">
        <w:rPr>
          <w:sz w:val="24"/>
          <w:szCs w:val="24"/>
          <w:vertAlign w:val="subscript"/>
          <w:lang w:val="en-GB"/>
        </w:rPr>
        <w:t>max</w:t>
      </w:r>
      <w:r w:rsidRPr="00067E47">
        <w:rPr>
          <w:sz w:val="24"/>
          <w:szCs w:val="24"/>
          <w:lang w:val="en-GB"/>
        </w:rPr>
        <w:t xml:space="preserve"> of bosutinib in plasma increased 2.4</w:t>
      </w:r>
      <w:r w:rsidRPr="00067E47">
        <w:rPr>
          <w:sz w:val="24"/>
          <w:szCs w:val="24"/>
          <w:lang w:val="en-GB"/>
        </w:rPr>
        <w:noBreakHyphen/>
        <w:t>fold, 2</w:t>
      </w:r>
      <w:r w:rsidRPr="00067E47">
        <w:rPr>
          <w:sz w:val="24"/>
          <w:szCs w:val="24"/>
          <w:lang w:val="en-GB"/>
        </w:rPr>
        <w:noBreakHyphen/>
        <w:t>fold, and 1.5</w:t>
      </w:r>
      <w:r w:rsidRPr="00067E47">
        <w:rPr>
          <w:sz w:val="24"/>
          <w:szCs w:val="24"/>
          <w:lang w:val="en-GB"/>
        </w:rPr>
        <w:noBreakHyphen/>
        <w:t>fold, respectively, in Child-Pugh classes A, B, and C; and bosutinib AUC in plasma increased 2.3</w:t>
      </w:r>
      <w:r w:rsidRPr="00067E47">
        <w:rPr>
          <w:sz w:val="24"/>
          <w:szCs w:val="24"/>
          <w:lang w:val="en-GB"/>
        </w:rPr>
        <w:noBreakHyphen/>
        <w:t>fold, 2</w:t>
      </w:r>
      <w:r w:rsidRPr="00067E47">
        <w:rPr>
          <w:sz w:val="24"/>
          <w:szCs w:val="24"/>
          <w:lang w:val="en-GB"/>
        </w:rPr>
        <w:noBreakHyphen/>
        <w:t>fold, and 1.9</w:t>
      </w:r>
      <w:r w:rsidRPr="00067E47">
        <w:rPr>
          <w:sz w:val="24"/>
          <w:szCs w:val="24"/>
          <w:lang w:val="en-GB"/>
        </w:rPr>
        <w:noBreakHyphen/>
        <w:t>fold, respectively. The t½ of bosutinib increased in hepatic impaired patients as compared to the healthy subjects.</w:t>
      </w:r>
    </w:p>
    <w:p w14:paraId="606E3785" w14:textId="77777777" w:rsidR="00067E47" w:rsidRPr="00067E47" w:rsidRDefault="00067E47" w:rsidP="00067E47">
      <w:pPr>
        <w:tabs>
          <w:tab w:val="left" w:pos="851"/>
        </w:tabs>
        <w:ind w:left="851"/>
        <w:rPr>
          <w:i/>
          <w:sz w:val="24"/>
          <w:szCs w:val="24"/>
          <w:lang w:val="en-GB"/>
        </w:rPr>
      </w:pPr>
    </w:p>
    <w:p w14:paraId="7F54DC41" w14:textId="77777777" w:rsidR="00067E47" w:rsidRPr="00067E47" w:rsidRDefault="00067E47" w:rsidP="00067E47">
      <w:pPr>
        <w:tabs>
          <w:tab w:val="left" w:pos="851"/>
        </w:tabs>
        <w:ind w:left="851"/>
        <w:rPr>
          <w:i/>
          <w:sz w:val="24"/>
          <w:szCs w:val="24"/>
          <w:lang w:val="en-GB"/>
        </w:rPr>
      </w:pPr>
      <w:r w:rsidRPr="00067E47">
        <w:rPr>
          <w:i/>
          <w:sz w:val="24"/>
          <w:szCs w:val="24"/>
          <w:lang w:val="en-GB"/>
        </w:rPr>
        <w:t>Renal impairment</w:t>
      </w:r>
    </w:p>
    <w:p w14:paraId="75929BE0" w14:textId="77777777" w:rsidR="00067E47" w:rsidRPr="00067E47" w:rsidRDefault="00067E47" w:rsidP="00067E47">
      <w:pPr>
        <w:tabs>
          <w:tab w:val="left" w:pos="851"/>
        </w:tabs>
        <w:ind w:left="851"/>
        <w:rPr>
          <w:sz w:val="24"/>
          <w:szCs w:val="24"/>
          <w:lang w:val="en-GB"/>
        </w:rPr>
      </w:pPr>
      <w:r w:rsidRPr="00067E47">
        <w:rPr>
          <w:sz w:val="24"/>
          <w:szCs w:val="24"/>
          <w:lang w:val="en-GB"/>
        </w:rPr>
        <w:t>In a renal impairment study, a single dose of 200 mg bosutinib was administered with food to 26 subjects with mild, moderate, or severe renal impairment and to 8 matching healthy volunteers.</w:t>
      </w:r>
    </w:p>
    <w:p w14:paraId="1472E0BB" w14:textId="77777777" w:rsidR="00067E47" w:rsidRPr="00067E47" w:rsidRDefault="00067E47" w:rsidP="00067E47">
      <w:pPr>
        <w:tabs>
          <w:tab w:val="left" w:pos="851"/>
        </w:tabs>
        <w:ind w:left="851"/>
        <w:rPr>
          <w:sz w:val="24"/>
          <w:szCs w:val="24"/>
          <w:lang w:val="en-GB"/>
        </w:rPr>
      </w:pPr>
      <w:r w:rsidRPr="00067E47">
        <w:rPr>
          <w:sz w:val="24"/>
          <w:szCs w:val="24"/>
          <w:lang w:val="en-GB"/>
        </w:rPr>
        <w:t>Renal impairment was based on CL</w:t>
      </w:r>
      <w:r w:rsidRPr="00067E47">
        <w:rPr>
          <w:sz w:val="24"/>
          <w:szCs w:val="24"/>
          <w:vertAlign w:val="subscript"/>
          <w:lang w:val="en-GB"/>
        </w:rPr>
        <w:t>Cr</w:t>
      </w:r>
      <w:r w:rsidRPr="00067E47">
        <w:rPr>
          <w:sz w:val="24"/>
          <w:szCs w:val="24"/>
          <w:lang w:val="en-GB"/>
        </w:rPr>
        <w:t xml:space="preserve"> (calculated by the Cockcroft-Gault formula) of &lt; 30 ml/min (severe renal impairment), 30 ≤ CL</w:t>
      </w:r>
      <w:r w:rsidRPr="00067E47">
        <w:rPr>
          <w:sz w:val="24"/>
          <w:szCs w:val="24"/>
          <w:vertAlign w:val="subscript"/>
          <w:lang w:val="en-GB"/>
        </w:rPr>
        <w:t>Cr</w:t>
      </w:r>
      <w:r w:rsidRPr="00067E47">
        <w:rPr>
          <w:sz w:val="24"/>
          <w:szCs w:val="24"/>
          <w:lang w:val="en-GB"/>
        </w:rPr>
        <w:t> ≤ 50 ml/min (moderate renal impairment), or 50 &lt; CL</w:t>
      </w:r>
      <w:r w:rsidRPr="00067E47">
        <w:rPr>
          <w:sz w:val="24"/>
          <w:szCs w:val="24"/>
          <w:vertAlign w:val="subscript"/>
          <w:lang w:val="en-GB"/>
        </w:rPr>
        <w:t>Cr</w:t>
      </w:r>
      <w:r w:rsidRPr="00067E47">
        <w:rPr>
          <w:sz w:val="24"/>
          <w:szCs w:val="24"/>
          <w:lang w:val="en-GB"/>
        </w:rPr>
        <w:t> ≤ 80 ml/min (mild renal impairment). Subjects with moderate and severe renal impairment had an increase in AUC over healthy volunteers of 35% and 60%, respectively. Maximal exposure C</w:t>
      </w:r>
      <w:r w:rsidRPr="00067E47">
        <w:rPr>
          <w:sz w:val="24"/>
          <w:szCs w:val="24"/>
          <w:vertAlign w:val="subscript"/>
          <w:lang w:val="en-GB"/>
        </w:rPr>
        <w:t>max</w:t>
      </w:r>
      <w:r w:rsidRPr="00067E47">
        <w:rPr>
          <w:sz w:val="24"/>
          <w:szCs w:val="24"/>
          <w:lang w:val="en-GB"/>
        </w:rPr>
        <w:t xml:space="preserve"> increased by 28% and 34% in the moderate and severe groups, respectively. Bosutinib exposure was not increased in subjects with mild renal impairment. The elimination half-life of bosutinib in subjects with renal impairment was similar to that in healthy subjects.</w:t>
      </w:r>
    </w:p>
    <w:p w14:paraId="16241F42" w14:textId="77777777" w:rsidR="00067E47" w:rsidRPr="00067E47" w:rsidRDefault="00067E47" w:rsidP="00067E47">
      <w:pPr>
        <w:tabs>
          <w:tab w:val="left" w:pos="851"/>
        </w:tabs>
        <w:ind w:left="851"/>
        <w:rPr>
          <w:sz w:val="24"/>
          <w:szCs w:val="24"/>
          <w:lang w:val="en-GB"/>
        </w:rPr>
      </w:pPr>
    </w:p>
    <w:p w14:paraId="02CFD8BC" w14:textId="77777777" w:rsidR="00067E47" w:rsidRPr="00067E47" w:rsidRDefault="00067E47" w:rsidP="00067E47">
      <w:pPr>
        <w:tabs>
          <w:tab w:val="left" w:pos="851"/>
        </w:tabs>
        <w:ind w:left="851"/>
        <w:rPr>
          <w:sz w:val="24"/>
          <w:szCs w:val="24"/>
          <w:lang w:val="en-GB"/>
        </w:rPr>
      </w:pPr>
      <w:r w:rsidRPr="00067E47">
        <w:rPr>
          <w:sz w:val="24"/>
          <w:szCs w:val="24"/>
          <w:lang w:val="en-GB"/>
        </w:rPr>
        <w:t>Dose adjustments for renal impairment were based on the results of this study, and the known linear pharmacokinetics of bosutinib in the dose range of 200 to 600 mg.</w:t>
      </w:r>
    </w:p>
    <w:p w14:paraId="7ABA48C9" w14:textId="77777777" w:rsidR="00067E47" w:rsidRPr="00067E47" w:rsidRDefault="00067E47" w:rsidP="00067E47">
      <w:pPr>
        <w:tabs>
          <w:tab w:val="left" w:pos="851"/>
        </w:tabs>
        <w:ind w:left="851"/>
        <w:rPr>
          <w:sz w:val="24"/>
          <w:szCs w:val="24"/>
          <w:lang w:val="en-GB"/>
        </w:rPr>
      </w:pPr>
    </w:p>
    <w:p w14:paraId="57873278" w14:textId="77777777" w:rsidR="00067E47" w:rsidRPr="00067E47" w:rsidRDefault="00067E47" w:rsidP="00067E47">
      <w:pPr>
        <w:tabs>
          <w:tab w:val="left" w:pos="851"/>
        </w:tabs>
        <w:ind w:left="851"/>
        <w:rPr>
          <w:i/>
          <w:sz w:val="24"/>
          <w:szCs w:val="24"/>
          <w:lang w:val="en-GB"/>
        </w:rPr>
      </w:pPr>
      <w:r w:rsidRPr="00067E47">
        <w:rPr>
          <w:i/>
          <w:sz w:val="24"/>
          <w:szCs w:val="24"/>
          <w:lang w:val="en-GB"/>
        </w:rPr>
        <w:t>Age, gender and race</w:t>
      </w:r>
    </w:p>
    <w:p w14:paraId="78A80247" w14:textId="77777777" w:rsidR="00067E47" w:rsidRPr="00067E47" w:rsidRDefault="00067E47" w:rsidP="00067E47">
      <w:pPr>
        <w:tabs>
          <w:tab w:val="left" w:pos="851"/>
        </w:tabs>
        <w:ind w:left="851"/>
        <w:rPr>
          <w:sz w:val="24"/>
          <w:szCs w:val="24"/>
          <w:lang w:val="en-GB"/>
        </w:rPr>
      </w:pPr>
      <w:r w:rsidRPr="00067E47">
        <w:rPr>
          <w:sz w:val="24"/>
          <w:szCs w:val="24"/>
          <w:lang w:val="en-GB"/>
        </w:rPr>
        <w:t>No formal studies have been performed to assess the effects of these demographic factors. Population pharmacokinetic analyses in patients with Ph+ leukaemia or malignant solid tumour and in healthy subjects indicate that there are no clinically relevant effects of age, gender or body weight. Population pharmacokinetic analyses revealed that Asians had a 18% lower clearance corresponding to an approximately 25% increase in bosutinib exposure (AUC).</w:t>
      </w:r>
    </w:p>
    <w:p w14:paraId="606C5214" w14:textId="77777777" w:rsidR="00067E47" w:rsidRPr="00067E47" w:rsidRDefault="00067E47" w:rsidP="00067E47">
      <w:pPr>
        <w:tabs>
          <w:tab w:val="left" w:pos="851"/>
        </w:tabs>
        <w:ind w:left="851"/>
        <w:rPr>
          <w:sz w:val="24"/>
          <w:szCs w:val="24"/>
          <w:lang w:val="en-GB"/>
        </w:rPr>
      </w:pPr>
    </w:p>
    <w:p w14:paraId="3695C5DF" w14:textId="77777777" w:rsidR="00067E47" w:rsidRPr="00067E47" w:rsidRDefault="00067E47" w:rsidP="00067E47">
      <w:pPr>
        <w:tabs>
          <w:tab w:val="left" w:pos="851"/>
        </w:tabs>
        <w:ind w:left="851"/>
        <w:rPr>
          <w:i/>
          <w:sz w:val="24"/>
          <w:szCs w:val="24"/>
          <w:lang w:val="en-GB"/>
        </w:rPr>
      </w:pPr>
      <w:r w:rsidRPr="00067E47">
        <w:rPr>
          <w:i/>
          <w:sz w:val="24"/>
          <w:szCs w:val="24"/>
          <w:lang w:val="en-GB"/>
        </w:rPr>
        <w:t>Paediatric population</w:t>
      </w:r>
    </w:p>
    <w:p w14:paraId="2AD4D87A" w14:textId="77777777" w:rsidR="00067E47" w:rsidRPr="00067E47" w:rsidRDefault="00067E47" w:rsidP="00067E47">
      <w:pPr>
        <w:tabs>
          <w:tab w:val="left" w:pos="851"/>
        </w:tabs>
        <w:ind w:left="851"/>
        <w:rPr>
          <w:sz w:val="24"/>
          <w:szCs w:val="24"/>
          <w:lang w:val="en-GB"/>
        </w:rPr>
      </w:pPr>
      <w:r w:rsidRPr="00067E47">
        <w:rPr>
          <w:sz w:val="24"/>
          <w:szCs w:val="24"/>
          <w:lang w:val="en-GB"/>
        </w:rPr>
        <w:t>Bosutinib has not yet been studied in children and adolescents less than 18 years of age.</w:t>
      </w:r>
    </w:p>
    <w:p w14:paraId="42817957" w14:textId="77777777" w:rsidR="00067E47" w:rsidRPr="00067E47" w:rsidRDefault="00067E47" w:rsidP="00067E47">
      <w:pPr>
        <w:tabs>
          <w:tab w:val="left" w:pos="851"/>
        </w:tabs>
        <w:ind w:left="851"/>
        <w:rPr>
          <w:iCs/>
          <w:sz w:val="24"/>
          <w:szCs w:val="24"/>
          <w:lang w:val="en-GB"/>
        </w:rPr>
      </w:pPr>
    </w:p>
    <w:p w14:paraId="20008ED2"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5DE8B5C1" w14:textId="77777777" w:rsidR="00931010" w:rsidRPr="00931010" w:rsidRDefault="00931010" w:rsidP="00931010">
      <w:pPr>
        <w:tabs>
          <w:tab w:val="left" w:pos="851"/>
        </w:tabs>
        <w:ind w:left="851"/>
        <w:rPr>
          <w:sz w:val="24"/>
          <w:szCs w:val="24"/>
          <w:lang w:val="en-GB"/>
        </w:rPr>
      </w:pPr>
      <w:r w:rsidRPr="00931010">
        <w:rPr>
          <w:sz w:val="24"/>
          <w:szCs w:val="24"/>
          <w:lang w:val="en-GB"/>
        </w:rPr>
        <w:t>Bosutinib has been evaluated in safety pharmacology, repeated dose toxicity, genotoxicity, reproductive toxicity, and phototoxicity studies.</w:t>
      </w:r>
    </w:p>
    <w:p w14:paraId="43918395" w14:textId="77777777" w:rsidR="00931010" w:rsidRPr="00931010" w:rsidRDefault="00931010" w:rsidP="00931010">
      <w:pPr>
        <w:tabs>
          <w:tab w:val="left" w:pos="851"/>
        </w:tabs>
        <w:ind w:left="851"/>
        <w:rPr>
          <w:sz w:val="24"/>
          <w:szCs w:val="24"/>
          <w:lang w:val="en-GB"/>
        </w:rPr>
      </w:pPr>
    </w:p>
    <w:p w14:paraId="4071B622" w14:textId="77777777" w:rsidR="00931010" w:rsidRPr="00931010" w:rsidRDefault="00931010" w:rsidP="00931010">
      <w:pPr>
        <w:tabs>
          <w:tab w:val="left" w:pos="851"/>
        </w:tabs>
        <w:ind w:left="851"/>
        <w:rPr>
          <w:sz w:val="24"/>
          <w:szCs w:val="24"/>
          <w:u w:val="single"/>
          <w:lang w:val="en-GB"/>
        </w:rPr>
      </w:pPr>
      <w:r w:rsidRPr="00931010">
        <w:rPr>
          <w:sz w:val="24"/>
          <w:szCs w:val="24"/>
          <w:u w:val="single"/>
          <w:lang w:val="en-GB"/>
        </w:rPr>
        <w:t>Safety pharmacology</w:t>
      </w:r>
    </w:p>
    <w:p w14:paraId="6565095F" w14:textId="77777777" w:rsidR="00931010" w:rsidRPr="00931010" w:rsidRDefault="00931010" w:rsidP="00931010">
      <w:pPr>
        <w:tabs>
          <w:tab w:val="left" w:pos="851"/>
        </w:tabs>
        <w:ind w:left="851"/>
        <w:rPr>
          <w:sz w:val="24"/>
          <w:szCs w:val="24"/>
          <w:lang w:val="en-GB"/>
        </w:rPr>
      </w:pPr>
      <w:r w:rsidRPr="00931010">
        <w:rPr>
          <w:sz w:val="24"/>
          <w:szCs w:val="24"/>
          <w:lang w:val="en-GB"/>
        </w:rPr>
        <w:t xml:space="preserve">Bosutinib did not have effects on respiratory functions. In a study of the central nervous system (CNS), bosutinib treated rats displayed decreased pupil size and impaired gait. A no observed effect level (NOEL) for pupil size was not established, but the NOEL for </w:t>
      </w:r>
      <w:r w:rsidRPr="00931010">
        <w:rPr>
          <w:sz w:val="24"/>
          <w:szCs w:val="24"/>
          <w:lang w:val="en-GB"/>
        </w:rPr>
        <w:lastRenderedPageBreak/>
        <w:t>impaired gait occurred at exposures approximately 11</w:t>
      </w:r>
      <w:r w:rsidRPr="00931010">
        <w:rPr>
          <w:sz w:val="24"/>
          <w:szCs w:val="24"/>
          <w:lang w:val="en-GB"/>
        </w:rPr>
        <w:noBreakHyphen/>
        <w:t>times the human exposure resulting from the clinical dose of 400 mg and 8</w:t>
      </w:r>
      <w:r w:rsidRPr="00931010">
        <w:rPr>
          <w:sz w:val="24"/>
          <w:szCs w:val="24"/>
          <w:lang w:val="en-GB"/>
        </w:rPr>
        <w:noBreakHyphen/>
        <w:t>times the human exposure resulting from the clinical dose of 500 mg (based on unbound C</w:t>
      </w:r>
      <w:r w:rsidRPr="00931010">
        <w:rPr>
          <w:sz w:val="24"/>
          <w:szCs w:val="24"/>
          <w:vertAlign w:val="subscript"/>
          <w:lang w:val="en-GB"/>
        </w:rPr>
        <w:t>max</w:t>
      </w:r>
      <w:r w:rsidRPr="00931010">
        <w:rPr>
          <w:sz w:val="24"/>
          <w:szCs w:val="24"/>
          <w:lang w:val="en-GB"/>
        </w:rPr>
        <w:t xml:space="preserve"> in the respective species). Bosutinib activity </w:t>
      </w:r>
      <w:r w:rsidRPr="00931010">
        <w:rPr>
          <w:i/>
          <w:sz w:val="24"/>
          <w:szCs w:val="24"/>
          <w:lang w:val="en-GB"/>
        </w:rPr>
        <w:t>in vitro</w:t>
      </w:r>
      <w:r w:rsidRPr="00931010">
        <w:rPr>
          <w:sz w:val="24"/>
          <w:szCs w:val="24"/>
          <w:lang w:val="en-GB"/>
        </w:rPr>
        <w:t xml:space="preserve"> in hERG assays suggested a potential for prolongation of cardiac ventricular repolarisation (QTc). In an oral study of bosutinib in dogs, bosutinib did not produce changes in blood pressure, abnormal atrial or ventricular arrhythmias, or prolongation of the PR, QRS, or QTc of the ECG at exposures up to 3</w:t>
      </w:r>
      <w:r w:rsidRPr="00931010">
        <w:rPr>
          <w:sz w:val="24"/>
          <w:szCs w:val="24"/>
          <w:lang w:val="en-GB"/>
        </w:rPr>
        <w:noBreakHyphen/>
        <w:t>times the human exposure resulting from the clinical dose of 400 mg and 2</w:t>
      </w:r>
      <w:r w:rsidRPr="00931010">
        <w:rPr>
          <w:sz w:val="24"/>
          <w:szCs w:val="24"/>
          <w:lang w:val="en-GB"/>
        </w:rPr>
        <w:noBreakHyphen/>
        <w:t>times the human exposure resulting from the clinical dose of 500 mg (based on unbound C</w:t>
      </w:r>
      <w:r w:rsidRPr="00931010">
        <w:rPr>
          <w:sz w:val="24"/>
          <w:szCs w:val="24"/>
          <w:vertAlign w:val="subscript"/>
          <w:lang w:val="en-GB"/>
        </w:rPr>
        <w:t>max</w:t>
      </w:r>
      <w:r w:rsidRPr="00931010">
        <w:rPr>
          <w:sz w:val="24"/>
          <w:szCs w:val="24"/>
          <w:lang w:val="en-GB"/>
        </w:rPr>
        <w:t xml:space="preserve"> in the respective species). A delayed increase in heart rate was observed. In an intravenous study in dogs, transient increases in heart rate and decreases in blood pressure and minimal prolongation of the QTc (&lt; 10 msec) were observed at exposures ranging from approximately 6</w:t>
      </w:r>
      <w:r w:rsidRPr="00931010">
        <w:rPr>
          <w:sz w:val="24"/>
          <w:szCs w:val="24"/>
          <w:lang w:val="en-GB"/>
        </w:rPr>
        <w:noBreakHyphen/>
        <w:t>times to 20</w:t>
      </w:r>
      <w:r w:rsidRPr="00931010">
        <w:rPr>
          <w:sz w:val="24"/>
          <w:szCs w:val="24"/>
          <w:lang w:val="en-GB"/>
        </w:rPr>
        <w:noBreakHyphen/>
        <w:t>times the human exposure resulting from the clinical dose of 400 mg and 4</w:t>
      </w:r>
      <w:r w:rsidRPr="00931010">
        <w:rPr>
          <w:sz w:val="24"/>
          <w:szCs w:val="24"/>
          <w:lang w:val="en-GB"/>
        </w:rPr>
        <w:noBreakHyphen/>
        <w:t>times to 15</w:t>
      </w:r>
      <w:r w:rsidRPr="00931010">
        <w:rPr>
          <w:sz w:val="24"/>
          <w:szCs w:val="24"/>
          <w:lang w:val="en-GB"/>
        </w:rPr>
        <w:noBreakHyphen/>
        <w:t>times the human exposure resulting from the clinical dose of 500 mg (based on unbound C</w:t>
      </w:r>
      <w:r w:rsidRPr="00931010">
        <w:rPr>
          <w:sz w:val="24"/>
          <w:szCs w:val="24"/>
          <w:vertAlign w:val="subscript"/>
          <w:lang w:val="en-GB"/>
        </w:rPr>
        <w:t>max</w:t>
      </w:r>
      <w:r w:rsidRPr="00931010">
        <w:rPr>
          <w:sz w:val="24"/>
          <w:szCs w:val="24"/>
          <w:lang w:val="en-GB"/>
        </w:rPr>
        <w:t xml:space="preserve"> in the respective species). The relationship between the observed effects and medicinal product treatment were inconclusive.</w:t>
      </w:r>
    </w:p>
    <w:p w14:paraId="7025653D" w14:textId="77777777" w:rsidR="00931010" w:rsidRPr="00931010" w:rsidRDefault="00931010" w:rsidP="00931010">
      <w:pPr>
        <w:tabs>
          <w:tab w:val="left" w:pos="851"/>
        </w:tabs>
        <w:ind w:left="851"/>
        <w:rPr>
          <w:sz w:val="24"/>
          <w:szCs w:val="24"/>
          <w:lang w:val="en-GB"/>
        </w:rPr>
      </w:pPr>
    </w:p>
    <w:p w14:paraId="65A9CC4B" w14:textId="77777777" w:rsidR="00931010" w:rsidRPr="00931010" w:rsidRDefault="00931010" w:rsidP="00931010">
      <w:pPr>
        <w:tabs>
          <w:tab w:val="left" w:pos="851"/>
        </w:tabs>
        <w:ind w:left="851"/>
        <w:rPr>
          <w:sz w:val="24"/>
          <w:szCs w:val="24"/>
          <w:u w:val="single"/>
          <w:lang w:val="en-GB"/>
        </w:rPr>
      </w:pPr>
      <w:r w:rsidRPr="00931010">
        <w:rPr>
          <w:sz w:val="24"/>
          <w:szCs w:val="24"/>
          <w:u w:val="single"/>
          <w:lang w:val="en-GB"/>
        </w:rPr>
        <w:t>Repeated-dose toxicity</w:t>
      </w:r>
    </w:p>
    <w:p w14:paraId="3E0F5241" w14:textId="77777777" w:rsidR="00931010" w:rsidRPr="00931010" w:rsidRDefault="00931010" w:rsidP="00931010">
      <w:pPr>
        <w:tabs>
          <w:tab w:val="left" w:pos="851"/>
        </w:tabs>
        <w:ind w:left="851"/>
        <w:rPr>
          <w:sz w:val="24"/>
          <w:szCs w:val="24"/>
          <w:lang w:val="en-GB"/>
        </w:rPr>
      </w:pPr>
      <w:r w:rsidRPr="00931010">
        <w:rPr>
          <w:sz w:val="24"/>
          <w:szCs w:val="24"/>
          <w:lang w:val="en-GB"/>
        </w:rPr>
        <w:t>Repeated-dose toxicity studies in rats of up to 6 months in duration and in dogs up to 9 months in duration revealed the gastrointestinal system to be the primary target organ of toxicity of bosutinib.</w:t>
      </w:r>
    </w:p>
    <w:p w14:paraId="6CD36EDD" w14:textId="77777777" w:rsidR="00931010" w:rsidRPr="00931010" w:rsidRDefault="00931010" w:rsidP="00931010">
      <w:pPr>
        <w:tabs>
          <w:tab w:val="left" w:pos="851"/>
        </w:tabs>
        <w:ind w:left="851"/>
        <w:rPr>
          <w:sz w:val="24"/>
          <w:szCs w:val="24"/>
          <w:lang w:val="en-GB"/>
        </w:rPr>
      </w:pPr>
      <w:r w:rsidRPr="00931010">
        <w:rPr>
          <w:sz w:val="24"/>
          <w:szCs w:val="24"/>
          <w:lang w:val="en-GB"/>
        </w:rPr>
        <w:t>Clinical signs of toxicity included foecal changes and were associated with decreased food consumption and body weight loss which occasionally led to death or elective euthanasia.</w:t>
      </w:r>
    </w:p>
    <w:p w14:paraId="0650F9AB" w14:textId="77777777" w:rsidR="00931010" w:rsidRPr="00931010" w:rsidRDefault="00931010" w:rsidP="00931010">
      <w:pPr>
        <w:tabs>
          <w:tab w:val="left" w:pos="851"/>
        </w:tabs>
        <w:ind w:left="851"/>
        <w:rPr>
          <w:sz w:val="24"/>
          <w:szCs w:val="24"/>
          <w:lang w:val="en-GB"/>
        </w:rPr>
      </w:pPr>
    </w:p>
    <w:p w14:paraId="6B86BF74" w14:textId="77777777" w:rsidR="00931010" w:rsidRPr="00931010" w:rsidRDefault="00931010" w:rsidP="00931010">
      <w:pPr>
        <w:tabs>
          <w:tab w:val="left" w:pos="851"/>
        </w:tabs>
        <w:ind w:left="851"/>
        <w:rPr>
          <w:sz w:val="24"/>
          <w:szCs w:val="24"/>
          <w:lang w:val="en-GB"/>
        </w:rPr>
      </w:pPr>
      <w:r w:rsidRPr="00931010">
        <w:rPr>
          <w:sz w:val="24"/>
          <w:szCs w:val="24"/>
          <w:lang w:val="en-GB"/>
        </w:rPr>
        <w:t>Histopathologically, luminal dilation, goblet cell hyperplasia, haemorrhage, erosion, and oedema of the intestinal tract, and sinus erythrocytosis and haemorrhage in the mesenteric lymph nodes, were observed. The liver was also identified as a target organ in rats. Toxicities were characterised by an increase in liver weights in correlation with hepatocellular hypertrophy which occurred in the absence of elevated liver enzymes or microscopic signs of hepatocellular cytotoxicity, and is of unknown relevance to humans. The exposure comparison across species indicates that exposures that did not elicit adverse events in the 6</w:t>
      </w:r>
      <w:r w:rsidRPr="00931010">
        <w:rPr>
          <w:sz w:val="24"/>
          <w:szCs w:val="24"/>
          <w:lang w:val="en-GB"/>
        </w:rPr>
        <w:noBreakHyphen/>
        <w:t xml:space="preserve"> and 9</w:t>
      </w:r>
      <w:r w:rsidRPr="00931010">
        <w:rPr>
          <w:sz w:val="24"/>
          <w:szCs w:val="24"/>
          <w:lang w:val="en-GB"/>
        </w:rPr>
        <w:noBreakHyphen/>
        <w:t>month toxicity studies in rats and dogs, respectively, were similar to the human exposure resulting from a clinical dose of 400 mg or 500 mg (based on unbound AUC in the respective species).</w:t>
      </w:r>
    </w:p>
    <w:p w14:paraId="2B6BB709" w14:textId="77777777" w:rsidR="00931010" w:rsidRPr="00931010" w:rsidRDefault="00931010" w:rsidP="00931010">
      <w:pPr>
        <w:tabs>
          <w:tab w:val="left" w:pos="851"/>
        </w:tabs>
        <w:ind w:left="851"/>
        <w:rPr>
          <w:sz w:val="24"/>
          <w:szCs w:val="24"/>
          <w:lang w:val="en-GB"/>
        </w:rPr>
      </w:pPr>
    </w:p>
    <w:p w14:paraId="5E598B57" w14:textId="77777777" w:rsidR="00931010" w:rsidRPr="00931010" w:rsidRDefault="00931010" w:rsidP="00931010">
      <w:pPr>
        <w:tabs>
          <w:tab w:val="left" w:pos="851"/>
        </w:tabs>
        <w:ind w:left="851"/>
        <w:rPr>
          <w:sz w:val="24"/>
          <w:szCs w:val="24"/>
          <w:u w:val="single"/>
          <w:lang w:val="en-GB"/>
        </w:rPr>
      </w:pPr>
      <w:r w:rsidRPr="00931010">
        <w:rPr>
          <w:sz w:val="24"/>
          <w:szCs w:val="24"/>
          <w:u w:val="single"/>
          <w:lang w:val="en-GB"/>
        </w:rPr>
        <w:t>Genotoxicity</w:t>
      </w:r>
    </w:p>
    <w:p w14:paraId="2C4375DA" w14:textId="77777777" w:rsidR="00931010" w:rsidRPr="00931010" w:rsidRDefault="00931010" w:rsidP="00931010">
      <w:pPr>
        <w:tabs>
          <w:tab w:val="left" w:pos="851"/>
        </w:tabs>
        <w:ind w:left="851"/>
        <w:rPr>
          <w:sz w:val="24"/>
          <w:szCs w:val="24"/>
          <w:lang w:val="en-GB"/>
        </w:rPr>
      </w:pPr>
      <w:r w:rsidRPr="00931010">
        <w:rPr>
          <w:sz w:val="24"/>
          <w:szCs w:val="24"/>
          <w:lang w:val="en-GB"/>
        </w:rPr>
        <w:t xml:space="preserve">Genotoxicity studies in bacterial </w:t>
      </w:r>
      <w:r w:rsidRPr="00931010">
        <w:rPr>
          <w:i/>
          <w:sz w:val="24"/>
          <w:szCs w:val="24"/>
          <w:lang w:val="en-GB"/>
        </w:rPr>
        <w:t>in vitro</w:t>
      </w:r>
      <w:r w:rsidRPr="00931010">
        <w:rPr>
          <w:sz w:val="24"/>
          <w:szCs w:val="24"/>
          <w:lang w:val="en-GB"/>
        </w:rPr>
        <w:t xml:space="preserve"> systems and in mammalian </w:t>
      </w:r>
      <w:r w:rsidRPr="00931010">
        <w:rPr>
          <w:i/>
          <w:sz w:val="24"/>
          <w:szCs w:val="24"/>
          <w:lang w:val="en-GB"/>
        </w:rPr>
        <w:t>in vitro</w:t>
      </w:r>
      <w:r w:rsidRPr="00931010">
        <w:rPr>
          <w:sz w:val="24"/>
          <w:szCs w:val="24"/>
          <w:lang w:val="en-GB"/>
        </w:rPr>
        <w:t xml:space="preserve"> and </w:t>
      </w:r>
      <w:r w:rsidRPr="00931010">
        <w:rPr>
          <w:i/>
          <w:sz w:val="24"/>
          <w:szCs w:val="24"/>
          <w:lang w:val="en-GB"/>
        </w:rPr>
        <w:t>in vivo</w:t>
      </w:r>
      <w:r w:rsidRPr="00931010">
        <w:rPr>
          <w:sz w:val="24"/>
          <w:szCs w:val="24"/>
          <w:lang w:val="en-GB"/>
        </w:rPr>
        <w:t xml:space="preserve"> systems with and without metabolic activation did not reveal any evidence for a mutagenic potential of bosutinib.</w:t>
      </w:r>
    </w:p>
    <w:p w14:paraId="330CFF97" w14:textId="77777777" w:rsidR="00931010" w:rsidRPr="00931010" w:rsidRDefault="00931010" w:rsidP="00931010">
      <w:pPr>
        <w:tabs>
          <w:tab w:val="left" w:pos="851"/>
        </w:tabs>
        <w:ind w:left="851"/>
        <w:rPr>
          <w:sz w:val="24"/>
          <w:szCs w:val="24"/>
          <w:lang w:val="en-GB"/>
        </w:rPr>
      </w:pPr>
    </w:p>
    <w:p w14:paraId="14B62411" w14:textId="77777777" w:rsidR="00931010" w:rsidRPr="00931010" w:rsidRDefault="00931010" w:rsidP="00931010">
      <w:pPr>
        <w:tabs>
          <w:tab w:val="left" w:pos="851"/>
        </w:tabs>
        <w:ind w:left="851"/>
        <w:rPr>
          <w:sz w:val="24"/>
          <w:szCs w:val="24"/>
          <w:u w:val="single"/>
          <w:lang w:val="en-GB"/>
        </w:rPr>
      </w:pPr>
      <w:r w:rsidRPr="00931010">
        <w:rPr>
          <w:sz w:val="24"/>
          <w:szCs w:val="24"/>
          <w:u w:val="single"/>
          <w:lang w:val="en-GB"/>
        </w:rPr>
        <w:t>Reproductive toxicity and development toxicity</w:t>
      </w:r>
    </w:p>
    <w:p w14:paraId="2A925C58" w14:textId="77777777" w:rsidR="00931010" w:rsidRPr="00931010" w:rsidRDefault="00931010" w:rsidP="00931010">
      <w:pPr>
        <w:tabs>
          <w:tab w:val="left" w:pos="851"/>
        </w:tabs>
        <w:ind w:left="851"/>
        <w:rPr>
          <w:sz w:val="24"/>
          <w:szCs w:val="24"/>
          <w:lang w:val="en-GB"/>
        </w:rPr>
      </w:pPr>
      <w:r w:rsidRPr="00931010">
        <w:rPr>
          <w:sz w:val="24"/>
          <w:szCs w:val="24"/>
          <w:lang w:val="en-GB"/>
        </w:rPr>
        <w:t>In a rat fertility study, fertility was slightly decreased in males. Females were observed with increased embryonic resorptions, and decreases in implantations and viable embryos. The dose at which no adverse reproductive effects were observed in males (30 mg/kg/day) and females (3 mg/kg/day) resulted in exposures equal to 0.6</w:t>
      </w:r>
      <w:r w:rsidRPr="00931010">
        <w:rPr>
          <w:sz w:val="24"/>
          <w:szCs w:val="24"/>
          <w:lang w:val="en-GB"/>
        </w:rPr>
        <w:noBreakHyphen/>
        <w:t>times and 0.3</w:t>
      </w:r>
      <w:r w:rsidRPr="00931010">
        <w:rPr>
          <w:sz w:val="24"/>
          <w:szCs w:val="24"/>
          <w:lang w:val="en-GB"/>
        </w:rPr>
        <w:noBreakHyphen/>
        <w:t>times, respectively, the human exposure resulting from the clinical dose of 400 mg, and 0.5</w:t>
      </w:r>
      <w:r w:rsidRPr="00931010">
        <w:rPr>
          <w:sz w:val="24"/>
          <w:szCs w:val="24"/>
          <w:lang w:val="en-GB"/>
        </w:rPr>
        <w:noBreakHyphen/>
        <w:t>times and 0.2</w:t>
      </w:r>
      <w:r w:rsidRPr="00931010">
        <w:rPr>
          <w:sz w:val="24"/>
          <w:szCs w:val="24"/>
          <w:lang w:val="en-GB"/>
        </w:rPr>
        <w:noBreakHyphen/>
        <w:t>times, respectively, the human exposure resulting from the clinical dose of 500 mg (based on unbound AUC in the respective species). An effect on male fertility cannot be excluded (see section 4.6).</w:t>
      </w:r>
    </w:p>
    <w:p w14:paraId="4BED7056" w14:textId="77777777" w:rsidR="00931010" w:rsidRPr="00931010" w:rsidRDefault="00931010" w:rsidP="00931010">
      <w:pPr>
        <w:tabs>
          <w:tab w:val="left" w:pos="851"/>
        </w:tabs>
        <w:ind w:left="851"/>
        <w:rPr>
          <w:sz w:val="24"/>
          <w:szCs w:val="24"/>
          <w:lang w:val="en-GB"/>
        </w:rPr>
      </w:pPr>
    </w:p>
    <w:p w14:paraId="6EFB814F" w14:textId="77777777" w:rsidR="00931010" w:rsidRPr="00931010" w:rsidRDefault="00931010" w:rsidP="00931010">
      <w:pPr>
        <w:tabs>
          <w:tab w:val="left" w:pos="851"/>
        </w:tabs>
        <w:ind w:left="851"/>
        <w:rPr>
          <w:sz w:val="24"/>
          <w:szCs w:val="24"/>
          <w:lang w:val="en-GB"/>
        </w:rPr>
      </w:pPr>
      <w:r w:rsidRPr="00931010">
        <w:rPr>
          <w:sz w:val="24"/>
          <w:szCs w:val="24"/>
          <w:lang w:val="en-GB"/>
        </w:rPr>
        <w:lastRenderedPageBreak/>
        <w:t>Foetal exposure to bosutinib-derived radioactivity during pregnancy was demonstrated in a placental transfer study in gravid Sprague-Dawley rats. In a rat pre</w:t>
      </w:r>
      <w:r w:rsidRPr="00931010">
        <w:rPr>
          <w:sz w:val="24"/>
          <w:szCs w:val="24"/>
          <w:lang w:val="en-GB"/>
        </w:rPr>
        <w:noBreakHyphen/>
        <w:t xml:space="preserve"> and postnatal development study, there were reduced number of pups born at ≥ 30 mg/kg/day, and increased incidence of total litter loss and decreased growth of offspring after birth occurred at 70 mg/kg/day. The dose at which no adverse development effects were observed (10 mg/kg/day) resulted in exposures equal to 1.3</w:t>
      </w:r>
      <w:r w:rsidRPr="00931010">
        <w:rPr>
          <w:sz w:val="24"/>
          <w:szCs w:val="24"/>
          <w:lang w:val="en-GB"/>
        </w:rPr>
        <w:noBreakHyphen/>
        <w:t>times and 1.0</w:t>
      </w:r>
      <w:r w:rsidRPr="00931010">
        <w:rPr>
          <w:sz w:val="24"/>
          <w:szCs w:val="24"/>
          <w:lang w:val="en-GB"/>
        </w:rPr>
        <w:noBreakHyphen/>
        <w:t>times human exposure resulting from the clinical dose of 400 mg and 500 mg, respectively (based on unbound AUC in the respective species). In a rabbit developmental toxicity study at the maternally toxic dose, there were foetal anomalies observed (fused sternebrae, and 2 foetuses had various visceral observations), and a slight decrease in foetal body weight. The exposure at the highest dose tested in rabbits (10 mg/kg/day) that did not result in adverse foetal effects was 0.9</w:t>
      </w:r>
      <w:r w:rsidRPr="00931010">
        <w:rPr>
          <w:sz w:val="24"/>
          <w:szCs w:val="24"/>
          <w:lang w:val="en-GB"/>
        </w:rPr>
        <w:noBreakHyphen/>
        <w:t>times and 0.7</w:t>
      </w:r>
      <w:r w:rsidRPr="00931010">
        <w:rPr>
          <w:sz w:val="24"/>
          <w:szCs w:val="24"/>
          <w:lang w:val="en-GB"/>
        </w:rPr>
        <w:noBreakHyphen/>
        <w:t>times the human exposure resulting from the clinical dose of 400 mg or 500 mg, respectively (based on unbound AUC in the respective species).</w:t>
      </w:r>
    </w:p>
    <w:p w14:paraId="419CAD62" w14:textId="77777777" w:rsidR="00931010" w:rsidRPr="00931010" w:rsidRDefault="00931010" w:rsidP="00931010">
      <w:pPr>
        <w:tabs>
          <w:tab w:val="left" w:pos="851"/>
        </w:tabs>
        <w:ind w:left="851"/>
        <w:rPr>
          <w:sz w:val="24"/>
          <w:szCs w:val="24"/>
          <w:lang w:val="en-GB"/>
        </w:rPr>
      </w:pPr>
    </w:p>
    <w:p w14:paraId="32B461D8" w14:textId="77777777" w:rsidR="00931010" w:rsidRPr="00931010" w:rsidRDefault="00931010" w:rsidP="00931010">
      <w:pPr>
        <w:tabs>
          <w:tab w:val="left" w:pos="851"/>
        </w:tabs>
        <w:ind w:left="851"/>
        <w:rPr>
          <w:sz w:val="24"/>
          <w:szCs w:val="24"/>
          <w:lang w:val="en-GB"/>
        </w:rPr>
      </w:pPr>
      <w:r w:rsidRPr="00931010">
        <w:rPr>
          <w:sz w:val="24"/>
          <w:szCs w:val="24"/>
          <w:lang w:val="en-GB"/>
        </w:rPr>
        <w:t>Following a single oral (10 mg/kg) administration of [</w:t>
      </w:r>
      <w:r w:rsidRPr="00931010">
        <w:rPr>
          <w:sz w:val="24"/>
          <w:szCs w:val="24"/>
          <w:vertAlign w:val="superscript"/>
          <w:lang w:val="en-GB"/>
        </w:rPr>
        <w:t>14</w:t>
      </w:r>
      <w:r w:rsidRPr="00931010">
        <w:rPr>
          <w:sz w:val="24"/>
          <w:szCs w:val="24"/>
          <w:lang w:val="en-GB"/>
        </w:rPr>
        <w:t>C] radiolabelled bosutinib to lactating Sprague-Dawley rats, radioactivity was readily excreted into breast milk as early as 0.5 hr after dosing. Concentration of radioactivity in milk was up to 8</w:t>
      </w:r>
      <w:r w:rsidRPr="00931010">
        <w:rPr>
          <w:sz w:val="24"/>
          <w:szCs w:val="24"/>
          <w:lang w:val="en-GB"/>
        </w:rPr>
        <w:noBreakHyphen/>
        <w:t>fold higher than in plasma. This allowed measurable concentrations of radioactivity to appear in the plasma of nursing pups.</w:t>
      </w:r>
    </w:p>
    <w:p w14:paraId="4D1A5BC2" w14:textId="77777777" w:rsidR="00931010" w:rsidRPr="00931010" w:rsidRDefault="00931010" w:rsidP="00931010">
      <w:pPr>
        <w:tabs>
          <w:tab w:val="left" w:pos="851"/>
        </w:tabs>
        <w:ind w:left="851"/>
        <w:rPr>
          <w:sz w:val="24"/>
          <w:szCs w:val="24"/>
          <w:lang w:val="en-GB"/>
        </w:rPr>
      </w:pPr>
    </w:p>
    <w:p w14:paraId="073EF57A" w14:textId="77777777" w:rsidR="00931010" w:rsidRPr="00931010" w:rsidRDefault="00931010" w:rsidP="00931010">
      <w:pPr>
        <w:tabs>
          <w:tab w:val="left" w:pos="851"/>
        </w:tabs>
        <w:ind w:left="851"/>
        <w:rPr>
          <w:sz w:val="24"/>
          <w:szCs w:val="24"/>
          <w:u w:val="single"/>
          <w:lang w:val="en-GB"/>
        </w:rPr>
      </w:pPr>
      <w:r w:rsidRPr="00931010">
        <w:rPr>
          <w:sz w:val="24"/>
          <w:szCs w:val="24"/>
          <w:u w:val="single"/>
          <w:lang w:val="en-GB"/>
        </w:rPr>
        <w:t>Carcinogenicity</w:t>
      </w:r>
    </w:p>
    <w:p w14:paraId="155BEE30" w14:textId="77777777" w:rsidR="00931010" w:rsidRPr="00931010" w:rsidRDefault="00931010" w:rsidP="00931010">
      <w:pPr>
        <w:tabs>
          <w:tab w:val="left" w:pos="851"/>
        </w:tabs>
        <w:ind w:left="851"/>
        <w:rPr>
          <w:sz w:val="24"/>
          <w:szCs w:val="24"/>
          <w:lang w:val="en-GB"/>
        </w:rPr>
      </w:pPr>
      <w:r w:rsidRPr="00931010">
        <w:rPr>
          <w:sz w:val="24"/>
          <w:szCs w:val="24"/>
          <w:lang w:val="en-GB"/>
        </w:rPr>
        <w:t>Bosutinib was not carcinogenic in the 2</w:t>
      </w:r>
      <w:r w:rsidRPr="00931010">
        <w:rPr>
          <w:sz w:val="24"/>
          <w:szCs w:val="24"/>
          <w:lang w:val="en-GB"/>
        </w:rPr>
        <w:noBreakHyphen/>
        <w:t>year rat and 6</w:t>
      </w:r>
      <w:r w:rsidRPr="00931010">
        <w:rPr>
          <w:sz w:val="24"/>
          <w:szCs w:val="24"/>
          <w:lang w:val="en-GB"/>
        </w:rPr>
        <w:noBreakHyphen/>
        <w:t>month rasH2 mouse carcinogenicity studies.</w:t>
      </w:r>
    </w:p>
    <w:p w14:paraId="02CD6901" w14:textId="77777777" w:rsidR="00931010" w:rsidRPr="00931010" w:rsidRDefault="00931010" w:rsidP="00931010">
      <w:pPr>
        <w:tabs>
          <w:tab w:val="left" w:pos="851"/>
        </w:tabs>
        <w:ind w:left="851"/>
        <w:rPr>
          <w:sz w:val="24"/>
          <w:szCs w:val="24"/>
          <w:lang w:val="en-GB"/>
        </w:rPr>
      </w:pPr>
    </w:p>
    <w:p w14:paraId="1D41FC5E" w14:textId="77777777" w:rsidR="00931010" w:rsidRPr="00931010" w:rsidRDefault="00931010" w:rsidP="00931010">
      <w:pPr>
        <w:tabs>
          <w:tab w:val="left" w:pos="851"/>
        </w:tabs>
        <w:ind w:left="851"/>
        <w:rPr>
          <w:sz w:val="24"/>
          <w:szCs w:val="24"/>
          <w:u w:val="single"/>
          <w:lang w:val="en-GB"/>
        </w:rPr>
      </w:pPr>
      <w:r w:rsidRPr="00931010">
        <w:rPr>
          <w:sz w:val="24"/>
          <w:szCs w:val="24"/>
          <w:u w:val="single"/>
          <w:lang w:val="en-GB"/>
        </w:rPr>
        <w:t>Phototoxicity</w:t>
      </w:r>
    </w:p>
    <w:p w14:paraId="077B740D" w14:textId="77777777" w:rsidR="00931010" w:rsidRPr="00931010" w:rsidRDefault="00931010" w:rsidP="00931010">
      <w:pPr>
        <w:tabs>
          <w:tab w:val="left" w:pos="851"/>
        </w:tabs>
        <w:ind w:left="851"/>
        <w:rPr>
          <w:sz w:val="24"/>
          <w:szCs w:val="24"/>
          <w:lang w:val="en-GB"/>
        </w:rPr>
      </w:pPr>
      <w:r w:rsidRPr="00931010">
        <w:rPr>
          <w:sz w:val="24"/>
          <w:szCs w:val="24"/>
          <w:lang w:val="en-GB"/>
        </w:rPr>
        <w:t>Bosutinib has demonstrated the ability to absorb light in the UV</w:t>
      </w:r>
      <w:r w:rsidRPr="00931010">
        <w:rPr>
          <w:sz w:val="24"/>
          <w:szCs w:val="24"/>
          <w:lang w:val="en-GB"/>
        </w:rPr>
        <w:noBreakHyphen/>
        <w:t>B and UV</w:t>
      </w:r>
      <w:r w:rsidRPr="00931010">
        <w:rPr>
          <w:sz w:val="24"/>
          <w:szCs w:val="24"/>
          <w:lang w:val="en-GB"/>
        </w:rPr>
        <w:noBreakHyphen/>
        <w:t>A range and is distributed into the skin and uveal tract of pigmented rats. However, bosutinib did not demonstrate a potential for phototoxicity of the skin or eyes in pigmented rats exposed to bosutinib in the presence of UV radiation at bosutinib exposures up to 3</w:t>
      </w:r>
      <w:r w:rsidRPr="00931010">
        <w:rPr>
          <w:sz w:val="24"/>
          <w:szCs w:val="24"/>
          <w:lang w:val="en-GB"/>
        </w:rPr>
        <w:noBreakHyphen/>
        <w:t>times and 2</w:t>
      </w:r>
      <w:r w:rsidRPr="00931010">
        <w:rPr>
          <w:sz w:val="24"/>
          <w:szCs w:val="24"/>
          <w:lang w:val="en-GB"/>
        </w:rPr>
        <w:noBreakHyphen/>
        <w:t>times the human exposure resulting from the clinical dose of 400 or 500 mg, respectively (based on unbound C</w:t>
      </w:r>
      <w:r w:rsidRPr="00931010">
        <w:rPr>
          <w:sz w:val="24"/>
          <w:szCs w:val="24"/>
          <w:vertAlign w:val="subscript"/>
          <w:lang w:val="en-GB"/>
        </w:rPr>
        <w:t>max</w:t>
      </w:r>
      <w:r w:rsidRPr="00931010">
        <w:rPr>
          <w:sz w:val="24"/>
          <w:szCs w:val="24"/>
          <w:lang w:val="en-GB"/>
        </w:rPr>
        <w:t xml:space="preserve"> in the respective species).</w:t>
      </w:r>
    </w:p>
    <w:p w14:paraId="03BACF6E" w14:textId="77777777" w:rsidR="007C5D2A" w:rsidRPr="00931010" w:rsidRDefault="007C5D2A" w:rsidP="003E0341">
      <w:pPr>
        <w:tabs>
          <w:tab w:val="left" w:pos="851"/>
        </w:tabs>
        <w:ind w:left="851"/>
        <w:rPr>
          <w:sz w:val="24"/>
          <w:szCs w:val="24"/>
          <w:lang w:val="en-GB"/>
        </w:rPr>
      </w:pPr>
    </w:p>
    <w:p w14:paraId="30B46D14" w14:textId="77777777" w:rsidR="007C5D2A" w:rsidRPr="00303008" w:rsidRDefault="007C5D2A" w:rsidP="003E0341">
      <w:pPr>
        <w:tabs>
          <w:tab w:val="left" w:pos="851"/>
        </w:tabs>
        <w:ind w:left="851"/>
        <w:rPr>
          <w:sz w:val="24"/>
          <w:szCs w:val="24"/>
          <w:lang w:val="en-GB"/>
        </w:rPr>
      </w:pPr>
    </w:p>
    <w:p w14:paraId="14C961FF"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0CC1434A" w14:textId="77777777" w:rsidR="007C5D2A" w:rsidRPr="00303008" w:rsidRDefault="007C5D2A" w:rsidP="003E0341">
      <w:pPr>
        <w:tabs>
          <w:tab w:val="left" w:pos="851"/>
        </w:tabs>
        <w:ind w:left="851"/>
        <w:rPr>
          <w:sz w:val="24"/>
          <w:szCs w:val="24"/>
          <w:lang w:val="en-GB"/>
        </w:rPr>
      </w:pPr>
    </w:p>
    <w:p w14:paraId="6D3F2494"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5B12CBBB" w14:textId="77777777" w:rsidR="00931010" w:rsidRPr="00931010" w:rsidRDefault="00931010" w:rsidP="00931010">
      <w:pPr>
        <w:tabs>
          <w:tab w:val="left" w:pos="851"/>
        </w:tabs>
        <w:ind w:left="851"/>
        <w:rPr>
          <w:sz w:val="24"/>
          <w:szCs w:val="24"/>
          <w:lang w:val="en-GB"/>
        </w:rPr>
      </w:pPr>
    </w:p>
    <w:p w14:paraId="7B1EA237" w14:textId="77777777" w:rsidR="00931010" w:rsidRPr="00931010" w:rsidRDefault="00931010" w:rsidP="00931010">
      <w:pPr>
        <w:tabs>
          <w:tab w:val="left" w:pos="851"/>
        </w:tabs>
        <w:ind w:left="851"/>
        <w:rPr>
          <w:sz w:val="24"/>
          <w:szCs w:val="24"/>
          <w:u w:val="single"/>
          <w:lang w:val="en-GB"/>
        </w:rPr>
      </w:pPr>
      <w:r w:rsidRPr="00931010">
        <w:rPr>
          <w:sz w:val="24"/>
          <w:szCs w:val="24"/>
          <w:u w:val="single"/>
          <w:lang w:val="en-GB"/>
        </w:rPr>
        <w:t>Tablet core</w:t>
      </w:r>
    </w:p>
    <w:p w14:paraId="61421DA7" w14:textId="77777777" w:rsidR="00931010" w:rsidRPr="00931010" w:rsidRDefault="00931010" w:rsidP="00931010">
      <w:pPr>
        <w:tabs>
          <w:tab w:val="left" w:pos="851"/>
        </w:tabs>
        <w:ind w:left="851"/>
        <w:rPr>
          <w:sz w:val="24"/>
          <w:szCs w:val="24"/>
          <w:lang w:val="en-GB"/>
        </w:rPr>
      </w:pPr>
      <w:r w:rsidRPr="00931010">
        <w:rPr>
          <w:sz w:val="24"/>
          <w:szCs w:val="24"/>
          <w:lang w:val="en-GB"/>
        </w:rPr>
        <w:t>Cellulose microcrystalline (E460)</w:t>
      </w:r>
    </w:p>
    <w:p w14:paraId="40786B4E" w14:textId="77777777" w:rsidR="00931010" w:rsidRPr="00931010" w:rsidRDefault="00931010" w:rsidP="00931010">
      <w:pPr>
        <w:tabs>
          <w:tab w:val="left" w:pos="851"/>
        </w:tabs>
        <w:ind w:left="851"/>
        <w:rPr>
          <w:sz w:val="24"/>
          <w:szCs w:val="24"/>
          <w:lang w:val="en-GB"/>
        </w:rPr>
      </w:pPr>
      <w:r w:rsidRPr="00931010">
        <w:rPr>
          <w:sz w:val="24"/>
          <w:szCs w:val="24"/>
          <w:lang w:val="en-GB"/>
        </w:rPr>
        <w:t>Croscarmellose sodium (E468)</w:t>
      </w:r>
    </w:p>
    <w:p w14:paraId="66B96ECB" w14:textId="77777777" w:rsidR="00931010" w:rsidRPr="00931010" w:rsidRDefault="00931010" w:rsidP="00931010">
      <w:pPr>
        <w:tabs>
          <w:tab w:val="left" w:pos="851"/>
        </w:tabs>
        <w:ind w:left="851"/>
        <w:rPr>
          <w:sz w:val="24"/>
          <w:szCs w:val="24"/>
          <w:lang w:val="en-GB"/>
        </w:rPr>
      </w:pPr>
      <w:r w:rsidRPr="00931010">
        <w:rPr>
          <w:sz w:val="24"/>
          <w:szCs w:val="24"/>
          <w:lang w:val="en-GB"/>
        </w:rPr>
        <w:t>Poloxamer 188</w:t>
      </w:r>
    </w:p>
    <w:p w14:paraId="72DC4B51" w14:textId="77777777" w:rsidR="00931010" w:rsidRPr="00931010" w:rsidRDefault="00931010" w:rsidP="00931010">
      <w:pPr>
        <w:tabs>
          <w:tab w:val="left" w:pos="851"/>
        </w:tabs>
        <w:ind w:left="851"/>
        <w:rPr>
          <w:sz w:val="24"/>
          <w:szCs w:val="24"/>
          <w:lang w:val="en-GB"/>
        </w:rPr>
      </w:pPr>
      <w:r w:rsidRPr="00931010">
        <w:rPr>
          <w:sz w:val="24"/>
          <w:szCs w:val="24"/>
          <w:lang w:val="en-GB"/>
        </w:rPr>
        <w:t>Povidone K25 (E1201)</w:t>
      </w:r>
    </w:p>
    <w:p w14:paraId="08426002" w14:textId="77777777" w:rsidR="00931010" w:rsidRPr="00931010" w:rsidRDefault="00931010" w:rsidP="00931010">
      <w:pPr>
        <w:tabs>
          <w:tab w:val="left" w:pos="851"/>
        </w:tabs>
        <w:ind w:left="851"/>
        <w:rPr>
          <w:sz w:val="24"/>
          <w:szCs w:val="24"/>
          <w:lang w:val="en-GB"/>
        </w:rPr>
      </w:pPr>
      <w:r w:rsidRPr="00931010">
        <w:rPr>
          <w:sz w:val="24"/>
          <w:szCs w:val="24"/>
          <w:lang w:val="en-GB"/>
        </w:rPr>
        <w:t>Silica, colloidal anhydrous (E551)</w:t>
      </w:r>
    </w:p>
    <w:p w14:paraId="7569F0AF" w14:textId="77777777" w:rsidR="00931010" w:rsidRPr="00931010" w:rsidRDefault="00931010" w:rsidP="00931010">
      <w:pPr>
        <w:tabs>
          <w:tab w:val="left" w:pos="851"/>
        </w:tabs>
        <w:ind w:left="851"/>
        <w:rPr>
          <w:sz w:val="24"/>
          <w:szCs w:val="24"/>
          <w:lang w:val="en-GB"/>
        </w:rPr>
      </w:pPr>
      <w:r w:rsidRPr="00931010">
        <w:rPr>
          <w:sz w:val="24"/>
          <w:szCs w:val="24"/>
          <w:lang w:val="en-GB"/>
        </w:rPr>
        <w:t>Talc (E553b)</w:t>
      </w:r>
    </w:p>
    <w:p w14:paraId="7C43601C" w14:textId="77777777" w:rsidR="00931010" w:rsidRPr="00931010" w:rsidRDefault="00931010" w:rsidP="00931010">
      <w:pPr>
        <w:tabs>
          <w:tab w:val="left" w:pos="851"/>
        </w:tabs>
        <w:ind w:left="851"/>
        <w:rPr>
          <w:sz w:val="24"/>
          <w:szCs w:val="24"/>
          <w:lang w:val="en-GB"/>
        </w:rPr>
      </w:pPr>
      <w:r w:rsidRPr="00931010">
        <w:rPr>
          <w:sz w:val="24"/>
          <w:szCs w:val="24"/>
          <w:lang w:val="en-GB"/>
        </w:rPr>
        <w:t>Magnesium stearate (E470b)</w:t>
      </w:r>
    </w:p>
    <w:p w14:paraId="3FCAF9CC" w14:textId="77777777" w:rsidR="00931010" w:rsidRPr="00931010" w:rsidRDefault="00931010" w:rsidP="00931010">
      <w:pPr>
        <w:tabs>
          <w:tab w:val="left" w:pos="851"/>
        </w:tabs>
        <w:ind w:left="851"/>
        <w:rPr>
          <w:sz w:val="24"/>
          <w:szCs w:val="24"/>
          <w:lang w:val="en-GB"/>
        </w:rPr>
      </w:pPr>
    </w:p>
    <w:p w14:paraId="68DDE90A" w14:textId="77777777" w:rsidR="00931010" w:rsidRPr="00931010" w:rsidRDefault="00931010" w:rsidP="00931010">
      <w:pPr>
        <w:tabs>
          <w:tab w:val="left" w:pos="851"/>
        </w:tabs>
        <w:ind w:left="851"/>
        <w:rPr>
          <w:sz w:val="24"/>
          <w:szCs w:val="24"/>
          <w:u w:val="single"/>
          <w:lang w:val="en-GB"/>
        </w:rPr>
      </w:pPr>
      <w:r w:rsidRPr="00931010">
        <w:rPr>
          <w:sz w:val="24"/>
          <w:szCs w:val="24"/>
          <w:u w:val="single"/>
          <w:lang w:val="en-GB"/>
        </w:rPr>
        <w:t>Film coating</w:t>
      </w:r>
    </w:p>
    <w:p w14:paraId="24420DFC" w14:textId="77777777" w:rsidR="00931010" w:rsidRPr="00931010" w:rsidRDefault="00931010" w:rsidP="00931010">
      <w:pPr>
        <w:tabs>
          <w:tab w:val="left" w:pos="851"/>
        </w:tabs>
        <w:ind w:left="851"/>
        <w:rPr>
          <w:sz w:val="24"/>
          <w:szCs w:val="24"/>
          <w:lang w:val="en-GB"/>
        </w:rPr>
      </w:pPr>
      <w:r w:rsidRPr="00931010">
        <w:rPr>
          <w:sz w:val="24"/>
          <w:szCs w:val="24"/>
          <w:lang w:val="en-GB"/>
        </w:rPr>
        <w:t>Poly(vinyl alcohol) (E1203)</w:t>
      </w:r>
    </w:p>
    <w:p w14:paraId="151F3EDD" w14:textId="77777777" w:rsidR="00931010" w:rsidRPr="00931010" w:rsidRDefault="00931010" w:rsidP="00931010">
      <w:pPr>
        <w:tabs>
          <w:tab w:val="left" w:pos="851"/>
        </w:tabs>
        <w:ind w:left="851"/>
        <w:rPr>
          <w:sz w:val="24"/>
          <w:szCs w:val="24"/>
          <w:lang w:val="nl-NL"/>
        </w:rPr>
      </w:pPr>
      <w:r w:rsidRPr="00931010">
        <w:rPr>
          <w:sz w:val="24"/>
          <w:szCs w:val="24"/>
          <w:lang w:val="nl-NL"/>
        </w:rPr>
        <w:t>Macrogol 3350</w:t>
      </w:r>
    </w:p>
    <w:p w14:paraId="6ABB4E3E" w14:textId="77777777" w:rsidR="00931010" w:rsidRPr="00931010" w:rsidRDefault="00931010" w:rsidP="00931010">
      <w:pPr>
        <w:tabs>
          <w:tab w:val="left" w:pos="851"/>
        </w:tabs>
        <w:ind w:left="851"/>
        <w:rPr>
          <w:sz w:val="24"/>
          <w:szCs w:val="24"/>
          <w:lang w:val="nl-NL"/>
        </w:rPr>
      </w:pPr>
      <w:r w:rsidRPr="00931010">
        <w:rPr>
          <w:sz w:val="24"/>
          <w:szCs w:val="24"/>
          <w:lang w:val="nl-NL"/>
        </w:rPr>
        <w:t>Titanium dioxide (E171)</w:t>
      </w:r>
    </w:p>
    <w:p w14:paraId="2EB595F0" w14:textId="77777777" w:rsidR="00931010" w:rsidRPr="00931010" w:rsidRDefault="00931010" w:rsidP="00931010">
      <w:pPr>
        <w:tabs>
          <w:tab w:val="left" w:pos="851"/>
        </w:tabs>
        <w:ind w:left="851"/>
        <w:rPr>
          <w:sz w:val="24"/>
          <w:szCs w:val="24"/>
          <w:lang w:val="nl-NL"/>
        </w:rPr>
      </w:pPr>
      <w:r w:rsidRPr="00931010">
        <w:rPr>
          <w:sz w:val="24"/>
          <w:szCs w:val="24"/>
          <w:lang w:val="nl-NL"/>
        </w:rPr>
        <w:lastRenderedPageBreak/>
        <w:t>Talc (E553b)</w:t>
      </w:r>
    </w:p>
    <w:p w14:paraId="0745E3DE" w14:textId="77777777" w:rsidR="00931010" w:rsidRPr="00931010" w:rsidRDefault="00931010" w:rsidP="00931010">
      <w:pPr>
        <w:tabs>
          <w:tab w:val="left" w:pos="851"/>
        </w:tabs>
        <w:ind w:left="851"/>
        <w:rPr>
          <w:sz w:val="24"/>
          <w:szCs w:val="24"/>
          <w:lang w:val="en-GB"/>
        </w:rPr>
      </w:pPr>
      <w:r w:rsidRPr="00931010">
        <w:rPr>
          <w:sz w:val="24"/>
          <w:szCs w:val="24"/>
          <w:lang w:val="en-GB"/>
        </w:rPr>
        <w:t>Iron oxide yellow (E172)</w:t>
      </w:r>
    </w:p>
    <w:p w14:paraId="1F4380A9" w14:textId="77777777" w:rsidR="00931010" w:rsidRPr="00931010" w:rsidRDefault="00931010" w:rsidP="00931010">
      <w:pPr>
        <w:tabs>
          <w:tab w:val="left" w:pos="851"/>
        </w:tabs>
        <w:ind w:left="851"/>
        <w:rPr>
          <w:sz w:val="24"/>
          <w:szCs w:val="24"/>
          <w:lang w:val="en-GB"/>
        </w:rPr>
      </w:pPr>
      <w:r w:rsidRPr="00931010">
        <w:rPr>
          <w:sz w:val="24"/>
          <w:szCs w:val="24"/>
          <w:lang w:val="en-GB"/>
        </w:rPr>
        <w:t>Iron oxide red (E172)</w:t>
      </w:r>
    </w:p>
    <w:p w14:paraId="6D7E737B" w14:textId="77777777" w:rsidR="007C5D2A" w:rsidRPr="00303008" w:rsidRDefault="007C5D2A" w:rsidP="003D727E">
      <w:pPr>
        <w:tabs>
          <w:tab w:val="left" w:pos="851"/>
        </w:tabs>
        <w:ind w:left="851"/>
        <w:rPr>
          <w:sz w:val="24"/>
          <w:szCs w:val="24"/>
          <w:lang w:val="en-GB"/>
        </w:rPr>
      </w:pPr>
    </w:p>
    <w:p w14:paraId="27211AFD"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6A55D8D0" w14:textId="77777777" w:rsidR="00931010" w:rsidRPr="00931010" w:rsidRDefault="00931010" w:rsidP="00931010">
      <w:pPr>
        <w:tabs>
          <w:tab w:val="left" w:pos="851"/>
        </w:tabs>
        <w:ind w:left="851"/>
        <w:rPr>
          <w:sz w:val="24"/>
          <w:szCs w:val="24"/>
          <w:lang w:val="en-GB"/>
        </w:rPr>
      </w:pPr>
      <w:r w:rsidRPr="00931010">
        <w:rPr>
          <w:sz w:val="24"/>
          <w:szCs w:val="24"/>
          <w:lang w:val="en-GB"/>
        </w:rPr>
        <w:t>Not applicable.</w:t>
      </w:r>
    </w:p>
    <w:p w14:paraId="124EF45C" w14:textId="77777777" w:rsidR="007C5D2A" w:rsidRPr="00931010" w:rsidRDefault="007C5D2A" w:rsidP="003E0341">
      <w:pPr>
        <w:tabs>
          <w:tab w:val="left" w:pos="851"/>
        </w:tabs>
        <w:ind w:left="851"/>
        <w:rPr>
          <w:sz w:val="24"/>
          <w:szCs w:val="24"/>
          <w:lang w:val="en-US"/>
        </w:rPr>
      </w:pPr>
    </w:p>
    <w:p w14:paraId="7A01283D"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0FE42ED1" w14:textId="47AAF0EC" w:rsidR="00931010" w:rsidRPr="00931010" w:rsidRDefault="00931010" w:rsidP="00931010">
      <w:pPr>
        <w:tabs>
          <w:tab w:val="left" w:pos="851"/>
        </w:tabs>
        <w:ind w:left="851"/>
        <w:rPr>
          <w:sz w:val="24"/>
          <w:szCs w:val="24"/>
          <w:lang w:val="en-GB"/>
        </w:rPr>
      </w:pPr>
      <w:r w:rsidRPr="00931010">
        <w:rPr>
          <w:sz w:val="24"/>
          <w:szCs w:val="24"/>
          <w:lang w:val="en-GB"/>
        </w:rPr>
        <w:t>30 months</w:t>
      </w:r>
      <w:r>
        <w:rPr>
          <w:sz w:val="24"/>
          <w:szCs w:val="24"/>
          <w:lang w:val="en-GB"/>
        </w:rPr>
        <w:t>.</w:t>
      </w:r>
    </w:p>
    <w:p w14:paraId="368FB8BF" w14:textId="77777777" w:rsidR="007C5D2A" w:rsidRPr="00303008" w:rsidRDefault="007C5D2A" w:rsidP="003E0341">
      <w:pPr>
        <w:tabs>
          <w:tab w:val="left" w:pos="851"/>
        </w:tabs>
        <w:ind w:left="851"/>
        <w:rPr>
          <w:sz w:val="24"/>
          <w:szCs w:val="24"/>
          <w:lang w:val="en-GB"/>
        </w:rPr>
      </w:pPr>
    </w:p>
    <w:p w14:paraId="42AF43F7"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5E34FACC" w14:textId="77777777" w:rsidR="00931010" w:rsidRPr="00931010" w:rsidRDefault="00931010" w:rsidP="00931010">
      <w:pPr>
        <w:tabs>
          <w:tab w:val="left" w:pos="851"/>
        </w:tabs>
        <w:ind w:left="851"/>
        <w:rPr>
          <w:sz w:val="24"/>
          <w:szCs w:val="24"/>
          <w:lang w:val="en-GB"/>
        </w:rPr>
      </w:pPr>
      <w:r w:rsidRPr="00931010">
        <w:rPr>
          <w:sz w:val="24"/>
          <w:szCs w:val="24"/>
          <w:lang w:val="en-GB"/>
        </w:rPr>
        <w:t>This medicinal product does not require any special storage conditions.</w:t>
      </w:r>
    </w:p>
    <w:p w14:paraId="3186425F" w14:textId="77777777" w:rsidR="00931010" w:rsidRPr="00931010" w:rsidRDefault="00931010" w:rsidP="00931010">
      <w:pPr>
        <w:tabs>
          <w:tab w:val="left" w:pos="851"/>
        </w:tabs>
        <w:ind w:left="851"/>
        <w:rPr>
          <w:sz w:val="24"/>
          <w:szCs w:val="24"/>
          <w:lang w:val="en-GB"/>
        </w:rPr>
      </w:pPr>
    </w:p>
    <w:p w14:paraId="7E19ADD7"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7CC6526C" w14:textId="5C3DECB7" w:rsidR="00931010" w:rsidRPr="00931010" w:rsidRDefault="00931010" w:rsidP="00931010">
      <w:pPr>
        <w:tabs>
          <w:tab w:val="left" w:pos="851"/>
        </w:tabs>
        <w:ind w:left="851"/>
        <w:rPr>
          <w:sz w:val="24"/>
          <w:szCs w:val="24"/>
          <w:lang w:val="en-GB"/>
        </w:rPr>
      </w:pPr>
      <w:r w:rsidRPr="00931010">
        <w:rPr>
          <w:sz w:val="24"/>
          <w:szCs w:val="24"/>
          <w:lang w:val="en-GB"/>
        </w:rPr>
        <w:t>PVC/PCTFE (ACLAR)– Aluminum blister</w:t>
      </w:r>
      <w:r>
        <w:rPr>
          <w:sz w:val="24"/>
          <w:szCs w:val="24"/>
          <w:lang w:val="en-GB"/>
        </w:rPr>
        <w:t>, in carton</w:t>
      </w:r>
      <w:r w:rsidR="005216DD">
        <w:rPr>
          <w:sz w:val="24"/>
          <w:szCs w:val="24"/>
          <w:lang w:val="en-GB"/>
        </w:rPr>
        <w:t>.</w:t>
      </w:r>
    </w:p>
    <w:p w14:paraId="5F54ED26" w14:textId="77777777" w:rsidR="00931010" w:rsidRPr="00931010" w:rsidRDefault="00931010" w:rsidP="00931010">
      <w:pPr>
        <w:tabs>
          <w:tab w:val="left" w:pos="851"/>
        </w:tabs>
        <w:ind w:left="851"/>
        <w:rPr>
          <w:sz w:val="24"/>
          <w:szCs w:val="24"/>
          <w:lang w:val="en-GB"/>
        </w:rPr>
      </w:pPr>
    </w:p>
    <w:p w14:paraId="4314BAD2" w14:textId="3D6172E9" w:rsidR="00931010" w:rsidRPr="00931010" w:rsidRDefault="00931010" w:rsidP="00931010">
      <w:pPr>
        <w:tabs>
          <w:tab w:val="left" w:pos="851"/>
        </w:tabs>
        <w:ind w:left="851"/>
        <w:rPr>
          <w:sz w:val="24"/>
          <w:szCs w:val="24"/>
          <w:u w:val="single"/>
          <w:lang w:val="en-GB"/>
        </w:rPr>
      </w:pPr>
      <w:r w:rsidRPr="00931010">
        <w:rPr>
          <w:sz w:val="24"/>
          <w:szCs w:val="24"/>
          <w:u w:val="single"/>
          <w:lang w:val="en-GB"/>
        </w:rPr>
        <w:t>Pack sizes</w:t>
      </w:r>
    </w:p>
    <w:p w14:paraId="42DF40FD" w14:textId="77777777" w:rsidR="00931010" w:rsidRDefault="00931010" w:rsidP="00931010">
      <w:pPr>
        <w:tabs>
          <w:tab w:val="left" w:pos="851"/>
        </w:tabs>
        <w:ind w:left="851"/>
        <w:rPr>
          <w:i/>
          <w:sz w:val="24"/>
          <w:szCs w:val="24"/>
          <w:lang w:val="en-GB"/>
        </w:rPr>
      </w:pPr>
    </w:p>
    <w:p w14:paraId="0D4FF55D" w14:textId="5E822C02" w:rsidR="00931010" w:rsidRPr="00931010" w:rsidRDefault="00931010" w:rsidP="00931010">
      <w:pPr>
        <w:tabs>
          <w:tab w:val="left" w:pos="851"/>
        </w:tabs>
        <w:ind w:left="851"/>
        <w:rPr>
          <w:i/>
          <w:sz w:val="24"/>
          <w:szCs w:val="24"/>
          <w:lang w:val="en-GB"/>
        </w:rPr>
      </w:pPr>
      <w:r>
        <w:rPr>
          <w:i/>
          <w:sz w:val="24"/>
          <w:szCs w:val="24"/>
          <w:lang w:val="en-GB"/>
        </w:rPr>
        <w:t>100 mg</w:t>
      </w:r>
    </w:p>
    <w:p w14:paraId="4F84B9EA" w14:textId="282BD830" w:rsidR="00931010" w:rsidRPr="00931010" w:rsidRDefault="00931010" w:rsidP="00931010">
      <w:pPr>
        <w:tabs>
          <w:tab w:val="left" w:pos="851"/>
        </w:tabs>
        <w:ind w:left="851"/>
        <w:rPr>
          <w:sz w:val="24"/>
          <w:szCs w:val="24"/>
          <w:lang w:val="en-GB"/>
        </w:rPr>
      </w:pPr>
      <w:r w:rsidRPr="00931010">
        <w:rPr>
          <w:sz w:val="24"/>
          <w:szCs w:val="24"/>
          <w:lang w:val="en-GB"/>
        </w:rPr>
        <w:t>Each carton contains 28 or 112 film-coated tablets</w:t>
      </w:r>
      <w:r>
        <w:rPr>
          <w:sz w:val="24"/>
          <w:szCs w:val="24"/>
          <w:lang w:val="en-GB"/>
        </w:rPr>
        <w:t>.</w:t>
      </w:r>
      <w:r w:rsidRPr="00931010">
        <w:rPr>
          <w:sz w:val="24"/>
          <w:szCs w:val="24"/>
          <w:lang w:val="en-GB"/>
        </w:rPr>
        <w:t xml:space="preserve"> </w:t>
      </w:r>
    </w:p>
    <w:p w14:paraId="31DD2AA3" w14:textId="77777777" w:rsidR="00931010" w:rsidRPr="00931010" w:rsidRDefault="00931010" w:rsidP="00931010">
      <w:pPr>
        <w:tabs>
          <w:tab w:val="left" w:pos="851"/>
        </w:tabs>
        <w:ind w:left="851"/>
        <w:rPr>
          <w:sz w:val="24"/>
          <w:szCs w:val="24"/>
          <w:lang w:val="en-GB"/>
        </w:rPr>
      </w:pPr>
    </w:p>
    <w:p w14:paraId="57288009" w14:textId="4C46E798" w:rsidR="00931010" w:rsidRPr="00931010" w:rsidRDefault="00931010" w:rsidP="00931010">
      <w:pPr>
        <w:tabs>
          <w:tab w:val="left" w:pos="851"/>
        </w:tabs>
        <w:ind w:left="851"/>
        <w:rPr>
          <w:i/>
          <w:sz w:val="24"/>
          <w:szCs w:val="24"/>
          <w:lang w:val="en-GB"/>
        </w:rPr>
      </w:pPr>
      <w:r>
        <w:rPr>
          <w:i/>
          <w:sz w:val="24"/>
          <w:szCs w:val="24"/>
          <w:lang w:val="en-GB"/>
        </w:rPr>
        <w:t>400 mg and 500 mg</w:t>
      </w:r>
    </w:p>
    <w:p w14:paraId="47C4C2FE" w14:textId="0E3AA896" w:rsidR="00931010" w:rsidRDefault="00931010" w:rsidP="00931010">
      <w:pPr>
        <w:tabs>
          <w:tab w:val="left" w:pos="851"/>
        </w:tabs>
        <w:ind w:left="851"/>
        <w:rPr>
          <w:sz w:val="24"/>
          <w:szCs w:val="24"/>
          <w:lang w:val="en-GB"/>
        </w:rPr>
      </w:pPr>
      <w:r w:rsidRPr="00931010">
        <w:rPr>
          <w:sz w:val="24"/>
          <w:szCs w:val="24"/>
          <w:lang w:val="en-GB"/>
        </w:rPr>
        <w:t>Each carton contains 28 film-coated tablets</w:t>
      </w:r>
      <w:r>
        <w:rPr>
          <w:sz w:val="24"/>
          <w:szCs w:val="24"/>
          <w:lang w:val="en-GB"/>
        </w:rPr>
        <w:t>.</w:t>
      </w:r>
    </w:p>
    <w:p w14:paraId="7B624BC5" w14:textId="0501B723" w:rsidR="00931010" w:rsidRDefault="00931010" w:rsidP="00931010">
      <w:pPr>
        <w:tabs>
          <w:tab w:val="left" w:pos="851"/>
        </w:tabs>
        <w:ind w:left="851"/>
        <w:rPr>
          <w:sz w:val="24"/>
          <w:szCs w:val="24"/>
          <w:lang w:val="en-GB"/>
        </w:rPr>
      </w:pPr>
    </w:p>
    <w:p w14:paraId="546C1452" w14:textId="77777777" w:rsidR="00931010" w:rsidRPr="00931010" w:rsidRDefault="00931010" w:rsidP="00931010">
      <w:pPr>
        <w:tabs>
          <w:tab w:val="left" w:pos="851"/>
        </w:tabs>
        <w:ind w:left="851"/>
        <w:rPr>
          <w:sz w:val="24"/>
          <w:szCs w:val="24"/>
          <w:lang w:val="en-GB"/>
        </w:rPr>
      </w:pPr>
      <w:r w:rsidRPr="00931010">
        <w:rPr>
          <w:sz w:val="24"/>
          <w:szCs w:val="24"/>
          <w:lang w:val="en-GB"/>
        </w:rPr>
        <w:t>Not all pack sizes may be marketed.</w:t>
      </w:r>
    </w:p>
    <w:p w14:paraId="62796F6D" w14:textId="77777777" w:rsidR="00931010" w:rsidRPr="00931010" w:rsidRDefault="00931010" w:rsidP="00931010">
      <w:pPr>
        <w:tabs>
          <w:tab w:val="left" w:pos="851"/>
        </w:tabs>
        <w:ind w:left="851"/>
        <w:rPr>
          <w:sz w:val="24"/>
          <w:szCs w:val="24"/>
          <w:lang w:val="en-GB"/>
        </w:rPr>
      </w:pPr>
    </w:p>
    <w:p w14:paraId="72BFFB4F"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02C0D4EB" w14:textId="77777777" w:rsidR="00762EB2" w:rsidRPr="00762EB2" w:rsidRDefault="00762EB2" w:rsidP="00762EB2">
      <w:pPr>
        <w:tabs>
          <w:tab w:val="left" w:pos="851"/>
        </w:tabs>
        <w:ind w:left="851"/>
        <w:rPr>
          <w:sz w:val="24"/>
          <w:szCs w:val="24"/>
          <w:lang w:val="en-GB"/>
        </w:rPr>
      </w:pPr>
      <w:r w:rsidRPr="00762EB2">
        <w:rPr>
          <w:sz w:val="24"/>
          <w:szCs w:val="24"/>
          <w:lang w:val="en-GB"/>
        </w:rPr>
        <w:t>Any unused medicinal product or waste material should be disposed of in accordance with local requirements.</w:t>
      </w:r>
    </w:p>
    <w:p w14:paraId="3C5D882B" w14:textId="77777777" w:rsidR="007C5D2A" w:rsidRPr="00762EB2" w:rsidRDefault="007C5D2A" w:rsidP="00AB4376">
      <w:pPr>
        <w:tabs>
          <w:tab w:val="left" w:pos="851"/>
        </w:tabs>
        <w:ind w:left="851"/>
        <w:rPr>
          <w:sz w:val="24"/>
          <w:szCs w:val="24"/>
          <w:lang w:val="en-GB"/>
        </w:rPr>
      </w:pPr>
    </w:p>
    <w:p w14:paraId="6B3D9C74"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6C9ACFC7" w14:textId="77777777" w:rsidR="00762EB2" w:rsidRPr="00762EB2" w:rsidRDefault="00762EB2" w:rsidP="00762EB2">
      <w:pPr>
        <w:tabs>
          <w:tab w:val="left" w:pos="851"/>
        </w:tabs>
        <w:ind w:left="851"/>
        <w:jc w:val="both"/>
        <w:rPr>
          <w:sz w:val="24"/>
          <w:szCs w:val="24"/>
          <w:lang w:val="en-US"/>
        </w:rPr>
      </w:pPr>
      <w:bookmarkStart w:id="6" w:name="Modtager"/>
      <w:bookmarkEnd w:id="6"/>
      <w:r w:rsidRPr="00762EB2">
        <w:rPr>
          <w:sz w:val="24"/>
          <w:szCs w:val="24"/>
          <w:lang w:val="en-US"/>
        </w:rPr>
        <w:t>Newbury Pharmaceuticals AB</w:t>
      </w:r>
    </w:p>
    <w:p w14:paraId="0A21E74E" w14:textId="77777777" w:rsidR="00762EB2" w:rsidRPr="00E14D63" w:rsidRDefault="00762EB2" w:rsidP="00762EB2">
      <w:pPr>
        <w:tabs>
          <w:tab w:val="left" w:pos="851"/>
        </w:tabs>
        <w:ind w:left="851"/>
        <w:jc w:val="both"/>
        <w:rPr>
          <w:sz w:val="24"/>
          <w:szCs w:val="24"/>
        </w:rPr>
      </w:pPr>
      <w:r w:rsidRPr="00E14D63">
        <w:rPr>
          <w:sz w:val="24"/>
          <w:szCs w:val="24"/>
        </w:rPr>
        <w:t>Medicon Village</w:t>
      </w:r>
    </w:p>
    <w:p w14:paraId="51B33EED" w14:textId="77777777" w:rsidR="00762EB2" w:rsidRPr="00E14D63" w:rsidRDefault="00762EB2" w:rsidP="00762EB2">
      <w:pPr>
        <w:tabs>
          <w:tab w:val="left" w:pos="851"/>
        </w:tabs>
        <w:ind w:left="851"/>
        <w:jc w:val="both"/>
        <w:rPr>
          <w:sz w:val="24"/>
          <w:szCs w:val="24"/>
        </w:rPr>
      </w:pPr>
      <w:r w:rsidRPr="00E14D63">
        <w:rPr>
          <w:sz w:val="24"/>
          <w:szCs w:val="24"/>
        </w:rPr>
        <w:t>Scheele Torget 1</w:t>
      </w:r>
    </w:p>
    <w:p w14:paraId="6481EEA6" w14:textId="29EF5044" w:rsidR="00762EB2" w:rsidRPr="00762EB2" w:rsidRDefault="00762EB2" w:rsidP="00762EB2">
      <w:pPr>
        <w:tabs>
          <w:tab w:val="left" w:pos="851"/>
        </w:tabs>
        <w:ind w:left="851"/>
        <w:jc w:val="both"/>
        <w:rPr>
          <w:sz w:val="24"/>
          <w:szCs w:val="24"/>
        </w:rPr>
      </w:pPr>
      <w:r w:rsidRPr="00762EB2">
        <w:rPr>
          <w:sz w:val="24"/>
          <w:szCs w:val="24"/>
        </w:rPr>
        <w:t>223 81 Lund</w:t>
      </w:r>
    </w:p>
    <w:p w14:paraId="67AD4D5D" w14:textId="77777777" w:rsidR="00762EB2" w:rsidRPr="00E14D63" w:rsidRDefault="00762EB2" w:rsidP="00762EB2">
      <w:pPr>
        <w:tabs>
          <w:tab w:val="left" w:pos="851"/>
        </w:tabs>
        <w:ind w:left="851"/>
        <w:jc w:val="both"/>
        <w:rPr>
          <w:sz w:val="24"/>
          <w:szCs w:val="24"/>
        </w:rPr>
      </w:pPr>
      <w:r w:rsidRPr="00E14D63">
        <w:rPr>
          <w:sz w:val="24"/>
          <w:szCs w:val="24"/>
        </w:rPr>
        <w:t>Sweden</w:t>
      </w:r>
    </w:p>
    <w:p w14:paraId="0B5D962B" w14:textId="77777777" w:rsidR="007C5D2A" w:rsidRPr="00E14D63" w:rsidRDefault="007C5D2A" w:rsidP="003E0341">
      <w:pPr>
        <w:tabs>
          <w:tab w:val="left" w:pos="851"/>
        </w:tabs>
        <w:ind w:left="851"/>
        <w:jc w:val="both"/>
        <w:rPr>
          <w:sz w:val="24"/>
          <w:szCs w:val="24"/>
        </w:rPr>
      </w:pPr>
    </w:p>
    <w:p w14:paraId="77B5D6B7"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15FB339A" w14:textId="2A8BF826" w:rsidR="007C5D2A" w:rsidRDefault="00762EB2" w:rsidP="00762EB2">
      <w:pPr>
        <w:tabs>
          <w:tab w:val="left" w:pos="851"/>
          <w:tab w:val="left" w:pos="1701"/>
        </w:tabs>
        <w:ind w:left="851"/>
        <w:jc w:val="both"/>
        <w:rPr>
          <w:sz w:val="24"/>
          <w:szCs w:val="24"/>
          <w:lang w:val="en-GB"/>
        </w:rPr>
      </w:pPr>
      <w:r>
        <w:rPr>
          <w:sz w:val="24"/>
          <w:szCs w:val="24"/>
          <w:lang w:val="en-GB"/>
        </w:rPr>
        <w:t>100 mg:</w:t>
      </w:r>
      <w:r>
        <w:rPr>
          <w:sz w:val="24"/>
          <w:szCs w:val="24"/>
          <w:lang w:val="en-GB"/>
        </w:rPr>
        <w:tab/>
        <w:t>70714</w:t>
      </w:r>
    </w:p>
    <w:p w14:paraId="4D7840D0" w14:textId="05F86812" w:rsidR="00762EB2" w:rsidRDefault="00762EB2" w:rsidP="00762EB2">
      <w:pPr>
        <w:tabs>
          <w:tab w:val="left" w:pos="851"/>
          <w:tab w:val="left" w:pos="1701"/>
        </w:tabs>
        <w:ind w:left="851"/>
        <w:jc w:val="both"/>
        <w:rPr>
          <w:sz w:val="24"/>
          <w:szCs w:val="24"/>
          <w:lang w:val="en-GB"/>
        </w:rPr>
      </w:pPr>
      <w:r>
        <w:rPr>
          <w:sz w:val="24"/>
          <w:szCs w:val="24"/>
          <w:lang w:val="en-GB"/>
        </w:rPr>
        <w:t>400 mg:</w:t>
      </w:r>
      <w:r>
        <w:rPr>
          <w:sz w:val="24"/>
          <w:szCs w:val="24"/>
          <w:lang w:val="en-GB"/>
        </w:rPr>
        <w:tab/>
        <w:t>70715</w:t>
      </w:r>
    </w:p>
    <w:p w14:paraId="05CD0F3D" w14:textId="7B526512" w:rsidR="00762EB2" w:rsidRPr="00303008" w:rsidRDefault="00762EB2" w:rsidP="00762EB2">
      <w:pPr>
        <w:tabs>
          <w:tab w:val="left" w:pos="851"/>
          <w:tab w:val="left" w:pos="1701"/>
        </w:tabs>
        <w:ind w:left="851"/>
        <w:jc w:val="both"/>
        <w:rPr>
          <w:sz w:val="24"/>
          <w:szCs w:val="24"/>
          <w:lang w:val="en-GB"/>
        </w:rPr>
      </w:pPr>
      <w:r>
        <w:rPr>
          <w:sz w:val="24"/>
          <w:szCs w:val="24"/>
          <w:lang w:val="en-GB"/>
        </w:rPr>
        <w:t>500 mg:</w:t>
      </w:r>
      <w:r>
        <w:rPr>
          <w:sz w:val="24"/>
          <w:szCs w:val="24"/>
          <w:lang w:val="en-GB"/>
        </w:rPr>
        <w:tab/>
        <w:t>70716</w:t>
      </w:r>
    </w:p>
    <w:p w14:paraId="60F75E01" w14:textId="77777777" w:rsidR="007C5D2A" w:rsidRPr="00303008" w:rsidRDefault="007C5D2A" w:rsidP="00180A12">
      <w:pPr>
        <w:tabs>
          <w:tab w:val="left" w:pos="851"/>
        </w:tabs>
        <w:ind w:left="851"/>
        <w:jc w:val="both"/>
        <w:rPr>
          <w:sz w:val="24"/>
          <w:szCs w:val="24"/>
          <w:lang w:val="en-GB"/>
        </w:rPr>
      </w:pPr>
    </w:p>
    <w:p w14:paraId="0CDE3C03"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44B0E4EE" w14:textId="5DB37747" w:rsidR="007C5D2A" w:rsidRPr="00303008" w:rsidRDefault="00E14D63" w:rsidP="00A85D26">
      <w:pPr>
        <w:ind w:left="851"/>
        <w:jc w:val="both"/>
        <w:rPr>
          <w:sz w:val="24"/>
          <w:szCs w:val="24"/>
          <w:lang w:val="en-GB"/>
        </w:rPr>
      </w:pPr>
      <w:r>
        <w:rPr>
          <w:sz w:val="24"/>
          <w:szCs w:val="24"/>
          <w:lang w:val="en-GB"/>
        </w:rPr>
        <w:t>23 January 2025</w:t>
      </w:r>
    </w:p>
    <w:p w14:paraId="514B4DE2" w14:textId="77777777" w:rsidR="007C5D2A" w:rsidRPr="00303008" w:rsidRDefault="007C5D2A" w:rsidP="003E0341">
      <w:pPr>
        <w:tabs>
          <w:tab w:val="left" w:pos="851"/>
        </w:tabs>
        <w:ind w:left="851"/>
        <w:jc w:val="both"/>
        <w:rPr>
          <w:sz w:val="24"/>
          <w:szCs w:val="24"/>
          <w:lang w:val="en-GB"/>
        </w:rPr>
      </w:pPr>
    </w:p>
    <w:p w14:paraId="50F7C59F"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4C653B87" w14:textId="3C0DBADD" w:rsidR="007C5D2A" w:rsidRPr="00303008" w:rsidRDefault="00762EB2"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2DDD6" w14:textId="77777777" w:rsidR="000D0C23" w:rsidRDefault="000D0C23">
      <w:r>
        <w:separator/>
      </w:r>
    </w:p>
  </w:endnote>
  <w:endnote w:type="continuationSeparator" w:id="0">
    <w:p w14:paraId="148D7FDD" w14:textId="77777777" w:rsidR="000D0C23" w:rsidRDefault="000D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NewRoman">
    <w:altName w:val="Yu Gothic"/>
    <w:panose1 w:val="00000000000000000000"/>
    <w:charset w:val="00"/>
    <w:family w:val="roman"/>
    <w:notTrueType/>
    <w:pitch w:val="default"/>
    <w:sig w:usb0="00000083" w:usb1="08070000" w:usb2="00000010" w:usb3="00000000" w:csb0="0002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F1EC5" w14:textId="77777777" w:rsidR="000D0C23" w:rsidRDefault="000D0C2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5A73" w14:textId="77777777" w:rsidR="000D0C23" w:rsidRDefault="000D0C23">
    <w:pPr>
      <w:pStyle w:val="Sidefod"/>
      <w:pBdr>
        <w:bottom w:val="single" w:sz="6" w:space="1" w:color="auto"/>
      </w:pBdr>
    </w:pPr>
  </w:p>
  <w:p w14:paraId="025CCA2B" w14:textId="77777777" w:rsidR="000D0C23" w:rsidRDefault="000D0C23">
    <w:pPr>
      <w:pStyle w:val="Sidefod"/>
      <w:tabs>
        <w:tab w:val="clear" w:pos="4819"/>
        <w:tab w:val="left" w:pos="8647"/>
      </w:tabs>
      <w:rPr>
        <w:i/>
        <w:snapToGrid w:val="0"/>
        <w:sz w:val="18"/>
      </w:rPr>
    </w:pPr>
  </w:p>
  <w:p w14:paraId="3CC485AC" w14:textId="1D73E4AD" w:rsidR="000D0C23" w:rsidRDefault="000D0C23"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Bosutinib Newbury, filmovertrukne tabletter 100 mg, 400 mg og 500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A988" w14:textId="77777777" w:rsidR="000D0C23" w:rsidRDefault="000D0C23">
    <w:pPr>
      <w:pStyle w:val="Sidefod"/>
      <w:pBdr>
        <w:bottom w:val="single" w:sz="6" w:space="1" w:color="auto"/>
      </w:pBdr>
      <w:tabs>
        <w:tab w:val="clear" w:pos="4819"/>
        <w:tab w:val="left" w:pos="8789"/>
      </w:tabs>
      <w:rPr>
        <w:i/>
        <w:snapToGrid w:val="0"/>
        <w:sz w:val="18"/>
      </w:rPr>
    </w:pPr>
  </w:p>
  <w:p w14:paraId="336E9A2D" w14:textId="77777777" w:rsidR="000D0C23" w:rsidRDefault="000D0C23">
    <w:pPr>
      <w:pStyle w:val="Sidefod"/>
      <w:tabs>
        <w:tab w:val="clear" w:pos="4819"/>
        <w:tab w:val="left" w:pos="8789"/>
      </w:tabs>
      <w:rPr>
        <w:i/>
        <w:snapToGrid w:val="0"/>
        <w:sz w:val="18"/>
      </w:rPr>
    </w:pPr>
  </w:p>
  <w:p w14:paraId="351D8D09" w14:textId="02A2FE41" w:rsidR="000D0C23" w:rsidRDefault="000D0C2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Bosutinib Newbury, filmovertrukne tabletter 100 mg, 400 mg og 500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67640" w14:textId="77777777" w:rsidR="000D0C23" w:rsidRDefault="000D0C23">
      <w:r>
        <w:separator/>
      </w:r>
    </w:p>
  </w:footnote>
  <w:footnote w:type="continuationSeparator" w:id="0">
    <w:p w14:paraId="40BCB7CE" w14:textId="77777777" w:rsidR="000D0C23" w:rsidRDefault="000D0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FB5C2" w14:textId="77777777" w:rsidR="000D0C23" w:rsidRDefault="000D0C2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D00F" w14:textId="77777777" w:rsidR="000D0C23" w:rsidRDefault="000D0C2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4F95" w14:textId="77777777" w:rsidR="000D0C23" w:rsidRDefault="000D0C2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48"/>
    <w:rsid w:val="00056601"/>
    <w:rsid w:val="00067E47"/>
    <w:rsid w:val="000C3846"/>
    <w:rsid w:val="000C6218"/>
    <w:rsid w:val="000D0C23"/>
    <w:rsid w:val="000D3C9D"/>
    <w:rsid w:val="000F0D47"/>
    <w:rsid w:val="001242DE"/>
    <w:rsid w:val="00180A12"/>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216DD"/>
    <w:rsid w:val="00533AD4"/>
    <w:rsid w:val="00534849"/>
    <w:rsid w:val="00560102"/>
    <w:rsid w:val="00562EA1"/>
    <w:rsid w:val="005A498B"/>
    <w:rsid w:val="00617BB8"/>
    <w:rsid w:val="006207FF"/>
    <w:rsid w:val="00680052"/>
    <w:rsid w:val="00683267"/>
    <w:rsid w:val="006844E9"/>
    <w:rsid w:val="006B3847"/>
    <w:rsid w:val="0072600F"/>
    <w:rsid w:val="0075453D"/>
    <w:rsid w:val="00762EB2"/>
    <w:rsid w:val="007A4CC6"/>
    <w:rsid w:val="007C3623"/>
    <w:rsid w:val="007C5D2A"/>
    <w:rsid w:val="007D4148"/>
    <w:rsid w:val="007F1E00"/>
    <w:rsid w:val="00827444"/>
    <w:rsid w:val="008400E3"/>
    <w:rsid w:val="00864538"/>
    <w:rsid w:val="00873B4F"/>
    <w:rsid w:val="00883D1B"/>
    <w:rsid w:val="008A24F6"/>
    <w:rsid w:val="008E51AE"/>
    <w:rsid w:val="008F2F8C"/>
    <w:rsid w:val="008F5372"/>
    <w:rsid w:val="00930211"/>
    <w:rsid w:val="00931010"/>
    <w:rsid w:val="009925C9"/>
    <w:rsid w:val="00A17640"/>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82621"/>
    <w:rsid w:val="00CB1423"/>
    <w:rsid w:val="00CC038E"/>
    <w:rsid w:val="00D02508"/>
    <w:rsid w:val="00D126D2"/>
    <w:rsid w:val="00D734BF"/>
    <w:rsid w:val="00D778CC"/>
    <w:rsid w:val="00D82FE9"/>
    <w:rsid w:val="00D97B77"/>
    <w:rsid w:val="00DB6A85"/>
    <w:rsid w:val="00E06B32"/>
    <w:rsid w:val="00E1290F"/>
    <w:rsid w:val="00E14D63"/>
    <w:rsid w:val="00E36A80"/>
    <w:rsid w:val="00E42800"/>
    <w:rsid w:val="00E55C68"/>
    <w:rsid w:val="00EB21D7"/>
    <w:rsid w:val="00EE3EB7"/>
    <w:rsid w:val="00EF1F5F"/>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148EE"/>
  <w15:chartTrackingRefBased/>
  <w15:docId w15:val="{7B6B2090-1AA1-4148-9CC1-39718DB0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rsid w:val="00373B55"/>
    <w:pPr>
      <w:tabs>
        <w:tab w:val="center" w:pos="4819"/>
        <w:tab w:val="right" w:pos="9638"/>
      </w:tabs>
    </w:pPr>
    <w:rPr>
      <w:sz w:val="24"/>
    </w:rPr>
  </w:style>
  <w:style w:type="character" w:customStyle="1" w:styleId="SidehovedTegn">
    <w:name w:val="Sidehoved Tegn"/>
    <w:basedOn w:val="Standardskrifttypeiafsnit"/>
    <w:link w:val="Sidehoved"/>
    <w:rsid w:val="000D0C23"/>
    <w:rPr>
      <w:sz w:val="24"/>
    </w:rPr>
  </w:style>
  <w:style w:type="paragraph" w:styleId="Sidefod">
    <w:name w:val="footer"/>
    <w:basedOn w:val="Normal"/>
    <w:link w:val="SidefodTegn"/>
    <w:rsid w:val="00373B55"/>
    <w:pPr>
      <w:tabs>
        <w:tab w:val="center" w:pos="4819"/>
        <w:tab w:val="right" w:pos="9638"/>
      </w:tabs>
    </w:pPr>
    <w:rPr>
      <w:sz w:val="24"/>
    </w:rPr>
  </w:style>
  <w:style w:type="character" w:customStyle="1" w:styleId="SidefodTegn">
    <w:name w:val="Sidefod Tegn"/>
    <w:basedOn w:val="Standardskrifttypeiafsnit"/>
    <w:link w:val="Sidefod"/>
    <w:rsid w:val="000D0C23"/>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character" w:customStyle="1" w:styleId="KommentartekstTegn">
    <w:name w:val="Kommentartekst Tegn"/>
    <w:basedOn w:val="Standardskrifttypeiafsnit"/>
    <w:link w:val="Kommentartekst"/>
    <w:semiHidden/>
    <w:rsid w:val="00873B4F"/>
  </w:style>
  <w:style w:type="paragraph" w:styleId="Markeringsbobletekst">
    <w:name w:val="Balloon Text"/>
    <w:basedOn w:val="Normal"/>
    <w:link w:val="MarkeringsbobletekstTegn"/>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5DB3"/>
    <w:rPr>
      <w:rFonts w:ascii="Tahoma" w:hAnsi="Tahoma" w:cs="Tahoma"/>
      <w:sz w:val="16"/>
      <w:szCs w:val="16"/>
    </w:rPr>
  </w:style>
  <w:style w:type="paragraph" w:styleId="Kommentaremne">
    <w:name w:val="annotation subject"/>
    <w:basedOn w:val="Kommentartekst"/>
    <w:next w:val="Kommentartekst"/>
    <w:link w:val="KommentaremneTegn"/>
    <w:semiHidden/>
    <w:unhideWhenUsed/>
    <w:rsid w:val="00873B4F"/>
    <w:rPr>
      <w:b/>
      <w:bCs/>
    </w:rPr>
  </w:style>
  <w:style w:type="character" w:customStyle="1" w:styleId="KommentaremneTegn">
    <w:name w:val="Kommentaremne Tegn"/>
    <w:basedOn w:val="KommentartekstTegn"/>
    <w:link w:val="Kommentaremne"/>
    <w:semiHidden/>
    <w:rsid w:val="00873B4F"/>
    <w:rPr>
      <w:b/>
      <w:bCs/>
    </w:rPr>
  </w:style>
  <w:style w:type="table" w:styleId="Tabel-Gitter">
    <w:name w:val="Table Grid"/>
    <w:basedOn w:val="Tabel-Normal"/>
    <w:rsid w:val="00A17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883D1B"/>
    <w:rPr>
      <w:color w:val="0000FF"/>
      <w:u w:val="single"/>
    </w:rPr>
  </w:style>
  <w:style w:type="character" w:customStyle="1" w:styleId="BrdtekstTegn">
    <w:name w:val="Brødtekst Tegn"/>
    <w:basedOn w:val="Standardskrifttypeiafsnit"/>
    <w:link w:val="Brdtekst"/>
    <w:semiHidden/>
    <w:rsid w:val="000D0C23"/>
    <w:rPr>
      <w:i/>
      <w:color w:val="008000"/>
      <w:sz w:val="22"/>
      <w:lang w:val="en-GB" w:eastAsia="en-US"/>
    </w:rPr>
  </w:style>
  <w:style w:type="paragraph" w:styleId="Brdtekst">
    <w:name w:val="Body Text"/>
    <w:basedOn w:val="Normal"/>
    <w:link w:val="BrdtekstTegn"/>
    <w:semiHidden/>
    <w:unhideWhenUsed/>
    <w:rsid w:val="000D0C23"/>
    <w:rPr>
      <w:i/>
      <w:color w:val="008000"/>
      <w:sz w:val="22"/>
      <w:lang w:val="en-GB" w:eastAsia="en-US"/>
    </w:rPr>
  </w:style>
  <w:style w:type="character" w:customStyle="1" w:styleId="BodytextAgencyChar">
    <w:name w:val="Body text (Agency) Char"/>
    <w:link w:val="BodytextAgency"/>
    <w:locked/>
    <w:rsid w:val="000D0C23"/>
    <w:rPr>
      <w:rFonts w:ascii="Verdana" w:eastAsia="Verdana" w:hAnsi="Verdana" w:cs="Verdana"/>
      <w:sz w:val="18"/>
      <w:szCs w:val="18"/>
    </w:rPr>
  </w:style>
  <w:style w:type="paragraph" w:customStyle="1" w:styleId="BodytextAgency">
    <w:name w:val="Body text (Agency)"/>
    <w:basedOn w:val="Normal"/>
    <w:link w:val="BodytextAgencyChar"/>
    <w:rsid w:val="000D0C23"/>
    <w:pPr>
      <w:spacing w:after="140" w:line="280" w:lineRule="atLeast"/>
    </w:pPr>
    <w:rPr>
      <w:rFonts w:ascii="Verdana" w:eastAsia="Verdana" w:hAnsi="Verdana" w:cs="Verdana"/>
      <w:sz w:val="18"/>
      <w:szCs w:val="18"/>
    </w:rPr>
  </w:style>
  <w:style w:type="character" w:customStyle="1" w:styleId="DraftingNotesAgencyChar">
    <w:name w:val="Drafting Notes (Agency) Char"/>
    <w:link w:val="DraftingNotesAgency"/>
    <w:locked/>
    <w:rsid w:val="000D0C23"/>
    <w:rPr>
      <w:rFonts w:ascii="Courier New" w:eastAsia="Verdana" w:hAnsi="Courier New" w:cs="Courier New"/>
      <w:i/>
      <w:color w:val="339966"/>
      <w:sz w:val="22"/>
      <w:szCs w:val="18"/>
    </w:rPr>
  </w:style>
  <w:style w:type="paragraph" w:customStyle="1" w:styleId="DraftingNotesAgency">
    <w:name w:val="Drafting Notes (Agency)"/>
    <w:basedOn w:val="Normal"/>
    <w:next w:val="BodytextAgency"/>
    <w:link w:val="DraftingNotesAgencyChar"/>
    <w:rsid w:val="000D0C23"/>
    <w:pPr>
      <w:spacing w:after="140" w:line="280" w:lineRule="atLeast"/>
    </w:pPr>
    <w:rPr>
      <w:rFonts w:ascii="Courier New" w:eastAsia="Verdana" w:hAnsi="Courier New" w:cs="Courier New"/>
      <w:i/>
      <w:color w:val="339966"/>
      <w:sz w:val="22"/>
      <w:szCs w:val="18"/>
    </w:rPr>
  </w:style>
  <w:style w:type="character" w:customStyle="1" w:styleId="NormalAgencyChar">
    <w:name w:val="Normal (Agency) Char"/>
    <w:link w:val="NormalAgency"/>
    <w:locked/>
    <w:rsid w:val="000D0C23"/>
    <w:rPr>
      <w:rFonts w:ascii="Verdana" w:eastAsia="Verdana" w:hAnsi="Verdana" w:cs="Verdana"/>
      <w:sz w:val="18"/>
      <w:szCs w:val="18"/>
    </w:rPr>
  </w:style>
  <w:style w:type="paragraph" w:customStyle="1" w:styleId="NormalAgency">
    <w:name w:val="Normal (Agency)"/>
    <w:link w:val="NormalAgencyChar"/>
    <w:rsid w:val="000D0C23"/>
    <w:rPr>
      <w:rFonts w:ascii="Verdana" w:eastAsia="Verdana" w:hAnsi="Verdana" w:cs="Verdana"/>
      <w:sz w:val="18"/>
      <w:szCs w:val="18"/>
    </w:rPr>
  </w:style>
  <w:style w:type="paragraph" w:customStyle="1" w:styleId="TableheadingrowsAgency">
    <w:name w:val="Table heading rows (Agency)"/>
    <w:basedOn w:val="BodytextAgency"/>
    <w:rsid w:val="000D0C23"/>
    <w:pPr>
      <w:keepNext/>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8960">
      <w:bodyDiv w:val="1"/>
      <w:marLeft w:val="0"/>
      <w:marRight w:val="0"/>
      <w:marTop w:val="0"/>
      <w:marBottom w:val="0"/>
      <w:divBdr>
        <w:top w:val="none" w:sz="0" w:space="0" w:color="auto"/>
        <w:left w:val="none" w:sz="0" w:space="0" w:color="auto"/>
        <w:bottom w:val="none" w:sz="0" w:space="0" w:color="auto"/>
        <w:right w:val="none" w:sz="0" w:space="0" w:color="auto"/>
      </w:divBdr>
    </w:div>
    <w:div w:id="113596766">
      <w:bodyDiv w:val="1"/>
      <w:marLeft w:val="0"/>
      <w:marRight w:val="0"/>
      <w:marTop w:val="0"/>
      <w:marBottom w:val="0"/>
      <w:divBdr>
        <w:top w:val="none" w:sz="0" w:space="0" w:color="auto"/>
        <w:left w:val="none" w:sz="0" w:space="0" w:color="auto"/>
        <w:bottom w:val="none" w:sz="0" w:space="0" w:color="auto"/>
        <w:right w:val="none" w:sz="0" w:space="0" w:color="auto"/>
      </w:divBdr>
    </w:div>
    <w:div w:id="191304136">
      <w:bodyDiv w:val="1"/>
      <w:marLeft w:val="0"/>
      <w:marRight w:val="0"/>
      <w:marTop w:val="0"/>
      <w:marBottom w:val="0"/>
      <w:divBdr>
        <w:top w:val="none" w:sz="0" w:space="0" w:color="auto"/>
        <w:left w:val="none" w:sz="0" w:space="0" w:color="auto"/>
        <w:bottom w:val="none" w:sz="0" w:space="0" w:color="auto"/>
        <w:right w:val="none" w:sz="0" w:space="0" w:color="auto"/>
      </w:divBdr>
    </w:div>
    <w:div w:id="274607033">
      <w:bodyDiv w:val="1"/>
      <w:marLeft w:val="0"/>
      <w:marRight w:val="0"/>
      <w:marTop w:val="0"/>
      <w:marBottom w:val="0"/>
      <w:divBdr>
        <w:top w:val="none" w:sz="0" w:space="0" w:color="auto"/>
        <w:left w:val="none" w:sz="0" w:space="0" w:color="auto"/>
        <w:bottom w:val="none" w:sz="0" w:space="0" w:color="auto"/>
        <w:right w:val="none" w:sz="0" w:space="0" w:color="auto"/>
      </w:divBdr>
    </w:div>
    <w:div w:id="281307628">
      <w:bodyDiv w:val="1"/>
      <w:marLeft w:val="0"/>
      <w:marRight w:val="0"/>
      <w:marTop w:val="0"/>
      <w:marBottom w:val="0"/>
      <w:divBdr>
        <w:top w:val="none" w:sz="0" w:space="0" w:color="auto"/>
        <w:left w:val="none" w:sz="0" w:space="0" w:color="auto"/>
        <w:bottom w:val="none" w:sz="0" w:space="0" w:color="auto"/>
        <w:right w:val="none" w:sz="0" w:space="0" w:color="auto"/>
      </w:divBdr>
    </w:div>
    <w:div w:id="287518159">
      <w:bodyDiv w:val="1"/>
      <w:marLeft w:val="0"/>
      <w:marRight w:val="0"/>
      <w:marTop w:val="0"/>
      <w:marBottom w:val="0"/>
      <w:divBdr>
        <w:top w:val="none" w:sz="0" w:space="0" w:color="auto"/>
        <w:left w:val="none" w:sz="0" w:space="0" w:color="auto"/>
        <w:bottom w:val="none" w:sz="0" w:space="0" w:color="auto"/>
        <w:right w:val="none" w:sz="0" w:space="0" w:color="auto"/>
      </w:divBdr>
    </w:div>
    <w:div w:id="313292578">
      <w:bodyDiv w:val="1"/>
      <w:marLeft w:val="0"/>
      <w:marRight w:val="0"/>
      <w:marTop w:val="0"/>
      <w:marBottom w:val="0"/>
      <w:divBdr>
        <w:top w:val="none" w:sz="0" w:space="0" w:color="auto"/>
        <w:left w:val="none" w:sz="0" w:space="0" w:color="auto"/>
        <w:bottom w:val="none" w:sz="0" w:space="0" w:color="auto"/>
        <w:right w:val="none" w:sz="0" w:space="0" w:color="auto"/>
      </w:divBdr>
    </w:div>
    <w:div w:id="385876199">
      <w:bodyDiv w:val="1"/>
      <w:marLeft w:val="0"/>
      <w:marRight w:val="0"/>
      <w:marTop w:val="0"/>
      <w:marBottom w:val="0"/>
      <w:divBdr>
        <w:top w:val="none" w:sz="0" w:space="0" w:color="auto"/>
        <w:left w:val="none" w:sz="0" w:space="0" w:color="auto"/>
        <w:bottom w:val="none" w:sz="0" w:space="0" w:color="auto"/>
        <w:right w:val="none" w:sz="0" w:space="0" w:color="auto"/>
      </w:divBdr>
    </w:div>
    <w:div w:id="413935775">
      <w:bodyDiv w:val="1"/>
      <w:marLeft w:val="0"/>
      <w:marRight w:val="0"/>
      <w:marTop w:val="0"/>
      <w:marBottom w:val="0"/>
      <w:divBdr>
        <w:top w:val="none" w:sz="0" w:space="0" w:color="auto"/>
        <w:left w:val="none" w:sz="0" w:space="0" w:color="auto"/>
        <w:bottom w:val="none" w:sz="0" w:space="0" w:color="auto"/>
        <w:right w:val="none" w:sz="0" w:space="0" w:color="auto"/>
      </w:divBdr>
    </w:div>
    <w:div w:id="415983946">
      <w:bodyDiv w:val="1"/>
      <w:marLeft w:val="0"/>
      <w:marRight w:val="0"/>
      <w:marTop w:val="0"/>
      <w:marBottom w:val="0"/>
      <w:divBdr>
        <w:top w:val="none" w:sz="0" w:space="0" w:color="auto"/>
        <w:left w:val="none" w:sz="0" w:space="0" w:color="auto"/>
        <w:bottom w:val="none" w:sz="0" w:space="0" w:color="auto"/>
        <w:right w:val="none" w:sz="0" w:space="0" w:color="auto"/>
      </w:divBdr>
    </w:div>
    <w:div w:id="515853905">
      <w:bodyDiv w:val="1"/>
      <w:marLeft w:val="0"/>
      <w:marRight w:val="0"/>
      <w:marTop w:val="0"/>
      <w:marBottom w:val="0"/>
      <w:divBdr>
        <w:top w:val="none" w:sz="0" w:space="0" w:color="auto"/>
        <w:left w:val="none" w:sz="0" w:space="0" w:color="auto"/>
        <w:bottom w:val="none" w:sz="0" w:space="0" w:color="auto"/>
        <w:right w:val="none" w:sz="0" w:space="0" w:color="auto"/>
      </w:divBdr>
    </w:div>
    <w:div w:id="530384549">
      <w:bodyDiv w:val="1"/>
      <w:marLeft w:val="0"/>
      <w:marRight w:val="0"/>
      <w:marTop w:val="0"/>
      <w:marBottom w:val="0"/>
      <w:divBdr>
        <w:top w:val="none" w:sz="0" w:space="0" w:color="auto"/>
        <w:left w:val="none" w:sz="0" w:space="0" w:color="auto"/>
        <w:bottom w:val="none" w:sz="0" w:space="0" w:color="auto"/>
        <w:right w:val="none" w:sz="0" w:space="0" w:color="auto"/>
      </w:divBdr>
    </w:div>
    <w:div w:id="537937037">
      <w:bodyDiv w:val="1"/>
      <w:marLeft w:val="0"/>
      <w:marRight w:val="0"/>
      <w:marTop w:val="0"/>
      <w:marBottom w:val="0"/>
      <w:divBdr>
        <w:top w:val="none" w:sz="0" w:space="0" w:color="auto"/>
        <w:left w:val="none" w:sz="0" w:space="0" w:color="auto"/>
        <w:bottom w:val="none" w:sz="0" w:space="0" w:color="auto"/>
        <w:right w:val="none" w:sz="0" w:space="0" w:color="auto"/>
      </w:divBdr>
    </w:div>
    <w:div w:id="558171079">
      <w:bodyDiv w:val="1"/>
      <w:marLeft w:val="0"/>
      <w:marRight w:val="0"/>
      <w:marTop w:val="0"/>
      <w:marBottom w:val="0"/>
      <w:divBdr>
        <w:top w:val="none" w:sz="0" w:space="0" w:color="auto"/>
        <w:left w:val="none" w:sz="0" w:space="0" w:color="auto"/>
        <w:bottom w:val="none" w:sz="0" w:space="0" w:color="auto"/>
        <w:right w:val="none" w:sz="0" w:space="0" w:color="auto"/>
      </w:divBdr>
    </w:div>
    <w:div w:id="657195139">
      <w:bodyDiv w:val="1"/>
      <w:marLeft w:val="0"/>
      <w:marRight w:val="0"/>
      <w:marTop w:val="0"/>
      <w:marBottom w:val="0"/>
      <w:divBdr>
        <w:top w:val="none" w:sz="0" w:space="0" w:color="auto"/>
        <w:left w:val="none" w:sz="0" w:space="0" w:color="auto"/>
        <w:bottom w:val="none" w:sz="0" w:space="0" w:color="auto"/>
        <w:right w:val="none" w:sz="0" w:space="0" w:color="auto"/>
      </w:divBdr>
    </w:div>
    <w:div w:id="670059259">
      <w:bodyDiv w:val="1"/>
      <w:marLeft w:val="0"/>
      <w:marRight w:val="0"/>
      <w:marTop w:val="0"/>
      <w:marBottom w:val="0"/>
      <w:divBdr>
        <w:top w:val="none" w:sz="0" w:space="0" w:color="auto"/>
        <w:left w:val="none" w:sz="0" w:space="0" w:color="auto"/>
        <w:bottom w:val="none" w:sz="0" w:space="0" w:color="auto"/>
        <w:right w:val="none" w:sz="0" w:space="0" w:color="auto"/>
      </w:divBdr>
    </w:div>
    <w:div w:id="677580563">
      <w:bodyDiv w:val="1"/>
      <w:marLeft w:val="0"/>
      <w:marRight w:val="0"/>
      <w:marTop w:val="0"/>
      <w:marBottom w:val="0"/>
      <w:divBdr>
        <w:top w:val="none" w:sz="0" w:space="0" w:color="auto"/>
        <w:left w:val="none" w:sz="0" w:space="0" w:color="auto"/>
        <w:bottom w:val="none" w:sz="0" w:space="0" w:color="auto"/>
        <w:right w:val="none" w:sz="0" w:space="0" w:color="auto"/>
      </w:divBdr>
    </w:div>
    <w:div w:id="718433486">
      <w:bodyDiv w:val="1"/>
      <w:marLeft w:val="0"/>
      <w:marRight w:val="0"/>
      <w:marTop w:val="0"/>
      <w:marBottom w:val="0"/>
      <w:divBdr>
        <w:top w:val="none" w:sz="0" w:space="0" w:color="auto"/>
        <w:left w:val="none" w:sz="0" w:space="0" w:color="auto"/>
        <w:bottom w:val="none" w:sz="0" w:space="0" w:color="auto"/>
        <w:right w:val="none" w:sz="0" w:space="0" w:color="auto"/>
      </w:divBdr>
    </w:div>
    <w:div w:id="870414942">
      <w:bodyDiv w:val="1"/>
      <w:marLeft w:val="0"/>
      <w:marRight w:val="0"/>
      <w:marTop w:val="0"/>
      <w:marBottom w:val="0"/>
      <w:divBdr>
        <w:top w:val="none" w:sz="0" w:space="0" w:color="auto"/>
        <w:left w:val="none" w:sz="0" w:space="0" w:color="auto"/>
        <w:bottom w:val="none" w:sz="0" w:space="0" w:color="auto"/>
        <w:right w:val="none" w:sz="0" w:space="0" w:color="auto"/>
      </w:divBdr>
    </w:div>
    <w:div w:id="948008748">
      <w:bodyDiv w:val="1"/>
      <w:marLeft w:val="0"/>
      <w:marRight w:val="0"/>
      <w:marTop w:val="0"/>
      <w:marBottom w:val="0"/>
      <w:divBdr>
        <w:top w:val="none" w:sz="0" w:space="0" w:color="auto"/>
        <w:left w:val="none" w:sz="0" w:space="0" w:color="auto"/>
        <w:bottom w:val="none" w:sz="0" w:space="0" w:color="auto"/>
        <w:right w:val="none" w:sz="0" w:space="0" w:color="auto"/>
      </w:divBdr>
    </w:div>
    <w:div w:id="975912292">
      <w:bodyDiv w:val="1"/>
      <w:marLeft w:val="0"/>
      <w:marRight w:val="0"/>
      <w:marTop w:val="0"/>
      <w:marBottom w:val="0"/>
      <w:divBdr>
        <w:top w:val="none" w:sz="0" w:space="0" w:color="auto"/>
        <w:left w:val="none" w:sz="0" w:space="0" w:color="auto"/>
        <w:bottom w:val="none" w:sz="0" w:space="0" w:color="auto"/>
        <w:right w:val="none" w:sz="0" w:space="0" w:color="auto"/>
      </w:divBdr>
    </w:div>
    <w:div w:id="979386027">
      <w:bodyDiv w:val="1"/>
      <w:marLeft w:val="0"/>
      <w:marRight w:val="0"/>
      <w:marTop w:val="0"/>
      <w:marBottom w:val="0"/>
      <w:divBdr>
        <w:top w:val="none" w:sz="0" w:space="0" w:color="auto"/>
        <w:left w:val="none" w:sz="0" w:space="0" w:color="auto"/>
        <w:bottom w:val="none" w:sz="0" w:space="0" w:color="auto"/>
        <w:right w:val="none" w:sz="0" w:space="0" w:color="auto"/>
      </w:divBdr>
    </w:div>
    <w:div w:id="986131848">
      <w:bodyDiv w:val="1"/>
      <w:marLeft w:val="0"/>
      <w:marRight w:val="0"/>
      <w:marTop w:val="0"/>
      <w:marBottom w:val="0"/>
      <w:divBdr>
        <w:top w:val="none" w:sz="0" w:space="0" w:color="auto"/>
        <w:left w:val="none" w:sz="0" w:space="0" w:color="auto"/>
        <w:bottom w:val="none" w:sz="0" w:space="0" w:color="auto"/>
        <w:right w:val="none" w:sz="0" w:space="0" w:color="auto"/>
      </w:divBdr>
    </w:div>
    <w:div w:id="1072004733">
      <w:bodyDiv w:val="1"/>
      <w:marLeft w:val="0"/>
      <w:marRight w:val="0"/>
      <w:marTop w:val="0"/>
      <w:marBottom w:val="0"/>
      <w:divBdr>
        <w:top w:val="none" w:sz="0" w:space="0" w:color="auto"/>
        <w:left w:val="none" w:sz="0" w:space="0" w:color="auto"/>
        <w:bottom w:val="none" w:sz="0" w:space="0" w:color="auto"/>
        <w:right w:val="none" w:sz="0" w:space="0" w:color="auto"/>
      </w:divBdr>
    </w:div>
    <w:div w:id="1108811239">
      <w:bodyDiv w:val="1"/>
      <w:marLeft w:val="0"/>
      <w:marRight w:val="0"/>
      <w:marTop w:val="0"/>
      <w:marBottom w:val="0"/>
      <w:divBdr>
        <w:top w:val="none" w:sz="0" w:space="0" w:color="auto"/>
        <w:left w:val="none" w:sz="0" w:space="0" w:color="auto"/>
        <w:bottom w:val="none" w:sz="0" w:space="0" w:color="auto"/>
        <w:right w:val="none" w:sz="0" w:space="0" w:color="auto"/>
      </w:divBdr>
    </w:div>
    <w:div w:id="1127429587">
      <w:bodyDiv w:val="1"/>
      <w:marLeft w:val="0"/>
      <w:marRight w:val="0"/>
      <w:marTop w:val="0"/>
      <w:marBottom w:val="0"/>
      <w:divBdr>
        <w:top w:val="none" w:sz="0" w:space="0" w:color="auto"/>
        <w:left w:val="none" w:sz="0" w:space="0" w:color="auto"/>
        <w:bottom w:val="none" w:sz="0" w:space="0" w:color="auto"/>
        <w:right w:val="none" w:sz="0" w:space="0" w:color="auto"/>
      </w:divBdr>
    </w:div>
    <w:div w:id="1149982964">
      <w:bodyDiv w:val="1"/>
      <w:marLeft w:val="0"/>
      <w:marRight w:val="0"/>
      <w:marTop w:val="0"/>
      <w:marBottom w:val="0"/>
      <w:divBdr>
        <w:top w:val="none" w:sz="0" w:space="0" w:color="auto"/>
        <w:left w:val="none" w:sz="0" w:space="0" w:color="auto"/>
        <w:bottom w:val="none" w:sz="0" w:space="0" w:color="auto"/>
        <w:right w:val="none" w:sz="0" w:space="0" w:color="auto"/>
      </w:divBdr>
    </w:div>
    <w:div w:id="1163203188">
      <w:bodyDiv w:val="1"/>
      <w:marLeft w:val="0"/>
      <w:marRight w:val="0"/>
      <w:marTop w:val="0"/>
      <w:marBottom w:val="0"/>
      <w:divBdr>
        <w:top w:val="none" w:sz="0" w:space="0" w:color="auto"/>
        <w:left w:val="none" w:sz="0" w:space="0" w:color="auto"/>
        <w:bottom w:val="none" w:sz="0" w:space="0" w:color="auto"/>
        <w:right w:val="none" w:sz="0" w:space="0" w:color="auto"/>
      </w:divBdr>
    </w:div>
    <w:div w:id="1219828069">
      <w:bodyDiv w:val="1"/>
      <w:marLeft w:val="0"/>
      <w:marRight w:val="0"/>
      <w:marTop w:val="0"/>
      <w:marBottom w:val="0"/>
      <w:divBdr>
        <w:top w:val="none" w:sz="0" w:space="0" w:color="auto"/>
        <w:left w:val="none" w:sz="0" w:space="0" w:color="auto"/>
        <w:bottom w:val="none" w:sz="0" w:space="0" w:color="auto"/>
        <w:right w:val="none" w:sz="0" w:space="0" w:color="auto"/>
      </w:divBdr>
    </w:div>
    <w:div w:id="1262838623">
      <w:bodyDiv w:val="1"/>
      <w:marLeft w:val="0"/>
      <w:marRight w:val="0"/>
      <w:marTop w:val="0"/>
      <w:marBottom w:val="0"/>
      <w:divBdr>
        <w:top w:val="none" w:sz="0" w:space="0" w:color="auto"/>
        <w:left w:val="none" w:sz="0" w:space="0" w:color="auto"/>
        <w:bottom w:val="none" w:sz="0" w:space="0" w:color="auto"/>
        <w:right w:val="none" w:sz="0" w:space="0" w:color="auto"/>
      </w:divBdr>
    </w:div>
    <w:div w:id="1279723981">
      <w:bodyDiv w:val="1"/>
      <w:marLeft w:val="0"/>
      <w:marRight w:val="0"/>
      <w:marTop w:val="0"/>
      <w:marBottom w:val="0"/>
      <w:divBdr>
        <w:top w:val="none" w:sz="0" w:space="0" w:color="auto"/>
        <w:left w:val="none" w:sz="0" w:space="0" w:color="auto"/>
        <w:bottom w:val="none" w:sz="0" w:space="0" w:color="auto"/>
        <w:right w:val="none" w:sz="0" w:space="0" w:color="auto"/>
      </w:divBdr>
    </w:div>
    <w:div w:id="1317800274">
      <w:bodyDiv w:val="1"/>
      <w:marLeft w:val="0"/>
      <w:marRight w:val="0"/>
      <w:marTop w:val="0"/>
      <w:marBottom w:val="0"/>
      <w:divBdr>
        <w:top w:val="none" w:sz="0" w:space="0" w:color="auto"/>
        <w:left w:val="none" w:sz="0" w:space="0" w:color="auto"/>
        <w:bottom w:val="none" w:sz="0" w:space="0" w:color="auto"/>
        <w:right w:val="none" w:sz="0" w:space="0" w:color="auto"/>
      </w:divBdr>
    </w:div>
    <w:div w:id="1463889156">
      <w:bodyDiv w:val="1"/>
      <w:marLeft w:val="0"/>
      <w:marRight w:val="0"/>
      <w:marTop w:val="0"/>
      <w:marBottom w:val="0"/>
      <w:divBdr>
        <w:top w:val="none" w:sz="0" w:space="0" w:color="auto"/>
        <w:left w:val="none" w:sz="0" w:space="0" w:color="auto"/>
        <w:bottom w:val="none" w:sz="0" w:space="0" w:color="auto"/>
        <w:right w:val="none" w:sz="0" w:space="0" w:color="auto"/>
      </w:divBdr>
    </w:div>
    <w:div w:id="1544437922">
      <w:bodyDiv w:val="1"/>
      <w:marLeft w:val="0"/>
      <w:marRight w:val="0"/>
      <w:marTop w:val="0"/>
      <w:marBottom w:val="0"/>
      <w:divBdr>
        <w:top w:val="none" w:sz="0" w:space="0" w:color="auto"/>
        <w:left w:val="none" w:sz="0" w:space="0" w:color="auto"/>
        <w:bottom w:val="none" w:sz="0" w:space="0" w:color="auto"/>
        <w:right w:val="none" w:sz="0" w:space="0" w:color="auto"/>
      </w:divBdr>
    </w:div>
    <w:div w:id="1565873689">
      <w:bodyDiv w:val="1"/>
      <w:marLeft w:val="0"/>
      <w:marRight w:val="0"/>
      <w:marTop w:val="0"/>
      <w:marBottom w:val="0"/>
      <w:divBdr>
        <w:top w:val="none" w:sz="0" w:space="0" w:color="auto"/>
        <w:left w:val="none" w:sz="0" w:space="0" w:color="auto"/>
        <w:bottom w:val="none" w:sz="0" w:space="0" w:color="auto"/>
        <w:right w:val="none" w:sz="0" w:space="0" w:color="auto"/>
      </w:divBdr>
    </w:div>
    <w:div w:id="1645507553">
      <w:bodyDiv w:val="1"/>
      <w:marLeft w:val="0"/>
      <w:marRight w:val="0"/>
      <w:marTop w:val="0"/>
      <w:marBottom w:val="0"/>
      <w:divBdr>
        <w:top w:val="none" w:sz="0" w:space="0" w:color="auto"/>
        <w:left w:val="none" w:sz="0" w:space="0" w:color="auto"/>
        <w:bottom w:val="none" w:sz="0" w:space="0" w:color="auto"/>
        <w:right w:val="none" w:sz="0" w:space="0" w:color="auto"/>
      </w:divBdr>
    </w:div>
    <w:div w:id="1663311388">
      <w:bodyDiv w:val="1"/>
      <w:marLeft w:val="0"/>
      <w:marRight w:val="0"/>
      <w:marTop w:val="0"/>
      <w:marBottom w:val="0"/>
      <w:divBdr>
        <w:top w:val="none" w:sz="0" w:space="0" w:color="auto"/>
        <w:left w:val="none" w:sz="0" w:space="0" w:color="auto"/>
        <w:bottom w:val="none" w:sz="0" w:space="0" w:color="auto"/>
        <w:right w:val="none" w:sz="0" w:space="0" w:color="auto"/>
      </w:divBdr>
    </w:div>
    <w:div w:id="1943951902">
      <w:bodyDiv w:val="1"/>
      <w:marLeft w:val="0"/>
      <w:marRight w:val="0"/>
      <w:marTop w:val="0"/>
      <w:marBottom w:val="0"/>
      <w:divBdr>
        <w:top w:val="none" w:sz="0" w:space="0" w:color="auto"/>
        <w:left w:val="none" w:sz="0" w:space="0" w:color="auto"/>
        <w:bottom w:val="none" w:sz="0" w:space="0" w:color="auto"/>
        <w:right w:val="none" w:sz="0" w:space="0" w:color="auto"/>
      </w:divBdr>
    </w:div>
    <w:div w:id="1964146566">
      <w:bodyDiv w:val="1"/>
      <w:marLeft w:val="0"/>
      <w:marRight w:val="0"/>
      <w:marTop w:val="0"/>
      <w:marBottom w:val="0"/>
      <w:divBdr>
        <w:top w:val="none" w:sz="0" w:space="0" w:color="auto"/>
        <w:left w:val="none" w:sz="0" w:space="0" w:color="auto"/>
        <w:bottom w:val="none" w:sz="0" w:space="0" w:color="auto"/>
        <w:right w:val="none" w:sz="0" w:space="0" w:color="auto"/>
      </w:divBdr>
    </w:div>
    <w:div w:id="1997951875">
      <w:bodyDiv w:val="1"/>
      <w:marLeft w:val="0"/>
      <w:marRight w:val="0"/>
      <w:marTop w:val="0"/>
      <w:marBottom w:val="0"/>
      <w:divBdr>
        <w:top w:val="none" w:sz="0" w:space="0" w:color="auto"/>
        <w:left w:val="none" w:sz="0" w:space="0" w:color="auto"/>
        <w:bottom w:val="none" w:sz="0" w:space="0" w:color="auto"/>
        <w:right w:val="none" w:sz="0" w:space="0" w:color="auto"/>
      </w:divBdr>
    </w:div>
    <w:div w:id="2054428535">
      <w:bodyDiv w:val="1"/>
      <w:marLeft w:val="0"/>
      <w:marRight w:val="0"/>
      <w:marTop w:val="0"/>
      <w:marBottom w:val="0"/>
      <w:divBdr>
        <w:top w:val="none" w:sz="0" w:space="0" w:color="auto"/>
        <w:left w:val="none" w:sz="0" w:space="0" w:color="auto"/>
        <w:bottom w:val="none" w:sz="0" w:space="0" w:color="auto"/>
        <w:right w:val="none" w:sz="0" w:space="0" w:color="auto"/>
      </w:divBdr>
    </w:div>
    <w:div w:id="2083286671">
      <w:bodyDiv w:val="1"/>
      <w:marLeft w:val="0"/>
      <w:marRight w:val="0"/>
      <w:marTop w:val="0"/>
      <w:marBottom w:val="0"/>
      <w:divBdr>
        <w:top w:val="none" w:sz="0" w:space="0" w:color="auto"/>
        <w:left w:val="none" w:sz="0" w:space="0" w:color="auto"/>
        <w:bottom w:val="none" w:sz="0" w:space="0" w:color="auto"/>
        <w:right w:val="none" w:sz="0" w:space="0" w:color="auto"/>
      </w:divBdr>
    </w:div>
    <w:div w:id="209709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42</TotalTime>
  <Pages>34</Pages>
  <Words>12706</Words>
  <Characters>73065</Characters>
  <Application>Microsoft Office Word</Application>
  <DocSecurity>0</DocSecurity>
  <Lines>608</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2023111827 mt</dc:description>
  <cp:lastModifiedBy>Hanne Thy Iversen</cp:lastModifiedBy>
  <cp:revision>15</cp:revision>
  <cp:lastPrinted>2006-02-24T09:31:00Z</cp:lastPrinted>
  <dcterms:created xsi:type="dcterms:W3CDTF">2025-01-23T09:46:00Z</dcterms:created>
  <dcterms:modified xsi:type="dcterms:W3CDTF">2025-01-23T12:55:00Z</dcterms:modified>
</cp:coreProperties>
</file>