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496CA" w14:textId="77777777" w:rsidR="004A3BF4" w:rsidRPr="00A03EED" w:rsidRDefault="00056601" w:rsidP="004A3BF4">
      <w:pPr>
        <w:rPr>
          <w:sz w:val="24"/>
          <w:szCs w:val="24"/>
          <w:lang w:val="en-GB"/>
        </w:rPr>
      </w:pPr>
      <w:bookmarkStart w:id="0" w:name="_GoBack"/>
      <w:bookmarkEnd w:id="0"/>
      <w:r w:rsidRPr="00A03EED">
        <w:rPr>
          <w:noProof/>
          <w:sz w:val="24"/>
          <w:szCs w:val="24"/>
          <w:lang w:val="en-GB"/>
        </w:rPr>
        <w:drawing>
          <wp:inline distT="0" distB="0" distL="0" distR="0" wp14:anchorId="7C282CE3" wp14:editId="2C4EEC2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FA9C42F" w14:textId="77777777" w:rsidR="006B3847" w:rsidRPr="00A03EED" w:rsidRDefault="006B3847" w:rsidP="006B3847">
      <w:pPr>
        <w:rPr>
          <w:sz w:val="24"/>
          <w:szCs w:val="24"/>
          <w:lang w:val="en-GB"/>
        </w:rPr>
      </w:pPr>
    </w:p>
    <w:p w14:paraId="0ED82235" w14:textId="4C6AA380" w:rsidR="006B3847" w:rsidRPr="00A03EED" w:rsidRDefault="006B3847" w:rsidP="006B3847">
      <w:pPr>
        <w:tabs>
          <w:tab w:val="right" w:pos="9356"/>
        </w:tabs>
        <w:rPr>
          <w:b/>
          <w:sz w:val="24"/>
          <w:szCs w:val="24"/>
          <w:lang w:val="en-GB"/>
        </w:rPr>
      </w:pPr>
      <w:r w:rsidRPr="00A03EED">
        <w:rPr>
          <w:b/>
          <w:sz w:val="24"/>
          <w:szCs w:val="24"/>
          <w:lang w:val="en-GB"/>
        </w:rPr>
        <w:tab/>
      </w:r>
      <w:r w:rsidR="00B65F4F">
        <w:rPr>
          <w:b/>
          <w:sz w:val="24"/>
          <w:szCs w:val="24"/>
          <w:lang w:val="en-GB"/>
        </w:rPr>
        <w:t>30 September 2021</w:t>
      </w:r>
    </w:p>
    <w:p w14:paraId="14A50AA5" w14:textId="77777777" w:rsidR="006B3847" w:rsidRPr="00A03EED" w:rsidRDefault="006B3847" w:rsidP="006B3847">
      <w:pPr>
        <w:rPr>
          <w:sz w:val="24"/>
          <w:szCs w:val="24"/>
          <w:lang w:val="en-GB"/>
        </w:rPr>
      </w:pPr>
    </w:p>
    <w:p w14:paraId="1A96290C" w14:textId="77777777" w:rsidR="007C5D2A" w:rsidRPr="00A03EED" w:rsidRDefault="007C5D2A" w:rsidP="007C5D2A">
      <w:pPr>
        <w:rPr>
          <w:sz w:val="24"/>
          <w:szCs w:val="24"/>
          <w:lang w:val="en-GB"/>
        </w:rPr>
      </w:pPr>
    </w:p>
    <w:p w14:paraId="0DB16151" w14:textId="77777777" w:rsidR="007C5D2A" w:rsidRPr="00A03EED" w:rsidRDefault="007C5D2A" w:rsidP="007C5D2A">
      <w:pPr>
        <w:rPr>
          <w:sz w:val="24"/>
          <w:szCs w:val="24"/>
          <w:lang w:val="en-GB"/>
        </w:rPr>
      </w:pPr>
    </w:p>
    <w:p w14:paraId="68EF1D7D" w14:textId="77777777" w:rsidR="007C5D2A" w:rsidRPr="00A03EED" w:rsidRDefault="007C5D2A" w:rsidP="007C5D2A">
      <w:pPr>
        <w:jc w:val="center"/>
        <w:rPr>
          <w:b/>
          <w:sz w:val="24"/>
          <w:szCs w:val="24"/>
          <w:lang w:val="en-GB"/>
        </w:rPr>
      </w:pPr>
      <w:bookmarkStart w:id="1" w:name="_Hlk49158549"/>
      <w:r w:rsidRPr="00A03EED">
        <w:rPr>
          <w:b/>
          <w:sz w:val="24"/>
          <w:szCs w:val="24"/>
          <w:lang w:val="en-GB"/>
        </w:rPr>
        <w:t>SUMMARY OF PRODUCT CHARACTERISTICS</w:t>
      </w:r>
    </w:p>
    <w:bookmarkEnd w:id="1"/>
    <w:p w14:paraId="384B4609" w14:textId="77777777" w:rsidR="007C5D2A" w:rsidRPr="00A03EED" w:rsidRDefault="007C5D2A" w:rsidP="007C5D2A">
      <w:pPr>
        <w:jc w:val="center"/>
        <w:rPr>
          <w:sz w:val="24"/>
          <w:szCs w:val="24"/>
          <w:lang w:val="en-GB"/>
        </w:rPr>
      </w:pPr>
    </w:p>
    <w:p w14:paraId="3ACAAA40" w14:textId="77777777" w:rsidR="007C5D2A" w:rsidRPr="00A03EED" w:rsidRDefault="007C5D2A" w:rsidP="007C5D2A">
      <w:pPr>
        <w:jc w:val="center"/>
        <w:rPr>
          <w:b/>
          <w:sz w:val="24"/>
          <w:szCs w:val="24"/>
          <w:lang w:val="en-GB"/>
        </w:rPr>
      </w:pPr>
      <w:r w:rsidRPr="00A03EED">
        <w:rPr>
          <w:b/>
          <w:sz w:val="24"/>
          <w:szCs w:val="24"/>
          <w:lang w:val="en-GB"/>
        </w:rPr>
        <w:t>for</w:t>
      </w:r>
    </w:p>
    <w:p w14:paraId="0BF23112" w14:textId="77777777" w:rsidR="007C5D2A" w:rsidRPr="00A03EED" w:rsidRDefault="007C5D2A" w:rsidP="007C5D2A">
      <w:pPr>
        <w:jc w:val="center"/>
        <w:rPr>
          <w:sz w:val="24"/>
          <w:szCs w:val="24"/>
          <w:lang w:val="en-GB"/>
        </w:rPr>
      </w:pPr>
    </w:p>
    <w:p w14:paraId="65512E84" w14:textId="3B469CAA" w:rsidR="007C5D2A" w:rsidRPr="00A03EED" w:rsidRDefault="00352D25" w:rsidP="007C5D2A">
      <w:pPr>
        <w:jc w:val="center"/>
        <w:rPr>
          <w:b/>
          <w:sz w:val="24"/>
          <w:szCs w:val="24"/>
          <w:lang w:val="en-US"/>
        </w:rPr>
      </w:pPr>
      <w:proofErr w:type="spellStart"/>
      <w:r w:rsidRPr="00A03EED">
        <w:rPr>
          <w:b/>
          <w:sz w:val="24"/>
          <w:szCs w:val="24"/>
          <w:lang w:val="en-US"/>
        </w:rPr>
        <w:t>Bramitob</w:t>
      </w:r>
      <w:proofErr w:type="spellEnd"/>
      <w:r w:rsidRPr="00A03EED">
        <w:rPr>
          <w:b/>
          <w:sz w:val="24"/>
          <w:szCs w:val="24"/>
          <w:lang w:val="en-US"/>
        </w:rPr>
        <w:t xml:space="preserve">, </w:t>
      </w:r>
      <w:proofErr w:type="spellStart"/>
      <w:r w:rsidR="00BC19DA" w:rsidRPr="00A03EED">
        <w:rPr>
          <w:b/>
          <w:sz w:val="24"/>
          <w:szCs w:val="24"/>
          <w:lang w:val="en-US"/>
        </w:rPr>
        <w:t>nebuliser</w:t>
      </w:r>
      <w:proofErr w:type="spellEnd"/>
      <w:r w:rsidR="00BC19DA" w:rsidRPr="00A03EED">
        <w:rPr>
          <w:b/>
          <w:sz w:val="24"/>
          <w:szCs w:val="24"/>
          <w:lang w:val="en-US"/>
        </w:rPr>
        <w:t xml:space="preserve"> solution</w:t>
      </w:r>
    </w:p>
    <w:p w14:paraId="767279E2" w14:textId="77777777" w:rsidR="007C5D2A" w:rsidRPr="00A03EED" w:rsidRDefault="007C5D2A" w:rsidP="007C5D2A">
      <w:pPr>
        <w:jc w:val="both"/>
        <w:rPr>
          <w:sz w:val="24"/>
          <w:szCs w:val="24"/>
          <w:lang w:val="en-US"/>
        </w:rPr>
      </w:pPr>
    </w:p>
    <w:p w14:paraId="20BABD94" w14:textId="77777777" w:rsidR="0042292D" w:rsidRPr="00A03EED" w:rsidRDefault="0042292D" w:rsidP="007C5D2A">
      <w:pPr>
        <w:jc w:val="both"/>
        <w:rPr>
          <w:sz w:val="24"/>
          <w:szCs w:val="24"/>
          <w:lang w:val="en-US"/>
        </w:rPr>
      </w:pPr>
    </w:p>
    <w:p w14:paraId="37078E97" w14:textId="77777777" w:rsidR="008F2F8C" w:rsidRPr="00A03EED" w:rsidRDefault="008F2F8C" w:rsidP="008F2F8C">
      <w:pPr>
        <w:tabs>
          <w:tab w:val="left" w:pos="8222"/>
        </w:tabs>
        <w:ind w:left="851" w:hanging="851"/>
        <w:rPr>
          <w:b/>
          <w:sz w:val="24"/>
          <w:szCs w:val="24"/>
          <w:lang w:val="en-US"/>
        </w:rPr>
      </w:pPr>
      <w:r w:rsidRPr="00A03EED">
        <w:rPr>
          <w:b/>
          <w:sz w:val="24"/>
          <w:szCs w:val="24"/>
          <w:lang w:val="en-US"/>
        </w:rPr>
        <w:t>0.</w:t>
      </w:r>
      <w:r w:rsidRPr="00A03EED">
        <w:rPr>
          <w:b/>
          <w:sz w:val="24"/>
          <w:szCs w:val="24"/>
          <w:lang w:val="en-US"/>
        </w:rPr>
        <w:tab/>
      </w:r>
      <w:proofErr w:type="gramStart"/>
      <w:r w:rsidRPr="00A03EED">
        <w:rPr>
          <w:b/>
          <w:sz w:val="24"/>
          <w:szCs w:val="24"/>
          <w:lang w:val="en-US"/>
        </w:rPr>
        <w:t>D.SP.NO</w:t>
      </w:r>
      <w:proofErr w:type="gramEnd"/>
      <w:r w:rsidRPr="00A03EED">
        <w:rPr>
          <w:b/>
          <w:sz w:val="24"/>
          <w:szCs w:val="24"/>
          <w:lang w:val="en-US"/>
        </w:rPr>
        <w:t>.</w:t>
      </w:r>
    </w:p>
    <w:p w14:paraId="37F5F6B2" w14:textId="69AA1486" w:rsidR="008F2F8C" w:rsidRPr="00A03EED" w:rsidRDefault="00BC19DA" w:rsidP="008F2F8C">
      <w:pPr>
        <w:tabs>
          <w:tab w:val="left" w:pos="8222"/>
        </w:tabs>
        <w:ind w:left="851"/>
        <w:rPr>
          <w:sz w:val="24"/>
          <w:szCs w:val="24"/>
          <w:lang w:val="en-GB"/>
        </w:rPr>
      </w:pPr>
      <w:r w:rsidRPr="00A03EED">
        <w:rPr>
          <w:sz w:val="24"/>
          <w:szCs w:val="24"/>
          <w:lang w:val="en-GB"/>
        </w:rPr>
        <w:t>32463</w:t>
      </w:r>
    </w:p>
    <w:p w14:paraId="7205DB36" w14:textId="77777777" w:rsidR="007C5D2A" w:rsidRPr="00A03EED" w:rsidRDefault="007C5D2A" w:rsidP="007C5D2A">
      <w:pPr>
        <w:tabs>
          <w:tab w:val="left" w:pos="851"/>
        </w:tabs>
        <w:jc w:val="both"/>
        <w:rPr>
          <w:sz w:val="24"/>
          <w:szCs w:val="24"/>
          <w:lang w:val="en-GB"/>
        </w:rPr>
      </w:pPr>
    </w:p>
    <w:p w14:paraId="65B78A92" w14:textId="77777777" w:rsidR="007C5D2A" w:rsidRPr="00A03EED" w:rsidRDefault="009925C9" w:rsidP="007C5D2A">
      <w:pPr>
        <w:tabs>
          <w:tab w:val="left" w:pos="851"/>
        </w:tabs>
        <w:ind w:left="851" w:hanging="851"/>
        <w:rPr>
          <w:sz w:val="24"/>
          <w:szCs w:val="24"/>
          <w:lang w:val="en-GB"/>
        </w:rPr>
      </w:pPr>
      <w:r w:rsidRPr="00A03EED">
        <w:rPr>
          <w:b/>
          <w:sz w:val="24"/>
          <w:szCs w:val="24"/>
          <w:lang w:val="en-GB"/>
        </w:rPr>
        <w:t>1.</w:t>
      </w:r>
      <w:r w:rsidR="007C5D2A" w:rsidRPr="00A03EED">
        <w:rPr>
          <w:b/>
          <w:sz w:val="24"/>
          <w:szCs w:val="24"/>
          <w:lang w:val="en-GB"/>
        </w:rPr>
        <w:tab/>
        <w:t>NAME OF THE MEDICINAL PRODUCT</w:t>
      </w:r>
    </w:p>
    <w:p w14:paraId="4D4BE8DE" w14:textId="3D236E6A" w:rsidR="007C5D2A" w:rsidRPr="00A03EED" w:rsidRDefault="00BC19DA" w:rsidP="004A3BF4">
      <w:pPr>
        <w:tabs>
          <w:tab w:val="left" w:pos="851"/>
        </w:tabs>
        <w:ind w:left="851"/>
        <w:rPr>
          <w:sz w:val="24"/>
          <w:szCs w:val="24"/>
          <w:lang w:val="en-GB"/>
        </w:rPr>
      </w:pPr>
      <w:proofErr w:type="spellStart"/>
      <w:r w:rsidRPr="00A03EED">
        <w:rPr>
          <w:sz w:val="24"/>
          <w:szCs w:val="24"/>
          <w:lang w:val="en-GB"/>
        </w:rPr>
        <w:t>Bramitob</w:t>
      </w:r>
      <w:proofErr w:type="spellEnd"/>
    </w:p>
    <w:p w14:paraId="743160B7" w14:textId="77777777" w:rsidR="007C5D2A" w:rsidRPr="00A03EED" w:rsidRDefault="007C5D2A" w:rsidP="004A3BF4">
      <w:pPr>
        <w:tabs>
          <w:tab w:val="left" w:pos="851"/>
        </w:tabs>
        <w:ind w:left="851"/>
        <w:rPr>
          <w:sz w:val="24"/>
          <w:szCs w:val="24"/>
          <w:lang w:val="en-GB"/>
        </w:rPr>
      </w:pPr>
    </w:p>
    <w:p w14:paraId="2558450B" w14:textId="77777777" w:rsidR="007C5D2A" w:rsidRPr="00A03EED" w:rsidRDefault="009925C9" w:rsidP="007C5D2A">
      <w:pPr>
        <w:ind w:left="851" w:hanging="851"/>
        <w:rPr>
          <w:b/>
          <w:sz w:val="24"/>
          <w:szCs w:val="24"/>
          <w:lang w:val="en-GB"/>
        </w:rPr>
      </w:pPr>
      <w:r w:rsidRPr="00A03EED">
        <w:rPr>
          <w:b/>
          <w:sz w:val="24"/>
          <w:szCs w:val="24"/>
          <w:lang w:val="en-GB"/>
        </w:rPr>
        <w:t>2.</w:t>
      </w:r>
      <w:r w:rsidR="007C5D2A" w:rsidRPr="00A03EED">
        <w:rPr>
          <w:b/>
          <w:sz w:val="24"/>
          <w:szCs w:val="24"/>
          <w:lang w:val="en-GB"/>
        </w:rPr>
        <w:tab/>
        <w:t>QUALITATIVE AND QUANTITATIVE COMPOSITION</w:t>
      </w:r>
    </w:p>
    <w:p w14:paraId="45196577" w14:textId="77777777" w:rsidR="00BC19DA" w:rsidRPr="00A03EED" w:rsidRDefault="00BC19DA" w:rsidP="00694C2B">
      <w:pPr>
        <w:ind w:left="851"/>
        <w:rPr>
          <w:sz w:val="24"/>
          <w:szCs w:val="24"/>
          <w:lang w:val="fr-FR"/>
        </w:rPr>
      </w:pPr>
      <w:r w:rsidRPr="00A03EED">
        <w:rPr>
          <w:sz w:val="24"/>
          <w:szCs w:val="24"/>
          <w:lang w:val="fr-FR"/>
        </w:rPr>
        <w:t>Each 4 ml single-dose container contains tobramycin 300 mg.</w:t>
      </w:r>
    </w:p>
    <w:p w14:paraId="7A565C2C" w14:textId="77777777" w:rsidR="00BC19DA" w:rsidRPr="00A03EED" w:rsidRDefault="00BC19DA" w:rsidP="00694C2B">
      <w:pPr>
        <w:ind w:left="851"/>
        <w:rPr>
          <w:sz w:val="24"/>
          <w:szCs w:val="24"/>
          <w:lang w:val="en-GB"/>
        </w:rPr>
      </w:pPr>
      <w:r w:rsidRPr="00A03EED">
        <w:rPr>
          <w:sz w:val="24"/>
          <w:szCs w:val="24"/>
          <w:lang w:val="en-GB"/>
        </w:rPr>
        <w:t>For a full list of excipients, see section 6.1.</w:t>
      </w:r>
    </w:p>
    <w:p w14:paraId="0A4BA44E" w14:textId="77777777" w:rsidR="007C5D2A" w:rsidRPr="00A03EED" w:rsidRDefault="007C5D2A" w:rsidP="004A3BF4">
      <w:pPr>
        <w:tabs>
          <w:tab w:val="left" w:pos="851"/>
        </w:tabs>
        <w:ind w:left="851"/>
        <w:rPr>
          <w:sz w:val="24"/>
          <w:szCs w:val="24"/>
          <w:lang w:val="en-GB"/>
        </w:rPr>
      </w:pPr>
    </w:p>
    <w:p w14:paraId="12EAE83B" w14:textId="77777777" w:rsidR="007C5D2A" w:rsidRPr="00A03EED" w:rsidRDefault="007C5D2A" w:rsidP="007C5D2A">
      <w:pPr>
        <w:tabs>
          <w:tab w:val="left" w:pos="851"/>
        </w:tabs>
        <w:ind w:left="851" w:hanging="851"/>
        <w:rPr>
          <w:b/>
          <w:sz w:val="24"/>
          <w:szCs w:val="24"/>
          <w:lang w:val="en-GB"/>
        </w:rPr>
      </w:pPr>
      <w:r w:rsidRPr="00A03EED">
        <w:rPr>
          <w:b/>
          <w:sz w:val="24"/>
          <w:szCs w:val="24"/>
          <w:lang w:val="en-GB"/>
        </w:rPr>
        <w:t>3.</w:t>
      </w:r>
      <w:r w:rsidRPr="00A03EED">
        <w:rPr>
          <w:b/>
          <w:sz w:val="24"/>
          <w:szCs w:val="24"/>
          <w:lang w:val="en-GB"/>
        </w:rPr>
        <w:tab/>
        <w:t>PHARMACEUTICAL FORM</w:t>
      </w:r>
    </w:p>
    <w:p w14:paraId="192B07DD" w14:textId="308B6DA0" w:rsidR="00BC19DA" w:rsidRDefault="00BC19DA" w:rsidP="00694C2B">
      <w:pPr>
        <w:ind w:left="851"/>
        <w:rPr>
          <w:sz w:val="24"/>
          <w:szCs w:val="24"/>
          <w:lang w:val="en-GB"/>
        </w:rPr>
      </w:pPr>
      <w:r w:rsidRPr="00A03EED">
        <w:rPr>
          <w:sz w:val="24"/>
          <w:szCs w:val="24"/>
          <w:lang w:val="en-GB"/>
        </w:rPr>
        <w:t>Nebuliser solution</w:t>
      </w:r>
    </w:p>
    <w:p w14:paraId="6FF96EC2" w14:textId="77777777" w:rsidR="007318BC" w:rsidRPr="00A03EED" w:rsidRDefault="007318BC" w:rsidP="00694C2B">
      <w:pPr>
        <w:ind w:left="851"/>
        <w:rPr>
          <w:sz w:val="24"/>
          <w:szCs w:val="24"/>
          <w:lang w:val="en-GB"/>
        </w:rPr>
      </w:pPr>
    </w:p>
    <w:p w14:paraId="22D96E85" w14:textId="77777777" w:rsidR="00BC19DA" w:rsidRPr="00A03EED" w:rsidRDefault="00BC19DA" w:rsidP="00694C2B">
      <w:pPr>
        <w:ind w:left="851"/>
        <w:rPr>
          <w:sz w:val="24"/>
          <w:szCs w:val="24"/>
          <w:lang w:val="en-GB"/>
        </w:rPr>
      </w:pPr>
      <w:r w:rsidRPr="00A03EED">
        <w:rPr>
          <w:sz w:val="24"/>
          <w:szCs w:val="24"/>
          <w:lang w:val="en-GB"/>
        </w:rPr>
        <w:t>Clear, yellowish solution.</w:t>
      </w:r>
    </w:p>
    <w:p w14:paraId="18CD687D" w14:textId="405D6DC6" w:rsidR="007C5D2A" w:rsidRPr="00A03EED" w:rsidRDefault="007C5D2A" w:rsidP="004A3BF4">
      <w:pPr>
        <w:tabs>
          <w:tab w:val="left" w:pos="851"/>
        </w:tabs>
        <w:ind w:left="851"/>
        <w:rPr>
          <w:sz w:val="24"/>
          <w:szCs w:val="24"/>
          <w:lang w:val="en-GB"/>
        </w:rPr>
      </w:pPr>
    </w:p>
    <w:p w14:paraId="5B492BA8" w14:textId="77777777" w:rsidR="007109E4" w:rsidRPr="00A03EED" w:rsidRDefault="007109E4" w:rsidP="004A3BF4">
      <w:pPr>
        <w:tabs>
          <w:tab w:val="left" w:pos="851"/>
        </w:tabs>
        <w:ind w:left="851"/>
        <w:rPr>
          <w:sz w:val="24"/>
          <w:szCs w:val="24"/>
          <w:lang w:val="en-GB"/>
        </w:rPr>
      </w:pPr>
    </w:p>
    <w:p w14:paraId="1B2E52C3" w14:textId="77777777" w:rsidR="007C5D2A" w:rsidRPr="00A03EED" w:rsidRDefault="007C5D2A" w:rsidP="007C5D2A">
      <w:pPr>
        <w:ind w:left="851" w:hanging="851"/>
        <w:rPr>
          <w:b/>
          <w:sz w:val="24"/>
          <w:szCs w:val="24"/>
          <w:lang w:val="en-GB"/>
        </w:rPr>
      </w:pPr>
      <w:r w:rsidRPr="00A03EED">
        <w:rPr>
          <w:b/>
          <w:sz w:val="24"/>
          <w:szCs w:val="24"/>
          <w:lang w:val="en-GB"/>
        </w:rPr>
        <w:t>4.</w:t>
      </w:r>
      <w:r w:rsidRPr="00A03EED">
        <w:rPr>
          <w:b/>
          <w:sz w:val="24"/>
          <w:szCs w:val="24"/>
          <w:lang w:val="en-GB"/>
        </w:rPr>
        <w:tab/>
        <w:t>CLINICAL PARTICULARS</w:t>
      </w:r>
    </w:p>
    <w:p w14:paraId="5B29C407" w14:textId="77777777" w:rsidR="007C5D2A" w:rsidRPr="00A03EED" w:rsidRDefault="007C5D2A" w:rsidP="004A3BF4">
      <w:pPr>
        <w:tabs>
          <w:tab w:val="left" w:pos="851"/>
        </w:tabs>
        <w:ind w:left="851"/>
        <w:rPr>
          <w:sz w:val="24"/>
          <w:szCs w:val="24"/>
          <w:lang w:val="en-GB"/>
        </w:rPr>
      </w:pPr>
    </w:p>
    <w:p w14:paraId="6C521B6E" w14:textId="77777777" w:rsidR="007C5D2A" w:rsidRPr="00A03EED" w:rsidRDefault="007C5D2A" w:rsidP="007C5D2A">
      <w:pPr>
        <w:ind w:left="851" w:hanging="851"/>
        <w:rPr>
          <w:b/>
          <w:sz w:val="24"/>
          <w:szCs w:val="24"/>
          <w:u w:val="single"/>
          <w:lang w:val="en-GB"/>
        </w:rPr>
      </w:pPr>
      <w:r w:rsidRPr="00A03EED">
        <w:rPr>
          <w:b/>
          <w:sz w:val="24"/>
          <w:szCs w:val="24"/>
          <w:lang w:val="en-GB"/>
        </w:rPr>
        <w:t>4.1</w:t>
      </w:r>
      <w:r w:rsidRPr="00A03EED">
        <w:rPr>
          <w:b/>
          <w:sz w:val="24"/>
          <w:szCs w:val="24"/>
          <w:lang w:val="en-GB"/>
        </w:rPr>
        <w:tab/>
        <w:t>Therapeutic indications</w:t>
      </w:r>
    </w:p>
    <w:p w14:paraId="44C9ADA4" w14:textId="77777777" w:rsidR="00BC19DA" w:rsidRPr="00A03EED" w:rsidRDefault="00BC19DA" w:rsidP="00694C2B">
      <w:pPr>
        <w:ind w:left="851"/>
        <w:rPr>
          <w:sz w:val="24"/>
          <w:szCs w:val="24"/>
          <w:lang w:val="en-GB"/>
        </w:rPr>
      </w:pPr>
      <w:r w:rsidRPr="00A03EED">
        <w:rPr>
          <w:sz w:val="24"/>
          <w:szCs w:val="24"/>
          <w:lang w:val="en-GB"/>
        </w:rPr>
        <w:t xml:space="preserve">Management of chronic pulmonary infection due to </w:t>
      </w:r>
      <w:r w:rsidRPr="00A03EED">
        <w:rPr>
          <w:i/>
          <w:sz w:val="24"/>
          <w:szCs w:val="24"/>
          <w:lang w:val="en-GB"/>
        </w:rPr>
        <w:t>Pseudomonas aeruginosa</w:t>
      </w:r>
      <w:r w:rsidRPr="00A03EED">
        <w:rPr>
          <w:sz w:val="24"/>
          <w:szCs w:val="24"/>
          <w:lang w:val="en-GB"/>
        </w:rPr>
        <w:t xml:space="preserve"> in patients with cystic fibrosis aged 6 years and older.</w:t>
      </w:r>
    </w:p>
    <w:p w14:paraId="08174FB6" w14:textId="77777777" w:rsidR="00BC19DA" w:rsidRPr="00A03EED" w:rsidRDefault="00BC19DA" w:rsidP="00694C2B">
      <w:pPr>
        <w:ind w:left="851"/>
        <w:rPr>
          <w:sz w:val="24"/>
          <w:szCs w:val="24"/>
          <w:lang w:val="en-GB"/>
        </w:rPr>
      </w:pPr>
      <w:r w:rsidRPr="00A03EED">
        <w:rPr>
          <w:sz w:val="24"/>
          <w:szCs w:val="24"/>
          <w:lang w:val="en-GB"/>
        </w:rPr>
        <w:t>Consideration should be given to official guidance on the appropriate use of antibacterial agents.</w:t>
      </w:r>
    </w:p>
    <w:p w14:paraId="20BD684A" w14:textId="77777777" w:rsidR="007C5D2A" w:rsidRPr="00A03EED" w:rsidRDefault="007C5D2A" w:rsidP="00A85D26">
      <w:pPr>
        <w:tabs>
          <w:tab w:val="left" w:pos="851"/>
        </w:tabs>
        <w:ind w:left="851"/>
        <w:rPr>
          <w:sz w:val="24"/>
          <w:szCs w:val="24"/>
          <w:lang w:val="en-GB"/>
        </w:rPr>
      </w:pPr>
    </w:p>
    <w:p w14:paraId="1D56B25B" w14:textId="77777777" w:rsidR="007C5D2A" w:rsidRPr="00A03EED" w:rsidRDefault="009925C9" w:rsidP="007C5D2A">
      <w:pPr>
        <w:tabs>
          <w:tab w:val="left" w:pos="851"/>
        </w:tabs>
        <w:ind w:left="851" w:hanging="851"/>
        <w:rPr>
          <w:sz w:val="24"/>
          <w:szCs w:val="24"/>
          <w:lang w:val="en-GB"/>
        </w:rPr>
      </w:pPr>
      <w:r w:rsidRPr="00A03EED">
        <w:rPr>
          <w:b/>
          <w:sz w:val="24"/>
          <w:szCs w:val="24"/>
          <w:lang w:val="en-GB"/>
        </w:rPr>
        <w:t>4.2</w:t>
      </w:r>
      <w:r w:rsidR="007C5D2A" w:rsidRPr="00A03EED">
        <w:rPr>
          <w:b/>
          <w:sz w:val="24"/>
          <w:szCs w:val="24"/>
          <w:lang w:val="en-GB"/>
        </w:rPr>
        <w:tab/>
        <w:t>Posology and method of administration</w:t>
      </w:r>
    </w:p>
    <w:p w14:paraId="3BD40E27" w14:textId="6D73A77B" w:rsidR="00BC19DA" w:rsidRPr="00A03EED" w:rsidRDefault="00A03EED" w:rsidP="00694C2B">
      <w:pPr>
        <w:ind w:left="851"/>
        <w:rPr>
          <w:sz w:val="24"/>
          <w:szCs w:val="24"/>
          <w:lang w:val="en-GB"/>
        </w:rPr>
      </w:pPr>
      <w:proofErr w:type="spellStart"/>
      <w:r>
        <w:rPr>
          <w:sz w:val="24"/>
          <w:szCs w:val="24"/>
          <w:lang w:val="en-GB"/>
        </w:rPr>
        <w:t>Bramitob</w:t>
      </w:r>
      <w:proofErr w:type="spellEnd"/>
      <w:r w:rsidR="00BC19DA" w:rsidRPr="00A03EED">
        <w:rPr>
          <w:sz w:val="24"/>
          <w:szCs w:val="24"/>
          <w:lang w:val="en-GB"/>
        </w:rPr>
        <w:t xml:space="preserve"> is intended for inhalation only and not for parenteral use.</w:t>
      </w:r>
    </w:p>
    <w:p w14:paraId="512FC2D6" w14:textId="77777777" w:rsidR="00BC19DA" w:rsidRPr="00A03EED" w:rsidRDefault="00BC19DA" w:rsidP="00694C2B">
      <w:pPr>
        <w:ind w:left="851"/>
        <w:rPr>
          <w:sz w:val="24"/>
          <w:szCs w:val="24"/>
          <w:lang w:val="en-GB"/>
        </w:rPr>
      </w:pPr>
      <w:r w:rsidRPr="00A03EED">
        <w:rPr>
          <w:sz w:val="24"/>
          <w:szCs w:val="24"/>
          <w:lang w:val="en-GB"/>
        </w:rPr>
        <w:t>Therapy should be initiated by a physician experienced in the management of cystic fibrosis.</w:t>
      </w:r>
    </w:p>
    <w:p w14:paraId="30526F53" w14:textId="0DD813DC" w:rsidR="00BC19DA" w:rsidRPr="00A03EED" w:rsidRDefault="00BC19DA" w:rsidP="00694C2B">
      <w:pPr>
        <w:ind w:left="851"/>
        <w:rPr>
          <w:sz w:val="24"/>
          <w:szCs w:val="24"/>
          <w:lang w:val="en-GB"/>
        </w:rPr>
      </w:pPr>
      <w:r w:rsidRPr="00A03EED">
        <w:rPr>
          <w:sz w:val="24"/>
          <w:szCs w:val="24"/>
          <w:lang w:val="en-GB"/>
        </w:rPr>
        <w:t xml:space="preserve">The recommended dose for adults and children above 6 years is one single-dose container (300mg) twice daily (morning and evening) for 28 days. The dose interval should be as close as possible to 12 hours. After 28 days of therapy with </w:t>
      </w:r>
      <w:proofErr w:type="spellStart"/>
      <w:r w:rsidR="00A03EED">
        <w:rPr>
          <w:sz w:val="24"/>
          <w:szCs w:val="24"/>
          <w:lang w:val="en-GB"/>
        </w:rPr>
        <w:t>Bramitob</w:t>
      </w:r>
      <w:proofErr w:type="spellEnd"/>
      <w:r w:rsidRPr="00A03EED">
        <w:rPr>
          <w:sz w:val="24"/>
          <w:szCs w:val="24"/>
          <w:lang w:val="en-GB"/>
        </w:rPr>
        <w:t>, patients should stop treatment for the next 28 days. Alternate cycles of 28-days of active therapy followed by 28 days without treatment should be maintained (a cycle of 28 days with therapy and 28 days without treatment).</w:t>
      </w:r>
    </w:p>
    <w:p w14:paraId="658585FD" w14:textId="77777777" w:rsidR="00BC19DA" w:rsidRPr="00A03EED" w:rsidRDefault="00BC19DA" w:rsidP="00694C2B">
      <w:pPr>
        <w:ind w:left="851"/>
        <w:rPr>
          <w:sz w:val="24"/>
          <w:szCs w:val="24"/>
          <w:lang w:val="en-GB"/>
        </w:rPr>
      </w:pPr>
    </w:p>
    <w:p w14:paraId="4E7215A6" w14:textId="77777777" w:rsidR="00BC19DA" w:rsidRPr="00A03EED" w:rsidRDefault="00BC19DA" w:rsidP="00694C2B">
      <w:pPr>
        <w:ind w:left="851"/>
        <w:rPr>
          <w:sz w:val="24"/>
          <w:szCs w:val="24"/>
          <w:lang w:val="en-GB"/>
        </w:rPr>
      </w:pPr>
      <w:r w:rsidRPr="00A03EED">
        <w:rPr>
          <w:sz w:val="24"/>
          <w:szCs w:val="24"/>
          <w:u w:val="single"/>
          <w:lang w:val="en-GB"/>
        </w:rPr>
        <w:lastRenderedPageBreak/>
        <w:t>Children under 6 years old</w:t>
      </w:r>
    </w:p>
    <w:p w14:paraId="09B559E0" w14:textId="53DB93A0" w:rsidR="00BC19DA" w:rsidRPr="00A03EED" w:rsidRDefault="00BC19DA" w:rsidP="00694C2B">
      <w:pPr>
        <w:ind w:left="851"/>
        <w:rPr>
          <w:sz w:val="24"/>
          <w:szCs w:val="24"/>
          <w:lang w:val="en-GB"/>
        </w:rPr>
      </w:pPr>
      <w:r w:rsidRPr="00A03EED">
        <w:rPr>
          <w:sz w:val="24"/>
          <w:szCs w:val="24"/>
          <w:lang w:val="en-GB"/>
        </w:rPr>
        <w:t xml:space="preserve">The efficacy and safety of </w:t>
      </w:r>
      <w:proofErr w:type="spellStart"/>
      <w:r w:rsidR="00A03EED">
        <w:rPr>
          <w:sz w:val="24"/>
          <w:szCs w:val="24"/>
          <w:lang w:val="en-GB"/>
        </w:rPr>
        <w:t>Bramitob</w:t>
      </w:r>
      <w:proofErr w:type="spellEnd"/>
      <w:r w:rsidRPr="00A03EED">
        <w:rPr>
          <w:sz w:val="24"/>
          <w:szCs w:val="24"/>
          <w:lang w:val="en-GB"/>
        </w:rPr>
        <w:t xml:space="preserve"> have not been demonstrated in patients less than 6 years of age.</w:t>
      </w:r>
    </w:p>
    <w:p w14:paraId="5C006355" w14:textId="77777777" w:rsidR="007318BC" w:rsidRDefault="007318BC" w:rsidP="00694C2B">
      <w:pPr>
        <w:ind w:left="851"/>
        <w:rPr>
          <w:sz w:val="24"/>
          <w:szCs w:val="24"/>
          <w:u w:val="single"/>
          <w:lang w:val="en-GB"/>
        </w:rPr>
      </w:pPr>
    </w:p>
    <w:p w14:paraId="0D458E51" w14:textId="4F1B0E4C" w:rsidR="00BC19DA" w:rsidRPr="00A03EED" w:rsidRDefault="00BC19DA" w:rsidP="00694C2B">
      <w:pPr>
        <w:ind w:left="851"/>
        <w:rPr>
          <w:sz w:val="24"/>
          <w:szCs w:val="24"/>
          <w:u w:val="single"/>
          <w:lang w:val="en-GB"/>
        </w:rPr>
      </w:pPr>
      <w:r w:rsidRPr="00A03EED">
        <w:rPr>
          <w:sz w:val="24"/>
          <w:szCs w:val="24"/>
          <w:u w:val="single"/>
          <w:lang w:val="en-GB"/>
        </w:rPr>
        <w:t>Elderly patients</w:t>
      </w:r>
    </w:p>
    <w:p w14:paraId="407165C9" w14:textId="77777777" w:rsidR="00BC19DA" w:rsidRPr="00A03EED" w:rsidRDefault="00BC19DA" w:rsidP="00694C2B">
      <w:pPr>
        <w:ind w:left="851"/>
        <w:rPr>
          <w:sz w:val="24"/>
          <w:szCs w:val="24"/>
          <w:lang w:val="en-GB"/>
        </w:rPr>
      </w:pPr>
      <w:r w:rsidRPr="00A03EED">
        <w:rPr>
          <w:sz w:val="24"/>
          <w:szCs w:val="24"/>
          <w:lang w:val="en-GB"/>
        </w:rPr>
        <w:t>Tobramycin should be used with caution in elderly patients who may have reduced renal function (see section 4.4).</w:t>
      </w:r>
    </w:p>
    <w:p w14:paraId="23CEA9FD" w14:textId="77777777" w:rsidR="007318BC" w:rsidRDefault="007318BC" w:rsidP="00694C2B">
      <w:pPr>
        <w:ind w:left="851"/>
        <w:rPr>
          <w:sz w:val="24"/>
          <w:szCs w:val="24"/>
          <w:u w:val="single"/>
          <w:lang w:val="en-GB"/>
        </w:rPr>
      </w:pPr>
    </w:p>
    <w:p w14:paraId="595A97E0" w14:textId="15EF9909" w:rsidR="00BC19DA" w:rsidRPr="00A03EED" w:rsidRDefault="00BC19DA" w:rsidP="00694C2B">
      <w:pPr>
        <w:ind w:left="851"/>
        <w:rPr>
          <w:sz w:val="24"/>
          <w:szCs w:val="24"/>
          <w:u w:val="single"/>
          <w:lang w:val="en-GB"/>
        </w:rPr>
      </w:pPr>
      <w:r w:rsidRPr="00A03EED">
        <w:rPr>
          <w:sz w:val="24"/>
          <w:szCs w:val="24"/>
          <w:u w:val="single"/>
          <w:lang w:val="en-GB"/>
        </w:rPr>
        <w:t>Patients with renal impairment</w:t>
      </w:r>
    </w:p>
    <w:p w14:paraId="03814DA3" w14:textId="1221E141" w:rsidR="00BC19DA" w:rsidRPr="00A03EED" w:rsidRDefault="00BC19DA" w:rsidP="00694C2B">
      <w:pPr>
        <w:ind w:left="851"/>
        <w:rPr>
          <w:sz w:val="24"/>
          <w:szCs w:val="24"/>
          <w:lang w:val="en-GB"/>
        </w:rPr>
      </w:pPr>
      <w:r w:rsidRPr="00A03EED">
        <w:rPr>
          <w:sz w:val="24"/>
          <w:szCs w:val="24"/>
          <w:lang w:val="en-GB"/>
        </w:rPr>
        <w:t xml:space="preserve">Tobramycin should be used with caution in patients with known or suspected renal dysfunction. </w:t>
      </w:r>
      <w:proofErr w:type="spellStart"/>
      <w:r w:rsidR="00A03EED">
        <w:rPr>
          <w:sz w:val="24"/>
          <w:szCs w:val="24"/>
          <w:lang w:val="en-GB"/>
        </w:rPr>
        <w:t>Bramitob</w:t>
      </w:r>
      <w:proofErr w:type="spellEnd"/>
      <w:r w:rsidRPr="00A03EED">
        <w:rPr>
          <w:sz w:val="24"/>
          <w:szCs w:val="24"/>
          <w:lang w:val="en-GB"/>
        </w:rPr>
        <w:t xml:space="preserve"> should be discontinued in the case of nephrotoxicity until serum concentration of tobramycin falls below 2 µg/mL (see section 4.4).</w:t>
      </w:r>
    </w:p>
    <w:p w14:paraId="4B3E0ED0" w14:textId="77777777" w:rsidR="007318BC" w:rsidRDefault="007318BC" w:rsidP="00694C2B">
      <w:pPr>
        <w:ind w:left="851"/>
        <w:rPr>
          <w:sz w:val="24"/>
          <w:szCs w:val="24"/>
          <w:u w:val="single"/>
          <w:lang w:val="en-GB"/>
        </w:rPr>
      </w:pPr>
    </w:p>
    <w:p w14:paraId="128C10DA" w14:textId="4A5C1FD5" w:rsidR="00BC19DA" w:rsidRPr="00A03EED" w:rsidRDefault="00BC19DA" w:rsidP="00694C2B">
      <w:pPr>
        <w:ind w:left="851"/>
        <w:rPr>
          <w:sz w:val="24"/>
          <w:szCs w:val="24"/>
          <w:u w:val="single"/>
          <w:lang w:val="en-GB"/>
        </w:rPr>
      </w:pPr>
      <w:r w:rsidRPr="00A03EED">
        <w:rPr>
          <w:sz w:val="24"/>
          <w:szCs w:val="24"/>
          <w:u w:val="single"/>
          <w:lang w:val="en-GB"/>
        </w:rPr>
        <w:t>Patients with hepatic insufficiency</w:t>
      </w:r>
    </w:p>
    <w:p w14:paraId="226F3C3C" w14:textId="676BC63D" w:rsidR="00BC19DA" w:rsidRPr="00A03EED" w:rsidRDefault="00BC19DA" w:rsidP="00694C2B">
      <w:pPr>
        <w:ind w:left="851"/>
        <w:rPr>
          <w:strike/>
          <w:sz w:val="24"/>
          <w:szCs w:val="24"/>
          <w:lang w:val="en-GB"/>
        </w:rPr>
      </w:pPr>
      <w:r w:rsidRPr="00A03EED">
        <w:rPr>
          <w:sz w:val="24"/>
          <w:szCs w:val="24"/>
          <w:lang w:val="en-GB"/>
        </w:rPr>
        <w:t xml:space="preserve">No changes in </w:t>
      </w:r>
      <w:proofErr w:type="spellStart"/>
      <w:r w:rsidR="00A03EED">
        <w:rPr>
          <w:sz w:val="24"/>
          <w:szCs w:val="24"/>
          <w:lang w:val="en-GB"/>
        </w:rPr>
        <w:t>Bramitob</w:t>
      </w:r>
      <w:proofErr w:type="spellEnd"/>
      <w:r w:rsidRPr="00A03EED">
        <w:rPr>
          <w:sz w:val="24"/>
          <w:szCs w:val="24"/>
          <w:lang w:val="en-GB"/>
        </w:rPr>
        <w:t xml:space="preserve"> dose are required in hepatic insufficiency.</w:t>
      </w:r>
    </w:p>
    <w:p w14:paraId="206696C0" w14:textId="77777777" w:rsidR="00BC19DA" w:rsidRPr="00A03EED" w:rsidRDefault="00BC19DA" w:rsidP="00694C2B">
      <w:pPr>
        <w:ind w:left="851"/>
        <w:rPr>
          <w:sz w:val="24"/>
          <w:szCs w:val="24"/>
          <w:lang w:val="en-GB"/>
        </w:rPr>
      </w:pPr>
    </w:p>
    <w:p w14:paraId="1AB20C22" w14:textId="37B80913" w:rsidR="00BC19DA" w:rsidRPr="00A03EED" w:rsidRDefault="00BC19DA" w:rsidP="00694C2B">
      <w:pPr>
        <w:ind w:left="851"/>
        <w:rPr>
          <w:sz w:val="24"/>
          <w:szCs w:val="24"/>
          <w:lang w:val="en-GB"/>
        </w:rPr>
      </w:pPr>
      <w:r w:rsidRPr="00A03EED">
        <w:rPr>
          <w:sz w:val="24"/>
          <w:szCs w:val="24"/>
          <w:lang w:val="en-GB"/>
        </w:rPr>
        <w:t xml:space="preserve">Dosage is not adjusted for body weight. All patients should be administered one single-dose container of </w:t>
      </w:r>
      <w:proofErr w:type="spellStart"/>
      <w:r w:rsidR="00A03EED">
        <w:rPr>
          <w:sz w:val="24"/>
          <w:szCs w:val="24"/>
          <w:lang w:val="en-GB"/>
        </w:rPr>
        <w:t>Bramitob</w:t>
      </w:r>
      <w:proofErr w:type="spellEnd"/>
      <w:r w:rsidRPr="00A03EED">
        <w:rPr>
          <w:sz w:val="24"/>
          <w:szCs w:val="24"/>
          <w:lang w:val="en-GB"/>
        </w:rPr>
        <w:t xml:space="preserve"> (300 mg of tobramycin) twice daily.</w:t>
      </w:r>
    </w:p>
    <w:p w14:paraId="3B8839A9" w14:textId="77777777" w:rsidR="00BC19DA" w:rsidRPr="00A03EED" w:rsidRDefault="00BC19DA" w:rsidP="00694C2B">
      <w:pPr>
        <w:ind w:left="851"/>
        <w:rPr>
          <w:sz w:val="24"/>
          <w:szCs w:val="24"/>
          <w:lang w:val="en-GB"/>
        </w:rPr>
      </w:pPr>
    </w:p>
    <w:p w14:paraId="7418E2E8" w14:textId="170E80FC" w:rsidR="00BC19DA" w:rsidRPr="00A03EED" w:rsidRDefault="00BC19DA" w:rsidP="00694C2B">
      <w:pPr>
        <w:ind w:left="851"/>
        <w:rPr>
          <w:sz w:val="24"/>
          <w:szCs w:val="24"/>
          <w:lang w:val="en-GB"/>
        </w:rPr>
      </w:pPr>
      <w:r w:rsidRPr="00A03EED">
        <w:rPr>
          <w:sz w:val="24"/>
          <w:szCs w:val="24"/>
          <w:lang w:val="en-GB"/>
        </w:rPr>
        <w:t xml:space="preserve">Treatment with tobramycin should be continued on a cyclical basis for as long as the physician considers the patient is gaining clinical benefit from the inclusion of </w:t>
      </w:r>
      <w:proofErr w:type="spellStart"/>
      <w:r w:rsidR="00A03EED">
        <w:rPr>
          <w:sz w:val="24"/>
          <w:szCs w:val="24"/>
          <w:lang w:val="en-GB"/>
        </w:rPr>
        <w:t>Bramitob</w:t>
      </w:r>
      <w:proofErr w:type="spellEnd"/>
      <w:r w:rsidRPr="00A03EED">
        <w:rPr>
          <w:sz w:val="24"/>
          <w:szCs w:val="24"/>
          <w:lang w:val="en-GB"/>
        </w:rPr>
        <w:t xml:space="preserve"> in their treatment regimen. If clinical deterioration of pulmonary status is evident, additional anti-</w:t>
      </w:r>
      <w:proofErr w:type="spellStart"/>
      <w:r w:rsidRPr="00A03EED">
        <w:rPr>
          <w:sz w:val="24"/>
          <w:szCs w:val="24"/>
          <w:lang w:val="en-GB"/>
        </w:rPr>
        <w:t>pseudomonal</w:t>
      </w:r>
      <w:proofErr w:type="spellEnd"/>
      <w:r w:rsidRPr="00A03EED">
        <w:rPr>
          <w:sz w:val="24"/>
          <w:szCs w:val="24"/>
          <w:lang w:val="en-GB"/>
        </w:rPr>
        <w:t xml:space="preserve"> therapy should be considered.</w:t>
      </w:r>
    </w:p>
    <w:p w14:paraId="79C5C84D" w14:textId="77777777" w:rsidR="00BC19DA" w:rsidRPr="00A03EED" w:rsidRDefault="00BC19DA" w:rsidP="00694C2B">
      <w:pPr>
        <w:ind w:left="851"/>
        <w:rPr>
          <w:sz w:val="24"/>
          <w:szCs w:val="24"/>
          <w:lang w:val="en-GB"/>
        </w:rPr>
      </w:pPr>
    </w:p>
    <w:p w14:paraId="33A23313" w14:textId="77777777" w:rsidR="00BC19DA" w:rsidRPr="00A03EED" w:rsidRDefault="00BC19DA" w:rsidP="00694C2B">
      <w:pPr>
        <w:ind w:left="851"/>
        <w:rPr>
          <w:sz w:val="24"/>
          <w:szCs w:val="24"/>
          <w:u w:val="single"/>
          <w:lang w:val="en-GB"/>
        </w:rPr>
      </w:pPr>
      <w:r w:rsidRPr="00A03EED">
        <w:rPr>
          <w:sz w:val="24"/>
          <w:szCs w:val="24"/>
          <w:u w:val="single"/>
          <w:lang w:val="en-GB"/>
        </w:rPr>
        <w:t>Method of Administration</w:t>
      </w:r>
    </w:p>
    <w:p w14:paraId="708E388A" w14:textId="77777777" w:rsidR="00BC19DA" w:rsidRPr="00A03EED" w:rsidRDefault="00BC19DA" w:rsidP="00694C2B">
      <w:pPr>
        <w:ind w:left="851"/>
        <w:rPr>
          <w:strike/>
          <w:sz w:val="24"/>
          <w:szCs w:val="24"/>
          <w:lang w:val="en-GB"/>
        </w:rPr>
      </w:pPr>
      <w:r w:rsidRPr="00A03EED">
        <w:rPr>
          <w:sz w:val="24"/>
          <w:szCs w:val="24"/>
          <w:lang w:val="en-GB"/>
        </w:rPr>
        <w:t>The single-dose container should be opened just before use. Any unused solution that is not immediately used should be discarded and not stored for re-use.</w:t>
      </w:r>
    </w:p>
    <w:p w14:paraId="1B1C01C4" w14:textId="4CB26787" w:rsidR="00BC19DA" w:rsidRPr="00A03EED" w:rsidRDefault="00BC19DA" w:rsidP="00694C2B">
      <w:pPr>
        <w:ind w:left="851"/>
        <w:rPr>
          <w:sz w:val="24"/>
          <w:szCs w:val="24"/>
          <w:lang w:val="en-GB"/>
        </w:rPr>
      </w:pPr>
      <w:r w:rsidRPr="00A03EED">
        <w:rPr>
          <w:sz w:val="24"/>
          <w:szCs w:val="24"/>
          <w:lang w:val="en-GB"/>
        </w:rPr>
        <w:t xml:space="preserve">Administration of </w:t>
      </w:r>
      <w:proofErr w:type="spellStart"/>
      <w:r w:rsidR="00A03EED">
        <w:rPr>
          <w:sz w:val="24"/>
          <w:szCs w:val="24"/>
          <w:lang w:val="en-GB"/>
        </w:rPr>
        <w:t>Bramitob</w:t>
      </w:r>
      <w:proofErr w:type="spellEnd"/>
      <w:r w:rsidRPr="00A03EED">
        <w:rPr>
          <w:sz w:val="24"/>
          <w:szCs w:val="24"/>
          <w:lang w:val="en-GB"/>
        </w:rPr>
        <w:t xml:space="preserve"> should be carried out following general hygienic standards. The apparatus used should be clean and working correctly; the nebuliser, that should be for personal use only, should be kept clean and regularly disinfected.</w:t>
      </w:r>
    </w:p>
    <w:p w14:paraId="1C7C8AF5" w14:textId="77777777" w:rsidR="00BC19DA" w:rsidRPr="00A03EED" w:rsidRDefault="00BC19DA" w:rsidP="00694C2B">
      <w:pPr>
        <w:ind w:left="851"/>
        <w:rPr>
          <w:sz w:val="24"/>
          <w:szCs w:val="24"/>
          <w:lang w:val="en-GB"/>
        </w:rPr>
      </w:pPr>
      <w:r w:rsidRPr="00A03EED">
        <w:rPr>
          <w:sz w:val="24"/>
          <w:szCs w:val="24"/>
          <w:lang w:val="en-GB"/>
        </w:rPr>
        <w:t>For cleaning and disinfection of the nebuliser, refer to the instructions provided with the nebuliser.</w:t>
      </w:r>
    </w:p>
    <w:p w14:paraId="70EB88CE" w14:textId="77777777" w:rsidR="00BC19DA" w:rsidRPr="00A03EED" w:rsidRDefault="00BC19DA" w:rsidP="00694C2B">
      <w:pPr>
        <w:ind w:left="851"/>
        <w:rPr>
          <w:sz w:val="24"/>
          <w:szCs w:val="24"/>
          <w:lang w:val="en-GB"/>
        </w:rPr>
      </w:pPr>
    </w:p>
    <w:p w14:paraId="16EC42B2" w14:textId="77777777" w:rsidR="00BC19DA" w:rsidRPr="00A03EED" w:rsidRDefault="00BC19DA" w:rsidP="00694C2B">
      <w:pPr>
        <w:ind w:left="851"/>
        <w:rPr>
          <w:sz w:val="24"/>
          <w:szCs w:val="24"/>
          <w:lang w:val="en-GB"/>
        </w:rPr>
      </w:pPr>
      <w:r w:rsidRPr="00A03EED">
        <w:rPr>
          <w:sz w:val="24"/>
          <w:szCs w:val="24"/>
          <w:lang w:val="en-GB"/>
        </w:rPr>
        <w:t>Maximum tolerated daily dose</w:t>
      </w:r>
    </w:p>
    <w:p w14:paraId="00C763E2" w14:textId="264BB2A5" w:rsidR="00BC19DA" w:rsidRPr="00A03EED" w:rsidRDefault="00BC19DA" w:rsidP="00694C2B">
      <w:pPr>
        <w:ind w:left="851"/>
        <w:rPr>
          <w:sz w:val="24"/>
          <w:szCs w:val="24"/>
          <w:lang w:val="en-GB"/>
        </w:rPr>
      </w:pPr>
      <w:r w:rsidRPr="00A03EED">
        <w:rPr>
          <w:sz w:val="24"/>
          <w:szCs w:val="24"/>
          <w:lang w:val="en-GB"/>
        </w:rPr>
        <w:t xml:space="preserve">The maximum tolerated daily dose of </w:t>
      </w:r>
      <w:proofErr w:type="spellStart"/>
      <w:r w:rsidR="00A03EED">
        <w:rPr>
          <w:sz w:val="24"/>
          <w:szCs w:val="24"/>
          <w:lang w:val="en-GB"/>
        </w:rPr>
        <w:t>Bramitob</w:t>
      </w:r>
      <w:proofErr w:type="spellEnd"/>
      <w:r w:rsidRPr="00A03EED">
        <w:rPr>
          <w:sz w:val="24"/>
          <w:szCs w:val="24"/>
          <w:lang w:val="en-GB"/>
        </w:rPr>
        <w:t xml:space="preserve"> has not been established.</w:t>
      </w:r>
    </w:p>
    <w:p w14:paraId="7C4F97EF" w14:textId="77777777" w:rsidR="00BC19DA" w:rsidRPr="00A03EED" w:rsidRDefault="00BC19DA" w:rsidP="00694C2B">
      <w:pPr>
        <w:ind w:left="851"/>
        <w:rPr>
          <w:sz w:val="24"/>
          <w:szCs w:val="24"/>
          <w:lang w:val="en-GB"/>
        </w:rPr>
      </w:pPr>
    </w:p>
    <w:p w14:paraId="1484ACEE" w14:textId="77777777" w:rsidR="00BC19DA" w:rsidRPr="00A03EED" w:rsidRDefault="00BC19DA" w:rsidP="00694C2B">
      <w:pPr>
        <w:ind w:left="851"/>
        <w:rPr>
          <w:b/>
          <w:sz w:val="24"/>
          <w:szCs w:val="24"/>
          <w:lang w:val="en-GB"/>
        </w:rPr>
      </w:pPr>
      <w:r w:rsidRPr="00A03EED">
        <w:rPr>
          <w:b/>
          <w:sz w:val="24"/>
          <w:szCs w:val="24"/>
          <w:lang w:val="en-GB"/>
        </w:rPr>
        <w:t>Instructions for opening the container:</w:t>
      </w:r>
    </w:p>
    <w:p w14:paraId="40EAE447" w14:textId="77777777" w:rsidR="00BC19DA" w:rsidRPr="00A03EED" w:rsidRDefault="00BC19DA" w:rsidP="00694C2B">
      <w:pPr>
        <w:pStyle w:val="Listeafsnit"/>
        <w:numPr>
          <w:ilvl w:val="0"/>
          <w:numId w:val="6"/>
        </w:numPr>
        <w:ind w:left="1276" w:hanging="425"/>
        <w:rPr>
          <w:sz w:val="24"/>
          <w:szCs w:val="24"/>
          <w:lang w:val="en-GB"/>
        </w:rPr>
      </w:pPr>
      <w:r w:rsidRPr="00A03EED">
        <w:rPr>
          <w:sz w:val="24"/>
          <w:szCs w:val="24"/>
          <w:lang w:val="en-GB"/>
        </w:rPr>
        <w:t>Bend the single-dose container in both directions</w:t>
      </w:r>
    </w:p>
    <w:p w14:paraId="0E444C04" w14:textId="77777777" w:rsidR="00BC19DA" w:rsidRPr="00A03EED" w:rsidRDefault="00BC19DA" w:rsidP="00694C2B">
      <w:pPr>
        <w:pStyle w:val="Listeafsnit"/>
        <w:numPr>
          <w:ilvl w:val="0"/>
          <w:numId w:val="6"/>
        </w:numPr>
        <w:ind w:left="1276" w:hanging="425"/>
        <w:rPr>
          <w:sz w:val="24"/>
          <w:szCs w:val="24"/>
          <w:lang w:val="en-GB"/>
        </w:rPr>
      </w:pPr>
      <w:r w:rsidRPr="00A03EED">
        <w:rPr>
          <w:sz w:val="24"/>
          <w:szCs w:val="24"/>
          <w:lang w:val="en-GB"/>
        </w:rPr>
        <w:t>Detach the single-dose container from the strip, firstly above then in the middle</w:t>
      </w:r>
    </w:p>
    <w:p w14:paraId="6D24EF38" w14:textId="77777777" w:rsidR="00BC19DA" w:rsidRPr="00A03EED" w:rsidRDefault="00BC19DA" w:rsidP="00694C2B">
      <w:pPr>
        <w:pStyle w:val="Listeafsnit"/>
        <w:numPr>
          <w:ilvl w:val="0"/>
          <w:numId w:val="6"/>
        </w:numPr>
        <w:ind w:left="1276" w:hanging="425"/>
        <w:rPr>
          <w:sz w:val="24"/>
          <w:szCs w:val="24"/>
          <w:lang w:val="en-GB"/>
        </w:rPr>
      </w:pPr>
      <w:r w:rsidRPr="00A03EED">
        <w:rPr>
          <w:sz w:val="24"/>
          <w:szCs w:val="24"/>
          <w:lang w:val="en-GB"/>
        </w:rPr>
        <w:t>Open the single-dose container by rotating the flap as indicated by the arrow</w:t>
      </w:r>
    </w:p>
    <w:p w14:paraId="3CFA3945" w14:textId="77777777" w:rsidR="00BC19DA" w:rsidRPr="00A03EED" w:rsidRDefault="00BC19DA" w:rsidP="00694C2B">
      <w:pPr>
        <w:pStyle w:val="Listeafsnit"/>
        <w:numPr>
          <w:ilvl w:val="0"/>
          <w:numId w:val="6"/>
        </w:numPr>
        <w:ind w:left="1276" w:hanging="425"/>
        <w:rPr>
          <w:sz w:val="24"/>
          <w:szCs w:val="24"/>
          <w:lang w:val="en-GB"/>
        </w:rPr>
      </w:pPr>
      <w:r w:rsidRPr="00A03EED">
        <w:rPr>
          <w:sz w:val="24"/>
          <w:szCs w:val="24"/>
          <w:lang w:val="en-GB"/>
        </w:rPr>
        <w:t xml:space="preserve">Exerting a moderate pressure on the single-dose container’s walls, let the medicinal </w:t>
      </w:r>
    </w:p>
    <w:p w14:paraId="6673E4B4" w14:textId="77777777" w:rsidR="00BC19DA" w:rsidRPr="00A03EED" w:rsidRDefault="00BC19DA" w:rsidP="00694C2B">
      <w:pPr>
        <w:pStyle w:val="Listeafsnit"/>
        <w:numPr>
          <w:ilvl w:val="0"/>
          <w:numId w:val="6"/>
        </w:numPr>
        <w:ind w:left="1276" w:hanging="425"/>
        <w:rPr>
          <w:sz w:val="24"/>
          <w:szCs w:val="24"/>
          <w:lang w:val="en-GB"/>
        </w:rPr>
      </w:pPr>
      <w:r w:rsidRPr="00A03EED">
        <w:rPr>
          <w:sz w:val="24"/>
          <w:szCs w:val="24"/>
          <w:lang w:val="en-GB"/>
        </w:rPr>
        <w:t>product flows into the glass tube of the nebuliser.</w:t>
      </w:r>
    </w:p>
    <w:p w14:paraId="0719C907" w14:textId="77777777" w:rsidR="00BC19DA" w:rsidRPr="00A03EED" w:rsidRDefault="00BC19DA" w:rsidP="00694C2B">
      <w:pPr>
        <w:ind w:left="851"/>
        <w:rPr>
          <w:sz w:val="24"/>
          <w:szCs w:val="24"/>
          <w:lang w:val="en-GB"/>
        </w:rPr>
      </w:pPr>
    </w:p>
    <w:p w14:paraId="0341B9C9" w14:textId="77777777" w:rsidR="00BC19DA" w:rsidRPr="00A03EED" w:rsidRDefault="00BC19DA" w:rsidP="00694C2B">
      <w:pPr>
        <w:ind w:left="851"/>
        <w:rPr>
          <w:sz w:val="24"/>
          <w:szCs w:val="24"/>
          <w:lang w:val="en-GB"/>
        </w:rPr>
      </w:pPr>
      <w:r w:rsidRPr="00A03EED">
        <w:rPr>
          <w:sz w:val="24"/>
          <w:szCs w:val="24"/>
          <w:lang w:val="en-GB"/>
        </w:rPr>
        <w:t xml:space="preserve">The contents of one single-dose container (300mg) emptied into the nebuliser, should be administered by inhalation over approximately a 15-minute period using a PARI LC PLUS reusable nebuliser equipped with </w:t>
      </w:r>
      <w:r w:rsidRPr="00A03EED">
        <w:rPr>
          <w:b/>
          <w:sz w:val="24"/>
          <w:szCs w:val="24"/>
          <w:lang w:val="en-GB"/>
        </w:rPr>
        <w:t>PARI TURBO BOY compressor</w:t>
      </w:r>
      <w:r w:rsidRPr="00A03EED">
        <w:rPr>
          <w:sz w:val="24"/>
          <w:szCs w:val="24"/>
          <w:lang w:val="en-GB"/>
        </w:rPr>
        <w:t xml:space="preserve"> (drug delivery rate 6.2 mg/min, total drug delivery 92.8 mg, mass median aerodynamic diameter: D</w:t>
      </w:r>
      <w:r w:rsidRPr="00A03EED">
        <w:rPr>
          <w:sz w:val="24"/>
          <w:szCs w:val="24"/>
          <w:vertAlign w:val="subscript"/>
          <w:lang w:val="en-GB"/>
        </w:rPr>
        <w:t>10</w:t>
      </w:r>
      <w:r w:rsidRPr="00A03EED">
        <w:rPr>
          <w:sz w:val="24"/>
          <w:szCs w:val="24"/>
          <w:lang w:val="en-GB"/>
        </w:rPr>
        <w:t xml:space="preserve"> 0.65 µm, D</w:t>
      </w:r>
      <w:r w:rsidRPr="00A03EED">
        <w:rPr>
          <w:sz w:val="24"/>
          <w:szCs w:val="24"/>
          <w:vertAlign w:val="subscript"/>
          <w:lang w:val="en-GB"/>
        </w:rPr>
        <w:t>50</w:t>
      </w:r>
      <w:r w:rsidRPr="00A03EED">
        <w:rPr>
          <w:sz w:val="24"/>
          <w:szCs w:val="24"/>
          <w:lang w:val="en-GB"/>
        </w:rPr>
        <w:t xml:space="preserve"> 3.15µm, D</w:t>
      </w:r>
      <w:r w:rsidRPr="00A03EED">
        <w:rPr>
          <w:sz w:val="24"/>
          <w:szCs w:val="24"/>
          <w:vertAlign w:val="subscript"/>
          <w:lang w:val="en-GB"/>
        </w:rPr>
        <w:t>90</w:t>
      </w:r>
      <w:r w:rsidRPr="00A03EED">
        <w:rPr>
          <w:sz w:val="24"/>
          <w:szCs w:val="24"/>
          <w:lang w:val="en-GB"/>
        </w:rPr>
        <w:t xml:space="preserve"> 8.99µm)</w:t>
      </w:r>
      <w:r w:rsidRPr="00A03EED">
        <w:rPr>
          <w:b/>
          <w:sz w:val="24"/>
          <w:szCs w:val="24"/>
          <w:lang w:val="en-GB"/>
        </w:rPr>
        <w:t xml:space="preserve"> or PARI LC SPRINT equipped with compressor PARI BOY </w:t>
      </w:r>
      <w:proofErr w:type="spellStart"/>
      <w:r w:rsidRPr="00A03EED">
        <w:rPr>
          <w:b/>
          <w:sz w:val="24"/>
          <w:szCs w:val="24"/>
          <w:lang w:val="en-GB"/>
        </w:rPr>
        <w:t>Sx</w:t>
      </w:r>
      <w:proofErr w:type="spellEnd"/>
      <w:r w:rsidRPr="00A03EED">
        <w:rPr>
          <w:b/>
          <w:sz w:val="24"/>
          <w:szCs w:val="24"/>
          <w:lang w:val="en-GB"/>
        </w:rPr>
        <w:t xml:space="preserve"> (</w:t>
      </w:r>
      <w:r w:rsidRPr="00A03EED">
        <w:rPr>
          <w:sz w:val="24"/>
          <w:szCs w:val="24"/>
          <w:lang w:val="en-GB"/>
        </w:rPr>
        <w:t>drug delivery rate 6.7 mg/min, total drug delivery 99.8 mg, mass median aerodynamic diameter: D</w:t>
      </w:r>
      <w:r w:rsidRPr="00A03EED">
        <w:rPr>
          <w:sz w:val="24"/>
          <w:szCs w:val="24"/>
          <w:vertAlign w:val="subscript"/>
          <w:lang w:val="en-GB"/>
        </w:rPr>
        <w:t>10</w:t>
      </w:r>
      <w:r w:rsidRPr="00A03EED">
        <w:rPr>
          <w:sz w:val="24"/>
          <w:szCs w:val="24"/>
          <w:lang w:val="en-GB"/>
        </w:rPr>
        <w:t xml:space="preserve"> 0.70 µm, D</w:t>
      </w:r>
      <w:r w:rsidRPr="00A03EED">
        <w:rPr>
          <w:sz w:val="24"/>
          <w:szCs w:val="24"/>
          <w:vertAlign w:val="subscript"/>
          <w:lang w:val="en-GB"/>
        </w:rPr>
        <w:t>50</w:t>
      </w:r>
      <w:r w:rsidRPr="00A03EED">
        <w:rPr>
          <w:sz w:val="24"/>
          <w:szCs w:val="24"/>
          <w:lang w:val="en-GB"/>
        </w:rPr>
        <w:t xml:space="preserve"> 3.36µm, D</w:t>
      </w:r>
      <w:r w:rsidRPr="00A03EED">
        <w:rPr>
          <w:sz w:val="24"/>
          <w:szCs w:val="24"/>
          <w:vertAlign w:val="subscript"/>
          <w:lang w:val="en-GB"/>
        </w:rPr>
        <w:t>90</w:t>
      </w:r>
      <w:r w:rsidRPr="00A03EED">
        <w:rPr>
          <w:sz w:val="24"/>
          <w:szCs w:val="24"/>
          <w:lang w:val="en-GB"/>
        </w:rPr>
        <w:t xml:space="preserve"> 9.41µm)</w:t>
      </w:r>
    </w:p>
    <w:p w14:paraId="0B80F5E4" w14:textId="77777777" w:rsidR="00BC19DA" w:rsidRPr="00A03EED" w:rsidRDefault="00BC19DA" w:rsidP="00694C2B">
      <w:pPr>
        <w:ind w:left="851"/>
        <w:rPr>
          <w:sz w:val="24"/>
          <w:szCs w:val="24"/>
          <w:lang w:val="en-GB"/>
        </w:rPr>
      </w:pPr>
    </w:p>
    <w:p w14:paraId="6D65E333" w14:textId="19BCE458" w:rsidR="00BC19DA" w:rsidRPr="00A03EED" w:rsidRDefault="00A03EED" w:rsidP="00694C2B">
      <w:pPr>
        <w:ind w:left="851"/>
        <w:rPr>
          <w:sz w:val="24"/>
          <w:szCs w:val="24"/>
          <w:lang w:val="en-GB"/>
        </w:rPr>
      </w:pPr>
      <w:proofErr w:type="spellStart"/>
      <w:r>
        <w:rPr>
          <w:sz w:val="24"/>
          <w:szCs w:val="24"/>
          <w:lang w:val="en-GB"/>
        </w:rPr>
        <w:lastRenderedPageBreak/>
        <w:t>Bramitob</w:t>
      </w:r>
      <w:proofErr w:type="spellEnd"/>
      <w:r w:rsidR="00BC19DA" w:rsidRPr="00A03EED">
        <w:rPr>
          <w:sz w:val="24"/>
          <w:szCs w:val="24"/>
          <w:lang w:val="en-GB"/>
        </w:rPr>
        <w:t xml:space="preserve"> is inhaled while the patient is sitting or standing upright and breathing normally through the mouthpiece of the nebuliser. Nose clips may help the patient with breathing through the mouth. The patient should continue their standard regimen of chest physiotherapy. The use of appropriate bronchodilators should continue as thought clinically necessary. In patients receiving several different respiratory therapies, it is recommended that they are taken in the following order: bronchodilator, respiratory physiotherapy, other inhaled medicinal products, and finally </w:t>
      </w:r>
      <w:proofErr w:type="spellStart"/>
      <w:r>
        <w:rPr>
          <w:sz w:val="24"/>
          <w:szCs w:val="24"/>
          <w:lang w:val="en-GB"/>
        </w:rPr>
        <w:t>Bramitob</w:t>
      </w:r>
      <w:proofErr w:type="spellEnd"/>
      <w:r w:rsidR="00BC19DA" w:rsidRPr="00A03EED">
        <w:rPr>
          <w:sz w:val="24"/>
          <w:szCs w:val="24"/>
          <w:lang w:val="en-GB"/>
        </w:rPr>
        <w:t>.</w:t>
      </w:r>
    </w:p>
    <w:p w14:paraId="78CA1546" w14:textId="11A958C7" w:rsidR="00BC19DA" w:rsidRPr="00A03EED" w:rsidRDefault="00A03EED" w:rsidP="00694C2B">
      <w:pPr>
        <w:ind w:left="851"/>
        <w:rPr>
          <w:sz w:val="24"/>
          <w:szCs w:val="24"/>
          <w:lang w:val="en-GB"/>
        </w:rPr>
      </w:pPr>
      <w:proofErr w:type="spellStart"/>
      <w:r>
        <w:rPr>
          <w:sz w:val="24"/>
          <w:szCs w:val="24"/>
          <w:lang w:val="en-GB"/>
        </w:rPr>
        <w:t>Bramitob</w:t>
      </w:r>
      <w:proofErr w:type="spellEnd"/>
      <w:r w:rsidR="00BC19DA" w:rsidRPr="00A03EED">
        <w:rPr>
          <w:sz w:val="24"/>
          <w:szCs w:val="24"/>
          <w:lang w:val="en-GB"/>
        </w:rPr>
        <w:t xml:space="preserve"> should not be mixed with other inhalation medicinal products.</w:t>
      </w:r>
    </w:p>
    <w:p w14:paraId="36F2026C" w14:textId="77777777" w:rsidR="007C5D2A" w:rsidRPr="00A03EED" w:rsidRDefault="007C5D2A" w:rsidP="00A85D26">
      <w:pPr>
        <w:tabs>
          <w:tab w:val="left" w:pos="851"/>
        </w:tabs>
        <w:ind w:left="851"/>
        <w:rPr>
          <w:sz w:val="24"/>
          <w:szCs w:val="24"/>
          <w:lang w:val="en-GB"/>
        </w:rPr>
      </w:pPr>
    </w:p>
    <w:p w14:paraId="7D53BDFA" w14:textId="77777777" w:rsidR="007C5D2A" w:rsidRPr="00A03EED" w:rsidRDefault="007C5D2A" w:rsidP="007C5D2A">
      <w:pPr>
        <w:tabs>
          <w:tab w:val="left" w:pos="851"/>
        </w:tabs>
        <w:ind w:left="851" w:hanging="851"/>
        <w:rPr>
          <w:b/>
          <w:sz w:val="24"/>
          <w:szCs w:val="24"/>
          <w:lang w:val="en-GB"/>
        </w:rPr>
      </w:pPr>
      <w:r w:rsidRPr="00A03EED">
        <w:rPr>
          <w:b/>
          <w:sz w:val="24"/>
          <w:szCs w:val="24"/>
          <w:lang w:val="en-GB"/>
        </w:rPr>
        <w:t>4.3</w:t>
      </w:r>
      <w:r w:rsidRPr="00A03EED">
        <w:rPr>
          <w:b/>
          <w:sz w:val="24"/>
          <w:szCs w:val="24"/>
          <w:lang w:val="en-GB"/>
        </w:rPr>
        <w:tab/>
        <w:t>Contraindications</w:t>
      </w:r>
    </w:p>
    <w:p w14:paraId="3D92CC66" w14:textId="56C42F2B" w:rsidR="00BC19DA" w:rsidRPr="00A03EED" w:rsidRDefault="00BC19DA" w:rsidP="00694C2B">
      <w:pPr>
        <w:ind w:left="851"/>
        <w:rPr>
          <w:sz w:val="24"/>
          <w:szCs w:val="24"/>
          <w:lang w:val="en-GB"/>
        </w:rPr>
      </w:pPr>
      <w:r w:rsidRPr="00A03EED">
        <w:rPr>
          <w:sz w:val="24"/>
          <w:szCs w:val="24"/>
          <w:lang w:val="en-GB"/>
        </w:rPr>
        <w:t xml:space="preserve">Administration of </w:t>
      </w:r>
      <w:proofErr w:type="spellStart"/>
      <w:r w:rsidR="00A03EED">
        <w:rPr>
          <w:sz w:val="24"/>
          <w:szCs w:val="24"/>
          <w:lang w:val="en-GB"/>
        </w:rPr>
        <w:t>Bramitob</w:t>
      </w:r>
      <w:proofErr w:type="spellEnd"/>
      <w:r w:rsidRPr="00A03EED">
        <w:rPr>
          <w:sz w:val="24"/>
          <w:szCs w:val="24"/>
          <w:lang w:val="en-GB"/>
        </w:rPr>
        <w:t xml:space="preserve"> is contraindicated in all patients with hypersensitivity to tobramycin, to any other aminoglycosides or to any of the excipients listed in section 6.1.</w:t>
      </w:r>
    </w:p>
    <w:p w14:paraId="43B84CD5" w14:textId="77777777" w:rsidR="00BC19DA" w:rsidRPr="00A03EED" w:rsidRDefault="00BC19DA" w:rsidP="00694C2B">
      <w:pPr>
        <w:ind w:left="851"/>
        <w:rPr>
          <w:sz w:val="24"/>
          <w:szCs w:val="24"/>
          <w:lang w:val="en-GB"/>
        </w:rPr>
      </w:pPr>
      <w:r w:rsidRPr="00A03EED">
        <w:rPr>
          <w:sz w:val="24"/>
          <w:szCs w:val="24"/>
          <w:lang w:val="en-GB"/>
        </w:rPr>
        <w:t>It is also contraindicated in patients receiving potent diuretics, such as furosemide or ethacrynic acid, which have proved to be ototoxic.</w:t>
      </w:r>
    </w:p>
    <w:p w14:paraId="33169D61" w14:textId="77777777" w:rsidR="007C5D2A" w:rsidRPr="00A03EED" w:rsidRDefault="007C5D2A" w:rsidP="003E0341">
      <w:pPr>
        <w:tabs>
          <w:tab w:val="left" w:pos="851"/>
        </w:tabs>
        <w:ind w:left="851"/>
        <w:rPr>
          <w:sz w:val="24"/>
          <w:szCs w:val="24"/>
          <w:lang w:val="en-GB"/>
        </w:rPr>
      </w:pPr>
    </w:p>
    <w:p w14:paraId="05A054EE" w14:textId="77777777" w:rsidR="007C5D2A" w:rsidRPr="00A03EED" w:rsidRDefault="007C5D2A" w:rsidP="007C5D2A">
      <w:pPr>
        <w:tabs>
          <w:tab w:val="left" w:pos="851"/>
        </w:tabs>
        <w:rPr>
          <w:b/>
          <w:sz w:val="24"/>
          <w:szCs w:val="24"/>
          <w:lang w:val="en-GB"/>
        </w:rPr>
      </w:pPr>
      <w:r w:rsidRPr="00A03EED">
        <w:rPr>
          <w:b/>
          <w:sz w:val="24"/>
          <w:szCs w:val="24"/>
          <w:lang w:val="en-GB"/>
        </w:rPr>
        <w:t>4.4</w:t>
      </w:r>
      <w:r w:rsidRPr="00A03EED">
        <w:rPr>
          <w:b/>
          <w:sz w:val="24"/>
          <w:szCs w:val="24"/>
          <w:lang w:val="en-GB"/>
        </w:rPr>
        <w:tab/>
        <w:t>Special warnings and precautions for use</w:t>
      </w:r>
    </w:p>
    <w:p w14:paraId="5796BF38" w14:textId="77777777" w:rsidR="007318BC" w:rsidRDefault="007318BC" w:rsidP="00694C2B">
      <w:pPr>
        <w:ind w:left="851"/>
        <w:rPr>
          <w:sz w:val="24"/>
          <w:szCs w:val="24"/>
          <w:lang w:val="en-GB"/>
        </w:rPr>
      </w:pPr>
    </w:p>
    <w:p w14:paraId="4A57C7E8" w14:textId="26CB12A3" w:rsidR="00BC19DA" w:rsidRPr="007318BC" w:rsidRDefault="00BC19DA" w:rsidP="00694C2B">
      <w:pPr>
        <w:ind w:left="851"/>
        <w:rPr>
          <w:b/>
          <w:sz w:val="24"/>
          <w:szCs w:val="24"/>
          <w:lang w:val="en-GB"/>
        </w:rPr>
      </w:pPr>
      <w:r w:rsidRPr="007318BC">
        <w:rPr>
          <w:b/>
          <w:sz w:val="24"/>
          <w:szCs w:val="24"/>
          <w:lang w:val="en-GB"/>
        </w:rPr>
        <w:t>General Warnings</w:t>
      </w:r>
    </w:p>
    <w:p w14:paraId="249CE4B4" w14:textId="77777777" w:rsidR="00BC19DA" w:rsidRPr="00A03EED" w:rsidRDefault="00BC19DA" w:rsidP="00694C2B">
      <w:pPr>
        <w:ind w:left="851"/>
        <w:rPr>
          <w:sz w:val="24"/>
          <w:szCs w:val="24"/>
          <w:lang w:val="en-GB"/>
        </w:rPr>
      </w:pPr>
      <w:r w:rsidRPr="00A03EED">
        <w:rPr>
          <w:sz w:val="24"/>
          <w:szCs w:val="24"/>
          <w:lang w:val="en-GB"/>
        </w:rPr>
        <w:t>Tobramycin should be used with caution in patients with known or suspected renal, auditory, vestibular or neuromuscular dysfunction, or with severe, active haemoptysis.</w:t>
      </w:r>
    </w:p>
    <w:p w14:paraId="31FE8391" w14:textId="77777777" w:rsidR="00BC19DA" w:rsidRPr="00A03EED" w:rsidRDefault="00BC19DA" w:rsidP="00694C2B">
      <w:pPr>
        <w:ind w:left="851"/>
        <w:rPr>
          <w:iCs/>
          <w:sz w:val="24"/>
          <w:szCs w:val="24"/>
          <w:lang w:val="en-GB"/>
        </w:rPr>
      </w:pPr>
      <w:r w:rsidRPr="00A03EED">
        <w:rPr>
          <w:sz w:val="24"/>
          <w:szCs w:val="24"/>
          <w:lang w:val="en-US"/>
        </w:rPr>
        <w:t>Renal and eighth cranial nerve function should be closely monitored in patients with known or suspected renal impairment and also in those whose renal function is initially normal but who develop signs of renal dysfunction during therapy. Evidence of impairment in renal, vestibular and/or auditory function requires discontinuation of the drug or dosage adjustment.</w:t>
      </w:r>
    </w:p>
    <w:p w14:paraId="0C0A11AB" w14:textId="77777777" w:rsidR="00BC19DA" w:rsidRPr="00A03EED" w:rsidRDefault="00BC19DA" w:rsidP="00694C2B">
      <w:pPr>
        <w:ind w:left="851"/>
        <w:rPr>
          <w:iCs/>
          <w:sz w:val="24"/>
          <w:szCs w:val="24"/>
          <w:lang w:val="en-US"/>
        </w:rPr>
      </w:pPr>
      <w:r w:rsidRPr="00A03EED">
        <w:rPr>
          <w:iCs/>
          <w:sz w:val="24"/>
          <w:szCs w:val="24"/>
          <w:lang w:val="en-US"/>
        </w:rPr>
        <w:t xml:space="preserve">The serum concentration of </w:t>
      </w:r>
      <w:r w:rsidRPr="00A03EED">
        <w:rPr>
          <w:sz w:val="24"/>
          <w:szCs w:val="24"/>
          <w:lang w:val="en-US"/>
        </w:rPr>
        <w:t>tobramycin</w:t>
      </w:r>
      <w:r w:rsidRPr="00A03EED">
        <w:rPr>
          <w:iCs/>
          <w:sz w:val="24"/>
          <w:szCs w:val="24"/>
          <w:lang w:val="en-US"/>
        </w:rPr>
        <w:t xml:space="preserve"> should only be monitored through venipuncture and not finger prick blood sampling which is a </w:t>
      </w:r>
      <w:proofErr w:type="spellStart"/>
      <w:proofErr w:type="gramStart"/>
      <w:r w:rsidRPr="00A03EED">
        <w:rPr>
          <w:iCs/>
          <w:sz w:val="24"/>
          <w:szCs w:val="24"/>
          <w:lang w:val="en-US"/>
        </w:rPr>
        <w:t>non validated</w:t>
      </w:r>
      <w:proofErr w:type="spellEnd"/>
      <w:proofErr w:type="gramEnd"/>
      <w:r w:rsidRPr="00A03EED">
        <w:rPr>
          <w:iCs/>
          <w:sz w:val="24"/>
          <w:szCs w:val="24"/>
          <w:lang w:val="en-US"/>
        </w:rPr>
        <w:t xml:space="preserve"> dosing method. It has been observed that contamination of the skin of the fingers from the preparation and </w:t>
      </w:r>
      <w:proofErr w:type="spellStart"/>
      <w:r w:rsidRPr="00A03EED">
        <w:rPr>
          <w:iCs/>
          <w:sz w:val="24"/>
          <w:szCs w:val="24"/>
          <w:lang w:val="en-US"/>
        </w:rPr>
        <w:t>nebulisation</w:t>
      </w:r>
      <w:proofErr w:type="spellEnd"/>
      <w:r w:rsidRPr="00A03EED">
        <w:rPr>
          <w:iCs/>
          <w:sz w:val="24"/>
          <w:szCs w:val="24"/>
          <w:lang w:val="en-US"/>
        </w:rPr>
        <w:t xml:space="preserve"> of </w:t>
      </w:r>
      <w:r w:rsidRPr="00A03EED">
        <w:rPr>
          <w:sz w:val="24"/>
          <w:szCs w:val="24"/>
          <w:lang w:val="en-US"/>
        </w:rPr>
        <w:t>tobramycin</w:t>
      </w:r>
      <w:r w:rsidRPr="00A03EED">
        <w:rPr>
          <w:iCs/>
          <w:sz w:val="24"/>
          <w:szCs w:val="24"/>
          <w:lang w:val="en-US"/>
        </w:rPr>
        <w:t xml:space="preserve"> may lead to falsely increased serum levels of the drug. This contamination cannot be completely avoided by hand washing before testing.</w:t>
      </w:r>
    </w:p>
    <w:p w14:paraId="7954853D" w14:textId="77777777" w:rsidR="00BC19DA" w:rsidRPr="00A03EED" w:rsidRDefault="00BC19DA" w:rsidP="00694C2B">
      <w:pPr>
        <w:ind w:left="851"/>
        <w:rPr>
          <w:sz w:val="24"/>
          <w:szCs w:val="24"/>
          <w:lang w:val="en-GB"/>
        </w:rPr>
      </w:pPr>
    </w:p>
    <w:p w14:paraId="3A88773C" w14:textId="77777777" w:rsidR="00BC19DA" w:rsidRPr="007318BC" w:rsidRDefault="00BC19DA" w:rsidP="00694C2B">
      <w:pPr>
        <w:ind w:left="851"/>
        <w:rPr>
          <w:b/>
          <w:sz w:val="24"/>
          <w:szCs w:val="24"/>
          <w:lang w:val="en-GB"/>
        </w:rPr>
      </w:pPr>
      <w:r w:rsidRPr="007318BC">
        <w:rPr>
          <w:b/>
          <w:sz w:val="24"/>
          <w:szCs w:val="24"/>
          <w:lang w:val="en-GB"/>
        </w:rPr>
        <w:t>Bronchospasm</w:t>
      </w:r>
    </w:p>
    <w:p w14:paraId="20531F3A" w14:textId="0CA0900A" w:rsidR="00BC19DA" w:rsidRPr="00A03EED" w:rsidRDefault="00BC19DA" w:rsidP="00694C2B">
      <w:pPr>
        <w:ind w:left="851"/>
        <w:rPr>
          <w:sz w:val="24"/>
          <w:szCs w:val="24"/>
          <w:lang w:val="en-GB"/>
        </w:rPr>
      </w:pPr>
      <w:r w:rsidRPr="00A03EED">
        <w:rPr>
          <w:sz w:val="24"/>
          <w:szCs w:val="24"/>
          <w:lang w:val="en-GB"/>
        </w:rPr>
        <w:t xml:space="preserve">Bronchospasm can occur following inhalation of medicinal products and has been reported with nebulised tobramycin. The first dose of </w:t>
      </w:r>
      <w:proofErr w:type="spellStart"/>
      <w:r w:rsidR="00A03EED">
        <w:rPr>
          <w:sz w:val="24"/>
          <w:szCs w:val="24"/>
          <w:lang w:val="en-GB"/>
        </w:rPr>
        <w:t>Bramitob</w:t>
      </w:r>
      <w:proofErr w:type="spellEnd"/>
      <w:r w:rsidRPr="00A03EED">
        <w:rPr>
          <w:sz w:val="24"/>
          <w:szCs w:val="24"/>
          <w:lang w:val="en-GB"/>
        </w:rPr>
        <w:t xml:space="preserve"> should be given under medical supervision, using a pre-nebulisation bronchodilator if this is already part of the current treatment regimen for the patient. FEV</w:t>
      </w:r>
      <w:r w:rsidRPr="00A03EED">
        <w:rPr>
          <w:sz w:val="24"/>
          <w:szCs w:val="24"/>
          <w:vertAlign w:val="subscript"/>
          <w:lang w:val="en-GB"/>
        </w:rPr>
        <w:t>1</w:t>
      </w:r>
      <w:r w:rsidRPr="00A03EED">
        <w:rPr>
          <w:sz w:val="24"/>
          <w:szCs w:val="24"/>
          <w:lang w:val="en-GB"/>
        </w:rPr>
        <w:t xml:space="preserve"> (forced expiratory volume) should be measured before and after nebulisation. If there is evidence of therapy-induced bronchospasm in a patient not receiving a bronchodilator, the test should be repeated on a separate occasion, using a bronchodilator. Onset of bronchospasm in the presence of bronchodilator therapy may indicate an allergic reaction. Should an allergic reaction be suspected, </w:t>
      </w:r>
      <w:proofErr w:type="spellStart"/>
      <w:r w:rsidR="00A03EED">
        <w:rPr>
          <w:sz w:val="24"/>
          <w:szCs w:val="24"/>
          <w:lang w:val="en-GB"/>
        </w:rPr>
        <w:t>Bramitob</w:t>
      </w:r>
      <w:proofErr w:type="spellEnd"/>
      <w:r w:rsidRPr="00A03EED">
        <w:rPr>
          <w:sz w:val="24"/>
          <w:szCs w:val="24"/>
          <w:lang w:val="en-GB"/>
        </w:rPr>
        <w:t xml:space="preserve"> tobramycin should be discontinued. Bronchospasm should be treated as clinically appropriate.</w:t>
      </w:r>
    </w:p>
    <w:p w14:paraId="2FE1B329" w14:textId="77777777" w:rsidR="00BC19DA" w:rsidRPr="00A03EED" w:rsidRDefault="00BC19DA" w:rsidP="00694C2B">
      <w:pPr>
        <w:ind w:left="851"/>
        <w:rPr>
          <w:sz w:val="24"/>
          <w:szCs w:val="24"/>
          <w:lang w:val="en-GB"/>
        </w:rPr>
      </w:pPr>
    </w:p>
    <w:p w14:paraId="00A3037D" w14:textId="77777777" w:rsidR="00BC19DA" w:rsidRPr="007318BC" w:rsidRDefault="00BC19DA" w:rsidP="00694C2B">
      <w:pPr>
        <w:ind w:left="851"/>
        <w:rPr>
          <w:b/>
          <w:sz w:val="24"/>
          <w:szCs w:val="24"/>
          <w:lang w:val="en-GB"/>
        </w:rPr>
      </w:pPr>
      <w:r w:rsidRPr="007318BC">
        <w:rPr>
          <w:b/>
          <w:sz w:val="24"/>
          <w:szCs w:val="24"/>
          <w:lang w:val="en-GB"/>
        </w:rPr>
        <w:t>Neuromuscular disorders</w:t>
      </w:r>
    </w:p>
    <w:p w14:paraId="08C992DA" w14:textId="77777777" w:rsidR="00BC19DA" w:rsidRPr="00A03EED" w:rsidRDefault="00BC19DA" w:rsidP="00694C2B">
      <w:pPr>
        <w:ind w:left="851"/>
        <w:rPr>
          <w:sz w:val="24"/>
          <w:szCs w:val="24"/>
          <w:lang w:val="en-GB"/>
        </w:rPr>
      </w:pPr>
      <w:r w:rsidRPr="00A03EED">
        <w:rPr>
          <w:sz w:val="24"/>
          <w:szCs w:val="24"/>
          <w:lang w:val="en-GB"/>
        </w:rPr>
        <w:t>Tobramycin should be used with great caution in patients with neuromuscular disorders, such as Parkinsonism or other conditions characterised by myasthenia, including myasthenia gravis, as aminoglycosides may worsen muscular weakness due to a potential curare-like effect on the neuromuscular function.</w:t>
      </w:r>
    </w:p>
    <w:p w14:paraId="381370C4" w14:textId="2D0BA446" w:rsidR="000D61C5" w:rsidRDefault="000D61C5">
      <w:pPr>
        <w:rPr>
          <w:sz w:val="24"/>
          <w:szCs w:val="24"/>
          <w:lang w:val="en-GB"/>
        </w:rPr>
      </w:pPr>
      <w:r>
        <w:rPr>
          <w:sz w:val="24"/>
          <w:szCs w:val="24"/>
          <w:lang w:val="en-GB"/>
        </w:rPr>
        <w:br w:type="page"/>
      </w:r>
    </w:p>
    <w:p w14:paraId="32A9E8B9" w14:textId="77777777" w:rsidR="00BC19DA" w:rsidRPr="00A03EED" w:rsidRDefault="00BC19DA" w:rsidP="00694C2B">
      <w:pPr>
        <w:ind w:left="851"/>
        <w:rPr>
          <w:sz w:val="24"/>
          <w:szCs w:val="24"/>
          <w:lang w:val="en-GB"/>
        </w:rPr>
      </w:pPr>
    </w:p>
    <w:p w14:paraId="5CD9DDB0" w14:textId="77777777" w:rsidR="00BC19DA" w:rsidRPr="007318BC" w:rsidRDefault="00BC19DA" w:rsidP="00694C2B">
      <w:pPr>
        <w:ind w:left="851"/>
        <w:rPr>
          <w:b/>
          <w:sz w:val="24"/>
          <w:szCs w:val="24"/>
          <w:lang w:val="en-GB"/>
        </w:rPr>
      </w:pPr>
      <w:r w:rsidRPr="007318BC">
        <w:rPr>
          <w:b/>
          <w:sz w:val="24"/>
          <w:szCs w:val="24"/>
          <w:lang w:val="en-GB"/>
        </w:rPr>
        <w:t>Nephrotoxicity</w:t>
      </w:r>
    </w:p>
    <w:p w14:paraId="2D1AA03A" w14:textId="77777777" w:rsidR="00BC19DA" w:rsidRPr="00A03EED" w:rsidRDefault="00BC19DA" w:rsidP="00694C2B">
      <w:pPr>
        <w:ind w:left="851"/>
        <w:rPr>
          <w:sz w:val="24"/>
          <w:szCs w:val="24"/>
          <w:lang w:val="en-GB"/>
        </w:rPr>
      </w:pPr>
      <w:r w:rsidRPr="00A03EED">
        <w:rPr>
          <w:sz w:val="24"/>
          <w:szCs w:val="24"/>
          <w:lang w:val="en-GB"/>
        </w:rPr>
        <w:t xml:space="preserve">Although nephrotoxicity has been associated with parenteral aminoglycoside therapy, there was no evidence of nephrotoxicity during clinical trials with tobramycin. The product should be used with caution in patients with known or suspected renal dysfunction and tobramycin serum concentrations should be monitored, e.g. serum level assays after two or three doses should be performed, so that the dosage could be adjusted if necessary, and also at three to </w:t>
      </w:r>
      <w:proofErr w:type="gramStart"/>
      <w:r w:rsidRPr="00A03EED">
        <w:rPr>
          <w:sz w:val="24"/>
          <w:szCs w:val="24"/>
          <w:lang w:val="en-GB"/>
        </w:rPr>
        <w:t>four day</w:t>
      </w:r>
      <w:proofErr w:type="gramEnd"/>
      <w:r w:rsidRPr="00A03EED">
        <w:rPr>
          <w:sz w:val="24"/>
          <w:szCs w:val="24"/>
          <w:lang w:val="en-GB"/>
        </w:rPr>
        <w:t xml:space="preserve"> intervals during therapy. In the event of changing renal function, more frequent serum levels should be obtained and the dosage or dosage intervals adjusted. Patients with severe renal impairment, </w:t>
      </w:r>
      <w:proofErr w:type="spellStart"/>
      <w:r w:rsidRPr="00A03EED">
        <w:rPr>
          <w:sz w:val="24"/>
          <w:szCs w:val="24"/>
          <w:lang w:val="en-GB"/>
        </w:rPr>
        <w:t>ie</w:t>
      </w:r>
      <w:proofErr w:type="spellEnd"/>
      <w:r w:rsidRPr="00A03EED">
        <w:rPr>
          <w:sz w:val="24"/>
          <w:szCs w:val="24"/>
          <w:lang w:val="en-GB"/>
        </w:rPr>
        <w:t xml:space="preserve"> serum creatinine &gt; 2 mg/dl (176.8 µmol/l) were not included in the clinical studies.</w:t>
      </w:r>
    </w:p>
    <w:p w14:paraId="71818B23" w14:textId="77777777" w:rsidR="00BC19DA" w:rsidRPr="00A03EED" w:rsidRDefault="00BC19DA" w:rsidP="00694C2B">
      <w:pPr>
        <w:ind w:left="851"/>
        <w:rPr>
          <w:sz w:val="24"/>
          <w:szCs w:val="24"/>
          <w:lang w:val="en-GB"/>
        </w:rPr>
      </w:pPr>
      <w:r w:rsidRPr="00A03EED">
        <w:rPr>
          <w:sz w:val="24"/>
          <w:szCs w:val="24"/>
          <w:lang w:val="en-GB"/>
        </w:rPr>
        <w:t xml:space="preserve">Current clinical practice recommends that baseline renal function should be assessed. Furthermore, the renal function should be periodically reassessed, by regularly monitoring urea and creatinine levels at least every 6 full cycles of therapy with tobramycin (180-day treatment with nebulised tobramycin). If there is evidence of nephrotoxicity, therapy with tobramycin should be discontinued until the drug minimum serum concentrations fall below 2 </w:t>
      </w:r>
      <w:proofErr w:type="spellStart"/>
      <w:r w:rsidRPr="00A03EED">
        <w:rPr>
          <w:sz w:val="24"/>
          <w:szCs w:val="24"/>
          <w:lang w:val="en-GB"/>
        </w:rPr>
        <w:t>μg</w:t>
      </w:r>
      <w:proofErr w:type="spellEnd"/>
      <w:r w:rsidRPr="00A03EED">
        <w:rPr>
          <w:sz w:val="24"/>
          <w:szCs w:val="24"/>
          <w:lang w:val="en-GB"/>
        </w:rPr>
        <w:t>/ml. Tobramycin therapy may then be resumed following medical advice. Patients receiving concomitant parenteral aminoglycoside therapy should be strictly monitored, due to the risk of cumulative toxicity.</w:t>
      </w:r>
    </w:p>
    <w:p w14:paraId="11C3B527" w14:textId="77777777" w:rsidR="00BC19DA" w:rsidRPr="00A03EED" w:rsidRDefault="00BC19DA" w:rsidP="00694C2B">
      <w:pPr>
        <w:ind w:left="851"/>
        <w:rPr>
          <w:sz w:val="24"/>
          <w:szCs w:val="24"/>
          <w:lang w:val="en-GB"/>
        </w:rPr>
      </w:pPr>
      <w:r w:rsidRPr="00A03EED">
        <w:rPr>
          <w:sz w:val="24"/>
          <w:szCs w:val="24"/>
          <w:lang w:val="en-GB"/>
        </w:rPr>
        <w:t>Monitoring of renal function is particular important in elderly patients who may have reduced renal function that may not be evident in the results of routine screening tests, such as blood urea or serum creatinine. A creatinine clearance determination may be more useful.</w:t>
      </w:r>
    </w:p>
    <w:p w14:paraId="1C096154" w14:textId="77777777" w:rsidR="00BC19DA" w:rsidRPr="00A03EED" w:rsidRDefault="00BC19DA" w:rsidP="00694C2B">
      <w:pPr>
        <w:ind w:left="851"/>
        <w:rPr>
          <w:sz w:val="24"/>
          <w:szCs w:val="24"/>
          <w:lang w:val="en-GB"/>
        </w:rPr>
      </w:pPr>
      <w:r w:rsidRPr="00A03EED">
        <w:rPr>
          <w:sz w:val="24"/>
          <w:szCs w:val="24"/>
          <w:lang w:val="en-GB"/>
        </w:rPr>
        <w:t>Urine should be examined for increased excretion of protein, cells and casts. Serum creatinine or creatinine clearance (preferred over blood urea) should be measured periodically.</w:t>
      </w:r>
    </w:p>
    <w:p w14:paraId="2EE783EC" w14:textId="77777777" w:rsidR="00BC19DA" w:rsidRPr="00A03EED" w:rsidRDefault="00BC19DA" w:rsidP="00694C2B">
      <w:pPr>
        <w:ind w:left="851"/>
        <w:rPr>
          <w:sz w:val="24"/>
          <w:szCs w:val="24"/>
          <w:lang w:val="en-GB"/>
        </w:rPr>
      </w:pPr>
    </w:p>
    <w:p w14:paraId="02BCB540" w14:textId="77777777" w:rsidR="00BC19DA" w:rsidRPr="007318BC" w:rsidRDefault="00BC19DA" w:rsidP="00694C2B">
      <w:pPr>
        <w:ind w:left="851"/>
        <w:rPr>
          <w:b/>
          <w:sz w:val="24"/>
          <w:szCs w:val="24"/>
          <w:lang w:val="en-GB"/>
        </w:rPr>
      </w:pPr>
      <w:r w:rsidRPr="007318BC">
        <w:rPr>
          <w:b/>
          <w:sz w:val="24"/>
          <w:szCs w:val="24"/>
          <w:lang w:val="en-GB"/>
        </w:rPr>
        <w:t>Ototoxicity</w:t>
      </w:r>
    </w:p>
    <w:p w14:paraId="1C821ACA" w14:textId="77777777" w:rsidR="00BC19DA" w:rsidRPr="00A03EED" w:rsidRDefault="00BC19DA" w:rsidP="00694C2B">
      <w:pPr>
        <w:ind w:left="851"/>
        <w:rPr>
          <w:sz w:val="24"/>
          <w:szCs w:val="24"/>
          <w:lang w:val="en-GB"/>
        </w:rPr>
      </w:pPr>
      <w:r w:rsidRPr="00A03EED">
        <w:rPr>
          <w:sz w:val="24"/>
          <w:szCs w:val="24"/>
          <w:lang w:val="en-GB"/>
        </w:rPr>
        <w:t>Ototoxicity, manifested as both auditory and vestibular toxicity has been reported with the parenteral aminoglycosides. Vestibular toxicity may be manifested by vertigo, ataxia or dizziness.</w:t>
      </w:r>
    </w:p>
    <w:p w14:paraId="464A7640" w14:textId="77777777" w:rsidR="00BC19DA" w:rsidRPr="00A03EED" w:rsidRDefault="00BC19DA" w:rsidP="00694C2B">
      <w:pPr>
        <w:ind w:left="851"/>
        <w:rPr>
          <w:sz w:val="24"/>
          <w:szCs w:val="24"/>
          <w:lang w:val="en-GB"/>
        </w:rPr>
      </w:pPr>
      <w:r w:rsidRPr="00A03EED">
        <w:rPr>
          <w:sz w:val="24"/>
          <w:szCs w:val="24"/>
          <w:lang w:val="en-GB"/>
        </w:rPr>
        <w:t xml:space="preserve">During controlled clinical studies with tobramycin, modest </w:t>
      </w:r>
      <w:proofErr w:type="spellStart"/>
      <w:r w:rsidRPr="00A03EED">
        <w:rPr>
          <w:sz w:val="24"/>
          <w:szCs w:val="24"/>
          <w:lang w:val="en-GB"/>
        </w:rPr>
        <w:t>hypoacusia</w:t>
      </w:r>
      <w:proofErr w:type="spellEnd"/>
      <w:r w:rsidRPr="00A03EED">
        <w:rPr>
          <w:sz w:val="24"/>
          <w:szCs w:val="24"/>
          <w:lang w:val="en-GB"/>
        </w:rPr>
        <w:t xml:space="preserve"> and vertigo were observed, while with other nebulised tobramycin containing medicines auditory toxicity, as measured by complaints of hearing loss or by audiometric evaluations, did not </w:t>
      </w:r>
      <w:proofErr w:type="spellStart"/>
      <w:r w:rsidRPr="00A03EED">
        <w:rPr>
          <w:sz w:val="24"/>
          <w:szCs w:val="24"/>
          <w:lang w:val="en-GB"/>
        </w:rPr>
        <w:t>occurr</w:t>
      </w:r>
      <w:proofErr w:type="spellEnd"/>
      <w:r w:rsidRPr="00A03EED">
        <w:rPr>
          <w:sz w:val="24"/>
          <w:szCs w:val="24"/>
          <w:lang w:val="en-GB"/>
        </w:rPr>
        <w:t xml:space="preserve"> during controlled clinical studies.</w:t>
      </w:r>
    </w:p>
    <w:p w14:paraId="31A74EF1" w14:textId="77777777" w:rsidR="00BC19DA" w:rsidRPr="00A03EED" w:rsidRDefault="00BC19DA" w:rsidP="00694C2B">
      <w:pPr>
        <w:ind w:left="851"/>
        <w:rPr>
          <w:sz w:val="24"/>
          <w:szCs w:val="24"/>
          <w:lang w:val="en-GB"/>
        </w:rPr>
      </w:pPr>
      <w:r w:rsidRPr="00A03EED">
        <w:rPr>
          <w:sz w:val="24"/>
          <w:szCs w:val="24"/>
          <w:lang w:val="en-GB"/>
        </w:rPr>
        <w:t>In open label studies and post-marketing experience, some patients with a history of prolonged previous or concomitant use of intravenous aminoglycosides have experienced hearing loss.</w:t>
      </w:r>
    </w:p>
    <w:p w14:paraId="7A8C3748" w14:textId="6D103328" w:rsidR="00BC19DA" w:rsidRPr="00A03EED" w:rsidRDefault="00BC19DA" w:rsidP="00694C2B">
      <w:pPr>
        <w:ind w:left="851"/>
        <w:rPr>
          <w:sz w:val="24"/>
          <w:szCs w:val="24"/>
          <w:lang w:val="en-GB"/>
        </w:rPr>
      </w:pPr>
      <w:r w:rsidRPr="00A03EED">
        <w:rPr>
          <w:sz w:val="24"/>
          <w:szCs w:val="24"/>
          <w:lang w:val="en-GB"/>
        </w:rPr>
        <w:t xml:space="preserve">The physician should consider the possibility that aminoglycosides may cause vestibular and cochlear toxicity and should assess auditory function throughout the treatment period with </w:t>
      </w:r>
      <w:proofErr w:type="spellStart"/>
      <w:r w:rsidR="00A03EED">
        <w:rPr>
          <w:sz w:val="24"/>
          <w:szCs w:val="24"/>
          <w:lang w:val="en-GB"/>
        </w:rPr>
        <w:t>Bramitob</w:t>
      </w:r>
      <w:proofErr w:type="spellEnd"/>
      <w:r w:rsidRPr="00A03EED">
        <w:rPr>
          <w:sz w:val="24"/>
          <w:szCs w:val="24"/>
          <w:lang w:val="en-GB"/>
        </w:rPr>
        <w:t xml:space="preserve">. In patients with a predisposing risk due to previous prolonged systemic therapy with aminoglycosides, it may be necessary to consider audiological assessment before starting therapy with tobramycin. The occurrence of tinnitus warrants caution, since it represents an ototoxic symptom. If the patient reports about tinnitus or hearing loss during the therapy with aminoglycosides, the physician should consider whether audiologic tests are necessary. When feasible, it is recommended that periodical audiograms are carried out in patients in continuous therapy and, due to this reason, particularly at high risk of ototoxicity. Patients receiving concomitant parenteral therapy with aminoglycosides should be monitored as clinically appropriate, </w:t>
      </w:r>
      <w:proofErr w:type="gramStart"/>
      <w:r w:rsidRPr="00A03EED">
        <w:rPr>
          <w:sz w:val="24"/>
          <w:szCs w:val="24"/>
          <w:lang w:val="en-GB"/>
        </w:rPr>
        <w:t>taking into account</w:t>
      </w:r>
      <w:proofErr w:type="gramEnd"/>
      <w:r w:rsidRPr="00A03EED">
        <w:rPr>
          <w:sz w:val="24"/>
          <w:szCs w:val="24"/>
          <w:lang w:val="en-GB"/>
        </w:rPr>
        <w:t xml:space="preserve"> the risk of cumulative toxicity.</w:t>
      </w:r>
    </w:p>
    <w:p w14:paraId="7031CD26" w14:textId="77777777" w:rsidR="00BC19DA" w:rsidRPr="00A03EED" w:rsidRDefault="00BC19DA" w:rsidP="00694C2B">
      <w:pPr>
        <w:ind w:left="851"/>
        <w:rPr>
          <w:sz w:val="24"/>
          <w:szCs w:val="24"/>
          <w:lang w:val="en-GB"/>
        </w:rPr>
      </w:pPr>
    </w:p>
    <w:p w14:paraId="41981EB8" w14:textId="77777777" w:rsidR="00BC19DA" w:rsidRPr="007318BC" w:rsidRDefault="00BC19DA" w:rsidP="00694C2B">
      <w:pPr>
        <w:ind w:left="851"/>
        <w:rPr>
          <w:b/>
          <w:sz w:val="24"/>
          <w:szCs w:val="24"/>
          <w:lang w:val="en-GB"/>
        </w:rPr>
      </w:pPr>
      <w:r w:rsidRPr="007318BC">
        <w:rPr>
          <w:b/>
          <w:sz w:val="24"/>
          <w:szCs w:val="24"/>
          <w:lang w:val="en-GB"/>
        </w:rPr>
        <w:lastRenderedPageBreak/>
        <w:t>Haemoptysis</w:t>
      </w:r>
    </w:p>
    <w:p w14:paraId="03DF52B0" w14:textId="6270C51A" w:rsidR="00BC19DA" w:rsidRPr="00A03EED" w:rsidRDefault="00BC19DA" w:rsidP="00694C2B">
      <w:pPr>
        <w:ind w:left="851"/>
        <w:rPr>
          <w:strike/>
          <w:sz w:val="24"/>
          <w:szCs w:val="24"/>
          <w:lang w:val="en-GB"/>
        </w:rPr>
      </w:pPr>
      <w:r w:rsidRPr="00A03EED">
        <w:rPr>
          <w:sz w:val="24"/>
          <w:szCs w:val="24"/>
          <w:lang w:val="en-GB"/>
        </w:rPr>
        <w:t xml:space="preserve">Inhalation of nebulised solutions may induce a cough reflex. The use of nebulised </w:t>
      </w:r>
      <w:proofErr w:type="spellStart"/>
      <w:r w:rsidR="00A03EED">
        <w:rPr>
          <w:sz w:val="24"/>
          <w:szCs w:val="24"/>
          <w:lang w:val="en-GB"/>
        </w:rPr>
        <w:t>Bramitob</w:t>
      </w:r>
      <w:proofErr w:type="spellEnd"/>
      <w:r w:rsidRPr="00A03EED">
        <w:rPr>
          <w:sz w:val="24"/>
          <w:szCs w:val="24"/>
          <w:lang w:val="en-GB"/>
        </w:rPr>
        <w:t xml:space="preserve"> in patients with active, severe haemoptysis should be undertaken only if the benefits of treatment are considered to outweigh the risks of inducing further haemorrhage.</w:t>
      </w:r>
    </w:p>
    <w:p w14:paraId="2973D53F" w14:textId="77777777" w:rsidR="00BC19DA" w:rsidRPr="00A03EED" w:rsidRDefault="00BC19DA" w:rsidP="00694C2B">
      <w:pPr>
        <w:ind w:left="851"/>
        <w:rPr>
          <w:sz w:val="24"/>
          <w:szCs w:val="24"/>
          <w:lang w:val="en-GB"/>
        </w:rPr>
      </w:pPr>
    </w:p>
    <w:p w14:paraId="5BC8AB46" w14:textId="77777777" w:rsidR="00BC19DA" w:rsidRPr="007318BC" w:rsidRDefault="00BC19DA" w:rsidP="00694C2B">
      <w:pPr>
        <w:ind w:left="851"/>
        <w:rPr>
          <w:b/>
          <w:sz w:val="24"/>
          <w:szCs w:val="24"/>
          <w:lang w:val="en-GB"/>
        </w:rPr>
      </w:pPr>
      <w:r w:rsidRPr="007318BC">
        <w:rPr>
          <w:b/>
          <w:sz w:val="24"/>
          <w:szCs w:val="24"/>
          <w:lang w:val="en-GB"/>
        </w:rPr>
        <w:t>Microbial Resistance</w:t>
      </w:r>
    </w:p>
    <w:p w14:paraId="3C5F9105" w14:textId="77777777" w:rsidR="00BC19DA" w:rsidRPr="00A03EED" w:rsidRDefault="00BC19DA" w:rsidP="00694C2B">
      <w:pPr>
        <w:ind w:left="851"/>
        <w:rPr>
          <w:sz w:val="24"/>
          <w:szCs w:val="24"/>
          <w:lang w:val="en-GB"/>
        </w:rPr>
      </w:pPr>
      <w:r w:rsidRPr="00A03EED">
        <w:rPr>
          <w:sz w:val="24"/>
          <w:szCs w:val="24"/>
          <w:lang w:val="en-GB"/>
        </w:rPr>
        <w:t xml:space="preserve">In clinical studies, some patients treated with nebulised tobramycin showed an increase in aminoglycoside Minimum Inhibitory Concentrations for P. aeruginosa isolates tested. There is a theoretical risk that patients being treated with nebulised tobramycin may develop P. aeruginosa isolates resistant to intravenous tobramycin (see section 5.1 Pharmacodynamic properties). In clinical trials there is no data in patients with </w:t>
      </w:r>
      <w:proofErr w:type="spellStart"/>
      <w:r w:rsidRPr="00A03EED">
        <w:rPr>
          <w:sz w:val="24"/>
          <w:szCs w:val="24"/>
          <w:lang w:val="en-GB"/>
        </w:rPr>
        <w:t>Burkholderia</w:t>
      </w:r>
      <w:proofErr w:type="spellEnd"/>
      <w:r w:rsidRPr="00A03EED">
        <w:rPr>
          <w:sz w:val="24"/>
          <w:szCs w:val="24"/>
          <w:lang w:val="en-GB"/>
        </w:rPr>
        <w:t xml:space="preserve"> </w:t>
      </w:r>
      <w:proofErr w:type="spellStart"/>
      <w:r w:rsidRPr="00A03EED">
        <w:rPr>
          <w:sz w:val="24"/>
          <w:szCs w:val="24"/>
          <w:lang w:val="en-GB"/>
        </w:rPr>
        <w:t>cepacia</w:t>
      </w:r>
      <w:proofErr w:type="spellEnd"/>
      <w:r w:rsidRPr="00A03EED">
        <w:rPr>
          <w:sz w:val="24"/>
          <w:szCs w:val="24"/>
          <w:lang w:val="en-GB"/>
        </w:rPr>
        <w:t xml:space="preserve"> infections.</w:t>
      </w:r>
    </w:p>
    <w:p w14:paraId="394B3892" w14:textId="77777777" w:rsidR="00BC19DA" w:rsidRPr="00A03EED" w:rsidRDefault="00BC19DA" w:rsidP="00694C2B">
      <w:pPr>
        <w:ind w:left="851"/>
        <w:rPr>
          <w:sz w:val="24"/>
          <w:szCs w:val="24"/>
          <w:lang w:val="en-GB"/>
        </w:rPr>
      </w:pPr>
    </w:p>
    <w:p w14:paraId="15C60505" w14:textId="77777777" w:rsidR="00BC19DA" w:rsidRPr="00A03EED" w:rsidRDefault="00BC19DA" w:rsidP="00694C2B">
      <w:pPr>
        <w:ind w:left="851"/>
        <w:rPr>
          <w:sz w:val="24"/>
          <w:szCs w:val="24"/>
          <w:lang w:val="en-GB"/>
        </w:rPr>
      </w:pPr>
      <w:r w:rsidRPr="00A03EED">
        <w:rPr>
          <w:sz w:val="24"/>
          <w:szCs w:val="24"/>
          <w:lang w:val="en-GB"/>
        </w:rPr>
        <w:t>For information related to administration during pregnancy and lactation see section 4.6 “Pregnancy and lactation”.</w:t>
      </w:r>
    </w:p>
    <w:p w14:paraId="1C825C5D" w14:textId="77777777" w:rsidR="007C5D2A" w:rsidRPr="00A03EED" w:rsidRDefault="007C5D2A" w:rsidP="003E0341">
      <w:pPr>
        <w:tabs>
          <w:tab w:val="left" w:pos="851"/>
        </w:tabs>
        <w:ind w:left="851"/>
        <w:rPr>
          <w:sz w:val="24"/>
          <w:szCs w:val="24"/>
          <w:lang w:val="en-GB"/>
        </w:rPr>
      </w:pPr>
    </w:p>
    <w:p w14:paraId="501E2956" w14:textId="77777777" w:rsidR="007C5D2A" w:rsidRPr="00A03EED" w:rsidRDefault="007C5D2A" w:rsidP="007C5D2A">
      <w:pPr>
        <w:ind w:left="851" w:hanging="851"/>
        <w:rPr>
          <w:b/>
          <w:sz w:val="24"/>
          <w:szCs w:val="24"/>
          <w:lang w:val="en-GB"/>
        </w:rPr>
      </w:pPr>
      <w:r w:rsidRPr="00A03EED">
        <w:rPr>
          <w:b/>
          <w:sz w:val="24"/>
          <w:szCs w:val="24"/>
          <w:lang w:val="en-GB"/>
        </w:rPr>
        <w:t>4.5</w:t>
      </w:r>
      <w:r w:rsidRPr="00A03EED">
        <w:rPr>
          <w:b/>
          <w:sz w:val="24"/>
          <w:szCs w:val="24"/>
          <w:lang w:val="en-GB"/>
        </w:rPr>
        <w:tab/>
        <w:t>Interaction with other medicinal products and other forms of interaction</w:t>
      </w:r>
    </w:p>
    <w:p w14:paraId="5A23C01D" w14:textId="5F786CAD" w:rsidR="00BC19DA" w:rsidRPr="00A03EED" w:rsidRDefault="00BC19DA" w:rsidP="00694C2B">
      <w:pPr>
        <w:ind w:left="851"/>
        <w:rPr>
          <w:sz w:val="24"/>
          <w:szCs w:val="24"/>
          <w:lang w:val="en-GB"/>
        </w:rPr>
      </w:pPr>
      <w:r w:rsidRPr="00A03EED">
        <w:rPr>
          <w:sz w:val="24"/>
          <w:szCs w:val="24"/>
          <w:lang w:val="en-GB"/>
        </w:rPr>
        <w:t xml:space="preserve">Concurrent and/or sequential use of </w:t>
      </w:r>
      <w:proofErr w:type="spellStart"/>
      <w:r w:rsidR="00A03EED">
        <w:rPr>
          <w:sz w:val="24"/>
          <w:szCs w:val="24"/>
          <w:lang w:val="en-GB"/>
        </w:rPr>
        <w:t>Bramitob</w:t>
      </w:r>
      <w:proofErr w:type="spellEnd"/>
      <w:r w:rsidRPr="00A03EED">
        <w:rPr>
          <w:sz w:val="24"/>
          <w:szCs w:val="24"/>
          <w:lang w:val="en-GB"/>
        </w:rPr>
        <w:t xml:space="preserve"> with other medicinal products with nephrotoxic or ototoxic potential should be avoided. Some diuretics can enhance aminoglycoside toxicity by altering antibiotic concentrations in serum and tissue. </w:t>
      </w:r>
      <w:proofErr w:type="spellStart"/>
      <w:r w:rsidR="00A03EED">
        <w:rPr>
          <w:sz w:val="24"/>
          <w:szCs w:val="24"/>
          <w:lang w:val="en-GB"/>
        </w:rPr>
        <w:t>Bramitob</w:t>
      </w:r>
      <w:proofErr w:type="spellEnd"/>
      <w:r w:rsidRPr="00A03EED">
        <w:rPr>
          <w:sz w:val="24"/>
          <w:szCs w:val="24"/>
          <w:lang w:val="en-GB"/>
        </w:rPr>
        <w:t xml:space="preserve"> should not be administered concomitantly with furosemide, ethacrynic acid, urea or intravenous and oral mannitol.</w:t>
      </w:r>
    </w:p>
    <w:p w14:paraId="288DED95" w14:textId="77777777" w:rsidR="00BC19DA" w:rsidRPr="00A03EED" w:rsidRDefault="00BC19DA" w:rsidP="00694C2B">
      <w:pPr>
        <w:ind w:left="851"/>
        <w:rPr>
          <w:b/>
          <w:strike/>
          <w:sz w:val="24"/>
          <w:szCs w:val="24"/>
          <w:lang w:val="en-GB"/>
        </w:rPr>
      </w:pPr>
    </w:p>
    <w:p w14:paraId="67E026D2" w14:textId="77777777" w:rsidR="00BC19DA" w:rsidRPr="00A03EED" w:rsidRDefault="00BC19DA" w:rsidP="00694C2B">
      <w:pPr>
        <w:ind w:left="851"/>
        <w:rPr>
          <w:sz w:val="24"/>
          <w:szCs w:val="24"/>
          <w:u w:val="single"/>
          <w:lang w:val="en-GB"/>
        </w:rPr>
      </w:pPr>
      <w:r w:rsidRPr="00A03EED">
        <w:rPr>
          <w:i/>
          <w:sz w:val="24"/>
          <w:szCs w:val="24"/>
          <w:u w:val="single"/>
          <w:lang w:val="en-GB"/>
        </w:rPr>
        <w:t>Other medicinal products that have been reported to increase the potential toxicity of parenterally administered aminoglycosides include:</w:t>
      </w:r>
    </w:p>
    <w:p w14:paraId="1D3E4140" w14:textId="3017DE58" w:rsidR="00BC19DA" w:rsidRPr="00A03EED" w:rsidRDefault="00512C2F" w:rsidP="00694C2B">
      <w:pPr>
        <w:ind w:left="851"/>
        <w:rPr>
          <w:i/>
          <w:sz w:val="24"/>
          <w:szCs w:val="24"/>
          <w:lang w:val="en-GB"/>
        </w:rPr>
      </w:pPr>
      <w:r>
        <w:rPr>
          <w:i/>
          <w:sz w:val="24"/>
          <w:szCs w:val="24"/>
          <w:lang w:val="en-GB"/>
        </w:rPr>
        <w:t>A</w:t>
      </w:r>
      <w:r w:rsidR="00BC19DA" w:rsidRPr="00A03EED">
        <w:rPr>
          <w:i/>
          <w:sz w:val="24"/>
          <w:szCs w:val="24"/>
          <w:lang w:val="en-GB"/>
        </w:rPr>
        <w:t xml:space="preserve">mphotericin B, </w:t>
      </w:r>
      <w:proofErr w:type="spellStart"/>
      <w:r w:rsidR="00BC19DA" w:rsidRPr="00A03EED">
        <w:rPr>
          <w:i/>
          <w:sz w:val="24"/>
          <w:szCs w:val="24"/>
          <w:lang w:val="en-GB"/>
        </w:rPr>
        <w:t>cephalotin</w:t>
      </w:r>
      <w:proofErr w:type="spellEnd"/>
      <w:r w:rsidR="00BC19DA" w:rsidRPr="00A03EED">
        <w:rPr>
          <w:i/>
          <w:sz w:val="24"/>
          <w:szCs w:val="24"/>
          <w:lang w:val="en-GB"/>
        </w:rPr>
        <w:t xml:space="preserve">, ciclosporin, tacrolimus, polymyxins (risk of increased nephrotoxicity); </w:t>
      </w:r>
      <w:proofErr w:type="spellStart"/>
      <w:r w:rsidR="00BC19DA" w:rsidRPr="00A03EED">
        <w:rPr>
          <w:i/>
          <w:sz w:val="24"/>
          <w:szCs w:val="24"/>
          <w:lang w:val="en-GB"/>
        </w:rPr>
        <w:t>platinium</w:t>
      </w:r>
      <w:proofErr w:type="spellEnd"/>
      <w:r w:rsidR="00BC19DA" w:rsidRPr="00A03EED">
        <w:rPr>
          <w:i/>
          <w:sz w:val="24"/>
          <w:szCs w:val="24"/>
          <w:lang w:val="en-GB"/>
        </w:rPr>
        <w:t xml:space="preserve"> compounds (risk increased nephrotoxicity and ototoxicity).</w:t>
      </w:r>
    </w:p>
    <w:p w14:paraId="7859EA7F" w14:textId="77777777" w:rsidR="00BC19DA" w:rsidRPr="00A03EED" w:rsidRDefault="00BC19DA" w:rsidP="00694C2B">
      <w:pPr>
        <w:ind w:left="851"/>
        <w:rPr>
          <w:sz w:val="24"/>
          <w:szCs w:val="24"/>
          <w:lang w:val="en-GB"/>
        </w:rPr>
      </w:pPr>
      <w:proofErr w:type="spellStart"/>
      <w:r w:rsidRPr="00A03EED">
        <w:rPr>
          <w:sz w:val="24"/>
          <w:szCs w:val="24"/>
          <w:lang w:val="en-GB"/>
        </w:rPr>
        <w:t>anticholiesterases</w:t>
      </w:r>
      <w:proofErr w:type="spellEnd"/>
      <w:r w:rsidRPr="00A03EED">
        <w:rPr>
          <w:sz w:val="24"/>
          <w:szCs w:val="24"/>
          <w:lang w:val="en-GB"/>
        </w:rPr>
        <w:t>, botulinum toxin: Due to their neuromuscular effects, the combination with tobramycin should be avoided.</w:t>
      </w:r>
    </w:p>
    <w:p w14:paraId="2A731DF2" w14:textId="77777777" w:rsidR="00BC19DA" w:rsidRPr="00A03EED" w:rsidRDefault="00BC19DA" w:rsidP="00694C2B">
      <w:pPr>
        <w:ind w:left="851"/>
        <w:rPr>
          <w:sz w:val="24"/>
          <w:szCs w:val="24"/>
          <w:lang w:val="en-GB"/>
        </w:rPr>
      </w:pPr>
    </w:p>
    <w:p w14:paraId="1D50899C" w14:textId="77777777" w:rsidR="00BC19DA" w:rsidRPr="00A03EED" w:rsidRDefault="00BC19DA" w:rsidP="00694C2B">
      <w:pPr>
        <w:ind w:left="851"/>
        <w:rPr>
          <w:sz w:val="24"/>
          <w:szCs w:val="24"/>
          <w:u w:val="single"/>
          <w:lang w:val="en-GB"/>
        </w:rPr>
      </w:pPr>
      <w:r w:rsidRPr="00A03EED">
        <w:rPr>
          <w:i/>
          <w:iCs/>
          <w:sz w:val="24"/>
          <w:szCs w:val="24"/>
          <w:u w:val="single"/>
          <w:lang w:val="en-GB"/>
        </w:rPr>
        <w:t>Others</w:t>
      </w:r>
      <w:r w:rsidRPr="00A03EED">
        <w:rPr>
          <w:i/>
          <w:sz w:val="24"/>
          <w:szCs w:val="24"/>
          <w:u w:val="single"/>
          <w:lang w:val="en-GB"/>
        </w:rPr>
        <w:t>:</w:t>
      </w:r>
    </w:p>
    <w:p w14:paraId="35BBDE18" w14:textId="77777777" w:rsidR="00BC19DA" w:rsidRPr="00A03EED" w:rsidRDefault="00BC19DA" w:rsidP="00694C2B">
      <w:pPr>
        <w:ind w:left="851"/>
        <w:rPr>
          <w:sz w:val="24"/>
          <w:szCs w:val="24"/>
          <w:lang w:val="en-GB"/>
        </w:rPr>
      </w:pPr>
      <w:r w:rsidRPr="00A03EED">
        <w:rPr>
          <w:sz w:val="24"/>
          <w:szCs w:val="24"/>
          <w:lang w:val="en-GB"/>
        </w:rPr>
        <w:t xml:space="preserve">In clinical studies, patients taking nebulised tobramycin concomitantly with </w:t>
      </w:r>
      <w:proofErr w:type="spellStart"/>
      <w:r w:rsidRPr="00A03EED">
        <w:rPr>
          <w:sz w:val="24"/>
          <w:szCs w:val="24"/>
          <w:lang w:val="en-GB"/>
        </w:rPr>
        <w:t>dornase</w:t>
      </w:r>
      <w:proofErr w:type="spellEnd"/>
      <w:r w:rsidRPr="00A03EED">
        <w:rPr>
          <w:sz w:val="24"/>
          <w:szCs w:val="24"/>
          <w:lang w:val="en-GB"/>
        </w:rPr>
        <w:t xml:space="preserve"> alfa, mucolytic, B agonists, inhaled corticosteroids, and other oral or parenteral anti-</w:t>
      </w:r>
      <w:proofErr w:type="spellStart"/>
      <w:r w:rsidRPr="00A03EED">
        <w:rPr>
          <w:sz w:val="24"/>
          <w:szCs w:val="24"/>
          <w:lang w:val="en-GB"/>
        </w:rPr>
        <w:t>pseudomonal</w:t>
      </w:r>
      <w:proofErr w:type="spellEnd"/>
      <w:r w:rsidRPr="00A03EED">
        <w:rPr>
          <w:sz w:val="24"/>
          <w:szCs w:val="24"/>
          <w:lang w:val="en-GB"/>
        </w:rPr>
        <w:t xml:space="preserve"> antibiotics, showed adverse events similar to the patients of the control group."</w:t>
      </w:r>
    </w:p>
    <w:p w14:paraId="0867F16F" w14:textId="77777777" w:rsidR="007C5D2A" w:rsidRPr="00A03EED" w:rsidRDefault="007C5D2A" w:rsidP="003E0341">
      <w:pPr>
        <w:tabs>
          <w:tab w:val="left" w:pos="851"/>
        </w:tabs>
        <w:ind w:left="851"/>
        <w:rPr>
          <w:sz w:val="24"/>
          <w:szCs w:val="24"/>
          <w:lang w:val="en-GB"/>
        </w:rPr>
      </w:pPr>
    </w:p>
    <w:p w14:paraId="16A5E679" w14:textId="77777777" w:rsidR="007C5D2A" w:rsidRPr="00A03EED" w:rsidRDefault="007C5D2A" w:rsidP="007C5D2A">
      <w:pPr>
        <w:tabs>
          <w:tab w:val="left" w:pos="851"/>
        </w:tabs>
        <w:ind w:left="851" w:hanging="851"/>
        <w:rPr>
          <w:b/>
          <w:sz w:val="24"/>
          <w:szCs w:val="24"/>
          <w:lang w:val="en-GB"/>
        </w:rPr>
      </w:pPr>
      <w:r w:rsidRPr="00A03EED">
        <w:rPr>
          <w:b/>
          <w:sz w:val="24"/>
          <w:szCs w:val="24"/>
          <w:lang w:val="en-GB"/>
        </w:rPr>
        <w:t>4.6</w:t>
      </w:r>
      <w:r w:rsidRPr="00A03EED">
        <w:rPr>
          <w:b/>
          <w:sz w:val="24"/>
          <w:szCs w:val="24"/>
          <w:lang w:val="en-GB"/>
        </w:rPr>
        <w:tab/>
      </w:r>
      <w:r w:rsidR="004860D3" w:rsidRPr="00A03EED">
        <w:rPr>
          <w:b/>
          <w:sz w:val="24"/>
          <w:szCs w:val="24"/>
          <w:lang w:val="en-GB"/>
        </w:rPr>
        <w:t>Fertility, p</w:t>
      </w:r>
      <w:r w:rsidRPr="00A03EED">
        <w:rPr>
          <w:b/>
          <w:sz w:val="24"/>
          <w:szCs w:val="24"/>
          <w:lang w:val="en-GB"/>
        </w:rPr>
        <w:t>regnancy and lactation</w:t>
      </w:r>
    </w:p>
    <w:p w14:paraId="19343B4C" w14:textId="2E5F43C7" w:rsidR="00BC19DA" w:rsidRPr="00A03EED" w:rsidRDefault="00A03EED" w:rsidP="00694C2B">
      <w:pPr>
        <w:ind w:left="851"/>
        <w:rPr>
          <w:sz w:val="24"/>
          <w:szCs w:val="24"/>
          <w:lang w:val="en-GB"/>
        </w:rPr>
      </w:pPr>
      <w:proofErr w:type="spellStart"/>
      <w:r>
        <w:rPr>
          <w:sz w:val="24"/>
          <w:szCs w:val="24"/>
          <w:lang w:val="en-GB"/>
        </w:rPr>
        <w:t>Bramitob</w:t>
      </w:r>
      <w:proofErr w:type="spellEnd"/>
      <w:r w:rsidR="00BC19DA" w:rsidRPr="00A03EED">
        <w:rPr>
          <w:sz w:val="24"/>
          <w:szCs w:val="24"/>
          <w:lang w:val="en-GB"/>
        </w:rPr>
        <w:t xml:space="preserve"> should not be used during pregnancy or lactation unless the benefits to the mother outweigh the risks to the </w:t>
      </w:r>
      <w:proofErr w:type="spellStart"/>
      <w:r w:rsidR="00BC19DA" w:rsidRPr="00A03EED">
        <w:rPr>
          <w:sz w:val="24"/>
          <w:szCs w:val="24"/>
          <w:lang w:val="en-GB"/>
        </w:rPr>
        <w:t>fetus</w:t>
      </w:r>
      <w:proofErr w:type="spellEnd"/>
      <w:r w:rsidR="00BC19DA" w:rsidRPr="00A03EED">
        <w:rPr>
          <w:sz w:val="24"/>
          <w:szCs w:val="24"/>
          <w:lang w:val="en-GB"/>
        </w:rPr>
        <w:t xml:space="preserve"> or baby.</w:t>
      </w:r>
    </w:p>
    <w:p w14:paraId="03D3A15D" w14:textId="77777777" w:rsidR="00BC19DA" w:rsidRPr="00A03EED" w:rsidRDefault="00BC19DA" w:rsidP="00694C2B">
      <w:pPr>
        <w:ind w:left="851"/>
        <w:rPr>
          <w:sz w:val="24"/>
          <w:szCs w:val="24"/>
          <w:lang w:val="en-GB"/>
        </w:rPr>
      </w:pPr>
    </w:p>
    <w:p w14:paraId="68E21C96" w14:textId="77777777" w:rsidR="00BC19DA" w:rsidRPr="00A03EED" w:rsidRDefault="00BC19DA" w:rsidP="00694C2B">
      <w:pPr>
        <w:ind w:left="851"/>
        <w:rPr>
          <w:b/>
          <w:i/>
          <w:sz w:val="24"/>
          <w:szCs w:val="24"/>
          <w:lang w:val="en-GB"/>
        </w:rPr>
      </w:pPr>
      <w:r w:rsidRPr="00A03EED">
        <w:rPr>
          <w:b/>
          <w:i/>
          <w:sz w:val="24"/>
          <w:szCs w:val="24"/>
          <w:lang w:val="en-GB"/>
        </w:rPr>
        <w:t>Pregnancy</w:t>
      </w:r>
    </w:p>
    <w:p w14:paraId="456FA259" w14:textId="17563121" w:rsidR="00BC19DA" w:rsidRPr="00A03EED" w:rsidRDefault="00BC19DA" w:rsidP="00694C2B">
      <w:pPr>
        <w:ind w:left="851"/>
        <w:rPr>
          <w:sz w:val="24"/>
          <w:szCs w:val="24"/>
          <w:lang w:val="en-GB"/>
        </w:rPr>
      </w:pPr>
      <w:r w:rsidRPr="00A03EED">
        <w:rPr>
          <w:sz w:val="24"/>
          <w:szCs w:val="24"/>
          <w:lang w:val="en-GB"/>
        </w:rPr>
        <w:t xml:space="preserve">There is no adequate data from the use of tobramycin administered by inhalation in pregnant women. Animal studies do not indicate a teratogenic effect of tobramycin (see section 5.3 Preclinical data). However, aminoglycosides can cause </w:t>
      </w:r>
      <w:proofErr w:type="spellStart"/>
      <w:r w:rsidRPr="00A03EED">
        <w:rPr>
          <w:sz w:val="24"/>
          <w:szCs w:val="24"/>
          <w:lang w:val="en-GB"/>
        </w:rPr>
        <w:t>fetal</w:t>
      </w:r>
      <w:proofErr w:type="spellEnd"/>
      <w:r w:rsidRPr="00A03EED">
        <w:rPr>
          <w:sz w:val="24"/>
          <w:szCs w:val="24"/>
          <w:lang w:val="en-GB"/>
        </w:rPr>
        <w:t xml:space="preserve"> harm (e.g., congenital deafness) when high systemic concentrations are achieved in a pregnant woman. If </w:t>
      </w:r>
      <w:proofErr w:type="spellStart"/>
      <w:r w:rsidR="00A03EED">
        <w:rPr>
          <w:sz w:val="24"/>
          <w:szCs w:val="24"/>
          <w:lang w:val="en-GB"/>
        </w:rPr>
        <w:t>Bramitob</w:t>
      </w:r>
      <w:proofErr w:type="spellEnd"/>
      <w:r w:rsidRPr="00A03EED">
        <w:rPr>
          <w:sz w:val="24"/>
          <w:szCs w:val="24"/>
          <w:lang w:val="en-GB"/>
        </w:rPr>
        <w:t xml:space="preserve"> is used during pregnancy, or if the patient becomes pregnant while taking </w:t>
      </w:r>
      <w:proofErr w:type="spellStart"/>
      <w:r w:rsidR="00A03EED">
        <w:rPr>
          <w:sz w:val="24"/>
          <w:szCs w:val="24"/>
          <w:lang w:val="en-GB"/>
        </w:rPr>
        <w:t>Bramitob</w:t>
      </w:r>
      <w:proofErr w:type="spellEnd"/>
      <w:r w:rsidRPr="00A03EED">
        <w:rPr>
          <w:sz w:val="24"/>
          <w:szCs w:val="24"/>
          <w:lang w:val="en-GB"/>
        </w:rPr>
        <w:t xml:space="preserve">, she should be informed of the potential hazard to the </w:t>
      </w:r>
      <w:proofErr w:type="spellStart"/>
      <w:r w:rsidRPr="00A03EED">
        <w:rPr>
          <w:sz w:val="24"/>
          <w:szCs w:val="24"/>
          <w:lang w:val="en-GB"/>
        </w:rPr>
        <w:t>fetus</w:t>
      </w:r>
      <w:proofErr w:type="spellEnd"/>
      <w:r w:rsidRPr="00A03EED">
        <w:rPr>
          <w:sz w:val="24"/>
          <w:szCs w:val="24"/>
          <w:lang w:val="en-GB"/>
        </w:rPr>
        <w:t>.</w:t>
      </w:r>
    </w:p>
    <w:p w14:paraId="66B413D6" w14:textId="77777777" w:rsidR="00BC19DA" w:rsidRPr="00A03EED" w:rsidRDefault="00BC19DA" w:rsidP="00694C2B">
      <w:pPr>
        <w:ind w:left="851"/>
        <w:rPr>
          <w:sz w:val="24"/>
          <w:szCs w:val="24"/>
          <w:lang w:val="en-GB"/>
        </w:rPr>
      </w:pPr>
    </w:p>
    <w:p w14:paraId="2569DAFA" w14:textId="77777777" w:rsidR="00BC19DA" w:rsidRPr="00A03EED" w:rsidRDefault="00BC19DA" w:rsidP="00694C2B">
      <w:pPr>
        <w:ind w:left="851"/>
        <w:rPr>
          <w:b/>
          <w:i/>
          <w:sz w:val="24"/>
          <w:szCs w:val="24"/>
          <w:lang w:val="en-GB"/>
        </w:rPr>
      </w:pPr>
      <w:r w:rsidRPr="00A03EED">
        <w:rPr>
          <w:b/>
          <w:i/>
          <w:sz w:val="24"/>
          <w:szCs w:val="24"/>
          <w:lang w:val="en-GB"/>
        </w:rPr>
        <w:t>Lactation</w:t>
      </w:r>
    </w:p>
    <w:p w14:paraId="69026150" w14:textId="1426C22A" w:rsidR="00BC19DA" w:rsidRPr="00A03EED" w:rsidRDefault="00BC19DA" w:rsidP="00694C2B">
      <w:pPr>
        <w:ind w:left="851"/>
        <w:rPr>
          <w:sz w:val="24"/>
          <w:szCs w:val="24"/>
          <w:lang w:val="en-GB"/>
        </w:rPr>
      </w:pPr>
      <w:r w:rsidRPr="00A03EED">
        <w:rPr>
          <w:sz w:val="24"/>
          <w:szCs w:val="24"/>
          <w:lang w:val="en-GB"/>
        </w:rPr>
        <w:t xml:space="preserve">Systemic tobramycin is excreted in breast milk. It is not known if inhaled tobramycin will result in serum concentrations high enough for tobramycin to be detected in breast milk. </w:t>
      </w:r>
      <w:r w:rsidRPr="00A03EED">
        <w:rPr>
          <w:sz w:val="24"/>
          <w:szCs w:val="24"/>
          <w:lang w:val="en-GB"/>
        </w:rPr>
        <w:lastRenderedPageBreak/>
        <w:t xml:space="preserve">Because of the potential risk for ototoxicity and nephrotoxicity with tobramycin in infants, a decision should be made whether to terminate nursing or discontinue </w:t>
      </w:r>
      <w:proofErr w:type="spellStart"/>
      <w:r w:rsidR="00A03EED">
        <w:rPr>
          <w:sz w:val="24"/>
          <w:szCs w:val="24"/>
          <w:lang w:val="en-GB"/>
        </w:rPr>
        <w:t>Bramitob</w:t>
      </w:r>
      <w:proofErr w:type="spellEnd"/>
      <w:r w:rsidRPr="00A03EED">
        <w:rPr>
          <w:sz w:val="24"/>
          <w:szCs w:val="24"/>
          <w:lang w:val="en-GB"/>
        </w:rPr>
        <w:t xml:space="preserve"> therapy.</w:t>
      </w:r>
    </w:p>
    <w:p w14:paraId="69F23D79" w14:textId="77777777" w:rsidR="007C5D2A" w:rsidRPr="00A03EED" w:rsidRDefault="007C5D2A" w:rsidP="003E0341">
      <w:pPr>
        <w:tabs>
          <w:tab w:val="left" w:pos="851"/>
        </w:tabs>
        <w:ind w:left="851"/>
        <w:rPr>
          <w:sz w:val="24"/>
          <w:szCs w:val="24"/>
          <w:lang w:val="en-GB"/>
        </w:rPr>
      </w:pPr>
    </w:p>
    <w:p w14:paraId="0D2D2BB1" w14:textId="77777777" w:rsidR="007C5D2A" w:rsidRPr="00A03EED" w:rsidRDefault="007C5D2A" w:rsidP="007C5D2A">
      <w:pPr>
        <w:tabs>
          <w:tab w:val="left" w:pos="851"/>
        </w:tabs>
        <w:ind w:left="851" w:hanging="851"/>
        <w:rPr>
          <w:b/>
          <w:sz w:val="24"/>
          <w:szCs w:val="24"/>
          <w:lang w:val="en-GB"/>
        </w:rPr>
      </w:pPr>
      <w:r w:rsidRPr="00A03EED">
        <w:rPr>
          <w:b/>
          <w:sz w:val="24"/>
          <w:szCs w:val="24"/>
          <w:lang w:val="en-GB"/>
        </w:rPr>
        <w:t>4.7</w:t>
      </w:r>
      <w:r w:rsidRPr="00A03EED">
        <w:rPr>
          <w:b/>
          <w:sz w:val="24"/>
          <w:szCs w:val="24"/>
          <w:lang w:val="en-GB"/>
        </w:rPr>
        <w:tab/>
        <w:t>Effects on ability to drive and use machines</w:t>
      </w:r>
    </w:p>
    <w:p w14:paraId="1FE62DE7" w14:textId="77777777" w:rsidR="00512C2F" w:rsidRDefault="00512C2F" w:rsidP="00694C2B">
      <w:pPr>
        <w:ind w:left="851"/>
        <w:rPr>
          <w:sz w:val="24"/>
          <w:szCs w:val="24"/>
          <w:lang w:val="en-GB"/>
        </w:rPr>
      </w:pPr>
      <w:r>
        <w:rPr>
          <w:sz w:val="24"/>
          <w:szCs w:val="24"/>
          <w:lang w:val="en-GB"/>
        </w:rPr>
        <w:t>No traffic warning.</w:t>
      </w:r>
    </w:p>
    <w:p w14:paraId="212314AE" w14:textId="60A4733F" w:rsidR="00BC19DA" w:rsidRPr="00A03EED" w:rsidRDefault="00BC19DA" w:rsidP="00694C2B">
      <w:pPr>
        <w:ind w:left="851"/>
        <w:rPr>
          <w:sz w:val="24"/>
          <w:szCs w:val="24"/>
          <w:lang w:val="en-GB"/>
        </w:rPr>
      </w:pPr>
      <w:r w:rsidRPr="00A03EED">
        <w:rPr>
          <w:sz w:val="24"/>
          <w:szCs w:val="24"/>
          <w:lang w:val="en-GB"/>
        </w:rPr>
        <w:t xml:space="preserve">No studies on the effect on the ability to drive and use machines have been performed. </w:t>
      </w:r>
    </w:p>
    <w:p w14:paraId="59DD09A3" w14:textId="77777777" w:rsidR="00BC19DA" w:rsidRPr="00A03EED" w:rsidRDefault="00BC19DA" w:rsidP="00694C2B">
      <w:pPr>
        <w:ind w:left="851"/>
        <w:rPr>
          <w:sz w:val="24"/>
          <w:szCs w:val="24"/>
          <w:lang w:val="en-GB"/>
        </w:rPr>
      </w:pPr>
      <w:r w:rsidRPr="00A03EED">
        <w:rPr>
          <w:sz w:val="24"/>
          <w:szCs w:val="24"/>
          <w:lang w:val="en-GB"/>
        </w:rPr>
        <w:t>On the basis of reported adverse drug reactions, tobramycin is presumed to be unlikely to produce an effect on ability to drive and use machinery. Nevertheless, since dizziness and/or vertigo may occur, patients who are going to drive or use machinery should be alerted.</w:t>
      </w:r>
    </w:p>
    <w:p w14:paraId="13F31AFD" w14:textId="77777777" w:rsidR="007C5D2A" w:rsidRPr="00A03EED" w:rsidRDefault="007C5D2A" w:rsidP="00694C2B">
      <w:pPr>
        <w:ind w:left="851"/>
        <w:rPr>
          <w:sz w:val="24"/>
          <w:szCs w:val="24"/>
          <w:lang w:val="en-GB"/>
        </w:rPr>
      </w:pPr>
    </w:p>
    <w:p w14:paraId="705F263D" w14:textId="77777777" w:rsidR="007C5D2A" w:rsidRPr="00A03EED" w:rsidRDefault="007C5D2A" w:rsidP="007C5D2A">
      <w:pPr>
        <w:tabs>
          <w:tab w:val="left" w:pos="851"/>
        </w:tabs>
        <w:ind w:left="851" w:hanging="851"/>
        <w:rPr>
          <w:b/>
          <w:sz w:val="24"/>
          <w:szCs w:val="24"/>
          <w:lang w:val="en-GB"/>
        </w:rPr>
      </w:pPr>
      <w:r w:rsidRPr="00A03EED">
        <w:rPr>
          <w:b/>
          <w:sz w:val="24"/>
          <w:szCs w:val="24"/>
          <w:lang w:val="en-GB"/>
        </w:rPr>
        <w:t>4.8</w:t>
      </w:r>
      <w:r w:rsidRPr="00A03EED">
        <w:rPr>
          <w:b/>
          <w:sz w:val="24"/>
          <w:szCs w:val="24"/>
          <w:lang w:val="en-GB"/>
        </w:rPr>
        <w:tab/>
        <w:t>Undesirable effects</w:t>
      </w:r>
    </w:p>
    <w:p w14:paraId="407BB694" w14:textId="6EF0270A" w:rsidR="00FF3ABF" w:rsidRPr="00A03EED" w:rsidRDefault="00FF3ABF" w:rsidP="00694C2B">
      <w:pPr>
        <w:ind w:left="851"/>
        <w:rPr>
          <w:strike/>
          <w:color w:val="FF0000"/>
          <w:sz w:val="24"/>
          <w:szCs w:val="24"/>
          <w:lang w:val="en-GB"/>
        </w:rPr>
      </w:pPr>
      <w:r w:rsidRPr="00A03EED">
        <w:rPr>
          <w:sz w:val="24"/>
          <w:szCs w:val="24"/>
          <w:lang w:val="en-GB"/>
        </w:rPr>
        <w:t xml:space="preserve">In controlled clinical trials (4) and uncontrolled clinical trials (1) with </w:t>
      </w:r>
      <w:proofErr w:type="spellStart"/>
      <w:r w:rsidR="00A03EED">
        <w:rPr>
          <w:sz w:val="24"/>
          <w:szCs w:val="24"/>
          <w:lang w:val="en-GB"/>
        </w:rPr>
        <w:t>Bramitob</w:t>
      </w:r>
      <w:proofErr w:type="spellEnd"/>
      <w:r w:rsidRPr="00A03EED">
        <w:rPr>
          <w:sz w:val="24"/>
          <w:szCs w:val="24"/>
          <w:lang w:val="en-GB"/>
        </w:rPr>
        <w:t xml:space="preserve"> (565 patients treated), the most common reactions were those concerning the respiratory tract (cough and dysphonia). </w:t>
      </w:r>
    </w:p>
    <w:p w14:paraId="65182920" w14:textId="77777777" w:rsidR="00FF3ABF" w:rsidRPr="00A03EED" w:rsidRDefault="00FF3ABF" w:rsidP="00694C2B">
      <w:pPr>
        <w:ind w:left="851"/>
        <w:rPr>
          <w:bCs/>
          <w:iCs/>
          <w:sz w:val="24"/>
          <w:szCs w:val="24"/>
          <w:lang w:val="en-GB"/>
        </w:rPr>
      </w:pPr>
      <w:r w:rsidRPr="00A03EED">
        <w:rPr>
          <w:bCs/>
          <w:i/>
          <w:iCs/>
          <w:sz w:val="24"/>
          <w:szCs w:val="24"/>
          <w:lang w:val="en-GB"/>
        </w:rPr>
        <w:t>The adverse reactions reported in the clinical trials (see below) are classified as: common (</w:t>
      </w:r>
      <w:r w:rsidRPr="00A03EED">
        <w:rPr>
          <w:bCs/>
          <w:i/>
          <w:iCs/>
          <w:sz w:val="24"/>
          <w:szCs w:val="24"/>
          <w:lang w:val="en-GB"/>
        </w:rPr>
        <w:sym w:font="Symbol" w:char="F0B3"/>
      </w:r>
      <w:r w:rsidRPr="00A03EED">
        <w:rPr>
          <w:bCs/>
          <w:i/>
          <w:iCs/>
          <w:sz w:val="24"/>
          <w:szCs w:val="24"/>
          <w:lang w:val="en-GB"/>
        </w:rPr>
        <w:t xml:space="preserve">1/100 and </w:t>
      </w:r>
      <w:r w:rsidRPr="00A03EED">
        <w:rPr>
          <w:bCs/>
          <w:i/>
          <w:iCs/>
          <w:sz w:val="24"/>
          <w:szCs w:val="24"/>
          <w:lang w:val="en-GB"/>
        </w:rPr>
        <w:sym w:font="Symbol" w:char="F03C"/>
      </w:r>
      <w:r w:rsidRPr="00A03EED">
        <w:rPr>
          <w:bCs/>
          <w:i/>
          <w:iCs/>
          <w:sz w:val="24"/>
          <w:szCs w:val="24"/>
          <w:lang w:val="en-GB"/>
        </w:rPr>
        <w:t>1/10); uncommon (</w:t>
      </w:r>
      <w:r w:rsidRPr="00A03EED">
        <w:rPr>
          <w:bCs/>
          <w:i/>
          <w:iCs/>
          <w:sz w:val="24"/>
          <w:szCs w:val="24"/>
          <w:lang w:val="en-GB"/>
        </w:rPr>
        <w:sym w:font="Symbol" w:char="F0B3"/>
      </w:r>
      <w:r w:rsidRPr="00A03EED">
        <w:rPr>
          <w:bCs/>
          <w:i/>
          <w:iCs/>
          <w:sz w:val="24"/>
          <w:szCs w:val="24"/>
          <w:lang w:val="en-GB"/>
        </w:rPr>
        <w:t xml:space="preserve">1/1,000 to </w:t>
      </w:r>
      <w:r w:rsidRPr="00A03EED">
        <w:rPr>
          <w:bCs/>
          <w:i/>
          <w:iCs/>
          <w:sz w:val="24"/>
          <w:szCs w:val="24"/>
          <w:lang w:val="en-GB"/>
        </w:rPr>
        <w:sym w:font="Symbol" w:char="F03C"/>
      </w:r>
      <w:r w:rsidRPr="00A03EED">
        <w:rPr>
          <w:bCs/>
          <w:i/>
          <w:iCs/>
          <w:sz w:val="24"/>
          <w:szCs w:val="24"/>
          <w:lang w:val="en-GB"/>
        </w:rPr>
        <w:t>1/100); rare (</w:t>
      </w:r>
      <w:r w:rsidRPr="00A03EED">
        <w:rPr>
          <w:bCs/>
          <w:i/>
          <w:iCs/>
          <w:sz w:val="24"/>
          <w:szCs w:val="24"/>
          <w:lang w:val="en-GB"/>
        </w:rPr>
        <w:sym w:font="Symbol" w:char="F0B3"/>
      </w:r>
      <w:r w:rsidRPr="00A03EED">
        <w:rPr>
          <w:bCs/>
          <w:i/>
          <w:iCs/>
          <w:sz w:val="24"/>
          <w:szCs w:val="24"/>
          <w:lang w:val="en-GB"/>
        </w:rPr>
        <w:t xml:space="preserve">1/10,000 and </w:t>
      </w:r>
      <w:r w:rsidRPr="00A03EED">
        <w:rPr>
          <w:bCs/>
          <w:i/>
          <w:iCs/>
          <w:sz w:val="24"/>
          <w:szCs w:val="24"/>
          <w:lang w:val="en-GB"/>
        </w:rPr>
        <w:sym w:font="Symbol" w:char="F03C"/>
      </w:r>
      <w:r w:rsidRPr="00A03EED">
        <w:rPr>
          <w:bCs/>
          <w:i/>
          <w:iCs/>
          <w:sz w:val="24"/>
          <w:szCs w:val="24"/>
          <w:lang w:val="en-GB"/>
        </w:rPr>
        <w:t>1/1,000); very rare (</w:t>
      </w:r>
      <w:r w:rsidRPr="00A03EED">
        <w:rPr>
          <w:bCs/>
          <w:i/>
          <w:iCs/>
          <w:sz w:val="24"/>
          <w:szCs w:val="24"/>
          <w:lang w:val="en-GB"/>
        </w:rPr>
        <w:sym w:font="Symbol" w:char="F03C"/>
      </w:r>
      <w:r w:rsidRPr="00A03EED">
        <w:rPr>
          <w:bCs/>
          <w:i/>
          <w:iCs/>
          <w:sz w:val="24"/>
          <w:szCs w:val="24"/>
          <w:lang w:val="en-GB"/>
        </w:rPr>
        <w:t>1/10,000).</w:t>
      </w:r>
    </w:p>
    <w:p w14:paraId="6AEE96E6" w14:textId="77777777" w:rsidR="00FF3ABF" w:rsidRPr="00A03EED" w:rsidRDefault="00FF3ABF" w:rsidP="00694C2B">
      <w:pPr>
        <w:ind w:left="851"/>
        <w:rPr>
          <w:bCs/>
          <w:i/>
          <w:iCs/>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645"/>
        <w:gridCol w:w="1687"/>
      </w:tblGrid>
      <w:tr w:rsidR="00FF3ABF" w:rsidRPr="00512C2F" w14:paraId="6574E21A" w14:textId="77777777" w:rsidTr="00512C2F">
        <w:trPr>
          <w:tblHeader/>
        </w:trPr>
        <w:tc>
          <w:tcPr>
            <w:tcW w:w="1712" w:type="pct"/>
            <w:tcBorders>
              <w:top w:val="single" w:sz="4" w:space="0" w:color="auto"/>
              <w:left w:val="single" w:sz="4" w:space="0" w:color="auto"/>
              <w:bottom w:val="single" w:sz="4" w:space="0" w:color="auto"/>
              <w:right w:val="single" w:sz="4" w:space="0" w:color="auto"/>
            </w:tcBorders>
            <w:hideMark/>
          </w:tcPr>
          <w:p w14:paraId="5E1FF36F" w14:textId="77777777" w:rsidR="00FF3ABF" w:rsidRPr="00512C2F" w:rsidRDefault="00FF3ABF" w:rsidP="00694C2B">
            <w:pPr>
              <w:rPr>
                <w:b/>
                <w:sz w:val="24"/>
                <w:szCs w:val="24"/>
                <w:lang w:val="en-GB"/>
              </w:rPr>
            </w:pPr>
            <w:r w:rsidRPr="00512C2F">
              <w:rPr>
                <w:b/>
                <w:sz w:val="24"/>
                <w:szCs w:val="24"/>
                <w:lang w:val="en-GB"/>
              </w:rPr>
              <w:t>System Organ Class</w:t>
            </w:r>
          </w:p>
        </w:tc>
        <w:tc>
          <w:tcPr>
            <w:tcW w:w="2412" w:type="pct"/>
            <w:tcBorders>
              <w:top w:val="single" w:sz="4" w:space="0" w:color="auto"/>
              <w:left w:val="single" w:sz="4" w:space="0" w:color="auto"/>
              <w:bottom w:val="single" w:sz="4" w:space="0" w:color="auto"/>
              <w:right w:val="single" w:sz="4" w:space="0" w:color="auto"/>
            </w:tcBorders>
            <w:hideMark/>
          </w:tcPr>
          <w:p w14:paraId="0ACAC929" w14:textId="77777777" w:rsidR="00FF3ABF" w:rsidRPr="00512C2F" w:rsidRDefault="00FF3ABF" w:rsidP="00694C2B">
            <w:pPr>
              <w:rPr>
                <w:b/>
                <w:sz w:val="24"/>
                <w:szCs w:val="24"/>
                <w:lang w:val="en-GB"/>
              </w:rPr>
            </w:pPr>
            <w:r w:rsidRPr="00512C2F">
              <w:rPr>
                <w:b/>
                <w:sz w:val="24"/>
                <w:szCs w:val="24"/>
                <w:lang w:val="en-GB"/>
              </w:rPr>
              <w:t>Adverse Reaction</w:t>
            </w:r>
          </w:p>
        </w:tc>
        <w:tc>
          <w:tcPr>
            <w:tcW w:w="876" w:type="pct"/>
            <w:tcBorders>
              <w:top w:val="single" w:sz="4" w:space="0" w:color="auto"/>
              <w:left w:val="single" w:sz="4" w:space="0" w:color="auto"/>
              <w:bottom w:val="single" w:sz="4" w:space="0" w:color="auto"/>
              <w:right w:val="single" w:sz="4" w:space="0" w:color="auto"/>
            </w:tcBorders>
            <w:hideMark/>
          </w:tcPr>
          <w:p w14:paraId="2093E996" w14:textId="77777777" w:rsidR="00FF3ABF" w:rsidRPr="00512C2F" w:rsidRDefault="00FF3ABF" w:rsidP="00694C2B">
            <w:pPr>
              <w:rPr>
                <w:b/>
                <w:sz w:val="24"/>
                <w:szCs w:val="24"/>
                <w:lang w:val="en-GB"/>
              </w:rPr>
            </w:pPr>
            <w:r w:rsidRPr="00512C2F">
              <w:rPr>
                <w:b/>
                <w:sz w:val="24"/>
                <w:szCs w:val="24"/>
                <w:lang w:val="en-GB"/>
              </w:rPr>
              <w:t>Frequency</w:t>
            </w:r>
          </w:p>
        </w:tc>
      </w:tr>
      <w:tr w:rsidR="00FF3ABF" w:rsidRPr="00A03EED" w14:paraId="4B8043B4" w14:textId="77777777" w:rsidTr="00512C2F">
        <w:trPr>
          <w:tblHeader/>
        </w:trPr>
        <w:tc>
          <w:tcPr>
            <w:tcW w:w="1712" w:type="pct"/>
            <w:tcBorders>
              <w:top w:val="single" w:sz="4" w:space="0" w:color="auto"/>
              <w:left w:val="single" w:sz="4" w:space="0" w:color="auto"/>
              <w:bottom w:val="single" w:sz="4" w:space="0" w:color="auto"/>
              <w:right w:val="single" w:sz="4" w:space="0" w:color="auto"/>
            </w:tcBorders>
            <w:hideMark/>
          </w:tcPr>
          <w:p w14:paraId="5012EBA4" w14:textId="77777777" w:rsidR="00FF3ABF" w:rsidRPr="00A03EED" w:rsidRDefault="00FF3ABF" w:rsidP="00694C2B">
            <w:pPr>
              <w:rPr>
                <w:sz w:val="24"/>
                <w:szCs w:val="24"/>
                <w:lang w:val="en-GB"/>
              </w:rPr>
            </w:pPr>
            <w:r w:rsidRPr="00A03EED">
              <w:rPr>
                <w:sz w:val="24"/>
                <w:szCs w:val="24"/>
                <w:lang w:val="en-GB"/>
              </w:rPr>
              <w:t>Infections &amp; Infestations</w:t>
            </w:r>
          </w:p>
        </w:tc>
        <w:tc>
          <w:tcPr>
            <w:tcW w:w="2412" w:type="pct"/>
            <w:tcBorders>
              <w:top w:val="single" w:sz="4" w:space="0" w:color="auto"/>
              <w:left w:val="single" w:sz="4" w:space="0" w:color="auto"/>
              <w:bottom w:val="single" w:sz="4" w:space="0" w:color="auto"/>
              <w:right w:val="single" w:sz="4" w:space="0" w:color="auto"/>
            </w:tcBorders>
            <w:hideMark/>
          </w:tcPr>
          <w:p w14:paraId="00E6D783" w14:textId="77777777" w:rsidR="00FF3ABF" w:rsidRPr="00A03EED" w:rsidRDefault="00FF3ABF" w:rsidP="00694C2B">
            <w:pPr>
              <w:rPr>
                <w:sz w:val="24"/>
                <w:szCs w:val="24"/>
                <w:lang w:val="en-GB"/>
              </w:rPr>
            </w:pPr>
            <w:r w:rsidRPr="00A03EED">
              <w:rPr>
                <w:sz w:val="24"/>
                <w:szCs w:val="24"/>
                <w:lang w:val="en-GB"/>
              </w:rPr>
              <w:t>Fungal infection, oral candidiasis</w:t>
            </w:r>
          </w:p>
        </w:tc>
        <w:tc>
          <w:tcPr>
            <w:tcW w:w="876" w:type="pct"/>
            <w:tcBorders>
              <w:top w:val="single" w:sz="4" w:space="0" w:color="auto"/>
              <w:left w:val="single" w:sz="4" w:space="0" w:color="auto"/>
              <w:bottom w:val="single" w:sz="4" w:space="0" w:color="auto"/>
              <w:right w:val="single" w:sz="4" w:space="0" w:color="auto"/>
            </w:tcBorders>
            <w:hideMark/>
          </w:tcPr>
          <w:p w14:paraId="32E66367" w14:textId="77777777" w:rsidR="00FF3ABF" w:rsidRPr="00A03EED" w:rsidRDefault="00FF3ABF" w:rsidP="00694C2B">
            <w:pPr>
              <w:rPr>
                <w:sz w:val="24"/>
                <w:szCs w:val="24"/>
                <w:lang w:val="en-GB"/>
              </w:rPr>
            </w:pPr>
            <w:r w:rsidRPr="00A03EED">
              <w:rPr>
                <w:sz w:val="24"/>
                <w:szCs w:val="24"/>
                <w:lang w:val="en-GB"/>
              </w:rPr>
              <w:t>Uncommon</w:t>
            </w:r>
          </w:p>
        </w:tc>
      </w:tr>
      <w:tr w:rsidR="00FF3ABF" w:rsidRPr="00A03EED" w14:paraId="6B28E7BB" w14:textId="77777777" w:rsidTr="00512C2F">
        <w:trPr>
          <w:tblHeader/>
        </w:trPr>
        <w:tc>
          <w:tcPr>
            <w:tcW w:w="1712" w:type="pct"/>
            <w:tcBorders>
              <w:top w:val="single" w:sz="4" w:space="0" w:color="auto"/>
              <w:left w:val="single" w:sz="4" w:space="0" w:color="auto"/>
              <w:bottom w:val="single" w:sz="4" w:space="0" w:color="auto"/>
              <w:right w:val="single" w:sz="4" w:space="0" w:color="auto"/>
            </w:tcBorders>
            <w:hideMark/>
          </w:tcPr>
          <w:p w14:paraId="12B23B34" w14:textId="77777777" w:rsidR="00FF3ABF" w:rsidRPr="00A03EED" w:rsidRDefault="00FF3ABF" w:rsidP="00694C2B">
            <w:pPr>
              <w:rPr>
                <w:sz w:val="24"/>
                <w:szCs w:val="24"/>
                <w:lang w:val="en-GB"/>
              </w:rPr>
            </w:pPr>
            <w:r w:rsidRPr="00A03EED">
              <w:rPr>
                <w:sz w:val="24"/>
                <w:szCs w:val="24"/>
                <w:lang w:val="en-GB"/>
              </w:rPr>
              <w:t>Nervous system disorders</w:t>
            </w:r>
          </w:p>
        </w:tc>
        <w:tc>
          <w:tcPr>
            <w:tcW w:w="2412" w:type="pct"/>
            <w:tcBorders>
              <w:top w:val="single" w:sz="4" w:space="0" w:color="auto"/>
              <w:left w:val="single" w:sz="4" w:space="0" w:color="auto"/>
              <w:bottom w:val="single" w:sz="4" w:space="0" w:color="auto"/>
              <w:right w:val="single" w:sz="4" w:space="0" w:color="auto"/>
            </w:tcBorders>
            <w:hideMark/>
          </w:tcPr>
          <w:p w14:paraId="5A95FDC6" w14:textId="77777777" w:rsidR="00FF3ABF" w:rsidRPr="00A03EED" w:rsidRDefault="00FF3ABF" w:rsidP="00694C2B">
            <w:pPr>
              <w:rPr>
                <w:sz w:val="24"/>
                <w:szCs w:val="24"/>
                <w:lang w:val="en-GB"/>
              </w:rPr>
            </w:pPr>
            <w:r w:rsidRPr="00A03EED">
              <w:rPr>
                <w:sz w:val="24"/>
                <w:szCs w:val="24"/>
                <w:lang w:val="en-GB"/>
              </w:rPr>
              <w:t>Headache</w:t>
            </w:r>
          </w:p>
        </w:tc>
        <w:tc>
          <w:tcPr>
            <w:tcW w:w="876" w:type="pct"/>
            <w:tcBorders>
              <w:top w:val="single" w:sz="4" w:space="0" w:color="auto"/>
              <w:left w:val="single" w:sz="4" w:space="0" w:color="auto"/>
              <w:bottom w:val="single" w:sz="4" w:space="0" w:color="auto"/>
              <w:right w:val="single" w:sz="4" w:space="0" w:color="auto"/>
            </w:tcBorders>
            <w:hideMark/>
          </w:tcPr>
          <w:p w14:paraId="4735847F" w14:textId="77777777" w:rsidR="00FF3ABF" w:rsidRPr="00A03EED" w:rsidRDefault="00FF3ABF" w:rsidP="00694C2B">
            <w:pPr>
              <w:rPr>
                <w:sz w:val="24"/>
                <w:szCs w:val="24"/>
                <w:lang w:val="en-GB"/>
              </w:rPr>
            </w:pPr>
            <w:r w:rsidRPr="00A03EED">
              <w:rPr>
                <w:sz w:val="24"/>
                <w:szCs w:val="24"/>
                <w:lang w:val="en-GB"/>
              </w:rPr>
              <w:t>Uncommon</w:t>
            </w:r>
          </w:p>
        </w:tc>
      </w:tr>
      <w:tr w:rsidR="00FF3ABF" w:rsidRPr="00A03EED" w14:paraId="48306224" w14:textId="77777777" w:rsidTr="00512C2F">
        <w:tc>
          <w:tcPr>
            <w:tcW w:w="1712" w:type="pct"/>
            <w:tcBorders>
              <w:top w:val="single" w:sz="4" w:space="0" w:color="auto"/>
              <w:left w:val="single" w:sz="4" w:space="0" w:color="auto"/>
              <w:bottom w:val="single" w:sz="4" w:space="0" w:color="auto"/>
              <w:right w:val="single" w:sz="4" w:space="0" w:color="auto"/>
            </w:tcBorders>
            <w:hideMark/>
          </w:tcPr>
          <w:p w14:paraId="1B4EEAD8" w14:textId="77777777" w:rsidR="00FF3ABF" w:rsidRPr="00A03EED" w:rsidRDefault="00FF3ABF" w:rsidP="00694C2B">
            <w:pPr>
              <w:rPr>
                <w:sz w:val="24"/>
                <w:szCs w:val="24"/>
                <w:lang w:val="en-GB"/>
              </w:rPr>
            </w:pPr>
            <w:r w:rsidRPr="00A03EED">
              <w:rPr>
                <w:sz w:val="24"/>
                <w:szCs w:val="24"/>
                <w:lang w:val="en-GB"/>
              </w:rPr>
              <w:t>Ear and labyrinth disorders</w:t>
            </w:r>
          </w:p>
        </w:tc>
        <w:tc>
          <w:tcPr>
            <w:tcW w:w="2412" w:type="pct"/>
            <w:tcBorders>
              <w:top w:val="single" w:sz="4" w:space="0" w:color="auto"/>
              <w:left w:val="single" w:sz="4" w:space="0" w:color="auto"/>
              <w:bottom w:val="single" w:sz="4" w:space="0" w:color="auto"/>
              <w:right w:val="single" w:sz="4" w:space="0" w:color="auto"/>
            </w:tcBorders>
            <w:hideMark/>
          </w:tcPr>
          <w:p w14:paraId="3D942853" w14:textId="77777777" w:rsidR="00FF3ABF" w:rsidRPr="00A03EED" w:rsidRDefault="00FF3ABF" w:rsidP="00694C2B">
            <w:pPr>
              <w:rPr>
                <w:sz w:val="24"/>
                <w:szCs w:val="24"/>
                <w:lang w:val="en-GB"/>
              </w:rPr>
            </w:pPr>
            <w:r w:rsidRPr="00A03EED">
              <w:rPr>
                <w:sz w:val="24"/>
                <w:szCs w:val="24"/>
                <w:lang w:val="en-GB"/>
              </w:rPr>
              <w:t xml:space="preserve">Vertigo, </w:t>
            </w:r>
            <w:proofErr w:type="spellStart"/>
            <w:r w:rsidRPr="00A03EED">
              <w:rPr>
                <w:sz w:val="24"/>
                <w:szCs w:val="24"/>
                <w:lang w:val="en-GB"/>
              </w:rPr>
              <w:t>hypoacusis</w:t>
            </w:r>
            <w:proofErr w:type="spellEnd"/>
            <w:r w:rsidRPr="00A03EED">
              <w:rPr>
                <w:sz w:val="24"/>
                <w:szCs w:val="24"/>
                <w:lang w:val="en-GB"/>
              </w:rPr>
              <w:t>, deafness neurosensory (see section 4.4)</w:t>
            </w:r>
          </w:p>
        </w:tc>
        <w:tc>
          <w:tcPr>
            <w:tcW w:w="876" w:type="pct"/>
            <w:tcBorders>
              <w:top w:val="single" w:sz="4" w:space="0" w:color="auto"/>
              <w:left w:val="single" w:sz="4" w:space="0" w:color="auto"/>
              <w:bottom w:val="single" w:sz="4" w:space="0" w:color="auto"/>
              <w:right w:val="single" w:sz="4" w:space="0" w:color="auto"/>
            </w:tcBorders>
            <w:hideMark/>
          </w:tcPr>
          <w:p w14:paraId="77DBD968" w14:textId="77777777" w:rsidR="00FF3ABF" w:rsidRPr="00A03EED" w:rsidRDefault="00FF3ABF" w:rsidP="00694C2B">
            <w:pPr>
              <w:rPr>
                <w:sz w:val="24"/>
                <w:szCs w:val="24"/>
                <w:lang w:val="en-GB"/>
              </w:rPr>
            </w:pPr>
            <w:r w:rsidRPr="00A03EED">
              <w:rPr>
                <w:sz w:val="24"/>
                <w:szCs w:val="24"/>
                <w:lang w:val="en-GB"/>
              </w:rPr>
              <w:t>Uncommon</w:t>
            </w:r>
          </w:p>
        </w:tc>
      </w:tr>
      <w:tr w:rsidR="00FF3ABF" w:rsidRPr="00A03EED" w14:paraId="7D902C18" w14:textId="77777777" w:rsidTr="00512C2F">
        <w:tc>
          <w:tcPr>
            <w:tcW w:w="1712" w:type="pct"/>
            <w:vMerge w:val="restart"/>
            <w:tcBorders>
              <w:top w:val="single" w:sz="4" w:space="0" w:color="auto"/>
              <w:left w:val="single" w:sz="4" w:space="0" w:color="auto"/>
              <w:bottom w:val="single" w:sz="4" w:space="0" w:color="auto"/>
              <w:right w:val="single" w:sz="4" w:space="0" w:color="auto"/>
            </w:tcBorders>
            <w:hideMark/>
          </w:tcPr>
          <w:p w14:paraId="0331E68F" w14:textId="77777777" w:rsidR="00FF3ABF" w:rsidRPr="00A03EED" w:rsidRDefault="00FF3ABF" w:rsidP="00694C2B">
            <w:pPr>
              <w:rPr>
                <w:sz w:val="24"/>
                <w:szCs w:val="24"/>
                <w:lang w:val="en-GB"/>
              </w:rPr>
            </w:pPr>
            <w:r w:rsidRPr="00A03EED">
              <w:rPr>
                <w:sz w:val="24"/>
                <w:szCs w:val="24"/>
                <w:lang w:val="en-GB"/>
              </w:rPr>
              <w:t>Respiratory, thoracic and mediastinal disorders</w:t>
            </w:r>
          </w:p>
        </w:tc>
        <w:tc>
          <w:tcPr>
            <w:tcW w:w="2412" w:type="pct"/>
            <w:tcBorders>
              <w:top w:val="single" w:sz="4" w:space="0" w:color="auto"/>
              <w:left w:val="single" w:sz="4" w:space="0" w:color="auto"/>
              <w:bottom w:val="single" w:sz="4" w:space="0" w:color="auto"/>
              <w:right w:val="single" w:sz="4" w:space="0" w:color="auto"/>
            </w:tcBorders>
            <w:hideMark/>
          </w:tcPr>
          <w:p w14:paraId="2C66A982" w14:textId="77777777" w:rsidR="00FF3ABF" w:rsidRPr="00A03EED" w:rsidRDefault="00FF3ABF" w:rsidP="00694C2B">
            <w:pPr>
              <w:rPr>
                <w:sz w:val="24"/>
                <w:szCs w:val="24"/>
                <w:lang w:val="en-GB"/>
              </w:rPr>
            </w:pPr>
            <w:r w:rsidRPr="00A03EED">
              <w:rPr>
                <w:sz w:val="24"/>
                <w:szCs w:val="24"/>
                <w:lang w:val="en-GB"/>
              </w:rPr>
              <w:t>Cough, dysphonia</w:t>
            </w:r>
          </w:p>
        </w:tc>
        <w:tc>
          <w:tcPr>
            <w:tcW w:w="876" w:type="pct"/>
            <w:tcBorders>
              <w:top w:val="single" w:sz="4" w:space="0" w:color="auto"/>
              <w:left w:val="single" w:sz="4" w:space="0" w:color="auto"/>
              <w:bottom w:val="single" w:sz="4" w:space="0" w:color="auto"/>
              <w:right w:val="single" w:sz="4" w:space="0" w:color="auto"/>
            </w:tcBorders>
            <w:hideMark/>
          </w:tcPr>
          <w:p w14:paraId="7981A47C" w14:textId="77777777" w:rsidR="00FF3ABF" w:rsidRPr="00A03EED" w:rsidRDefault="00FF3ABF" w:rsidP="00694C2B">
            <w:pPr>
              <w:rPr>
                <w:sz w:val="24"/>
                <w:szCs w:val="24"/>
                <w:lang w:val="en-GB"/>
              </w:rPr>
            </w:pPr>
            <w:r w:rsidRPr="00A03EED">
              <w:rPr>
                <w:sz w:val="24"/>
                <w:szCs w:val="24"/>
                <w:lang w:val="en-GB"/>
              </w:rPr>
              <w:t>Common</w:t>
            </w:r>
          </w:p>
        </w:tc>
      </w:tr>
      <w:tr w:rsidR="00FF3ABF" w:rsidRPr="00A03EED" w14:paraId="59116E10" w14:textId="77777777" w:rsidTr="00512C2F">
        <w:tc>
          <w:tcPr>
            <w:tcW w:w="1712" w:type="pct"/>
            <w:vMerge/>
            <w:tcBorders>
              <w:top w:val="single" w:sz="4" w:space="0" w:color="auto"/>
              <w:left w:val="single" w:sz="4" w:space="0" w:color="auto"/>
              <w:bottom w:val="single" w:sz="4" w:space="0" w:color="auto"/>
              <w:right w:val="single" w:sz="4" w:space="0" w:color="auto"/>
            </w:tcBorders>
            <w:vAlign w:val="center"/>
            <w:hideMark/>
          </w:tcPr>
          <w:p w14:paraId="1EF88916" w14:textId="77777777" w:rsidR="00FF3ABF" w:rsidRPr="00A03EED" w:rsidRDefault="00FF3ABF" w:rsidP="00694C2B">
            <w:pPr>
              <w:rPr>
                <w:sz w:val="24"/>
                <w:szCs w:val="24"/>
                <w:lang w:val="en-GB" w:eastAsia="it-IT"/>
              </w:rPr>
            </w:pPr>
          </w:p>
        </w:tc>
        <w:tc>
          <w:tcPr>
            <w:tcW w:w="2412" w:type="pct"/>
            <w:tcBorders>
              <w:top w:val="single" w:sz="4" w:space="0" w:color="auto"/>
              <w:left w:val="single" w:sz="4" w:space="0" w:color="auto"/>
              <w:bottom w:val="single" w:sz="4" w:space="0" w:color="auto"/>
              <w:right w:val="single" w:sz="4" w:space="0" w:color="auto"/>
            </w:tcBorders>
            <w:hideMark/>
          </w:tcPr>
          <w:p w14:paraId="3FAFC7EA" w14:textId="77777777" w:rsidR="00FF3ABF" w:rsidRPr="00A03EED" w:rsidRDefault="00FF3ABF" w:rsidP="00694C2B">
            <w:pPr>
              <w:rPr>
                <w:sz w:val="24"/>
                <w:szCs w:val="24"/>
                <w:lang w:val="en-GB"/>
              </w:rPr>
            </w:pPr>
            <w:r w:rsidRPr="00A03EED">
              <w:rPr>
                <w:sz w:val="24"/>
                <w:szCs w:val="24"/>
                <w:lang w:val="en-GB"/>
              </w:rPr>
              <w:t>Forced expiratory volume decreased, dyspnoea, rales, haemoptysis, oropharyngeal pain, productive cough</w:t>
            </w:r>
          </w:p>
        </w:tc>
        <w:tc>
          <w:tcPr>
            <w:tcW w:w="876" w:type="pct"/>
            <w:tcBorders>
              <w:top w:val="single" w:sz="4" w:space="0" w:color="auto"/>
              <w:left w:val="single" w:sz="4" w:space="0" w:color="auto"/>
              <w:bottom w:val="single" w:sz="4" w:space="0" w:color="auto"/>
              <w:right w:val="single" w:sz="4" w:space="0" w:color="auto"/>
            </w:tcBorders>
            <w:hideMark/>
          </w:tcPr>
          <w:p w14:paraId="55953B51" w14:textId="77777777" w:rsidR="00FF3ABF" w:rsidRPr="00A03EED" w:rsidRDefault="00FF3ABF" w:rsidP="00694C2B">
            <w:pPr>
              <w:rPr>
                <w:sz w:val="24"/>
                <w:szCs w:val="24"/>
                <w:lang w:val="en-GB"/>
              </w:rPr>
            </w:pPr>
            <w:r w:rsidRPr="00A03EED">
              <w:rPr>
                <w:sz w:val="24"/>
                <w:szCs w:val="24"/>
                <w:lang w:val="en-GB"/>
              </w:rPr>
              <w:t>Uncommon</w:t>
            </w:r>
          </w:p>
        </w:tc>
      </w:tr>
      <w:tr w:rsidR="00FF3ABF" w:rsidRPr="00A03EED" w14:paraId="03B13F13" w14:textId="77777777" w:rsidTr="00512C2F">
        <w:trPr>
          <w:trHeight w:val="828"/>
        </w:trPr>
        <w:tc>
          <w:tcPr>
            <w:tcW w:w="1712" w:type="pct"/>
            <w:tcBorders>
              <w:top w:val="single" w:sz="4" w:space="0" w:color="auto"/>
              <w:left w:val="single" w:sz="4" w:space="0" w:color="auto"/>
              <w:bottom w:val="single" w:sz="4" w:space="0" w:color="auto"/>
              <w:right w:val="single" w:sz="4" w:space="0" w:color="auto"/>
            </w:tcBorders>
            <w:hideMark/>
          </w:tcPr>
          <w:p w14:paraId="0CB83B46" w14:textId="77777777" w:rsidR="00FF3ABF" w:rsidRPr="00A03EED" w:rsidRDefault="00FF3ABF" w:rsidP="00694C2B">
            <w:pPr>
              <w:rPr>
                <w:sz w:val="24"/>
                <w:szCs w:val="24"/>
                <w:lang w:val="en-GB"/>
              </w:rPr>
            </w:pPr>
            <w:r w:rsidRPr="00A03EED">
              <w:rPr>
                <w:sz w:val="24"/>
                <w:szCs w:val="24"/>
                <w:lang w:val="en-GB"/>
              </w:rPr>
              <w:t>Gastrointestinal disorders</w:t>
            </w:r>
          </w:p>
        </w:tc>
        <w:tc>
          <w:tcPr>
            <w:tcW w:w="2412" w:type="pct"/>
            <w:tcBorders>
              <w:top w:val="single" w:sz="4" w:space="0" w:color="auto"/>
              <w:left w:val="single" w:sz="4" w:space="0" w:color="auto"/>
              <w:bottom w:val="single" w:sz="4" w:space="0" w:color="auto"/>
              <w:right w:val="single" w:sz="4" w:space="0" w:color="auto"/>
            </w:tcBorders>
            <w:hideMark/>
          </w:tcPr>
          <w:p w14:paraId="12C6AFA5" w14:textId="77777777" w:rsidR="00FF3ABF" w:rsidRPr="00A03EED" w:rsidRDefault="00FF3ABF" w:rsidP="00694C2B">
            <w:pPr>
              <w:rPr>
                <w:strike/>
                <w:sz w:val="24"/>
                <w:szCs w:val="24"/>
                <w:lang w:val="en-GB"/>
              </w:rPr>
            </w:pPr>
            <w:r w:rsidRPr="00A03EED">
              <w:rPr>
                <w:sz w:val="24"/>
                <w:szCs w:val="24"/>
                <w:lang w:val="en-GB"/>
              </w:rPr>
              <w:t>Salivary hypersecretion, glossitis, abdominal pain upper, nausea</w:t>
            </w:r>
          </w:p>
        </w:tc>
        <w:tc>
          <w:tcPr>
            <w:tcW w:w="876" w:type="pct"/>
            <w:tcBorders>
              <w:top w:val="single" w:sz="4" w:space="0" w:color="auto"/>
              <w:left w:val="single" w:sz="4" w:space="0" w:color="auto"/>
              <w:bottom w:val="single" w:sz="4" w:space="0" w:color="auto"/>
              <w:right w:val="single" w:sz="4" w:space="0" w:color="auto"/>
            </w:tcBorders>
            <w:hideMark/>
          </w:tcPr>
          <w:p w14:paraId="6B4CFDCB" w14:textId="77777777" w:rsidR="00FF3ABF" w:rsidRPr="00A03EED" w:rsidRDefault="00FF3ABF" w:rsidP="00694C2B">
            <w:pPr>
              <w:rPr>
                <w:strike/>
                <w:sz w:val="24"/>
                <w:szCs w:val="24"/>
                <w:lang w:val="en-GB"/>
              </w:rPr>
            </w:pPr>
            <w:r w:rsidRPr="00A03EED">
              <w:rPr>
                <w:sz w:val="24"/>
                <w:szCs w:val="24"/>
                <w:lang w:val="en-GB"/>
              </w:rPr>
              <w:t>Uncommon</w:t>
            </w:r>
          </w:p>
        </w:tc>
      </w:tr>
      <w:tr w:rsidR="00FF3ABF" w:rsidRPr="00A03EED" w14:paraId="50FF169D" w14:textId="77777777" w:rsidTr="00512C2F">
        <w:tc>
          <w:tcPr>
            <w:tcW w:w="1712" w:type="pct"/>
            <w:tcBorders>
              <w:top w:val="single" w:sz="4" w:space="0" w:color="auto"/>
              <w:left w:val="single" w:sz="4" w:space="0" w:color="auto"/>
              <w:bottom w:val="single" w:sz="4" w:space="0" w:color="auto"/>
              <w:right w:val="single" w:sz="4" w:space="0" w:color="auto"/>
            </w:tcBorders>
            <w:hideMark/>
          </w:tcPr>
          <w:p w14:paraId="41CD65CA" w14:textId="77777777" w:rsidR="00FF3ABF" w:rsidRPr="00A03EED" w:rsidRDefault="00FF3ABF" w:rsidP="00694C2B">
            <w:pPr>
              <w:rPr>
                <w:strike/>
                <w:sz w:val="24"/>
                <w:szCs w:val="24"/>
                <w:lang w:val="en-GB"/>
              </w:rPr>
            </w:pPr>
            <w:r w:rsidRPr="00A03EED">
              <w:rPr>
                <w:sz w:val="24"/>
                <w:szCs w:val="24"/>
                <w:lang w:val="en-GB"/>
              </w:rPr>
              <w:t>Skin and subcutaneous tissue disorders</w:t>
            </w:r>
          </w:p>
        </w:tc>
        <w:tc>
          <w:tcPr>
            <w:tcW w:w="2412" w:type="pct"/>
            <w:tcBorders>
              <w:top w:val="single" w:sz="4" w:space="0" w:color="auto"/>
              <w:left w:val="single" w:sz="4" w:space="0" w:color="auto"/>
              <w:bottom w:val="single" w:sz="4" w:space="0" w:color="auto"/>
              <w:right w:val="single" w:sz="4" w:space="0" w:color="auto"/>
            </w:tcBorders>
            <w:hideMark/>
          </w:tcPr>
          <w:p w14:paraId="7FC6BE76" w14:textId="77777777" w:rsidR="00FF3ABF" w:rsidRPr="00A03EED" w:rsidRDefault="00FF3ABF" w:rsidP="00694C2B">
            <w:pPr>
              <w:rPr>
                <w:sz w:val="24"/>
                <w:szCs w:val="24"/>
                <w:lang w:val="en-GB"/>
              </w:rPr>
            </w:pPr>
            <w:r w:rsidRPr="00A03EED">
              <w:rPr>
                <w:sz w:val="24"/>
                <w:szCs w:val="24"/>
                <w:lang w:val="en-GB"/>
              </w:rPr>
              <w:t>Rash</w:t>
            </w:r>
          </w:p>
        </w:tc>
        <w:tc>
          <w:tcPr>
            <w:tcW w:w="876" w:type="pct"/>
            <w:tcBorders>
              <w:top w:val="single" w:sz="4" w:space="0" w:color="auto"/>
              <w:left w:val="single" w:sz="4" w:space="0" w:color="auto"/>
              <w:bottom w:val="single" w:sz="4" w:space="0" w:color="auto"/>
              <w:right w:val="single" w:sz="4" w:space="0" w:color="auto"/>
            </w:tcBorders>
            <w:hideMark/>
          </w:tcPr>
          <w:p w14:paraId="0685AB08" w14:textId="77777777" w:rsidR="00FF3ABF" w:rsidRPr="00A03EED" w:rsidRDefault="00FF3ABF" w:rsidP="00694C2B">
            <w:pPr>
              <w:rPr>
                <w:sz w:val="24"/>
                <w:szCs w:val="24"/>
                <w:lang w:val="en-GB"/>
              </w:rPr>
            </w:pPr>
            <w:r w:rsidRPr="00A03EED">
              <w:rPr>
                <w:sz w:val="24"/>
                <w:szCs w:val="24"/>
                <w:lang w:val="en-GB"/>
              </w:rPr>
              <w:t>Uncommon</w:t>
            </w:r>
          </w:p>
        </w:tc>
      </w:tr>
      <w:tr w:rsidR="00FF3ABF" w:rsidRPr="00A03EED" w14:paraId="5D73A093" w14:textId="77777777" w:rsidTr="00512C2F">
        <w:tc>
          <w:tcPr>
            <w:tcW w:w="1712" w:type="pct"/>
            <w:tcBorders>
              <w:top w:val="single" w:sz="4" w:space="0" w:color="auto"/>
              <w:left w:val="single" w:sz="4" w:space="0" w:color="auto"/>
              <w:bottom w:val="single" w:sz="4" w:space="0" w:color="auto"/>
              <w:right w:val="single" w:sz="4" w:space="0" w:color="auto"/>
            </w:tcBorders>
            <w:hideMark/>
          </w:tcPr>
          <w:p w14:paraId="65137487" w14:textId="77777777" w:rsidR="00FF3ABF" w:rsidRPr="00A03EED" w:rsidRDefault="00FF3ABF" w:rsidP="00694C2B">
            <w:pPr>
              <w:rPr>
                <w:sz w:val="24"/>
                <w:szCs w:val="24"/>
                <w:lang w:val="en-GB"/>
              </w:rPr>
            </w:pPr>
            <w:r w:rsidRPr="00A03EED">
              <w:rPr>
                <w:sz w:val="24"/>
                <w:szCs w:val="24"/>
                <w:lang w:val="en-GB"/>
              </w:rPr>
              <w:t>General disorders and administration site conditions</w:t>
            </w:r>
          </w:p>
        </w:tc>
        <w:tc>
          <w:tcPr>
            <w:tcW w:w="2412" w:type="pct"/>
            <w:tcBorders>
              <w:top w:val="single" w:sz="4" w:space="0" w:color="auto"/>
              <w:left w:val="single" w:sz="4" w:space="0" w:color="auto"/>
              <w:bottom w:val="single" w:sz="4" w:space="0" w:color="auto"/>
              <w:right w:val="single" w:sz="4" w:space="0" w:color="auto"/>
            </w:tcBorders>
            <w:hideMark/>
          </w:tcPr>
          <w:p w14:paraId="366A43AC" w14:textId="77777777" w:rsidR="00FF3ABF" w:rsidRPr="00A03EED" w:rsidRDefault="00FF3ABF" w:rsidP="00694C2B">
            <w:pPr>
              <w:rPr>
                <w:sz w:val="24"/>
                <w:szCs w:val="24"/>
                <w:lang w:val="en-GB"/>
              </w:rPr>
            </w:pPr>
            <w:r w:rsidRPr="00A03EED">
              <w:rPr>
                <w:sz w:val="24"/>
                <w:szCs w:val="24"/>
                <w:lang w:val="en-GB"/>
              </w:rPr>
              <w:t>Asthenia, chest discomfort, mucosal dryness</w:t>
            </w:r>
          </w:p>
        </w:tc>
        <w:tc>
          <w:tcPr>
            <w:tcW w:w="876" w:type="pct"/>
            <w:tcBorders>
              <w:top w:val="single" w:sz="4" w:space="0" w:color="auto"/>
              <w:left w:val="single" w:sz="4" w:space="0" w:color="auto"/>
              <w:bottom w:val="single" w:sz="4" w:space="0" w:color="auto"/>
              <w:right w:val="single" w:sz="4" w:space="0" w:color="auto"/>
            </w:tcBorders>
            <w:hideMark/>
          </w:tcPr>
          <w:p w14:paraId="25B2F527" w14:textId="77777777" w:rsidR="00FF3ABF" w:rsidRPr="00A03EED" w:rsidRDefault="00FF3ABF" w:rsidP="00694C2B">
            <w:pPr>
              <w:rPr>
                <w:sz w:val="24"/>
                <w:szCs w:val="24"/>
                <w:lang w:val="en-GB"/>
              </w:rPr>
            </w:pPr>
            <w:r w:rsidRPr="00A03EED">
              <w:rPr>
                <w:sz w:val="24"/>
                <w:szCs w:val="24"/>
                <w:lang w:val="en-GB"/>
              </w:rPr>
              <w:t>Uncommon</w:t>
            </w:r>
          </w:p>
        </w:tc>
      </w:tr>
      <w:tr w:rsidR="00FF3ABF" w:rsidRPr="00A03EED" w14:paraId="2B804C8F" w14:textId="77777777" w:rsidTr="00512C2F">
        <w:tc>
          <w:tcPr>
            <w:tcW w:w="1712" w:type="pct"/>
            <w:tcBorders>
              <w:top w:val="single" w:sz="4" w:space="0" w:color="auto"/>
              <w:left w:val="single" w:sz="4" w:space="0" w:color="auto"/>
              <w:bottom w:val="single" w:sz="4" w:space="0" w:color="auto"/>
              <w:right w:val="single" w:sz="4" w:space="0" w:color="auto"/>
            </w:tcBorders>
            <w:hideMark/>
          </w:tcPr>
          <w:p w14:paraId="37E40537" w14:textId="77777777" w:rsidR="00FF3ABF" w:rsidRPr="00A03EED" w:rsidRDefault="00FF3ABF" w:rsidP="00694C2B">
            <w:pPr>
              <w:rPr>
                <w:sz w:val="24"/>
                <w:szCs w:val="24"/>
                <w:lang w:val="en-GB"/>
              </w:rPr>
            </w:pPr>
            <w:r w:rsidRPr="00A03EED">
              <w:rPr>
                <w:sz w:val="24"/>
                <w:szCs w:val="24"/>
                <w:lang w:val="en-GB"/>
              </w:rPr>
              <w:t>Investigations</w:t>
            </w:r>
          </w:p>
        </w:tc>
        <w:tc>
          <w:tcPr>
            <w:tcW w:w="2412" w:type="pct"/>
            <w:tcBorders>
              <w:top w:val="single" w:sz="4" w:space="0" w:color="auto"/>
              <w:left w:val="single" w:sz="4" w:space="0" w:color="auto"/>
              <w:bottom w:val="single" w:sz="4" w:space="0" w:color="auto"/>
              <w:right w:val="single" w:sz="4" w:space="0" w:color="auto"/>
            </w:tcBorders>
            <w:hideMark/>
          </w:tcPr>
          <w:p w14:paraId="41A8D257" w14:textId="77777777" w:rsidR="00FF3ABF" w:rsidRPr="00A03EED" w:rsidRDefault="00FF3ABF" w:rsidP="00694C2B">
            <w:pPr>
              <w:rPr>
                <w:sz w:val="24"/>
                <w:szCs w:val="24"/>
                <w:lang w:val="en-GB"/>
              </w:rPr>
            </w:pPr>
            <w:r w:rsidRPr="00A03EED">
              <w:rPr>
                <w:sz w:val="24"/>
                <w:szCs w:val="24"/>
                <w:lang w:val="en-GB"/>
              </w:rPr>
              <w:t>Transaminases increased</w:t>
            </w:r>
          </w:p>
        </w:tc>
        <w:tc>
          <w:tcPr>
            <w:tcW w:w="876" w:type="pct"/>
            <w:tcBorders>
              <w:top w:val="single" w:sz="4" w:space="0" w:color="auto"/>
              <w:left w:val="single" w:sz="4" w:space="0" w:color="auto"/>
              <w:bottom w:val="single" w:sz="4" w:space="0" w:color="auto"/>
              <w:right w:val="single" w:sz="4" w:space="0" w:color="auto"/>
            </w:tcBorders>
            <w:hideMark/>
          </w:tcPr>
          <w:p w14:paraId="049A38C3" w14:textId="77777777" w:rsidR="00FF3ABF" w:rsidRPr="00A03EED" w:rsidRDefault="00FF3ABF" w:rsidP="00694C2B">
            <w:pPr>
              <w:rPr>
                <w:sz w:val="24"/>
                <w:szCs w:val="24"/>
                <w:lang w:val="en-GB"/>
              </w:rPr>
            </w:pPr>
            <w:r w:rsidRPr="00A03EED">
              <w:rPr>
                <w:sz w:val="24"/>
                <w:szCs w:val="24"/>
                <w:lang w:val="en-GB"/>
              </w:rPr>
              <w:t>Uncommon</w:t>
            </w:r>
          </w:p>
        </w:tc>
      </w:tr>
    </w:tbl>
    <w:p w14:paraId="7405DADE" w14:textId="77777777" w:rsidR="00FF3ABF" w:rsidRPr="00A03EED" w:rsidRDefault="00FF3ABF" w:rsidP="00694C2B">
      <w:pPr>
        <w:ind w:left="851"/>
        <w:rPr>
          <w:sz w:val="24"/>
          <w:szCs w:val="24"/>
          <w:lang w:val="en-GB" w:eastAsia="it-IT"/>
        </w:rPr>
      </w:pPr>
    </w:p>
    <w:p w14:paraId="1FAA7D72" w14:textId="77777777" w:rsidR="00FF3ABF" w:rsidRPr="00A03EED" w:rsidRDefault="00FF3ABF" w:rsidP="00694C2B">
      <w:pPr>
        <w:ind w:left="851"/>
        <w:rPr>
          <w:sz w:val="24"/>
          <w:szCs w:val="24"/>
          <w:lang w:val="en-GB" w:eastAsia="it-IT"/>
        </w:rPr>
      </w:pPr>
      <w:r w:rsidRPr="00A03EED">
        <w:rPr>
          <w:sz w:val="24"/>
          <w:szCs w:val="24"/>
          <w:lang w:val="en-US" w:eastAsia="it-IT"/>
        </w:rPr>
        <w:t xml:space="preserve">In controlled clinical trials with other </w:t>
      </w:r>
      <w:proofErr w:type="spellStart"/>
      <w:r w:rsidRPr="00A03EED">
        <w:rPr>
          <w:sz w:val="24"/>
          <w:szCs w:val="24"/>
          <w:lang w:val="en-US" w:eastAsia="it-IT"/>
        </w:rPr>
        <w:t>nebulised</w:t>
      </w:r>
      <w:proofErr w:type="spellEnd"/>
      <w:r w:rsidRPr="00A03EED">
        <w:rPr>
          <w:sz w:val="24"/>
          <w:szCs w:val="24"/>
          <w:lang w:val="en-US" w:eastAsia="it-IT"/>
        </w:rPr>
        <w:t xml:space="preserve"> tobramycin containing medicines, dysphonia and tinnitus were the only undesirable effects reported in significantly more patients than those treated with tobramycin; (13% tobramycin vs. 7% control) and (3% tobramycin vs. 0% control) respectively. These episodes of tinnitus were transient and resolved without discontinuation of tobramycin therapy, and were not associated with permanent loss of hearing on audiogram testing. The risk of tinnitus did not increase with repeated cycles of exposure to tobramycin.</w:t>
      </w:r>
    </w:p>
    <w:p w14:paraId="6A9B4F8F" w14:textId="77777777" w:rsidR="00FF3ABF" w:rsidRPr="00A03EED" w:rsidRDefault="00FF3ABF" w:rsidP="00694C2B">
      <w:pPr>
        <w:ind w:left="851"/>
        <w:rPr>
          <w:sz w:val="24"/>
          <w:szCs w:val="24"/>
          <w:lang w:val="en-US" w:eastAsia="it-IT"/>
        </w:rPr>
      </w:pPr>
    </w:p>
    <w:p w14:paraId="63481649" w14:textId="77777777" w:rsidR="00FF3ABF" w:rsidRPr="00A03EED" w:rsidRDefault="00FF3ABF" w:rsidP="00694C2B">
      <w:pPr>
        <w:ind w:left="851"/>
        <w:rPr>
          <w:sz w:val="24"/>
          <w:szCs w:val="24"/>
          <w:lang w:val="en-US" w:eastAsia="it-IT"/>
        </w:rPr>
      </w:pPr>
      <w:r w:rsidRPr="00A03EED">
        <w:rPr>
          <w:sz w:val="24"/>
          <w:szCs w:val="24"/>
          <w:lang w:val="en-US" w:eastAsia="it-IT"/>
        </w:rPr>
        <w:t xml:space="preserve">Additional undesirable effects, some of which are common sequelae of the underlying disease, but where a causal relationship to tobramycin could not be excluded were: sputum </w:t>
      </w:r>
      <w:proofErr w:type="spellStart"/>
      <w:r w:rsidRPr="00A03EED">
        <w:rPr>
          <w:sz w:val="24"/>
          <w:szCs w:val="24"/>
          <w:lang w:val="en-US" w:eastAsia="it-IT"/>
        </w:rPr>
        <w:t>discoloured</w:t>
      </w:r>
      <w:proofErr w:type="spellEnd"/>
      <w:r w:rsidRPr="00A03EED">
        <w:rPr>
          <w:sz w:val="24"/>
          <w:szCs w:val="24"/>
          <w:lang w:val="en-US" w:eastAsia="it-IT"/>
        </w:rPr>
        <w:t xml:space="preserve">, respiratory tract infection, myalgia, nasal polyps and otitis media. </w:t>
      </w:r>
    </w:p>
    <w:p w14:paraId="5F8BD997" w14:textId="77777777" w:rsidR="00FF3ABF" w:rsidRPr="00A03EED" w:rsidRDefault="00FF3ABF" w:rsidP="00694C2B">
      <w:pPr>
        <w:ind w:left="851"/>
        <w:rPr>
          <w:sz w:val="24"/>
          <w:szCs w:val="24"/>
          <w:lang w:val="en-GB" w:eastAsia="it-IT"/>
        </w:rPr>
      </w:pPr>
    </w:p>
    <w:p w14:paraId="1327655A" w14:textId="5C7BAD9D" w:rsidR="00FF3ABF" w:rsidRDefault="00FF3ABF" w:rsidP="00694C2B">
      <w:pPr>
        <w:ind w:left="851"/>
        <w:rPr>
          <w:sz w:val="24"/>
          <w:szCs w:val="24"/>
          <w:lang w:val="en-GB"/>
        </w:rPr>
      </w:pPr>
      <w:r w:rsidRPr="00A03EED">
        <w:rPr>
          <w:sz w:val="24"/>
          <w:szCs w:val="24"/>
          <w:lang w:val="en-GB"/>
        </w:rPr>
        <w:lastRenderedPageBreak/>
        <w:t>In addition, cumulative post-marketing data with products containing nebulised tobramycin referred the following adverse reactions (same frequency classification reported above):</w:t>
      </w:r>
    </w:p>
    <w:p w14:paraId="0FC050CE" w14:textId="77777777" w:rsidR="00512C2F" w:rsidRPr="00A03EED" w:rsidRDefault="00512C2F" w:rsidP="00694C2B">
      <w:pPr>
        <w:ind w:left="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645"/>
        <w:gridCol w:w="1687"/>
      </w:tblGrid>
      <w:tr w:rsidR="00FF3ABF" w:rsidRPr="00512C2F" w14:paraId="0F501EA9" w14:textId="77777777" w:rsidTr="00512C2F">
        <w:trPr>
          <w:tblHeader/>
        </w:trPr>
        <w:tc>
          <w:tcPr>
            <w:tcW w:w="1712" w:type="pct"/>
            <w:tcBorders>
              <w:top w:val="single" w:sz="4" w:space="0" w:color="auto"/>
              <w:left w:val="single" w:sz="4" w:space="0" w:color="auto"/>
              <w:bottom w:val="single" w:sz="4" w:space="0" w:color="auto"/>
              <w:right w:val="single" w:sz="4" w:space="0" w:color="auto"/>
            </w:tcBorders>
            <w:hideMark/>
          </w:tcPr>
          <w:p w14:paraId="6967EBF5" w14:textId="77777777" w:rsidR="00FF3ABF" w:rsidRPr="00512C2F" w:rsidRDefault="00FF3ABF" w:rsidP="00694C2B">
            <w:pPr>
              <w:rPr>
                <w:b/>
                <w:sz w:val="24"/>
                <w:szCs w:val="24"/>
                <w:lang w:val="en-GB"/>
              </w:rPr>
            </w:pPr>
            <w:r w:rsidRPr="00512C2F">
              <w:rPr>
                <w:b/>
                <w:sz w:val="24"/>
                <w:szCs w:val="24"/>
                <w:lang w:val="en-GB"/>
              </w:rPr>
              <w:t>System Organ Class</w:t>
            </w:r>
          </w:p>
        </w:tc>
        <w:tc>
          <w:tcPr>
            <w:tcW w:w="2412" w:type="pct"/>
            <w:tcBorders>
              <w:top w:val="single" w:sz="4" w:space="0" w:color="auto"/>
              <w:left w:val="single" w:sz="4" w:space="0" w:color="auto"/>
              <w:bottom w:val="single" w:sz="4" w:space="0" w:color="auto"/>
              <w:right w:val="single" w:sz="4" w:space="0" w:color="auto"/>
            </w:tcBorders>
            <w:hideMark/>
          </w:tcPr>
          <w:p w14:paraId="52D41408" w14:textId="77777777" w:rsidR="00FF3ABF" w:rsidRPr="00512C2F" w:rsidRDefault="00FF3ABF" w:rsidP="00694C2B">
            <w:pPr>
              <w:rPr>
                <w:b/>
                <w:sz w:val="24"/>
                <w:szCs w:val="24"/>
                <w:lang w:val="en-GB"/>
              </w:rPr>
            </w:pPr>
            <w:r w:rsidRPr="00512C2F">
              <w:rPr>
                <w:b/>
                <w:sz w:val="24"/>
                <w:szCs w:val="24"/>
                <w:lang w:val="en-GB"/>
              </w:rPr>
              <w:t>Adverse Reaction</w:t>
            </w:r>
          </w:p>
        </w:tc>
        <w:tc>
          <w:tcPr>
            <w:tcW w:w="876" w:type="pct"/>
            <w:tcBorders>
              <w:top w:val="single" w:sz="4" w:space="0" w:color="auto"/>
              <w:left w:val="single" w:sz="4" w:space="0" w:color="auto"/>
              <w:bottom w:val="single" w:sz="4" w:space="0" w:color="auto"/>
              <w:right w:val="single" w:sz="4" w:space="0" w:color="auto"/>
            </w:tcBorders>
            <w:hideMark/>
          </w:tcPr>
          <w:p w14:paraId="2D1164AD" w14:textId="77777777" w:rsidR="00FF3ABF" w:rsidRPr="00512C2F" w:rsidRDefault="00FF3ABF" w:rsidP="00694C2B">
            <w:pPr>
              <w:rPr>
                <w:b/>
                <w:sz w:val="24"/>
                <w:szCs w:val="24"/>
                <w:lang w:val="en-GB"/>
              </w:rPr>
            </w:pPr>
            <w:r w:rsidRPr="00512C2F">
              <w:rPr>
                <w:b/>
                <w:sz w:val="24"/>
                <w:szCs w:val="24"/>
                <w:lang w:val="en-GB"/>
              </w:rPr>
              <w:t>Frequency</w:t>
            </w:r>
          </w:p>
        </w:tc>
      </w:tr>
      <w:tr w:rsidR="00FF3ABF" w:rsidRPr="00A03EED" w14:paraId="68C37EF1" w14:textId="77777777" w:rsidTr="00512C2F">
        <w:tc>
          <w:tcPr>
            <w:tcW w:w="1712" w:type="pct"/>
            <w:vMerge w:val="restart"/>
            <w:tcBorders>
              <w:top w:val="single" w:sz="4" w:space="0" w:color="auto"/>
              <w:left w:val="single" w:sz="4" w:space="0" w:color="auto"/>
              <w:bottom w:val="single" w:sz="4" w:space="0" w:color="auto"/>
              <w:right w:val="single" w:sz="4" w:space="0" w:color="auto"/>
            </w:tcBorders>
            <w:hideMark/>
          </w:tcPr>
          <w:p w14:paraId="0FB4FCC2" w14:textId="77777777" w:rsidR="00FF3ABF" w:rsidRPr="00A03EED" w:rsidRDefault="00FF3ABF" w:rsidP="00694C2B">
            <w:pPr>
              <w:rPr>
                <w:sz w:val="24"/>
                <w:szCs w:val="24"/>
                <w:lang w:val="en-GB"/>
              </w:rPr>
            </w:pPr>
            <w:r w:rsidRPr="00A03EED">
              <w:rPr>
                <w:sz w:val="24"/>
                <w:szCs w:val="24"/>
                <w:lang w:val="en-GB"/>
              </w:rPr>
              <w:t>Infections &amp; Infestations</w:t>
            </w:r>
          </w:p>
        </w:tc>
        <w:tc>
          <w:tcPr>
            <w:tcW w:w="2412" w:type="pct"/>
            <w:tcBorders>
              <w:top w:val="single" w:sz="4" w:space="0" w:color="auto"/>
              <w:left w:val="single" w:sz="4" w:space="0" w:color="auto"/>
              <w:bottom w:val="single" w:sz="4" w:space="0" w:color="auto"/>
              <w:right w:val="single" w:sz="4" w:space="0" w:color="auto"/>
            </w:tcBorders>
            <w:hideMark/>
          </w:tcPr>
          <w:p w14:paraId="2D515D45" w14:textId="77777777" w:rsidR="00FF3ABF" w:rsidRPr="00A03EED" w:rsidRDefault="00FF3ABF" w:rsidP="00694C2B">
            <w:pPr>
              <w:rPr>
                <w:sz w:val="24"/>
                <w:szCs w:val="24"/>
                <w:lang w:val="en-GB"/>
              </w:rPr>
            </w:pPr>
            <w:r w:rsidRPr="00A03EED">
              <w:rPr>
                <w:sz w:val="24"/>
                <w:szCs w:val="24"/>
                <w:lang w:val="en-GB"/>
              </w:rPr>
              <w:t>Laryngitis</w:t>
            </w:r>
          </w:p>
        </w:tc>
        <w:tc>
          <w:tcPr>
            <w:tcW w:w="876" w:type="pct"/>
            <w:tcBorders>
              <w:top w:val="single" w:sz="4" w:space="0" w:color="auto"/>
              <w:left w:val="single" w:sz="4" w:space="0" w:color="auto"/>
              <w:bottom w:val="single" w:sz="4" w:space="0" w:color="auto"/>
              <w:right w:val="single" w:sz="4" w:space="0" w:color="auto"/>
            </w:tcBorders>
            <w:hideMark/>
          </w:tcPr>
          <w:p w14:paraId="2573DBC9" w14:textId="77777777" w:rsidR="00FF3ABF" w:rsidRPr="00A03EED" w:rsidRDefault="00FF3ABF" w:rsidP="00694C2B">
            <w:pPr>
              <w:rPr>
                <w:sz w:val="24"/>
                <w:szCs w:val="24"/>
                <w:lang w:val="en-GB"/>
              </w:rPr>
            </w:pPr>
            <w:r w:rsidRPr="00A03EED">
              <w:rPr>
                <w:sz w:val="24"/>
                <w:szCs w:val="24"/>
                <w:lang w:val="en-GB"/>
              </w:rPr>
              <w:t>Rare</w:t>
            </w:r>
          </w:p>
        </w:tc>
      </w:tr>
      <w:tr w:rsidR="00FF3ABF" w:rsidRPr="00A03EED" w14:paraId="485BA066" w14:textId="77777777" w:rsidTr="00512C2F">
        <w:tc>
          <w:tcPr>
            <w:tcW w:w="1712" w:type="pct"/>
            <w:vMerge/>
            <w:tcBorders>
              <w:top w:val="single" w:sz="4" w:space="0" w:color="auto"/>
              <w:left w:val="single" w:sz="4" w:space="0" w:color="auto"/>
              <w:bottom w:val="single" w:sz="4" w:space="0" w:color="auto"/>
              <w:right w:val="single" w:sz="4" w:space="0" w:color="auto"/>
            </w:tcBorders>
            <w:vAlign w:val="center"/>
            <w:hideMark/>
          </w:tcPr>
          <w:p w14:paraId="2EE9C3FC" w14:textId="77777777" w:rsidR="00FF3ABF" w:rsidRPr="00A03EED" w:rsidRDefault="00FF3ABF" w:rsidP="00694C2B">
            <w:pPr>
              <w:rPr>
                <w:sz w:val="24"/>
                <w:szCs w:val="24"/>
                <w:lang w:val="en-GB" w:eastAsia="it-IT"/>
              </w:rPr>
            </w:pPr>
          </w:p>
        </w:tc>
        <w:tc>
          <w:tcPr>
            <w:tcW w:w="2412" w:type="pct"/>
            <w:tcBorders>
              <w:top w:val="single" w:sz="4" w:space="0" w:color="auto"/>
              <w:left w:val="single" w:sz="4" w:space="0" w:color="auto"/>
              <w:bottom w:val="single" w:sz="4" w:space="0" w:color="auto"/>
              <w:right w:val="single" w:sz="4" w:space="0" w:color="auto"/>
            </w:tcBorders>
            <w:hideMark/>
          </w:tcPr>
          <w:p w14:paraId="59106B9E" w14:textId="77777777" w:rsidR="00FF3ABF" w:rsidRPr="00A03EED" w:rsidRDefault="00FF3ABF" w:rsidP="00694C2B">
            <w:pPr>
              <w:rPr>
                <w:sz w:val="24"/>
                <w:szCs w:val="24"/>
                <w:lang w:val="en-GB"/>
              </w:rPr>
            </w:pPr>
            <w:r w:rsidRPr="00A03EED">
              <w:rPr>
                <w:sz w:val="24"/>
                <w:szCs w:val="24"/>
                <w:lang w:val="en-GB"/>
              </w:rPr>
              <w:t>Fungal infection, oral candidiasis</w:t>
            </w:r>
          </w:p>
        </w:tc>
        <w:tc>
          <w:tcPr>
            <w:tcW w:w="876" w:type="pct"/>
            <w:tcBorders>
              <w:top w:val="single" w:sz="4" w:space="0" w:color="auto"/>
              <w:left w:val="single" w:sz="4" w:space="0" w:color="auto"/>
              <w:bottom w:val="single" w:sz="4" w:space="0" w:color="auto"/>
              <w:right w:val="single" w:sz="4" w:space="0" w:color="auto"/>
            </w:tcBorders>
            <w:hideMark/>
          </w:tcPr>
          <w:p w14:paraId="65FD7AC4" w14:textId="77777777" w:rsidR="00FF3ABF" w:rsidRPr="00A03EED" w:rsidRDefault="00FF3ABF" w:rsidP="00694C2B">
            <w:pPr>
              <w:rPr>
                <w:sz w:val="24"/>
                <w:szCs w:val="24"/>
                <w:lang w:val="en-GB"/>
              </w:rPr>
            </w:pPr>
            <w:r w:rsidRPr="00A03EED">
              <w:rPr>
                <w:sz w:val="24"/>
                <w:szCs w:val="24"/>
                <w:lang w:val="en-GB"/>
              </w:rPr>
              <w:t>Very rare</w:t>
            </w:r>
          </w:p>
        </w:tc>
      </w:tr>
      <w:tr w:rsidR="00FF3ABF" w:rsidRPr="00A03EED" w14:paraId="57F7C3A8" w14:textId="77777777" w:rsidTr="00512C2F">
        <w:tc>
          <w:tcPr>
            <w:tcW w:w="1712" w:type="pct"/>
            <w:tcBorders>
              <w:top w:val="single" w:sz="4" w:space="0" w:color="auto"/>
              <w:left w:val="single" w:sz="4" w:space="0" w:color="auto"/>
              <w:bottom w:val="single" w:sz="4" w:space="0" w:color="auto"/>
              <w:right w:val="single" w:sz="4" w:space="0" w:color="auto"/>
            </w:tcBorders>
            <w:hideMark/>
          </w:tcPr>
          <w:p w14:paraId="7E2531CE" w14:textId="77777777" w:rsidR="00FF3ABF" w:rsidRPr="00A03EED" w:rsidRDefault="00FF3ABF" w:rsidP="00694C2B">
            <w:pPr>
              <w:rPr>
                <w:sz w:val="24"/>
                <w:szCs w:val="24"/>
                <w:lang w:val="en-GB"/>
              </w:rPr>
            </w:pPr>
            <w:r w:rsidRPr="00A03EED">
              <w:rPr>
                <w:sz w:val="24"/>
                <w:szCs w:val="24"/>
                <w:lang w:val="en-GB"/>
              </w:rPr>
              <w:t>Blood and lymphatic system disorders</w:t>
            </w:r>
          </w:p>
        </w:tc>
        <w:tc>
          <w:tcPr>
            <w:tcW w:w="2412" w:type="pct"/>
            <w:tcBorders>
              <w:top w:val="single" w:sz="4" w:space="0" w:color="auto"/>
              <w:left w:val="single" w:sz="4" w:space="0" w:color="auto"/>
              <w:bottom w:val="single" w:sz="4" w:space="0" w:color="auto"/>
              <w:right w:val="single" w:sz="4" w:space="0" w:color="auto"/>
            </w:tcBorders>
            <w:hideMark/>
          </w:tcPr>
          <w:p w14:paraId="73F4BA59" w14:textId="77777777" w:rsidR="00FF3ABF" w:rsidRPr="00A03EED" w:rsidRDefault="00FF3ABF" w:rsidP="00694C2B">
            <w:pPr>
              <w:rPr>
                <w:sz w:val="24"/>
                <w:szCs w:val="24"/>
                <w:lang w:val="en-GB"/>
              </w:rPr>
            </w:pPr>
            <w:r w:rsidRPr="00A03EED">
              <w:rPr>
                <w:sz w:val="24"/>
                <w:szCs w:val="24"/>
                <w:lang w:val="en-GB"/>
              </w:rPr>
              <w:t>Lymphadenopathy</w:t>
            </w:r>
          </w:p>
        </w:tc>
        <w:tc>
          <w:tcPr>
            <w:tcW w:w="876" w:type="pct"/>
            <w:tcBorders>
              <w:top w:val="single" w:sz="4" w:space="0" w:color="auto"/>
              <w:left w:val="single" w:sz="4" w:space="0" w:color="auto"/>
              <w:bottom w:val="single" w:sz="4" w:space="0" w:color="auto"/>
              <w:right w:val="single" w:sz="4" w:space="0" w:color="auto"/>
            </w:tcBorders>
            <w:hideMark/>
          </w:tcPr>
          <w:p w14:paraId="0E9DD4C2" w14:textId="77777777" w:rsidR="00FF3ABF" w:rsidRPr="00A03EED" w:rsidRDefault="00FF3ABF" w:rsidP="00694C2B">
            <w:pPr>
              <w:rPr>
                <w:sz w:val="24"/>
                <w:szCs w:val="24"/>
                <w:lang w:val="en-GB"/>
              </w:rPr>
            </w:pPr>
            <w:r w:rsidRPr="00A03EED">
              <w:rPr>
                <w:sz w:val="24"/>
                <w:szCs w:val="24"/>
                <w:lang w:val="en-GB"/>
              </w:rPr>
              <w:t>Very rare</w:t>
            </w:r>
          </w:p>
        </w:tc>
      </w:tr>
      <w:tr w:rsidR="00FF3ABF" w:rsidRPr="00A03EED" w14:paraId="3C5B27D4" w14:textId="77777777" w:rsidTr="00512C2F">
        <w:tc>
          <w:tcPr>
            <w:tcW w:w="1712" w:type="pct"/>
            <w:tcBorders>
              <w:top w:val="single" w:sz="4" w:space="0" w:color="auto"/>
              <w:left w:val="single" w:sz="4" w:space="0" w:color="auto"/>
              <w:bottom w:val="single" w:sz="4" w:space="0" w:color="auto"/>
              <w:right w:val="single" w:sz="4" w:space="0" w:color="auto"/>
            </w:tcBorders>
          </w:tcPr>
          <w:p w14:paraId="196C82A4" w14:textId="211CA6FF" w:rsidR="00FF3ABF" w:rsidRPr="00A03EED" w:rsidRDefault="00FF3ABF" w:rsidP="007109E4">
            <w:pPr>
              <w:rPr>
                <w:sz w:val="24"/>
                <w:szCs w:val="24"/>
                <w:lang w:val="en-GB"/>
              </w:rPr>
            </w:pPr>
            <w:r w:rsidRPr="00A03EED">
              <w:rPr>
                <w:sz w:val="24"/>
                <w:szCs w:val="24"/>
                <w:lang w:val="en-GB"/>
              </w:rPr>
              <w:t>Immune system disorders</w:t>
            </w:r>
          </w:p>
        </w:tc>
        <w:tc>
          <w:tcPr>
            <w:tcW w:w="2412" w:type="pct"/>
            <w:tcBorders>
              <w:top w:val="single" w:sz="4" w:space="0" w:color="auto"/>
              <w:left w:val="single" w:sz="4" w:space="0" w:color="auto"/>
              <w:bottom w:val="single" w:sz="4" w:space="0" w:color="auto"/>
              <w:right w:val="single" w:sz="4" w:space="0" w:color="auto"/>
            </w:tcBorders>
            <w:hideMark/>
          </w:tcPr>
          <w:p w14:paraId="72DC7C55" w14:textId="77777777" w:rsidR="00FF3ABF" w:rsidRPr="00A03EED" w:rsidRDefault="00FF3ABF" w:rsidP="00694C2B">
            <w:pPr>
              <w:rPr>
                <w:sz w:val="24"/>
                <w:szCs w:val="24"/>
                <w:lang w:val="en-GB"/>
              </w:rPr>
            </w:pPr>
            <w:r w:rsidRPr="00A03EED">
              <w:rPr>
                <w:sz w:val="24"/>
                <w:szCs w:val="24"/>
                <w:lang w:val="en-GB"/>
              </w:rPr>
              <w:t>Hypersensitivity</w:t>
            </w:r>
          </w:p>
        </w:tc>
        <w:tc>
          <w:tcPr>
            <w:tcW w:w="876" w:type="pct"/>
            <w:tcBorders>
              <w:top w:val="single" w:sz="4" w:space="0" w:color="auto"/>
              <w:left w:val="single" w:sz="4" w:space="0" w:color="auto"/>
              <w:bottom w:val="single" w:sz="4" w:space="0" w:color="auto"/>
              <w:right w:val="single" w:sz="4" w:space="0" w:color="auto"/>
            </w:tcBorders>
            <w:hideMark/>
          </w:tcPr>
          <w:p w14:paraId="0F9AAFE9" w14:textId="77777777" w:rsidR="00FF3ABF" w:rsidRPr="00A03EED" w:rsidRDefault="00FF3ABF" w:rsidP="00694C2B">
            <w:pPr>
              <w:rPr>
                <w:sz w:val="24"/>
                <w:szCs w:val="24"/>
                <w:lang w:val="en-GB"/>
              </w:rPr>
            </w:pPr>
            <w:r w:rsidRPr="00A03EED">
              <w:rPr>
                <w:sz w:val="24"/>
                <w:szCs w:val="24"/>
                <w:lang w:val="en-GB"/>
              </w:rPr>
              <w:t>Very rare</w:t>
            </w:r>
          </w:p>
        </w:tc>
      </w:tr>
      <w:tr w:rsidR="00FF3ABF" w:rsidRPr="00A03EED" w14:paraId="6664CA4E" w14:textId="77777777" w:rsidTr="00512C2F">
        <w:tc>
          <w:tcPr>
            <w:tcW w:w="1712" w:type="pct"/>
            <w:tcBorders>
              <w:top w:val="single" w:sz="4" w:space="0" w:color="auto"/>
              <w:left w:val="single" w:sz="4" w:space="0" w:color="auto"/>
              <w:bottom w:val="single" w:sz="4" w:space="0" w:color="auto"/>
              <w:right w:val="single" w:sz="4" w:space="0" w:color="auto"/>
            </w:tcBorders>
          </w:tcPr>
          <w:p w14:paraId="63B7B6C5" w14:textId="633F4BBE" w:rsidR="00FF3ABF" w:rsidRPr="00A03EED" w:rsidRDefault="00FF3ABF" w:rsidP="007109E4">
            <w:pPr>
              <w:rPr>
                <w:sz w:val="24"/>
                <w:szCs w:val="24"/>
                <w:lang w:val="en-GB"/>
              </w:rPr>
            </w:pPr>
            <w:r w:rsidRPr="00A03EED">
              <w:rPr>
                <w:sz w:val="24"/>
                <w:szCs w:val="24"/>
                <w:lang w:val="en-GB"/>
              </w:rPr>
              <w:t>Metabolism and nutrition disorders</w:t>
            </w:r>
          </w:p>
        </w:tc>
        <w:tc>
          <w:tcPr>
            <w:tcW w:w="2412" w:type="pct"/>
            <w:tcBorders>
              <w:top w:val="single" w:sz="4" w:space="0" w:color="auto"/>
              <w:left w:val="single" w:sz="4" w:space="0" w:color="auto"/>
              <w:bottom w:val="single" w:sz="4" w:space="0" w:color="auto"/>
              <w:right w:val="single" w:sz="4" w:space="0" w:color="auto"/>
            </w:tcBorders>
            <w:hideMark/>
          </w:tcPr>
          <w:p w14:paraId="19EB9011" w14:textId="77777777" w:rsidR="00FF3ABF" w:rsidRPr="00A03EED" w:rsidRDefault="00FF3ABF" w:rsidP="00694C2B">
            <w:pPr>
              <w:rPr>
                <w:sz w:val="24"/>
                <w:szCs w:val="24"/>
                <w:lang w:val="en-GB"/>
              </w:rPr>
            </w:pPr>
            <w:r w:rsidRPr="00A03EED">
              <w:rPr>
                <w:sz w:val="24"/>
                <w:szCs w:val="24"/>
                <w:lang w:val="en-GB"/>
              </w:rPr>
              <w:t>Anorexia</w:t>
            </w:r>
          </w:p>
        </w:tc>
        <w:tc>
          <w:tcPr>
            <w:tcW w:w="876" w:type="pct"/>
            <w:tcBorders>
              <w:top w:val="single" w:sz="4" w:space="0" w:color="auto"/>
              <w:left w:val="single" w:sz="4" w:space="0" w:color="auto"/>
              <w:bottom w:val="single" w:sz="4" w:space="0" w:color="auto"/>
              <w:right w:val="single" w:sz="4" w:space="0" w:color="auto"/>
            </w:tcBorders>
            <w:hideMark/>
          </w:tcPr>
          <w:p w14:paraId="7D02903F" w14:textId="77777777" w:rsidR="00FF3ABF" w:rsidRPr="00A03EED" w:rsidRDefault="00FF3ABF" w:rsidP="00694C2B">
            <w:pPr>
              <w:rPr>
                <w:sz w:val="24"/>
                <w:szCs w:val="24"/>
                <w:lang w:val="en-GB"/>
              </w:rPr>
            </w:pPr>
            <w:r w:rsidRPr="00A03EED">
              <w:rPr>
                <w:sz w:val="24"/>
                <w:szCs w:val="24"/>
                <w:lang w:val="en-GB"/>
              </w:rPr>
              <w:t>Rare</w:t>
            </w:r>
          </w:p>
        </w:tc>
      </w:tr>
      <w:tr w:rsidR="00FF3ABF" w:rsidRPr="00A03EED" w14:paraId="11756F88" w14:textId="77777777" w:rsidTr="00512C2F">
        <w:tc>
          <w:tcPr>
            <w:tcW w:w="1712" w:type="pct"/>
            <w:vMerge w:val="restart"/>
            <w:tcBorders>
              <w:top w:val="single" w:sz="4" w:space="0" w:color="auto"/>
              <w:left w:val="single" w:sz="4" w:space="0" w:color="auto"/>
              <w:bottom w:val="single" w:sz="4" w:space="0" w:color="auto"/>
              <w:right w:val="single" w:sz="4" w:space="0" w:color="auto"/>
            </w:tcBorders>
          </w:tcPr>
          <w:p w14:paraId="1C81C33A" w14:textId="0E49A054" w:rsidR="00FF3ABF" w:rsidRPr="00A03EED" w:rsidRDefault="00FF3ABF" w:rsidP="007109E4">
            <w:pPr>
              <w:rPr>
                <w:sz w:val="24"/>
                <w:szCs w:val="24"/>
                <w:lang w:val="en-GB"/>
              </w:rPr>
            </w:pPr>
            <w:r w:rsidRPr="00A03EED">
              <w:rPr>
                <w:sz w:val="24"/>
                <w:szCs w:val="24"/>
                <w:lang w:val="en-GB"/>
              </w:rPr>
              <w:t>Nervous system disorders</w:t>
            </w:r>
          </w:p>
        </w:tc>
        <w:tc>
          <w:tcPr>
            <w:tcW w:w="2412" w:type="pct"/>
            <w:tcBorders>
              <w:top w:val="single" w:sz="4" w:space="0" w:color="auto"/>
              <w:left w:val="single" w:sz="4" w:space="0" w:color="auto"/>
              <w:bottom w:val="single" w:sz="4" w:space="0" w:color="auto"/>
              <w:right w:val="single" w:sz="4" w:space="0" w:color="auto"/>
            </w:tcBorders>
            <w:hideMark/>
          </w:tcPr>
          <w:p w14:paraId="392B55C6" w14:textId="77777777" w:rsidR="00FF3ABF" w:rsidRPr="00A03EED" w:rsidRDefault="00FF3ABF" w:rsidP="00694C2B">
            <w:pPr>
              <w:rPr>
                <w:sz w:val="24"/>
                <w:szCs w:val="24"/>
                <w:lang w:val="en-GB"/>
              </w:rPr>
            </w:pPr>
            <w:r w:rsidRPr="00A03EED">
              <w:rPr>
                <w:sz w:val="24"/>
                <w:szCs w:val="24"/>
                <w:lang w:val="en-GB"/>
              </w:rPr>
              <w:t>Dizziness, headache, aphonia</w:t>
            </w:r>
          </w:p>
        </w:tc>
        <w:tc>
          <w:tcPr>
            <w:tcW w:w="876" w:type="pct"/>
            <w:tcBorders>
              <w:top w:val="single" w:sz="4" w:space="0" w:color="auto"/>
              <w:left w:val="single" w:sz="4" w:space="0" w:color="auto"/>
              <w:bottom w:val="single" w:sz="4" w:space="0" w:color="auto"/>
              <w:right w:val="single" w:sz="4" w:space="0" w:color="auto"/>
            </w:tcBorders>
            <w:hideMark/>
          </w:tcPr>
          <w:p w14:paraId="4E864E44" w14:textId="77777777" w:rsidR="00FF3ABF" w:rsidRPr="00A03EED" w:rsidRDefault="00FF3ABF" w:rsidP="00694C2B">
            <w:pPr>
              <w:rPr>
                <w:sz w:val="24"/>
                <w:szCs w:val="24"/>
                <w:lang w:val="en-GB"/>
              </w:rPr>
            </w:pPr>
            <w:r w:rsidRPr="00A03EED">
              <w:rPr>
                <w:sz w:val="24"/>
                <w:szCs w:val="24"/>
                <w:lang w:val="en-GB"/>
              </w:rPr>
              <w:t>Rare</w:t>
            </w:r>
          </w:p>
        </w:tc>
      </w:tr>
      <w:tr w:rsidR="00FF3ABF" w:rsidRPr="00A03EED" w14:paraId="27884EFB" w14:textId="77777777" w:rsidTr="00512C2F">
        <w:tc>
          <w:tcPr>
            <w:tcW w:w="1712" w:type="pct"/>
            <w:vMerge/>
            <w:tcBorders>
              <w:top w:val="single" w:sz="4" w:space="0" w:color="auto"/>
              <w:left w:val="single" w:sz="4" w:space="0" w:color="auto"/>
              <w:bottom w:val="single" w:sz="4" w:space="0" w:color="auto"/>
              <w:right w:val="single" w:sz="4" w:space="0" w:color="auto"/>
            </w:tcBorders>
            <w:vAlign w:val="center"/>
            <w:hideMark/>
          </w:tcPr>
          <w:p w14:paraId="61446C4D" w14:textId="77777777" w:rsidR="00FF3ABF" w:rsidRPr="00A03EED" w:rsidRDefault="00FF3ABF" w:rsidP="00694C2B">
            <w:pPr>
              <w:rPr>
                <w:sz w:val="24"/>
                <w:szCs w:val="24"/>
                <w:lang w:val="en-GB" w:eastAsia="it-IT"/>
              </w:rPr>
            </w:pPr>
          </w:p>
        </w:tc>
        <w:tc>
          <w:tcPr>
            <w:tcW w:w="2412" w:type="pct"/>
            <w:tcBorders>
              <w:top w:val="single" w:sz="4" w:space="0" w:color="auto"/>
              <w:left w:val="single" w:sz="4" w:space="0" w:color="auto"/>
              <w:bottom w:val="single" w:sz="4" w:space="0" w:color="auto"/>
              <w:right w:val="single" w:sz="4" w:space="0" w:color="auto"/>
            </w:tcBorders>
            <w:hideMark/>
          </w:tcPr>
          <w:p w14:paraId="18FBB325" w14:textId="77777777" w:rsidR="00FF3ABF" w:rsidRPr="00A03EED" w:rsidRDefault="00FF3ABF" w:rsidP="00694C2B">
            <w:pPr>
              <w:rPr>
                <w:sz w:val="24"/>
                <w:szCs w:val="24"/>
                <w:lang w:val="en-GB"/>
              </w:rPr>
            </w:pPr>
            <w:r w:rsidRPr="00A03EED">
              <w:rPr>
                <w:sz w:val="24"/>
                <w:szCs w:val="24"/>
                <w:lang w:val="en-GB"/>
              </w:rPr>
              <w:t>Somnolence</w:t>
            </w:r>
          </w:p>
        </w:tc>
        <w:tc>
          <w:tcPr>
            <w:tcW w:w="876" w:type="pct"/>
            <w:tcBorders>
              <w:top w:val="single" w:sz="4" w:space="0" w:color="auto"/>
              <w:left w:val="single" w:sz="4" w:space="0" w:color="auto"/>
              <w:bottom w:val="single" w:sz="4" w:space="0" w:color="auto"/>
              <w:right w:val="single" w:sz="4" w:space="0" w:color="auto"/>
            </w:tcBorders>
            <w:hideMark/>
          </w:tcPr>
          <w:p w14:paraId="0B145EDF" w14:textId="77777777" w:rsidR="00FF3ABF" w:rsidRPr="00A03EED" w:rsidRDefault="00FF3ABF" w:rsidP="00694C2B">
            <w:pPr>
              <w:rPr>
                <w:sz w:val="24"/>
                <w:szCs w:val="24"/>
                <w:lang w:val="en-GB"/>
              </w:rPr>
            </w:pPr>
            <w:r w:rsidRPr="00A03EED">
              <w:rPr>
                <w:sz w:val="24"/>
                <w:szCs w:val="24"/>
                <w:lang w:val="en-GB"/>
              </w:rPr>
              <w:t>Very rare</w:t>
            </w:r>
          </w:p>
        </w:tc>
      </w:tr>
      <w:tr w:rsidR="00FF3ABF" w:rsidRPr="00A03EED" w14:paraId="6AB1BFA0" w14:textId="77777777" w:rsidTr="00512C2F">
        <w:tc>
          <w:tcPr>
            <w:tcW w:w="1712" w:type="pct"/>
            <w:vMerge w:val="restart"/>
            <w:tcBorders>
              <w:top w:val="single" w:sz="4" w:space="0" w:color="auto"/>
              <w:left w:val="single" w:sz="4" w:space="0" w:color="auto"/>
              <w:bottom w:val="single" w:sz="4" w:space="0" w:color="auto"/>
              <w:right w:val="single" w:sz="4" w:space="0" w:color="auto"/>
            </w:tcBorders>
          </w:tcPr>
          <w:p w14:paraId="532784B6" w14:textId="399863FF" w:rsidR="00FF3ABF" w:rsidRPr="00A03EED" w:rsidRDefault="00FF3ABF" w:rsidP="007109E4">
            <w:pPr>
              <w:rPr>
                <w:sz w:val="24"/>
                <w:szCs w:val="24"/>
                <w:lang w:val="en-GB"/>
              </w:rPr>
            </w:pPr>
            <w:r w:rsidRPr="00A03EED">
              <w:rPr>
                <w:sz w:val="24"/>
                <w:szCs w:val="24"/>
                <w:lang w:val="en-GB"/>
              </w:rPr>
              <w:t>Ear and labyrinth disorders</w:t>
            </w:r>
          </w:p>
        </w:tc>
        <w:tc>
          <w:tcPr>
            <w:tcW w:w="2412" w:type="pct"/>
            <w:tcBorders>
              <w:top w:val="single" w:sz="4" w:space="0" w:color="auto"/>
              <w:left w:val="single" w:sz="4" w:space="0" w:color="auto"/>
              <w:bottom w:val="single" w:sz="4" w:space="0" w:color="auto"/>
              <w:right w:val="single" w:sz="4" w:space="0" w:color="auto"/>
            </w:tcBorders>
            <w:hideMark/>
          </w:tcPr>
          <w:p w14:paraId="2E1B166E" w14:textId="77777777" w:rsidR="00FF3ABF" w:rsidRPr="00A03EED" w:rsidRDefault="00FF3ABF" w:rsidP="00694C2B">
            <w:pPr>
              <w:rPr>
                <w:sz w:val="24"/>
                <w:szCs w:val="24"/>
                <w:lang w:val="en-GB"/>
              </w:rPr>
            </w:pPr>
            <w:r w:rsidRPr="00A03EED">
              <w:rPr>
                <w:sz w:val="24"/>
                <w:szCs w:val="24"/>
                <w:lang w:val="en-GB"/>
              </w:rPr>
              <w:t>Tinnitus, hearing loss (see section 4.4)</w:t>
            </w:r>
          </w:p>
        </w:tc>
        <w:tc>
          <w:tcPr>
            <w:tcW w:w="876" w:type="pct"/>
            <w:tcBorders>
              <w:top w:val="single" w:sz="4" w:space="0" w:color="auto"/>
              <w:left w:val="single" w:sz="4" w:space="0" w:color="auto"/>
              <w:bottom w:val="single" w:sz="4" w:space="0" w:color="auto"/>
              <w:right w:val="single" w:sz="4" w:space="0" w:color="auto"/>
            </w:tcBorders>
            <w:hideMark/>
          </w:tcPr>
          <w:p w14:paraId="60384B68" w14:textId="77777777" w:rsidR="00FF3ABF" w:rsidRPr="00A03EED" w:rsidRDefault="00FF3ABF" w:rsidP="00694C2B">
            <w:pPr>
              <w:rPr>
                <w:sz w:val="24"/>
                <w:szCs w:val="24"/>
                <w:lang w:val="en-GB"/>
              </w:rPr>
            </w:pPr>
            <w:r w:rsidRPr="00A03EED">
              <w:rPr>
                <w:sz w:val="24"/>
                <w:szCs w:val="24"/>
                <w:lang w:val="en-GB"/>
              </w:rPr>
              <w:t>Rare</w:t>
            </w:r>
          </w:p>
        </w:tc>
      </w:tr>
      <w:tr w:rsidR="00FF3ABF" w:rsidRPr="00A03EED" w14:paraId="24A4D058" w14:textId="77777777" w:rsidTr="00512C2F">
        <w:tc>
          <w:tcPr>
            <w:tcW w:w="1712" w:type="pct"/>
            <w:vMerge/>
            <w:tcBorders>
              <w:top w:val="single" w:sz="4" w:space="0" w:color="auto"/>
              <w:left w:val="single" w:sz="4" w:space="0" w:color="auto"/>
              <w:bottom w:val="single" w:sz="4" w:space="0" w:color="auto"/>
              <w:right w:val="single" w:sz="4" w:space="0" w:color="auto"/>
            </w:tcBorders>
            <w:vAlign w:val="center"/>
            <w:hideMark/>
          </w:tcPr>
          <w:p w14:paraId="40115E14" w14:textId="77777777" w:rsidR="00FF3ABF" w:rsidRPr="00A03EED" w:rsidRDefault="00FF3ABF" w:rsidP="00694C2B">
            <w:pPr>
              <w:rPr>
                <w:sz w:val="24"/>
                <w:szCs w:val="24"/>
                <w:lang w:val="en-GB" w:eastAsia="it-IT"/>
              </w:rPr>
            </w:pPr>
          </w:p>
        </w:tc>
        <w:tc>
          <w:tcPr>
            <w:tcW w:w="2412" w:type="pct"/>
            <w:tcBorders>
              <w:top w:val="single" w:sz="4" w:space="0" w:color="auto"/>
              <w:left w:val="single" w:sz="4" w:space="0" w:color="auto"/>
              <w:bottom w:val="single" w:sz="4" w:space="0" w:color="auto"/>
              <w:right w:val="single" w:sz="4" w:space="0" w:color="auto"/>
            </w:tcBorders>
            <w:hideMark/>
          </w:tcPr>
          <w:p w14:paraId="7552EFE4" w14:textId="77777777" w:rsidR="00FF3ABF" w:rsidRPr="00A03EED" w:rsidRDefault="00FF3ABF" w:rsidP="00694C2B">
            <w:pPr>
              <w:rPr>
                <w:sz w:val="24"/>
                <w:szCs w:val="24"/>
                <w:lang w:val="en-GB"/>
              </w:rPr>
            </w:pPr>
            <w:r w:rsidRPr="00A03EED">
              <w:rPr>
                <w:sz w:val="24"/>
                <w:szCs w:val="24"/>
                <w:lang w:val="en-GB"/>
              </w:rPr>
              <w:t>Ear disorders, ear pain</w:t>
            </w:r>
          </w:p>
        </w:tc>
        <w:tc>
          <w:tcPr>
            <w:tcW w:w="876" w:type="pct"/>
            <w:tcBorders>
              <w:top w:val="single" w:sz="4" w:space="0" w:color="auto"/>
              <w:left w:val="single" w:sz="4" w:space="0" w:color="auto"/>
              <w:bottom w:val="single" w:sz="4" w:space="0" w:color="auto"/>
              <w:right w:val="single" w:sz="4" w:space="0" w:color="auto"/>
            </w:tcBorders>
            <w:hideMark/>
          </w:tcPr>
          <w:p w14:paraId="09C9FABD" w14:textId="77777777" w:rsidR="00FF3ABF" w:rsidRPr="00A03EED" w:rsidRDefault="00FF3ABF" w:rsidP="00694C2B">
            <w:pPr>
              <w:rPr>
                <w:sz w:val="24"/>
                <w:szCs w:val="24"/>
                <w:lang w:val="en-GB"/>
              </w:rPr>
            </w:pPr>
            <w:r w:rsidRPr="00A03EED">
              <w:rPr>
                <w:sz w:val="24"/>
                <w:szCs w:val="24"/>
                <w:lang w:val="en-GB"/>
              </w:rPr>
              <w:t>Very rare</w:t>
            </w:r>
          </w:p>
        </w:tc>
      </w:tr>
      <w:tr w:rsidR="00FF3ABF" w:rsidRPr="00A03EED" w14:paraId="0A6759E6" w14:textId="77777777" w:rsidTr="00512C2F">
        <w:tc>
          <w:tcPr>
            <w:tcW w:w="1712" w:type="pct"/>
            <w:vMerge w:val="restart"/>
            <w:tcBorders>
              <w:top w:val="single" w:sz="4" w:space="0" w:color="auto"/>
              <w:left w:val="single" w:sz="4" w:space="0" w:color="auto"/>
              <w:bottom w:val="single" w:sz="4" w:space="0" w:color="auto"/>
              <w:right w:val="single" w:sz="4" w:space="0" w:color="auto"/>
            </w:tcBorders>
            <w:hideMark/>
          </w:tcPr>
          <w:p w14:paraId="61D995D6" w14:textId="77777777" w:rsidR="00FF3ABF" w:rsidRPr="00A03EED" w:rsidRDefault="00FF3ABF" w:rsidP="00694C2B">
            <w:pPr>
              <w:rPr>
                <w:sz w:val="24"/>
                <w:szCs w:val="24"/>
                <w:lang w:val="en-GB"/>
              </w:rPr>
            </w:pPr>
            <w:r w:rsidRPr="00A03EED">
              <w:rPr>
                <w:sz w:val="24"/>
                <w:szCs w:val="24"/>
                <w:lang w:val="en-GB"/>
              </w:rPr>
              <w:t>Respiratory, thoracic and mediastinal disorders</w:t>
            </w:r>
          </w:p>
        </w:tc>
        <w:tc>
          <w:tcPr>
            <w:tcW w:w="2412" w:type="pct"/>
            <w:tcBorders>
              <w:top w:val="single" w:sz="4" w:space="0" w:color="auto"/>
              <w:left w:val="single" w:sz="4" w:space="0" w:color="auto"/>
              <w:bottom w:val="single" w:sz="4" w:space="0" w:color="auto"/>
              <w:right w:val="single" w:sz="4" w:space="0" w:color="auto"/>
            </w:tcBorders>
            <w:hideMark/>
          </w:tcPr>
          <w:p w14:paraId="735612B9" w14:textId="77777777" w:rsidR="00FF3ABF" w:rsidRPr="00A03EED" w:rsidRDefault="00FF3ABF" w:rsidP="00694C2B">
            <w:pPr>
              <w:rPr>
                <w:sz w:val="24"/>
                <w:szCs w:val="24"/>
                <w:lang w:val="en-GB"/>
              </w:rPr>
            </w:pPr>
            <w:r w:rsidRPr="00A03EED">
              <w:rPr>
                <w:sz w:val="24"/>
                <w:szCs w:val="24"/>
                <w:lang w:val="en-GB"/>
              </w:rPr>
              <w:t>Cough, pharyngitis, dysphonia, dyspnoea</w:t>
            </w:r>
          </w:p>
        </w:tc>
        <w:tc>
          <w:tcPr>
            <w:tcW w:w="876" w:type="pct"/>
            <w:tcBorders>
              <w:top w:val="single" w:sz="4" w:space="0" w:color="auto"/>
              <w:left w:val="single" w:sz="4" w:space="0" w:color="auto"/>
              <w:bottom w:val="single" w:sz="4" w:space="0" w:color="auto"/>
              <w:right w:val="single" w:sz="4" w:space="0" w:color="auto"/>
            </w:tcBorders>
            <w:hideMark/>
          </w:tcPr>
          <w:p w14:paraId="48193732" w14:textId="77777777" w:rsidR="00FF3ABF" w:rsidRPr="00A03EED" w:rsidRDefault="00FF3ABF" w:rsidP="00694C2B">
            <w:pPr>
              <w:rPr>
                <w:sz w:val="24"/>
                <w:szCs w:val="24"/>
                <w:lang w:val="en-GB"/>
              </w:rPr>
            </w:pPr>
            <w:r w:rsidRPr="00A03EED">
              <w:rPr>
                <w:sz w:val="24"/>
                <w:szCs w:val="24"/>
                <w:lang w:val="en-GB"/>
              </w:rPr>
              <w:t>Uncommon</w:t>
            </w:r>
          </w:p>
        </w:tc>
      </w:tr>
      <w:tr w:rsidR="00FF3ABF" w:rsidRPr="00A03EED" w14:paraId="0B81DF77" w14:textId="77777777" w:rsidTr="00512C2F">
        <w:tc>
          <w:tcPr>
            <w:tcW w:w="1712" w:type="pct"/>
            <w:vMerge/>
            <w:tcBorders>
              <w:top w:val="single" w:sz="4" w:space="0" w:color="auto"/>
              <w:left w:val="single" w:sz="4" w:space="0" w:color="auto"/>
              <w:bottom w:val="single" w:sz="4" w:space="0" w:color="auto"/>
              <w:right w:val="single" w:sz="4" w:space="0" w:color="auto"/>
            </w:tcBorders>
            <w:vAlign w:val="center"/>
            <w:hideMark/>
          </w:tcPr>
          <w:p w14:paraId="39F09323" w14:textId="77777777" w:rsidR="00FF3ABF" w:rsidRPr="00A03EED" w:rsidRDefault="00FF3ABF" w:rsidP="00694C2B">
            <w:pPr>
              <w:rPr>
                <w:sz w:val="24"/>
                <w:szCs w:val="24"/>
                <w:lang w:val="en-GB" w:eastAsia="it-IT"/>
              </w:rPr>
            </w:pPr>
          </w:p>
        </w:tc>
        <w:tc>
          <w:tcPr>
            <w:tcW w:w="2412" w:type="pct"/>
            <w:tcBorders>
              <w:top w:val="single" w:sz="4" w:space="0" w:color="auto"/>
              <w:left w:val="single" w:sz="4" w:space="0" w:color="auto"/>
              <w:bottom w:val="single" w:sz="4" w:space="0" w:color="auto"/>
              <w:right w:val="single" w:sz="4" w:space="0" w:color="auto"/>
            </w:tcBorders>
            <w:hideMark/>
          </w:tcPr>
          <w:p w14:paraId="5D498399" w14:textId="77777777" w:rsidR="00FF3ABF" w:rsidRPr="00A03EED" w:rsidRDefault="00FF3ABF" w:rsidP="00694C2B">
            <w:pPr>
              <w:rPr>
                <w:sz w:val="24"/>
                <w:szCs w:val="24"/>
                <w:lang w:val="en-GB"/>
              </w:rPr>
            </w:pPr>
            <w:r w:rsidRPr="00A03EED">
              <w:rPr>
                <w:sz w:val="24"/>
                <w:szCs w:val="24"/>
                <w:lang w:val="en-GB"/>
              </w:rPr>
              <w:t>Bronchospasm, chest discomfort, lung disorder, haemoptysis, epistaxis, rhinitis, asthma, productive cough</w:t>
            </w:r>
          </w:p>
        </w:tc>
        <w:tc>
          <w:tcPr>
            <w:tcW w:w="876" w:type="pct"/>
            <w:tcBorders>
              <w:top w:val="single" w:sz="4" w:space="0" w:color="auto"/>
              <w:left w:val="single" w:sz="4" w:space="0" w:color="auto"/>
              <w:bottom w:val="single" w:sz="4" w:space="0" w:color="auto"/>
              <w:right w:val="single" w:sz="4" w:space="0" w:color="auto"/>
            </w:tcBorders>
            <w:hideMark/>
          </w:tcPr>
          <w:p w14:paraId="684A7546" w14:textId="77777777" w:rsidR="00FF3ABF" w:rsidRPr="00A03EED" w:rsidRDefault="00FF3ABF" w:rsidP="00694C2B">
            <w:pPr>
              <w:rPr>
                <w:sz w:val="24"/>
                <w:szCs w:val="24"/>
                <w:lang w:val="en-GB"/>
              </w:rPr>
            </w:pPr>
            <w:r w:rsidRPr="00A03EED">
              <w:rPr>
                <w:sz w:val="24"/>
                <w:szCs w:val="24"/>
                <w:lang w:val="en-GB"/>
              </w:rPr>
              <w:t>Rare</w:t>
            </w:r>
          </w:p>
        </w:tc>
      </w:tr>
      <w:tr w:rsidR="00FF3ABF" w:rsidRPr="00A03EED" w14:paraId="62CA6574" w14:textId="77777777" w:rsidTr="00512C2F">
        <w:trPr>
          <w:trHeight w:val="70"/>
        </w:trPr>
        <w:tc>
          <w:tcPr>
            <w:tcW w:w="1712" w:type="pct"/>
            <w:vMerge/>
            <w:tcBorders>
              <w:top w:val="single" w:sz="4" w:space="0" w:color="auto"/>
              <w:left w:val="single" w:sz="4" w:space="0" w:color="auto"/>
              <w:bottom w:val="single" w:sz="4" w:space="0" w:color="auto"/>
              <w:right w:val="single" w:sz="4" w:space="0" w:color="auto"/>
            </w:tcBorders>
            <w:vAlign w:val="center"/>
            <w:hideMark/>
          </w:tcPr>
          <w:p w14:paraId="10669454" w14:textId="77777777" w:rsidR="00FF3ABF" w:rsidRPr="00A03EED" w:rsidRDefault="00FF3ABF" w:rsidP="00694C2B">
            <w:pPr>
              <w:rPr>
                <w:sz w:val="24"/>
                <w:szCs w:val="24"/>
                <w:lang w:val="en-GB" w:eastAsia="it-IT"/>
              </w:rPr>
            </w:pPr>
          </w:p>
        </w:tc>
        <w:tc>
          <w:tcPr>
            <w:tcW w:w="2412" w:type="pct"/>
            <w:tcBorders>
              <w:top w:val="single" w:sz="4" w:space="0" w:color="auto"/>
              <w:left w:val="single" w:sz="4" w:space="0" w:color="auto"/>
              <w:bottom w:val="single" w:sz="4" w:space="0" w:color="auto"/>
              <w:right w:val="single" w:sz="4" w:space="0" w:color="auto"/>
            </w:tcBorders>
            <w:hideMark/>
          </w:tcPr>
          <w:p w14:paraId="4A55018E" w14:textId="77777777" w:rsidR="00FF3ABF" w:rsidRPr="00A03EED" w:rsidRDefault="00FF3ABF" w:rsidP="00694C2B">
            <w:pPr>
              <w:rPr>
                <w:sz w:val="24"/>
                <w:szCs w:val="24"/>
                <w:lang w:val="en-GB"/>
              </w:rPr>
            </w:pPr>
            <w:r w:rsidRPr="00A03EED">
              <w:rPr>
                <w:sz w:val="24"/>
                <w:szCs w:val="24"/>
                <w:lang w:val="en-GB"/>
              </w:rPr>
              <w:t>Hyperventilation, hypoxia, sinusitis</w:t>
            </w:r>
          </w:p>
        </w:tc>
        <w:tc>
          <w:tcPr>
            <w:tcW w:w="876" w:type="pct"/>
            <w:tcBorders>
              <w:top w:val="single" w:sz="4" w:space="0" w:color="auto"/>
              <w:left w:val="single" w:sz="4" w:space="0" w:color="auto"/>
              <w:bottom w:val="single" w:sz="4" w:space="0" w:color="auto"/>
              <w:right w:val="single" w:sz="4" w:space="0" w:color="auto"/>
            </w:tcBorders>
            <w:hideMark/>
          </w:tcPr>
          <w:p w14:paraId="3A29706A" w14:textId="77777777" w:rsidR="00FF3ABF" w:rsidRPr="00A03EED" w:rsidRDefault="00FF3ABF" w:rsidP="00694C2B">
            <w:pPr>
              <w:rPr>
                <w:sz w:val="24"/>
                <w:szCs w:val="24"/>
                <w:lang w:val="en-GB"/>
              </w:rPr>
            </w:pPr>
            <w:r w:rsidRPr="00A03EED">
              <w:rPr>
                <w:sz w:val="24"/>
                <w:szCs w:val="24"/>
                <w:lang w:val="en-GB"/>
              </w:rPr>
              <w:t>Very rare</w:t>
            </w:r>
          </w:p>
        </w:tc>
      </w:tr>
      <w:tr w:rsidR="00FF3ABF" w:rsidRPr="00A03EED" w14:paraId="67012C69" w14:textId="77777777" w:rsidTr="00512C2F">
        <w:tc>
          <w:tcPr>
            <w:tcW w:w="1712" w:type="pct"/>
            <w:vMerge w:val="restart"/>
            <w:tcBorders>
              <w:top w:val="single" w:sz="4" w:space="0" w:color="auto"/>
              <w:left w:val="single" w:sz="4" w:space="0" w:color="auto"/>
              <w:bottom w:val="single" w:sz="4" w:space="0" w:color="auto"/>
              <w:right w:val="single" w:sz="4" w:space="0" w:color="auto"/>
            </w:tcBorders>
            <w:hideMark/>
          </w:tcPr>
          <w:p w14:paraId="09A2EFE8" w14:textId="77777777" w:rsidR="00FF3ABF" w:rsidRPr="00A03EED" w:rsidRDefault="00FF3ABF" w:rsidP="00694C2B">
            <w:pPr>
              <w:rPr>
                <w:sz w:val="24"/>
                <w:szCs w:val="24"/>
                <w:lang w:val="en-GB"/>
              </w:rPr>
            </w:pPr>
            <w:r w:rsidRPr="00A03EED">
              <w:rPr>
                <w:sz w:val="24"/>
                <w:szCs w:val="24"/>
                <w:lang w:val="en-GB"/>
              </w:rPr>
              <w:t>Gastrointestinal disorders</w:t>
            </w:r>
          </w:p>
        </w:tc>
        <w:tc>
          <w:tcPr>
            <w:tcW w:w="2412" w:type="pct"/>
            <w:tcBorders>
              <w:top w:val="single" w:sz="4" w:space="0" w:color="auto"/>
              <w:left w:val="single" w:sz="4" w:space="0" w:color="auto"/>
              <w:bottom w:val="single" w:sz="4" w:space="0" w:color="auto"/>
              <w:right w:val="single" w:sz="4" w:space="0" w:color="auto"/>
            </w:tcBorders>
            <w:hideMark/>
          </w:tcPr>
          <w:p w14:paraId="4ADA45D0" w14:textId="77777777" w:rsidR="00FF3ABF" w:rsidRPr="00A03EED" w:rsidRDefault="00FF3ABF" w:rsidP="00694C2B">
            <w:pPr>
              <w:rPr>
                <w:sz w:val="24"/>
                <w:szCs w:val="24"/>
                <w:lang w:val="en-GB"/>
              </w:rPr>
            </w:pPr>
            <w:r w:rsidRPr="00A03EED">
              <w:rPr>
                <w:sz w:val="24"/>
                <w:szCs w:val="24"/>
                <w:lang w:val="en-GB"/>
              </w:rPr>
              <w:t>Dysgeusia, mouth ulceration vomiting, nausea</w:t>
            </w:r>
          </w:p>
        </w:tc>
        <w:tc>
          <w:tcPr>
            <w:tcW w:w="876" w:type="pct"/>
            <w:tcBorders>
              <w:top w:val="single" w:sz="4" w:space="0" w:color="auto"/>
              <w:left w:val="single" w:sz="4" w:space="0" w:color="auto"/>
              <w:bottom w:val="single" w:sz="4" w:space="0" w:color="auto"/>
              <w:right w:val="single" w:sz="4" w:space="0" w:color="auto"/>
            </w:tcBorders>
            <w:hideMark/>
          </w:tcPr>
          <w:p w14:paraId="32B50EAF" w14:textId="77777777" w:rsidR="00FF3ABF" w:rsidRPr="00A03EED" w:rsidRDefault="00FF3ABF" w:rsidP="00694C2B">
            <w:pPr>
              <w:rPr>
                <w:sz w:val="24"/>
                <w:szCs w:val="24"/>
                <w:lang w:val="en-GB"/>
              </w:rPr>
            </w:pPr>
            <w:r w:rsidRPr="00A03EED">
              <w:rPr>
                <w:sz w:val="24"/>
                <w:szCs w:val="24"/>
                <w:lang w:val="en-GB"/>
              </w:rPr>
              <w:t>Rare</w:t>
            </w:r>
          </w:p>
        </w:tc>
      </w:tr>
      <w:tr w:rsidR="00FF3ABF" w:rsidRPr="00A03EED" w14:paraId="0B526B00" w14:textId="77777777" w:rsidTr="00512C2F">
        <w:tc>
          <w:tcPr>
            <w:tcW w:w="1712" w:type="pct"/>
            <w:vMerge/>
            <w:tcBorders>
              <w:top w:val="single" w:sz="4" w:space="0" w:color="auto"/>
              <w:left w:val="single" w:sz="4" w:space="0" w:color="auto"/>
              <w:bottom w:val="single" w:sz="4" w:space="0" w:color="auto"/>
              <w:right w:val="single" w:sz="4" w:space="0" w:color="auto"/>
            </w:tcBorders>
            <w:vAlign w:val="center"/>
            <w:hideMark/>
          </w:tcPr>
          <w:p w14:paraId="33119402" w14:textId="77777777" w:rsidR="00FF3ABF" w:rsidRPr="00A03EED" w:rsidRDefault="00FF3ABF" w:rsidP="00694C2B">
            <w:pPr>
              <w:rPr>
                <w:sz w:val="24"/>
                <w:szCs w:val="24"/>
                <w:lang w:val="en-GB" w:eastAsia="it-IT"/>
              </w:rPr>
            </w:pPr>
          </w:p>
        </w:tc>
        <w:tc>
          <w:tcPr>
            <w:tcW w:w="2412" w:type="pct"/>
            <w:tcBorders>
              <w:top w:val="single" w:sz="4" w:space="0" w:color="auto"/>
              <w:left w:val="single" w:sz="4" w:space="0" w:color="auto"/>
              <w:bottom w:val="single" w:sz="4" w:space="0" w:color="auto"/>
              <w:right w:val="single" w:sz="4" w:space="0" w:color="auto"/>
            </w:tcBorders>
            <w:hideMark/>
          </w:tcPr>
          <w:p w14:paraId="4467DEBA" w14:textId="77777777" w:rsidR="00FF3ABF" w:rsidRPr="00A03EED" w:rsidRDefault="00FF3ABF" w:rsidP="00694C2B">
            <w:pPr>
              <w:rPr>
                <w:sz w:val="24"/>
                <w:szCs w:val="24"/>
                <w:lang w:val="en-GB"/>
              </w:rPr>
            </w:pPr>
            <w:r w:rsidRPr="00A03EED">
              <w:rPr>
                <w:sz w:val="24"/>
                <w:szCs w:val="24"/>
                <w:lang w:val="en-GB"/>
              </w:rPr>
              <w:t>Diarrhoea, abdominal pain</w:t>
            </w:r>
          </w:p>
        </w:tc>
        <w:tc>
          <w:tcPr>
            <w:tcW w:w="876" w:type="pct"/>
            <w:tcBorders>
              <w:top w:val="single" w:sz="4" w:space="0" w:color="auto"/>
              <w:left w:val="single" w:sz="4" w:space="0" w:color="auto"/>
              <w:bottom w:val="single" w:sz="4" w:space="0" w:color="auto"/>
              <w:right w:val="single" w:sz="4" w:space="0" w:color="auto"/>
            </w:tcBorders>
            <w:hideMark/>
          </w:tcPr>
          <w:p w14:paraId="5FD862C8" w14:textId="77777777" w:rsidR="00FF3ABF" w:rsidRPr="00A03EED" w:rsidRDefault="00FF3ABF" w:rsidP="00694C2B">
            <w:pPr>
              <w:rPr>
                <w:sz w:val="24"/>
                <w:szCs w:val="24"/>
                <w:lang w:val="en-GB"/>
              </w:rPr>
            </w:pPr>
            <w:r w:rsidRPr="00A03EED">
              <w:rPr>
                <w:sz w:val="24"/>
                <w:szCs w:val="24"/>
                <w:lang w:val="en-GB"/>
              </w:rPr>
              <w:t>Very rare</w:t>
            </w:r>
          </w:p>
        </w:tc>
      </w:tr>
      <w:tr w:rsidR="00FF3ABF" w:rsidRPr="00A03EED" w14:paraId="3B1807DF" w14:textId="77777777" w:rsidTr="00512C2F">
        <w:trPr>
          <w:trHeight w:val="278"/>
        </w:trPr>
        <w:tc>
          <w:tcPr>
            <w:tcW w:w="1712" w:type="pct"/>
            <w:vMerge w:val="restart"/>
            <w:tcBorders>
              <w:top w:val="single" w:sz="4" w:space="0" w:color="auto"/>
              <w:left w:val="single" w:sz="4" w:space="0" w:color="auto"/>
              <w:bottom w:val="single" w:sz="4" w:space="0" w:color="auto"/>
              <w:right w:val="single" w:sz="4" w:space="0" w:color="auto"/>
            </w:tcBorders>
            <w:hideMark/>
          </w:tcPr>
          <w:p w14:paraId="73DF9864" w14:textId="77777777" w:rsidR="00FF3ABF" w:rsidRPr="00A03EED" w:rsidRDefault="00FF3ABF" w:rsidP="00694C2B">
            <w:pPr>
              <w:rPr>
                <w:strike/>
                <w:sz w:val="24"/>
                <w:szCs w:val="24"/>
                <w:lang w:val="en-GB"/>
              </w:rPr>
            </w:pPr>
            <w:r w:rsidRPr="00A03EED">
              <w:rPr>
                <w:sz w:val="24"/>
                <w:szCs w:val="24"/>
                <w:lang w:val="en-GB"/>
              </w:rPr>
              <w:t>Skin and subcutaneous tissue disorders</w:t>
            </w:r>
          </w:p>
        </w:tc>
        <w:tc>
          <w:tcPr>
            <w:tcW w:w="2412" w:type="pct"/>
            <w:tcBorders>
              <w:top w:val="single" w:sz="4" w:space="0" w:color="auto"/>
              <w:left w:val="single" w:sz="4" w:space="0" w:color="auto"/>
              <w:bottom w:val="single" w:sz="4" w:space="0" w:color="auto"/>
              <w:right w:val="single" w:sz="4" w:space="0" w:color="auto"/>
            </w:tcBorders>
            <w:hideMark/>
          </w:tcPr>
          <w:p w14:paraId="63E639C6" w14:textId="77777777" w:rsidR="00FF3ABF" w:rsidRPr="00A03EED" w:rsidRDefault="00FF3ABF" w:rsidP="00694C2B">
            <w:pPr>
              <w:rPr>
                <w:sz w:val="24"/>
                <w:szCs w:val="24"/>
                <w:lang w:val="en-GB"/>
              </w:rPr>
            </w:pPr>
            <w:r w:rsidRPr="00A03EED">
              <w:rPr>
                <w:sz w:val="24"/>
                <w:szCs w:val="24"/>
                <w:lang w:val="en-GB"/>
              </w:rPr>
              <w:t>Rash</w:t>
            </w:r>
          </w:p>
        </w:tc>
        <w:tc>
          <w:tcPr>
            <w:tcW w:w="876" w:type="pct"/>
            <w:tcBorders>
              <w:top w:val="single" w:sz="4" w:space="0" w:color="auto"/>
              <w:left w:val="single" w:sz="4" w:space="0" w:color="auto"/>
              <w:bottom w:val="single" w:sz="4" w:space="0" w:color="auto"/>
              <w:right w:val="single" w:sz="4" w:space="0" w:color="auto"/>
            </w:tcBorders>
            <w:hideMark/>
          </w:tcPr>
          <w:p w14:paraId="12434E1A" w14:textId="77777777" w:rsidR="00FF3ABF" w:rsidRPr="00A03EED" w:rsidRDefault="00FF3ABF" w:rsidP="00694C2B">
            <w:pPr>
              <w:rPr>
                <w:sz w:val="24"/>
                <w:szCs w:val="24"/>
                <w:lang w:val="en-GB"/>
              </w:rPr>
            </w:pPr>
            <w:r w:rsidRPr="00A03EED">
              <w:rPr>
                <w:sz w:val="24"/>
                <w:szCs w:val="24"/>
                <w:lang w:val="en-GB"/>
              </w:rPr>
              <w:t>Rare</w:t>
            </w:r>
          </w:p>
        </w:tc>
      </w:tr>
      <w:tr w:rsidR="00FF3ABF" w:rsidRPr="00A03EED" w14:paraId="12B77740" w14:textId="77777777" w:rsidTr="00512C2F">
        <w:trPr>
          <w:trHeight w:val="277"/>
        </w:trPr>
        <w:tc>
          <w:tcPr>
            <w:tcW w:w="1712" w:type="pct"/>
            <w:vMerge/>
            <w:tcBorders>
              <w:top w:val="single" w:sz="4" w:space="0" w:color="auto"/>
              <w:left w:val="single" w:sz="4" w:space="0" w:color="auto"/>
              <w:bottom w:val="single" w:sz="4" w:space="0" w:color="auto"/>
              <w:right w:val="single" w:sz="4" w:space="0" w:color="auto"/>
            </w:tcBorders>
            <w:vAlign w:val="center"/>
            <w:hideMark/>
          </w:tcPr>
          <w:p w14:paraId="23F2DA58" w14:textId="77777777" w:rsidR="00FF3ABF" w:rsidRPr="00A03EED" w:rsidRDefault="00FF3ABF" w:rsidP="00694C2B">
            <w:pPr>
              <w:rPr>
                <w:strike/>
                <w:sz w:val="24"/>
                <w:szCs w:val="24"/>
                <w:lang w:val="en-GB" w:eastAsia="it-IT"/>
              </w:rPr>
            </w:pPr>
          </w:p>
        </w:tc>
        <w:tc>
          <w:tcPr>
            <w:tcW w:w="2412" w:type="pct"/>
            <w:tcBorders>
              <w:top w:val="single" w:sz="4" w:space="0" w:color="auto"/>
              <w:left w:val="single" w:sz="4" w:space="0" w:color="auto"/>
              <w:bottom w:val="single" w:sz="4" w:space="0" w:color="auto"/>
              <w:right w:val="single" w:sz="4" w:space="0" w:color="auto"/>
            </w:tcBorders>
            <w:hideMark/>
          </w:tcPr>
          <w:p w14:paraId="36AF1DC3" w14:textId="77777777" w:rsidR="00FF3ABF" w:rsidRPr="00A03EED" w:rsidRDefault="00FF3ABF" w:rsidP="00694C2B">
            <w:pPr>
              <w:rPr>
                <w:sz w:val="24"/>
                <w:szCs w:val="24"/>
                <w:lang w:val="en-GB"/>
              </w:rPr>
            </w:pPr>
            <w:r w:rsidRPr="00A03EED">
              <w:rPr>
                <w:sz w:val="24"/>
                <w:szCs w:val="24"/>
                <w:lang w:val="en-GB"/>
              </w:rPr>
              <w:t>Urticaria, pruritus</w:t>
            </w:r>
          </w:p>
        </w:tc>
        <w:tc>
          <w:tcPr>
            <w:tcW w:w="876" w:type="pct"/>
            <w:tcBorders>
              <w:top w:val="single" w:sz="4" w:space="0" w:color="auto"/>
              <w:left w:val="single" w:sz="4" w:space="0" w:color="auto"/>
              <w:bottom w:val="single" w:sz="4" w:space="0" w:color="auto"/>
              <w:right w:val="single" w:sz="4" w:space="0" w:color="auto"/>
            </w:tcBorders>
            <w:hideMark/>
          </w:tcPr>
          <w:p w14:paraId="771599BA" w14:textId="77777777" w:rsidR="00FF3ABF" w:rsidRPr="00A03EED" w:rsidRDefault="00FF3ABF" w:rsidP="00694C2B">
            <w:pPr>
              <w:rPr>
                <w:sz w:val="24"/>
                <w:szCs w:val="24"/>
                <w:lang w:val="en-GB"/>
              </w:rPr>
            </w:pPr>
            <w:r w:rsidRPr="00A03EED">
              <w:rPr>
                <w:sz w:val="24"/>
                <w:szCs w:val="24"/>
                <w:lang w:val="en-GB"/>
              </w:rPr>
              <w:t>Very rare</w:t>
            </w:r>
          </w:p>
        </w:tc>
      </w:tr>
      <w:tr w:rsidR="00FF3ABF" w:rsidRPr="00A03EED" w14:paraId="1E921187" w14:textId="77777777" w:rsidTr="00512C2F">
        <w:tc>
          <w:tcPr>
            <w:tcW w:w="1712" w:type="pct"/>
            <w:tcBorders>
              <w:top w:val="single" w:sz="4" w:space="0" w:color="auto"/>
              <w:left w:val="single" w:sz="4" w:space="0" w:color="auto"/>
              <w:bottom w:val="single" w:sz="4" w:space="0" w:color="auto"/>
              <w:right w:val="single" w:sz="4" w:space="0" w:color="auto"/>
            </w:tcBorders>
            <w:hideMark/>
          </w:tcPr>
          <w:p w14:paraId="23667D56" w14:textId="77777777" w:rsidR="00FF3ABF" w:rsidRPr="00A03EED" w:rsidRDefault="00FF3ABF" w:rsidP="00694C2B">
            <w:pPr>
              <w:rPr>
                <w:strike/>
                <w:sz w:val="24"/>
                <w:szCs w:val="24"/>
                <w:lang w:val="en-GB"/>
              </w:rPr>
            </w:pPr>
            <w:proofErr w:type="spellStart"/>
            <w:r w:rsidRPr="00A03EED">
              <w:rPr>
                <w:sz w:val="24"/>
                <w:szCs w:val="24"/>
                <w:lang w:val="en-GB"/>
              </w:rPr>
              <w:t>Musculo</w:t>
            </w:r>
            <w:proofErr w:type="spellEnd"/>
            <w:r w:rsidRPr="00A03EED">
              <w:rPr>
                <w:sz w:val="24"/>
                <w:szCs w:val="24"/>
                <w:lang w:val="en-GB"/>
              </w:rPr>
              <w:t>-skeletal, connective tissue and bone disorders</w:t>
            </w:r>
          </w:p>
        </w:tc>
        <w:tc>
          <w:tcPr>
            <w:tcW w:w="2412" w:type="pct"/>
            <w:tcBorders>
              <w:top w:val="single" w:sz="4" w:space="0" w:color="auto"/>
              <w:left w:val="single" w:sz="4" w:space="0" w:color="auto"/>
              <w:bottom w:val="single" w:sz="4" w:space="0" w:color="auto"/>
              <w:right w:val="single" w:sz="4" w:space="0" w:color="auto"/>
            </w:tcBorders>
            <w:hideMark/>
          </w:tcPr>
          <w:p w14:paraId="2DE310BA" w14:textId="77777777" w:rsidR="00FF3ABF" w:rsidRPr="00A03EED" w:rsidRDefault="00FF3ABF" w:rsidP="00694C2B">
            <w:pPr>
              <w:rPr>
                <w:sz w:val="24"/>
                <w:szCs w:val="24"/>
                <w:lang w:val="en-GB"/>
              </w:rPr>
            </w:pPr>
            <w:r w:rsidRPr="00A03EED">
              <w:rPr>
                <w:sz w:val="24"/>
                <w:szCs w:val="24"/>
                <w:lang w:val="en-GB"/>
              </w:rPr>
              <w:t>Back pain</w:t>
            </w:r>
          </w:p>
        </w:tc>
        <w:tc>
          <w:tcPr>
            <w:tcW w:w="876" w:type="pct"/>
            <w:tcBorders>
              <w:top w:val="single" w:sz="4" w:space="0" w:color="auto"/>
              <w:left w:val="single" w:sz="4" w:space="0" w:color="auto"/>
              <w:bottom w:val="single" w:sz="4" w:space="0" w:color="auto"/>
              <w:right w:val="single" w:sz="4" w:space="0" w:color="auto"/>
            </w:tcBorders>
            <w:hideMark/>
          </w:tcPr>
          <w:p w14:paraId="7B058A28" w14:textId="77777777" w:rsidR="00FF3ABF" w:rsidRPr="00A03EED" w:rsidRDefault="00FF3ABF" w:rsidP="00694C2B">
            <w:pPr>
              <w:rPr>
                <w:sz w:val="24"/>
                <w:szCs w:val="24"/>
                <w:lang w:val="en-GB"/>
              </w:rPr>
            </w:pPr>
            <w:r w:rsidRPr="00A03EED">
              <w:rPr>
                <w:sz w:val="24"/>
                <w:szCs w:val="24"/>
                <w:lang w:val="en-GB"/>
              </w:rPr>
              <w:t>Very rare</w:t>
            </w:r>
          </w:p>
        </w:tc>
      </w:tr>
      <w:tr w:rsidR="00FF3ABF" w:rsidRPr="00A03EED" w14:paraId="34C1E447" w14:textId="77777777" w:rsidTr="00512C2F">
        <w:tc>
          <w:tcPr>
            <w:tcW w:w="1712" w:type="pct"/>
            <w:vMerge w:val="restart"/>
            <w:tcBorders>
              <w:top w:val="single" w:sz="4" w:space="0" w:color="auto"/>
              <w:left w:val="single" w:sz="4" w:space="0" w:color="auto"/>
              <w:bottom w:val="single" w:sz="4" w:space="0" w:color="auto"/>
              <w:right w:val="single" w:sz="4" w:space="0" w:color="auto"/>
            </w:tcBorders>
            <w:hideMark/>
          </w:tcPr>
          <w:p w14:paraId="64B71838" w14:textId="77777777" w:rsidR="00FF3ABF" w:rsidRPr="00A03EED" w:rsidRDefault="00FF3ABF" w:rsidP="00694C2B">
            <w:pPr>
              <w:rPr>
                <w:sz w:val="24"/>
                <w:szCs w:val="24"/>
                <w:lang w:val="en-GB"/>
              </w:rPr>
            </w:pPr>
            <w:r w:rsidRPr="00A03EED">
              <w:rPr>
                <w:sz w:val="24"/>
                <w:szCs w:val="24"/>
                <w:lang w:val="en-GB"/>
              </w:rPr>
              <w:t>General disorders and administration site conditions</w:t>
            </w:r>
          </w:p>
        </w:tc>
        <w:tc>
          <w:tcPr>
            <w:tcW w:w="2412" w:type="pct"/>
            <w:tcBorders>
              <w:top w:val="single" w:sz="4" w:space="0" w:color="auto"/>
              <w:left w:val="single" w:sz="4" w:space="0" w:color="auto"/>
              <w:bottom w:val="single" w:sz="4" w:space="0" w:color="auto"/>
              <w:right w:val="single" w:sz="4" w:space="0" w:color="auto"/>
            </w:tcBorders>
            <w:hideMark/>
          </w:tcPr>
          <w:p w14:paraId="5F2914AD" w14:textId="77777777" w:rsidR="00FF3ABF" w:rsidRPr="00A03EED" w:rsidRDefault="00FF3ABF" w:rsidP="00694C2B">
            <w:pPr>
              <w:rPr>
                <w:sz w:val="24"/>
                <w:szCs w:val="24"/>
                <w:lang w:val="en-GB"/>
              </w:rPr>
            </w:pPr>
            <w:r w:rsidRPr="00A03EED">
              <w:rPr>
                <w:sz w:val="24"/>
                <w:szCs w:val="24"/>
                <w:lang w:val="en-GB"/>
              </w:rPr>
              <w:t>Asthenia, pyrexia, chest pain, pain, nausea</w:t>
            </w:r>
          </w:p>
        </w:tc>
        <w:tc>
          <w:tcPr>
            <w:tcW w:w="876" w:type="pct"/>
            <w:tcBorders>
              <w:top w:val="single" w:sz="4" w:space="0" w:color="auto"/>
              <w:left w:val="single" w:sz="4" w:space="0" w:color="auto"/>
              <w:bottom w:val="single" w:sz="4" w:space="0" w:color="auto"/>
              <w:right w:val="single" w:sz="4" w:space="0" w:color="auto"/>
            </w:tcBorders>
            <w:hideMark/>
          </w:tcPr>
          <w:p w14:paraId="460B261C" w14:textId="77777777" w:rsidR="00FF3ABF" w:rsidRPr="00A03EED" w:rsidRDefault="00FF3ABF" w:rsidP="00694C2B">
            <w:pPr>
              <w:rPr>
                <w:sz w:val="24"/>
                <w:szCs w:val="24"/>
                <w:lang w:val="en-GB"/>
              </w:rPr>
            </w:pPr>
            <w:r w:rsidRPr="00A03EED">
              <w:rPr>
                <w:sz w:val="24"/>
                <w:szCs w:val="24"/>
                <w:lang w:val="en-GB"/>
              </w:rPr>
              <w:t>Rare</w:t>
            </w:r>
          </w:p>
        </w:tc>
      </w:tr>
      <w:tr w:rsidR="00FF3ABF" w:rsidRPr="00A03EED" w14:paraId="4741C1B3" w14:textId="77777777" w:rsidTr="00512C2F">
        <w:tc>
          <w:tcPr>
            <w:tcW w:w="1712" w:type="pct"/>
            <w:vMerge/>
            <w:tcBorders>
              <w:top w:val="single" w:sz="4" w:space="0" w:color="auto"/>
              <w:left w:val="single" w:sz="4" w:space="0" w:color="auto"/>
              <w:bottom w:val="single" w:sz="4" w:space="0" w:color="auto"/>
              <w:right w:val="single" w:sz="4" w:space="0" w:color="auto"/>
            </w:tcBorders>
            <w:vAlign w:val="center"/>
            <w:hideMark/>
          </w:tcPr>
          <w:p w14:paraId="0D5F450C" w14:textId="77777777" w:rsidR="00FF3ABF" w:rsidRPr="00A03EED" w:rsidRDefault="00FF3ABF" w:rsidP="00694C2B">
            <w:pPr>
              <w:rPr>
                <w:sz w:val="24"/>
                <w:szCs w:val="24"/>
                <w:lang w:val="en-GB" w:eastAsia="it-IT"/>
              </w:rPr>
            </w:pPr>
          </w:p>
        </w:tc>
        <w:tc>
          <w:tcPr>
            <w:tcW w:w="2412" w:type="pct"/>
            <w:tcBorders>
              <w:top w:val="single" w:sz="4" w:space="0" w:color="auto"/>
              <w:left w:val="single" w:sz="4" w:space="0" w:color="auto"/>
              <w:bottom w:val="single" w:sz="4" w:space="0" w:color="auto"/>
              <w:right w:val="single" w:sz="4" w:space="0" w:color="auto"/>
            </w:tcBorders>
            <w:hideMark/>
          </w:tcPr>
          <w:p w14:paraId="1AE89B41" w14:textId="77777777" w:rsidR="00FF3ABF" w:rsidRPr="00A03EED" w:rsidRDefault="00FF3ABF" w:rsidP="00694C2B">
            <w:pPr>
              <w:rPr>
                <w:sz w:val="24"/>
                <w:szCs w:val="24"/>
                <w:lang w:val="en-GB"/>
              </w:rPr>
            </w:pPr>
            <w:r w:rsidRPr="00A03EED">
              <w:rPr>
                <w:sz w:val="24"/>
                <w:szCs w:val="24"/>
                <w:lang w:val="en-GB"/>
              </w:rPr>
              <w:t>Malaise</w:t>
            </w:r>
          </w:p>
        </w:tc>
        <w:tc>
          <w:tcPr>
            <w:tcW w:w="876" w:type="pct"/>
            <w:tcBorders>
              <w:top w:val="single" w:sz="4" w:space="0" w:color="auto"/>
              <w:left w:val="single" w:sz="4" w:space="0" w:color="auto"/>
              <w:bottom w:val="single" w:sz="4" w:space="0" w:color="auto"/>
              <w:right w:val="single" w:sz="4" w:space="0" w:color="auto"/>
            </w:tcBorders>
            <w:hideMark/>
          </w:tcPr>
          <w:p w14:paraId="6898C170" w14:textId="77777777" w:rsidR="00FF3ABF" w:rsidRPr="00A03EED" w:rsidRDefault="00FF3ABF" w:rsidP="00694C2B">
            <w:pPr>
              <w:rPr>
                <w:sz w:val="24"/>
                <w:szCs w:val="24"/>
                <w:lang w:val="en-GB"/>
              </w:rPr>
            </w:pPr>
            <w:r w:rsidRPr="00A03EED">
              <w:rPr>
                <w:sz w:val="24"/>
                <w:szCs w:val="24"/>
                <w:lang w:val="en-GB"/>
              </w:rPr>
              <w:t>Very rare</w:t>
            </w:r>
          </w:p>
        </w:tc>
      </w:tr>
      <w:tr w:rsidR="00FF3ABF" w:rsidRPr="00A03EED" w14:paraId="5DA9629D" w14:textId="77777777" w:rsidTr="00512C2F">
        <w:tc>
          <w:tcPr>
            <w:tcW w:w="1712" w:type="pct"/>
            <w:tcBorders>
              <w:top w:val="single" w:sz="4" w:space="0" w:color="auto"/>
              <w:left w:val="single" w:sz="4" w:space="0" w:color="auto"/>
              <w:bottom w:val="single" w:sz="4" w:space="0" w:color="auto"/>
              <w:right w:val="single" w:sz="4" w:space="0" w:color="auto"/>
            </w:tcBorders>
            <w:hideMark/>
          </w:tcPr>
          <w:p w14:paraId="40B0CBF7" w14:textId="77777777" w:rsidR="00FF3ABF" w:rsidRPr="00A03EED" w:rsidRDefault="00FF3ABF" w:rsidP="00694C2B">
            <w:pPr>
              <w:rPr>
                <w:sz w:val="24"/>
                <w:szCs w:val="24"/>
                <w:lang w:val="en-GB"/>
              </w:rPr>
            </w:pPr>
            <w:r w:rsidRPr="00A03EED">
              <w:rPr>
                <w:sz w:val="24"/>
                <w:szCs w:val="24"/>
                <w:lang w:val="en-GB"/>
              </w:rPr>
              <w:t>Investigations</w:t>
            </w:r>
          </w:p>
        </w:tc>
        <w:tc>
          <w:tcPr>
            <w:tcW w:w="2412" w:type="pct"/>
            <w:tcBorders>
              <w:top w:val="single" w:sz="4" w:space="0" w:color="auto"/>
              <w:left w:val="single" w:sz="4" w:space="0" w:color="auto"/>
              <w:bottom w:val="single" w:sz="4" w:space="0" w:color="auto"/>
              <w:right w:val="single" w:sz="4" w:space="0" w:color="auto"/>
            </w:tcBorders>
            <w:hideMark/>
          </w:tcPr>
          <w:p w14:paraId="598D97B3" w14:textId="77777777" w:rsidR="00FF3ABF" w:rsidRPr="00A03EED" w:rsidRDefault="00FF3ABF" w:rsidP="00694C2B">
            <w:pPr>
              <w:rPr>
                <w:sz w:val="24"/>
                <w:szCs w:val="24"/>
                <w:lang w:val="en-GB"/>
              </w:rPr>
            </w:pPr>
            <w:r w:rsidRPr="00A03EED">
              <w:rPr>
                <w:sz w:val="24"/>
                <w:szCs w:val="24"/>
                <w:lang w:val="en-GB"/>
              </w:rPr>
              <w:t>Pulmonary function test decreased</w:t>
            </w:r>
          </w:p>
        </w:tc>
        <w:tc>
          <w:tcPr>
            <w:tcW w:w="876" w:type="pct"/>
            <w:tcBorders>
              <w:top w:val="single" w:sz="4" w:space="0" w:color="auto"/>
              <w:left w:val="single" w:sz="4" w:space="0" w:color="auto"/>
              <w:bottom w:val="single" w:sz="4" w:space="0" w:color="auto"/>
              <w:right w:val="single" w:sz="4" w:space="0" w:color="auto"/>
            </w:tcBorders>
            <w:hideMark/>
          </w:tcPr>
          <w:p w14:paraId="2801871E" w14:textId="77777777" w:rsidR="00FF3ABF" w:rsidRPr="00A03EED" w:rsidRDefault="00FF3ABF" w:rsidP="00694C2B">
            <w:pPr>
              <w:rPr>
                <w:sz w:val="24"/>
                <w:szCs w:val="24"/>
                <w:lang w:val="en-GB"/>
              </w:rPr>
            </w:pPr>
            <w:r w:rsidRPr="00A03EED">
              <w:rPr>
                <w:sz w:val="24"/>
                <w:szCs w:val="24"/>
                <w:lang w:val="en-GB"/>
              </w:rPr>
              <w:t>Rare</w:t>
            </w:r>
          </w:p>
        </w:tc>
      </w:tr>
    </w:tbl>
    <w:p w14:paraId="4638FD46" w14:textId="77777777" w:rsidR="00FF3ABF" w:rsidRPr="00A03EED" w:rsidRDefault="00FF3ABF" w:rsidP="00694C2B">
      <w:pPr>
        <w:ind w:left="851"/>
        <w:rPr>
          <w:sz w:val="24"/>
          <w:szCs w:val="24"/>
          <w:lang w:val="en-GB" w:eastAsia="it-IT"/>
        </w:rPr>
      </w:pPr>
    </w:p>
    <w:p w14:paraId="135930E9" w14:textId="77777777" w:rsidR="00FF3ABF" w:rsidRPr="00A03EED" w:rsidRDefault="00FF3ABF" w:rsidP="00694C2B">
      <w:pPr>
        <w:ind w:left="851"/>
        <w:rPr>
          <w:sz w:val="24"/>
          <w:szCs w:val="24"/>
          <w:lang w:val="en-GB"/>
        </w:rPr>
      </w:pPr>
      <w:r w:rsidRPr="00A03EED">
        <w:rPr>
          <w:sz w:val="24"/>
          <w:szCs w:val="24"/>
          <w:lang w:val="en-GB"/>
        </w:rPr>
        <w:t xml:space="preserve">In open label studies and post-marketing experience, some patients with a history of prolonged previous or concomitant use of intravenous aminoglycosides have experienced hearing loss (see 4.4). </w:t>
      </w:r>
    </w:p>
    <w:p w14:paraId="5FB62340" w14:textId="77777777" w:rsidR="00FF3ABF" w:rsidRPr="00A03EED" w:rsidRDefault="00FF3ABF" w:rsidP="00694C2B">
      <w:pPr>
        <w:ind w:left="851"/>
        <w:rPr>
          <w:sz w:val="24"/>
          <w:szCs w:val="24"/>
          <w:lang w:val="en-GB"/>
        </w:rPr>
      </w:pPr>
      <w:r w:rsidRPr="00A03EED">
        <w:rPr>
          <w:sz w:val="24"/>
          <w:szCs w:val="24"/>
          <w:lang w:val="en-GB"/>
        </w:rPr>
        <w:t>Parenteral aminoglycosides have been associated with hypersensitivity, ototoxicity and nephrotoxicity (see sections 4.3 “Contraindications” and 4.4 “Special warnings and precautions for use”).</w:t>
      </w:r>
    </w:p>
    <w:p w14:paraId="69732876" w14:textId="77777777" w:rsidR="00FF3ABF" w:rsidRPr="00A03EED" w:rsidRDefault="00FF3ABF" w:rsidP="00694C2B">
      <w:pPr>
        <w:ind w:left="851"/>
        <w:rPr>
          <w:sz w:val="24"/>
          <w:szCs w:val="24"/>
          <w:lang w:val="en-GB"/>
        </w:rPr>
      </w:pPr>
    </w:p>
    <w:p w14:paraId="641ABECB" w14:textId="77777777" w:rsidR="007109E4" w:rsidRPr="00A03EED" w:rsidRDefault="007109E4" w:rsidP="007109E4">
      <w:pPr>
        <w:ind w:left="851"/>
        <w:rPr>
          <w:sz w:val="24"/>
          <w:szCs w:val="24"/>
          <w:u w:val="single"/>
          <w:lang w:val="en-GB"/>
        </w:rPr>
      </w:pPr>
      <w:r w:rsidRPr="00A03EED">
        <w:rPr>
          <w:sz w:val="24"/>
          <w:szCs w:val="24"/>
          <w:u w:val="single"/>
          <w:lang w:val="en-GB"/>
        </w:rPr>
        <w:t>Reporting of suspected adverse reactions</w:t>
      </w:r>
    </w:p>
    <w:p w14:paraId="711668CE" w14:textId="77777777" w:rsidR="007109E4" w:rsidRPr="00A03EED" w:rsidRDefault="007109E4" w:rsidP="007109E4">
      <w:pPr>
        <w:ind w:left="851"/>
        <w:rPr>
          <w:sz w:val="24"/>
          <w:szCs w:val="24"/>
          <w:lang w:val="en-GB"/>
        </w:rPr>
      </w:pPr>
      <w:r w:rsidRPr="00A03EED">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3BF98BB" w14:textId="77777777" w:rsidR="007109E4" w:rsidRPr="00A03EED" w:rsidRDefault="007109E4" w:rsidP="007109E4">
      <w:pPr>
        <w:ind w:left="851"/>
        <w:rPr>
          <w:sz w:val="24"/>
          <w:szCs w:val="24"/>
          <w:lang w:val="en-GB"/>
        </w:rPr>
      </w:pPr>
    </w:p>
    <w:p w14:paraId="6852F501" w14:textId="77777777" w:rsidR="007109E4" w:rsidRPr="00A03EED" w:rsidRDefault="007109E4" w:rsidP="007109E4">
      <w:pPr>
        <w:ind w:left="851"/>
        <w:rPr>
          <w:sz w:val="24"/>
          <w:szCs w:val="24"/>
        </w:rPr>
      </w:pPr>
      <w:r w:rsidRPr="00A03EED">
        <w:rPr>
          <w:sz w:val="24"/>
          <w:szCs w:val="24"/>
        </w:rPr>
        <w:t>Lægemiddelstyrelsen</w:t>
      </w:r>
    </w:p>
    <w:p w14:paraId="518E149C" w14:textId="77777777" w:rsidR="007109E4" w:rsidRPr="00A03EED" w:rsidRDefault="007109E4" w:rsidP="007109E4">
      <w:pPr>
        <w:ind w:left="851"/>
        <w:rPr>
          <w:sz w:val="24"/>
          <w:szCs w:val="24"/>
        </w:rPr>
      </w:pPr>
      <w:r w:rsidRPr="00A03EED">
        <w:rPr>
          <w:sz w:val="24"/>
          <w:szCs w:val="24"/>
        </w:rPr>
        <w:t>Axel Heides Gade 1</w:t>
      </w:r>
    </w:p>
    <w:p w14:paraId="52B97811" w14:textId="77777777" w:rsidR="007109E4" w:rsidRPr="00A03EED" w:rsidRDefault="007109E4" w:rsidP="007109E4">
      <w:pPr>
        <w:ind w:left="851"/>
        <w:rPr>
          <w:sz w:val="24"/>
          <w:szCs w:val="24"/>
        </w:rPr>
      </w:pPr>
      <w:r w:rsidRPr="00A03EED">
        <w:rPr>
          <w:sz w:val="24"/>
          <w:szCs w:val="24"/>
        </w:rPr>
        <w:t>DK-2300 København S</w:t>
      </w:r>
    </w:p>
    <w:p w14:paraId="30400463" w14:textId="77777777" w:rsidR="007109E4" w:rsidRPr="00A03EED" w:rsidRDefault="007109E4" w:rsidP="007109E4">
      <w:pPr>
        <w:ind w:left="851"/>
        <w:rPr>
          <w:sz w:val="24"/>
          <w:szCs w:val="24"/>
          <w:lang w:val="en-US"/>
        </w:rPr>
      </w:pPr>
      <w:r w:rsidRPr="00A03EED">
        <w:rPr>
          <w:sz w:val="24"/>
          <w:szCs w:val="24"/>
          <w:lang w:val="en-US"/>
        </w:rPr>
        <w:t>Website: www.meldenbivirkning.dk</w:t>
      </w:r>
    </w:p>
    <w:p w14:paraId="0A94E156" w14:textId="3AAE06A6" w:rsidR="00A80429" w:rsidRDefault="00A80429">
      <w:pPr>
        <w:rPr>
          <w:sz w:val="24"/>
          <w:szCs w:val="24"/>
          <w:lang w:val="en-GB"/>
        </w:rPr>
      </w:pPr>
      <w:r>
        <w:rPr>
          <w:sz w:val="24"/>
          <w:szCs w:val="24"/>
          <w:lang w:val="en-GB"/>
        </w:rPr>
        <w:br w:type="page"/>
      </w:r>
    </w:p>
    <w:p w14:paraId="4141D3C3" w14:textId="77777777" w:rsidR="007C5D2A" w:rsidRPr="00A03EED" w:rsidRDefault="007C5D2A" w:rsidP="00694C2B">
      <w:pPr>
        <w:ind w:left="851"/>
        <w:rPr>
          <w:sz w:val="24"/>
          <w:szCs w:val="24"/>
          <w:lang w:val="en-GB"/>
        </w:rPr>
      </w:pPr>
    </w:p>
    <w:p w14:paraId="0C954E40" w14:textId="77777777" w:rsidR="007C5D2A" w:rsidRPr="00A03EED" w:rsidRDefault="007C5D2A" w:rsidP="007C5D2A">
      <w:pPr>
        <w:tabs>
          <w:tab w:val="left" w:pos="851"/>
        </w:tabs>
        <w:ind w:left="851" w:hanging="851"/>
        <w:rPr>
          <w:b/>
          <w:sz w:val="24"/>
          <w:szCs w:val="24"/>
          <w:lang w:val="en-GB"/>
        </w:rPr>
      </w:pPr>
      <w:r w:rsidRPr="00A03EED">
        <w:rPr>
          <w:b/>
          <w:sz w:val="24"/>
          <w:szCs w:val="24"/>
          <w:lang w:val="en-GB"/>
        </w:rPr>
        <w:t>4.9</w:t>
      </w:r>
      <w:r w:rsidRPr="00A03EED">
        <w:rPr>
          <w:b/>
          <w:sz w:val="24"/>
          <w:szCs w:val="24"/>
          <w:lang w:val="en-GB"/>
        </w:rPr>
        <w:tab/>
        <w:t>Overdose</w:t>
      </w:r>
    </w:p>
    <w:p w14:paraId="6F5C3667" w14:textId="77777777" w:rsidR="000D61C5" w:rsidRDefault="000D61C5" w:rsidP="009D7D98">
      <w:pPr>
        <w:ind w:left="851"/>
        <w:rPr>
          <w:b/>
          <w:sz w:val="24"/>
          <w:szCs w:val="24"/>
          <w:lang w:val="en-GB"/>
        </w:rPr>
      </w:pPr>
    </w:p>
    <w:p w14:paraId="3184DEAD" w14:textId="0CF6B3CB" w:rsidR="00FF3ABF" w:rsidRPr="000D61C5" w:rsidRDefault="00FF3ABF" w:rsidP="009D7D98">
      <w:pPr>
        <w:ind w:left="851"/>
        <w:rPr>
          <w:b/>
          <w:sz w:val="24"/>
          <w:szCs w:val="24"/>
          <w:lang w:val="en-GB"/>
        </w:rPr>
      </w:pPr>
      <w:r w:rsidRPr="000D61C5">
        <w:rPr>
          <w:b/>
          <w:sz w:val="24"/>
          <w:szCs w:val="24"/>
          <w:lang w:val="en-GB"/>
        </w:rPr>
        <w:t>Symptoms</w:t>
      </w:r>
    </w:p>
    <w:p w14:paraId="515F6F9C" w14:textId="77777777" w:rsidR="00FF3ABF" w:rsidRPr="00A03EED" w:rsidRDefault="00FF3ABF" w:rsidP="009D7D98">
      <w:pPr>
        <w:ind w:left="851"/>
        <w:rPr>
          <w:sz w:val="24"/>
          <w:szCs w:val="24"/>
          <w:lang w:val="en-GB"/>
        </w:rPr>
      </w:pPr>
      <w:r w:rsidRPr="00A03EED">
        <w:rPr>
          <w:sz w:val="24"/>
          <w:szCs w:val="24"/>
          <w:lang w:val="en-GB"/>
        </w:rPr>
        <w:t>Administration by inhalation results in low systemic bioavailability of tobramycin. Symptoms of aerosol overdose may include severe hoarseness.</w:t>
      </w:r>
    </w:p>
    <w:p w14:paraId="55498891" w14:textId="11DC1C96" w:rsidR="00FF3ABF" w:rsidRPr="00A03EED" w:rsidRDefault="00FF3ABF" w:rsidP="009D7D98">
      <w:pPr>
        <w:ind w:left="851"/>
        <w:rPr>
          <w:sz w:val="24"/>
          <w:szCs w:val="24"/>
          <w:lang w:val="en-GB"/>
        </w:rPr>
      </w:pPr>
      <w:r w:rsidRPr="00A03EED">
        <w:rPr>
          <w:sz w:val="24"/>
          <w:szCs w:val="24"/>
          <w:lang w:val="en-GB"/>
        </w:rPr>
        <w:t xml:space="preserve">In the event of accidental ingestion of </w:t>
      </w:r>
      <w:proofErr w:type="spellStart"/>
      <w:r w:rsidR="00A03EED">
        <w:rPr>
          <w:sz w:val="24"/>
          <w:szCs w:val="24"/>
          <w:lang w:val="en-GB"/>
        </w:rPr>
        <w:t>Bramitob</w:t>
      </w:r>
      <w:proofErr w:type="spellEnd"/>
      <w:r w:rsidRPr="00A03EED">
        <w:rPr>
          <w:sz w:val="24"/>
          <w:szCs w:val="24"/>
          <w:lang w:val="en-GB"/>
        </w:rPr>
        <w:t>, toxicity is unlikely as tobramycin is poorly absorbed from an intact gastrointestinal tract.</w:t>
      </w:r>
    </w:p>
    <w:p w14:paraId="0108F4CD" w14:textId="19C0B54B" w:rsidR="00FF3ABF" w:rsidRPr="00A03EED" w:rsidRDefault="00FF3ABF" w:rsidP="009D7D98">
      <w:pPr>
        <w:ind w:left="851"/>
        <w:rPr>
          <w:sz w:val="24"/>
          <w:szCs w:val="24"/>
          <w:lang w:val="en-GB"/>
        </w:rPr>
      </w:pPr>
      <w:r w:rsidRPr="00A03EED">
        <w:rPr>
          <w:sz w:val="24"/>
          <w:szCs w:val="24"/>
          <w:lang w:val="en-GB"/>
        </w:rPr>
        <w:t xml:space="preserve">In the event of inadvertent intravenous administration of </w:t>
      </w:r>
      <w:proofErr w:type="spellStart"/>
      <w:r w:rsidR="00A03EED">
        <w:rPr>
          <w:sz w:val="24"/>
          <w:szCs w:val="24"/>
          <w:lang w:val="en-GB"/>
        </w:rPr>
        <w:t>Bramitob</w:t>
      </w:r>
      <w:proofErr w:type="spellEnd"/>
      <w:r w:rsidRPr="00A03EED">
        <w:rPr>
          <w:sz w:val="24"/>
          <w:szCs w:val="24"/>
          <w:lang w:val="en-GB"/>
        </w:rPr>
        <w:t>, signs and symptoms of parenteral tobramycin overdose may occur, such as dizziness, tinnitus, vertigo, hearing loss, respiratory distress and/or neuromuscular blockade and renal impairment.</w:t>
      </w:r>
    </w:p>
    <w:p w14:paraId="4FA412F2" w14:textId="77777777" w:rsidR="00FF3ABF" w:rsidRPr="00A03EED" w:rsidRDefault="00FF3ABF" w:rsidP="009D7D98">
      <w:pPr>
        <w:ind w:left="851"/>
        <w:rPr>
          <w:sz w:val="24"/>
          <w:szCs w:val="24"/>
          <w:lang w:val="en-GB"/>
        </w:rPr>
      </w:pPr>
    </w:p>
    <w:p w14:paraId="6477A9C7" w14:textId="77777777" w:rsidR="00FF3ABF" w:rsidRPr="000D61C5" w:rsidRDefault="00FF3ABF" w:rsidP="009D7D98">
      <w:pPr>
        <w:ind w:left="851"/>
        <w:rPr>
          <w:b/>
          <w:sz w:val="24"/>
          <w:szCs w:val="24"/>
          <w:lang w:val="en-GB"/>
        </w:rPr>
      </w:pPr>
      <w:r w:rsidRPr="000D61C5">
        <w:rPr>
          <w:b/>
          <w:sz w:val="24"/>
          <w:szCs w:val="24"/>
          <w:lang w:val="en-GB"/>
        </w:rPr>
        <w:t>Treatment</w:t>
      </w:r>
    </w:p>
    <w:p w14:paraId="5DB910C2" w14:textId="448339DF" w:rsidR="00FF3ABF" w:rsidRPr="00A03EED" w:rsidRDefault="00FF3ABF" w:rsidP="009D7D98">
      <w:pPr>
        <w:ind w:left="851"/>
        <w:rPr>
          <w:sz w:val="24"/>
          <w:szCs w:val="24"/>
          <w:lang w:val="en-GB"/>
        </w:rPr>
      </w:pPr>
      <w:r w:rsidRPr="00A03EED">
        <w:rPr>
          <w:sz w:val="24"/>
          <w:szCs w:val="24"/>
          <w:lang w:val="en-GB"/>
        </w:rPr>
        <w:t xml:space="preserve">Acute toxicity should be treated with immediate withdrawal of </w:t>
      </w:r>
      <w:proofErr w:type="spellStart"/>
      <w:r w:rsidR="00A03EED">
        <w:rPr>
          <w:sz w:val="24"/>
          <w:szCs w:val="24"/>
          <w:lang w:val="en-GB"/>
        </w:rPr>
        <w:t>Bramitob</w:t>
      </w:r>
      <w:proofErr w:type="spellEnd"/>
      <w:r w:rsidRPr="00A03EED">
        <w:rPr>
          <w:sz w:val="24"/>
          <w:szCs w:val="24"/>
          <w:lang w:val="en-GB"/>
        </w:rPr>
        <w:t xml:space="preserve">, and baseline tests of renal function should be carried out. Tobramycin serum concentrations may be helpful in monitoring overdose. In case of any overdose, the possibility of drug interactions with alterations in the elimination of </w:t>
      </w:r>
      <w:proofErr w:type="spellStart"/>
      <w:r w:rsidR="00A03EED">
        <w:rPr>
          <w:sz w:val="24"/>
          <w:szCs w:val="24"/>
          <w:lang w:val="en-GB"/>
        </w:rPr>
        <w:t>Bramitob</w:t>
      </w:r>
      <w:proofErr w:type="spellEnd"/>
      <w:r w:rsidRPr="00A03EED">
        <w:rPr>
          <w:sz w:val="24"/>
          <w:szCs w:val="24"/>
          <w:lang w:val="en-GB"/>
        </w:rPr>
        <w:t xml:space="preserve"> or other medicinal products should be considered.</w:t>
      </w:r>
    </w:p>
    <w:p w14:paraId="1215EE54" w14:textId="77777777" w:rsidR="007C5D2A" w:rsidRPr="00A03EED" w:rsidRDefault="007C5D2A" w:rsidP="003E0341">
      <w:pPr>
        <w:tabs>
          <w:tab w:val="left" w:pos="851"/>
        </w:tabs>
        <w:ind w:left="851"/>
        <w:rPr>
          <w:sz w:val="24"/>
          <w:szCs w:val="24"/>
          <w:lang w:val="en-GB"/>
        </w:rPr>
      </w:pPr>
    </w:p>
    <w:p w14:paraId="6E64BF64" w14:textId="77777777" w:rsidR="008F2F8C" w:rsidRPr="00A03EED" w:rsidRDefault="0042292D" w:rsidP="0042292D">
      <w:pPr>
        <w:tabs>
          <w:tab w:val="left" w:pos="851"/>
        </w:tabs>
        <w:rPr>
          <w:b/>
          <w:sz w:val="24"/>
          <w:szCs w:val="24"/>
          <w:lang w:val="en-GB"/>
        </w:rPr>
      </w:pPr>
      <w:r w:rsidRPr="00A03EED">
        <w:rPr>
          <w:b/>
          <w:sz w:val="24"/>
          <w:szCs w:val="24"/>
          <w:lang w:val="en-GB"/>
        </w:rPr>
        <w:t>4.10</w:t>
      </w:r>
      <w:r w:rsidRPr="00A03EED">
        <w:rPr>
          <w:b/>
          <w:sz w:val="24"/>
          <w:szCs w:val="24"/>
          <w:lang w:val="en-GB"/>
        </w:rPr>
        <w:tab/>
        <w:t>Legal status</w:t>
      </w:r>
    </w:p>
    <w:p w14:paraId="2A0F45FB" w14:textId="1832B343" w:rsidR="00AD2E36" w:rsidRPr="00A03EED" w:rsidRDefault="00694C2B" w:rsidP="00AD2E36">
      <w:pPr>
        <w:tabs>
          <w:tab w:val="left" w:pos="851"/>
        </w:tabs>
        <w:ind w:left="851"/>
        <w:rPr>
          <w:sz w:val="24"/>
          <w:szCs w:val="24"/>
          <w:lang w:val="en-GB"/>
        </w:rPr>
      </w:pPr>
      <w:r w:rsidRPr="00A03EED">
        <w:rPr>
          <w:sz w:val="24"/>
          <w:szCs w:val="24"/>
          <w:lang w:val="en-GB"/>
        </w:rPr>
        <w:t>B</w:t>
      </w:r>
    </w:p>
    <w:p w14:paraId="26FC8254" w14:textId="77777777" w:rsidR="007C5D2A" w:rsidRPr="00A03EED" w:rsidRDefault="007C5D2A" w:rsidP="003E0341">
      <w:pPr>
        <w:tabs>
          <w:tab w:val="left" w:pos="851"/>
        </w:tabs>
        <w:ind w:left="851"/>
        <w:rPr>
          <w:sz w:val="24"/>
          <w:szCs w:val="24"/>
          <w:lang w:val="en-GB"/>
        </w:rPr>
      </w:pPr>
    </w:p>
    <w:p w14:paraId="4020A9AE" w14:textId="77777777" w:rsidR="00AD2E36" w:rsidRPr="00A03EED" w:rsidRDefault="00AD2E36" w:rsidP="003E0341">
      <w:pPr>
        <w:tabs>
          <w:tab w:val="left" w:pos="851"/>
        </w:tabs>
        <w:ind w:left="851"/>
        <w:rPr>
          <w:sz w:val="24"/>
          <w:szCs w:val="24"/>
          <w:lang w:val="en-GB"/>
        </w:rPr>
      </w:pPr>
    </w:p>
    <w:p w14:paraId="401A57E5" w14:textId="77777777" w:rsidR="007C5D2A" w:rsidRPr="00A03EED" w:rsidRDefault="007C5D2A" w:rsidP="007C5D2A">
      <w:pPr>
        <w:tabs>
          <w:tab w:val="left" w:pos="851"/>
        </w:tabs>
        <w:rPr>
          <w:b/>
          <w:sz w:val="24"/>
          <w:szCs w:val="24"/>
          <w:lang w:val="en-GB"/>
        </w:rPr>
      </w:pPr>
      <w:r w:rsidRPr="00A03EED">
        <w:rPr>
          <w:b/>
          <w:sz w:val="24"/>
          <w:szCs w:val="24"/>
          <w:lang w:val="en-GB"/>
        </w:rPr>
        <w:t>5.</w:t>
      </w:r>
      <w:r w:rsidRPr="00A03EED">
        <w:rPr>
          <w:b/>
          <w:sz w:val="24"/>
          <w:szCs w:val="24"/>
          <w:lang w:val="en-GB"/>
        </w:rPr>
        <w:tab/>
        <w:t>PHARMACOLOGICAL PROPERTIES</w:t>
      </w:r>
    </w:p>
    <w:p w14:paraId="4DAAC44E" w14:textId="77777777" w:rsidR="007C5D2A" w:rsidRPr="00A03EED" w:rsidRDefault="007C5D2A" w:rsidP="003E0341">
      <w:pPr>
        <w:tabs>
          <w:tab w:val="left" w:pos="851"/>
        </w:tabs>
        <w:ind w:left="851"/>
        <w:rPr>
          <w:sz w:val="24"/>
          <w:szCs w:val="24"/>
          <w:lang w:val="en-GB"/>
        </w:rPr>
      </w:pPr>
    </w:p>
    <w:p w14:paraId="2B39D58E" w14:textId="22F50622" w:rsidR="004860D3" w:rsidRPr="00A03EED" w:rsidRDefault="004860D3" w:rsidP="004860D3">
      <w:pPr>
        <w:tabs>
          <w:tab w:val="left" w:pos="851"/>
        </w:tabs>
        <w:ind w:left="851" w:hanging="851"/>
        <w:rPr>
          <w:b/>
          <w:sz w:val="24"/>
          <w:szCs w:val="24"/>
          <w:lang w:val="en-GB"/>
        </w:rPr>
      </w:pPr>
      <w:r w:rsidRPr="00A03EED">
        <w:rPr>
          <w:b/>
          <w:sz w:val="24"/>
          <w:szCs w:val="24"/>
          <w:lang w:val="en-GB"/>
        </w:rPr>
        <w:t>5.0</w:t>
      </w:r>
      <w:r w:rsidRPr="00A03EED">
        <w:rPr>
          <w:b/>
          <w:sz w:val="24"/>
          <w:szCs w:val="24"/>
          <w:lang w:val="en-GB"/>
        </w:rPr>
        <w:tab/>
        <w:t>Therapeutic</w:t>
      </w:r>
      <w:r w:rsidR="00A80446" w:rsidRPr="00A03EED">
        <w:rPr>
          <w:b/>
          <w:sz w:val="24"/>
          <w:szCs w:val="24"/>
          <w:lang w:val="en-GB"/>
        </w:rPr>
        <w:t xml:space="preserve"> classification</w:t>
      </w:r>
    </w:p>
    <w:p w14:paraId="1EE4BDD2" w14:textId="0DFAFD72" w:rsidR="00FF3ABF" w:rsidRPr="00A03EED" w:rsidRDefault="007109E4" w:rsidP="009D7D98">
      <w:pPr>
        <w:ind w:left="851"/>
        <w:rPr>
          <w:sz w:val="24"/>
          <w:szCs w:val="24"/>
          <w:lang w:val="en-GB"/>
        </w:rPr>
      </w:pPr>
      <w:r w:rsidRPr="00A03EED">
        <w:rPr>
          <w:sz w:val="24"/>
          <w:szCs w:val="24"/>
          <w:lang w:val="en-GB"/>
        </w:rPr>
        <w:t>ATC code: J 01 GB 01.</w:t>
      </w:r>
      <w:r w:rsidR="00FF3ABF" w:rsidRPr="00A03EED">
        <w:rPr>
          <w:sz w:val="24"/>
          <w:szCs w:val="24"/>
          <w:lang w:val="en-GB"/>
        </w:rPr>
        <w:t xml:space="preserve"> Aminoglycoside antibacterial</w:t>
      </w:r>
      <w:r w:rsidRPr="00A03EED">
        <w:rPr>
          <w:sz w:val="24"/>
          <w:szCs w:val="24"/>
          <w:lang w:val="en-GB"/>
        </w:rPr>
        <w:t>.</w:t>
      </w:r>
    </w:p>
    <w:p w14:paraId="11F62519" w14:textId="77777777" w:rsidR="004860D3" w:rsidRPr="00A03EED" w:rsidRDefault="004860D3" w:rsidP="003E0341">
      <w:pPr>
        <w:tabs>
          <w:tab w:val="left" w:pos="851"/>
        </w:tabs>
        <w:ind w:left="851"/>
        <w:rPr>
          <w:sz w:val="24"/>
          <w:szCs w:val="24"/>
          <w:lang w:val="en-GB"/>
        </w:rPr>
      </w:pPr>
    </w:p>
    <w:p w14:paraId="2AF9D9BE" w14:textId="77777777" w:rsidR="007C5D2A" w:rsidRPr="00A03EED" w:rsidRDefault="007C5D2A" w:rsidP="007C5D2A">
      <w:pPr>
        <w:tabs>
          <w:tab w:val="left" w:pos="851"/>
        </w:tabs>
        <w:ind w:left="851" w:hanging="851"/>
        <w:rPr>
          <w:b/>
          <w:sz w:val="24"/>
          <w:szCs w:val="24"/>
          <w:lang w:val="en-GB"/>
        </w:rPr>
      </w:pPr>
      <w:r w:rsidRPr="00A03EED">
        <w:rPr>
          <w:b/>
          <w:sz w:val="24"/>
          <w:szCs w:val="24"/>
          <w:lang w:val="en-GB"/>
        </w:rPr>
        <w:t>5.1</w:t>
      </w:r>
      <w:r w:rsidRPr="00A03EED">
        <w:rPr>
          <w:b/>
          <w:sz w:val="24"/>
          <w:szCs w:val="24"/>
          <w:lang w:val="en-GB"/>
        </w:rPr>
        <w:tab/>
        <w:t>Pharmacodynamic properties</w:t>
      </w:r>
      <w:r w:rsidRPr="00A03EED">
        <w:rPr>
          <w:b/>
          <w:sz w:val="24"/>
          <w:szCs w:val="24"/>
          <w:lang w:val="en-GB"/>
        </w:rPr>
        <w:tab/>
      </w:r>
    </w:p>
    <w:p w14:paraId="7DAA59E5" w14:textId="77777777" w:rsidR="00FF3ABF" w:rsidRPr="00A03EED" w:rsidRDefault="00FF3ABF" w:rsidP="009D7D98">
      <w:pPr>
        <w:ind w:left="851"/>
        <w:rPr>
          <w:sz w:val="24"/>
          <w:szCs w:val="24"/>
          <w:lang w:val="en-GB"/>
        </w:rPr>
      </w:pPr>
      <w:r w:rsidRPr="00A03EED">
        <w:rPr>
          <w:sz w:val="24"/>
          <w:szCs w:val="24"/>
          <w:lang w:val="en-GB"/>
        </w:rPr>
        <w:t>Tobramycin is an aminoglycoside antibiotic produced by</w:t>
      </w:r>
      <w:r w:rsidRPr="00A03EED">
        <w:rPr>
          <w:iCs/>
          <w:sz w:val="24"/>
          <w:szCs w:val="24"/>
          <w:lang w:val="en-GB"/>
        </w:rPr>
        <w:t xml:space="preserve"> Streptomyces </w:t>
      </w:r>
      <w:proofErr w:type="spellStart"/>
      <w:r w:rsidRPr="00A03EED">
        <w:rPr>
          <w:iCs/>
          <w:sz w:val="24"/>
          <w:szCs w:val="24"/>
          <w:lang w:val="en-GB"/>
        </w:rPr>
        <w:t>tenebrarius</w:t>
      </w:r>
      <w:proofErr w:type="spellEnd"/>
      <w:r w:rsidRPr="00A03EED">
        <w:rPr>
          <w:sz w:val="24"/>
          <w:szCs w:val="24"/>
          <w:lang w:val="en-GB"/>
        </w:rPr>
        <w:t>. It acts primarily by disrupting protein synthesis leading to altered cell membrane permeability, progressive disruption of the cell envelope and eventual cell death. It is bactericidal at concentrations equal to or slightly greater than inhibitory concentrations.</w:t>
      </w:r>
    </w:p>
    <w:p w14:paraId="7A56FD28" w14:textId="77777777" w:rsidR="000D61C5" w:rsidRDefault="000D61C5" w:rsidP="009D7D98">
      <w:pPr>
        <w:ind w:left="851"/>
        <w:rPr>
          <w:b/>
          <w:bCs/>
          <w:iCs/>
          <w:sz w:val="24"/>
          <w:szCs w:val="24"/>
          <w:lang w:val="en-GB"/>
        </w:rPr>
      </w:pPr>
    </w:p>
    <w:p w14:paraId="0B47ACD7" w14:textId="3FA00E72" w:rsidR="00FF3ABF" w:rsidRPr="00A03EED" w:rsidRDefault="00FF3ABF" w:rsidP="009D7D98">
      <w:pPr>
        <w:ind w:left="851"/>
        <w:rPr>
          <w:b/>
          <w:sz w:val="24"/>
          <w:szCs w:val="24"/>
          <w:lang w:val="en-GB"/>
        </w:rPr>
      </w:pPr>
      <w:r w:rsidRPr="00A03EED">
        <w:rPr>
          <w:b/>
          <w:bCs/>
          <w:iCs/>
          <w:sz w:val="24"/>
          <w:szCs w:val="24"/>
          <w:lang w:val="en-GB"/>
        </w:rPr>
        <w:t>Breakpoints</w:t>
      </w:r>
    </w:p>
    <w:p w14:paraId="57BE7751" w14:textId="77777777" w:rsidR="00FF3ABF" w:rsidRPr="00A03EED" w:rsidRDefault="00FF3ABF" w:rsidP="009D7D98">
      <w:pPr>
        <w:ind w:left="851"/>
        <w:rPr>
          <w:sz w:val="24"/>
          <w:szCs w:val="24"/>
          <w:lang w:val="en-GB"/>
        </w:rPr>
      </w:pPr>
      <w:r w:rsidRPr="00A03EED">
        <w:rPr>
          <w:sz w:val="24"/>
          <w:szCs w:val="24"/>
          <w:lang w:val="en-GB"/>
        </w:rPr>
        <w:t>Established susceptibility breakpoints for parenteral administration of tobramycin are inappropriate in the aerosolised administration of the medicinal product. cystic fibrosis (CF) sputum exhibits an inhibitory action on the local biological activity of nebulised aminoglycosides. This necessitates sputum concentrations of aerosolised tobramycin to be some ten and twenty–</w:t>
      </w:r>
      <w:proofErr w:type="gramStart"/>
      <w:r w:rsidRPr="00A03EED">
        <w:rPr>
          <w:sz w:val="24"/>
          <w:szCs w:val="24"/>
          <w:lang w:val="en-GB"/>
        </w:rPr>
        <w:t>five fold</w:t>
      </w:r>
      <w:proofErr w:type="gramEnd"/>
      <w:r w:rsidRPr="00A03EED">
        <w:rPr>
          <w:sz w:val="24"/>
          <w:szCs w:val="24"/>
          <w:lang w:val="en-GB"/>
        </w:rPr>
        <w:t xml:space="preserve"> above the Minimum Inhibitory Concentration (MIC) for, respectively, </w:t>
      </w:r>
      <w:r w:rsidRPr="00A03EED">
        <w:rPr>
          <w:iCs/>
          <w:sz w:val="24"/>
          <w:szCs w:val="24"/>
          <w:lang w:val="en-GB"/>
        </w:rPr>
        <w:t>P. aeruginosa</w:t>
      </w:r>
      <w:r w:rsidRPr="00A03EED">
        <w:rPr>
          <w:sz w:val="24"/>
          <w:szCs w:val="24"/>
          <w:lang w:val="en-GB"/>
        </w:rPr>
        <w:t xml:space="preserve"> growth suppression and bactericidal activity. In controlled clinical trials, 90% of patients receiving tobramycin achieved sputum concentrations </w:t>
      </w:r>
      <w:proofErr w:type="gramStart"/>
      <w:r w:rsidRPr="00A03EED">
        <w:rPr>
          <w:sz w:val="24"/>
          <w:szCs w:val="24"/>
          <w:lang w:val="en-GB"/>
        </w:rPr>
        <w:t>10 fold</w:t>
      </w:r>
      <w:proofErr w:type="gramEnd"/>
      <w:r w:rsidRPr="00A03EED">
        <w:rPr>
          <w:sz w:val="24"/>
          <w:szCs w:val="24"/>
          <w:lang w:val="en-GB"/>
        </w:rPr>
        <w:t xml:space="preserve"> the highest </w:t>
      </w:r>
      <w:r w:rsidRPr="00A03EED">
        <w:rPr>
          <w:iCs/>
          <w:sz w:val="24"/>
          <w:szCs w:val="24"/>
          <w:lang w:val="en-GB"/>
        </w:rPr>
        <w:t>P. aeruginosa</w:t>
      </w:r>
      <w:r w:rsidRPr="00A03EED">
        <w:rPr>
          <w:sz w:val="24"/>
          <w:szCs w:val="24"/>
          <w:lang w:val="en-GB"/>
        </w:rPr>
        <w:t xml:space="preserve"> MIC cultured from the patient, and 84% of patients receiving tobramycin achieved 25 fold the highest MIC. Clinical benefit is still achieved in a majority of patients who culture strains with MIC values above the parenteral breakpoint.</w:t>
      </w:r>
    </w:p>
    <w:p w14:paraId="4DD2FDDE" w14:textId="77777777" w:rsidR="000D61C5" w:rsidRDefault="000D61C5" w:rsidP="009D7D98">
      <w:pPr>
        <w:ind w:left="851"/>
        <w:rPr>
          <w:b/>
          <w:bCs/>
          <w:iCs/>
          <w:sz w:val="24"/>
          <w:szCs w:val="24"/>
          <w:lang w:val="en-GB"/>
        </w:rPr>
      </w:pPr>
    </w:p>
    <w:p w14:paraId="40F435A5" w14:textId="763AEE40" w:rsidR="00FF3ABF" w:rsidRPr="00A03EED" w:rsidRDefault="00FF3ABF" w:rsidP="009D7D98">
      <w:pPr>
        <w:ind w:left="851"/>
        <w:rPr>
          <w:b/>
          <w:sz w:val="24"/>
          <w:szCs w:val="24"/>
          <w:lang w:val="en-GB"/>
        </w:rPr>
      </w:pPr>
      <w:r w:rsidRPr="00A03EED">
        <w:rPr>
          <w:b/>
          <w:bCs/>
          <w:iCs/>
          <w:sz w:val="24"/>
          <w:szCs w:val="24"/>
          <w:lang w:val="en-GB"/>
        </w:rPr>
        <w:t>Susceptibility</w:t>
      </w:r>
    </w:p>
    <w:p w14:paraId="73BABEE6" w14:textId="77777777" w:rsidR="00FF3ABF" w:rsidRPr="00A03EED" w:rsidRDefault="00FF3ABF" w:rsidP="009D7D98">
      <w:pPr>
        <w:ind w:left="851"/>
        <w:rPr>
          <w:sz w:val="24"/>
          <w:szCs w:val="24"/>
          <w:lang w:val="en-GB"/>
        </w:rPr>
      </w:pPr>
      <w:r w:rsidRPr="00A03EED">
        <w:rPr>
          <w:sz w:val="24"/>
          <w:szCs w:val="24"/>
          <w:lang w:val="en-GB"/>
        </w:rPr>
        <w:t>In the absence of conventional susceptibility breakpoints for the nebulised route of administration, caution must be exercised in defining organisms as susceptible or insusceptible to nebulised tobramycin.</w:t>
      </w:r>
    </w:p>
    <w:p w14:paraId="5E3A7417" w14:textId="660F4A47" w:rsidR="00FF3ABF" w:rsidRPr="00A03EED" w:rsidRDefault="00FF3ABF" w:rsidP="009D7D98">
      <w:pPr>
        <w:ind w:left="851"/>
        <w:rPr>
          <w:sz w:val="24"/>
          <w:szCs w:val="24"/>
          <w:lang w:val="en-GB"/>
        </w:rPr>
      </w:pPr>
      <w:r w:rsidRPr="00A03EED">
        <w:rPr>
          <w:sz w:val="24"/>
          <w:szCs w:val="24"/>
          <w:lang w:val="en-GB"/>
        </w:rPr>
        <w:lastRenderedPageBreak/>
        <w:t xml:space="preserve">In clinical studies with inhaled tobramycin, most patients (88%) with </w:t>
      </w:r>
      <w:r w:rsidRPr="00A03EED">
        <w:rPr>
          <w:iCs/>
          <w:sz w:val="24"/>
          <w:szCs w:val="24"/>
          <w:lang w:val="en-GB"/>
        </w:rPr>
        <w:t>P. aeruginosa</w:t>
      </w:r>
      <w:r w:rsidRPr="00A03EED">
        <w:rPr>
          <w:sz w:val="24"/>
          <w:szCs w:val="24"/>
          <w:lang w:val="en-GB"/>
        </w:rPr>
        <w:t xml:space="preserve"> isolates with tobramycin MICs &lt;128 µg/mL at baseline showed improved lung function following treatment with tobramycin. Patients with a </w:t>
      </w:r>
      <w:r w:rsidRPr="00A03EED">
        <w:rPr>
          <w:iCs/>
          <w:sz w:val="24"/>
          <w:szCs w:val="24"/>
          <w:lang w:val="en-GB"/>
        </w:rPr>
        <w:t>P. aeruginosa</w:t>
      </w:r>
      <w:r w:rsidRPr="00A03EED">
        <w:rPr>
          <w:sz w:val="24"/>
          <w:szCs w:val="24"/>
          <w:lang w:val="en-GB"/>
        </w:rPr>
        <w:t xml:space="preserve"> isolate with a MIC </w:t>
      </w:r>
      <w:r w:rsidRPr="00A03EED">
        <w:rPr>
          <w:noProof/>
          <w:sz w:val="24"/>
          <w:szCs w:val="24"/>
        </w:rPr>
        <w:drawing>
          <wp:inline distT="0" distB="0" distL="0" distR="0" wp14:anchorId="0B6A0765" wp14:editId="04EF2947">
            <wp:extent cx="116840" cy="116840"/>
            <wp:effectExtent l="0" t="0" r="0" b="0"/>
            <wp:docPr id="2" name="Billede 2"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ER-THAN OR EQUAL TO (880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A03EED">
        <w:rPr>
          <w:sz w:val="24"/>
          <w:szCs w:val="24"/>
          <w:lang w:val="en-GB"/>
        </w:rPr>
        <w:t>128 µg/mL at baseline are less likely to show a clinical response.</w:t>
      </w:r>
    </w:p>
    <w:p w14:paraId="03847DFC" w14:textId="77777777" w:rsidR="00FF3ABF" w:rsidRPr="00A03EED" w:rsidRDefault="00FF3ABF" w:rsidP="009D7D98">
      <w:pPr>
        <w:ind w:left="851"/>
        <w:rPr>
          <w:sz w:val="24"/>
          <w:szCs w:val="24"/>
          <w:lang w:val="en-GB"/>
        </w:rPr>
      </w:pPr>
      <w:r w:rsidRPr="00A03EED">
        <w:rPr>
          <w:sz w:val="24"/>
          <w:szCs w:val="24"/>
          <w:lang w:val="en-GB"/>
        </w:rPr>
        <w:t xml:space="preserve">Based upon </w:t>
      </w:r>
      <w:r w:rsidRPr="00A03EED">
        <w:rPr>
          <w:iCs/>
          <w:sz w:val="24"/>
          <w:szCs w:val="24"/>
          <w:lang w:val="en-GB"/>
        </w:rPr>
        <w:t xml:space="preserve">in vitro </w:t>
      </w:r>
      <w:r w:rsidRPr="00A03EED">
        <w:rPr>
          <w:sz w:val="24"/>
          <w:szCs w:val="24"/>
          <w:lang w:val="en-GB"/>
        </w:rPr>
        <w:t>data and/or clinical trial experience, the organisms associated with pulmonary infections in CF may be expected to respond to tobramycin therapy as follows:</w:t>
      </w:r>
    </w:p>
    <w:p w14:paraId="0CE1E80B" w14:textId="77777777" w:rsidR="00FF3ABF" w:rsidRPr="00A03EED" w:rsidRDefault="00FF3ABF" w:rsidP="009D7D98">
      <w:pPr>
        <w:ind w:left="851"/>
        <w:rPr>
          <w:sz w:val="24"/>
          <w:szCs w:val="24"/>
          <w:lang w:val="en-GB"/>
        </w:rPr>
      </w:pPr>
    </w:p>
    <w:tbl>
      <w:tblPr>
        <w:tblW w:w="4750" w:type="pct"/>
        <w:tblCellSpacing w:w="0" w:type="dxa"/>
        <w:tblInd w:w="921"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89"/>
        <w:gridCol w:w="6452"/>
      </w:tblGrid>
      <w:tr w:rsidR="00FF3ABF" w:rsidRPr="00CD7DDC" w14:paraId="37CEB98D" w14:textId="77777777" w:rsidTr="00E01E91">
        <w:trPr>
          <w:tblCellSpacing w:w="0" w:type="dxa"/>
        </w:trPr>
        <w:tc>
          <w:tcPr>
            <w:tcW w:w="2689" w:type="dxa"/>
            <w:tcBorders>
              <w:top w:val="outset" w:sz="6" w:space="0" w:color="auto"/>
              <w:left w:val="outset" w:sz="6" w:space="0" w:color="auto"/>
              <w:bottom w:val="outset" w:sz="6" w:space="0" w:color="auto"/>
              <w:right w:val="outset" w:sz="6" w:space="0" w:color="auto"/>
            </w:tcBorders>
            <w:hideMark/>
          </w:tcPr>
          <w:p w14:paraId="518FAA03" w14:textId="77777777" w:rsidR="00FF3ABF" w:rsidRPr="00A03EED" w:rsidRDefault="00FF3ABF" w:rsidP="009D7D98">
            <w:pPr>
              <w:rPr>
                <w:sz w:val="24"/>
                <w:szCs w:val="24"/>
                <w:lang w:val="it-IT"/>
              </w:rPr>
            </w:pPr>
            <w:proofErr w:type="spellStart"/>
            <w:r w:rsidRPr="00A03EED">
              <w:rPr>
                <w:sz w:val="24"/>
                <w:szCs w:val="24"/>
              </w:rPr>
              <w:t>Susceptible</w:t>
            </w:r>
            <w:proofErr w:type="spellEnd"/>
          </w:p>
        </w:tc>
        <w:tc>
          <w:tcPr>
            <w:tcW w:w="6452" w:type="dxa"/>
            <w:tcBorders>
              <w:top w:val="outset" w:sz="6" w:space="0" w:color="auto"/>
              <w:left w:val="outset" w:sz="6" w:space="0" w:color="auto"/>
              <w:bottom w:val="outset" w:sz="6" w:space="0" w:color="auto"/>
              <w:right w:val="outset" w:sz="6" w:space="0" w:color="auto"/>
            </w:tcBorders>
            <w:hideMark/>
          </w:tcPr>
          <w:p w14:paraId="0F7A21E4" w14:textId="77777777" w:rsidR="00FF3ABF" w:rsidRPr="00A03EED" w:rsidRDefault="00FF3ABF" w:rsidP="009D7D98">
            <w:pPr>
              <w:rPr>
                <w:i/>
                <w:sz w:val="24"/>
                <w:szCs w:val="24"/>
                <w:lang w:val="en-US"/>
              </w:rPr>
            </w:pPr>
            <w:r w:rsidRPr="00A03EED">
              <w:rPr>
                <w:i/>
                <w:iCs/>
                <w:sz w:val="24"/>
                <w:szCs w:val="24"/>
                <w:lang w:val="en-US"/>
              </w:rPr>
              <w:t xml:space="preserve">Pseudomonas aeruginosa </w:t>
            </w:r>
          </w:p>
          <w:p w14:paraId="5B72D169" w14:textId="77777777" w:rsidR="00FF3ABF" w:rsidRPr="00A03EED" w:rsidRDefault="00FF3ABF" w:rsidP="009D7D98">
            <w:pPr>
              <w:rPr>
                <w:i/>
                <w:sz w:val="24"/>
                <w:szCs w:val="24"/>
                <w:lang w:val="en-US"/>
              </w:rPr>
            </w:pPr>
            <w:proofErr w:type="spellStart"/>
            <w:r w:rsidRPr="00A03EED">
              <w:rPr>
                <w:i/>
                <w:iCs/>
                <w:sz w:val="24"/>
                <w:szCs w:val="24"/>
                <w:lang w:val="en-US"/>
              </w:rPr>
              <w:t>Haemophilus</w:t>
            </w:r>
            <w:proofErr w:type="spellEnd"/>
            <w:r w:rsidRPr="00A03EED">
              <w:rPr>
                <w:i/>
                <w:iCs/>
                <w:sz w:val="24"/>
                <w:szCs w:val="24"/>
                <w:lang w:val="en-US"/>
              </w:rPr>
              <w:t xml:space="preserve"> influenzae </w:t>
            </w:r>
          </w:p>
          <w:p w14:paraId="5ED8A214" w14:textId="77777777" w:rsidR="00FF3ABF" w:rsidRPr="00A03EED" w:rsidRDefault="00FF3ABF" w:rsidP="009D7D98">
            <w:pPr>
              <w:rPr>
                <w:i/>
                <w:sz w:val="24"/>
                <w:szCs w:val="24"/>
                <w:lang w:val="en-US"/>
              </w:rPr>
            </w:pPr>
            <w:r w:rsidRPr="00A03EED">
              <w:rPr>
                <w:i/>
                <w:iCs/>
                <w:sz w:val="24"/>
                <w:szCs w:val="24"/>
                <w:lang w:val="en-US"/>
              </w:rPr>
              <w:t>Staphylococcus aureus</w:t>
            </w:r>
          </w:p>
        </w:tc>
      </w:tr>
      <w:tr w:rsidR="00FF3ABF" w:rsidRPr="00A03EED" w14:paraId="3CF9D2B2" w14:textId="77777777" w:rsidTr="00E01E91">
        <w:trPr>
          <w:tblCellSpacing w:w="0" w:type="dxa"/>
        </w:trPr>
        <w:tc>
          <w:tcPr>
            <w:tcW w:w="2689" w:type="dxa"/>
            <w:tcBorders>
              <w:top w:val="outset" w:sz="6" w:space="0" w:color="auto"/>
              <w:left w:val="outset" w:sz="6" w:space="0" w:color="auto"/>
              <w:bottom w:val="outset" w:sz="6" w:space="0" w:color="auto"/>
              <w:right w:val="outset" w:sz="6" w:space="0" w:color="auto"/>
            </w:tcBorders>
            <w:hideMark/>
          </w:tcPr>
          <w:p w14:paraId="10B1195D" w14:textId="77777777" w:rsidR="00FF3ABF" w:rsidRPr="00A03EED" w:rsidRDefault="00FF3ABF" w:rsidP="009D7D98">
            <w:pPr>
              <w:rPr>
                <w:sz w:val="24"/>
                <w:szCs w:val="24"/>
              </w:rPr>
            </w:pPr>
            <w:proofErr w:type="spellStart"/>
            <w:r w:rsidRPr="00A03EED">
              <w:rPr>
                <w:sz w:val="24"/>
                <w:szCs w:val="24"/>
              </w:rPr>
              <w:t>Insusceptible</w:t>
            </w:r>
            <w:proofErr w:type="spellEnd"/>
          </w:p>
        </w:tc>
        <w:tc>
          <w:tcPr>
            <w:tcW w:w="6452" w:type="dxa"/>
            <w:tcBorders>
              <w:top w:val="outset" w:sz="6" w:space="0" w:color="auto"/>
              <w:left w:val="outset" w:sz="6" w:space="0" w:color="auto"/>
              <w:bottom w:val="outset" w:sz="6" w:space="0" w:color="auto"/>
              <w:right w:val="outset" w:sz="6" w:space="0" w:color="auto"/>
            </w:tcBorders>
            <w:hideMark/>
          </w:tcPr>
          <w:p w14:paraId="7526AEAB" w14:textId="77777777" w:rsidR="00FF3ABF" w:rsidRPr="00A03EED" w:rsidRDefault="00FF3ABF" w:rsidP="009D7D98">
            <w:pPr>
              <w:rPr>
                <w:i/>
                <w:sz w:val="24"/>
                <w:szCs w:val="24"/>
              </w:rPr>
            </w:pPr>
            <w:proofErr w:type="spellStart"/>
            <w:r w:rsidRPr="00A03EED">
              <w:rPr>
                <w:i/>
                <w:iCs/>
                <w:sz w:val="24"/>
                <w:szCs w:val="24"/>
              </w:rPr>
              <w:t>Burkholderia</w:t>
            </w:r>
            <w:proofErr w:type="spellEnd"/>
            <w:r w:rsidRPr="00A03EED">
              <w:rPr>
                <w:i/>
                <w:iCs/>
                <w:sz w:val="24"/>
                <w:szCs w:val="24"/>
              </w:rPr>
              <w:t xml:space="preserve"> </w:t>
            </w:r>
            <w:proofErr w:type="spellStart"/>
            <w:r w:rsidRPr="00A03EED">
              <w:rPr>
                <w:i/>
                <w:iCs/>
                <w:sz w:val="24"/>
                <w:szCs w:val="24"/>
              </w:rPr>
              <w:t>cepacia</w:t>
            </w:r>
            <w:proofErr w:type="spellEnd"/>
          </w:p>
          <w:p w14:paraId="6807C490" w14:textId="77777777" w:rsidR="00FF3ABF" w:rsidRPr="00A03EED" w:rsidRDefault="00FF3ABF" w:rsidP="009D7D98">
            <w:pPr>
              <w:rPr>
                <w:i/>
                <w:sz w:val="24"/>
                <w:szCs w:val="24"/>
              </w:rPr>
            </w:pPr>
            <w:proofErr w:type="spellStart"/>
            <w:r w:rsidRPr="00A03EED">
              <w:rPr>
                <w:i/>
                <w:iCs/>
                <w:sz w:val="24"/>
                <w:szCs w:val="24"/>
              </w:rPr>
              <w:t>Stenotrophomonas</w:t>
            </w:r>
            <w:proofErr w:type="spellEnd"/>
            <w:r w:rsidRPr="00A03EED">
              <w:rPr>
                <w:i/>
                <w:iCs/>
                <w:sz w:val="24"/>
                <w:szCs w:val="24"/>
              </w:rPr>
              <w:t xml:space="preserve"> </w:t>
            </w:r>
            <w:proofErr w:type="spellStart"/>
            <w:r w:rsidRPr="00A03EED">
              <w:rPr>
                <w:i/>
                <w:iCs/>
                <w:sz w:val="24"/>
                <w:szCs w:val="24"/>
              </w:rPr>
              <w:t>maltophilia</w:t>
            </w:r>
            <w:proofErr w:type="spellEnd"/>
            <w:r w:rsidRPr="00A03EED">
              <w:rPr>
                <w:i/>
                <w:iCs/>
                <w:sz w:val="24"/>
                <w:szCs w:val="24"/>
              </w:rPr>
              <w:t xml:space="preserve"> </w:t>
            </w:r>
          </w:p>
          <w:p w14:paraId="0D0CBEA1" w14:textId="77777777" w:rsidR="00FF3ABF" w:rsidRPr="00A03EED" w:rsidRDefault="00FF3ABF" w:rsidP="009D7D98">
            <w:pPr>
              <w:rPr>
                <w:i/>
                <w:sz w:val="24"/>
                <w:szCs w:val="24"/>
              </w:rPr>
            </w:pPr>
            <w:proofErr w:type="spellStart"/>
            <w:r w:rsidRPr="00A03EED">
              <w:rPr>
                <w:i/>
                <w:iCs/>
                <w:sz w:val="24"/>
                <w:szCs w:val="24"/>
              </w:rPr>
              <w:t>Alcaligenes</w:t>
            </w:r>
            <w:proofErr w:type="spellEnd"/>
            <w:r w:rsidRPr="00A03EED">
              <w:rPr>
                <w:i/>
                <w:iCs/>
                <w:sz w:val="24"/>
                <w:szCs w:val="24"/>
              </w:rPr>
              <w:t xml:space="preserve"> </w:t>
            </w:r>
            <w:proofErr w:type="spellStart"/>
            <w:r w:rsidRPr="00A03EED">
              <w:rPr>
                <w:i/>
                <w:iCs/>
                <w:sz w:val="24"/>
                <w:szCs w:val="24"/>
              </w:rPr>
              <w:t>xylosoxidans</w:t>
            </w:r>
            <w:proofErr w:type="spellEnd"/>
          </w:p>
        </w:tc>
      </w:tr>
    </w:tbl>
    <w:p w14:paraId="5714D6F2" w14:textId="77777777" w:rsidR="00FF3ABF" w:rsidRPr="00A03EED" w:rsidRDefault="00FF3ABF" w:rsidP="00AA5865">
      <w:pPr>
        <w:ind w:left="851"/>
        <w:rPr>
          <w:sz w:val="24"/>
          <w:szCs w:val="24"/>
          <w:lang w:val="en-GB" w:eastAsia="it-IT"/>
        </w:rPr>
      </w:pPr>
    </w:p>
    <w:p w14:paraId="5586EB69" w14:textId="77777777" w:rsidR="00FF3ABF" w:rsidRPr="00A03EED" w:rsidRDefault="00FF3ABF" w:rsidP="00AA5865">
      <w:pPr>
        <w:ind w:left="851"/>
        <w:rPr>
          <w:sz w:val="24"/>
          <w:szCs w:val="24"/>
          <w:lang w:val="en-GB"/>
        </w:rPr>
      </w:pPr>
      <w:r w:rsidRPr="00A03EED">
        <w:rPr>
          <w:sz w:val="24"/>
          <w:szCs w:val="24"/>
          <w:lang w:val="en-GB"/>
        </w:rPr>
        <w:t xml:space="preserve">Treatment with tobramycin regimen in clinical studies showed a small but clear increase in tobramycin, amikacin and gentamicin Minimum Inhibitory Concentrations for </w:t>
      </w:r>
      <w:r w:rsidRPr="00A03EED">
        <w:rPr>
          <w:iCs/>
          <w:sz w:val="24"/>
          <w:szCs w:val="24"/>
          <w:lang w:val="en-GB"/>
        </w:rPr>
        <w:t>P. aeruginosa</w:t>
      </w:r>
      <w:r w:rsidRPr="00A03EED">
        <w:rPr>
          <w:sz w:val="24"/>
          <w:szCs w:val="24"/>
          <w:lang w:val="en-GB"/>
        </w:rPr>
        <w:t xml:space="preserve"> isolates tested. Each additional 6 months of treatment resulted in incremental increases similar in magnitude to that observed in the 6 months of controlled studies. The most prevalent aminoglycoside resistance mechanism seen in </w:t>
      </w:r>
      <w:r w:rsidRPr="00A03EED">
        <w:rPr>
          <w:iCs/>
          <w:sz w:val="24"/>
          <w:szCs w:val="24"/>
          <w:lang w:val="en-GB"/>
        </w:rPr>
        <w:t>P. aeruginosa</w:t>
      </w:r>
      <w:r w:rsidRPr="00A03EED">
        <w:rPr>
          <w:sz w:val="24"/>
          <w:szCs w:val="24"/>
          <w:lang w:val="en-GB"/>
        </w:rPr>
        <w:t xml:space="preserve"> isolated from chronically infected CF patients is </w:t>
      </w:r>
      <w:proofErr w:type="spellStart"/>
      <w:r w:rsidRPr="00A03EED">
        <w:rPr>
          <w:sz w:val="24"/>
          <w:szCs w:val="24"/>
          <w:lang w:val="en-GB"/>
        </w:rPr>
        <w:t>impermeability</w:t>
      </w:r>
      <w:proofErr w:type="spellEnd"/>
      <w:r w:rsidRPr="00A03EED">
        <w:rPr>
          <w:sz w:val="24"/>
          <w:szCs w:val="24"/>
          <w:lang w:val="en-GB"/>
        </w:rPr>
        <w:t xml:space="preserve">, defined by a general lack of susceptibility to all aminoglycosides. </w:t>
      </w:r>
      <w:r w:rsidRPr="00A03EED">
        <w:rPr>
          <w:iCs/>
          <w:sz w:val="24"/>
          <w:szCs w:val="24"/>
          <w:lang w:val="en-GB"/>
        </w:rPr>
        <w:t>P. aeruginosa</w:t>
      </w:r>
      <w:r w:rsidRPr="00A03EED">
        <w:rPr>
          <w:sz w:val="24"/>
          <w:szCs w:val="24"/>
          <w:lang w:val="en-GB"/>
        </w:rPr>
        <w:t xml:space="preserve"> isolated from CF patients has also been shown to exhibit adaptive aminoglycoside resistance that is characterised by a reversion to susceptibility when the antibiotic is removed.</w:t>
      </w:r>
    </w:p>
    <w:p w14:paraId="75D19790" w14:textId="77777777" w:rsidR="000D61C5" w:rsidRDefault="000D61C5" w:rsidP="00AA5865">
      <w:pPr>
        <w:ind w:left="851"/>
        <w:rPr>
          <w:bCs/>
          <w:sz w:val="24"/>
          <w:szCs w:val="24"/>
          <w:u w:val="single"/>
          <w:lang w:val="en-GB"/>
        </w:rPr>
      </w:pPr>
    </w:p>
    <w:p w14:paraId="340211C2" w14:textId="326207CA" w:rsidR="00FF3ABF" w:rsidRPr="00A03EED" w:rsidRDefault="00FF3ABF" w:rsidP="00AA5865">
      <w:pPr>
        <w:ind w:left="851"/>
        <w:rPr>
          <w:sz w:val="24"/>
          <w:szCs w:val="24"/>
          <w:lang w:val="en-GB"/>
        </w:rPr>
      </w:pPr>
      <w:r w:rsidRPr="00A03EED">
        <w:rPr>
          <w:bCs/>
          <w:sz w:val="24"/>
          <w:szCs w:val="24"/>
          <w:u w:val="single"/>
          <w:lang w:val="en-GB"/>
        </w:rPr>
        <w:t>Other Information</w:t>
      </w:r>
    </w:p>
    <w:p w14:paraId="4E70078F" w14:textId="0EEB7272" w:rsidR="00FF3ABF" w:rsidRPr="00A03EED" w:rsidRDefault="00FF3ABF" w:rsidP="00AA5865">
      <w:pPr>
        <w:ind w:left="851"/>
        <w:rPr>
          <w:sz w:val="24"/>
          <w:szCs w:val="24"/>
          <w:lang w:val="en-GB"/>
        </w:rPr>
      </w:pPr>
      <w:r w:rsidRPr="00A03EED">
        <w:rPr>
          <w:sz w:val="24"/>
          <w:szCs w:val="24"/>
          <w:lang w:val="en-GB"/>
        </w:rPr>
        <w:t xml:space="preserve">In controlled clinical studies, treatment with </w:t>
      </w:r>
      <w:proofErr w:type="spellStart"/>
      <w:r w:rsidR="00A03EED">
        <w:rPr>
          <w:sz w:val="24"/>
          <w:szCs w:val="24"/>
          <w:lang w:val="en-GB"/>
        </w:rPr>
        <w:t>Bramitob</w:t>
      </w:r>
      <w:proofErr w:type="spellEnd"/>
      <w:r w:rsidRPr="00A03EED">
        <w:rPr>
          <w:sz w:val="24"/>
          <w:szCs w:val="24"/>
          <w:lang w:val="en-GB"/>
        </w:rPr>
        <w:t xml:space="preserve"> carried out according to alternate cycles as described above, led to an improvement in lung function, with results maintained above baseline throughout therapy and </w:t>
      </w:r>
      <w:proofErr w:type="gramStart"/>
      <w:r w:rsidRPr="00A03EED">
        <w:rPr>
          <w:sz w:val="24"/>
          <w:szCs w:val="24"/>
          <w:lang w:val="en-GB"/>
        </w:rPr>
        <w:t>28 day</w:t>
      </w:r>
      <w:proofErr w:type="gramEnd"/>
      <w:r w:rsidRPr="00A03EED">
        <w:rPr>
          <w:sz w:val="24"/>
          <w:szCs w:val="24"/>
          <w:lang w:val="en-GB"/>
        </w:rPr>
        <w:t xml:space="preserve"> periods off therapy.</w:t>
      </w:r>
    </w:p>
    <w:p w14:paraId="3ADEC8C0" w14:textId="77777777" w:rsidR="00FF3ABF" w:rsidRPr="00A03EED" w:rsidRDefault="00FF3ABF" w:rsidP="00AA5865">
      <w:pPr>
        <w:ind w:left="851"/>
        <w:rPr>
          <w:sz w:val="24"/>
          <w:szCs w:val="24"/>
          <w:lang w:val="en-GB"/>
        </w:rPr>
      </w:pPr>
      <w:r w:rsidRPr="00A03EED">
        <w:rPr>
          <w:sz w:val="24"/>
          <w:szCs w:val="24"/>
          <w:lang w:val="en-GB"/>
        </w:rPr>
        <w:t>In clinical trials with tobramycin there is no data in patients aged less than 6 years.</w:t>
      </w:r>
    </w:p>
    <w:p w14:paraId="0FC83263" w14:textId="77777777" w:rsidR="00FF3ABF" w:rsidRPr="00A03EED" w:rsidRDefault="00FF3ABF" w:rsidP="00AA5865">
      <w:pPr>
        <w:ind w:left="851"/>
        <w:rPr>
          <w:sz w:val="24"/>
          <w:szCs w:val="24"/>
          <w:lang w:val="en-GB"/>
        </w:rPr>
      </w:pPr>
      <w:r w:rsidRPr="00A03EED">
        <w:rPr>
          <w:sz w:val="24"/>
          <w:szCs w:val="24"/>
          <w:lang w:val="en-GB"/>
        </w:rPr>
        <w:t xml:space="preserve">There is no evidence that patients treated with up to 18 months with tobramycin were at a greater risk for acquiring </w:t>
      </w:r>
      <w:r w:rsidRPr="00A03EED">
        <w:rPr>
          <w:iCs/>
          <w:sz w:val="24"/>
          <w:szCs w:val="24"/>
          <w:lang w:val="en-GB"/>
        </w:rPr>
        <w:t xml:space="preserve">B. </w:t>
      </w:r>
      <w:proofErr w:type="spellStart"/>
      <w:r w:rsidRPr="00A03EED">
        <w:rPr>
          <w:iCs/>
          <w:sz w:val="24"/>
          <w:szCs w:val="24"/>
          <w:lang w:val="en-GB"/>
        </w:rPr>
        <w:t>cepacia</w:t>
      </w:r>
      <w:proofErr w:type="spellEnd"/>
      <w:r w:rsidRPr="00A03EED">
        <w:rPr>
          <w:iCs/>
          <w:sz w:val="24"/>
          <w:szCs w:val="24"/>
          <w:lang w:val="en-GB"/>
        </w:rPr>
        <w:t xml:space="preserve">, S. </w:t>
      </w:r>
      <w:proofErr w:type="spellStart"/>
      <w:r w:rsidRPr="00A03EED">
        <w:rPr>
          <w:iCs/>
          <w:sz w:val="24"/>
          <w:szCs w:val="24"/>
          <w:lang w:val="en-GB"/>
        </w:rPr>
        <w:t>maltophilia</w:t>
      </w:r>
      <w:proofErr w:type="spellEnd"/>
      <w:r w:rsidRPr="00A03EED">
        <w:rPr>
          <w:iCs/>
          <w:sz w:val="24"/>
          <w:szCs w:val="24"/>
          <w:lang w:val="en-GB"/>
        </w:rPr>
        <w:t xml:space="preserve"> or A. </w:t>
      </w:r>
      <w:proofErr w:type="spellStart"/>
      <w:r w:rsidRPr="00A03EED">
        <w:rPr>
          <w:iCs/>
          <w:sz w:val="24"/>
          <w:szCs w:val="24"/>
          <w:lang w:val="en-GB"/>
        </w:rPr>
        <w:t>xylosoxidans</w:t>
      </w:r>
      <w:proofErr w:type="spellEnd"/>
      <w:r w:rsidRPr="00A03EED">
        <w:rPr>
          <w:iCs/>
          <w:sz w:val="24"/>
          <w:szCs w:val="24"/>
          <w:lang w:val="en-GB"/>
        </w:rPr>
        <w:t xml:space="preserve">, </w:t>
      </w:r>
      <w:r w:rsidRPr="00A03EED">
        <w:rPr>
          <w:sz w:val="24"/>
          <w:szCs w:val="24"/>
          <w:lang w:val="en-GB"/>
        </w:rPr>
        <w:t xml:space="preserve">than would be expected in patients not treated with tobramycin. </w:t>
      </w:r>
      <w:r w:rsidRPr="00A03EED">
        <w:rPr>
          <w:iCs/>
          <w:sz w:val="24"/>
          <w:szCs w:val="24"/>
          <w:lang w:val="en-GB"/>
        </w:rPr>
        <w:t>Aspergillus</w:t>
      </w:r>
      <w:r w:rsidRPr="00A03EED">
        <w:rPr>
          <w:sz w:val="24"/>
          <w:szCs w:val="24"/>
          <w:lang w:val="en-GB"/>
        </w:rPr>
        <w:t xml:space="preserve"> species were more frequently recovered from the sputum of patients who received tobramycin; however, clinical sequelae such as Allergic Bronchopulmonary Aspergillosis (ABPA) were reported rarely and with similar frequency as in the control group.</w:t>
      </w:r>
    </w:p>
    <w:p w14:paraId="35B19B7A" w14:textId="77777777" w:rsidR="007C5D2A" w:rsidRPr="00A03EED" w:rsidRDefault="007C5D2A" w:rsidP="003E0341">
      <w:pPr>
        <w:tabs>
          <w:tab w:val="left" w:pos="851"/>
        </w:tabs>
        <w:ind w:left="851"/>
        <w:rPr>
          <w:sz w:val="24"/>
          <w:szCs w:val="24"/>
          <w:lang w:val="en-GB"/>
        </w:rPr>
      </w:pPr>
    </w:p>
    <w:p w14:paraId="79A65AD4" w14:textId="26C89879" w:rsidR="007C5D2A" w:rsidRPr="00A03EED" w:rsidRDefault="007C5D2A" w:rsidP="007C5D2A">
      <w:pPr>
        <w:tabs>
          <w:tab w:val="left" w:pos="851"/>
        </w:tabs>
        <w:ind w:left="851" w:hanging="851"/>
        <w:rPr>
          <w:b/>
          <w:sz w:val="24"/>
          <w:szCs w:val="24"/>
          <w:lang w:val="en-GB"/>
        </w:rPr>
      </w:pPr>
      <w:r w:rsidRPr="00A03EED">
        <w:rPr>
          <w:b/>
          <w:sz w:val="24"/>
          <w:szCs w:val="24"/>
          <w:lang w:val="en-GB"/>
        </w:rPr>
        <w:t>5.2</w:t>
      </w:r>
      <w:r w:rsidRPr="00A03EED">
        <w:rPr>
          <w:b/>
          <w:sz w:val="24"/>
          <w:szCs w:val="24"/>
          <w:lang w:val="en-GB"/>
        </w:rPr>
        <w:tab/>
        <w:t>Pharmacokinetic properties</w:t>
      </w:r>
    </w:p>
    <w:p w14:paraId="7D2949ED" w14:textId="77777777" w:rsidR="000D61C5" w:rsidRDefault="000D61C5" w:rsidP="00AA5865">
      <w:pPr>
        <w:ind w:left="851"/>
        <w:rPr>
          <w:sz w:val="24"/>
          <w:szCs w:val="24"/>
          <w:lang w:val="en-GB"/>
        </w:rPr>
      </w:pPr>
    </w:p>
    <w:p w14:paraId="2FF61151" w14:textId="04B05E96" w:rsidR="00FF3ABF" w:rsidRPr="000D61C5" w:rsidRDefault="00FF3ABF" w:rsidP="00AA5865">
      <w:pPr>
        <w:ind w:left="851"/>
        <w:rPr>
          <w:b/>
          <w:sz w:val="24"/>
          <w:szCs w:val="24"/>
          <w:lang w:val="en-GB"/>
        </w:rPr>
      </w:pPr>
      <w:r w:rsidRPr="000D61C5">
        <w:rPr>
          <w:b/>
          <w:sz w:val="24"/>
          <w:szCs w:val="24"/>
          <w:lang w:val="en-GB"/>
        </w:rPr>
        <w:t>Absorption and distribution</w:t>
      </w:r>
    </w:p>
    <w:p w14:paraId="0E031789" w14:textId="77777777" w:rsidR="00FF3ABF" w:rsidRPr="00A03EED" w:rsidRDefault="00FF3ABF" w:rsidP="00AA5865">
      <w:pPr>
        <w:ind w:left="851"/>
        <w:rPr>
          <w:sz w:val="24"/>
          <w:szCs w:val="24"/>
          <w:lang w:val="en-GB"/>
        </w:rPr>
      </w:pPr>
      <w:r w:rsidRPr="00A03EED">
        <w:rPr>
          <w:sz w:val="24"/>
          <w:szCs w:val="24"/>
          <w:lang w:val="en-GB"/>
        </w:rPr>
        <w:t>Following oral administration only 0.3-0.5% of the drug appears in urine to prove systemic absorption. After administration via nebuliser in 6 cystic fibrosis patients, mean absolute bioavailability was about 9.1% of the dose. Systemic absorption of tobramycin is very low when administered by aerosol inhalation, with a limited uptake of the inhaled drug into the systemic circulation, it is estimated that approximately 10% of the mass of drug initially nebulised is deposited in the lungs and the remaining 90% either remains in the nebuliser, is impacted on the oro-pharynx and swallowed, or is exhaled into the atmosphere.</w:t>
      </w:r>
    </w:p>
    <w:p w14:paraId="27AAA4B5" w14:textId="506C2E5E" w:rsidR="00FF3ABF" w:rsidRPr="00A03EED" w:rsidRDefault="00FF3ABF" w:rsidP="00AA5865">
      <w:pPr>
        <w:ind w:left="851"/>
        <w:rPr>
          <w:sz w:val="24"/>
          <w:szCs w:val="24"/>
          <w:lang w:val="en-GB"/>
        </w:rPr>
      </w:pPr>
      <w:r w:rsidRPr="00A03EED">
        <w:rPr>
          <w:iCs/>
          <w:sz w:val="24"/>
          <w:szCs w:val="24"/>
          <w:lang w:val="en-GB"/>
        </w:rPr>
        <w:t>Sputum concentrations</w:t>
      </w:r>
      <w:r w:rsidRPr="00A03EED">
        <w:rPr>
          <w:sz w:val="24"/>
          <w:szCs w:val="24"/>
          <w:lang w:val="en-GB"/>
        </w:rPr>
        <w:t xml:space="preserve">: Ten minutes after inhalation of the first 300 mg dose of </w:t>
      </w:r>
      <w:proofErr w:type="spellStart"/>
      <w:r w:rsidR="00A03EED">
        <w:rPr>
          <w:sz w:val="24"/>
          <w:szCs w:val="24"/>
          <w:lang w:val="en-GB"/>
        </w:rPr>
        <w:t>Bramitob</w:t>
      </w:r>
      <w:proofErr w:type="spellEnd"/>
      <w:r w:rsidRPr="00A03EED">
        <w:rPr>
          <w:sz w:val="24"/>
          <w:szCs w:val="24"/>
          <w:lang w:val="en-GB"/>
        </w:rPr>
        <w:t xml:space="preserve">, the average sputum concentration of tobramycin was 695.6 </w:t>
      </w:r>
      <w:r w:rsidRPr="00A03EED">
        <w:rPr>
          <w:sz w:val="24"/>
          <w:szCs w:val="24"/>
          <w:lang w:val="el-GR"/>
        </w:rPr>
        <w:t>μ</w:t>
      </w:r>
      <w:r w:rsidRPr="00A03EED">
        <w:rPr>
          <w:sz w:val="24"/>
          <w:szCs w:val="24"/>
          <w:lang w:val="en-GB"/>
        </w:rPr>
        <w:t xml:space="preserve">g/g (range: 36 to 2,638 </w:t>
      </w:r>
      <w:r w:rsidRPr="00A03EED">
        <w:rPr>
          <w:sz w:val="24"/>
          <w:szCs w:val="24"/>
          <w:lang w:val="el-GR"/>
        </w:rPr>
        <w:t>μ</w:t>
      </w:r>
      <w:r w:rsidRPr="00A03EED">
        <w:rPr>
          <w:sz w:val="24"/>
          <w:szCs w:val="24"/>
          <w:lang w:val="en-GB"/>
        </w:rPr>
        <w:t xml:space="preserve">g/g). Tobramycin does not accumulate in sputum; after 20 weeks of therapy with the </w:t>
      </w:r>
      <w:proofErr w:type="spellStart"/>
      <w:r w:rsidR="00A03EED">
        <w:rPr>
          <w:sz w:val="24"/>
          <w:szCs w:val="24"/>
          <w:lang w:val="en-GB"/>
        </w:rPr>
        <w:t>Bramitob</w:t>
      </w:r>
      <w:proofErr w:type="spellEnd"/>
      <w:r w:rsidRPr="00A03EED">
        <w:rPr>
          <w:sz w:val="24"/>
          <w:szCs w:val="24"/>
          <w:lang w:val="en-GB"/>
        </w:rPr>
        <w:t xml:space="preserve"> regimen, the average sputum concentration of tobramycin 10 minutes after inhalation was </w:t>
      </w:r>
      <w:r w:rsidRPr="00A03EED">
        <w:rPr>
          <w:sz w:val="24"/>
          <w:szCs w:val="24"/>
          <w:lang w:val="en-GB"/>
        </w:rPr>
        <w:lastRenderedPageBreak/>
        <w:t xml:space="preserve">716.9 </w:t>
      </w:r>
      <w:r w:rsidRPr="00A03EED">
        <w:rPr>
          <w:sz w:val="24"/>
          <w:szCs w:val="24"/>
          <w:lang w:val="el-GR"/>
        </w:rPr>
        <w:t>μ</w:t>
      </w:r>
      <w:r w:rsidRPr="00A03EED">
        <w:rPr>
          <w:sz w:val="24"/>
          <w:szCs w:val="24"/>
          <w:lang w:val="en-GB"/>
        </w:rPr>
        <w:t xml:space="preserve">g/g (range: 40 to 2,530 </w:t>
      </w:r>
      <w:r w:rsidRPr="00A03EED">
        <w:rPr>
          <w:sz w:val="24"/>
          <w:szCs w:val="24"/>
          <w:lang w:val="el-GR"/>
        </w:rPr>
        <w:t>μ</w:t>
      </w:r>
      <w:r w:rsidRPr="00A03EED">
        <w:rPr>
          <w:sz w:val="24"/>
          <w:szCs w:val="24"/>
          <w:lang w:val="en-GB"/>
        </w:rPr>
        <w:t>g/g). High variability of sputum tobramycin concentrations was observed. Two hours after inhalation, sputum concentrations declined to approximately 14% of tobramycin levels measured at 10 minutes after inhalation.</w:t>
      </w:r>
    </w:p>
    <w:p w14:paraId="587D8799" w14:textId="4927C366" w:rsidR="00FF3ABF" w:rsidRPr="00A03EED" w:rsidRDefault="00FF3ABF" w:rsidP="00AA5865">
      <w:pPr>
        <w:ind w:left="851"/>
        <w:rPr>
          <w:sz w:val="24"/>
          <w:szCs w:val="24"/>
          <w:lang w:val="en-GB"/>
        </w:rPr>
      </w:pPr>
      <w:r w:rsidRPr="00A03EED">
        <w:rPr>
          <w:iCs/>
          <w:sz w:val="24"/>
          <w:szCs w:val="24"/>
          <w:lang w:val="en-GB"/>
        </w:rPr>
        <w:t xml:space="preserve">Serum concentrations: </w:t>
      </w:r>
      <w:r w:rsidRPr="00A03EED">
        <w:rPr>
          <w:sz w:val="24"/>
          <w:szCs w:val="24"/>
          <w:lang w:val="en-GB"/>
        </w:rPr>
        <w:t xml:space="preserve">The median serum concentration of tobramycin 1 hour after inhalation of a single 300 mg dose of </w:t>
      </w:r>
      <w:proofErr w:type="spellStart"/>
      <w:r w:rsidR="00A03EED">
        <w:rPr>
          <w:sz w:val="24"/>
          <w:szCs w:val="24"/>
          <w:lang w:val="en-GB"/>
        </w:rPr>
        <w:t>Bramitob</w:t>
      </w:r>
      <w:proofErr w:type="spellEnd"/>
      <w:r w:rsidRPr="00A03EED">
        <w:rPr>
          <w:sz w:val="24"/>
          <w:szCs w:val="24"/>
          <w:lang w:val="en-GB"/>
        </w:rPr>
        <w:t xml:space="preserve"> by CF patients was 0.68 </w:t>
      </w:r>
      <w:r w:rsidRPr="00A03EED">
        <w:rPr>
          <w:sz w:val="24"/>
          <w:szCs w:val="24"/>
          <w:lang w:val="el-GR"/>
        </w:rPr>
        <w:t>μ</w:t>
      </w:r>
      <w:r w:rsidRPr="00A03EED">
        <w:rPr>
          <w:sz w:val="24"/>
          <w:szCs w:val="24"/>
          <w:lang w:val="en-GB"/>
        </w:rPr>
        <w:t>g/mL (range: 0.06</w:t>
      </w:r>
      <w:r w:rsidRPr="00A03EED">
        <w:rPr>
          <w:sz w:val="24"/>
          <w:szCs w:val="24"/>
          <w:lang w:val="el-GR"/>
        </w:rPr>
        <w:t>μ</w:t>
      </w:r>
      <w:r w:rsidRPr="00A03EED">
        <w:rPr>
          <w:sz w:val="24"/>
          <w:szCs w:val="24"/>
          <w:lang w:val="en-GB"/>
        </w:rPr>
        <w:t>g/mL – 1.89</w:t>
      </w:r>
      <w:r w:rsidRPr="00A03EED">
        <w:rPr>
          <w:sz w:val="24"/>
          <w:szCs w:val="24"/>
          <w:lang w:val="el-GR"/>
        </w:rPr>
        <w:t>μ</w:t>
      </w:r>
      <w:r w:rsidRPr="00A03EED">
        <w:rPr>
          <w:sz w:val="24"/>
          <w:szCs w:val="24"/>
          <w:lang w:val="en-GB"/>
        </w:rPr>
        <w:t xml:space="preserve">g/mL). After 20 weeks of therapy on the tobramycin regimen, the median serum tobramycin concentration 1 hour after dosing was 1.05 </w:t>
      </w:r>
      <w:r w:rsidRPr="00A03EED">
        <w:rPr>
          <w:sz w:val="24"/>
          <w:szCs w:val="24"/>
          <w:lang w:val="el-GR"/>
        </w:rPr>
        <w:t>μ</w:t>
      </w:r>
      <w:r w:rsidRPr="00A03EED">
        <w:rPr>
          <w:sz w:val="24"/>
          <w:szCs w:val="24"/>
          <w:lang w:val="en-GB"/>
        </w:rPr>
        <w:t>g/mL (range: BLQ- 3.41</w:t>
      </w:r>
      <w:r w:rsidRPr="00A03EED">
        <w:rPr>
          <w:sz w:val="24"/>
          <w:szCs w:val="24"/>
          <w:lang w:val="el-GR"/>
        </w:rPr>
        <w:t>μ</w:t>
      </w:r>
      <w:r w:rsidRPr="00A03EED">
        <w:rPr>
          <w:sz w:val="24"/>
          <w:szCs w:val="24"/>
          <w:lang w:val="en-GB"/>
        </w:rPr>
        <w:t>g/mL).</w:t>
      </w:r>
    </w:p>
    <w:p w14:paraId="6372253E" w14:textId="77777777" w:rsidR="000D61C5" w:rsidRDefault="000D61C5" w:rsidP="00AA5865">
      <w:pPr>
        <w:ind w:left="851"/>
        <w:rPr>
          <w:bCs/>
          <w:iCs/>
          <w:sz w:val="24"/>
          <w:szCs w:val="24"/>
          <w:lang w:val="en-GB"/>
        </w:rPr>
      </w:pPr>
    </w:p>
    <w:p w14:paraId="62C7DC3C" w14:textId="3405F419" w:rsidR="00FF3ABF" w:rsidRPr="000D61C5" w:rsidRDefault="00FF3ABF" w:rsidP="00AA5865">
      <w:pPr>
        <w:ind w:left="851"/>
        <w:rPr>
          <w:b/>
          <w:sz w:val="24"/>
          <w:szCs w:val="24"/>
          <w:lang w:val="en-GB"/>
        </w:rPr>
      </w:pPr>
      <w:r w:rsidRPr="000D61C5">
        <w:rPr>
          <w:b/>
          <w:bCs/>
          <w:iCs/>
          <w:sz w:val="24"/>
          <w:szCs w:val="24"/>
          <w:lang w:val="en-GB"/>
        </w:rPr>
        <w:t>Elimination</w:t>
      </w:r>
    </w:p>
    <w:p w14:paraId="2858D9F7" w14:textId="77777777" w:rsidR="00FF3ABF" w:rsidRPr="00A03EED" w:rsidRDefault="00FF3ABF" w:rsidP="00AA5865">
      <w:pPr>
        <w:ind w:left="851"/>
        <w:rPr>
          <w:sz w:val="24"/>
          <w:szCs w:val="24"/>
          <w:lang w:val="en-GB"/>
        </w:rPr>
      </w:pPr>
      <w:r w:rsidRPr="00A03EED">
        <w:rPr>
          <w:sz w:val="24"/>
          <w:szCs w:val="24"/>
          <w:lang w:val="en-GB"/>
        </w:rPr>
        <w:t>The elimination of tobramycin administered by the inhalation route has not been studied.</w:t>
      </w:r>
    </w:p>
    <w:p w14:paraId="73AEAF58" w14:textId="77777777" w:rsidR="00FF3ABF" w:rsidRPr="00A03EED" w:rsidRDefault="00FF3ABF" w:rsidP="00AA5865">
      <w:pPr>
        <w:ind w:left="851"/>
        <w:rPr>
          <w:sz w:val="24"/>
          <w:szCs w:val="24"/>
          <w:lang w:val="en-GB"/>
        </w:rPr>
      </w:pPr>
      <w:r w:rsidRPr="00A03EED">
        <w:rPr>
          <w:sz w:val="24"/>
          <w:szCs w:val="24"/>
          <w:lang w:val="en-GB"/>
        </w:rPr>
        <w:t>Following intravenous administration, systemically absorbed tobramycin is eliminated principally by glomerular filtration. The elimination half-life of tobramycin from serum is approximately 2 hours. Less than 10% of tobramycin is bound to plasma proteins.</w:t>
      </w:r>
    </w:p>
    <w:p w14:paraId="0F89C246" w14:textId="77777777" w:rsidR="00FF3ABF" w:rsidRPr="00A03EED" w:rsidRDefault="00FF3ABF" w:rsidP="00AA5865">
      <w:pPr>
        <w:ind w:left="851"/>
        <w:rPr>
          <w:sz w:val="24"/>
          <w:szCs w:val="24"/>
          <w:lang w:val="en-GB"/>
        </w:rPr>
      </w:pPr>
      <w:r w:rsidRPr="00A03EED">
        <w:rPr>
          <w:sz w:val="24"/>
          <w:szCs w:val="24"/>
          <w:lang w:val="en-GB"/>
        </w:rPr>
        <w:t>Unabsorbed tobramycin following tobramycin administration is probably eliminated primarily in expectorated sputum.</w:t>
      </w:r>
    </w:p>
    <w:p w14:paraId="17AE67A7" w14:textId="77777777" w:rsidR="007C5D2A" w:rsidRPr="00A03EED" w:rsidRDefault="007C5D2A" w:rsidP="003E0341">
      <w:pPr>
        <w:tabs>
          <w:tab w:val="left" w:pos="851"/>
        </w:tabs>
        <w:ind w:left="851"/>
        <w:rPr>
          <w:sz w:val="24"/>
          <w:szCs w:val="24"/>
          <w:lang w:val="en-GB"/>
        </w:rPr>
      </w:pPr>
    </w:p>
    <w:p w14:paraId="18CB1D0E" w14:textId="77777777" w:rsidR="007C5D2A" w:rsidRPr="00A03EED" w:rsidRDefault="00180A12" w:rsidP="007C5D2A">
      <w:pPr>
        <w:tabs>
          <w:tab w:val="left" w:pos="851"/>
        </w:tabs>
        <w:ind w:left="851" w:hanging="851"/>
        <w:rPr>
          <w:b/>
          <w:sz w:val="24"/>
          <w:szCs w:val="24"/>
          <w:lang w:val="en-GB"/>
        </w:rPr>
      </w:pPr>
      <w:r w:rsidRPr="00A03EED">
        <w:rPr>
          <w:b/>
          <w:sz w:val="24"/>
          <w:szCs w:val="24"/>
          <w:lang w:val="en-GB"/>
        </w:rPr>
        <w:t>5.3</w:t>
      </w:r>
      <w:r w:rsidRPr="00A03EED">
        <w:rPr>
          <w:b/>
          <w:sz w:val="24"/>
          <w:szCs w:val="24"/>
          <w:lang w:val="en-GB"/>
        </w:rPr>
        <w:tab/>
        <w:t>Preclinical safety data</w:t>
      </w:r>
    </w:p>
    <w:p w14:paraId="1B5359DF" w14:textId="77777777" w:rsidR="00FF3ABF" w:rsidRPr="00A03EED" w:rsidRDefault="00FF3ABF" w:rsidP="00AA5865">
      <w:pPr>
        <w:ind w:left="851"/>
        <w:rPr>
          <w:sz w:val="24"/>
          <w:szCs w:val="24"/>
          <w:lang w:val="en-GB"/>
        </w:rPr>
      </w:pPr>
      <w:r w:rsidRPr="00A03EED">
        <w:rPr>
          <w:sz w:val="24"/>
          <w:szCs w:val="24"/>
          <w:lang w:val="en-GB"/>
        </w:rPr>
        <w:t>In repeated dose toxicity studies, the target organs are the kidneys and vestibular/cochlear functions. In general, the signs and symptoms of nephrotoxicity and ototoxicity are seen at higher systemic tobramycin levels than are achievable by inhalation at the recommended clinical dose.</w:t>
      </w:r>
    </w:p>
    <w:p w14:paraId="67AB8BC3" w14:textId="77777777" w:rsidR="00FF3ABF" w:rsidRPr="00A03EED" w:rsidRDefault="00FF3ABF" w:rsidP="00AA5865">
      <w:pPr>
        <w:ind w:left="851"/>
        <w:rPr>
          <w:sz w:val="24"/>
          <w:szCs w:val="24"/>
          <w:lang w:val="en-GB"/>
        </w:rPr>
      </w:pPr>
      <w:r w:rsidRPr="00A03EED">
        <w:rPr>
          <w:bCs/>
          <w:iCs/>
          <w:spacing w:val="-2"/>
          <w:sz w:val="24"/>
          <w:szCs w:val="24"/>
          <w:lang w:val="en-GB"/>
        </w:rPr>
        <w:t>In preclinical studies, administration of inhaled tobramycin during up to 28 consecutive days determined modest, unspecific and fully reversible (on therapy discontinuation) signs of irritation in the respiratory tract, and signs of renal toxicity, at the highest doses.</w:t>
      </w:r>
    </w:p>
    <w:p w14:paraId="3B1DAA2E" w14:textId="77777777" w:rsidR="00FF3ABF" w:rsidRPr="00A03EED" w:rsidRDefault="00FF3ABF" w:rsidP="00AA5865">
      <w:pPr>
        <w:ind w:left="851"/>
        <w:rPr>
          <w:sz w:val="24"/>
          <w:szCs w:val="24"/>
          <w:lang w:val="en-GB"/>
        </w:rPr>
      </w:pPr>
      <w:r w:rsidRPr="00A03EED">
        <w:rPr>
          <w:sz w:val="24"/>
          <w:szCs w:val="24"/>
          <w:lang w:val="en-GB"/>
        </w:rPr>
        <w:t>No reproductive toxicology studies have been carried out with inhaled tobramycin, but subcutaneous administration of doses up to 100mg/kg/day during organogenesis in rats was not teratogenic. In rabbits, subcutaneous administration of doses of 20-40mg/kg caused maternal toxicity and abortions, but without evidence of any teratogenic signs.</w:t>
      </w:r>
    </w:p>
    <w:p w14:paraId="7C168797" w14:textId="77777777" w:rsidR="00FF3ABF" w:rsidRPr="00A03EED" w:rsidRDefault="00FF3ABF" w:rsidP="00AA5865">
      <w:pPr>
        <w:ind w:left="851"/>
        <w:rPr>
          <w:sz w:val="24"/>
          <w:szCs w:val="24"/>
          <w:lang w:val="en-GB"/>
        </w:rPr>
      </w:pPr>
      <w:r w:rsidRPr="00A03EED">
        <w:rPr>
          <w:sz w:val="24"/>
          <w:szCs w:val="24"/>
          <w:lang w:val="en-GB"/>
        </w:rPr>
        <w:t>Considering the data available from animals, a risk of toxicity (e.g. ototoxicity) at prenatal exposure levels cannot be excluded.</w:t>
      </w:r>
    </w:p>
    <w:p w14:paraId="075CA6BE" w14:textId="77777777" w:rsidR="00FF3ABF" w:rsidRPr="00A03EED" w:rsidRDefault="00FF3ABF" w:rsidP="00AA5865">
      <w:pPr>
        <w:ind w:left="851"/>
        <w:rPr>
          <w:sz w:val="24"/>
          <w:szCs w:val="24"/>
          <w:lang w:val="en-GB"/>
        </w:rPr>
      </w:pPr>
      <w:r w:rsidRPr="00A03EED">
        <w:rPr>
          <w:sz w:val="24"/>
          <w:szCs w:val="24"/>
          <w:lang w:val="en-GB"/>
        </w:rPr>
        <w:t>Tobramycin was not shown to be genotoxic.</w:t>
      </w:r>
    </w:p>
    <w:p w14:paraId="31A75BBC" w14:textId="77777777" w:rsidR="007C5D2A" w:rsidRPr="00A03EED" w:rsidRDefault="007C5D2A" w:rsidP="00AA5865">
      <w:pPr>
        <w:ind w:left="851"/>
        <w:rPr>
          <w:sz w:val="24"/>
          <w:szCs w:val="24"/>
          <w:lang w:val="en-GB"/>
        </w:rPr>
      </w:pPr>
    </w:p>
    <w:p w14:paraId="7C77076C" w14:textId="77777777" w:rsidR="007C5D2A" w:rsidRPr="00A03EED" w:rsidRDefault="007C5D2A" w:rsidP="003E0341">
      <w:pPr>
        <w:tabs>
          <w:tab w:val="left" w:pos="851"/>
        </w:tabs>
        <w:ind w:left="851"/>
        <w:rPr>
          <w:sz w:val="24"/>
          <w:szCs w:val="24"/>
          <w:lang w:val="en-GB"/>
        </w:rPr>
      </w:pPr>
    </w:p>
    <w:p w14:paraId="7D64A90D" w14:textId="77777777" w:rsidR="007C5D2A" w:rsidRPr="00A03EED" w:rsidRDefault="009925C9" w:rsidP="007C5D2A">
      <w:pPr>
        <w:ind w:left="851" w:hanging="851"/>
        <w:rPr>
          <w:b/>
          <w:sz w:val="24"/>
          <w:szCs w:val="24"/>
          <w:lang w:val="en-GB"/>
        </w:rPr>
      </w:pPr>
      <w:r w:rsidRPr="00A03EED">
        <w:rPr>
          <w:b/>
          <w:sz w:val="24"/>
          <w:szCs w:val="24"/>
          <w:lang w:val="en-GB"/>
        </w:rPr>
        <w:t>6.</w:t>
      </w:r>
      <w:r w:rsidR="007C5D2A" w:rsidRPr="00A03EED">
        <w:rPr>
          <w:b/>
          <w:sz w:val="24"/>
          <w:szCs w:val="24"/>
          <w:lang w:val="en-GB"/>
        </w:rPr>
        <w:tab/>
        <w:t>PHARMACEUTICAL PARTICULARS</w:t>
      </w:r>
    </w:p>
    <w:p w14:paraId="19B64A71" w14:textId="77777777" w:rsidR="007C5D2A" w:rsidRPr="00A03EED" w:rsidRDefault="007C5D2A" w:rsidP="003E0341">
      <w:pPr>
        <w:tabs>
          <w:tab w:val="left" w:pos="851"/>
        </w:tabs>
        <w:ind w:left="851"/>
        <w:rPr>
          <w:sz w:val="24"/>
          <w:szCs w:val="24"/>
          <w:lang w:val="en-GB"/>
        </w:rPr>
      </w:pPr>
    </w:p>
    <w:p w14:paraId="01528821" w14:textId="77777777" w:rsidR="007C5D2A" w:rsidRPr="00A03EED" w:rsidRDefault="007C5D2A" w:rsidP="007C5D2A">
      <w:pPr>
        <w:ind w:left="851" w:hanging="851"/>
        <w:rPr>
          <w:b/>
          <w:sz w:val="24"/>
          <w:szCs w:val="24"/>
          <w:lang w:val="en-GB"/>
        </w:rPr>
      </w:pPr>
      <w:r w:rsidRPr="00A03EED">
        <w:rPr>
          <w:b/>
          <w:sz w:val="24"/>
          <w:szCs w:val="24"/>
          <w:lang w:val="en-GB"/>
        </w:rPr>
        <w:t>6.1</w:t>
      </w:r>
      <w:r w:rsidRPr="00A03EED">
        <w:rPr>
          <w:b/>
          <w:sz w:val="24"/>
          <w:szCs w:val="24"/>
          <w:lang w:val="en-GB"/>
        </w:rPr>
        <w:tab/>
        <w:t>List of excipients</w:t>
      </w:r>
    </w:p>
    <w:p w14:paraId="5BA26A8D" w14:textId="77777777" w:rsidR="00FF3ABF" w:rsidRPr="00A03EED" w:rsidRDefault="00FF3ABF" w:rsidP="00AA5865">
      <w:pPr>
        <w:ind w:left="851"/>
        <w:rPr>
          <w:sz w:val="24"/>
          <w:szCs w:val="24"/>
          <w:lang w:val="en-GB"/>
        </w:rPr>
      </w:pPr>
      <w:r w:rsidRPr="00A03EED">
        <w:rPr>
          <w:sz w:val="24"/>
          <w:szCs w:val="24"/>
          <w:lang w:val="en-GB"/>
        </w:rPr>
        <w:t>Sodium chloride</w:t>
      </w:r>
    </w:p>
    <w:p w14:paraId="00DE90FF" w14:textId="77777777" w:rsidR="00FF3ABF" w:rsidRPr="00A03EED" w:rsidRDefault="00FF3ABF" w:rsidP="00AA5865">
      <w:pPr>
        <w:ind w:left="851"/>
        <w:rPr>
          <w:sz w:val="24"/>
          <w:szCs w:val="24"/>
          <w:lang w:val="en-GB"/>
        </w:rPr>
      </w:pPr>
      <w:r w:rsidRPr="00A03EED">
        <w:rPr>
          <w:sz w:val="24"/>
          <w:szCs w:val="24"/>
          <w:lang w:val="en-GB"/>
        </w:rPr>
        <w:t>Sulphuric acid</w:t>
      </w:r>
    </w:p>
    <w:p w14:paraId="756D3E15" w14:textId="77777777" w:rsidR="00FF3ABF" w:rsidRPr="00A03EED" w:rsidRDefault="00FF3ABF" w:rsidP="00AA5865">
      <w:pPr>
        <w:ind w:left="851"/>
        <w:rPr>
          <w:sz w:val="24"/>
          <w:szCs w:val="24"/>
          <w:lang w:val="en-GB"/>
        </w:rPr>
      </w:pPr>
      <w:r w:rsidRPr="00A03EED">
        <w:rPr>
          <w:sz w:val="24"/>
          <w:szCs w:val="24"/>
          <w:lang w:val="en-GB"/>
        </w:rPr>
        <w:t>Sodium hydroxide (for pH adjustment),</w:t>
      </w:r>
    </w:p>
    <w:p w14:paraId="7AF3955A" w14:textId="77777777" w:rsidR="00FF3ABF" w:rsidRPr="00A03EED" w:rsidRDefault="00FF3ABF" w:rsidP="00AA5865">
      <w:pPr>
        <w:ind w:left="851"/>
        <w:rPr>
          <w:sz w:val="24"/>
          <w:szCs w:val="24"/>
          <w:lang w:val="en-GB"/>
        </w:rPr>
      </w:pPr>
      <w:r w:rsidRPr="00A03EED">
        <w:rPr>
          <w:sz w:val="24"/>
          <w:szCs w:val="24"/>
          <w:lang w:val="en-GB"/>
        </w:rPr>
        <w:t>Water for injections</w:t>
      </w:r>
    </w:p>
    <w:p w14:paraId="7C63209F" w14:textId="77777777" w:rsidR="007C5D2A" w:rsidRPr="00A03EED" w:rsidRDefault="007C5D2A" w:rsidP="00AA5865">
      <w:pPr>
        <w:ind w:left="851"/>
        <w:rPr>
          <w:sz w:val="24"/>
          <w:szCs w:val="24"/>
          <w:lang w:val="en-GB"/>
        </w:rPr>
      </w:pPr>
    </w:p>
    <w:p w14:paraId="01E75F70" w14:textId="77777777" w:rsidR="007C5D2A" w:rsidRPr="00A03EED" w:rsidRDefault="007C5D2A" w:rsidP="007C5D2A">
      <w:pPr>
        <w:ind w:left="851" w:hanging="851"/>
        <w:rPr>
          <w:b/>
          <w:sz w:val="24"/>
          <w:szCs w:val="24"/>
          <w:lang w:val="en-GB"/>
        </w:rPr>
      </w:pPr>
      <w:r w:rsidRPr="00A03EED">
        <w:rPr>
          <w:b/>
          <w:sz w:val="24"/>
          <w:szCs w:val="24"/>
          <w:lang w:val="en-GB"/>
        </w:rPr>
        <w:t>6.2</w:t>
      </w:r>
      <w:r w:rsidRPr="00A03EED">
        <w:rPr>
          <w:b/>
          <w:sz w:val="24"/>
          <w:szCs w:val="24"/>
          <w:lang w:val="en-GB"/>
        </w:rPr>
        <w:tab/>
        <w:t>Incompatibilities</w:t>
      </w:r>
    </w:p>
    <w:p w14:paraId="14D6A4CD" w14:textId="77777777" w:rsidR="00FF3ABF" w:rsidRPr="00A03EED" w:rsidRDefault="00FF3ABF" w:rsidP="00AA5865">
      <w:pPr>
        <w:ind w:left="851"/>
        <w:rPr>
          <w:i/>
          <w:sz w:val="24"/>
          <w:szCs w:val="24"/>
          <w:lang w:val="en-GB"/>
        </w:rPr>
      </w:pPr>
      <w:r w:rsidRPr="00A03EED">
        <w:rPr>
          <w:i/>
          <w:sz w:val="24"/>
          <w:szCs w:val="24"/>
          <w:lang w:val="en-GB"/>
        </w:rPr>
        <w:t>In the absence of compatibility studies, this medicinal product must not be mixed with other medicinal products in the nebuliser.</w:t>
      </w:r>
    </w:p>
    <w:p w14:paraId="2444FFEA" w14:textId="07ACCE2B" w:rsidR="007C5D2A" w:rsidRPr="00A03EED" w:rsidRDefault="007C5D2A" w:rsidP="00AA5865">
      <w:pPr>
        <w:ind w:left="851"/>
        <w:rPr>
          <w:sz w:val="24"/>
          <w:szCs w:val="24"/>
          <w:lang w:val="en-GB"/>
        </w:rPr>
      </w:pPr>
    </w:p>
    <w:p w14:paraId="417920C3" w14:textId="77777777" w:rsidR="007C5D2A" w:rsidRPr="00A03EED" w:rsidRDefault="007C5D2A" w:rsidP="007C5D2A">
      <w:pPr>
        <w:ind w:left="851" w:hanging="851"/>
        <w:rPr>
          <w:b/>
          <w:sz w:val="24"/>
          <w:szCs w:val="24"/>
          <w:lang w:val="en-GB"/>
        </w:rPr>
      </w:pPr>
      <w:r w:rsidRPr="00A03EED">
        <w:rPr>
          <w:b/>
          <w:sz w:val="24"/>
          <w:szCs w:val="24"/>
          <w:lang w:val="en-GB"/>
        </w:rPr>
        <w:t>6.3</w:t>
      </w:r>
      <w:r w:rsidRPr="00A03EED">
        <w:rPr>
          <w:b/>
          <w:sz w:val="24"/>
          <w:szCs w:val="24"/>
          <w:lang w:val="en-GB"/>
        </w:rPr>
        <w:tab/>
        <w:t>Shelf</w:t>
      </w:r>
      <w:r w:rsidR="00FD652E" w:rsidRPr="00A03EED">
        <w:rPr>
          <w:b/>
          <w:sz w:val="24"/>
          <w:szCs w:val="24"/>
          <w:lang w:val="en-GB"/>
        </w:rPr>
        <w:t>-</w:t>
      </w:r>
      <w:r w:rsidRPr="00A03EED">
        <w:rPr>
          <w:b/>
          <w:sz w:val="24"/>
          <w:szCs w:val="24"/>
          <w:lang w:val="en-GB"/>
        </w:rPr>
        <w:t>life</w:t>
      </w:r>
    </w:p>
    <w:p w14:paraId="75BE4B38" w14:textId="77777777" w:rsidR="00FF3ABF" w:rsidRPr="00A03EED" w:rsidRDefault="00FF3ABF" w:rsidP="00AA5865">
      <w:pPr>
        <w:ind w:left="851"/>
        <w:rPr>
          <w:sz w:val="24"/>
          <w:szCs w:val="24"/>
          <w:lang w:val="en-GB"/>
        </w:rPr>
      </w:pPr>
      <w:r w:rsidRPr="00A03EED">
        <w:rPr>
          <w:sz w:val="24"/>
          <w:szCs w:val="24"/>
          <w:lang w:val="en-GB"/>
        </w:rPr>
        <w:t>2 years.</w:t>
      </w:r>
    </w:p>
    <w:p w14:paraId="20588880" w14:textId="77777777" w:rsidR="00FF3ABF" w:rsidRPr="00A03EED" w:rsidRDefault="00FF3ABF" w:rsidP="00AA5865">
      <w:pPr>
        <w:ind w:left="851"/>
        <w:rPr>
          <w:sz w:val="24"/>
          <w:szCs w:val="24"/>
          <w:lang w:val="en-GB"/>
        </w:rPr>
      </w:pPr>
      <w:r w:rsidRPr="00A03EED">
        <w:rPr>
          <w:sz w:val="24"/>
          <w:szCs w:val="24"/>
          <w:lang w:val="en-GB"/>
        </w:rPr>
        <w:t>After first opening the single-dose container: use immediately.</w:t>
      </w:r>
    </w:p>
    <w:p w14:paraId="7F79525D" w14:textId="6C2A941B" w:rsidR="00FF3ABF" w:rsidRPr="00A03EED" w:rsidRDefault="00FF3ABF" w:rsidP="00AA5865">
      <w:pPr>
        <w:ind w:left="851"/>
        <w:rPr>
          <w:sz w:val="24"/>
          <w:szCs w:val="24"/>
          <w:lang w:val="en-IE"/>
        </w:rPr>
      </w:pPr>
      <w:r w:rsidRPr="00A03EED">
        <w:rPr>
          <w:sz w:val="24"/>
          <w:szCs w:val="24"/>
          <w:lang w:val="en-IE"/>
        </w:rPr>
        <w:t xml:space="preserve">In use shelf life: </w:t>
      </w:r>
      <w:proofErr w:type="spellStart"/>
      <w:r w:rsidR="00A03EED">
        <w:rPr>
          <w:sz w:val="24"/>
          <w:szCs w:val="24"/>
          <w:lang w:val="en-GB"/>
        </w:rPr>
        <w:t>Bramitob</w:t>
      </w:r>
      <w:proofErr w:type="spellEnd"/>
      <w:r w:rsidRPr="00A03EED">
        <w:rPr>
          <w:sz w:val="24"/>
          <w:szCs w:val="24"/>
          <w:lang w:val="en-IE"/>
        </w:rPr>
        <w:t xml:space="preserve"> bags (intact or opened) may be stored for up to 3 months at not more than 25</w:t>
      </w:r>
      <w:r w:rsidR="00A80429">
        <w:rPr>
          <w:sz w:val="24"/>
          <w:szCs w:val="24"/>
          <w:lang w:val="en-IE"/>
        </w:rPr>
        <w:t xml:space="preserve"> </w:t>
      </w:r>
      <w:r w:rsidR="00B65F4F">
        <w:rPr>
          <w:sz w:val="24"/>
          <w:szCs w:val="24"/>
          <w:lang w:val="en-IE"/>
        </w:rPr>
        <w:t>°</w:t>
      </w:r>
      <w:r w:rsidRPr="00A03EED">
        <w:rPr>
          <w:sz w:val="24"/>
          <w:szCs w:val="24"/>
          <w:lang w:val="en-IE"/>
        </w:rPr>
        <w:t>C.</w:t>
      </w:r>
    </w:p>
    <w:p w14:paraId="6A4BEC1C" w14:textId="77777777" w:rsidR="007C5D2A" w:rsidRPr="00A03EED" w:rsidRDefault="007C5D2A" w:rsidP="003E0341">
      <w:pPr>
        <w:tabs>
          <w:tab w:val="left" w:pos="851"/>
        </w:tabs>
        <w:ind w:left="851"/>
        <w:rPr>
          <w:sz w:val="24"/>
          <w:szCs w:val="24"/>
          <w:lang w:val="en-GB"/>
        </w:rPr>
      </w:pPr>
    </w:p>
    <w:p w14:paraId="7DADD233" w14:textId="77777777" w:rsidR="007C5D2A" w:rsidRPr="00A03EED" w:rsidRDefault="007C5D2A" w:rsidP="007C5D2A">
      <w:pPr>
        <w:ind w:left="851" w:hanging="851"/>
        <w:rPr>
          <w:b/>
          <w:sz w:val="24"/>
          <w:szCs w:val="24"/>
          <w:lang w:val="en-GB"/>
        </w:rPr>
      </w:pPr>
      <w:r w:rsidRPr="00A03EED">
        <w:rPr>
          <w:b/>
          <w:sz w:val="24"/>
          <w:szCs w:val="24"/>
          <w:lang w:val="en-GB"/>
        </w:rPr>
        <w:t>6.4</w:t>
      </w:r>
      <w:r w:rsidRPr="00A03EED">
        <w:rPr>
          <w:b/>
          <w:sz w:val="24"/>
          <w:szCs w:val="24"/>
          <w:lang w:val="en-GB"/>
        </w:rPr>
        <w:tab/>
        <w:t>Special precautions for storage</w:t>
      </w:r>
    </w:p>
    <w:p w14:paraId="11EC30F4" w14:textId="7CC1A0A9" w:rsidR="00FF3ABF" w:rsidRPr="00A03EED" w:rsidRDefault="00FF3ABF" w:rsidP="00AA5865">
      <w:pPr>
        <w:ind w:left="851"/>
        <w:rPr>
          <w:sz w:val="24"/>
          <w:szCs w:val="24"/>
          <w:lang w:val="en-GB"/>
        </w:rPr>
      </w:pPr>
      <w:r w:rsidRPr="00A03EED">
        <w:rPr>
          <w:sz w:val="24"/>
          <w:szCs w:val="24"/>
          <w:lang w:val="en-GB"/>
        </w:rPr>
        <w:t>Store in a refrigerator (2-8</w:t>
      </w:r>
      <w:r w:rsidR="00A80429">
        <w:rPr>
          <w:sz w:val="24"/>
          <w:szCs w:val="24"/>
          <w:lang w:val="en-GB"/>
        </w:rPr>
        <w:t xml:space="preserve"> </w:t>
      </w:r>
      <w:r w:rsidRPr="00A03EED">
        <w:rPr>
          <w:sz w:val="24"/>
          <w:szCs w:val="24"/>
          <w:lang w:val="en-GB"/>
        </w:rPr>
        <w:t>°C).</w:t>
      </w:r>
    </w:p>
    <w:p w14:paraId="2D1EC7AD" w14:textId="77777777" w:rsidR="00FF3ABF" w:rsidRPr="00A03EED" w:rsidRDefault="00FF3ABF" w:rsidP="00AA5865">
      <w:pPr>
        <w:ind w:left="851"/>
        <w:rPr>
          <w:sz w:val="24"/>
          <w:szCs w:val="24"/>
          <w:lang w:val="en-GB"/>
        </w:rPr>
      </w:pPr>
      <w:r w:rsidRPr="00A03EED">
        <w:rPr>
          <w:sz w:val="24"/>
          <w:szCs w:val="24"/>
          <w:lang w:val="en-GB"/>
        </w:rPr>
        <w:t>Store in the original package in order to protect from light.</w:t>
      </w:r>
    </w:p>
    <w:p w14:paraId="10DEF2D2" w14:textId="77777777" w:rsidR="00FF3ABF" w:rsidRPr="00A03EED" w:rsidRDefault="00FF3ABF" w:rsidP="00AA5865">
      <w:pPr>
        <w:ind w:left="851"/>
        <w:rPr>
          <w:sz w:val="24"/>
          <w:szCs w:val="24"/>
          <w:lang w:val="en-GB"/>
        </w:rPr>
      </w:pPr>
    </w:p>
    <w:p w14:paraId="541613E4" w14:textId="52CCFABC" w:rsidR="00FF3ABF" w:rsidRPr="00A03EED" w:rsidRDefault="00FF3ABF" w:rsidP="00AA5865">
      <w:pPr>
        <w:ind w:left="851"/>
        <w:rPr>
          <w:sz w:val="24"/>
          <w:szCs w:val="24"/>
          <w:lang w:val="en-GB"/>
        </w:rPr>
      </w:pPr>
      <w:r w:rsidRPr="00A03EED">
        <w:rPr>
          <w:sz w:val="24"/>
          <w:szCs w:val="24"/>
          <w:lang w:val="en-GB"/>
        </w:rPr>
        <w:t xml:space="preserve">The solution of </w:t>
      </w:r>
      <w:proofErr w:type="spellStart"/>
      <w:r w:rsidR="00A03EED">
        <w:rPr>
          <w:sz w:val="24"/>
          <w:szCs w:val="24"/>
          <w:lang w:val="en-GB"/>
        </w:rPr>
        <w:t>Bramitob</w:t>
      </w:r>
      <w:proofErr w:type="spellEnd"/>
      <w:r w:rsidRPr="00A03EED">
        <w:rPr>
          <w:sz w:val="24"/>
          <w:szCs w:val="24"/>
          <w:lang w:val="en-GB"/>
        </w:rPr>
        <w:t xml:space="preserve"> single-dose container is normally yellowish; some variations in colour might be observed, which does not indicate any loss of activity if the product has been stored as recommended.</w:t>
      </w:r>
    </w:p>
    <w:p w14:paraId="2E960F83" w14:textId="77777777" w:rsidR="007C5D2A" w:rsidRPr="00A03EED" w:rsidRDefault="007C5D2A" w:rsidP="00AA5865">
      <w:pPr>
        <w:ind w:left="851"/>
        <w:rPr>
          <w:sz w:val="24"/>
          <w:szCs w:val="24"/>
          <w:lang w:val="en-GB"/>
        </w:rPr>
      </w:pPr>
    </w:p>
    <w:p w14:paraId="4DDDD6FA" w14:textId="77777777" w:rsidR="007C5D2A" w:rsidRPr="00A03EED" w:rsidRDefault="007C5D2A" w:rsidP="007C5D2A">
      <w:pPr>
        <w:ind w:left="851" w:hanging="851"/>
        <w:rPr>
          <w:b/>
          <w:sz w:val="24"/>
          <w:szCs w:val="24"/>
          <w:lang w:val="en-GB"/>
        </w:rPr>
      </w:pPr>
      <w:r w:rsidRPr="00A03EED">
        <w:rPr>
          <w:b/>
          <w:sz w:val="24"/>
          <w:szCs w:val="24"/>
          <w:lang w:val="en-GB"/>
        </w:rPr>
        <w:t>6.5</w:t>
      </w:r>
      <w:r w:rsidRPr="00A03EED">
        <w:rPr>
          <w:b/>
          <w:sz w:val="24"/>
          <w:szCs w:val="24"/>
          <w:lang w:val="en-GB"/>
        </w:rPr>
        <w:tab/>
        <w:t>Nature and contents of container</w:t>
      </w:r>
    </w:p>
    <w:p w14:paraId="22D1456A" w14:textId="77777777" w:rsidR="00E72EF2" w:rsidRPr="00A03EED" w:rsidRDefault="00E72EF2" w:rsidP="00AA5865">
      <w:pPr>
        <w:ind w:left="851"/>
        <w:rPr>
          <w:sz w:val="24"/>
          <w:szCs w:val="24"/>
          <w:lang w:val="en-GB"/>
        </w:rPr>
      </w:pPr>
      <w:r w:rsidRPr="00A03EED">
        <w:rPr>
          <w:sz w:val="24"/>
          <w:szCs w:val="24"/>
          <w:lang w:val="en-GB"/>
        </w:rPr>
        <w:t>The medicinal product is supplied in 4ml single-dose polyethylene containers, in sealed foiled bags each holding 4 single-dose containers.</w:t>
      </w:r>
    </w:p>
    <w:p w14:paraId="5160C2DB" w14:textId="77777777" w:rsidR="00E72EF2" w:rsidRPr="00A03EED" w:rsidRDefault="00E72EF2" w:rsidP="00AA5865">
      <w:pPr>
        <w:ind w:left="851"/>
        <w:rPr>
          <w:sz w:val="24"/>
          <w:szCs w:val="24"/>
          <w:lang w:val="en-GB"/>
        </w:rPr>
      </w:pPr>
      <w:r w:rsidRPr="00A03EED">
        <w:rPr>
          <w:sz w:val="24"/>
          <w:szCs w:val="24"/>
          <w:lang w:val="en-GB"/>
        </w:rPr>
        <w:t>Pack sizes: 4, 16, 28 or 56 single-dose containers.</w:t>
      </w:r>
    </w:p>
    <w:p w14:paraId="0820331D" w14:textId="77777777" w:rsidR="00E72EF2" w:rsidRPr="00A03EED" w:rsidRDefault="00E72EF2" w:rsidP="00AA5865">
      <w:pPr>
        <w:ind w:left="851"/>
        <w:rPr>
          <w:sz w:val="24"/>
          <w:szCs w:val="24"/>
          <w:lang w:val="en-GB"/>
        </w:rPr>
      </w:pPr>
      <w:r w:rsidRPr="00A03EED">
        <w:rPr>
          <w:sz w:val="24"/>
          <w:szCs w:val="24"/>
          <w:lang w:val="en-GB"/>
        </w:rPr>
        <w:t>Not all pack sizes may be marketed.</w:t>
      </w:r>
    </w:p>
    <w:p w14:paraId="08167F78" w14:textId="77777777" w:rsidR="007C5D2A" w:rsidRPr="00A03EED" w:rsidRDefault="007C5D2A" w:rsidP="003E0341">
      <w:pPr>
        <w:tabs>
          <w:tab w:val="left" w:pos="851"/>
        </w:tabs>
        <w:ind w:left="851"/>
        <w:rPr>
          <w:sz w:val="24"/>
          <w:szCs w:val="24"/>
          <w:lang w:val="en-GB"/>
        </w:rPr>
      </w:pPr>
    </w:p>
    <w:p w14:paraId="6224C448" w14:textId="77777777" w:rsidR="007C5D2A" w:rsidRPr="00A03EED" w:rsidRDefault="007C5D2A" w:rsidP="007C5D2A">
      <w:pPr>
        <w:ind w:left="851" w:hanging="851"/>
        <w:rPr>
          <w:b/>
          <w:sz w:val="24"/>
          <w:szCs w:val="24"/>
          <w:lang w:val="en-GB"/>
        </w:rPr>
      </w:pPr>
      <w:r w:rsidRPr="00A03EED">
        <w:rPr>
          <w:b/>
          <w:sz w:val="24"/>
          <w:szCs w:val="24"/>
          <w:lang w:val="en-GB"/>
        </w:rPr>
        <w:t>6.6</w:t>
      </w:r>
      <w:r w:rsidRPr="00A03EED">
        <w:rPr>
          <w:b/>
          <w:sz w:val="24"/>
          <w:szCs w:val="24"/>
          <w:lang w:val="en-GB"/>
        </w:rPr>
        <w:tab/>
        <w:t>Special precautions for disposal and other handling</w:t>
      </w:r>
    </w:p>
    <w:p w14:paraId="13E22E07" w14:textId="77777777" w:rsidR="00E72EF2" w:rsidRPr="00A03EED" w:rsidRDefault="00E72EF2" w:rsidP="00AA5865">
      <w:pPr>
        <w:ind w:left="851"/>
        <w:rPr>
          <w:sz w:val="24"/>
          <w:szCs w:val="24"/>
          <w:lang w:val="en-GB"/>
        </w:rPr>
      </w:pPr>
      <w:r w:rsidRPr="00A03EED">
        <w:rPr>
          <w:sz w:val="24"/>
          <w:szCs w:val="24"/>
          <w:lang w:val="en-GB"/>
        </w:rPr>
        <w:t>For single use only.</w:t>
      </w:r>
    </w:p>
    <w:p w14:paraId="670C781D" w14:textId="77777777" w:rsidR="00E72EF2" w:rsidRPr="00A03EED" w:rsidRDefault="00E72EF2" w:rsidP="00AA5865">
      <w:pPr>
        <w:ind w:left="851"/>
        <w:rPr>
          <w:sz w:val="24"/>
          <w:szCs w:val="24"/>
          <w:lang w:val="en-GB"/>
        </w:rPr>
      </w:pPr>
      <w:r w:rsidRPr="00A03EED">
        <w:rPr>
          <w:sz w:val="24"/>
          <w:szCs w:val="24"/>
          <w:lang w:val="en-GB"/>
        </w:rPr>
        <w:t>Use immediately after first opening the single-dose container. Discard the used single-dose container immediately.</w:t>
      </w:r>
    </w:p>
    <w:p w14:paraId="6468EBDD" w14:textId="77777777" w:rsidR="00E72EF2" w:rsidRPr="00A03EED" w:rsidRDefault="00E72EF2" w:rsidP="00AA5865">
      <w:pPr>
        <w:ind w:left="851"/>
        <w:rPr>
          <w:sz w:val="24"/>
          <w:szCs w:val="24"/>
          <w:lang w:val="en-GB"/>
        </w:rPr>
      </w:pPr>
      <w:r w:rsidRPr="00A03EED">
        <w:rPr>
          <w:sz w:val="24"/>
          <w:szCs w:val="24"/>
          <w:lang w:val="en-US"/>
        </w:rPr>
        <w:t>Any unused medicinal product or waste material should be disposed of in accordance with local requirements</w:t>
      </w:r>
      <w:r w:rsidRPr="00A03EED">
        <w:rPr>
          <w:sz w:val="24"/>
          <w:szCs w:val="24"/>
          <w:lang w:val="en-GB"/>
        </w:rPr>
        <w:t>.</w:t>
      </w:r>
    </w:p>
    <w:p w14:paraId="66A6AB1F" w14:textId="77777777" w:rsidR="007C5D2A" w:rsidRPr="00A03EED" w:rsidRDefault="007C5D2A" w:rsidP="00AB4376">
      <w:pPr>
        <w:tabs>
          <w:tab w:val="left" w:pos="851"/>
        </w:tabs>
        <w:ind w:left="851"/>
        <w:rPr>
          <w:sz w:val="24"/>
          <w:szCs w:val="24"/>
          <w:lang w:val="en-GB"/>
        </w:rPr>
      </w:pPr>
    </w:p>
    <w:p w14:paraId="22FFC0A5" w14:textId="77777777" w:rsidR="007C5D2A" w:rsidRPr="00A03EED" w:rsidRDefault="007C5D2A" w:rsidP="007C5D2A">
      <w:pPr>
        <w:tabs>
          <w:tab w:val="left" w:pos="851"/>
        </w:tabs>
        <w:ind w:left="851" w:hanging="851"/>
        <w:jc w:val="both"/>
        <w:rPr>
          <w:b/>
          <w:sz w:val="24"/>
          <w:szCs w:val="24"/>
          <w:lang w:val="en-GB"/>
        </w:rPr>
      </w:pPr>
      <w:r w:rsidRPr="00A03EED">
        <w:rPr>
          <w:b/>
          <w:sz w:val="24"/>
          <w:szCs w:val="24"/>
          <w:lang w:val="en-GB"/>
        </w:rPr>
        <w:t>7.</w:t>
      </w:r>
      <w:r w:rsidRPr="00A03EED">
        <w:rPr>
          <w:b/>
          <w:sz w:val="24"/>
          <w:szCs w:val="24"/>
          <w:lang w:val="en-GB"/>
        </w:rPr>
        <w:tab/>
        <w:t>MARKETING AUTHORISATION HOLDER</w:t>
      </w:r>
    </w:p>
    <w:p w14:paraId="488E417F" w14:textId="462AB59F" w:rsidR="007C5D2A" w:rsidRPr="00A03EED" w:rsidRDefault="0052352A" w:rsidP="00A85D26">
      <w:pPr>
        <w:tabs>
          <w:tab w:val="left" w:pos="851"/>
        </w:tabs>
        <w:ind w:left="851"/>
        <w:jc w:val="both"/>
        <w:rPr>
          <w:sz w:val="24"/>
          <w:szCs w:val="24"/>
          <w:lang w:val="en-GB"/>
        </w:rPr>
      </w:pPr>
      <w:proofErr w:type="spellStart"/>
      <w:r w:rsidRPr="00A03EED">
        <w:rPr>
          <w:sz w:val="24"/>
          <w:szCs w:val="24"/>
          <w:lang w:val="en-GB"/>
        </w:rPr>
        <w:t>Chiesi</w:t>
      </w:r>
      <w:proofErr w:type="spellEnd"/>
      <w:r w:rsidRPr="00A03EED">
        <w:rPr>
          <w:sz w:val="24"/>
          <w:szCs w:val="24"/>
          <w:lang w:val="en-GB"/>
        </w:rPr>
        <w:t xml:space="preserve"> </w:t>
      </w:r>
      <w:proofErr w:type="spellStart"/>
      <w:r w:rsidRPr="00A03EED">
        <w:rPr>
          <w:sz w:val="24"/>
          <w:szCs w:val="24"/>
          <w:lang w:val="en-GB"/>
        </w:rPr>
        <w:t>Farmaceutici</w:t>
      </w:r>
      <w:proofErr w:type="spellEnd"/>
      <w:r w:rsidRPr="00A03EED">
        <w:rPr>
          <w:sz w:val="24"/>
          <w:szCs w:val="24"/>
          <w:lang w:val="en-GB"/>
        </w:rPr>
        <w:t xml:space="preserve"> S.p.A.</w:t>
      </w:r>
    </w:p>
    <w:p w14:paraId="6F866C0D" w14:textId="1F144FFB" w:rsidR="0052352A" w:rsidRPr="00A03EED" w:rsidRDefault="0052352A" w:rsidP="00A85D26">
      <w:pPr>
        <w:tabs>
          <w:tab w:val="left" w:pos="851"/>
        </w:tabs>
        <w:ind w:left="851"/>
        <w:jc w:val="both"/>
        <w:rPr>
          <w:sz w:val="24"/>
          <w:szCs w:val="24"/>
          <w:lang w:val="en-GB"/>
        </w:rPr>
      </w:pPr>
      <w:r w:rsidRPr="00A03EED">
        <w:rPr>
          <w:sz w:val="24"/>
          <w:szCs w:val="24"/>
          <w:lang w:val="en-GB"/>
        </w:rPr>
        <w:t>Via Palermo 26 / A</w:t>
      </w:r>
    </w:p>
    <w:p w14:paraId="694D187D" w14:textId="381A2E10" w:rsidR="0052352A" w:rsidRPr="00A03EED" w:rsidRDefault="0052352A" w:rsidP="00A85D26">
      <w:pPr>
        <w:tabs>
          <w:tab w:val="left" w:pos="851"/>
        </w:tabs>
        <w:ind w:left="851"/>
        <w:jc w:val="both"/>
        <w:rPr>
          <w:sz w:val="24"/>
          <w:szCs w:val="24"/>
          <w:lang w:val="en-GB"/>
        </w:rPr>
      </w:pPr>
      <w:r w:rsidRPr="00A03EED">
        <w:rPr>
          <w:sz w:val="24"/>
          <w:szCs w:val="24"/>
          <w:lang w:val="en-GB"/>
        </w:rPr>
        <w:t>43122 Parma</w:t>
      </w:r>
    </w:p>
    <w:p w14:paraId="5F65FB58" w14:textId="501542F5" w:rsidR="0052352A" w:rsidRPr="00A03EED" w:rsidRDefault="0052352A" w:rsidP="00A85D26">
      <w:pPr>
        <w:tabs>
          <w:tab w:val="left" w:pos="851"/>
        </w:tabs>
        <w:ind w:left="851"/>
        <w:jc w:val="both"/>
        <w:rPr>
          <w:sz w:val="24"/>
          <w:szCs w:val="24"/>
          <w:lang w:val="en-GB"/>
        </w:rPr>
      </w:pPr>
      <w:proofErr w:type="spellStart"/>
      <w:r w:rsidRPr="00A03EED">
        <w:rPr>
          <w:sz w:val="24"/>
          <w:szCs w:val="24"/>
          <w:lang w:val="en-GB"/>
        </w:rPr>
        <w:t>Italien</w:t>
      </w:r>
      <w:proofErr w:type="spellEnd"/>
    </w:p>
    <w:p w14:paraId="5AB68D3D" w14:textId="28554E01" w:rsidR="0052352A" w:rsidRPr="00A03EED" w:rsidRDefault="0052352A" w:rsidP="00A85D26">
      <w:pPr>
        <w:tabs>
          <w:tab w:val="left" w:pos="851"/>
        </w:tabs>
        <w:ind w:left="851"/>
        <w:jc w:val="both"/>
        <w:rPr>
          <w:sz w:val="24"/>
          <w:szCs w:val="24"/>
          <w:lang w:val="en-GB"/>
        </w:rPr>
      </w:pPr>
    </w:p>
    <w:p w14:paraId="6B9E44F7" w14:textId="20C3F4F7" w:rsidR="0052352A" w:rsidRPr="00A03EED" w:rsidRDefault="0052352A" w:rsidP="00A85D26">
      <w:pPr>
        <w:tabs>
          <w:tab w:val="left" w:pos="851"/>
        </w:tabs>
        <w:ind w:left="851"/>
        <w:jc w:val="both"/>
        <w:rPr>
          <w:b/>
          <w:sz w:val="24"/>
          <w:szCs w:val="24"/>
          <w:lang w:val="en-GB"/>
        </w:rPr>
      </w:pPr>
      <w:r w:rsidRPr="00A03EED">
        <w:rPr>
          <w:b/>
          <w:sz w:val="24"/>
          <w:szCs w:val="24"/>
          <w:lang w:val="en-GB"/>
        </w:rPr>
        <w:t>Representative</w:t>
      </w:r>
    </w:p>
    <w:p w14:paraId="189977FB" w14:textId="11C7CE9A" w:rsidR="0052352A" w:rsidRPr="00A03EED" w:rsidRDefault="006B58F5" w:rsidP="00A85D26">
      <w:pPr>
        <w:tabs>
          <w:tab w:val="left" w:pos="851"/>
        </w:tabs>
        <w:ind w:left="851"/>
        <w:jc w:val="both"/>
        <w:rPr>
          <w:sz w:val="24"/>
          <w:szCs w:val="24"/>
          <w:lang w:val="en-GB"/>
        </w:rPr>
      </w:pPr>
      <w:proofErr w:type="spellStart"/>
      <w:r w:rsidRPr="00A03EED">
        <w:rPr>
          <w:sz w:val="24"/>
          <w:szCs w:val="24"/>
          <w:lang w:val="en-GB"/>
        </w:rPr>
        <w:t>Chiesi</w:t>
      </w:r>
      <w:proofErr w:type="spellEnd"/>
      <w:r w:rsidRPr="00A03EED">
        <w:rPr>
          <w:sz w:val="24"/>
          <w:szCs w:val="24"/>
          <w:lang w:val="en-GB"/>
        </w:rPr>
        <w:t xml:space="preserve"> Pharma AB</w:t>
      </w:r>
    </w:p>
    <w:p w14:paraId="394DB373" w14:textId="43427E3A" w:rsidR="006B58F5" w:rsidRPr="00A03EED" w:rsidRDefault="006B58F5" w:rsidP="00A85D26">
      <w:pPr>
        <w:tabs>
          <w:tab w:val="left" w:pos="851"/>
        </w:tabs>
        <w:ind w:left="851"/>
        <w:jc w:val="both"/>
        <w:rPr>
          <w:sz w:val="24"/>
          <w:szCs w:val="24"/>
          <w:lang w:val="en-GB"/>
        </w:rPr>
      </w:pPr>
      <w:r w:rsidRPr="00A03EED">
        <w:rPr>
          <w:sz w:val="24"/>
          <w:szCs w:val="24"/>
          <w:lang w:val="en-GB"/>
        </w:rPr>
        <w:t xml:space="preserve">Klara </w:t>
      </w:r>
      <w:proofErr w:type="spellStart"/>
      <w:r w:rsidRPr="00A03EED">
        <w:rPr>
          <w:sz w:val="24"/>
          <w:szCs w:val="24"/>
          <w:lang w:val="en-GB"/>
        </w:rPr>
        <w:t>Norra</w:t>
      </w:r>
      <w:proofErr w:type="spellEnd"/>
      <w:r w:rsidRPr="00A03EED">
        <w:rPr>
          <w:sz w:val="24"/>
          <w:szCs w:val="24"/>
          <w:lang w:val="en-GB"/>
        </w:rPr>
        <w:t xml:space="preserve"> </w:t>
      </w:r>
      <w:proofErr w:type="spellStart"/>
      <w:r w:rsidRPr="00A03EED">
        <w:rPr>
          <w:sz w:val="24"/>
          <w:szCs w:val="24"/>
          <w:lang w:val="en-GB"/>
        </w:rPr>
        <w:t>Kyrkogata</w:t>
      </w:r>
      <w:proofErr w:type="spellEnd"/>
      <w:r w:rsidRPr="00A03EED">
        <w:rPr>
          <w:sz w:val="24"/>
          <w:szCs w:val="24"/>
          <w:lang w:val="en-GB"/>
        </w:rPr>
        <w:t xml:space="preserve"> 34</w:t>
      </w:r>
    </w:p>
    <w:p w14:paraId="68F1425F" w14:textId="6BAE1A54" w:rsidR="006B58F5" w:rsidRPr="00A03EED" w:rsidRDefault="006B58F5" w:rsidP="00A85D26">
      <w:pPr>
        <w:tabs>
          <w:tab w:val="left" w:pos="851"/>
        </w:tabs>
        <w:ind w:left="851"/>
        <w:jc w:val="both"/>
        <w:rPr>
          <w:sz w:val="24"/>
          <w:szCs w:val="24"/>
          <w:lang w:val="en-GB"/>
        </w:rPr>
      </w:pPr>
      <w:r w:rsidRPr="00A03EED">
        <w:rPr>
          <w:sz w:val="24"/>
          <w:szCs w:val="24"/>
          <w:lang w:val="en-GB"/>
        </w:rPr>
        <w:t>11122 Stockholm</w:t>
      </w:r>
    </w:p>
    <w:p w14:paraId="1134F9F6" w14:textId="0CB12855" w:rsidR="006B58F5" w:rsidRPr="00A03EED" w:rsidRDefault="006B58F5" w:rsidP="00A85D26">
      <w:pPr>
        <w:tabs>
          <w:tab w:val="left" w:pos="851"/>
        </w:tabs>
        <w:ind w:left="851"/>
        <w:jc w:val="both"/>
        <w:rPr>
          <w:sz w:val="24"/>
          <w:szCs w:val="24"/>
          <w:lang w:val="en-GB"/>
        </w:rPr>
      </w:pPr>
      <w:r w:rsidRPr="00A03EED">
        <w:rPr>
          <w:sz w:val="24"/>
          <w:szCs w:val="24"/>
          <w:lang w:val="en-GB"/>
        </w:rPr>
        <w:t>Sverige</w:t>
      </w:r>
    </w:p>
    <w:p w14:paraId="147390E3" w14:textId="77777777" w:rsidR="007C5D2A" w:rsidRPr="00A03EED" w:rsidRDefault="007C5D2A" w:rsidP="003E0341">
      <w:pPr>
        <w:tabs>
          <w:tab w:val="left" w:pos="851"/>
        </w:tabs>
        <w:ind w:left="851"/>
        <w:jc w:val="both"/>
        <w:rPr>
          <w:sz w:val="24"/>
          <w:szCs w:val="24"/>
          <w:lang w:val="en-GB"/>
        </w:rPr>
      </w:pPr>
    </w:p>
    <w:p w14:paraId="308A0F96" w14:textId="77777777" w:rsidR="007C5D2A" w:rsidRPr="00A03EED" w:rsidRDefault="007C5D2A" w:rsidP="007C5D2A">
      <w:pPr>
        <w:ind w:left="851" w:hanging="851"/>
        <w:jc w:val="both"/>
        <w:rPr>
          <w:b/>
          <w:sz w:val="24"/>
          <w:szCs w:val="24"/>
          <w:lang w:val="en-GB"/>
        </w:rPr>
      </w:pPr>
      <w:r w:rsidRPr="00A03EED">
        <w:rPr>
          <w:b/>
          <w:sz w:val="24"/>
          <w:szCs w:val="24"/>
          <w:lang w:val="en-GB"/>
        </w:rPr>
        <w:t>8.</w:t>
      </w:r>
      <w:r w:rsidRPr="00A03EED">
        <w:rPr>
          <w:b/>
          <w:sz w:val="24"/>
          <w:szCs w:val="24"/>
          <w:lang w:val="en-GB"/>
        </w:rPr>
        <w:tab/>
        <w:t>MARKETING AUTHORISATION NUMBER(S)</w:t>
      </w:r>
    </w:p>
    <w:p w14:paraId="3B84AD08" w14:textId="11C65770" w:rsidR="007C5D2A" w:rsidRPr="00A03EED" w:rsidRDefault="00E07C69" w:rsidP="00A85D26">
      <w:pPr>
        <w:tabs>
          <w:tab w:val="left" w:pos="851"/>
        </w:tabs>
        <w:ind w:left="851"/>
        <w:jc w:val="both"/>
        <w:rPr>
          <w:sz w:val="24"/>
          <w:szCs w:val="24"/>
          <w:lang w:val="en-GB"/>
        </w:rPr>
      </w:pPr>
      <w:r w:rsidRPr="00A03EED">
        <w:rPr>
          <w:sz w:val="24"/>
          <w:szCs w:val="24"/>
          <w:lang w:val="en-GB"/>
        </w:rPr>
        <w:t>65994</w:t>
      </w:r>
    </w:p>
    <w:p w14:paraId="6BEEE6F1" w14:textId="77777777" w:rsidR="007C5D2A" w:rsidRPr="00A03EED" w:rsidRDefault="007C5D2A" w:rsidP="00180A12">
      <w:pPr>
        <w:tabs>
          <w:tab w:val="left" w:pos="851"/>
        </w:tabs>
        <w:ind w:left="851"/>
        <w:jc w:val="both"/>
        <w:rPr>
          <w:sz w:val="24"/>
          <w:szCs w:val="24"/>
          <w:lang w:val="en-GB"/>
        </w:rPr>
      </w:pPr>
    </w:p>
    <w:p w14:paraId="471E9FFD" w14:textId="77777777" w:rsidR="007C5D2A" w:rsidRPr="00A03EED" w:rsidRDefault="007C5D2A" w:rsidP="007C5D2A">
      <w:pPr>
        <w:tabs>
          <w:tab w:val="left" w:pos="851"/>
        </w:tabs>
        <w:jc w:val="both"/>
        <w:rPr>
          <w:sz w:val="24"/>
          <w:szCs w:val="24"/>
          <w:lang w:val="en-GB"/>
        </w:rPr>
      </w:pPr>
      <w:r w:rsidRPr="00A03EED">
        <w:rPr>
          <w:b/>
          <w:sz w:val="24"/>
          <w:szCs w:val="24"/>
          <w:lang w:val="en-GB"/>
        </w:rPr>
        <w:t>9.</w:t>
      </w:r>
      <w:r w:rsidRPr="00A03EED">
        <w:rPr>
          <w:b/>
          <w:sz w:val="24"/>
          <w:szCs w:val="24"/>
          <w:lang w:val="en-GB"/>
        </w:rPr>
        <w:tab/>
        <w:t>DATE OF FIRST AUTHORISATION</w:t>
      </w:r>
    </w:p>
    <w:p w14:paraId="7CEC913C" w14:textId="166B8291" w:rsidR="007C5D2A" w:rsidRPr="00A03EED" w:rsidRDefault="00B65F4F" w:rsidP="00A85D26">
      <w:pPr>
        <w:ind w:left="851"/>
        <w:jc w:val="both"/>
        <w:rPr>
          <w:sz w:val="24"/>
          <w:szCs w:val="24"/>
          <w:lang w:val="en-GB"/>
        </w:rPr>
      </w:pPr>
      <w:r>
        <w:rPr>
          <w:sz w:val="24"/>
          <w:szCs w:val="24"/>
          <w:lang w:val="en-GB"/>
        </w:rPr>
        <w:t>30 September 2021</w:t>
      </w:r>
    </w:p>
    <w:p w14:paraId="1A8CB352" w14:textId="77777777" w:rsidR="007C5D2A" w:rsidRPr="00A03EED" w:rsidRDefault="007C5D2A" w:rsidP="003E0341">
      <w:pPr>
        <w:tabs>
          <w:tab w:val="left" w:pos="851"/>
        </w:tabs>
        <w:ind w:left="851"/>
        <w:jc w:val="both"/>
        <w:rPr>
          <w:sz w:val="24"/>
          <w:szCs w:val="24"/>
          <w:lang w:val="en-GB"/>
        </w:rPr>
      </w:pPr>
    </w:p>
    <w:p w14:paraId="22C80278" w14:textId="77777777" w:rsidR="007C5D2A" w:rsidRPr="00A03EED" w:rsidRDefault="007C5D2A" w:rsidP="007C5D2A">
      <w:pPr>
        <w:tabs>
          <w:tab w:val="left" w:pos="851"/>
        </w:tabs>
        <w:jc w:val="both"/>
        <w:rPr>
          <w:sz w:val="24"/>
          <w:szCs w:val="24"/>
          <w:lang w:val="en-GB"/>
        </w:rPr>
      </w:pPr>
      <w:r w:rsidRPr="00A03EED">
        <w:rPr>
          <w:b/>
          <w:sz w:val="24"/>
          <w:szCs w:val="24"/>
          <w:lang w:val="en-GB"/>
        </w:rPr>
        <w:t>10.</w:t>
      </w:r>
      <w:r w:rsidRPr="00A03EED">
        <w:rPr>
          <w:b/>
          <w:sz w:val="24"/>
          <w:szCs w:val="24"/>
          <w:lang w:val="en-GB"/>
        </w:rPr>
        <w:tab/>
        <w:t>DATE OF REVISION OF THE TEXT</w:t>
      </w:r>
    </w:p>
    <w:p w14:paraId="6E13797A" w14:textId="279CC9F3" w:rsidR="007C5D2A" w:rsidRPr="00A03EED" w:rsidRDefault="00694C2B" w:rsidP="003E0341">
      <w:pPr>
        <w:tabs>
          <w:tab w:val="left" w:pos="851"/>
        </w:tabs>
        <w:ind w:left="851"/>
        <w:jc w:val="both"/>
        <w:rPr>
          <w:sz w:val="24"/>
          <w:szCs w:val="24"/>
          <w:lang w:val="en-GB"/>
        </w:rPr>
      </w:pPr>
      <w:r w:rsidRPr="00A03EED">
        <w:rPr>
          <w:sz w:val="24"/>
          <w:szCs w:val="24"/>
          <w:lang w:val="en-GB"/>
        </w:rPr>
        <w:t>-</w:t>
      </w:r>
    </w:p>
    <w:sectPr w:rsidR="007C5D2A" w:rsidRPr="00A03EED" w:rsidSect="004A3BF4">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88BEA" w14:textId="77777777" w:rsidR="006A37E5" w:rsidRDefault="006A37E5">
      <w:r>
        <w:separator/>
      </w:r>
    </w:p>
  </w:endnote>
  <w:endnote w:type="continuationSeparator" w:id="0">
    <w:p w14:paraId="7742000B" w14:textId="77777777" w:rsidR="006A37E5" w:rsidRDefault="006A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7D1C"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F68E" w14:textId="77777777" w:rsidR="00864538" w:rsidRDefault="00864538">
    <w:pPr>
      <w:pStyle w:val="Sidefod"/>
      <w:pBdr>
        <w:bottom w:val="single" w:sz="6" w:space="1" w:color="auto"/>
      </w:pBdr>
    </w:pPr>
  </w:p>
  <w:p w14:paraId="3BC99D66" w14:textId="77777777" w:rsidR="00864538" w:rsidRDefault="00864538">
    <w:pPr>
      <w:pStyle w:val="Sidefod"/>
      <w:tabs>
        <w:tab w:val="clear" w:pos="4819"/>
        <w:tab w:val="left" w:pos="8647"/>
      </w:tabs>
      <w:rPr>
        <w:i/>
        <w:snapToGrid w:val="0"/>
        <w:sz w:val="18"/>
      </w:rPr>
    </w:pPr>
  </w:p>
  <w:p w14:paraId="40A8168A" w14:textId="0D17C8A0"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65F4F">
      <w:rPr>
        <w:i/>
        <w:noProof/>
        <w:snapToGrid w:val="0"/>
        <w:sz w:val="18"/>
      </w:rPr>
      <w:t>Bramitob, inhalationsvæske til nebulisator, opløsning 300 mg-4 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837E" w14:textId="77777777" w:rsidR="00864538" w:rsidRDefault="00864538">
    <w:pPr>
      <w:pStyle w:val="Sidefod"/>
      <w:pBdr>
        <w:bottom w:val="single" w:sz="6" w:space="1" w:color="auto"/>
      </w:pBdr>
      <w:tabs>
        <w:tab w:val="clear" w:pos="4819"/>
        <w:tab w:val="left" w:pos="8789"/>
      </w:tabs>
      <w:rPr>
        <w:i/>
        <w:snapToGrid w:val="0"/>
        <w:sz w:val="18"/>
      </w:rPr>
    </w:pPr>
  </w:p>
  <w:p w14:paraId="1A1647AD" w14:textId="77777777" w:rsidR="00864538" w:rsidRDefault="00864538">
    <w:pPr>
      <w:pStyle w:val="Sidefod"/>
      <w:tabs>
        <w:tab w:val="clear" w:pos="4819"/>
        <w:tab w:val="left" w:pos="8789"/>
      </w:tabs>
      <w:rPr>
        <w:i/>
        <w:snapToGrid w:val="0"/>
        <w:sz w:val="18"/>
      </w:rPr>
    </w:pPr>
  </w:p>
  <w:p w14:paraId="63C87596" w14:textId="7AD16013"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65F4F">
      <w:rPr>
        <w:i/>
        <w:noProof/>
        <w:snapToGrid w:val="0"/>
        <w:sz w:val="18"/>
      </w:rPr>
      <w:t>Bramitob, inhalationsvæske til nebulisator, opløsning 300 mg-4 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46251" w14:textId="77777777" w:rsidR="006A37E5" w:rsidRDefault="006A37E5">
      <w:r>
        <w:separator/>
      </w:r>
    </w:p>
  </w:footnote>
  <w:footnote w:type="continuationSeparator" w:id="0">
    <w:p w14:paraId="3A708B87" w14:textId="77777777" w:rsidR="006A37E5" w:rsidRDefault="006A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C972"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3488"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E31D6"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1550DB4"/>
    <w:multiLevelType w:val="singleLevel"/>
    <w:tmpl w:val="E3AE4D4E"/>
    <w:lvl w:ilvl="0">
      <w:start w:val="1"/>
      <w:numFmt w:val="decimal"/>
      <w:lvlText w:val="%1)"/>
      <w:lvlJc w:val="left"/>
      <w:pPr>
        <w:tabs>
          <w:tab w:val="num" w:pos="786"/>
        </w:tabs>
        <w:ind w:left="786" w:hanging="360"/>
      </w:p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704B43EC"/>
    <w:multiLevelType w:val="hybridMultilevel"/>
    <w:tmpl w:val="0060D9A2"/>
    <w:lvl w:ilvl="0" w:tplc="E3AE4D4E">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lvlOverride w:ilvl="0">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E5"/>
    <w:rsid w:val="00056601"/>
    <w:rsid w:val="000C3846"/>
    <w:rsid w:val="000C6218"/>
    <w:rsid w:val="000D3C9D"/>
    <w:rsid w:val="000D61C5"/>
    <w:rsid w:val="000F0D47"/>
    <w:rsid w:val="001242DE"/>
    <w:rsid w:val="00180A12"/>
    <w:rsid w:val="00214331"/>
    <w:rsid w:val="00214CF4"/>
    <w:rsid w:val="00281F03"/>
    <w:rsid w:val="0029458A"/>
    <w:rsid w:val="002A1587"/>
    <w:rsid w:val="002B27C5"/>
    <w:rsid w:val="00303008"/>
    <w:rsid w:val="00352D25"/>
    <w:rsid w:val="00373B55"/>
    <w:rsid w:val="003D727E"/>
    <w:rsid w:val="003E0341"/>
    <w:rsid w:val="003E3402"/>
    <w:rsid w:val="003F4736"/>
    <w:rsid w:val="00401B49"/>
    <w:rsid w:val="0042292D"/>
    <w:rsid w:val="00440254"/>
    <w:rsid w:val="004860D3"/>
    <w:rsid w:val="004A3BF4"/>
    <w:rsid w:val="004A5DB3"/>
    <w:rsid w:val="00512C2F"/>
    <w:rsid w:val="005152D9"/>
    <w:rsid w:val="0052352A"/>
    <w:rsid w:val="00533AD4"/>
    <w:rsid w:val="00534849"/>
    <w:rsid w:val="00560102"/>
    <w:rsid w:val="00562EA1"/>
    <w:rsid w:val="00617BB8"/>
    <w:rsid w:val="00680052"/>
    <w:rsid w:val="00683267"/>
    <w:rsid w:val="006844E9"/>
    <w:rsid w:val="00694C2B"/>
    <w:rsid w:val="006A37E5"/>
    <w:rsid w:val="006B3847"/>
    <w:rsid w:val="006B58F5"/>
    <w:rsid w:val="007109E4"/>
    <w:rsid w:val="007318BC"/>
    <w:rsid w:val="0075453D"/>
    <w:rsid w:val="007A4CC6"/>
    <w:rsid w:val="007C3623"/>
    <w:rsid w:val="007C5D2A"/>
    <w:rsid w:val="007F1E00"/>
    <w:rsid w:val="008400E3"/>
    <w:rsid w:val="00864538"/>
    <w:rsid w:val="00873B4F"/>
    <w:rsid w:val="008E51AE"/>
    <w:rsid w:val="008F2F8C"/>
    <w:rsid w:val="009925C9"/>
    <w:rsid w:val="009D7D98"/>
    <w:rsid w:val="00A03EED"/>
    <w:rsid w:val="00A179D0"/>
    <w:rsid w:val="00A358A3"/>
    <w:rsid w:val="00A46747"/>
    <w:rsid w:val="00A80429"/>
    <w:rsid w:val="00A80446"/>
    <w:rsid w:val="00A85D26"/>
    <w:rsid w:val="00A9153A"/>
    <w:rsid w:val="00AA5865"/>
    <w:rsid w:val="00AB4376"/>
    <w:rsid w:val="00AC033C"/>
    <w:rsid w:val="00AD2E36"/>
    <w:rsid w:val="00B65F4F"/>
    <w:rsid w:val="00BC19DA"/>
    <w:rsid w:val="00BD3490"/>
    <w:rsid w:val="00C26226"/>
    <w:rsid w:val="00C3571D"/>
    <w:rsid w:val="00C54F0B"/>
    <w:rsid w:val="00C82621"/>
    <w:rsid w:val="00CB1423"/>
    <w:rsid w:val="00CD7DDC"/>
    <w:rsid w:val="00D02508"/>
    <w:rsid w:val="00D778CC"/>
    <w:rsid w:val="00D82FE9"/>
    <w:rsid w:val="00D97B77"/>
    <w:rsid w:val="00DB6A85"/>
    <w:rsid w:val="00E01605"/>
    <w:rsid w:val="00E01E91"/>
    <w:rsid w:val="00E06B32"/>
    <w:rsid w:val="00E07C69"/>
    <w:rsid w:val="00E1290F"/>
    <w:rsid w:val="00E36A80"/>
    <w:rsid w:val="00E72EF2"/>
    <w:rsid w:val="00EB21D7"/>
    <w:rsid w:val="00EE3EB7"/>
    <w:rsid w:val="00F57E16"/>
    <w:rsid w:val="00F60336"/>
    <w:rsid w:val="00FD652E"/>
    <w:rsid w:val="00FF3A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59404"/>
  <w15:chartTrackingRefBased/>
  <w15:docId w15:val="{36EA2CDE-A07F-47FD-93AB-F9CC08C2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indrykning">
    <w:name w:val="Body Text Indent"/>
    <w:basedOn w:val="Normal"/>
    <w:link w:val="BrdtekstindrykningTegn"/>
    <w:semiHidden/>
    <w:unhideWhenUsed/>
    <w:rsid w:val="00BC19DA"/>
    <w:pPr>
      <w:ind w:left="284" w:hanging="284"/>
    </w:pPr>
    <w:rPr>
      <w:sz w:val="24"/>
      <w:lang w:val="it-IT" w:eastAsia="it-IT"/>
    </w:rPr>
  </w:style>
  <w:style w:type="character" w:customStyle="1" w:styleId="BrdtekstindrykningTegn">
    <w:name w:val="Brødtekstindrykning Tegn"/>
    <w:basedOn w:val="Standardskrifttypeiafsnit"/>
    <w:link w:val="Brdtekstindrykning"/>
    <w:semiHidden/>
    <w:rsid w:val="00BC19DA"/>
    <w:rPr>
      <w:sz w:val="24"/>
      <w:lang w:val="it-IT" w:eastAsia="it-IT"/>
    </w:rPr>
  </w:style>
  <w:style w:type="paragraph" w:styleId="Brdtekstindrykning3">
    <w:name w:val="Body Text Indent 3"/>
    <w:basedOn w:val="Normal"/>
    <w:link w:val="Brdtekstindrykning3Tegn"/>
    <w:uiPriority w:val="99"/>
    <w:semiHidden/>
    <w:unhideWhenUsed/>
    <w:rsid w:val="00BC19DA"/>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C19DA"/>
    <w:rPr>
      <w:sz w:val="16"/>
      <w:szCs w:val="16"/>
    </w:rPr>
  </w:style>
  <w:style w:type="paragraph" w:styleId="Brdtekst">
    <w:name w:val="Body Text"/>
    <w:basedOn w:val="Normal"/>
    <w:link w:val="BrdtekstTegn"/>
    <w:uiPriority w:val="99"/>
    <w:semiHidden/>
    <w:unhideWhenUsed/>
    <w:rsid w:val="00BC19DA"/>
    <w:pPr>
      <w:spacing w:after="120"/>
    </w:pPr>
  </w:style>
  <w:style w:type="character" w:customStyle="1" w:styleId="BrdtekstTegn">
    <w:name w:val="Brødtekst Tegn"/>
    <w:basedOn w:val="Standardskrifttypeiafsnit"/>
    <w:link w:val="Brdtekst"/>
    <w:uiPriority w:val="99"/>
    <w:semiHidden/>
    <w:rsid w:val="00BC19DA"/>
    <w:rPr>
      <w:sz w:val="23"/>
    </w:rPr>
  </w:style>
  <w:style w:type="paragraph" w:customStyle="1" w:styleId="BodySJ">
    <w:name w:val="Body SJ"/>
    <w:basedOn w:val="Brdtekst"/>
    <w:rsid w:val="00BC19DA"/>
    <w:pPr>
      <w:spacing w:before="120" w:after="0"/>
    </w:pPr>
    <w:rPr>
      <w:sz w:val="20"/>
      <w:lang w:val="en-GB" w:eastAsia="en-US"/>
    </w:rPr>
  </w:style>
  <w:style w:type="paragraph" w:styleId="Brdtekstindrykning2">
    <w:name w:val="Body Text Indent 2"/>
    <w:basedOn w:val="Normal"/>
    <w:link w:val="Brdtekstindrykning2Tegn"/>
    <w:uiPriority w:val="99"/>
    <w:semiHidden/>
    <w:unhideWhenUsed/>
    <w:rsid w:val="00BC19D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C19DA"/>
    <w:rPr>
      <w:sz w:val="23"/>
    </w:rPr>
  </w:style>
  <w:style w:type="character" w:styleId="Hyperlink">
    <w:name w:val="Hyperlink"/>
    <w:semiHidden/>
    <w:unhideWhenUsed/>
    <w:rsid w:val="00FF3ABF"/>
    <w:rPr>
      <w:color w:val="0000FF"/>
      <w:u w:val="single"/>
    </w:rPr>
  </w:style>
  <w:style w:type="paragraph" w:customStyle="1" w:styleId="CM8">
    <w:name w:val="CM8"/>
    <w:basedOn w:val="Normal"/>
    <w:next w:val="Normal"/>
    <w:rsid w:val="00FF3ABF"/>
    <w:pPr>
      <w:widowControl w:val="0"/>
      <w:autoSpaceDE w:val="0"/>
      <w:autoSpaceDN w:val="0"/>
      <w:adjustRightInd w:val="0"/>
      <w:spacing w:after="253"/>
    </w:pPr>
    <w:rPr>
      <w:sz w:val="24"/>
      <w:szCs w:val="24"/>
      <w:lang w:val="en-GB" w:eastAsia="en-GB"/>
    </w:rPr>
  </w:style>
  <w:style w:type="paragraph" w:customStyle="1" w:styleId="CM4">
    <w:name w:val="CM4"/>
    <w:basedOn w:val="Normal"/>
    <w:next w:val="Normal"/>
    <w:rsid w:val="00FF3ABF"/>
    <w:pPr>
      <w:widowControl w:val="0"/>
      <w:autoSpaceDE w:val="0"/>
      <w:autoSpaceDN w:val="0"/>
      <w:adjustRightInd w:val="0"/>
      <w:spacing w:line="256" w:lineRule="atLeast"/>
    </w:pPr>
    <w:rPr>
      <w:sz w:val="24"/>
      <w:szCs w:val="24"/>
      <w:lang w:val="en-GB" w:eastAsia="en-GB"/>
    </w:rPr>
  </w:style>
  <w:style w:type="paragraph" w:styleId="NormalWeb">
    <w:name w:val="Normal (Web)"/>
    <w:basedOn w:val="Normal"/>
    <w:semiHidden/>
    <w:unhideWhenUsed/>
    <w:rsid w:val="00FF3ABF"/>
    <w:pPr>
      <w:spacing w:before="100" w:beforeAutospacing="1" w:after="100" w:afterAutospacing="1"/>
    </w:pPr>
    <w:rPr>
      <w:sz w:val="24"/>
      <w:szCs w:val="24"/>
      <w:lang w:val="it-IT" w:eastAsia="it-IT"/>
    </w:rPr>
  </w:style>
  <w:style w:type="paragraph" w:styleId="Listeafsnit">
    <w:name w:val="List Paragraph"/>
    <w:basedOn w:val="Normal"/>
    <w:uiPriority w:val="34"/>
    <w:qFormat/>
    <w:rsid w:val="00694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09455">
      <w:bodyDiv w:val="1"/>
      <w:marLeft w:val="0"/>
      <w:marRight w:val="0"/>
      <w:marTop w:val="0"/>
      <w:marBottom w:val="0"/>
      <w:divBdr>
        <w:top w:val="none" w:sz="0" w:space="0" w:color="auto"/>
        <w:left w:val="none" w:sz="0" w:space="0" w:color="auto"/>
        <w:bottom w:val="none" w:sz="0" w:space="0" w:color="auto"/>
        <w:right w:val="none" w:sz="0" w:space="0" w:color="auto"/>
      </w:divBdr>
    </w:div>
    <w:div w:id="54672695">
      <w:bodyDiv w:val="1"/>
      <w:marLeft w:val="0"/>
      <w:marRight w:val="0"/>
      <w:marTop w:val="0"/>
      <w:marBottom w:val="0"/>
      <w:divBdr>
        <w:top w:val="none" w:sz="0" w:space="0" w:color="auto"/>
        <w:left w:val="none" w:sz="0" w:space="0" w:color="auto"/>
        <w:bottom w:val="none" w:sz="0" w:space="0" w:color="auto"/>
        <w:right w:val="none" w:sz="0" w:space="0" w:color="auto"/>
      </w:divBdr>
    </w:div>
    <w:div w:id="66615129">
      <w:bodyDiv w:val="1"/>
      <w:marLeft w:val="0"/>
      <w:marRight w:val="0"/>
      <w:marTop w:val="0"/>
      <w:marBottom w:val="0"/>
      <w:divBdr>
        <w:top w:val="none" w:sz="0" w:space="0" w:color="auto"/>
        <w:left w:val="none" w:sz="0" w:space="0" w:color="auto"/>
        <w:bottom w:val="none" w:sz="0" w:space="0" w:color="auto"/>
        <w:right w:val="none" w:sz="0" w:space="0" w:color="auto"/>
      </w:divBdr>
    </w:div>
    <w:div w:id="91634447">
      <w:bodyDiv w:val="1"/>
      <w:marLeft w:val="0"/>
      <w:marRight w:val="0"/>
      <w:marTop w:val="0"/>
      <w:marBottom w:val="0"/>
      <w:divBdr>
        <w:top w:val="none" w:sz="0" w:space="0" w:color="auto"/>
        <w:left w:val="none" w:sz="0" w:space="0" w:color="auto"/>
        <w:bottom w:val="none" w:sz="0" w:space="0" w:color="auto"/>
        <w:right w:val="none" w:sz="0" w:space="0" w:color="auto"/>
      </w:divBdr>
    </w:div>
    <w:div w:id="211116279">
      <w:bodyDiv w:val="1"/>
      <w:marLeft w:val="0"/>
      <w:marRight w:val="0"/>
      <w:marTop w:val="0"/>
      <w:marBottom w:val="0"/>
      <w:divBdr>
        <w:top w:val="none" w:sz="0" w:space="0" w:color="auto"/>
        <w:left w:val="none" w:sz="0" w:space="0" w:color="auto"/>
        <w:bottom w:val="none" w:sz="0" w:space="0" w:color="auto"/>
        <w:right w:val="none" w:sz="0" w:space="0" w:color="auto"/>
      </w:divBdr>
    </w:div>
    <w:div w:id="220991138">
      <w:bodyDiv w:val="1"/>
      <w:marLeft w:val="0"/>
      <w:marRight w:val="0"/>
      <w:marTop w:val="0"/>
      <w:marBottom w:val="0"/>
      <w:divBdr>
        <w:top w:val="none" w:sz="0" w:space="0" w:color="auto"/>
        <w:left w:val="none" w:sz="0" w:space="0" w:color="auto"/>
        <w:bottom w:val="none" w:sz="0" w:space="0" w:color="auto"/>
        <w:right w:val="none" w:sz="0" w:space="0" w:color="auto"/>
      </w:divBdr>
    </w:div>
    <w:div w:id="273023138">
      <w:bodyDiv w:val="1"/>
      <w:marLeft w:val="0"/>
      <w:marRight w:val="0"/>
      <w:marTop w:val="0"/>
      <w:marBottom w:val="0"/>
      <w:divBdr>
        <w:top w:val="none" w:sz="0" w:space="0" w:color="auto"/>
        <w:left w:val="none" w:sz="0" w:space="0" w:color="auto"/>
        <w:bottom w:val="none" w:sz="0" w:space="0" w:color="auto"/>
        <w:right w:val="none" w:sz="0" w:space="0" w:color="auto"/>
      </w:divBdr>
    </w:div>
    <w:div w:id="273054559">
      <w:bodyDiv w:val="1"/>
      <w:marLeft w:val="0"/>
      <w:marRight w:val="0"/>
      <w:marTop w:val="0"/>
      <w:marBottom w:val="0"/>
      <w:divBdr>
        <w:top w:val="none" w:sz="0" w:space="0" w:color="auto"/>
        <w:left w:val="none" w:sz="0" w:space="0" w:color="auto"/>
        <w:bottom w:val="none" w:sz="0" w:space="0" w:color="auto"/>
        <w:right w:val="none" w:sz="0" w:space="0" w:color="auto"/>
      </w:divBdr>
    </w:div>
    <w:div w:id="312761945">
      <w:bodyDiv w:val="1"/>
      <w:marLeft w:val="0"/>
      <w:marRight w:val="0"/>
      <w:marTop w:val="0"/>
      <w:marBottom w:val="0"/>
      <w:divBdr>
        <w:top w:val="none" w:sz="0" w:space="0" w:color="auto"/>
        <w:left w:val="none" w:sz="0" w:space="0" w:color="auto"/>
        <w:bottom w:val="none" w:sz="0" w:space="0" w:color="auto"/>
        <w:right w:val="none" w:sz="0" w:space="0" w:color="auto"/>
      </w:divBdr>
    </w:div>
    <w:div w:id="519246216">
      <w:bodyDiv w:val="1"/>
      <w:marLeft w:val="0"/>
      <w:marRight w:val="0"/>
      <w:marTop w:val="0"/>
      <w:marBottom w:val="0"/>
      <w:divBdr>
        <w:top w:val="none" w:sz="0" w:space="0" w:color="auto"/>
        <w:left w:val="none" w:sz="0" w:space="0" w:color="auto"/>
        <w:bottom w:val="none" w:sz="0" w:space="0" w:color="auto"/>
        <w:right w:val="none" w:sz="0" w:space="0" w:color="auto"/>
      </w:divBdr>
    </w:div>
    <w:div w:id="587815953">
      <w:bodyDiv w:val="1"/>
      <w:marLeft w:val="0"/>
      <w:marRight w:val="0"/>
      <w:marTop w:val="0"/>
      <w:marBottom w:val="0"/>
      <w:divBdr>
        <w:top w:val="none" w:sz="0" w:space="0" w:color="auto"/>
        <w:left w:val="none" w:sz="0" w:space="0" w:color="auto"/>
        <w:bottom w:val="none" w:sz="0" w:space="0" w:color="auto"/>
        <w:right w:val="none" w:sz="0" w:space="0" w:color="auto"/>
      </w:divBdr>
    </w:div>
    <w:div w:id="882406303">
      <w:bodyDiv w:val="1"/>
      <w:marLeft w:val="0"/>
      <w:marRight w:val="0"/>
      <w:marTop w:val="0"/>
      <w:marBottom w:val="0"/>
      <w:divBdr>
        <w:top w:val="none" w:sz="0" w:space="0" w:color="auto"/>
        <w:left w:val="none" w:sz="0" w:space="0" w:color="auto"/>
        <w:bottom w:val="none" w:sz="0" w:space="0" w:color="auto"/>
        <w:right w:val="none" w:sz="0" w:space="0" w:color="auto"/>
      </w:divBdr>
    </w:div>
    <w:div w:id="936209995">
      <w:bodyDiv w:val="1"/>
      <w:marLeft w:val="0"/>
      <w:marRight w:val="0"/>
      <w:marTop w:val="0"/>
      <w:marBottom w:val="0"/>
      <w:divBdr>
        <w:top w:val="none" w:sz="0" w:space="0" w:color="auto"/>
        <w:left w:val="none" w:sz="0" w:space="0" w:color="auto"/>
        <w:bottom w:val="none" w:sz="0" w:space="0" w:color="auto"/>
        <w:right w:val="none" w:sz="0" w:space="0" w:color="auto"/>
      </w:divBdr>
    </w:div>
    <w:div w:id="988830204">
      <w:bodyDiv w:val="1"/>
      <w:marLeft w:val="0"/>
      <w:marRight w:val="0"/>
      <w:marTop w:val="0"/>
      <w:marBottom w:val="0"/>
      <w:divBdr>
        <w:top w:val="none" w:sz="0" w:space="0" w:color="auto"/>
        <w:left w:val="none" w:sz="0" w:space="0" w:color="auto"/>
        <w:bottom w:val="none" w:sz="0" w:space="0" w:color="auto"/>
        <w:right w:val="none" w:sz="0" w:space="0" w:color="auto"/>
      </w:divBdr>
    </w:div>
    <w:div w:id="991376135">
      <w:bodyDiv w:val="1"/>
      <w:marLeft w:val="0"/>
      <w:marRight w:val="0"/>
      <w:marTop w:val="0"/>
      <w:marBottom w:val="0"/>
      <w:divBdr>
        <w:top w:val="none" w:sz="0" w:space="0" w:color="auto"/>
        <w:left w:val="none" w:sz="0" w:space="0" w:color="auto"/>
        <w:bottom w:val="none" w:sz="0" w:space="0" w:color="auto"/>
        <w:right w:val="none" w:sz="0" w:space="0" w:color="auto"/>
      </w:divBdr>
    </w:div>
    <w:div w:id="1057513287">
      <w:bodyDiv w:val="1"/>
      <w:marLeft w:val="0"/>
      <w:marRight w:val="0"/>
      <w:marTop w:val="0"/>
      <w:marBottom w:val="0"/>
      <w:divBdr>
        <w:top w:val="none" w:sz="0" w:space="0" w:color="auto"/>
        <w:left w:val="none" w:sz="0" w:space="0" w:color="auto"/>
        <w:bottom w:val="none" w:sz="0" w:space="0" w:color="auto"/>
        <w:right w:val="none" w:sz="0" w:space="0" w:color="auto"/>
      </w:divBdr>
    </w:div>
    <w:div w:id="1356417855">
      <w:bodyDiv w:val="1"/>
      <w:marLeft w:val="0"/>
      <w:marRight w:val="0"/>
      <w:marTop w:val="0"/>
      <w:marBottom w:val="0"/>
      <w:divBdr>
        <w:top w:val="none" w:sz="0" w:space="0" w:color="auto"/>
        <w:left w:val="none" w:sz="0" w:space="0" w:color="auto"/>
        <w:bottom w:val="none" w:sz="0" w:space="0" w:color="auto"/>
        <w:right w:val="none" w:sz="0" w:space="0" w:color="auto"/>
      </w:divBdr>
    </w:div>
    <w:div w:id="1450127380">
      <w:bodyDiv w:val="1"/>
      <w:marLeft w:val="0"/>
      <w:marRight w:val="0"/>
      <w:marTop w:val="0"/>
      <w:marBottom w:val="0"/>
      <w:divBdr>
        <w:top w:val="none" w:sz="0" w:space="0" w:color="auto"/>
        <w:left w:val="none" w:sz="0" w:space="0" w:color="auto"/>
        <w:bottom w:val="none" w:sz="0" w:space="0" w:color="auto"/>
        <w:right w:val="none" w:sz="0" w:space="0" w:color="auto"/>
      </w:divBdr>
    </w:div>
    <w:div w:id="1584097122">
      <w:bodyDiv w:val="1"/>
      <w:marLeft w:val="0"/>
      <w:marRight w:val="0"/>
      <w:marTop w:val="0"/>
      <w:marBottom w:val="0"/>
      <w:divBdr>
        <w:top w:val="none" w:sz="0" w:space="0" w:color="auto"/>
        <w:left w:val="none" w:sz="0" w:space="0" w:color="auto"/>
        <w:bottom w:val="none" w:sz="0" w:space="0" w:color="auto"/>
        <w:right w:val="none" w:sz="0" w:space="0" w:color="auto"/>
      </w:divBdr>
    </w:div>
    <w:div w:id="1826772716">
      <w:bodyDiv w:val="1"/>
      <w:marLeft w:val="0"/>
      <w:marRight w:val="0"/>
      <w:marTop w:val="0"/>
      <w:marBottom w:val="0"/>
      <w:divBdr>
        <w:top w:val="none" w:sz="0" w:space="0" w:color="auto"/>
        <w:left w:val="none" w:sz="0" w:space="0" w:color="auto"/>
        <w:bottom w:val="none" w:sz="0" w:space="0" w:color="auto"/>
        <w:right w:val="none" w:sz="0" w:space="0" w:color="auto"/>
      </w:divBdr>
    </w:div>
    <w:div w:id="2051224318">
      <w:bodyDiv w:val="1"/>
      <w:marLeft w:val="0"/>
      <w:marRight w:val="0"/>
      <w:marTop w:val="0"/>
      <w:marBottom w:val="0"/>
      <w:divBdr>
        <w:top w:val="none" w:sz="0" w:space="0" w:color="auto"/>
        <w:left w:val="none" w:sz="0" w:space="0" w:color="auto"/>
        <w:bottom w:val="none" w:sz="0" w:space="0" w:color="auto"/>
        <w:right w:val="none" w:sz="0" w:space="0" w:color="auto"/>
      </w:divBdr>
    </w:div>
    <w:div w:id="20736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emc.medicines.org.uk/emc/assets/c/html/DisplayImage.asp?Ref=09000/09076/SPC.9076.5.xml&amp;Key=/emc/assets/o/images/entities/GREATER-THAN_OR_EQUAL_TO.gi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35</TotalTime>
  <Pages>11</Pages>
  <Words>3952</Words>
  <Characters>24240</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2021041345, MT</dc:description>
  <cp:lastModifiedBy>Gitte Jørgensen</cp:lastModifiedBy>
  <cp:revision>5</cp:revision>
  <cp:lastPrinted>2006-02-24T09:31:00Z</cp:lastPrinted>
  <dcterms:created xsi:type="dcterms:W3CDTF">2021-09-24T13:14:00Z</dcterms:created>
  <dcterms:modified xsi:type="dcterms:W3CDTF">2021-09-30T10:05:00Z</dcterms:modified>
</cp:coreProperties>
</file>