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7AF1" w14:textId="77777777" w:rsidR="009260DE" w:rsidRPr="005C6E86" w:rsidRDefault="0021526C" w:rsidP="009260DE">
      <w:pPr>
        <w:rPr>
          <w:sz w:val="24"/>
          <w:szCs w:val="24"/>
        </w:rPr>
      </w:pPr>
      <w:bookmarkStart w:id="0" w:name="_GoBack"/>
      <w:bookmarkEnd w:id="0"/>
      <w:r w:rsidRPr="005C6E8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1A8DC57" wp14:editId="5619CBC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5C6E86">
        <w:rPr>
          <w:sz w:val="24"/>
          <w:szCs w:val="24"/>
        </w:rPr>
        <w:br w:type="textWrapping" w:clear="all"/>
      </w:r>
    </w:p>
    <w:p w14:paraId="636652D4" w14:textId="0ECF54FE" w:rsidR="009260DE" w:rsidRPr="005C6E8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5C6E86">
        <w:rPr>
          <w:b w:val="0"/>
          <w:szCs w:val="24"/>
          <w:lang w:eastAsia="en-US"/>
        </w:rPr>
        <w:tab/>
      </w:r>
      <w:r w:rsidR="00AA507C" w:rsidRPr="005C6E86">
        <w:rPr>
          <w:szCs w:val="24"/>
        </w:rPr>
        <w:t>24. maj 2024</w:t>
      </w:r>
    </w:p>
    <w:p w14:paraId="67847F68" w14:textId="77777777" w:rsidR="009260DE" w:rsidRPr="005C6E8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118A44D" w14:textId="77777777" w:rsidR="009260DE" w:rsidRPr="005C6E86" w:rsidRDefault="009260DE" w:rsidP="009260DE">
      <w:pPr>
        <w:pStyle w:val="Titel"/>
        <w:jc w:val="left"/>
        <w:rPr>
          <w:b w:val="0"/>
          <w:szCs w:val="24"/>
        </w:rPr>
      </w:pPr>
    </w:p>
    <w:p w14:paraId="096410EB" w14:textId="77777777" w:rsidR="009260DE" w:rsidRPr="005C6E86" w:rsidRDefault="009260DE" w:rsidP="009260DE">
      <w:pPr>
        <w:pStyle w:val="Titel"/>
        <w:jc w:val="left"/>
        <w:rPr>
          <w:b w:val="0"/>
          <w:szCs w:val="24"/>
        </w:rPr>
      </w:pPr>
    </w:p>
    <w:p w14:paraId="5EE9ACE9" w14:textId="77777777" w:rsidR="009260DE" w:rsidRPr="005C6E86" w:rsidRDefault="009260DE" w:rsidP="009260DE">
      <w:pPr>
        <w:jc w:val="center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PRODUKTRESUMÉ</w:t>
      </w:r>
    </w:p>
    <w:p w14:paraId="459B408F" w14:textId="77777777" w:rsidR="009260DE" w:rsidRPr="005C6E86" w:rsidRDefault="009260DE" w:rsidP="009260DE">
      <w:pPr>
        <w:jc w:val="center"/>
        <w:rPr>
          <w:b/>
          <w:sz w:val="24"/>
          <w:szCs w:val="24"/>
        </w:rPr>
      </w:pPr>
    </w:p>
    <w:p w14:paraId="70088696" w14:textId="77777777" w:rsidR="009260DE" w:rsidRPr="005C6E86" w:rsidRDefault="009260DE" w:rsidP="009260DE">
      <w:pPr>
        <w:jc w:val="center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for</w:t>
      </w:r>
    </w:p>
    <w:p w14:paraId="12202421" w14:textId="77777777" w:rsidR="000B058C" w:rsidRPr="005C6E86" w:rsidRDefault="000B058C" w:rsidP="009260DE">
      <w:pPr>
        <w:jc w:val="center"/>
        <w:rPr>
          <w:b/>
          <w:sz w:val="24"/>
          <w:szCs w:val="24"/>
        </w:rPr>
      </w:pPr>
    </w:p>
    <w:p w14:paraId="7616AE5F" w14:textId="36805ECD" w:rsidR="009260DE" w:rsidRPr="005C6E86" w:rsidRDefault="00E5142C" w:rsidP="009260DE">
      <w:pPr>
        <w:jc w:val="center"/>
        <w:rPr>
          <w:b/>
          <w:sz w:val="24"/>
          <w:szCs w:val="24"/>
        </w:rPr>
      </w:pPr>
      <w:proofErr w:type="spellStart"/>
      <w:r w:rsidRPr="005C6E86">
        <w:rPr>
          <w:b/>
          <w:sz w:val="24"/>
          <w:szCs w:val="24"/>
        </w:rPr>
        <w:t>Brinzolamide</w:t>
      </w:r>
      <w:proofErr w:type="spellEnd"/>
      <w:r w:rsidRPr="005C6E86">
        <w:rPr>
          <w:b/>
          <w:sz w:val="24"/>
          <w:szCs w:val="24"/>
        </w:rPr>
        <w:t>/</w:t>
      </w:r>
      <w:proofErr w:type="spellStart"/>
      <w:r w:rsidRPr="005C6E86">
        <w:rPr>
          <w:b/>
          <w:sz w:val="24"/>
          <w:szCs w:val="24"/>
        </w:rPr>
        <w:t>Brimonidine</w:t>
      </w:r>
      <w:proofErr w:type="spellEnd"/>
      <w:r w:rsidRPr="005C6E86">
        <w:rPr>
          <w:b/>
          <w:sz w:val="24"/>
          <w:szCs w:val="24"/>
        </w:rPr>
        <w:t xml:space="preserve"> "</w:t>
      </w:r>
      <w:proofErr w:type="spellStart"/>
      <w:r w:rsidRPr="005C6E86">
        <w:rPr>
          <w:b/>
          <w:sz w:val="24"/>
          <w:szCs w:val="24"/>
        </w:rPr>
        <w:t>Stada</w:t>
      </w:r>
      <w:proofErr w:type="spellEnd"/>
      <w:r w:rsidRPr="005C6E86">
        <w:rPr>
          <w:b/>
          <w:sz w:val="24"/>
          <w:szCs w:val="24"/>
        </w:rPr>
        <w:t>", øjendråber, suspension</w:t>
      </w:r>
    </w:p>
    <w:p w14:paraId="5F2C6F0A" w14:textId="77777777" w:rsidR="009260DE" w:rsidRPr="005C6E86" w:rsidRDefault="009260DE" w:rsidP="009260DE">
      <w:pPr>
        <w:jc w:val="both"/>
        <w:rPr>
          <w:sz w:val="24"/>
          <w:szCs w:val="24"/>
        </w:rPr>
      </w:pPr>
    </w:p>
    <w:p w14:paraId="46ACCEA4" w14:textId="77777777" w:rsidR="009260DE" w:rsidRPr="005C6E86" w:rsidRDefault="009260DE" w:rsidP="009260DE">
      <w:pPr>
        <w:jc w:val="both"/>
        <w:rPr>
          <w:sz w:val="24"/>
          <w:szCs w:val="24"/>
        </w:rPr>
      </w:pPr>
    </w:p>
    <w:p w14:paraId="6E8034A7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0.</w:t>
      </w:r>
      <w:r w:rsidRPr="005C6E86">
        <w:rPr>
          <w:b/>
          <w:sz w:val="24"/>
          <w:szCs w:val="24"/>
        </w:rPr>
        <w:tab/>
        <w:t>D.SP.NR.</w:t>
      </w:r>
    </w:p>
    <w:p w14:paraId="4770EB05" w14:textId="353E9A78" w:rsidR="009260DE" w:rsidRPr="005C6E86" w:rsidRDefault="00E5142C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E86">
        <w:rPr>
          <w:sz w:val="24"/>
          <w:szCs w:val="24"/>
        </w:rPr>
        <w:t>33098</w:t>
      </w:r>
    </w:p>
    <w:p w14:paraId="51F4FE80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D44C9E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1.</w:t>
      </w:r>
      <w:r w:rsidRPr="005C6E86">
        <w:rPr>
          <w:b/>
          <w:sz w:val="24"/>
          <w:szCs w:val="24"/>
        </w:rPr>
        <w:tab/>
        <w:t>LÆGEMIDLETS NAVN</w:t>
      </w:r>
    </w:p>
    <w:p w14:paraId="718C1440" w14:textId="4EC70512" w:rsidR="009260DE" w:rsidRPr="005C6E86" w:rsidRDefault="00E5142C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C6E86">
        <w:rPr>
          <w:sz w:val="24"/>
          <w:szCs w:val="24"/>
        </w:rPr>
        <w:t>Brinzolamide</w:t>
      </w:r>
      <w:proofErr w:type="spellEnd"/>
      <w:r w:rsidRPr="005C6E86">
        <w:rPr>
          <w:sz w:val="24"/>
          <w:szCs w:val="24"/>
        </w:rPr>
        <w:t>/</w:t>
      </w:r>
      <w:proofErr w:type="spellStart"/>
      <w:r w:rsidRPr="005C6E86">
        <w:rPr>
          <w:sz w:val="24"/>
          <w:szCs w:val="24"/>
        </w:rPr>
        <w:t>Brimonidine</w:t>
      </w:r>
      <w:proofErr w:type="spellEnd"/>
      <w:r w:rsidRPr="005C6E86">
        <w:rPr>
          <w:sz w:val="24"/>
          <w:szCs w:val="24"/>
        </w:rPr>
        <w:t xml:space="preserve"> "</w:t>
      </w:r>
      <w:proofErr w:type="spellStart"/>
      <w:r w:rsidRPr="005C6E86">
        <w:rPr>
          <w:sz w:val="24"/>
          <w:szCs w:val="24"/>
        </w:rPr>
        <w:t>Stada</w:t>
      </w:r>
      <w:proofErr w:type="spellEnd"/>
      <w:r w:rsidRPr="005C6E86">
        <w:rPr>
          <w:sz w:val="24"/>
          <w:szCs w:val="24"/>
        </w:rPr>
        <w:t>"</w:t>
      </w:r>
    </w:p>
    <w:p w14:paraId="25F1C6B3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6086C9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2.</w:t>
      </w:r>
      <w:r w:rsidRPr="005C6E86">
        <w:rPr>
          <w:b/>
          <w:sz w:val="24"/>
          <w:szCs w:val="24"/>
        </w:rPr>
        <w:tab/>
        <w:t>KVALITATIV OG KVANTITATIV SAMMENSÆTNING</w:t>
      </w:r>
    </w:p>
    <w:p w14:paraId="3AFC836D" w14:textId="4BC1F63B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1 ml suspension indeholder 10 mg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2 mg </w:t>
      </w:r>
      <w:proofErr w:type="spellStart"/>
      <w:r w:rsidRPr="005C6E86">
        <w:rPr>
          <w:sz w:val="24"/>
          <w:szCs w:val="24"/>
          <w:lang w:eastAsia="en-GB"/>
        </w:rPr>
        <w:t>brimonidintartrat</w:t>
      </w:r>
      <w:proofErr w:type="spellEnd"/>
      <w:r w:rsidRPr="005C6E86">
        <w:rPr>
          <w:sz w:val="24"/>
          <w:szCs w:val="24"/>
          <w:lang w:eastAsia="en-GB"/>
        </w:rPr>
        <w:t xml:space="preserve"> svarende til 1,3</w:t>
      </w:r>
      <w:r w:rsidR="00754921">
        <w:rPr>
          <w:sz w:val="24"/>
          <w:szCs w:val="24"/>
          <w:lang w:eastAsia="en-GB"/>
        </w:rPr>
        <w:t> </w:t>
      </w:r>
      <w:r w:rsidRPr="005C6E86">
        <w:rPr>
          <w:sz w:val="24"/>
          <w:szCs w:val="24"/>
          <w:lang w:eastAsia="en-GB"/>
        </w:rPr>
        <w:t>mg</w:t>
      </w:r>
      <w:r w:rsid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>.</w:t>
      </w:r>
    </w:p>
    <w:p w14:paraId="044AC04C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42BFD2F7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Den indeholder ca. 0,36 mg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0,07 mg </w:t>
      </w:r>
      <w:proofErr w:type="spellStart"/>
      <w:r w:rsidRPr="005C6E86">
        <w:rPr>
          <w:sz w:val="24"/>
          <w:szCs w:val="24"/>
          <w:lang w:eastAsia="en-GB"/>
        </w:rPr>
        <w:t>brimonidintartrat</w:t>
      </w:r>
      <w:proofErr w:type="spellEnd"/>
      <w:r w:rsidRPr="005C6E86">
        <w:rPr>
          <w:sz w:val="24"/>
          <w:szCs w:val="24"/>
          <w:lang w:eastAsia="en-GB"/>
        </w:rPr>
        <w:t xml:space="preserve"> pr. dråbe.</w:t>
      </w:r>
    </w:p>
    <w:p w14:paraId="540D1FC7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1688EB2A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Hjælpestof, som behandleren skal være opmærksom på</w:t>
      </w:r>
    </w:p>
    <w:p w14:paraId="1DB263E1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Hver ml suspension indeholder 0,03 mg </w:t>
      </w:r>
      <w:proofErr w:type="spellStart"/>
      <w:r w:rsidRPr="005C6E86">
        <w:rPr>
          <w:sz w:val="24"/>
          <w:szCs w:val="24"/>
          <w:lang w:eastAsia="en-GB"/>
        </w:rPr>
        <w:t>benzalkoniumchlorid</w:t>
      </w:r>
      <w:proofErr w:type="spellEnd"/>
      <w:r w:rsidRPr="005C6E86">
        <w:rPr>
          <w:sz w:val="24"/>
          <w:szCs w:val="24"/>
          <w:lang w:eastAsia="en-GB"/>
        </w:rPr>
        <w:t>.</w:t>
      </w:r>
    </w:p>
    <w:p w14:paraId="5FAE7C5D" w14:textId="77777777" w:rsidR="00253DF3" w:rsidRPr="005C6E86" w:rsidRDefault="00253DF3" w:rsidP="00E02AC4">
      <w:pPr>
        <w:suppressAutoHyphens/>
        <w:ind w:left="851"/>
        <w:rPr>
          <w:sz w:val="24"/>
          <w:szCs w:val="24"/>
          <w:lang w:eastAsia="en-GB"/>
        </w:rPr>
      </w:pPr>
    </w:p>
    <w:p w14:paraId="43E5DC85" w14:textId="77777777" w:rsidR="00253DF3" w:rsidRPr="005C6E86" w:rsidRDefault="00253DF3" w:rsidP="00E02AC4">
      <w:pPr>
        <w:suppressAutoHyphens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Hver ml suspension indeholder 3 mg borsyre.</w:t>
      </w:r>
    </w:p>
    <w:p w14:paraId="6449A0E6" w14:textId="77777777" w:rsidR="00253DF3" w:rsidRPr="005C6E86" w:rsidRDefault="00253DF3" w:rsidP="00E02AC4">
      <w:pPr>
        <w:suppressAutoHyphens/>
        <w:ind w:left="851"/>
        <w:rPr>
          <w:sz w:val="24"/>
          <w:szCs w:val="24"/>
          <w:lang w:eastAsia="en-GB"/>
        </w:rPr>
      </w:pPr>
    </w:p>
    <w:p w14:paraId="77AE7570" w14:textId="77777777" w:rsidR="00253DF3" w:rsidRPr="005C6E86" w:rsidRDefault="00253DF3" w:rsidP="00E02AC4">
      <w:pPr>
        <w:suppressAutoHyphens/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  <w:lang w:eastAsia="en-GB"/>
        </w:rPr>
        <w:t>Alle hjælpestoffer er anført under pkt. 6.1.</w:t>
      </w:r>
    </w:p>
    <w:p w14:paraId="22EF307C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23BB98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3.</w:t>
      </w:r>
      <w:r w:rsidRPr="005C6E86">
        <w:rPr>
          <w:b/>
          <w:sz w:val="24"/>
          <w:szCs w:val="24"/>
        </w:rPr>
        <w:tab/>
        <w:t>LÆGEMIDDELFORM</w:t>
      </w:r>
    </w:p>
    <w:p w14:paraId="1AC3DFD3" w14:textId="77777777" w:rsidR="00253DF3" w:rsidRPr="005C6E86" w:rsidRDefault="00253DF3" w:rsidP="00E02AC4">
      <w:pPr>
        <w:suppressAutoHyphens/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</w:rPr>
        <w:t>Øjendråber, suspension (</w:t>
      </w:r>
      <w:proofErr w:type="spellStart"/>
      <w:r w:rsidRPr="005C6E86">
        <w:rPr>
          <w:sz w:val="24"/>
          <w:szCs w:val="24"/>
        </w:rPr>
        <w:t>øjedråber</w:t>
      </w:r>
      <w:proofErr w:type="spellEnd"/>
      <w:r w:rsidRPr="005C6E86">
        <w:rPr>
          <w:sz w:val="24"/>
          <w:szCs w:val="24"/>
        </w:rPr>
        <w:t>).</w:t>
      </w:r>
    </w:p>
    <w:p w14:paraId="676E5F9E" w14:textId="77777777" w:rsidR="00253DF3" w:rsidRPr="005C6E86" w:rsidRDefault="00253DF3" w:rsidP="00E02AC4">
      <w:pPr>
        <w:suppressAutoHyphens/>
        <w:ind w:left="851"/>
        <w:rPr>
          <w:sz w:val="24"/>
          <w:szCs w:val="24"/>
        </w:rPr>
      </w:pPr>
    </w:p>
    <w:p w14:paraId="1057128F" w14:textId="77777777" w:rsidR="00253DF3" w:rsidRPr="005C6E86" w:rsidRDefault="00253DF3" w:rsidP="00E02AC4">
      <w:pPr>
        <w:suppressAutoHyphens/>
        <w:ind w:left="851"/>
        <w:rPr>
          <w:sz w:val="24"/>
          <w:szCs w:val="24"/>
        </w:rPr>
      </w:pPr>
      <w:r w:rsidRPr="005C6E86">
        <w:rPr>
          <w:sz w:val="24"/>
          <w:szCs w:val="24"/>
        </w:rPr>
        <w:t>Hvid til råhvid homogen suspension med en pH på ca. 6,5.</w:t>
      </w:r>
    </w:p>
    <w:p w14:paraId="395C519A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B35EAF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441BF7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</w:t>
      </w:r>
      <w:r w:rsidRPr="005C6E86">
        <w:rPr>
          <w:b/>
          <w:sz w:val="24"/>
          <w:szCs w:val="24"/>
        </w:rPr>
        <w:tab/>
        <w:t>KLINISKE OPLYSNINGER</w:t>
      </w:r>
    </w:p>
    <w:p w14:paraId="68F1BC01" w14:textId="77777777" w:rsidR="009260DE" w:rsidRPr="005C6E8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CC65426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C6E86">
        <w:rPr>
          <w:b/>
          <w:sz w:val="24"/>
          <w:szCs w:val="24"/>
        </w:rPr>
        <w:t>4.1</w:t>
      </w:r>
      <w:r w:rsidRPr="005C6E86">
        <w:rPr>
          <w:b/>
          <w:sz w:val="24"/>
          <w:szCs w:val="24"/>
        </w:rPr>
        <w:tab/>
        <w:t>Terapeutiske indikationer</w:t>
      </w:r>
    </w:p>
    <w:p w14:paraId="642DB3C7" w14:textId="00F98F2A" w:rsidR="00253DF3" w:rsidRPr="005C6E86" w:rsidRDefault="00253DF3" w:rsidP="005C6E8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Nedsættelse af forhøjet </w:t>
      </w:r>
      <w:proofErr w:type="spellStart"/>
      <w:r w:rsidRPr="005C6E86">
        <w:rPr>
          <w:sz w:val="24"/>
          <w:szCs w:val="24"/>
          <w:lang w:eastAsia="en-GB"/>
        </w:rPr>
        <w:t>intraokulært</w:t>
      </w:r>
      <w:proofErr w:type="spellEnd"/>
      <w:r w:rsidRPr="005C6E86">
        <w:rPr>
          <w:sz w:val="24"/>
          <w:szCs w:val="24"/>
          <w:lang w:eastAsia="en-GB"/>
        </w:rPr>
        <w:t xml:space="preserve"> tryk (IOP) hos voksne patienter med åbenvinklet </w:t>
      </w:r>
      <w:proofErr w:type="spellStart"/>
      <w:r w:rsidRPr="005C6E86">
        <w:rPr>
          <w:sz w:val="24"/>
          <w:szCs w:val="24"/>
          <w:lang w:eastAsia="en-GB"/>
        </w:rPr>
        <w:t>glaukom</w:t>
      </w:r>
      <w:proofErr w:type="spellEnd"/>
      <w:r w:rsidRPr="005C6E86">
        <w:rPr>
          <w:sz w:val="24"/>
          <w:szCs w:val="24"/>
          <w:lang w:eastAsia="en-GB"/>
        </w:rPr>
        <w:t xml:space="preserve"> eller</w:t>
      </w:r>
      <w:r w:rsid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hypertension, for hvem monoterapi giver utilstrækkelig reduktion af IOP (se pkt. 5.1).</w:t>
      </w:r>
    </w:p>
    <w:p w14:paraId="5BBC9E1C" w14:textId="6B1012CB" w:rsidR="00754921" w:rsidRDefault="007549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ADDC05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0A8E2E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4.2</w:t>
      </w:r>
      <w:r w:rsidRPr="005C6E86">
        <w:rPr>
          <w:b/>
          <w:sz w:val="24"/>
          <w:szCs w:val="24"/>
        </w:rPr>
        <w:tab/>
        <w:t xml:space="preserve">Dosering og </w:t>
      </w:r>
      <w:r w:rsidR="002C1EC0" w:rsidRPr="005C6E86">
        <w:rPr>
          <w:b/>
          <w:sz w:val="24"/>
          <w:szCs w:val="24"/>
        </w:rPr>
        <w:t>administration</w:t>
      </w:r>
    </w:p>
    <w:p w14:paraId="74AC7D76" w14:textId="77777777" w:rsidR="005C6E86" w:rsidRDefault="005C6E86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</w:p>
    <w:p w14:paraId="096E8A8D" w14:textId="00F5E706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Dosering</w:t>
      </w:r>
    </w:p>
    <w:p w14:paraId="70C5E78F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en-GB"/>
        </w:rPr>
      </w:pPr>
    </w:p>
    <w:p w14:paraId="73515CD2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u w:val="single"/>
          <w:lang w:eastAsia="en-GB"/>
        </w:rPr>
      </w:pPr>
      <w:r w:rsidRPr="005C6E86">
        <w:rPr>
          <w:i/>
          <w:iCs/>
          <w:sz w:val="24"/>
          <w:szCs w:val="24"/>
          <w:u w:val="single"/>
          <w:lang w:eastAsia="en-GB"/>
        </w:rPr>
        <w:t>Anvendelse til voksne inklusive ældre personer</w:t>
      </w:r>
    </w:p>
    <w:p w14:paraId="1362D882" w14:textId="065619AA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Den anbefalede dosis er 1 dråbe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appliceret i det/de pågældende øje/øjne 2 gange dagligt.</w:t>
      </w:r>
    </w:p>
    <w:p w14:paraId="52189C36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en-GB"/>
        </w:rPr>
      </w:pPr>
    </w:p>
    <w:p w14:paraId="152DAB2C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u w:val="single"/>
          <w:lang w:eastAsia="en-GB"/>
        </w:rPr>
      </w:pPr>
      <w:r w:rsidRPr="005C6E86">
        <w:rPr>
          <w:i/>
          <w:iCs/>
          <w:sz w:val="24"/>
          <w:szCs w:val="24"/>
          <w:u w:val="single"/>
          <w:lang w:eastAsia="en-GB"/>
        </w:rPr>
        <w:t>Glemt dosis</w:t>
      </w:r>
    </w:p>
    <w:p w14:paraId="140C6B83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Hvis en dosis bliver glemt, skal behandlingen fortsætte med næste dosis som planlagt.</w:t>
      </w:r>
    </w:p>
    <w:p w14:paraId="3B8540B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en-GB"/>
        </w:rPr>
      </w:pPr>
    </w:p>
    <w:p w14:paraId="02110BFF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u w:val="single"/>
          <w:lang w:eastAsia="en-GB"/>
        </w:rPr>
      </w:pPr>
      <w:r w:rsidRPr="005C6E86">
        <w:rPr>
          <w:i/>
          <w:iCs/>
          <w:sz w:val="24"/>
          <w:szCs w:val="24"/>
          <w:u w:val="single"/>
          <w:lang w:eastAsia="en-GB"/>
        </w:rPr>
        <w:t>Nedsat lever- og/eller nyrefunktion</w:t>
      </w:r>
    </w:p>
    <w:p w14:paraId="73D87A33" w14:textId="1BB7C450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ikke undersøgt hos patienter med nedsat leverfunktion, og det anbefales derfor at</w:t>
      </w:r>
      <w:r w:rsidR="005C6E86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udvise forsigtighed i denne population (se pkt. 4.4).</w:t>
      </w:r>
    </w:p>
    <w:p w14:paraId="52D4EBF0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089271F3" w14:textId="49C8C1B3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ikke undersøgt hos patienter med svær nedsat nyrefunktion (</w:t>
      </w:r>
      <w:proofErr w:type="spellStart"/>
      <w:r w:rsidRPr="005C6E86">
        <w:rPr>
          <w:sz w:val="24"/>
          <w:szCs w:val="24"/>
          <w:lang w:eastAsia="en-GB"/>
        </w:rPr>
        <w:t>creatininclearance</w:t>
      </w:r>
      <w:proofErr w:type="spellEnd"/>
      <w:r w:rsidR="005C6E86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&lt;30 ml/min) eller hos patienter med </w:t>
      </w:r>
      <w:proofErr w:type="spellStart"/>
      <w:r w:rsidRPr="005C6E86">
        <w:rPr>
          <w:sz w:val="24"/>
          <w:szCs w:val="24"/>
          <w:lang w:eastAsia="en-GB"/>
        </w:rPr>
        <w:t>hyperkloræmisk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acidose</w:t>
      </w:r>
      <w:proofErr w:type="spellEnd"/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-komponenten i</w:t>
      </w:r>
      <w:r w:rsidR="005C6E86">
        <w:rPr>
          <w:sz w:val="24"/>
          <w:szCs w:val="24"/>
          <w:lang w:eastAsia="en-GB"/>
        </w:rPr>
        <w:t xml:space="preserve">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og dennes metabolit udskilles overvejende </w:t>
      </w:r>
      <w:proofErr w:type="spellStart"/>
      <w:r w:rsidRPr="005C6E86">
        <w:rPr>
          <w:sz w:val="24"/>
          <w:szCs w:val="24"/>
          <w:lang w:eastAsia="en-GB"/>
        </w:rPr>
        <w:t>renalt</w:t>
      </w:r>
      <w:proofErr w:type="spellEnd"/>
      <w:r w:rsidRPr="005C6E86">
        <w:rPr>
          <w:sz w:val="24"/>
          <w:szCs w:val="24"/>
          <w:lang w:eastAsia="en-GB"/>
        </w:rPr>
        <w:t xml:space="preserve">, hvorfor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er kontraindiceret hos denne patientgruppe (se pkt. 4.3).</w:t>
      </w:r>
    </w:p>
    <w:p w14:paraId="752A256E" w14:textId="77777777" w:rsidR="00253DF3" w:rsidRPr="00441043" w:rsidRDefault="00253DF3" w:rsidP="00E02AC4">
      <w:pPr>
        <w:autoSpaceDE w:val="0"/>
        <w:autoSpaceDN w:val="0"/>
        <w:adjustRightInd w:val="0"/>
        <w:ind w:left="851"/>
        <w:rPr>
          <w:iCs/>
          <w:sz w:val="24"/>
          <w:szCs w:val="24"/>
          <w:lang w:eastAsia="en-GB"/>
        </w:rPr>
      </w:pPr>
    </w:p>
    <w:p w14:paraId="6CEAE8F7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u w:val="single"/>
          <w:lang w:eastAsia="en-GB"/>
        </w:rPr>
      </w:pPr>
      <w:r w:rsidRPr="005C6E86">
        <w:rPr>
          <w:i/>
          <w:iCs/>
          <w:sz w:val="24"/>
          <w:szCs w:val="24"/>
          <w:u w:val="single"/>
          <w:lang w:eastAsia="en-GB"/>
        </w:rPr>
        <w:t>Pædiatrisk population</w:t>
      </w:r>
    </w:p>
    <w:p w14:paraId="70527AEB" w14:textId="7FF71E6C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Brimonidins</w:t>
      </w:r>
      <w:proofErr w:type="spellEnd"/>
      <w:r w:rsidRPr="005C6E86">
        <w:rPr>
          <w:sz w:val="24"/>
          <w:szCs w:val="24"/>
          <w:lang w:eastAsia="en-GB"/>
        </w:rPr>
        <w:t xml:space="preserve"> sikkerhed og virkning hos børn og unge i alderen 2 til 17 år er ikke klarlagt. Der</w:t>
      </w:r>
      <w:r w:rsidR="005C6E86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foreligger ingen data.</w:t>
      </w:r>
    </w:p>
    <w:p w14:paraId="27426BD4" w14:textId="2E5A30EB" w:rsidR="00253DF3" w:rsidRPr="005C6E86" w:rsidRDefault="00A00569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er kontraindiceret til nyfødte og spædbørn under 2 år ved nedsættelse af forhøjet </w:t>
      </w:r>
      <w:proofErr w:type="spellStart"/>
      <w:r w:rsidR="00253DF3" w:rsidRPr="005C6E86">
        <w:rPr>
          <w:sz w:val="24"/>
          <w:szCs w:val="24"/>
          <w:lang w:eastAsia="en-GB"/>
        </w:rPr>
        <w:t>intraokulært</w:t>
      </w:r>
      <w:proofErr w:type="spellEnd"/>
      <w:r w:rsidR="00253DF3" w:rsidRPr="005C6E86">
        <w:rPr>
          <w:sz w:val="24"/>
          <w:szCs w:val="24"/>
          <w:lang w:eastAsia="en-GB"/>
        </w:rPr>
        <w:t xml:space="preserve"> tryk (IOP) med åbenvinklet </w:t>
      </w:r>
      <w:proofErr w:type="spellStart"/>
      <w:r w:rsidR="00253DF3" w:rsidRPr="005C6E86">
        <w:rPr>
          <w:sz w:val="24"/>
          <w:szCs w:val="24"/>
          <w:lang w:eastAsia="en-GB"/>
        </w:rPr>
        <w:t>glaukom</w:t>
      </w:r>
      <w:proofErr w:type="spellEnd"/>
      <w:r w:rsidR="00253DF3" w:rsidRPr="005C6E86">
        <w:rPr>
          <w:sz w:val="24"/>
          <w:szCs w:val="24"/>
          <w:lang w:eastAsia="en-GB"/>
        </w:rPr>
        <w:t xml:space="preserve"> eller </w:t>
      </w:r>
      <w:proofErr w:type="spellStart"/>
      <w:r w:rsidR="00253DF3" w:rsidRPr="005C6E86">
        <w:rPr>
          <w:sz w:val="24"/>
          <w:szCs w:val="24"/>
          <w:lang w:eastAsia="en-GB"/>
        </w:rPr>
        <w:t>okulær</w:t>
      </w:r>
      <w:proofErr w:type="spellEnd"/>
      <w:r w:rsidR="00253DF3" w:rsidRPr="005C6E86">
        <w:rPr>
          <w:sz w:val="24"/>
          <w:szCs w:val="24"/>
          <w:lang w:eastAsia="en-GB"/>
        </w:rPr>
        <w:t xml:space="preserve"> hypertension, for hvem monoterapi giver utilstrækkelig reduktion af IOP, da der er sikkerhedsanliggender (se pkt. 4.3).</w:t>
      </w:r>
    </w:p>
    <w:p w14:paraId="3A2F7191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4924A171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Administration</w:t>
      </w:r>
    </w:p>
    <w:p w14:paraId="760B679F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Til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brug.</w:t>
      </w:r>
    </w:p>
    <w:p w14:paraId="2E9332FA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017702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Patienterne skal instrueres i at ryste flasken grundigt inden brug.</w:t>
      </w:r>
    </w:p>
    <w:p w14:paraId="7E37092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Systemisk absorption reduceres, når der anvendes </w:t>
      </w:r>
      <w:proofErr w:type="spellStart"/>
      <w:r w:rsidRPr="005C6E86">
        <w:rPr>
          <w:sz w:val="24"/>
          <w:szCs w:val="24"/>
          <w:lang w:eastAsia="en-GB"/>
        </w:rPr>
        <w:t>nasolakrimal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okklusion</w:t>
      </w:r>
      <w:proofErr w:type="spellEnd"/>
      <w:r w:rsidRPr="005C6E86">
        <w:rPr>
          <w:sz w:val="24"/>
          <w:szCs w:val="24"/>
          <w:lang w:eastAsia="en-GB"/>
        </w:rPr>
        <w:t xml:space="preserve"> og øjet lukkes i 2 minutter.</w:t>
      </w:r>
    </w:p>
    <w:p w14:paraId="4605CC97" w14:textId="2D439489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Dette kan nedsætte forekomsten af systemiske bivirkninger og give en øget lokal aktivitet (se</w:t>
      </w:r>
      <w:r w:rsidR="005C6E86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pkt. 4.4).</w:t>
      </w:r>
    </w:p>
    <w:p w14:paraId="678689E1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A45AA67" w14:textId="01809AD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For at undgå kontaminering af dråbespidsen og suspensionen skal man være opmærksom på ikke at</w:t>
      </w:r>
      <w:r w:rsidR="005C6E86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berøre øjenlåget, omgivende områder eller andre overflader med spidsen af flasken. Patienterne skal</w:t>
      </w:r>
      <w:r w:rsidR="005C6E86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instrueres i at lukke flasken tæt efter brug.</w:t>
      </w:r>
    </w:p>
    <w:p w14:paraId="3DA717EC" w14:textId="63CA5A68" w:rsidR="00253DF3" w:rsidRPr="005C6E86" w:rsidRDefault="00A00569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kan anvendes samtidig med andre </w:t>
      </w:r>
      <w:proofErr w:type="spellStart"/>
      <w:r w:rsidR="00253DF3" w:rsidRPr="005C6E86">
        <w:rPr>
          <w:sz w:val="24"/>
          <w:szCs w:val="24"/>
          <w:lang w:eastAsia="en-GB"/>
        </w:rPr>
        <w:t>topikale</w:t>
      </w:r>
      <w:proofErr w:type="spellEnd"/>
      <w:r w:rsidR="00253DF3" w:rsidRPr="005C6E86">
        <w:rPr>
          <w:sz w:val="24"/>
          <w:szCs w:val="24"/>
          <w:lang w:eastAsia="en-GB"/>
        </w:rPr>
        <w:t xml:space="preserve"> øjenpræparater til at sænke </w:t>
      </w:r>
      <w:proofErr w:type="spellStart"/>
      <w:r w:rsidR="00253DF3" w:rsidRPr="005C6E86">
        <w:rPr>
          <w:sz w:val="24"/>
          <w:szCs w:val="24"/>
          <w:lang w:eastAsia="en-GB"/>
        </w:rPr>
        <w:t>intraokulært</w:t>
      </w:r>
      <w:proofErr w:type="spellEnd"/>
      <w:r w:rsidR="00253DF3" w:rsidRPr="005C6E86">
        <w:rPr>
          <w:sz w:val="24"/>
          <w:szCs w:val="24"/>
          <w:lang w:eastAsia="en-GB"/>
        </w:rPr>
        <w:t xml:space="preserve"> tryk.</w:t>
      </w:r>
    </w:p>
    <w:p w14:paraId="0E060538" w14:textId="2A8B941B" w:rsidR="00253DF3" w:rsidRPr="005C6E86" w:rsidRDefault="00253DF3" w:rsidP="005C6E8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fr-LU"/>
        </w:rPr>
      </w:pPr>
      <w:r w:rsidRPr="005C6E86">
        <w:rPr>
          <w:sz w:val="24"/>
          <w:szCs w:val="24"/>
          <w:lang w:eastAsia="en-GB"/>
        </w:rPr>
        <w:t xml:space="preserve">Hvis der bruges mere end ét </w:t>
      </w:r>
      <w:proofErr w:type="spellStart"/>
      <w:r w:rsidRPr="005C6E86">
        <w:rPr>
          <w:sz w:val="24"/>
          <w:szCs w:val="24"/>
          <w:lang w:eastAsia="en-GB"/>
        </w:rPr>
        <w:t>topikalt</w:t>
      </w:r>
      <w:proofErr w:type="spellEnd"/>
      <w:r w:rsidRPr="005C6E86">
        <w:rPr>
          <w:sz w:val="24"/>
          <w:szCs w:val="24"/>
          <w:lang w:eastAsia="en-GB"/>
        </w:rPr>
        <w:t xml:space="preserve"> øjenpræparat, skal der være mindst 5 minutters interval imellem</w:t>
      </w:r>
      <w:r w:rsid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instillation</w:t>
      </w:r>
      <w:proofErr w:type="spellEnd"/>
      <w:r w:rsidRPr="005C6E86">
        <w:rPr>
          <w:sz w:val="24"/>
          <w:szCs w:val="24"/>
          <w:lang w:eastAsia="en-GB"/>
        </w:rPr>
        <w:t xml:space="preserve"> af de enkelte præparater.</w:t>
      </w:r>
    </w:p>
    <w:p w14:paraId="08DCCF46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0859A5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4.3</w:t>
      </w:r>
      <w:r w:rsidRPr="005C6E86">
        <w:rPr>
          <w:b/>
          <w:sz w:val="24"/>
          <w:szCs w:val="24"/>
        </w:rPr>
        <w:tab/>
        <w:t>Kontraindikationer</w:t>
      </w:r>
    </w:p>
    <w:p w14:paraId="739A9899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Overfølsomhed over for de aktive stoffer eller over for et eller flere af hjælpestofferne anført i pkt. 6.1.</w:t>
      </w:r>
    </w:p>
    <w:p w14:paraId="0CDD0831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Overfølsomhed over for sulfonamider (se pkt. 4.4).</w:t>
      </w:r>
    </w:p>
    <w:p w14:paraId="168FF4C7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lastRenderedPageBreak/>
        <w:t xml:space="preserve">Patienter, der får </w:t>
      </w:r>
      <w:proofErr w:type="spellStart"/>
      <w:r w:rsidRPr="005C6E86">
        <w:rPr>
          <w:sz w:val="24"/>
          <w:szCs w:val="24"/>
          <w:lang w:eastAsia="en-GB"/>
        </w:rPr>
        <w:t>monoaminoxidase</w:t>
      </w:r>
      <w:proofErr w:type="spellEnd"/>
      <w:r w:rsidRPr="005C6E86">
        <w:rPr>
          <w:sz w:val="24"/>
          <w:szCs w:val="24"/>
          <w:lang w:eastAsia="en-GB"/>
        </w:rPr>
        <w:t xml:space="preserve">- (MAO) </w:t>
      </w:r>
      <w:proofErr w:type="spellStart"/>
      <w:r w:rsidRPr="005C6E86">
        <w:rPr>
          <w:sz w:val="24"/>
          <w:szCs w:val="24"/>
          <w:lang w:eastAsia="en-GB"/>
        </w:rPr>
        <w:t>hæmmere</w:t>
      </w:r>
      <w:proofErr w:type="spellEnd"/>
      <w:r w:rsidRPr="005C6E86">
        <w:rPr>
          <w:sz w:val="24"/>
          <w:szCs w:val="24"/>
          <w:lang w:eastAsia="en-GB"/>
        </w:rPr>
        <w:t xml:space="preserve"> (se pkt. 4.5).</w:t>
      </w:r>
    </w:p>
    <w:p w14:paraId="55EF406F" w14:textId="56446048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Patienter, der får </w:t>
      </w:r>
      <w:proofErr w:type="spellStart"/>
      <w:r w:rsidRPr="005C6E86">
        <w:rPr>
          <w:sz w:val="24"/>
          <w:szCs w:val="24"/>
          <w:lang w:eastAsia="en-GB"/>
        </w:rPr>
        <w:t>antidepressiva</w:t>
      </w:r>
      <w:proofErr w:type="spellEnd"/>
      <w:r w:rsidRPr="005C6E86">
        <w:rPr>
          <w:sz w:val="24"/>
          <w:szCs w:val="24"/>
          <w:lang w:eastAsia="en-GB"/>
        </w:rPr>
        <w:t xml:space="preserve">, som påvirker den </w:t>
      </w:r>
      <w:proofErr w:type="spellStart"/>
      <w:r w:rsidRPr="005C6E86">
        <w:rPr>
          <w:sz w:val="24"/>
          <w:szCs w:val="24"/>
          <w:lang w:eastAsia="en-GB"/>
        </w:rPr>
        <w:t>noradrenerge</w:t>
      </w:r>
      <w:proofErr w:type="spellEnd"/>
      <w:r w:rsidRPr="005C6E86">
        <w:rPr>
          <w:sz w:val="24"/>
          <w:szCs w:val="24"/>
          <w:lang w:eastAsia="en-GB"/>
        </w:rPr>
        <w:t xml:space="preserve"> transmission (f.eks. tricykliske</w:t>
      </w:r>
      <w:r w:rsidR="00627C22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antidepressiva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mianserin</w:t>
      </w:r>
      <w:proofErr w:type="spellEnd"/>
      <w:r w:rsidRPr="005C6E86">
        <w:rPr>
          <w:sz w:val="24"/>
          <w:szCs w:val="24"/>
          <w:lang w:eastAsia="en-GB"/>
        </w:rPr>
        <w:t>) (se pkt. 4.5).</w:t>
      </w:r>
    </w:p>
    <w:p w14:paraId="5687B80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Patienter med svært nedsat nyrefunktion (se pkt. 4.4).</w:t>
      </w:r>
    </w:p>
    <w:p w14:paraId="2FAC500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Patienter med </w:t>
      </w:r>
      <w:proofErr w:type="spellStart"/>
      <w:r w:rsidRPr="005C6E86">
        <w:rPr>
          <w:sz w:val="24"/>
          <w:szCs w:val="24"/>
          <w:lang w:eastAsia="en-GB"/>
        </w:rPr>
        <w:t>hyperkloræmisk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acidose</w:t>
      </w:r>
      <w:proofErr w:type="spellEnd"/>
      <w:r w:rsidRPr="005C6E86">
        <w:rPr>
          <w:sz w:val="24"/>
          <w:szCs w:val="24"/>
          <w:lang w:eastAsia="en-GB"/>
        </w:rPr>
        <w:t>.</w:t>
      </w:r>
    </w:p>
    <w:p w14:paraId="00878BDE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Nyfødte og spædbørn under 2 år (se pkt. 4.4.).</w:t>
      </w:r>
    </w:p>
    <w:p w14:paraId="06969B03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C5835A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4.4</w:t>
      </w:r>
      <w:r w:rsidRPr="005C6E86">
        <w:rPr>
          <w:b/>
          <w:sz w:val="24"/>
          <w:szCs w:val="24"/>
        </w:rPr>
        <w:tab/>
        <w:t>Særlige advarsler og forsigtighedsregler vedrørende brugen</w:t>
      </w:r>
    </w:p>
    <w:p w14:paraId="57803FC3" w14:textId="12E0AFF1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Lægemidlet må ikke injiceres. Patienterne skal instrueres i ikke at indtage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oralt.</w:t>
      </w:r>
    </w:p>
    <w:p w14:paraId="6E1B0CAE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EC25E2F" w14:textId="0306E8B5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</w:p>
    <w:p w14:paraId="21A3E500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795061F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5C6E86">
        <w:rPr>
          <w:sz w:val="24"/>
          <w:szCs w:val="24"/>
          <w:u w:val="single"/>
          <w:lang w:eastAsia="en-GB"/>
        </w:rPr>
        <w:t>Okulære</w:t>
      </w:r>
      <w:proofErr w:type="spellEnd"/>
      <w:r w:rsidRPr="005C6E86">
        <w:rPr>
          <w:sz w:val="24"/>
          <w:szCs w:val="24"/>
          <w:u w:val="single"/>
          <w:lang w:eastAsia="en-GB"/>
        </w:rPr>
        <w:t xml:space="preserve"> virkninger</w:t>
      </w:r>
    </w:p>
    <w:p w14:paraId="1B1893ED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3FFBAD07" w14:textId="0B1AB5CA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ikke undersøgt hos patienter med snævervinklet </w:t>
      </w:r>
      <w:proofErr w:type="spellStart"/>
      <w:r w:rsidRPr="005C6E86">
        <w:rPr>
          <w:sz w:val="24"/>
          <w:szCs w:val="24"/>
          <w:lang w:eastAsia="en-GB"/>
        </w:rPr>
        <w:t>glaukom</w:t>
      </w:r>
      <w:proofErr w:type="spellEnd"/>
      <w:r w:rsidRPr="005C6E86">
        <w:rPr>
          <w:sz w:val="24"/>
          <w:szCs w:val="24"/>
          <w:lang w:eastAsia="en-GB"/>
        </w:rPr>
        <w:t>, og det bør ikke anvendes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til disse patienter.</w:t>
      </w:r>
    </w:p>
    <w:p w14:paraId="3529A8FB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501D2670" w14:textId="30F11296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Den mulige virkning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på </w:t>
      </w:r>
      <w:proofErr w:type="spellStart"/>
      <w:r w:rsidRPr="005C6E86">
        <w:rPr>
          <w:sz w:val="24"/>
          <w:szCs w:val="24"/>
          <w:lang w:eastAsia="en-GB"/>
        </w:rPr>
        <w:t>korneal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endotelfunktion</w:t>
      </w:r>
      <w:proofErr w:type="spellEnd"/>
      <w:r w:rsidRPr="005C6E86">
        <w:rPr>
          <w:sz w:val="24"/>
          <w:szCs w:val="24"/>
          <w:lang w:eastAsia="en-GB"/>
        </w:rPr>
        <w:t xml:space="preserve"> er ikke blevet undersøgt hos patienter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med kompromitteret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 xml:space="preserve"> (især hos patienter med lavt </w:t>
      </w:r>
      <w:proofErr w:type="spellStart"/>
      <w:r w:rsidRPr="005C6E86">
        <w:rPr>
          <w:sz w:val="24"/>
          <w:szCs w:val="24"/>
          <w:lang w:eastAsia="en-GB"/>
        </w:rPr>
        <w:t>endotel</w:t>
      </w:r>
      <w:proofErr w:type="spellEnd"/>
      <w:r w:rsidRPr="005C6E86">
        <w:rPr>
          <w:sz w:val="24"/>
          <w:szCs w:val="24"/>
          <w:lang w:eastAsia="en-GB"/>
        </w:rPr>
        <w:t xml:space="preserve"> celletal). Patienter med kontaktlinser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er ikke specifikt blevet undersøgt, og det anbefales, at disse patienter monitoreres omhyggeligt ved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brug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, da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 xml:space="preserve"> kan påvirke væsketilførslen til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>, og brug af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kontaktlinser kan øge risikoen for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 xml:space="preserve"> (se nedenfor under "</w:t>
      </w:r>
      <w:proofErr w:type="spellStart"/>
      <w:r w:rsidRPr="005C6E86">
        <w:rPr>
          <w:sz w:val="24"/>
          <w:szCs w:val="24"/>
          <w:lang w:eastAsia="en-GB"/>
        </w:rPr>
        <w:t>Benzalkoniumchlorid</w:t>
      </w:r>
      <w:proofErr w:type="spellEnd"/>
      <w:r w:rsidRPr="005C6E86">
        <w:rPr>
          <w:sz w:val="24"/>
          <w:szCs w:val="24"/>
          <w:lang w:eastAsia="en-GB"/>
        </w:rPr>
        <w:t>" for yderligere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instruktioner vedrørende brug af kontaktlinser). Det anbefales, at patienter med skadet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>,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herunder patienter med diabetes mellitus eller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>-dystrofi, monitoreres omhyggeligt.</w:t>
      </w:r>
    </w:p>
    <w:p w14:paraId="09586B83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7162031" w14:textId="35FD4E6F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Brimonidintartrat</w:t>
      </w:r>
      <w:proofErr w:type="spellEnd"/>
      <w:r w:rsidRPr="005C6E86">
        <w:rPr>
          <w:sz w:val="24"/>
          <w:szCs w:val="24"/>
          <w:lang w:eastAsia="en-GB"/>
        </w:rPr>
        <w:t xml:space="preserve"> kan medføre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overfølsomhedsreaktioner. Hvis der observeres allergiske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reaktioner, skal behandlingen seponeres. Forsinkede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overfølsomheds</w:t>
      </w:r>
      <w:r w:rsidR="00D6034C">
        <w:rPr>
          <w:sz w:val="24"/>
          <w:szCs w:val="24"/>
          <w:lang w:eastAsia="en-GB"/>
        </w:rPr>
        <w:softHyphen/>
      </w:r>
      <w:r w:rsidRPr="005C6E86">
        <w:rPr>
          <w:sz w:val="24"/>
          <w:szCs w:val="24"/>
          <w:lang w:eastAsia="en-GB"/>
        </w:rPr>
        <w:t>reaktioner er blevet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rapporteret med </w:t>
      </w:r>
      <w:proofErr w:type="spellStart"/>
      <w:r w:rsidRPr="005C6E86">
        <w:rPr>
          <w:sz w:val="24"/>
          <w:szCs w:val="24"/>
          <w:lang w:eastAsia="en-GB"/>
        </w:rPr>
        <w:t>brimonidintartrat</w:t>
      </w:r>
      <w:proofErr w:type="spellEnd"/>
      <w:r w:rsidRPr="005C6E86">
        <w:rPr>
          <w:sz w:val="24"/>
          <w:szCs w:val="24"/>
          <w:lang w:eastAsia="en-GB"/>
        </w:rPr>
        <w:t>, hvoraf nogle er blevet rapporteret til at være forbundne med en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stigning i IOP.</w:t>
      </w:r>
    </w:p>
    <w:p w14:paraId="46DDC341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4986B15" w14:textId="5704A9A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Den potentielle virkning efter </w:t>
      </w:r>
      <w:proofErr w:type="spellStart"/>
      <w:r w:rsidRPr="005C6E86">
        <w:rPr>
          <w:sz w:val="24"/>
          <w:szCs w:val="24"/>
          <w:lang w:eastAsia="en-GB"/>
        </w:rPr>
        <w:t>seponering</w:t>
      </w:r>
      <w:proofErr w:type="spellEnd"/>
      <w:r w:rsidRPr="005C6E86">
        <w:rPr>
          <w:sz w:val="24"/>
          <w:szCs w:val="24"/>
          <w:lang w:eastAsia="en-GB"/>
        </w:rPr>
        <w:t xml:space="preserve"> af behandling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ikke blevet undersøgt.</w:t>
      </w:r>
    </w:p>
    <w:p w14:paraId="28A3EABE" w14:textId="63AF7DBE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Varigheden af den IOP-sænkende virkning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ikke blevet undersøgt, men den IOP-sænkende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virkning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forventes at vare 5-7 dage. Den IOP-sænkende virkning af</w:t>
      </w:r>
      <w:r w:rsidR="00D6034C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kan vare længere.</w:t>
      </w:r>
    </w:p>
    <w:p w14:paraId="33714BCC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C75A39C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Systemiske virkninger</w:t>
      </w:r>
    </w:p>
    <w:p w14:paraId="64839AD6" w14:textId="599E10D3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indeholder </w:t>
      </w:r>
      <w:proofErr w:type="spellStart"/>
      <w:r w:rsidR="00253DF3" w:rsidRPr="005C6E86">
        <w:rPr>
          <w:sz w:val="24"/>
          <w:szCs w:val="24"/>
          <w:lang w:eastAsia="en-GB"/>
        </w:rPr>
        <w:t>brinzolamid</w:t>
      </w:r>
      <w:proofErr w:type="spellEnd"/>
      <w:r w:rsidR="00253DF3" w:rsidRPr="005C6E86">
        <w:rPr>
          <w:sz w:val="24"/>
          <w:szCs w:val="24"/>
          <w:lang w:eastAsia="en-GB"/>
        </w:rPr>
        <w:t xml:space="preserve">, der er et sulfonamid, som hæmmer </w:t>
      </w:r>
      <w:proofErr w:type="spellStart"/>
      <w:r w:rsidR="00253DF3" w:rsidRPr="005C6E86">
        <w:rPr>
          <w:sz w:val="24"/>
          <w:szCs w:val="24"/>
          <w:lang w:eastAsia="en-GB"/>
        </w:rPr>
        <w:t>karboanhydrase</w:t>
      </w:r>
      <w:proofErr w:type="spellEnd"/>
      <w:r w:rsidR="00253DF3" w:rsidRPr="005C6E86">
        <w:rPr>
          <w:sz w:val="24"/>
          <w:szCs w:val="24"/>
          <w:lang w:eastAsia="en-GB"/>
        </w:rPr>
        <w:t>, og selvom</w:t>
      </w:r>
      <w:r w:rsidR="00D6034C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det administreres </w:t>
      </w:r>
      <w:proofErr w:type="spellStart"/>
      <w:r w:rsidR="00253DF3" w:rsidRPr="005C6E86">
        <w:rPr>
          <w:sz w:val="24"/>
          <w:szCs w:val="24"/>
          <w:lang w:eastAsia="en-GB"/>
        </w:rPr>
        <w:t>topikalt</w:t>
      </w:r>
      <w:proofErr w:type="spellEnd"/>
      <w:r w:rsidR="00253DF3" w:rsidRPr="005C6E86">
        <w:rPr>
          <w:sz w:val="24"/>
          <w:szCs w:val="24"/>
          <w:lang w:eastAsia="en-GB"/>
        </w:rPr>
        <w:t>, absorberes det systemisk. Samme type bivirkninger, som tilskrives</w:t>
      </w:r>
      <w:r w:rsidR="00D6034C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sulfonamider, kan optræde ved </w:t>
      </w:r>
      <w:proofErr w:type="spellStart"/>
      <w:r w:rsidR="00253DF3" w:rsidRPr="005C6E86">
        <w:rPr>
          <w:sz w:val="24"/>
          <w:szCs w:val="24"/>
          <w:lang w:eastAsia="en-GB"/>
        </w:rPr>
        <w:t>topikal</w:t>
      </w:r>
      <w:proofErr w:type="spellEnd"/>
      <w:r w:rsidR="00253DF3" w:rsidRPr="005C6E86">
        <w:rPr>
          <w:sz w:val="24"/>
          <w:szCs w:val="24"/>
          <w:lang w:eastAsia="en-GB"/>
        </w:rPr>
        <w:t xml:space="preserve"> administration, herunder Stevens-Johnsons syndrom (SJS) og</w:t>
      </w:r>
      <w:r w:rsidR="00D6034C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toksisk </w:t>
      </w:r>
      <w:proofErr w:type="spellStart"/>
      <w:r w:rsidR="00253DF3" w:rsidRPr="005C6E86">
        <w:rPr>
          <w:sz w:val="24"/>
          <w:szCs w:val="24"/>
          <w:lang w:eastAsia="en-GB"/>
        </w:rPr>
        <w:t>epidermal</w:t>
      </w:r>
      <w:proofErr w:type="spellEnd"/>
      <w:r w:rsidR="00253DF3" w:rsidRPr="005C6E86">
        <w:rPr>
          <w:sz w:val="24"/>
          <w:szCs w:val="24"/>
          <w:lang w:eastAsia="en-GB"/>
        </w:rPr>
        <w:t xml:space="preserve"> </w:t>
      </w:r>
      <w:proofErr w:type="spellStart"/>
      <w:r w:rsidR="00253DF3" w:rsidRPr="005C6E86">
        <w:rPr>
          <w:sz w:val="24"/>
          <w:szCs w:val="24"/>
          <w:lang w:eastAsia="en-GB"/>
        </w:rPr>
        <w:t>nekrolyse</w:t>
      </w:r>
      <w:proofErr w:type="spellEnd"/>
      <w:r w:rsidR="00253DF3" w:rsidRPr="005C6E86">
        <w:rPr>
          <w:sz w:val="24"/>
          <w:szCs w:val="24"/>
          <w:lang w:eastAsia="en-GB"/>
        </w:rPr>
        <w:t xml:space="preserve"> (TEN). Ved ordineringen bør patienterne gøres opmærksomme på tegn og</w:t>
      </w:r>
      <w:r w:rsidR="00D6034C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symptomer og monitoreres nøje for hudreaktioner. Såfremt der opstår tegn på eller tilfælde af alvorlige</w:t>
      </w:r>
      <w:r w:rsidR="00D6034C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bivirkninger eller overfølsomhedsreaktioner, skal </w:t>
      </w: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straks seponeres.</w:t>
      </w:r>
    </w:p>
    <w:p w14:paraId="27D7FDE1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4335710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Hjerte</w:t>
      </w:r>
    </w:p>
    <w:p w14:paraId="1FA1C062" w14:textId="36CFEC85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Efter administration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blev der observeret et mindre fald i blodtrykket hos nogle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patienter. Forsigtighed tilrådes, når der anvendes lægemidler som </w:t>
      </w:r>
      <w:proofErr w:type="spellStart"/>
      <w:r w:rsidRPr="005C6E86">
        <w:rPr>
          <w:sz w:val="24"/>
          <w:szCs w:val="24"/>
          <w:lang w:eastAsia="en-GB"/>
        </w:rPr>
        <w:t>antihypertensiva</w:t>
      </w:r>
      <w:proofErr w:type="spellEnd"/>
      <w:r w:rsidRPr="005C6E86">
        <w:rPr>
          <w:sz w:val="24"/>
          <w:szCs w:val="24"/>
          <w:lang w:eastAsia="en-GB"/>
        </w:rPr>
        <w:t xml:space="preserve"> og/eller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hjerteglykosider samtidig med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eller til patienter med alvorlig eller ustabil og ukontrolleret </w:t>
      </w:r>
      <w:proofErr w:type="spellStart"/>
      <w:r w:rsidRPr="005C6E86">
        <w:rPr>
          <w:sz w:val="24"/>
          <w:szCs w:val="24"/>
          <w:lang w:eastAsia="en-GB"/>
        </w:rPr>
        <w:t>kardiovaskulær</w:t>
      </w:r>
      <w:proofErr w:type="spellEnd"/>
      <w:r w:rsidRPr="005C6E86">
        <w:rPr>
          <w:sz w:val="24"/>
          <w:szCs w:val="24"/>
          <w:lang w:eastAsia="en-GB"/>
        </w:rPr>
        <w:t xml:space="preserve"> sygdom (se pkt. 4.5).</w:t>
      </w:r>
    </w:p>
    <w:p w14:paraId="1B5E28C6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64EFE1D" w14:textId="000D1C8E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skal anvendes med forsigtighed hos patienter med depression, cerebral- eller </w:t>
      </w:r>
      <w:proofErr w:type="spellStart"/>
      <w:r w:rsidR="00253DF3" w:rsidRPr="005C6E86">
        <w:rPr>
          <w:sz w:val="24"/>
          <w:szCs w:val="24"/>
          <w:lang w:eastAsia="en-GB"/>
        </w:rPr>
        <w:t>koronarinsufficiens</w:t>
      </w:r>
      <w:proofErr w:type="spellEnd"/>
      <w:r w:rsidR="00253DF3" w:rsidRPr="005C6E86">
        <w:rPr>
          <w:sz w:val="24"/>
          <w:szCs w:val="24"/>
          <w:lang w:eastAsia="en-GB"/>
        </w:rPr>
        <w:t xml:space="preserve">, </w:t>
      </w:r>
      <w:proofErr w:type="spellStart"/>
      <w:r w:rsidR="00253DF3" w:rsidRPr="005C6E86">
        <w:rPr>
          <w:sz w:val="24"/>
          <w:szCs w:val="24"/>
          <w:lang w:eastAsia="en-GB"/>
        </w:rPr>
        <w:t>Raynauds</w:t>
      </w:r>
      <w:proofErr w:type="spellEnd"/>
      <w:r w:rsidR="00253DF3" w:rsidRPr="005C6E86">
        <w:rPr>
          <w:sz w:val="24"/>
          <w:szCs w:val="24"/>
          <w:lang w:eastAsia="en-GB"/>
        </w:rPr>
        <w:t xml:space="preserve"> syndrom, </w:t>
      </w:r>
      <w:proofErr w:type="spellStart"/>
      <w:r w:rsidR="00253DF3" w:rsidRPr="005C6E86">
        <w:rPr>
          <w:sz w:val="24"/>
          <w:szCs w:val="24"/>
          <w:lang w:eastAsia="en-GB"/>
        </w:rPr>
        <w:t>ortostatisk</w:t>
      </w:r>
      <w:proofErr w:type="spellEnd"/>
      <w:r w:rsidR="00253DF3" w:rsidRPr="005C6E86">
        <w:rPr>
          <w:sz w:val="24"/>
          <w:szCs w:val="24"/>
          <w:lang w:eastAsia="en-GB"/>
        </w:rPr>
        <w:t xml:space="preserve"> hypotension eller </w:t>
      </w:r>
      <w:proofErr w:type="spellStart"/>
      <w:r w:rsidR="00253DF3" w:rsidRPr="005C6E86">
        <w:rPr>
          <w:sz w:val="24"/>
          <w:szCs w:val="24"/>
          <w:lang w:eastAsia="en-GB"/>
        </w:rPr>
        <w:t>tromboangiitis</w:t>
      </w:r>
      <w:proofErr w:type="spellEnd"/>
      <w:r w:rsidR="00253DF3" w:rsidRPr="005C6E86">
        <w:rPr>
          <w:sz w:val="24"/>
          <w:szCs w:val="24"/>
          <w:lang w:eastAsia="en-GB"/>
        </w:rPr>
        <w:t xml:space="preserve"> </w:t>
      </w:r>
      <w:proofErr w:type="spellStart"/>
      <w:r w:rsidR="00253DF3" w:rsidRPr="005C6E86">
        <w:rPr>
          <w:sz w:val="24"/>
          <w:szCs w:val="24"/>
          <w:lang w:eastAsia="en-GB"/>
        </w:rPr>
        <w:t>obliterans</w:t>
      </w:r>
      <w:proofErr w:type="spellEnd"/>
      <w:r w:rsidR="00253DF3" w:rsidRPr="005C6E86">
        <w:rPr>
          <w:sz w:val="24"/>
          <w:szCs w:val="24"/>
          <w:lang w:eastAsia="en-GB"/>
        </w:rPr>
        <w:t>.</w:t>
      </w:r>
    </w:p>
    <w:p w14:paraId="1F774B45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3E8F5A67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Syrebaseforstyrrelser</w:t>
      </w:r>
    </w:p>
    <w:p w14:paraId="1C8BEE12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3F38FB69" w14:textId="1BDFF6AA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Der er rapporteret om syrebaseforstyrrelser ved brug af orale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indeholder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, en </w:t>
      </w:r>
      <w:proofErr w:type="spellStart"/>
      <w:r w:rsidRPr="005C6E86">
        <w:rPr>
          <w:sz w:val="24"/>
          <w:szCs w:val="24"/>
          <w:lang w:eastAsia="en-GB"/>
        </w:rPr>
        <w:t>karboanhydrasehæmmer</w:t>
      </w:r>
      <w:proofErr w:type="spellEnd"/>
      <w:r w:rsidRPr="005C6E86">
        <w:rPr>
          <w:sz w:val="24"/>
          <w:szCs w:val="24"/>
          <w:lang w:eastAsia="en-GB"/>
        </w:rPr>
        <w:t xml:space="preserve">, der selvom det administreres </w:t>
      </w:r>
      <w:proofErr w:type="spellStart"/>
      <w:r w:rsidRPr="005C6E86">
        <w:rPr>
          <w:sz w:val="24"/>
          <w:szCs w:val="24"/>
          <w:lang w:eastAsia="en-GB"/>
        </w:rPr>
        <w:t>topikalt</w:t>
      </w:r>
      <w:proofErr w:type="spellEnd"/>
      <w:r w:rsidRPr="005C6E86">
        <w:rPr>
          <w:sz w:val="24"/>
          <w:szCs w:val="24"/>
          <w:lang w:eastAsia="en-GB"/>
        </w:rPr>
        <w:t xml:space="preserve">, absorberes systemisk. De samme typer bivirkninger, der kan skyldes orale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 xml:space="preserve"> (dvs. syrebaseforstyrrelser), kan opstå efter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administration (se pkt. 4.5).</w:t>
      </w:r>
    </w:p>
    <w:p w14:paraId="0811C0F1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C239034" w14:textId="184D77C4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bør anvendes med forsigtighed til patienter med risiko for nedsat nyrefunktion, da der er risiko for metabolisk </w:t>
      </w:r>
      <w:proofErr w:type="spellStart"/>
      <w:r w:rsidR="00253DF3" w:rsidRPr="005C6E86">
        <w:rPr>
          <w:sz w:val="24"/>
          <w:szCs w:val="24"/>
          <w:lang w:eastAsia="en-GB"/>
        </w:rPr>
        <w:t>acidose</w:t>
      </w:r>
      <w:proofErr w:type="spellEnd"/>
      <w:r w:rsidR="00253DF3" w:rsidRPr="005C6E86">
        <w:rPr>
          <w:sz w:val="24"/>
          <w:szCs w:val="24"/>
          <w:lang w:eastAsia="en-GB"/>
        </w:rPr>
        <w:t xml:space="preserve">. </w:t>
      </w: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er kontraindiceret hos patienter med svær nyreinsufficiens (se pkt. 4.3).</w:t>
      </w:r>
    </w:p>
    <w:p w14:paraId="6B5FECA3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5A060992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Nedsat leverfunktion</w:t>
      </w:r>
    </w:p>
    <w:p w14:paraId="7C340517" w14:textId="13601826" w:rsidR="00253DF3" w:rsidRPr="005C6E86" w:rsidRDefault="00A6314A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</w:t>
      </w:r>
      <w:r w:rsidR="00253DF3" w:rsidRPr="005C6E86">
        <w:rPr>
          <w:sz w:val="24"/>
          <w:szCs w:val="24"/>
          <w:lang w:eastAsia="en-GB"/>
        </w:rPr>
        <w:t>rinzolamid</w:t>
      </w:r>
      <w:proofErr w:type="spellEnd"/>
      <w:r w:rsidR="00253DF3" w:rsidRPr="005C6E86">
        <w:rPr>
          <w:sz w:val="24"/>
          <w:szCs w:val="24"/>
          <w:lang w:eastAsia="en-GB"/>
        </w:rPr>
        <w:t>/</w:t>
      </w:r>
      <w:proofErr w:type="spellStart"/>
      <w:r w:rsidR="00253DF3" w:rsidRPr="005C6E86">
        <w:rPr>
          <w:sz w:val="24"/>
          <w:szCs w:val="24"/>
          <w:lang w:eastAsia="en-GB"/>
        </w:rPr>
        <w:t>brimonidin</w:t>
      </w:r>
      <w:proofErr w:type="spellEnd"/>
      <w:r w:rsidR="00253DF3" w:rsidRPr="005C6E86">
        <w:rPr>
          <w:sz w:val="24"/>
          <w:szCs w:val="24"/>
          <w:lang w:eastAsia="en-GB"/>
        </w:rPr>
        <w:t xml:space="preserve"> øjendråber er ikke undersøgt hos patienter med nedsat leverfunktion, hvorfor der skal</w:t>
      </w:r>
      <w:r w:rsidR="00D6034C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udvises forsigtighed ved behandling af disse patienter (se pkt. 4.2).</w:t>
      </w:r>
    </w:p>
    <w:p w14:paraId="72B4504B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A7940B7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Mental årvågenhed</w:t>
      </w:r>
    </w:p>
    <w:p w14:paraId="6A4DD19F" w14:textId="4AF62DC6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Hos ældre patienter kan orale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 xml:space="preserve"> forringe evnen til at udføre opgaver, der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kræver mental årvågenhed og/eller fysisk koordination.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absorberes systemisk, og dette kan derfor forekomme ved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administration (se pkt. 4.7).</w:t>
      </w:r>
    </w:p>
    <w:p w14:paraId="466FBE44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7E31A0F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Pædiatrisk population</w:t>
      </w:r>
    </w:p>
    <w:p w14:paraId="6E6B85BE" w14:textId="688B1DF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r w:rsidR="00A6314A">
        <w:rPr>
          <w:sz w:val="24"/>
          <w:szCs w:val="24"/>
          <w:lang w:eastAsia="en-GB"/>
        </w:rPr>
        <w:t>s</w:t>
      </w:r>
      <w:proofErr w:type="spellEnd"/>
      <w:r w:rsidRPr="005C6E86">
        <w:rPr>
          <w:sz w:val="24"/>
          <w:szCs w:val="24"/>
          <w:lang w:eastAsia="en-GB"/>
        </w:rPr>
        <w:t xml:space="preserve"> sikkerhed og virkning hos børn og unge i alderen 2 til 17 år er ikke klarlagt.</w:t>
      </w:r>
    </w:p>
    <w:p w14:paraId="5507950A" w14:textId="770AFB2A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Symptomer på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-overdosis (herunder bevidstløshed, hypotension, </w:t>
      </w:r>
      <w:proofErr w:type="spellStart"/>
      <w:r w:rsidRPr="005C6E86">
        <w:rPr>
          <w:sz w:val="24"/>
          <w:szCs w:val="24"/>
          <w:lang w:eastAsia="en-GB"/>
        </w:rPr>
        <w:t>hypotoni</w:t>
      </w:r>
      <w:proofErr w:type="spellEnd"/>
      <w:r w:rsidRPr="005C6E86">
        <w:rPr>
          <w:sz w:val="24"/>
          <w:szCs w:val="24"/>
          <w:lang w:eastAsia="en-GB"/>
        </w:rPr>
        <w:t>, bradykardi,</w:t>
      </w:r>
      <w:r w:rsidR="00D6034C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hypotermi</w:t>
      </w:r>
      <w:proofErr w:type="spellEnd"/>
      <w:r w:rsidRPr="005C6E86">
        <w:rPr>
          <w:sz w:val="24"/>
          <w:szCs w:val="24"/>
          <w:lang w:eastAsia="en-GB"/>
        </w:rPr>
        <w:t xml:space="preserve">, cyanose og apnø) er rapporteret hos nyfødte og spædbørn, der har fået </w:t>
      </w:r>
      <w:proofErr w:type="spellStart"/>
      <w:r w:rsidRPr="005C6E86">
        <w:rPr>
          <w:sz w:val="24"/>
          <w:szCs w:val="24"/>
          <w:lang w:eastAsia="en-GB"/>
        </w:rPr>
        <w:t>brimonidinøjendråber</w:t>
      </w:r>
      <w:proofErr w:type="spellEnd"/>
      <w:r w:rsidRPr="005C6E86">
        <w:rPr>
          <w:sz w:val="24"/>
          <w:szCs w:val="24"/>
          <w:lang w:eastAsia="en-GB"/>
        </w:rPr>
        <w:t>,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som en del af en medicinsk behandling for medfødt </w:t>
      </w:r>
      <w:proofErr w:type="spellStart"/>
      <w:r w:rsidRPr="005C6E86">
        <w:rPr>
          <w:sz w:val="24"/>
          <w:szCs w:val="24"/>
          <w:lang w:eastAsia="en-GB"/>
        </w:rPr>
        <w:t>glaukom</w:t>
      </w:r>
      <w:proofErr w:type="spellEnd"/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er derfor kontraindiceret hos børn under 2 år (se pkt. 4.3).</w:t>
      </w:r>
    </w:p>
    <w:p w14:paraId="737F0AD2" w14:textId="52844B96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Behandling af børn fra 2 år og opefter (især børn i alderen 2-7 år og/eller med en kropsvægt på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&lt;20 kg) anbefales ikke, idet der er risiko for bivirkninger, der påvirker centralnervesystemet (se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pkt. 4.9).</w:t>
      </w:r>
    </w:p>
    <w:p w14:paraId="6BCF1492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2550FAB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Hjælpestoffer</w:t>
      </w:r>
    </w:p>
    <w:p w14:paraId="1446B285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773B4FEA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5C6E86">
        <w:rPr>
          <w:sz w:val="24"/>
          <w:szCs w:val="24"/>
          <w:u w:val="single"/>
          <w:lang w:eastAsia="en-GB"/>
        </w:rPr>
        <w:t>Benzalkoniumchlorid</w:t>
      </w:r>
      <w:proofErr w:type="spellEnd"/>
    </w:p>
    <w:p w14:paraId="3975AC4F" w14:textId="5B2455A6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indeholder </w:t>
      </w:r>
      <w:proofErr w:type="spellStart"/>
      <w:r w:rsidR="00253DF3" w:rsidRPr="005C6E86">
        <w:rPr>
          <w:sz w:val="24"/>
          <w:szCs w:val="24"/>
          <w:lang w:eastAsia="en-GB"/>
        </w:rPr>
        <w:t>benzalkoniumchlorid</w:t>
      </w:r>
      <w:proofErr w:type="spellEnd"/>
      <w:r w:rsidR="00253DF3" w:rsidRPr="005C6E86">
        <w:rPr>
          <w:sz w:val="24"/>
          <w:szCs w:val="24"/>
          <w:lang w:eastAsia="en-GB"/>
        </w:rPr>
        <w:t xml:space="preserve">, der kan medføre øjenirritation og misfarvning af bløde kontaktlinser. Kontakt med bløde kontaktlinser skal undgås. Patienter skal instrueres i at fjerne kontaktlinser, før applikation af </w:t>
      </w: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og vente i mindst 15 minutter, før linserne sættes i igen.</w:t>
      </w:r>
    </w:p>
    <w:p w14:paraId="7260268B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350977F" w14:textId="42DEA9C5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  <w:lang w:eastAsia="en-GB"/>
        </w:rPr>
        <w:t xml:space="preserve">Det er rapporteret, at </w:t>
      </w:r>
      <w:proofErr w:type="spellStart"/>
      <w:r w:rsidRPr="005C6E86">
        <w:rPr>
          <w:sz w:val="24"/>
          <w:szCs w:val="24"/>
          <w:lang w:eastAsia="en-GB"/>
        </w:rPr>
        <w:t>benzalkoniumchlorid</w:t>
      </w:r>
      <w:proofErr w:type="spellEnd"/>
      <w:r w:rsidR="00754921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kan medføre øjenirritation og give symptomer på tørre øjne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og det kan påvirke tårefilmen og hornhindens overflade. Det skal anvendes med forsigtighed hos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patienter med tørre øjne og hos patienter, hvor hornhinden kan være beskadiget. Patienter bør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monitoreres i tilfælde af </w:t>
      </w:r>
      <w:r w:rsidR="00D6034C" w:rsidRPr="005C6E86">
        <w:rPr>
          <w:sz w:val="24"/>
          <w:szCs w:val="24"/>
          <w:lang w:eastAsia="en-GB"/>
        </w:rPr>
        <w:t>langvarig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anvendelse.</w:t>
      </w:r>
    </w:p>
    <w:p w14:paraId="3175049B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3E74BD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4.5</w:t>
      </w:r>
      <w:r w:rsidRPr="005C6E86">
        <w:rPr>
          <w:b/>
          <w:sz w:val="24"/>
          <w:szCs w:val="24"/>
        </w:rPr>
        <w:tab/>
        <w:t>Interaktion med andre lægemidler og andre former for interaktion</w:t>
      </w:r>
    </w:p>
    <w:p w14:paraId="45C96E12" w14:textId="2863A370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Der er ikke udført interaktionsstudier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>.</w:t>
      </w:r>
    </w:p>
    <w:p w14:paraId="5B908EBD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7FE40F4" w14:textId="3AD9A05E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kontraindiceret hos patienter, der behandles med </w:t>
      </w:r>
      <w:proofErr w:type="spellStart"/>
      <w:r w:rsidRPr="005C6E86">
        <w:rPr>
          <w:sz w:val="24"/>
          <w:szCs w:val="24"/>
          <w:lang w:eastAsia="en-GB"/>
        </w:rPr>
        <w:t>monoaminoxidasehæmmere</w:t>
      </w:r>
      <w:proofErr w:type="spellEnd"/>
      <w:r w:rsidRPr="005C6E86">
        <w:rPr>
          <w:sz w:val="24"/>
          <w:szCs w:val="24"/>
          <w:lang w:eastAsia="en-GB"/>
        </w:rPr>
        <w:t xml:space="preserve"> og hos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patienter på </w:t>
      </w:r>
      <w:proofErr w:type="spellStart"/>
      <w:r w:rsidRPr="005C6E86">
        <w:rPr>
          <w:sz w:val="24"/>
          <w:szCs w:val="24"/>
          <w:lang w:eastAsia="en-GB"/>
        </w:rPr>
        <w:t>antidepressiva</w:t>
      </w:r>
      <w:proofErr w:type="spellEnd"/>
      <w:r w:rsidRPr="005C6E86">
        <w:rPr>
          <w:sz w:val="24"/>
          <w:szCs w:val="24"/>
          <w:lang w:eastAsia="en-GB"/>
        </w:rPr>
        <w:t xml:space="preserve">, som påvirker den </w:t>
      </w:r>
      <w:proofErr w:type="spellStart"/>
      <w:r w:rsidRPr="005C6E86">
        <w:rPr>
          <w:sz w:val="24"/>
          <w:szCs w:val="24"/>
          <w:lang w:eastAsia="en-GB"/>
        </w:rPr>
        <w:t>noradrenerge</w:t>
      </w:r>
      <w:proofErr w:type="spellEnd"/>
      <w:r w:rsidRPr="005C6E86">
        <w:rPr>
          <w:sz w:val="24"/>
          <w:szCs w:val="24"/>
          <w:lang w:eastAsia="en-GB"/>
        </w:rPr>
        <w:t xml:space="preserve"> transmission (f.eks. tricykliske</w:t>
      </w:r>
      <w:r w:rsidR="00D6034C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antidepressiva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mianserin</w:t>
      </w:r>
      <w:proofErr w:type="spellEnd"/>
      <w:r w:rsidRPr="005C6E86">
        <w:rPr>
          <w:sz w:val="24"/>
          <w:szCs w:val="24"/>
          <w:lang w:eastAsia="en-GB"/>
        </w:rPr>
        <w:t xml:space="preserve">) (se pkt. 4.3). Tricykliske </w:t>
      </w:r>
      <w:proofErr w:type="spellStart"/>
      <w:r w:rsidRPr="005C6E86">
        <w:rPr>
          <w:sz w:val="24"/>
          <w:szCs w:val="24"/>
          <w:lang w:eastAsia="en-GB"/>
        </w:rPr>
        <w:t>antidepressiva</w:t>
      </w:r>
      <w:proofErr w:type="spellEnd"/>
      <w:r w:rsidRPr="005C6E86">
        <w:rPr>
          <w:sz w:val="24"/>
          <w:szCs w:val="24"/>
          <w:lang w:eastAsia="en-GB"/>
        </w:rPr>
        <w:t xml:space="preserve"> kan sløre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Stada"</w:t>
      </w:r>
      <w:r w:rsidRPr="005C6E86">
        <w:rPr>
          <w:sz w:val="24"/>
          <w:szCs w:val="24"/>
          <w:lang w:eastAsia="en-GB"/>
        </w:rPr>
        <w:t>s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hypotensive</w:t>
      </w:r>
      <w:proofErr w:type="spellEnd"/>
      <w:r w:rsidRPr="005C6E86">
        <w:rPr>
          <w:sz w:val="24"/>
          <w:szCs w:val="24"/>
          <w:lang w:eastAsia="en-GB"/>
        </w:rPr>
        <w:t xml:space="preserve"> respons.</w:t>
      </w:r>
    </w:p>
    <w:p w14:paraId="600E96C6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63A36D34" w14:textId="7BB254B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Forsigtighed tilrådes pga. muligheden for </w:t>
      </w:r>
      <w:proofErr w:type="gramStart"/>
      <w:r w:rsidRPr="005C6E86">
        <w:rPr>
          <w:sz w:val="24"/>
          <w:szCs w:val="24"/>
          <w:lang w:eastAsia="en-GB"/>
        </w:rPr>
        <w:t>en additiv</w:t>
      </w:r>
      <w:proofErr w:type="gramEnd"/>
      <w:r w:rsidRPr="005C6E86">
        <w:rPr>
          <w:sz w:val="24"/>
          <w:szCs w:val="24"/>
          <w:lang w:eastAsia="en-GB"/>
        </w:rPr>
        <w:t xml:space="preserve"> eller forstærkende effekt ved brug af </w:t>
      </w:r>
      <w:proofErr w:type="spellStart"/>
      <w:r w:rsidRPr="005C6E86">
        <w:rPr>
          <w:sz w:val="24"/>
          <w:szCs w:val="24"/>
          <w:lang w:eastAsia="en-GB"/>
        </w:rPr>
        <w:t>CNSdepressiva</w:t>
      </w:r>
      <w:proofErr w:type="spellEnd"/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(f.eks. alkohol, barbiturater, opiater, sedativer eller </w:t>
      </w:r>
      <w:proofErr w:type="spellStart"/>
      <w:r w:rsidRPr="005C6E86">
        <w:rPr>
          <w:sz w:val="24"/>
          <w:szCs w:val="24"/>
          <w:lang w:eastAsia="en-GB"/>
        </w:rPr>
        <w:t>anæstetika</w:t>
      </w:r>
      <w:proofErr w:type="spellEnd"/>
      <w:r w:rsidRPr="005C6E86">
        <w:rPr>
          <w:sz w:val="24"/>
          <w:szCs w:val="24"/>
          <w:lang w:eastAsia="en-GB"/>
        </w:rPr>
        <w:t>).</w:t>
      </w:r>
    </w:p>
    <w:p w14:paraId="0FA142AE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9AD607B" w14:textId="3046B32F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Der findes ingen data om koncentrationen af cirkulerende </w:t>
      </w:r>
      <w:proofErr w:type="spellStart"/>
      <w:r w:rsidRPr="005C6E86">
        <w:rPr>
          <w:sz w:val="24"/>
          <w:szCs w:val="24"/>
          <w:lang w:eastAsia="en-GB"/>
        </w:rPr>
        <w:t>catecholaminer</w:t>
      </w:r>
      <w:proofErr w:type="spellEnd"/>
      <w:r w:rsidRPr="005C6E86">
        <w:rPr>
          <w:sz w:val="24"/>
          <w:szCs w:val="24"/>
          <w:lang w:eastAsia="en-GB"/>
        </w:rPr>
        <w:t xml:space="preserve"> efter administration af</w:t>
      </w:r>
      <w:r w:rsidR="00D6034C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. Det anbefales imidlertid at udvise forsigtighed hos patienter, der tager lægemidler, som kan påvirke metabolismen og optagelsen af cirkulerende </w:t>
      </w:r>
      <w:proofErr w:type="spellStart"/>
      <w:r w:rsidRPr="005C6E86">
        <w:rPr>
          <w:sz w:val="24"/>
          <w:szCs w:val="24"/>
          <w:lang w:eastAsia="en-GB"/>
        </w:rPr>
        <w:t>aminer</w:t>
      </w:r>
      <w:proofErr w:type="spellEnd"/>
      <w:r w:rsidRPr="005C6E86">
        <w:rPr>
          <w:sz w:val="24"/>
          <w:szCs w:val="24"/>
          <w:lang w:eastAsia="en-GB"/>
        </w:rPr>
        <w:t xml:space="preserve"> (f.eks. </w:t>
      </w:r>
      <w:proofErr w:type="spellStart"/>
      <w:r w:rsidRPr="005C6E86">
        <w:rPr>
          <w:sz w:val="24"/>
          <w:szCs w:val="24"/>
          <w:lang w:eastAsia="en-GB"/>
        </w:rPr>
        <w:t>klorpromazin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methylphenidat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reserpin</w:t>
      </w:r>
      <w:proofErr w:type="spellEnd"/>
      <w:r w:rsidRPr="005C6E86">
        <w:rPr>
          <w:sz w:val="24"/>
          <w:szCs w:val="24"/>
          <w:lang w:eastAsia="en-GB"/>
        </w:rPr>
        <w:t>, serotonin-noradrenalin-</w:t>
      </w:r>
      <w:proofErr w:type="spellStart"/>
      <w:r w:rsidRPr="005C6E86">
        <w:rPr>
          <w:sz w:val="24"/>
          <w:szCs w:val="24"/>
          <w:lang w:eastAsia="en-GB"/>
        </w:rPr>
        <w:t>genoptagelseshæmmere</w:t>
      </w:r>
      <w:proofErr w:type="spellEnd"/>
      <w:r w:rsidRPr="005C6E86">
        <w:rPr>
          <w:sz w:val="24"/>
          <w:szCs w:val="24"/>
          <w:lang w:eastAsia="en-GB"/>
        </w:rPr>
        <w:t>).</w:t>
      </w:r>
    </w:p>
    <w:p w14:paraId="1B5B35A3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596EAEF3" w14:textId="08678A2A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Alfa-</w:t>
      </w:r>
      <w:proofErr w:type="spellStart"/>
      <w:r w:rsidRPr="005C6E86">
        <w:rPr>
          <w:sz w:val="24"/>
          <w:szCs w:val="24"/>
          <w:lang w:eastAsia="en-GB"/>
        </w:rPr>
        <w:t>adrenerge</w:t>
      </w:r>
      <w:proofErr w:type="spellEnd"/>
      <w:r w:rsidRPr="005C6E86">
        <w:rPr>
          <w:sz w:val="24"/>
          <w:szCs w:val="24"/>
          <w:lang w:eastAsia="en-GB"/>
        </w:rPr>
        <w:t xml:space="preserve"> agonister (f.eks. </w:t>
      </w:r>
      <w:proofErr w:type="spellStart"/>
      <w:r w:rsidRPr="005C6E86">
        <w:rPr>
          <w:sz w:val="24"/>
          <w:szCs w:val="24"/>
          <w:lang w:eastAsia="en-GB"/>
        </w:rPr>
        <w:t>brimonidintartrat</w:t>
      </w:r>
      <w:proofErr w:type="spellEnd"/>
      <w:r w:rsidRPr="005C6E86">
        <w:rPr>
          <w:sz w:val="24"/>
          <w:szCs w:val="24"/>
          <w:lang w:eastAsia="en-GB"/>
        </w:rPr>
        <w:t>) som klasse kan nedsætte puls og blodtryk. Efter</w:t>
      </w:r>
      <w:r w:rsidR="00D6034C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administration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blev der observeret et mindre fald i blodtrykket hos nogle patienter.</w:t>
      </w:r>
    </w:p>
    <w:p w14:paraId="0EC187AC" w14:textId="40B497B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Forsigtighed tilrådes, når der anvendes lægemidler som </w:t>
      </w:r>
      <w:proofErr w:type="spellStart"/>
      <w:r w:rsidRPr="005C6E86">
        <w:rPr>
          <w:sz w:val="24"/>
          <w:szCs w:val="24"/>
          <w:lang w:eastAsia="en-GB"/>
        </w:rPr>
        <w:t>antihypertensiva</w:t>
      </w:r>
      <w:proofErr w:type="spellEnd"/>
      <w:r w:rsidRPr="005C6E86">
        <w:rPr>
          <w:sz w:val="24"/>
          <w:szCs w:val="24"/>
          <w:lang w:eastAsia="en-GB"/>
        </w:rPr>
        <w:t xml:space="preserve"> og/eller hjerteglykosider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samtidig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>.</w:t>
      </w:r>
    </w:p>
    <w:p w14:paraId="317E9DB0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533754E" w14:textId="3E823A51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Forsigtighed tilrådes ved indledende behandling (eller ændring af dosis) samtidigt med et systemisk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lægemiddel (uanset dets farmaceutiske form), som kan interagere med α-</w:t>
      </w:r>
      <w:proofErr w:type="spellStart"/>
      <w:r w:rsidRPr="005C6E86">
        <w:rPr>
          <w:sz w:val="24"/>
          <w:szCs w:val="24"/>
          <w:lang w:eastAsia="en-GB"/>
        </w:rPr>
        <w:t>adrenerge</w:t>
      </w:r>
      <w:proofErr w:type="spellEnd"/>
      <w:r w:rsidRPr="005C6E86">
        <w:rPr>
          <w:sz w:val="24"/>
          <w:szCs w:val="24"/>
          <w:lang w:eastAsia="en-GB"/>
        </w:rPr>
        <w:t xml:space="preserve"> agonister eller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interferere med deres aktivitet, dvs. agonister eller antagonister fra den </w:t>
      </w:r>
      <w:proofErr w:type="spellStart"/>
      <w:r w:rsidRPr="005C6E86">
        <w:rPr>
          <w:sz w:val="24"/>
          <w:szCs w:val="24"/>
          <w:lang w:eastAsia="en-GB"/>
        </w:rPr>
        <w:t>adrenerge</w:t>
      </w:r>
      <w:proofErr w:type="spellEnd"/>
      <w:r w:rsidRPr="005C6E86">
        <w:rPr>
          <w:sz w:val="24"/>
          <w:szCs w:val="24"/>
          <w:lang w:eastAsia="en-GB"/>
        </w:rPr>
        <w:t xml:space="preserve"> receptor (f.eks.</w:t>
      </w:r>
      <w:r w:rsidR="0040231A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isoprenalin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prazosin</w:t>
      </w:r>
      <w:proofErr w:type="spellEnd"/>
      <w:r w:rsidRPr="005C6E86">
        <w:rPr>
          <w:sz w:val="24"/>
          <w:szCs w:val="24"/>
          <w:lang w:eastAsia="en-GB"/>
        </w:rPr>
        <w:t>).</w:t>
      </w:r>
    </w:p>
    <w:p w14:paraId="4227F3DF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3A122C6B" w14:textId="466CDD89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er en </w:t>
      </w:r>
      <w:proofErr w:type="spellStart"/>
      <w:r w:rsidRPr="005C6E86">
        <w:rPr>
          <w:sz w:val="24"/>
          <w:szCs w:val="24"/>
          <w:lang w:eastAsia="en-GB"/>
        </w:rPr>
        <w:t>karboanhydrasehæmmer</w:t>
      </w:r>
      <w:proofErr w:type="spellEnd"/>
      <w:r w:rsidRPr="005C6E86">
        <w:rPr>
          <w:sz w:val="24"/>
          <w:szCs w:val="24"/>
          <w:lang w:eastAsia="en-GB"/>
        </w:rPr>
        <w:t xml:space="preserve">, der selvom den administreres </w:t>
      </w:r>
      <w:proofErr w:type="spellStart"/>
      <w:r w:rsidRPr="005C6E86">
        <w:rPr>
          <w:sz w:val="24"/>
          <w:szCs w:val="24"/>
          <w:lang w:eastAsia="en-GB"/>
        </w:rPr>
        <w:t>topikalt</w:t>
      </w:r>
      <w:proofErr w:type="spellEnd"/>
      <w:r w:rsidRPr="005C6E86">
        <w:rPr>
          <w:sz w:val="24"/>
          <w:szCs w:val="24"/>
          <w:lang w:eastAsia="en-GB"/>
        </w:rPr>
        <w:t>, absorberes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systemisk. Der er rapporteret om syrebaseforstyrrelser ved brug af orale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>.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Risikoen for interaktioner skal overvejes hos patienter ved brug af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>.</w:t>
      </w:r>
    </w:p>
    <w:p w14:paraId="663EE5AD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F71989B" w14:textId="7794FC9E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Der er en mulig additiveffekt af den kendte systemiske effekt af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 xml:space="preserve"> hos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patienter, som både behandles med en oral </w:t>
      </w:r>
      <w:proofErr w:type="spellStart"/>
      <w:r w:rsidRPr="005C6E86">
        <w:rPr>
          <w:sz w:val="24"/>
          <w:szCs w:val="24"/>
          <w:lang w:eastAsia="en-GB"/>
        </w:rPr>
        <w:t>karboanhydrasehæmmer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administreret</w:t>
      </w:r>
      <w:r w:rsidR="0040231A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topikalt</w:t>
      </w:r>
      <w:proofErr w:type="spellEnd"/>
      <w:r w:rsidRPr="005C6E86">
        <w:rPr>
          <w:sz w:val="24"/>
          <w:szCs w:val="24"/>
          <w:lang w:eastAsia="en-GB"/>
        </w:rPr>
        <w:t xml:space="preserve">. Samtidig behandling med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øjendråber og orale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anbefales ikke.</w:t>
      </w:r>
    </w:p>
    <w:p w14:paraId="13F819CC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E36F02A" w14:textId="59B049E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 </w:t>
      </w:r>
      <w:proofErr w:type="spellStart"/>
      <w:r w:rsidRPr="005C6E86">
        <w:rPr>
          <w:sz w:val="24"/>
          <w:szCs w:val="24"/>
          <w:lang w:eastAsia="en-GB"/>
        </w:rPr>
        <w:t>cytokrom</w:t>
      </w:r>
      <w:proofErr w:type="spellEnd"/>
      <w:r w:rsidRPr="005C6E86">
        <w:rPr>
          <w:sz w:val="24"/>
          <w:szCs w:val="24"/>
          <w:lang w:eastAsia="en-GB"/>
        </w:rPr>
        <w:t xml:space="preserve"> P450-isozymer, der er ansvarlige for </w:t>
      </w:r>
      <w:proofErr w:type="spellStart"/>
      <w:r w:rsidRPr="005C6E86">
        <w:rPr>
          <w:sz w:val="24"/>
          <w:szCs w:val="24"/>
          <w:lang w:eastAsia="en-GB"/>
        </w:rPr>
        <w:t>metaboliseringen</w:t>
      </w:r>
      <w:proofErr w:type="spellEnd"/>
      <w:r w:rsidRPr="005C6E86">
        <w:rPr>
          <w:sz w:val="24"/>
          <w:szCs w:val="24"/>
          <w:lang w:eastAsia="en-GB"/>
        </w:rPr>
        <w:t xml:space="preserve">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, omfatter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CYP3A4 (hovedsagelig), CYP2A6, CYP2B6, CYP2C8 og CYP2C9. Man kan forvente, at CYP3A4-inhibitorer som </w:t>
      </w:r>
      <w:proofErr w:type="spellStart"/>
      <w:r w:rsidRPr="005C6E86">
        <w:rPr>
          <w:sz w:val="24"/>
          <w:szCs w:val="24"/>
          <w:lang w:eastAsia="en-GB"/>
        </w:rPr>
        <w:t>ketokonazol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itrakonazol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clotrimazol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ritonavir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troleandomycin</w:t>
      </w:r>
      <w:proofErr w:type="spellEnd"/>
      <w:r w:rsidRPr="005C6E86">
        <w:rPr>
          <w:sz w:val="24"/>
          <w:szCs w:val="24"/>
          <w:lang w:eastAsia="en-GB"/>
        </w:rPr>
        <w:t xml:space="preserve"> kan hæmme</w:t>
      </w:r>
      <w:r w:rsidR="0040231A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metaboliseringen</w:t>
      </w:r>
      <w:proofErr w:type="spellEnd"/>
      <w:r w:rsidRPr="005C6E86">
        <w:rPr>
          <w:sz w:val="24"/>
          <w:szCs w:val="24"/>
          <w:lang w:eastAsia="en-GB"/>
        </w:rPr>
        <w:t xml:space="preserve">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via CYP3A4. Hvis CYP3A4-inhibitorer gives samtidig med</w:t>
      </w:r>
      <w:r w:rsidR="0040231A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, bør man være forsigtig. Akkumulering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er usandsynlig, da dette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hovedsagelig udskilles </w:t>
      </w:r>
      <w:proofErr w:type="spellStart"/>
      <w:r w:rsidRPr="005C6E86">
        <w:rPr>
          <w:sz w:val="24"/>
          <w:szCs w:val="24"/>
          <w:lang w:eastAsia="en-GB"/>
        </w:rPr>
        <w:t>renalt</w:t>
      </w:r>
      <w:proofErr w:type="spellEnd"/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hæmmer ikke </w:t>
      </w:r>
      <w:proofErr w:type="spellStart"/>
      <w:r w:rsidRPr="005C6E86">
        <w:rPr>
          <w:sz w:val="24"/>
          <w:szCs w:val="24"/>
          <w:lang w:eastAsia="en-GB"/>
        </w:rPr>
        <w:t>cytokrom</w:t>
      </w:r>
      <w:proofErr w:type="spellEnd"/>
      <w:r w:rsidRPr="005C6E86">
        <w:rPr>
          <w:sz w:val="24"/>
          <w:szCs w:val="24"/>
          <w:lang w:eastAsia="en-GB"/>
        </w:rPr>
        <w:t xml:space="preserve"> P450-isozymer.</w:t>
      </w:r>
    </w:p>
    <w:p w14:paraId="2B8E5F1B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E34FB3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4.6</w:t>
      </w:r>
      <w:r w:rsidRPr="005C6E86">
        <w:rPr>
          <w:b/>
          <w:sz w:val="24"/>
          <w:szCs w:val="24"/>
        </w:rPr>
        <w:tab/>
      </w:r>
      <w:r w:rsidR="0071241E" w:rsidRPr="005C6E86">
        <w:rPr>
          <w:b/>
          <w:sz w:val="24"/>
          <w:szCs w:val="24"/>
        </w:rPr>
        <w:t>Fertilitet, g</w:t>
      </w:r>
      <w:r w:rsidRPr="005C6E86">
        <w:rPr>
          <w:b/>
          <w:sz w:val="24"/>
          <w:szCs w:val="24"/>
        </w:rPr>
        <w:t>raviditet og amning</w:t>
      </w:r>
    </w:p>
    <w:p w14:paraId="4023E514" w14:textId="77777777" w:rsidR="00754921" w:rsidRDefault="00754921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</w:p>
    <w:p w14:paraId="47BD971D" w14:textId="7323D15D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Graviditet</w:t>
      </w:r>
    </w:p>
    <w:p w14:paraId="739887FC" w14:textId="4E6163BF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Der er ingen eller begrænsede data fra anvendelse af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til gravide kvinder.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var ikke </w:t>
      </w:r>
      <w:proofErr w:type="spellStart"/>
      <w:r w:rsidRPr="005C6E86">
        <w:rPr>
          <w:sz w:val="24"/>
          <w:szCs w:val="24"/>
          <w:lang w:eastAsia="en-GB"/>
        </w:rPr>
        <w:t>teratogent</w:t>
      </w:r>
      <w:proofErr w:type="spellEnd"/>
      <w:r w:rsidRPr="005C6E86">
        <w:rPr>
          <w:sz w:val="24"/>
          <w:szCs w:val="24"/>
          <w:lang w:eastAsia="en-GB"/>
        </w:rPr>
        <w:t xml:space="preserve"> i rotter og kaniner, efter systemisk administration (oral dosering via sonde).</w:t>
      </w:r>
    </w:p>
    <w:p w14:paraId="3DA5B68C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Dyrestudier med oral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indikerer ikke direkte skadelige virkninger, hvad angår</w:t>
      </w:r>
    </w:p>
    <w:p w14:paraId="051006F2" w14:textId="10CCB04E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reproduktionstoksicitet. Resultater fra dyrestudier indikerer, at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passerer placenta og går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over i det </w:t>
      </w:r>
      <w:proofErr w:type="spellStart"/>
      <w:r w:rsidRPr="005C6E86">
        <w:rPr>
          <w:sz w:val="24"/>
          <w:szCs w:val="24"/>
          <w:lang w:eastAsia="en-GB"/>
        </w:rPr>
        <w:t>føtale</w:t>
      </w:r>
      <w:proofErr w:type="spellEnd"/>
      <w:r w:rsidRPr="005C6E86">
        <w:rPr>
          <w:sz w:val="24"/>
          <w:szCs w:val="24"/>
          <w:lang w:eastAsia="en-GB"/>
        </w:rPr>
        <w:t xml:space="preserve"> kredsløb i begrænset omfang (se </w:t>
      </w:r>
      <w:r w:rsidR="00754921">
        <w:rPr>
          <w:sz w:val="24"/>
          <w:szCs w:val="24"/>
          <w:lang w:eastAsia="en-GB"/>
        </w:rPr>
        <w:t>pkt.</w:t>
      </w:r>
      <w:r w:rsidRPr="005C6E86">
        <w:rPr>
          <w:sz w:val="24"/>
          <w:szCs w:val="24"/>
          <w:lang w:eastAsia="en-GB"/>
        </w:rPr>
        <w:t xml:space="preserve"> 5.3).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bør ikke anvendes under graviditeten eller til kvinder i den fertile alder, som ikke anvender sikker </w:t>
      </w:r>
      <w:proofErr w:type="spellStart"/>
      <w:r w:rsidRPr="005C6E86">
        <w:rPr>
          <w:sz w:val="24"/>
          <w:szCs w:val="24"/>
          <w:lang w:eastAsia="en-GB"/>
        </w:rPr>
        <w:t>kontraception</w:t>
      </w:r>
      <w:proofErr w:type="spellEnd"/>
      <w:r w:rsidRPr="005C6E86">
        <w:rPr>
          <w:sz w:val="24"/>
          <w:szCs w:val="24"/>
          <w:lang w:eastAsia="en-GB"/>
        </w:rPr>
        <w:t>.</w:t>
      </w:r>
    </w:p>
    <w:p w14:paraId="52E713D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05F19D44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Amning</w:t>
      </w:r>
    </w:p>
    <w:p w14:paraId="212AF1FA" w14:textId="332FB85C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Det er ukendt, om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udskilles i human mælk efter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administration. Tilgængelige </w:t>
      </w:r>
      <w:proofErr w:type="spellStart"/>
      <w:r w:rsidRPr="005C6E86">
        <w:rPr>
          <w:sz w:val="24"/>
          <w:szCs w:val="24"/>
          <w:lang w:eastAsia="en-GB"/>
        </w:rPr>
        <w:t>farmakodynamiske</w:t>
      </w:r>
      <w:proofErr w:type="spellEnd"/>
      <w:r w:rsidRPr="005C6E86">
        <w:rPr>
          <w:sz w:val="24"/>
          <w:szCs w:val="24"/>
          <w:lang w:eastAsia="en-GB"/>
        </w:rPr>
        <w:t xml:space="preserve">/toksikologiske data fra studier i dyr viser, at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udskilles i mælk i minimale mængder efter oral administration. Oralt administreret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udskilles i human mælk.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bør ikke anvendes af ammende kvinder.</w:t>
      </w:r>
    </w:p>
    <w:p w14:paraId="0791C71C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7E9034FD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Fertilitet</w:t>
      </w:r>
    </w:p>
    <w:p w14:paraId="2EC34ADF" w14:textId="2E3E66EC" w:rsidR="00253DF3" w:rsidRPr="005C6E86" w:rsidRDefault="00253DF3" w:rsidP="00E02AC4">
      <w:pPr>
        <w:autoSpaceDE w:val="0"/>
        <w:autoSpaceDN w:val="0"/>
        <w:adjustRightInd w:val="0"/>
        <w:ind w:left="851"/>
        <w:rPr>
          <w:i/>
          <w:sz w:val="24"/>
          <w:szCs w:val="24"/>
          <w:lang w:eastAsia="fr-LU"/>
        </w:rPr>
      </w:pPr>
      <w:r w:rsidRPr="005C6E86">
        <w:rPr>
          <w:sz w:val="24"/>
          <w:szCs w:val="24"/>
          <w:lang w:eastAsia="en-GB"/>
        </w:rPr>
        <w:t xml:space="preserve">Prækliniske data viser ingen effekt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eller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på fertiliteten. Der findes ingen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tilgængelige data vedrørende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administration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og dets påvirkning af fertiliteten hos mennesker.</w:t>
      </w:r>
    </w:p>
    <w:p w14:paraId="13E6879F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EDA353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4.7</w:t>
      </w:r>
      <w:r w:rsidRPr="005C6E86">
        <w:rPr>
          <w:b/>
          <w:sz w:val="24"/>
          <w:szCs w:val="24"/>
        </w:rPr>
        <w:tab/>
        <w:t xml:space="preserve">Virkning på evnen til at føre motorkøretøj </w:t>
      </w:r>
      <w:r w:rsidR="0071241E" w:rsidRPr="005C6E86">
        <w:rPr>
          <w:b/>
          <w:sz w:val="24"/>
          <w:szCs w:val="24"/>
        </w:rPr>
        <w:t>og</w:t>
      </w:r>
      <w:r w:rsidRPr="005C6E86">
        <w:rPr>
          <w:b/>
          <w:sz w:val="24"/>
          <w:szCs w:val="24"/>
        </w:rPr>
        <w:t xml:space="preserve"> betjene maskiner</w:t>
      </w:r>
    </w:p>
    <w:p w14:paraId="30363D98" w14:textId="77777777" w:rsidR="00E01DE4" w:rsidRDefault="00E01DE4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Ikke mærkning.</w:t>
      </w:r>
    </w:p>
    <w:p w14:paraId="7E788DF6" w14:textId="180F7000" w:rsidR="00253DF3" w:rsidRPr="005C6E86" w:rsidRDefault="00A00569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påvirker i moderat grad evnen til at føre motorkøretøj og betjene maskiner.</w:t>
      </w:r>
    </w:p>
    <w:p w14:paraId="71EB0C87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14C821D" w14:textId="2F3361EB" w:rsidR="00253DF3" w:rsidRPr="005C6E86" w:rsidRDefault="00A00569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kan forårsage svimmelhed, træthed og/eller døsighed, hvilket kan påvirke evnen til at føre motorkøretøj og betjene maskiner.</w:t>
      </w:r>
    </w:p>
    <w:p w14:paraId="4F28821A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06353448" w14:textId="70A86F0E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Midlertidigt sløret syn eller andre synsforstyrrelser kan påvirke evnen til at føre motorkøretøj og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betjene maskiner. Hvis der opstår sløret syn i forbindelse med drypning, skal patienten vente med at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føre motorkøretøj og betjene maskiner, indtil synet er klart igen.</w:t>
      </w:r>
    </w:p>
    <w:p w14:paraId="4223623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6C21E32" w14:textId="48A7F0CE" w:rsidR="00253DF3" w:rsidRPr="005C6E86" w:rsidRDefault="00253DF3" w:rsidP="0040231A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Hos ældre patienter kan orale </w:t>
      </w:r>
      <w:proofErr w:type="spellStart"/>
      <w:r w:rsidRPr="005C6E86">
        <w:rPr>
          <w:sz w:val="24"/>
          <w:szCs w:val="24"/>
          <w:lang w:eastAsia="en-GB"/>
        </w:rPr>
        <w:t>karboanhydrasehæmmere</w:t>
      </w:r>
      <w:proofErr w:type="spellEnd"/>
      <w:r w:rsidRPr="005C6E86">
        <w:rPr>
          <w:sz w:val="24"/>
          <w:szCs w:val="24"/>
          <w:lang w:eastAsia="en-GB"/>
        </w:rPr>
        <w:t xml:space="preserve"> forringe evnen til at udføre opgaver, der</w:t>
      </w:r>
      <w:r w:rsidR="0040231A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kræver mental årvågenhed og/eller fysisk koordination (se pkt. 4.4).</w:t>
      </w:r>
    </w:p>
    <w:p w14:paraId="2D8CB6D7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4F2D1A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4.8</w:t>
      </w:r>
      <w:r w:rsidRPr="005C6E86">
        <w:rPr>
          <w:b/>
          <w:sz w:val="24"/>
          <w:szCs w:val="24"/>
        </w:rPr>
        <w:tab/>
        <w:t>Bivirkninger</w:t>
      </w:r>
    </w:p>
    <w:p w14:paraId="287CFF05" w14:textId="77777777" w:rsidR="00E01DE4" w:rsidRDefault="00E01DE4" w:rsidP="00E02AC4">
      <w:pPr>
        <w:ind w:left="851"/>
        <w:rPr>
          <w:sz w:val="24"/>
          <w:szCs w:val="24"/>
          <w:lang w:eastAsia="en-GB"/>
        </w:rPr>
      </w:pPr>
    </w:p>
    <w:p w14:paraId="618036CA" w14:textId="2BE5C32A" w:rsidR="00253DF3" w:rsidRPr="00E01DE4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E01DE4">
        <w:rPr>
          <w:sz w:val="24"/>
          <w:szCs w:val="24"/>
          <w:u w:val="single"/>
          <w:lang w:eastAsia="en-GB"/>
        </w:rPr>
        <w:t>Oversigt over sikkerhedsprofilen</w:t>
      </w:r>
    </w:p>
    <w:p w14:paraId="0EC2CAF0" w14:textId="7A5E86C9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I kliniske forsøg med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doseret to gange dagligt var de hyppigste bivirkninger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hyperæmi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overfølsomhedsreaktioner, som optrådte hos ca. 6-7 % af patienterne, og </w:t>
      </w:r>
      <w:proofErr w:type="spellStart"/>
      <w:r w:rsidRPr="005C6E86">
        <w:rPr>
          <w:sz w:val="24"/>
          <w:szCs w:val="24"/>
          <w:lang w:eastAsia="en-GB"/>
        </w:rPr>
        <w:t>dysgeusi</w:t>
      </w:r>
      <w:proofErr w:type="spellEnd"/>
      <w:r w:rsidRPr="005C6E86">
        <w:rPr>
          <w:sz w:val="24"/>
          <w:szCs w:val="24"/>
          <w:lang w:eastAsia="en-GB"/>
        </w:rPr>
        <w:t xml:space="preserve"> (en bitter eller usædvanlig smag i munden efter </w:t>
      </w:r>
      <w:proofErr w:type="spellStart"/>
      <w:r w:rsidRPr="005C6E86">
        <w:rPr>
          <w:sz w:val="24"/>
          <w:szCs w:val="24"/>
          <w:lang w:eastAsia="en-GB"/>
        </w:rPr>
        <w:t>inddrypning</w:t>
      </w:r>
      <w:proofErr w:type="spellEnd"/>
      <w:r w:rsidRPr="005C6E86">
        <w:rPr>
          <w:sz w:val="24"/>
          <w:szCs w:val="24"/>
          <w:lang w:eastAsia="en-GB"/>
        </w:rPr>
        <w:t>), som optrådte hos ca. 3 % af patienterne.</w:t>
      </w:r>
    </w:p>
    <w:p w14:paraId="61F00DB6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514AE59E" w14:textId="77777777" w:rsidR="00253DF3" w:rsidRPr="00E01DE4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E01DE4">
        <w:rPr>
          <w:sz w:val="24"/>
          <w:szCs w:val="24"/>
          <w:u w:val="single"/>
          <w:lang w:eastAsia="en-GB"/>
        </w:rPr>
        <w:t>Skematisk oversigt over bivirkninger</w:t>
      </w:r>
    </w:p>
    <w:p w14:paraId="52023CB6" w14:textId="38C0C6F8" w:rsidR="00E01DE4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Nedenstående bivirkninger blev rapporteret under kliniske studier med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doseret to gange</w:t>
      </w:r>
      <w:r w:rsidR="00E01DE4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dagligt, samt i kliniske studier med og ved overvågning efter markedsføring af de enkelte</w:t>
      </w:r>
      <w:r w:rsidR="00E01DE4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komponenter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. De er klassificeret i henhold til følgende konvention: </w:t>
      </w:r>
    </w:p>
    <w:p w14:paraId="62E0BC82" w14:textId="3CA909CC" w:rsidR="00253DF3" w:rsidRPr="005C6E86" w:rsidRDefault="00E01DE4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M</w:t>
      </w:r>
      <w:r w:rsidR="00253DF3" w:rsidRPr="005C6E86">
        <w:rPr>
          <w:sz w:val="24"/>
          <w:szCs w:val="24"/>
          <w:lang w:eastAsia="en-GB"/>
        </w:rPr>
        <w:t>eget</w:t>
      </w:r>
      <w:r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almindelig (≥1/10), almindelig (&gt;1/100 til &lt;1/10), ikke almindelig (&gt;1/1 000 til ≤1/100), sjælden</w:t>
      </w:r>
      <w:r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(&gt;1/10 000 til ≤1/1 000), meget sjælden (≤1/10 000), eller ikke kendt (kan ikke estimeres ud fra</w:t>
      </w:r>
      <w:r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forhåndenværende data). Inden for hver enkelt frekvensgruppe er bivirkningerne anført efter, hvor</w:t>
      </w:r>
      <w:r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alvorlige de er. De alvorligste er anført først.</w:t>
      </w:r>
    </w:p>
    <w:p w14:paraId="62ACA256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705"/>
        <w:gridCol w:w="6923"/>
      </w:tblGrid>
      <w:tr w:rsidR="00253DF3" w:rsidRPr="00754921" w14:paraId="6675FC61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B8A7" w14:textId="77777777" w:rsidR="00253DF3" w:rsidRPr="00754921" w:rsidRDefault="00253DF3" w:rsidP="00E02AC4">
            <w:pPr>
              <w:rPr>
                <w:b/>
                <w:sz w:val="24"/>
                <w:szCs w:val="24"/>
                <w:lang w:val="da-DK" w:eastAsia="en-GB"/>
              </w:rPr>
            </w:pPr>
            <w:r w:rsidRPr="00754921">
              <w:rPr>
                <w:b/>
                <w:sz w:val="24"/>
                <w:szCs w:val="24"/>
                <w:lang w:val="da-DK" w:eastAsia="en-GB"/>
              </w:rPr>
              <w:t xml:space="preserve">Systemorganklasse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985E" w14:textId="77777777" w:rsidR="00253DF3" w:rsidRPr="00754921" w:rsidRDefault="00253DF3" w:rsidP="00E02AC4">
            <w:pPr>
              <w:rPr>
                <w:b/>
                <w:sz w:val="24"/>
                <w:szCs w:val="24"/>
                <w:lang w:val="da-DK" w:eastAsia="en-GB"/>
              </w:rPr>
            </w:pPr>
            <w:r w:rsidRPr="00754921">
              <w:rPr>
                <w:b/>
                <w:sz w:val="24"/>
                <w:szCs w:val="24"/>
                <w:lang w:val="da-DK" w:eastAsia="en-GB"/>
              </w:rPr>
              <w:t>Bivirkninger</w:t>
            </w:r>
          </w:p>
        </w:tc>
      </w:tr>
      <w:tr w:rsidR="00253DF3" w:rsidRPr="005C6E86" w14:paraId="5096AAC1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F28" w14:textId="1B12D34D" w:rsidR="00253DF3" w:rsidRPr="005C6E86" w:rsidRDefault="00253DF3" w:rsidP="00E01DE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Infektioner og parasitære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sygdomme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5587" w14:textId="1D26E830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N</w:t>
            </w:r>
            <w:r w:rsidRPr="005C6E86">
              <w:rPr>
                <w:sz w:val="24"/>
                <w:szCs w:val="24"/>
                <w:lang w:val="da-DK" w:eastAsia="en-GB"/>
              </w:rPr>
              <w:t>asopharyngitis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faryngitis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sinusitis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  <w:p w14:paraId="246227EA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75581E7D" w14:textId="2B1A209E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Ikke kendt: rinitis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6C675E17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601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Blod og lymfesystem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AE4C" w14:textId="23A23DC2" w:rsidR="00253DF3" w:rsidRPr="005C6E86" w:rsidRDefault="00253DF3" w:rsidP="00E01DE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N</w:t>
            </w:r>
            <w:r w:rsidRPr="005C6E86">
              <w:rPr>
                <w:sz w:val="24"/>
                <w:szCs w:val="24"/>
                <w:lang w:val="da-DK" w:eastAsia="en-GB"/>
              </w:rPr>
              <w:t>edsat antal røde blodlegemer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øget koncentration af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chlorid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i blodet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263AEAEE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994E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Immunsystemet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666" w14:textId="72FB01CF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O</w:t>
            </w:r>
            <w:r w:rsidRPr="005C6E86">
              <w:rPr>
                <w:sz w:val="24"/>
                <w:szCs w:val="24"/>
                <w:lang w:val="da-DK" w:eastAsia="en-GB"/>
              </w:rPr>
              <w:t>verfølsomhed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</w:p>
        </w:tc>
      </w:tr>
      <w:tr w:rsidR="00253DF3" w:rsidRPr="005C6E86" w14:paraId="077FE2AA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7A50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Psykiske lidelser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A9D2" w14:textId="549E09B9" w:rsidR="00253DF3" w:rsidRPr="005C6E86" w:rsidRDefault="00253DF3" w:rsidP="00E01DE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A</w:t>
            </w:r>
            <w:r w:rsidRPr="005C6E86">
              <w:rPr>
                <w:sz w:val="24"/>
                <w:szCs w:val="24"/>
                <w:lang w:val="da-DK" w:eastAsia="en-GB"/>
              </w:rPr>
              <w:t>pati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depression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2,3</w:t>
            </w:r>
            <w:r w:rsidRPr="005C6E86">
              <w:rPr>
                <w:sz w:val="24"/>
                <w:szCs w:val="24"/>
                <w:lang w:val="da-DK" w:eastAsia="en-GB"/>
              </w:rPr>
              <w:t>, nedtrykthed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insomni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nedsat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libido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mareridt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nervøsitet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1500D670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5385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Nervesystemet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0543" w14:textId="516F4082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Almindelig: </w:t>
            </w:r>
            <w:r w:rsidR="00E01DE4">
              <w:rPr>
                <w:sz w:val="24"/>
                <w:szCs w:val="24"/>
                <w:lang w:val="da-DK" w:eastAsia="en-GB"/>
              </w:rPr>
              <w:t>S</w:t>
            </w:r>
            <w:r w:rsidRPr="005C6E86">
              <w:rPr>
                <w:sz w:val="24"/>
                <w:szCs w:val="24"/>
                <w:lang w:val="da-DK" w:eastAsia="en-GB"/>
              </w:rPr>
              <w:t>omnolens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svimmelhed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  <w:r w:rsidRPr="005C6E86">
              <w:rPr>
                <w:sz w:val="24"/>
                <w:szCs w:val="24"/>
                <w:lang w:val="da-DK" w:eastAsia="en-GB"/>
              </w:rPr>
              <w:t>, dysgeusi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</w:p>
          <w:p w14:paraId="35DA1DC9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39EFE107" w14:textId="64A1FFAB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H</w:t>
            </w:r>
            <w:r w:rsidRPr="005C6E86">
              <w:rPr>
                <w:sz w:val="24"/>
                <w:szCs w:val="24"/>
                <w:lang w:val="da-DK" w:eastAsia="en-GB"/>
              </w:rPr>
              <w:t>ovedpine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motorisk dysfunktion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hukommelsestab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nedsat hukommelse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paræstesi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  <w:p w14:paraId="4C0774D2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42989333" w14:textId="0BB5799F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Meget sjælden: </w:t>
            </w:r>
            <w:r w:rsidR="00E01DE4">
              <w:rPr>
                <w:sz w:val="24"/>
                <w:szCs w:val="24"/>
                <w:lang w:val="da-DK" w:eastAsia="en-GB"/>
              </w:rPr>
              <w:t>S</w:t>
            </w:r>
            <w:r w:rsidRPr="005C6E86">
              <w:rPr>
                <w:sz w:val="24"/>
                <w:szCs w:val="24"/>
                <w:lang w:val="da-DK" w:eastAsia="en-GB"/>
              </w:rPr>
              <w:t>ynkope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</w:p>
          <w:p w14:paraId="4BB62E98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7253D434" w14:textId="55196EA2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E01DE4">
              <w:rPr>
                <w:sz w:val="24"/>
                <w:szCs w:val="24"/>
                <w:lang w:val="da-DK" w:eastAsia="en-GB"/>
              </w:rPr>
              <w:t>T</w:t>
            </w:r>
            <w:r w:rsidRPr="005C6E86">
              <w:rPr>
                <w:sz w:val="24"/>
                <w:szCs w:val="24"/>
                <w:lang w:val="da-DK" w:eastAsia="en-GB"/>
              </w:rPr>
              <w:t>remor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hypæstesi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ageusi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43020D1E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50CA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Øjne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4D4" w14:textId="7037FF19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Almindelig: </w:t>
            </w:r>
            <w:r w:rsidR="00E01DE4">
              <w:rPr>
                <w:sz w:val="24"/>
                <w:szCs w:val="24"/>
                <w:lang w:val="da-DK" w:eastAsia="en-GB"/>
              </w:rPr>
              <w:t>Ø</w:t>
            </w:r>
            <w:r w:rsidRPr="005C6E86">
              <w:rPr>
                <w:sz w:val="24"/>
                <w:szCs w:val="24"/>
                <w:lang w:val="da-DK" w:eastAsia="en-GB"/>
              </w:rPr>
              <w:t>jenallergi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keratitis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øjensmerte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okulært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ubehag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sløret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syn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unormalt syn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okulær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hyperæmi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konjunktival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bleghed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</w:p>
          <w:p w14:paraId="0359FDF9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70992C84" w14:textId="27264CB8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H</w:t>
            </w:r>
            <w:r w:rsidRPr="005C6E86">
              <w:rPr>
                <w:sz w:val="24"/>
                <w:szCs w:val="24"/>
                <w:lang w:val="da-DK" w:eastAsia="en-GB"/>
              </w:rPr>
              <w:t>ornhindeerosion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ødem i hornhinden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blefaritis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aflejringer i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cornea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(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keratiske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udfældninger)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konjunktival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sygdom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(papiller)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fotofobi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fotopsi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hævelse af øjet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øjenlågsødem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konjunktivalt ødem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tørre øjne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sekret fra øjet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nedsat synsskarphed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øget tåreflåd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pterygium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øjenlågserytem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meibomianitis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diplopi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blænding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hypæstesi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i øjet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pigmentering af sclera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subkonjunktival</w:t>
            </w:r>
            <w:proofErr w:type="spellEnd"/>
            <w:r w:rsidR="00E01DE4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cyste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unormal fornemmelse i øjet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astenopi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</w:p>
          <w:p w14:paraId="3C2A6AE9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3F4DBE03" w14:textId="5CFFBB3F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Meget sjælden: </w:t>
            </w:r>
            <w:r w:rsidR="00E01DE4">
              <w:rPr>
                <w:sz w:val="24"/>
                <w:szCs w:val="24"/>
                <w:lang w:val="da-DK" w:eastAsia="en-GB"/>
              </w:rPr>
              <w:t>U</w:t>
            </w:r>
            <w:r w:rsidRPr="005C6E86">
              <w:rPr>
                <w:sz w:val="24"/>
                <w:szCs w:val="24"/>
                <w:lang w:val="da-DK" w:eastAsia="en-GB"/>
              </w:rPr>
              <w:t>veitis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  <w:r w:rsidRPr="005C6E86">
              <w:rPr>
                <w:sz w:val="24"/>
                <w:szCs w:val="24"/>
                <w:lang w:val="da-DK" w:eastAsia="en-GB"/>
              </w:rPr>
              <w:t>, miose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</w:p>
          <w:p w14:paraId="37DB80CE" w14:textId="77777777" w:rsidR="00E01DE4" w:rsidRDefault="00E01DE4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247F4EE2" w14:textId="1AF64523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E01DE4">
              <w:rPr>
                <w:sz w:val="24"/>
                <w:szCs w:val="24"/>
                <w:lang w:val="da-DK" w:eastAsia="en-GB"/>
              </w:rPr>
              <w:t>S</w:t>
            </w:r>
            <w:r w:rsidRPr="005C6E86">
              <w:rPr>
                <w:sz w:val="24"/>
                <w:szCs w:val="24"/>
                <w:lang w:val="da-DK" w:eastAsia="en-GB"/>
              </w:rPr>
              <w:t>ynsforstyrrelser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madarose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65775713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9A5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Øre og labyrint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F4C" w14:textId="14A0E025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E01DE4">
              <w:rPr>
                <w:sz w:val="24"/>
                <w:szCs w:val="24"/>
                <w:lang w:val="da-DK" w:eastAsia="en-GB"/>
              </w:rPr>
              <w:t>V</w:t>
            </w:r>
            <w:r w:rsidRPr="005C6E86">
              <w:rPr>
                <w:sz w:val="24"/>
                <w:szCs w:val="24"/>
                <w:lang w:val="da-DK" w:eastAsia="en-GB"/>
              </w:rPr>
              <w:t>ertigo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tinnitus</w:t>
            </w:r>
            <w:r w:rsidRPr="00E01DE4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533C432C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6665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Hjerte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F314" w14:textId="7A3D2664" w:rsidR="00253DF3" w:rsidRPr="005C6E86" w:rsidRDefault="00253DF3" w:rsidP="00641032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641032">
              <w:rPr>
                <w:sz w:val="24"/>
                <w:szCs w:val="24"/>
                <w:lang w:val="da-DK" w:eastAsia="en-GB"/>
              </w:rPr>
              <w:t>H</w:t>
            </w:r>
            <w:r w:rsidRPr="005C6E86">
              <w:rPr>
                <w:sz w:val="24"/>
                <w:szCs w:val="24"/>
                <w:lang w:val="da-DK" w:eastAsia="en-GB"/>
              </w:rPr>
              <w:t>jerte- og åndedrætsbesvær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angina pectoris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arytmi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palpitationer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2,3</w:t>
            </w:r>
            <w:r w:rsidRPr="005C6E86">
              <w:rPr>
                <w:sz w:val="24"/>
                <w:szCs w:val="24"/>
                <w:lang w:val="da-DK" w:eastAsia="en-GB"/>
              </w:rPr>
              <w:t>, uregelmæssig puls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bradykardi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2,3</w:t>
            </w:r>
            <w:r w:rsidRPr="005C6E86">
              <w:rPr>
                <w:sz w:val="24"/>
                <w:szCs w:val="24"/>
                <w:lang w:val="da-DK" w:eastAsia="en-GB"/>
              </w:rPr>
              <w:t>, takykardi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</w:p>
        </w:tc>
      </w:tr>
      <w:tr w:rsidR="00253DF3" w:rsidRPr="005C6E86" w14:paraId="7C3F1A6D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C0F5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Vaskulær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sygdomme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5E8" w14:textId="14E7139B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641032">
              <w:rPr>
                <w:sz w:val="24"/>
                <w:szCs w:val="24"/>
                <w:lang w:val="da-DK" w:eastAsia="en-GB"/>
              </w:rPr>
              <w:t>H</w:t>
            </w:r>
            <w:r w:rsidRPr="005C6E86">
              <w:rPr>
                <w:sz w:val="24"/>
                <w:szCs w:val="24"/>
                <w:lang w:val="da-DK" w:eastAsia="en-GB"/>
              </w:rPr>
              <w:t>ypotension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</w:p>
          <w:p w14:paraId="78702F1A" w14:textId="77777777" w:rsidR="00641032" w:rsidRDefault="00641032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31329306" w14:textId="5322C86F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Meget sjælden: </w:t>
            </w:r>
            <w:r w:rsidR="00641032">
              <w:rPr>
                <w:sz w:val="24"/>
                <w:szCs w:val="24"/>
                <w:lang w:val="da-DK" w:eastAsia="en-GB"/>
              </w:rPr>
              <w:t>H</w:t>
            </w:r>
            <w:r w:rsidRPr="005C6E86">
              <w:rPr>
                <w:sz w:val="24"/>
                <w:szCs w:val="24"/>
                <w:lang w:val="da-DK" w:eastAsia="en-GB"/>
              </w:rPr>
              <w:t>ypertension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3</w:t>
            </w:r>
          </w:p>
        </w:tc>
      </w:tr>
      <w:tr w:rsidR="00253DF3" w:rsidRPr="005C6E86" w14:paraId="7F9E38D7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6351" w14:textId="6D675A83" w:rsidR="00253DF3" w:rsidRPr="005C6E86" w:rsidRDefault="00253DF3" w:rsidP="00641032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Luftveje, thorax og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mediastinum</w:t>
            </w:r>
            <w:proofErr w:type="spellEnd"/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7C86" w14:textId="4B8C479A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641032">
              <w:rPr>
                <w:sz w:val="24"/>
                <w:szCs w:val="24"/>
                <w:lang w:val="da-DK" w:eastAsia="en-GB"/>
              </w:rPr>
              <w:t>D</w:t>
            </w:r>
            <w:r w:rsidRPr="005C6E86">
              <w:rPr>
                <w:sz w:val="24"/>
                <w:szCs w:val="24"/>
                <w:lang w:val="da-DK" w:eastAsia="en-GB"/>
              </w:rPr>
              <w:t>yspnø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bronkial hyperaktivitet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faryngeale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smerter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tørhed i halsen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hoste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epistaxis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kongestion af de øvre luftveje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tilstoppet næse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rhinorré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halsirritation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tørhed i næsen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postnasal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dryp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nysen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  <w:p w14:paraId="29113061" w14:textId="77777777" w:rsidR="00641032" w:rsidRDefault="00641032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262BF68D" w14:textId="4272C5A5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641032">
              <w:rPr>
                <w:sz w:val="24"/>
                <w:szCs w:val="24"/>
                <w:lang w:val="da-DK" w:eastAsia="en-GB"/>
              </w:rPr>
              <w:t>A</w:t>
            </w:r>
            <w:r w:rsidRPr="005C6E86">
              <w:rPr>
                <w:sz w:val="24"/>
                <w:szCs w:val="24"/>
                <w:lang w:val="da-DK" w:eastAsia="en-GB"/>
              </w:rPr>
              <w:t>stma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04AEB27D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8417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Mave-tarm-kanalen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D73" w14:textId="22DA7A1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Almindelig: </w:t>
            </w:r>
            <w:r w:rsidR="00641032">
              <w:rPr>
                <w:sz w:val="24"/>
                <w:szCs w:val="24"/>
                <w:lang w:val="da-DK" w:eastAsia="en-GB"/>
              </w:rPr>
              <w:t>M</w:t>
            </w:r>
            <w:r w:rsidRPr="005C6E86">
              <w:rPr>
                <w:sz w:val="24"/>
                <w:szCs w:val="24"/>
                <w:lang w:val="da-DK" w:eastAsia="en-GB"/>
              </w:rPr>
              <w:t>undtørhed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</w:p>
          <w:p w14:paraId="7058C57F" w14:textId="77777777" w:rsidR="00641032" w:rsidRDefault="00641032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37C110CF" w14:textId="2B915EF9" w:rsidR="00253DF3" w:rsidRPr="005C6E86" w:rsidRDefault="00253DF3" w:rsidP="00641032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641032">
              <w:rPr>
                <w:sz w:val="24"/>
                <w:szCs w:val="24"/>
                <w:lang w:val="da-DK" w:eastAsia="en-GB"/>
              </w:rPr>
              <w:t>D</w:t>
            </w:r>
            <w:r w:rsidRPr="005C6E86">
              <w:rPr>
                <w:sz w:val="24"/>
                <w:szCs w:val="24"/>
                <w:lang w:val="da-DK" w:eastAsia="en-GB"/>
              </w:rPr>
              <w:t>yspepsi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øsofagit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abdominalt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ubehag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diarré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opkastning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kvalme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hyppig afføring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flatulens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oral hypoæstesi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oral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paræstesi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</w:p>
        </w:tc>
      </w:tr>
      <w:tr w:rsidR="00253DF3" w:rsidRPr="005C6E86" w14:paraId="3B4AE020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1E5B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Lever og galdeveje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64B3" w14:textId="1655D975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641032">
              <w:rPr>
                <w:sz w:val="24"/>
                <w:szCs w:val="24"/>
                <w:lang w:val="da-DK" w:eastAsia="en-GB"/>
              </w:rPr>
              <w:t>U</w:t>
            </w:r>
            <w:r w:rsidRPr="005C6E86">
              <w:rPr>
                <w:sz w:val="24"/>
                <w:szCs w:val="24"/>
                <w:lang w:val="da-DK" w:eastAsia="en-GB"/>
              </w:rPr>
              <w:t>normale leverfunktionsprøver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297DB69D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EED6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Hud og subkutane væv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755" w14:textId="413A3244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641032">
              <w:rPr>
                <w:sz w:val="24"/>
                <w:szCs w:val="24"/>
                <w:lang w:val="da-DK" w:eastAsia="en-GB"/>
              </w:rPr>
              <w:t>K</w:t>
            </w:r>
            <w:r w:rsidRPr="005C6E86">
              <w:rPr>
                <w:sz w:val="24"/>
                <w:szCs w:val="24"/>
                <w:lang w:val="da-DK" w:eastAsia="en-GB"/>
              </w:rPr>
              <w:t>ontaktdermatit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  <w:r w:rsidRPr="005C6E86">
              <w:rPr>
                <w:sz w:val="24"/>
                <w:szCs w:val="24"/>
                <w:lang w:val="da-DK" w:eastAsia="en-GB"/>
              </w:rPr>
              <w:t>, urticaria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udslæt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,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makulo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>-papuløst</w:t>
            </w:r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udslæt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generaliseret kløe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alopeci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stramhed i huden2</w:t>
            </w:r>
          </w:p>
          <w:p w14:paraId="56786E1F" w14:textId="77777777" w:rsidR="00641032" w:rsidRDefault="00641032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34C29FEA" w14:textId="682FC1F2" w:rsidR="00253DF3" w:rsidRPr="005C6E86" w:rsidRDefault="00253DF3" w:rsidP="00641032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Stevens-Johnsons syndrom (SJS)/toksisk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epidermal</w:t>
            </w:r>
            <w:proofErr w:type="spellEnd"/>
            <w:r w:rsidR="00641032">
              <w:rPr>
                <w:sz w:val="24"/>
                <w:szCs w:val="24"/>
                <w:lang w:val="da-DK" w:eastAsia="en-GB"/>
              </w:rPr>
              <w:t xml:space="preserve">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nekrolyse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(TEN) (se pkt. 4.4), ødem i ansigtet3, dermatitis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2,3</w:t>
            </w:r>
            <w:r w:rsidRPr="005C6E86">
              <w:rPr>
                <w:sz w:val="24"/>
                <w:szCs w:val="24"/>
                <w:lang w:val="da-DK" w:eastAsia="en-GB"/>
              </w:rPr>
              <w:t>, erytem</w:t>
            </w:r>
            <w:r w:rsidRPr="00641032">
              <w:rPr>
                <w:sz w:val="24"/>
                <w:szCs w:val="24"/>
                <w:vertAlign w:val="superscript"/>
                <w:lang w:val="da-DK" w:eastAsia="en-GB"/>
              </w:rPr>
              <w:t>2,3</w:t>
            </w:r>
          </w:p>
        </w:tc>
      </w:tr>
      <w:tr w:rsidR="00253DF3" w:rsidRPr="005C6E86" w14:paraId="6B9BD6F3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A677" w14:textId="23843820" w:rsidR="00253DF3" w:rsidRPr="005C6E86" w:rsidRDefault="00253DF3" w:rsidP="00853658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Knogler, led, muskler og</w:t>
            </w:r>
            <w:r w:rsidR="00853658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bindevæv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D090" w14:textId="55EB9E63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853658">
              <w:rPr>
                <w:sz w:val="24"/>
                <w:szCs w:val="24"/>
                <w:lang w:val="da-DK" w:eastAsia="en-GB"/>
              </w:rPr>
              <w:t>R</w:t>
            </w:r>
            <w:r w:rsidRPr="005C6E86">
              <w:rPr>
                <w:sz w:val="24"/>
                <w:szCs w:val="24"/>
                <w:lang w:val="da-DK" w:eastAsia="en-GB"/>
              </w:rPr>
              <w:t>ygsmerter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muskelkramper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myalgi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  <w:p w14:paraId="5BF61037" w14:textId="77777777" w:rsidR="00853658" w:rsidRDefault="00853658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1803FA09" w14:textId="60C3BAA6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853658">
              <w:rPr>
                <w:sz w:val="24"/>
                <w:szCs w:val="24"/>
                <w:lang w:val="da-DK" w:eastAsia="en-GB"/>
              </w:rPr>
              <w:t>A</w:t>
            </w:r>
            <w:r w:rsidRPr="005C6E86">
              <w:rPr>
                <w:sz w:val="24"/>
                <w:szCs w:val="24"/>
                <w:lang w:val="da-DK" w:eastAsia="en-GB"/>
              </w:rPr>
              <w:t>rtralgi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smerte i ekstremiteter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7BC95709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482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Nyrer og urinveje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F5D" w14:textId="326B114C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853658">
              <w:rPr>
                <w:sz w:val="24"/>
                <w:szCs w:val="24"/>
                <w:lang w:val="da-DK" w:eastAsia="en-GB"/>
              </w:rPr>
              <w:t>N</w:t>
            </w:r>
            <w:r w:rsidRPr="005C6E86">
              <w:rPr>
                <w:sz w:val="24"/>
                <w:szCs w:val="24"/>
                <w:lang w:val="da-DK" w:eastAsia="en-GB"/>
              </w:rPr>
              <w:t>yresmerter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  <w:p w14:paraId="557E09C7" w14:textId="77777777" w:rsidR="00853658" w:rsidRDefault="00853658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6AAFF7FB" w14:textId="5C80907B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853658">
              <w:rPr>
                <w:sz w:val="24"/>
                <w:szCs w:val="24"/>
                <w:lang w:val="da-DK" w:eastAsia="en-GB"/>
              </w:rPr>
              <w:t>P</w:t>
            </w:r>
            <w:r w:rsidRPr="005C6E86">
              <w:rPr>
                <w:sz w:val="24"/>
                <w:szCs w:val="24"/>
                <w:lang w:val="da-DK" w:eastAsia="en-GB"/>
              </w:rPr>
              <w:t>ollakisuri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5064A9F5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E1F6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Det reproduktive system og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mamme</w:t>
            </w:r>
            <w:proofErr w:type="spellEnd"/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792" w14:textId="1A4EA63A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proofErr w:type="spellStart"/>
            <w:r w:rsidR="00853658">
              <w:rPr>
                <w:sz w:val="24"/>
                <w:szCs w:val="24"/>
                <w:lang w:val="da-DK" w:eastAsia="en-GB"/>
              </w:rPr>
              <w:t>E</w:t>
            </w:r>
            <w:r w:rsidRPr="005C6E86">
              <w:rPr>
                <w:sz w:val="24"/>
                <w:szCs w:val="24"/>
                <w:lang w:val="da-DK" w:eastAsia="en-GB"/>
              </w:rPr>
              <w:t>rektil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 xml:space="preserve"> dysfunktion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</w:p>
        </w:tc>
      </w:tr>
      <w:tr w:rsidR="00253DF3" w:rsidRPr="005C6E86" w14:paraId="7387FD3B" w14:textId="77777777" w:rsidTr="00E02AC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07C0" w14:textId="77777777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>Almene symptomer og reaktioner på administrationsstedet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757" w14:textId="3329DE38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almindelig: </w:t>
            </w:r>
            <w:r w:rsidR="00853658">
              <w:rPr>
                <w:sz w:val="24"/>
                <w:szCs w:val="24"/>
                <w:lang w:val="da-DK" w:eastAsia="en-GB"/>
              </w:rPr>
              <w:t>S</w:t>
            </w:r>
            <w:r w:rsidRPr="005C6E86">
              <w:rPr>
                <w:sz w:val="24"/>
                <w:szCs w:val="24"/>
                <w:lang w:val="da-DK" w:eastAsia="en-GB"/>
              </w:rPr>
              <w:t>merte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trykken for brystet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unormal fornemmelse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</w:t>
            </w:r>
            <w:r w:rsidR="00853658">
              <w:rPr>
                <w:sz w:val="24"/>
                <w:szCs w:val="24"/>
                <w:lang w:val="da-DK" w:eastAsia="en-GB"/>
              </w:rPr>
              <w:t xml:space="preserve"> </w:t>
            </w:r>
            <w:r w:rsidRPr="005C6E86">
              <w:rPr>
                <w:sz w:val="24"/>
                <w:szCs w:val="24"/>
                <w:lang w:val="da-DK" w:eastAsia="en-GB"/>
              </w:rPr>
              <w:t>nervøsitet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irritabilitet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overskydende medicin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1</w:t>
            </w:r>
          </w:p>
          <w:p w14:paraId="3C934704" w14:textId="77777777" w:rsidR="00853658" w:rsidRDefault="00853658" w:rsidP="00E02AC4">
            <w:pPr>
              <w:rPr>
                <w:sz w:val="24"/>
                <w:szCs w:val="24"/>
                <w:lang w:val="da-DK" w:eastAsia="en-GB"/>
              </w:rPr>
            </w:pPr>
          </w:p>
          <w:p w14:paraId="6FC1A947" w14:textId="6AD03306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Ikke kendt: </w:t>
            </w:r>
            <w:r w:rsidR="00853658">
              <w:rPr>
                <w:sz w:val="24"/>
                <w:szCs w:val="24"/>
                <w:lang w:val="da-DK" w:eastAsia="en-GB"/>
              </w:rPr>
              <w:t>B</w:t>
            </w:r>
            <w:r w:rsidRPr="005C6E86">
              <w:rPr>
                <w:sz w:val="24"/>
                <w:szCs w:val="24"/>
                <w:lang w:val="da-DK" w:eastAsia="en-GB"/>
              </w:rPr>
              <w:t>rystsmerter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</w:t>
            </w:r>
            <w:r w:rsidRPr="005C6E86">
              <w:rPr>
                <w:sz w:val="24"/>
                <w:szCs w:val="24"/>
                <w:lang w:val="da-DK" w:eastAsia="en-GB"/>
              </w:rPr>
              <w:t>, perifert ødem</w:t>
            </w:r>
            <w:r w:rsidRPr="00853658">
              <w:rPr>
                <w:sz w:val="24"/>
                <w:szCs w:val="24"/>
                <w:vertAlign w:val="superscript"/>
                <w:lang w:val="da-DK" w:eastAsia="en-GB"/>
              </w:rPr>
              <w:t>2,3</w:t>
            </w:r>
          </w:p>
        </w:tc>
      </w:tr>
      <w:tr w:rsidR="00253DF3" w:rsidRPr="005C6E86" w14:paraId="199D353F" w14:textId="77777777" w:rsidTr="00E02A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4C3" w14:textId="05234651" w:rsidR="00253DF3" w:rsidRPr="005C6E86" w:rsidRDefault="00253DF3" w:rsidP="00E02AC4">
            <w:pPr>
              <w:rPr>
                <w:sz w:val="24"/>
                <w:szCs w:val="24"/>
                <w:lang w:val="fr-LU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1 </w:t>
            </w:r>
            <w:r w:rsidR="00853658">
              <w:rPr>
                <w:sz w:val="24"/>
                <w:szCs w:val="24"/>
                <w:lang w:val="da-DK" w:eastAsia="en-GB"/>
              </w:rPr>
              <w:t>B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ivirkning observeret med </w:t>
            </w:r>
            <w:proofErr w:type="spellStart"/>
            <w:r w:rsidR="00A00569">
              <w:rPr>
                <w:sz w:val="24"/>
                <w:szCs w:val="24"/>
                <w:lang w:val="da-DK" w:eastAsia="en-GB"/>
              </w:rPr>
              <w:t>Brinzolamide</w:t>
            </w:r>
            <w:proofErr w:type="spellEnd"/>
            <w:r w:rsidR="00A00569">
              <w:rPr>
                <w:sz w:val="24"/>
                <w:szCs w:val="24"/>
                <w:lang w:val="da-DK" w:eastAsia="en-GB"/>
              </w:rPr>
              <w:t>/</w:t>
            </w:r>
            <w:proofErr w:type="spellStart"/>
            <w:r w:rsidR="00A00569">
              <w:rPr>
                <w:sz w:val="24"/>
                <w:szCs w:val="24"/>
                <w:lang w:val="da-DK" w:eastAsia="en-GB"/>
              </w:rPr>
              <w:t>Brimonidine</w:t>
            </w:r>
            <w:proofErr w:type="spellEnd"/>
            <w:r w:rsidR="00A00569">
              <w:rPr>
                <w:sz w:val="24"/>
                <w:szCs w:val="24"/>
                <w:lang w:val="da-DK" w:eastAsia="en-GB"/>
              </w:rPr>
              <w:t xml:space="preserve"> "</w:t>
            </w:r>
            <w:proofErr w:type="spellStart"/>
            <w:r w:rsidR="00A00569">
              <w:rPr>
                <w:sz w:val="24"/>
                <w:szCs w:val="24"/>
                <w:lang w:val="da-DK" w:eastAsia="en-GB"/>
              </w:rPr>
              <w:t>Stada</w:t>
            </w:r>
            <w:proofErr w:type="spellEnd"/>
            <w:r w:rsidR="00A00569">
              <w:rPr>
                <w:sz w:val="24"/>
                <w:szCs w:val="24"/>
                <w:lang w:val="da-DK" w:eastAsia="en-GB"/>
              </w:rPr>
              <w:t>"</w:t>
            </w:r>
          </w:p>
          <w:p w14:paraId="0A5FAF13" w14:textId="47CC364E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2 </w:t>
            </w:r>
            <w:r w:rsidR="00853658">
              <w:rPr>
                <w:sz w:val="24"/>
                <w:szCs w:val="24"/>
                <w:lang w:val="da-DK" w:eastAsia="en-GB"/>
              </w:rPr>
              <w:t>Y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derligere bivirkning observeret med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brinzolamid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>-monoterapi</w:t>
            </w:r>
          </w:p>
          <w:p w14:paraId="13CC2467" w14:textId="0235B47A" w:rsidR="00253DF3" w:rsidRPr="005C6E86" w:rsidRDefault="00253DF3" w:rsidP="00E02AC4">
            <w:pPr>
              <w:rPr>
                <w:sz w:val="24"/>
                <w:szCs w:val="24"/>
                <w:lang w:val="da-DK" w:eastAsia="en-GB"/>
              </w:rPr>
            </w:pPr>
            <w:r w:rsidRPr="005C6E86">
              <w:rPr>
                <w:sz w:val="24"/>
                <w:szCs w:val="24"/>
                <w:lang w:val="da-DK" w:eastAsia="en-GB"/>
              </w:rPr>
              <w:t xml:space="preserve">3 </w:t>
            </w:r>
            <w:r w:rsidR="00853658">
              <w:rPr>
                <w:sz w:val="24"/>
                <w:szCs w:val="24"/>
                <w:lang w:val="da-DK" w:eastAsia="en-GB"/>
              </w:rPr>
              <w:t>Y</w:t>
            </w:r>
            <w:r w:rsidRPr="005C6E86">
              <w:rPr>
                <w:sz w:val="24"/>
                <w:szCs w:val="24"/>
                <w:lang w:val="da-DK" w:eastAsia="en-GB"/>
              </w:rPr>
              <w:t xml:space="preserve">derligere bivirkning observeret med </w:t>
            </w:r>
            <w:proofErr w:type="spellStart"/>
            <w:r w:rsidRPr="005C6E86">
              <w:rPr>
                <w:sz w:val="24"/>
                <w:szCs w:val="24"/>
                <w:lang w:val="da-DK" w:eastAsia="en-GB"/>
              </w:rPr>
              <w:t>brimonidin</w:t>
            </w:r>
            <w:proofErr w:type="spellEnd"/>
            <w:r w:rsidRPr="005C6E86">
              <w:rPr>
                <w:sz w:val="24"/>
                <w:szCs w:val="24"/>
                <w:lang w:val="da-DK" w:eastAsia="en-GB"/>
              </w:rPr>
              <w:t>-monoterapi</w:t>
            </w:r>
          </w:p>
        </w:tc>
      </w:tr>
    </w:tbl>
    <w:p w14:paraId="77999E14" w14:textId="77777777" w:rsidR="00253DF3" w:rsidRPr="005C6E86" w:rsidRDefault="00253DF3" w:rsidP="00253DF3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5B52519C" w14:textId="77777777" w:rsidR="00253DF3" w:rsidRPr="00B938A5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B938A5">
        <w:rPr>
          <w:sz w:val="24"/>
          <w:szCs w:val="24"/>
          <w:u w:val="single"/>
          <w:lang w:eastAsia="en-GB"/>
        </w:rPr>
        <w:t>Beskrivelse af udvalgte bivirkninger</w:t>
      </w:r>
    </w:p>
    <w:p w14:paraId="78299A17" w14:textId="1D8D308B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Dysgeusi</w:t>
      </w:r>
      <w:proofErr w:type="spellEnd"/>
      <w:r w:rsidRPr="005C6E86">
        <w:rPr>
          <w:sz w:val="24"/>
          <w:szCs w:val="24"/>
          <w:lang w:eastAsia="en-GB"/>
        </w:rPr>
        <w:t xml:space="preserve"> var den hyppigst forekommende systemiske bivirkning forbundet med behandling med</w:t>
      </w:r>
      <w:r w:rsidR="00B938A5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(3,4 %). </w:t>
      </w:r>
      <w:proofErr w:type="spellStart"/>
      <w:r w:rsidRPr="005C6E86">
        <w:rPr>
          <w:sz w:val="24"/>
          <w:szCs w:val="24"/>
          <w:lang w:eastAsia="en-GB"/>
        </w:rPr>
        <w:t>Dysgeusi</w:t>
      </w:r>
      <w:proofErr w:type="spellEnd"/>
      <w:r w:rsidRPr="005C6E86">
        <w:rPr>
          <w:sz w:val="24"/>
          <w:szCs w:val="24"/>
          <w:lang w:eastAsia="en-GB"/>
        </w:rPr>
        <w:t xml:space="preserve"> er sandsynligvis forårsaget af passage af øjendråberne til </w:t>
      </w:r>
      <w:proofErr w:type="spellStart"/>
      <w:r w:rsidRPr="005C6E86">
        <w:rPr>
          <w:sz w:val="24"/>
          <w:szCs w:val="24"/>
          <w:lang w:eastAsia="en-GB"/>
        </w:rPr>
        <w:t>nasopharynx</w:t>
      </w:r>
      <w:proofErr w:type="spellEnd"/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via den </w:t>
      </w:r>
      <w:proofErr w:type="spellStart"/>
      <w:r w:rsidRPr="005C6E86">
        <w:rPr>
          <w:sz w:val="24"/>
          <w:szCs w:val="24"/>
          <w:lang w:eastAsia="en-GB"/>
        </w:rPr>
        <w:t>nasolakrimale</w:t>
      </w:r>
      <w:proofErr w:type="spellEnd"/>
      <w:r w:rsidRPr="005C6E86">
        <w:rPr>
          <w:sz w:val="24"/>
          <w:szCs w:val="24"/>
          <w:lang w:eastAsia="en-GB"/>
        </w:rPr>
        <w:t xml:space="preserve"> kanal og skyldes hovedsag</w:t>
      </w:r>
      <w:r w:rsidR="00B938A5">
        <w:rPr>
          <w:sz w:val="24"/>
          <w:szCs w:val="24"/>
          <w:lang w:eastAsia="en-GB"/>
        </w:rPr>
        <w:t>e</w:t>
      </w:r>
      <w:r w:rsidRPr="005C6E86">
        <w:rPr>
          <w:sz w:val="24"/>
          <w:szCs w:val="24"/>
          <w:lang w:eastAsia="en-GB"/>
        </w:rPr>
        <w:t xml:space="preserve">ligt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-komponenten i</w:t>
      </w:r>
      <w:r w:rsidR="00B938A5">
        <w:rPr>
          <w:sz w:val="24"/>
          <w:szCs w:val="24"/>
          <w:lang w:eastAsia="en-GB"/>
        </w:rPr>
        <w:t xml:space="preserve">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Pr="005C6E86">
        <w:rPr>
          <w:sz w:val="24"/>
          <w:szCs w:val="24"/>
          <w:lang w:eastAsia="en-GB"/>
        </w:rPr>
        <w:t>Nasolakrimal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okklusion</w:t>
      </w:r>
      <w:proofErr w:type="spellEnd"/>
      <w:r w:rsidRPr="005C6E86">
        <w:rPr>
          <w:sz w:val="24"/>
          <w:szCs w:val="24"/>
          <w:lang w:eastAsia="en-GB"/>
        </w:rPr>
        <w:t xml:space="preserve"> eller rolig lukning af øjnene efter </w:t>
      </w:r>
      <w:proofErr w:type="spellStart"/>
      <w:r w:rsidRPr="005C6E86">
        <w:rPr>
          <w:sz w:val="24"/>
          <w:szCs w:val="24"/>
          <w:lang w:eastAsia="en-GB"/>
        </w:rPr>
        <w:t>inddrypning</w:t>
      </w:r>
      <w:proofErr w:type="spellEnd"/>
      <w:r w:rsidRPr="005C6E86">
        <w:rPr>
          <w:sz w:val="24"/>
          <w:szCs w:val="24"/>
          <w:lang w:eastAsia="en-GB"/>
        </w:rPr>
        <w:t xml:space="preserve"> kan reducere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forekomsten af denne bivirkning (se </w:t>
      </w:r>
      <w:r w:rsidR="00B938A5">
        <w:rPr>
          <w:sz w:val="24"/>
          <w:szCs w:val="24"/>
          <w:lang w:eastAsia="en-GB"/>
        </w:rPr>
        <w:t>pkt.</w:t>
      </w:r>
      <w:r w:rsidRPr="005C6E86">
        <w:rPr>
          <w:sz w:val="24"/>
          <w:szCs w:val="24"/>
          <w:lang w:eastAsia="en-GB"/>
        </w:rPr>
        <w:t xml:space="preserve"> 4.2).</w:t>
      </w:r>
    </w:p>
    <w:p w14:paraId="6AAAB2B9" w14:textId="3F0F01C6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indeholder </w:t>
      </w:r>
      <w:proofErr w:type="spellStart"/>
      <w:r w:rsidR="00253DF3" w:rsidRPr="005C6E86">
        <w:rPr>
          <w:sz w:val="24"/>
          <w:szCs w:val="24"/>
          <w:lang w:eastAsia="en-GB"/>
        </w:rPr>
        <w:t>brinzolamid</w:t>
      </w:r>
      <w:proofErr w:type="spellEnd"/>
      <w:r w:rsidR="00253DF3" w:rsidRPr="005C6E86">
        <w:rPr>
          <w:sz w:val="24"/>
          <w:szCs w:val="24"/>
          <w:lang w:eastAsia="en-GB"/>
        </w:rPr>
        <w:t xml:space="preserve">, som er et sulfonamid, der hæmmer </w:t>
      </w:r>
      <w:proofErr w:type="spellStart"/>
      <w:r w:rsidR="00253DF3" w:rsidRPr="005C6E86">
        <w:rPr>
          <w:sz w:val="24"/>
          <w:szCs w:val="24"/>
          <w:lang w:eastAsia="en-GB"/>
        </w:rPr>
        <w:t>karboanhydrase</w:t>
      </w:r>
      <w:proofErr w:type="spellEnd"/>
      <w:r w:rsidR="00253DF3" w:rsidRPr="005C6E86">
        <w:rPr>
          <w:sz w:val="24"/>
          <w:szCs w:val="24"/>
          <w:lang w:eastAsia="en-GB"/>
        </w:rPr>
        <w:t>, og som</w:t>
      </w:r>
      <w:r w:rsidR="00B938A5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absorberes systemisk. De </w:t>
      </w:r>
      <w:proofErr w:type="spellStart"/>
      <w:r w:rsidR="00253DF3" w:rsidRPr="005C6E86">
        <w:rPr>
          <w:sz w:val="24"/>
          <w:szCs w:val="24"/>
          <w:lang w:eastAsia="en-GB"/>
        </w:rPr>
        <w:t>gastrointestinale</w:t>
      </w:r>
      <w:proofErr w:type="spellEnd"/>
      <w:r w:rsidR="00253DF3" w:rsidRPr="005C6E86">
        <w:rPr>
          <w:sz w:val="24"/>
          <w:szCs w:val="24"/>
          <w:lang w:eastAsia="en-GB"/>
        </w:rPr>
        <w:t xml:space="preserve">, centralnervesystemiske, hæmatologiske, </w:t>
      </w:r>
      <w:proofErr w:type="spellStart"/>
      <w:r w:rsidR="00253DF3" w:rsidRPr="005C6E86">
        <w:rPr>
          <w:sz w:val="24"/>
          <w:szCs w:val="24"/>
          <w:lang w:eastAsia="en-GB"/>
        </w:rPr>
        <w:t>renale</w:t>
      </w:r>
      <w:proofErr w:type="spellEnd"/>
      <w:r w:rsidR="00253DF3" w:rsidRPr="005C6E86">
        <w:rPr>
          <w:sz w:val="24"/>
          <w:szCs w:val="24"/>
          <w:lang w:eastAsia="en-GB"/>
        </w:rPr>
        <w:t xml:space="preserve"> og</w:t>
      </w:r>
      <w:r w:rsidR="00B938A5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metaboliske virkninger er normalt associeret med brugen af systemiske </w:t>
      </w:r>
      <w:proofErr w:type="spellStart"/>
      <w:r w:rsidR="00253DF3" w:rsidRPr="005C6E86">
        <w:rPr>
          <w:sz w:val="24"/>
          <w:szCs w:val="24"/>
          <w:lang w:eastAsia="en-GB"/>
        </w:rPr>
        <w:t>karboanhydrasehæmmere</w:t>
      </w:r>
      <w:proofErr w:type="spellEnd"/>
      <w:r w:rsidR="00253DF3" w:rsidRPr="005C6E86">
        <w:rPr>
          <w:sz w:val="24"/>
          <w:szCs w:val="24"/>
          <w:lang w:eastAsia="en-GB"/>
        </w:rPr>
        <w:t>. De</w:t>
      </w:r>
      <w:r w:rsidR="00B938A5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samme typer bivirkninger, som skyldes orale </w:t>
      </w:r>
      <w:proofErr w:type="spellStart"/>
      <w:r w:rsidR="00253DF3" w:rsidRPr="005C6E86">
        <w:rPr>
          <w:sz w:val="24"/>
          <w:szCs w:val="24"/>
          <w:lang w:eastAsia="en-GB"/>
        </w:rPr>
        <w:t>karboanhydrasehæmmere</w:t>
      </w:r>
      <w:proofErr w:type="spellEnd"/>
      <w:r w:rsidR="00253DF3" w:rsidRPr="005C6E86">
        <w:rPr>
          <w:sz w:val="24"/>
          <w:szCs w:val="24"/>
          <w:lang w:eastAsia="en-GB"/>
        </w:rPr>
        <w:t xml:space="preserve">, kan opstå efter </w:t>
      </w:r>
      <w:proofErr w:type="spellStart"/>
      <w:r w:rsidR="00253DF3" w:rsidRPr="005C6E86">
        <w:rPr>
          <w:sz w:val="24"/>
          <w:szCs w:val="24"/>
          <w:lang w:eastAsia="en-GB"/>
        </w:rPr>
        <w:t>topikal</w:t>
      </w:r>
      <w:proofErr w:type="spellEnd"/>
    </w:p>
    <w:p w14:paraId="31974D62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administration.</w:t>
      </w:r>
    </w:p>
    <w:p w14:paraId="14806AD7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D8F8376" w14:textId="7AD7622F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Bivirkninger, der almindeligvis er forbundet med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-komponenten fra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omfatter udvikling af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overfølsomheds</w:t>
      </w:r>
      <w:r w:rsidR="00441043">
        <w:rPr>
          <w:sz w:val="24"/>
          <w:szCs w:val="24"/>
          <w:lang w:eastAsia="en-GB"/>
        </w:rPr>
        <w:softHyphen/>
      </w:r>
      <w:r w:rsidRPr="005C6E86">
        <w:rPr>
          <w:sz w:val="24"/>
          <w:szCs w:val="24"/>
          <w:lang w:eastAsia="en-GB"/>
        </w:rPr>
        <w:t xml:space="preserve">reaktioner, træthed og/eller døsighed og tør mund. Brugen af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blevet forbundet med minimale blodtryksfald. Nogle patienter, som modtog en dosis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, oplevede fald i blodtrykket, som svarede til det, der blev observeret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givet som monoterapi.</w:t>
      </w:r>
    </w:p>
    <w:p w14:paraId="25B3190A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62D45FEF" w14:textId="77777777" w:rsidR="00253DF3" w:rsidRPr="00B938A5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B938A5">
        <w:rPr>
          <w:sz w:val="24"/>
          <w:szCs w:val="24"/>
          <w:u w:val="single"/>
          <w:lang w:eastAsia="en-GB"/>
        </w:rPr>
        <w:t>Indberetning af formodede bivirkninger</w:t>
      </w:r>
    </w:p>
    <w:p w14:paraId="748824A0" w14:textId="63257C99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Når lægemidlet er godkendt, er indberetning af formodede bivirkninger vigtig. Det muliggør løbende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overvågning af benefit/</w:t>
      </w:r>
      <w:proofErr w:type="spellStart"/>
      <w:r w:rsidRPr="005C6E86">
        <w:rPr>
          <w:sz w:val="24"/>
          <w:szCs w:val="24"/>
          <w:lang w:eastAsia="en-GB"/>
        </w:rPr>
        <w:t>risk</w:t>
      </w:r>
      <w:proofErr w:type="spellEnd"/>
      <w:r w:rsidRPr="005C6E86">
        <w:rPr>
          <w:sz w:val="24"/>
          <w:szCs w:val="24"/>
          <w:lang w:eastAsia="en-GB"/>
        </w:rPr>
        <w:t>-forholdet for lægemidlet. Sundhedspersoner anmodes om at indberette alle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formodede bivirkninger via</w:t>
      </w:r>
    </w:p>
    <w:p w14:paraId="25F1F90D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EEC22FE" w14:textId="77777777" w:rsidR="00253DF3" w:rsidRPr="005C6E86" w:rsidRDefault="00253DF3" w:rsidP="00E02AC4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5C6E86">
        <w:rPr>
          <w:sz w:val="24"/>
          <w:szCs w:val="24"/>
        </w:rPr>
        <w:t>Lægemiddelstyrelsen</w:t>
      </w:r>
    </w:p>
    <w:p w14:paraId="540737C0" w14:textId="77777777" w:rsidR="00253DF3" w:rsidRPr="005C6E86" w:rsidRDefault="00253DF3" w:rsidP="00E02AC4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C6E86">
        <w:rPr>
          <w:rFonts w:eastAsia="Calibri"/>
          <w:sz w:val="24"/>
          <w:szCs w:val="24"/>
          <w:lang w:eastAsia="zh-CN"/>
        </w:rPr>
        <w:t>Axel Heides Gade 1</w:t>
      </w:r>
    </w:p>
    <w:p w14:paraId="33F2938C" w14:textId="77777777" w:rsidR="00253DF3" w:rsidRPr="005C6E86" w:rsidRDefault="00253DF3" w:rsidP="00E02AC4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C6E86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5C6E86">
        <w:rPr>
          <w:rFonts w:eastAsia="Calibri"/>
          <w:sz w:val="24"/>
          <w:szCs w:val="24"/>
          <w:lang w:eastAsia="zh-CN"/>
        </w:rPr>
        <w:t>København S</w:t>
      </w:r>
    </w:p>
    <w:p w14:paraId="7C1330AE" w14:textId="77777777" w:rsidR="00253DF3" w:rsidRPr="005C6E86" w:rsidRDefault="00253DF3" w:rsidP="00E02AC4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C6E86">
        <w:rPr>
          <w:rFonts w:eastAsia="Calibri"/>
          <w:sz w:val="24"/>
          <w:szCs w:val="24"/>
          <w:lang w:eastAsia="zh-CN"/>
        </w:rPr>
        <w:t>Websted</w:t>
      </w:r>
      <w:r w:rsidRPr="005C6E86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5C6E86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14:paraId="0581240A" w14:textId="77777777" w:rsidR="009260DE" w:rsidRPr="005C6E8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650539F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4.9</w:t>
      </w:r>
      <w:r w:rsidRPr="005C6E86">
        <w:rPr>
          <w:b/>
          <w:sz w:val="24"/>
          <w:szCs w:val="24"/>
        </w:rPr>
        <w:tab/>
        <w:t>Overdosering</w:t>
      </w:r>
    </w:p>
    <w:p w14:paraId="06A4DBCA" w14:textId="4F9FC2DE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I tilfælde af overdosering med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bør behandlingen være symptomatisk og understøttende.</w:t>
      </w:r>
    </w:p>
    <w:p w14:paraId="7D907FB0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Patientens luftveje skal holdes åbne.</w:t>
      </w:r>
    </w:p>
    <w:p w14:paraId="2B7F82B1" w14:textId="07EF7132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Som følge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-komponenten i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kan der forekomme forstyrrelse i elektrolytbalancen, udvikling af en </w:t>
      </w:r>
      <w:proofErr w:type="spellStart"/>
      <w:r w:rsidRPr="005C6E86">
        <w:rPr>
          <w:sz w:val="24"/>
          <w:szCs w:val="24"/>
          <w:lang w:eastAsia="en-GB"/>
        </w:rPr>
        <w:t>acidotisk</w:t>
      </w:r>
      <w:proofErr w:type="spellEnd"/>
      <w:r w:rsidRPr="005C6E86">
        <w:rPr>
          <w:sz w:val="24"/>
          <w:szCs w:val="24"/>
          <w:lang w:eastAsia="en-GB"/>
        </w:rPr>
        <w:t xml:space="preserve"> tilstand og mulig påvirkning af nervesystemet. Serumelektrolytniveauer (især kalium) og blodets pH-niveau skal monitoreres.</w:t>
      </w:r>
    </w:p>
    <w:p w14:paraId="55C58E9A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F4773FA" w14:textId="42FF964D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Der er meget begrænset information vedrørende utilsigtet indtagelse af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>-komponenten fra</w:t>
      </w:r>
      <w:r w:rsidR="00B938A5">
        <w:rPr>
          <w:sz w:val="24"/>
          <w:szCs w:val="24"/>
          <w:lang w:eastAsia="en-GB"/>
        </w:rPr>
        <w:t xml:space="preserve">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 i voksne. Den eneste indberettede bivirkning til dato var hypotension. Det blev rapporteret, at den </w:t>
      </w:r>
      <w:proofErr w:type="spellStart"/>
      <w:r w:rsidRPr="005C6E86">
        <w:rPr>
          <w:sz w:val="24"/>
          <w:szCs w:val="24"/>
          <w:lang w:eastAsia="en-GB"/>
        </w:rPr>
        <w:t>hypotensive</w:t>
      </w:r>
      <w:proofErr w:type="spellEnd"/>
      <w:r w:rsidRPr="005C6E86">
        <w:rPr>
          <w:sz w:val="24"/>
          <w:szCs w:val="24"/>
          <w:lang w:eastAsia="en-GB"/>
        </w:rPr>
        <w:t xml:space="preserve"> episode blev efterfulgt af </w:t>
      </w:r>
      <w:proofErr w:type="spellStart"/>
      <w:r w:rsidRPr="005C6E86">
        <w:rPr>
          <w:sz w:val="24"/>
          <w:szCs w:val="24"/>
          <w:lang w:eastAsia="en-GB"/>
        </w:rPr>
        <w:t>rebound</w:t>
      </w:r>
      <w:proofErr w:type="spellEnd"/>
      <w:r w:rsidRPr="005C6E86">
        <w:rPr>
          <w:sz w:val="24"/>
          <w:szCs w:val="24"/>
          <w:lang w:eastAsia="en-GB"/>
        </w:rPr>
        <w:t>-hypertension.</w:t>
      </w:r>
    </w:p>
    <w:p w14:paraId="23391F14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302191C2" w14:textId="544016C6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Orale overdoser af andre alfa-2-agonister er rapporteret til at medføre symptomer som hypotension,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asteni, opkastning, letargi, sedation, bradykardi, </w:t>
      </w:r>
      <w:proofErr w:type="spellStart"/>
      <w:r w:rsidRPr="005C6E86">
        <w:rPr>
          <w:sz w:val="24"/>
          <w:szCs w:val="24"/>
          <w:lang w:eastAsia="en-GB"/>
        </w:rPr>
        <w:t>arytmi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miose</w:t>
      </w:r>
      <w:proofErr w:type="spellEnd"/>
      <w:r w:rsidRPr="005C6E86">
        <w:rPr>
          <w:sz w:val="24"/>
          <w:szCs w:val="24"/>
          <w:lang w:eastAsia="en-GB"/>
        </w:rPr>
        <w:t xml:space="preserve">, apnø, </w:t>
      </w:r>
      <w:proofErr w:type="spellStart"/>
      <w:r w:rsidRPr="005C6E86">
        <w:rPr>
          <w:sz w:val="24"/>
          <w:szCs w:val="24"/>
          <w:lang w:eastAsia="en-GB"/>
        </w:rPr>
        <w:t>hypotoni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hypotermi</w:t>
      </w:r>
      <w:proofErr w:type="spellEnd"/>
      <w:r w:rsidRPr="005C6E86">
        <w:rPr>
          <w:sz w:val="24"/>
          <w:szCs w:val="24"/>
          <w:lang w:eastAsia="en-GB"/>
        </w:rPr>
        <w:t>,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respirationsdepression og kramper.</w:t>
      </w:r>
    </w:p>
    <w:p w14:paraId="12E1889C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714286EF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Pædiatrisk population</w:t>
      </w:r>
    </w:p>
    <w:p w14:paraId="203F7CDB" w14:textId="7777777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73BC3547" w14:textId="45C355A7" w:rsidR="00253DF3" w:rsidRPr="005C6E86" w:rsidRDefault="00253DF3" w:rsidP="00E02AC4">
      <w:pPr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  <w:lang w:eastAsia="en-GB"/>
        </w:rPr>
        <w:t>Der er rapporteret alvorlige bivirkninger hos pædiatriske patienter efter utilsigtet indtagelse af</w:t>
      </w:r>
      <w:r w:rsidR="00B938A5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-komponenten i </w:t>
      </w:r>
      <w:proofErr w:type="spellStart"/>
      <w:r w:rsidR="00A00569">
        <w:rPr>
          <w:sz w:val="24"/>
          <w:szCs w:val="24"/>
          <w:lang w:eastAsia="en-GB"/>
        </w:rPr>
        <w:t>Brinzolamide</w:t>
      </w:r>
      <w:proofErr w:type="spellEnd"/>
      <w:r w:rsidR="00A00569">
        <w:rPr>
          <w:sz w:val="24"/>
          <w:szCs w:val="24"/>
          <w:lang w:eastAsia="en-GB"/>
        </w:rPr>
        <w:t>/</w:t>
      </w:r>
      <w:proofErr w:type="spellStart"/>
      <w:r w:rsidR="00A00569"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Pr="005C6E86">
        <w:rPr>
          <w:sz w:val="24"/>
          <w:szCs w:val="24"/>
          <w:lang w:eastAsia="en-GB"/>
        </w:rPr>
        <w:t xml:space="preserve">. Patienterne, oplevede symptomer på CNS-depression, typisk midlertidig koma eller lavt bevidsthedsniveau, letargi, </w:t>
      </w:r>
      <w:proofErr w:type="spellStart"/>
      <w:r w:rsidRPr="005C6E86">
        <w:rPr>
          <w:sz w:val="24"/>
          <w:szCs w:val="24"/>
          <w:lang w:eastAsia="en-GB"/>
        </w:rPr>
        <w:t>somnolens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hypotoni</w:t>
      </w:r>
      <w:proofErr w:type="spellEnd"/>
      <w:r w:rsidRPr="005C6E86">
        <w:rPr>
          <w:sz w:val="24"/>
          <w:szCs w:val="24"/>
          <w:lang w:eastAsia="en-GB"/>
        </w:rPr>
        <w:t xml:space="preserve">, bradykardi, </w:t>
      </w:r>
      <w:proofErr w:type="spellStart"/>
      <w:r w:rsidRPr="005C6E86">
        <w:rPr>
          <w:sz w:val="24"/>
          <w:szCs w:val="24"/>
          <w:lang w:eastAsia="en-GB"/>
        </w:rPr>
        <w:t>hypotermi</w:t>
      </w:r>
      <w:proofErr w:type="spellEnd"/>
      <w:r w:rsidRPr="005C6E86">
        <w:rPr>
          <w:sz w:val="24"/>
          <w:szCs w:val="24"/>
          <w:lang w:eastAsia="en-GB"/>
        </w:rPr>
        <w:t xml:space="preserve">, bleghed, respirationsdepression og apnø, og behov for indlæggelse på intensiv afdeling med eventuel </w:t>
      </w:r>
      <w:proofErr w:type="spellStart"/>
      <w:r w:rsidRPr="005C6E86">
        <w:rPr>
          <w:sz w:val="24"/>
          <w:szCs w:val="24"/>
          <w:lang w:eastAsia="en-GB"/>
        </w:rPr>
        <w:t>intubation</w:t>
      </w:r>
      <w:proofErr w:type="spellEnd"/>
      <w:r w:rsidRPr="005C6E86">
        <w:rPr>
          <w:sz w:val="24"/>
          <w:szCs w:val="24"/>
          <w:lang w:eastAsia="en-GB"/>
        </w:rPr>
        <w:t>. Det blev rapporteret, at alle patienter kom sig fuldstændigt, som regel inden for 6-24 timer.</w:t>
      </w:r>
    </w:p>
    <w:p w14:paraId="592F2199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28D103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4.10</w:t>
      </w:r>
      <w:r w:rsidRPr="005C6E86">
        <w:rPr>
          <w:b/>
          <w:sz w:val="24"/>
          <w:szCs w:val="24"/>
        </w:rPr>
        <w:tab/>
        <w:t>Udlevering</w:t>
      </w:r>
    </w:p>
    <w:p w14:paraId="38E71F2E" w14:textId="4A867ADB" w:rsidR="009260DE" w:rsidRPr="005C6E86" w:rsidRDefault="006D43CE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E86">
        <w:rPr>
          <w:sz w:val="24"/>
          <w:szCs w:val="24"/>
        </w:rPr>
        <w:t>B</w:t>
      </w:r>
    </w:p>
    <w:p w14:paraId="15A3FF4E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862229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D95C07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5.</w:t>
      </w:r>
      <w:r w:rsidRPr="005C6E86">
        <w:rPr>
          <w:b/>
          <w:sz w:val="24"/>
          <w:szCs w:val="24"/>
        </w:rPr>
        <w:tab/>
        <w:t>FARMAKOLOGISKE EGENSKABER</w:t>
      </w:r>
    </w:p>
    <w:p w14:paraId="18AC7048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5C37AD" w14:textId="77777777" w:rsidR="009260DE" w:rsidRPr="005C6E8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5.1</w:t>
      </w:r>
      <w:r w:rsidRPr="005C6E86">
        <w:rPr>
          <w:b/>
          <w:sz w:val="24"/>
          <w:szCs w:val="24"/>
        </w:rPr>
        <w:tab/>
      </w:r>
      <w:proofErr w:type="spellStart"/>
      <w:r w:rsidRPr="005C6E86">
        <w:rPr>
          <w:b/>
          <w:sz w:val="24"/>
          <w:szCs w:val="24"/>
        </w:rPr>
        <w:t>Farmakodynamiske</w:t>
      </w:r>
      <w:proofErr w:type="spellEnd"/>
      <w:r w:rsidRPr="005C6E86">
        <w:rPr>
          <w:b/>
          <w:sz w:val="24"/>
          <w:szCs w:val="24"/>
        </w:rPr>
        <w:t xml:space="preserve"> egenskaber</w:t>
      </w:r>
    </w:p>
    <w:p w14:paraId="4E6EE2C9" w14:textId="00B1A7E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Farmakoterapeutisk</w:t>
      </w:r>
      <w:proofErr w:type="spellEnd"/>
      <w:r w:rsidRPr="005C6E86">
        <w:rPr>
          <w:sz w:val="24"/>
          <w:szCs w:val="24"/>
          <w:lang w:eastAsia="en-GB"/>
        </w:rPr>
        <w:t xml:space="preserve"> klassifikation: Oftalmologiske lægemidler, </w:t>
      </w:r>
      <w:proofErr w:type="spellStart"/>
      <w:r w:rsidRPr="005C6E86">
        <w:rPr>
          <w:sz w:val="24"/>
          <w:szCs w:val="24"/>
          <w:lang w:eastAsia="en-GB"/>
        </w:rPr>
        <w:t>antiglaukommiddel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miotika</w:t>
      </w:r>
      <w:proofErr w:type="spellEnd"/>
      <w:r w:rsidRPr="005C6E86">
        <w:rPr>
          <w:sz w:val="24"/>
          <w:szCs w:val="24"/>
          <w:lang w:eastAsia="en-GB"/>
        </w:rPr>
        <w:t>, ATC</w:t>
      </w:r>
      <w:r w:rsidR="00B938A5">
        <w:rPr>
          <w:sz w:val="24"/>
          <w:szCs w:val="24"/>
          <w:lang w:eastAsia="en-GB"/>
        </w:rPr>
        <w:t>-</w:t>
      </w:r>
      <w:r w:rsidRPr="005C6E86">
        <w:rPr>
          <w:sz w:val="24"/>
          <w:szCs w:val="24"/>
          <w:lang w:eastAsia="en-GB"/>
        </w:rPr>
        <w:t>kode: S01EC54</w:t>
      </w:r>
      <w:r w:rsidR="00B938A5">
        <w:rPr>
          <w:sz w:val="24"/>
          <w:szCs w:val="24"/>
          <w:lang w:eastAsia="en-GB"/>
        </w:rPr>
        <w:t>.</w:t>
      </w:r>
    </w:p>
    <w:p w14:paraId="0EFF084C" w14:textId="33DEAC52" w:rsidR="00441043" w:rsidRDefault="00441043">
      <w:pPr>
        <w:rPr>
          <w:sz w:val="24"/>
          <w:szCs w:val="24"/>
          <w:lang w:eastAsia="fr-LU"/>
        </w:rPr>
      </w:pPr>
      <w:r>
        <w:rPr>
          <w:sz w:val="24"/>
          <w:szCs w:val="24"/>
          <w:lang w:eastAsia="fr-LU"/>
        </w:rPr>
        <w:br w:type="page"/>
      </w:r>
    </w:p>
    <w:p w14:paraId="00859A63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</w:p>
    <w:p w14:paraId="68EE05D4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C6E86">
        <w:rPr>
          <w:sz w:val="24"/>
          <w:szCs w:val="24"/>
          <w:u w:val="single"/>
          <w:lang w:eastAsia="en-GB"/>
        </w:rPr>
        <w:t>Virkningsmekanisme</w:t>
      </w:r>
    </w:p>
    <w:p w14:paraId="33F289B2" w14:textId="7CE2B9AC" w:rsidR="00253DF3" w:rsidRPr="005C6E86" w:rsidRDefault="00A00569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indeholder 2 aktive indholdsstoffer: </w:t>
      </w:r>
      <w:proofErr w:type="spellStart"/>
      <w:r w:rsidR="00253DF3" w:rsidRPr="005C6E86">
        <w:rPr>
          <w:sz w:val="24"/>
          <w:szCs w:val="24"/>
          <w:lang w:eastAsia="en-GB"/>
        </w:rPr>
        <w:t>brinzolamid</w:t>
      </w:r>
      <w:proofErr w:type="spellEnd"/>
      <w:r w:rsidR="00253DF3" w:rsidRPr="005C6E86">
        <w:rPr>
          <w:sz w:val="24"/>
          <w:szCs w:val="24"/>
          <w:lang w:eastAsia="en-GB"/>
        </w:rPr>
        <w:t xml:space="preserve"> og </w:t>
      </w:r>
      <w:proofErr w:type="spellStart"/>
      <w:r w:rsidR="00253DF3" w:rsidRPr="005C6E86">
        <w:rPr>
          <w:sz w:val="24"/>
          <w:szCs w:val="24"/>
          <w:lang w:eastAsia="en-GB"/>
        </w:rPr>
        <w:t>brimonidintartrat</w:t>
      </w:r>
      <w:proofErr w:type="spellEnd"/>
      <w:r w:rsidR="00253DF3" w:rsidRPr="005C6E86">
        <w:rPr>
          <w:sz w:val="24"/>
          <w:szCs w:val="24"/>
          <w:lang w:eastAsia="en-GB"/>
        </w:rPr>
        <w:t>. Disse to</w:t>
      </w:r>
      <w:r w:rsidR="00B938A5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komponenter sænker det </w:t>
      </w:r>
      <w:proofErr w:type="spellStart"/>
      <w:r w:rsidR="00253DF3" w:rsidRPr="005C6E86">
        <w:rPr>
          <w:sz w:val="24"/>
          <w:szCs w:val="24"/>
          <w:lang w:eastAsia="en-GB"/>
        </w:rPr>
        <w:t>intraokulære</w:t>
      </w:r>
      <w:proofErr w:type="spellEnd"/>
      <w:r w:rsidR="00253DF3" w:rsidRPr="005C6E86">
        <w:rPr>
          <w:sz w:val="24"/>
          <w:szCs w:val="24"/>
          <w:lang w:eastAsia="en-GB"/>
        </w:rPr>
        <w:t xml:space="preserve"> tryk (IOP) hos patienter med åbenvinklet </w:t>
      </w:r>
      <w:proofErr w:type="spellStart"/>
      <w:r w:rsidR="00253DF3" w:rsidRPr="005C6E86">
        <w:rPr>
          <w:sz w:val="24"/>
          <w:szCs w:val="24"/>
          <w:lang w:eastAsia="en-GB"/>
        </w:rPr>
        <w:t>glaukom</w:t>
      </w:r>
      <w:proofErr w:type="spellEnd"/>
      <w:r w:rsidR="00253DF3" w:rsidRPr="005C6E86">
        <w:rPr>
          <w:sz w:val="24"/>
          <w:szCs w:val="24"/>
          <w:lang w:eastAsia="en-GB"/>
        </w:rPr>
        <w:t xml:space="preserve"> (OAG) og</w:t>
      </w:r>
      <w:r w:rsidR="00B938A5">
        <w:rPr>
          <w:sz w:val="24"/>
          <w:szCs w:val="24"/>
          <w:lang w:eastAsia="en-GB"/>
        </w:rPr>
        <w:t xml:space="preserve"> </w:t>
      </w:r>
      <w:proofErr w:type="spellStart"/>
      <w:r w:rsidR="00253DF3" w:rsidRPr="005C6E86">
        <w:rPr>
          <w:sz w:val="24"/>
          <w:szCs w:val="24"/>
          <w:lang w:eastAsia="en-GB"/>
        </w:rPr>
        <w:t>okulær</w:t>
      </w:r>
      <w:proofErr w:type="spellEnd"/>
      <w:r w:rsidR="00253DF3" w:rsidRPr="005C6E86">
        <w:rPr>
          <w:sz w:val="24"/>
          <w:szCs w:val="24"/>
          <w:lang w:eastAsia="en-GB"/>
        </w:rPr>
        <w:t xml:space="preserve"> hypertension (OHT) ved at undertrykke dannelsen af kammervæske fra den </w:t>
      </w:r>
      <w:proofErr w:type="spellStart"/>
      <w:r w:rsidR="00253DF3" w:rsidRPr="005C6E86">
        <w:rPr>
          <w:sz w:val="24"/>
          <w:szCs w:val="24"/>
          <w:lang w:eastAsia="en-GB"/>
        </w:rPr>
        <w:t>ciliære</w:t>
      </w:r>
      <w:proofErr w:type="spellEnd"/>
      <w:r w:rsidR="00253DF3" w:rsidRPr="005C6E86">
        <w:rPr>
          <w:sz w:val="24"/>
          <w:szCs w:val="24"/>
          <w:lang w:eastAsia="en-GB"/>
        </w:rPr>
        <w:t xml:space="preserve"> proces i</w:t>
      </w:r>
      <w:r w:rsidR="00B938A5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øjet. Selvom både </w:t>
      </w:r>
      <w:proofErr w:type="spellStart"/>
      <w:r w:rsidR="00253DF3" w:rsidRPr="005C6E86">
        <w:rPr>
          <w:sz w:val="24"/>
          <w:szCs w:val="24"/>
          <w:lang w:eastAsia="en-GB"/>
        </w:rPr>
        <w:t>brinzolamid</w:t>
      </w:r>
      <w:proofErr w:type="spellEnd"/>
      <w:r w:rsidR="00253DF3" w:rsidRPr="005C6E86">
        <w:rPr>
          <w:sz w:val="24"/>
          <w:szCs w:val="24"/>
          <w:lang w:eastAsia="en-GB"/>
        </w:rPr>
        <w:t xml:space="preserve"> og </w:t>
      </w:r>
      <w:proofErr w:type="spellStart"/>
      <w:r w:rsidR="00253DF3" w:rsidRPr="005C6E86">
        <w:rPr>
          <w:sz w:val="24"/>
          <w:szCs w:val="24"/>
          <w:lang w:eastAsia="en-GB"/>
        </w:rPr>
        <w:t>brimonidin</w:t>
      </w:r>
      <w:proofErr w:type="spellEnd"/>
      <w:r w:rsidR="00253DF3" w:rsidRPr="005C6E86">
        <w:rPr>
          <w:sz w:val="24"/>
          <w:szCs w:val="24"/>
          <w:lang w:eastAsia="en-GB"/>
        </w:rPr>
        <w:t xml:space="preserve"> sænker IOP ved at undertrykke dannelsen af</w:t>
      </w:r>
      <w:r w:rsidR="00B938A5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>kammervæske, er deres virkemekanismer forskellige.</w:t>
      </w:r>
    </w:p>
    <w:p w14:paraId="7A993313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512E63EE" w14:textId="4C8C05C2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virker ved at hæmme enzymet </w:t>
      </w:r>
      <w:proofErr w:type="spellStart"/>
      <w:r w:rsidRPr="005C6E86">
        <w:rPr>
          <w:sz w:val="24"/>
          <w:szCs w:val="24"/>
          <w:lang w:eastAsia="en-GB"/>
        </w:rPr>
        <w:t>karboanhydrase</w:t>
      </w:r>
      <w:proofErr w:type="spellEnd"/>
      <w:r w:rsidRPr="005C6E86">
        <w:rPr>
          <w:sz w:val="24"/>
          <w:szCs w:val="24"/>
          <w:lang w:eastAsia="en-GB"/>
        </w:rPr>
        <w:t xml:space="preserve"> (CA-II) i det </w:t>
      </w:r>
      <w:proofErr w:type="spellStart"/>
      <w:r w:rsidRPr="005C6E86">
        <w:rPr>
          <w:sz w:val="24"/>
          <w:szCs w:val="24"/>
          <w:lang w:eastAsia="en-GB"/>
        </w:rPr>
        <w:t>ciliære</w:t>
      </w:r>
      <w:proofErr w:type="spellEnd"/>
      <w:r w:rsidRPr="005C6E86">
        <w:rPr>
          <w:sz w:val="24"/>
          <w:szCs w:val="24"/>
          <w:lang w:eastAsia="en-GB"/>
        </w:rPr>
        <w:t xml:space="preserve"> epitel, som nedsætter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dannelsen af bikarbonat-ioner med en efterfølgende reduktion af natrium og væsketransport på tværs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af det </w:t>
      </w:r>
      <w:proofErr w:type="spellStart"/>
      <w:r w:rsidRPr="005C6E86">
        <w:rPr>
          <w:sz w:val="24"/>
          <w:szCs w:val="24"/>
          <w:lang w:eastAsia="en-GB"/>
        </w:rPr>
        <w:t>ciliære</w:t>
      </w:r>
      <w:proofErr w:type="spellEnd"/>
      <w:r w:rsidRPr="005C6E86">
        <w:rPr>
          <w:sz w:val="24"/>
          <w:szCs w:val="24"/>
          <w:lang w:eastAsia="en-GB"/>
        </w:rPr>
        <w:t xml:space="preserve"> epitel, som derved nedsætter dannelsen af kammervæske.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>, en alfa-2-adrenerg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agonist, hæmmer enzymet </w:t>
      </w:r>
      <w:proofErr w:type="spellStart"/>
      <w:r w:rsidRPr="005C6E86">
        <w:rPr>
          <w:sz w:val="24"/>
          <w:szCs w:val="24"/>
          <w:lang w:eastAsia="en-GB"/>
        </w:rPr>
        <w:t>adenylat-cyclase</w:t>
      </w:r>
      <w:proofErr w:type="spellEnd"/>
      <w:r w:rsidRPr="005C6E86">
        <w:rPr>
          <w:sz w:val="24"/>
          <w:szCs w:val="24"/>
          <w:lang w:eastAsia="en-GB"/>
        </w:rPr>
        <w:t xml:space="preserve"> og undertrykker den </w:t>
      </w:r>
      <w:proofErr w:type="spellStart"/>
      <w:r w:rsidRPr="005C6E86">
        <w:rPr>
          <w:sz w:val="24"/>
          <w:szCs w:val="24"/>
          <w:lang w:eastAsia="en-GB"/>
        </w:rPr>
        <w:t>cAMP</w:t>
      </w:r>
      <w:proofErr w:type="spellEnd"/>
      <w:r w:rsidRPr="005C6E86">
        <w:rPr>
          <w:sz w:val="24"/>
          <w:szCs w:val="24"/>
          <w:lang w:eastAsia="en-GB"/>
        </w:rPr>
        <w:t>-afhængige dannelse af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kammervæske. Derudover medfører admin</w:t>
      </w:r>
      <w:r w:rsidR="00441043">
        <w:rPr>
          <w:sz w:val="24"/>
          <w:szCs w:val="24"/>
          <w:lang w:eastAsia="en-GB"/>
        </w:rPr>
        <w:t>i</w:t>
      </w:r>
      <w:r w:rsidRPr="005C6E86">
        <w:rPr>
          <w:sz w:val="24"/>
          <w:szCs w:val="24"/>
          <w:lang w:eastAsia="en-GB"/>
        </w:rPr>
        <w:t xml:space="preserve">stration af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et øget </w:t>
      </w:r>
      <w:proofErr w:type="spellStart"/>
      <w:r w:rsidRPr="005C6E86">
        <w:rPr>
          <w:sz w:val="24"/>
          <w:szCs w:val="24"/>
          <w:lang w:eastAsia="en-GB"/>
        </w:rPr>
        <w:t>uveoscleralt</w:t>
      </w:r>
      <w:proofErr w:type="spellEnd"/>
      <w:r w:rsidRPr="005C6E86">
        <w:rPr>
          <w:sz w:val="24"/>
          <w:szCs w:val="24"/>
          <w:lang w:eastAsia="en-GB"/>
        </w:rPr>
        <w:t xml:space="preserve"> afløb.</w:t>
      </w:r>
    </w:p>
    <w:p w14:paraId="7BBC857D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A59F90F" w14:textId="77777777" w:rsidR="00253DF3" w:rsidRPr="005C6E86" w:rsidRDefault="00253DF3" w:rsidP="00E02AC4">
      <w:pPr>
        <w:ind w:left="851"/>
        <w:rPr>
          <w:sz w:val="24"/>
          <w:szCs w:val="24"/>
          <w:u w:val="single"/>
          <w:lang w:val="nb-NO" w:eastAsia="en-GB"/>
        </w:rPr>
      </w:pPr>
      <w:r w:rsidRPr="005C6E86">
        <w:rPr>
          <w:sz w:val="24"/>
          <w:szCs w:val="24"/>
          <w:u w:val="single"/>
          <w:lang w:val="nb-NO" w:eastAsia="en-GB"/>
        </w:rPr>
        <w:t>Farmakodynamisk virkning</w:t>
      </w:r>
    </w:p>
    <w:p w14:paraId="38B4769D" w14:textId="77777777" w:rsidR="00253DF3" w:rsidRPr="005C6E86" w:rsidRDefault="00253DF3" w:rsidP="00E02AC4">
      <w:pPr>
        <w:ind w:left="851"/>
        <w:rPr>
          <w:i/>
          <w:iCs/>
          <w:sz w:val="24"/>
          <w:szCs w:val="24"/>
          <w:lang w:val="nb-NO" w:eastAsia="en-GB"/>
        </w:rPr>
      </w:pPr>
    </w:p>
    <w:p w14:paraId="7E37276B" w14:textId="77777777" w:rsidR="00253DF3" w:rsidRPr="005C6E86" w:rsidRDefault="00253DF3" w:rsidP="00E02AC4">
      <w:pPr>
        <w:ind w:left="851"/>
        <w:rPr>
          <w:i/>
          <w:iCs/>
          <w:sz w:val="24"/>
          <w:szCs w:val="24"/>
          <w:u w:val="single"/>
          <w:lang w:val="nb-NO" w:eastAsia="en-GB"/>
        </w:rPr>
      </w:pPr>
      <w:r w:rsidRPr="005C6E86">
        <w:rPr>
          <w:i/>
          <w:iCs/>
          <w:sz w:val="24"/>
          <w:szCs w:val="24"/>
          <w:u w:val="single"/>
          <w:lang w:val="nb-NO" w:eastAsia="en-GB"/>
        </w:rPr>
        <w:t>Klinisk virkning og sikkerhed</w:t>
      </w:r>
    </w:p>
    <w:p w14:paraId="24F03187" w14:textId="77777777" w:rsidR="00253DF3" w:rsidRPr="005C6E86" w:rsidRDefault="00253DF3" w:rsidP="00E02AC4">
      <w:pPr>
        <w:ind w:left="851"/>
        <w:rPr>
          <w:i/>
          <w:iCs/>
          <w:sz w:val="24"/>
          <w:szCs w:val="24"/>
          <w:lang w:val="nb-NO" w:eastAsia="en-GB"/>
        </w:rPr>
      </w:pPr>
    </w:p>
    <w:p w14:paraId="2DA8D30C" w14:textId="77777777" w:rsidR="00253DF3" w:rsidRPr="005C6E86" w:rsidRDefault="00253DF3" w:rsidP="00E02AC4">
      <w:pPr>
        <w:ind w:left="851"/>
        <w:rPr>
          <w:i/>
          <w:iCs/>
          <w:sz w:val="24"/>
          <w:szCs w:val="24"/>
          <w:lang w:val="nb-NO" w:eastAsia="en-GB"/>
        </w:rPr>
      </w:pPr>
      <w:r w:rsidRPr="005C6E86">
        <w:rPr>
          <w:i/>
          <w:iCs/>
          <w:sz w:val="24"/>
          <w:szCs w:val="24"/>
          <w:lang w:val="nb-NO" w:eastAsia="en-GB"/>
        </w:rPr>
        <w:t>Monoterapi</w:t>
      </w:r>
    </w:p>
    <w:p w14:paraId="131B4BC2" w14:textId="3B56C0CD" w:rsidR="00253DF3" w:rsidRPr="005C6E86" w:rsidRDefault="00253DF3" w:rsidP="00E02AC4">
      <w:pPr>
        <w:ind w:left="851"/>
        <w:rPr>
          <w:b/>
          <w:sz w:val="24"/>
          <w:szCs w:val="24"/>
          <w:lang w:eastAsia="fr-LU"/>
        </w:rPr>
      </w:pPr>
      <w:r w:rsidRPr="005C6E86">
        <w:rPr>
          <w:sz w:val="24"/>
          <w:szCs w:val="24"/>
          <w:lang w:val="nb-NO" w:eastAsia="en-GB"/>
        </w:rPr>
        <w:t>I et 6-måneders kontrolleret, klinisk studie med bidragselementer, der omfattede 560 patienter med</w:t>
      </w:r>
      <w:r w:rsidR="00B938A5">
        <w:rPr>
          <w:sz w:val="24"/>
          <w:szCs w:val="24"/>
          <w:lang w:val="nb-NO" w:eastAsia="en-GB"/>
        </w:rPr>
        <w:t xml:space="preserve"> </w:t>
      </w:r>
      <w:r w:rsidRPr="005C6E86">
        <w:rPr>
          <w:sz w:val="24"/>
          <w:szCs w:val="24"/>
          <w:lang w:val="nb-NO" w:eastAsia="en-GB"/>
        </w:rPr>
        <w:t>åbenvinklet glaukom (herunder pseudoeksfoliation eller pigment</w:t>
      </w:r>
      <w:r w:rsidR="00441043">
        <w:rPr>
          <w:sz w:val="24"/>
          <w:szCs w:val="24"/>
          <w:lang w:val="nb-NO" w:eastAsia="en-GB"/>
        </w:rPr>
        <w:softHyphen/>
      </w:r>
      <w:r w:rsidRPr="005C6E86">
        <w:rPr>
          <w:sz w:val="24"/>
          <w:szCs w:val="24"/>
          <w:lang w:val="nb-NO" w:eastAsia="en-GB"/>
        </w:rPr>
        <w:t>dispersionselement) og/eller okulær</w:t>
      </w:r>
      <w:r w:rsidR="00B938A5">
        <w:rPr>
          <w:sz w:val="24"/>
          <w:szCs w:val="24"/>
          <w:lang w:val="nb-NO" w:eastAsia="en-GB"/>
        </w:rPr>
        <w:t xml:space="preserve"> </w:t>
      </w:r>
      <w:r w:rsidRPr="005C6E86">
        <w:rPr>
          <w:sz w:val="24"/>
          <w:szCs w:val="24"/>
          <w:lang w:eastAsia="en-GB"/>
        </w:rPr>
        <w:t>hypertension, der ifølge den forsøgsansvarlige blev utilstrækkelig kontrolleret med monoterapi, eller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allerede i behandling med flere IOP-sænkende lægemidler, og som havde en gennemsnitlig baseline</w:t>
      </w:r>
      <w:r w:rsidR="00B938A5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døgn-IOP på 26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, var den gennemsnitlige IOP-sænkende effekt pr. døgn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10</w:t>
      </w:r>
      <w:r w:rsidR="00A6314A">
        <w:rPr>
          <w:sz w:val="24"/>
          <w:szCs w:val="24"/>
          <w:lang w:eastAsia="en-GB"/>
        </w:rPr>
        <w:t> </w:t>
      </w:r>
      <w:r w:rsidRPr="005C6E86">
        <w:rPr>
          <w:sz w:val="24"/>
          <w:szCs w:val="24"/>
          <w:lang w:eastAsia="en-GB"/>
        </w:rPr>
        <w:t>mg/</w:t>
      </w:r>
      <w:proofErr w:type="spellStart"/>
      <w:r w:rsidRPr="005C6E86">
        <w:rPr>
          <w:sz w:val="24"/>
          <w:szCs w:val="24"/>
          <w:lang w:eastAsia="en-GB"/>
        </w:rPr>
        <w:t>mL</w:t>
      </w:r>
      <w:proofErr w:type="spellEnd"/>
      <w:r w:rsidRPr="005C6E86">
        <w:rPr>
          <w:sz w:val="24"/>
          <w:szCs w:val="24"/>
          <w:lang w:eastAsia="en-GB"/>
        </w:rPr>
        <w:t xml:space="preserve"> + 2mg/</w:t>
      </w:r>
      <w:proofErr w:type="spellStart"/>
      <w:r w:rsidRPr="005C6E86">
        <w:rPr>
          <w:sz w:val="24"/>
          <w:szCs w:val="24"/>
          <w:lang w:eastAsia="en-GB"/>
        </w:rPr>
        <w:t>mL</w:t>
      </w:r>
      <w:proofErr w:type="spellEnd"/>
      <w:r w:rsidRPr="005C6E86">
        <w:rPr>
          <w:sz w:val="24"/>
          <w:szCs w:val="24"/>
          <w:lang w:eastAsia="en-GB"/>
        </w:rPr>
        <w:t xml:space="preserve"> doseret to gange dagligt ca. 8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. Der blev observeret statistisk overlegne reduktioner i den gennemsnitlige døgn-IOP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10</w:t>
      </w:r>
      <w:r w:rsidR="00A6314A">
        <w:rPr>
          <w:sz w:val="24"/>
          <w:szCs w:val="24"/>
          <w:lang w:eastAsia="en-GB"/>
        </w:rPr>
        <w:t> </w:t>
      </w:r>
      <w:r w:rsidRPr="005C6E86">
        <w:rPr>
          <w:sz w:val="24"/>
          <w:szCs w:val="24"/>
          <w:lang w:eastAsia="en-GB"/>
        </w:rPr>
        <w:t>mg/</w:t>
      </w:r>
      <w:proofErr w:type="spellStart"/>
      <w:r w:rsidRPr="005C6E86">
        <w:rPr>
          <w:sz w:val="24"/>
          <w:szCs w:val="24"/>
          <w:lang w:eastAsia="en-GB"/>
        </w:rPr>
        <w:t>mL</w:t>
      </w:r>
      <w:proofErr w:type="spellEnd"/>
      <w:r w:rsidRPr="005C6E86">
        <w:rPr>
          <w:sz w:val="24"/>
          <w:szCs w:val="24"/>
          <w:lang w:eastAsia="en-GB"/>
        </w:rPr>
        <w:t xml:space="preserve"> + 2mg/</w:t>
      </w:r>
      <w:proofErr w:type="spellStart"/>
      <w:r w:rsidRPr="005C6E86">
        <w:rPr>
          <w:sz w:val="24"/>
          <w:szCs w:val="24"/>
          <w:lang w:eastAsia="en-GB"/>
        </w:rPr>
        <w:t>mL</w:t>
      </w:r>
      <w:proofErr w:type="spellEnd"/>
      <w:r w:rsidRPr="005C6E86">
        <w:rPr>
          <w:sz w:val="24"/>
          <w:szCs w:val="24"/>
          <w:lang w:eastAsia="en-GB"/>
        </w:rPr>
        <w:t xml:space="preserve"> i forhold til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10 mg/ml eller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2 mg/ml, når det blev doseret to gange dagligt ved alle besøg i gennem hele studiet (figur 1).</w:t>
      </w:r>
    </w:p>
    <w:p w14:paraId="193618BC" w14:textId="77777777" w:rsidR="00253DF3" w:rsidRPr="005C6E86" w:rsidRDefault="00253DF3" w:rsidP="00253DF3">
      <w:pPr>
        <w:suppressAutoHyphens/>
        <w:ind w:left="567" w:hanging="567"/>
        <w:rPr>
          <w:b/>
          <w:sz w:val="24"/>
          <w:szCs w:val="24"/>
        </w:rPr>
      </w:pPr>
    </w:p>
    <w:p w14:paraId="318FC797" w14:textId="611D5E2D" w:rsidR="00253DF3" w:rsidRPr="005C6E86" w:rsidRDefault="00253DF3" w:rsidP="00B938A5">
      <w:pPr>
        <w:keepNext/>
        <w:autoSpaceDE w:val="0"/>
        <w:autoSpaceDN w:val="0"/>
        <w:adjustRightInd w:val="0"/>
        <w:rPr>
          <w:b/>
          <w:sz w:val="24"/>
          <w:szCs w:val="24"/>
          <w:lang w:eastAsia="fr-LU"/>
        </w:rPr>
      </w:pPr>
      <w:r w:rsidRPr="005C6E86">
        <w:rPr>
          <w:b/>
          <w:bCs/>
          <w:sz w:val="24"/>
          <w:szCs w:val="24"/>
          <w:lang w:eastAsia="en-GB"/>
        </w:rPr>
        <w:t xml:space="preserve">Figur 1 </w:t>
      </w:r>
      <w:proofErr w:type="spellStart"/>
      <w:r w:rsidRPr="005C6E86">
        <w:rPr>
          <w:b/>
          <w:bCs/>
          <w:sz w:val="24"/>
          <w:szCs w:val="24"/>
          <w:lang w:eastAsia="en-GB"/>
        </w:rPr>
        <w:t>Gennemsnit</w:t>
      </w:r>
      <w:r w:rsidRPr="00441043">
        <w:rPr>
          <w:b/>
          <w:bCs/>
          <w:sz w:val="24"/>
          <w:szCs w:val="24"/>
          <w:vertAlign w:val="superscript"/>
          <w:lang w:eastAsia="en-GB"/>
        </w:rPr>
        <w:t>a</w:t>
      </w:r>
      <w:proofErr w:type="spellEnd"/>
      <w:r w:rsidRPr="005C6E86">
        <w:rPr>
          <w:b/>
          <w:bCs/>
          <w:sz w:val="24"/>
          <w:szCs w:val="24"/>
          <w:lang w:eastAsia="en-GB"/>
        </w:rPr>
        <w:t xml:space="preserve"> døgn (</w:t>
      </w:r>
      <w:proofErr w:type="spellStart"/>
      <w:r w:rsidRPr="005C6E86">
        <w:rPr>
          <w:b/>
          <w:bCs/>
          <w:sz w:val="24"/>
          <w:szCs w:val="24"/>
          <w:lang w:eastAsia="en-GB"/>
        </w:rPr>
        <w:t>kl</w:t>
      </w:r>
      <w:proofErr w:type="spellEnd"/>
      <w:r w:rsidRPr="005C6E86">
        <w:rPr>
          <w:b/>
          <w:bCs/>
          <w:sz w:val="24"/>
          <w:szCs w:val="24"/>
          <w:lang w:eastAsia="en-GB"/>
        </w:rPr>
        <w:t xml:space="preserve"> 9.00, +2 timer, +7 timer) IOP-ændring fra baseline (</w:t>
      </w:r>
      <w:proofErr w:type="spellStart"/>
      <w:r w:rsidRPr="005C6E86">
        <w:rPr>
          <w:b/>
          <w:bCs/>
          <w:sz w:val="24"/>
          <w:szCs w:val="24"/>
          <w:lang w:eastAsia="en-GB"/>
        </w:rPr>
        <w:t>mmHg</w:t>
      </w:r>
      <w:proofErr w:type="spellEnd"/>
      <w:r w:rsidRPr="005C6E86">
        <w:rPr>
          <w:b/>
          <w:bCs/>
          <w:sz w:val="24"/>
          <w:szCs w:val="24"/>
          <w:lang w:eastAsia="en-GB"/>
        </w:rPr>
        <w:t>)</w:t>
      </w:r>
      <w:r w:rsidR="00B938A5">
        <w:rPr>
          <w:rFonts w:eastAsia="TimesNewRomanPS-BoldMT"/>
          <w:b/>
          <w:bCs/>
          <w:sz w:val="24"/>
          <w:szCs w:val="24"/>
          <w:lang w:eastAsia="en-GB"/>
        </w:rPr>
        <w:t xml:space="preserve"> -</w:t>
      </w:r>
      <w:r w:rsidRPr="005C6E86">
        <w:rPr>
          <w:b/>
          <w:bCs/>
          <w:sz w:val="24"/>
          <w:szCs w:val="24"/>
          <w:lang w:eastAsia="en-GB"/>
        </w:rPr>
        <w:t>Studie med bidragselementer</w:t>
      </w:r>
    </w:p>
    <w:p w14:paraId="73E8A9E5" w14:textId="77777777" w:rsidR="00253DF3" w:rsidRPr="00AC44E1" w:rsidRDefault="00253DF3" w:rsidP="00E02AC4">
      <w:pPr>
        <w:keepNext/>
        <w:suppressAutoHyphens/>
        <w:ind w:left="567" w:hanging="567"/>
        <w:rPr>
          <w:rFonts w:eastAsiaTheme="minorHAnsi"/>
          <w:b/>
          <w:bCs/>
          <w:noProof/>
          <w:color w:val="000000"/>
          <w:sz w:val="24"/>
          <w:szCs w:val="24"/>
        </w:rPr>
      </w:pPr>
    </w:p>
    <w:p w14:paraId="3FCA9F51" w14:textId="4F1F58F0" w:rsidR="00253DF3" w:rsidRPr="005C6E86" w:rsidRDefault="00253DF3" w:rsidP="00E02AC4">
      <w:pPr>
        <w:keepNext/>
        <w:suppressAutoHyphens/>
        <w:ind w:left="567" w:hanging="567"/>
        <w:rPr>
          <w:b/>
          <w:sz w:val="24"/>
          <w:szCs w:val="24"/>
        </w:rPr>
      </w:pPr>
      <w:r w:rsidRPr="005C6E86">
        <w:rPr>
          <w:noProof/>
          <w:sz w:val="24"/>
          <w:szCs w:val="24"/>
        </w:rPr>
        <w:drawing>
          <wp:inline distT="0" distB="0" distL="0" distR="0" wp14:anchorId="3BFF5BBB" wp14:editId="214780A7">
            <wp:extent cx="4625340" cy="2575560"/>
            <wp:effectExtent l="0" t="0" r="3810" b="0"/>
            <wp:docPr id="76075135" name="Grafik 76075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5135" name="Grafik 76075135"/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10252" t="10388" r="9381" b="10035"/>
                    <a:stretch/>
                  </pic:blipFill>
                  <pic:spPr bwMode="auto">
                    <a:xfrm>
                      <a:off x="0" y="0"/>
                      <a:ext cx="4629150" cy="257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EBA45" w14:textId="7C76CAEF" w:rsidR="00253DF3" w:rsidRPr="00AC44E1" w:rsidRDefault="00253DF3" w:rsidP="00E02AC4">
      <w:pPr>
        <w:keepNext/>
        <w:suppressAutoHyphens/>
        <w:rPr>
          <w:b/>
          <w:sz w:val="20"/>
        </w:rPr>
      </w:pPr>
      <w:r w:rsidRPr="00AC44E1">
        <w:rPr>
          <w:bCs/>
          <w:sz w:val="20"/>
          <w:vertAlign w:val="superscript"/>
        </w:rPr>
        <w:t>a</w:t>
      </w:r>
      <w:r w:rsidR="00441043">
        <w:rPr>
          <w:bCs/>
          <w:sz w:val="20"/>
          <w:vertAlign w:val="superscript"/>
        </w:rPr>
        <w:t xml:space="preserve"> </w:t>
      </w:r>
      <w:r w:rsidRPr="00AC44E1">
        <w:rPr>
          <w:sz w:val="20"/>
          <w:lang w:eastAsia="en-GB"/>
        </w:rPr>
        <w:t xml:space="preserve">Mindste kvadraters metode udledt fra en statistisk model, som tager højde for forsøgsstedet, baseline </w:t>
      </w:r>
      <w:proofErr w:type="spellStart"/>
      <w:r w:rsidRPr="00AC44E1">
        <w:rPr>
          <w:sz w:val="20"/>
          <w:lang w:eastAsia="en-GB"/>
        </w:rPr>
        <w:t>IOPstratum</w:t>
      </w:r>
      <w:proofErr w:type="spellEnd"/>
      <w:r w:rsidRPr="00AC44E1">
        <w:rPr>
          <w:b/>
          <w:sz w:val="20"/>
        </w:rPr>
        <w:t xml:space="preserve"> </w:t>
      </w:r>
      <w:r w:rsidRPr="00AC44E1">
        <w:rPr>
          <w:sz w:val="20"/>
          <w:lang w:eastAsia="en-GB"/>
        </w:rPr>
        <w:t>kl. 9.00 og korrelerede IOP-målinger inden for samme patient.</w:t>
      </w:r>
    </w:p>
    <w:p w14:paraId="764CCCB8" w14:textId="5F03C07E" w:rsidR="00253DF3" w:rsidRPr="00AC44E1" w:rsidRDefault="00253DF3" w:rsidP="00E02AC4">
      <w:pPr>
        <w:keepNext/>
        <w:autoSpaceDE w:val="0"/>
        <w:autoSpaceDN w:val="0"/>
        <w:adjustRightInd w:val="0"/>
        <w:rPr>
          <w:sz w:val="20"/>
          <w:lang w:eastAsia="en-GB"/>
        </w:rPr>
      </w:pPr>
      <w:r w:rsidRPr="00AC44E1">
        <w:rPr>
          <w:sz w:val="20"/>
          <w:lang w:eastAsia="en-GB"/>
        </w:rPr>
        <w:t>Alle behandlingsforskelle (</w:t>
      </w:r>
      <w:proofErr w:type="spellStart"/>
      <w:r w:rsidRPr="00AC44E1">
        <w:rPr>
          <w:sz w:val="20"/>
          <w:lang w:eastAsia="en-GB"/>
        </w:rPr>
        <w:t>brinzolamid</w:t>
      </w:r>
      <w:proofErr w:type="spellEnd"/>
      <w:r w:rsidRPr="00AC44E1">
        <w:rPr>
          <w:sz w:val="20"/>
          <w:lang w:eastAsia="en-GB"/>
        </w:rPr>
        <w:t>/</w:t>
      </w:r>
      <w:proofErr w:type="spellStart"/>
      <w:r w:rsidRPr="00AC44E1">
        <w:rPr>
          <w:sz w:val="20"/>
          <w:lang w:eastAsia="en-GB"/>
        </w:rPr>
        <w:t>brimonidin</w:t>
      </w:r>
      <w:proofErr w:type="spellEnd"/>
      <w:r w:rsidRPr="00AC44E1">
        <w:rPr>
          <w:sz w:val="20"/>
          <w:lang w:eastAsia="en-GB"/>
        </w:rPr>
        <w:t xml:space="preserve"> over for enkelte komponenter) var statistisk signifikante med p=0,0001 eller derunder.</w:t>
      </w:r>
    </w:p>
    <w:p w14:paraId="7B569F02" w14:textId="77777777" w:rsidR="00253DF3" w:rsidRPr="00AC44E1" w:rsidRDefault="00253DF3" w:rsidP="00253DF3">
      <w:pPr>
        <w:suppressAutoHyphens/>
        <w:ind w:left="567" w:hanging="567"/>
        <w:rPr>
          <w:sz w:val="24"/>
          <w:szCs w:val="24"/>
          <w:lang w:eastAsia="fr-LU"/>
        </w:rPr>
      </w:pPr>
    </w:p>
    <w:p w14:paraId="7B024533" w14:textId="0A2F4AD3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Gennemsnitlige IOP-reduktioner fra baseline ved hvert tidspunkt ved hvert besøg, var større med</w:t>
      </w:r>
      <w:r w:rsidR="00AC44E1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(6 til 9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) end for monoterapi med enten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(5 til 7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) eller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(4 til 7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>). Gennemsnitlige IOP-reduktioner i procent i forhold til baseline med</w:t>
      </w:r>
      <w:r w:rsidR="00AC44E1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lå i området fra 23 til 34 %. Procentdelen af patienter med IOP-målinger på under 18 </w:t>
      </w:r>
      <w:proofErr w:type="spellStart"/>
      <w:r w:rsidRPr="005C6E86">
        <w:rPr>
          <w:sz w:val="24"/>
          <w:szCs w:val="24"/>
          <w:lang w:eastAsia="en-GB"/>
        </w:rPr>
        <w:t>mmgHg</w:t>
      </w:r>
      <w:proofErr w:type="spellEnd"/>
      <w:r w:rsidRPr="005C6E86">
        <w:rPr>
          <w:sz w:val="24"/>
          <w:szCs w:val="24"/>
          <w:lang w:eastAsia="en-GB"/>
        </w:rPr>
        <w:t xml:space="preserve"> var større i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rimonidin</w:t>
      </w:r>
      <w:proofErr w:type="spellEnd"/>
      <w:r w:rsidRPr="005C6E86">
        <w:rPr>
          <w:sz w:val="24"/>
          <w:szCs w:val="24"/>
          <w:lang w:eastAsia="en-GB"/>
        </w:rPr>
        <w:t xml:space="preserve">-gruppen end i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rinzolamid</w:t>
      </w:r>
      <w:proofErr w:type="spellEnd"/>
      <w:r w:rsidRPr="005C6E86">
        <w:rPr>
          <w:sz w:val="24"/>
          <w:szCs w:val="24"/>
          <w:lang w:eastAsia="en-GB"/>
        </w:rPr>
        <w:t xml:space="preserve">-gruppen på 11 ud af 12 evalueringer i måned 6, og var større i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>/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-gruppen end i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rimonidin</w:t>
      </w:r>
      <w:proofErr w:type="spellEnd"/>
      <w:r w:rsidRPr="005C6E86">
        <w:rPr>
          <w:sz w:val="24"/>
          <w:szCs w:val="24"/>
          <w:lang w:eastAsia="en-GB"/>
        </w:rPr>
        <w:t>-gruppen ved alle 12 evalueringer i måned 6. Ved +2 timers tidspunktet (tiden, der svarer til morgen-</w:t>
      </w:r>
      <w:proofErr w:type="spellStart"/>
      <w:r w:rsidRPr="005C6E86">
        <w:rPr>
          <w:sz w:val="24"/>
          <w:szCs w:val="24"/>
          <w:lang w:eastAsia="en-GB"/>
        </w:rPr>
        <w:t>peakværdien</w:t>
      </w:r>
      <w:proofErr w:type="spellEnd"/>
      <w:r w:rsidRPr="005C6E86">
        <w:rPr>
          <w:sz w:val="24"/>
          <w:szCs w:val="24"/>
          <w:lang w:eastAsia="en-GB"/>
        </w:rPr>
        <w:t xml:space="preserve"> for effekt) for det primære effektbesøg i måned 3 var andelen af patienter med en IOP på mindre end 18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 68,8 % i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-gruppen og 42,3 % i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rinzolamid</w:t>
      </w:r>
      <w:proofErr w:type="spellEnd"/>
      <w:r w:rsidRPr="005C6E86">
        <w:rPr>
          <w:sz w:val="24"/>
          <w:szCs w:val="24"/>
          <w:lang w:eastAsia="en-GB"/>
        </w:rPr>
        <w:t xml:space="preserve">-gruppen og 44,0 % i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rimonidin</w:t>
      </w:r>
      <w:proofErr w:type="spellEnd"/>
      <w:r w:rsidRPr="005C6E86">
        <w:rPr>
          <w:sz w:val="24"/>
          <w:szCs w:val="24"/>
          <w:lang w:eastAsia="en-GB"/>
        </w:rPr>
        <w:t>-gruppen.</w:t>
      </w:r>
    </w:p>
    <w:p w14:paraId="2125BCA0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A3569E3" w14:textId="41D22969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I et 6-måneders kontrolleret klinisk non-inferioritetsstudie omfattende 890 patienter med åbenvinklet</w:t>
      </w:r>
      <w:r w:rsidR="00AC44E1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glaukom</w:t>
      </w:r>
      <w:proofErr w:type="spellEnd"/>
      <w:r w:rsidRPr="005C6E86">
        <w:rPr>
          <w:sz w:val="24"/>
          <w:szCs w:val="24"/>
          <w:lang w:eastAsia="en-GB"/>
        </w:rPr>
        <w:t xml:space="preserve"> (herunder </w:t>
      </w:r>
      <w:proofErr w:type="spellStart"/>
      <w:r w:rsidRPr="005C6E86">
        <w:rPr>
          <w:sz w:val="24"/>
          <w:szCs w:val="24"/>
          <w:lang w:eastAsia="en-GB"/>
        </w:rPr>
        <w:t>pseudoeksfoliation</w:t>
      </w:r>
      <w:proofErr w:type="spellEnd"/>
      <w:r w:rsidRPr="005C6E86">
        <w:rPr>
          <w:sz w:val="24"/>
          <w:szCs w:val="24"/>
          <w:lang w:eastAsia="en-GB"/>
        </w:rPr>
        <w:t xml:space="preserve"> eller pigmentdispersionselement) og/eller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hypertension,</w:t>
      </w:r>
      <w:r w:rsidR="00AC44E1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der ifølge </w:t>
      </w:r>
      <w:proofErr w:type="spellStart"/>
      <w:r w:rsidRPr="005C6E86">
        <w:rPr>
          <w:sz w:val="24"/>
          <w:szCs w:val="24"/>
          <w:lang w:eastAsia="en-GB"/>
        </w:rPr>
        <w:t>investigator</w:t>
      </w:r>
      <w:proofErr w:type="spellEnd"/>
      <w:r w:rsidRPr="005C6E86">
        <w:rPr>
          <w:sz w:val="24"/>
          <w:szCs w:val="24"/>
          <w:lang w:eastAsia="en-GB"/>
        </w:rPr>
        <w:t xml:space="preserve"> var utilstrækkeligt kontrolleret med monoterapi eller allerede i behandling med</w:t>
      </w:r>
      <w:r w:rsidR="00AC44E1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flere IOP-sænkende lægemidler, og som havde en gennemsnitlig baseline døgn-IOP på 26-27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>,</w:t>
      </w:r>
      <w:r w:rsidR="00AC44E1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blev der påvist non-inferioritet for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, sammenlignet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på 10 mg/ml +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på 2</w:t>
      </w:r>
      <w:r w:rsidR="00441043">
        <w:rPr>
          <w:sz w:val="24"/>
          <w:szCs w:val="24"/>
          <w:lang w:eastAsia="en-GB"/>
        </w:rPr>
        <w:t> </w:t>
      </w:r>
      <w:r w:rsidRPr="005C6E86">
        <w:rPr>
          <w:sz w:val="24"/>
          <w:szCs w:val="24"/>
          <w:lang w:eastAsia="en-GB"/>
        </w:rPr>
        <w:t>mg/ml givet ved en samtidig dosis, ved alle besøg igennem hele studiet, hvad angik gennemsnitlig døgn-reduktion i IOP fra baseline (tabel 1).</w:t>
      </w:r>
    </w:p>
    <w:p w14:paraId="7E2C089F" w14:textId="49A24F14" w:rsidR="00A6314A" w:rsidRDefault="00A6314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br w:type="page"/>
      </w:r>
    </w:p>
    <w:p w14:paraId="72C08116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7A53AFD3" w14:textId="77777777" w:rsidR="00253DF3" w:rsidRPr="005C6E86" w:rsidRDefault="00253DF3" w:rsidP="00253DF3">
      <w:pPr>
        <w:autoSpaceDE w:val="0"/>
        <w:autoSpaceDN w:val="0"/>
        <w:adjustRightInd w:val="0"/>
        <w:rPr>
          <w:b/>
          <w:bCs/>
          <w:sz w:val="24"/>
          <w:szCs w:val="24"/>
          <w:lang w:eastAsia="en-GB"/>
        </w:rPr>
      </w:pPr>
      <w:r w:rsidRPr="005C6E86">
        <w:rPr>
          <w:b/>
          <w:bCs/>
          <w:sz w:val="24"/>
          <w:szCs w:val="24"/>
          <w:lang w:eastAsia="en-GB"/>
        </w:rPr>
        <w:t>Tabel 1. Non-inferioritetsstudie af ændring fra baseline ved sammenligning af gennemsnitligt</w:t>
      </w:r>
    </w:p>
    <w:p w14:paraId="778D196D" w14:textId="77777777" w:rsidR="00253DF3" w:rsidRPr="005C6E86" w:rsidRDefault="00253DF3" w:rsidP="00253DF3">
      <w:pPr>
        <w:suppressAutoHyphens/>
        <w:ind w:left="567" w:hanging="567"/>
        <w:rPr>
          <w:b/>
          <w:bCs/>
          <w:sz w:val="24"/>
          <w:szCs w:val="24"/>
          <w:lang w:eastAsia="en-GB"/>
        </w:rPr>
      </w:pPr>
      <w:r w:rsidRPr="005C6E86">
        <w:rPr>
          <w:b/>
          <w:bCs/>
          <w:sz w:val="24"/>
          <w:szCs w:val="24"/>
          <w:lang w:eastAsia="en-GB"/>
        </w:rPr>
        <w:t>døgn-IOP (</w:t>
      </w:r>
      <w:proofErr w:type="spellStart"/>
      <w:r w:rsidRPr="005C6E86">
        <w:rPr>
          <w:b/>
          <w:bCs/>
          <w:sz w:val="24"/>
          <w:szCs w:val="24"/>
          <w:lang w:eastAsia="en-GB"/>
        </w:rPr>
        <w:t>mmHg</w:t>
      </w:r>
      <w:proofErr w:type="spellEnd"/>
      <w:r w:rsidRPr="005C6E86">
        <w:rPr>
          <w:b/>
          <w:bCs/>
          <w:sz w:val="24"/>
          <w:szCs w:val="24"/>
          <w:lang w:eastAsia="en-GB"/>
        </w:rPr>
        <w:t>)</w:t>
      </w:r>
    </w:p>
    <w:p w14:paraId="7B155A76" w14:textId="77777777" w:rsidR="00253DF3" w:rsidRPr="005C6E86" w:rsidRDefault="00253DF3" w:rsidP="00253DF3">
      <w:pPr>
        <w:suppressAutoHyphens/>
        <w:ind w:left="567" w:hanging="567"/>
        <w:rPr>
          <w:b/>
          <w:bCs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388"/>
        <w:gridCol w:w="3152"/>
        <w:gridCol w:w="2368"/>
      </w:tblGrid>
      <w:tr w:rsidR="00253DF3" w:rsidRPr="005C6E86" w14:paraId="1A9A5F16" w14:textId="77777777" w:rsidTr="00A6314A">
        <w:trPr>
          <w:trHeight w:val="501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6869" w14:textId="77777777" w:rsidR="00253DF3" w:rsidRPr="00563B69" w:rsidRDefault="00253DF3" w:rsidP="00563B6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32"/>
              <w:rPr>
                <w:rFonts w:eastAsiaTheme="minorHAnsi"/>
                <w:sz w:val="22"/>
                <w:szCs w:val="22"/>
                <w:lang w:val="el-GR" w:eastAsia="fr-LU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Visit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749D" w14:textId="11A03939" w:rsidR="00253DF3" w:rsidRPr="00563B69" w:rsidRDefault="00441043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Brinzolamid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/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brimonidin</w:t>
            </w:r>
            <w:proofErr w:type="spellEnd"/>
            <w:r w:rsidR="00253DF3" w:rsidRPr="00563B69">
              <w:rPr>
                <w:rFonts w:eastAsiaTheme="minorHAnsi"/>
                <w:sz w:val="22"/>
                <w:szCs w:val="22"/>
              </w:rPr>
              <w:t xml:space="preserve"> 10 mg/</w:t>
            </w:r>
            <w:proofErr w:type="spellStart"/>
            <w:r w:rsidR="00253DF3" w:rsidRPr="00563B69">
              <w:rPr>
                <w:rFonts w:eastAsiaTheme="minorHAnsi"/>
                <w:sz w:val="22"/>
                <w:szCs w:val="22"/>
              </w:rPr>
              <w:t>mL</w:t>
            </w:r>
            <w:proofErr w:type="spellEnd"/>
            <w:r w:rsidR="00253DF3" w:rsidRPr="00563B69">
              <w:rPr>
                <w:rFonts w:eastAsiaTheme="minorHAnsi"/>
                <w:sz w:val="22"/>
                <w:szCs w:val="22"/>
              </w:rPr>
              <w:t xml:space="preserve"> + 2 mg/</w:t>
            </w:r>
            <w:proofErr w:type="spellStart"/>
            <w:r w:rsidR="00253DF3" w:rsidRPr="00563B69">
              <w:rPr>
                <w:rFonts w:eastAsiaTheme="minorHAnsi"/>
                <w:sz w:val="22"/>
                <w:szCs w:val="22"/>
              </w:rPr>
              <w:t>mL</w:t>
            </w:r>
            <w:proofErr w:type="spellEnd"/>
            <w:r w:rsidR="00253DF3" w:rsidRPr="00563B69"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3B4C773D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eastAsiaTheme="minorHAnsi"/>
                <w:sz w:val="22"/>
                <w:szCs w:val="22"/>
                <w:vertAlign w:val="superscript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</w:rPr>
              <w:t>gennemsnit</w:t>
            </w:r>
            <w:r w:rsidRPr="00563B69">
              <w:rPr>
                <w:rFonts w:eastAsiaTheme="minorHAnsi"/>
                <w:sz w:val="22"/>
                <w:szCs w:val="22"/>
                <w:vertAlign w:val="superscript"/>
                <w:lang w:val="el-GR"/>
              </w:rPr>
              <w:t>a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2E95" w14:textId="2AEFE09F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Brinzolamid</w:t>
            </w:r>
            <w:r w:rsidRPr="00563B69">
              <w:rPr>
                <w:rFonts w:eastAsiaTheme="minorHAnsi"/>
                <w:spacing w:val="2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+</w:t>
            </w:r>
            <w:r w:rsidRPr="00563B69">
              <w:rPr>
                <w:rFonts w:eastAsiaTheme="minorHAnsi"/>
                <w:spacing w:val="-10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Brimonidin</w:t>
            </w:r>
          </w:p>
          <w:p w14:paraId="0012F8A7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eastAsiaTheme="minorHAnsi"/>
                <w:sz w:val="22"/>
                <w:szCs w:val="22"/>
                <w:vertAlign w:val="superscript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</w:rPr>
              <w:t>gennemsnit</w:t>
            </w:r>
            <w:r w:rsidRPr="00563B69">
              <w:rPr>
                <w:rFonts w:eastAsiaTheme="minorHAnsi"/>
                <w:sz w:val="22"/>
                <w:szCs w:val="22"/>
                <w:vertAlign w:val="superscript"/>
                <w:lang w:val="el-GR"/>
              </w:rPr>
              <w:t>a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CF25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Difference</w:t>
            </w:r>
          </w:p>
          <w:p w14:paraId="28ECAC4A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</w:rPr>
              <w:t>gennemsnit</w:t>
            </w:r>
            <w:r w:rsidRPr="00563B69">
              <w:rPr>
                <w:rFonts w:eastAsiaTheme="minorHAnsi"/>
                <w:sz w:val="22"/>
                <w:szCs w:val="22"/>
                <w:vertAlign w:val="superscript"/>
                <w:lang w:val="el-GR"/>
              </w:rPr>
              <w:t>a</w:t>
            </w:r>
            <w:r w:rsidRPr="00563B69">
              <w:rPr>
                <w:rFonts w:eastAsiaTheme="minorHAnsi"/>
                <w:spacing w:val="-1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(95</w:t>
            </w:r>
            <w:r w:rsidRPr="00563B69">
              <w:rPr>
                <w:rFonts w:eastAsiaTheme="minorHAnsi"/>
                <w:color w:val="000000"/>
                <w:sz w:val="22"/>
                <w:szCs w:val="22"/>
                <w:lang w:val="en-US"/>
              </w:rPr>
              <w:t> 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%</w:t>
            </w:r>
            <w:r w:rsidRPr="00563B69">
              <w:rPr>
                <w:rFonts w:eastAsiaTheme="minorHAnsi"/>
                <w:spacing w:val="-4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CI)</w:t>
            </w:r>
          </w:p>
        </w:tc>
      </w:tr>
      <w:tr w:rsidR="00253DF3" w:rsidRPr="005C6E86" w14:paraId="4C34E760" w14:textId="77777777" w:rsidTr="00A6314A">
        <w:trPr>
          <w:trHeight w:val="249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9E6B" w14:textId="77777777" w:rsidR="00253DF3" w:rsidRPr="00563B69" w:rsidRDefault="00253DF3" w:rsidP="00563B69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32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</w:rPr>
              <w:t>Uge</w:t>
            </w:r>
            <w:r w:rsidRPr="00563B69">
              <w:rPr>
                <w:rFonts w:eastAsiaTheme="minorHAnsi"/>
                <w:spacing w:val="-1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3708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-8.4</w:t>
            </w:r>
            <w:r w:rsidRPr="00563B69">
              <w:rPr>
                <w:rFonts w:eastAsiaTheme="minorHAnsi"/>
                <w:spacing w:val="6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(n=394)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DE4F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-8.4</w:t>
            </w:r>
            <w:r w:rsidRPr="00563B69">
              <w:rPr>
                <w:rFonts w:eastAsiaTheme="minorHAnsi"/>
                <w:spacing w:val="7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(n=384)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6394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-0.0</w:t>
            </w:r>
            <w:r w:rsidRPr="00563B69">
              <w:rPr>
                <w:rFonts w:eastAsiaTheme="minorHAnsi"/>
                <w:spacing w:val="4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(-0.4,</w:t>
            </w:r>
            <w:r w:rsidRPr="00563B69">
              <w:rPr>
                <w:rFonts w:eastAsiaTheme="minorHAnsi"/>
                <w:spacing w:val="-3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0.3)</w:t>
            </w:r>
          </w:p>
        </w:tc>
      </w:tr>
      <w:tr w:rsidR="00253DF3" w:rsidRPr="005C6E86" w14:paraId="11EA7982" w14:textId="77777777" w:rsidTr="00A6314A">
        <w:trPr>
          <w:trHeight w:val="241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3A13" w14:textId="77777777" w:rsidR="00253DF3" w:rsidRPr="00563B69" w:rsidRDefault="00253DF3" w:rsidP="00563B6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32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</w:rPr>
              <w:t>Uge</w:t>
            </w:r>
            <w:r w:rsidRPr="00563B69">
              <w:rPr>
                <w:rFonts w:eastAsiaTheme="minorHAnsi"/>
                <w:spacing w:val="-1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A978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-8.5</w:t>
            </w:r>
            <w:r w:rsidRPr="00563B69">
              <w:rPr>
                <w:rFonts w:eastAsiaTheme="minorHAnsi"/>
                <w:spacing w:val="6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(n=384)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72DC5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-8.4</w:t>
            </w:r>
            <w:r w:rsidRPr="00563B69">
              <w:rPr>
                <w:rFonts w:eastAsiaTheme="minorHAnsi"/>
                <w:spacing w:val="7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(n=377)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BBDA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-0.1</w:t>
            </w:r>
            <w:r w:rsidRPr="00563B69">
              <w:rPr>
                <w:rFonts w:eastAsiaTheme="minorHAnsi"/>
                <w:spacing w:val="4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(-0.4,</w:t>
            </w:r>
            <w:r w:rsidRPr="00563B69">
              <w:rPr>
                <w:rFonts w:eastAsiaTheme="minorHAnsi"/>
                <w:spacing w:val="-3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0.2)</w:t>
            </w:r>
          </w:p>
        </w:tc>
      </w:tr>
      <w:tr w:rsidR="00253DF3" w:rsidRPr="005C6E86" w14:paraId="4973E54A" w14:textId="77777777" w:rsidTr="00A6314A">
        <w:trPr>
          <w:trHeight w:val="249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2580" w14:textId="77777777" w:rsidR="00253DF3" w:rsidRPr="00563B69" w:rsidRDefault="00253DF3" w:rsidP="00563B69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32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M</w:t>
            </w:r>
            <w:proofErr w:type="spellStart"/>
            <w:r w:rsidRPr="00563B69">
              <w:rPr>
                <w:rFonts w:eastAsiaTheme="minorHAnsi"/>
                <w:sz w:val="22"/>
                <w:szCs w:val="22"/>
              </w:rPr>
              <w:t>åned</w:t>
            </w:r>
            <w:proofErr w:type="spellEnd"/>
            <w:r w:rsidRPr="00563B69">
              <w:rPr>
                <w:rFonts w:eastAsiaTheme="minorHAnsi"/>
                <w:spacing w:val="-8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7EF6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-8.5</w:t>
            </w:r>
            <w:r w:rsidRPr="00563B69">
              <w:rPr>
                <w:rFonts w:eastAsiaTheme="minorHAnsi"/>
                <w:spacing w:val="6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(n=384)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66BA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-8.3</w:t>
            </w:r>
            <w:r w:rsidRPr="00563B69">
              <w:rPr>
                <w:rFonts w:eastAsiaTheme="minorHAnsi"/>
                <w:spacing w:val="7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(n=373)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D2B9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-0.1</w:t>
            </w:r>
            <w:r w:rsidRPr="00563B69">
              <w:rPr>
                <w:rFonts w:eastAsiaTheme="minorHAnsi"/>
                <w:spacing w:val="4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(-0.5,</w:t>
            </w:r>
            <w:r w:rsidRPr="00563B69">
              <w:rPr>
                <w:rFonts w:eastAsiaTheme="minorHAnsi"/>
                <w:spacing w:val="-3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0.2)</w:t>
            </w:r>
          </w:p>
        </w:tc>
      </w:tr>
      <w:tr w:rsidR="00253DF3" w:rsidRPr="005C6E86" w14:paraId="485392DD" w14:textId="77777777" w:rsidTr="00A6314A">
        <w:trPr>
          <w:trHeight w:val="249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18CD" w14:textId="77777777" w:rsidR="00253DF3" w:rsidRPr="00563B69" w:rsidRDefault="00253DF3" w:rsidP="00563B69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32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M</w:t>
            </w:r>
            <w:proofErr w:type="spellStart"/>
            <w:r w:rsidRPr="00563B69">
              <w:rPr>
                <w:rFonts w:eastAsiaTheme="minorHAnsi"/>
                <w:sz w:val="22"/>
                <w:szCs w:val="22"/>
              </w:rPr>
              <w:t>åned</w:t>
            </w:r>
            <w:proofErr w:type="spellEnd"/>
            <w:r w:rsidRPr="00563B69">
              <w:rPr>
                <w:rFonts w:eastAsiaTheme="minorHAnsi"/>
                <w:spacing w:val="-8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7746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-8.1</w:t>
            </w:r>
            <w:r w:rsidRPr="00563B69">
              <w:rPr>
                <w:rFonts w:eastAsiaTheme="minorHAnsi"/>
                <w:spacing w:val="6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(n=346)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6336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-8.2</w:t>
            </w:r>
            <w:r w:rsidRPr="00563B69">
              <w:rPr>
                <w:rFonts w:eastAsiaTheme="minorHAnsi"/>
                <w:spacing w:val="7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(n=330)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03F4" w14:textId="77777777" w:rsidR="00253DF3" w:rsidRPr="00563B69" w:rsidRDefault="00253DF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10"/>
              <w:rPr>
                <w:rFonts w:eastAsiaTheme="minorHAnsi"/>
                <w:sz w:val="22"/>
                <w:szCs w:val="22"/>
                <w:lang w:val="el-GR"/>
              </w:rPr>
            </w:pPr>
            <w:r w:rsidRPr="00563B69">
              <w:rPr>
                <w:rFonts w:eastAsiaTheme="minorHAnsi"/>
                <w:sz w:val="22"/>
                <w:szCs w:val="22"/>
                <w:lang w:val="el-GR"/>
              </w:rPr>
              <w:t>0.1</w:t>
            </w:r>
            <w:r w:rsidRPr="00563B69">
              <w:rPr>
                <w:rFonts w:eastAsiaTheme="minorHAnsi"/>
                <w:spacing w:val="5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(-0.3,</w:t>
            </w:r>
            <w:r w:rsidRPr="00563B69">
              <w:rPr>
                <w:rFonts w:eastAsiaTheme="minorHAnsi"/>
                <w:spacing w:val="-2"/>
                <w:sz w:val="22"/>
                <w:szCs w:val="22"/>
                <w:lang w:val="el-GR"/>
              </w:rPr>
              <w:t xml:space="preserve"> </w:t>
            </w:r>
            <w:r w:rsidRPr="00563B69">
              <w:rPr>
                <w:rFonts w:eastAsiaTheme="minorHAnsi"/>
                <w:sz w:val="22"/>
                <w:szCs w:val="22"/>
                <w:lang w:val="el-GR"/>
              </w:rPr>
              <w:t>0.4)</w:t>
            </w:r>
          </w:p>
        </w:tc>
      </w:tr>
      <w:tr w:rsidR="00253DF3" w:rsidRPr="005C6E86" w14:paraId="3C3CAEB9" w14:textId="77777777" w:rsidTr="00E02AC4">
        <w:trPr>
          <w:trHeight w:val="5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08A0B" w14:textId="7895BF44" w:rsidR="00253DF3" w:rsidRPr="00563B69" w:rsidRDefault="00253DF3" w:rsidP="00563B69">
            <w:pPr>
              <w:autoSpaceDE w:val="0"/>
              <w:autoSpaceDN w:val="0"/>
              <w:adjustRightInd w:val="0"/>
              <w:ind w:left="416" w:hanging="284"/>
              <w:rPr>
                <w:rFonts w:eastAsiaTheme="minorHAnsi"/>
                <w:sz w:val="22"/>
                <w:szCs w:val="22"/>
                <w:lang w:eastAsia="fr-LU"/>
              </w:rPr>
            </w:pPr>
            <w:r w:rsidRPr="00563B69">
              <w:rPr>
                <w:rFonts w:eastAsiaTheme="minorHAnsi"/>
                <w:spacing w:val="-1"/>
                <w:sz w:val="22"/>
                <w:szCs w:val="22"/>
                <w:vertAlign w:val="superscript"/>
              </w:rPr>
              <w:t>a</w:t>
            </w:r>
            <w:r w:rsidRPr="00563B69">
              <w:rPr>
                <w:rFonts w:eastAsiaTheme="minorHAnsi"/>
                <w:spacing w:val="-23"/>
                <w:sz w:val="22"/>
                <w:szCs w:val="22"/>
              </w:rPr>
              <w:t xml:space="preserve"> </w:t>
            </w:r>
            <w:r w:rsidR="00563B69">
              <w:rPr>
                <w:rFonts w:eastAsiaTheme="minorHAnsi"/>
                <w:spacing w:val="-23"/>
                <w:sz w:val="22"/>
                <w:szCs w:val="22"/>
              </w:rPr>
              <w:tab/>
            </w:r>
            <w:r w:rsidRPr="00563B69">
              <w:rPr>
                <w:sz w:val="22"/>
                <w:szCs w:val="22"/>
                <w:lang w:eastAsia="en-GB"/>
              </w:rPr>
              <w:t>Mindste kvadraters metode udledt fra en statistisk model, som tager højde for</w:t>
            </w:r>
            <w:r w:rsidR="00563B69">
              <w:rPr>
                <w:sz w:val="22"/>
                <w:szCs w:val="22"/>
                <w:lang w:eastAsia="en-GB"/>
              </w:rPr>
              <w:t xml:space="preserve"> </w:t>
            </w:r>
            <w:r w:rsidRPr="00563B69">
              <w:rPr>
                <w:sz w:val="22"/>
                <w:szCs w:val="22"/>
                <w:lang w:eastAsia="en-GB"/>
              </w:rPr>
              <w:t>forsøgsstedet, baseline-IOP-stratum kl. 9.00 og korrelerede IOP-målinger inden for samme</w:t>
            </w:r>
            <w:r w:rsidR="00563B69">
              <w:rPr>
                <w:sz w:val="22"/>
                <w:szCs w:val="22"/>
                <w:lang w:eastAsia="en-GB"/>
              </w:rPr>
              <w:t xml:space="preserve"> </w:t>
            </w:r>
            <w:r w:rsidRPr="00563B69">
              <w:rPr>
                <w:sz w:val="22"/>
                <w:szCs w:val="22"/>
                <w:lang w:eastAsia="en-GB"/>
              </w:rPr>
              <w:t>patient.</w:t>
            </w:r>
          </w:p>
        </w:tc>
      </w:tr>
    </w:tbl>
    <w:p w14:paraId="7F07CA3E" w14:textId="77777777" w:rsidR="00253DF3" w:rsidRPr="005C6E86" w:rsidRDefault="00253DF3" w:rsidP="00253DF3">
      <w:pPr>
        <w:suppressAutoHyphens/>
        <w:ind w:left="567" w:hanging="567"/>
        <w:rPr>
          <w:sz w:val="24"/>
          <w:szCs w:val="24"/>
          <w:lang w:val="fr-LU" w:eastAsia="en-GB"/>
        </w:rPr>
      </w:pPr>
    </w:p>
    <w:p w14:paraId="68E6A0F6" w14:textId="17BF9E78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Gennemsnitlige IOP-reduktioner fra baseline ved hvert tidspunkt ved hvert besøg, hvor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eller de enkelte komponenter blev administreret samtidig var tilsvarende (7 til 10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). Gennemsnitlige IOP-reduktioner i procent fra baseline med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lå i området fra 25 til 37 %.</w:t>
      </w:r>
    </w:p>
    <w:p w14:paraId="0545EF69" w14:textId="56E3335A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Procentdelene af patienter med en IOP-måling på mindre end 18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 var tilsvarende på tværs af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studiebesøg for det samme tidspunkt i måned 6 i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rinzolamid</w:t>
      </w:r>
      <w:proofErr w:type="spellEnd"/>
      <w:r w:rsidRPr="005C6E86">
        <w:rPr>
          <w:sz w:val="24"/>
          <w:szCs w:val="24"/>
          <w:lang w:eastAsia="en-GB"/>
        </w:rPr>
        <w:t xml:space="preserve"> +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="00441043">
        <w:rPr>
          <w:sz w:val="24"/>
          <w:szCs w:val="24"/>
          <w:lang w:eastAsia="en-GB"/>
        </w:rPr>
        <w:t>b</w:t>
      </w:r>
      <w:r w:rsidRPr="005C6E86">
        <w:rPr>
          <w:sz w:val="24"/>
          <w:szCs w:val="24"/>
          <w:lang w:eastAsia="en-GB"/>
        </w:rPr>
        <w:t>rimonidin</w:t>
      </w:r>
      <w:proofErr w:type="spellEnd"/>
      <w:r w:rsidR="00441043">
        <w:rPr>
          <w:sz w:val="24"/>
          <w:szCs w:val="24"/>
          <w:lang w:eastAsia="en-GB"/>
        </w:rPr>
        <w:t>-</w:t>
      </w:r>
      <w:r w:rsidRPr="005C6E86">
        <w:rPr>
          <w:sz w:val="24"/>
          <w:szCs w:val="24"/>
          <w:lang w:eastAsia="en-GB"/>
        </w:rPr>
        <w:t>grupperne. Ved +2 timers tidspunktet (tiden, der svarer til morgen-</w:t>
      </w:r>
      <w:proofErr w:type="spellStart"/>
      <w:r w:rsidRPr="005C6E86">
        <w:rPr>
          <w:sz w:val="24"/>
          <w:szCs w:val="24"/>
          <w:lang w:eastAsia="en-GB"/>
        </w:rPr>
        <w:t>peakværdien</w:t>
      </w:r>
      <w:proofErr w:type="spellEnd"/>
      <w:r w:rsidRPr="005C6E86">
        <w:rPr>
          <w:sz w:val="24"/>
          <w:szCs w:val="24"/>
          <w:lang w:eastAsia="en-GB"/>
        </w:rPr>
        <w:t xml:space="preserve"> for effekt)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for det primære effektbesøg i måned 3 var procentdelen af patienter med en IOP på mindre end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18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 71,6 % i begge studiegrupper.</w:t>
      </w:r>
    </w:p>
    <w:p w14:paraId="66FE5473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5FAC0A7" w14:textId="77777777" w:rsidR="00253DF3" w:rsidRPr="005C6E86" w:rsidRDefault="00253DF3" w:rsidP="00E02AC4">
      <w:pPr>
        <w:ind w:left="851"/>
        <w:rPr>
          <w:i/>
          <w:iCs/>
          <w:sz w:val="24"/>
          <w:szCs w:val="24"/>
          <w:lang w:eastAsia="en-GB"/>
        </w:rPr>
      </w:pPr>
      <w:r w:rsidRPr="005C6E86">
        <w:rPr>
          <w:i/>
          <w:iCs/>
          <w:sz w:val="24"/>
          <w:szCs w:val="24"/>
          <w:lang w:eastAsia="en-GB"/>
        </w:rPr>
        <w:t>Kombinationsbehandling</w:t>
      </w:r>
    </w:p>
    <w:p w14:paraId="6B3050F6" w14:textId="747D2D46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Kliniske data for brugen af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i kombination med </w:t>
      </w:r>
      <w:proofErr w:type="spellStart"/>
      <w:r w:rsidRPr="005C6E86">
        <w:rPr>
          <w:sz w:val="24"/>
          <w:szCs w:val="24"/>
          <w:lang w:eastAsia="en-GB"/>
        </w:rPr>
        <w:t>prostaglandin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analoger</w:t>
      </w:r>
      <w:proofErr w:type="spellEnd"/>
      <w:r w:rsidRPr="005C6E86">
        <w:rPr>
          <w:sz w:val="24"/>
          <w:szCs w:val="24"/>
          <w:lang w:eastAsia="en-GB"/>
        </w:rPr>
        <w:t xml:space="preserve"> (PGA) viste også en bedre IOP-sænkende effekt for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+ PGA sammenlignet med PGA alene. I studie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CQVJ499A2401 viste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+ PGA (f.eks. </w:t>
      </w:r>
      <w:proofErr w:type="spellStart"/>
      <w:r w:rsidRPr="005C6E86">
        <w:rPr>
          <w:sz w:val="24"/>
          <w:szCs w:val="24"/>
          <w:lang w:eastAsia="en-GB"/>
        </w:rPr>
        <w:t>travoprost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latanoprost</w:t>
      </w:r>
      <w:proofErr w:type="spellEnd"/>
      <w:r w:rsidRPr="005C6E86">
        <w:rPr>
          <w:sz w:val="24"/>
          <w:szCs w:val="24"/>
          <w:lang w:eastAsia="en-GB"/>
        </w:rPr>
        <w:t xml:space="preserve"> eller </w:t>
      </w:r>
      <w:proofErr w:type="spellStart"/>
      <w:r w:rsidRPr="005C6E86">
        <w:rPr>
          <w:sz w:val="24"/>
          <w:szCs w:val="24"/>
          <w:lang w:eastAsia="en-GB"/>
        </w:rPr>
        <w:t>bimatoprost</w:t>
      </w:r>
      <w:proofErr w:type="spellEnd"/>
      <w:r w:rsidRPr="005C6E86">
        <w:rPr>
          <w:sz w:val="24"/>
          <w:szCs w:val="24"/>
          <w:lang w:eastAsia="en-GB"/>
        </w:rPr>
        <w:t xml:space="preserve">) bedre IOP-sænkende effekt fra baseline sammenlignet med vehikel + PGA efter 6 ugers behandling med en forskel mellem behandlingerne i den model-tilrettede gennemsnitlige ændring fra baseline for den gennemsnitlige daglige IOP på -3,44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 (95 % CI, -4,2, -2,7; </w:t>
      </w:r>
      <w:proofErr w:type="spellStart"/>
      <w:r w:rsidRPr="005C6E86">
        <w:rPr>
          <w:sz w:val="24"/>
          <w:szCs w:val="24"/>
          <w:lang w:eastAsia="en-GB"/>
        </w:rPr>
        <w:t>p-værdi</w:t>
      </w:r>
      <w:proofErr w:type="spellEnd"/>
      <w:r w:rsidRPr="005C6E86">
        <w:rPr>
          <w:sz w:val="24"/>
          <w:szCs w:val="24"/>
          <w:lang w:eastAsia="en-GB"/>
        </w:rPr>
        <w:t xml:space="preserve"> &lt;0,001).</w:t>
      </w:r>
    </w:p>
    <w:p w14:paraId="379EE554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0B3E30A" w14:textId="7EA8FC3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Kliniske data for brugen af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i kombination med </w:t>
      </w:r>
      <w:proofErr w:type="spellStart"/>
      <w:r w:rsidRPr="005C6E86">
        <w:rPr>
          <w:sz w:val="24"/>
          <w:szCs w:val="24"/>
          <w:lang w:eastAsia="en-GB"/>
        </w:rPr>
        <w:t>travopost-timololmaleat</w:t>
      </w:r>
      <w:proofErr w:type="spellEnd"/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kombinationsøjendråber (opløsning) med fast dosis, viste også en bedre IOP-sænkende effekt for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+ </w:t>
      </w:r>
      <w:proofErr w:type="spellStart"/>
      <w:r w:rsidRPr="005C6E86">
        <w:rPr>
          <w:sz w:val="24"/>
          <w:szCs w:val="24"/>
          <w:lang w:eastAsia="en-GB"/>
        </w:rPr>
        <w:t>travoprost-timololmaleat</w:t>
      </w:r>
      <w:proofErr w:type="spellEnd"/>
      <w:r w:rsidRPr="005C6E86">
        <w:rPr>
          <w:sz w:val="24"/>
          <w:szCs w:val="24"/>
          <w:lang w:eastAsia="en-GB"/>
        </w:rPr>
        <w:t xml:space="preserve"> øjendråber sammenlignet med </w:t>
      </w:r>
      <w:proofErr w:type="spellStart"/>
      <w:r w:rsidRPr="005C6E86">
        <w:rPr>
          <w:sz w:val="24"/>
          <w:szCs w:val="24"/>
          <w:lang w:eastAsia="en-GB"/>
        </w:rPr>
        <w:t>travopost-timololmaleat</w:t>
      </w:r>
      <w:proofErr w:type="spellEnd"/>
      <w:r w:rsidRPr="005C6E86">
        <w:rPr>
          <w:sz w:val="24"/>
          <w:szCs w:val="24"/>
          <w:lang w:eastAsia="en-GB"/>
        </w:rPr>
        <w:t xml:space="preserve"> øjendråberne alene. I studie CQVJ499A2402 viste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+ </w:t>
      </w:r>
      <w:proofErr w:type="spellStart"/>
      <w:r w:rsidRPr="005C6E86">
        <w:rPr>
          <w:sz w:val="24"/>
          <w:szCs w:val="24"/>
          <w:lang w:eastAsia="en-GB"/>
        </w:rPr>
        <w:t>travoprost-timololmaleat</w:t>
      </w:r>
      <w:proofErr w:type="spellEnd"/>
      <w:r w:rsidRPr="005C6E86">
        <w:rPr>
          <w:sz w:val="24"/>
          <w:szCs w:val="24"/>
          <w:lang w:eastAsia="en-GB"/>
        </w:rPr>
        <w:t xml:space="preserve"> øjendråber bedre IOP-sænkende effekt fra baseline sammenlignet med vehikel + </w:t>
      </w:r>
      <w:proofErr w:type="spellStart"/>
      <w:r w:rsidRPr="005C6E86">
        <w:rPr>
          <w:sz w:val="24"/>
          <w:szCs w:val="24"/>
          <w:lang w:eastAsia="en-GB"/>
        </w:rPr>
        <w:t>travoposttimololmaleat</w:t>
      </w:r>
      <w:proofErr w:type="spellEnd"/>
      <w:r w:rsidRPr="005C6E86">
        <w:rPr>
          <w:sz w:val="24"/>
          <w:szCs w:val="24"/>
          <w:lang w:eastAsia="en-GB"/>
        </w:rPr>
        <w:t xml:space="preserve"> øjendråber efter 6 ugers behandling med en forskel mellem behandlingerne i den modeltilrettede gennemsnitlige ændring fra baseline for den gennemsnitlige daglige IOP på -2,15 </w:t>
      </w:r>
      <w:proofErr w:type="spellStart"/>
      <w:r w:rsidRPr="005C6E86">
        <w:rPr>
          <w:sz w:val="24"/>
          <w:szCs w:val="24"/>
          <w:lang w:eastAsia="en-GB"/>
        </w:rPr>
        <w:t>mmHg</w:t>
      </w:r>
      <w:proofErr w:type="spellEnd"/>
      <w:r w:rsidRPr="005C6E86">
        <w:rPr>
          <w:sz w:val="24"/>
          <w:szCs w:val="24"/>
          <w:lang w:eastAsia="en-GB"/>
        </w:rPr>
        <w:t xml:space="preserve"> (95 % CI, -2,8, -1,5; </w:t>
      </w:r>
      <w:proofErr w:type="spellStart"/>
      <w:r w:rsidRPr="005C6E86">
        <w:rPr>
          <w:sz w:val="24"/>
          <w:szCs w:val="24"/>
          <w:lang w:eastAsia="en-GB"/>
        </w:rPr>
        <w:t>p-værdi</w:t>
      </w:r>
      <w:proofErr w:type="spellEnd"/>
      <w:r w:rsidRPr="005C6E86">
        <w:rPr>
          <w:sz w:val="24"/>
          <w:szCs w:val="24"/>
          <w:lang w:eastAsia="en-GB"/>
        </w:rPr>
        <w:t xml:space="preserve"> &lt;0,001).</w:t>
      </w:r>
    </w:p>
    <w:p w14:paraId="5019C681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7E134D5" w14:textId="19CCDEF0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Sikkerhedsprofilen observeret for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i kombinationsbehandling var tilsvarende til det observerede for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monoterapi.</w:t>
      </w:r>
    </w:p>
    <w:p w14:paraId="65B48D6B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Der er ingen effekt- og sikkerhedsdata for kombinationsbehandling efter 6 ugers behandling.</w:t>
      </w:r>
    </w:p>
    <w:p w14:paraId="5AA22AFF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A584C69" w14:textId="77777777" w:rsidR="00253DF3" w:rsidRPr="005C6E86" w:rsidRDefault="00253DF3" w:rsidP="00E02AC4">
      <w:pPr>
        <w:ind w:left="851"/>
        <w:rPr>
          <w:i/>
          <w:iCs/>
          <w:sz w:val="24"/>
          <w:szCs w:val="24"/>
          <w:lang w:eastAsia="en-GB"/>
        </w:rPr>
      </w:pPr>
      <w:r w:rsidRPr="005C6E86">
        <w:rPr>
          <w:i/>
          <w:iCs/>
          <w:sz w:val="24"/>
          <w:szCs w:val="24"/>
          <w:lang w:eastAsia="en-GB"/>
        </w:rPr>
        <w:t>Pædiatrisk population</w:t>
      </w:r>
    </w:p>
    <w:p w14:paraId="40CFDF85" w14:textId="590CB8B6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Det Europæiske Lægemiddelagentur har dispenseret fra kravet om at fremlægge resultaterne af studier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med </w:t>
      </w:r>
      <w:proofErr w:type="gramStart"/>
      <w:r w:rsidRPr="005C6E86">
        <w:rPr>
          <w:sz w:val="24"/>
          <w:szCs w:val="24"/>
          <w:lang w:eastAsia="en-GB"/>
        </w:rPr>
        <w:t>reference lægemiddelproduktet</w:t>
      </w:r>
      <w:proofErr w:type="gramEnd"/>
      <w:r w:rsidRPr="005C6E86">
        <w:rPr>
          <w:sz w:val="24"/>
          <w:szCs w:val="24"/>
          <w:lang w:eastAsia="en-GB"/>
        </w:rPr>
        <w:t xml:space="preserve"> som indeholder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i alle undergrupper af den pædiatriske population ved behandling af </w:t>
      </w:r>
      <w:proofErr w:type="spellStart"/>
      <w:r w:rsidRPr="005C6E86">
        <w:rPr>
          <w:sz w:val="24"/>
          <w:szCs w:val="24"/>
          <w:lang w:eastAsia="en-GB"/>
        </w:rPr>
        <w:t>glaukom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hypertension (se pkt. 4.2 for oplysninger om pædiatrisk anvendelse).</w:t>
      </w:r>
    </w:p>
    <w:p w14:paraId="149E686C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18AAF0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5.2</w:t>
      </w:r>
      <w:r w:rsidRPr="005C6E86">
        <w:rPr>
          <w:b/>
          <w:sz w:val="24"/>
          <w:szCs w:val="24"/>
        </w:rPr>
        <w:tab/>
      </w:r>
      <w:proofErr w:type="spellStart"/>
      <w:r w:rsidRPr="005C6E86">
        <w:rPr>
          <w:b/>
          <w:sz w:val="24"/>
          <w:szCs w:val="24"/>
        </w:rPr>
        <w:t>Farmakokinetiske</w:t>
      </w:r>
      <w:proofErr w:type="spellEnd"/>
      <w:r w:rsidRPr="005C6E86">
        <w:rPr>
          <w:b/>
          <w:sz w:val="24"/>
          <w:szCs w:val="24"/>
        </w:rPr>
        <w:t xml:space="preserve"> egenskaber</w:t>
      </w:r>
    </w:p>
    <w:p w14:paraId="24AC98C1" w14:textId="77777777" w:rsidR="00563B69" w:rsidRDefault="00563B69" w:rsidP="00E02AC4">
      <w:pPr>
        <w:ind w:left="851"/>
        <w:rPr>
          <w:sz w:val="24"/>
          <w:szCs w:val="24"/>
          <w:lang w:eastAsia="en-GB"/>
        </w:rPr>
      </w:pPr>
    </w:p>
    <w:p w14:paraId="46E4F95F" w14:textId="56D0D5F2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Absorption</w:t>
      </w:r>
    </w:p>
    <w:p w14:paraId="2932DDA2" w14:textId="6535F163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Efter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administration absorberes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gennem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>. Stoffet absorberes også i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det systemiske kredsløb, hvor det bindes kraftigt til </w:t>
      </w:r>
      <w:proofErr w:type="spellStart"/>
      <w:r w:rsidRPr="005C6E86">
        <w:rPr>
          <w:sz w:val="24"/>
          <w:szCs w:val="24"/>
          <w:lang w:eastAsia="en-GB"/>
        </w:rPr>
        <w:t>karboanhydrase</w:t>
      </w:r>
      <w:proofErr w:type="spellEnd"/>
      <w:r w:rsidRPr="005C6E86">
        <w:rPr>
          <w:sz w:val="24"/>
          <w:szCs w:val="24"/>
          <w:lang w:eastAsia="en-GB"/>
        </w:rPr>
        <w:t xml:space="preserve"> i de røde blodlegemer (RBC).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Plasmakoncentrationerne er meget lave. Eliminationshalveringstiden i fuldblod er forlænget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(&gt;100 dage) hos mennesker som følge af RBC-</w:t>
      </w:r>
      <w:proofErr w:type="spellStart"/>
      <w:r w:rsidRPr="005C6E86">
        <w:rPr>
          <w:sz w:val="24"/>
          <w:szCs w:val="24"/>
          <w:lang w:eastAsia="en-GB"/>
        </w:rPr>
        <w:t>karboanhydrasebindingen</w:t>
      </w:r>
      <w:proofErr w:type="spellEnd"/>
      <w:r w:rsidRPr="005C6E86">
        <w:rPr>
          <w:sz w:val="24"/>
          <w:szCs w:val="24"/>
          <w:lang w:eastAsia="en-GB"/>
        </w:rPr>
        <w:t>.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absorberes hurtigt i øjet efter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administration. Hos kaniner blev de maksimale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koncentrationer opnået på mindre end en time i de fleste tilfælde. De maksimale humane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plasmakoncentrationer er &lt;1 </w:t>
      </w:r>
      <w:proofErr w:type="spellStart"/>
      <w:r w:rsidRPr="005C6E86">
        <w:rPr>
          <w:sz w:val="24"/>
          <w:szCs w:val="24"/>
          <w:lang w:eastAsia="en-GB"/>
        </w:rPr>
        <w:t>ng</w:t>
      </w:r>
      <w:proofErr w:type="spellEnd"/>
      <w:r w:rsidRPr="005C6E86">
        <w:rPr>
          <w:sz w:val="24"/>
          <w:szCs w:val="24"/>
          <w:lang w:eastAsia="en-GB"/>
        </w:rPr>
        <w:t>/ml og opnås inden for &lt;1 time. Plasmaniveauerne falder med en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halveringstid på cirka 2-3 timer. Der opstår ingen akkumulation under kronisk administration.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I kliniske forsøg med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administration, hvor den systemiske farmakokinetik for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administreres to eller tre gange om dagen i forhold til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, der administreres individuelt ved de samme to doser, </w:t>
      </w:r>
      <w:proofErr w:type="spellStart"/>
      <w:r w:rsidRPr="005C6E86">
        <w:rPr>
          <w:sz w:val="24"/>
          <w:szCs w:val="24"/>
          <w:lang w:eastAsia="en-GB"/>
        </w:rPr>
        <w:t>steady-state</w:t>
      </w:r>
      <w:proofErr w:type="spellEnd"/>
      <w:r w:rsidRPr="005C6E86">
        <w:rPr>
          <w:sz w:val="24"/>
          <w:szCs w:val="24"/>
          <w:lang w:eastAsia="en-GB"/>
        </w:rPr>
        <w:t xml:space="preserve"> i fuldblod for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Ndesethylbrinzolamid</w:t>
      </w:r>
      <w:proofErr w:type="spellEnd"/>
      <w:r w:rsidRPr="005C6E86">
        <w:rPr>
          <w:sz w:val="24"/>
          <w:szCs w:val="24"/>
          <w:lang w:eastAsia="en-GB"/>
        </w:rPr>
        <w:t xml:space="preserve">-farmakokinetik svarede til hinanden for kombinationsproduktet og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givet alene. Ligeledes svarede </w:t>
      </w:r>
      <w:proofErr w:type="spellStart"/>
      <w:r w:rsidRPr="005C6E86">
        <w:rPr>
          <w:sz w:val="24"/>
          <w:szCs w:val="24"/>
          <w:lang w:eastAsia="en-GB"/>
        </w:rPr>
        <w:t>steady</w:t>
      </w:r>
      <w:proofErr w:type="spellEnd"/>
      <w:r w:rsidRPr="005C6E86">
        <w:rPr>
          <w:sz w:val="24"/>
          <w:szCs w:val="24"/>
          <w:lang w:eastAsia="en-GB"/>
        </w:rPr>
        <w:t xml:space="preserve">-state-farmakokinetikken i plasma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fra denne kombination til den som blev observeret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givet alene med undtagelse af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behandlingsgruppen for hvilken middel-AUC på 0-12 timer var omkring 25 % lavere end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alene, når det blev givet to gange dagligt.</w:t>
      </w:r>
    </w:p>
    <w:p w14:paraId="1F6D6A98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39EFB6C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Fordeling</w:t>
      </w:r>
    </w:p>
    <w:p w14:paraId="583D6A42" w14:textId="5E294D82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Forsøg med kaniner viste, at de maksimale, </w:t>
      </w:r>
      <w:proofErr w:type="spellStart"/>
      <w:r w:rsidRPr="005C6E86">
        <w:rPr>
          <w:sz w:val="24"/>
          <w:szCs w:val="24"/>
          <w:lang w:eastAsia="en-GB"/>
        </w:rPr>
        <w:t>okulære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-koncentrationer efter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administration forekommer i det </w:t>
      </w:r>
      <w:proofErr w:type="spellStart"/>
      <w:r w:rsidRPr="005C6E86">
        <w:rPr>
          <w:sz w:val="24"/>
          <w:szCs w:val="24"/>
          <w:lang w:eastAsia="en-GB"/>
        </w:rPr>
        <w:t>anteriore</w:t>
      </w:r>
      <w:proofErr w:type="spellEnd"/>
      <w:r w:rsidRPr="005C6E86">
        <w:rPr>
          <w:sz w:val="24"/>
          <w:szCs w:val="24"/>
          <w:lang w:eastAsia="en-GB"/>
        </w:rPr>
        <w:t xml:space="preserve"> væv, såsom </w:t>
      </w:r>
      <w:proofErr w:type="spellStart"/>
      <w:r w:rsidRPr="005C6E86">
        <w:rPr>
          <w:sz w:val="24"/>
          <w:szCs w:val="24"/>
          <w:lang w:eastAsia="en-GB"/>
        </w:rPr>
        <w:t>cornea</w:t>
      </w:r>
      <w:proofErr w:type="spellEnd"/>
      <w:r w:rsidRPr="005C6E86">
        <w:rPr>
          <w:sz w:val="24"/>
          <w:szCs w:val="24"/>
          <w:lang w:eastAsia="en-GB"/>
        </w:rPr>
        <w:t xml:space="preserve">, </w:t>
      </w:r>
      <w:proofErr w:type="spellStart"/>
      <w:r w:rsidRPr="005C6E86">
        <w:rPr>
          <w:sz w:val="24"/>
          <w:szCs w:val="24"/>
          <w:lang w:eastAsia="en-GB"/>
        </w:rPr>
        <w:t>konjunktiva</w:t>
      </w:r>
      <w:proofErr w:type="spellEnd"/>
      <w:r w:rsidRPr="005C6E86">
        <w:rPr>
          <w:sz w:val="24"/>
          <w:szCs w:val="24"/>
          <w:lang w:eastAsia="en-GB"/>
        </w:rPr>
        <w:t>, kammervæsken og corpus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ciliare</w:t>
      </w:r>
      <w:proofErr w:type="spellEnd"/>
      <w:r w:rsidRPr="005C6E86">
        <w:rPr>
          <w:sz w:val="24"/>
          <w:szCs w:val="24"/>
          <w:lang w:eastAsia="en-GB"/>
        </w:rPr>
        <w:t xml:space="preserve">. Retention i </w:t>
      </w:r>
      <w:proofErr w:type="spellStart"/>
      <w:r w:rsidRPr="005C6E86">
        <w:rPr>
          <w:sz w:val="24"/>
          <w:szCs w:val="24"/>
          <w:lang w:eastAsia="en-GB"/>
        </w:rPr>
        <w:t>okulært</w:t>
      </w:r>
      <w:proofErr w:type="spellEnd"/>
      <w:r w:rsidRPr="005C6E86">
        <w:rPr>
          <w:sz w:val="24"/>
          <w:szCs w:val="24"/>
          <w:lang w:eastAsia="en-GB"/>
        </w:rPr>
        <w:t xml:space="preserve"> væv er forlænget som følge af bindingen til </w:t>
      </w:r>
      <w:proofErr w:type="spellStart"/>
      <w:r w:rsidRPr="005C6E86">
        <w:rPr>
          <w:sz w:val="24"/>
          <w:szCs w:val="24"/>
          <w:lang w:eastAsia="en-GB"/>
        </w:rPr>
        <w:t>karboanhydrase</w:t>
      </w:r>
      <w:proofErr w:type="spellEnd"/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har en moderat (ca. 60 %) binding til humane plasmaproteiner.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udviser affinitet for </w:t>
      </w:r>
      <w:proofErr w:type="spellStart"/>
      <w:r w:rsidRPr="005C6E86">
        <w:rPr>
          <w:sz w:val="24"/>
          <w:szCs w:val="24"/>
          <w:lang w:eastAsia="en-GB"/>
        </w:rPr>
        <w:t>okulært</w:t>
      </w:r>
      <w:proofErr w:type="spellEnd"/>
      <w:r w:rsidRPr="005C6E86">
        <w:rPr>
          <w:sz w:val="24"/>
          <w:szCs w:val="24"/>
          <w:lang w:eastAsia="en-GB"/>
        </w:rPr>
        <w:t xml:space="preserve"> pigmentvæv, især corpus </w:t>
      </w:r>
      <w:proofErr w:type="spellStart"/>
      <w:r w:rsidRPr="005C6E86">
        <w:rPr>
          <w:sz w:val="24"/>
          <w:szCs w:val="24"/>
          <w:lang w:eastAsia="en-GB"/>
        </w:rPr>
        <w:t>ciliare</w:t>
      </w:r>
      <w:proofErr w:type="spellEnd"/>
      <w:r w:rsidRPr="005C6E86">
        <w:rPr>
          <w:sz w:val="24"/>
          <w:szCs w:val="24"/>
          <w:lang w:eastAsia="en-GB"/>
        </w:rPr>
        <w:t>, som er kendt for sine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melaninbindende egenskaber. Imidlertid viser de kliniske og prækliniske sikkerhedsdata sig at være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veltolererede og sikre under kronisk administration.</w:t>
      </w:r>
    </w:p>
    <w:p w14:paraId="472248F5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0955B6D3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Biotransformation</w:t>
      </w:r>
    </w:p>
    <w:p w14:paraId="4D80865F" w14:textId="67102861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metaboliseres</w:t>
      </w:r>
      <w:proofErr w:type="spellEnd"/>
      <w:r w:rsidRPr="005C6E86">
        <w:rPr>
          <w:sz w:val="24"/>
          <w:szCs w:val="24"/>
          <w:lang w:eastAsia="en-GB"/>
        </w:rPr>
        <w:t xml:space="preserve"> af </w:t>
      </w:r>
      <w:proofErr w:type="spellStart"/>
      <w:r w:rsidRPr="005C6E86">
        <w:rPr>
          <w:sz w:val="24"/>
          <w:szCs w:val="24"/>
          <w:lang w:eastAsia="en-GB"/>
        </w:rPr>
        <w:t>cytokrom</w:t>
      </w:r>
      <w:proofErr w:type="spellEnd"/>
      <w:r w:rsidRPr="005C6E86">
        <w:rPr>
          <w:sz w:val="24"/>
          <w:szCs w:val="24"/>
          <w:lang w:eastAsia="en-GB"/>
        </w:rPr>
        <w:t xml:space="preserve"> P450 i leveren, især CYP3A4, CYP2A6, CYP2B6, CYP2C8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og CYP2C9. Den primære metabolit er N-</w:t>
      </w:r>
      <w:proofErr w:type="spellStart"/>
      <w:r w:rsidRPr="005C6E86">
        <w:rPr>
          <w:sz w:val="24"/>
          <w:szCs w:val="24"/>
          <w:lang w:eastAsia="en-GB"/>
        </w:rPr>
        <w:t>desethylbrinzolamid</w:t>
      </w:r>
      <w:proofErr w:type="spellEnd"/>
      <w:r w:rsidRPr="005C6E86">
        <w:rPr>
          <w:sz w:val="24"/>
          <w:szCs w:val="24"/>
          <w:lang w:eastAsia="en-GB"/>
        </w:rPr>
        <w:t xml:space="preserve"> efterfulgt af N-</w:t>
      </w:r>
      <w:proofErr w:type="spellStart"/>
      <w:r w:rsidRPr="005C6E86">
        <w:rPr>
          <w:sz w:val="24"/>
          <w:szCs w:val="24"/>
          <w:lang w:eastAsia="en-GB"/>
        </w:rPr>
        <w:t>desmethoxypropyl</w:t>
      </w:r>
      <w:proofErr w:type="spellEnd"/>
      <w:r w:rsidRPr="005C6E86">
        <w:rPr>
          <w:sz w:val="24"/>
          <w:szCs w:val="24"/>
          <w:lang w:eastAsia="en-GB"/>
        </w:rPr>
        <w:t xml:space="preserve"> og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O-</w:t>
      </w:r>
      <w:proofErr w:type="spellStart"/>
      <w:r w:rsidRPr="005C6E86">
        <w:rPr>
          <w:sz w:val="24"/>
          <w:szCs w:val="24"/>
          <w:lang w:eastAsia="en-GB"/>
        </w:rPr>
        <w:t>desmethyl</w:t>
      </w:r>
      <w:proofErr w:type="spellEnd"/>
      <w:r w:rsidRPr="005C6E86">
        <w:rPr>
          <w:sz w:val="24"/>
          <w:szCs w:val="24"/>
          <w:lang w:eastAsia="en-GB"/>
        </w:rPr>
        <w:t>-metabolitterne samt N-</w:t>
      </w:r>
      <w:proofErr w:type="spellStart"/>
      <w:r w:rsidRPr="005C6E86">
        <w:rPr>
          <w:sz w:val="24"/>
          <w:szCs w:val="24"/>
          <w:lang w:eastAsia="en-GB"/>
        </w:rPr>
        <w:t>propionsyreanalogen</w:t>
      </w:r>
      <w:proofErr w:type="spellEnd"/>
      <w:r w:rsidRPr="005C6E86">
        <w:rPr>
          <w:sz w:val="24"/>
          <w:szCs w:val="24"/>
          <w:lang w:eastAsia="en-GB"/>
        </w:rPr>
        <w:t xml:space="preserve">, som dannes ved oxidering af </w:t>
      </w:r>
      <w:proofErr w:type="spellStart"/>
      <w:r w:rsidRPr="005C6E86">
        <w:rPr>
          <w:sz w:val="24"/>
          <w:szCs w:val="24"/>
          <w:lang w:eastAsia="en-GB"/>
        </w:rPr>
        <w:t>Npropylsidekæden</w:t>
      </w:r>
      <w:proofErr w:type="spellEnd"/>
      <w:r w:rsidRPr="005C6E86">
        <w:rPr>
          <w:sz w:val="24"/>
          <w:szCs w:val="24"/>
          <w:lang w:eastAsia="en-GB"/>
        </w:rPr>
        <w:t xml:space="preserve"> til O-</w:t>
      </w:r>
      <w:proofErr w:type="spellStart"/>
      <w:r w:rsidRPr="005C6E86">
        <w:rPr>
          <w:sz w:val="24"/>
          <w:szCs w:val="24"/>
          <w:lang w:eastAsia="en-GB"/>
        </w:rPr>
        <w:t>desmethyl</w:t>
      </w:r>
      <w:proofErr w:type="spellEnd"/>
      <w:r w:rsidRPr="005C6E86">
        <w:rPr>
          <w:sz w:val="24"/>
          <w:szCs w:val="24"/>
          <w:lang w:eastAsia="en-GB"/>
        </w:rPr>
        <w:t>-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.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N-</w:t>
      </w:r>
      <w:proofErr w:type="spellStart"/>
      <w:r w:rsidRPr="005C6E86">
        <w:rPr>
          <w:sz w:val="24"/>
          <w:szCs w:val="24"/>
          <w:lang w:eastAsia="en-GB"/>
        </w:rPr>
        <w:t>desethylbrinzolamid</w:t>
      </w:r>
      <w:proofErr w:type="spellEnd"/>
      <w:r w:rsidRPr="005C6E86">
        <w:rPr>
          <w:sz w:val="24"/>
          <w:szCs w:val="24"/>
          <w:lang w:eastAsia="en-GB"/>
        </w:rPr>
        <w:t xml:space="preserve"> hæmmer ikke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cytokrom</w:t>
      </w:r>
      <w:proofErr w:type="spellEnd"/>
      <w:r w:rsidRPr="005C6E86">
        <w:rPr>
          <w:sz w:val="24"/>
          <w:szCs w:val="24"/>
          <w:lang w:eastAsia="en-GB"/>
        </w:rPr>
        <w:t xml:space="preserve"> P450-isozymer ved koncentrationer på mindst 100-gange over de maksimale systemiske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niveauer.</w:t>
      </w:r>
    </w:p>
    <w:p w14:paraId="56AFBB0F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E398837" w14:textId="53379D02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metaboliseres</w:t>
      </w:r>
      <w:proofErr w:type="spellEnd"/>
      <w:r w:rsidRPr="005C6E86">
        <w:rPr>
          <w:sz w:val="24"/>
          <w:szCs w:val="24"/>
          <w:lang w:eastAsia="en-GB"/>
        </w:rPr>
        <w:t xml:space="preserve"> i udpræget grad af den </w:t>
      </w:r>
      <w:proofErr w:type="spellStart"/>
      <w:r w:rsidRPr="005C6E86">
        <w:rPr>
          <w:sz w:val="24"/>
          <w:szCs w:val="24"/>
          <w:lang w:eastAsia="en-GB"/>
        </w:rPr>
        <w:t>hepatiske</w:t>
      </w:r>
      <w:proofErr w:type="spellEnd"/>
      <w:r w:rsidRPr="005C6E86">
        <w:rPr>
          <w:sz w:val="24"/>
          <w:szCs w:val="24"/>
          <w:lang w:eastAsia="en-GB"/>
        </w:rPr>
        <w:t xml:space="preserve"> aldehyd-oxidase med dannelse af 2-oxobrimonidin, 3-oxobrimonidin og 2,3-dioxobrimonidin, som er</w:t>
      </w:r>
      <w:r w:rsidR="00441043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hoved</w:t>
      </w:r>
      <w:r w:rsidR="00441043">
        <w:rPr>
          <w:sz w:val="24"/>
          <w:szCs w:val="24"/>
          <w:lang w:eastAsia="en-GB"/>
        </w:rPr>
        <w:softHyphen/>
      </w:r>
      <w:r w:rsidRPr="005C6E86">
        <w:rPr>
          <w:sz w:val="24"/>
          <w:szCs w:val="24"/>
          <w:lang w:eastAsia="en-GB"/>
        </w:rPr>
        <w:t xml:space="preserve">metabolitterne. </w:t>
      </w:r>
      <w:proofErr w:type="spellStart"/>
      <w:r w:rsidRPr="005C6E86">
        <w:rPr>
          <w:sz w:val="24"/>
          <w:szCs w:val="24"/>
          <w:lang w:eastAsia="en-GB"/>
        </w:rPr>
        <w:t>Oxidativ</w:t>
      </w:r>
      <w:proofErr w:type="spellEnd"/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kløvning af </w:t>
      </w:r>
      <w:proofErr w:type="spellStart"/>
      <w:r w:rsidRPr="005C6E86">
        <w:rPr>
          <w:sz w:val="24"/>
          <w:szCs w:val="24"/>
          <w:lang w:eastAsia="en-GB"/>
        </w:rPr>
        <w:t>imidazolin</w:t>
      </w:r>
      <w:proofErr w:type="spellEnd"/>
      <w:r w:rsidRPr="005C6E86">
        <w:rPr>
          <w:sz w:val="24"/>
          <w:szCs w:val="24"/>
          <w:lang w:eastAsia="en-GB"/>
        </w:rPr>
        <w:t>-ringen til 5-bromo-6-guanidinoquinoxalin observeres også.</w:t>
      </w:r>
    </w:p>
    <w:p w14:paraId="102B806C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6FEA7763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Elimination</w:t>
      </w:r>
    </w:p>
    <w:p w14:paraId="152D90DD" w14:textId="645F0DD3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udskilles primært som uændret stof gennem urinen. Hos mennesker udgjorde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og N-</w:t>
      </w:r>
      <w:proofErr w:type="spellStart"/>
      <w:r w:rsidRPr="005C6E86">
        <w:rPr>
          <w:sz w:val="24"/>
          <w:szCs w:val="24"/>
          <w:lang w:eastAsia="en-GB"/>
        </w:rPr>
        <w:t>desethylbrinzolamid</w:t>
      </w:r>
      <w:proofErr w:type="spellEnd"/>
      <w:r w:rsidRPr="005C6E86">
        <w:rPr>
          <w:sz w:val="24"/>
          <w:szCs w:val="24"/>
          <w:lang w:eastAsia="en-GB"/>
        </w:rPr>
        <w:t xml:space="preserve"> udskilt gennem urinen hhv. ca. 60 og 6 % af dosen. Data fra rotter viste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nogen grad af udskillelse via galdevejene (ca. 30 %), primært som metabolitter.</w:t>
      </w:r>
    </w:p>
    <w:p w14:paraId="101B24E9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A196564" w14:textId="43E10E78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udskilles primært som metabolitter gennem urinen. I rotter og aber udgjorde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urinvejsmetabolitter 60 til 75 % af de orale eller intravenøse doser.</w:t>
      </w:r>
    </w:p>
    <w:p w14:paraId="5B536500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9568944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Linearitet/non-linearitet</w:t>
      </w:r>
    </w:p>
    <w:p w14:paraId="7F48558A" w14:textId="2A06A2CD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Farmakokinetikken for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er grundlæggende non-lineær på grund af den mættede binding til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karboanhydrase</w:t>
      </w:r>
      <w:proofErr w:type="spellEnd"/>
      <w:r w:rsidRPr="005C6E86">
        <w:rPr>
          <w:sz w:val="24"/>
          <w:szCs w:val="24"/>
          <w:lang w:eastAsia="en-GB"/>
        </w:rPr>
        <w:t xml:space="preserve"> i fuldblod og forskelligt væv. </w:t>
      </w:r>
      <w:proofErr w:type="spellStart"/>
      <w:r w:rsidRPr="005C6E86">
        <w:rPr>
          <w:sz w:val="24"/>
          <w:szCs w:val="24"/>
          <w:lang w:eastAsia="en-GB"/>
        </w:rPr>
        <w:t>Steady</w:t>
      </w:r>
      <w:proofErr w:type="spellEnd"/>
      <w:r w:rsidRPr="005C6E86">
        <w:rPr>
          <w:sz w:val="24"/>
          <w:szCs w:val="24"/>
          <w:lang w:eastAsia="en-GB"/>
        </w:rPr>
        <w:t>-state-eksponering øges ikke proportionelt med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dosis.</w:t>
      </w:r>
    </w:p>
    <w:p w14:paraId="15067E8E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3531C4F5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Tværtimod udviser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lineær farmakokinetik over det kliniske terapeutiske dosisområde.</w:t>
      </w:r>
    </w:p>
    <w:p w14:paraId="515DCDC2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16AB74C1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563B69">
        <w:rPr>
          <w:sz w:val="24"/>
          <w:szCs w:val="24"/>
          <w:u w:val="single"/>
          <w:lang w:eastAsia="en-GB"/>
        </w:rPr>
        <w:t>Farmakokinetiske</w:t>
      </w:r>
      <w:proofErr w:type="spellEnd"/>
      <w:r w:rsidRPr="00563B69">
        <w:rPr>
          <w:sz w:val="24"/>
          <w:szCs w:val="24"/>
          <w:u w:val="single"/>
          <w:lang w:eastAsia="en-GB"/>
        </w:rPr>
        <w:t>/</w:t>
      </w:r>
      <w:proofErr w:type="spellStart"/>
      <w:r w:rsidRPr="00563B69">
        <w:rPr>
          <w:sz w:val="24"/>
          <w:szCs w:val="24"/>
          <w:u w:val="single"/>
          <w:lang w:eastAsia="en-GB"/>
        </w:rPr>
        <w:t>farmakodynamiske</w:t>
      </w:r>
      <w:proofErr w:type="spellEnd"/>
      <w:r w:rsidRPr="00563B69">
        <w:rPr>
          <w:sz w:val="24"/>
          <w:szCs w:val="24"/>
          <w:u w:val="single"/>
          <w:lang w:eastAsia="en-GB"/>
        </w:rPr>
        <w:t xml:space="preserve"> forhold</w:t>
      </w:r>
    </w:p>
    <w:p w14:paraId="4AAACB75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3D907F4" w14:textId="5328AF38" w:rsidR="00253DF3" w:rsidRPr="005C6E86" w:rsidRDefault="00441043" w:rsidP="00E02AC4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Brinzolamide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Brimonidine</w:t>
      </w:r>
      <w:proofErr w:type="spellEnd"/>
      <w:r w:rsidR="00A00569">
        <w:rPr>
          <w:sz w:val="24"/>
          <w:szCs w:val="24"/>
          <w:lang w:eastAsia="en-GB"/>
        </w:rPr>
        <w:t xml:space="preserve"> "</w:t>
      </w:r>
      <w:proofErr w:type="spellStart"/>
      <w:r w:rsidR="00A00569">
        <w:rPr>
          <w:sz w:val="24"/>
          <w:szCs w:val="24"/>
          <w:lang w:eastAsia="en-GB"/>
        </w:rPr>
        <w:t>Stada</w:t>
      </w:r>
      <w:proofErr w:type="spellEnd"/>
      <w:r w:rsidR="00A00569">
        <w:rPr>
          <w:sz w:val="24"/>
          <w:szCs w:val="24"/>
          <w:lang w:eastAsia="en-GB"/>
        </w:rPr>
        <w:t>"</w:t>
      </w:r>
      <w:r w:rsidR="00253DF3" w:rsidRPr="005C6E86">
        <w:rPr>
          <w:sz w:val="24"/>
          <w:szCs w:val="24"/>
          <w:lang w:eastAsia="en-GB"/>
        </w:rPr>
        <w:t xml:space="preserve"> er beregnet til at virke lokalt indeni øjet. Evaluering af human </w:t>
      </w:r>
      <w:proofErr w:type="spellStart"/>
      <w:r w:rsidR="00253DF3" w:rsidRPr="005C6E86">
        <w:rPr>
          <w:sz w:val="24"/>
          <w:szCs w:val="24"/>
          <w:lang w:eastAsia="en-GB"/>
        </w:rPr>
        <w:t>okulær</w:t>
      </w:r>
      <w:proofErr w:type="spellEnd"/>
      <w:r w:rsidR="00253DF3" w:rsidRPr="005C6E86">
        <w:rPr>
          <w:sz w:val="24"/>
          <w:szCs w:val="24"/>
          <w:lang w:eastAsia="en-GB"/>
        </w:rPr>
        <w:t xml:space="preserve"> eksponering ved</w:t>
      </w:r>
      <w:r w:rsidR="00563B69">
        <w:rPr>
          <w:sz w:val="24"/>
          <w:szCs w:val="24"/>
          <w:lang w:eastAsia="en-GB"/>
        </w:rPr>
        <w:t xml:space="preserve"> </w:t>
      </w:r>
      <w:r w:rsidR="00253DF3" w:rsidRPr="005C6E86">
        <w:rPr>
          <w:sz w:val="24"/>
          <w:szCs w:val="24"/>
          <w:lang w:eastAsia="en-GB"/>
        </w:rPr>
        <w:t xml:space="preserve">virksomme doser er ikke muligt. Den </w:t>
      </w:r>
      <w:proofErr w:type="spellStart"/>
      <w:r w:rsidR="00253DF3" w:rsidRPr="005C6E86">
        <w:rPr>
          <w:sz w:val="24"/>
          <w:szCs w:val="24"/>
          <w:lang w:eastAsia="en-GB"/>
        </w:rPr>
        <w:t>farmako</w:t>
      </w:r>
      <w:r w:rsidR="00A6314A">
        <w:rPr>
          <w:sz w:val="24"/>
          <w:szCs w:val="24"/>
          <w:lang w:eastAsia="en-GB"/>
        </w:rPr>
        <w:softHyphen/>
      </w:r>
      <w:r w:rsidR="00253DF3" w:rsidRPr="005C6E86">
        <w:rPr>
          <w:sz w:val="24"/>
          <w:szCs w:val="24"/>
          <w:lang w:eastAsia="en-GB"/>
        </w:rPr>
        <w:t>kinetiske</w:t>
      </w:r>
      <w:proofErr w:type="spellEnd"/>
      <w:r w:rsidR="00253DF3" w:rsidRPr="005C6E86">
        <w:rPr>
          <w:sz w:val="24"/>
          <w:szCs w:val="24"/>
          <w:lang w:eastAsia="en-GB"/>
        </w:rPr>
        <w:t>/</w:t>
      </w:r>
      <w:proofErr w:type="spellStart"/>
      <w:r w:rsidR="00253DF3" w:rsidRPr="005C6E86">
        <w:rPr>
          <w:sz w:val="24"/>
          <w:szCs w:val="24"/>
          <w:lang w:eastAsia="en-GB"/>
        </w:rPr>
        <w:t>farma</w:t>
      </w:r>
      <w:r w:rsidR="00A6314A">
        <w:rPr>
          <w:sz w:val="24"/>
          <w:szCs w:val="24"/>
          <w:lang w:eastAsia="en-GB"/>
        </w:rPr>
        <w:softHyphen/>
      </w:r>
      <w:r>
        <w:rPr>
          <w:sz w:val="24"/>
          <w:szCs w:val="24"/>
          <w:lang w:eastAsia="en-GB"/>
        </w:rPr>
        <w:softHyphen/>
      </w:r>
      <w:r w:rsidR="00253DF3" w:rsidRPr="005C6E86">
        <w:rPr>
          <w:sz w:val="24"/>
          <w:szCs w:val="24"/>
          <w:lang w:eastAsia="en-GB"/>
        </w:rPr>
        <w:t>kodynamiske</w:t>
      </w:r>
      <w:proofErr w:type="spellEnd"/>
      <w:r w:rsidR="00253DF3" w:rsidRPr="005C6E86">
        <w:rPr>
          <w:sz w:val="24"/>
          <w:szCs w:val="24"/>
          <w:lang w:eastAsia="en-GB"/>
        </w:rPr>
        <w:t xml:space="preserve"> sammenhæng ved </w:t>
      </w:r>
      <w:proofErr w:type="spellStart"/>
      <w:r w:rsidR="00253DF3" w:rsidRPr="005C6E86">
        <w:rPr>
          <w:sz w:val="24"/>
          <w:szCs w:val="24"/>
          <w:lang w:eastAsia="en-GB"/>
        </w:rPr>
        <w:t>IOPsænkning</w:t>
      </w:r>
      <w:proofErr w:type="spellEnd"/>
      <w:r w:rsidR="00253DF3" w:rsidRPr="005C6E86">
        <w:rPr>
          <w:sz w:val="24"/>
          <w:szCs w:val="24"/>
          <w:lang w:eastAsia="en-GB"/>
        </w:rPr>
        <w:t xml:space="preserve"> hos mennesker er ikke klarlagt.</w:t>
      </w:r>
    </w:p>
    <w:p w14:paraId="5812EAD7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68C813B8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Andre særlige populationer</w:t>
      </w:r>
    </w:p>
    <w:p w14:paraId="5EA95CF9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703BBEB7" w14:textId="55D04D89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Studier til at fastslå virkningerne af alder, race og nedsat nyre-eller leverfunktion er ikke blevet udført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med </w:t>
      </w:r>
      <w:proofErr w:type="spellStart"/>
      <w:r w:rsidR="00441043">
        <w:rPr>
          <w:sz w:val="24"/>
          <w:szCs w:val="24"/>
          <w:lang w:eastAsia="en-GB"/>
        </w:rPr>
        <w:t>brinzolamid</w:t>
      </w:r>
      <w:proofErr w:type="spellEnd"/>
      <w:r w:rsidR="00441043">
        <w:rPr>
          <w:sz w:val="24"/>
          <w:szCs w:val="24"/>
          <w:lang w:eastAsia="en-GB"/>
        </w:rPr>
        <w:t>/</w:t>
      </w:r>
      <w:proofErr w:type="spellStart"/>
      <w:r w:rsidR="00441043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. Et studie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i japanske over for ikke-japanske forsøgspersoner viste lignende systemisk farmakokinetik mellem de to grupper. I et forsøg med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hos patienter med nyreinsufficiens, blev der påvist en 1,6- til 2,8 gange forøgelse i den systemiske eksponering over for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N-</w:t>
      </w:r>
      <w:proofErr w:type="spellStart"/>
      <w:r w:rsidRPr="005C6E86">
        <w:rPr>
          <w:sz w:val="24"/>
          <w:szCs w:val="24"/>
          <w:lang w:eastAsia="en-GB"/>
        </w:rPr>
        <w:t>desethylbrinzolamid</w:t>
      </w:r>
      <w:proofErr w:type="spellEnd"/>
      <w:r w:rsidRPr="005C6E86">
        <w:rPr>
          <w:sz w:val="24"/>
          <w:szCs w:val="24"/>
          <w:lang w:eastAsia="en-GB"/>
        </w:rPr>
        <w:t xml:space="preserve"> mellem patienter med normal og moderat nedsat nyrefunktion. Stigningen i </w:t>
      </w:r>
      <w:proofErr w:type="spellStart"/>
      <w:r w:rsidRPr="005C6E86">
        <w:rPr>
          <w:sz w:val="24"/>
          <w:szCs w:val="24"/>
          <w:lang w:eastAsia="en-GB"/>
        </w:rPr>
        <w:t>steady</w:t>
      </w:r>
      <w:proofErr w:type="spellEnd"/>
      <w:r w:rsidRPr="005C6E86">
        <w:rPr>
          <w:sz w:val="24"/>
          <w:szCs w:val="24"/>
          <w:lang w:eastAsia="en-GB"/>
        </w:rPr>
        <w:t>-</w:t>
      </w:r>
      <w:proofErr w:type="spellStart"/>
      <w:r w:rsidRPr="005C6E86">
        <w:rPr>
          <w:sz w:val="24"/>
          <w:szCs w:val="24"/>
          <w:lang w:eastAsia="en-GB"/>
        </w:rPr>
        <w:t>state</w:t>
      </w:r>
      <w:proofErr w:type="spellEnd"/>
      <w:r w:rsidRPr="005C6E86">
        <w:rPr>
          <w:sz w:val="24"/>
          <w:szCs w:val="24"/>
          <w:lang w:eastAsia="en-GB"/>
        </w:rPr>
        <w:t>-RBC-koncentrationerne fra stof-relateret materiale hæmmede ikke aktiviteten fra RBC-</w:t>
      </w:r>
      <w:proofErr w:type="spellStart"/>
      <w:r w:rsidRPr="005C6E86">
        <w:rPr>
          <w:sz w:val="24"/>
          <w:szCs w:val="24"/>
          <w:lang w:eastAsia="en-GB"/>
        </w:rPr>
        <w:t>karboanhydrase</w:t>
      </w:r>
      <w:proofErr w:type="spellEnd"/>
      <w:r w:rsidRPr="005C6E86">
        <w:rPr>
          <w:sz w:val="24"/>
          <w:szCs w:val="24"/>
          <w:lang w:eastAsia="en-GB"/>
        </w:rPr>
        <w:t xml:space="preserve"> til niveauer, som var forbundne med systemiske bivirkninger. Kombinationsproduktet anbefales imidlertid ikke til patienter med svær nyreinsufficiens (</w:t>
      </w:r>
      <w:proofErr w:type="spellStart"/>
      <w:r w:rsidRPr="005C6E86">
        <w:rPr>
          <w:sz w:val="24"/>
          <w:szCs w:val="24"/>
          <w:lang w:eastAsia="en-GB"/>
        </w:rPr>
        <w:t>kreatinin-clearance</w:t>
      </w:r>
      <w:proofErr w:type="spellEnd"/>
      <w:r w:rsidRPr="005C6E86">
        <w:rPr>
          <w:sz w:val="24"/>
          <w:szCs w:val="24"/>
          <w:lang w:eastAsia="en-GB"/>
        </w:rPr>
        <w:t xml:space="preserve"> &lt;30 ml/minut).</w:t>
      </w:r>
    </w:p>
    <w:p w14:paraId="3F106F29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47873032" w14:textId="784A6B0A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C</w:t>
      </w:r>
      <w:r w:rsidRPr="00441043">
        <w:rPr>
          <w:sz w:val="24"/>
          <w:szCs w:val="24"/>
          <w:vertAlign w:val="subscript"/>
          <w:lang w:eastAsia="en-GB"/>
        </w:rPr>
        <w:t>max</w:t>
      </w:r>
      <w:proofErr w:type="spellEnd"/>
      <w:r w:rsidRPr="005C6E86">
        <w:rPr>
          <w:sz w:val="24"/>
          <w:szCs w:val="24"/>
          <w:lang w:eastAsia="en-GB"/>
        </w:rPr>
        <w:t xml:space="preserve">, AUC og eliminationshalveringstiden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hos ældre (&gt;65 år) forsøgspersoner er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sammenlignelig med unge voksne. Indvirkningen fra nedsat nyre- og leverfunktion på systemisk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farmakokinetik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er ikke blevet evalueret. Idet der tages højde for den lave systemiske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eksponering for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 xml:space="preserve"> efter </w:t>
      </w:r>
      <w:proofErr w:type="spellStart"/>
      <w:r w:rsidRPr="005C6E86">
        <w:rPr>
          <w:sz w:val="24"/>
          <w:szCs w:val="24"/>
          <w:lang w:eastAsia="en-GB"/>
        </w:rPr>
        <w:t>topikal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okulær</w:t>
      </w:r>
      <w:proofErr w:type="spellEnd"/>
      <w:r w:rsidRPr="005C6E86">
        <w:rPr>
          <w:sz w:val="24"/>
          <w:szCs w:val="24"/>
          <w:lang w:eastAsia="en-GB"/>
        </w:rPr>
        <w:t xml:space="preserve"> administration, forventes det, at ændringer i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plasmaeksponeringen ikke vil være af klinisk relevans.</w:t>
      </w:r>
    </w:p>
    <w:p w14:paraId="2850C47C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3D8E861D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r w:rsidRPr="00563B69">
        <w:rPr>
          <w:sz w:val="24"/>
          <w:szCs w:val="24"/>
          <w:u w:val="single"/>
          <w:lang w:eastAsia="en-GB"/>
        </w:rPr>
        <w:t>Pædiatrisk population</w:t>
      </w:r>
    </w:p>
    <w:p w14:paraId="05D23218" w14:textId="4D311B14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 xml:space="preserve">Den systemiske farmakokinetik for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og </w:t>
      </w:r>
      <w:proofErr w:type="spellStart"/>
      <w:r w:rsidRPr="005C6E86">
        <w:rPr>
          <w:sz w:val="24"/>
          <w:szCs w:val="24"/>
          <w:lang w:eastAsia="en-GB"/>
        </w:rPr>
        <w:t>brimonidin</w:t>
      </w:r>
      <w:proofErr w:type="spellEnd"/>
      <w:r w:rsidRPr="005C6E86">
        <w:rPr>
          <w:sz w:val="24"/>
          <w:szCs w:val="24"/>
          <w:lang w:eastAsia="en-GB"/>
        </w:rPr>
        <w:t>, alene eller i kombination, i pædiatriske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patienter er ikke blevet undersøgt.</w:t>
      </w:r>
    </w:p>
    <w:p w14:paraId="51D83172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EDB1C3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5.3</w:t>
      </w:r>
      <w:r w:rsidRPr="005C6E86">
        <w:rPr>
          <w:b/>
          <w:sz w:val="24"/>
          <w:szCs w:val="24"/>
        </w:rPr>
        <w:tab/>
      </w:r>
      <w:r w:rsidR="00BD7931" w:rsidRPr="005C6E86">
        <w:rPr>
          <w:b/>
          <w:sz w:val="24"/>
          <w:szCs w:val="24"/>
        </w:rPr>
        <w:t>Non-</w:t>
      </w:r>
      <w:r w:rsidRPr="005C6E86">
        <w:rPr>
          <w:b/>
          <w:sz w:val="24"/>
          <w:szCs w:val="24"/>
        </w:rPr>
        <w:t>kliniske sikkerhedsdata</w:t>
      </w:r>
    </w:p>
    <w:p w14:paraId="4A411418" w14:textId="77777777" w:rsidR="00563B69" w:rsidRDefault="00563B69" w:rsidP="00E02AC4">
      <w:pPr>
        <w:ind w:left="851"/>
        <w:rPr>
          <w:sz w:val="24"/>
          <w:szCs w:val="24"/>
          <w:lang w:eastAsia="en-GB"/>
        </w:rPr>
      </w:pPr>
    </w:p>
    <w:p w14:paraId="0A4EC2BA" w14:textId="6FE89FA3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563B69">
        <w:rPr>
          <w:sz w:val="24"/>
          <w:szCs w:val="24"/>
          <w:u w:val="single"/>
          <w:lang w:eastAsia="en-GB"/>
        </w:rPr>
        <w:t>Brinzolamid</w:t>
      </w:r>
      <w:proofErr w:type="spellEnd"/>
    </w:p>
    <w:p w14:paraId="63554B58" w14:textId="7EB631C6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Non-kliniske data viser ingen speciel risiko for mennesker vurderet ud fra konventionelle studier af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sikkerhedsfarmakologi, enkeltdosis toksicitet, toksicitet efter gentagne doser, genotoksicitet og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karcinogent</w:t>
      </w:r>
      <w:proofErr w:type="spellEnd"/>
      <w:r w:rsidRPr="005C6E86">
        <w:rPr>
          <w:sz w:val="24"/>
          <w:szCs w:val="24"/>
          <w:lang w:eastAsia="en-GB"/>
        </w:rPr>
        <w:t xml:space="preserve"> potentiale.</w:t>
      </w:r>
    </w:p>
    <w:p w14:paraId="5A385F49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7F8D685F" w14:textId="546CC1EB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I non-kliniske studier af reproduktions- og udviklingstoksicitet blev der kun iagttaget virkninger ved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doser, der anses for at overstige den maksimale humane eksponering i væsentlig grad. Disse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virkninger vurderes derfor til at være af ringe klinisk relevans. Hos kaniner havde orale, </w:t>
      </w:r>
      <w:proofErr w:type="spellStart"/>
      <w:r w:rsidRPr="005C6E86">
        <w:rPr>
          <w:sz w:val="24"/>
          <w:szCs w:val="24"/>
          <w:lang w:eastAsia="en-GB"/>
        </w:rPr>
        <w:t>maternelle</w:t>
      </w:r>
      <w:proofErr w:type="spellEnd"/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toksiske doser af </w:t>
      </w:r>
      <w:proofErr w:type="spellStart"/>
      <w:r w:rsidRPr="005C6E86">
        <w:rPr>
          <w:sz w:val="24"/>
          <w:szCs w:val="24"/>
          <w:lang w:eastAsia="en-GB"/>
        </w:rPr>
        <w:t>brinzolamid</w:t>
      </w:r>
      <w:proofErr w:type="spellEnd"/>
      <w:r w:rsidRPr="005C6E86">
        <w:rPr>
          <w:sz w:val="24"/>
          <w:szCs w:val="24"/>
          <w:lang w:eastAsia="en-GB"/>
        </w:rPr>
        <w:t xml:space="preserve"> på op til 6 mg/kg/dag (261 gange den daglige anbefalede kliniske dosis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på 23 </w:t>
      </w:r>
      <w:proofErr w:type="spellStart"/>
      <w:r w:rsidRPr="005C6E86">
        <w:rPr>
          <w:sz w:val="24"/>
          <w:szCs w:val="24"/>
          <w:lang w:eastAsia="en-GB"/>
        </w:rPr>
        <w:t>μg</w:t>
      </w:r>
      <w:proofErr w:type="spellEnd"/>
      <w:r w:rsidRPr="005C6E86">
        <w:rPr>
          <w:sz w:val="24"/>
          <w:szCs w:val="24"/>
          <w:lang w:eastAsia="en-GB"/>
        </w:rPr>
        <w:t>/kg/dag) ingen effekt på fosterudviklingen. Hos rotter resulterede doser på 18 mg/kg/dag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(783 gange den daglige anbefalede kliniske dosis), men ikke 6 mg/kg/dag, i en svagt nedsat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ossifikation</w:t>
      </w:r>
      <w:proofErr w:type="spellEnd"/>
      <w:r w:rsidRPr="005C6E86">
        <w:rPr>
          <w:sz w:val="24"/>
          <w:szCs w:val="24"/>
          <w:lang w:eastAsia="en-GB"/>
        </w:rPr>
        <w:t xml:space="preserve"> af kraniet og </w:t>
      </w:r>
      <w:proofErr w:type="spellStart"/>
      <w:r w:rsidRPr="005C6E86">
        <w:rPr>
          <w:sz w:val="24"/>
          <w:szCs w:val="24"/>
          <w:lang w:eastAsia="en-GB"/>
        </w:rPr>
        <w:t>sternebrae</w:t>
      </w:r>
      <w:proofErr w:type="spellEnd"/>
      <w:r w:rsidRPr="005C6E86">
        <w:rPr>
          <w:sz w:val="24"/>
          <w:szCs w:val="24"/>
          <w:lang w:eastAsia="en-GB"/>
        </w:rPr>
        <w:t xml:space="preserve"> på fostre. Disse fund var associeret til metabolisk </w:t>
      </w:r>
      <w:proofErr w:type="spellStart"/>
      <w:r w:rsidRPr="005C6E86">
        <w:rPr>
          <w:sz w:val="24"/>
          <w:szCs w:val="24"/>
          <w:lang w:eastAsia="en-GB"/>
        </w:rPr>
        <w:t>acidose</w:t>
      </w:r>
      <w:proofErr w:type="spellEnd"/>
      <w:r w:rsidRPr="005C6E86">
        <w:rPr>
          <w:sz w:val="24"/>
          <w:szCs w:val="24"/>
          <w:lang w:eastAsia="en-GB"/>
        </w:rPr>
        <w:t xml:space="preserve"> med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nedsat kropsvægtøgning hos hunnerne og vægttab hos fostrene. Dosisrelateret vægttab hos fostrene blev observeret hos hunnernes unger ved 2 til 18 mg/kg/dag. Nuleffektniveauet (NOAEL </w:t>
      </w:r>
      <w:r w:rsidRPr="005C6E86">
        <w:rPr>
          <w:rFonts w:eastAsia="TimesNewRomanPSMT"/>
          <w:sz w:val="24"/>
          <w:szCs w:val="24"/>
          <w:lang w:eastAsia="en-GB"/>
        </w:rPr>
        <w:t xml:space="preserve">– </w:t>
      </w:r>
      <w:r w:rsidRPr="005C6E86">
        <w:rPr>
          <w:sz w:val="24"/>
          <w:szCs w:val="24"/>
          <w:lang w:eastAsia="en-GB"/>
        </w:rPr>
        <w:t>no</w:t>
      </w:r>
      <w:r w:rsidR="00563B69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observed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adverse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effect</w:t>
      </w:r>
      <w:proofErr w:type="spellEnd"/>
      <w:r w:rsidRPr="005C6E86">
        <w:rPr>
          <w:sz w:val="24"/>
          <w:szCs w:val="24"/>
          <w:lang w:eastAsia="en-GB"/>
        </w:rPr>
        <w:t xml:space="preserve"> </w:t>
      </w:r>
      <w:proofErr w:type="spellStart"/>
      <w:r w:rsidRPr="005C6E86">
        <w:rPr>
          <w:sz w:val="24"/>
          <w:szCs w:val="24"/>
          <w:lang w:eastAsia="en-GB"/>
        </w:rPr>
        <w:t>level</w:t>
      </w:r>
      <w:proofErr w:type="spellEnd"/>
      <w:r w:rsidRPr="005C6E86">
        <w:rPr>
          <w:sz w:val="24"/>
          <w:szCs w:val="24"/>
          <w:lang w:eastAsia="en-GB"/>
        </w:rPr>
        <w:t>) var 5 mg/kg/dag hos afkommet i dieperioden.</w:t>
      </w:r>
    </w:p>
    <w:p w14:paraId="6EE9F294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</w:p>
    <w:p w14:paraId="200C1187" w14:textId="77777777" w:rsidR="00253DF3" w:rsidRPr="00563B69" w:rsidRDefault="00253DF3" w:rsidP="00E02AC4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563B69">
        <w:rPr>
          <w:sz w:val="24"/>
          <w:szCs w:val="24"/>
          <w:u w:val="single"/>
          <w:lang w:eastAsia="en-GB"/>
        </w:rPr>
        <w:t>Brimonidin</w:t>
      </w:r>
      <w:proofErr w:type="spellEnd"/>
    </w:p>
    <w:p w14:paraId="1D2EEBE6" w14:textId="4E7E301C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  <w:lang w:eastAsia="en-GB"/>
        </w:rPr>
        <w:t>Non-kliniske data viser ingen speciel risiko for mennesker vurderet ud fra konventionelle studier af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 xml:space="preserve">sikkerhedsfarmakologi, toksicitet efter gentagne doser, genotoksicitet, </w:t>
      </w:r>
      <w:proofErr w:type="spellStart"/>
      <w:r w:rsidRPr="005C6E86">
        <w:rPr>
          <w:sz w:val="24"/>
          <w:szCs w:val="24"/>
          <w:lang w:eastAsia="en-GB"/>
        </w:rPr>
        <w:t>karcinogent</w:t>
      </w:r>
      <w:proofErr w:type="spellEnd"/>
      <w:r w:rsidRPr="005C6E86">
        <w:rPr>
          <w:sz w:val="24"/>
          <w:szCs w:val="24"/>
          <w:lang w:eastAsia="en-GB"/>
        </w:rPr>
        <w:t xml:space="preserve"> potentiale samt</w:t>
      </w:r>
      <w:r w:rsidR="00563B69">
        <w:rPr>
          <w:sz w:val="24"/>
          <w:szCs w:val="24"/>
          <w:lang w:eastAsia="en-GB"/>
        </w:rPr>
        <w:t xml:space="preserve"> </w:t>
      </w:r>
      <w:r w:rsidRPr="005C6E86">
        <w:rPr>
          <w:sz w:val="24"/>
          <w:szCs w:val="24"/>
          <w:lang w:eastAsia="en-GB"/>
        </w:rPr>
        <w:t>reproduktions- og udviklingstoksicitet.</w:t>
      </w:r>
    </w:p>
    <w:p w14:paraId="1476705E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C1943A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6032E4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</w:t>
      </w:r>
      <w:r w:rsidRPr="005C6E86">
        <w:rPr>
          <w:b/>
          <w:sz w:val="24"/>
          <w:szCs w:val="24"/>
        </w:rPr>
        <w:tab/>
        <w:t>FARMACEUTISKE OPLYSNINGER</w:t>
      </w:r>
    </w:p>
    <w:p w14:paraId="1C8D02B0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ACD3B4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6.1</w:t>
      </w:r>
      <w:r w:rsidRPr="005C6E86">
        <w:rPr>
          <w:b/>
          <w:sz w:val="24"/>
          <w:szCs w:val="24"/>
        </w:rPr>
        <w:tab/>
        <w:t>Hjælpestoffer</w:t>
      </w:r>
    </w:p>
    <w:p w14:paraId="44355933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Benzalkoniumchlorid</w:t>
      </w:r>
      <w:proofErr w:type="spellEnd"/>
      <w:r w:rsidRPr="005C6E86">
        <w:rPr>
          <w:sz w:val="24"/>
          <w:szCs w:val="24"/>
          <w:lang w:eastAsia="en-GB"/>
        </w:rPr>
        <w:t xml:space="preserve"> (50 % opløsning)</w:t>
      </w:r>
    </w:p>
    <w:p w14:paraId="4DABE1AD" w14:textId="77777777" w:rsidR="00253DF3" w:rsidRPr="005C6E86" w:rsidRDefault="00253DF3" w:rsidP="00E02AC4">
      <w:pPr>
        <w:ind w:left="851"/>
        <w:rPr>
          <w:sz w:val="24"/>
          <w:szCs w:val="24"/>
          <w:lang w:val="en-US" w:eastAsia="en-GB"/>
        </w:rPr>
      </w:pPr>
      <w:proofErr w:type="spellStart"/>
      <w:r w:rsidRPr="005C6E86">
        <w:rPr>
          <w:sz w:val="24"/>
          <w:szCs w:val="24"/>
          <w:lang w:val="en-US" w:eastAsia="en-GB"/>
        </w:rPr>
        <w:t>Propylenglycol</w:t>
      </w:r>
      <w:proofErr w:type="spellEnd"/>
      <w:r w:rsidRPr="005C6E86">
        <w:rPr>
          <w:sz w:val="24"/>
          <w:szCs w:val="24"/>
          <w:lang w:val="en-US" w:eastAsia="en-GB"/>
        </w:rPr>
        <w:t xml:space="preserve"> (E 1520)</w:t>
      </w:r>
    </w:p>
    <w:p w14:paraId="55FD961E" w14:textId="77777777" w:rsidR="00253DF3" w:rsidRPr="005C6E86" w:rsidRDefault="00253DF3" w:rsidP="00E02AC4">
      <w:pPr>
        <w:ind w:left="851"/>
        <w:rPr>
          <w:sz w:val="24"/>
          <w:szCs w:val="24"/>
          <w:lang w:val="en-US" w:eastAsia="en-GB"/>
        </w:rPr>
      </w:pPr>
      <w:r w:rsidRPr="005C6E86">
        <w:rPr>
          <w:sz w:val="24"/>
          <w:szCs w:val="24"/>
          <w:lang w:val="en-US" w:eastAsia="en-GB"/>
        </w:rPr>
        <w:t>Carbomer 974P</w:t>
      </w:r>
    </w:p>
    <w:p w14:paraId="7C74E8CB" w14:textId="77777777" w:rsidR="00253DF3" w:rsidRPr="005C6E86" w:rsidRDefault="00253DF3" w:rsidP="00E02AC4">
      <w:pPr>
        <w:ind w:left="851"/>
        <w:rPr>
          <w:sz w:val="24"/>
          <w:szCs w:val="24"/>
          <w:lang w:val="en-US" w:eastAsia="en-GB"/>
        </w:rPr>
      </w:pPr>
      <w:proofErr w:type="spellStart"/>
      <w:r w:rsidRPr="005C6E86">
        <w:rPr>
          <w:sz w:val="24"/>
          <w:szCs w:val="24"/>
          <w:lang w:val="en-US" w:eastAsia="en-GB"/>
        </w:rPr>
        <w:t>Borsyre</w:t>
      </w:r>
      <w:proofErr w:type="spellEnd"/>
      <w:r w:rsidRPr="005C6E86">
        <w:rPr>
          <w:sz w:val="24"/>
          <w:szCs w:val="24"/>
          <w:lang w:val="en-US" w:eastAsia="en-GB"/>
        </w:rPr>
        <w:t xml:space="preserve"> (E284)</w:t>
      </w:r>
    </w:p>
    <w:p w14:paraId="2C13A32A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Natriumchlorid</w:t>
      </w:r>
      <w:proofErr w:type="spellEnd"/>
    </w:p>
    <w:p w14:paraId="08675FFF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proofErr w:type="spellStart"/>
      <w:r w:rsidRPr="005C6E86">
        <w:rPr>
          <w:sz w:val="24"/>
          <w:szCs w:val="24"/>
          <w:lang w:eastAsia="en-GB"/>
        </w:rPr>
        <w:t>Tyloxapol</w:t>
      </w:r>
      <w:proofErr w:type="spellEnd"/>
    </w:p>
    <w:p w14:paraId="00DA7608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Saltsyre og/eller natriumhydroxid (til justering af pH)</w:t>
      </w:r>
    </w:p>
    <w:p w14:paraId="57EED3D1" w14:textId="77777777" w:rsidR="00253DF3" w:rsidRPr="005C6E86" w:rsidRDefault="00253DF3" w:rsidP="00E02AC4">
      <w:pPr>
        <w:ind w:left="851"/>
        <w:rPr>
          <w:sz w:val="24"/>
          <w:szCs w:val="24"/>
          <w:lang w:eastAsia="en-GB"/>
        </w:rPr>
      </w:pPr>
      <w:r w:rsidRPr="005C6E86">
        <w:rPr>
          <w:sz w:val="24"/>
          <w:szCs w:val="24"/>
          <w:lang w:eastAsia="en-GB"/>
        </w:rPr>
        <w:t>Vand til injektion</w:t>
      </w:r>
    </w:p>
    <w:p w14:paraId="1C59D5EB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705FB4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6.2</w:t>
      </w:r>
      <w:r w:rsidRPr="005C6E86">
        <w:rPr>
          <w:b/>
          <w:sz w:val="24"/>
          <w:szCs w:val="24"/>
        </w:rPr>
        <w:tab/>
        <w:t>Uforligeligheder</w:t>
      </w:r>
    </w:p>
    <w:p w14:paraId="4717D138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</w:rPr>
        <w:t>Ikke relevant.</w:t>
      </w:r>
    </w:p>
    <w:p w14:paraId="75C9EC47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7A4492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6.3</w:t>
      </w:r>
      <w:r w:rsidRPr="005C6E86">
        <w:rPr>
          <w:b/>
          <w:sz w:val="24"/>
          <w:szCs w:val="24"/>
        </w:rPr>
        <w:tab/>
        <w:t>Opbevaringstid</w:t>
      </w:r>
    </w:p>
    <w:p w14:paraId="2056B005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</w:rPr>
        <w:t>2 år</w:t>
      </w:r>
    </w:p>
    <w:p w14:paraId="38AB7E01" w14:textId="77777777" w:rsidR="00253DF3" w:rsidRPr="005C6E86" w:rsidRDefault="00253DF3" w:rsidP="00E02AC4">
      <w:pPr>
        <w:ind w:left="851"/>
        <w:rPr>
          <w:sz w:val="24"/>
          <w:szCs w:val="24"/>
        </w:rPr>
      </w:pPr>
    </w:p>
    <w:p w14:paraId="260DC7D1" w14:textId="77777777" w:rsidR="00253DF3" w:rsidRPr="005C6E86" w:rsidRDefault="00253DF3" w:rsidP="00E02AC4">
      <w:pPr>
        <w:ind w:left="851"/>
        <w:rPr>
          <w:sz w:val="24"/>
          <w:szCs w:val="24"/>
        </w:rPr>
      </w:pPr>
      <w:r w:rsidRPr="005C6E86">
        <w:rPr>
          <w:sz w:val="24"/>
          <w:szCs w:val="24"/>
        </w:rPr>
        <w:t>4 uger efter første åbning.</w:t>
      </w:r>
    </w:p>
    <w:p w14:paraId="4E61AAFA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E91343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6.4</w:t>
      </w:r>
      <w:r w:rsidRPr="005C6E86">
        <w:rPr>
          <w:b/>
          <w:sz w:val="24"/>
          <w:szCs w:val="24"/>
        </w:rPr>
        <w:tab/>
        <w:t>Særlige opbevaringsforhold</w:t>
      </w:r>
    </w:p>
    <w:p w14:paraId="69BFB139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</w:rPr>
        <w:t>Dette lægemiddel kræver ingen særlige opbevaringsbetingelser.</w:t>
      </w:r>
    </w:p>
    <w:p w14:paraId="35E547B1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FC2299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6.5</w:t>
      </w:r>
      <w:r w:rsidRPr="005C6E86">
        <w:rPr>
          <w:b/>
          <w:sz w:val="24"/>
          <w:szCs w:val="24"/>
        </w:rPr>
        <w:tab/>
        <w:t>Emballagetype og pakningsstørrelser</w:t>
      </w:r>
    </w:p>
    <w:p w14:paraId="0FD5340F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</w:rPr>
        <w:t xml:space="preserve">10 </w:t>
      </w:r>
      <w:proofErr w:type="spellStart"/>
      <w:r w:rsidRPr="005C6E86">
        <w:rPr>
          <w:sz w:val="24"/>
          <w:szCs w:val="24"/>
        </w:rPr>
        <w:t>mL</w:t>
      </w:r>
      <w:proofErr w:type="spellEnd"/>
      <w:r w:rsidRPr="005C6E86">
        <w:rPr>
          <w:sz w:val="24"/>
          <w:szCs w:val="24"/>
        </w:rPr>
        <w:t xml:space="preserve"> hvid LDPE-flaske med en hvid LDPE-forseglet dråbespids og en hvid HDPE/LDPE-hætte med manipulationssikker forsegling, indeholdende 5 </w:t>
      </w:r>
      <w:proofErr w:type="spellStart"/>
      <w:r w:rsidRPr="005C6E86">
        <w:rPr>
          <w:sz w:val="24"/>
          <w:szCs w:val="24"/>
        </w:rPr>
        <w:t>mL</w:t>
      </w:r>
      <w:proofErr w:type="spellEnd"/>
      <w:r w:rsidRPr="005C6E86">
        <w:rPr>
          <w:sz w:val="24"/>
          <w:szCs w:val="24"/>
        </w:rPr>
        <w:t xml:space="preserve"> hvid til råhvid homogen suspension.</w:t>
      </w:r>
    </w:p>
    <w:p w14:paraId="013AEBD6" w14:textId="77777777" w:rsidR="00253DF3" w:rsidRPr="005C6E86" w:rsidRDefault="00253DF3" w:rsidP="00E02AC4">
      <w:pPr>
        <w:ind w:left="851"/>
        <w:rPr>
          <w:sz w:val="24"/>
          <w:szCs w:val="24"/>
        </w:rPr>
      </w:pPr>
      <w:r w:rsidRPr="005C6E86">
        <w:rPr>
          <w:sz w:val="24"/>
          <w:szCs w:val="24"/>
        </w:rPr>
        <w:t>Karton indeholdende 1 flaske eller 3 flasker.</w:t>
      </w:r>
    </w:p>
    <w:p w14:paraId="4C760FB0" w14:textId="77777777" w:rsidR="00253DF3" w:rsidRPr="005C6E86" w:rsidRDefault="00253DF3" w:rsidP="00E02AC4">
      <w:pPr>
        <w:ind w:left="851"/>
        <w:rPr>
          <w:sz w:val="24"/>
          <w:szCs w:val="24"/>
        </w:rPr>
      </w:pPr>
    </w:p>
    <w:p w14:paraId="6844AD73" w14:textId="77777777" w:rsidR="00253DF3" w:rsidRPr="005C6E86" w:rsidRDefault="00253DF3" w:rsidP="00E02AC4">
      <w:pPr>
        <w:ind w:left="851"/>
        <w:rPr>
          <w:sz w:val="24"/>
          <w:szCs w:val="24"/>
        </w:rPr>
      </w:pPr>
      <w:r w:rsidRPr="005C6E86">
        <w:rPr>
          <w:sz w:val="24"/>
          <w:szCs w:val="24"/>
        </w:rPr>
        <w:t>Ikke alle pakningsstørrelser er muligvis markedsført.</w:t>
      </w:r>
    </w:p>
    <w:p w14:paraId="3F2CD89B" w14:textId="5AD6E231" w:rsidR="00A6314A" w:rsidRDefault="00A631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04C65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7E7C30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6.6</w:t>
      </w:r>
      <w:r w:rsidRPr="005C6E86">
        <w:rPr>
          <w:b/>
          <w:sz w:val="24"/>
          <w:szCs w:val="24"/>
        </w:rPr>
        <w:tab/>
        <w:t xml:space="preserve">Regler for </w:t>
      </w:r>
      <w:r w:rsidR="00BD7931" w:rsidRPr="005C6E86">
        <w:rPr>
          <w:b/>
          <w:sz w:val="24"/>
          <w:szCs w:val="24"/>
        </w:rPr>
        <w:t>bortskaffelse</w:t>
      </w:r>
      <w:r w:rsidRPr="005C6E86">
        <w:rPr>
          <w:b/>
          <w:sz w:val="24"/>
          <w:szCs w:val="24"/>
        </w:rPr>
        <w:t xml:space="preserve"> og anden håndtering</w:t>
      </w:r>
    </w:p>
    <w:p w14:paraId="54D4C2FE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</w:rPr>
        <w:t>Ingen særlige forholdsregler ved bortskaffelse.</w:t>
      </w:r>
    </w:p>
    <w:p w14:paraId="1A6C8A00" w14:textId="77777777" w:rsidR="009260DE" w:rsidRPr="005C6E8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0F6ED27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7.</w:t>
      </w:r>
      <w:r w:rsidRPr="005C6E86">
        <w:rPr>
          <w:b/>
          <w:sz w:val="24"/>
          <w:szCs w:val="24"/>
        </w:rPr>
        <w:tab/>
        <w:t>INDEHAVER AF MARKEDSFØRINGSTILLADELSEN</w:t>
      </w:r>
    </w:p>
    <w:p w14:paraId="1770F179" w14:textId="77777777" w:rsidR="00253DF3" w:rsidRPr="005C6E86" w:rsidRDefault="00253DF3" w:rsidP="00E02AC4">
      <w:pPr>
        <w:ind w:left="851"/>
        <w:rPr>
          <w:sz w:val="24"/>
          <w:szCs w:val="24"/>
          <w:lang w:val="sv-SE" w:eastAsia="en-GB"/>
        </w:rPr>
      </w:pPr>
      <w:r w:rsidRPr="005C6E86">
        <w:rPr>
          <w:sz w:val="24"/>
          <w:szCs w:val="24"/>
          <w:lang w:val="sv-SE" w:eastAsia="en-GB"/>
        </w:rPr>
        <w:t xml:space="preserve">STADA </w:t>
      </w:r>
      <w:proofErr w:type="spellStart"/>
      <w:r w:rsidRPr="005C6E86">
        <w:rPr>
          <w:sz w:val="24"/>
          <w:szCs w:val="24"/>
          <w:lang w:val="sv-SE" w:eastAsia="en-GB"/>
        </w:rPr>
        <w:t>Arzneimittel</w:t>
      </w:r>
      <w:proofErr w:type="spellEnd"/>
      <w:r w:rsidRPr="005C6E86">
        <w:rPr>
          <w:sz w:val="24"/>
          <w:szCs w:val="24"/>
          <w:lang w:val="sv-SE" w:eastAsia="en-GB"/>
        </w:rPr>
        <w:t xml:space="preserve"> AG</w:t>
      </w:r>
    </w:p>
    <w:p w14:paraId="62EC7949" w14:textId="77777777" w:rsidR="00253DF3" w:rsidRPr="005C6E86" w:rsidRDefault="00253DF3" w:rsidP="00E02AC4">
      <w:pPr>
        <w:ind w:left="851"/>
        <w:rPr>
          <w:sz w:val="24"/>
          <w:szCs w:val="24"/>
          <w:lang w:val="sv-SE" w:eastAsia="en-GB"/>
        </w:rPr>
      </w:pPr>
      <w:proofErr w:type="spellStart"/>
      <w:r w:rsidRPr="005C6E86">
        <w:rPr>
          <w:sz w:val="24"/>
          <w:szCs w:val="24"/>
          <w:lang w:val="sv-SE" w:eastAsia="en-GB"/>
        </w:rPr>
        <w:t>Stadastrasse</w:t>
      </w:r>
      <w:proofErr w:type="spellEnd"/>
      <w:r w:rsidRPr="005C6E86">
        <w:rPr>
          <w:sz w:val="24"/>
          <w:szCs w:val="24"/>
          <w:lang w:val="sv-SE" w:eastAsia="en-GB"/>
        </w:rPr>
        <w:t xml:space="preserve"> </w:t>
      </w:r>
      <w:proofErr w:type="gramStart"/>
      <w:r w:rsidRPr="005C6E86">
        <w:rPr>
          <w:sz w:val="24"/>
          <w:szCs w:val="24"/>
          <w:lang w:val="sv-SE" w:eastAsia="en-GB"/>
        </w:rPr>
        <w:t>2-18</w:t>
      </w:r>
      <w:proofErr w:type="gramEnd"/>
    </w:p>
    <w:p w14:paraId="24F5C68E" w14:textId="77777777" w:rsidR="00253DF3" w:rsidRPr="005C6E86" w:rsidRDefault="00253DF3" w:rsidP="00E02AC4">
      <w:pPr>
        <w:ind w:left="851"/>
        <w:rPr>
          <w:sz w:val="24"/>
          <w:szCs w:val="24"/>
          <w:lang w:val="sv-SE" w:eastAsia="en-GB"/>
        </w:rPr>
      </w:pPr>
      <w:proofErr w:type="gramStart"/>
      <w:r w:rsidRPr="005C6E86">
        <w:rPr>
          <w:sz w:val="24"/>
          <w:szCs w:val="24"/>
          <w:lang w:val="sv-SE" w:eastAsia="en-GB"/>
        </w:rPr>
        <w:t>61118</w:t>
      </w:r>
      <w:proofErr w:type="gramEnd"/>
      <w:r w:rsidRPr="005C6E86">
        <w:rPr>
          <w:sz w:val="24"/>
          <w:szCs w:val="24"/>
          <w:lang w:val="sv-SE" w:eastAsia="en-GB"/>
        </w:rPr>
        <w:t xml:space="preserve"> Bad </w:t>
      </w:r>
      <w:proofErr w:type="spellStart"/>
      <w:r w:rsidRPr="005C6E86">
        <w:rPr>
          <w:sz w:val="24"/>
          <w:szCs w:val="24"/>
          <w:lang w:val="sv-SE" w:eastAsia="en-GB"/>
        </w:rPr>
        <w:t>Vilbel</w:t>
      </w:r>
      <w:proofErr w:type="spellEnd"/>
    </w:p>
    <w:p w14:paraId="03CEF1AF" w14:textId="77777777" w:rsidR="00253DF3" w:rsidRPr="005C6E86" w:rsidRDefault="00253DF3" w:rsidP="00E02AC4">
      <w:pPr>
        <w:ind w:left="851"/>
        <w:rPr>
          <w:sz w:val="24"/>
          <w:szCs w:val="24"/>
          <w:lang w:eastAsia="fr-LU"/>
        </w:rPr>
      </w:pPr>
      <w:r w:rsidRPr="005C6E86">
        <w:rPr>
          <w:sz w:val="24"/>
          <w:szCs w:val="24"/>
          <w:lang w:eastAsia="en-GB"/>
        </w:rPr>
        <w:t>Tyskland</w:t>
      </w:r>
    </w:p>
    <w:p w14:paraId="02625FF5" w14:textId="77777777" w:rsidR="00253DF3" w:rsidRPr="005C6E86" w:rsidRDefault="00253DF3" w:rsidP="00E02AC4">
      <w:pPr>
        <w:ind w:left="851"/>
        <w:rPr>
          <w:sz w:val="24"/>
          <w:szCs w:val="24"/>
        </w:rPr>
      </w:pPr>
    </w:p>
    <w:p w14:paraId="51EBEBDD" w14:textId="501C123D" w:rsidR="00253DF3" w:rsidRPr="005C6E86" w:rsidRDefault="00253DF3" w:rsidP="00E02AC4">
      <w:pPr>
        <w:ind w:left="851"/>
        <w:rPr>
          <w:b/>
          <w:bCs/>
          <w:sz w:val="24"/>
          <w:szCs w:val="24"/>
        </w:rPr>
      </w:pPr>
      <w:r w:rsidRPr="005C6E86">
        <w:rPr>
          <w:b/>
          <w:bCs/>
          <w:sz w:val="24"/>
          <w:szCs w:val="24"/>
        </w:rPr>
        <w:t>Repræsentant</w:t>
      </w:r>
    </w:p>
    <w:p w14:paraId="62C4503B" w14:textId="77777777" w:rsidR="00253DF3" w:rsidRPr="005C6E86" w:rsidRDefault="00253DF3" w:rsidP="00E02AC4">
      <w:pPr>
        <w:ind w:left="851"/>
        <w:rPr>
          <w:sz w:val="24"/>
          <w:szCs w:val="24"/>
        </w:rPr>
      </w:pPr>
      <w:r w:rsidRPr="005C6E86">
        <w:rPr>
          <w:sz w:val="24"/>
          <w:szCs w:val="24"/>
        </w:rPr>
        <w:t>STADA Nordic</w:t>
      </w:r>
    </w:p>
    <w:p w14:paraId="2046C432" w14:textId="77777777" w:rsidR="00253DF3" w:rsidRPr="005C6E86" w:rsidRDefault="00253DF3" w:rsidP="00E02AC4">
      <w:pPr>
        <w:ind w:left="851"/>
        <w:rPr>
          <w:sz w:val="24"/>
          <w:szCs w:val="24"/>
        </w:rPr>
      </w:pPr>
      <w:proofErr w:type="spellStart"/>
      <w:r w:rsidRPr="005C6E86">
        <w:rPr>
          <w:sz w:val="24"/>
          <w:szCs w:val="24"/>
        </w:rPr>
        <w:t>Marielundsvej</w:t>
      </w:r>
      <w:proofErr w:type="spellEnd"/>
      <w:r w:rsidRPr="005C6E86">
        <w:rPr>
          <w:sz w:val="24"/>
          <w:szCs w:val="24"/>
        </w:rPr>
        <w:t xml:space="preserve"> 46A</w:t>
      </w:r>
    </w:p>
    <w:p w14:paraId="55E1870F" w14:textId="77777777" w:rsidR="00253DF3" w:rsidRPr="005C6E86" w:rsidRDefault="00253DF3" w:rsidP="00E02AC4">
      <w:pPr>
        <w:ind w:left="851"/>
        <w:rPr>
          <w:sz w:val="24"/>
          <w:szCs w:val="24"/>
        </w:rPr>
      </w:pPr>
      <w:r w:rsidRPr="005C6E86">
        <w:rPr>
          <w:sz w:val="24"/>
          <w:szCs w:val="24"/>
        </w:rPr>
        <w:t>2730 Herlev</w:t>
      </w:r>
    </w:p>
    <w:p w14:paraId="07CBC577" w14:textId="77777777" w:rsidR="00641C65" w:rsidRPr="005C6E8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6311D7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8.</w:t>
      </w:r>
      <w:r w:rsidRPr="005C6E86">
        <w:rPr>
          <w:b/>
          <w:sz w:val="24"/>
          <w:szCs w:val="24"/>
        </w:rPr>
        <w:tab/>
        <w:t>MARKEDSFØRINGSTILLADELSESNUMMER (</w:t>
      </w:r>
      <w:r w:rsidR="00BF6243" w:rsidRPr="005C6E86">
        <w:rPr>
          <w:b/>
          <w:sz w:val="24"/>
          <w:szCs w:val="24"/>
        </w:rPr>
        <w:t>-</w:t>
      </w:r>
      <w:r w:rsidRPr="005C6E86">
        <w:rPr>
          <w:b/>
          <w:sz w:val="24"/>
          <w:szCs w:val="24"/>
        </w:rPr>
        <w:t>NUMRE)</w:t>
      </w:r>
    </w:p>
    <w:p w14:paraId="06B03402" w14:textId="078091CA" w:rsidR="009260DE" w:rsidRPr="005C6E86" w:rsidRDefault="00253DF3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E86">
        <w:rPr>
          <w:sz w:val="24"/>
          <w:szCs w:val="24"/>
        </w:rPr>
        <w:t>68194</w:t>
      </w:r>
    </w:p>
    <w:p w14:paraId="30C7EE78" w14:textId="77777777" w:rsidR="009260DE" w:rsidRPr="005C6E8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1143ED9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9.</w:t>
      </w:r>
      <w:r w:rsidRPr="005C6E86">
        <w:rPr>
          <w:b/>
          <w:sz w:val="24"/>
          <w:szCs w:val="24"/>
        </w:rPr>
        <w:tab/>
        <w:t>DATO FOR FØRSTE MARKEDSFØRINGSTILLADELSE</w:t>
      </w:r>
    </w:p>
    <w:p w14:paraId="00BBC8BA" w14:textId="051FC266" w:rsidR="009260DE" w:rsidRPr="005C6E86" w:rsidRDefault="00180CE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maj 2024</w:t>
      </w:r>
    </w:p>
    <w:p w14:paraId="3F103C65" w14:textId="77777777" w:rsidR="009260DE" w:rsidRPr="005C6E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E9D633" w14:textId="77777777" w:rsidR="009260DE" w:rsidRPr="005C6E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C6E86">
        <w:rPr>
          <w:b/>
          <w:sz w:val="24"/>
          <w:szCs w:val="24"/>
        </w:rPr>
        <w:t>10.</w:t>
      </w:r>
      <w:r w:rsidRPr="005C6E86">
        <w:rPr>
          <w:b/>
          <w:sz w:val="24"/>
          <w:szCs w:val="24"/>
        </w:rPr>
        <w:tab/>
        <w:t>DATO FOR ÆNDRING AF TEKSTEN</w:t>
      </w:r>
    </w:p>
    <w:p w14:paraId="61CB5C82" w14:textId="635623DD" w:rsidR="009260DE" w:rsidRPr="005C6E86" w:rsidRDefault="00253DF3" w:rsidP="009260DE">
      <w:pPr>
        <w:tabs>
          <w:tab w:val="left" w:pos="851"/>
        </w:tabs>
        <w:ind w:left="851"/>
        <w:rPr>
          <w:sz w:val="24"/>
          <w:szCs w:val="24"/>
        </w:rPr>
      </w:pPr>
      <w:r w:rsidRPr="005C6E86">
        <w:rPr>
          <w:sz w:val="24"/>
          <w:szCs w:val="24"/>
        </w:rPr>
        <w:t>-</w:t>
      </w:r>
    </w:p>
    <w:sectPr w:rsidR="009260DE" w:rsidRPr="005C6E86" w:rsidSect="000259B9">
      <w:footerReference w:type="default" r:id="rId11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C6D4" w14:textId="77777777" w:rsidR="00754921" w:rsidRDefault="00754921">
      <w:r>
        <w:separator/>
      </w:r>
    </w:p>
  </w:endnote>
  <w:endnote w:type="continuationSeparator" w:id="0">
    <w:p w14:paraId="47DB0D33" w14:textId="77777777" w:rsidR="00754921" w:rsidRDefault="0075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FDB8" w14:textId="77777777" w:rsidR="00754921" w:rsidRDefault="00754921">
    <w:pPr>
      <w:pStyle w:val="Sidefod"/>
      <w:pBdr>
        <w:bottom w:val="single" w:sz="6" w:space="1" w:color="auto"/>
      </w:pBdr>
    </w:pPr>
  </w:p>
  <w:p w14:paraId="7F92626B" w14:textId="77777777" w:rsidR="00754921" w:rsidRDefault="0075492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DD69643" w14:textId="047D8AB8" w:rsidR="00754921" w:rsidRPr="00B373D7" w:rsidRDefault="0075492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6314A">
      <w:rPr>
        <w:i/>
        <w:noProof/>
        <w:sz w:val="18"/>
        <w:szCs w:val="18"/>
      </w:rPr>
      <w:t>Brinzolamide-Brimonidine Stada, øjendråber, suspension 10+2 mg-ml.docx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6F07" w14:textId="77777777" w:rsidR="00754921" w:rsidRDefault="00754921">
      <w:r>
        <w:separator/>
      </w:r>
    </w:p>
  </w:footnote>
  <w:footnote w:type="continuationSeparator" w:id="0">
    <w:p w14:paraId="56044D09" w14:textId="77777777" w:rsidR="00754921" w:rsidRDefault="0075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16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80CEF"/>
    <w:rsid w:val="00206CE8"/>
    <w:rsid w:val="0021526C"/>
    <w:rsid w:val="00253DF3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0231A"/>
    <w:rsid w:val="004251C1"/>
    <w:rsid w:val="00441043"/>
    <w:rsid w:val="0045746C"/>
    <w:rsid w:val="0049104B"/>
    <w:rsid w:val="004E3B12"/>
    <w:rsid w:val="00532310"/>
    <w:rsid w:val="00563B69"/>
    <w:rsid w:val="00565F0F"/>
    <w:rsid w:val="00594A86"/>
    <w:rsid w:val="00596D86"/>
    <w:rsid w:val="005C6E86"/>
    <w:rsid w:val="00627C22"/>
    <w:rsid w:val="00637F5A"/>
    <w:rsid w:val="00641032"/>
    <w:rsid w:val="00641C65"/>
    <w:rsid w:val="006560B1"/>
    <w:rsid w:val="006756DD"/>
    <w:rsid w:val="006D43CE"/>
    <w:rsid w:val="0071241E"/>
    <w:rsid w:val="00737275"/>
    <w:rsid w:val="00740EEC"/>
    <w:rsid w:val="00754921"/>
    <w:rsid w:val="0078011A"/>
    <w:rsid w:val="00782AF4"/>
    <w:rsid w:val="00790EE7"/>
    <w:rsid w:val="007B6649"/>
    <w:rsid w:val="0082576E"/>
    <w:rsid w:val="00853658"/>
    <w:rsid w:val="0089346F"/>
    <w:rsid w:val="00907F75"/>
    <w:rsid w:val="009260DE"/>
    <w:rsid w:val="0093258A"/>
    <w:rsid w:val="009C7BA3"/>
    <w:rsid w:val="009D1F5A"/>
    <w:rsid w:val="00A00569"/>
    <w:rsid w:val="00A10294"/>
    <w:rsid w:val="00A6314A"/>
    <w:rsid w:val="00AA507C"/>
    <w:rsid w:val="00AC44E1"/>
    <w:rsid w:val="00B003BF"/>
    <w:rsid w:val="00B373D7"/>
    <w:rsid w:val="00B55271"/>
    <w:rsid w:val="00B938A5"/>
    <w:rsid w:val="00BD7931"/>
    <w:rsid w:val="00BF6243"/>
    <w:rsid w:val="00C36276"/>
    <w:rsid w:val="00C42586"/>
    <w:rsid w:val="00C45F6B"/>
    <w:rsid w:val="00C51616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6034C"/>
    <w:rsid w:val="00D93992"/>
    <w:rsid w:val="00E01DE4"/>
    <w:rsid w:val="00E02AC4"/>
    <w:rsid w:val="00E108AA"/>
    <w:rsid w:val="00E3749A"/>
    <w:rsid w:val="00E5142C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C3A1D"/>
  <w15:chartTrackingRefBased/>
  <w15:docId w15:val="{37EB38DE-C701-47EE-BD07-C139434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253DF3"/>
    <w:rPr>
      <w:rFonts w:ascii="Times New Roman" w:hAnsi="Times New Roman" w:cs="Times New Roman" w:hint="default"/>
      <w:color w:val="0000FF"/>
      <w:u w:val="single"/>
    </w:rPr>
  </w:style>
  <w:style w:type="table" w:styleId="Tabel-Gitter">
    <w:name w:val="Table Grid"/>
    <w:basedOn w:val="Tabel-Normal"/>
    <w:rsid w:val="00253DF3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65</TotalTime>
  <Pages>16</Pages>
  <Words>4567</Words>
  <Characters>32263</Characters>
  <Application>Microsoft Office Word</Application>
  <DocSecurity>0</DocSecurity>
  <Lines>268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2022080363, MT</dc:description>
  <cp:lastModifiedBy>Gitte Jørgensen</cp:lastModifiedBy>
  <cp:revision>17</cp:revision>
  <cp:lastPrinted>2012-08-22T08:53:00Z</cp:lastPrinted>
  <dcterms:created xsi:type="dcterms:W3CDTF">2024-05-24T06:20:00Z</dcterms:created>
  <dcterms:modified xsi:type="dcterms:W3CDTF">2024-05-24T12:25:00Z</dcterms:modified>
</cp:coreProperties>
</file>