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0A2F6" w14:textId="77777777" w:rsidR="009260DE" w:rsidRPr="008F49E1" w:rsidRDefault="0021526C" w:rsidP="00F853F2">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5A4FA0DC" wp14:editId="3BDB07A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38986CDE" w14:textId="77777777" w:rsidR="009260DE" w:rsidRPr="00C84483" w:rsidRDefault="009260DE" w:rsidP="00F853F2">
      <w:pPr>
        <w:pStyle w:val="Titel"/>
        <w:tabs>
          <w:tab w:val="right" w:pos="9356"/>
        </w:tabs>
        <w:jc w:val="left"/>
        <w:rPr>
          <w:b w:val="0"/>
          <w:szCs w:val="24"/>
          <w:lang w:eastAsia="en-US"/>
        </w:rPr>
      </w:pPr>
    </w:p>
    <w:p w14:paraId="4A954EA6" w14:textId="71590603" w:rsidR="009260DE" w:rsidRPr="00C84483" w:rsidRDefault="009260DE" w:rsidP="00F853F2">
      <w:pPr>
        <w:pStyle w:val="Titel"/>
        <w:tabs>
          <w:tab w:val="right" w:pos="9356"/>
        </w:tabs>
        <w:jc w:val="left"/>
        <w:rPr>
          <w:b w:val="0"/>
          <w:szCs w:val="24"/>
          <w:lang w:eastAsia="en-US"/>
        </w:rPr>
      </w:pPr>
      <w:r w:rsidRPr="00C84483">
        <w:rPr>
          <w:b w:val="0"/>
          <w:szCs w:val="24"/>
          <w:lang w:eastAsia="en-US"/>
        </w:rPr>
        <w:tab/>
      </w:r>
      <w:r w:rsidR="00897B0F">
        <w:rPr>
          <w:szCs w:val="24"/>
        </w:rPr>
        <w:t>7. oktober 2025</w:t>
      </w:r>
    </w:p>
    <w:p w14:paraId="5CF71384" w14:textId="77777777" w:rsidR="009260DE" w:rsidRPr="00C84483" w:rsidRDefault="009260DE" w:rsidP="00F853F2">
      <w:pPr>
        <w:pStyle w:val="Titel"/>
        <w:tabs>
          <w:tab w:val="left" w:pos="8222"/>
        </w:tabs>
        <w:jc w:val="left"/>
        <w:rPr>
          <w:b w:val="0"/>
          <w:szCs w:val="24"/>
        </w:rPr>
      </w:pPr>
    </w:p>
    <w:p w14:paraId="0DB4874C" w14:textId="77777777" w:rsidR="009260DE" w:rsidRPr="00C84483" w:rsidRDefault="009260DE" w:rsidP="00F853F2">
      <w:pPr>
        <w:pStyle w:val="Titel"/>
        <w:jc w:val="left"/>
        <w:rPr>
          <w:b w:val="0"/>
          <w:szCs w:val="24"/>
        </w:rPr>
      </w:pPr>
    </w:p>
    <w:p w14:paraId="61B72801" w14:textId="77777777" w:rsidR="009260DE" w:rsidRPr="00C84483" w:rsidRDefault="009260DE" w:rsidP="00F853F2">
      <w:pPr>
        <w:pStyle w:val="Titel"/>
        <w:jc w:val="left"/>
        <w:rPr>
          <w:b w:val="0"/>
          <w:szCs w:val="24"/>
        </w:rPr>
      </w:pPr>
    </w:p>
    <w:p w14:paraId="4A868D72" w14:textId="77777777" w:rsidR="009260DE" w:rsidRPr="00C84483" w:rsidRDefault="009260DE" w:rsidP="00F853F2">
      <w:pPr>
        <w:jc w:val="center"/>
        <w:rPr>
          <w:b/>
          <w:sz w:val="24"/>
          <w:szCs w:val="24"/>
        </w:rPr>
      </w:pPr>
      <w:r w:rsidRPr="00C84483">
        <w:rPr>
          <w:b/>
          <w:sz w:val="24"/>
          <w:szCs w:val="24"/>
        </w:rPr>
        <w:t>PRODUKTRESUMÉ</w:t>
      </w:r>
    </w:p>
    <w:p w14:paraId="26ED3B83" w14:textId="77777777" w:rsidR="009260DE" w:rsidRPr="00C84483" w:rsidRDefault="009260DE" w:rsidP="00F853F2">
      <w:pPr>
        <w:jc w:val="center"/>
        <w:rPr>
          <w:b/>
          <w:sz w:val="24"/>
          <w:szCs w:val="24"/>
        </w:rPr>
      </w:pPr>
    </w:p>
    <w:p w14:paraId="7610D60C" w14:textId="77777777" w:rsidR="009260DE" w:rsidRDefault="009260DE" w:rsidP="00F853F2">
      <w:pPr>
        <w:jc w:val="center"/>
        <w:rPr>
          <w:b/>
          <w:sz w:val="24"/>
          <w:szCs w:val="24"/>
        </w:rPr>
      </w:pPr>
      <w:r w:rsidRPr="00C84483">
        <w:rPr>
          <w:b/>
          <w:sz w:val="24"/>
          <w:szCs w:val="24"/>
        </w:rPr>
        <w:t>for</w:t>
      </w:r>
    </w:p>
    <w:p w14:paraId="7EF072CE" w14:textId="77777777" w:rsidR="000B058C" w:rsidRPr="00C84483" w:rsidRDefault="000B058C" w:rsidP="00F853F2">
      <w:pPr>
        <w:jc w:val="center"/>
        <w:rPr>
          <w:b/>
          <w:sz w:val="24"/>
          <w:szCs w:val="24"/>
        </w:rPr>
      </w:pPr>
    </w:p>
    <w:p w14:paraId="69715121" w14:textId="77777777" w:rsidR="009260DE" w:rsidRPr="00C84483" w:rsidRDefault="008F29B4" w:rsidP="00F853F2">
      <w:pPr>
        <w:jc w:val="center"/>
        <w:rPr>
          <w:b/>
          <w:sz w:val="24"/>
          <w:szCs w:val="24"/>
        </w:rPr>
      </w:pPr>
      <w:r>
        <w:rPr>
          <w:b/>
          <w:sz w:val="24"/>
          <w:szCs w:val="24"/>
        </w:rPr>
        <w:t>Brivaracetam "Desitin", oral opløsning</w:t>
      </w:r>
    </w:p>
    <w:p w14:paraId="3B42486A" w14:textId="77777777" w:rsidR="009260DE" w:rsidRPr="00C84483" w:rsidRDefault="009260DE" w:rsidP="00F853F2">
      <w:pPr>
        <w:jc w:val="both"/>
        <w:rPr>
          <w:sz w:val="24"/>
          <w:szCs w:val="24"/>
        </w:rPr>
      </w:pPr>
    </w:p>
    <w:p w14:paraId="78E0D3C9" w14:textId="77777777" w:rsidR="009260DE" w:rsidRPr="00C84483" w:rsidRDefault="009260DE" w:rsidP="00F853F2">
      <w:pPr>
        <w:jc w:val="both"/>
        <w:rPr>
          <w:sz w:val="24"/>
          <w:szCs w:val="24"/>
        </w:rPr>
      </w:pPr>
    </w:p>
    <w:p w14:paraId="6429B895" w14:textId="77777777" w:rsidR="009260DE" w:rsidRPr="00C84483" w:rsidRDefault="009260DE" w:rsidP="00F853F2">
      <w:pPr>
        <w:tabs>
          <w:tab w:val="left" w:pos="851"/>
        </w:tabs>
        <w:ind w:left="851" w:hanging="851"/>
        <w:rPr>
          <w:b/>
          <w:sz w:val="24"/>
          <w:szCs w:val="24"/>
        </w:rPr>
      </w:pPr>
      <w:r w:rsidRPr="00C84483">
        <w:rPr>
          <w:b/>
          <w:sz w:val="24"/>
          <w:szCs w:val="24"/>
        </w:rPr>
        <w:t>0.</w:t>
      </w:r>
      <w:r w:rsidRPr="00C84483">
        <w:rPr>
          <w:b/>
          <w:sz w:val="24"/>
          <w:szCs w:val="24"/>
        </w:rPr>
        <w:tab/>
        <w:t>D.SP.NR.</w:t>
      </w:r>
    </w:p>
    <w:p w14:paraId="2F9B21FE" w14:textId="377DDA5A" w:rsidR="009260DE" w:rsidRPr="00C84483" w:rsidRDefault="008F29B4" w:rsidP="00F853F2">
      <w:pPr>
        <w:tabs>
          <w:tab w:val="left" w:pos="851"/>
        </w:tabs>
        <w:ind w:left="851"/>
        <w:rPr>
          <w:sz w:val="24"/>
          <w:szCs w:val="24"/>
        </w:rPr>
      </w:pPr>
      <w:r w:rsidRPr="00E54FAE">
        <w:rPr>
          <w:sz w:val="24"/>
          <w:szCs w:val="24"/>
        </w:rPr>
        <w:t>34</w:t>
      </w:r>
      <w:r w:rsidR="00E54FAE" w:rsidRPr="00E54FAE">
        <w:rPr>
          <w:sz w:val="24"/>
          <w:szCs w:val="24"/>
        </w:rPr>
        <w:t>095</w:t>
      </w:r>
    </w:p>
    <w:p w14:paraId="6D73DC65" w14:textId="77777777" w:rsidR="009260DE" w:rsidRPr="00C84483" w:rsidRDefault="009260DE" w:rsidP="00F853F2">
      <w:pPr>
        <w:tabs>
          <w:tab w:val="left" w:pos="851"/>
        </w:tabs>
        <w:ind w:left="851"/>
        <w:rPr>
          <w:sz w:val="24"/>
          <w:szCs w:val="24"/>
        </w:rPr>
      </w:pPr>
    </w:p>
    <w:p w14:paraId="10DB07B4" w14:textId="77777777" w:rsidR="009260DE" w:rsidRPr="00C84483" w:rsidRDefault="009260DE" w:rsidP="00F853F2">
      <w:pPr>
        <w:tabs>
          <w:tab w:val="left" w:pos="851"/>
        </w:tabs>
        <w:ind w:left="851" w:hanging="851"/>
        <w:rPr>
          <w:b/>
          <w:sz w:val="24"/>
          <w:szCs w:val="24"/>
        </w:rPr>
      </w:pPr>
      <w:r w:rsidRPr="00C84483">
        <w:rPr>
          <w:b/>
          <w:sz w:val="24"/>
          <w:szCs w:val="24"/>
        </w:rPr>
        <w:t>1.</w:t>
      </w:r>
      <w:r w:rsidRPr="00C84483">
        <w:rPr>
          <w:b/>
          <w:sz w:val="24"/>
          <w:szCs w:val="24"/>
        </w:rPr>
        <w:tab/>
        <w:t>LÆGEMIDLETS NAVN</w:t>
      </w:r>
    </w:p>
    <w:p w14:paraId="3DC3455B" w14:textId="77777777" w:rsidR="009260DE" w:rsidRPr="00C84483" w:rsidRDefault="008F29B4" w:rsidP="00F853F2">
      <w:pPr>
        <w:tabs>
          <w:tab w:val="left" w:pos="851"/>
        </w:tabs>
        <w:ind w:left="851"/>
        <w:rPr>
          <w:sz w:val="24"/>
          <w:szCs w:val="24"/>
        </w:rPr>
      </w:pPr>
      <w:r>
        <w:rPr>
          <w:sz w:val="24"/>
          <w:szCs w:val="24"/>
        </w:rPr>
        <w:t>Brivaracetam "Desitin"</w:t>
      </w:r>
    </w:p>
    <w:p w14:paraId="07487A0C" w14:textId="77777777" w:rsidR="009260DE" w:rsidRPr="00C84483" w:rsidRDefault="009260DE" w:rsidP="00F853F2">
      <w:pPr>
        <w:tabs>
          <w:tab w:val="left" w:pos="851"/>
        </w:tabs>
        <w:ind w:left="851"/>
        <w:rPr>
          <w:sz w:val="24"/>
          <w:szCs w:val="24"/>
        </w:rPr>
      </w:pPr>
    </w:p>
    <w:p w14:paraId="027EC481" w14:textId="77777777" w:rsidR="009260DE" w:rsidRPr="00C84483" w:rsidRDefault="009260DE" w:rsidP="00F853F2">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42EB999B" w14:textId="77777777" w:rsidR="00944ED2" w:rsidRPr="00944ED2" w:rsidRDefault="00944ED2" w:rsidP="00F853F2">
      <w:pPr>
        <w:tabs>
          <w:tab w:val="left" w:pos="851"/>
        </w:tabs>
        <w:ind w:left="851"/>
        <w:rPr>
          <w:sz w:val="24"/>
          <w:szCs w:val="24"/>
        </w:rPr>
      </w:pPr>
      <w:r w:rsidRPr="00944ED2">
        <w:rPr>
          <w:sz w:val="24"/>
          <w:szCs w:val="24"/>
        </w:rPr>
        <w:t>Hver ml indeholder 10 mg brivaracetam.</w:t>
      </w:r>
    </w:p>
    <w:p w14:paraId="6370B0A3" w14:textId="77777777" w:rsidR="00944ED2" w:rsidRPr="00944ED2" w:rsidRDefault="00944ED2" w:rsidP="00F853F2">
      <w:pPr>
        <w:tabs>
          <w:tab w:val="left" w:pos="851"/>
        </w:tabs>
        <w:ind w:left="851"/>
        <w:rPr>
          <w:sz w:val="24"/>
          <w:szCs w:val="24"/>
        </w:rPr>
      </w:pPr>
    </w:p>
    <w:p w14:paraId="75355B8B" w14:textId="77777777" w:rsidR="00944ED2" w:rsidRPr="00944ED2" w:rsidRDefault="00944ED2" w:rsidP="00F853F2">
      <w:pPr>
        <w:tabs>
          <w:tab w:val="left" w:pos="851"/>
        </w:tabs>
        <w:ind w:left="851"/>
        <w:rPr>
          <w:sz w:val="24"/>
          <w:szCs w:val="24"/>
        </w:rPr>
      </w:pPr>
      <w:r w:rsidRPr="00944ED2">
        <w:rPr>
          <w:sz w:val="24"/>
          <w:szCs w:val="24"/>
          <w:u w:val="single"/>
        </w:rPr>
        <w:t>Hjælpestoffer, som behandleren skal være opmærksom på</w:t>
      </w:r>
    </w:p>
    <w:p w14:paraId="01F3B17F" w14:textId="1D1A4BAC" w:rsidR="00944ED2" w:rsidRPr="00944ED2" w:rsidRDefault="00944ED2" w:rsidP="00F853F2">
      <w:pPr>
        <w:tabs>
          <w:tab w:val="left" w:pos="851"/>
        </w:tabs>
        <w:ind w:left="851"/>
        <w:rPr>
          <w:sz w:val="24"/>
          <w:szCs w:val="24"/>
        </w:rPr>
      </w:pPr>
      <w:r w:rsidRPr="00944ED2">
        <w:rPr>
          <w:sz w:val="24"/>
          <w:szCs w:val="24"/>
        </w:rPr>
        <w:t>Hver ml oral opløsning indeholder 168 mg sorbitol, 1 mg methylparahydroxybenzoat og ca.</w:t>
      </w:r>
      <w:r>
        <w:rPr>
          <w:sz w:val="24"/>
          <w:szCs w:val="24"/>
        </w:rPr>
        <w:t xml:space="preserve"> </w:t>
      </w:r>
      <w:r w:rsidRPr="00944ED2">
        <w:rPr>
          <w:sz w:val="24"/>
          <w:szCs w:val="24"/>
        </w:rPr>
        <w:t>0,81 mg propylenglycol (E1520).</w:t>
      </w:r>
    </w:p>
    <w:p w14:paraId="7CED01B7" w14:textId="77777777" w:rsidR="00944ED2" w:rsidRPr="00944ED2" w:rsidRDefault="00944ED2" w:rsidP="00F853F2">
      <w:pPr>
        <w:tabs>
          <w:tab w:val="left" w:pos="851"/>
        </w:tabs>
        <w:ind w:left="851"/>
        <w:rPr>
          <w:sz w:val="24"/>
          <w:szCs w:val="24"/>
        </w:rPr>
      </w:pPr>
    </w:p>
    <w:p w14:paraId="2B67CC9C" w14:textId="77777777" w:rsidR="00944ED2" w:rsidRPr="00944ED2" w:rsidRDefault="00944ED2" w:rsidP="00F853F2">
      <w:pPr>
        <w:tabs>
          <w:tab w:val="left" w:pos="851"/>
        </w:tabs>
        <w:ind w:left="851"/>
        <w:rPr>
          <w:sz w:val="24"/>
          <w:szCs w:val="24"/>
        </w:rPr>
      </w:pPr>
      <w:r w:rsidRPr="00944ED2">
        <w:rPr>
          <w:sz w:val="24"/>
          <w:szCs w:val="24"/>
        </w:rPr>
        <w:t>Alle hjælpestoffer er anført under pkt. 6.1.</w:t>
      </w:r>
    </w:p>
    <w:p w14:paraId="7C06AB5C" w14:textId="77777777" w:rsidR="009260DE" w:rsidRPr="00C84483" w:rsidRDefault="009260DE" w:rsidP="00F853F2">
      <w:pPr>
        <w:tabs>
          <w:tab w:val="left" w:pos="851"/>
        </w:tabs>
        <w:ind w:left="851"/>
        <w:rPr>
          <w:sz w:val="24"/>
          <w:szCs w:val="24"/>
        </w:rPr>
      </w:pPr>
    </w:p>
    <w:p w14:paraId="26E8D7B1" w14:textId="77777777" w:rsidR="009260DE" w:rsidRPr="00C84483" w:rsidRDefault="009260DE" w:rsidP="00F853F2">
      <w:pPr>
        <w:tabs>
          <w:tab w:val="left" w:pos="851"/>
        </w:tabs>
        <w:ind w:left="851" w:hanging="851"/>
        <w:rPr>
          <w:b/>
          <w:sz w:val="24"/>
          <w:szCs w:val="24"/>
        </w:rPr>
      </w:pPr>
      <w:r w:rsidRPr="00C84483">
        <w:rPr>
          <w:b/>
          <w:sz w:val="24"/>
          <w:szCs w:val="24"/>
        </w:rPr>
        <w:t>3.</w:t>
      </w:r>
      <w:r w:rsidRPr="00C84483">
        <w:rPr>
          <w:b/>
          <w:sz w:val="24"/>
          <w:szCs w:val="24"/>
        </w:rPr>
        <w:tab/>
        <w:t>LÆGEMIDDELFORM</w:t>
      </w:r>
    </w:p>
    <w:p w14:paraId="146B8942" w14:textId="287444AC" w:rsidR="00944ED2" w:rsidRDefault="00944ED2" w:rsidP="00F853F2">
      <w:pPr>
        <w:tabs>
          <w:tab w:val="left" w:pos="851"/>
        </w:tabs>
        <w:ind w:left="851"/>
        <w:rPr>
          <w:sz w:val="24"/>
          <w:szCs w:val="24"/>
        </w:rPr>
      </w:pPr>
      <w:r w:rsidRPr="00944ED2">
        <w:rPr>
          <w:sz w:val="24"/>
          <w:szCs w:val="24"/>
        </w:rPr>
        <w:t>Oral opløsning</w:t>
      </w:r>
    </w:p>
    <w:p w14:paraId="0F7B4C4F" w14:textId="77777777" w:rsidR="00944ED2" w:rsidRPr="00944ED2" w:rsidRDefault="00944ED2" w:rsidP="00F853F2">
      <w:pPr>
        <w:tabs>
          <w:tab w:val="left" w:pos="851"/>
        </w:tabs>
        <w:ind w:left="851"/>
        <w:rPr>
          <w:sz w:val="24"/>
          <w:szCs w:val="24"/>
        </w:rPr>
      </w:pPr>
    </w:p>
    <w:p w14:paraId="7C7D66B7" w14:textId="77777777" w:rsidR="00944ED2" w:rsidRPr="00944ED2" w:rsidRDefault="00944ED2" w:rsidP="00F853F2">
      <w:pPr>
        <w:tabs>
          <w:tab w:val="left" w:pos="851"/>
        </w:tabs>
        <w:ind w:left="851"/>
        <w:rPr>
          <w:sz w:val="24"/>
          <w:szCs w:val="24"/>
        </w:rPr>
      </w:pPr>
      <w:r w:rsidRPr="00944ED2">
        <w:rPr>
          <w:sz w:val="24"/>
          <w:szCs w:val="24"/>
        </w:rPr>
        <w:t>Let viskøs, klar, farveløs opløsning.</w:t>
      </w:r>
    </w:p>
    <w:p w14:paraId="2BAAB715" w14:textId="77777777" w:rsidR="009260DE" w:rsidRPr="00C84483" w:rsidRDefault="009260DE" w:rsidP="00F853F2">
      <w:pPr>
        <w:tabs>
          <w:tab w:val="left" w:pos="851"/>
        </w:tabs>
        <w:ind w:left="851"/>
        <w:rPr>
          <w:sz w:val="24"/>
          <w:szCs w:val="24"/>
        </w:rPr>
      </w:pPr>
    </w:p>
    <w:p w14:paraId="4F3E62CA" w14:textId="77777777" w:rsidR="009260DE" w:rsidRPr="00C84483" w:rsidRDefault="009260DE" w:rsidP="00F853F2">
      <w:pPr>
        <w:tabs>
          <w:tab w:val="left" w:pos="851"/>
        </w:tabs>
        <w:ind w:left="851"/>
        <w:rPr>
          <w:sz w:val="24"/>
          <w:szCs w:val="24"/>
        </w:rPr>
      </w:pPr>
    </w:p>
    <w:p w14:paraId="2760C822" w14:textId="77777777" w:rsidR="009260DE" w:rsidRPr="00C84483" w:rsidRDefault="009260DE" w:rsidP="00F853F2">
      <w:pPr>
        <w:tabs>
          <w:tab w:val="left" w:pos="851"/>
        </w:tabs>
        <w:ind w:left="851" w:hanging="851"/>
        <w:rPr>
          <w:b/>
          <w:sz w:val="24"/>
          <w:szCs w:val="24"/>
        </w:rPr>
      </w:pPr>
      <w:r w:rsidRPr="00C84483">
        <w:rPr>
          <w:b/>
          <w:sz w:val="24"/>
          <w:szCs w:val="24"/>
        </w:rPr>
        <w:t>4.</w:t>
      </w:r>
      <w:r w:rsidRPr="00C84483">
        <w:rPr>
          <w:b/>
          <w:sz w:val="24"/>
          <w:szCs w:val="24"/>
        </w:rPr>
        <w:tab/>
        <w:t>KLINISKE OPLYSNINGER</w:t>
      </w:r>
    </w:p>
    <w:p w14:paraId="46EA97A5" w14:textId="77777777" w:rsidR="009260DE" w:rsidRPr="00C84483" w:rsidRDefault="009260DE" w:rsidP="00F853F2">
      <w:pPr>
        <w:tabs>
          <w:tab w:val="left" w:pos="851"/>
        </w:tabs>
        <w:ind w:left="851"/>
        <w:rPr>
          <w:b/>
          <w:sz w:val="24"/>
          <w:szCs w:val="24"/>
        </w:rPr>
      </w:pPr>
    </w:p>
    <w:p w14:paraId="30C85FDF" w14:textId="77777777" w:rsidR="009260DE" w:rsidRPr="00C84483" w:rsidRDefault="009260DE" w:rsidP="00F853F2">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0C977D7A" w14:textId="77777777" w:rsidR="00944ED2" w:rsidRPr="00944ED2" w:rsidRDefault="00944ED2" w:rsidP="00F853F2">
      <w:pPr>
        <w:tabs>
          <w:tab w:val="left" w:pos="851"/>
        </w:tabs>
        <w:ind w:left="851"/>
        <w:rPr>
          <w:sz w:val="24"/>
          <w:szCs w:val="24"/>
        </w:rPr>
      </w:pPr>
      <w:r w:rsidRPr="00944ED2">
        <w:rPr>
          <w:sz w:val="24"/>
          <w:szCs w:val="24"/>
        </w:rPr>
        <w:t>Brivaracetam "Desitin" er indiceret som tillægsbehandling til behandling af partielle anfald med eller uden sekundær generalisering hos voksne, unge og børn fra 2 år med epilepsi.</w:t>
      </w:r>
    </w:p>
    <w:p w14:paraId="7378DFA9" w14:textId="77777777" w:rsidR="009260DE" w:rsidRPr="00C84483" w:rsidRDefault="009260DE" w:rsidP="00F853F2">
      <w:pPr>
        <w:tabs>
          <w:tab w:val="left" w:pos="851"/>
        </w:tabs>
        <w:ind w:left="851"/>
        <w:rPr>
          <w:sz w:val="24"/>
          <w:szCs w:val="24"/>
        </w:rPr>
      </w:pPr>
    </w:p>
    <w:p w14:paraId="7F294D27" w14:textId="77777777" w:rsidR="009260DE" w:rsidRPr="00C84483" w:rsidRDefault="009260DE" w:rsidP="00F853F2">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6AAD05CD" w14:textId="77777777" w:rsidR="00944ED2" w:rsidRPr="00897B0F" w:rsidRDefault="00944ED2" w:rsidP="00F853F2">
      <w:pPr>
        <w:pStyle w:val="Brdtekst"/>
        <w:ind w:left="851"/>
        <w:rPr>
          <w:b/>
          <w:sz w:val="24"/>
          <w:szCs w:val="24"/>
          <w:lang w:val="da-DK"/>
        </w:rPr>
      </w:pPr>
    </w:p>
    <w:p w14:paraId="0AC48196" w14:textId="77777777" w:rsidR="00944ED2" w:rsidRPr="00944ED2" w:rsidRDefault="00944ED2" w:rsidP="00F853F2">
      <w:pPr>
        <w:pStyle w:val="Brdtekst"/>
        <w:ind w:left="851"/>
        <w:rPr>
          <w:sz w:val="24"/>
          <w:szCs w:val="24"/>
          <w:lang w:val="da-DK"/>
        </w:rPr>
      </w:pPr>
      <w:r w:rsidRPr="00944ED2">
        <w:rPr>
          <w:sz w:val="24"/>
          <w:szCs w:val="24"/>
          <w:u w:val="single"/>
          <w:lang w:val="da-DK"/>
        </w:rPr>
        <w:t>Dosering</w:t>
      </w:r>
    </w:p>
    <w:p w14:paraId="7727B283" w14:textId="77777777" w:rsidR="00944ED2" w:rsidRPr="00944ED2" w:rsidRDefault="00944ED2" w:rsidP="00F853F2">
      <w:pPr>
        <w:pStyle w:val="Brdtekst"/>
        <w:ind w:left="851"/>
        <w:rPr>
          <w:sz w:val="24"/>
          <w:szCs w:val="24"/>
          <w:lang w:val="da-DK"/>
        </w:rPr>
      </w:pPr>
      <w:r w:rsidRPr="00944ED2">
        <w:rPr>
          <w:sz w:val="24"/>
          <w:szCs w:val="24"/>
          <w:lang w:val="da-DK"/>
        </w:rPr>
        <w:t>Lægen skal ordinere den mest hensigtsmæssige formulering og styrke baseret på vægt og dosis. Det anbefales, at forældre og omsorgspersoner administrerer Brivaracetam "Desitin" oral opløsning ved brug af den måleenhed (10 ml eller 5 ml oral doseringssprøjte), der er vedlagt i kartonen.</w:t>
      </w:r>
    </w:p>
    <w:p w14:paraId="042CD388" w14:textId="77777777" w:rsidR="00944ED2" w:rsidRPr="00944ED2" w:rsidRDefault="00944ED2" w:rsidP="00F853F2">
      <w:pPr>
        <w:pStyle w:val="Brdtekst"/>
        <w:ind w:left="851"/>
        <w:rPr>
          <w:sz w:val="24"/>
          <w:szCs w:val="24"/>
          <w:lang w:val="da-DK"/>
        </w:rPr>
      </w:pPr>
    </w:p>
    <w:p w14:paraId="76727415" w14:textId="77777777" w:rsidR="00944ED2" w:rsidRPr="00944ED2" w:rsidRDefault="00944ED2" w:rsidP="00F853F2">
      <w:pPr>
        <w:pStyle w:val="Brdtekst"/>
        <w:ind w:left="851"/>
        <w:rPr>
          <w:sz w:val="24"/>
          <w:szCs w:val="24"/>
          <w:lang w:val="da-DK"/>
        </w:rPr>
      </w:pPr>
      <w:r w:rsidRPr="00944ED2">
        <w:rPr>
          <w:sz w:val="24"/>
          <w:szCs w:val="24"/>
          <w:lang w:val="da-DK"/>
        </w:rPr>
        <w:t>Følgende tabel sammenfatter den anbefalede dosering for voksne, unge og børn fra 2 år. Dosis skal administreres i to lige store opdelte doser, med ca. 12 timers mellemrum.</w:t>
      </w:r>
    </w:p>
    <w:p w14:paraId="1FDC3C46" w14:textId="77777777" w:rsidR="00944ED2" w:rsidRPr="00944ED2" w:rsidRDefault="00944ED2" w:rsidP="00F853F2">
      <w:pPr>
        <w:pStyle w:val="Brdtekst"/>
        <w:ind w:left="851"/>
        <w:rPr>
          <w:sz w:val="24"/>
          <w:szCs w:val="24"/>
          <w:lang w:val="da-DK"/>
        </w:rPr>
      </w:pP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3274"/>
        <w:gridCol w:w="2553"/>
      </w:tblGrid>
      <w:tr w:rsidR="00944ED2" w14:paraId="38E1A336" w14:textId="77777777" w:rsidTr="00944ED2">
        <w:trPr>
          <w:trHeight w:val="506"/>
        </w:trPr>
        <w:tc>
          <w:tcPr>
            <w:tcW w:w="3653" w:type="dxa"/>
            <w:tcBorders>
              <w:top w:val="single" w:sz="4" w:space="0" w:color="000000"/>
              <w:left w:val="single" w:sz="4" w:space="0" w:color="000000"/>
              <w:bottom w:val="single" w:sz="4" w:space="0" w:color="000000"/>
              <w:right w:val="single" w:sz="4" w:space="0" w:color="000000"/>
            </w:tcBorders>
            <w:hideMark/>
          </w:tcPr>
          <w:p w14:paraId="5F00F99B" w14:textId="77777777" w:rsidR="00944ED2" w:rsidRDefault="00944ED2" w:rsidP="00F853F2">
            <w:pPr>
              <w:pStyle w:val="TableParagraph"/>
              <w:spacing w:line="240" w:lineRule="auto"/>
              <w:rPr>
                <w:b/>
              </w:rPr>
            </w:pPr>
            <w:r>
              <w:rPr>
                <w:b/>
              </w:rPr>
              <w:t>Anbefalet initialdosis</w:t>
            </w:r>
          </w:p>
        </w:tc>
        <w:tc>
          <w:tcPr>
            <w:tcW w:w="3274" w:type="dxa"/>
            <w:tcBorders>
              <w:top w:val="single" w:sz="4" w:space="0" w:color="000000"/>
              <w:left w:val="single" w:sz="4" w:space="0" w:color="000000"/>
              <w:bottom w:val="single" w:sz="4" w:space="0" w:color="000000"/>
              <w:right w:val="single" w:sz="4" w:space="0" w:color="000000"/>
            </w:tcBorders>
            <w:hideMark/>
          </w:tcPr>
          <w:p w14:paraId="4374A7A5" w14:textId="77777777" w:rsidR="00944ED2" w:rsidRDefault="00944ED2" w:rsidP="00F853F2">
            <w:pPr>
              <w:pStyle w:val="TableParagraph"/>
              <w:spacing w:line="240" w:lineRule="auto"/>
              <w:ind w:left="108"/>
              <w:rPr>
                <w:b/>
              </w:rPr>
            </w:pPr>
            <w:r>
              <w:rPr>
                <w:b/>
              </w:rPr>
              <w:t>Anbefalet vedligeholdelsesdosis</w:t>
            </w:r>
          </w:p>
        </w:tc>
        <w:tc>
          <w:tcPr>
            <w:tcW w:w="2553" w:type="dxa"/>
            <w:tcBorders>
              <w:top w:val="single" w:sz="4" w:space="0" w:color="000000"/>
              <w:left w:val="single" w:sz="4" w:space="0" w:color="000000"/>
              <w:bottom w:val="single" w:sz="4" w:space="0" w:color="000000"/>
              <w:right w:val="single" w:sz="4" w:space="0" w:color="000000"/>
            </w:tcBorders>
            <w:hideMark/>
          </w:tcPr>
          <w:p w14:paraId="6D5033D7" w14:textId="77777777" w:rsidR="00944ED2" w:rsidRDefault="00944ED2" w:rsidP="00F853F2">
            <w:pPr>
              <w:pStyle w:val="TableParagraph"/>
              <w:spacing w:line="240" w:lineRule="auto"/>
              <w:ind w:left="108"/>
              <w:rPr>
                <w:b/>
              </w:rPr>
            </w:pPr>
            <w:r>
              <w:rPr>
                <w:b/>
              </w:rPr>
              <w:t>Terapeutisk dosisområde*</w:t>
            </w:r>
          </w:p>
        </w:tc>
      </w:tr>
      <w:tr w:rsidR="00944ED2" w14:paraId="671CF7E7" w14:textId="77777777" w:rsidTr="00944ED2">
        <w:trPr>
          <w:trHeight w:val="221"/>
        </w:trPr>
        <w:tc>
          <w:tcPr>
            <w:tcW w:w="9480" w:type="dxa"/>
            <w:gridSpan w:val="3"/>
            <w:tcBorders>
              <w:top w:val="single" w:sz="4" w:space="0" w:color="000000"/>
              <w:left w:val="single" w:sz="4" w:space="0" w:color="000000"/>
              <w:bottom w:val="single" w:sz="4" w:space="0" w:color="000000"/>
              <w:right w:val="single" w:sz="4" w:space="0" w:color="000000"/>
            </w:tcBorders>
            <w:hideMark/>
          </w:tcPr>
          <w:p w14:paraId="433F1BDE" w14:textId="77777777" w:rsidR="00944ED2" w:rsidRDefault="00944ED2" w:rsidP="00F853F2">
            <w:pPr>
              <w:pStyle w:val="TableParagraph"/>
              <w:spacing w:line="240" w:lineRule="auto"/>
              <w:rPr>
                <w:b/>
                <w:lang w:val="da-DK"/>
              </w:rPr>
            </w:pPr>
            <w:r>
              <w:rPr>
                <w:b/>
                <w:lang w:val="da-DK"/>
              </w:rPr>
              <w:t>Unge og børn, som vejer 50 kg eller derover, og voksne</w:t>
            </w:r>
          </w:p>
        </w:tc>
      </w:tr>
      <w:tr w:rsidR="00944ED2" w14:paraId="31F46D0A" w14:textId="77777777" w:rsidTr="00944ED2">
        <w:trPr>
          <w:trHeight w:val="502"/>
        </w:trPr>
        <w:tc>
          <w:tcPr>
            <w:tcW w:w="3653" w:type="dxa"/>
            <w:tcBorders>
              <w:top w:val="thickThinMediumGap" w:sz="6" w:space="0" w:color="000000"/>
              <w:left w:val="single" w:sz="4" w:space="0" w:color="000000"/>
              <w:bottom w:val="single" w:sz="4" w:space="0" w:color="000000"/>
              <w:right w:val="single" w:sz="4" w:space="0" w:color="000000"/>
            </w:tcBorders>
            <w:hideMark/>
          </w:tcPr>
          <w:p w14:paraId="5D5F341B" w14:textId="77777777" w:rsidR="00944ED2" w:rsidRDefault="00944ED2" w:rsidP="00F853F2">
            <w:pPr>
              <w:pStyle w:val="TableParagraph"/>
              <w:spacing w:line="240" w:lineRule="auto"/>
              <w:rPr>
                <w:lang w:val="da-DK"/>
              </w:rPr>
            </w:pPr>
            <w:r>
              <w:rPr>
                <w:lang w:val="da-DK"/>
              </w:rPr>
              <w:t>50 mg/dag (eller 100 mg/dag)**</w:t>
            </w:r>
          </w:p>
        </w:tc>
        <w:tc>
          <w:tcPr>
            <w:tcW w:w="3274" w:type="dxa"/>
            <w:tcBorders>
              <w:top w:val="thickThinMediumGap" w:sz="6" w:space="0" w:color="000000"/>
              <w:left w:val="single" w:sz="4" w:space="0" w:color="000000"/>
              <w:bottom w:val="single" w:sz="4" w:space="0" w:color="000000"/>
              <w:right w:val="single" w:sz="4" w:space="0" w:color="000000"/>
            </w:tcBorders>
            <w:hideMark/>
          </w:tcPr>
          <w:p w14:paraId="285ECBD3" w14:textId="77777777" w:rsidR="00944ED2" w:rsidRDefault="00944ED2" w:rsidP="00F853F2">
            <w:pPr>
              <w:pStyle w:val="TableParagraph"/>
              <w:spacing w:line="240" w:lineRule="auto"/>
              <w:ind w:left="108"/>
            </w:pPr>
            <w:r>
              <w:t>100 mg/dag</w:t>
            </w:r>
          </w:p>
        </w:tc>
        <w:tc>
          <w:tcPr>
            <w:tcW w:w="2553" w:type="dxa"/>
            <w:tcBorders>
              <w:top w:val="single" w:sz="4" w:space="0" w:color="000000"/>
              <w:left w:val="single" w:sz="4" w:space="0" w:color="000000"/>
              <w:bottom w:val="single" w:sz="4" w:space="0" w:color="000000"/>
              <w:right w:val="single" w:sz="4" w:space="0" w:color="000000"/>
            </w:tcBorders>
            <w:hideMark/>
          </w:tcPr>
          <w:p w14:paraId="57BE133A" w14:textId="77777777" w:rsidR="00944ED2" w:rsidRDefault="00944ED2" w:rsidP="00F853F2">
            <w:pPr>
              <w:pStyle w:val="TableParagraph"/>
              <w:spacing w:line="240" w:lineRule="auto"/>
              <w:ind w:left="108"/>
            </w:pPr>
            <w:r>
              <w:t>50-200 mg/dag</w:t>
            </w:r>
          </w:p>
        </w:tc>
      </w:tr>
      <w:tr w:rsidR="00944ED2" w14:paraId="10D11EED" w14:textId="77777777" w:rsidTr="00944ED2">
        <w:trPr>
          <w:trHeight w:val="222"/>
        </w:trPr>
        <w:tc>
          <w:tcPr>
            <w:tcW w:w="9480" w:type="dxa"/>
            <w:gridSpan w:val="3"/>
            <w:tcBorders>
              <w:top w:val="single" w:sz="4" w:space="0" w:color="000000"/>
              <w:left w:val="single" w:sz="4" w:space="0" w:color="000000"/>
              <w:bottom w:val="single" w:sz="4" w:space="0" w:color="000000"/>
              <w:right w:val="single" w:sz="4" w:space="0" w:color="000000"/>
            </w:tcBorders>
            <w:hideMark/>
          </w:tcPr>
          <w:p w14:paraId="0907F1BA" w14:textId="77777777" w:rsidR="00944ED2" w:rsidRDefault="00944ED2" w:rsidP="00F853F2">
            <w:pPr>
              <w:pStyle w:val="TableParagraph"/>
              <w:spacing w:line="240" w:lineRule="auto"/>
              <w:rPr>
                <w:b/>
                <w:lang w:val="da-DK"/>
              </w:rPr>
            </w:pPr>
            <w:r>
              <w:rPr>
                <w:b/>
                <w:lang w:val="da-DK"/>
              </w:rPr>
              <w:t>Unge og børn, som vejer fra 20 kg til under 50 kg</w:t>
            </w:r>
          </w:p>
        </w:tc>
      </w:tr>
      <w:tr w:rsidR="00944ED2" w14:paraId="4307ADF6" w14:textId="77777777" w:rsidTr="00944ED2">
        <w:trPr>
          <w:trHeight w:val="500"/>
        </w:trPr>
        <w:tc>
          <w:tcPr>
            <w:tcW w:w="3653" w:type="dxa"/>
            <w:tcBorders>
              <w:top w:val="thickThinMediumGap" w:sz="6" w:space="0" w:color="000000"/>
              <w:left w:val="single" w:sz="4" w:space="0" w:color="000000"/>
              <w:bottom w:val="single" w:sz="4" w:space="0" w:color="000000"/>
              <w:right w:val="single" w:sz="4" w:space="0" w:color="000000"/>
            </w:tcBorders>
            <w:hideMark/>
          </w:tcPr>
          <w:p w14:paraId="419C1FF9" w14:textId="77777777" w:rsidR="00944ED2" w:rsidRDefault="00944ED2" w:rsidP="00F853F2">
            <w:pPr>
              <w:pStyle w:val="TableParagraph"/>
              <w:spacing w:line="240" w:lineRule="auto"/>
              <w:rPr>
                <w:lang w:val="da-DK"/>
              </w:rPr>
            </w:pPr>
            <w:r>
              <w:rPr>
                <w:lang w:val="da-DK"/>
              </w:rPr>
              <w:t>1 mg/kg/dag (op til 2 mg/kg/dag)**</w:t>
            </w:r>
          </w:p>
        </w:tc>
        <w:tc>
          <w:tcPr>
            <w:tcW w:w="3274" w:type="dxa"/>
            <w:tcBorders>
              <w:top w:val="thickThinMediumGap" w:sz="6" w:space="0" w:color="000000"/>
              <w:left w:val="single" w:sz="4" w:space="0" w:color="000000"/>
              <w:bottom w:val="single" w:sz="4" w:space="0" w:color="000000"/>
              <w:right w:val="single" w:sz="4" w:space="0" w:color="000000"/>
            </w:tcBorders>
            <w:hideMark/>
          </w:tcPr>
          <w:p w14:paraId="1D835DF0" w14:textId="77777777" w:rsidR="00944ED2" w:rsidRDefault="00944ED2" w:rsidP="00F853F2">
            <w:pPr>
              <w:pStyle w:val="TableParagraph"/>
              <w:spacing w:line="240" w:lineRule="auto"/>
              <w:ind w:left="108"/>
            </w:pPr>
            <w:r>
              <w:t>2 mg/kg/dag</w:t>
            </w:r>
          </w:p>
        </w:tc>
        <w:tc>
          <w:tcPr>
            <w:tcW w:w="2553" w:type="dxa"/>
            <w:tcBorders>
              <w:top w:val="single" w:sz="4" w:space="0" w:color="000000"/>
              <w:left w:val="single" w:sz="4" w:space="0" w:color="000000"/>
              <w:bottom w:val="single" w:sz="4" w:space="0" w:color="000000"/>
              <w:right w:val="single" w:sz="4" w:space="0" w:color="000000"/>
            </w:tcBorders>
            <w:hideMark/>
          </w:tcPr>
          <w:p w14:paraId="53B788CB" w14:textId="77777777" w:rsidR="00944ED2" w:rsidRDefault="00944ED2" w:rsidP="00F853F2">
            <w:pPr>
              <w:pStyle w:val="TableParagraph"/>
              <w:spacing w:line="240" w:lineRule="auto"/>
              <w:ind w:left="108"/>
            </w:pPr>
            <w:r>
              <w:t>1-4 mg/kg/dag</w:t>
            </w:r>
          </w:p>
        </w:tc>
      </w:tr>
      <w:tr w:rsidR="00944ED2" w14:paraId="3A4DA71A" w14:textId="77777777" w:rsidTr="00944ED2">
        <w:trPr>
          <w:trHeight w:val="223"/>
        </w:trPr>
        <w:tc>
          <w:tcPr>
            <w:tcW w:w="9480" w:type="dxa"/>
            <w:gridSpan w:val="3"/>
            <w:tcBorders>
              <w:top w:val="single" w:sz="4" w:space="0" w:color="000000"/>
              <w:left w:val="single" w:sz="4" w:space="0" w:color="000000"/>
              <w:bottom w:val="single" w:sz="4" w:space="0" w:color="000000"/>
              <w:right w:val="single" w:sz="4" w:space="0" w:color="000000"/>
            </w:tcBorders>
            <w:hideMark/>
          </w:tcPr>
          <w:p w14:paraId="18A98485" w14:textId="77777777" w:rsidR="00944ED2" w:rsidRDefault="00944ED2" w:rsidP="00F853F2">
            <w:pPr>
              <w:pStyle w:val="TableParagraph"/>
              <w:spacing w:line="240" w:lineRule="auto"/>
              <w:rPr>
                <w:b/>
                <w:lang w:val="da-DK"/>
              </w:rPr>
            </w:pPr>
            <w:r>
              <w:rPr>
                <w:b/>
                <w:lang w:val="da-DK"/>
              </w:rPr>
              <w:t>Børn, som vejer fra 10 kg til under 20 kg</w:t>
            </w:r>
          </w:p>
        </w:tc>
      </w:tr>
      <w:tr w:rsidR="00944ED2" w14:paraId="12F29CAB" w14:textId="77777777" w:rsidTr="00944ED2">
        <w:trPr>
          <w:trHeight w:val="501"/>
        </w:trPr>
        <w:tc>
          <w:tcPr>
            <w:tcW w:w="3653" w:type="dxa"/>
            <w:tcBorders>
              <w:top w:val="thickThinMediumGap" w:sz="6" w:space="0" w:color="000000"/>
              <w:left w:val="single" w:sz="4" w:space="0" w:color="000000"/>
              <w:bottom w:val="single" w:sz="4" w:space="0" w:color="000000"/>
              <w:right w:val="single" w:sz="4" w:space="0" w:color="000000"/>
            </w:tcBorders>
            <w:hideMark/>
          </w:tcPr>
          <w:p w14:paraId="5010608B" w14:textId="77777777" w:rsidR="00944ED2" w:rsidRDefault="00944ED2" w:rsidP="00F853F2">
            <w:pPr>
              <w:pStyle w:val="TableParagraph"/>
              <w:spacing w:line="240" w:lineRule="auto"/>
              <w:rPr>
                <w:lang w:val="da-DK"/>
              </w:rPr>
            </w:pPr>
            <w:r>
              <w:rPr>
                <w:lang w:val="da-DK"/>
              </w:rPr>
              <w:t>1 mg/kg/dag (op til 2,5 mg/kg/dag)**</w:t>
            </w:r>
          </w:p>
        </w:tc>
        <w:tc>
          <w:tcPr>
            <w:tcW w:w="3274" w:type="dxa"/>
            <w:tcBorders>
              <w:top w:val="single" w:sz="12" w:space="0" w:color="000000"/>
              <w:left w:val="single" w:sz="4" w:space="0" w:color="000000"/>
              <w:bottom w:val="single" w:sz="4" w:space="0" w:color="000000"/>
              <w:right w:val="single" w:sz="4" w:space="0" w:color="000000"/>
            </w:tcBorders>
            <w:hideMark/>
          </w:tcPr>
          <w:p w14:paraId="1F549502" w14:textId="77777777" w:rsidR="00944ED2" w:rsidRDefault="00944ED2" w:rsidP="00F853F2">
            <w:pPr>
              <w:pStyle w:val="TableParagraph"/>
              <w:spacing w:line="240" w:lineRule="auto"/>
              <w:ind w:left="108"/>
            </w:pPr>
            <w:r>
              <w:t>2,5 mg/kg/dag</w:t>
            </w:r>
          </w:p>
        </w:tc>
        <w:tc>
          <w:tcPr>
            <w:tcW w:w="2553" w:type="dxa"/>
            <w:tcBorders>
              <w:top w:val="single" w:sz="4" w:space="0" w:color="000000"/>
              <w:left w:val="single" w:sz="4" w:space="0" w:color="000000"/>
              <w:bottom w:val="single" w:sz="4" w:space="0" w:color="000000"/>
              <w:right w:val="single" w:sz="4" w:space="0" w:color="000000"/>
            </w:tcBorders>
            <w:hideMark/>
          </w:tcPr>
          <w:p w14:paraId="0AE51F68" w14:textId="77777777" w:rsidR="00944ED2" w:rsidRDefault="00944ED2" w:rsidP="00F853F2">
            <w:pPr>
              <w:pStyle w:val="TableParagraph"/>
              <w:spacing w:line="240" w:lineRule="auto"/>
              <w:ind w:left="108"/>
            </w:pPr>
            <w:r>
              <w:t>1-5 mg/kg/dag</w:t>
            </w:r>
          </w:p>
        </w:tc>
      </w:tr>
    </w:tbl>
    <w:p w14:paraId="00711555" w14:textId="77777777" w:rsidR="00944ED2" w:rsidRPr="00944ED2" w:rsidRDefault="00944ED2" w:rsidP="00F853F2">
      <w:pPr>
        <w:pStyle w:val="Brdtekst"/>
        <w:ind w:left="709"/>
        <w:rPr>
          <w:sz w:val="20"/>
          <w:szCs w:val="20"/>
          <w:lang w:val="da-DK"/>
        </w:rPr>
      </w:pPr>
      <w:r w:rsidRPr="00944ED2">
        <w:rPr>
          <w:sz w:val="20"/>
          <w:szCs w:val="20"/>
          <w:lang w:val="da-DK"/>
        </w:rPr>
        <w:t>* Baseret på patientens individuelle respons kan dosen justeres inden for det effektive dosisområde.</w:t>
      </w:r>
    </w:p>
    <w:p w14:paraId="0D4BFCC1" w14:textId="77777777" w:rsidR="00944ED2" w:rsidRPr="00944ED2" w:rsidRDefault="00944ED2" w:rsidP="00F853F2">
      <w:pPr>
        <w:pStyle w:val="Brdtekst"/>
        <w:ind w:left="709"/>
        <w:rPr>
          <w:sz w:val="20"/>
          <w:szCs w:val="20"/>
          <w:lang w:val="da-DK"/>
        </w:rPr>
      </w:pPr>
      <w:r w:rsidRPr="00944ED2">
        <w:rPr>
          <w:sz w:val="20"/>
          <w:szCs w:val="20"/>
          <w:lang w:val="da-DK"/>
        </w:rPr>
        <w:t>** Baseret på lægens vurdering af behovet for kontrol af krampeanfald</w:t>
      </w:r>
    </w:p>
    <w:p w14:paraId="28E79883" w14:textId="77777777" w:rsidR="00944ED2" w:rsidRDefault="00944ED2" w:rsidP="00F853F2">
      <w:pPr>
        <w:ind w:left="851"/>
        <w:rPr>
          <w:i/>
          <w:sz w:val="24"/>
          <w:szCs w:val="24"/>
        </w:rPr>
      </w:pPr>
    </w:p>
    <w:p w14:paraId="339FA7E5" w14:textId="46BBACF9" w:rsidR="00944ED2" w:rsidRPr="00944ED2" w:rsidRDefault="00944ED2" w:rsidP="00F853F2">
      <w:pPr>
        <w:ind w:left="851"/>
        <w:rPr>
          <w:i/>
          <w:sz w:val="24"/>
          <w:szCs w:val="24"/>
        </w:rPr>
      </w:pPr>
      <w:r w:rsidRPr="00944ED2">
        <w:rPr>
          <w:i/>
          <w:sz w:val="24"/>
          <w:szCs w:val="24"/>
        </w:rPr>
        <w:t>Voksne</w:t>
      </w:r>
    </w:p>
    <w:p w14:paraId="0EF8BEBB" w14:textId="77777777" w:rsidR="00944ED2" w:rsidRPr="00944ED2" w:rsidRDefault="00944ED2" w:rsidP="00F853F2">
      <w:pPr>
        <w:pStyle w:val="Brdtekst"/>
        <w:ind w:left="851"/>
        <w:rPr>
          <w:sz w:val="24"/>
          <w:szCs w:val="24"/>
          <w:lang w:val="da-DK"/>
        </w:rPr>
      </w:pPr>
      <w:r w:rsidRPr="00944ED2">
        <w:rPr>
          <w:sz w:val="24"/>
          <w:szCs w:val="24"/>
          <w:lang w:val="da-DK"/>
        </w:rPr>
        <w:t xml:space="preserve">Den anbefalede initialdosis er enten 50 mg/dag eller 100 mg/dag baseret på lægens vurdering af nødvendig anfaldsreduktion </w:t>
      </w:r>
      <w:r w:rsidRPr="00944ED2">
        <w:rPr>
          <w:i/>
          <w:sz w:val="24"/>
          <w:szCs w:val="24"/>
          <w:lang w:val="da-DK"/>
        </w:rPr>
        <w:t xml:space="preserve">versus </w:t>
      </w:r>
      <w:r w:rsidRPr="00944ED2">
        <w:rPr>
          <w:sz w:val="24"/>
          <w:szCs w:val="24"/>
          <w:lang w:val="da-DK"/>
        </w:rPr>
        <w:t>potentielle bivirkninger. Afhængigt af patientens individuelle respons og tolerabilitet kan den daglige dosis justeres inden for det effektive dosisområde på mellem 50 mg/dag og 200 mg/dag.</w:t>
      </w:r>
    </w:p>
    <w:p w14:paraId="77B9CACC" w14:textId="77777777" w:rsidR="00944ED2" w:rsidRPr="00944ED2" w:rsidRDefault="00944ED2" w:rsidP="00F853F2">
      <w:pPr>
        <w:pStyle w:val="Brdtekst"/>
        <w:ind w:left="851"/>
        <w:rPr>
          <w:sz w:val="24"/>
          <w:szCs w:val="24"/>
          <w:lang w:val="da-DK"/>
        </w:rPr>
      </w:pPr>
    </w:p>
    <w:p w14:paraId="2DA5DD29" w14:textId="77777777" w:rsidR="00944ED2" w:rsidRPr="00944ED2" w:rsidRDefault="00944ED2" w:rsidP="00F853F2">
      <w:pPr>
        <w:ind w:left="851"/>
        <w:rPr>
          <w:i/>
          <w:sz w:val="24"/>
          <w:szCs w:val="24"/>
        </w:rPr>
      </w:pPr>
      <w:r w:rsidRPr="00944ED2">
        <w:rPr>
          <w:i/>
          <w:sz w:val="24"/>
          <w:szCs w:val="24"/>
        </w:rPr>
        <w:t>Unge og børn, som vejer 50 kg eller derover</w:t>
      </w:r>
    </w:p>
    <w:p w14:paraId="4F223AD8" w14:textId="77777777" w:rsidR="00944ED2" w:rsidRPr="00944ED2" w:rsidRDefault="00944ED2" w:rsidP="00F853F2">
      <w:pPr>
        <w:pStyle w:val="Brdtekst"/>
        <w:ind w:left="851"/>
        <w:rPr>
          <w:sz w:val="24"/>
          <w:szCs w:val="24"/>
          <w:lang w:val="da-DK"/>
        </w:rPr>
      </w:pPr>
      <w:r w:rsidRPr="00944ED2">
        <w:rPr>
          <w:sz w:val="24"/>
          <w:szCs w:val="24"/>
          <w:lang w:val="da-DK"/>
        </w:rPr>
        <w:t>Den anbefalede startdosis er 50 mg/dag. Brivaracetam kan også startes ved 100 mg/dag baseret på lægens vurdering af behovet for kontrol af krampeanfald. Den anbefalede vedligeholdelsesdosis er 100 mg/dag. Baseret på patientens individuelle respons kan dosen justeres inden for det effektive dosisområde på mellem 50 mg/dag og 200 mg/dag.</w:t>
      </w:r>
    </w:p>
    <w:p w14:paraId="6F385F36" w14:textId="77777777" w:rsidR="00944ED2" w:rsidRPr="00944ED2" w:rsidRDefault="00944ED2" w:rsidP="00F853F2">
      <w:pPr>
        <w:pStyle w:val="Brdtekst"/>
        <w:ind w:left="851"/>
        <w:rPr>
          <w:sz w:val="24"/>
          <w:szCs w:val="24"/>
          <w:lang w:val="da-DK"/>
        </w:rPr>
      </w:pPr>
    </w:p>
    <w:p w14:paraId="60A9864A" w14:textId="77777777" w:rsidR="00944ED2" w:rsidRPr="00944ED2" w:rsidRDefault="00944ED2" w:rsidP="00F853F2">
      <w:pPr>
        <w:ind w:left="851"/>
        <w:rPr>
          <w:i/>
          <w:sz w:val="24"/>
          <w:szCs w:val="24"/>
        </w:rPr>
      </w:pPr>
      <w:r w:rsidRPr="00944ED2">
        <w:rPr>
          <w:i/>
          <w:sz w:val="24"/>
          <w:szCs w:val="24"/>
        </w:rPr>
        <w:t>Unge og børn, som vejer fra 20 kg til under 50 kg</w:t>
      </w:r>
    </w:p>
    <w:p w14:paraId="079FAF97" w14:textId="358F9E1E" w:rsidR="00944ED2" w:rsidRPr="00944ED2" w:rsidRDefault="00944ED2" w:rsidP="00F853F2">
      <w:pPr>
        <w:pStyle w:val="Brdtekst"/>
        <w:ind w:left="851"/>
        <w:rPr>
          <w:sz w:val="24"/>
          <w:szCs w:val="24"/>
          <w:lang w:val="da-DK"/>
        </w:rPr>
      </w:pPr>
      <w:r w:rsidRPr="00944ED2">
        <w:rPr>
          <w:sz w:val="24"/>
          <w:szCs w:val="24"/>
          <w:lang w:val="da-DK"/>
        </w:rPr>
        <w:t>Den anbefalede startdosis er 1 mg/kg/dag. Brivaracetam kan også startes ved doser på op til</w:t>
      </w:r>
      <w:r w:rsidR="00A00DE3">
        <w:rPr>
          <w:sz w:val="24"/>
          <w:szCs w:val="24"/>
          <w:lang w:val="da-DK"/>
        </w:rPr>
        <w:t xml:space="preserve"> </w:t>
      </w:r>
      <w:r w:rsidRPr="00944ED2">
        <w:rPr>
          <w:sz w:val="24"/>
          <w:szCs w:val="24"/>
          <w:lang w:val="da-DK"/>
        </w:rPr>
        <w:t>2 mg/kg/dag baseret på lægens vurdering af behovet for kontrol af krampeanfald. Den anbefalede vedligeholdelsesdosis er 2 mg/kg/dag. Baseret på patientens individuelle respons kan dosen justeres inden for det effektive dosisområde på mellem 1 mg/kg/dag og 4 mg/kg/dag.</w:t>
      </w:r>
    </w:p>
    <w:p w14:paraId="141FE40A" w14:textId="77777777" w:rsidR="00944ED2" w:rsidRPr="00944ED2" w:rsidRDefault="00944ED2" w:rsidP="00F853F2">
      <w:pPr>
        <w:pStyle w:val="Brdtekst"/>
        <w:ind w:left="851"/>
        <w:rPr>
          <w:sz w:val="24"/>
          <w:szCs w:val="24"/>
          <w:lang w:val="da-DK"/>
        </w:rPr>
      </w:pPr>
    </w:p>
    <w:p w14:paraId="267BFF3E" w14:textId="77777777" w:rsidR="00944ED2" w:rsidRPr="00944ED2" w:rsidRDefault="00944ED2" w:rsidP="00F853F2">
      <w:pPr>
        <w:ind w:left="851"/>
        <w:rPr>
          <w:i/>
          <w:sz w:val="24"/>
          <w:szCs w:val="24"/>
        </w:rPr>
      </w:pPr>
      <w:r w:rsidRPr="00944ED2">
        <w:rPr>
          <w:i/>
          <w:sz w:val="24"/>
          <w:szCs w:val="24"/>
        </w:rPr>
        <w:t>Børn, som vejer fra 10 kg til under 20 kg</w:t>
      </w:r>
    </w:p>
    <w:p w14:paraId="3D785F57" w14:textId="7A2033A4" w:rsidR="00944ED2" w:rsidRPr="00944ED2" w:rsidRDefault="00944ED2" w:rsidP="00F853F2">
      <w:pPr>
        <w:pStyle w:val="Brdtekst"/>
        <w:ind w:left="851"/>
        <w:rPr>
          <w:sz w:val="24"/>
          <w:szCs w:val="24"/>
          <w:lang w:val="da-DK"/>
        </w:rPr>
      </w:pPr>
      <w:r w:rsidRPr="00944ED2">
        <w:rPr>
          <w:sz w:val="24"/>
          <w:szCs w:val="24"/>
          <w:lang w:val="da-DK"/>
        </w:rPr>
        <w:t>Den anbefalede startdosis er 1 mg/kg/dag. Brivaracetam kan også startes ved doser på op til</w:t>
      </w:r>
      <w:r w:rsidR="00A00DE3">
        <w:rPr>
          <w:sz w:val="24"/>
          <w:szCs w:val="24"/>
          <w:lang w:val="da-DK"/>
        </w:rPr>
        <w:t xml:space="preserve"> </w:t>
      </w:r>
      <w:r w:rsidRPr="00944ED2">
        <w:rPr>
          <w:sz w:val="24"/>
          <w:szCs w:val="24"/>
          <w:lang w:val="da-DK"/>
        </w:rPr>
        <w:t>2,5 mg/kg/dag baseret på lægens vurdering af behovet for kontrol af krampeanfald. Den anbefalede vedligeholdelsesdosis er 2,5 mg/kg/dag. Baseret på patientens individuelle respons kan dosen justeres inden for det effektive dosisområde på mellem 1 mg/kg/dag og 5 mg/kg/dag.</w:t>
      </w:r>
    </w:p>
    <w:p w14:paraId="4DEE59DB" w14:textId="77777777" w:rsidR="00944ED2" w:rsidRPr="00944ED2" w:rsidRDefault="00944ED2" w:rsidP="00F853F2">
      <w:pPr>
        <w:pStyle w:val="Brdtekst"/>
        <w:ind w:left="851"/>
        <w:rPr>
          <w:sz w:val="24"/>
          <w:szCs w:val="24"/>
          <w:lang w:val="da-DK"/>
        </w:rPr>
      </w:pPr>
    </w:p>
    <w:p w14:paraId="4BFA0AD0" w14:textId="22ACD976" w:rsidR="00944ED2" w:rsidRDefault="00944ED2" w:rsidP="00F853F2">
      <w:pPr>
        <w:pStyle w:val="Brdtekst"/>
        <w:ind w:left="851"/>
        <w:rPr>
          <w:sz w:val="24"/>
          <w:szCs w:val="24"/>
          <w:lang w:val="da-DK"/>
        </w:rPr>
      </w:pPr>
      <w:r w:rsidRPr="00944ED2">
        <w:rPr>
          <w:sz w:val="24"/>
          <w:szCs w:val="24"/>
          <w:lang w:val="da-DK"/>
        </w:rPr>
        <w:t>Dosen per indtagelse for hver patient skal beregnes ved brug af følgende formel:</w:t>
      </w:r>
    </w:p>
    <w:p w14:paraId="5C1F523E" w14:textId="77777777" w:rsidR="00A00DE3" w:rsidRPr="00944ED2" w:rsidRDefault="00A00DE3" w:rsidP="00F853F2">
      <w:pPr>
        <w:pStyle w:val="Brdtekst"/>
        <w:ind w:left="851"/>
        <w:rPr>
          <w:sz w:val="24"/>
          <w:szCs w:val="24"/>
          <w:lang w:val="da-DK"/>
        </w:rPr>
      </w:pPr>
    </w:p>
    <w:p w14:paraId="02363D76" w14:textId="36FCB2DE" w:rsidR="00A00DE3" w:rsidRPr="00F853F2" w:rsidRDefault="00944ED2" w:rsidP="00F853F2">
      <w:pPr>
        <w:pStyle w:val="Brdtekst"/>
        <w:ind w:left="1134"/>
        <w:rPr>
          <w:sz w:val="24"/>
          <w:szCs w:val="24"/>
          <w:lang w:val="da-DK"/>
        </w:rPr>
      </w:pPr>
      <w:r w:rsidRPr="00944ED2">
        <w:rPr>
          <w:sz w:val="24"/>
          <w:szCs w:val="24"/>
          <w:lang w:val="da-DK"/>
        </w:rPr>
        <w:t>Volumen per administration (ml) = [vægt (kg) × daglig dosis (mg/kg/dag) ] × 0,05</w:t>
      </w:r>
    </w:p>
    <w:p w14:paraId="5D9977B7" w14:textId="77777777" w:rsidR="00A00DE3" w:rsidRDefault="00A00DE3" w:rsidP="00F853F2">
      <w:pPr>
        <w:pStyle w:val="Brdtekst"/>
        <w:ind w:left="851"/>
        <w:rPr>
          <w:sz w:val="24"/>
          <w:szCs w:val="24"/>
          <w:lang w:val="da-DK"/>
        </w:rPr>
      </w:pPr>
    </w:p>
    <w:p w14:paraId="39BFA9C3" w14:textId="2F5F9DD2" w:rsidR="00944ED2" w:rsidRPr="00944ED2" w:rsidRDefault="00944ED2" w:rsidP="00F853F2">
      <w:pPr>
        <w:pStyle w:val="Brdtekst"/>
        <w:ind w:left="851"/>
        <w:rPr>
          <w:sz w:val="24"/>
          <w:szCs w:val="24"/>
          <w:lang w:val="da-DK"/>
        </w:rPr>
      </w:pPr>
      <w:r w:rsidRPr="00944ED2">
        <w:rPr>
          <w:sz w:val="24"/>
          <w:szCs w:val="24"/>
          <w:lang w:val="da-DK"/>
        </w:rPr>
        <w:t>Brivaracetam "Desitin" oral opløsning leveres med:</w:t>
      </w:r>
    </w:p>
    <w:p w14:paraId="26AC9C43" w14:textId="52093F14" w:rsidR="00944ED2" w:rsidRPr="00A00DE3" w:rsidRDefault="00944ED2" w:rsidP="00F853F2">
      <w:pPr>
        <w:pStyle w:val="Listeafsnit"/>
        <w:numPr>
          <w:ilvl w:val="0"/>
          <w:numId w:val="6"/>
        </w:numPr>
        <w:tabs>
          <w:tab w:val="left" w:pos="1134"/>
        </w:tabs>
        <w:ind w:left="1134" w:hanging="283"/>
        <w:rPr>
          <w:sz w:val="24"/>
          <w:szCs w:val="24"/>
          <w:lang w:val="da-DK"/>
        </w:rPr>
      </w:pPr>
      <w:r w:rsidRPr="00A00DE3">
        <w:rPr>
          <w:sz w:val="24"/>
          <w:szCs w:val="24"/>
          <w:lang w:val="da-DK"/>
        </w:rPr>
        <w:t>en 5 ml sprøjte med trin på 0,1 ml (hvert trin på 0,1 ml svarer til 1</w:t>
      </w:r>
      <w:r w:rsidRPr="00A00DE3">
        <w:rPr>
          <w:spacing w:val="-21"/>
          <w:sz w:val="24"/>
          <w:szCs w:val="24"/>
          <w:lang w:val="da-DK"/>
        </w:rPr>
        <w:t xml:space="preserve"> </w:t>
      </w:r>
      <w:r w:rsidRPr="00A00DE3">
        <w:rPr>
          <w:sz w:val="24"/>
          <w:szCs w:val="24"/>
          <w:lang w:val="da-DK"/>
        </w:rPr>
        <w:t>mg</w:t>
      </w:r>
      <w:r w:rsidR="00A00DE3" w:rsidRPr="00A00DE3">
        <w:rPr>
          <w:sz w:val="24"/>
          <w:szCs w:val="24"/>
          <w:lang w:val="da-DK"/>
        </w:rPr>
        <w:t xml:space="preserve"> </w:t>
      </w:r>
      <w:r w:rsidRPr="00A00DE3">
        <w:rPr>
          <w:sz w:val="24"/>
          <w:szCs w:val="24"/>
          <w:lang w:val="da-DK"/>
        </w:rPr>
        <w:t>brivaracetam). Yderligere gradueringer ved 0,25 ml og 0,75 ml, som starter ved 0,25 ml op til 5 ml er vist.</w:t>
      </w:r>
    </w:p>
    <w:p w14:paraId="46F38F6E" w14:textId="77777777" w:rsidR="00944ED2" w:rsidRPr="00944ED2" w:rsidRDefault="00944ED2" w:rsidP="00F853F2">
      <w:pPr>
        <w:pStyle w:val="Listeafsnit"/>
        <w:numPr>
          <w:ilvl w:val="0"/>
          <w:numId w:val="6"/>
        </w:numPr>
        <w:tabs>
          <w:tab w:val="left" w:pos="1134"/>
        </w:tabs>
        <w:ind w:left="1134" w:hanging="283"/>
        <w:rPr>
          <w:sz w:val="24"/>
          <w:szCs w:val="24"/>
          <w:lang w:val="da-DK"/>
        </w:rPr>
      </w:pPr>
      <w:r w:rsidRPr="00944ED2">
        <w:rPr>
          <w:sz w:val="24"/>
          <w:szCs w:val="24"/>
          <w:lang w:val="da-DK"/>
        </w:rPr>
        <w:lastRenderedPageBreak/>
        <w:t>en 10 ml sprøjte med trin på 0,25 ml (hvert trin på 0,25 ml svarer til 2,5 mg</w:t>
      </w:r>
      <w:r w:rsidRPr="00944ED2">
        <w:rPr>
          <w:spacing w:val="-4"/>
          <w:sz w:val="24"/>
          <w:szCs w:val="24"/>
          <w:lang w:val="da-DK"/>
        </w:rPr>
        <w:t xml:space="preserve"> </w:t>
      </w:r>
      <w:r w:rsidRPr="00944ED2">
        <w:rPr>
          <w:sz w:val="24"/>
          <w:szCs w:val="24"/>
          <w:lang w:val="da-DK"/>
        </w:rPr>
        <w:t>brivaracetam).</w:t>
      </w:r>
    </w:p>
    <w:p w14:paraId="08D247AE" w14:textId="77777777" w:rsidR="00944ED2" w:rsidRPr="00944ED2" w:rsidRDefault="00944ED2" w:rsidP="00F853F2">
      <w:pPr>
        <w:pStyle w:val="Brdtekst"/>
        <w:ind w:left="851"/>
        <w:rPr>
          <w:sz w:val="24"/>
          <w:szCs w:val="24"/>
          <w:lang w:val="da-DK"/>
        </w:rPr>
      </w:pPr>
    </w:p>
    <w:p w14:paraId="06149417" w14:textId="77777777" w:rsidR="00944ED2" w:rsidRPr="00944ED2" w:rsidRDefault="00944ED2" w:rsidP="00F853F2">
      <w:pPr>
        <w:pStyle w:val="Brdtekst"/>
        <w:ind w:left="851"/>
        <w:rPr>
          <w:sz w:val="24"/>
          <w:szCs w:val="24"/>
          <w:lang w:val="da-DK"/>
        </w:rPr>
      </w:pPr>
      <w:r w:rsidRPr="00944ED2">
        <w:rPr>
          <w:sz w:val="24"/>
          <w:szCs w:val="24"/>
          <w:lang w:val="da-DK"/>
        </w:rPr>
        <w:t>Lægen skal instruere patienten i korrekt brug af sprøjten.</w:t>
      </w:r>
    </w:p>
    <w:p w14:paraId="5E81DA78" w14:textId="77777777" w:rsidR="00944ED2" w:rsidRPr="00944ED2" w:rsidRDefault="00944ED2" w:rsidP="00F853F2">
      <w:pPr>
        <w:pStyle w:val="Brdtekst"/>
        <w:ind w:left="851"/>
        <w:rPr>
          <w:sz w:val="24"/>
          <w:szCs w:val="24"/>
          <w:lang w:val="da-DK"/>
        </w:rPr>
      </w:pPr>
    </w:p>
    <w:p w14:paraId="36A71C90" w14:textId="77777777" w:rsidR="00944ED2" w:rsidRPr="00944ED2" w:rsidRDefault="00944ED2" w:rsidP="00F853F2">
      <w:pPr>
        <w:pStyle w:val="Brdtekst"/>
        <w:ind w:left="851"/>
        <w:rPr>
          <w:sz w:val="24"/>
          <w:szCs w:val="24"/>
          <w:lang w:val="da-DK"/>
        </w:rPr>
      </w:pPr>
      <w:r w:rsidRPr="00944ED2">
        <w:rPr>
          <w:sz w:val="24"/>
          <w:szCs w:val="24"/>
          <w:lang w:val="da-DK"/>
        </w:rPr>
        <w:t>Hvis den beregnede dosis per indtagelse er 5 mg (0,5 ml) eller mere og op til 50 mg (5 ml), skal den orale 5 ml sprøjte bruges.</w:t>
      </w:r>
    </w:p>
    <w:p w14:paraId="43FF9A87" w14:textId="77777777" w:rsidR="00944ED2" w:rsidRPr="00944ED2" w:rsidRDefault="00944ED2" w:rsidP="00F853F2">
      <w:pPr>
        <w:pStyle w:val="Brdtekst"/>
        <w:ind w:left="851"/>
        <w:rPr>
          <w:sz w:val="24"/>
          <w:szCs w:val="24"/>
          <w:lang w:val="da-DK"/>
        </w:rPr>
      </w:pPr>
      <w:r w:rsidRPr="00944ED2">
        <w:rPr>
          <w:sz w:val="24"/>
          <w:szCs w:val="24"/>
          <w:lang w:val="da-DK"/>
        </w:rPr>
        <w:t>Hvis den beregnede dosis per indtagelse er mere 50 mg (5 ml), skal den større orale 10 ml sprøjte bruges.</w:t>
      </w:r>
    </w:p>
    <w:p w14:paraId="3FD7FB32" w14:textId="77777777" w:rsidR="00944ED2" w:rsidRPr="00944ED2" w:rsidRDefault="00944ED2" w:rsidP="00F853F2">
      <w:pPr>
        <w:pStyle w:val="Brdtekst"/>
        <w:ind w:left="851"/>
        <w:rPr>
          <w:sz w:val="24"/>
          <w:szCs w:val="24"/>
          <w:lang w:val="da-DK"/>
        </w:rPr>
      </w:pPr>
      <w:r w:rsidRPr="00944ED2">
        <w:rPr>
          <w:sz w:val="24"/>
          <w:szCs w:val="24"/>
          <w:lang w:val="da-DK"/>
        </w:rPr>
        <w:t>Den beregnede dosis skal afrundes til nærmeste målestreg. Hvis den beregnede dosis er den samme afstand fra to målestreger, skal den større målestreg bruges.</w:t>
      </w:r>
    </w:p>
    <w:p w14:paraId="5BCC71F2" w14:textId="77777777" w:rsidR="00944ED2" w:rsidRPr="00944ED2" w:rsidRDefault="00944ED2" w:rsidP="00F853F2">
      <w:pPr>
        <w:pStyle w:val="Brdtekst"/>
        <w:ind w:left="851"/>
        <w:rPr>
          <w:sz w:val="24"/>
          <w:szCs w:val="24"/>
          <w:lang w:val="da-DK"/>
        </w:rPr>
      </w:pPr>
    </w:p>
    <w:p w14:paraId="4D3C4760" w14:textId="34E1E8C4" w:rsidR="00944ED2" w:rsidRPr="00944ED2" w:rsidRDefault="00944ED2" w:rsidP="00F853F2">
      <w:pPr>
        <w:pStyle w:val="Brdtekst"/>
        <w:ind w:left="851"/>
        <w:rPr>
          <w:sz w:val="24"/>
          <w:szCs w:val="24"/>
          <w:lang w:val="da-DK"/>
        </w:rPr>
      </w:pPr>
      <w:r w:rsidRPr="00944ED2">
        <w:rPr>
          <w:sz w:val="24"/>
          <w:szCs w:val="24"/>
          <w:lang w:val="da-DK"/>
        </w:rPr>
        <w:t xml:space="preserve">Nedenstående tabel viser eksempler på mængder af oral opløsning per </w:t>
      </w:r>
      <w:r w:rsidR="005B168D">
        <w:rPr>
          <w:sz w:val="24"/>
          <w:szCs w:val="24"/>
          <w:lang w:val="da-DK"/>
        </w:rPr>
        <w:t>i</w:t>
      </w:r>
      <w:r w:rsidRPr="00944ED2">
        <w:rPr>
          <w:sz w:val="24"/>
          <w:szCs w:val="24"/>
          <w:lang w:val="da-DK"/>
        </w:rPr>
        <w:t>ndtagelse afhængigt af den ordinerede dosis og kropsvægt. Den præcise mængde af oral opløsning skal beregnes i henhold til barnets præcise kropsvægt.</w:t>
      </w:r>
    </w:p>
    <w:p w14:paraId="1C8B0E63" w14:textId="2418A295" w:rsidR="00944ED2" w:rsidRDefault="00944ED2" w:rsidP="00F853F2">
      <w:pPr>
        <w:pStyle w:val="Brdtekst"/>
        <w:ind w:left="851"/>
        <w:rPr>
          <w:sz w:val="24"/>
          <w:szCs w:val="24"/>
          <w:lang w:val="da-DK"/>
        </w:rPr>
      </w:pPr>
      <w:r w:rsidRPr="00944ED2">
        <w:rPr>
          <w:sz w:val="24"/>
          <w:szCs w:val="24"/>
          <w:lang w:val="da-DK"/>
        </w:rPr>
        <w:t>Bemærk, at doseringen er begrænset til målestregerne på sprøjterne. F.eks., for en patient, som skal have en dosis på 2,15 ml, skal mængden rundes op til 2,2 ml, da 5 ml sprøjten kun kan levere 2,1 ml eller 2,2 ml. På samme måde skal en mængde på 1,13 ml rundes ned til en leveret mængde på 1,1 ml.</w:t>
      </w:r>
    </w:p>
    <w:p w14:paraId="6021E93F" w14:textId="77777777" w:rsidR="00944ED2" w:rsidRPr="00944ED2" w:rsidRDefault="00944ED2" w:rsidP="00F853F2">
      <w:pPr>
        <w:pStyle w:val="Brdtekst"/>
        <w:ind w:left="851"/>
        <w:rPr>
          <w:sz w:val="24"/>
          <w:szCs w:val="24"/>
          <w:lang w:val="da-DK"/>
        </w:rPr>
      </w:pP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6"/>
        <w:gridCol w:w="1968"/>
        <w:gridCol w:w="1836"/>
        <w:gridCol w:w="1836"/>
        <w:gridCol w:w="1949"/>
      </w:tblGrid>
      <w:tr w:rsidR="00944ED2" w14:paraId="44ABC019" w14:textId="77777777" w:rsidTr="00944ED2">
        <w:trPr>
          <w:trHeight w:val="505"/>
        </w:trPr>
        <w:tc>
          <w:tcPr>
            <w:tcW w:w="1586" w:type="dxa"/>
            <w:tcBorders>
              <w:top w:val="single" w:sz="4" w:space="0" w:color="000000"/>
              <w:left w:val="single" w:sz="4" w:space="0" w:color="000000"/>
              <w:bottom w:val="single" w:sz="4" w:space="0" w:color="000000"/>
              <w:right w:val="single" w:sz="4" w:space="0" w:color="000000"/>
            </w:tcBorders>
          </w:tcPr>
          <w:p w14:paraId="0EB386D4" w14:textId="77777777" w:rsidR="00944ED2" w:rsidRDefault="00944ED2" w:rsidP="00F853F2">
            <w:pPr>
              <w:pStyle w:val="TableParagraph"/>
              <w:spacing w:line="240" w:lineRule="auto"/>
              <w:ind w:left="0"/>
              <w:rPr>
                <w:lang w:val="da-DK"/>
              </w:rPr>
            </w:pPr>
          </w:p>
        </w:tc>
        <w:tc>
          <w:tcPr>
            <w:tcW w:w="7589" w:type="dxa"/>
            <w:gridSpan w:val="4"/>
            <w:tcBorders>
              <w:top w:val="single" w:sz="4" w:space="0" w:color="000000"/>
              <w:left w:val="single" w:sz="4" w:space="0" w:color="000000"/>
              <w:bottom w:val="single" w:sz="4" w:space="0" w:color="000000"/>
              <w:right w:val="single" w:sz="4" w:space="0" w:color="000000"/>
            </w:tcBorders>
            <w:hideMark/>
          </w:tcPr>
          <w:p w14:paraId="18483C39" w14:textId="77777777" w:rsidR="00944ED2" w:rsidRDefault="00944ED2" w:rsidP="00F853F2">
            <w:pPr>
              <w:pStyle w:val="TableParagraph"/>
              <w:spacing w:line="240" w:lineRule="auto"/>
              <w:ind w:left="329"/>
              <w:jc w:val="center"/>
              <w:rPr>
                <w:b/>
                <w:lang w:val="da-DK"/>
              </w:rPr>
            </w:pPr>
            <w:r>
              <w:rPr>
                <w:b/>
                <w:lang w:val="da-DK"/>
              </w:rPr>
              <w:t>Mængder af oral opløsning som skal tages per administration for unge og</w:t>
            </w:r>
          </w:p>
          <w:p w14:paraId="263B1BF1" w14:textId="77777777" w:rsidR="00944ED2" w:rsidRDefault="00944ED2" w:rsidP="00F853F2">
            <w:pPr>
              <w:pStyle w:val="TableParagraph"/>
              <w:spacing w:line="240" w:lineRule="auto"/>
              <w:ind w:left="329"/>
              <w:jc w:val="center"/>
              <w:rPr>
                <w:b/>
                <w:lang w:val="da-DK"/>
              </w:rPr>
            </w:pPr>
            <w:r>
              <w:rPr>
                <w:b/>
                <w:lang w:val="da-DK"/>
              </w:rPr>
              <w:t>børn, som vejer 50 kg eller derover, og voksne</w:t>
            </w:r>
          </w:p>
        </w:tc>
      </w:tr>
      <w:tr w:rsidR="00944ED2" w14:paraId="4DF6871D" w14:textId="77777777" w:rsidTr="00944ED2">
        <w:trPr>
          <w:trHeight w:val="1120"/>
        </w:trPr>
        <w:tc>
          <w:tcPr>
            <w:tcW w:w="1586" w:type="dxa"/>
            <w:tcBorders>
              <w:top w:val="single" w:sz="4" w:space="0" w:color="000000"/>
              <w:left w:val="single" w:sz="4" w:space="0" w:color="000000"/>
              <w:bottom w:val="single" w:sz="4" w:space="0" w:color="000000"/>
              <w:right w:val="single" w:sz="4" w:space="0" w:color="000000"/>
            </w:tcBorders>
            <w:hideMark/>
          </w:tcPr>
          <w:p w14:paraId="0BF546DE" w14:textId="77777777" w:rsidR="00944ED2" w:rsidRDefault="00944ED2" w:rsidP="00F853F2">
            <w:pPr>
              <w:pStyle w:val="TableParagraph"/>
              <w:spacing w:line="240" w:lineRule="auto"/>
              <w:rPr>
                <w:b/>
              </w:rPr>
            </w:pPr>
            <w:r>
              <w:rPr>
                <w:b/>
              </w:rPr>
              <w:t>Ordineret dosis</w:t>
            </w:r>
          </w:p>
        </w:tc>
        <w:tc>
          <w:tcPr>
            <w:tcW w:w="1968" w:type="dxa"/>
            <w:tcBorders>
              <w:top w:val="single" w:sz="4" w:space="0" w:color="000000"/>
              <w:left w:val="single" w:sz="4" w:space="0" w:color="000000"/>
              <w:bottom w:val="single" w:sz="4" w:space="0" w:color="000000"/>
              <w:right w:val="single" w:sz="4" w:space="0" w:color="000000"/>
            </w:tcBorders>
            <w:hideMark/>
          </w:tcPr>
          <w:p w14:paraId="5BAC6693" w14:textId="77777777" w:rsidR="00944ED2" w:rsidRDefault="00944ED2" w:rsidP="00F853F2">
            <w:pPr>
              <w:pStyle w:val="TableParagraph"/>
              <w:spacing w:line="240" w:lineRule="auto"/>
              <w:ind w:left="516" w:hanging="221"/>
              <w:rPr>
                <w:i/>
                <w:lang w:val="da-DK"/>
              </w:rPr>
            </w:pPr>
            <w:r>
              <w:rPr>
                <w:i/>
                <w:lang w:val="da-DK"/>
              </w:rPr>
              <w:t>For en dosis på 50 mg/dag</w:t>
            </w:r>
          </w:p>
          <w:p w14:paraId="7FE7EA84" w14:textId="77777777" w:rsidR="00944ED2" w:rsidRDefault="00944ED2" w:rsidP="00F853F2">
            <w:pPr>
              <w:pStyle w:val="TableParagraph"/>
              <w:spacing w:line="240" w:lineRule="auto"/>
              <w:ind w:left="199"/>
              <w:rPr>
                <w:b/>
              </w:rPr>
            </w:pPr>
            <w:r>
              <w:rPr>
                <w:b/>
              </w:rPr>
              <w:t>25 mg/indtagelse</w:t>
            </w:r>
          </w:p>
        </w:tc>
        <w:tc>
          <w:tcPr>
            <w:tcW w:w="1836" w:type="dxa"/>
            <w:tcBorders>
              <w:top w:val="single" w:sz="4" w:space="0" w:color="000000"/>
              <w:left w:val="single" w:sz="4" w:space="0" w:color="000000"/>
              <w:bottom w:val="single" w:sz="4" w:space="0" w:color="000000"/>
              <w:right w:val="single" w:sz="4" w:space="0" w:color="000000"/>
            </w:tcBorders>
            <w:hideMark/>
          </w:tcPr>
          <w:p w14:paraId="7F1CD757" w14:textId="77777777" w:rsidR="00944ED2" w:rsidRDefault="00944ED2" w:rsidP="00F853F2">
            <w:pPr>
              <w:pStyle w:val="TableParagraph"/>
              <w:spacing w:line="240" w:lineRule="auto"/>
              <w:ind w:left="397" w:hanging="169"/>
              <w:rPr>
                <w:i/>
                <w:lang w:val="da-DK"/>
              </w:rPr>
            </w:pPr>
            <w:r>
              <w:rPr>
                <w:i/>
                <w:lang w:val="da-DK"/>
              </w:rPr>
              <w:t>For en dosis på 100 mg/dag</w:t>
            </w:r>
          </w:p>
          <w:p w14:paraId="107E1B85" w14:textId="77777777" w:rsidR="00944ED2" w:rsidRDefault="00944ED2" w:rsidP="00F853F2">
            <w:pPr>
              <w:pStyle w:val="TableParagraph"/>
              <w:spacing w:line="240" w:lineRule="auto"/>
              <w:ind w:left="132"/>
              <w:rPr>
                <w:b/>
              </w:rPr>
            </w:pPr>
            <w:r>
              <w:rPr>
                <w:b/>
              </w:rPr>
              <w:t>50 mg/indtagelse</w:t>
            </w:r>
          </w:p>
        </w:tc>
        <w:tc>
          <w:tcPr>
            <w:tcW w:w="1836" w:type="dxa"/>
            <w:tcBorders>
              <w:top w:val="single" w:sz="4" w:space="0" w:color="000000"/>
              <w:left w:val="single" w:sz="4" w:space="0" w:color="000000"/>
              <w:bottom w:val="single" w:sz="4" w:space="0" w:color="000000"/>
              <w:right w:val="single" w:sz="4" w:space="0" w:color="000000"/>
            </w:tcBorders>
            <w:hideMark/>
          </w:tcPr>
          <w:p w14:paraId="50F27AFB" w14:textId="77777777" w:rsidR="00944ED2" w:rsidRDefault="00944ED2" w:rsidP="00F853F2">
            <w:pPr>
              <w:pStyle w:val="TableParagraph"/>
              <w:spacing w:line="240" w:lineRule="auto"/>
              <w:ind w:left="394" w:hanging="166"/>
              <w:rPr>
                <w:i/>
                <w:lang w:val="da-DK"/>
              </w:rPr>
            </w:pPr>
            <w:r>
              <w:rPr>
                <w:i/>
                <w:lang w:val="da-DK"/>
              </w:rPr>
              <w:t>For en dosis på 150 mg/dag</w:t>
            </w:r>
          </w:p>
          <w:p w14:paraId="0164DBD5" w14:textId="77777777" w:rsidR="00944ED2" w:rsidRDefault="00944ED2" w:rsidP="00F853F2">
            <w:pPr>
              <w:pStyle w:val="TableParagraph"/>
              <w:spacing w:line="240" w:lineRule="auto"/>
              <w:ind w:left="133"/>
              <w:rPr>
                <w:b/>
              </w:rPr>
            </w:pPr>
            <w:r>
              <w:rPr>
                <w:b/>
              </w:rPr>
              <w:t>75 mg/indtagelse</w:t>
            </w:r>
          </w:p>
        </w:tc>
        <w:tc>
          <w:tcPr>
            <w:tcW w:w="1949" w:type="dxa"/>
            <w:tcBorders>
              <w:top w:val="single" w:sz="4" w:space="0" w:color="000000"/>
              <w:left w:val="single" w:sz="4" w:space="0" w:color="000000"/>
              <w:bottom w:val="single" w:sz="4" w:space="0" w:color="000000"/>
              <w:right w:val="single" w:sz="4" w:space="0" w:color="000000"/>
            </w:tcBorders>
            <w:hideMark/>
          </w:tcPr>
          <w:p w14:paraId="15523C65" w14:textId="77777777" w:rsidR="00944ED2" w:rsidRDefault="00944ED2" w:rsidP="00F853F2">
            <w:pPr>
              <w:pStyle w:val="TableParagraph"/>
              <w:spacing w:line="240" w:lineRule="auto"/>
              <w:ind w:left="283"/>
              <w:jc w:val="center"/>
              <w:rPr>
                <w:i/>
                <w:lang w:val="da-DK"/>
              </w:rPr>
            </w:pPr>
            <w:r>
              <w:rPr>
                <w:i/>
                <w:lang w:val="da-DK"/>
              </w:rPr>
              <w:t>For en dosis på 200 mg/dag</w:t>
            </w:r>
          </w:p>
          <w:p w14:paraId="0EE3A325" w14:textId="77777777" w:rsidR="00944ED2" w:rsidRDefault="00944ED2" w:rsidP="00F853F2">
            <w:pPr>
              <w:pStyle w:val="TableParagraph"/>
              <w:spacing w:line="240" w:lineRule="auto"/>
              <w:ind w:left="113"/>
              <w:jc w:val="center"/>
              <w:rPr>
                <w:b/>
              </w:rPr>
            </w:pPr>
            <w:r>
              <w:rPr>
                <w:b/>
              </w:rPr>
              <w:t>100 mg/indtagelse</w:t>
            </w:r>
          </w:p>
        </w:tc>
      </w:tr>
      <w:tr w:rsidR="00944ED2" w14:paraId="7FE3665B" w14:textId="77777777" w:rsidTr="00944ED2">
        <w:trPr>
          <w:trHeight w:val="506"/>
        </w:trPr>
        <w:tc>
          <w:tcPr>
            <w:tcW w:w="1586" w:type="dxa"/>
            <w:tcBorders>
              <w:top w:val="single" w:sz="4" w:space="0" w:color="000000"/>
              <w:left w:val="single" w:sz="4" w:space="0" w:color="000000"/>
              <w:bottom w:val="single" w:sz="4" w:space="0" w:color="000000"/>
              <w:right w:val="single" w:sz="4" w:space="0" w:color="000000"/>
            </w:tcBorders>
            <w:hideMark/>
          </w:tcPr>
          <w:p w14:paraId="05AA3C5E" w14:textId="77777777" w:rsidR="00944ED2" w:rsidRDefault="00944ED2" w:rsidP="00F853F2">
            <w:pPr>
              <w:pStyle w:val="TableParagraph"/>
              <w:spacing w:line="240" w:lineRule="auto"/>
              <w:rPr>
                <w:b/>
              </w:rPr>
            </w:pPr>
            <w:r>
              <w:rPr>
                <w:b/>
              </w:rPr>
              <w:t>Anbefalet</w:t>
            </w:r>
          </w:p>
          <w:p w14:paraId="6EDA8F41" w14:textId="77777777" w:rsidR="00944ED2" w:rsidRDefault="00944ED2" w:rsidP="00F853F2">
            <w:pPr>
              <w:pStyle w:val="TableParagraph"/>
              <w:spacing w:line="240" w:lineRule="auto"/>
              <w:rPr>
                <w:b/>
              </w:rPr>
            </w:pPr>
            <w:r>
              <w:rPr>
                <w:b/>
              </w:rPr>
              <w:t>sprøjte</w:t>
            </w:r>
          </w:p>
        </w:tc>
        <w:tc>
          <w:tcPr>
            <w:tcW w:w="3804" w:type="dxa"/>
            <w:gridSpan w:val="2"/>
            <w:tcBorders>
              <w:top w:val="single" w:sz="4" w:space="0" w:color="000000"/>
              <w:left w:val="single" w:sz="4" w:space="0" w:color="000000"/>
              <w:bottom w:val="single" w:sz="4" w:space="0" w:color="000000"/>
              <w:right w:val="single" w:sz="4" w:space="0" w:color="000000"/>
            </w:tcBorders>
            <w:hideMark/>
          </w:tcPr>
          <w:p w14:paraId="51B697CA" w14:textId="77777777" w:rsidR="00944ED2" w:rsidRDefault="00944ED2" w:rsidP="00F853F2">
            <w:pPr>
              <w:pStyle w:val="TableParagraph"/>
              <w:spacing w:line="240" w:lineRule="auto"/>
              <w:ind w:left="1678"/>
              <w:jc w:val="center"/>
              <w:rPr>
                <w:b/>
              </w:rPr>
            </w:pPr>
            <w:r>
              <w:rPr>
                <w:b/>
              </w:rPr>
              <w:t>5 ml</w:t>
            </w:r>
          </w:p>
        </w:tc>
        <w:tc>
          <w:tcPr>
            <w:tcW w:w="3785" w:type="dxa"/>
            <w:gridSpan w:val="2"/>
            <w:tcBorders>
              <w:top w:val="single" w:sz="4" w:space="0" w:color="000000"/>
              <w:left w:val="single" w:sz="4" w:space="0" w:color="000000"/>
              <w:bottom w:val="single" w:sz="4" w:space="0" w:color="000000"/>
              <w:right w:val="single" w:sz="4" w:space="0" w:color="000000"/>
            </w:tcBorders>
            <w:hideMark/>
          </w:tcPr>
          <w:p w14:paraId="64E9FEDE" w14:textId="77777777" w:rsidR="00944ED2" w:rsidRDefault="00944ED2" w:rsidP="00F853F2">
            <w:pPr>
              <w:pStyle w:val="TableParagraph"/>
              <w:spacing w:line="240" w:lineRule="auto"/>
              <w:ind w:left="1612"/>
              <w:jc w:val="center"/>
              <w:rPr>
                <w:b/>
              </w:rPr>
            </w:pPr>
            <w:r>
              <w:rPr>
                <w:b/>
              </w:rPr>
              <w:t>10 ml</w:t>
            </w:r>
          </w:p>
        </w:tc>
      </w:tr>
      <w:tr w:rsidR="00944ED2" w14:paraId="208315DE" w14:textId="77777777" w:rsidTr="00944ED2">
        <w:trPr>
          <w:trHeight w:val="491"/>
        </w:trPr>
        <w:tc>
          <w:tcPr>
            <w:tcW w:w="1586" w:type="dxa"/>
            <w:tcBorders>
              <w:top w:val="single" w:sz="4" w:space="0" w:color="000000"/>
              <w:left w:val="single" w:sz="4" w:space="0" w:color="000000"/>
              <w:bottom w:val="single" w:sz="4" w:space="0" w:color="000000"/>
              <w:right w:val="single" w:sz="4" w:space="0" w:color="000000"/>
            </w:tcBorders>
            <w:hideMark/>
          </w:tcPr>
          <w:p w14:paraId="51DABDD9" w14:textId="77777777" w:rsidR="00944ED2" w:rsidRDefault="00944ED2" w:rsidP="00F853F2">
            <w:pPr>
              <w:pStyle w:val="TableParagraph"/>
              <w:spacing w:line="240" w:lineRule="auto"/>
              <w:rPr>
                <w:b/>
              </w:rPr>
            </w:pPr>
            <w:r>
              <w:rPr>
                <w:b/>
              </w:rPr>
              <w:t>Vægt</w:t>
            </w:r>
          </w:p>
        </w:tc>
        <w:tc>
          <w:tcPr>
            <w:tcW w:w="3804" w:type="dxa"/>
            <w:gridSpan w:val="2"/>
            <w:tcBorders>
              <w:top w:val="single" w:sz="4" w:space="0" w:color="000000"/>
              <w:left w:val="single" w:sz="4" w:space="0" w:color="000000"/>
              <w:bottom w:val="single" w:sz="4" w:space="0" w:color="000000"/>
              <w:right w:val="single" w:sz="4" w:space="0" w:color="000000"/>
            </w:tcBorders>
            <w:hideMark/>
          </w:tcPr>
          <w:p w14:paraId="4FB2135C" w14:textId="77777777" w:rsidR="00944ED2" w:rsidRDefault="00944ED2" w:rsidP="00F853F2">
            <w:pPr>
              <w:pStyle w:val="TableParagraph"/>
              <w:spacing w:line="240" w:lineRule="auto"/>
              <w:ind w:left="823"/>
              <w:rPr>
                <w:b/>
              </w:rPr>
            </w:pPr>
            <w:r>
              <w:rPr>
                <w:b/>
              </w:rPr>
              <w:t>Mængde administreret</w:t>
            </w:r>
          </w:p>
        </w:tc>
        <w:tc>
          <w:tcPr>
            <w:tcW w:w="3785" w:type="dxa"/>
            <w:gridSpan w:val="2"/>
            <w:tcBorders>
              <w:top w:val="single" w:sz="4" w:space="0" w:color="000000"/>
              <w:left w:val="single" w:sz="4" w:space="0" w:color="000000"/>
              <w:bottom w:val="single" w:sz="4" w:space="0" w:color="000000"/>
              <w:right w:val="single" w:sz="4" w:space="0" w:color="000000"/>
            </w:tcBorders>
            <w:hideMark/>
          </w:tcPr>
          <w:p w14:paraId="7D9D8EFA" w14:textId="77777777" w:rsidR="00944ED2" w:rsidRDefault="00944ED2" w:rsidP="00F853F2">
            <w:pPr>
              <w:pStyle w:val="TableParagraph"/>
              <w:spacing w:line="240" w:lineRule="auto"/>
              <w:ind w:left="815"/>
              <w:rPr>
                <w:b/>
              </w:rPr>
            </w:pPr>
            <w:r>
              <w:rPr>
                <w:b/>
              </w:rPr>
              <w:t>Mængde administreret</w:t>
            </w:r>
          </w:p>
        </w:tc>
      </w:tr>
      <w:tr w:rsidR="00944ED2" w14:paraId="268593F6" w14:textId="77777777" w:rsidTr="00944ED2">
        <w:trPr>
          <w:trHeight w:val="508"/>
        </w:trPr>
        <w:tc>
          <w:tcPr>
            <w:tcW w:w="1586" w:type="dxa"/>
            <w:tcBorders>
              <w:top w:val="single" w:sz="4" w:space="0" w:color="000000"/>
              <w:left w:val="single" w:sz="4" w:space="0" w:color="000000"/>
              <w:bottom w:val="single" w:sz="4" w:space="0" w:color="000000"/>
              <w:right w:val="single" w:sz="4" w:space="0" w:color="000000"/>
            </w:tcBorders>
            <w:hideMark/>
          </w:tcPr>
          <w:p w14:paraId="5FEAA1AA" w14:textId="77777777" w:rsidR="00944ED2" w:rsidRDefault="00944ED2" w:rsidP="00F853F2">
            <w:pPr>
              <w:pStyle w:val="TableParagraph"/>
              <w:spacing w:line="240" w:lineRule="auto"/>
            </w:pPr>
            <w:r>
              <w:t>50 kg eller</w:t>
            </w:r>
          </w:p>
          <w:p w14:paraId="4748E38E" w14:textId="77777777" w:rsidR="00944ED2" w:rsidRDefault="00944ED2" w:rsidP="00F853F2">
            <w:pPr>
              <w:pStyle w:val="TableParagraph"/>
              <w:spacing w:line="240" w:lineRule="auto"/>
            </w:pPr>
            <w:r>
              <w:t>derover</w:t>
            </w:r>
          </w:p>
        </w:tc>
        <w:tc>
          <w:tcPr>
            <w:tcW w:w="1968" w:type="dxa"/>
            <w:tcBorders>
              <w:top w:val="single" w:sz="4" w:space="0" w:color="000000"/>
              <w:left w:val="single" w:sz="4" w:space="0" w:color="000000"/>
              <w:bottom w:val="single" w:sz="4" w:space="0" w:color="000000"/>
              <w:right w:val="single" w:sz="4" w:space="0" w:color="000000"/>
            </w:tcBorders>
            <w:hideMark/>
          </w:tcPr>
          <w:p w14:paraId="524E8E89" w14:textId="77777777" w:rsidR="00944ED2" w:rsidRDefault="00944ED2" w:rsidP="00F853F2">
            <w:pPr>
              <w:pStyle w:val="TableParagraph"/>
              <w:spacing w:line="240" w:lineRule="auto"/>
              <w:ind w:left="612"/>
              <w:jc w:val="center"/>
            </w:pPr>
            <w:r>
              <w:t>2,5 ml</w:t>
            </w:r>
          </w:p>
          <w:p w14:paraId="2ABEF058" w14:textId="77777777" w:rsidR="00944ED2" w:rsidRDefault="00944ED2" w:rsidP="00F853F2">
            <w:pPr>
              <w:pStyle w:val="TableParagraph"/>
              <w:spacing w:line="240" w:lineRule="auto"/>
              <w:ind w:left="612"/>
              <w:jc w:val="center"/>
            </w:pPr>
            <w:r>
              <w:t>(25 mg)</w:t>
            </w:r>
          </w:p>
        </w:tc>
        <w:tc>
          <w:tcPr>
            <w:tcW w:w="1836" w:type="dxa"/>
            <w:tcBorders>
              <w:top w:val="single" w:sz="4" w:space="0" w:color="000000"/>
              <w:left w:val="single" w:sz="4" w:space="0" w:color="000000"/>
              <w:bottom w:val="single" w:sz="4" w:space="0" w:color="000000"/>
              <w:right w:val="single" w:sz="4" w:space="0" w:color="000000"/>
            </w:tcBorders>
            <w:hideMark/>
          </w:tcPr>
          <w:p w14:paraId="7A1719E3" w14:textId="77777777" w:rsidR="00944ED2" w:rsidRDefault="00944ED2" w:rsidP="00F853F2">
            <w:pPr>
              <w:pStyle w:val="TableParagraph"/>
              <w:spacing w:line="240" w:lineRule="auto"/>
              <w:ind w:left="546"/>
              <w:jc w:val="center"/>
            </w:pPr>
            <w:r>
              <w:t>5 ml</w:t>
            </w:r>
          </w:p>
          <w:p w14:paraId="634902F6" w14:textId="77777777" w:rsidR="00944ED2" w:rsidRDefault="00944ED2" w:rsidP="00F853F2">
            <w:pPr>
              <w:pStyle w:val="TableParagraph"/>
              <w:spacing w:line="240" w:lineRule="auto"/>
              <w:ind w:left="546"/>
              <w:jc w:val="center"/>
            </w:pPr>
            <w:r>
              <w:t>(50 mg)</w:t>
            </w:r>
          </w:p>
        </w:tc>
        <w:tc>
          <w:tcPr>
            <w:tcW w:w="1836" w:type="dxa"/>
            <w:tcBorders>
              <w:top w:val="single" w:sz="4" w:space="0" w:color="000000"/>
              <w:left w:val="single" w:sz="4" w:space="0" w:color="000000"/>
              <w:bottom w:val="single" w:sz="4" w:space="0" w:color="000000"/>
              <w:right w:val="single" w:sz="4" w:space="0" w:color="000000"/>
            </w:tcBorders>
            <w:hideMark/>
          </w:tcPr>
          <w:p w14:paraId="03038DFC" w14:textId="77777777" w:rsidR="00944ED2" w:rsidRDefault="00944ED2" w:rsidP="00F853F2">
            <w:pPr>
              <w:pStyle w:val="TableParagraph"/>
              <w:spacing w:line="240" w:lineRule="auto"/>
              <w:ind w:left="546"/>
              <w:jc w:val="center"/>
            </w:pPr>
            <w:r>
              <w:t>7,5 ml</w:t>
            </w:r>
          </w:p>
          <w:p w14:paraId="3A6A9E44" w14:textId="77777777" w:rsidR="00944ED2" w:rsidRDefault="00944ED2" w:rsidP="00F853F2">
            <w:pPr>
              <w:pStyle w:val="TableParagraph"/>
              <w:spacing w:line="240" w:lineRule="auto"/>
              <w:ind w:left="544"/>
              <w:jc w:val="center"/>
            </w:pPr>
            <w:r>
              <w:t>(75 mg)</w:t>
            </w:r>
          </w:p>
        </w:tc>
        <w:tc>
          <w:tcPr>
            <w:tcW w:w="1949" w:type="dxa"/>
            <w:tcBorders>
              <w:top w:val="single" w:sz="4" w:space="0" w:color="000000"/>
              <w:left w:val="single" w:sz="4" w:space="0" w:color="000000"/>
              <w:bottom w:val="single" w:sz="4" w:space="0" w:color="000000"/>
              <w:right w:val="single" w:sz="4" w:space="0" w:color="000000"/>
            </w:tcBorders>
            <w:hideMark/>
          </w:tcPr>
          <w:p w14:paraId="27466682" w14:textId="77777777" w:rsidR="00944ED2" w:rsidRDefault="00944ED2" w:rsidP="00F853F2">
            <w:pPr>
              <w:pStyle w:val="TableParagraph"/>
              <w:spacing w:line="240" w:lineRule="auto"/>
              <w:ind w:left="279"/>
              <w:jc w:val="center"/>
            </w:pPr>
            <w:r>
              <w:t>10 ml</w:t>
            </w:r>
          </w:p>
          <w:p w14:paraId="52D73E80" w14:textId="77777777" w:rsidR="00944ED2" w:rsidRDefault="00944ED2" w:rsidP="00F853F2">
            <w:pPr>
              <w:pStyle w:val="TableParagraph"/>
              <w:spacing w:line="240" w:lineRule="auto"/>
              <w:ind w:left="280"/>
              <w:jc w:val="center"/>
            </w:pPr>
            <w:r>
              <w:t>(100 mg)</w:t>
            </w:r>
          </w:p>
        </w:tc>
      </w:tr>
    </w:tbl>
    <w:p w14:paraId="6D8A0793" w14:textId="77777777" w:rsidR="00944ED2" w:rsidRDefault="00944ED2" w:rsidP="00F853F2">
      <w:pPr>
        <w:pStyle w:val="Brdtekst"/>
        <w:rPr>
          <w:sz w:val="21"/>
        </w:rPr>
      </w:pPr>
    </w:p>
    <w:tbl>
      <w:tblPr>
        <w:tblW w:w="9540" w:type="dxa"/>
        <w:tblInd w:w="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1150"/>
        <w:gridCol w:w="587"/>
        <w:gridCol w:w="1091"/>
        <w:gridCol w:w="779"/>
        <w:gridCol w:w="923"/>
        <w:gridCol w:w="896"/>
        <w:gridCol w:w="806"/>
        <w:gridCol w:w="1011"/>
        <w:gridCol w:w="690"/>
        <w:gridCol w:w="1317"/>
        <w:gridCol w:w="283"/>
      </w:tblGrid>
      <w:tr w:rsidR="00944ED2" w14:paraId="5F219D66" w14:textId="77777777" w:rsidTr="00AA1962">
        <w:trPr>
          <w:gridBefore w:val="1"/>
          <w:gridAfter w:val="1"/>
          <w:wBefore w:w="7" w:type="dxa"/>
          <w:wAfter w:w="283" w:type="dxa"/>
          <w:trHeight w:val="506"/>
        </w:trPr>
        <w:tc>
          <w:tcPr>
            <w:tcW w:w="1737" w:type="dxa"/>
            <w:gridSpan w:val="2"/>
            <w:tcBorders>
              <w:top w:val="single" w:sz="4" w:space="0" w:color="000000"/>
              <w:left w:val="single" w:sz="4" w:space="0" w:color="000000"/>
              <w:bottom w:val="single" w:sz="4" w:space="0" w:color="000000"/>
              <w:right w:val="single" w:sz="4" w:space="0" w:color="000000"/>
            </w:tcBorders>
          </w:tcPr>
          <w:p w14:paraId="63518FFB" w14:textId="77777777" w:rsidR="00944ED2" w:rsidRDefault="00944ED2" w:rsidP="00F853F2">
            <w:pPr>
              <w:pStyle w:val="TableParagraph"/>
              <w:spacing w:line="240" w:lineRule="auto"/>
              <w:ind w:left="0"/>
            </w:pPr>
          </w:p>
        </w:tc>
        <w:tc>
          <w:tcPr>
            <w:tcW w:w="7513" w:type="dxa"/>
            <w:gridSpan w:val="8"/>
            <w:tcBorders>
              <w:top w:val="single" w:sz="4" w:space="0" w:color="000000"/>
              <w:left w:val="single" w:sz="4" w:space="0" w:color="000000"/>
              <w:bottom w:val="single" w:sz="4" w:space="0" w:color="000000"/>
              <w:right w:val="single" w:sz="4" w:space="0" w:color="000000"/>
            </w:tcBorders>
            <w:hideMark/>
          </w:tcPr>
          <w:p w14:paraId="4B0D7A82" w14:textId="77777777" w:rsidR="00944ED2" w:rsidRDefault="00944ED2" w:rsidP="00F853F2">
            <w:pPr>
              <w:pStyle w:val="TableParagraph"/>
              <w:spacing w:line="240" w:lineRule="auto"/>
              <w:ind w:left="1800" w:hanging="1544"/>
              <w:rPr>
                <w:b/>
                <w:lang w:val="da-DK"/>
              </w:rPr>
            </w:pPr>
            <w:r>
              <w:rPr>
                <w:b/>
                <w:lang w:val="da-DK"/>
              </w:rPr>
              <w:t>Mængder af oral opløsning som skal tages per administration for unge og børn, som vejer fra 20 kg til under 50 kg</w:t>
            </w:r>
          </w:p>
        </w:tc>
      </w:tr>
      <w:tr w:rsidR="00944ED2" w14:paraId="4B49A16D" w14:textId="77777777" w:rsidTr="00AA1962">
        <w:trPr>
          <w:gridBefore w:val="1"/>
          <w:gridAfter w:val="1"/>
          <w:wBefore w:w="7" w:type="dxa"/>
          <w:wAfter w:w="283" w:type="dxa"/>
          <w:trHeight w:val="2249"/>
        </w:trPr>
        <w:tc>
          <w:tcPr>
            <w:tcW w:w="1737" w:type="dxa"/>
            <w:gridSpan w:val="2"/>
            <w:tcBorders>
              <w:top w:val="single" w:sz="4" w:space="0" w:color="000000"/>
              <w:left w:val="single" w:sz="4" w:space="0" w:color="000000"/>
              <w:bottom w:val="single" w:sz="4" w:space="0" w:color="000000"/>
              <w:right w:val="single" w:sz="4" w:space="0" w:color="000000"/>
            </w:tcBorders>
            <w:hideMark/>
          </w:tcPr>
          <w:p w14:paraId="27A03988" w14:textId="77777777" w:rsidR="00944ED2" w:rsidRDefault="00944ED2" w:rsidP="00F853F2">
            <w:pPr>
              <w:pStyle w:val="TableParagraph"/>
              <w:spacing w:line="240" w:lineRule="auto"/>
              <w:rPr>
                <w:b/>
              </w:rPr>
            </w:pPr>
            <w:r>
              <w:rPr>
                <w:b/>
              </w:rPr>
              <w:t>Ordineret dosis</w:t>
            </w:r>
          </w:p>
        </w:tc>
        <w:tc>
          <w:tcPr>
            <w:tcW w:w="1870" w:type="dxa"/>
            <w:gridSpan w:val="2"/>
            <w:tcBorders>
              <w:top w:val="single" w:sz="4" w:space="0" w:color="000000"/>
              <w:left w:val="single" w:sz="4" w:space="0" w:color="000000"/>
              <w:bottom w:val="single" w:sz="4" w:space="0" w:color="000000"/>
              <w:right w:val="single" w:sz="4" w:space="0" w:color="000000"/>
            </w:tcBorders>
            <w:hideMark/>
          </w:tcPr>
          <w:p w14:paraId="48CBEA53" w14:textId="77777777" w:rsidR="00944ED2" w:rsidRDefault="00944ED2" w:rsidP="00F853F2">
            <w:pPr>
              <w:pStyle w:val="TableParagraph"/>
              <w:spacing w:line="240" w:lineRule="auto"/>
              <w:ind w:left="284"/>
              <w:jc w:val="center"/>
              <w:rPr>
                <w:i/>
                <w:lang w:val="da-DK"/>
              </w:rPr>
            </w:pPr>
            <w:r>
              <w:rPr>
                <w:i/>
                <w:lang w:val="da-DK"/>
              </w:rPr>
              <w:t>For en dosis på 1 mg/kg/dag</w:t>
            </w:r>
          </w:p>
          <w:p w14:paraId="51E95CC6" w14:textId="77777777" w:rsidR="00944ED2" w:rsidRDefault="00944ED2" w:rsidP="00F853F2">
            <w:pPr>
              <w:pStyle w:val="TableParagraph"/>
              <w:spacing w:line="240" w:lineRule="auto"/>
              <w:ind w:left="284"/>
              <w:jc w:val="center"/>
              <w:rPr>
                <w:b/>
                <w:lang w:val="da-DK"/>
              </w:rPr>
            </w:pPr>
            <w:r>
              <w:rPr>
                <w:b/>
                <w:lang w:val="da-DK"/>
              </w:rPr>
              <w:t xml:space="preserve">0,05 </w:t>
            </w:r>
            <w:r>
              <w:rPr>
                <w:b/>
                <w:spacing w:val="-4"/>
                <w:lang w:val="da-DK"/>
              </w:rPr>
              <w:t xml:space="preserve">ml/kg/ </w:t>
            </w:r>
            <w:r>
              <w:rPr>
                <w:b/>
                <w:lang w:val="da-DK"/>
              </w:rPr>
              <w:t>indtagelse</w:t>
            </w:r>
          </w:p>
          <w:p w14:paraId="009903FB" w14:textId="77777777" w:rsidR="00944ED2" w:rsidRDefault="00944ED2" w:rsidP="00F853F2">
            <w:pPr>
              <w:pStyle w:val="TableParagraph"/>
              <w:spacing w:line="240" w:lineRule="auto"/>
              <w:ind w:left="425"/>
              <w:jc w:val="center"/>
              <w:rPr>
                <w:lang w:val="da-DK"/>
              </w:rPr>
            </w:pPr>
            <w:r>
              <w:rPr>
                <w:lang w:val="da-DK"/>
              </w:rPr>
              <w:t xml:space="preserve">(svarende </w:t>
            </w:r>
            <w:r>
              <w:rPr>
                <w:spacing w:val="-5"/>
                <w:lang w:val="da-DK"/>
              </w:rPr>
              <w:t xml:space="preserve">til </w:t>
            </w:r>
            <w:r>
              <w:rPr>
                <w:lang w:val="da-DK"/>
              </w:rPr>
              <w:t>0,5 mg/kg/ indtagelse)</w:t>
            </w:r>
          </w:p>
        </w:tc>
        <w:tc>
          <w:tcPr>
            <w:tcW w:w="1819" w:type="dxa"/>
            <w:gridSpan w:val="2"/>
            <w:tcBorders>
              <w:top w:val="single" w:sz="4" w:space="0" w:color="000000"/>
              <w:left w:val="single" w:sz="4" w:space="0" w:color="000000"/>
              <w:bottom w:val="single" w:sz="4" w:space="0" w:color="000000"/>
              <w:right w:val="single" w:sz="4" w:space="0" w:color="000000"/>
            </w:tcBorders>
            <w:hideMark/>
          </w:tcPr>
          <w:p w14:paraId="093A64D1" w14:textId="77777777" w:rsidR="00944ED2" w:rsidRDefault="00944ED2" w:rsidP="00F853F2">
            <w:pPr>
              <w:pStyle w:val="TableParagraph"/>
              <w:spacing w:line="240" w:lineRule="auto"/>
              <w:ind w:left="220"/>
              <w:jc w:val="center"/>
              <w:rPr>
                <w:i/>
                <w:lang w:val="da-DK"/>
              </w:rPr>
            </w:pPr>
            <w:r>
              <w:rPr>
                <w:i/>
                <w:lang w:val="da-DK"/>
              </w:rPr>
              <w:t>For en dosis på 2 mg/kg/dag</w:t>
            </w:r>
          </w:p>
          <w:p w14:paraId="203A54FC" w14:textId="77777777" w:rsidR="00944ED2" w:rsidRDefault="00944ED2" w:rsidP="00F853F2">
            <w:pPr>
              <w:pStyle w:val="TableParagraph"/>
              <w:spacing w:line="240" w:lineRule="auto"/>
              <w:ind w:left="440" w:hanging="3"/>
              <w:jc w:val="center"/>
              <w:rPr>
                <w:b/>
                <w:lang w:val="da-DK"/>
              </w:rPr>
            </w:pPr>
            <w:r>
              <w:rPr>
                <w:b/>
                <w:lang w:val="da-DK"/>
              </w:rPr>
              <w:t xml:space="preserve">0,1 ml/kg/ </w:t>
            </w:r>
            <w:r>
              <w:rPr>
                <w:b/>
                <w:spacing w:val="-1"/>
                <w:lang w:val="da-DK"/>
              </w:rPr>
              <w:t>indtagelse</w:t>
            </w:r>
          </w:p>
          <w:p w14:paraId="78DB0938" w14:textId="77777777" w:rsidR="00944ED2" w:rsidRDefault="00944ED2" w:rsidP="00F853F2">
            <w:pPr>
              <w:pStyle w:val="TableParagraph"/>
              <w:spacing w:line="240" w:lineRule="auto"/>
              <w:ind w:left="360"/>
              <w:jc w:val="center"/>
              <w:rPr>
                <w:lang w:val="da-DK"/>
              </w:rPr>
            </w:pPr>
            <w:r>
              <w:rPr>
                <w:lang w:val="da-DK"/>
              </w:rPr>
              <w:t xml:space="preserve">(svarende </w:t>
            </w:r>
            <w:r>
              <w:rPr>
                <w:spacing w:val="-5"/>
                <w:lang w:val="da-DK"/>
              </w:rPr>
              <w:t xml:space="preserve">til </w:t>
            </w:r>
            <w:r>
              <w:rPr>
                <w:lang w:val="da-DK"/>
              </w:rPr>
              <w:t>1 mg/kg/ indtagelse)</w:t>
            </w:r>
          </w:p>
        </w:tc>
        <w:tc>
          <w:tcPr>
            <w:tcW w:w="1817" w:type="dxa"/>
            <w:gridSpan w:val="2"/>
            <w:tcBorders>
              <w:top w:val="single" w:sz="4" w:space="0" w:color="000000"/>
              <w:left w:val="single" w:sz="4" w:space="0" w:color="000000"/>
              <w:bottom w:val="single" w:sz="4" w:space="0" w:color="000000"/>
              <w:right w:val="single" w:sz="4" w:space="0" w:color="000000"/>
            </w:tcBorders>
            <w:hideMark/>
          </w:tcPr>
          <w:p w14:paraId="05FD9E59" w14:textId="77777777" w:rsidR="00944ED2" w:rsidRDefault="00944ED2" w:rsidP="00F853F2">
            <w:pPr>
              <w:pStyle w:val="TableParagraph"/>
              <w:spacing w:line="240" w:lineRule="auto"/>
              <w:ind w:left="219"/>
              <w:jc w:val="center"/>
              <w:rPr>
                <w:i/>
                <w:lang w:val="da-DK"/>
              </w:rPr>
            </w:pPr>
            <w:r>
              <w:rPr>
                <w:i/>
                <w:lang w:val="da-DK"/>
              </w:rPr>
              <w:t>For en dosis på 3 mg/kg/dag</w:t>
            </w:r>
          </w:p>
          <w:p w14:paraId="6DB074E7" w14:textId="77777777" w:rsidR="00944ED2" w:rsidRDefault="00944ED2" w:rsidP="00F853F2">
            <w:pPr>
              <w:pStyle w:val="TableParagraph"/>
              <w:spacing w:line="240" w:lineRule="auto"/>
              <w:ind w:left="219"/>
              <w:jc w:val="center"/>
              <w:rPr>
                <w:b/>
                <w:lang w:val="da-DK"/>
              </w:rPr>
            </w:pPr>
            <w:r>
              <w:rPr>
                <w:b/>
                <w:lang w:val="da-DK"/>
              </w:rPr>
              <w:t xml:space="preserve">0,15 </w:t>
            </w:r>
            <w:r>
              <w:rPr>
                <w:b/>
                <w:spacing w:val="-4"/>
                <w:lang w:val="da-DK"/>
              </w:rPr>
              <w:t xml:space="preserve">ml/kg/ </w:t>
            </w:r>
            <w:r>
              <w:rPr>
                <w:b/>
                <w:lang w:val="da-DK"/>
              </w:rPr>
              <w:t>indtagelse</w:t>
            </w:r>
          </w:p>
          <w:p w14:paraId="2581A114" w14:textId="77777777" w:rsidR="00944ED2" w:rsidRDefault="00944ED2" w:rsidP="00F853F2">
            <w:pPr>
              <w:pStyle w:val="TableParagraph"/>
              <w:spacing w:line="240" w:lineRule="auto"/>
              <w:ind w:left="361"/>
              <w:jc w:val="center"/>
              <w:rPr>
                <w:lang w:val="da-DK"/>
              </w:rPr>
            </w:pPr>
            <w:r>
              <w:rPr>
                <w:lang w:val="da-DK"/>
              </w:rPr>
              <w:t xml:space="preserve">(svarende </w:t>
            </w:r>
            <w:r>
              <w:rPr>
                <w:spacing w:val="-5"/>
                <w:lang w:val="da-DK"/>
              </w:rPr>
              <w:t xml:space="preserve">til </w:t>
            </w:r>
            <w:r>
              <w:rPr>
                <w:lang w:val="da-DK"/>
              </w:rPr>
              <w:t>1,5 mg/kg/ indtagelse)</w:t>
            </w:r>
          </w:p>
        </w:tc>
        <w:tc>
          <w:tcPr>
            <w:tcW w:w="2007" w:type="dxa"/>
            <w:gridSpan w:val="2"/>
            <w:tcBorders>
              <w:top w:val="single" w:sz="4" w:space="0" w:color="000000"/>
              <w:left w:val="single" w:sz="4" w:space="0" w:color="000000"/>
              <w:bottom w:val="single" w:sz="4" w:space="0" w:color="000000"/>
              <w:right w:val="single" w:sz="4" w:space="0" w:color="000000"/>
            </w:tcBorders>
            <w:hideMark/>
          </w:tcPr>
          <w:p w14:paraId="790D4A1D" w14:textId="77777777" w:rsidR="00944ED2" w:rsidRDefault="00944ED2" w:rsidP="00F853F2">
            <w:pPr>
              <w:pStyle w:val="TableParagraph"/>
              <w:spacing w:line="240" w:lineRule="auto"/>
              <w:ind w:left="221"/>
              <w:jc w:val="center"/>
              <w:rPr>
                <w:i/>
                <w:lang w:val="da-DK"/>
              </w:rPr>
            </w:pPr>
            <w:r>
              <w:rPr>
                <w:i/>
                <w:lang w:val="da-DK"/>
              </w:rPr>
              <w:t>For en dosis på 4 mg/kg/dag</w:t>
            </w:r>
          </w:p>
          <w:p w14:paraId="0DE1302D" w14:textId="77777777" w:rsidR="00944ED2" w:rsidRDefault="00944ED2" w:rsidP="00F853F2">
            <w:pPr>
              <w:pStyle w:val="TableParagraph"/>
              <w:spacing w:line="240" w:lineRule="auto"/>
              <w:ind w:left="440" w:hanging="3"/>
              <w:jc w:val="center"/>
              <w:rPr>
                <w:b/>
                <w:lang w:val="da-DK"/>
              </w:rPr>
            </w:pPr>
            <w:r>
              <w:rPr>
                <w:b/>
                <w:lang w:val="da-DK"/>
              </w:rPr>
              <w:t xml:space="preserve">0,2 ml/kg/ </w:t>
            </w:r>
            <w:r>
              <w:rPr>
                <w:b/>
                <w:spacing w:val="-1"/>
                <w:lang w:val="da-DK"/>
              </w:rPr>
              <w:t>indtagelse</w:t>
            </w:r>
          </w:p>
          <w:p w14:paraId="1301E8B8" w14:textId="77777777" w:rsidR="00944ED2" w:rsidRDefault="00944ED2" w:rsidP="00F853F2">
            <w:pPr>
              <w:pStyle w:val="TableParagraph"/>
              <w:spacing w:line="240" w:lineRule="auto"/>
              <w:ind w:left="360"/>
              <w:jc w:val="center"/>
              <w:rPr>
                <w:lang w:val="da-DK"/>
              </w:rPr>
            </w:pPr>
            <w:r>
              <w:rPr>
                <w:lang w:val="da-DK"/>
              </w:rPr>
              <w:t xml:space="preserve">(svarende </w:t>
            </w:r>
            <w:r>
              <w:rPr>
                <w:spacing w:val="-5"/>
                <w:lang w:val="da-DK"/>
              </w:rPr>
              <w:t xml:space="preserve">til </w:t>
            </w:r>
            <w:r>
              <w:rPr>
                <w:lang w:val="da-DK"/>
              </w:rPr>
              <w:t>2 mg/kg/ indtagelse)</w:t>
            </w:r>
          </w:p>
        </w:tc>
      </w:tr>
      <w:tr w:rsidR="00944ED2" w14:paraId="6D1B04BC" w14:textId="77777777" w:rsidTr="00AA1962">
        <w:trPr>
          <w:gridBefore w:val="1"/>
          <w:gridAfter w:val="1"/>
          <w:wBefore w:w="7" w:type="dxa"/>
          <w:wAfter w:w="283" w:type="dxa"/>
          <w:trHeight w:val="505"/>
        </w:trPr>
        <w:tc>
          <w:tcPr>
            <w:tcW w:w="1737" w:type="dxa"/>
            <w:gridSpan w:val="2"/>
            <w:tcBorders>
              <w:top w:val="single" w:sz="4" w:space="0" w:color="000000"/>
              <w:left w:val="single" w:sz="4" w:space="0" w:color="000000"/>
              <w:bottom w:val="single" w:sz="4" w:space="0" w:color="000000"/>
              <w:right w:val="single" w:sz="4" w:space="0" w:color="000000"/>
            </w:tcBorders>
            <w:hideMark/>
          </w:tcPr>
          <w:p w14:paraId="62C2B07B" w14:textId="77777777" w:rsidR="00944ED2" w:rsidRDefault="00944ED2" w:rsidP="00F853F2">
            <w:pPr>
              <w:pStyle w:val="TableParagraph"/>
              <w:spacing w:line="240" w:lineRule="auto"/>
              <w:rPr>
                <w:b/>
              </w:rPr>
            </w:pPr>
            <w:r>
              <w:rPr>
                <w:b/>
              </w:rPr>
              <w:t>Anbefalet sprøjte</w:t>
            </w:r>
          </w:p>
        </w:tc>
        <w:tc>
          <w:tcPr>
            <w:tcW w:w="3689" w:type="dxa"/>
            <w:gridSpan w:val="4"/>
            <w:tcBorders>
              <w:top w:val="single" w:sz="4" w:space="0" w:color="000000"/>
              <w:left w:val="single" w:sz="4" w:space="0" w:color="000000"/>
              <w:bottom w:val="single" w:sz="4" w:space="0" w:color="000000"/>
              <w:right w:val="single" w:sz="4" w:space="0" w:color="000000"/>
            </w:tcBorders>
            <w:hideMark/>
          </w:tcPr>
          <w:p w14:paraId="61F94F60" w14:textId="0F58B916" w:rsidR="00944ED2" w:rsidRDefault="00944ED2" w:rsidP="00F853F2">
            <w:pPr>
              <w:pStyle w:val="TableParagraph"/>
              <w:spacing w:line="240" w:lineRule="auto"/>
              <w:ind w:left="1659"/>
              <w:jc w:val="center"/>
              <w:rPr>
                <w:b/>
              </w:rPr>
            </w:pPr>
            <w:r>
              <w:rPr>
                <w:b/>
              </w:rPr>
              <w:t xml:space="preserve">5 </w:t>
            </w:r>
            <w:r w:rsidR="00AA1962">
              <w:rPr>
                <w:b/>
              </w:rPr>
              <w:t>m</w:t>
            </w:r>
            <w:r>
              <w:rPr>
                <w:b/>
              </w:rPr>
              <w:t>l</w:t>
            </w: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3466F6E8" w14:textId="77777777" w:rsidR="00944ED2" w:rsidRDefault="00944ED2" w:rsidP="00F853F2">
            <w:pPr>
              <w:pStyle w:val="TableParagraph"/>
              <w:spacing w:line="240" w:lineRule="auto"/>
              <w:ind w:left="1036"/>
              <w:rPr>
                <w:b/>
              </w:rPr>
            </w:pPr>
            <w:r>
              <w:rPr>
                <w:b/>
              </w:rPr>
              <w:t>5 ml eller 10 ml*</w:t>
            </w:r>
          </w:p>
        </w:tc>
      </w:tr>
      <w:tr w:rsidR="00944ED2" w14:paraId="415D008E" w14:textId="77777777" w:rsidTr="00AA1962">
        <w:trPr>
          <w:gridBefore w:val="1"/>
          <w:gridAfter w:val="1"/>
          <w:wBefore w:w="7" w:type="dxa"/>
          <w:wAfter w:w="283" w:type="dxa"/>
          <w:trHeight w:val="504"/>
        </w:trPr>
        <w:tc>
          <w:tcPr>
            <w:tcW w:w="1737" w:type="dxa"/>
            <w:gridSpan w:val="2"/>
            <w:tcBorders>
              <w:top w:val="single" w:sz="4" w:space="0" w:color="000000"/>
              <w:left w:val="single" w:sz="4" w:space="0" w:color="000000"/>
              <w:bottom w:val="single" w:sz="4" w:space="0" w:color="000000"/>
              <w:right w:val="single" w:sz="4" w:space="0" w:color="000000"/>
            </w:tcBorders>
            <w:hideMark/>
          </w:tcPr>
          <w:p w14:paraId="40919410" w14:textId="77777777" w:rsidR="00944ED2" w:rsidRDefault="00944ED2" w:rsidP="00F853F2">
            <w:pPr>
              <w:pStyle w:val="TableParagraph"/>
              <w:spacing w:line="240" w:lineRule="auto"/>
              <w:rPr>
                <w:b/>
              </w:rPr>
            </w:pPr>
            <w:r>
              <w:rPr>
                <w:b/>
              </w:rPr>
              <w:t>Vægt</w:t>
            </w:r>
          </w:p>
        </w:tc>
        <w:tc>
          <w:tcPr>
            <w:tcW w:w="3689" w:type="dxa"/>
            <w:gridSpan w:val="4"/>
            <w:tcBorders>
              <w:top w:val="single" w:sz="4" w:space="0" w:color="000000"/>
              <w:left w:val="single" w:sz="4" w:space="0" w:color="000000"/>
              <w:bottom w:val="single" w:sz="4" w:space="0" w:color="000000"/>
              <w:right w:val="single" w:sz="4" w:space="0" w:color="000000"/>
            </w:tcBorders>
          </w:tcPr>
          <w:p w14:paraId="2BE9F5B7" w14:textId="77777777" w:rsidR="00944ED2" w:rsidRDefault="00944ED2" w:rsidP="00F853F2">
            <w:pPr>
              <w:pStyle w:val="TableParagraph"/>
              <w:spacing w:line="240" w:lineRule="auto"/>
              <w:ind w:left="0"/>
              <w:rPr>
                <w:sz w:val="21"/>
              </w:rPr>
            </w:pPr>
          </w:p>
          <w:p w14:paraId="49844765" w14:textId="77777777" w:rsidR="00944ED2" w:rsidRDefault="00944ED2" w:rsidP="00F853F2">
            <w:pPr>
              <w:pStyle w:val="TableParagraph"/>
              <w:spacing w:line="240" w:lineRule="auto"/>
              <w:ind w:left="804"/>
              <w:rPr>
                <w:b/>
              </w:rPr>
            </w:pPr>
            <w:r>
              <w:rPr>
                <w:b/>
              </w:rPr>
              <w:t>Mængde administreret</w:t>
            </w:r>
          </w:p>
        </w:tc>
        <w:tc>
          <w:tcPr>
            <w:tcW w:w="3824" w:type="dxa"/>
            <w:gridSpan w:val="4"/>
            <w:tcBorders>
              <w:top w:val="single" w:sz="4" w:space="0" w:color="000000"/>
              <w:left w:val="single" w:sz="4" w:space="0" w:color="000000"/>
              <w:bottom w:val="single" w:sz="4" w:space="0" w:color="000000"/>
              <w:right w:val="single" w:sz="4" w:space="0" w:color="000000"/>
            </w:tcBorders>
          </w:tcPr>
          <w:p w14:paraId="72B3C654" w14:textId="77777777" w:rsidR="00944ED2" w:rsidRDefault="00944ED2" w:rsidP="00F853F2">
            <w:pPr>
              <w:pStyle w:val="TableParagraph"/>
              <w:spacing w:line="240" w:lineRule="auto"/>
              <w:ind w:left="0"/>
              <w:rPr>
                <w:sz w:val="21"/>
              </w:rPr>
            </w:pPr>
          </w:p>
          <w:p w14:paraId="75CC8025" w14:textId="77777777" w:rsidR="00944ED2" w:rsidRDefault="00944ED2" w:rsidP="00F853F2">
            <w:pPr>
              <w:pStyle w:val="TableParagraph"/>
              <w:spacing w:line="240" w:lineRule="auto"/>
              <w:ind w:left="738"/>
              <w:rPr>
                <w:b/>
              </w:rPr>
            </w:pPr>
            <w:r>
              <w:rPr>
                <w:b/>
              </w:rPr>
              <w:t>Mængde administreret</w:t>
            </w:r>
          </w:p>
        </w:tc>
      </w:tr>
      <w:tr w:rsidR="00944ED2" w14:paraId="27A14FD2" w14:textId="77777777" w:rsidTr="00AA1962">
        <w:trPr>
          <w:gridBefore w:val="1"/>
          <w:gridAfter w:val="1"/>
          <w:wBefore w:w="7" w:type="dxa"/>
          <w:wAfter w:w="283" w:type="dxa"/>
          <w:trHeight w:val="506"/>
        </w:trPr>
        <w:tc>
          <w:tcPr>
            <w:tcW w:w="1737" w:type="dxa"/>
            <w:gridSpan w:val="2"/>
            <w:tcBorders>
              <w:top w:val="single" w:sz="4" w:space="0" w:color="000000"/>
              <w:left w:val="single" w:sz="4" w:space="0" w:color="000000"/>
              <w:bottom w:val="single" w:sz="4" w:space="0" w:color="000000"/>
              <w:right w:val="single" w:sz="4" w:space="0" w:color="000000"/>
            </w:tcBorders>
            <w:hideMark/>
          </w:tcPr>
          <w:p w14:paraId="27EB1DD5" w14:textId="77777777" w:rsidR="00944ED2" w:rsidRDefault="00944ED2" w:rsidP="00F853F2">
            <w:pPr>
              <w:pStyle w:val="TableParagraph"/>
              <w:spacing w:line="240" w:lineRule="auto"/>
            </w:pPr>
            <w:r>
              <w:t>20 kg</w:t>
            </w:r>
          </w:p>
        </w:tc>
        <w:tc>
          <w:tcPr>
            <w:tcW w:w="1870" w:type="dxa"/>
            <w:gridSpan w:val="2"/>
            <w:tcBorders>
              <w:top w:val="single" w:sz="4" w:space="0" w:color="000000"/>
              <w:left w:val="single" w:sz="4" w:space="0" w:color="000000"/>
              <w:bottom w:val="single" w:sz="4" w:space="0" w:color="000000"/>
              <w:right w:val="single" w:sz="4" w:space="0" w:color="000000"/>
            </w:tcBorders>
            <w:hideMark/>
          </w:tcPr>
          <w:p w14:paraId="01E42A7B" w14:textId="77777777" w:rsidR="00944ED2" w:rsidRDefault="00944ED2" w:rsidP="00F853F2">
            <w:pPr>
              <w:pStyle w:val="TableParagraph"/>
              <w:spacing w:line="240" w:lineRule="auto"/>
              <w:ind w:left="284"/>
              <w:jc w:val="center"/>
            </w:pPr>
            <w:r>
              <w:t>1 ml</w:t>
            </w:r>
          </w:p>
          <w:p w14:paraId="293E69B5" w14:textId="77777777" w:rsidR="00944ED2" w:rsidRDefault="00944ED2" w:rsidP="00F853F2">
            <w:pPr>
              <w:pStyle w:val="TableParagraph"/>
              <w:spacing w:line="240" w:lineRule="auto"/>
              <w:ind w:left="282"/>
              <w:jc w:val="center"/>
            </w:pPr>
            <w:r>
              <w:t>(10 mg)</w:t>
            </w:r>
          </w:p>
        </w:tc>
        <w:tc>
          <w:tcPr>
            <w:tcW w:w="1819" w:type="dxa"/>
            <w:gridSpan w:val="2"/>
            <w:tcBorders>
              <w:top w:val="single" w:sz="4" w:space="0" w:color="000000"/>
              <w:left w:val="single" w:sz="4" w:space="0" w:color="000000"/>
              <w:bottom w:val="single" w:sz="4" w:space="0" w:color="000000"/>
              <w:right w:val="single" w:sz="4" w:space="0" w:color="000000"/>
            </w:tcBorders>
            <w:hideMark/>
          </w:tcPr>
          <w:p w14:paraId="5A6A00FF" w14:textId="77777777" w:rsidR="00944ED2" w:rsidRDefault="00944ED2" w:rsidP="00F853F2">
            <w:pPr>
              <w:pStyle w:val="TableParagraph"/>
              <w:spacing w:line="240" w:lineRule="auto"/>
              <w:ind w:left="220"/>
              <w:jc w:val="center"/>
            </w:pPr>
            <w:r>
              <w:t>2 ml</w:t>
            </w:r>
          </w:p>
          <w:p w14:paraId="2FB528FB" w14:textId="77777777" w:rsidR="00944ED2" w:rsidRDefault="00944ED2" w:rsidP="00F853F2">
            <w:pPr>
              <w:pStyle w:val="TableParagraph"/>
              <w:spacing w:line="240" w:lineRule="auto"/>
              <w:ind w:left="217"/>
              <w:jc w:val="center"/>
            </w:pPr>
            <w:r>
              <w:t>(20 mg)</w:t>
            </w:r>
          </w:p>
        </w:tc>
        <w:tc>
          <w:tcPr>
            <w:tcW w:w="1817" w:type="dxa"/>
            <w:gridSpan w:val="2"/>
            <w:tcBorders>
              <w:top w:val="single" w:sz="4" w:space="0" w:color="000000"/>
              <w:left w:val="single" w:sz="4" w:space="0" w:color="000000"/>
              <w:bottom w:val="single" w:sz="4" w:space="0" w:color="000000"/>
              <w:right w:val="single" w:sz="4" w:space="0" w:color="000000"/>
            </w:tcBorders>
            <w:hideMark/>
          </w:tcPr>
          <w:p w14:paraId="53F1DFB4" w14:textId="77777777" w:rsidR="00944ED2" w:rsidRDefault="00944ED2" w:rsidP="00F853F2">
            <w:pPr>
              <w:pStyle w:val="TableParagraph"/>
              <w:spacing w:line="240" w:lineRule="auto"/>
              <w:ind w:left="219"/>
              <w:jc w:val="center"/>
            </w:pPr>
            <w:r>
              <w:t>3 ml</w:t>
            </w:r>
          </w:p>
          <w:p w14:paraId="011FD0EA" w14:textId="77777777" w:rsidR="00944ED2" w:rsidRDefault="00944ED2" w:rsidP="00F853F2">
            <w:pPr>
              <w:pStyle w:val="TableParagraph"/>
              <w:spacing w:line="240" w:lineRule="auto"/>
              <w:ind w:left="219"/>
              <w:jc w:val="center"/>
            </w:pPr>
            <w:r>
              <w:t>(30 mg)</w:t>
            </w:r>
          </w:p>
        </w:tc>
        <w:tc>
          <w:tcPr>
            <w:tcW w:w="2007" w:type="dxa"/>
            <w:gridSpan w:val="2"/>
            <w:tcBorders>
              <w:top w:val="single" w:sz="4" w:space="0" w:color="000000"/>
              <w:left w:val="single" w:sz="4" w:space="0" w:color="000000"/>
              <w:bottom w:val="single" w:sz="4" w:space="0" w:color="000000"/>
              <w:right w:val="single" w:sz="4" w:space="0" w:color="000000"/>
            </w:tcBorders>
            <w:hideMark/>
          </w:tcPr>
          <w:p w14:paraId="3C9E504A" w14:textId="77777777" w:rsidR="00944ED2" w:rsidRDefault="00944ED2" w:rsidP="00F853F2">
            <w:pPr>
              <w:pStyle w:val="TableParagraph"/>
              <w:spacing w:line="240" w:lineRule="auto"/>
              <w:ind w:left="221"/>
              <w:jc w:val="center"/>
            </w:pPr>
            <w:r>
              <w:t>4 ml</w:t>
            </w:r>
          </w:p>
          <w:p w14:paraId="207AF1F7" w14:textId="77777777" w:rsidR="00944ED2" w:rsidRDefault="00944ED2" w:rsidP="00F853F2">
            <w:pPr>
              <w:pStyle w:val="TableParagraph"/>
              <w:spacing w:line="240" w:lineRule="auto"/>
              <w:ind w:left="218"/>
              <w:jc w:val="center"/>
            </w:pPr>
            <w:r>
              <w:t>(40 mg)</w:t>
            </w:r>
          </w:p>
        </w:tc>
      </w:tr>
      <w:tr w:rsidR="00944ED2" w14:paraId="56B64EE5" w14:textId="77777777" w:rsidTr="00AA1962">
        <w:trPr>
          <w:gridBefore w:val="1"/>
          <w:gridAfter w:val="1"/>
          <w:wBefore w:w="7" w:type="dxa"/>
          <w:wAfter w:w="283" w:type="dxa"/>
          <w:trHeight w:val="506"/>
        </w:trPr>
        <w:tc>
          <w:tcPr>
            <w:tcW w:w="1737" w:type="dxa"/>
            <w:gridSpan w:val="2"/>
            <w:tcBorders>
              <w:top w:val="single" w:sz="4" w:space="0" w:color="000000"/>
              <w:left w:val="single" w:sz="4" w:space="0" w:color="000000"/>
              <w:bottom w:val="single" w:sz="4" w:space="0" w:color="000000"/>
              <w:right w:val="single" w:sz="4" w:space="0" w:color="000000"/>
            </w:tcBorders>
            <w:hideMark/>
          </w:tcPr>
          <w:p w14:paraId="728002E1" w14:textId="77777777" w:rsidR="00944ED2" w:rsidRDefault="00944ED2" w:rsidP="00F853F2">
            <w:pPr>
              <w:pStyle w:val="TableParagraph"/>
              <w:spacing w:line="240" w:lineRule="auto"/>
            </w:pPr>
            <w:r>
              <w:t>25 kg</w:t>
            </w:r>
          </w:p>
        </w:tc>
        <w:tc>
          <w:tcPr>
            <w:tcW w:w="1870" w:type="dxa"/>
            <w:gridSpan w:val="2"/>
            <w:tcBorders>
              <w:top w:val="single" w:sz="4" w:space="0" w:color="000000"/>
              <w:left w:val="single" w:sz="4" w:space="0" w:color="000000"/>
              <w:bottom w:val="single" w:sz="4" w:space="0" w:color="000000"/>
              <w:right w:val="single" w:sz="4" w:space="0" w:color="000000"/>
            </w:tcBorders>
            <w:hideMark/>
          </w:tcPr>
          <w:p w14:paraId="33FB588A" w14:textId="77777777" w:rsidR="00944ED2" w:rsidRDefault="00944ED2" w:rsidP="00F853F2">
            <w:pPr>
              <w:pStyle w:val="TableParagraph"/>
              <w:spacing w:line="240" w:lineRule="auto"/>
              <w:ind w:left="639"/>
            </w:pPr>
            <w:r>
              <w:t>1,25 ml</w:t>
            </w:r>
          </w:p>
          <w:p w14:paraId="4C808810" w14:textId="77777777" w:rsidR="00944ED2" w:rsidRDefault="00944ED2" w:rsidP="00F853F2">
            <w:pPr>
              <w:pStyle w:val="TableParagraph"/>
              <w:spacing w:line="240" w:lineRule="auto"/>
              <w:ind w:left="540"/>
            </w:pPr>
            <w:r>
              <w:t>(12,5 mg)</w:t>
            </w:r>
          </w:p>
        </w:tc>
        <w:tc>
          <w:tcPr>
            <w:tcW w:w="1819" w:type="dxa"/>
            <w:gridSpan w:val="2"/>
            <w:tcBorders>
              <w:top w:val="single" w:sz="4" w:space="0" w:color="000000"/>
              <w:left w:val="single" w:sz="4" w:space="0" w:color="000000"/>
              <w:bottom w:val="single" w:sz="4" w:space="0" w:color="000000"/>
              <w:right w:val="single" w:sz="4" w:space="0" w:color="000000"/>
            </w:tcBorders>
            <w:hideMark/>
          </w:tcPr>
          <w:p w14:paraId="79F0B729" w14:textId="77777777" w:rsidR="00944ED2" w:rsidRDefault="00944ED2" w:rsidP="00F853F2">
            <w:pPr>
              <w:pStyle w:val="TableParagraph"/>
              <w:spacing w:line="240" w:lineRule="auto"/>
              <w:ind w:left="220"/>
              <w:jc w:val="center"/>
            </w:pPr>
            <w:r>
              <w:t>2,5 ml</w:t>
            </w:r>
          </w:p>
          <w:p w14:paraId="22AF8892" w14:textId="77777777" w:rsidR="00944ED2" w:rsidRDefault="00944ED2" w:rsidP="00F853F2">
            <w:pPr>
              <w:pStyle w:val="TableParagraph"/>
              <w:spacing w:line="240" w:lineRule="auto"/>
              <w:ind w:left="217"/>
              <w:jc w:val="center"/>
            </w:pPr>
            <w:r>
              <w:t>(25 mg)</w:t>
            </w:r>
          </w:p>
        </w:tc>
        <w:tc>
          <w:tcPr>
            <w:tcW w:w="1817" w:type="dxa"/>
            <w:gridSpan w:val="2"/>
            <w:tcBorders>
              <w:top w:val="single" w:sz="4" w:space="0" w:color="000000"/>
              <w:left w:val="single" w:sz="4" w:space="0" w:color="000000"/>
              <w:bottom w:val="single" w:sz="4" w:space="0" w:color="000000"/>
              <w:right w:val="single" w:sz="4" w:space="0" w:color="000000"/>
            </w:tcBorders>
            <w:hideMark/>
          </w:tcPr>
          <w:p w14:paraId="43171970" w14:textId="77777777" w:rsidR="00944ED2" w:rsidRDefault="00944ED2" w:rsidP="00F853F2">
            <w:pPr>
              <w:pStyle w:val="TableParagraph"/>
              <w:spacing w:line="240" w:lineRule="auto"/>
              <w:ind w:left="572"/>
            </w:pPr>
            <w:r>
              <w:t>3,75 ml</w:t>
            </w:r>
          </w:p>
          <w:p w14:paraId="6837B3B4" w14:textId="77777777" w:rsidR="00944ED2" w:rsidRDefault="00944ED2" w:rsidP="00F853F2">
            <w:pPr>
              <w:pStyle w:val="TableParagraph"/>
              <w:spacing w:line="240" w:lineRule="auto"/>
              <w:ind w:left="473"/>
            </w:pPr>
            <w:r>
              <w:t>(37,5 mg)</w:t>
            </w:r>
          </w:p>
        </w:tc>
        <w:tc>
          <w:tcPr>
            <w:tcW w:w="2007" w:type="dxa"/>
            <w:gridSpan w:val="2"/>
            <w:tcBorders>
              <w:top w:val="single" w:sz="4" w:space="0" w:color="000000"/>
              <w:left w:val="single" w:sz="4" w:space="0" w:color="000000"/>
              <w:bottom w:val="single" w:sz="4" w:space="0" w:color="000000"/>
              <w:right w:val="single" w:sz="4" w:space="0" w:color="000000"/>
            </w:tcBorders>
            <w:hideMark/>
          </w:tcPr>
          <w:p w14:paraId="3BF5EE50" w14:textId="77777777" w:rsidR="00944ED2" w:rsidRDefault="00944ED2" w:rsidP="00F853F2">
            <w:pPr>
              <w:pStyle w:val="TableParagraph"/>
              <w:spacing w:line="240" w:lineRule="auto"/>
              <w:ind w:left="221"/>
              <w:jc w:val="center"/>
            </w:pPr>
            <w:r>
              <w:t>5 ml</w:t>
            </w:r>
          </w:p>
          <w:p w14:paraId="64C43872" w14:textId="77777777" w:rsidR="00944ED2" w:rsidRDefault="00944ED2" w:rsidP="00F853F2">
            <w:pPr>
              <w:pStyle w:val="TableParagraph"/>
              <w:spacing w:line="240" w:lineRule="auto"/>
              <w:ind w:left="218"/>
              <w:jc w:val="center"/>
            </w:pPr>
            <w:r>
              <w:t>(50 mg)</w:t>
            </w:r>
          </w:p>
        </w:tc>
      </w:tr>
      <w:tr w:rsidR="00944ED2" w14:paraId="5716AE1F" w14:textId="77777777" w:rsidTr="00AA1962">
        <w:trPr>
          <w:gridBefore w:val="1"/>
          <w:gridAfter w:val="1"/>
          <w:wBefore w:w="7" w:type="dxa"/>
          <w:wAfter w:w="283" w:type="dxa"/>
          <w:trHeight w:val="506"/>
        </w:trPr>
        <w:tc>
          <w:tcPr>
            <w:tcW w:w="1737" w:type="dxa"/>
            <w:gridSpan w:val="2"/>
            <w:tcBorders>
              <w:top w:val="single" w:sz="4" w:space="0" w:color="000000"/>
              <w:left w:val="single" w:sz="4" w:space="0" w:color="000000"/>
              <w:bottom w:val="single" w:sz="4" w:space="0" w:color="000000"/>
              <w:right w:val="single" w:sz="4" w:space="0" w:color="000000"/>
            </w:tcBorders>
            <w:hideMark/>
          </w:tcPr>
          <w:p w14:paraId="2AFD8D18" w14:textId="77777777" w:rsidR="00944ED2" w:rsidRDefault="00944ED2" w:rsidP="00F853F2">
            <w:pPr>
              <w:pStyle w:val="TableParagraph"/>
              <w:spacing w:line="240" w:lineRule="auto"/>
            </w:pPr>
            <w:r>
              <w:lastRenderedPageBreak/>
              <w:t>30 kg</w:t>
            </w:r>
          </w:p>
        </w:tc>
        <w:tc>
          <w:tcPr>
            <w:tcW w:w="1870" w:type="dxa"/>
            <w:gridSpan w:val="2"/>
            <w:tcBorders>
              <w:top w:val="single" w:sz="4" w:space="0" w:color="000000"/>
              <w:left w:val="single" w:sz="4" w:space="0" w:color="000000"/>
              <w:bottom w:val="single" w:sz="4" w:space="0" w:color="000000"/>
              <w:right w:val="single" w:sz="4" w:space="0" w:color="000000"/>
            </w:tcBorders>
            <w:hideMark/>
          </w:tcPr>
          <w:p w14:paraId="5C1AACC1" w14:textId="77777777" w:rsidR="00944ED2" w:rsidRDefault="00944ED2" w:rsidP="00F853F2">
            <w:pPr>
              <w:pStyle w:val="TableParagraph"/>
              <w:spacing w:line="240" w:lineRule="auto"/>
              <w:ind w:left="284"/>
              <w:jc w:val="center"/>
            </w:pPr>
            <w:r>
              <w:t>1,5 ml</w:t>
            </w:r>
          </w:p>
          <w:p w14:paraId="06625C8E" w14:textId="77777777" w:rsidR="00944ED2" w:rsidRDefault="00944ED2" w:rsidP="00F853F2">
            <w:pPr>
              <w:pStyle w:val="TableParagraph"/>
              <w:spacing w:line="240" w:lineRule="auto"/>
              <w:ind w:left="282"/>
              <w:jc w:val="center"/>
            </w:pPr>
            <w:r>
              <w:t>(15 mg)</w:t>
            </w:r>
          </w:p>
        </w:tc>
        <w:tc>
          <w:tcPr>
            <w:tcW w:w="1819" w:type="dxa"/>
            <w:gridSpan w:val="2"/>
            <w:tcBorders>
              <w:top w:val="single" w:sz="4" w:space="0" w:color="000000"/>
              <w:left w:val="single" w:sz="4" w:space="0" w:color="000000"/>
              <w:bottom w:val="single" w:sz="4" w:space="0" w:color="000000"/>
              <w:right w:val="single" w:sz="4" w:space="0" w:color="000000"/>
            </w:tcBorders>
            <w:hideMark/>
          </w:tcPr>
          <w:p w14:paraId="06857168" w14:textId="77777777" w:rsidR="00944ED2" w:rsidRDefault="00944ED2" w:rsidP="00F853F2">
            <w:pPr>
              <w:pStyle w:val="TableParagraph"/>
              <w:spacing w:line="240" w:lineRule="auto"/>
              <w:ind w:left="220"/>
              <w:jc w:val="center"/>
            </w:pPr>
            <w:r>
              <w:t>3 ml</w:t>
            </w:r>
          </w:p>
          <w:p w14:paraId="485C50A3" w14:textId="77777777" w:rsidR="00944ED2" w:rsidRDefault="00944ED2" w:rsidP="00F853F2">
            <w:pPr>
              <w:pStyle w:val="TableParagraph"/>
              <w:spacing w:line="240" w:lineRule="auto"/>
              <w:ind w:left="217"/>
              <w:jc w:val="center"/>
            </w:pPr>
            <w:r>
              <w:t>(30 mg)</w:t>
            </w:r>
          </w:p>
        </w:tc>
        <w:tc>
          <w:tcPr>
            <w:tcW w:w="1817" w:type="dxa"/>
            <w:gridSpan w:val="2"/>
            <w:tcBorders>
              <w:top w:val="single" w:sz="4" w:space="0" w:color="000000"/>
              <w:left w:val="single" w:sz="4" w:space="0" w:color="000000"/>
              <w:bottom w:val="single" w:sz="4" w:space="0" w:color="000000"/>
              <w:right w:val="single" w:sz="4" w:space="0" w:color="000000"/>
            </w:tcBorders>
            <w:hideMark/>
          </w:tcPr>
          <w:p w14:paraId="188E5D5A" w14:textId="77777777" w:rsidR="00944ED2" w:rsidRDefault="00944ED2" w:rsidP="00F853F2">
            <w:pPr>
              <w:pStyle w:val="TableParagraph"/>
              <w:spacing w:line="240" w:lineRule="auto"/>
              <w:ind w:left="219"/>
              <w:jc w:val="center"/>
            </w:pPr>
            <w:r>
              <w:t>4,5 ml</w:t>
            </w:r>
          </w:p>
          <w:p w14:paraId="289FFAE5" w14:textId="77777777" w:rsidR="00944ED2" w:rsidRDefault="00944ED2" w:rsidP="00F853F2">
            <w:pPr>
              <w:pStyle w:val="TableParagraph"/>
              <w:spacing w:line="240" w:lineRule="auto"/>
              <w:ind w:left="219"/>
              <w:jc w:val="center"/>
            </w:pPr>
            <w:r>
              <w:t>(45 mg)</w:t>
            </w:r>
          </w:p>
        </w:tc>
        <w:tc>
          <w:tcPr>
            <w:tcW w:w="2007" w:type="dxa"/>
            <w:gridSpan w:val="2"/>
            <w:tcBorders>
              <w:top w:val="single" w:sz="4" w:space="0" w:color="000000"/>
              <w:left w:val="single" w:sz="4" w:space="0" w:color="000000"/>
              <w:bottom w:val="single" w:sz="4" w:space="0" w:color="000000"/>
              <w:right w:val="single" w:sz="4" w:space="0" w:color="000000"/>
            </w:tcBorders>
            <w:hideMark/>
          </w:tcPr>
          <w:p w14:paraId="1C68FBAF" w14:textId="77777777" w:rsidR="00944ED2" w:rsidRDefault="00944ED2" w:rsidP="00F853F2">
            <w:pPr>
              <w:pStyle w:val="TableParagraph"/>
              <w:spacing w:line="240" w:lineRule="auto"/>
              <w:ind w:left="220"/>
              <w:jc w:val="center"/>
            </w:pPr>
            <w:r>
              <w:t>6 ml*</w:t>
            </w:r>
          </w:p>
          <w:p w14:paraId="028C2FE9" w14:textId="77777777" w:rsidR="00944ED2" w:rsidRDefault="00944ED2" w:rsidP="00F853F2">
            <w:pPr>
              <w:pStyle w:val="TableParagraph"/>
              <w:spacing w:line="240" w:lineRule="auto"/>
              <w:ind w:left="218"/>
              <w:jc w:val="center"/>
            </w:pPr>
            <w:r>
              <w:t>(60 mg)</w:t>
            </w:r>
          </w:p>
        </w:tc>
      </w:tr>
      <w:tr w:rsidR="00944ED2" w14:paraId="04F0C98C" w14:textId="77777777" w:rsidTr="00AA1962">
        <w:trPr>
          <w:gridBefore w:val="1"/>
          <w:gridAfter w:val="1"/>
          <w:wBefore w:w="7" w:type="dxa"/>
          <w:wAfter w:w="283" w:type="dxa"/>
          <w:trHeight w:val="506"/>
        </w:trPr>
        <w:tc>
          <w:tcPr>
            <w:tcW w:w="1737" w:type="dxa"/>
            <w:gridSpan w:val="2"/>
            <w:tcBorders>
              <w:top w:val="single" w:sz="4" w:space="0" w:color="000000"/>
              <w:left w:val="single" w:sz="4" w:space="0" w:color="000000"/>
              <w:bottom w:val="single" w:sz="4" w:space="0" w:color="000000"/>
              <w:right w:val="single" w:sz="4" w:space="0" w:color="000000"/>
            </w:tcBorders>
            <w:hideMark/>
          </w:tcPr>
          <w:p w14:paraId="1C22C91D" w14:textId="77777777" w:rsidR="00944ED2" w:rsidRDefault="00944ED2" w:rsidP="00F853F2">
            <w:pPr>
              <w:pStyle w:val="TableParagraph"/>
              <w:spacing w:line="240" w:lineRule="auto"/>
            </w:pPr>
            <w:r>
              <w:t>35 kg</w:t>
            </w:r>
          </w:p>
        </w:tc>
        <w:tc>
          <w:tcPr>
            <w:tcW w:w="1870" w:type="dxa"/>
            <w:gridSpan w:val="2"/>
            <w:tcBorders>
              <w:top w:val="single" w:sz="4" w:space="0" w:color="000000"/>
              <w:left w:val="single" w:sz="4" w:space="0" w:color="000000"/>
              <w:bottom w:val="single" w:sz="4" w:space="0" w:color="000000"/>
              <w:right w:val="single" w:sz="4" w:space="0" w:color="000000"/>
            </w:tcBorders>
            <w:hideMark/>
          </w:tcPr>
          <w:p w14:paraId="7D8A0C96" w14:textId="77777777" w:rsidR="00944ED2" w:rsidRDefault="00944ED2" w:rsidP="00F853F2">
            <w:pPr>
              <w:pStyle w:val="TableParagraph"/>
              <w:spacing w:line="240" w:lineRule="auto"/>
              <w:ind w:left="639"/>
            </w:pPr>
            <w:r>
              <w:t>1,75 ml</w:t>
            </w:r>
          </w:p>
          <w:p w14:paraId="3411D965" w14:textId="77777777" w:rsidR="00944ED2" w:rsidRDefault="00944ED2" w:rsidP="00F853F2">
            <w:pPr>
              <w:pStyle w:val="TableParagraph"/>
              <w:spacing w:line="240" w:lineRule="auto"/>
              <w:ind w:left="540"/>
            </w:pPr>
            <w:r>
              <w:t>(17,5 mg)</w:t>
            </w:r>
          </w:p>
        </w:tc>
        <w:tc>
          <w:tcPr>
            <w:tcW w:w="1819" w:type="dxa"/>
            <w:gridSpan w:val="2"/>
            <w:tcBorders>
              <w:top w:val="single" w:sz="4" w:space="0" w:color="000000"/>
              <w:left w:val="single" w:sz="4" w:space="0" w:color="000000"/>
              <w:bottom w:val="single" w:sz="4" w:space="0" w:color="000000"/>
              <w:right w:val="single" w:sz="4" w:space="0" w:color="000000"/>
            </w:tcBorders>
            <w:hideMark/>
          </w:tcPr>
          <w:p w14:paraId="2BCDB7C2" w14:textId="77777777" w:rsidR="00944ED2" w:rsidRDefault="00944ED2" w:rsidP="00F853F2">
            <w:pPr>
              <w:pStyle w:val="TableParagraph"/>
              <w:spacing w:line="240" w:lineRule="auto"/>
              <w:ind w:left="220"/>
              <w:jc w:val="center"/>
            </w:pPr>
            <w:r>
              <w:t>3,5 ml</w:t>
            </w:r>
          </w:p>
          <w:p w14:paraId="0E0F4C92" w14:textId="77777777" w:rsidR="00944ED2" w:rsidRDefault="00944ED2" w:rsidP="00F853F2">
            <w:pPr>
              <w:pStyle w:val="TableParagraph"/>
              <w:spacing w:line="240" w:lineRule="auto"/>
              <w:ind w:left="217"/>
              <w:jc w:val="center"/>
            </w:pPr>
            <w:r>
              <w:t>(35 mg)</w:t>
            </w:r>
          </w:p>
        </w:tc>
        <w:tc>
          <w:tcPr>
            <w:tcW w:w="1817" w:type="dxa"/>
            <w:gridSpan w:val="2"/>
            <w:tcBorders>
              <w:top w:val="single" w:sz="4" w:space="0" w:color="000000"/>
              <w:left w:val="single" w:sz="4" w:space="0" w:color="000000"/>
              <w:bottom w:val="single" w:sz="4" w:space="0" w:color="000000"/>
              <w:right w:val="single" w:sz="4" w:space="0" w:color="000000"/>
            </w:tcBorders>
            <w:hideMark/>
          </w:tcPr>
          <w:p w14:paraId="7BF92E43" w14:textId="77777777" w:rsidR="00944ED2" w:rsidRDefault="00944ED2" w:rsidP="00F853F2">
            <w:pPr>
              <w:pStyle w:val="TableParagraph"/>
              <w:spacing w:line="240" w:lineRule="auto"/>
              <w:ind w:left="517"/>
            </w:pPr>
            <w:r>
              <w:t>5,25 ml*</w:t>
            </w:r>
          </w:p>
          <w:p w14:paraId="2170CD82" w14:textId="77777777" w:rsidR="00944ED2" w:rsidRDefault="00944ED2" w:rsidP="00F853F2">
            <w:pPr>
              <w:pStyle w:val="TableParagraph"/>
              <w:spacing w:line="240" w:lineRule="auto"/>
              <w:ind w:left="473"/>
            </w:pPr>
            <w:r>
              <w:t>(52.5 mg)</w:t>
            </w:r>
          </w:p>
        </w:tc>
        <w:tc>
          <w:tcPr>
            <w:tcW w:w="2007" w:type="dxa"/>
            <w:gridSpan w:val="2"/>
            <w:tcBorders>
              <w:top w:val="single" w:sz="4" w:space="0" w:color="000000"/>
              <w:left w:val="single" w:sz="4" w:space="0" w:color="000000"/>
              <w:bottom w:val="single" w:sz="4" w:space="0" w:color="000000"/>
              <w:right w:val="single" w:sz="4" w:space="0" w:color="000000"/>
            </w:tcBorders>
            <w:hideMark/>
          </w:tcPr>
          <w:p w14:paraId="7F88AFCA" w14:textId="77777777" w:rsidR="00944ED2" w:rsidRDefault="00944ED2" w:rsidP="00F853F2">
            <w:pPr>
              <w:pStyle w:val="TableParagraph"/>
              <w:spacing w:line="240" w:lineRule="auto"/>
              <w:ind w:left="220"/>
              <w:jc w:val="center"/>
            </w:pPr>
            <w:r>
              <w:t>7 ml*</w:t>
            </w:r>
          </w:p>
          <w:p w14:paraId="39CCE819" w14:textId="77777777" w:rsidR="00944ED2" w:rsidRDefault="00944ED2" w:rsidP="00F853F2">
            <w:pPr>
              <w:pStyle w:val="TableParagraph"/>
              <w:spacing w:line="240" w:lineRule="auto"/>
              <w:ind w:left="218"/>
              <w:jc w:val="center"/>
            </w:pPr>
            <w:r>
              <w:t>(70 mg)</w:t>
            </w:r>
          </w:p>
        </w:tc>
      </w:tr>
      <w:tr w:rsidR="00944ED2" w14:paraId="027B15B9" w14:textId="77777777" w:rsidTr="00AA1962">
        <w:trPr>
          <w:gridBefore w:val="1"/>
          <w:gridAfter w:val="1"/>
          <w:wBefore w:w="7" w:type="dxa"/>
          <w:wAfter w:w="283" w:type="dxa"/>
          <w:trHeight w:val="506"/>
        </w:trPr>
        <w:tc>
          <w:tcPr>
            <w:tcW w:w="1737" w:type="dxa"/>
            <w:gridSpan w:val="2"/>
            <w:tcBorders>
              <w:top w:val="single" w:sz="4" w:space="0" w:color="000000"/>
              <w:left w:val="single" w:sz="4" w:space="0" w:color="000000"/>
              <w:bottom w:val="single" w:sz="4" w:space="0" w:color="000000"/>
              <w:right w:val="single" w:sz="4" w:space="0" w:color="000000"/>
            </w:tcBorders>
            <w:hideMark/>
          </w:tcPr>
          <w:p w14:paraId="2470B7C2" w14:textId="77777777" w:rsidR="00944ED2" w:rsidRDefault="00944ED2" w:rsidP="00F853F2">
            <w:pPr>
              <w:pStyle w:val="TableParagraph"/>
              <w:spacing w:line="240" w:lineRule="auto"/>
            </w:pPr>
            <w:r>
              <w:t>40 kg</w:t>
            </w:r>
          </w:p>
        </w:tc>
        <w:tc>
          <w:tcPr>
            <w:tcW w:w="1870" w:type="dxa"/>
            <w:gridSpan w:val="2"/>
            <w:tcBorders>
              <w:top w:val="single" w:sz="4" w:space="0" w:color="000000"/>
              <w:left w:val="single" w:sz="4" w:space="0" w:color="000000"/>
              <w:bottom w:val="single" w:sz="4" w:space="0" w:color="000000"/>
              <w:right w:val="single" w:sz="4" w:space="0" w:color="000000"/>
            </w:tcBorders>
            <w:hideMark/>
          </w:tcPr>
          <w:p w14:paraId="13465449" w14:textId="77777777" w:rsidR="00944ED2" w:rsidRDefault="00944ED2" w:rsidP="00F853F2">
            <w:pPr>
              <w:pStyle w:val="TableParagraph"/>
              <w:spacing w:line="240" w:lineRule="auto"/>
              <w:ind w:left="284"/>
              <w:jc w:val="center"/>
            </w:pPr>
            <w:r>
              <w:t>2 ml</w:t>
            </w:r>
          </w:p>
          <w:p w14:paraId="0C1C40F3" w14:textId="77777777" w:rsidR="00944ED2" w:rsidRDefault="00944ED2" w:rsidP="00F853F2">
            <w:pPr>
              <w:pStyle w:val="TableParagraph"/>
              <w:spacing w:line="240" w:lineRule="auto"/>
              <w:ind w:left="282"/>
              <w:jc w:val="center"/>
            </w:pPr>
            <w:r>
              <w:t>(20 mg)</w:t>
            </w:r>
          </w:p>
        </w:tc>
        <w:tc>
          <w:tcPr>
            <w:tcW w:w="1819" w:type="dxa"/>
            <w:gridSpan w:val="2"/>
            <w:tcBorders>
              <w:top w:val="single" w:sz="4" w:space="0" w:color="000000"/>
              <w:left w:val="single" w:sz="4" w:space="0" w:color="000000"/>
              <w:bottom w:val="single" w:sz="4" w:space="0" w:color="000000"/>
              <w:right w:val="single" w:sz="4" w:space="0" w:color="000000"/>
            </w:tcBorders>
            <w:hideMark/>
          </w:tcPr>
          <w:p w14:paraId="32F4683F" w14:textId="77777777" w:rsidR="00944ED2" w:rsidRDefault="00944ED2" w:rsidP="00F853F2">
            <w:pPr>
              <w:pStyle w:val="TableParagraph"/>
              <w:spacing w:line="240" w:lineRule="auto"/>
              <w:ind w:left="220"/>
              <w:jc w:val="center"/>
            </w:pPr>
            <w:r>
              <w:t>4 ml</w:t>
            </w:r>
          </w:p>
          <w:p w14:paraId="654FF4AD" w14:textId="77777777" w:rsidR="00944ED2" w:rsidRDefault="00944ED2" w:rsidP="00F853F2">
            <w:pPr>
              <w:pStyle w:val="TableParagraph"/>
              <w:spacing w:line="240" w:lineRule="auto"/>
              <w:ind w:left="217"/>
              <w:jc w:val="center"/>
            </w:pPr>
            <w:r>
              <w:t>(40 mg)</w:t>
            </w:r>
          </w:p>
        </w:tc>
        <w:tc>
          <w:tcPr>
            <w:tcW w:w="1817" w:type="dxa"/>
            <w:gridSpan w:val="2"/>
            <w:tcBorders>
              <w:top w:val="single" w:sz="4" w:space="0" w:color="000000"/>
              <w:left w:val="single" w:sz="4" w:space="0" w:color="000000"/>
              <w:bottom w:val="single" w:sz="4" w:space="0" w:color="000000"/>
              <w:right w:val="single" w:sz="4" w:space="0" w:color="000000"/>
            </w:tcBorders>
            <w:hideMark/>
          </w:tcPr>
          <w:p w14:paraId="476A8F1A" w14:textId="77777777" w:rsidR="00944ED2" w:rsidRDefault="00944ED2" w:rsidP="00F853F2">
            <w:pPr>
              <w:pStyle w:val="TableParagraph"/>
              <w:spacing w:line="240" w:lineRule="auto"/>
              <w:ind w:left="219"/>
              <w:jc w:val="center"/>
            </w:pPr>
            <w:r>
              <w:t>6 ml*</w:t>
            </w:r>
          </w:p>
          <w:p w14:paraId="5E00B4C1" w14:textId="77777777" w:rsidR="00944ED2" w:rsidRDefault="00944ED2" w:rsidP="00F853F2">
            <w:pPr>
              <w:pStyle w:val="TableParagraph"/>
              <w:spacing w:line="240" w:lineRule="auto"/>
              <w:ind w:left="219"/>
              <w:jc w:val="center"/>
            </w:pPr>
            <w:r>
              <w:t>(60 mg)</w:t>
            </w:r>
          </w:p>
        </w:tc>
        <w:tc>
          <w:tcPr>
            <w:tcW w:w="2007" w:type="dxa"/>
            <w:gridSpan w:val="2"/>
            <w:tcBorders>
              <w:top w:val="single" w:sz="4" w:space="0" w:color="000000"/>
              <w:left w:val="single" w:sz="4" w:space="0" w:color="000000"/>
              <w:bottom w:val="single" w:sz="4" w:space="0" w:color="000000"/>
              <w:right w:val="single" w:sz="4" w:space="0" w:color="000000"/>
            </w:tcBorders>
            <w:hideMark/>
          </w:tcPr>
          <w:p w14:paraId="5C2347EC" w14:textId="77777777" w:rsidR="00944ED2" w:rsidRDefault="00944ED2" w:rsidP="00F853F2">
            <w:pPr>
              <w:pStyle w:val="TableParagraph"/>
              <w:spacing w:line="240" w:lineRule="auto"/>
              <w:ind w:left="220"/>
              <w:jc w:val="center"/>
            </w:pPr>
            <w:r>
              <w:t>8 ml*</w:t>
            </w:r>
          </w:p>
          <w:p w14:paraId="508B1395" w14:textId="77777777" w:rsidR="00944ED2" w:rsidRDefault="00944ED2" w:rsidP="00F853F2">
            <w:pPr>
              <w:pStyle w:val="TableParagraph"/>
              <w:spacing w:line="240" w:lineRule="auto"/>
              <w:ind w:left="218"/>
              <w:jc w:val="center"/>
            </w:pPr>
            <w:r>
              <w:t>(80 mg)</w:t>
            </w:r>
          </w:p>
        </w:tc>
      </w:tr>
      <w:tr w:rsidR="00944ED2" w14:paraId="7828E629" w14:textId="77777777" w:rsidTr="00A00DE3">
        <w:trPr>
          <w:gridBefore w:val="1"/>
          <w:gridAfter w:val="1"/>
          <w:wBefore w:w="7" w:type="dxa"/>
          <w:wAfter w:w="283" w:type="dxa"/>
          <w:trHeight w:val="505"/>
        </w:trPr>
        <w:tc>
          <w:tcPr>
            <w:tcW w:w="1737" w:type="dxa"/>
            <w:gridSpan w:val="2"/>
            <w:tcBorders>
              <w:top w:val="single" w:sz="4" w:space="0" w:color="000000"/>
              <w:left w:val="single" w:sz="4" w:space="0" w:color="000000"/>
              <w:bottom w:val="nil"/>
              <w:right w:val="single" w:sz="4" w:space="0" w:color="000000"/>
            </w:tcBorders>
            <w:hideMark/>
          </w:tcPr>
          <w:p w14:paraId="46FCFE79" w14:textId="77777777" w:rsidR="00944ED2" w:rsidRDefault="00944ED2" w:rsidP="00F853F2">
            <w:pPr>
              <w:pStyle w:val="TableParagraph"/>
              <w:spacing w:line="240" w:lineRule="auto"/>
            </w:pPr>
            <w:r>
              <w:t>45 kg</w:t>
            </w:r>
          </w:p>
        </w:tc>
        <w:tc>
          <w:tcPr>
            <w:tcW w:w="1870" w:type="dxa"/>
            <w:gridSpan w:val="2"/>
            <w:tcBorders>
              <w:top w:val="single" w:sz="4" w:space="0" w:color="000000"/>
              <w:left w:val="single" w:sz="4" w:space="0" w:color="000000"/>
              <w:bottom w:val="nil"/>
              <w:right w:val="single" w:sz="4" w:space="0" w:color="000000"/>
            </w:tcBorders>
            <w:hideMark/>
          </w:tcPr>
          <w:p w14:paraId="72BB3E80" w14:textId="77777777" w:rsidR="00944ED2" w:rsidRDefault="00944ED2" w:rsidP="00F853F2">
            <w:pPr>
              <w:pStyle w:val="TableParagraph"/>
              <w:spacing w:line="240" w:lineRule="auto"/>
              <w:ind w:left="639"/>
            </w:pPr>
            <w:r>
              <w:t>2,25 ml</w:t>
            </w:r>
          </w:p>
          <w:p w14:paraId="14599D7A" w14:textId="77777777" w:rsidR="00944ED2" w:rsidRDefault="00944ED2" w:rsidP="00F853F2">
            <w:pPr>
              <w:pStyle w:val="TableParagraph"/>
              <w:spacing w:line="240" w:lineRule="auto"/>
              <w:ind w:left="540"/>
            </w:pPr>
            <w:r>
              <w:t>(22,5 mg)</w:t>
            </w:r>
          </w:p>
        </w:tc>
        <w:tc>
          <w:tcPr>
            <w:tcW w:w="1819" w:type="dxa"/>
            <w:gridSpan w:val="2"/>
            <w:tcBorders>
              <w:top w:val="single" w:sz="4" w:space="0" w:color="000000"/>
              <w:left w:val="single" w:sz="4" w:space="0" w:color="000000"/>
              <w:bottom w:val="nil"/>
              <w:right w:val="single" w:sz="4" w:space="0" w:color="000000"/>
            </w:tcBorders>
            <w:hideMark/>
          </w:tcPr>
          <w:p w14:paraId="4CFB173A" w14:textId="77777777" w:rsidR="00944ED2" w:rsidRDefault="00944ED2" w:rsidP="00F853F2">
            <w:pPr>
              <w:pStyle w:val="TableParagraph"/>
              <w:spacing w:line="240" w:lineRule="auto"/>
              <w:ind w:left="220"/>
              <w:jc w:val="center"/>
            </w:pPr>
            <w:r>
              <w:t>4,5 ml</w:t>
            </w:r>
          </w:p>
          <w:p w14:paraId="57B6F7F7" w14:textId="77777777" w:rsidR="00944ED2" w:rsidRDefault="00944ED2" w:rsidP="00F853F2">
            <w:pPr>
              <w:pStyle w:val="TableParagraph"/>
              <w:spacing w:line="240" w:lineRule="auto"/>
              <w:ind w:left="217"/>
              <w:jc w:val="center"/>
            </w:pPr>
            <w:r>
              <w:t>(45 mg)</w:t>
            </w:r>
          </w:p>
        </w:tc>
        <w:tc>
          <w:tcPr>
            <w:tcW w:w="1817" w:type="dxa"/>
            <w:gridSpan w:val="2"/>
            <w:tcBorders>
              <w:top w:val="single" w:sz="4" w:space="0" w:color="000000"/>
              <w:left w:val="single" w:sz="4" w:space="0" w:color="000000"/>
              <w:bottom w:val="nil"/>
              <w:right w:val="single" w:sz="4" w:space="0" w:color="000000"/>
            </w:tcBorders>
            <w:hideMark/>
          </w:tcPr>
          <w:p w14:paraId="2153AE27" w14:textId="77777777" w:rsidR="00944ED2" w:rsidRDefault="00944ED2" w:rsidP="00F853F2">
            <w:pPr>
              <w:pStyle w:val="TableParagraph"/>
              <w:spacing w:line="240" w:lineRule="auto"/>
              <w:ind w:left="517"/>
            </w:pPr>
            <w:r>
              <w:t>6,75 ml*</w:t>
            </w:r>
          </w:p>
          <w:p w14:paraId="224CC578" w14:textId="77777777" w:rsidR="00944ED2" w:rsidRDefault="00944ED2" w:rsidP="00F853F2">
            <w:pPr>
              <w:pStyle w:val="TableParagraph"/>
              <w:spacing w:line="240" w:lineRule="auto"/>
              <w:ind w:left="473"/>
            </w:pPr>
            <w:r>
              <w:t>(67,5 mg)</w:t>
            </w:r>
          </w:p>
        </w:tc>
        <w:tc>
          <w:tcPr>
            <w:tcW w:w="2007" w:type="dxa"/>
            <w:gridSpan w:val="2"/>
            <w:tcBorders>
              <w:top w:val="single" w:sz="4" w:space="0" w:color="000000"/>
              <w:left w:val="single" w:sz="4" w:space="0" w:color="000000"/>
              <w:bottom w:val="nil"/>
              <w:right w:val="single" w:sz="4" w:space="0" w:color="000000"/>
            </w:tcBorders>
            <w:hideMark/>
          </w:tcPr>
          <w:p w14:paraId="76404204" w14:textId="77777777" w:rsidR="00944ED2" w:rsidRDefault="00944ED2" w:rsidP="00F853F2">
            <w:pPr>
              <w:pStyle w:val="TableParagraph"/>
              <w:spacing w:line="240" w:lineRule="auto"/>
              <w:ind w:left="220"/>
              <w:jc w:val="center"/>
            </w:pPr>
            <w:r>
              <w:t>9 ml*</w:t>
            </w:r>
          </w:p>
          <w:p w14:paraId="1A3180DA" w14:textId="77777777" w:rsidR="00944ED2" w:rsidRDefault="00944ED2" w:rsidP="00F853F2">
            <w:pPr>
              <w:pStyle w:val="TableParagraph"/>
              <w:spacing w:line="240" w:lineRule="auto"/>
              <w:ind w:left="218"/>
              <w:jc w:val="center"/>
            </w:pPr>
            <w:r>
              <w:t>(90 mg)</w:t>
            </w:r>
          </w:p>
        </w:tc>
      </w:tr>
      <w:tr w:rsidR="00AA1962" w:rsidRPr="00A00DE3" w14:paraId="53E1315A" w14:textId="77777777" w:rsidTr="00A00DE3">
        <w:trPr>
          <w:gridBefore w:val="1"/>
          <w:gridAfter w:val="1"/>
          <w:wBefore w:w="7" w:type="dxa"/>
          <w:wAfter w:w="283" w:type="dxa"/>
          <w:trHeight w:val="506"/>
        </w:trPr>
        <w:tc>
          <w:tcPr>
            <w:tcW w:w="9250" w:type="dxa"/>
            <w:gridSpan w:val="10"/>
            <w:tcBorders>
              <w:top w:val="nil"/>
              <w:left w:val="nil"/>
              <w:bottom w:val="nil"/>
              <w:right w:val="nil"/>
            </w:tcBorders>
            <w:hideMark/>
          </w:tcPr>
          <w:p w14:paraId="29559927" w14:textId="77777777" w:rsidR="00AA1962" w:rsidRPr="00A00DE3" w:rsidRDefault="00AA1962" w:rsidP="00F853F2">
            <w:pPr>
              <w:pStyle w:val="TableParagraph"/>
              <w:spacing w:line="240" w:lineRule="auto"/>
              <w:rPr>
                <w:sz w:val="20"/>
                <w:szCs w:val="20"/>
                <w:lang w:val="da-DK"/>
              </w:rPr>
            </w:pPr>
            <w:r w:rsidRPr="00A00DE3">
              <w:rPr>
                <w:sz w:val="20"/>
                <w:szCs w:val="20"/>
                <w:lang w:val="da-DK"/>
              </w:rPr>
              <w:t>* For en mængde over 5 ml og op til 10 ml, skal patienten instrueres i at bruge den orale 10 ml sprøjte</w:t>
            </w:r>
          </w:p>
        </w:tc>
      </w:tr>
      <w:tr w:rsidR="00944ED2" w14:paraId="0BCCA217" w14:textId="77777777" w:rsidTr="00944ED2">
        <w:trPr>
          <w:trHeight w:val="505"/>
        </w:trPr>
        <w:tc>
          <w:tcPr>
            <w:tcW w:w="1157" w:type="dxa"/>
            <w:gridSpan w:val="2"/>
            <w:tcBorders>
              <w:top w:val="nil"/>
              <w:left w:val="nil"/>
              <w:bottom w:val="single" w:sz="4" w:space="0" w:color="000000"/>
              <w:right w:val="single" w:sz="4" w:space="0" w:color="000000"/>
            </w:tcBorders>
          </w:tcPr>
          <w:p w14:paraId="6A2A41F3" w14:textId="77777777" w:rsidR="00944ED2" w:rsidRDefault="00944ED2" w:rsidP="00F853F2">
            <w:pPr>
              <w:pStyle w:val="TableParagraph"/>
              <w:spacing w:line="240" w:lineRule="auto"/>
              <w:ind w:left="0"/>
              <w:rPr>
                <w:lang w:val="da-DK"/>
              </w:rPr>
            </w:pPr>
          </w:p>
        </w:tc>
        <w:tc>
          <w:tcPr>
            <w:tcW w:w="8383" w:type="dxa"/>
            <w:gridSpan w:val="10"/>
            <w:tcBorders>
              <w:top w:val="single" w:sz="4" w:space="0" w:color="000000"/>
              <w:left w:val="single" w:sz="4" w:space="0" w:color="000000"/>
              <w:bottom w:val="single" w:sz="4" w:space="0" w:color="000000"/>
              <w:right w:val="single" w:sz="4" w:space="0" w:color="000000"/>
            </w:tcBorders>
            <w:hideMark/>
          </w:tcPr>
          <w:p w14:paraId="5A04F8E0" w14:textId="481EDBB1" w:rsidR="00944ED2" w:rsidRDefault="00944ED2" w:rsidP="00F853F2">
            <w:pPr>
              <w:pStyle w:val="TableParagraph"/>
              <w:spacing w:line="240" w:lineRule="auto"/>
              <w:ind w:left="402"/>
              <w:jc w:val="center"/>
              <w:rPr>
                <w:b/>
                <w:lang w:val="da-DK"/>
              </w:rPr>
            </w:pPr>
            <w:r>
              <w:rPr>
                <w:b/>
                <w:lang w:val="da-DK"/>
              </w:rPr>
              <w:t>Mængder af oral opløsning som skal tages per administration for børn, som vejer</w:t>
            </w:r>
            <w:r w:rsidR="00A00DE3">
              <w:rPr>
                <w:b/>
                <w:lang w:val="da-DK"/>
              </w:rPr>
              <w:t xml:space="preserve"> </w:t>
            </w:r>
            <w:r>
              <w:rPr>
                <w:b/>
                <w:lang w:val="da-DK"/>
              </w:rPr>
              <w:t>fra 10 kg til under 20 kg</w:t>
            </w:r>
          </w:p>
        </w:tc>
      </w:tr>
      <w:tr w:rsidR="00944ED2" w14:paraId="4ECC4A10" w14:textId="77777777" w:rsidTr="00944ED2">
        <w:trPr>
          <w:trHeight w:val="2253"/>
        </w:trPr>
        <w:tc>
          <w:tcPr>
            <w:tcW w:w="1157" w:type="dxa"/>
            <w:gridSpan w:val="2"/>
            <w:tcBorders>
              <w:top w:val="single" w:sz="4" w:space="0" w:color="000000"/>
              <w:left w:val="single" w:sz="4" w:space="0" w:color="000000"/>
              <w:bottom w:val="single" w:sz="4" w:space="0" w:color="000000"/>
              <w:right w:val="single" w:sz="4" w:space="0" w:color="000000"/>
            </w:tcBorders>
            <w:hideMark/>
          </w:tcPr>
          <w:p w14:paraId="4472F15F" w14:textId="77777777" w:rsidR="00944ED2" w:rsidRDefault="00944ED2" w:rsidP="00F853F2">
            <w:pPr>
              <w:pStyle w:val="TableParagraph"/>
              <w:spacing w:line="240" w:lineRule="auto"/>
              <w:rPr>
                <w:b/>
              </w:rPr>
            </w:pPr>
            <w:r>
              <w:rPr>
                <w:b/>
              </w:rPr>
              <w:t>Ordineret dosis</w:t>
            </w:r>
          </w:p>
        </w:tc>
        <w:tc>
          <w:tcPr>
            <w:tcW w:w="1678" w:type="dxa"/>
            <w:gridSpan w:val="2"/>
            <w:tcBorders>
              <w:top w:val="single" w:sz="4" w:space="0" w:color="000000"/>
              <w:left w:val="single" w:sz="4" w:space="0" w:color="000000"/>
              <w:bottom w:val="single" w:sz="4" w:space="0" w:color="000000"/>
              <w:right w:val="single" w:sz="4" w:space="0" w:color="000000"/>
            </w:tcBorders>
            <w:hideMark/>
          </w:tcPr>
          <w:p w14:paraId="08A29904" w14:textId="77777777" w:rsidR="00944ED2" w:rsidRDefault="00944ED2" w:rsidP="00F853F2">
            <w:pPr>
              <w:pStyle w:val="TableParagraph"/>
              <w:spacing w:line="240" w:lineRule="auto"/>
              <w:ind w:left="148"/>
              <w:jc w:val="center"/>
              <w:rPr>
                <w:i/>
                <w:lang w:val="da-DK"/>
              </w:rPr>
            </w:pPr>
            <w:r>
              <w:rPr>
                <w:i/>
                <w:lang w:val="da-DK"/>
              </w:rPr>
              <w:t>For en dosis på 1 mg/kg/dag</w:t>
            </w:r>
          </w:p>
          <w:p w14:paraId="60D4D736" w14:textId="77777777" w:rsidR="00944ED2" w:rsidRDefault="00944ED2" w:rsidP="00F853F2">
            <w:pPr>
              <w:pStyle w:val="TableParagraph"/>
              <w:spacing w:line="240" w:lineRule="auto"/>
              <w:ind w:left="148"/>
              <w:jc w:val="center"/>
              <w:rPr>
                <w:b/>
                <w:lang w:val="da-DK"/>
              </w:rPr>
            </w:pPr>
            <w:r>
              <w:rPr>
                <w:b/>
                <w:lang w:val="da-DK"/>
              </w:rPr>
              <w:t xml:space="preserve">0,05 </w:t>
            </w:r>
            <w:r>
              <w:rPr>
                <w:b/>
                <w:spacing w:val="-4"/>
                <w:lang w:val="da-DK"/>
              </w:rPr>
              <w:t xml:space="preserve">ml/kg/ </w:t>
            </w:r>
            <w:r>
              <w:rPr>
                <w:b/>
                <w:lang w:val="da-DK"/>
              </w:rPr>
              <w:t>indtagelse</w:t>
            </w:r>
          </w:p>
          <w:p w14:paraId="60512BA0" w14:textId="77777777" w:rsidR="00944ED2" w:rsidRDefault="00944ED2" w:rsidP="00F853F2">
            <w:pPr>
              <w:pStyle w:val="TableParagraph"/>
              <w:spacing w:line="240" w:lineRule="auto"/>
              <w:ind w:left="289"/>
              <w:jc w:val="center"/>
              <w:rPr>
                <w:lang w:val="da-DK"/>
              </w:rPr>
            </w:pPr>
            <w:r>
              <w:rPr>
                <w:lang w:val="da-DK"/>
              </w:rPr>
              <w:t xml:space="preserve">(svarende </w:t>
            </w:r>
            <w:r>
              <w:rPr>
                <w:spacing w:val="-5"/>
                <w:lang w:val="da-DK"/>
              </w:rPr>
              <w:t xml:space="preserve">til </w:t>
            </w:r>
            <w:r>
              <w:rPr>
                <w:lang w:val="da-DK"/>
              </w:rPr>
              <w:t>0,5 mg/kg/ indtagelse)</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5038061" w14:textId="77777777" w:rsidR="00944ED2" w:rsidRDefault="00944ED2" w:rsidP="00F853F2">
            <w:pPr>
              <w:pStyle w:val="TableParagraph"/>
              <w:spacing w:line="240" w:lineRule="auto"/>
              <w:ind w:left="220" w:hanging="60"/>
              <w:jc w:val="both"/>
              <w:rPr>
                <w:i/>
                <w:lang w:val="da-DK"/>
              </w:rPr>
            </w:pPr>
            <w:r>
              <w:rPr>
                <w:i/>
                <w:lang w:val="da-DK"/>
              </w:rPr>
              <w:t>For en dosis på 2,5 mg/kg/dag</w:t>
            </w:r>
          </w:p>
          <w:p w14:paraId="1260C842" w14:textId="77777777" w:rsidR="00944ED2" w:rsidRDefault="00944ED2" w:rsidP="00F853F2">
            <w:pPr>
              <w:pStyle w:val="TableParagraph"/>
              <w:spacing w:line="240" w:lineRule="auto"/>
              <w:ind w:left="378" w:hanging="106"/>
              <w:jc w:val="both"/>
              <w:rPr>
                <w:b/>
                <w:lang w:val="da-DK"/>
              </w:rPr>
            </w:pPr>
            <w:r>
              <w:rPr>
                <w:b/>
                <w:lang w:val="da-DK"/>
              </w:rPr>
              <w:t xml:space="preserve">0,125 </w:t>
            </w:r>
            <w:r>
              <w:rPr>
                <w:b/>
                <w:spacing w:val="-4"/>
                <w:lang w:val="da-DK"/>
              </w:rPr>
              <w:t xml:space="preserve">ml/kg/ </w:t>
            </w:r>
            <w:r>
              <w:rPr>
                <w:b/>
                <w:lang w:val="da-DK"/>
              </w:rPr>
              <w:t>indtagelse</w:t>
            </w:r>
          </w:p>
          <w:p w14:paraId="25EF363D" w14:textId="77777777" w:rsidR="00944ED2" w:rsidRDefault="00944ED2" w:rsidP="00F853F2">
            <w:pPr>
              <w:pStyle w:val="TableParagraph"/>
              <w:spacing w:line="240" w:lineRule="auto"/>
              <w:ind w:left="316" w:hanging="15"/>
              <w:jc w:val="both"/>
              <w:rPr>
                <w:lang w:val="da-DK"/>
              </w:rPr>
            </w:pPr>
            <w:r>
              <w:rPr>
                <w:lang w:val="da-DK"/>
              </w:rPr>
              <w:t xml:space="preserve">(svarende </w:t>
            </w:r>
            <w:r>
              <w:rPr>
                <w:spacing w:val="-5"/>
                <w:lang w:val="da-DK"/>
              </w:rPr>
              <w:t xml:space="preserve">til </w:t>
            </w:r>
            <w:r>
              <w:rPr>
                <w:lang w:val="da-DK"/>
              </w:rPr>
              <w:t>1,25 mg/kg/ indtagelse)</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50086B8" w14:textId="77777777" w:rsidR="00944ED2" w:rsidRDefault="00944ED2" w:rsidP="00F853F2">
            <w:pPr>
              <w:pStyle w:val="TableParagraph"/>
              <w:spacing w:line="240" w:lineRule="auto"/>
              <w:ind w:left="160"/>
              <w:jc w:val="center"/>
              <w:rPr>
                <w:i/>
                <w:lang w:val="da-DK"/>
              </w:rPr>
            </w:pPr>
            <w:r>
              <w:rPr>
                <w:i/>
                <w:lang w:val="da-DK"/>
              </w:rPr>
              <w:t>For en dosis på 3 mg/kg/dag</w:t>
            </w:r>
          </w:p>
          <w:p w14:paraId="603D2266" w14:textId="77777777" w:rsidR="00944ED2" w:rsidRDefault="00944ED2" w:rsidP="00F853F2">
            <w:pPr>
              <w:pStyle w:val="TableParagraph"/>
              <w:spacing w:line="240" w:lineRule="auto"/>
              <w:ind w:left="159"/>
              <w:jc w:val="center"/>
              <w:rPr>
                <w:b/>
                <w:lang w:val="da-DK"/>
              </w:rPr>
            </w:pPr>
            <w:r>
              <w:rPr>
                <w:b/>
                <w:lang w:val="da-DK"/>
              </w:rPr>
              <w:t xml:space="preserve">0,15 </w:t>
            </w:r>
            <w:r>
              <w:rPr>
                <w:b/>
                <w:spacing w:val="-4"/>
                <w:lang w:val="da-DK"/>
              </w:rPr>
              <w:t xml:space="preserve">ml/kg/ </w:t>
            </w:r>
            <w:r>
              <w:rPr>
                <w:b/>
                <w:lang w:val="da-DK"/>
              </w:rPr>
              <w:t>indtagelse</w:t>
            </w:r>
          </w:p>
          <w:p w14:paraId="245D8FED" w14:textId="77777777" w:rsidR="00944ED2" w:rsidRDefault="00944ED2" w:rsidP="00F853F2">
            <w:pPr>
              <w:pStyle w:val="TableParagraph"/>
              <w:spacing w:line="240" w:lineRule="auto"/>
              <w:ind w:left="302"/>
              <w:jc w:val="center"/>
              <w:rPr>
                <w:lang w:val="da-DK"/>
              </w:rPr>
            </w:pPr>
            <w:r>
              <w:rPr>
                <w:lang w:val="da-DK"/>
              </w:rPr>
              <w:t xml:space="preserve">(svarende </w:t>
            </w:r>
            <w:r>
              <w:rPr>
                <w:spacing w:val="-5"/>
                <w:lang w:val="da-DK"/>
              </w:rPr>
              <w:t xml:space="preserve">til </w:t>
            </w:r>
            <w:r>
              <w:rPr>
                <w:lang w:val="da-DK"/>
              </w:rPr>
              <w:t>1,5 mg/kg/ indtagelse)</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34674E04" w14:textId="77777777" w:rsidR="00944ED2" w:rsidRDefault="00944ED2" w:rsidP="00F853F2">
            <w:pPr>
              <w:pStyle w:val="TableParagraph"/>
              <w:spacing w:line="240" w:lineRule="auto"/>
              <w:ind w:left="160"/>
              <w:jc w:val="center"/>
              <w:rPr>
                <w:i/>
                <w:lang w:val="da-DK"/>
              </w:rPr>
            </w:pPr>
            <w:r>
              <w:rPr>
                <w:i/>
                <w:lang w:val="da-DK"/>
              </w:rPr>
              <w:t>For en dosis på 4 mg/kg/dag</w:t>
            </w:r>
          </w:p>
          <w:p w14:paraId="7A28BDE6" w14:textId="77777777" w:rsidR="00944ED2" w:rsidRDefault="00944ED2" w:rsidP="00F853F2">
            <w:pPr>
              <w:pStyle w:val="TableParagraph"/>
              <w:spacing w:line="240" w:lineRule="auto"/>
              <w:ind w:left="379" w:hanging="3"/>
              <w:jc w:val="center"/>
              <w:rPr>
                <w:b/>
                <w:lang w:val="da-DK"/>
              </w:rPr>
            </w:pPr>
            <w:r>
              <w:rPr>
                <w:b/>
                <w:lang w:val="da-DK"/>
              </w:rPr>
              <w:t xml:space="preserve">0,2 ml/kg/ </w:t>
            </w:r>
            <w:r>
              <w:rPr>
                <w:b/>
                <w:spacing w:val="-1"/>
                <w:lang w:val="da-DK"/>
              </w:rPr>
              <w:t>indtagelse</w:t>
            </w:r>
          </w:p>
          <w:p w14:paraId="080A2794" w14:textId="77777777" w:rsidR="00944ED2" w:rsidRDefault="00944ED2" w:rsidP="00F853F2">
            <w:pPr>
              <w:pStyle w:val="TableParagraph"/>
              <w:spacing w:line="240" w:lineRule="auto"/>
              <w:ind w:left="302"/>
              <w:jc w:val="center"/>
              <w:rPr>
                <w:lang w:val="da-DK"/>
              </w:rPr>
            </w:pPr>
            <w:r>
              <w:rPr>
                <w:lang w:val="da-DK"/>
              </w:rPr>
              <w:t xml:space="preserve">(svarende </w:t>
            </w:r>
            <w:r>
              <w:rPr>
                <w:spacing w:val="-5"/>
                <w:lang w:val="da-DK"/>
              </w:rPr>
              <w:t xml:space="preserve">til </w:t>
            </w:r>
            <w:r>
              <w:rPr>
                <w:lang w:val="da-DK"/>
              </w:rPr>
              <w:t>2 mg/kg/ indtagelse)</w:t>
            </w:r>
          </w:p>
        </w:tc>
        <w:tc>
          <w:tcPr>
            <w:tcW w:w="1600" w:type="dxa"/>
            <w:gridSpan w:val="2"/>
            <w:tcBorders>
              <w:top w:val="single" w:sz="4" w:space="0" w:color="000000"/>
              <w:left w:val="single" w:sz="4" w:space="0" w:color="000000"/>
              <w:bottom w:val="single" w:sz="4" w:space="0" w:color="000000"/>
              <w:right w:val="single" w:sz="4" w:space="0" w:color="000000"/>
            </w:tcBorders>
            <w:hideMark/>
          </w:tcPr>
          <w:p w14:paraId="089D1889" w14:textId="77777777" w:rsidR="00944ED2" w:rsidRDefault="00944ED2" w:rsidP="00F853F2">
            <w:pPr>
              <w:pStyle w:val="TableParagraph"/>
              <w:spacing w:line="240" w:lineRule="auto"/>
              <w:ind w:left="158"/>
              <w:jc w:val="center"/>
              <w:rPr>
                <w:i/>
                <w:lang w:val="da-DK"/>
              </w:rPr>
            </w:pPr>
            <w:r>
              <w:rPr>
                <w:i/>
                <w:lang w:val="da-DK"/>
              </w:rPr>
              <w:t>For en dosis på 5 mg/kg/dag</w:t>
            </w:r>
          </w:p>
          <w:p w14:paraId="0DC2E2FD" w14:textId="77777777" w:rsidR="00944ED2" w:rsidRDefault="00944ED2" w:rsidP="00F853F2">
            <w:pPr>
              <w:pStyle w:val="TableParagraph"/>
              <w:spacing w:line="240" w:lineRule="auto"/>
              <w:ind w:left="158"/>
              <w:jc w:val="center"/>
              <w:rPr>
                <w:b/>
                <w:lang w:val="da-DK"/>
              </w:rPr>
            </w:pPr>
            <w:r>
              <w:rPr>
                <w:b/>
                <w:lang w:val="da-DK"/>
              </w:rPr>
              <w:t xml:space="preserve">0,25 </w:t>
            </w:r>
            <w:r>
              <w:rPr>
                <w:b/>
                <w:spacing w:val="-4"/>
                <w:lang w:val="da-DK"/>
              </w:rPr>
              <w:t xml:space="preserve">ml/kg/ </w:t>
            </w:r>
            <w:r>
              <w:rPr>
                <w:b/>
                <w:lang w:val="da-DK"/>
              </w:rPr>
              <w:t>indtagelse</w:t>
            </w:r>
          </w:p>
          <w:p w14:paraId="088AC5A0" w14:textId="77777777" w:rsidR="00944ED2" w:rsidRDefault="00944ED2" w:rsidP="00F853F2">
            <w:pPr>
              <w:pStyle w:val="TableParagraph"/>
              <w:spacing w:line="240" w:lineRule="auto"/>
              <w:ind w:left="300"/>
              <w:jc w:val="center"/>
              <w:rPr>
                <w:lang w:val="da-DK"/>
              </w:rPr>
            </w:pPr>
            <w:r>
              <w:rPr>
                <w:lang w:val="da-DK"/>
              </w:rPr>
              <w:t xml:space="preserve">(svarende </w:t>
            </w:r>
            <w:r>
              <w:rPr>
                <w:spacing w:val="-5"/>
                <w:lang w:val="da-DK"/>
              </w:rPr>
              <w:t xml:space="preserve">til </w:t>
            </w:r>
            <w:r>
              <w:rPr>
                <w:lang w:val="da-DK"/>
              </w:rPr>
              <w:t>2,5 mg/kg/ indtagelse)</w:t>
            </w:r>
          </w:p>
        </w:tc>
      </w:tr>
      <w:tr w:rsidR="00944ED2" w14:paraId="1D64AF10" w14:textId="77777777" w:rsidTr="00944ED2">
        <w:trPr>
          <w:trHeight w:val="251"/>
        </w:trPr>
        <w:tc>
          <w:tcPr>
            <w:tcW w:w="9540" w:type="dxa"/>
            <w:gridSpan w:val="12"/>
            <w:tcBorders>
              <w:top w:val="single" w:sz="4" w:space="0" w:color="000000"/>
              <w:left w:val="single" w:sz="4" w:space="0" w:color="000000"/>
              <w:bottom w:val="single" w:sz="4" w:space="0" w:color="000000"/>
              <w:right w:val="single" w:sz="4" w:space="0" w:color="000000"/>
            </w:tcBorders>
            <w:hideMark/>
          </w:tcPr>
          <w:p w14:paraId="0E4237D5" w14:textId="77777777" w:rsidR="00944ED2" w:rsidRDefault="00944ED2" w:rsidP="00F853F2">
            <w:pPr>
              <w:pStyle w:val="TableParagraph"/>
              <w:spacing w:line="240" w:lineRule="auto"/>
              <w:ind w:left="181"/>
              <w:jc w:val="center"/>
              <w:rPr>
                <w:b/>
              </w:rPr>
            </w:pPr>
            <w:r>
              <w:rPr>
                <w:b/>
              </w:rPr>
              <w:t>Anbefalet sprøjte: 5 ml</w:t>
            </w:r>
          </w:p>
        </w:tc>
      </w:tr>
      <w:tr w:rsidR="00944ED2" w14:paraId="3A34FE43" w14:textId="77777777" w:rsidTr="00944ED2">
        <w:trPr>
          <w:trHeight w:val="563"/>
        </w:trPr>
        <w:tc>
          <w:tcPr>
            <w:tcW w:w="1157" w:type="dxa"/>
            <w:gridSpan w:val="2"/>
            <w:tcBorders>
              <w:top w:val="single" w:sz="4" w:space="0" w:color="000000"/>
              <w:left w:val="single" w:sz="4" w:space="0" w:color="000000"/>
              <w:bottom w:val="single" w:sz="4" w:space="0" w:color="000000"/>
              <w:right w:val="single" w:sz="4" w:space="0" w:color="000000"/>
            </w:tcBorders>
            <w:hideMark/>
          </w:tcPr>
          <w:p w14:paraId="3A9CB3A2" w14:textId="77777777" w:rsidR="00944ED2" w:rsidRDefault="00944ED2" w:rsidP="00F853F2">
            <w:pPr>
              <w:pStyle w:val="TableParagraph"/>
              <w:spacing w:line="240" w:lineRule="auto"/>
              <w:rPr>
                <w:b/>
              </w:rPr>
            </w:pPr>
            <w:r>
              <w:rPr>
                <w:b/>
              </w:rPr>
              <w:t>Vægt</w:t>
            </w:r>
          </w:p>
        </w:tc>
        <w:tc>
          <w:tcPr>
            <w:tcW w:w="8383" w:type="dxa"/>
            <w:gridSpan w:val="10"/>
            <w:tcBorders>
              <w:top w:val="single" w:sz="4" w:space="0" w:color="000000"/>
              <w:left w:val="single" w:sz="4" w:space="0" w:color="000000"/>
              <w:bottom w:val="single" w:sz="4" w:space="0" w:color="000000"/>
              <w:right w:val="single" w:sz="4" w:space="0" w:color="000000"/>
            </w:tcBorders>
            <w:hideMark/>
          </w:tcPr>
          <w:p w14:paraId="28A417E2" w14:textId="77777777" w:rsidR="00944ED2" w:rsidRDefault="00944ED2" w:rsidP="00F853F2">
            <w:pPr>
              <w:pStyle w:val="TableParagraph"/>
              <w:spacing w:line="240" w:lineRule="auto"/>
              <w:ind w:left="23"/>
              <w:jc w:val="center"/>
              <w:rPr>
                <w:b/>
              </w:rPr>
            </w:pPr>
            <w:r>
              <w:rPr>
                <w:b/>
              </w:rPr>
              <w:t>Mængde administreret</w:t>
            </w:r>
          </w:p>
        </w:tc>
      </w:tr>
      <w:tr w:rsidR="00944ED2" w14:paraId="6B60FCD7" w14:textId="77777777" w:rsidTr="00944ED2">
        <w:trPr>
          <w:trHeight w:val="506"/>
        </w:trPr>
        <w:tc>
          <w:tcPr>
            <w:tcW w:w="1157" w:type="dxa"/>
            <w:gridSpan w:val="2"/>
            <w:tcBorders>
              <w:top w:val="single" w:sz="4" w:space="0" w:color="000000"/>
              <w:left w:val="single" w:sz="4" w:space="0" w:color="000000"/>
              <w:bottom w:val="single" w:sz="4" w:space="0" w:color="000000"/>
              <w:right w:val="single" w:sz="4" w:space="0" w:color="000000"/>
            </w:tcBorders>
            <w:hideMark/>
          </w:tcPr>
          <w:p w14:paraId="1E0B1CEB" w14:textId="77777777" w:rsidR="00944ED2" w:rsidRDefault="00944ED2" w:rsidP="00F853F2">
            <w:pPr>
              <w:pStyle w:val="TableParagraph"/>
              <w:spacing w:line="240" w:lineRule="auto"/>
            </w:pPr>
            <w:r>
              <w:t>10 kg</w:t>
            </w:r>
          </w:p>
        </w:tc>
        <w:tc>
          <w:tcPr>
            <w:tcW w:w="1678" w:type="dxa"/>
            <w:gridSpan w:val="2"/>
            <w:tcBorders>
              <w:top w:val="single" w:sz="4" w:space="0" w:color="000000"/>
              <w:left w:val="single" w:sz="4" w:space="0" w:color="000000"/>
              <w:bottom w:val="single" w:sz="4" w:space="0" w:color="000000"/>
              <w:right w:val="single" w:sz="4" w:space="0" w:color="000000"/>
            </w:tcBorders>
            <w:hideMark/>
          </w:tcPr>
          <w:p w14:paraId="2B612F46" w14:textId="77777777" w:rsidR="00944ED2" w:rsidRDefault="00944ED2" w:rsidP="00F853F2">
            <w:pPr>
              <w:pStyle w:val="TableParagraph"/>
              <w:spacing w:line="240" w:lineRule="auto"/>
              <w:ind w:left="556"/>
            </w:pPr>
            <w:r>
              <w:t>0,5</w:t>
            </w:r>
            <w:r>
              <w:rPr>
                <w:spacing w:val="-3"/>
              </w:rPr>
              <w:t xml:space="preserve"> </w:t>
            </w:r>
            <w:r>
              <w:t>ml</w:t>
            </w:r>
          </w:p>
          <w:p w14:paraId="4A5F6A58" w14:textId="77777777" w:rsidR="00944ED2" w:rsidRDefault="00944ED2" w:rsidP="00F853F2">
            <w:pPr>
              <w:pStyle w:val="TableParagraph"/>
              <w:spacing w:line="240" w:lineRule="auto"/>
              <w:ind w:left="541"/>
            </w:pPr>
            <w:r>
              <w:t>(5</w:t>
            </w:r>
            <w:r>
              <w:rPr>
                <w:spacing w:val="-1"/>
              </w:rPr>
              <w:t xml:space="preserve"> </w:t>
            </w:r>
            <w:r>
              <w:t>mg)</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97F8A9C" w14:textId="77777777" w:rsidR="00944ED2" w:rsidRDefault="00944ED2" w:rsidP="00F853F2">
            <w:pPr>
              <w:pStyle w:val="TableParagraph"/>
              <w:spacing w:line="240" w:lineRule="auto"/>
              <w:ind w:left="513"/>
            </w:pPr>
            <w:r>
              <w:t>1,25 ml</w:t>
            </w:r>
          </w:p>
          <w:p w14:paraId="3CF557F1" w14:textId="77777777" w:rsidR="00944ED2" w:rsidRDefault="00944ED2" w:rsidP="00F853F2">
            <w:pPr>
              <w:pStyle w:val="TableParagraph"/>
              <w:spacing w:line="240" w:lineRule="auto"/>
              <w:ind w:left="414"/>
            </w:pPr>
            <w:r>
              <w:t>(12,5 mg)</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B3B8727" w14:textId="77777777" w:rsidR="00944ED2" w:rsidRDefault="00944ED2" w:rsidP="00F853F2">
            <w:pPr>
              <w:pStyle w:val="TableParagraph"/>
              <w:spacing w:line="240" w:lineRule="auto"/>
              <w:ind w:left="568"/>
            </w:pPr>
            <w:r>
              <w:t>1,5 ml</w:t>
            </w:r>
          </w:p>
          <w:p w14:paraId="25BCAB67" w14:textId="77777777" w:rsidR="00944ED2" w:rsidRDefault="00944ED2" w:rsidP="00F853F2">
            <w:pPr>
              <w:pStyle w:val="TableParagraph"/>
              <w:spacing w:line="240" w:lineRule="auto"/>
              <w:ind w:left="498"/>
            </w:pPr>
            <w:r>
              <w:t>(15 mg)</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520845CA" w14:textId="77777777" w:rsidR="00944ED2" w:rsidRDefault="00944ED2" w:rsidP="00F853F2">
            <w:pPr>
              <w:pStyle w:val="TableParagraph"/>
              <w:spacing w:line="240" w:lineRule="auto"/>
              <w:ind w:left="160"/>
              <w:jc w:val="center"/>
            </w:pPr>
            <w:r>
              <w:t>2 ml</w:t>
            </w:r>
          </w:p>
          <w:p w14:paraId="226A3924" w14:textId="77777777" w:rsidR="00944ED2" w:rsidRDefault="00944ED2" w:rsidP="00F853F2">
            <w:pPr>
              <w:pStyle w:val="TableParagraph"/>
              <w:spacing w:line="240" w:lineRule="auto"/>
              <w:ind w:left="160"/>
              <w:jc w:val="center"/>
            </w:pPr>
            <w:r>
              <w:t>(20 mg)</w:t>
            </w:r>
          </w:p>
        </w:tc>
        <w:tc>
          <w:tcPr>
            <w:tcW w:w="1600" w:type="dxa"/>
            <w:gridSpan w:val="2"/>
            <w:tcBorders>
              <w:top w:val="single" w:sz="4" w:space="0" w:color="000000"/>
              <w:left w:val="single" w:sz="4" w:space="0" w:color="000000"/>
              <w:bottom w:val="single" w:sz="4" w:space="0" w:color="000000"/>
              <w:right w:val="single" w:sz="4" w:space="0" w:color="000000"/>
            </w:tcBorders>
            <w:hideMark/>
          </w:tcPr>
          <w:p w14:paraId="601EDCFD" w14:textId="77777777" w:rsidR="00944ED2" w:rsidRDefault="00944ED2" w:rsidP="00F853F2">
            <w:pPr>
              <w:pStyle w:val="TableParagraph"/>
              <w:spacing w:line="240" w:lineRule="auto"/>
              <w:ind w:left="567"/>
            </w:pPr>
            <w:r>
              <w:t>2,5 ml</w:t>
            </w:r>
          </w:p>
          <w:p w14:paraId="1B10B79F" w14:textId="77777777" w:rsidR="00944ED2" w:rsidRDefault="00944ED2" w:rsidP="00F853F2">
            <w:pPr>
              <w:pStyle w:val="TableParagraph"/>
              <w:spacing w:line="240" w:lineRule="auto"/>
              <w:ind w:left="497"/>
            </w:pPr>
            <w:r>
              <w:t>(25 mg)</w:t>
            </w:r>
          </w:p>
        </w:tc>
      </w:tr>
      <w:tr w:rsidR="00944ED2" w14:paraId="309E141E" w14:textId="77777777" w:rsidTr="00944ED2">
        <w:trPr>
          <w:trHeight w:val="506"/>
        </w:trPr>
        <w:tc>
          <w:tcPr>
            <w:tcW w:w="1157" w:type="dxa"/>
            <w:gridSpan w:val="2"/>
            <w:tcBorders>
              <w:top w:val="single" w:sz="4" w:space="0" w:color="000000"/>
              <w:left w:val="single" w:sz="4" w:space="0" w:color="000000"/>
              <w:bottom w:val="single" w:sz="4" w:space="0" w:color="000000"/>
              <w:right w:val="single" w:sz="4" w:space="0" w:color="000000"/>
            </w:tcBorders>
            <w:hideMark/>
          </w:tcPr>
          <w:p w14:paraId="02D0B926" w14:textId="77777777" w:rsidR="00944ED2" w:rsidRDefault="00944ED2" w:rsidP="00F853F2">
            <w:pPr>
              <w:pStyle w:val="TableParagraph"/>
              <w:spacing w:line="240" w:lineRule="auto"/>
            </w:pPr>
            <w:r>
              <w:t>12 kg</w:t>
            </w:r>
          </w:p>
        </w:tc>
        <w:tc>
          <w:tcPr>
            <w:tcW w:w="1678" w:type="dxa"/>
            <w:gridSpan w:val="2"/>
            <w:tcBorders>
              <w:top w:val="single" w:sz="4" w:space="0" w:color="000000"/>
              <w:left w:val="single" w:sz="4" w:space="0" w:color="000000"/>
              <w:bottom w:val="single" w:sz="4" w:space="0" w:color="000000"/>
              <w:right w:val="single" w:sz="4" w:space="0" w:color="000000"/>
            </w:tcBorders>
            <w:hideMark/>
          </w:tcPr>
          <w:p w14:paraId="1C5B8FCB" w14:textId="77777777" w:rsidR="00944ED2" w:rsidRDefault="00944ED2" w:rsidP="00F853F2">
            <w:pPr>
              <w:pStyle w:val="TableParagraph"/>
              <w:spacing w:line="240" w:lineRule="auto"/>
              <w:ind w:left="556"/>
            </w:pPr>
            <w:r>
              <w:t>0,6</w:t>
            </w:r>
            <w:r>
              <w:rPr>
                <w:spacing w:val="-3"/>
              </w:rPr>
              <w:t xml:space="preserve"> </w:t>
            </w:r>
            <w:r>
              <w:t>ml</w:t>
            </w:r>
          </w:p>
          <w:p w14:paraId="7FA81FEF" w14:textId="77777777" w:rsidR="00944ED2" w:rsidRDefault="00944ED2" w:rsidP="00F853F2">
            <w:pPr>
              <w:pStyle w:val="TableParagraph"/>
              <w:spacing w:line="240" w:lineRule="auto"/>
              <w:ind w:left="541"/>
            </w:pPr>
            <w:r>
              <w:t>(6</w:t>
            </w:r>
            <w:r>
              <w:rPr>
                <w:spacing w:val="-1"/>
              </w:rPr>
              <w:t xml:space="preserve"> </w:t>
            </w:r>
            <w:r>
              <w:t>mg)</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FDE05B6" w14:textId="77777777" w:rsidR="00944ED2" w:rsidRDefault="00944ED2" w:rsidP="00F853F2">
            <w:pPr>
              <w:pStyle w:val="TableParagraph"/>
              <w:spacing w:line="240" w:lineRule="auto"/>
              <w:ind w:left="568"/>
            </w:pPr>
            <w:r>
              <w:t>1,5 ml</w:t>
            </w:r>
          </w:p>
          <w:p w14:paraId="338E1AEB" w14:textId="77777777" w:rsidR="00944ED2" w:rsidRDefault="00944ED2" w:rsidP="00F853F2">
            <w:pPr>
              <w:pStyle w:val="TableParagraph"/>
              <w:spacing w:line="240" w:lineRule="auto"/>
              <w:ind w:left="498"/>
            </w:pPr>
            <w:r>
              <w:t>(15 mg)</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DAB7053" w14:textId="77777777" w:rsidR="00944ED2" w:rsidRDefault="00944ED2" w:rsidP="00F853F2">
            <w:pPr>
              <w:pStyle w:val="TableParagraph"/>
              <w:spacing w:line="240" w:lineRule="auto"/>
              <w:ind w:left="568"/>
            </w:pPr>
            <w:r>
              <w:t>1,8 ml</w:t>
            </w:r>
          </w:p>
          <w:p w14:paraId="650120E1" w14:textId="77777777" w:rsidR="00944ED2" w:rsidRDefault="00944ED2" w:rsidP="00F853F2">
            <w:pPr>
              <w:pStyle w:val="TableParagraph"/>
              <w:spacing w:line="240" w:lineRule="auto"/>
              <w:ind w:left="498"/>
            </w:pPr>
            <w:r>
              <w:t>(18 mg)</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775733F9" w14:textId="77777777" w:rsidR="00944ED2" w:rsidRDefault="00944ED2" w:rsidP="00F853F2">
            <w:pPr>
              <w:pStyle w:val="TableParagraph"/>
              <w:spacing w:line="240" w:lineRule="auto"/>
              <w:ind w:left="568"/>
            </w:pPr>
            <w:r>
              <w:t>2,4 ml</w:t>
            </w:r>
          </w:p>
          <w:p w14:paraId="6771C84C" w14:textId="77777777" w:rsidR="00944ED2" w:rsidRDefault="00944ED2" w:rsidP="00F853F2">
            <w:pPr>
              <w:pStyle w:val="TableParagraph"/>
              <w:spacing w:line="240" w:lineRule="auto"/>
              <w:ind w:left="499"/>
            </w:pPr>
            <w:r>
              <w:t>(24 mg)</w:t>
            </w:r>
          </w:p>
        </w:tc>
        <w:tc>
          <w:tcPr>
            <w:tcW w:w="1600" w:type="dxa"/>
            <w:gridSpan w:val="2"/>
            <w:tcBorders>
              <w:top w:val="single" w:sz="4" w:space="0" w:color="000000"/>
              <w:left w:val="single" w:sz="4" w:space="0" w:color="000000"/>
              <w:bottom w:val="single" w:sz="4" w:space="0" w:color="000000"/>
              <w:right w:val="single" w:sz="4" w:space="0" w:color="000000"/>
            </w:tcBorders>
            <w:hideMark/>
          </w:tcPr>
          <w:p w14:paraId="131DFABB" w14:textId="77777777" w:rsidR="00944ED2" w:rsidRDefault="00944ED2" w:rsidP="00F853F2">
            <w:pPr>
              <w:pStyle w:val="TableParagraph"/>
              <w:spacing w:line="240" w:lineRule="auto"/>
              <w:ind w:left="567"/>
            </w:pPr>
            <w:r>
              <w:t>3,0 ml</w:t>
            </w:r>
          </w:p>
          <w:p w14:paraId="002899BA" w14:textId="77777777" w:rsidR="00944ED2" w:rsidRDefault="00944ED2" w:rsidP="00F853F2">
            <w:pPr>
              <w:pStyle w:val="TableParagraph"/>
              <w:spacing w:line="240" w:lineRule="auto"/>
              <w:ind w:left="497"/>
            </w:pPr>
            <w:r>
              <w:t>(30 mg)</w:t>
            </w:r>
          </w:p>
        </w:tc>
      </w:tr>
      <w:tr w:rsidR="00944ED2" w14:paraId="22FA0AF2" w14:textId="77777777" w:rsidTr="00944ED2">
        <w:trPr>
          <w:trHeight w:val="505"/>
        </w:trPr>
        <w:tc>
          <w:tcPr>
            <w:tcW w:w="1157" w:type="dxa"/>
            <w:gridSpan w:val="2"/>
            <w:tcBorders>
              <w:top w:val="single" w:sz="4" w:space="0" w:color="000000"/>
              <w:left w:val="single" w:sz="4" w:space="0" w:color="000000"/>
              <w:bottom w:val="single" w:sz="4" w:space="0" w:color="000000"/>
              <w:right w:val="single" w:sz="4" w:space="0" w:color="000000"/>
            </w:tcBorders>
            <w:hideMark/>
          </w:tcPr>
          <w:p w14:paraId="3B76886F" w14:textId="77777777" w:rsidR="00944ED2" w:rsidRDefault="00944ED2" w:rsidP="00F853F2">
            <w:pPr>
              <w:pStyle w:val="TableParagraph"/>
              <w:spacing w:line="240" w:lineRule="auto"/>
            </w:pPr>
            <w:r>
              <w:t>14 kg</w:t>
            </w:r>
          </w:p>
        </w:tc>
        <w:tc>
          <w:tcPr>
            <w:tcW w:w="1678" w:type="dxa"/>
            <w:gridSpan w:val="2"/>
            <w:tcBorders>
              <w:top w:val="single" w:sz="4" w:space="0" w:color="000000"/>
              <w:left w:val="single" w:sz="4" w:space="0" w:color="000000"/>
              <w:bottom w:val="single" w:sz="4" w:space="0" w:color="000000"/>
              <w:right w:val="single" w:sz="4" w:space="0" w:color="000000"/>
            </w:tcBorders>
            <w:hideMark/>
          </w:tcPr>
          <w:p w14:paraId="4D5CE1C4" w14:textId="77777777" w:rsidR="00944ED2" w:rsidRDefault="00944ED2" w:rsidP="00F853F2">
            <w:pPr>
              <w:pStyle w:val="TableParagraph"/>
              <w:spacing w:line="240" w:lineRule="auto"/>
              <w:ind w:left="556"/>
            </w:pPr>
            <w:r>
              <w:t>0,7</w:t>
            </w:r>
            <w:r>
              <w:rPr>
                <w:spacing w:val="-3"/>
              </w:rPr>
              <w:t xml:space="preserve"> </w:t>
            </w:r>
            <w:r>
              <w:t>ml</w:t>
            </w:r>
          </w:p>
          <w:p w14:paraId="7F4DF511" w14:textId="77777777" w:rsidR="00944ED2" w:rsidRDefault="00944ED2" w:rsidP="00F853F2">
            <w:pPr>
              <w:pStyle w:val="TableParagraph"/>
              <w:spacing w:line="240" w:lineRule="auto"/>
              <w:ind w:left="541"/>
            </w:pPr>
            <w:r>
              <w:t>(7</w:t>
            </w:r>
            <w:r>
              <w:rPr>
                <w:spacing w:val="-1"/>
              </w:rPr>
              <w:t xml:space="preserve"> </w:t>
            </w:r>
            <w:r>
              <w:t>mg)</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CBF7759" w14:textId="77777777" w:rsidR="00944ED2" w:rsidRDefault="00944ED2" w:rsidP="00F853F2">
            <w:pPr>
              <w:pStyle w:val="TableParagraph"/>
              <w:spacing w:line="240" w:lineRule="auto"/>
              <w:ind w:left="513"/>
            </w:pPr>
            <w:r>
              <w:t>1,75 ml</w:t>
            </w:r>
          </w:p>
          <w:p w14:paraId="08527A03" w14:textId="77777777" w:rsidR="00944ED2" w:rsidRDefault="00944ED2" w:rsidP="00F853F2">
            <w:pPr>
              <w:pStyle w:val="TableParagraph"/>
              <w:spacing w:line="240" w:lineRule="auto"/>
              <w:ind w:left="414"/>
            </w:pPr>
            <w:r>
              <w:t>(17,5 mg)</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F1F6F20" w14:textId="77777777" w:rsidR="00944ED2" w:rsidRDefault="00944ED2" w:rsidP="00F853F2">
            <w:pPr>
              <w:pStyle w:val="TableParagraph"/>
              <w:spacing w:line="240" w:lineRule="auto"/>
              <w:ind w:left="568"/>
            </w:pPr>
            <w:r>
              <w:t>2,1 ml</w:t>
            </w:r>
          </w:p>
          <w:p w14:paraId="53F6F4A4" w14:textId="77777777" w:rsidR="00944ED2" w:rsidRDefault="00944ED2" w:rsidP="00F853F2">
            <w:pPr>
              <w:pStyle w:val="TableParagraph"/>
              <w:spacing w:line="240" w:lineRule="auto"/>
              <w:ind w:left="498"/>
            </w:pPr>
            <w:r>
              <w:t>(21 mg)</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4414257F" w14:textId="77777777" w:rsidR="00944ED2" w:rsidRDefault="00944ED2" w:rsidP="00F853F2">
            <w:pPr>
              <w:pStyle w:val="TableParagraph"/>
              <w:spacing w:line="240" w:lineRule="auto"/>
              <w:ind w:left="568"/>
            </w:pPr>
            <w:r>
              <w:t>2,8 ml</w:t>
            </w:r>
          </w:p>
          <w:p w14:paraId="53EF64E2" w14:textId="77777777" w:rsidR="00944ED2" w:rsidRDefault="00944ED2" w:rsidP="00F853F2">
            <w:pPr>
              <w:pStyle w:val="TableParagraph"/>
              <w:spacing w:line="240" w:lineRule="auto"/>
              <w:ind w:left="499"/>
            </w:pPr>
            <w:r>
              <w:t>(28 mg)</w:t>
            </w:r>
          </w:p>
        </w:tc>
        <w:tc>
          <w:tcPr>
            <w:tcW w:w="1600" w:type="dxa"/>
            <w:gridSpan w:val="2"/>
            <w:tcBorders>
              <w:top w:val="single" w:sz="4" w:space="0" w:color="000000"/>
              <w:left w:val="single" w:sz="4" w:space="0" w:color="000000"/>
              <w:bottom w:val="single" w:sz="4" w:space="0" w:color="000000"/>
              <w:right w:val="single" w:sz="4" w:space="0" w:color="000000"/>
            </w:tcBorders>
            <w:hideMark/>
          </w:tcPr>
          <w:p w14:paraId="21FE1396" w14:textId="77777777" w:rsidR="00944ED2" w:rsidRDefault="00944ED2" w:rsidP="00F853F2">
            <w:pPr>
              <w:pStyle w:val="TableParagraph"/>
              <w:spacing w:line="240" w:lineRule="auto"/>
              <w:ind w:left="567"/>
            </w:pPr>
            <w:r>
              <w:t>3,5 ml</w:t>
            </w:r>
          </w:p>
          <w:p w14:paraId="2B422108" w14:textId="77777777" w:rsidR="00944ED2" w:rsidRDefault="00944ED2" w:rsidP="00F853F2">
            <w:pPr>
              <w:pStyle w:val="TableParagraph"/>
              <w:spacing w:line="240" w:lineRule="auto"/>
              <w:ind w:left="497"/>
            </w:pPr>
            <w:r>
              <w:t>(35 mg)</w:t>
            </w:r>
          </w:p>
        </w:tc>
      </w:tr>
      <w:tr w:rsidR="00944ED2" w14:paraId="569800B9" w14:textId="77777777" w:rsidTr="00944ED2">
        <w:trPr>
          <w:trHeight w:val="506"/>
        </w:trPr>
        <w:tc>
          <w:tcPr>
            <w:tcW w:w="1157" w:type="dxa"/>
            <w:gridSpan w:val="2"/>
            <w:tcBorders>
              <w:top w:val="single" w:sz="4" w:space="0" w:color="000000"/>
              <w:left w:val="single" w:sz="4" w:space="0" w:color="000000"/>
              <w:bottom w:val="single" w:sz="4" w:space="0" w:color="000000"/>
              <w:right w:val="single" w:sz="4" w:space="0" w:color="000000"/>
            </w:tcBorders>
            <w:hideMark/>
          </w:tcPr>
          <w:p w14:paraId="6D82B3FD" w14:textId="77777777" w:rsidR="00944ED2" w:rsidRDefault="00944ED2" w:rsidP="00F853F2">
            <w:pPr>
              <w:pStyle w:val="TableParagraph"/>
              <w:spacing w:line="240" w:lineRule="auto"/>
            </w:pPr>
            <w:r>
              <w:t>15 kg</w:t>
            </w:r>
          </w:p>
        </w:tc>
        <w:tc>
          <w:tcPr>
            <w:tcW w:w="1678" w:type="dxa"/>
            <w:gridSpan w:val="2"/>
            <w:tcBorders>
              <w:top w:val="single" w:sz="4" w:space="0" w:color="000000"/>
              <w:left w:val="single" w:sz="4" w:space="0" w:color="000000"/>
              <w:bottom w:val="single" w:sz="4" w:space="0" w:color="000000"/>
              <w:right w:val="single" w:sz="4" w:space="0" w:color="000000"/>
            </w:tcBorders>
            <w:hideMark/>
          </w:tcPr>
          <w:p w14:paraId="4A3FD517" w14:textId="77777777" w:rsidR="00944ED2" w:rsidRDefault="00944ED2" w:rsidP="00F853F2">
            <w:pPr>
              <w:pStyle w:val="TableParagraph"/>
              <w:spacing w:line="240" w:lineRule="auto"/>
              <w:ind w:left="501"/>
            </w:pPr>
            <w:r>
              <w:t>0,75 ml</w:t>
            </w:r>
          </w:p>
          <w:p w14:paraId="0DDEA7A7" w14:textId="77777777" w:rsidR="00944ED2" w:rsidRDefault="00944ED2" w:rsidP="00F853F2">
            <w:pPr>
              <w:pStyle w:val="TableParagraph"/>
              <w:spacing w:line="240" w:lineRule="auto"/>
              <w:ind w:left="457"/>
            </w:pPr>
            <w:r>
              <w:t>(7,5 mg)</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1D27268" w14:textId="77777777" w:rsidR="00944ED2" w:rsidRDefault="00944ED2" w:rsidP="00F853F2">
            <w:pPr>
              <w:pStyle w:val="TableParagraph"/>
              <w:spacing w:line="240" w:lineRule="auto"/>
              <w:ind w:left="158"/>
              <w:jc w:val="center"/>
            </w:pPr>
            <w:r>
              <w:t>1,9 ml</w:t>
            </w:r>
          </w:p>
          <w:p w14:paraId="717BD738" w14:textId="77777777" w:rsidR="00944ED2" w:rsidRDefault="00944ED2" w:rsidP="00F853F2">
            <w:pPr>
              <w:pStyle w:val="TableParagraph"/>
              <w:spacing w:line="240" w:lineRule="auto"/>
              <w:ind w:left="160"/>
              <w:jc w:val="center"/>
            </w:pPr>
            <w:r>
              <w:t>(19,0 mg)</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6FC7E93" w14:textId="77777777" w:rsidR="00944ED2" w:rsidRDefault="00944ED2" w:rsidP="00F853F2">
            <w:pPr>
              <w:pStyle w:val="TableParagraph"/>
              <w:spacing w:line="240" w:lineRule="auto"/>
              <w:ind w:left="513"/>
            </w:pPr>
            <w:r>
              <w:t>2,25 ml</w:t>
            </w:r>
          </w:p>
          <w:p w14:paraId="0F90915E" w14:textId="77777777" w:rsidR="00944ED2" w:rsidRDefault="00944ED2" w:rsidP="00F853F2">
            <w:pPr>
              <w:pStyle w:val="TableParagraph"/>
              <w:spacing w:line="240" w:lineRule="auto"/>
              <w:ind w:left="414"/>
            </w:pPr>
            <w:r>
              <w:t>(22,5 mg)</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38256CF6" w14:textId="77777777" w:rsidR="00944ED2" w:rsidRDefault="00944ED2" w:rsidP="00F853F2">
            <w:pPr>
              <w:pStyle w:val="TableParagraph"/>
              <w:spacing w:line="240" w:lineRule="auto"/>
              <w:ind w:left="160"/>
              <w:jc w:val="center"/>
            </w:pPr>
            <w:r>
              <w:t>3 ml</w:t>
            </w:r>
          </w:p>
          <w:p w14:paraId="0ED1DA7C" w14:textId="77777777" w:rsidR="00944ED2" w:rsidRDefault="00944ED2" w:rsidP="00F853F2">
            <w:pPr>
              <w:pStyle w:val="TableParagraph"/>
              <w:spacing w:line="240" w:lineRule="auto"/>
              <w:ind w:left="160"/>
              <w:jc w:val="center"/>
            </w:pPr>
            <w:r>
              <w:t>(30 mg)</w:t>
            </w:r>
          </w:p>
        </w:tc>
        <w:tc>
          <w:tcPr>
            <w:tcW w:w="1600" w:type="dxa"/>
            <w:gridSpan w:val="2"/>
            <w:tcBorders>
              <w:top w:val="single" w:sz="4" w:space="0" w:color="000000"/>
              <w:left w:val="single" w:sz="4" w:space="0" w:color="000000"/>
              <w:bottom w:val="single" w:sz="4" w:space="0" w:color="000000"/>
              <w:right w:val="single" w:sz="4" w:space="0" w:color="000000"/>
            </w:tcBorders>
            <w:hideMark/>
          </w:tcPr>
          <w:p w14:paraId="23B7749B" w14:textId="77777777" w:rsidR="00944ED2" w:rsidRDefault="00944ED2" w:rsidP="00F853F2">
            <w:pPr>
              <w:pStyle w:val="TableParagraph"/>
              <w:spacing w:line="240" w:lineRule="auto"/>
              <w:ind w:left="512"/>
            </w:pPr>
            <w:r>
              <w:t>3,75 ml</w:t>
            </w:r>
          </w:p>
          <w:p w14:paraId="50012291" w14:textId="77777777" w:rsidR="00944ED2" w:rsidRDefault="00944ED2" w:rsidP="00F853F2">
            <w:pPr>
              <w:pStyle w:val="TableParagraph"/>
              <w:spacing w:line="240" w:lineRule="auto"/>
              <w:ind w:left="413"/>
            </w:pPr>
            <w:r>
              <w:t>(37,5 mg)</w:t>
            </w:r>
          </w:p>
        </w:tc>
      </w:tr>
    </w:tbl>
    <w:p w14:paraId="20609033" w14:textId="77777777" w:rsidR="00944ED2" w:rsidRDefault="00944ED2" w:rsidP="00F853F2">
      <w:pPr>
        <w:pStyle w:val="Brdtekst"/>
        <w:ind w:left="851"/>
        <w:rPr>
          <w:sz w:val="13"/>
        </w:rPr>
      </w:pPr>
    </w:p>
    <w:p w14:paraId="3388C9F2" w14:textId="77777777" w:rsidR="00944ED2" w:rsidRPr="00944ED2" w:rsidRDefault="00944ED2" w:rsidP="00F853F2">
      <w:pPr>
        <w:ind w:left="851"/>
        <w:rPr>
          <w:i/>
          <w:sz w:val="24"/>
          <w:szCs w:val="24"/>
        </w:rPr>
      </w:pPr>
      <w:r w:rsidRPr="00944ED2">
        <w:rPr>
          <w:i/>
          <w:sz w:val="24"/>
          <w:szCs w:val="24"/>
        </w:rPr>
        <w:t>Glemte doser</w:t>
      </w:r>
    </w:p>
    <w:p w14:paraId="21B82574" w14:textId="77777777" w:rsidR="00944ED2" w:rsidRPr="00944ED2" w:rsidRDefault="00944ED2" w:rsidP="00F853F2">
      <w:pPr>
        <w:pStyle w:val="Brdtekst"/>
        <w:ind w:left="851"/>
        <w:rPr>
          <w:sz w:val="24"/>
          <w:szCs w:val="24"/>
          <w:lang w:val="da-DK"/>
        </w:rPr>
      </w:pPr>
      <w:r w:rsidRPr="00944ED2">
        <w:rPr>
          <w:sz w:val="24"/>
          <w:szCs w:val="24"/>
          <w:lang w:val="da-DK"/>
        </w:rPr>
        <w:t>Hvis patienter glemmer at tage en eller flere doser, anbefales det, at de tager en enkelt dosis, så snart de kommer i tanke om det og tager den efterfølgende dosis til sædvanlig tid om morgenen eller om aftenen. Dette kan forhindre, at plasmakoncentrationen af brivaracetam falder til under virkningsniveauet og forebygge forekomsten af gennembrudsanfald.</w:t>
      </w:r>
    </w:p>
    <w:p w14:paraId="30819321" w14:textId="77777777" w:rsidR="00944ED2" w:rsidRPr="00944ED2" w:rsidRDefault="00944ED2" w:rsidP="00F853F2">
      <w:pPr>
        <w:pStyle w:val="Brdtekst"/>
        <w:ind w:left="851"/>
        <w:rPr>
          <w:sz w:val="24"/>
          <w:szCs w:val="24"/>
          <w:lang w:val="da-DK"/>
        </w:rPr>
      </w:pPr>
    </w:p>
    <w:p w14:paraId="75F63778" w14:textId="77777777" w:rsidR="00944ED2" w:rsidRPr="00944ED2" w:rsidRDefault="00944ED2" w:rsidP="00F853F2">
      <w:pPr>
        <w:ind w:left="851"/>
        <w:rPr>
          <w:i/>
          <w:sz w:val="24"/>
          <w:szCs w:val="24"/>
        </w:rPr>
      </w:pPr>
      <w:r w:rsidRPr="00944ED2">
        <w:rPr>
          <w:i/>
          <w:sz w:val="24"/>
          <w:szCs w:val="24"/>
        </w:rPr>
        <w:t>Seponering</w:t>
      </w:r>
    </w:p>
    <w:p w14:paraId="01BAF8AC" w14:textId="77777777" w:rsidR="00944ED2" w:rsidRPr="00944ED2" w:rsidRDefault="00944ED2" w:rsidP="00F853F2">
      <w:pPr>
        <w:pStyle w:val="Brdtekst"/>
        <w:ind w:left="851"/>
        <w:rPr>
          <w:sz w:val="24"/>
          <w:szCs w:val="24"/>
          <w:lang w:val="da-DK"/>
        </w:rPr>
      </w:pPr>
      <w:r w:rsidRPr="00944ED2">
        <w:rPr>
          <w:sz w:val="24"/>
          <w:szCs w:val="24"/>
          <w:lang w:val="da-DK"/>
        </w:rPr>
        <w:t>Hvis behandlingen med brivaracetam skal seponeres hos patienter under 16 år, anbefales det, at dosis reduceres gradvist med 50 mg/dag hver uge.</w:t>
      </w:r>
    </w:p>
    <w:p w14:paraId="7CE29E8B" w14:textId="77777777" w:rsidR="00944ED2" w:rsidRPr="00944ED2" w:rsidRDefault="00944ED2" w:rsidP="00F853F2">
      <w:pPr>
        <w:pStyle w:val="Brdtekst"/>
        <w:ind w:left="851"/>
        <w:rPr>
          <w:sz w:val="24"/>
          <w:szCs w:val="24"/>
          <w:lang w:val="da-DK"/>
        </w:rPr>
      </w:pPr>
      <w:r w:rsidRPr="00944ED2">
        <w:rPr>
          <w:sz w:val="24"/>
          <w:szCs w:val="24"/>
          <w:lang w:val="da-DK"/>
        </w:rPr>
        <w:t>Hvis behandlingen med brivaracetam skal seponeres hos patienter under 16 år, anbefales det, at dosis reduceres med maksimalt halvdelen af dosis hver uge indtil en dosis på 1 mg/kg/dag (for patienter med en kropsvægt under 50 kg) eller 50 mg/dag (for patienter med en kropsvægt på 50 kg eller derover) nås.</w:t>
      </w:r>
    </w:p>
    <w:p w14:paraId="1CE94651" w14:textId="5A39EE7C" w:rsidR="00944ED2" w:rsidRPr="00944ED2" w:rsidRDefault="00944ED2" w:rsidP="00F853F2">
      <w:pPr>
        <w:pStyle w:val="Brdtekst"/>
        <w:ind w:left="851"/>
        <w:rPr>
          <w:sz w:val="24"/>
          <w:szCs w:val="24"/>
          <w:lang w:val="da-DK"/>
        </w:rPr>
      </w:pPr>
      <w:r w:rsidRPr="00944ED2">
        <w:rPr>
          <w:sz w:val="24"/>
          <w:szCs w:val="24"/>
          <w:lang w:val="da-DK"/>
        </w:rPr>
        <w:t xml:space="preserve">Efter 1 uges behandling med 50 mg/dag, anbefales det, at dosis i den </w:t>
      </w:r>
      <w:r w:rsidR="00A00DE3">
        <w:rPr>
          <w:sz w:val="24"/>
          <w:szCs w:val="24"/>
          <w:lang w:val="da-DK"/>
        </w:rPr>
        <w:t>s</w:t>
      </w:r>
      <w:r w:rsidRPr="00944ED2">
        <w:rPr>
          <w:sz w:val="24"/>
          <w:szCs w:val="24"/>
          <w:lang w:val="da-DK"/>
        </w:rPr>
        <w:t>idste behandlingsuge er 20 mg/dag.</w:t>
      </w:r>
    </w:p>
    <w:p w14:paraId="3C3B59BB" w14:textId="77777777" w:rsidR="00944ED2" w:rsidRPr="00944ED2" w:rsidRDefault="00944ED2" w:rsidP="00F853F2">
      <w:pPr>
        <w:pStyle w:val="Brdtekst"/>
        <w:ind w:left="851"/>
        <w:rPr>
          <w:sz w:val="24"/>
          <w:szCs w:val="24"/>
          <w:lang w:val="da-DK"/>
        </w:rPr>
      </w:pPr>
    </w:p>
    <w:p w14:paraId="4BEE3FA3" w14:textId="77777777" w:rsidR="00944ED2" w:rsidRPr="00944ED2" w:rsidRDefault="00944ED2" w:rsidP="00F853F2">
      <w:pPr>
        <w:pStyle w:val="Brdtekst"/>
        <w:ind w:left="851"/>
        <w:rPr>
          <w:sz w:val="24"/>
          <w:szCs w:val="24"/>
          <w:lang w:val="da-DK"/>
        </w:rPr>
      </w:pPr>
      <w:r w:rsidRPr="00944ED2">
        <w:rPr>
          <w:sz w:val="24"/>
          <w:szCs w:val="24"/>
          <w:u w:val="single"/>
          <w:lang w:val="da-DK"/>
        </w:rPr>
        <w:t>Særlige populationer</w:t>
      </w:r>
    </w:p>
    <w:p w14:paraId="0E0C2EDA" w14:textId="77777777" w:rsidR="00944ED2" w:rsidRPr="00944ED2" w:rsidRDefault="00944ED2" w:rsidP="00F853F2">
      <w:pPr>
        <w:pStyle w:val="Brdtekst"/>
        <w:ind w:left="851"/>
        <w:rPr>
          <w:sz w:val="24"/>
          <w:szCs w:val="24"/>
          <w:lang w:val="da-DK"/>
        </w:rPr>
      </w:pPr>
    </w:p>
    <w:p w14:paraId="046E247C" w14:textId="77777777" w:rsidR="00944ED2" w:rsidRPr="00944ED2" w:rsidRDefault="00944ED2" w:rsidP="00F853F2">
      <w:pPr>
        <w:ind w:left="851"/>
        <w:rPr>
          <w:i/>
          <w:sz w:val="24"/>
          <w:szCs w:val="24"/>
        </w:rPr>
      </w:pPr>
      <w:r w:rsidRPr="00944ED2">
        <w:rPr>
          <w:i/>
          <w:sz w:val="24"/>
          <w:szCs w:val="24"/>
        </w:rPr>
        <w:t>Ældre (65 år eller derover)</w:t>
      </w:r>
    </w:p>
    <w:p w14:paraId="107A60DF" w14:textId="77777777" w:rsidR="00944ED2" w:rsidRPr="00944ED2" w:rsidRDefault="00944ED2" w:rsidP="00F853F2">
      <w:pPr>
        <w:pStyle w:val="Brdtekst"/>
        <w:ind w:left="851"/>
        <w:rPr>
          <w:sz w:val="24"/>
          <w:szCs w:val="24"/>
          <w:lang w:val="da-DK"/>
        </w:rPr>
      </w:pPr>
      <w:r w:rsidRPr="00944ED2">
        <w:rPr>
          <w:sz w:val="24"/>
          <w:szCs w:val="24"/>
          <w:lang w:val="da-DK"/>
        </w:rPr>
        <w:t xml:space="preserve">Dosisjustering er ikke nødvendig hos ældre patienter (se pkt. 5.2). Den kliniske erfaring </w:t>
      </w:r>
      <w:r w:rsidRPr="00944ED2">
        <w:rPr>
          <w:sz w:val="24"/>
          <w:szCs w:val="24"/>
          <w:lang w:val="da-DK"/>
        </w:rPr>
        <w:lastRenderedPageBreak/>
        <w:t>hos patienter ≥ 65 år er begrænset.</w:t>
      </w:r>
    </w:p>
    <w:p w14:paraId="41E30ADA" w14:textId="77777777" w:rsidR="00944ED2" w:rsidRPr="00944ED2" w:rsidRDefault="00944ED2" w:rsidP="00F853F2">
      <w:pPr>
        <w:pStyle w:val="Brdtekst"/>
        <w:ind w:left="851"/>
        <w:rPr>
          <w:sz w:val="24"/>
          <w:szCs w:val="24"/>
          <w:lang w:val="da-DK"/>
        </w:rPr>
      </w:pPr>
    </w:p>
    <w:p w14:paraId="3E241DBE" w14:textId="77777777" w:rsidR="00944ED2" w:rsidRPr="00944ED2" w:rsidRDefault="00944ED2" w:rsidP="00F853F2">
      <w:pPr>
        <w:ind w:left="851"/>
        <w:rPr>
          <w:i/>
          <w:sz w:val="24"/>
          <w:szCs w:val="24"/>
        </w:rPr>
      </w:pPr>
      <w:r w:rsidRPr="00944ED2">
        <w:rPr>
          <w:i/>
          <w:sz w:val="24"/>
          <w:szCs w:val="24"/>
        </w:rPr>
        <w:t>Nedsat nyrefunktion</w:t>
      </w:r>
    </w:p>
    <w:p w14:paraId="0A95E5FB" w14:textId="77777777" w:rsidR="00944ED2" w:rsidRPr="00944ED2" w:rsidRDefault="00944ED2" w:rsidP="00F853F2">
      <w:pPr>
        <w:pStyle w:val="Brdtekst"/>
        <w:ind w:left="851"/>
        <w:rPr>
          <w:sz w:val="24"/>
          <w:szCs w:val="24"/>
          <w:lang w:val="da-DK"/>
        </w:rPr>
      </w:pPr>
      <w:r w:rsidRPr="00944ED2">
        <w:rPr>
          <w:sz w:val="24"/>
          <w:szCs w:val="24"/>
          <w:lang w:val="da-DK"/>
        </w:rPr>
        <w:t>Dosisjustering er ikke nødvendig hos patienter med nedsat nyrefunktion (se pkt. 5.2). På grund af manglende data anbefales brug af brivaracetam ikke til patienter med terminal nyresygdom, som er i dialyse.</w:t>
      </w:r>
    </w:p>
    <w:p w14:paraId="33A48D80" w14:textId="77777777" w:rsidR="00944ED2" w:rsidRPr="00944ED2" w:rsidRDefault="00944ED2" w:rsidP="00F853F2">
      <w:pPr>
        <w:pStyle w:val="Brdtekst"/>
        <w:ind w:left="851"/>
        <w:rPr>
          <w:sz w:val="24"/>
          <w:szCs w:val="24"/>
          <w:lang w:val="da-DK"/>
        </w:rPr>
      </w:pPr>
      <w:r w:rsidRPr="00944ED2">
        <w:rPr>
          <w:sz w:val="24"/>
          <w:szCs w:val="24"/>
          <w:lang w:val="da-DK"/>
        </w:rPr>
        <w:t>Baseret på data hos voksne er dosisjustering ikke nødvendig hos pædiatriske patienter med nedsat nyrefunktion. Der foreligger ingen kliniske data for pædiatriske patienter med nedsat nyrefunktion.</w:t>
      </w:r>
    </w:p>
    <w:p w14:paraId="4AD52DA2" w14:textId="77777777" w:rsidR="00944ED2" w:rsidRPr="00944ED2" w:rsidRDefault="00944ED2" w:rsidP="00F853F2">
      <w:pPr>
        <w:pStyle w:val="Brdtekst"/>
        <w:ind w:left="851"/>
        <w:rPr>
          <w:sz w:val="24"/>
          <w:szCs w:val="24"/>
          <w:lang w:val="da-DK"/>
        </w:rPr>
      </w:pPr>
    </w:p>
    <w:p w14:paraId="6F447A4A" w14:textId="4045BE5C" w:rsidR="00944ED2" w:rsidRDefault="00944ED2" w:rsidP="00F853F2">
      <w:pPr>
        <w:ind w:left="851"/>
        <w:rPr>
          <w:i/>
          <w:sz w:val="24"/>
          <w:szCs w:val="24"/>
        </w:rPr>
      </w:pPr>
      <w:r w:rsidRPr="00944ED2">
        <w:rPr>
          <w:i/>
          <w:sz w:val="24"/>
          <w:szCs w:val="24"/>
        </w:rPr>
        <w:t>Nedsat leverfunktion</w:t>
      </w:r>
    </w:p>
    <w:p w14:paraId="3778F553" w14:textId="24B56ECE" w:rsidR="006249D4" w:rsidRPr="006249D4" w:rsidRDefault="006249D4" w:rsidP="00F853F2">
      <w:pPr>
        <w:ind w:left="851"/>
        <w:rPr>
          <w:sz w:val="24"/>
          <w:szCs w:val="24"/>
        </w:rPr>
      </w:pPr>
      <w:r w:rsidRPr="00944ED2">
        <w:rPr>
          <w:sz w:val="24"/>
          <w:szCs w:val="24"/>
        </w:rPr>
        <w:t>Eksponering for brivaracetam var øget hos voksne patienter med kronisk leversygdom.</w:t>
      </w:r>
      <w:r w:rsidRPr="006249D4">
        <w:rPr>
          <w:sz w:val="24"/>
          <w:szCs w:val="24"/>
        </w:rPr>
        <w:t>Hos patienter med nedsat leverfunktion anbefales følgende justerede doser administreret i 2 opdelte doser, med ca. 12 timers mellemrum, ved alle stadier af nedsat leverfunktion (se pkt. 4.4 og 5.2). Der foreligger ingen kliniske data for pædiatriske patienter med nedsat leverfunktion.</w:t>
      </w:r>
    </w:p>
    <w:p w14:paraId="31144BF0" w14:textId="0C75F7F0" w:rsidR="00944ED2" w:rsidRPr="00944ED2" w:rsidRDefault="00944ED2" w:rsidP="00F853F2">
      <w:pPr>
        <w:pStyle w:val="Brdtekst"/>
        <w:ind w:left="851"/>
        <w:rPr>
          <w:sz w:val="24"/>
          <w:szCs w:val="24"/>
          <w:lang w:val="da-DK"/>
        </w:rPr>
      </w:pPr>
    </w:p>
    <w:tbl>
      <w:tblPr>
        <w:tblW w:w="893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2017"/>
        <w:gridCol w:w="1527"/>
      </w:tblGrid>
      <w:tr w:rsidR="00944ED2" w14:paraId="3D7E5587" w14:textId="77777777" w:rsidTr="00F853F2">
        <w:trPr>
          <w:trHeight w:val="506"/>
        </w:trPr>
        <w:tc>
          <w:tcPr>
            <w:tcW w:w="5386" w:type="dxa"/>
            <w:tcBorders>
              <w:top w:val="single" w:sz="4" w:space="0" w:color="000000"/>
              <w:left w:val="single" w:sz="4" w:space="0" w:color="000000"/>
              <w:bottom w:val="single" w:sz="4" w:space="0" w:color="000000"/>
              <w:right w:val="single" w:sz="4" w:space="0" w:color="000000"/>
            </w:tcBorders>
            <w:hideMark/>
          </w:tcPr>
          <w:p w14:paraId="5A3B9023" w14:textId="77777777" w:rsidR="00944ED2" w:rsidRDefault="00944ED2" w:rsidP="00F853F2">
            <w:pPr>
              <w:pStyle w:val="TableParagraph"/>
              <w:spacing w:line="240" w:lineRule="auto"/>
              <w:rPr>
                <w:b/>
                <w:lang w:val="da-DK"/>
              </w:rPr>
            </w:pPr>
          </w:p>
          <w:p w14:paraId="3C656E16" w14:textId="49804DF5" w:rsidR="00944ED2" w:rsidRDefault="00944ED2" w:rsidP="00F853F2">
            <w:pPr>
              <w:pStyle w:val="TableParagraph"/>
              <w:spacing w:line="240" w:lineRule="auto"/>
              <w:rPr>
                <w:b/>
              </w:rPr>
            </w:pPr>
            <w:r>
              <w:rPr>
                <w:b/>
              </w:rPr>
              <w:t>Alder og kropsvægt</w:t>
            </w:r>
          </w:p>
        </w:tc>
        <w:tc>
          <w:tcPr>
            <w:tcW w:w="2017" w:type="dxa"/>
            <w:tcBorders>
              <w:top w:val="single" w:sz="4" w:space="0" w:color="000000"/>
              <w:left w:val="single" w:sz="4" w:space="0" w:color="000000"/>
              <w:bottom w:val="single" w:sz="4" w:space="0" w:color="000000"/>
              <w:right w:val="single" w:sz="4" w:space="0" w:color="000000"/>
            </w:tcBorders>
            <w:hideMark/>
          </w:tcPr>
          <w:p w14:paraId="1A3D1145" w14:textId="77777777" w:rsidR="00944ED2" w:rsidRDefault="00944ED2" w:rsidP="00F853F2">
            <w:pPr>
              <w:pStyle w:val="TableParagraph"/>
              <w:spacing w:line="240" w:lineRule="auto"/>
              <w:rPr>
                <w:b/>
              </w:rPr>
            </w:pPr>
            <w:r>
              <w:rPr>
                <w:b/>
              </w:rPr>
              <w:t>Anbefalet initialdosis</w:t>
            </w:r>
          </w:p>
        </w:tc>
        <w:tc>
          <w:tcPr>
            <w:tcW w:w="1527" w:type="dxa"/>
            <w:tcBorders>
              <w:top w:val="single" w:sz="4" w:space="0" w:color="000000"/>
              <w:left w:val="single" w:sz="4" w:space="0" w:color="000000"/>
              <w:bottom w:val="single" w:sz="4" w:space="0" w:color="000000"/>
              <w:right w:val="single" w:sz="4" w:space="0" w:color="000000"/>
            </w:tcBorders>
            <w:hideMark/>
          </w:tcPr>
          <w:p w14:paraId="33CC3E49" w14:textId="77777777" w:rsidR="00944ED2" w:rsidRDefault="00944ED2" w:rsidP="00F853F2">
            <w:pPr>
              <w:pStyle w:val="TableParagraph"/>
              <w:spacing w:line="240" w:lineRule="auto"/>
              <w:rPr>
                <w:b/>
              </w:rPr>
            </w:pPr>
            <w:r>
              <w:rPr>
                <w:b/>
              </w:rPr>
              <w:t>Anbefalet maksimal daglig dosis</w:t>
            </w:r>
          </w:p>
        </w:tc>
      </w:tr>
      <w:tr w:rsidR="00944ED2" w14:paraId="0C67F2B9" w14:textId="77777777" w:rsidTr="00F853F2">
        <w:trPr>
          <w:trHeight w:val="235"/>
        </w:trPr>
        <w:tc>
          <w:tcPr>
            <w:tcW w:w="5386" w:type="dxa"/>
            <w:tcBorders>
              <w:top w:val="single" w:sz="4" w:space="0" w:color="000000"/>
              <w:left w:val="single" w:sz="4" w:space="0" w:color="000000"/>
              <w:bottom w:val="single" w:sz="4" w:space="0" w:color="000000"/>
              <w:right w:val="single" w:sz="4" w:space="0" w:color="000000"/>
            </w:tcBorders>
            <w:hideMark/>
          </w:tcPr>
          <w:p w14:paraId="58F41B90" w14:textId="536DE1A7" w:rsidR="00944ED2" w:rsidRPr="00F853F2" w:rsidRDefault="00944ED2" w:rsidP="00F853F2">
            <w:pPr>
              <w:pStyle w:val="TableParagraph"/>
              <w:spacing w:line="240" w:lineRule="auto"/>
              <w:rPr>
                <w:lang w:val="da-DK"/>
              </w:rPr>
            </w:pPr>
            <w:r>
              <w:rPr>
                <w:lang w:val="da-DK"/>
              </w:rPr>
              <w:t>Unge og børn, som vejer 50 kg eller derover, og</w:t>
            </w:r>
            <w:r w:rsidR="00F853F2">
              <w:rPr>
                <w:lang w:val="da-DK"/>
              </w:rPr>
              <w:t xml:space="preserve"> voksne</w:t>
            </w:r>
          </w:p>
        </w:tc>
        <w:tc>
          <w:tcPr>
            <w:tcW w:w="2017" w:type="dxa"/>
            <w:tcBorders>
              <w:top w:val="single" w:sz="4" w:space="0" w:color="000000"/>
              <w:left w:val="single" w:sz="4" w:space="0" w:color="000000"/>
              <w:bottom w:val="single" w:sz="4" w:space="0" w:color="000000"/>
              <w:right w:val="single" w:sz="4" w:space="0" w:color="000000"/>
            </w:tcBorders>
            <w:hideMark/>
          </w:tcPr>
          <w:p w14:paraId="27D24B64" w14:textId="77777777" w:rsidR="00944ED2" w:rsidRDefault="00944ED2" w:rsidP="00F853F2">
            <w:pPr>
              <w:pStyle w:val="TableParagraph"/>
              <w:spacing w:line="240" w:lineRule="auto"/>
            </w:pPr>
            <w:r>
              <w:t>50 mg/dag</w:t>
            </w:r>
          </w:p>
        </w:tc>
        <w:tc>
          <w:tcPr>
            <w:tcW w:w="1527" w:type="dxa"/>
            <w:tcBorders>
              <w:top w:val="single" w:sz="4" w:space="0" w:color="000000"/>
              <w:left w:val="single" w:sz="4" w:space="0" w:color="000000"/>
              <w:bottom w:val="single" w:sz="4" w:space="0" w:color="000000"/>
              <w:right w:val="single" w:sz="4" w:space="0" w:color="000000"/>
            </w:tcBorders>
            <w:hideMark/>
          </w:tcPr>
          <w:p w14:paraId="49A2FA45" w14:textId="77777777" w:rsidR="00944ED2" w:rsidRDefault="00944ED2" w:rsidP="00F853F2">
            <w:pPr>
              <w:pStyle w:val="TableParagraph"/>
              <w:spacing w:line="240" w:lineRule="auto"/>
            </w:pPr>
            <w:r>
              <w:t>150 mg/dag</w:t>
            </w:r>
          </w:p>
        </w:tc>
      </w:tr>
      <w:tr w:rsidR="00944ED2" w14:paraId="13B44E67" w14:textId="77777777" w:rsidTr="00F853F2">
        <w:trPr>
          <w:trHeight w:val="253"/>
        </w:trPr>
        <w:tc>
          <w:tcPr>
            <w:tcW w:w="5386" w:type="dxa"/>
            <w:tcBorders>
              <w:top w:val="single" w:sz="4" w:space="0" w:color="000000"/>
              <w:left w:val="single" w:sz="4" w:space="0" w:color="000000"/>
              <w:bottom w:val="single" w:sz="4" w:space="0" w:color="000000"/>
              <w:right w:val="single" w:sz="4" w:space="0" w:color="000000"/>
            </w:tcBorders>
            <w:hideMark/>
          </w:tcPr>
          <w:p w14:paraId="0AD76BE4" w14:textId="77777777" w:rsidR="00944ED2" w:rsidRDefault="00944ED2" w:rsidP="00F853F2">
            <w:pPr>
              <w:pStyle w:val="TableParagraph"/>
              <w:spacing w:line="240" w:lineRule="auto"/>
              <w:rPr>
                <w:lang w:val="da-DK"/>
              </w:rPr>
            </w:pPr>
            <w:r>
              <w:rPr>
                <w:lang w:val="da-DK"/>
              </w:rPr>
              <w:t>Unge og børn, som vejer fra 20 kg til under 50 kg</w:t>
            </w:r>
          </w:p>
        </w:tc>
        <w:tc>
          <w:tcPr>
            <w:tcW w:w="2017" w:type="dxa"/>
            <w:tcBorders>
              <w:top w:val="single" w:sz="4" w:space="0" w:color="000000"/>
              <w:left w:val="single" w:sz="4" w:space="0" w:color="000000"/>
              <w:bottom w:val="single" w:sz="4" w:space="0" w:color="000000"/>
              <w:right w:val="single" w:sz="4" w:space="0" w:color="000000"/>
            </w:tcBorders>
            <w:hideMark/>
          </w:tcPr>
          <w:p w14:paraId="0552C4A7" w14:textId="77777777" w:rsidR="00944ED2" w:rsidRDefault="00944ED2" w:rsidP="00F853F2">
            <w:pPr>
              <w:pStyle w:val="TableParagraph"/>
              <w:spacing w:line="240" w:lineRule="auto"/>
            </w:pPr>
            <w:r>
              <w:t>1 mg/kg/dag</w:t>
            </w:r>
          </w:p>
        </w:tc>
        <w:tc>
          <w:tcPr>
            <w:tcW w:w="1527" w:type="dxa"/>
            <w:tcBorders>
              <w:top w:val="single" w:sz="4" w:space="0" w:color="000000"/>
              <w:left w:val="single" w:sz="4" w:space="0" w:color="000000"/>
              <w:bottom w:val="single" w:sz="4" w:space="0" w:color="000000"/>
              <w:right w:val="single" w:sz="4" w:space="0" w:color="000000"/>
            </w:tcBorders>
            <w:hideMark/>
          </w:tcPr>
          <w:p w14:paraId="534EDE55" w14:textId="77777777" w:rsidR="00944ED2" w:rsidRDefault="00944ED2" w:rsidP="00F853F2">
            <w:pPr>
              <w:pStyle w:val="TableParagraph"/>
              <w:spacing w:line="240" w:lineRule="auto"/>
            </w:pPr>
            <w:r>
              <w:t>3 mg/kg/dag</w:t>
            </w:r>
          </w:p>
        </w:tc>
      </w:tr>
      <w:tr w:rsidR="00944ED2" w14:paraId="0A2E7401" w14:textId="77777777" w:rsidTr="00F853F2">
        <w:trPr>
          <w:trHeight w:val="254"/>
        </w:trPr>
        <w:tc>
          <w:tcPr>
            <w:tcW w:w="5386" w:type="dxa"/>
            <w:tcBorders>
              <w:top w:val="single" w:sz="4" w:space="0" w:color="000000"/>
              <w:left w:val="single" w:sz="4" w:space="0" w:color="000000"/>
              <w:bottom w:val="single" w:sz="4" w:space="0" w:color="000000"/>
              <w:right w:val="single" w:sz="4" w:space="0" w:color="000000"/>
            </w:tcBorders>
            <w:hideMark/>
          </w:tcPr>
          <w:p w14:paraId="07309200" w14:textId="77777777" w:rsidR="00944ED2" w:rsidRDefault="00944ED2" w:rsidP="00F853F2">
            <w:pPr>
              <w:pStyle w:val="TableParagraph"/>
              <w:spacing w:line="240" w:lineRule="auto"/>
              <w:rPr>
                <w:lang w:val="da-DK"/>
              </w:rPr>
            </w:pPr>
            <w:r>
              <w:rPr>
                <w:lang w:val="da-DK"/>
              </w:rPr>
              <w:t>Børn, som vejer fra 10 kg til under 20 kg</w:t>
            </w:r>
          </w:p>
        </w:tc>
        <w:tc>
          <w:tcPr>
            <w:tcW w:w="2017" w:type="dxa"/>
            <w:tcBorders>
              <w:top w:val="single" w:sz="4" w:space="0" w:color="000000"/>
              <w:left w:val="single" w:sz="4" w:space="0" w:color="000000"/>
              <w:bottom w:val="single" w:sz="4" w:space="0" w:color="000000"/>
              <w:right w:val="single" w:sz="4" w:space="0" w:color="000000"/>
            </w:tcBorders>
            <w:hideMark/>
          </w:tcPr>
          <w:p w14:paraId="6D5DAF89" w14:textId="77777777" w:rsidR="00944ED2" w:rsidRDefault="00944ED2" w:rsidP="00F853F2">
            <w:pPr>
              <w:pStyle w:val="TableParagraph"/>
              <w:spacing w:line="240" w:lineRule="auto"/>
            </w:pPr>
            <w:r>
              <w:t>1 mg/kg/dag</w:t>
            </w:r>
          </w:p>
        </w:tc>
        <w:tc>
          <w:tcPr>
            <w:tcW w:w="1527" w:type="dxa"/>
            <w:tcBorders>
              <w:top w:val="single" w:sz="4" w:space="0" w:color="000000"/>
              <w:left w:val="single" w:sz="4" w:space="0" w:color="000000"/>
              <w:bottom w:val="single" w:sz="4" w:space="0" w:color="000000"/>
              <w:right w:val="single" w:sz="4" w:space="0" w:color="000000"/>
            </w:tcBorders>
            <w:hideMark/>
          </w:tcPr>
          <w:p w14:paraId="3E241B0C" w14:textId="77777777" w:rsidR="00944ED2" w:rsidRDefault="00944ED2" w:rsidP="00F853F2">
            <w:pPr>
              <w:pStyle w:val="TableParagraph"/>
              <w:spacing w:line="240" w:lineRule="auto"/>
            </w:pPr>
            <w:r>
              <w:t>4 mg/kg/dag</w:t>
            </w:r>
          </w:p>
        </w:tc>
      </w:tr>
    </w:tbl>
    <w:p w14:paraId="3324F945" w14:textId="77777777" w:rsidR="00944ED2" w:rsidRDefault="00944ED2" w:rsidP="00F853F2">
      <w:pPr>
        <w:pStyle w:val="Brdtekst"/>
        <w:ind w:left="851"/>
        <w:rPr>
          <w:sz w:val="14"/>
        </w:rPr>
      </w:pPr>
    </w:p>
    <w:p w14:paraId="2C7B9AAB" w14:textId="77777777" w:rsidR="00944ED2" w:rsidRPr="00944ED2" w:rsidRDefault="00944ED2" w:rsidP="00F853F2">
      <w:pPr>
        <w:ind w:left="851"/>
        <w:rPr>
          <w:i/>
          <w:sz w:val="24"/>
          <w:szCs w:val="24"/>
        </w:rPr>
      </w:pPr>
      <w:r w:rsidRPr="00944ED2">
        <w:rPr>
          <w:i/>
          <w:sz w:val="24"/>
          <w:szCs w:val="24"/>
        </w:rPr>
        <w:t>Pædiatriske patienter under 2 år</w:t>
      </w:r>
    </w:p>
    <w:p w14:paraId="1CE95A5B" w14:textId="77777777" w:rsidR="00944ED2" w:rsidRPr="00944ED2" w:rsidRDefault="00944ED2" w:rsidP="00F853F2">
      <w:pPr>
        <w:pStyle w:val="Brdtekst"/>
        <w:ind w:left="851"/>
        <w:rPr>
          <w:sz w:val="24"/>
          <w:szCs w:val="24"/>
          <w:lang w:val="da-DK"/>
        </w:rPr>
      </w:pPr>
      <w:r w:rsidRPr="00944ED2">
        <w:rPr>
          <w:sz w:val="24"/>
          <w:szCs w:val="24"/>
          <w:lang w:val="da-DK"/>
        </w:rPr>
        <w:t>Brivaracetams virkning hos pædiatriske patienter under 2 år er endnu ikke klarlagt.</w:t>
      </w:r>
    </w:p>
    <w:p w14:paraId="3F3C0C6E" w14:textId="77777777" w:rsidR="00944ED2" w:rsidRPr="00944ED2" w:rsidRDefault="00944ED2" w:rsidP="00F853F2">
      <w:pPr>
        <w:pStyle w:val="Brdtekst"/>
        <w:ind w:left="851"/>
        <w:rPr>
          <w:sz w:val="24"/>
          <w:szCs w:val="24"/>
          <w:lang w:val="da-DK"/>
        </w:rPr>
      </w:pPr>
      <w:r w:rsidRPr="00944ED2">
        <w:rPr>
          <w:sz w:val="24"/>
          <w:szCs w:val="24"/>
          <w:lang w:val="da-DK"/>
        </w:rPr>
        <w:t>De foreliggende data er beskrevet i pkt. 4.8, 5.1 og 5.2, men der kan ikke gives nogen anbefalinger vedrørende dosering.</w:t>
      </w:r>
    </w:p>
    <w:p w14:paraId="7DB5BAB7" w14:textId="77777777" w:rsidR="00944ED2" w:rsidRPr="00944ED2" w:rsidRDefault="00944ED2" w:rsidP="00F853F2">
      <w:pPr>
        <w:pStyle w:val="Brdtekst"/>
        <w:ind w:left="851"/>
        <w:rPr>
          <w:sz w:val="24"/>
          <w:szCs w:val="24"/>
          <w:lang w:val="da-DK"/>
        </w:rPr>
      </w:pPr>
    </w:p>
    <w:p w14:paraId="3FC8E7C1" w14:textId="77777777" w:rsidR="00944ED2" w:rsidRPr="00944ED2" w:rsidRDefault="00944ED2" w:rsidP="00F853F2">
      <w:pPr>
        <w:pStyle w:val="Brdtekst"/>
        <w:ind w:left="851"/>
        <w:rPr>
          <w:sz w:val="24"/>
          <w:szCs w:val="24"/>
          <w:lang w:val="da-DK"/>
        </w:rPr>
      </w:pPr>
      <w:r w:rsidRPr="00944ED2">
        <w:rPr>
          <w:sz w:val="24"/>
          <w:szCs w:val="24"/>
          <w:u w:val="single"/>
          <w:lang w:val="da-DK"/>
        </w:rPr>
        <w:t>Administration</w:t>
      </w:r>
    </w:p>
    <w:p w14:paraId="6E15049A" w14:textId="77777777" w:rsidR="00944ED2" w:rsidRPr="00944ED2" w:rsidRDefault="00944ED2" w:rsidP="00F853F2">
      <w:pPr>
        <w:pStyle w:val="Brdtekst"/>
        <w:ind w:left="851"/>
        <w:rPr>
          <w:sz w:val="24"/>
          <w:szCs w:val="24"/>
          <w:lang w:val="da-DK"/>
        </w:rPr>
      </w:pPr>
      <w:r w:rsidRPr="00944ED2">
        <w:rPr>
          <w:sz w:val="24"/>
          <w:szCs w:val="24"/>
          <w:lang w:val="da-DK"/>
        </w:rPr>
        <w:t>Brivaracetam oral opløsning kan opløses i vand eller juice umiddelbart før indtagelse og kan tages med eller uden mad (se pkt. 5.2). Der kan anvendes en nasogastrisk sonde eller en gastrostomisonde til administration af brivaracetam oral</w:t>
      </w:r>
      <w:r w:rsidRPr="00944ED2">
        <w:rPr>
          <w:spacing w:val="-4"/>
          <w:sz w:val="24"/>
          <w:szCs w:val="24"/>
          <w:lang w:val="da-DK"/>
        </w:rPr>
        <w:t xml:space="preserve"> </w:t>
      </w:r>
      <w:r w:rsidRPr="00944ED2">
        <w:rPr>
          <w:sz w:val="24"/>
          <w:szCs w:val="24"/>
          <w:lang w:val="da-DK"/>
        </w:rPr>
        <w:t>opløsning.</w:t>
      </w:r>
    </w:p>
    <w:p w14:paraId="375E78DD" w14:textId="77777777" w:rsidR="00944ED2" w:rsidRPr="00944ED2" w:rsidRDefault="00944ED2" w:rsidP="00F853F2">
      <w:pPr>
        <w:pStyle w:val="Brdtekst"/>
        <w:ind w:left="851"/>
        <w:rPr>
          <w:sz w:val="24"/>
          <w:szCs w:val="24"/>
          <w:lang w:val="da-DK"/>
        </w:rPr>
      </w:pPr>
    </w:p>
    <w:p w14:paraId="3E4F85EF" w14:textId="77777777" w:rsidR="00944ED2" w:rsidRPr="00944ED2" w:rsidRDefault="00944ED2" w:rsidP="00F853F2">
      <w:pPr>
        <w:pStyle w:val="Brdtekst"/>
        <w:ind w:left="851"/>
        <w:rPr>
          <w:sz w:val="24"/>
          <w:szCs w:val="24"/>
          <w:lang w:val="da-DK"/>
        </w:rPr>
      </w:pPr>
      <w:r w:rsidRPr="00944ED2">
        <w:rPr>
          <w:sz w:val="24"/>
          <w:szCs w:val="24"/>
          <w:lang w:val="da-DK"/>
        </w:rPr>
        <w:t>Brivaracetam "Desitin" oral opløsning leveres med en 5 ml og en 10 ml oral doseringssprøjte med adapter. Brugsanvisning findes i indlægssedlen.</w:t>
      </w:r>
    </w:p>
    <w:p w14:paraId="04BA41BB" w14:textId="77777777" w:rsidR="009260DE" w:rsidRPr="00C84483" w:rsidRDefault="009260DE" w:rsidP="00F853F2">
      <w:pPr>
        <w:tabs>
          <w:tab w:val="left" w:pos="851"/>
        </w:tabs>
        <w:ind w:left="851"/>
        <w:rPr>
          <w:sz w:val="24"/>
          <w:szCs w:val="24"/>
        </w:rPr>
      </w:pPr>
    </w:p>
    <w:p w14:paraId="787844DF" w14:textId="77777777" w:rsidR="009260DE" w:rsidRPr="00C84483" w:rsidRDefault="009260DE" w:rsidP="00F853F2">
      <w:pPr>
        <w:tabs>
          <w:tab w:val="left" w:pos="851"/>
        </w:tabs>
        <w:ind w:left="851" w:hanging="851"/>
        <w:rPr>
          <w:b/>
          <w:sz w:val="24"/>
          <w:szCs w:val="24"/>
        </w:rPr>
      </w:pPr>
      <w:r w:rsidRPr="00C84483">
        <w:rPr>
          <w:b/>
          <w:sz w:val="24"/>
          <w:szCs w:val="24"/>
        </w:rPr>
        <w:t>4.3</w:t>
      </w:r>
      <w:r w:rsidRPr="00C84483">
        <w:rPr>
          <w:b/>
          <w:sz w:val="24"/>
          <w:szCs w:val="24"/>
        </w:rPr>
        <w:tab/>
        <w:t>Kontraindikationer</w:t>
      </w:r>
    </w:p>
    <w:p w14:paraId="7D161FE6" w14:textId="6F13E895" w:rsidR="00F853F2" w:rsidRDefault="00F853F2" w:rsidP="00F853F2">
      <w:pPr>
        <w:tabs>
          <w:tab w:val="left" w:pos="851"/>
        </w:tabs>
        <w:ind w:left="851"/>
        <w:rPr>
          <w:sz w:val="24"/>
          <w:szCs w:val="24"/>
        </w:rPr>
      </w:pPr>
      <w:r w:rsidRPr="00F853F2">
        <w:rPr>
          <w:sz w:val="24"/>
          <w:szCs w:val="24"/>
        </w:rPr>
        <w:t>Overfølsomhed over for det aktive stof eller over for andre pyrrolidonderivater eller et eller flere af hjælpestofferne anført i pkt. 6.1.</w:t>
      </w:r>
    </w:p>
    <w:p w14:paraId="4998647A" w14:textId="77777777" w:rsidR="009260DE" w:rsidRPr="00C84483" w:rsidRDefault="009260DE" w:rsidP="00F853F2">
      <w:pPr>
        <w:tabs>
          <w:tab w:val="left" w:pos="851"/>
        </w:tabs>
        <w:ind w:left="851"/>
        <w:rPr>
          <w:sz w:val="24"/>
          <w:szCs w:val="24"/>
        </w:rPr>
      </w:pPr>
    </w:p>
    <w:p w14:paraId="54D2A434" w14:textId="77777777" w:rsidR="009260DE" w:rsidRPr="00C84483" w:rsidRDefault="009260DE" w:rsidP="00F853F2">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15B635B3" w14:textId="77777777" w:rsidR="00F853F2" w:rsidRPr="00F853F2" w:rsidRDefault="00F853F2" w:rsidP="00F853F2">
      <w:pPr>
        <w:tabs>
          <w:tab w:val="left" w:pos="851"/>
        </w:tabs>
        <w:ind w:left="851"/>
        <w:rPr>
          <w:b/>
          <w:sz w:val="24"/>
          <w:szCs w:val="24"/>
        </w:rPr>
      </w:pPr>
    </w:p>
    <w:p w14:paraId="0A36C782" w14:textId="77777777" w:rsidR="00F853F2" w:rsidRPr="00F853F2" w:rsidRDefault="00F853F2" w:rsidP="00F853F2">
      <w:pPr>
        <w:tabs>
          <w:tab w:val="left" w:pos="851"/>
        </w:tabs>
        <w:ind w:left="851"/>
        <w:rPr>
          <w:sz w:val="24"/>
          <w:szCs w:val="24"/>
        </w:rPr>
      </w:pPr>
      <w:r w:rsidRPr="00F853F2">
        <w:rPr>
          <w:sz w:val="24"/>
          <w:szCs w:val="24"/>
          <w:u w:val="single"/>
        </w:rPr>
        <w:t>Selvmordstanker og -adfærd</w:t>
      </w:r>
    </w:p>
    <w:p w14:paraId="2A606E29" w14:textId="77777777" w:rsidR="00F853F2" w:rsidRPr="00F853F2" w:rsidRDefault="00F853F2" w:rsidP="00F853F2">
      <w:pPr>
        <w:tabs>
          <w:tab w:val="left" w:pos="851"/>
        </w:tabs>
        <w:ind w:left="851"/>
        <w:rPr>
          <w:sz w:val="24"/>
          <w:szCs w:val="24"/>
        </w:rPr>
      </w:pPr>
      <w:r w:rsidRPr="00F853F2">
        <w:rPr>
          <w:sz w:val="24"/>
          <w:szCs w:val="24"/>
        </w:rPr>
        <w:t>Selvmordstanker og -adfærd er rapporteret for flere indikationer hos patienter i behandling med antiepileptika inklusive brivaracetam. En metaanalyse af randomiserede, placebokontrollerede kliniske studier med antiepileptika har også vist en let øget risiko for selvmordstanker og -adfærd. Mekanismen bag denne risiko er ikke kendt og de tilgængelige data udelukker ikke muligheden for en forøget risiko med brivaracetam.</w:t>
      </w:r>
    </w:p>
    <w:p w14:paraId="506EE932" w14:textId="77777777" w:rsidR="00F853F2" w:rsidRPr="00F853F2" w:rsidRDefault="00F853F2" w:rsidP="00F853F2">
      <w:pPr>
        <w:tabs>
          <w:tab w:val="left" w:pos="851"/>
        </w:tabs>
        <w:ind w:left="851"/>
        <w:rPr>
          <w:sz w:val="24"/>
          <w:szCs w:val="24"/>
        </w:rPr>
      </w:pPr>
      <w:r w:rsidRPr="00F853F2">
        <w:rPr>
          <w:sz w:val="24"/>
          <w:szCs w:val="24"/>
        </w:rPr>
        <w:t xml:space="preserve">Patienter bør overvåges for, om de får tegn på selvmordstanker og -adfærd, og passende behandling bør overvejes. Patienter (og plejepersonale) bør rådes til straks at kontakte en </w:t>
      </w:r>
      <w:r w:rsidRPr="00F853F2">
        <w:rPr>
          <w:sz w:val="24"/>
          <w:szCs w:val="24"/>
        </w:rPr>
        <w:lastRenderedPageBreak/>
        <w:t>læge, hvis der opstår tegn på selvmordstanker eller -adfærd. Se også pkt. 4.8, pædiatriske data.</w:t>
      </w:r>
    </w:p>
    <w:p w14:paraId="49F4F5E2" w14:textId="77777777" w:rsidR="00F853F2" w:rsidRPr="00F853F2" w:rsidRDefault="00F853F2" w:rsidP="00F853F2">
      <w:pPr>
        <w:tabs>
          <w:tab w:val="left" w:pos="851"/>
        </w:tabs>
        <w:ind w:left="851"/>
        <w:rPr>
          <w:sz w:val="24"/>
          <w:szCs w:val="24"/>
        </w:rPr>
      </w:pPr>
    </w:p>
    <w:p w14:paraId="5589CD52" w14:textId="77777777" w:rsidR="00F853F2" w:rsidRPr="00F853F2" w:rsidRDefault="00F853F2" w:rsidP="00F853F2">
      <w:pPr>
        <w:tabs>
          <w:tab w:val="left" w:pos="851"/>
        </w:tabs>
        <w:ind w:left="851"/>
        <w:rPr>
          <w:sz w:val="24"/>
          <w:szCs w:val="24"/>
        </w:rPr>
      </w:pPr>
      <w:r w:rsidRPr="00F853F2">
        <w:rPr>
          <w:sz w:val="24"/>
          <w:szCs w:val="24"/>
          <w:u w:val="single"/>
        </w:rPr>
        <w:t>Nedsat leverfunktion</w:t>
      </w:r>
    </w:p>
    <w:p w14:paraId="0820315C" w14:textId="77777777" w:rsidR="00F853F2" w:rsidRPr="00F853F2" w:rsidRDefault="00F853F2" w:rsidP="00F853F2">
      <w:pPr>
        <w:tabs>
          <w:tab w:val="left" w:pos="851"/>
        </w:tabs>
        <w:ind w:left="851"/>
        <w:rPr>
          <w:sz w:val="24"/>
          <w:szCs w:val="24"/>
        </w:rPr>
      </w:pPr>
      <w:r w:rsidRPr="00F853F2">
        <w:rPr>
          <w:sz w:val="24"/>
          <w:szCs w:val="24"/>
        </w:rPr>
        <w:t>Der foreligger begrænsede kliniske data om brug af brivaracetam til patienter med eksisterende leverfunktionsnedsættelse. Dosisjustering anbefales hos patienter med nedsat leverfunktion (se pkt. 4.2).</w:t>
      </w:r>
    </w:p>
    <w:p w14:paraId="56125775" w14:textId="77777777" w:rsidR="00F853F2" w:rsidRPr="00F853F2" w:rsidRDefault="00F853F2" w:rsidP="00F853F2">
      <w:pPr>
        <w:tabs>
          <w:tab w:val="left" w:pos="851"/>
        </w:tabs>
        <w:ind w:left="851"/>
        <w:rPr>
          <w:sz w:val="24"/>
          <w:szCs w:val="24"/>
        </w:rPr>
      </w:pPr>
    </w:p>
    <w:p w14:paraId="18B216D2" w14:textId="77777777" w:rsidR="00F853F2" w:rsidRPr="00F853F2" w:rsidRDefault="00F853F2" w:rsidP="00F853F2">
      <w:pPr>
        <w:tabs>
          <w:tab w:val="left" w:pos="851"/>
        </w:tabs>
        <w:ind w:left="851"/>
        <w:rPr>
          <w:sz w:val="24"/>
          <w:szCs w:val="24"/>
        </w:rPr>
      </w:pPr>
      <w:r w:rsidRPr="00F853F2">
        <w:rPr>
          <w:sz w:val="24"/>
          <w:szCs w:val="24"/>
          <w:u w:val="single"/>
        </w:rPr>
        <w:t>Svære kutane bivirkninger</w:t>
      </w:r>
    </w:p>
    <w:p w14:paraId="53CB11CB" w14:textId="77777777" w:rsidR="00F853F2" w:rsidRPr="00F853F2" w:rsidRDefault="00F853F2" w:rsidP="00F853F2">
      <w:pPr>
        <w:tabs>
          <w:tab w:val="left" w:pos="851"/>
        </w:tabs>
        <w:ind w:left="851"/>
        <w:rPr>
          <w:sz w:val="24"/>
          <w:szCs w:val="24"/>
        </w:rPr>
      </w:pPr>
      <w:r w:rsidRPr="00F853F2">
        <w:rPr>
          <w:sz w:val="24"/>
          <w:szCs w:val="24"/>
        </w:rPr>
        <w:t>Svære kutane bivirkninger, herunder Stevens-Johnsons syndrom, som kan være livstruende eller dødelig, er rapporteret i forbindelse med behandling med brivaracetam. Ved ordination skal patienterne informeres om tegn og symptomer og overvåges nøje for hudreaktioner. Hvis der opstår tegn og symptomer på disse reaktioner, skal brivaracetam straks seponeres, og en alternativ behandling skal overvejes.</w:t>
      </w:r>
    </w:p>
    <w:p w14:paraId="30ABEFCC" w14:textId="77777777" w:rsidR="00F853F2" w:rsidRDefault="00F853F2" w:rsidP="00F853F2">
      <w:pPr>
        <w:tabs>
          <w:tab w:val="left" w:pos="851"/>
        </w:tabs>
        <w:ind w:left="851"/>
        <w:rPr>
          <w:sz w:val="24"/>
          <w:szCs w:val="24"/>
          <w:u w:val="single"/>
        </w:rPr>
      </w:pPr>
    </w:p>
    <w:p w14:paraId="4B30AC01" w14:textId="3E8FE0B2" w:rsidR="00F853F2" w:rsidRPr="00F853F2" w:rsidRDefault="00F853F2" w:rsidP="00F853F2">
      <w:pPr>
        <w:tabs>
          <w:tab w:val="left" w:pos="851"/>
        </w:tabs>
        <w:ind w:left="851"/>
        <w:rPr>
          <w:sz w:val="24"/>
          <w:szCs w:val="24"/>
        </w:rPr>
      </w:pPr>
      <w:r w:rsidRPr="00F853F2">
        <w:rPr>
          <w:sz w:val="24"/>
          <w:szCs w:val="24"/>
          <w:u w:val="single"/>
        </w:rPr>
        <w:t>Hjælpestoffer</w:t>
      </w:r>
    </w:p>
    <w:p w14:paraId="254373F6" w14:textId="77777777" w:rsidR="00F853F2" w:rsidRPr="00F853F2" w:rsidRDefault="00F853F2" w:rsidP="00F853F2">
      <w:pPr>
        <w:tabs>
          <w:tab w:val="left" w:pos="851"/>
        </w:tabs>
        <w:ind w:left="851"/>
        <w:rPr>
          <w:sz w:val="24"/>
          <w:szCs w:val="24"/>
        </w:rPr>
      </w:pPr>
    </w:p>
    <w:p w14:paraId="27C476CA" w14:textId="77777777" w:rsidR="00F853F2" w:rsidRPr="00F853F2" w:rsidRDefault="00F853F2" w:rsidP="00F853F2">
      <w:pPr>
        <w:tabs>
          <w:tab w:val="left" w:pos="851"/>
        </w:tabs>
        <w:ind w:left="851"/>
        <w:rPr>
          <w:i/>
          <w:sz w:val="24"/>
          <w:szCs w:val="24"/>
        </w:rPr>
      </w:pPr>
      <w:r w:rsidRPr="00F853F2">
        <w:rPr>
          <w:i/>
          <w:sz w:val="24"/>
          <w:szCs w:val="24"/>
        </w:rPr>
        <w:t>Natriumindhold</w:t>
      </w:r>
    </w:p>
    <w:p w14:paraId="370DF5BB" w14:textId="77777777" w:rsidR="00F853F2" w:rsidRPr="00F853F2" w:rsidRDefault="00F853F2" w:rsidP="00F853F2">
      <w:pPr>
        <w:tabs>
          <w:tab w:val="left" w:pos="851"/>
        </w:tabs>
        <w:ind w:left="851"/>
        <w:rPr>
          <w:sz w:val="24"/>
          <w:szCs w:val="24"/>
        </w:rPr>
      </w:pPr>
      <w:r w:rsidRPr="00F853F2">
        <w:rPr>
          <w:sz w:val="24"/>
          <w:szCs w:val="24"/>
        </w:rPr>
        <w:t>Brivaracetam oral opløsning indeholder mindre end 1 mmol (23 mg) natrium pr. ml, dvs. den er i det væsentlige natriumfri.</w:t>
      </w:r>
    </w:p>
    <w:p w14:paraId="2D98D250" w14:textId="77777777" w:rsidR="00F853F2" w:rsidRPr="00F853F2" w:rsidRDefault="00F853F2" w:rsidP="00F853F2">
      <w:pPr>
        <w:tabs>
          <w:tab w:val="left" w:pos="851"/>
        </w:tabs>
        <w:ind w:left="851"/>
        <w:rPr>
          <w:sz w:val="24"/>
          <w:szCs w:val="24"/>
        </w:rPr>
      </w:pPr>
    </w:p>
    <w:p w14:paraId="5AC9168F" w14:textId="77777777" w:rsidR="00F853F2" w:rsidRPr="00F853F2" w:rsidRDefault="00F853F2" w:rsidP="00F853F2">
      <w:pPr>
        <w:tabs>
          <w:tab w:val="left" w:pos="851"/>
        </w:tabs>
        <w:ind w:left="851"/>
        <w:rPr>
          <w:i/>
          <w:sz w:val="24"/>
          <w:szCs w:val="24"/>
        </w:rPr>
      </w:pPr>
      <w:r w:rsidRPr="00F853F2">
        <w:rPr>
          <w:i/>
          <w:sz w:val="24"/>
          <w:szCs w:val="24"/>
        </w:rPr>
        <w:t>Fructoseintolerans</w:t>
      </w:r>
    </w:p>
    <w:p w14:paraId="6F73616F" w14:textId="77777777" w:rsidR="00F853F2" w:rsidRPr="00F853F2" w:rsidRDefault="00F853F2" w:rsidP="00F853F2">
      <w:pPr>
        <w:tabs>
          <w:tab w:val="left" w:pos="851"/>
        </w:tabs>
        <w:ind w:left="851"/>
        <w:rPr>
          <w:sz w:val="24"/>
          <w:szCs w:val="24"/>
        </w:rPr>
      </w:pPr>
      <w:r w:rsidRPr="00F853F2">
        <w:rPr>
          <w:sz w:val="24"/>
          <w:szCs w:val="24"/>
        </w:rPr>
        <w:t>Dette lægemiddel indeholder 168 mg sorbitol pr. ml. Patienter med hereditær fructoseintolerans (HFI) bør ikke tage dette lægemiddel.</w:t>
      </w:r>
    </w:p>
    <w:p w14:paraId="386DD856" w14:textId="77777777" w:rsidR="00F853F2" w:rsidRPr="00F853F2" w:rsidRDefault="00F853F2" w:rsidP="00F853F2">
      <w:pPr>
        <w:tabs>
          <w:tab w:val="left" w:pos="851"/>
        </w:tabs>
        <w:ind w:left="851"/>
        <w:rPr>
          <w:sz w:val="24"/>
          <w:szCs w:val="24"/>
        </w:rPr>
      </w:pPr>
    </w:p>
    <w:p w14:paraId="69111C34" w14:textId="77777777" w:rsidR="00F853F2" w:rsidRPr="00F853F2" w:rsidRDefault="00F853F2" w:rsidP="00F853F2">
      <w:pPr>
        <w:tabs>
          <w:tab w:val="left" w:pos="851"/>
        </w:tabs>
        <w:ind w:left="851"/>
        <w:rPr>
          <w:i/>
          <w:sz w:val="24"/>
          <w:szCs w:val="24"/>
        </w:rPr>
      </w:pPr>
      <w:r w:rsidRPr="00F853F2">
        <w:rPr>
          <w:i/>
          <w:sz w:val="24"/>
          <w:szCs w:val="24"/>
        </w:rPr>
        <w:t>Hjælpestoffer der kan forårsage intolerans</w:t>
      </w:r>
    </w:p>
    <w:p w14:paraId="5073E33C" w14:textId="77777777" w:rsidR="00F853F2" w:rsidRPr="00F853F2" w:rsidRDefault="00F853F2" w:rsidP="00F853F2">
      <w:pPr>
        <w:tabs>
          <w:tab w:val="left" w:pos="851"/>
        </w:tabs>
        <w:ind w:left="851"/>
        <w:rPr>
          <w:sz w:val="24"/>
          <w:szCs w:val="24"/>
        </w:rPr>
      </w:pPr>
      <w:r w:rsidRPr="00F853F2">
        <w:rPr>
          <w:sz w:val="24"/>
          <w:szCs w:val="24"/>
        </w:rPr>
        <w:t>Den orale opløsning indeholder methylparahydroxybenzoate, der kan give allergiske reaktioner (kan optræde efter behandlingen).</w:t>
      </w:r>
    </w:p>
    <w:p w14:paraId="08E167AA" w14:textId="77777777" w:rsidR="00F853F2" w:rsidRPr="00F853F2" w:rsidRDefault="00F853F2" w:rsidP="00F853F2">
      <w:pPr>
        <w:tabs>
          <w:tab w:val="left" w:pos="851"/>
        </w:tabs>
        <w:ind w:left="851"/>
        <w:rPr>
          <w:sz w:val="24"/>
          <w:szCs w:val="24"/>
        </w:rPr>
      </w:pPr>
      <w:r w:rsidRPr="00F853F2">
        <w:rPr>
          <w:sz w:val="24"/>
          <w:szCs w:val="24"/>
        </w:rPr>
        <w:t>Brivaracetam oral opløsning indeholder propylenglycol (E 1520).</w:t>
      </w:r>
    </w:p>
    <w:p w14:paraId="7B23A7D8" w14:textId="77777777" w:rsidR="009260DE" w:rsidRPr="00C84483" w:rsidRDefault="009260DE" w:rsidP="00F853F2">
      <w:pPr>
        <w:tabs>
          <w:tab w:val="left" w:pos="851"/>
        </w:tabs>
        <w:ind w:left="851"/>
        <w:rPr>
          <w:sz w:val="24"/>
          <w:szCs w:val="24"/>
        </w:rPr>
      </w:pPr>
    </w:p>
    <w:p w14:paraId="21EAF824" w14:textId="77777777" w:rsidR="009260DE" w:rsidRPr="00C84483" w:rsidRDefault="009260DE" w:rsidP="00F853F2">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67F1E804" w14:textId="77777777" w:rsidR="00344E8B" w:rsidRDefault="00F853F2" w:rsidP="00F853F2">
      <w:pPr>
        <w:tabs>
          <w:tab w:val="left" w:pos="851"/>
        </w:tabs>
        <w:ind w:left="851"/>
        <w:rPr>
          <w:sz w:val="24"/>
          <w:szCs w:val="24"/>
        </w:rPr>
      </w:pPr>
      <w:r w:rsidRPr="00F853F2">
        <w:rPr>
          <w:sz w:val="24"/>
          <w:szCs w:val="24"/>
        </w:rPr>
        <w:t>Formelle interaktionsstudier er kun udført hos voksne.</w:t>
      </w:r>
    </w:p>
    <w:p w14:paraId="3E2F5C4B" w14:textId="77777777" w:rsidR="00344E8B" w:rsidRDefault="00344E8B" w:rsidP="00F853F2">
      <w:pPr>
        <w:tabs>
          <w:tab w:val="left" w:pos="851"/>
        </w:tabs>
        <w:ind w:left="851"/>
        <w:rPr>
          <w:sz w:val="24"/>
          <w:szCs w:val="24"/>
        </w:rPr>
      </w:pPr>
    </w:p>
    <w:p w14:paraId="023C1CA2" w14:textId="39F48555" w:rsidR="00F853F2" w:rsidRPr="00F853F2" w:rsidRDefault="00F853F2" w:rsidP="00F853F2">
      <w:pPr>
        <w:tabs>
          <w:tab w:val="left" w:pos="851"/>
        </w:tabs>
        <w:ind w:left="851"/>
        <w:rPr>
          <w:sz w:val="24"/>
          <w:szCs w:val="24"/>
        </w:rPr>
      </w:pPr>
      <w:r w:rsidRPr="00F853F2">
        <w:rPr>
          <w:sz w:val="24"/>
          <w:szCs w:val="24"/>
          <w:u w:val="single"/>
        </w:rPr>
        <w:t>Farmakodynamiske interaktioner</w:t>
      </w:r>
    </w:p>
    <w:p w14:paraId="03411FDF" w14:textId="77777777" w:rsidR="00344E8B" w:rsidRDefault="00344E8B" w:rsidP="00F853F2">
      <w:pPr>
        <w:tabs>
          <w:tab w:val="left" w:pos="851"/>
        </w:tabs>
        <w:ind w:left="851"/>
        <w:rPr>
          <w:i/>
          <w:sz w:val="24"/>
          <w:szCs w:val="24"/>
        </w:rPr>
      </w:pPr>
    </w:p>
    <w:p w14:paraId="572329D9" w14:textId="74ABF0C8" w:rsidR="00F853F2" w:rsidRPr="00F853F2" w:rsidRDefault="00F853F2" w:rsidP="00F853F2">
      <w:pPr>
        <w:tabs>
          <w:tab w:val="left" w:pos="851"/>
        </w:tabs>
        <w:ind w:left="851"/>
        <w:rPr>
          <w:i/>
          <w:sz w:val="24"/>
          <w:szCs w:val="24"/>
        </w:rPr>
      </w:pPr>
      <w:r w:rsidRPr="00F853F2">
        <w:rPr>
          <w:i/>
          <w:sz w:val="24"/>
          <w:szCs w:val="24"/>
        </w:rPr>
        <w:t>Samtidig behandling med levetiracetam</w:t>
      </w:r>
    </w:p>
    <w:p w14:paraId="7B09501C" w14:textId="77777777" w:rsidR="00F853F2" w:rsidRPr="00F853F2" w:rsidRDefault="00F853F2" w:rsidP="00F853F2">
      <w:pPr>
        <w:tabs>
          <w:tab w:val="left" w:pos="851"/>
        </w:tabs>
        <w:ind w:left="851"/>
        <w:rPr>
          <w:sz w:val="24"/>
          <w:szCs w:val="24"/>
        </w:rPr>
      </w:pPr>
      <w:r w:rsidRPr="00F853F2">
        <w:rPr>
          <w:sz w:val="24"/>
          <w:szCs w:val="24"/>
        </w:rPr>
        <w:t xml:space="preserve">I kliniske studier, selvom antallet var begrænset, blev der ikke observeret fordele ved brivaracetam </w:t>
      </w:r>
      <w:r w:rsidRPr="00F853F2">
        <w:rPr>
          <w:i/>
          <w:sz w:val="24"/>
          <w:szCs w:val="24"/>
        </w:rPr>
        <w:t xml:space="preserve">versus </w:t>
      </w:r>
      <w:r w:rsidRPr="00F853F2">
        <w:rPr>
          <w:sz w:val="24"/>
          <w:szCs w:val="24"/>
        </w:rPr>
        <w:t>placebo hos patienter, som samtidig tog levetiracetam. Der blev ikke observeret yderligere sikkerheds- eller tolerabilitetsproblemer (se pkt. 5.1).</w:t>
      </w:r>
    </w:p>
    <w:p w14:paraId="2F5330B1" w14:textId="77777777" w:rsidR="00F853F2" w:rsidRPr="00F853F2" w:rsidRDefault="00F853F2" w:rsidP="00F853F2">
      <w:pPr>
        <w:tabs>
          <w:tab w:val="left" w:pos="851"/>
        </w:tabs>
        <w:ind w:left="851"/>
        <w:rPr>
          <w:sz w:val="24"/>
          <w:szCs w:val="24"/>
        </w:rPr>
      </w:pPr>
    </w:p>
    <w:p w14:paraId="257FCD25" w14:textId="77777777" w:rsidR="00F853F2" w:rsidRPr="00F853F2" w:rsidRDefault="00F853F2" w:rsidP="00F853F2">
      <w:pPr>
        <w:tabs>
          <w:tab w:val="left" w:pos="851"/>
        </w:tabs>
        <w:ind w:left="851"/>
        <w:rPr>
          <w:i/>
          <w:sz w:val="24"/>
          <w:szCs w:val="24"/>
        </w:rPr>
      </w:pPr>
      <w:r w:rsidRPr="00F853F2">
        <w:rPr>
          <w:i/>
          <w:sz w:val="24"/>
          <w:szCs w:val="24"/>
        </w:rPr>
        <w:t>Interaktion med alkohol</w:t>
      </w:r>
    </w:p>
    <w:p w14:paraId="32EDCBED" w14:textId="77777777" w:rsidR="00F853F2" w:rsidRPr="00F853F2" w:rsidRDefault="00F853F2" w:rsidP="00F853F2">
      <w:pPr>
        <w:tabs>
          <w:tab w:val="left" w:pos="851"/>
        </w:tabs>
        <w:ind w:left="851"/>
        <w:rPr>
          <w:sz w:val="24"/>
          <w:szCs w:val="24"/>
        </w:rPr>
      </w:pPr>
      <w:r w:rsidRPr="00F853F2">
        <w:rPr>
          <w:sz w:val="24"/>
          <w:szCs w:val="24"/>
        </w:rPr>
        <w:t>I et farmakokinetisk og farmakodynamisk interaktionsstudie sås der ingen farmakokinetisk interaktion mellem en enkeltdosis brivaracetam 200 mg og kontinuerlig infusion af ethanol 0,6 g/l hos raske forsøgspersoner, men brivaracetam omtrent fordoblede effekten af alkohol på psykomotoriske funktioner, opmærksomhed og hukommelse. Samtidig indtagelse af brivaracetam og alkohol anbefales ikke.</w:t>
      </w:r>
    </w:p>
    <w:p w14:paraId="67B50183" w14:textId="7470612F" w:rsidR="00344E8B" w:rsidRDefault="00344E8B">
      <w:pPr>
        <w:rPr>
          <w:sz w:val="24"/>
          <w:szCs w:val="24"/>
        </w:rPr>
      </w:pPr>
      <w:r>
        <w:rPr>
          <w:sz w:val="24"/>
          <w:szCs w:val="24"/>
        </w:rPr>
        <w:br w:type="page"/>
      </w:r>
    </w:p>
    <w:p w14:paraId="164D4A9B" w14:textId="77777777" w:rsidR="00F853F2" w:rsidRPr="00F853F2" w:rsidRDefault="00F853F2" w:rsidP="00F853F2">
      <w:pPr>
        <w:tabs>
          <w:tab w:val="left" w:pos="851"/>
        </w:tabs>
        <w:ind w:left="851"/>
        <w:rPr>
          <w:sz w:val="24"/>
          <w:szCs w:val="24"/>
        </w:rPr>
      </w:pPr>
    </w:p>
    <w:p w14:paraId="2607E432" w14:textId="77777777" w:rsidR="00F853F2" w:rsidRPr="00F853F2" w:rsidRDefault="00F853F2" w:rsidP="00F853F2">
      <w:pPr>
        <w:tabs>
          <w:tab w:val="left" w:pos="851"/>
        </w:tabs>
        <w:ind w:left="851"/>
        <w:rPr>
          <w:sz w:val="24"/>
          <w:szCs w:val="24"/>
        </w:rPr>
      </w:pPr>
      <w:r w:rsidRPr="00F853F2">
        <w:rPr>
          <w:sz w:val="24"/>
          <w:szCs w:val="24"/>
          <w:u w:val="single"/>
        </w:rPr>
        <w:t>Farmakokinetiske interaktioner</w:t>
      </w:r>
    </w:p>
    <w:p w14:paraId="17CA1155" w14:textId="77777777" w:rsidR="00F853F2" w:rsidRPr="00F853F2" w:rsidRDefault="00F853F2" w:rsidP="00F853F2">
      <w:pPr>
        <w:tabs>
          <w:tab w:val="left" w:pos="851"/>
        </w:tabs>
        <w:ind w:left="851"/>
        <w:rPr>
          <w:sz w:val="24"/>
          <w:szCs w:val="24"/>
        </w:rPr>
      </w:pPr>
    </w:p>
    <w:p w14:paraId="3E07A213" w14:textId="77777777" w:rsidR="00F853F2" w:rsidRPr="00F853F2" w:rsidRDefault="00F853F2" w:rsidP="00F853F2">
      <w:pPr>
        <w:tabs>
          <w:tab w:val="left" w:pos="851"/>
        </w:tabs>
        <w:ind w:left="851"/>
        <w:rPr>
          <w:i/>
          <w:sz w:val="24"/>
          <w:szCs w:val="24"/>
        </w:rPr>
      </w:pPr>
      <w:r w:rsidRPr="00F853F2">
        <w:rPr>
          <w:i/>
          <w:sz w:val="24"/>
          <w:szCs w:val="24"/>
        </w:rPr>
        <w:t>Virkning af andre lægemidler på brivaracetams farmakokinetik</w:t>
      </w:r>
    </w:p>
    <w:p w14:paraId="45E19595" w14:textId="77777777" w:rsidR="00F853F2" w:rsidRPr="00F853F2" w:rsidRDefault="00F853F2" w:rsidP="00F853F2">
      <w:pPr>
        <w:tabs>
          <w:tab w:val="left" w:pos="851"/>
        </w:tabs>
        <w:ind w:left="851"/>
        <w:rPr>
          <w:sz w:val="24"/>
          <w:szCs w:val="24"/>
        </w:rPr>
      </w:pPr>
      <w:r w:rsidRPr="00F853F2">
        <w:rPr>
          <w:i/>
          <w:sz w:val="24"/>
          <w:szCs w:val="24"/>
        </w:rPr>
        <w:t>In vitro</w:t>
      </w:r>
      <w:r w:rsidRPr="00F853F2">
        <w:rPr>
          <w:sz w:val="24"/>
          <w:szCs w:val="24"/>
        </w:rPr>
        <w:t>-data tyder på, at brivaracetam har et lavt interaktionspotentiale. Brivaracetams vigtigste udskillelsesvej er via CYP-uafhængig hydrolyse. En anden udskillelsesvej omfatter hydroxylering medieret af CYP2C19 (se pkt. 5.2).</w:t>
      </w:r>
    </w:p>
    <w:p w14:paraId="7A34576E" w14:textId="77777777" w:rsidR="00F853F2" w:rsidRPr="00F853F2" w:rsidRDefault="00F853F2" w:rsidP="00F853F2">
      <w:pPr>
        <w:tabs>
          <w:tab w:val="left" w:pos="851"/>
        </w:tabs>
        <w:ind w:left="851"/>
        <w:rPr>
          <w:sz w:val="24"/>
          <w:szCs w:val="24"/>
        </w:rPr>
      </w:pPr>
    </w:p>
    <w:p w14:paraId="450B2327" w14:textId="77777777" w:rsidR="00F853F2" w:rsidRPr="00F853F2" w:rsidRDefault="00F853F2" w:rsidP="00F853F2">
      <w:pPr>
        <w:tabs>
          <w:tab w:val="left" w:pos="851"/>
        </w:tabs>
        <w:ind w:left="851"/>
        <w:rPr>
          <w:sz w:val="24"/>
          <w:szCs w:val="24"/>
        </w:rPr>
      </w:pPr>
      <w:r w:rsidRPr="00F853F2">
        <w:rPr>
          <w:sz w:val="24"/>
          <w:szCs w:val="24"/>
        </w:rPr>
        <w:t>Plasmakoncentrationerne af brivaracetam kan stige, når det administreres samtidig med stærke CYP2C19-hæmmere (f.eks. fluconazol, fluvoxamin), men risikoen for en klinisk relevant CYP2C19- medieret interaktion anses som værende lav. Der foreligger begrænsede kliniske data, der tyder på, at samtidig administration af cannabidiol kan øge plasmaeksponeringen for brivaracetam, muligvis gennem CYP2C19-hæmning, men den kliniske relevans er uvis.</w:t>
      </w:r>
    </w:p>
    <w:p w14:paraId="57506350" w14:textId="77777777" w:rsidR="00F853F2" w:rsidRPr="00F853F2" w:rsidRDefault="00F853F2" w:rsidP="00F853F2">
      <w:pPr>
        <w:tabs>
          <w:tab w:val="left" w:pos="851"/>
        </w:tabs>
        <w:ind w:left="851"/>
        <w:rPr>
          <w:sz w:val="24"/>
          <w:szCs w:val="24"/>
        </w:rPr>
      </w:pPr>
    </w:p>
    <w:p w14:paraId="41FECD3A" w14:textId="77777777" w:rsidR="00F853F2" w:rsidRPr="00F853F2" w:rsidRDefault="00F853F2" w:rsidP="00F853F2">
      <w:pPr>
        <w:tabs>
          <w:tab w:val="left" w:pos="851"/>
        </w:tabs>
        <w:ind w:left="851"/>
        <w:rPr>
          <w:i/>
          <w:sz w:val="24"/>
          <w:szCs w:val="24"/>
        </w:rPr>
      </w:pPr>
      <w:r w:rsidRPr="00F853F2">
        <w:rPr>
          <w:i/>
          <w:sz w:val="24"/>
          <w:szCs w:val="24"/>
        </w:rPr>
        <w:t>Rifampicin</w:t>
      </w:r>
    </w:p>
    <w:p w14:paraId="671409C0" w14:textId="77777777" w:rsidR="00F853F2" w:rsidRPr="00F853F2" w:rsidRDefault="00F853F2" w:rsidP="00F853F2">
      <w:pPr>
        <w:tabs>
          <w:tab w:val="left" w:pos="851"/>
        </w:tabs>
        <w:ind w:left="851"/>
        <w:rPr>
          <w:sz w:val="24"/>
          <w:szCs w:val="24"/>
        </w:rPr>
      </w:pPr>
      <w:r w:rsidRPr="00F853F2">
        <w:rPr>
          <w:sz w:val="24"/>
          <w:szCs w:val="24"/>
        </w:rPr>
        <w:t>Samtidig administration med den stærke enzyminducer rifampicin (600 mg/dag i 5 dage) hos raske forsøgspersoner nedsatte brivaracetam-arealet under plasmakoncentrationskurven (AUC) med 45 %. Den ordinerende læge bør overveje at justere dosis af brivaracetam hos patienter, som initierer eller ophører behandling med rifampicin.</w:t>
      </w:r>
    </w:p>
    <w:p w14:paraId="06C7093C" w14:textId="77777777" w:rsidR="00F853F2" w:rsidRPr="00F853F2" w:rsidRDefault="00F853F2" w:rsidP="00F853F2">
      <w:pPr>
        <w:tabs>
          <w:tab w:val="left" w:pos="851"/>
        </w:tabs>
        <w:ind w:left="851"/>
        <w:rPr>
          <w:sz w:val="24"/>
          <w:szCs w:val="24"/>
        </w:rPr>
      </w:pPr>
    </w:p>
    <w:p w14:paraId="1CB9E74A" w14:textId="77777777" w:rsidR="00F853F2" w:rsidRPr="00F853F2" w:rsidRDefault="00F853F2" w:rsidP="00F853F2">
      <w:pPr>
        <w:tabs>
          <w:tab w:val="left" w:pos="851"/>
        </w:tabs>
        <w:ind w:left="851"/>
        <w:rPr>
          <w:i/>
          <w:sz w:val="24"/>
          <w:szCs w:val="24"/>
        </w:rPr>
      </w:pPr>
      <w:r w:rsidRPr="00F853F2">
        <w:rPr>
          <w:i/>
          <w:sz w:val="24"/>
          <w:szCs w:val="24"/>
        </w:rPr>
        <w:t>Stærke enzyminducerende antiepileptika</w:t>
      </w:r>
    </w:p>
    <w:p w14:paraId="32F60693" w14:textId="77777777" w:rsidR="00F853F2" w:rsidRDefault="00F853F2" w:rsidP="00F853F2">
      <w:pPr>
        <w:tabs>
          <w:tab w:val="left" w:pos="851"/>
        </w:tabs>
        <w:ind w:left="851"/>
        <w:rPr>
          <w:sz w:val="24"/>
          <w:szCs w:val="24"/>
        </w:rPr>
      </w:pPr>
      <w:r w:rsidRPr="00F853F2">
        <w:rPr>
          <w:sz w:val="24"/>
          <w:szCs w:val="24"/>
        </w:rPr>
        <w:t>Plasmakoncentrationerne af brivaracetam nedsættes ved samtidig administration af stærke enzyminducerende antiepileptika (carbamazepin, phenobarbital, phenytoin), men dosisjustering er ikke nødvendig (se tabel 1).</w:t>
      </w:r>
    </w:p>
    <w:p w14:paraId="44B7C413" w14:textId="77777777" w:rsidR="00F853F2" w:rsidRDefault="00F853F2" w:rsidP="00F853F2">
      <w:pPr>
        <w:tabs>
          <w:tab w:val="left" w:pos="851"/>
        </w:tabs>
        <w:ind w:left="851"/>
        <w:rPr>
          <w:sz w:val="24"/>
          <w:szCs w:val="24"/>
        </w:rPr>
      </w:pPr>
    </w:p>
    <w:p w14:paraId="77306259" w14:textId="77777777" w:rsidR="00F853F2" w:rsidRPr="00F853F2" w:rsidRDefault="00F853F2" w:rsidP="00F853F2">
      <w:pPr>
        <w:tabs>
          <w:tab w:val="left" w:pos="851"/>
        </w:tabs>
        <w:ind w:left="851"/>
        <w:rPr>
          <w:i/>
          <w:sz w:val="24"/>
          <w:szCs w:val="24"/>
        </w:rPr>
      </w:pPr>
      <w:r w:rsidRPr="00F853F2">
        <w:rPr>
          <w:i/>
          <w:sz w:val="24"/>
          <w:szCs w:val="24"/>
        </w:rPr>
        <w:t>Andre enzyminducere</w:t>
      </w:r>
    </w:p>
    <w:p w14:paraId="1639FA21" w14:textId="77777777" w:rsidR="00F853F2" w:rsidRPr="00F853F2" w:rsidRDefault="00F853F2" w:rsidP="00F853F2">
      <w:pPr>
        <w:tabs>
          <w:tab w:val="left" w:pos="851"/>
        </w:tabs>
        <w:ind w:left="851"/>
        <w:rPr>
          <w:sz w:val="24"/>
          <w:szCs w:val="24"/>
        </w:rPr>
      </w:pPr>
      <w:r w:rsidRPr="00F853F2">
        <w:rPr>
          <w:sz w:val="24"/>
          <w:szCs w:val="24"/>
        </w:rPr>
        <w:t>Andre stærke enzyminducere (såsom prikbladet perikum (</w:t>
      </w:r>
      <w:r w:rsidRPr="00F853F2">
        <w:rPr>
          <w:i/>
          <w:sz w:val="24"/>
          <w:szCs w:val="24"/>
        </w:rPr>
        <w:t>Hypericum perforatum</w:t>
      </w:r>
      <w:r w:rsidRPr="00F853F2">
        <w:rPr>
          <w:sz w:val="24"/>
          <w:szCs w:val="24"/>
        </w:rPr>
        <w:t>)) kan også nedsætte den systemiske eksponering for brivaracetam. Derfor bør initiering eller ophør af behandling med prikbladet perikum ske med forsigtighed.</w:t>
      </w:r>
    </w:p>
    <w:p w14:paraId="493D78F6" w14:textId="77777777" w:rsidR="00F853F2" w:rsidRPr="00F853F2" w:rsidRDefault="00F853F2" w:rsidP="00F853F2">
      <w:pPr>
        <w:tabs>
          <w:tab w:val="left" w:pos="851"/>
        </w:tabs>
        <w:ind w:left="851"/>
        <w:rPr>
          <w:sz w:val="24"/>
          <w:szCs w:val="24"/>
        </w:rPr>
      </w:pPr>
    </w:p>
    <w:p w14:paraId="56565F51" w14:textId="77777777" w:rsidR="00F853F2" w:rsidRPr="00F853F2" w:rsidRDefault="00F853F2" w:rsidP="00F853F2">
      <w:pPr>
        <w:tabs>
          <w:tab w:val="left" w:pos="851"/>
        </w:tabs>
        <w:ind w:left="851"/>
        <w:rPr>
          <w:i/>
          <w:sz w:val="24"/>
          <w:szCs w:val="24"/>
        </w:rPr>
      </w:pPr>
      <w:r w:rsidRPr="00F853F2">
        <w:rPr>
          <w:i/>
          <w:sz w:val="24"/>
          <w:szCs w:val="24"/>
        </w:rPr>
        <w:t>Brivaracetams virkning på andre lægemidler</w:t>
      </w:r>
    </w:p>
    <w:p w14:paraId="4A937A1F" w14:textId="77777777" w:rsidR="00F853F2" w:rsidRPr="00F853F2" w:rsidRDefault="00F853F2" w:rsidP="00F853F2">
      <w:pPr>
        <w:tabs>
          <w:tab w:val="left" w:pos="851"/>
        </w:tabs>
        <w:ind w:left="851"/>
        <w:rPr>
          <w:sz w:val="24"/>
          <w:szCs w:val="24"/>
        </w:rPr>
      </w:pPr>
      <w:r w:rsidRPr="00F853F2">
        <w:rPr>
          <w:sz w:val="24"/>
          <w:szCs w:val="24"/>
        </w:rPr>
        <w:t>Brivaracetam 50 mg/dag eller 150 mg/dag påvirkede ikke AUC for midazolam (metaboliseres af CYP3A4). Risikoen for klinisk relevante CYP3A4-interaktioner anses som værende lav.</w:t>
      </w:r>
    </w:p>
    <w:p w14:paraId="16C0CCFC" w14:textId="77777777" w:rsidR="00F853F2" w:rsidRPr="00F853F2" w:rsidRDefault="00F853F2" w:rsidP="00F853F2">
      <w:pPr>
        <w:tabs>
          <w:tab w:val="left" w:pos="851"/>
        </w:tabs>
        <w:ind w:left="851"/>
        <w:rPr>
          <w:sz w:val="24"/>
          <w:szCs w:val="24"/>
        </w:rPr>
      </w:pPr>
    </w:p>
    <w:p w14:paraId="7D848B3A" w14:textId="77777777" w:rsidR="00F853F2" w:rsidRPr="00F853F2" w:rsidRDefault="00F853F2" w:rsidP="00F853F2">
      <w:pPr>
        <w:tabs>
          <w:tab w:val="left" w:pos="851"/>
        </w:tabs>
        <w:ind w:left="851"/>
        <w:rPr>
          <w:sz w:val="24"/>
          <w:szCs w:val="24"/>
        </w:rPr>
      </w:pPr>
      <w:r w:rsidRPr="00F853F2">
        <w:rPr>
          <w:i/>
          <w:sz w:val="24"/>
          <w:szCs w:val="24"/>
        </w:rPr>
        <w:t>In vitro-</w:t>
      </w:r>
      <w:r w:rsidRPr="00F853F2">
        <w:rPr>
          <w:sz w:val="24"/>
          <w:szCs w:val="24"/>
        </w:rPr>
        <w:t xml:space="preserve">studier har vist, at brivaracetam udviser svag eller ingen inhibition af CYP450-isoformer bortset fra CYP2C19. Brivaracetam kan øge plasmakoncentrationerne af lægemidler, som metaboliseres af CYP2C19 (f.eks. lanzoprazol, omeprazol, diazepam). Ved undersøgelse </w:t>
      </w:r>
      <w:r w:rsidRPr="00F853F2">
        <w:rPr>
          <w:i/>
          <w:sz w:val="24"/>
          <w:szCs w:val="24"/>
        </w:rPr>
        <w:t xml:space="preserve">in vitro </w:t>
      </w:r>
      <w:r w:rsidRPr="00F853F2">
        <w:rPr>
          <w:sz w:val="24"/>
          <w:szCs w:val="24"/>
        </w:rPr>
        <w:t xml:space="preserve">inducerede brivaracetam ikke CYP1A1/2, men forårsagede induktion af CYP3A4 og CYP2B6. Der blev ikke set CYP3A4-induktion </w:t>
      </w:r>
      <w:r w:rsidRPr="00F853F2">
        <w:rPr>
          <w:i/>
          <w:sz w:val="24"/>
          <w:szCs w:val="24"/>
        </w:rPr>
        <w:t xml:space="preserve">in vivo </w:t>
      </w:r>
      <w:r w:rsidRPr="00F853F2">
        <w:rPr>
          <w:sz w:val="24"/>
          <w:szCs w:val="24"/>
        </w:rPr>
        <w:t xml:space="preserve">(se midazolam ovenfor). CYP2B6-induktion er ikke undersøgt </w:t>
      </w:r>
      <w:r w:rsidRPr="00F853F2">
        <w:rPr>
          <w:i/>
          <w:sz w:val="24"/>
          <w:szCs w:val="24"/>
        </w:rPr>
        <w:t xml:space="preserve">in vivo </w:t>
      </w:r>
      <w:r w:rsidRPr="00F853F2">
        <w:rPr>
          <w:sz w:val="24"/>
          <w:szCs w:val="24"/>
        </w:rPr>
        <w:t xml:space="preserve">og brivaracetam kan nedsætte plasmakoncentrationerne af lægemidler, som metaboliseres af CYP2B6 (f.eks. efavirenz). </w:t>
      </w:r>
      <w:r w:rsidRPr="00F853F2">
        <w:rPr>
          <w:i/>
          <w:sz w:val="24"/>
          <w:szCs w:val="24"/>
        </w:rPr>
        <w:t>In vitro-</w:t>
      </w:r>
      <w:r w:rsidRPr="00F853F2">
        <w:rPr>
          <w:sz w:val="24"/>
          <w:szCs w:val="24"/>
        </w:rPr>
        <w:t xml:space="preserve">interaktionsstudier, som havde til formål at vurdere den potentielle inhibitoriske virkning på transportører, konkluderede, at der ikke var nogen klinisk relevante virkninger, bortset fra OAT3. </w:t>
      </w:r>
      <w:r w:rsidRPr="00F853F2">
        <w:rPr>
          <w:i/>
          <w:sz w:val="24"/>
          <w:szCs w:val="24"/>
        </w:rPr>
        <w:t xml:space="preserve">In vitro </w:t>
      </w:r>
      <w:r w:rsidRPr="00F853F2">
        <w:rPr>
          <w:sz w:val="24"/>
          <w:szCs w:val="24"/>
        </w:rPr>
        <w:t>hæmmer Brivaracetam OAT3 med en halv maksimal inhiberende koncentration, som er 42 gange højere end Cmax ved den højeste kliniske dosis. Briviracetam 200 mg/dag kan øge plasmakoncentrationerne af lægemidler, som transporteres af OAT3.</w:t>
      </w:r>
    </w:p>
    <w:p w14:paraId="60DE2C4D" w14:textId="77777777" w:rsidR="00F853F2" w:rsidRPr="00F853F2" w:rsidRDefault="00F853F2" w:rsidP="00F853F2">
      <w:pPr>
        <w:tabs>
          <w:tab w:val="left" w:pos="851"/>
        </w:tabs>
        <w:ind w:left="851"/>
        <w:rPr>
          <w:sz w:val="24"/>
          <w:szCs w:val="24"/>
        </w:rPr>
      </w:pPr>
    </w:p>
    <w:p w14:paraId="4656661B" w14:textId="77777777" w:rsidR="00F853F2" w:rsidRPr="00F853F2" w:rsidRDefault="00F853F2" w:rsidP="00F853F2">
      <w:pPr>
        <w:tabs>
          <w:tab w:val="left" w:pos="851"/>
        </w:tabs>
        <w:ind w:left="851"/>
        <w:rPr>
          <w:sz w:val="24"/>
          <w:szCs w:val="24"/>
        </w:rPr>
      </w:pPr>
      <w:r w:rsidRPr="00F853F2">
        <w:rPr>
          <w:sz w:val="24"/>
          <w:szCs w:val="24"/>
          <w:u w:val="single"/>
        </w:rPr>
        <w:lastRenderedPageBreak/>
        <w:t>Antiepileptiske lægemidler</w:t>
      </w:r>
    </w:p>
    <w:p w14:paraId="0FAD1601" w14:textId="77777777" w:rsidR="00F853F2" w:rsidRPr="00F853F2" w:rsidRDefault="00F853F2" w:rsidP="00F853F2">
      <w:pPr>
        <w:tabs>
          <w:tab w:val="left" w:pos="851"/>
        </w:tabs>
        <w:ind w:left="851"/>
        <w:rPr>
          <w:sz w:val="24"/>
          <w:szCs w:val="24"/>
        </w:rPr>
      </w:pPr>
      <w:r w:rsidRPr="00F853F2">
        <w:rPr>
          <w:sz w:val="24"/>
          <w:szCs w:val="24"/>
        </w:rPr>
        <w:t xml:space="preserve">Potentielle interaktioner mellem brivaracetam (50 mg/dag til 200 mg/dag) og andre antiepileptika blev undersøgt i en samlet analyse af lægemiddelkoncentrationer i plasma fra alle fase 2-3 studier i en farmakokinetisk populationsanalyse af placebokontrollerede kliniske fase 2-3 studier og i et specifikt lægemiddelinteraktionsstudie (for følgende antiepileptika: carbamazepin, lamotrigin, phenytoin og topiramat). Interaktionernes virkning på plasmakoncentrationerne er opsummeret i tabel 1 (stigning er angivet som “↑” og fald som “↓”, kurven for areal under plasmakoncentrationen </w:t>
      </w:r>
      <w:r w:rsidRPr="00F853F2">
        <w:rPr>
          <w:i/>
          <w:sz w:val="24"/>
          <w:szCs w:val="24"/>
        </w:rPr>
        <w:t xml:space="preserve">versus </w:t>
      </w:r>
      <w:r w:rsidRPr="00F853F2">
        <w:rPr>
          <w:sz w:val="24"/>
          <w:szCs w:val="24"/>
        </w:rPr>
        <w:t>tid er angivet som ”AUC”, og den maksimale observerede koncentration er angivet som ”Cmax”).</w:t>
      </w:r>
    </w:p>
    <w:p w14:paraId="7E31EBC4" w14:textId="77777777" w:rsidR="00F853F2" w:rsidRPr="00F853F2" w:rsidRDefault="00F853F2" w:rsidP="00F853F2">
      <w:pPr>
        <w:tabs>
          <w:tab w:val="left" w:pos="851"/>
        </w:tabs>
        <w:ind w:left="851"/>
        <w:rPr>
          <w:sz w:val="24"/>
          <w:szCs w:val="24"/>
        </w:rPr>
      </w:pPr>
    </w:p>
    <w:p w14:paraId="5C2EC260" w14:textId="77777777" w:rsidR="00F853F2" w:rsidRPr="00F853F2" w:rsidRDefault="00F853F2" w:rsidP="00F853F2">
      <w:pPr>
        <w:tabs>
          <w:tab w:val="left" w:pos="851"/>
        </w:tabs>
        <w:ind w:left="851"/>
        <w:rPr>
          <w:i/>
          <w:sz w:val="24"/>
          <w:szCs w:val="24"/>
        </w:rPr>
      </w:pPr>
      <w:r w:rsidRPr="00F853F2">
        <w:rPr>
          <w:i/>
          <w:sz w:val="24"/>
          <w:szCs w:val="24"/>
        </w:rPr>
        <w:t>Tabel 1: Farmakokinetiske interaktioner mellem brivaracetam og andre antiepileptika</w:t>
      </w:r>
    </w:p>
    <w:tbl>
      <w:tblPr>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3601"/>
        <w:gridCol w:w="3422"/>
      </w:tblGrid>
      <w:tr w:rsidR="00F853F2" w:rsidRPr="00F853F2" w14:paraId="3CC6B0DD" w14:textId="77777777" w:rsidTr="00F853F2">
        <w:trPr>
          <w:trHeight w:val="757"/>
        </w:trPr>
        <w:tc>
          <w:tcPr>
            <w:tcW w:w="2252" w:type="dxa"/>
            <w:tcBorders>
              <w:top w:val="single" w:sz="4" w:space="0" w:color="000000"/>
              <w:left w:val="single" w:sz="4" w:space="0" w:color="000000"/>
              <w:bottom w:val="single" w:sz="4" w:space="0" w:color="000000"/>
              <w:right w:val="single" w:sz="4" w:space="0" w:color="000000"/>
            </w:tcBorders>
            <w:hideMark/>
          </w:tcPr>
          <w:p w14:paraId="08E3C69A" w14:textId="77777777" w:rsidR="00F853F2" w:rsidRPr="00F853F2" w:rsidRDefault="00F853F2" w:rsidP="00344E8B">
            <w:pPr>
              <w:ind w:left="71"/>
              <w:rPr>
                <w:b/>
                <w:sz w:val="24"/>
                <w:szCs w:val="24"/>
                <w:lang w:val="en-US"/>
              </w:rPr>
            </w:pPr>
            <w:r w:rsidRPr="00F853F2">
              <w:rPr>
                <w:b/>
                <w:sz w:val="24"/>
                <w:szCs w:val="24"/>
                <w:lang w:val="en-US"/>
              </w:rPr>
              <w:t>Antiepileptikum</w:t>
            </w:r>
          </w:p>
          <w:p w14:paraId="2546C0BD" w14:textId="77777777" w:rsidR="00F853F2" w:rsidRPr="00F853F2" w:rsidRDefault="00F853F2" w:rsidP="00344E8B">
            <w:pPr>
              <w:ind w:left="71"/>
              <w:rPr>
                <w:b/>
                <w:sz w:val="24"/>
                <w:szCs w:val="24"/>
                <w:lang w:val="en-US"/>
              </w:rPr>
            </w:pPr>
            <w:r w:rsidRPr="00F853F2">
              <w:rPr>
                <w:b/>
                <w:sz w:val="24"/>
                <w:szCs w:val="24"/>
                <w:lang w:val="en-US"/>
              </w:rPr>
              <w:t>administreret samtidig</w:t>
            </w:r>
          </w:p>
        </w:tc>
        <w:tc>
          <w:tcPr>
            <w:tcW w:w="3601" w:type="dxa"/>
            <w:tcBorders>
              <w:top w:val="single" w:sz="4" w:space="0" w:color="000000"/>
              <w:left w:val="single" w:sz="4" w:space="0" w:color="000000"/>
              <w:bottom w:val="single" w:sz="4" w:space="0" w:color="000000"/>
              <w:right w:val="single" w:sz="4" w:space="0" w:color="000000"/>
            </w:tcBorders>
            <w:hideMark/>
          </w:tcPr>
          <w:p w14:paraId="265CCE61" w14:textId="77777777" w:rsidR="00F853F2" w:rsidRPr="00F853F2" w:rsidRDefault="00F853F2" w:rsidP="00344E8B">
            <w:pPr>
              <w:ind w:left="89"/>
              <w:rPr>
                <w:b/>
                <w:sz w:val="24"/>
                <w:szCs w:val="24"/>
              </w:rPr>
            </w:pPr>
            <w:r w:rsidRPr="00F853F2">
              <w:rPr>
                <w:b/>
                <w:sz w:val="24"/>
                <w:szCs w:val="24"/>
              </w:rPr>
              <w:t>Antiepileptikums virkning på</w:t>
            </w:r>
          </w:p>
          <w:p w14:paraId="51663029" w14:textId="77777777" w:rsidR="00F853F2" w:rsidRPr="00F853F2" w:rsidRDefault="00F853F2" w:rsidP="00344E8B">
            <w:pPr>
              <w:ind w:left="89"/>
              <w:rPr>
                <w:b/>
                <w:sz w:val="24"/>
                <w:szCs w:val="24"/>
              </w:rPr>
            </w:pPr>
            <w:r w:rsidRPr="00F853F2">
              <w:rPr>
                <w:b/>
                <w:sz w:val="24"/>
                <w:szCs w:val="24"/>
              </w:rPr>
              <w:t>plasmakoncentrationen af brivaracetam</w:t>
            </w:r>
          </w:p>
        </w:tc>
        <w:tc>
          <w:tcPr>
            <w:tcW w:w="3422" w:type="dxa"/>
            <w:tcBorders>
              <w:top w:val="single" w:sz="4" w:space="0" w:color="000000"/>
              <w:left w:val="single" w:sz="4" w:space="0" w:color="000000"/>
              <w:bottom w:val="single" w:sz="4" w:space="0" w:color="000000"/>
              <w:right w:val="single" w:sz="4" w:space="0" w:color="000000"/>
            </w:tcBorders>
            <w:hideMark/>
          </w:tcPr>
          <w:p w14:paraId="58527553" w14:textId="77777777" w:rsidR="00F853F2" w:rsidRPr="00F853F2" w:rsidRDefault="00F853F2" w:rsidP="00344E8B">
            <w:pPr>
              <w:ind w:left="174"/>
              <w:rPr>
                <w:b/>
                <w:sz w:val="24"/>
                <w:szCs w:val="24"/>
              </w:rPr>
            </w:pPr>
            <w:r w:rsidRPr="00F853F2">
              <w:rPr>
                <w:b/>
                <w:sz w:val="24"/>
                <w:szCs w:val="24"/>
              </w:rPr>
              <w:t>Brivaracetams virkning på</w:t>
            </w:r>
          </w:p>
          <w:p w14:paraId="6E6BE896" w14:textId="77777777" w:rsidR="00F853F2" w:rsidRPr="00F853F2" w:rsidRDefault="00F853F2" w:rsidP="00344E8B">
            <w:pPr>
              <w:ind w:left="174"/>
              <w:rPr>
                <w:b/>
                <w:sz w:val="24"/>
                <w:szCs w:val="24"/>
              </w:rPr>
            </w:pPr>
            <w:r w:rsidRPr="00F853F2">
              <w:rPr>
                <w:b/>
                <w:sz w:val="24"/>
                <w:szCs w:val="24"/>
              </w:rPr>
              <w:t>plasmakoncentrationen af antiepileptikum</w:t>
            </w:r>
          </w:p>
        </w:tc>
      </w:tr>
      <w:tr w:rsidR="00F853F2" w:rsidRPr="00F853F2" w14:paraId="668F56A8" w14:textId="77777777" w:rsidTr="00F853F2">
        <w:trPr>
          <w:trHeight w:val="1010"/>
        </w:trPr>
        <w:tc>
          <w:tcPr>
            <w:tcW w:w="2252" w:type="dxa"/>
            <w:tcBorders>
              <w:top w:val="single" w:sz="4" w:space="0" w:color="000000"/>
              <w:left w:val="single" w:sz="4" w:space="0" w:color="000000"/>
              <w:bottom w:val="single" w:sz="4" w:space="0" w:color="000000"/>
              <w:right w:val="single" w:sz="4" w:space="0" w:color="000000"/>
            </w:tcBorders>
            <w:hideMark/>
          </w:tcPr>
          <w:p w14:paraId="2D7BD731" w14:textId="77777777" w:rsidR="00F853F2" w:rsidRPr="00F853F2" w:rsidRDefault="00F853F2" w:rsidP="00344E8B">
            <w:pPr>
              <w:ind w:left="71"/>
              <w:rPr>
                <w:sz w:val="24"/>
                <w:szCs w:val="24"/>
                <w:lang w:val="en-US"/>
              </w:rPr>
            </w:pPr>
            <w:r w:rsidRPr="00F853F2">
              <w:rPr>
                <w:sz w:val="24"/>
                <w:szCs w:val="24"/>
                <w:lang w:val="en-US"/>
              </w:rPr>
              <w:t>Carbamazepin</w:t>
            </w:r>
          </w:p>
        </w:tc>
        <w:tc>
          <w:tcPr>
            <w:tcW w:w="3601" w:type="dxa"/>
            <w:tcBorders>
              <w:top w:val="single" w:sz="4" w:space="0" w:color="000000"/>
              <w:left w:val="single" w:sz="4" w:space="0" w:color="000000"/>
              <w:bottom w:val="single" w:sz="4" w:space="0" w:color="000000"/>
              <w:right w:val="single" w:sz="4" w:space="0" w:color="000000"/>
            </w:tcBorders>
            <w:hideMark/>
          </w:tcPr>
          <w:p w14:paraId="02FB4287" w14:textId="77777777" w:rsidR="00F853F2" w:rsidRPr="00F853F2" w:rsidRDefault="00F853F2" w:rsidP="00344E8B">
            <w:pPr>
              <w:ind w:left="89"/>
              <w:rPr>
                <w:sz w:val="24"/>
                <w:szCs w:val="24"/>
              </w:rPr>
            </w:pPr>
            <w:r w:rsidRPr="00F853F2">
              <w:rPr>
                <w:sz w:val="24"/>
                <w:szCs w:val="24"/>
              </w:rPr>
              <w:t>AUC 29 % ↓</w:t>
            </w:r>
          </w:p>
          <w:p w14:paraId="7C33F2B5" w14:textId="77777777" w:rsidR="00F853F2" w:rsidRPr="00F853F2" w:rsidRDefault="00F853F2" w:rsidP="00344E8B">
            <w:pPr>
              <w:ind w:left="89"/>
              <w:rPr>
                <w:sz w:val="24"/>
                <w:szCs w:val="24"/>
              </w:rPr>
            </w:pPr>
            <w:r w:rsidRPr="00F853F2">
              <w:rPr>
                <w:sz w:val="24"/>
                <w:szCs w:val="24"/>
              </w:rPr>
              <w:t>Cmax 13 % ↓</w:t>
            </w:r>
          </w:p>
          <w:p w14:paraId="6FF2F666" w14:textId="77777777" w:rsidR="00F853F2" w:rsidRPr="00F853F2" w:rsidRDefault="00F853F2" w:rsidP="00344E8B">
            <w:pPr>
              <w:ind w:left="89"/>
              <w:rPr>
                <w:sz w:val="24"/>
                <w:szCs w:val="24"/>
              </w:rPr>
            </w:pPr>
            <w:r w:rsidRPr="00F853F2">
              <w:rPr>
                <w:sz w:val="24"/>
                <w:szCs w:val="24"/>
              </w:rPr>
              <w:t>Dosisjustering er ikke nødvendig</w:t>
            </w:r>
          </w:p>
        </w:tc>
        <w:tc>
          <w:tcPr>
            <w:tcW w:w="3422" w:type="dxa"/>
            <w:tcBorders>
              <w:top w:val="single" w:sz="4" w:space="0" w:color="000000"/>
              <w:left w:val="single" w:sz="4" w:space="0" w:color="000000"/>
              <w:bottom w:val="single" w:sz="4" w:space="0" w:color="000000"/>
              <w:right w:val="single" w:sz="4" w:space="0" w:color="000000"/>
            </w:tcBorders>
            <w:hideMark/>
          </w:tcPr>
          <w:p w14:paraId="56E3A682" w14:textId="77777777" w:rsidR="00F853F2" w:rsidRPr="00F853F2" w:rsidRDefault="00F853F2" w:rsidP="00344E8B">
            <w:pPr>
              <w:ind w:left="174"/>
              <w:rPr>
                <w:sz w:val="24"/>
                <w:szCs w:val="24"/>
              </w:rPr>
            </w:pPr>
            <w:r w:rsidRPr="00F853F2">
              <w:rPr>
                <w:sz w:val="24"/>
                <w:szCs w:val="24"/>
              </w:rPr>
              <w:t>Carbamazepin – Ingen Carbamazepinepoxid ↑ (Se nedenfor)</w:t>
            </w:r>
          </w:p>
          <w:p w14:paraId="7677A203" w14:textId="77777777" w:rsidR="00F853F2" w:rsidRPr="00F853F2" w:rsidRDefault="00F853F2" w:rsidP="00344E8B">
            <w:pPr>
              <w:ind w:left="174"/>
              <w:rPr>
                <w:sz w:val="24"/>
                <w:szCs w:val="24"/>
                <w:lang w:val="en-US"/>
              </w:rPr>
            </w:pPr>
            <w:r w:rsidRPr="00F853F2">
              <w:rPr>
                <w:sz w:val="24"/>
                <w:szCs w:val="24"/>
                <w:lang w:val="en-US"/>
              </w:rPr>
              <w:t>Dosisjustering er ikke nødvendig</w:t>
            </w:r>
          </w:p>
        </w:tc>
      </w:tr>
      <w:tr w:rsidR="00F853F2" w:rsidRPr="00F853F2" w14:paraId="16D4BF0E" w14:textId="77777777" w:rsidTr="00F853F2">
        <w:trPr>
          <w:trHeight w:val="254"/>
        </w:trPr>
        <w:tc>
          <w:tcPr>
            <w:tcW w:w="2252" w:type="dxa"/>
            <w:tcBorders>
              <w:top w:val="single" w:sz="4" w:space="0" w:color="000000"/>
              <w:left w:val="single" w:sz="4" w:space="0" w:color="000000"/>
              <w:bottom w:val="single" w:sz="4" w:space="0" w:color="000000"/>
              <w:right w:val="single" w:sz="4" w:space="0" w:color="000000"/>
            </w:tcBorders>
            <w:hideMark/>
          </w:tcPr>
          <w:p w14:paraId="23FC57C1" w14:textId="77777777" w:rsidR="00F853F2" w:rsidRPr="00F853F2" w:rsidRDefault="00F853F2" w:rsidP="00344E8B">
            <w:pPr>
              <w:ind w:left="71"/>
              <w:rPr>
                <w:sz w:val="24"/>
                <w:szCs w:val="24"/>
                <w:lang w:val="en-US"/>
              </w:rPr>
            </w:pPr>
            <w:r w:rsidRPr="00F853F2">
              <w:rPr>
                <w:sz w:val="24"/>
                <w:szCs w:val="24"/>
                <w:lang w:val="en-US"/>
              </w:rPr>
              <w:t>Clobazam</w:t>
            </w:r>
          </w:p>
        </w:tc>
        <w:tc>
          <w:tcPr>
            <w:tcW w:w="3601" w:type="dxa"/>
            <w:tcBorders>
              <w:top w:val="single" w:sz="4" w:space="0" w:color="000000"/>
              <w:left w:val="single" w:sz="4" w:space="0" w:color="000000"/>
              <w:bottom w:val="single" w:sz="4" w:space="0" w:color="000000"/>
              <w:right w:val="single" w:sz="4" w:space="0" w:color="000000"/>
            </w:tcBorders>
            <w:hideMark/>
          </w:tcPr>
          <w:p w14:paraId="22BF5018" w14:textId="77777777" w:rsidR="00F853F2" w:rsidRPr="00F853F2" w:rsidRDefault="00F853F2" w:rsidP="00344E8B">
            <w:pPr>
              <w:ind w:left="89"/>
              <w:rPr>
                <w:sz w:val="24"/>
                <w:szCs w:val="24"/>
                <w:lang w:val="en-US"/>
              </w:rPr>
            </w:pPr>
            <w:r w:rsidRPr="00F853F2">
              <w:rPr>
                <w:sz w:val="24"/>
                <w:szCs w:val="24"/>
                <w:lang w:val="en-US"/>
              </w:rPr>
              <w:t>Der foreligger ingen data</w:t>
            </w:r>
          </w:p>
        </w:tc>
        <w:tc>
          <w:tcPr>
            <w:tcW w:w="3422" w:type="dxa"/>
            <w:tcBorders>
              <w:top w:val="single" w:sz="4" w:space="0" w:color="000000"/>
              <w:left w:val="single" w:sz="4" w:space="0" w:color="000000"/>
              <w:bottom w:val="single" w:sz="4" w:space="0" w:color="000000"/>
              <w:right w:val="single" w:sz="4" w:space="0" w:color="000000"/>
            </w:tcBorders>
            <w:hideMark/>
          </w:tcPr>
          <w:p w14:paraId="20707F6A" w14:textId="77777777" w:rsidR="00F853F2" w:rsidRPr="00F853F2" w:rsidRDefault="00F853F2" w:rsidP="00344E8B">
            <w:pPr>
              <w:ind w:left="174"/>
              <w:rPr>
                <w:sz w:val="24"/>
                <w:szCs w:val="24"/>
                <w:lang w:val="en-US"/>
              </w:rPr>
            </w:pPr>
            <w:r w:rsidRPr="00F853F2">
              <w:rPr>
                <w:sz w:val="24"/>
                <w:szCs w:val="24"/>
                <w:lang w:val="en-US"/>
              </w:rPr>
              <w:t>Ingen</w:t>
            </w:r>
          </w:p>
        </w:tc>
      </w:tr>
      <w:tr w:rsidR="00F853F2" w:rsidRPr="00F853F2" w14:paraId="30D69D10" w14:textId="77777777" w:rsidTr="00F853F2">
        <w:trPr>
          <w:trHeight w:val="251"/>
        </w:trPr>
        <w:tc>
          <w:tcPr>
            <w:tcW w:w="2252" w:type="dxa"/>
            <w:tcBorders>
              <w:top w:val="single" w:sz="4" w:space="0" w:color="000000"/>
              <w:left w:val="single" w:sz="4" w:space="0" w:color="000000"/>
              <w:bottom w:val="single" w:sz="4" w:space="0" w:color="000000"/>
              <w:right w:val="single" w:sz="4" w:space="0" w:color="000000"/>
            </w:tcBorders>
            <w:hideMark/>
          </w:tcPr>
          <w:p w14:paraId="7AB242BD" w14:textId="77777777" w:rsidR="00F853F2" w:rsidRPr="00F853F2" w:rsidRDefault="00F853F2" w:rsidP="00344E8B">
            <w:pPr>
              <w:ind w:left="71"/>
              <w:rPr>
                <w:sz w:val="24"/>
                <w:szCs w:val="24"/>
                <w:lang w:val="en-US"/>
              </w:rPr>
            </w:pPr>
            <w:r w:rsidRPr="00F853F2">
              <w:rPr>
                <w:sz w:val="24"/>
                <w:szCs w:val="24"/>
                <w:lang w:val="en-US"/>
              </w:rPr>
              <w:t>Clonazepam</w:t>
            </w:r>
          </w:p>
        </w:tc>
        <w:tc>
          <w:tcPr>
            <w:tcW w:w="3601" w:type="dxa"/>
            <w:tcBorders>
              <w:top w:val="single" w:sz="4" w:space="0" w:color="000000"/>
              <w:left w:val="single" w:sz="4" w:space="0" w:color="000000"/>
              <w:bottom w:val="single" w:sz="4" w:space="0" w:color="000000"/>
              <w:right w:val="single" w:sz="4" w:space="0" w:color="000000"/>
            </w:tcBorders>
            <w:hideMark/>
          </w:tcPr>
          <w:p w14:paraId="23B757E1" w14:textId="77777777" w:rsidR="00F853F2" w:rsidRPr="00F853F2" w:rsidRDefault="00F853F2" w:rsidP="00344E8B">
            <w:pPr>
              <w:ind w:left="89"/>
              <w:rPr>
                <w:sz w:val="24"/>
                <w:szCs w:val="24"/>
                <w:lang w:val="en-US"/>
              </w:rPr>
            </w:pPr>
            <w:r w:rsidRPr="00F853F2">
              <w:rPr>
                <w:sz w:val="24"/>
                <w:szCs w:val="24"/>
                <w:lang w:val="en-US"/>
              </w:rPr>
              <w:t>Der foreligger ingen data</w:t>
            </w:r>
          </w:p>
        </w:tc>
        <w:tc>
          <w:tcPr>
            <w:tcW w:w="3422" w:type="dxa"/>
            <w:tcBorders>
              <w:top w:val="single" w:sz="4" w:space="0" w:color="000000"/>
              <w:left w:val="single" w:sz="4" w:space="0" w:color="000000"/>
              <w:bottom w:val="single" w:sz="4" w:space="0" w:color="000000"/>
              <w:right w:val="single" w:sz="4" w:space="0" w:color="000000"/>
            </w:tcBorders>
            <w:hideMark/>
          </w:tcPr>
          <w:p w14:paraId="4BB31918" w14:textId="77777777" w:rsidR="00F853F2" w:rsidRPr="00F853F2" w:rsidRDefault="00F853F2" w:rsidP="00344E8B">
            <w:pPr>
              <w:ind w:left="174"/>
              <w:rPr>
                <w:sz w:val="24"/>
                <w:szCs w:val="24"/>
                <w:lang w:val="en-US"/>
              </w:rPr>
            </w:pPr>
            <w:r w:rsidRPr="00F853F2">
              <w:rPr>
                <w:sz w:val="24"/>
                <w:szCs w:val="24"/>
                <w:lang w:val="en-US"/>
              </w:rPr>
              <w:t>Ingen</w:t>
            </w:r>
          </w:p>
        </w:tc>
      </w:tr>
      <w:tr w:rsidR="00F853F2" w:rsidRPr="00F853F2" w14:paraId="5FB4F658" w14:textId="77777777" w:rsidTr="00F853F2">
        <w:trPr>
          <w:trHeight w:val="253"/>
        </w:trPr>
        <w:tc>
          <w:tcPr>
            <w:tcW w:w="2252" w:type="dxa"/>
            <w:tcBorders>
              <w:top w:val="single" w:sz="4" w:space="0" w:color="000000"/>
              <w:left w:val="single" w:sz="4" w:space="0" w:color="000000"/>
              <w:bottom w:val="single" w:sz="4" w:space="0" w:color="000000"/>
              <w:right w:val="single" w:sz="4" w:space="0" w:color="000000"/>
            </w:tcBorders>
            <w:hideMark/>
          </w:tcPr>
          <w:p w14:paraId="34544581" w14:textId="77777777" w:rsidR="00F853F2" w:rsidRPr="00F853F2" w:rsidRDefault="00F853F2" w:rsidP="00344E8B">
            <w:pPr>
              <w:ind w:left="71"/>
              <w:rPr>
                <w:sz w:val="24"/>
                <w:szCs w:val="24"/>
                <w:lang w:val="en-US"/>
              </w:rPr>
            </w:pPr>
            <w:r w:rsidRPr="00F853F2">
              <w:rPr>
                <w:sz w:val="24"/>
                <w:szCs w:val="24"/>
                <w:lang w:val="en-US"/>
              </w:rPr>
              <w:t>Lacosamid</w:t>
            </w:r>
          </w:p>
        </w:tc>
        <w:tc>
          <w:tcPr>
            <w:tcW w:w="3601" w:type="dxa"/>
            <w:tcBorders>
              <w:top w:val="single" w:sz="4" w:space="0" w:color="000000"/>
              <w:left w:val="single" w:sz="4" w:space="0" w:color="000000"/>
              <w:bottom w:val="single" w:sz="4" w:space="0" w:color="000000"/>
              <w:right w:val="single" w:sz="4" w:space="0" w:color="000000"/>
            </w:tcBorders>
            <w:hideMark/>
          </w:tcPr>
          <w:p w14:paraId="1FFB45C6" w14:textId="77777777" w:rsidR="00F853F2" w:rsidRPr="00F853F2" w:rsidRDefault="00F853F2" w:rsidP="00344E8B">
            <w:pPr>
              <w:ind w:left="89"/>
              <w:rPr>
                <w:sz w:val="24"/>
                <w:szCs w:val="24"/>
                <w:lang w:val="en-US"/>
              </w:rPr>
            </w:pPr>
            <w:r w:rsidRPr="00F853F2">
              <w:rPr>
                <w:sz w:val="24"/>
                <w:szCs w:val="24"/>
                <w:lang w:val="en-US"/>
              </w:rPr>
              <w:t>Der foreligger ingen data</w:t>
            </w:r>
          </w:p>
        </w:tc>
        <w:tc>
          <w:tcPr>
            <w:tcW w:w="3422" w:type="dxa"/>
            <w:tcBorders>
              <w:top w:val="single" w:sz="4" w:space="0" w:color="000000"/>
              <w:left w:val="single" w:sz="4" w:space="0" w:color="000000"/>
              <w:bottom w:val="single" w:sz="4" w:space="0" w:color="000000"/>
              <w:right w:val="single" w:sz="4" w:space="0" w:color="000000"/>
            </w:tcBorders>
            <w:hideMark/>
          </w:tcPr>
          <w:p w14:paraId="05B08397" w14:textId="77777777" w:rsidR="00F853F2" w:rsidRPr="00F853F2" w:rsidRDefault="00F853F2" w:rsidP="00344E8B">
            <w:pPr>
              <w:ind w:left="174"/>
              <w:rPr>
                <w:sz w:val="24"/>
                <w:szCs w:val="24"/>
                <w:lang w:val="en-US"/>
              </w:rPr>
            </w:pPr>
            <w:r w:rsidRPr="00F853F2">
              <w:rPr>
                <w:sz w:val="24"/>
                <w:szCs w:val="24"/>
                <w:lang w:val="en-US"/>
              </w:rPr>
              <w:t>Ingen</w:t>
            </w:r>
          </w:p>
        </w:tc>
      </w:tr>
      <w:tr w:rsidR="00F853F2" w:rsidRPr="00F853F2" w14:paraId="69334D55" w14:textId="77777777" w:rsidTr="00F853F2">
        <w:trPr>
          <w:trHeight w:val="251"/>
        </w:trPr>
        <w:tc>
          <w:tcPr>
            <w:tcW w:w="2252" w:type="dxa"/>
            <w:tcBorders>
              <w:top w:val="single" w:sz="4" w:space="0" w:color="000000"/>
              <w:left w:val="single" w:sz="4" w:space="0" w:color="000000"/>
              <w:bottom w:val="single" w:sz="4" w:space="0" w:color="000000"/>
              <w:right w:val="single" w:sz="4" w:space="0" w:color="000000"/>
            </w:tcBorders>
            <w:hideMark/>
          </w:tcPr>
          <w:p w14:paraId="3C5B7A8A" w14:textId="77777777" w:rsidR="00F853F2" w:rsidRPr="00F853F2" w:rsidRDefault="00F853F2" w:rsidP="00344E8B">
            <w:pPr>
              <w:ind w:left="71"/>
              <w:rPr>
                <w:sz w:val="24"/>
                <w:szCs w:val="24"/>
                <w:lang w:val="en-US"/>
              </w:rPr>
            </w:pPr>
            <w:r w:rsidRPr="00F853F2">
              <w:rPr>
                <w:sz w:val="24"/>
                <w:szCs w:val="24"/>
                <w:lang w:val="en-US"/>
              </w:rPr>
              <w:t>Lamotrigin</w:t>
            </w:r>
          </w:p>
        </w:tc>
        <w:tc>
          <w:tcPr>
            <w:tcW w:w="3601" w:type="dxa"/>
            <w:tcBorders>
              <w:top w:val="single" w:sz="4" w:space="0" w:color="000000"/>
              <w:left w:val="single" w:sz="4" w:space="0" w:color="000000"/>
              <w:bottom w:val="single" w:sz="4" w:space="0" w:color="000000"/>
              <w:right w:val="single" w:sz="4" w:space="0" w:color="000000"/>
            </w:tcBorders>
            <w:hideMark/>
          </w:tcPr>
          <w:p w14:paraId="1C78E18B" w14:textId="77777777" w:rsidR="00F853F2" w:rsidRPr="00F853F2" w:rsidRDefault="00F853F2" w:rsidP="00344E8B">
            <w:pPr>
              <w:ind w:left="89"/>
              <w:rPr>
                <w:sz w:val="24"/>
                <w:szCs w:val="24"/>
                <w:lang w:val="en-US"/>
              </w:rPr>
            </w:pPr>
            <w:r w:rsidRPr="00F853F2">
              <w:rPr>
                <w:sz w:val="24"/>
                <w:szCs w:val="24"/>
                <w:lang w:val="en-US"/>
              </w:rPr>
              <w:t>Ingen</w:t>
            </w:r>
          </w:p>
        </w:tc>
        <w:tc>
          <w:tcPr>
            <w:tcW w:w="3422" w:type="dxa"/>
            <w:tcBorders>
              <w:top w:val="single" w:sz="4" w:space="0" w:color="000000"/>
              <w:left w:val="single" w:sz="4" w:space="0" w:color="000000"/>
              <w:bottom w:val="single" w:sz="4" w:space="0" w:color="000000"/>
              <w:right w:val="single" w:sz="4" w:space="0" w:color="000000"/>
            </w:tcBorders>
            <w:hideMark/>
          </w:tcPr>
          <w:p w14:paraId="64714A11" w14:textId="77777777" w:rsidR="00F853F2" w:rsidRPr="00F853F2" w:rsidRDefault="00F853F2" w:rsidP="00344E8B">
            <w:pPr>
              <w:ind w:left="174"/>
              <w:rPr>
                <w:sz w:val="24"/>
                <w:szCs w:val="24"/>
                <w:lang w:val="en-US"/>
              </w:rPr>
            </w:pPr>
            <w:r w:rsidRPr="00F853F2">
              <w:rPr>
                <w:sz w:val="24"/>
                <w:szCs w:val="24"/>
                <w:lang w:val="en-US"/>
              </w:rPr>
              <w:t>Ingen</w:t>
            </w:r>
          </w:p>
        </w:tc>
      </w:tr>
      <w:tr w:rsidR="00F853F2" w:rsidRPr="00F853F2" w14:paraId="5E477129" w14:textId="77777777" w:rsidTr="00F853F2">
        <w:trPr>
          <w:trHeight w:val="254"/>
        </w:trPr>
        <w:tc>
          <w:tcPr>
            <w:tcW w:w="2252" w:type="dxa"/>
            <w:tcBorders>
              <w:top w:val="single" w:sz="4" w:space="0" w:color="000000"/>
              <w:left w:val="single" w:sz="4" w:space="0" w:color="000000"/>
              <w:bottom w:val="single" w:sz="4" w:space="0" w:color="000000"/>
              <w:right w:val="single" w:sz="4" w:space="0" w:color="000000"/>
            </w:tcBorders>
            <w:hideMark/>
          </w:tcPr>
          <w:p w14:paraId="702AA9F1" w14:textId="77777777" w:rsidR="00F853F2" w:rsidRPr="00F853F2" w:rsidRDefault="00F853F2" w:rsidP="00344E8B">
            <w:pPr>
              <w:ind w:left="71"/>
              <w:rPr>
                <w:sz w:val="24"/>
                <w:szCs w:val="24"/>
                <w:lang w:val="en-US"/>
              </w:rPr>
            </w:pPr>
            <w:r w:rsidRPr="00F853F2">
              <w:rPr>
                <w:sz w:val="24"/>
                <w:szCs w:val="24"/>
                <w:lang w:val="en-US"/>
              </w:rPr>
              <w:t>Levetiracetam</w:t>
            </w:r>
          </w:p>
        </w:tc>
        <w:tc>
          <w:tcPr>
            <w:tcW w:w="3601" w:type="dxa"/>
            <w:tcBorders>
              <w:top w:val="single" w:sz="4" w:space="0" w:color="000000"/>
              <w:left w:val="single" w:sz="4" w:space="0" w:color="000000"/>
              <w:bottom w:val="single" w:sz="4" w:space="0" w:color="000000"/>
              <w:right w:val="single" w:sz="4" w:space="0" w:color="000000"/>
            </w:tcBorders>
            <w:hideMark/>
          </w:tcPr>
          <w:p w14:paraId="2FC66A41" w14:textId="77777777" w:rsidR="00F853F2" w:rsidRPr="00F853F2" w:rsidRDefault="00F853F2" w:rsidP="00344E8B">
            <w:pPr>
              <w:ind w:left="89"/>
              <w:rPr>
                <w:sz w:val="24"/>
                <w:szCs w:val="24"/>
                <w:lang w:val="en-US"/>
              </w:rPr>
            </w:pPr>
            <w:r w:rsidRPr="00F853F2">
              <w:rPr>
                <w:sz w:val="24"/>
                <w:szCs w:val="24"/>
                <w:lang w:val="en-US"/>
              </w:rPr>
              <w:t>Ingen</w:t>
            </w:r>
          </w:p>
        </w:tc>
        <w:tc>
          <w:tcPr>
            <w:tcW w:w="3422" w:type="dxa"/>
            <w:tcBorders>
              <w:top w:val="single" w:sz="4" w:space="0" w:color="000000"/>
              <w:left w:val="single" w:sz="4" w:space="0" w:color="000000"/>
              <w:bottom w:val="single" w:sz="4" w:space="0" w:color="000000"/>
              <w:right w:val="single" w:sz="4" w:space="0" w:color="000000"/>
            </w:tcBorders>
            <w:hideMark/>
          </w:tcPr>
          <w:p w14:paraId="69E70213" w14:textId="77777777" w:rsidR="00F853F2" w:rsidRPr="00F853F2" w:rsidRDefault="00F853F2" w:rsidP="00344E8B">
            <w:pPr>
              <w:ind w:left="174"/>
              <w:rPr>
                <w:sz w:val="24"/>
                <w:szCs w:val="24"/>
                <w:lang w:val="en-US"/>
              </w:rPr>
            </w:pPr>
            <w:r w:rsidRPr="00F853F2">
              <w:rPr>
                <w:sz w:val="24"/>
                <w:szCs w:val="24"/>
                <w:lang w:val="en-US"/>
              </w:rPr>
              <w:t>Ingen</w:t>
            </w:r>
          </w:p>
        </w:tc>
      </w:tr>
      <w:tr w:rsidR="00F853F2" w:rsidRPr="00F853F2" w14:paraId="23362A96" w14:textId="77777777" w:rsidTr="00F853F2">
        <w:trPr>
          <w:trHeight w:val="253"/>
        </w:trPr>
        <w:tc>
          <w:tcPr>
            <w:tcW w:w="2252" w:type="dxa"/>
            <w:tcBorders>
              <w:top w:val="single" w:sz="4" w:space="0" w:color="000000"/>
              <w:left w:val="single" w:sz="4" w:space="0" w:color="000000"/>
              <w:bottom w:val="single" w:sz="4" w:space="0" w:color="000000"/>
              <w:right w:val="single" w:sz="4" w:space="0" w:color="000000"/>
            </w:tcBorders>
            <w:hideMark/>
          </w:tcPr>
          <w:p w14:paraId="75CD1F10" w14:textId="77777777" w:rsidR="00F853F2" w:rsidRPr="00F853F2" w:rsidRDefault="00F853F2" w:rsidP="00344E8B">
            <w:pPr>
              <w:ind w:left="71"/>
              <w:rPr>
                <w:sz w:val="24"/>
                <w:szCs w:val="24"/>
                <w:lang w:val="en-US"/>
              </w:rPr>
            </w:pPr>
            <w:r w:rsidRPr="00F853F2">
              <w:rPr>
                <w:sz w:val="24"/>
                <w:szCs w:val="24"/>
                <w:lang w:val="en-US"/>
              </w:rPr>
              <w:t>Oxcarbazepin</w:t>
            </w:r>
          </w:p>
        </w:tc>
        <w:tc>
          <w:tcPr>
            <w:tcW w:w="3601" w:type="dxa"/>
            <w:tcBorders>
              <w:top w:val="single" w:sz="4" w:space="0" w:color="000000"/>
              <w:left w:val="single" w:sz="4" w:space="0" w:color="000000"/>
              <w:bottom w:val="single" w:sz="4" w:space="0" w:color="000000"/>
              <w:right w:val="single" w:sz="4" w:space="0" w:color="000000"/>
            </w:tcBorders>
            <w:hideMark/>
          </w:tcPr>
          <w:p w14:paraId="592D9B9A" w14:textId="77777777" w:rsidR="00F853F2" w:rsidRPr="00F853F2" w:rsidRDefault="00F853F2" w:rsidP="00344E8B">
            <w:pPr>
              <w:ind w:left="89"/>
              <w:rPr>
                <w:sz w:val="24"/>
                <w:szCs w:val="24"/>
                <w:lang w:val="en-US"/>
              </w:rPr>
            </w:pPr>
            <w:r w:rsidRPr="00F853F2">
              <w:rPr>
                <w:sz w:val="24"/>
                <w:szCs w:val="24"/>
                <w:lang w:val="en-US"/>
              </w:rPr>
              <w:t>Ingen</w:t>
            </w:r>
          </w:p>
        </w:tc>
        <w:tc>
          <w:tcPr>
            <w:tcW w:w="3422" w:type="dxa"/>
            <w:tcBorders>
              <w:top w:val="single" w:sz="4" w:space="0" w:color="000000"/>
              <w:left w:val="single" w:sz="4" w:space="0" w:color="000000"/>
              <w:bottom w:val="single" w:sz="4" w:space="0" w:color="000000"/>
              <w:right w:val="single" w:sz="4" w:space="0" w:color="000000"/>
            </w:tcBorders>
            <w:hideMark/>
          </w:tcPr>
          <w:p w14:paraId="45B74746" w14:textId="77777777" w:rsidR="00F853F2" w:rsidRPr="00F853F2" w:rsidRDefault="00F853F2" w:rsidP="00344E8B">
            <w:pPr>
              <w:ind w:left="174"/>
              <w:rPr>
                <w:sz w:val="24"/>
                <w:szCs w:val="24"/>
                <w:lang w:val="en-US"/>
              </w:rPr>
            </w:pPr>
            <w:r w:rsidRPr="00F853F2">
              <w:rPr>
                <w:sz w:val="24"/>
                <w:szCs w:val="24"/>
                <w:lang w:val="en-US"/>
              </w:rPr>
              <w:t>Ingen (monohydroxyderivat, MHD)</w:t>
            </w:r>
          </w:p>
        </w:tc>
      </w:tr>
      <w:tr w:rsidR="00F853F2" w:rsidRPr="00F853F2" w14:paraId="6BE15D7F" w14:textId="77777777" w:rsidTr="00F853F2">
        <w:trPr>
          <w:trHeight w:val="506"/>
        </w:trPr>
        <w:tc>
          <w:tcPr>
            <w:tcW w:w="2252" w:type="dxa"/>
            <w:tcBorders>
              <w:top w:val="single" w:sz="4" w:space="0" w:color="000000"/>
              <w:left w:val="single" w:sz="4" w:space="0" w:color="000000"/>
              <w:bottom w:val="single" w:sz="4" w:space="0" w:color="000000"/>
              <w:right w:val="single" w:sz="4" w:space="0" w:color="000000"/>
            </w:tcBorders>
            <w:hideMark/>
          </w:tcPr>
          <w:p w14:paraId="700C9461" w14:textId="77777777" w:rsidR="00F853F2" w:rsidRPr="00F853F2" w:rsidRDefault="00F853F2" w:rsidP="00344E8B">
            <w:pPr>
              <w:ind w:left="71"/>
              <w:rPr>
                <w:sz w:val="24"/>
                <w:szCs w:val="24"/>
                <w:lang w:val="en-US"/>
              </w:rPr>
            </w:pPr>
            <w:r w:rsidRPr="00F853F2">
              <w:rPr>
                <w:sz w:val="24"/>
                <w:szCs w:val="24"/>
                <w:lang w:val="en-US"/>
              </w:rPr>
              <w:t>Phenobarbital</w:t>
            </w:r>
          </w:p>
        </w:tc>
        <w:tc>
          <w:tcPr>
            <w:tcW w:w="3601" w:type="dxa"/>
            <w:tcBorders>
              <w:top w:val="single" w:sz="4" w:space="0" w:color="000000"/>
              <w:left w:val="single" w:sz="4" w:space="0" w:color="000000"/>
              <w:bottom w:val="single" w:sz="4" w:space="0" w:color="000000"/>
              <w:right w:val="single" w:sz="4" w:space="0" w:color="000000"/>
            </w:tcBorders>
            <w:hideMark/>
          </w:tcPr>
          <w:p w14:paraId="2DA54FEA" w14:textId="77777777" w:rsidR="00F853F2" w:rsidRPr="00F853F2" w:rsidRDefault="00F853F2" w:rsidP="00344E8B">
            <w:pPr>
              <w:ind w:left="89"/>
              <w:rPr>
                <w:sz w:val="24"/>
                <w:szCs w:val="24"/>
              </w:rPr>
            </w:pPr>
            <w:r w:rsidRPr="00F853F2">
              <w:rPr>
                <w:sz w:val="24"/>
                <w:szCs w:val="24"/>
              </w:rPr>
              <w:t>AUC 19 % ↓</w:t>
            </w:r>
          </w:p>
          <w:p w14:paraId="39F79575" w14:textId="77777777" w:rsidR="00F853F2" w:rsidRPr="00F853F2" w:rsidRDefault="00F853F2" w:rsidP="00344E8B">
            <w:pPr>
              <w:ind w:left="89"/>
              <w:rPr>
                <w:sz w:val="24"/>
                <w:szCs w:val="24"/>
              </w:rPr>
            </w:pPr>
            <w:r w:rsidRPr="00F853F2">
              <w:rPr>
                <w:sz w:val="24"/>
                <w:szCs w:val="24"/>
              </w:rPr>
              <w:t>Dosisjustering er ikke nødvendig</w:t>
            </w:r>
          </w:p>
        </w:tc>
        <w:tc>
          <w:tcPr>
            <w:tcW w:w="3422" w:type="dxa"/>
            <w:tcBorders>
              <w:top w:val="single" w:sz="4" w:space="0" w:color="000000"/>
              <w:left w:val="single" w:sz="4" w:space="0" w:color="000000"/>
              <w:bottom w:val="single" w:sz="4" w:space="0" w:color="000000"/>
              <w:right w:val="single" w:sz="4" w:space="0" w:color="000000"/>
            </w:tcBorders>
            <w:hideMark/>
          </w:tcPr>
          <w:p w14:paraId="6A2D6DFC" w14:textId="77777777" w:rsidR="00F853F2" w:rsidRPr="00F853F2" w:rsidRDefault="00F853F2" w:rsidP="00344E8B">
            <w:pPr>
              <w:ind w:left="174"/>
              <w:rPr>
                <w:sz w:val="24"/>
                <w:szCs w:val="24"/>
                <w:lang w:val="en-US"/>
              </w:rPr>
            </w:pPr>
            <w:r w:rsidRPr="00F853F2">
              <w:rPr>
                <w:sz w:val="24"/>
                <w:szCs w:val="24"/>
                <w:lang w:val="en-US"/>
              </w:rPr>
              <w:t>Ingen</w:t>
            </w:r>
          </w:p>
        </w:tc>
      </w:tr>
      <w:tr w:rsidR="00F853F2" w:rsidRPr="00F41036" w14:paraId="4DA8CA63" w14:textId="77777777" w:rsidTr="00F853F2">
        <w:trPr>
          <w:trHeight w:val="822"/>
        </w:trPr>
        <w:tc>
          <w:tcPr>
            <w:tcW w:w="2252" w:type="dxa"/>
            <w:tcBorders>
              <w:top w:val="single" w:sz="4" w:space="0" w:color="000000"/>
              <w:left w:val="single" w:sz="4" w:space="0" w:color="000000"/>
              <w:bottom w:val="single" w:sz="4" w:space="0" w:color="000000"/>
              <w:right w:val="single" w:sz="4" w:space="0" w:color="000000"/>
            </w:tcBorders>
            <w:hideMark/>
          </w:tcPr>
          <w:p w14:paraId="3FCCC221" w14:textId="77777777" w:rsidR="00F853F2" w:rsidRPr="00F853F2" w:rsidRDefault="00F853F2" w:rsidP="00344E8B">
            <w:pPr>
              <w:ind w:left="71"/>
              <w:rPr>
                <w:sz w:val="24"/>
                <w:szCs w:val="24"/>
                <w:lang w:val="en-US"/>
              </w:rPr>
            </w:pPr>
            <w:r w:rsidRPr="00F853F2">
              <w:rPr>
                <w:sz w:val="24"/>
                <w:szCs w:val="24"/>
                <w:lang w:val="en-US"/>
              </w:rPr>
              <w:t>Phenytoin</w:t>
            </w:r>
          </w:p>
        </w:tc>
        <w:tc>
          <w:tcPr>
            <w:tcW w:w="3601" w:type="dxa"/>
            <w:tcBorders>
              <w:top w:val="single" w:sz="4" w:space="0" w:color="000000"/>
              <w:left w:val="single" w:sz="4" w:space="0" w:color="000000"/>
              <w:bottom w:val="single" w:sz="4" w:space="0" w:color="000000"/>
              <w:right w:val="single" w:sz="4" w:space="0" w:color="000000"/>
            </w:tcBorders>
            <w:hideMark/>
          </w:tcPr>
          <w:p w14:paraId="2D404288" w14:textId="77777777" w:rsidR="00F853F2" w:rsidRPr="00F853F2" w:rsidRDefault="00F853F2" w:rsidP="00344E8B">
            <w:pPr>
              <w:ind w:left="89"/>
              <w:rPr>
                <w:sz w:val="24"/>
                <w:szCs w:val="24"/>
              </w:rPr>
            </w:pPr>
            <w:r w:rsidRPr="00F853F2">
              <w:rPr>
                <w:sz w:val="24"/>
                <w:szCs w:val="24"/>
              </w:rPr>
              <w:t>AUC 21 % ↓</w:t>
            </w:r>
          </w:p>
          <w:p w14:paraId="15452D61" w14:textId="77777777" w:rsidR="00F853F2" w:rsidRPr="00F853F2" w:rsidRDefault="00F853F2" w:rsidP="00344E8B">
            <w:pPr>
              <w:ind w:left="89"/>
              <w:rPr>
                <w:sz w:val="24"/>
                <w:szCs w:val="24"/>
              </w:rPr>
            </w:pPr>
            <w:r w:rsidRPr="00F853F2">
              <w:rPr>
                <w:sz w:val="24"/>
                <w:szCs w:val="24"/>
              </w:rPr>
              <w:t>Dosisjustering er ikke nødvendig</w:t>
            </w:r>
          </w:p>
        </w:tc>
        <w:tc>
          <w:tcPr>
            <w:tcW w:w="3422" w:type="dxa"/>
            <w:tcBorders>
              <w:top w:val="single" w:sz="4" w:space="0" w:color="000000"/>
              <w:left w:val="single" w:sz="4" w:space="0" w:color="000000"/>
              <w:bottom w:val="single" w:sz="4" w:space="0" w:color="000000"/>
              <w:right w:val="single" w:sz="4" w:space="0" w:color="000000"/>
            </w:tcBorders>
            <w:hideMark/>
          </w:tcPr>
          <w:p w14:paraId="19EAB124" w14:textId="77777777" w:rsidR="00F853F2" w:rsidRPr="00F853F2" w:rsidRDefault="00F853F2" w:rsidP="00344E8B">
            <w:pPr>
              <w:ind w:left="174"/>
              <w:rPr>
                <w:sz w:val="24"/>
                <w:szCs w:val="24"/>
                <w:lang w:val="en-US"/>
              </w:rPr>
            </w:pPr>
            <w:r w:rsidRPr="00F853F2">
              <w:rPr>
                <w:sz w:val="24"/>
                <w:szCs w:val="24"/>
                <w:lang w:val="en-US"/>
              </w:rPr>
              <w:t>Ingen</w:t>
            </w:r>
          </w:p>
          <w:p w14:paraId="5B9A6FD1" w14:textId="77777777" w:rsidR="00F853F2" w:rsidRPr="00F853F2" w:rsidRDefault="00F853F2" w:rsidP="00344E8B">
            <w:pPr>
              <w:ind w:left="174"/>
              <w:rPr>
                <w:sz w:val="24"/>
                <w:szCs w:val="24"/>
                <w:lang w:val="en-US"/>
              </w:rPr>
            </w:pPr>
            <w:r w:rsidRPr="00344E8B">
              <w:rPr>
                <w:sz w:val="24"/>
                <w:szCs w:val="24"/>
                <w:vertAlign w:val="superscript"/>
                <w:lang w:val="en-US"/>
              </w:rPr>
              <w:t>a</w:t>
            </w:r>
            <w:r w:rsidRPr="00F853F2">
              <w:rPr>
                <w:sz w:val="24"/>
                <w:szCs w:val="24"/>
                <w:lang w:val="en-US"/>
              </w:rPr>
              <w:t xml:space="preserve"> AUC 20 % </w:t>
            </w:r>
            <w:r w:rsidRPr="00F853F2">
              <w:rPr>
                <w:rFonts w:hint="eastAsia"/>
                <w:sz w:val="24"/>
                <w:szCs w:val="24"/>
                <w:lang w:val="en-US"/>
              </w:rPr>
              <w:t>↑</w:t>
            </w:r>
          </w:p>
          <w:p w14:paraId="4EC0988A" w14:textId="77777777" w:rsidR="00F853F2" w:rsidRPr="00F853F2" w:rsidRDefault="00F853F2" w:rsidP="00344E8B">
            <w:pPr>
              <w:ind w:left="174"/>
              <w:rPr>
                <w:sz w:val="24"/>
                <w:szCs w:val="24"/>
                <w:lang w:val="en-US"/>
              </w:rPr>
            </w:pPr>
            <w:r w:rsidRPr="00344E8B">
              <w:rPr>
                <w:sz w:val="24"/>
                <w:szCs w:val="24"/>
                <w:vertAlign w:val="superscript"/>
                <w:lang w:val="en-US"/>
              </w:rPr>
              <w:t>a</w:t>
            </w:r>
            <w:r w:rsidRPr="00F853F2">
              <w:rPr>
                <w:sz w:val="24"/>
                <w:szCs w:val="24"/>
                <w:lang w:val="en-US"/>
              </w:rPr>
              <w:t xml:space="preserve"> Cmax 20 % </w:t>
            </w:r>
            <w:r w:rsidRPr="00F853F2">
              <w:rPr>
                <w:rFonts w:hint="eastAsia"/>
                <w:sz w:val="24"/>
                <w:szCs w:val="24"/>
                <w:lang w:val="en-US"/>
              </w:rPr>
              <w:t>↑</w:t>
            </w:r>
          </w:p>
        </w:tc>
      </w:tr>
      <w:tr w:rsidR="00F853F2" w:rsidRPr="00F853F2" w14:paraId="594B2846" w14:textId="77777777" w:rsidTr="00F853F2">
        <w:trPr>
          <w:trHeight w:val="251"/>
        </w:trPr>
        <w:tc>
          <w:tcPr>
            <w:tcW w:w="2252" w:type="dxa"/>
            <w:tcBorders>
              <w:top w:val="single" w:sz="4" w:space="0" w:color="000000"/>
              <w:left w:val="single" w:sz="4" w:space="0" w:color="000000"/>
              <w:bottom w:val="single" w:sz="4" w:space="0" w:color="000000"/>
              <w:right w:val="single" w:sz="4" w:space="0" w:color="000000"/>
            </w:tcBorders>
            <w:hideMark/>
          </w:tcPr>
          <w:p w14:paraId="5F691327" w14:textId="77777777" w:rsidR="00F853F2" w:rsidRPr="00F853F2" w:rsidRDefault="00F853F2" w:rsidP="00344E8B">
            <w:pPr>
              <w:ind w:left="71"/>
              <w:rPr>
                <w:sz w:val="24"/>
                <w:szCs w:val="24"/>
                <w:lang w:val="en-US"/>
              </w:rPr>
            </w:pPr>
            <w:r w:rsidRPr="00F853F2">
              <w:rPr>
                <w:sz w:val="24"/>
                <w:szCs w:val="24"/>
                <w:lang w:val="en-US"/>
              </w:rPr>
              <w:t>Pregabalin</w:t>
            </w:r>
          </w:p>
        </w:tc>
        <w:tc>
          <w:tcPr>
            <w:tcW w:w="3601" w:type="dxa"/>
            <w:tcBorders>
              <w:top w:val="single" w:sz="4" w:space="0" w:color="000000"/>
              <w:left w:val="single" w:sz="4" w:space="0" w:color="000000"/>
              <w:bottom w:val="single" w:sz="4" w:space="0" w:color="000000"/>
              <w:right w:val="single" w:sz="4" w:space="0" w:color="000000"/>
            </w:tcBorders>
            <w:hideMark/>
          </w:tcPr>
          <w:p w14:paraId="5D109B2E" w14:textId="77777777" w:rsidR="00F853F2" w:rsidRPr="00F853F2" w:rsidRDefault="00F853F2" w:rsidP="00344E8B">
            <w:pPr>
              <w:ind w:left="89"/>
              <w:rPr>
                <w:sz w:val="24"/>
                <w:szCs w:val="24"/>
                <w:lang w:val="en-US"/>
              </w:rPr>
            </w:pPr>
            <w:r w:rsidRPr="00F853F2">
              <w:rPr>
                <w:sz w:val="24"/>
                <w:szCs w:val="24"/>
                <w:lang w:val="en-US"/>
              </w:rPr>
              <w:t>Der foreligger ingen data</w:t>
            </w:r>
          </w:p>
        </w:tc>
        <w:tc>
          <w:tcPr>
            <w:tcW w:w="3422" w:type="dxa"/>
            <w:tcBorders>
              <w:top w:val="single" w:sz="4" w:space="0" w:color="000000"/>
              <w:left w:val="single" w:sz="4" w:space="0" w:color="000000"/>
              <w:bottom w:val="single" w:sz="4" w:space="0" w:color="000000"/>
              <w:right w:val="single" w:sz="4" w:space="0" w:color="000000"/>
            </w:tcBorders>
            <w:hideMark/>
          </w:tcPr>
          <w:p w14:paraId="611E0FA5" w14:textId="77777777" w:rsidR="00F853F2" w:rsidRPr="00F853F2" w:rsidRDefault="00F853F2" w:rsidP="00344E8B">
            <w:pPr>
              <w:ind w:left="174"/>
              <w:rPr>
                <w:sz w:val="24"/>
                <w:szCs w:val="24"/>
                <w:lang w:val="en-US"/>
              </w:rPr>
            </w:pPr>
            <w:r w:rsidRPr="00F853F2">
              <w:rPr>
                <w:sz w:val="24"/>
                <w:szCs w:val="24"/>
                <w:lang w:val="en-US"/>
              </w:rPr>
              <w:t>Ingen</w:t>
            </w:r>
          </w:p>
        </w:tc>
      </w:tr>
      <w:tr w:rsidR="00F853F2" w:rsidRPr="00F853F2" w14:paraId="46275DEC" w14:textId="77777777" w:rsidTr="00F853F2">
        <w:trPr>
          <w:trHeight w:val="254"/>
        </w:trPr>
        <w:tc>
          <w:tcPr>
            <w:tcW w:w="2252" w:type="dxa"/>
            <w:tcBorders>
              <w:top w:val="single" w:sz="4" w:space="0" w:color="000000"/>
              <w:left w:val="single" w:sz="4" w:space="0" w:color="000000"/>
              <w:bottom w:val="single" w:sz="4" w:space="0" w:color="000000"/>
              <w:right w:val="single" w:sz="4" w:space="0" w:color="000000"/>
            </w:tcBorders>
            <w:hideMark/>
          </w:tcPr>
          <w:p w14:paraId="3354DE85" w14:textId="77777777" w:rsidR="00F853F2" w:rsidRPr="00F853F2" w:rsidRDefault="00F853F2" w:rsidP="00344E8B">
            <w:pPr>
              <w:ind w:left="71"/>
              <w:rPr>
                <w:sz w:val="24"/>
                <w:szCs w:val="24"/>
                <w:lang w:val="en-US"/>
              </w:rPr>
            </w:pPr>
            <w:r w:rsidRPr="00F853F2">
              <w:rPr>
                <w:sz w:val="24"/>
                <w:szCs w:val="24"/>
                <w:lang w:val="en-US"/>
              </w:rPr>
              <w:t>Topiramat</w:t>
            </w:r>
          </w:p>
        </w:tc>
        <w:tc>
          <w:tcPr>
            <w:tcW w:w="3601" w:type="dxa"/>
            <w:tcBorders>
              <w:top w:val="single" w:sz="4" w:space="0" w:color="000000"/>
              <w:left w:val="single" w:sz="4" w:space="0" w:color="000000"/>
              <w:bottom w:val="single" w:sz="4" w:space="0" w:color="000000"/>
              <w:right w:val="single" w:sz="4" w:space="0" w:color="000000"/>
            </w:tcBorders>
            <w:hideMark/>
          </w:tcPr>
          <w:p w14:paraId="59E96D08" w14:textId="77777777" w:rsidR="00F853F2" w:rsidRPr="00F853F2" w:rsidRDefault="00F853F2" w:rsidP="00344E8B">
            <w:pPr>
              <w:ind w:left="89"/>
              <w:rPr>
                <w:sz w:val="24"/>
                <w:szCs w:val="24"/>
                <w:lang w:val="en-US"/>
              </w:rPr>
            </w:pPr>
            <w:r w:rsidRPr="00F853F2">
              <w:rPr>
                <w:sz w:val="24"/>
                <w:szCs w:val="24"/>
                <w:lang w:val="en-US"/>
              </w:rPr>
              <w:t>Ingen</w:t>
            </w:r>
          </w:p>
        </w:tc>
        <w:tc>
          <w:tcPr>
            <w:tcW w:w="3422" w:type="dxa"/>
            <w:tcBorders>
              <w:top w:val="single" w:sz="4" w:space="0" w:color="000000"/>
              <w:left w:val="single" w:sz="4" w:space="0" w:color="000000"/>
              <w:bottom w:val="single" w:sz="4" w:space="0" w:color="000000"/>
              <w:right w:val="single" w:sz="4" w:space="0" w:color="000000"/>
            </w:tcBorders>
            <w:hideMark/>
          </w:tcPr>
          <w:p w14:paraId="6B08A824" w14:textId="77777777" w:rsidR="00F853F2" w:rsidRPr="00F853F2" w:rsidRDefault="00F853F2" w:rsidP="00344E8B">
            <w:pPr>
              <w:ind w:left="174"/>
              <w:rPr>
                <w:sz w:val="24"/>
                <w:szCs w:val="24"/>
                <w:lang w:val="en-US"/>
              </w:rPr>
            </w:pPr>
            <w:r w:rsidRPr="00F853F2">
              <w:rPr>
                <w:sz w:val="24"/>
                <w:szCs w:val="24"/>
                <w:lang w:val="en-US"/>
              </w:rPr>
              <w:t>Ingen</w:t>
            </w:r>
          </w:p>
        </w:tc>
      </w:tr>
      <w:tr w:rsidR="00F853F2" w:rsidRPr="00F853F2" w14:paraId="084E67FC" w14:textId="77777777" w:rsidTr="00F853F2">
        <w:trPr>
          <w:trHeight w:val="253"/>
        </w:trPr>
        <w:tc>
          <w:tcPr>
            <w:tcW w:w="2252" w:type="dxa"/>
            <w:tcBorders>
              <w:top w:val="single" w:sz="4" w:space="0" w:color="000000"/>
              <w:left w:val="single" w:sz="4" w:space="0" w:color="000000"/>
              <w:bottom w:val="single" w:sz="4" w:space="0" w:color="000000"/>
              <w:right w:val="single" w:sz="4" w:space="0" w:color="000000"/>
            </w:tcBorders>
            <w:hideMark/>
          </w:tcPr>
          <w:p w14:paraId="6F4AEF7D" w14:textId="77777777" w:rsidR="00F853F2" w:rsidRPr="00F853F2" w:rsidRDefault="00F853F2" w:rsidP="00344E8B">
            <w:pPr>
              <w:ind w:left="71"/>
              <w:rPr>
                <w:sz w:val="24"/>
                <w:szCs w:val="24"/>
                <w:lang w:val="en-US"/>
              </w:rPr>
            </w:pPr>
            <w:r w:rsidRPr="00F853F2">
              <w:rPr>
                <w:sz w:val="24"/>
                <w:szCs w:val="24"/>
                <w:lang w:val="en-US"/>
              </w:rPr>
              <w:t>Valproinsyre</w:t>
            </w:r>
          </w:p>
        </w:tc>
        <w:tc>
          <w:tcPr>
            <w:tcW w:w="3601" w:type="dxa"/>
            <w:tcBorders>
              <w:top w:val="single" w:sz="4" w:space="0" w:color="000000"/>
              <w:left w:val="single" w:sz="4" w:space="0" w:color="000000"/>
              <w:bottom w:val="single" w:sz="4" w:space="0" w:color="000000"/>
              <w:right w:val="single" w:sz="4" w:space="0" w:color="000000"/>
            </w:tcBorders>
            <w:hideMark/>
          </w:tcPr>
          <w:p w14:paraId="28D27690" w14:textId="77777777" w:rsidR="00F853F2" w:rsidRPr="00F853F2" w:rsidRDefault="00F853F2" w:rsidP="00344E8B">
            <w:pPr>
              <w:ind w:left="89"/>
              <w:rPr>
                <w:sz w:val="24"/>
                <w:szCs w:val="24"/>
                <w:lang w:val="en-US"/>
              </w:rPr>
            </w:pPr>
            <w:r w:rsidRPr="00F853F2">
              <w:rPr>
                <w:sz w:val="24"/>
                <w:szCs w:val="24"/>
                <w:lang w:val="en-US"/>
              </w:rPr>
              <w:t>Ingen</w:t>
            </w:r>
          </w:p>
        </w:tc>
        <w:tc>
          <w:tcPr>
            <w:tcW w:w="3422" w:type="dxa"/>
            <w:tcBorders>
              <w:top w:val="single" w:sz="4" w:space="0" w:color="000000"/>
              <w:left w:val="single" w:sz="4" w:space="0" w:color="000000"/>
              <w:bottom w:val="single" w:sz="4" w:space="0" w:color="000000"/>
              <w:right w:val="single" w:sz="4" w:space="0" w:color="000000"/>
            </w:tcBorders>
            <w:hideMark/>
          </w:tcPr>
          <w:p w14:paraId="2D1B385F" w14:textId="77777777" w:rsidR="00F853F2" w:rsidRPr="00F853F2" w:rsidRDefault="00F853F2" w:rsidP="00344E8B">
            <w:pPr>
              <w:ind w:left="174"/>
              <w:rPr>
                <w:sz w:val="24"/>
                <w:szCs w:val="24"/>
                <w:lang w:val="en-US"/>
              </w:rPr>
            </w:pPr>
            <w:r w:rsidRPr="00F853F2">
              <w:rPr>
                <w:sz w:val="24"/>
                <w:szCs w:val="24"/>
                <w:lang w:val="en-US"/>
              </w:rPr>
              <w:t>Ingen</w:t>
            </w:r>
          </w:p>
        </w:tc>
      </w:tr>
      <w:tr w:rsidR="00F853F2" w:rsidRPr="00F853F2" w14:paraId="2B9B19D0" w14:textId="77777777" w:rsidTr="00F853F2">
        <w:trPr>
          <w:trHeight w:val="251"/>
        </w:trPr>
        <w:tc>
          <w:tcPr>
            <w:tcW w:w="2252" w:type="dxa"/>
            <w:tcBorders>
              <w:top w:val="single" w:sz="4" w:space="0" w:color="000000"/>
              <w:left w:val="single" w:sz="4" w:space="0" w:color="000000"/>
              <w:bottom w:val="single" w:sz="4" w:space="0" w:color="000000"/>
              <w:right w:val="single" w:sz="4" w:space="0" w:color="000000"/>
            </w:tcBorders>
            <w:hideMark/>
          </w:tcPr>
          <w:p w14:paraId="42F7EF5C" w14:textId="77777777" w:rsidR="00F853F2" w:rsidRPr="00F853F2" w:rsidRDefault="00F853F2" w:rsidP="00344E8B">
            <w:pPr>
              <w:ind w:left="71"/>
              <w:rPr>
                <w:sz w:val="24"/>
                <w:szCs w:val="24"/>
                <w:lang w:val="en-US"/>
              </w:rPr>
            </w:pPr>
            <w:r w:rsidRPr="00F853F2">
              <w:rPr>
                <w:sz w:val="24"/>
                <w:szCs w:val="24"/>
                <w:lang w:val="en-US"/>
              </w:rPr>
              <w:t>Zonisamid</w:t>
            </w:r>
          </w:p>
        </w:tc>
        <w:tc>
          <w:tcPr>
            <w:tcW w:w="3601" w:type="dxa"/>
            <w:tcBorders>
              <w:top w:val="single" w:sz="4" w:space="0" w:color="000000"/>
              <w:left w:val="single" w:sz="4" w:space="0" w:color="000000"/>
              <w:bottom w:val="single" w:sz="4" w:space="0" w:color="000000"/>
              <w:right w:val="single" w:sz="4" w:space="0" w:color="000000"/>
            </w:tcBorders>
            <w:hideMark/>
          </w:tcPr>
          <w:p w14:paraId="3CA67AD5" w14:textId="77777777" w:rsidR="00F853F2" w:rsidRPr="00F853F2" w:rsidRDefault="00F853F2" w:rsidP="00344E8B">
            <w:pPr>
              <w:ind w:left="89"/>
              <w:rPr>
                <w:sz w:val="24"/>
                <w:szCs w:val="24"/>
                <w:lang w:val="en-US"/>
              </w:rPr>
            </w:pPr>
            <w:r w:rsidRPr="00F853F2">
              <w:rPr>
                <w:sz w:val="24"/>
                <w:szCs w:val="24"/>
                <w:lang w:val="en-US"/>
              </w:rPr>
              <w:t>Der foreligger ingen data</w:t>
            </w:r>
          </w:p>
        </w:tc>
        <w:tc>
          <w:tcPr>
            <w:tcW w:w="3422" w:type="dxa"/>
            <w:tcBorders>
              <w:top w:val="single" w:sz="4" w:space="0" w:color="000000"/>
              <w:left w:val="single" w:sz="4" w:space="0" w:color="000000"/>
              <w:bottom w:val="single" w:sz="4" w:space="0" w:color="000000"/>
              <w:right w:val="single" w:sz="4" w:space="0" w:color="000000"/>
            </w:tcBorders>
            <w:hideMark/>
          </w:tcPr>
          <w:p w14:paraId="59C3121F" w14:textId="77777777" w:rsidR="00F853F2" w:rsidRPr="00F853F2" w:rsidRDefault="00F853F2" w:rsidP="00344E8B">
            <w:pPr>
              <w:ind w:left="174"/>
              <w:rPr>
                <w:sz w:val="24"/>
                <w:szCs w:val="24"/>
                <w:lang w:val="en-US"/>
              </w:rPr>
            </w:pPr>
            <w:r w:rsidRPr="00F853F2">
              <w:rPr>
                <w:sz w:val="24"/>
                <w:szCs w:val="24"/>
                <w:lang w:val="en-US"/>
              </w:rPr>
              <w:t>Ingen</w:t>
            </w:r>
          </w:p>
        </w:tc>
      </w:tr>
    </w:tbl>
    <w:p w14:paraId="640321E7" w14:textId="77777777" w:rsidR="00F853F2" w:rsidRPr="00344E8B" w:rsidRDefault="00F853F2" w:rsidP="00F853F2">
      <w:pPr>
        <w:tabs>
          <w:tab w:val="left" w:pos="851"/>
        </w:tabs>
        <w:ind w:left="851"/>
        <w:rPr>
          <w:sz w:val="20"/>
        </w:rPr>
      </w:pPr>
      <w:r w:rsidRPr="00344E8B">
        <w:rPr>
          <w:sz w:val="24"/>
          <w:szCs w:val="24"/>
          <w:vertAlign w:val="superscript"/>
        </w:rPr>
        <w:t>a</w:t>
      </w:r>
      <w:r w:rsidRPr="00F853F2">
        <w:rPr>
          <w:sz w:val="24"/>
          <w:szCs w:val="24"/>
        </w:rPr>
        <w:t xml:space="preserve"> </w:t>
      </w:r>
      <w:r w:rsidRPr="00344E8B">
        <w:rPr>
          <w:sz w:val="20"/>
        </w:rPr>
        <w:t>baseret på et studie, der omfattede administration af en supraterapeutisk brivaracetamdosis på 400 mg/dag.</w:t>
      </w:r>
    </w:p>
    <w:p w14:paraId="67389653" w14:textId="77777777" w:rsidR="00F853F2" w:rsidRPr="00F853F2" w:rsidRDefault="00F853F2" w:rsidP="00F853F2">
      <w:pPr>
        <w:tabs>
          <w:tab w:val="left" w:pos="851"/>
        </w:tabs>
        <w:ind w:left="851"/>
        <w:rPr>
          <w:sz w:val="24"/>
          <w:szCs w:val="24"/>
        </w:rPr>
      </w:pPr>
    </w:p>
    <w:p w14:paraId="00EBCE37" w14:textId="77777777" w:rsidR="00F853F2" w:rsidRPr="00F853F2" w:rsidRDefault="00F853F2" w:rsidP="00F853F2">
      <w:pPr>
        <w:tabs>
          <w:tab w:val="left" w:pos="851"/>
        </w:tabs>
        <w:ind w:left="851"/>
        <w:rPr>
          <w:i/>
          <w:sz w:val="24"/>
          <w:szCs w:val="24"/>
        </w:rPr>
      </w:pPr>
      <w:r w:rsidRPr="00F853F2">
        <w:rPr>
          <w:i/>
          <w:sz w:val="24"/>
          <w:szCs w:val="24"/>
        </w:rPr>
        <w:t>Carbamazepin</w:t>
      </w:r>
    </w:p>
    <w:p w14:paraId="7152C235" w14:textId="77777777" w:rsidR="00F853F2" w:rsidRPr="00F853F2" w:rsidRDefault="00F853F2" w:rsidP="00F853F2">
      <w:pPr>
        <w:tabs>
          <w:tab w:val="left" w:pos="851"/>
        </w:tabs>
        <w:ind w:left="851"/>
        <w:rPr>
          <w:sz w:val="24"/>
          <w:szCs w:val="24"/>
        </w:rPr>
      </w:pPr>
      <w:r w:rsidRPr="00F853F2">
        <w:rPr>
          <w:sz w:val="24"/>
          <w:szCs w:val="24"/>
        </w:rPr>
        <w:t>Brivaracetam er en moderat reversibel inhibitor af epoxidhydrolase, hvilket resulterer i en forøget koncentration af carbamazepinepoxid, der er carbamazepins aktive metabolit. I kontrollerede kliniske studier steg plasmakoncentrationen af carbamazepinepoxid gennemsnitligt med 37 %, 62 % og 98 % med lav variabilitet ved brivaracetamdoser på henholdsvis 50 mg/dag, 100 mg/dag og 200 mg/dag.</w:t>
      </w:r>
    </w:p>
    <w:p w14:paraId="0EF16E3C" w14:textId="77777777" w:rsidR="00F853F2" w:rsidRPr="00F853F2" w:rsidRDefault="00F853F2" w:rsidP="00F853F2">
      <w:pPr>
        <w:tabs>
          <w:tab w:val="left" w:pos="851"/>
        </w:tabs>
        <w:ind w:left="851"/>
        <w:rPr>
          <w:sz w:val="24"/>
          <w:szCs w:val="24"/>
        </w:rPr>
      </w:pPr>
      <w:r w:rsidRPr="00F853F2">
        <w:rPr>
          <w:sz w:val="24"/>
          <w:szCs w:val="24"/>
        </w:rPr>
        <w:t>Der blev ikke observeret nogen sikkerhedsrisici. Der var ingen additiv effekt af brivaracetam og valproat på AUC for carbamazepinepoxid.</w:t>
      </w:r>
    </w:p>
    <w:p w14:paraId="5F1E9FEE" w14:textId="77777777" w:rsidR="00F853F2" w:rsidRPr="00F853F2" w:rsidRDefault="00F853F2" w:rsidP="00F853F2">
      <w:pPr>
        <w:tabs>
          <w:tab w:val="left" w:pos="851"/>
        </w:tabs>
        <w:ind w:left="851"/>
        <w:rPr>
          <w:sz w:val="24"/>
          <w:szCs w:val="24"/>
        </w:rPr>
      </w:pPr>
    </w:p>
    <w:p w14:paraId="34EA46C7" w14:textId="77777777" w:rsidR="00F853F2" w:rsidRPr="00F853F2" w:rsidRDefault="00F853F2" w:rsidP="00F853F2">
      <w:pPr>
        <w:tabs>
          <w:tab w:val="left" w:pos="851"/>
        </w:tabs>
        <w:ind w:left="851"/>
        <w:rPr>
          <w:sz w:val="24"/>
          <w:szCs w:val="24"/>
        </w:rPr>
      </w:pPr>
      <w:r w:rsidRPr="00F853F2">
        <w:rPr>
          <w:sz w:val="24"/>
          <w:szCs w:val="24"/>
          <w:u w:val="single"/>
        </w:rPr>
        <w:t>Orale kontraceptiva</w:t>
      </w:r>
    </w:p>
    <w:p w14:paraId="07F07C1A" w14:textId="77777777" w:rsidR="00F853F2" w:rsidRPr="00F853F2" w:rsidRDefault="00F853F2" w:rsidP="00F853F2">
      <w:pPr>
        <w:tabs>
          <w:tab w:val="left" w:pos="851"/>
        </w:tabs>
        <w:ind w:left="851"/>
        <w:rPr>
          <w:sz w:val="24"/>
          <w:szCs w:val="24"/>
        </w:rPr>
      </w:pPr>
      <w:r w:rsidRPr="00F853F2">
        <w:rPr>
          <w:sz w:val="24"/>
          <w:szCs w:val="24"/>
        </w:rPr>
        <w:t xml:space="preserve">Samtidig administration af brivaracetam (100 mg/dag) med et oralt kontraceptiv, som indeholdt ethinylestradiol (0,03 mg) og levonorgestrel (0,15 mg), påvirkede ikke de to stoffers farmakokinetik. Når brivaracetamdoser på 400 mg/dag (to gange den anbefalede daglige maksimumdosis) blev administreret samtidig med et oralt kontraceptiv, som indeholdt ethinylestradiol (0,03 mg) og levonorgestrel (0,15 mg), blev der observeret en </w:t>
      </w:r>
      <w:r w:rsidRPr="00F853F2">
        <w:rPr>
          <w:sz w:val="24"/>
          <w:szCs w:val="24"/>
        </w:rPr>
        <w:lastRenderedPageBreak/>
        <w:t>reduktion på 27 % og 23 % i AUC for henholdsvis østrogen og progestin uden påvirkning af suppression af ovulationen. Der var generelt ingen ændring i profilerne for koncentration-tid af de endogene markører estradiol, progesteron, luteiniserende hormon (LH), follikelstimulerende hormon (FSH) og kønshormonbindende globulin (SHBG).</w:t>
      </w:r>
    </w:p>
    <w:p w14:paraId="2FD596B0" w14:textId="77777777" w:rsidR="00F853F2" w:rsidRPr="00F853F2" w:rsidRDefault="00F853F2" w:rsidP="00F853F2">
      <w:pPr>
        <w:tabs>
          <w:tab w:val="left" w:pos="851"/>
        </w:tabs>
        <w:ind w:left="851"/>
        <w:rPr>
          <w:sz w:val="24"/>
          <w:szCs w:val="24"/>
        </w:rPr>
      </w:pPr>
    </w:p>
    <w:p w14:paraId="129BE668" w14:textId="77777777" w:rsidR="009260DE" w:rsidRPr="00C84483" w:rsidRDefault="009260DE" w:rsidP="00F853F2">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29119AD1" w14:textId="77777777" w:rsidR="008B0489" w:rsidRPr="00897B0F" w:rsidRDefault="008B0489" w:rsidP="008B0489">
      <w:pPr>
        <w:tabs>
          <w:tab w:val="left" w:pos="851"/>
        </w:tabs>
        <w:ind w:left="851"/>
        <w:rPr>
          <w:b/>
          <w:sz w:val="24"/>
          <w:szCs w:val="24"/>
        </w:rPr>
      </w:pPr>
    </w:p>
    <w:p w14:paraId="236D1DD8" w14:textId="77777777" w:rsidR="008B0489" w:rsidRPr="008B0489" w:rsidRDefault="008B0489" w:rsidP="008B0489">
      <w:pPr>
        <w:tabs>
          <w:tab w:val="left" w:pos="851"/>
        </w:tabs>
        <w:ind w:left="851"/>
        <w:rPr>
          <w:sz w:val="24"/>
          <w:szCs w:val="24"/>
        </w:rPr>
      </w:pPr>
      <w:r w:rsidRPr="008B0489">
        <w:rPr>
          <w:sz w:val="24"/>
          <w:szCs w:val="24"/>
          <w:u w:val="single"/>
        </w:rPr>
        <w:t>Kvinder i den fødedygtige alder</w:t>
      </w:r>
    </w:p>
    <w:p w14:paraId="2CFD09A8" w14:textId="274ECB55" w:rsidR="008B0489" w:rsidRPr="008B0489" w:rsidRDefault="008B0489" w:rsidP="008B0489">
      <w:pPr>
        <w:tabs>
          <w:tab w:val="left" w:pos="851"/>
        </w:tabs>
        <w:ind w:left="851"/>
        <w:rPr>
          <w:sz w:val="24"/>
          <w:szCs w:val="24"/>
        </w:rPr>
      </w:pPr>
      <w:r w:rsidRPr="008B0489">
        <w:rPr>
          <w:sz w:val="24"/>
          <w:szCs w:val="24"/>
        </w:rPr>
        <w:t xml:space="preserve">Læger skal drøfte familiestiftelse og prævention med kvinder i den fødedygtige alder, som tager brivaracetam (se </w:t>
      </w:r>
      <w:r>
        <w:rPr>
          <w:sz w:val="24"/>
          <w:szCs w:val="24"/>
        </w:rPr>
        <w:t>"</w:t>
      </w:r>
      <w:r w:rsidRPr="008B0489">
        <w:rPr>
          <w:sz w:val="24"/>
          <w:szCs w:val="24"/>
        </w:rPr>
        <w:t>Graviditet</w:t>
      </w:r>
      <w:r>
        <w:rPr>
          <w:sz w:val="24"/>
          <w:szCs w:val="24"/>
        </w:rPr>
        <w:t>"</w:t>
      </w:r>
      <w:r w:rsidRPr="008B0489">
        <w:rPr>
          <w:sz w:val="24"/>
          <w:szCs w:val="24"/>
        </w:rPr>
        <w:t>).</w:t>
      </w:r>
    </w:p>
    <w:p w14:paraId="026840A3" w14:textId="77777777" w:rsidR="008B0489" w:rsidRPr="008B0489" w:rsidRDefault="008B0489" w:rsidP="008B0489">
      <w:pPr>
        <w:tabs>
          <w:tab w:val="left" w:pos="851"/>
        </w:tabs>
        <w:ind w:left="851"/>
        <w:rPr>
          <w:sz w:val="24"/>
          <w:szCs w:val="24"/>
        </w:rPr>
      </w:pPr>
      <w:r w:rsidRPr="008B0489">
        <w:rPr>
          <w:sz w:val="24"/>
          <w:szCs w:val="24"/>
        </w:rPr>
        <w:t>Hvis en kvinde beslutter sig for at blive gravid, bør anvendelsen af brivaracetam omhyggeligt revurderes.</w:t>
      </w:r>
    </w:p>
    <w:p w14:paraId="74844F14" w14:textId="77777777" w:rsidR="008B0489" w:rsidRPr="008B0489" w:rsidRDefault="008B0489" w:rsidP="008B0489">
      <w:pPr>
        <w:tabs>
          <w:tab w:val="left" w:pos="851"/>
        </w:tabs>
        <w:ind w:left="851"/>
        <w:rPr>
          <w:sz w:val="24"/>
          <w:szCs w:val="24"/>
        </w:rPr>
      </w:pPr>
    </w:p>
    <w:p w14:paraId="12DAB65F" w14:textId="77777777" w:rsidR="008B0489" w:rsidRPr="008B0489" w:rsidRDefault="008B0489" w:rsidP="008B0489">
      <w:pPr>
        <w:tabs>
          <w:tab w:val="left" w:pos="851"/>
        </w:tabs>
        <w:ind w:left="851"/>
        <w:rPr>
          <w:sz w:val="24"/>
          <w:szCs w:val="24"/>
        </w:rPr>
      </w:pPr>
      <w:r w:rsidRPr="008B0489">
        <w:rPr>
          <w:sz w:val="24"/>
          <w:szCs w:val="24"/>
          <w:u w:val="single"/>
        </w:rPr>
        <w:t>Graviditet</w:t>
      </w:r>
    </w:p>
    <w:p w14:paraId="6B93078B" w14:textId="77777777" w:rsidR="008B0489" w:rsidRPr="008B0489" w:rsidRDefault="008B0489" w:rsidP="008B0489">
      <w:pPr>
        <w:tabs>
          <w:tab w:val="left" w:pos="851"/>
        </w:tabs>
        <w:ind w:left="851"/>
        <w:rPr>
          <w:sz w:val="24"/>
          <w:szCs w:val="24"/>
        </w:rPr>
      </w:pPr>
    </w:p>
    <w:p w14:paraId="02953FB5" w14:textId="77777777" w:rsidR="008B0489" w:rsidRPr="008B0489" w:rsidRDefault="008B0489" w:rsidP="008B0489">
      <w:pPr>
        <w:tabs>
          <w:tab w:val="left" w:pos="851"/>
        </w:tabs>
        <w:ind w:left="851"/>
        <w:rPr>
          <w:i/>
          <w:sz w:val="24"/>
          <w:szCs w:val="24"/>
        </w:rPr>
      </w:pPr>
      <w:r w:rsidRPr="008B0489">
        <w:rPr>
          <w:i/>
          <w:sz w:val="24"/>
          <w:szCs w:val="24"/>
        </w:rPr>
        <w:t>Risici forbundet med epilepsi og antiepileptiske lægemidler generelt</w:t>
      </w:r>
    </w:p>
    <w:p w14:paraId="32B9BEEC" w14:textId="77777777" w:rsidR="008B0489" w:rsidRPr="008B0489" w:rsidRDefault="008B0489" w:rsidP="008B0489">
      <w:pPr>
        <w:tabs>
          <w:tab w:val="left" w:pos="851"/>
        </w:tabs>
        <w:ind w:left="851"/>
        <w:rPr>
          <w:sz w:val="24"/>
          <w:szCs w:val="24"/>
        </w:rPr>
      </w:pPr>
      <w:r w:rsidRPr="008B0489">
        <w:rPr>
          <w:sz w:val="24"/>
          <w:szCs w:val="24"/>
        </w:rPr>
        <w:t>For alle antiepileptika er det blevet påvist, at prævalensen af misdannelser hos børn af kvinder med epilepsi er to til tre gange højere end de ca. 3 % for den generelle population. Der er observeret en stigning af misdannelser ved polyterapi i den behandlede population, men det er ikke blevet belyst i hvilket omfang behandlingen og/eller den underliggende sygdom er ansvarlig. Seponering af behandling med antiepileptika kan medføre forværring af sygdommen, hvilket kan være skadelig for moderen og fosteret.</w:t>
      </w:r>
    </w:p>
    <w:p w14:paraId="1ADE381C" w14:textId="77777777" w:rsidR="008B0489" w:rsidRPr="008B0489" w:rsidRDefault="008B0489" w:rsidP="008B0489">
      <w:pPr>
        <w:tabs>
          <w:tab w:val="left" w:pos="851"/>
        </w:tabs>
        <w:ind w:left="851"/>
        <w:rPr>
          <w:sz w:val="24"/>
          <w:szCs w:val="24"/>
        </w:rPr>
      </w:pPr>
    </w:p>
    <w:p w14:paraId="5A1B4284" w14:textId="77777777" w:rsidR="008B0489" w:rsidRPr="008B0489" w:rsidRDefault="008B0489" w:rsidP="008B0489">
      <w:pPr>
        <w:tabs>
          <w:tab w:val="left" w:pos="851"/>
        </w:tabs>
        <w:ind w:left="851"/>
        <w:rPr>
          <w:i/>
          <w:sz w:val="24"/>
          <w:szCs w:val="24"/>
        </w:rPr>
      </w:pPr>
      <w:r w:rsidRPr="008B0489">
        <w:rPr>
          <w:i/>
          <w:sz w:val="24"/>
          <w:szCs w:val="24"/>
        </w:rPr>
        <w:t>Risici forbundet med brivaracetam</w:t>
      </w:r>
    </w:p>
    <w:p w14:paraId="62D3B292" w14:textId="77777777" w:rsidR="008B0489" w:rsidRPr="008B0489" w:rsidRDefault="008B0489" w:rsidP="008B0489">
      <w:pPr>
        <w:tabs>
          <w:tab w:val="left" w:pos="851"/>
        </w:tabs>
        <w:ind w:left="851"/>
        <w:rPr>
          <w:sz w:val="24"/>
          <w:szCs w:val="24"/>
        </w:rPr>
      </w:pPr>
      <w:r w:rsidRPr="008B0489">
        <w:rPr>
          <w:sz w:val="24"/>
          <w:szCs w:val="24"/>
        </w:rPr>
        <w:t>Der foreligger begrænsede data vedrørende brug af brivaracetam hos gravide kvinder. Der findes ingen data vedrørende placentapassage hos mennesker, men det blev vist, at brivaracetam let krydser placenta hos rotter (se pkt. 5.3). Den potentielle risiko for mennesker er ikke kendt. Dyrestudier har ikke påvist teratogent potentiale for brivaracetam (se pkt. 5.3).</w:t>
      </w:r>
    </w:p>
    <w:p w14:paraId="6E76651A" w14:textId="77777777" w:rsidR="008B0489" w:rsidRPr="008B0489" w:rsidRDefault="008B0489" w:rsidP="008B0489">
      <w:pPr>
        <w:tabs>
          <w:tab w:val="left" w:pos="851"/>
        </w:tabs>
        <w:ind w:left="851"/>
        <w:rPr>
          <w:sz w:val="24"/>
          <w:szCs w:val="24"/>
        </w:rPr>
      </w:pPr>
    </w:p>
    <w:p w14:paraId="4F117D06" w14:textId="77777777" w:rsidR="008B0489" w:rsidRPr="008B0489" w:rsidRDefault="008B0489" w:rsidP="008B0489">
      <w:pPr>
        <w:tabs>
          <w:tab w:val="left" w:pos="851"/>
        </w:tabs>
        <w:ind w:left="851"/>
        <w:rPr>
          <w:sz w:val="24"/>
          <w:szCs w:val="24"/>
        </w:rPr>
      </w:pPr>
      <w:r w:rsidRPr="008B0489">
        <w:rPr>
          <w:sz w:val="24"/>
          <w:szCs w:val="24"/>
        </w:rPr>
        <w:t>Brivaracetam blev brugt som tillægsbehandling i kliniske studier, og når det blev brugt sammen med carbamazepin, fremkaldte det en dosisrelateret stigning i koncentrationen af den aktive metabolit carbamazepinepoxid (se pkt. 4.5). Der er ikke tilstrækkelige data til at bestemme den kliniske betydning af denne virkning på graviditeten.</w:t>
      </w:r>
    </w:p>
    <w:p w14:paraId="6CF61C47" w14:textId="77777777" w:rsidR="008B0489" w:rsidRPr="008B0489" w:rsidRDefault="008B0489" w:rsidP="008B0489">
      <w:pPr>
        <w:tabs>
          <w:tab w:val="left" w:pos="851"/>
        </w:tabs>
        <w:ind w:left="851"/>
        <w:rPr>
          <w:sz w:val="24"/>
          <w:szCs w:val="24"/>
        </w:rPr>
      </w:pPr>
    </w:p>
    <w:p w14:paraId="38A7CC79" w14:textId="77777777" w:rsidR="008B0489" w:rsidRPr="008B0489" w:rsidRDefault="008B0489" w:rsidP="008B0489">
      <w:pPr>
        <w:tabs>
          <w:tab w:val="left" w:pos="851"/>
        </w:tabs>
        <w:ind w:left="851"/>
        <w:rPr>
          <w:sz w:val="24"/>
          <w:szCs w:val="24"/>
        </w:rPr>
      </w:pPr>
      <w:r w:rsidRPr="008B0489">
        <w:rPr>
          <w:sz w:val="24"/>
          <w:szCs w:val="24"/>
        </w:rPr>
        <w:t>Af forsigtighedshensyn bør brivaracetam ikke anvendes under graviditet, medmindre det er klinisk nødvendigt, dvs. (hvis fordelene for moderen klart opvejer den potentielle risiko for fosteret).</w:t>
      </w:r>
    </w:p>
    <w:p w14:paraId="185C2164" w14:textId="77777777" w:rsidR="008B0489" w:rsidRPr="008B0489" w:rsidRDefault="008B0489" w:rsidP="008B0489">
      <w:pPr>
        <w:tabs>
          <w:tab w:val="left" w:pos="851"/>
        </w:tabs>
        <w:ind w:left="851"/>
        <w:rPr>
          <w:sz w:val="24"/>
          <w:szCs w:val="24"/>
        </w:rPr>
      </w:pPr>
    </w:p>
    <w:p w14:paraId="2179AE3B" w14:textId="77777777" w:rsidR="008B0489" w:rsidRPr="008B0489" w:rsidRDefault="008B0489" w:rsidP="008B0489">
      <w:pPr>
        <w:tabs>
          <w:tab w:val="left" w:pos="851"/>
        </w:tabs>
        <w:ind w:left="851"/>
        <w:rPr>
          <w:sz w:val="24"/>
          <w:szCs w:val="24"/>
        </w:rPr>
      </w:pPr>
      <w:r w:rsidRPr="008B0489">
        <w:rPr>
          <w:sz w:val="24"/>
          <w:szCs w:val="24"/>
          <w:u w:val="single"/>
        </w:rPr>
        <w:t>Amning</w:t>
      </w:r>
    </w:p>
    <w:p w14:paraId="541DCA0D" w14:textId="77777777" w:rsidR="008B0489" w:rsidRPr="008B0489" w:rsidRDefault="008B0489" w:rsidP="008B0489">
      <w:pPr>
        <w:tabs>
          <w:tab w:val="left" w:pos="851"/>
        </w:tabs>
        <w:ind w:left="851"/>
        <w:rPr>
          <w:sz w:val="24"/>
          <w:szCs w:val="24"/>
        </w:rPr>
      </w:pPr>
      <w:r w:rsidRPr="008B0489">
        <w:rPr>
          <w:sz w:val="24"/>
          <w:szCs w:val="24"/>
        </w:rPr>
        <w:t>Brivaracetam udskilles i human mælk. Det skal besluttes, om amning eller behandling med brivaracetam skal ophøre, idet der tages højde for de terapeutiske fordele for moderen. I tilfælde af samtidig administration af brivaracetam og carbamazepin kan mængden af carbamazepinepoxid i modermælken stige. Der er ikke tilstrækkelige data til at bestemme den kliniske betydning.</w:t>
      </w:r>
    </w:p>
    <w:p w14:paraId="15DD2C8B" w14:textId="77777777" w:rsidR="008B0489" w:rsidRPr="008B0489" w:rsidRDefault="008B0489" w:rsidP="008B0489">
      <w:pPr>
        <w:tabs>
          <w:tab w:val="left" w:pos="851"/>
        </w:tabs>
        <w:ind w:left="851"/>
        <w:rPr>
          <w:sz w:val="24"/>
          <w:szCs w:val="24"/>
        </w:rPr>
      </w:pPr>
    </w:p>
    <w:p w14:paraId="61027F79" w14:textId="77777777" w:rsidR="008B0489" w:rsidRPr="008B0489" w:rsidRDefault="008B0489" w:rsidP="008B0489">
      <w:pPr>
        <w:tabs>
          <w:tab w:val="left" w:pos="851"/>
        </w:tabs>
        <w:ind w:left="851"/>
        <w:rPr>
          <w:sz w:val="24"/>
          <w:szCs w:val="24"/>
        </w:rPr>
      </w:pPr>
      <w:r w:rsidRPr="008B0489">
        <w:rPr>
          <w:sz w:val="24"/>
          <w:szCs w:val="24"/>
          <w:u w:val="single"/>
        </w:rPr>
        <w:t>Fertilitet</w:t>
      </w:r>
    </w:p>
    <w:p w14:paraId="57832EF0" w14:textId="77777777" w:rsidR="008B0489" w:rsidRPr="008B0489" w:rsidRDefault="008B0489" w:rsidP="008B0489">
      <w:pPr>
        <w:tabs>
          <w:tab w:val="left" w:pos="851"/>
        </w:tabs>
        <w:ind w:left="851"/>
        <w:rPr>
          <w:sz w:val="24"/>
          <w:szCs w:val="24"/>
        </w:rPr>
      </w:pPr>
      <w:r w:rsidRPr="008B0489">
        <w:rPr>
          <w:sz w:val="24"/>
          <w:szCs w:val="24"/>
        </w:rPr>
        <w:t>Der er ingen tilgængelige data vedrørende brivaracetams virkning på fertilitet. Hos rotter havde brivaracetam ingen virkning på fertilitet (se pkt. 5.3).</w:t>
      </w:r>
    </w:p>
    <w:p w14:paraId="771DE87F" w14:textId="14DB4A2F" w:rsidR="008B0489" w:rsidRDefault="008B0489">
      <w:pPr>
        <w:rPr>
          <w:sz w:val="24"/>
          <w:szCs w:val="24"/>
        </w:rPr>
      </w:pPr>
      <w:r>
        <w:rPr>
          <w:sz w:val="24"/>
          <w:szCs w:val="24"/>
        </w:rPr>
        <w:br w:type="page"/>
      </w:r>
    </w:p>
    <w:p w14:paraId="3BB9996F" w14:textId="77777777" w:rsidR="009260DE" w:rsidRPr="00C84483" w:rsidRDefault="009260DE" w:rsidP="00F853F2">
      <w:pPr>
        <w:tabs>
          <w:tab w:val="left" w:pos="851"/>
        </w:tabs>
        <w:ind w:left="851"/>
        <w:rPr>
          <w:sz w:val="24"/>
          <w:szCs w:val="24"/>
        </w:rPr>
      </w:pPr>
    </w:p>
    <w:p w14:paraId="516D58CF" w14:textId="77777777" w:rsidR="009260DE" w:rsidRPr="00C84483" w:rsidRDefault="009260DE" w:rsidP="00F853F2">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23351564" w14:textId="77777777" w:rsidR="008B0489" w:rsidRPr="008B0489" w:rsidRDefault="008B0489" w:rsidP="008B0489">
      <w:pPr>
        <w:tabs>
          <w:tab w:val="left" w:pos="851"/>
        </w:tabs>
        <w:ind w:left="851"/>
        <w:rPr>
          <w:sz w:val="24"/>
          <w:szCs w:val="24"/>
        </w:rPr>
      </w:pPr>
      <w:r w:rsidRPr="008B0489">
        <w:rPr>
          <w:sz w:val="24"/>
          <w:szCs w:val="24"/>
        </w:rPr>
        <w:t>Brivaracetam påvirker i mindre grad eller i moderat grad evnen til at føre motorkøretøj og betjene maskiner.</w:t>
      </w:r>
    </w:p>
    <w:p w14:paraId="46825A05" w14:textId="77777777" w:rsidR="008B0489" w:rsidRPr="008B0489" w:rsidRDefault="008B0489" w:rsidP="008B0489">
      <w:pPr>
        <w:tabs>
          <w:tab w:val="left" w:pos="851"/>
        </w:tabs>
        <w:ind w:left="851"/>
        <w:rPr>
          <w:sz w:val="24"/>
          <w:szCs w:val="24"/>
        </w:rPr>
      </w:pPr>
    </w:p>
    <w:p w14:paraId="11C4509B" w14:textId="77777777" w:rsidR="008B0489" w:rsidRPr="008B0489" w:rsidRDefault="008B0489" w:rsidP="008B0489">
      <w:pPr>
        <w:tabs>
          <w:tab w:val="left" w:pos="851"/>
        </w:tabs>
        <w:ind w:left="851"/>
        <w:rPr>
          <w:sz w:val="24"/>
          <w:szCs w:val="24"/>
        </w:rPr>
      </w:pPr>
      <w:r w:rsidRPr="008B0489">
        <w:rPr>
          <w:sz w:val="24"/>
          <w:szCs w:val="24"/>
        </w:rPr>
        <w:t>Da den individuelle følsomhed kan være forskellig, kan nogle patienter opleve døsighed, svimmelhed eller andre CNS-relaterede symptomer. Patienter skal rådes til at udvise forsigtighed ved kørsel eller betjening af potentielt farlige maskiner, indtil de er fortrolige med brivaracetams indvirkning på deres evne til at udføre sådanne aktiviteter.</w:t>
      </w:r>
    </w:p>
    <w:p w14:paraId="4D6BF1FF" w14:textId="77777777" w:rsidR="009260DE" w:rsidRPr="00C84483" w:rsidRDefault="009260DE" w:rsidP="00F853F2">
      <w:pPr>
        <w:tabs>
          <w:tab w:val="left" w:pos="851"/>
        </w:tabs>
        <w:ind w:left="851"/>
        <w:rPr>
          <w:sz w:val="24"/>
          <w:szCs w:val="24"/>
        </w:rPr>
      </w:pPr>
    </w:p>
    <w:p w14:paraId="412F92B0" w14:textId="77777777" w:rsidR="009260DE" w:rsidRPr="00C84483" w:rsidRDefault="009260DE" w:rsidP="00F853F2">
      <w:pPr>
        <w:tabs>
          <w:tab w:val="left" w:pos="851"/>
        </w:tabs>
        <w:ind w:left="851" w:hanging="851"/>
        <w:rPr>
          <w:b/>
          <w:sz w:val="24"/>
          <w:szCs w:val="24"/>
        </w:rPr>
      </w:pPr>
      <w:r w:rsidRPr="00C84483">
        <w:rPr>
          <w:b/>
          <w:sz w:val="24"/>
          <w:szCs w:val="24"/>
        </w:rPr>
        <w:t>4.8</w:t>
      </w:r>
      <w:r w:rsidRPr="00C84483">
        <w:rPr>
          <w:b/>
          <w:sz w:val="24"/>
          <w:szCs w:val="24"/>
        </w:rPr>
        <w:tab/>
        <w:t>Bivirkninger</w:t>
      </w:r>
    </w:p>
    <w:p w14:paraId="5588CE6F" w14:textId="77777777" w:rsidR="008B0489" w:rsidRPr="00897B0F" w:rsidRDefault="008B0489" w:rsidP="008B0489">
      <w:pPr>
        <w:tabs>
          <w:tab w:val="left" w:pos="851"/>
        </w:tabs>
        <w:ind w:left="851"/>
        <w:rPr>
          <w:b/>
          <w:sz w:val="24"/>
          <w:szCs w:val="24"/>
        </w:rPr>
      </w:pPr>
    </w:p>
    <w:p w14:paraId="7C646245" w14:textId="77777777" w:rsidR="008B0489" w:rsidRPr="008B0489" w:rsidRDefault="008B0489" w:rsidP="008B0489">
      <w:pPr>
        <w:tabs>
          <w:tab w:val="left" w:pos="851"/>
        </w:tabs>
        <w:ind w:left="851"/>
        <w:rPr>
          <w:sz w:val="24"/>
          <w:szCs w:val="24"/>
        </w:rPr>
      </w:pPr>
      <w:r w:rsidRPr="008B0489">
        <w:rPr>
          <w:sz w:val="24"/>
          <w:szCs w:val="24"/>
          <w:u w:val="single"/>
        </w:rPr>
        <w:t>Sammendrag af sikkerhedsprofilen</w:t>
      </w:r>
    </w:p>
    <w:p w14:paraId="4DBB006B" w14:textId="77777777" w:rsidR="008B0489" w:rsidRPr="008B0489" w:rsidRDefault="008B0489" w:rsidP="008B0489">
      <w:pPr>
        <w:tabs>
          <w:tab w:val="left" w:pos="851"/>
        </w:tabs>
        <w:ind w:left="851"/>
        <w:rPr>
          <w:sz w:val="24"/>
          <w:szCs w:val="24"/>
        </w:rPr>
      </w:pPr>
      <w:r w:rsidRPr="008B0489">
        <w:rPr>
          <w:sz w:val="24"/>
          <w:szCs w:val="24"/>
        </w:rPr>
        <w:t>De hyppigst indberettede bivirkninger (&gt; 10 %) med brivaracetambehandling var: døsighed (14,3 %) og svimmelhed (11,0 %). De var normalt milde til moderate i intensitet. Døsighed og træthed blev rapporteret hyppigere i takt med stigende dosis.</w:t>
      </w:r>
    </w:p>
    <w:p w14:paraId="1A0BE1E3" w14:textId="77777777" w:rsidR="008B0489" w:rsidRPr="008B0489" w:rsidRDefault="008B0489" w:rsidP="008B0489">
      <w:pPr>
        <w:tabs>
          <w:tab w:val="left" w:pos="851"/>
        </w:tabs>
        <w:ind w:left="851"/>
        <w:rPr>
          <w:sz w:val="24"/>
          <w:szCs w:val="24"/>
        </w:rPr>
      </w:pPr>
    </w:p>
    <w:p w14:paraId="064D5EFB" w14:textId="72D768E3" w:rsidR="008B0489" w:rsidRPr="008B0489" w:rsidRDefault="008B0489" w:rsidP="008B0489">
      <w:pPr>
        <w:tabs>
          <w:tab w:val="left" w:pos="851"/>
        </w:tabs>
        <w:ind w:left="851"/>
        <w:rPr>
          <w:sz w:val="24"/>
          <w:szCs w:val="24"/>
        </w:rPr>
      </w:pPr>
      <w:r w:rsidRPr="008B0489">
        <w:rPr>
          <w:sz w:val="24"/>
          <w:szCs w:val="24"/>
        </w:rPr>
        <w:t>Seponeringsraten på grund af bivirkninger var 3,5 %, 3,4 % og 4,0 % for doser på henholdsvis</w:t>
      </w:r>
      <w:r>
        <w:rPr>
          <w:sz w:val="24"/>
          <w:szCs w:val="24"/>
        </w:rPr>
        <w:t xml:space="preserve"> </w:t>
      </w:r>
      <w:r w:rsidRPr="008B0489">
        <w:rPr>
          <w:sz w:val="24"/>
          <w:szCs w:val="24"/>
        </w:rPr>
        <w:t>50 mg/dag, 100 mg/dag og 200 mg/dag for patienter, som var randomiseret til brivaracetam, og 1,7 % for patienter, som var randomiseret til placebo. De bivirkninger, som hyppigst resulterede i seponering af behandlingen med brivaracetam, var svimmelhed (0,8 %) og krampe (0,8 %).</w:t>
      </w:r>
    </w:p>
    <w:p w14:paraId="614166EC" w14:textId="77777777" w:rsidR="008B0489" w:rsidRPr="008B0489" w:rsidRDefault="008B0489" w:rsidP="008B0489">
      <w:pPr>
        <w:tabs>
          <w:tab w:val="left" w:pos="851"/>
        </w:tabs>
        <w:ind w:left="851"/>
        <w:rPr>
          <w:sz w:val="24"/>
          <w:szCs w:val="24"/>
        </w:rPr>
      </w:pPr>
    </w:p>
    <w:p w14:paraId="25165E3A" w14:textId="77777777" w:rsidR="008B0489" w:rsidRPr="008B0489" w:rsidRDefault="008B0489" w:rsidP="008B0489">
      <w:pPr>
        <w:tabs>
          <w:tab w:val="left" w:pos="851"/>
        </w:tabs>
        <w:ind w:left="851"/>
        <w:rPr>
          <w:sz w:val="24"/>
          <w:szCs w:val="24"/>
        </w:rPr>
      </w:pPr>
      <w:r w:rsidRPr="008B0489">
        <w:rPr>
          <w:sz w:val="24"/>
          <w:szCs w:val="24"/>
          <w:u w:val="single"/>
        </w:rPr>
        <w:t>Liste over bivirkninger i tabelform</w:t>
      </w:r>
    </w:p>
    <w:p w14:paraId="65D9CA51" w14:textId="77777777" w:rsidR="008B0489" w:rsidRPr="008B0489" w:rsidRDefault="008B0489" w:rsidP="008B0489">
      <w:pPr>
        <w:tabs>
          <w:tab w:val="left" w:pos="851"/>
        </w:tabs>
        <w:ind w:left="851"/>
        <w:rPr>
          <w:sz w:val="24"/>
          <w:szCs w:val="24"/>
        </w:rPr>
      </w:pPr>
      <w:r w:rsidRPr="008B0489">
        <w:rPr>
          <w:sz w:val="24"/>
          <w:szCs w:val="24"/>
        </w:rPr>
        <w:t>Bivirkningerne, som blev identificeret efter gennemgang af sikkerhedsdatabasen for de tre placebo- kontrollerede, fastdosis-studier hos patienter ≥ 16 år og efter markedsføring, er angivet i nedenstående tabel i henhold til systemorganklasse og frekvens.</w:t>
      </w:r>
    </w:p>
    <w:p w14:paraId="2616091C" w14:textId="761C6107" w:rsidR="008B0489" w:rsidRDefault="008B0489" w:rsidP="008B0489">
      <w:pPr>
        <w:tabs>
          <w:tab w:val="left" w:pos="851"/>
        </w:tabs>
        <w:ind w:left="851"/>
        <w:rPr>
          <w:sz w:val="24"/>
          <w:szCs w:val="24"/>
        </w:rPr>
      </w:pPr>
      <w:r w:rsidRPr="008B0489">
        <w:rPr>
          <w:sz w:val="24"/>
          <w:szCs w:val="24"/>
        </w:rPr>
        <w:t>Bivirkningerne er præsenteret i rækkefølge efter faldende alvorlighed, og deres frekvens er defineret på følgende måde: meget almindelig (≥ 1/10); almindelig (≥ 1/100 til &lt; 1/10); ikke almindelig</w:t>
      </w:r>
      <w:r>
        <w:rPr>
          <w:sz w:val="24"/>
          <w:szCs w:val="24"/>
        </w:rPr>
        <w:t xml:space="preserve"> </w:t>
      </w:r>
      <w:r w:rsidRPr="008B0489">
        <w:rPr>
          <w:sz w:val="24"/>
          <w:szCs w:val="24"/>
        </w:rPr>
        <w:t>(≥ 1/1.000 til &lt; 1/100) og ikke kendt (hyppighed kan ikke estimeres ud fra forhåndenværende data).</w:t>
      </w:r>
    </w:p>
    <w:p w14:paraId="57D95EA1" w14:textId="77777777" w:rsidR="00E178EA" w:rsidRDefault="00E178EA" w:rsidP="00E178EA">
      <w:pPr>
        <w:pStyle w:val="Brdtekst"/>
        <w:spacing w:before="1" w:after="1"/>
        <w:rPr>
          <w:lang w:val="da-DK"/>
        </w:rPr>
      </w:pPr>
    </w:p>
    <w:tbl>
      <w:tblPr>
        <w:tblW w:w="8942" w:type="dxa"/>
        <w:tblInd w:w="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4"/>
        <w:gridCol w:w="1841"/>
        <w:gridCol w:w="3997"/>
      </w:tblGrid>
      <w:tr w:rsidR="00E178EA" w14:paraId="26FC8850" w14:textId="77777777" w:rsidTr="00E178EA">
        <w:trPr>
          <w:trHeight w:val="251"/>
        </w:trPr>
        <w:tc>
          <w:tcPr>
            <w:tcW w:w="3104" w:type="dxa"/>
            <w:tcBorders>
              <w:top w:val="single" w:sz="4" w:space="0" w:color="000000"/>
              <w:left w:val="single" w:sz="4" w:space="0" w:color="000000"/>
              <w:bottom w:val="single" w:sz="4" w:space="0" w:color="000000"/>
              <w:right w:val="single" w:sz="4" w:space="0" w:color="000000"/>
            </w:tcBorders>
            <w:hideMark/>
          </w:tcPr>
          <w:p w14:paraId="49103190" w14:textId="77777777" w:rsidR="00E178EA" w:rsidRDefault="00E178EA">
            <w:pPr>
              <w:pStyle w:val="TableParagraph"/>
              <w:spacing w:line="232" w:lineRule="exact"/>
              <w:rPr>
                <w:b/>
              </w:rPr>
            </w:pPr>
            <w:r>
              <w:rPr>
                <w:b/>
              </w:rPr>
              <w:t>Systemorganklasse</w:t>
            </w:r>
          </w:p>
        </w:tc>
        <w:tc>
          <w:tcPr>
            <w:tcW w:w="1841" w:type="dxa"/>
            <w:tcBorders>
              <w:top w:val="single" w:sz="4" w:space="0" w:color="000000"/>
              <w:left w:val="single" w:sz="4" w:space="0" w:color="000000"/>
              <w:bottom w:val="single" w:sz="4" w:space="0" w:color="000000"/>
              <w:right w:val="single" w:sz="4" w:space="0" w:color="000000"/>
            </w:tcBorders>
            <w:hideMark/>
          </w:tcPr>
          <w:p w14:paraId="0D4A4173" w14:textId="77777777" w:rsidR="00E178EA" w:rsidRDefault="00E178EA">
            <w:pPr>
              <w:pStyle w:val="TableParagraph"/>
              <w:spacing w:line="232" w:lineRule="exact"/>
              <w:rPr>
                <w:b/>
              </w:rPr>
            </w:pPr>
            <w:r>
              <w:rPr>
                <w:b/>
              </w:rPr>
              <w:t>Frekvens</w:t>
            </w:r>
          </w:p>
        </w:tc>
        <w:tc>
          <w:tcPr>
            <w:tcW w:w="3997" w:type="dxa"/>
            <w:tcBorders>
              <w:top w:val="single" w:sz="4" w:space="0" w:color="000000"/>
              <w:left w:val="single" w:sz="4" w:space="0" w:color="000000"/>
              <w:bottom w:val="single" w:sz="4" w:space="0" w:color="000000"/>
              <w:right w:val="single" w:sz="4" w:space="0" w:color="000000"/>
            </w:tcBorders>
            <w:hideMark/>
          </w:tcPr>
          <w:p w14:paraId="74BD8DF9" w14:textId="77777777" w:rsidR="00E178EA" w:rsidRDefault="00E178EA">
            <w:pPr>
              <w:pStyle w:val="TableParagraph"/>
              <w:spacing w:line="232" w:lineRule="exact"/>
              <w:rPr>
                <w:b/>
              </w:rPr>
            </w:pPr>
            <w:r>
              <w:rPr>
                <w:b/>
              </w:rPr>
              <w:t>Bivirkninger</w:t>
            </w:r>
          </w:p>
        </w:tc>
      </w:tr>
      <w:tr w:rsidR="00E178EA" w14:paraId="7D80DC3A" w14:textId="77777777" w:rsidTr="00E178EA">
        <w:trPr>
          <w:trHeight w:val="506"/>
        </w:trPr>
        <w:tc>
          <w:tcPr>
            <w:tcW w:w="3104" w:type="dxa"/>
            <w:tcBorders>
              <w:top w:val="single" w:sz="4" w:space="0" w:color="000000"/>
              <w:left w:val="single" w:sz="4" w:space="0" w:color="000000"/>
              <w:bottom w:val="single" w:sz="4" w:space="0" w:color="000000"/>
              <w:right w:val="single" w:sz="4" w:space="0" w:color="000000"/>
            </w:tcBorders>
            <w:hideMark/>
          </w:tcPr>
          <w:p w14:paraId="41062C78" w14:textId="77777777" w:rsidR="00E178EA" w:rsidRDefault="00E178EA">
            <w:pPr>
              <w:pStyle w:val="TableParagraph"/>
              <w:spacing w:line="256" w:lineRule="exact"/>
              <w:ind w:right="559"/>
              <w:rPr>
                <w:b/>
              </w:rPr>
            </w:pPr>
            <w:r>
              <w:rPr>
                <w:b/>
              </w:rPr>
              <w:t>Infektioner og parasitære sygdomme</w:t>
            </w:r>
          </w:p>
        </w:tc>
        <w:tc>
          <w:tcPr>
            <w:tcW w:w="1841" w:type="dxa"/>
            <w:tcBorders>
              <w:top w:val="single" w:sz="4" w:space="0" w:color="000000"/>
              <w:left w:val="single" w:sz="4" w:space="0" w:color="000000"/>
              <w:bottom w:val="single" w:sz="4" w:space="0" w:color="000000"/>
              <w:right w:val="single" w:sz="4" w:space="0" w:color="000000"/>
            </w:tcBorders>
            <w:hideMark/>
          </w:tcPr>
          <w:p w14:paraId="24E4D568" w14:textId="77777777" w:rsidR="00E178EA" w:rsidRDefault="00E178EA">
            <w:pPr>
              <w:pStyle w:val="TableParagraph"/>
            </w:pPr>
            <w:r>
              <w:t>Almindelig</w:t>
            </w:r>
          </w:p>
        </w:tc>
        <w:tc>
          <w:tcPr>
            <w:tcW w:w="3997" w:type="dxa"/>
            <w:tcBorders>
              <w:top w:val="single" w:sz="4" w:space="0" w:color="000000"/>
              <w:left w:val="single" w:sz="4" w:space="0" w:color="000000"/>
              <w:bottom w:val="single" w:sz="4" w:space="0" w:color="000000"/>
              <w:right w:val="single" w:sz="4" w:space="0" w:color="000000"/>
            </w:tcBorders>
            <w:hideMark/>
          </w:tcPr>
          <w:p w14:paraId="79DBBA23" w14:textId="77777777" w:rsidR="00E178EA" w:rsidRDefault="00E178EA">
            <w:pPr>
              <w:pStyle w:val="TableParagraph"/>
            </w:pPr>
            <w:r>
              <w:t>Influenza</w:t>
            </w:r>
          </w:p>
        </w:tc>
      </w:tr>
      <w:tr w:rsidR="00E178EA" w14:paraId="632B7EB7" w14:textId="77777777" w:rsidTr="00E178EA">
        <w:trPr>
          <w:trHeight w:val="248"/>
        </w:trPr>
        <w:tc>
          <w:tcPr>
            <w:tcW w:w="3104" w:type="dxa"/>
            <w:tcBorders>
              <w:top w:val="single" w:sz="4" w:space="0" w:color="000000"/>
              <w:left w:val="single" w:sz="4" w:space="0" w:color="000000"/>
              <w:bottom w:val="single" w:sz="4" w:space="0" w:color="000000"/>
              <w:right w:val="single" w:sz="4" w:space="0" w:color="000000"/>
            </w:tcBorders>
            <w:hideMark/>
          </w:tcPr>
          <w:p w14:paraId="538DA5AA" w14:textId="77777777" w:rsidR="00E178EA" w:rsidRDefault="00E178EA">
            <w:pPr>
              <w:pStyle w:val="TableParagraph"/>
              <w:spacing w:line="229" w:lineRule="exact"/>
              <w:rPr>
                <w:b/>
              </w:rPr>
            </w:pPr>
            <w:r>
              <w:rPr>
                <w:b/>
              </w:rPr>
              <w:t>Blod og lymfesystem</w:t>
            </w:r>
          </w:p>
        </w:tc>
        <w:tc>
          <w:tcPr>
            <w:tcW w:w="1841" w:type="dxa"/>
            <w:tcBorders>
              <w:top w:val="single" w:sz="4" w:space="0" w:color="000000"/>
              <w:left w:val="single" w:sz="4" w:space="0" w:color="000000"/>
              <w:bottom w:val="single" w:sz="4" w:space="0" w:color="000000"/>
              <w:right w:val="single" w:sz="4" w:space="0" w:color="000000"/>
            </w:tcBorders>
            <w:hideMark/>
          </w:tcPr>
          <w:p w14:paraId="7C1949B0" w14:textId="77777777" w:rsidR="00E178EA" w:rsidRDefault="00E178EA">
            <w:pPr>
              <w:pStyle w:val="TableParagraph"/>
              <w:spacing w:line="229" w:lineRule="exact"/>
            </w:pPr>
            <w:r>
              <w:t>Ikke almindelig</w:t>
            </w:r>
          </w:p>
        </w:tc>
        <w:tc>
          <w:tcPr>
            <w:tcW w:w="3997" w:type="dxa"/>
            <w:tcBorders>
              <w:top w:val="single" w:sz="4" w:space="0" w:color="000000"/>
              <w:left w:val="single" w:sz="4" w:space="0" w:color="000000"/>
              <w:bottom w:val="single" w:sz="4" w:space="0" w:color="000000"/>
              <w:right w:val="single" w:sz="4" w:space="0" w:color="000000"/>
            </w:tcBorders>
            <w:hideMark/>
          </w:tcPr>
          <w:p w14:paraId="712CEA75" w14:textId="77777777" w:rsidR="00E178EA" w:rsidRDefault="00E178EA">
            <w:pPr>
              <w:pStyle w:val="TableParagraph"/>
              <w:spacing w:line="229" w:lineRule="exact"/>
            </w:pPr>
            <w:r>
              <w:t>Neutropeni</w:t>
            </w:r>
          </w:p>
        </w:tc>
      </w:tr>
      <w:tr w:rsidR="00E178EA" w14:paraId="239514B5" w14:textId="77777777" w:rsidTr="00E178EA">
        <w:trPr>
          <w:trHeight w:val="251"/>
        </w:trPr>
        <w:tc>
          <w:tcPr>
            <w:tcW w:w="3104" w:type="dxa"/>
            <w:tcBorders>
              <w:top w:val="single" w:sz="4" w:space="0" w:color="000000"/>
              <w:left w:val="single" w:sz="4" w:space="0" w:color="000000"/>
              <w:bottom w:val="single" w:sz="4" w:space="0" w:color="000000"/>
              <w:right w:val="single" w:sz="4" w:space="0" w:color="000000"/>
            </w:tcBorders>
            <w:hideMark/>
          </w:tcPr>
          <w:p w14:paraId="16A92832" w14:textId="77777777" w:rsidR="00E178EA" w:rsidRDefault="00E178EA">
            <w:pPr>
              <w:pStyle w:val="TableParagraph"/>
              <w:spacing w:line="232" w:lineRule="exact"/>
              <w:rPr>
                <w:b/>
              </w:rPr>
            </w:pPr>
            <w:r>
              <w:rPr>
                <w:b/>
              </w:rPr>
              <w:t>Immunsystemet</w:t>
            </w:r>
          </w:p>
        </w:tc>
        <w:tc>
          <w:tcPr>
            <w:tcW w:w="1841" w:type="dxa"/>
            <w:tcBorders>
              <w:top w:val="single" w:sz="4" w:space="0" w:color="000000"/>
              <w:left w:val="single" w:sz="4" w:space="0" w:color="000000"/>
              <w:bottom w:val="single" w:sz="4" w:space="0" w:color="000000"/>
              <w:right w:val="single" w:sz="4" w:space="0" w:color="000000"/>
            </w:tcBorders>
            <w:hideMark/>
          </w:tcPr>
          <w:p w14:paraId="7277C759" w14:textId="77777777" w:rsidR="00E178EA" w:rsidRDefault="00E178EA">
            <w:pPr>
              <w:pStyle w:val="TableParagraph"/>
              <w:spacing w:line="232" w:lineRule="exact"/>
            </w:pPr>
            <w:r>
              <w:t>Ikke almindelig</w:t>
            </w:r>
          </w:p>
        </w:tc>
        <w:tc>
          <w:tcPr>
            <w:tcW w:w="3997" w:type="dxa"/>
            <w:tcBorders>
              <w:top w:val="single" w:sz="4" w:space="0" w:color="000000"/>
              <w:left w:val="single" w:sz="4" w:space="0" w:color="000000"/>
              <w:bottom w:val="single" w:sz="4" w:space="0" w:color="000000"/>
              <w:right w:val="single" w:sz="4" w:space="0" w:color="000000"/>
            </w:tcBorders>
            <w:hideMark/>
          </w:tcPr>
          <w:p w14:paraId="7827A295" w14:textId="77777777" w:rsidR="00E178EA" w:rsidRDefault="00E178EA">
            <w:pPr>
              <w:pStyle w:val="TableParagraph"/>
              <w:spacing w:line="232" w:lineRule="exact"/>
            </w:pPr>
            <w:r>
              <w:t>Type I overfølsomhed</w:t>
            </w:r>
          </w:p>
        </w:tc>
      </w:tr>
      <w:tr w:rsidR="00E178EA" w14:paraId="484FED19" w14:textId="77777777" w:rsidTr="00E178EA">
        <w:trPr>
          <w:trHeight w:val="254"/>
        </w:trPr>
        <w:tc>
          <w:tcPr>
            <w:tcW w:w="3104" w:type="dxa"/>
            <w:tcBorders>
              <w:top w:val="single" w:sz="4" w:space="0" w:color="000000"/>
              <w:left w:val="single" w:sz="4" w:space="0" w:color="000000"/>
              <w:bottom w:val="single" w:sz="4" w:space="0" w:color="000000"/>
              <w:right w:val="single" w:sz="4" w:space="0" w:color="000000"/>
            </w:tcBorders>
            <w:hideMark/>
          </w:tcPr>
          <w:p w14:paraId="294830DB" w14:textId="77777777" w:rsidR="00E178EA" w:rsidRDefault="00E178EA">
            <w:pPr>
              <w:pStyle w:val="TableParagraph"/>
              <w:spacing w:line="234" w:lineRule="exact"/>
              <w:rPr>
                <w:b/>
              </w:rPr>
            </w:pPr>
            <w:r>
              <w:rPr>
                <w:b/>
              </w:rPr>
              <w:t>Metabolisme og ernæring</w:t>
            </w:r>
          </w:p>
        </w:tc>
        <w:tc>
          <w:tcPr>
            <w:tcW w:w="1841" w:type="dxa"/>
            <w:tcBorders>
              <w:top w:val="single" w:sz="4" w:space="0" w:color="000000"/>
              <w:left w:val="single" w:sz="4" w:space="0" w:color="000000"/>
              <w:bottom w:val="single" w:sz="4" w:space="0" w:color="000000"/>
              <w:right w:val="single" w:sz="4" w:space="0" w:color="000000"/>
            </w:tcBorders>
            <w:hideMark/>
          </w:tcPr>
          <w:p w14:paraId="518717E0" w14:textId="77777777" w:rsidR="00E178EA" w:rsidRDefault="00E178EA">
            <w:pPr>
              <w:pStyle w:val="TableParagraph"/>
              <w:spacing w:line="234" w:lineRule="exact"/>
            </w:pPr>
            <w:r>
              <w:t>Almindelig</w:t>
            </w:r>
          </w:p>
        </w:tc>
        <w:tc>
          <w:tcPr>
            <w:tcW w:w="3997" w:type="dxa"/>
            <w:tcBorders>
              <w:top w:val="single" w:sz="4" w:space="0" w:color="000000"/>
              <w:left w:val="single" w:sz="4" w:space="0" w:color="000000"/>
              <w:bottom w:val="single" w:sz="4" w:space="0" w:color="000000"/>
              <w:right w:val="single" w:sz="4" w:space="0" w:color="000000"/>
            </w:tcBorders>
            <w:hideMark/>
          </w:tcPr>
          <w:p w14:paraId="46ABCFCE" w14:textId="77777777" w:rsidR="00E178EA" w:rsidRDefault="00E178EA">
            <w:pPr>
              <w:pStyle w:val="TableParagraph"/>
              <w:spacing w:line="234" w:lineRule="exact"/>
            </w:pPr>
            <w:r>
              <w:t>Nedsat appetit</w:t>
            </w:r>
          </w:p>
        </w:tc>
      </w:tr>
      <w:tr w:rsidR="00E178EA" w14:paraId="53764DF2" w14:textId="77777777" w:rsidTr="00E178EA">
        <w:trPr>
          <w:trHeight w:val="251"/>
        </w:trPr>
        <w:tc>
          <w:tcPr>
            <w:tcW w:w="3104" w:type="dxa"/>
            <w:tcBorders>
              <w:top w:val="single" w:sz="4" w:space="0" w:color="000000"/>
              <w:left w:val="single" w:sz="4" w:space="0" w:color="000000"/>
              <w:bottom w:val="single" w:sz="4" w:space="0" w:color="000000"/>
              <w:right w:val="single" w:sz="4" w:space="0" w:color="000000"/>
            </w:tcBorders>
            <w:hideMark/>
          </w:tcPr>
          <w:p w14:paraId="3D47BB10" w14:textId="77777777" w:rsidR="00E178EA" w:rsidRDefault="00E178EA">
            <w:pPr>
              <w:pStyle w:val="TableParagraph"/>
              <w:spacing w:line="232" w:lineRule="exact"/>
              <w:rPr>
                <w:b/>
              </w:rPr>
            </w:pPr>
            <w:r>
              <w:rPr>
                <w:b/>
              </w:rPr>
              <w:t>Psykiske forstyrrelser</w:t>
            </w:r>
          </w:p>
        </w:tc>
        <w:tc>
          <w:tcPr>
            <w:tcW w:w="1841" w:type="dxa"/>
            <w:tcBorders>
              <w:top w:val="single" w:sz="4" w:space="0" w:color="000000"/>
              <w:left w:val="single" w:sz="4" w:space="0" w:color="000000"/>
              <w:bottom w:val="single" w:sz="4" w:space="0" w:color="000000"/>
              <w:right w:val="single" w:sz="4" w:space="0" w:color="000000"/>
            </w:tcBorders>
            <w:hideMark/>
          </w:tcPr>
          <w:p w14:paraId="03E02CA2" w14:textId="77777777" w:rsidR="00E178EA" w:rsidRDefault="00E178EA">
            <w:pPr>
              <w:pStyle w:val="TableParagraph"/>
              <w:spacing w:line="232" w:lineRule="exact"/>
            </w:pPr>
            <w:r>
              <w:t>Almindelig</w:t>
            </w:r>
          </w:p>
        </w:tc>
        <w:tc>
          <w:tcPr>
            <w:tcW w:w="3997" w:type="dxa"/>
            <w:tcBorders>
              <w:top w:val="single" w:sz="4" w:space="0" w:color="000000"/>
              <w:left w:val="single" w:sz="4" w:space="0" w:color="000000"/>
              <w:bottom w:val="single" w:sz="4" w:space="0" w:color="000000"/>
              <w:right w:val="single" w:sz="4" w:space="0" w:color="000000"/>
            </w:tcBorders>
            <w:hideMark/>
          </w:tcPr>
          <w:p w14:paraId="4A1CF1D5" w14:textId="77777777" w:rsidR="00E178EA" w:rsidRDefault="00E178EA">
            <w:pPr>
              <w:pStyle w:val="TableParagraph"/>
              <w:spacing w:line="232" w:lineRule="exact"/>
            </w:pPr>
            <w:r>
              <w:t>Depression, angst, insomni, irritabilitet</w:t>
            </w:r>
          </w:p>
        </w:tc>
      </w:tr>
      <w:tr w:rsidR="00F41036" w14:paraId="7FCD3E49" w14:textId="77777777" w:rsidTr="00E178EA">
        <w:trPr>
          <w:trHeight w:val="251"/>
        </w:trPr>
        <w:tc>
          <w:tcPr>
            <w:tcW w:w="3104" w:type="dxa"/>
            <w:tcBorders>
              <w:top w:val="single" w:sz="4" w:space="0" w:color="000000"/>
              <w:left w:val="single" w:sz="4" w:space="0" w:color="000000"/>
              <w:bottom w:val="single" w:sz="4" w:space="0" w:color="000000"/>
              <w:right w:val="single" w:sz="4" w:space="0" w:color="000000"/>
            </w:tcBorders>
          </w:tcPr>
          <w:p w14:paraId="0E6C1017" w14:textId="77777777" w:rsidR="00F41036" w:rsidRDefault="00F41036">
            <w:pPr>
              <w:pStyle w:val="TableParagraph"/>
              <w:spacing w:line="232" w:lineRule="exact"/>
              <w:rPr>
                <w:b/>
              </w:rPr>
            </w:pPr>
          </w:p>
        </w:tc>
        <w:tc>
          <w:tcPr>
            <w:tcW w:w="1841" w:type="dxa"/>
            <w:tcBorders>
              <w:top w:val="single" w:sz="4" w:space="0" w:color="000000"/>
              <w:left w:val="single" w:sz="4" w:space="0" w:color="000000"/>
              <w:bottom w:val="single" w:sz="4" w:space="0" w:color="000000"/>
              <w:right w:val="single" w:sz="4" w:space="0" w:color="000000"/>
            </w:tcBorders>
          </w:tcPr>
          <w:p w14:paraId="62B2020B" w14:textId="369EFD56" w:rsidR="00F41036" w:rsidRDefault="008A2719">
            <w:pPr>
              <w:pStyle w:val="TableParagraph"/>
              <w:spacing w:line="232" w:lineRule="exact"/>
            </w:pPr>
            <w:r>
              <w:t>Ikke almindelig</w:t>
            </w:r>
          </w:p>
        </w:tc>
        <w:tc>
          <w:tcPr>
            <w:tcW w:w="3997" w:type="dxa"/>
            <w:tcBorders>
              <w:top w:val="single" w:sz="4" w:space="0" w:color="000000"/>
              <w:left w:val="single" w:sz="4" w:space="0" w:color="000000"/>
              <w:bottom w:val="single" w:sz="4" w:space="0" w:color="000000"/>
              <w:right w:val="single" w:sz="4" w:space="0" w:color="000000"/>
            </w:tcBorders>
          </w:tcPr>
          <w:p w14:paraId="620548F8" w14:textId="510126E5" w:rsidR="00F41036" w:rsidRPr="008A2719" w:rsidRDefault="008A2719">
            <w:pPr>
              <w:pStyle w:val="TableParagraph"/>
              <w:spacing w:line="232" w:lineRule="exact"/>
              <w:rPr>
                <w:lang w:val="da-DK"/>
              </w:rPr>
            </w:pPr>
            <w:r>
              <w:rPr>
                <w:lang w:val="da-DK"/>
              </w:rPr>
              <w:t>Selvmordstanker, psykiske forstyrrelser, aggression, agitation</w:t>
            </w:r>
          </w:p>
        </w:tc>
      </w:tr>
      <w:tr w:rsidR="00F41036" w14:paraId="3C959822" w14:textId="77777777" w:rsidTr="00E178EA">
        <w:trPr>
          <w:trHeight w:val="251"/>
        </w:trPr>
        <w:tc>
          <w:tcPr>
            <w:tcW w:w="3104" w:type="dxa"/>
            <w:tcBorders>
              <w:top w:val="single" w:sz="4" w:space="0" w:color="000000"/>
              <w:left w:val="single" w:sz="4" w:space="0" w:color="000000"/>
              <w:bottom w:val="single" w:sz="4" w:space="0" w:color="000000"/>
              <w:right w:val="single" w:sz="4" w:space="0" w:color="000000"/>
            </w:tcBorders>
          </w:tcPr>
          <w:p w14:paraId="2FC34DD0" w14:textId="13A9DB36" w:rsidR="00F41036" w:rsidRPr="008A2719" w:rsidRDefault="008A2719">
            <w:pPr>
              <w:pStyle w:val="TableParagraph"/>
              <w:spacing w:line="232" w:lineRule="exact"/>
              <w:rPr>
                <w:b/>
                <w:lang w:val="da-DK"/>
              </w:rPr>
            </w:pPr>
            <w:r>
              <w:rPr>
                <w:b/>
              </w:rPr>
              <w:t>Nervesystemet</w:t>
            </w:r>
          </w:p>
        </w:tc>
        <w:tc>
          <w:tcPr>
            <w:tcW w:w="1841" w:type="dxa"/>
            <w:tcBorders>
              <w:top w:val="single" w:sz="4" w:space="0" w:color="000000"/>
              <w:left w:val="single" w:sz="4" w:space="0" w:color="000000"/>
              <w:bottom w:val="single" w:sz="4" w:space="0" w:color="000000"/>
              <w:right w:val="single" w:sz="4" w:space="0" w:color="000000"/>
            </w:tcBorders>
          </w:tcPr>
          <w:p w14:paraId="728CE79F" w14:textId="3D746AF0" w:rsidR="00F41036" w:rsidRPr="008A2719" w:rsidRDefault="008A2719">
            <w:pPr>
              <w:pStyle w:val="TableParagraph"/>
              <w:spacing w:line="232" w:lineRule="exact"/>
              <w:rPr>
                <w:lang w:val="da-DK"/>
              </w:rPr>
            </w:pPr>
            <w:r>
              <w:t>Meget almindelig</w:t>
            </w:r>
          </w:p>
        </w:tc>
        <w:tc>
          <w:tcPr>
            <w:tcW w:w="3997" w:type="dxa"/>
            <w:tcBorders>
              <w:top w:val="single" w:sz="4" w:space="0" w:color="000000"/>
              <w:left w:val="single" w:sz="4" w:space="0" w:color="000000"/>
              <w:bottom w:val="single" w:sz="4" w:space="0" w:color="000000"/>
              <w:right w:val="single" w:sz="4" w:space="0" w:color="000000"/>
            </w:tcBorders>
          </w:tcPr>
          <w:p w14:paraId="229EAE68" w14:textId="6913D449" w:rsidR="00F41036" w:rsidRPr="008A2719" w:rsidRDefault="008A2719">
            <w:pPr>
              <w:pStyle w:val="TableParagraph"/>
              <w:spacing w:line="232" w:lineRule="exact"/>
              <w:rPr>
                <w:lang w:val="da-DK"/>
              </w:rPr>
            </w:pPr>
            <w:r>
              <w:t>Svimmelhed, døsighed</w:t>
            </w:r>
          </w:p>
        </w:tc>
      </w:tr>
      <w:tr w:rsidR="008A2719" w14:paraId="01924D2F" w14:textId="77777777" w:rsidTr="008A2719">
        <w:trPr>
          <w:trHeight w:val="239"/>
        </w:trPr>
        <w:tc>
          <w:tcPr>
            <w:tcW w:w="3104" w:type="dxa"/>
            <w:tcBorders>
              <w:top w:val="single" w:sz="4" w:space="0" w:color="000000"/>
              <w:left w:val="single" w:sz="4" w:space="0" w:color="000000"/>
              <w:bottom w:val="single" w:sz="4" w:space="0" w:color="000000"/>
              <w:right w:val="single" w:sz="4" w:space="0" w:color="000000"/>
            </w:tcBorders>
          </w:tcPr>
          <w:p w14:paraId="1A88DF14" w14:textId="4357A035" w:rsidR="008A2719" w:rsidRDefault="008A2719" w:rsidP="008A2719">
            <w:pPr>
              <w:pStyle w:val="TableParagraph"/>
              <w:spacing w:line="240" w:lineRule="auto"/>
              <w:ind w:left="0"/>
              <w:rPr>
                <w:b/>
              </w:rPr>
            </w:pPr>
          </w:p>
        </w:tc>
        <w:tc>
          <w:tcPr>
            <w:tcW w:w="1841" w:type="dxa"/>
            <w:tcBorders>
              <w:top w:val="single" w:sz="4" w:space="0" w:color="000000"/>
              <w:left w:val="single" w:sz="4" w:space="0" w:color="000000"/>
              <w:right w:val="single" w:sz="4" w:space="0" w:color="000000"/>
            </w:tcBorders>
            <w:hideMark/>
          </w:tcPr>
          <w:p w14:paraId="0FE2BB24" w14:textId="1C19B222" w:rsidR="008A2719" w:rsidRDefault="008A2719">
            <w:pPr>
              <w:pStyle w:val="TableParagraph"/>
              <w:spacing w:before="1" w:line="240" w:lineRule="auto"/>
            </w:pPr>
            <w:r>
              <w:t>Almindelig</w:t>
            </w:r>
          </w:p>
        </w:tc>
        <w:tc>
          <w:tcPr>
            <w:tcW w:w="3997" w:type="dxa"/>
            <w:tcBorders>
              <w:top w:val="single" w:sz="4" w:space="0" w:color="000000"/>
              <w:left w:val="single" w:sz="4" w:space="0" w:color="000000"/>
              <w:right w:val="single" w:sz="4" w:space="0" w:color="000000"/>
            </w:tcBorders>
            <w:hideMark/>
          </w:tcPr>
          <w:p w14:paraId="08320263" w14:textId="07FF357D" w:rsidR="008A2719" w:rsidRDefault="008A2719">
            <w:pPr>
              <w:pStyle w:val="TableParagraph"/>
              <w:spacing w:before="4" w:line="252" w:lineRule="exact"/>
              <w:ind w:right="304"/>
              <w:rPr>
                <w:lang w:val="da-DK"/>
              </w:rPr>
            </w:pPr>
            <w:r>
              <w:t>Ko</w:t>
            </w:r>
            <w:r>
              <w:t>n</w:t>
            </w:r>
            <w:r>
              <w:t>vulsioner, vertigo</w:t>
            </w:r>
          </w:p>
        </w:tc>
      </w:tr>
      <w:tr w:rsidR="008A2719" w14:paraId="3334084A" w14:textId="77777777" w:rsidTr="008A2719">
        <w:trPr>
          <w:trHeight w:val="399"/>
        </w:trPr>
        <w:tc>
          <w:tcPr>
            <w:tcW w:w="3104" w:type="dxa"/>
            <w:tcBorders>
              <w:top w:val="single" w:sz="4" w:space="0" w:color="000000"/>
              <w:left w:val="single" w:sz="4" w:space="0" w:color="000000"/>
              <w:bottom w:val="single" w:sz="4" w:space="0" w:color="000000"/>
              <w:right w:val="single" w:sz="4" w:space="0" w:color="000000"/>
            </w:tcBorders>
          </w:tcPr>
          <w:p w14:paraId="38C1F162" w14:textId="77777777" w:rsidR="008A2719" w:rsidRDefault="008A2719">
            <w:pPr>
              <w:pStyle w:val="TableParagraph"/>
              <w:spacing w:line="240" w:lineRule="auto"/>
              <w:ind w:right="1164"/>
              <w:rPr>
                <w:b/>
              </w:rPr>
            </w:pPr>
            <w:r>
              <w:rPr>
                <w:b/>
              </w:rPr>
              <w:t>Luftveje, thorax og mediastinum</w:t>
            </w:r>
          </w:p>
        </w:tc>
        <w:tc>
          <w:tcPr>
            <w:tcW w:w="1841" w:type="dxa"/>
            <w:tcBorders>
              <w:top w:val="single" w:sz="4" w:space="0" w:color="000000"/>
              <w:left w:val="single" w:sz="4" w:space="0" w:color="000000"/>
              <w:right w:val="single" w:sz="4" w:space="0" w:color="000000"/>
            </w:tcBorders>
            <w:hideMark/>
          </w:tcPr>
          <w:p w14:paraId="03561C24" w14:textId="4BF0AC0B" w:rsidR="008A2719" w:rsidRDefault="008A2719" w:rsidP="00A17585">
            <w:pPr>
              <w:pStyle w:val="TableParagraph"/>
            </w:pPr>
            <w:r>
              <w:t>Almindelig</w:t>
            </w:r>
          </w:p>
        </w:tc>
        <w:tc>
          <w:tcPr>
            <w:tcW w:w="3997" w:type="dxa"/>
            <w:tcBorders>
              <w:top w:val="single" w:sz="4" w:space="0" w:color="000000"/>
              <w:left w:val="single" w:sz="4" w:space="0" w:color="000000"/>
              <w:right w:val="single" w:sz="4" w:space="0" w:color="000000"/>
            </w:tcBorders>
            <w:hideMark/>
          </w:tcPr>
          <w:p w14:paraId="198234E6" w14:textId="000D5729" w:rsidR="008A2719" w:rsidRPr="008A2719" w:rsidRDefault="008A2719" w:rsidP="002872FA">
            <w:pPr>
              <w:pStyle w:val="TableParagraph"/>
              <w:rPr>
                <w:lang w:val="da-DK"/>
              </w:rPr>
            </w:pPr>
            <w:r>
              <w:rPr>
                <w:lang w:val="da-DK"/>
              </w:rPr>
              <w:t>Infektioner i de øvre luftveje, hoste</w:t>
            </w:r>
          </w:p>
        </w:tc>
      </w:tr>
      <w:tr w:rsidR="00E178EA" w14:paraId="55289D66" w14:textId="77777777" w:rsidTr="00E178EA">
        <w:trPr>
          <w:trHeight w:val="506"/>
        </w:trPr>
        <w:tc>
          <w:tcPr>
            <w:tcW w:w="3104" w:type="dxa"/>
            <w:tcBorders>
              <w:top w:val="single" w:sz="4" w:space="0" w:color="000000"/>
              <w:left w:val="single" w:sz="4" w:space="0" w:color="000000"/>
              <w:bottom w:val="single" w:sz="4" w:space="0" w:color="000000"/>
              <w:right w:val="single" w:sz="4" w:space="0" w:color="000000"/>
            </w:tcBorders>
            <w:hideMark/>
          </w:tcPr>
          <w:p w14:paraId="2A9D48F4" w14:textId="77777777" w:rsidR="00E178EA" w:rsidRDefault="00E178EA">
            <w:pPr>
              <w:pStyle w:val="TableParagraph"/>
              <w:spacing w:line="246" w:lineRule="exact"/>
              <w:rPr>
                <w:b/>
              </w:rPr>
            </w:pPr>
            <w:r>
              <w:rPr>
                <w:b/>
              </w:rPr>
              <w:t>Mave-tarm-kanalen</w:t>
            </w:r>
          </w:p>
        </w:tc>
        <w:tc>
          <w:tcPr>
            <w:tcW w:w="1841" w:type="dxa"/>
            <w:tcBorders>
              <w:top w:val="single" w:sz="4" w:space="0" w:color="000000"/>
              <w:left w:val="single" w:sz="4" w:space="0" w:color="000000"/>
              <w:bottom w:val="single" w:sz="4" w:space="0" w:color="000000"/>
              <w:right w:val="single" w:sz="4" w:space="0" w:color="000000"/>
            </w:tcBorders>
            <w:hideMark/>
          </w:tcPr>
          <w:p w14:paraId="6F046F8F" w14:textId="77777777" w:rsidR="00E178EA" w:rsidRDefault="00E178EA">
            <w:pPr>
              <w:pStyle w:val="TableParagraph"/>
              <w:spacing w:line="246" w:lineRule="exact"/>
            </w:pPr>
            <w:r>
              <w:t>Almindelig</w:t>
            </w:r>
          </w:p>
        </w:tc>
        <w:tc>
          <w:tcPr>
            <w:tcW w:w="3997" w:type="dxa"/>
            <w:tcBorders>
              <w:top w:val="single" w:sz="4" w:space="0" w:color="000000"/>
              <w:left w:val="single" w:sz="4" w:space="0" w:color="000000"/>
              <w:bottom w:val="single" w:sz="4" w:space="0" w:color="000000"/>
              <w:right w:val="single" w:sz="4" w:space="0" w:color="000000"/>
            </w:tcBorders>
            <w:hideMark/>
          </w:tcPr>
          <w:p w14:paraId="1838C6A0" w14:textId="77777777" w:rsidR="00E178EA" w:rsidRDefault="00E178EA">
            <w:pPr>
              <w:pStyle w:val="TableParagraph"/>
              <w:spacing w:line="246" w:lineRule="exact"/>
            </w:pPr>
            <w:r>
              <w:t>Kvalme, opkastning, konstipation</w:t>
            </w:r>
          </w:p>
        </w:tc>
      </w:tr>
      <w:tr w:rsidR="00E178EA" w14:paraId="4C6A7E48" w14:textId="77777777" w:rsidTr="00E178EA">
        <w:trPr>
          <w:trHeight w:val="253"/>
        </w:trPr>
        <w:tc>
          <w:tcPr>
            <w:tcW w:w="3104" w:type="dxa"/>
            <w:tcBorders>
              <w:top w:val="single" w:sz="4" w:space="0" w:color="000000"/>
              <w:left w:val="single" w:sz="4" w:space="0" w:color="000000"/>
              <w:bottom w:val="single" w:sz="4" w:space="0" w:color="000000"/>
              <w:right w:val="single" w:sz="4" w:space="0" w:color="000000"/>
            </w:tcBorders>
            <w:hideMark/>
          </w:tcPr>
          <w:p w14:paraId="122B3184" w14:textId="77777777" w:rsidR="00E178EA" w:rsidRDefault="00E178EA">
            <w:pPr>
              <w:pStyle w:val="TableParagraph"/>
              <w:spacing w:line="234" w:lineRule="exact"/>
              <w:rPr>
                <w:b/>
              </w:rPr>
            </w:pPr>
            <w:r>
              <w:rPr>
                <w:b/>
              </w:rPr>
              <w:t>Hud og subkutane væv</w:t>
            </w:r>
          </w:p>
        </w:tc>
        <w:tc>
          <w:tcPr>
            <w:tcW w:w="1841" w:type="dxa"/>
            <w:tcBorders>
              <w:top w:val="single" w:sz="4" w:space="0" w:color="000000"/>
              <w:left w:val="single" w:sz="4" w:space="0" w:color="000000"/>
              <w:bottom w:val="single" w:sz="4" w:space="0" w:color="000000"/>
              <w:right w:val="single" w:sz="4" w:space="0" w:color="000000"/>
            </w:tcBorders>
            <w:hideMark/>
          </w:tcPr>
          <w:p w14:paraId="1E17582B" w14:textId="77777777" w:rsidR="00E178EA" w:rsidRDefault="00E178EA">
            <w:pPr>
              <w:pStyle w:val="TableParagraph"/>
              <w:spacing w:line="234" w:lineRule="exact"/>
            </w:pPr>
            <w:r>
              <w:t>Ikke kendt</w:t>
            </w:r>
          </w:p>
        </w:tc>
        <w:tc>
          <w:tcPr>
            <w:tcW w:w="3997" w:type="dxa"/>
            <w:tcBorders>
              <w:top w:val="single" w:sz="4" w:space="0" w:color="000000"/>
              <w:left w:val="single" w:sz="4" w:space="0" w:color="000000"/>
              <w:bottom w:val="single" w:sz="4" w:space="0" w:color="000000"/>
              <w:right w:val="single" w:sz="4" w:space="0" w:color="000000"/>
            </w:tcBorders>
            <w:hideMark/>
          </w:tcPr>
          <w:p w14:paraId="009E1A7B" w14:textId="77777777" w:rsidR="00E178EA" w:rsidRDefault="00E178EA">
            <w:pPr>
              <w:pStyle w:val="TableParagraph"/>
              <w:spacing w:line="234" w:lineRule="exact"/>
              <w:rPr>
                <w:sz w:val="14"/>
              </w:rPr>
            </w:pPr>
            <w:r>
              <w:t>Stevens-Johnsons syndrom</w:t>
            </w:r>
            <w:r>
              <w:rPr>
                <w:position w:val="8"/>
                <w:sz w:val="14"/>
              </w:rPr>
              <w:t>(1)</w:t>
            </w:r>
          </w:p>
        </w:tc>
      </w:tr>
      <w:tr w:rsidR="00E178EA" w14:paraId="61AAD94D" w14:textId="77777777" w:rsidTr="00E178EA">
        <w:trPr>
          <w:trHeight w:val="758"/>
        </w:trPr>
        <w:tc>
          <w:tcPr>
            <w:tcW w:w="3104" w:type="dxa"/>
            <w:tcBorders>
              <w:top w:val="single" w:sz="4" w:space="0" w:color="000000"/>
              <w:left w:val="single" w:sz="4" w:space="0" w:color="000000"/>
              <w:bottom w:val="single" w:sz="4" w:space="0" w:color="000000"/>
              <w:right w:val="single" w:sz="4" w:space="0" w:color="000000"/>
            </w:tcBorders>
            <w:hideMark/>
          </w:tcPr>
          <w:p w14:paraId="2C7B6055" w14:textId="77777777" w:rsidR="00E178EA" w:rsidRDefault="00E178EA">
            <w:pPr>
              <w:pStyle w:val="TableParagraph"/>
              <w:spacing w:line="240" w:lineRule="auto"/>
              <w:ind w:right="853"/>
              <w:rPr>
                <w:b/>
                <w:lang w:val="da-DK"/>
              </w:rPr>
            </w:pPr>
            <w:r>
              <w:rPr>
                <w:b/>
                <w:lang w:val="da-DK"/>
              </w:rPr>
              <w:t>Almene symptomer og reaktioner på</w:t>
            </w:r>
          </w:p>
          <w:p w14:paraId="142B6975" w14:textId="77777777" w:rsidR="00E178EA" w:rsidRDefault="00E178EA">
            <w:pPr>
              <w:pStyle w:val="TableParagraph"/>
              <w:spacing w:line="239" w:lineRule="exact"/>
              <w:rPr>
                <w:b/>
                <w:lang w:val="da-DK"/>
              </w:rPr>
            </w:pPr>
            <w:r>
              <w:rPr>
                <w:b/>
                <w:lang w:val="da-DK"/>
              </w:rPr>
              <w:t>administrationsstedet</w:t>
            </w:r>
          </w:p>
        </w:tc>
        <w:tc>
          <w:tcPr>
            <w:tcW w:w="1841" w:type="dxa"/>
            <w:tcBorders>
              <w:top w:val="single" w:sz="4" w:space="0" w:color="000000"/>
              <w:left w:val="single" w:sz="4" w:space="0" w:color="000000"/>
              <w:bottom w:val="single" w:sz="4" w:space="0" w:color="000000"/>
              <w:right w:val="single" w:sz="4" w:space="0" w:color="000000"/>
            </w:tcBorders>
            <w:hideMark/>
          </w:tcPr>
          <w:p w14:paraId="60797968" w14:textId="77777777" w:rsidR="00E178EA" w:rsidRDefault="00E178EA">
            <w:pPr>
              <w:pStyle w:val="TableParagraph"/>
              <w:spacing w:line="246" w:lineRule="exact"/>
            </w:pPr>
            <w:r>
              <w:t>Almindelig</w:t>
            </w:r>
          </w:p>
        </w:tc>
        <w:tc>
          <w:tcPr>
            <w:tcW w:w="3997" w:type="dxa"/>
            <w:tcBorders>
              <w:top w:val="single" w:sz="4" w:space="0" w:color="000000"/>
              <w:left w:val="single" w:sz="4" w:space="0" w:color="000000"/>
              <w:bottom w:val="single" w:sz="4" w:space="0" w:color="000000"/>
              <w:right w:val="single" w:sz="4" w:space="0" w:color="000000"/>
            </w:tcBorders>
            <w:hideMark/>
          </w:tcPr>
          <w:p w14:paraId="2F3364B2" w14:textId="77777777" w:rsidR="00E178EA" w:rsidRDefault="00E178EA">
            <w:pPr>
              <w:pStyle w:val="TableParagraph"/>
              <w:spacing w:line="246" w:lineRule="exact"/>
            </w:pPr>
            <w:r>
              <w:t>Træthed</w:t>
            </w:r>
          </w:p>
        </w:tc>
      </w:tr>
    </w:tbl>
    <w:p w14:paraId="725F5A9A" w14:textId="77777777" w:rsidR="00E178EA" w:rsidRPr="00E178EA" w:rsidRDefault="00E178EA" w:rsidP="00E178EA">
      <w:pPr>
        <w:pStyle w:val="Brdtekst"/>
        <w:spacing w:line="246" w:lineRule="exact"/>
        <w:ind w:left="851"/>
        <w:rPr>
          <w:sz w:val="20"/>
          <w:szCs w:val="20"/>
        </w:rPr>
      </w:pPr>
      <w:r w:rsidRPr="00E178EA">
        <w:rPr>
          <w:position w:val="8"/>
          <w:sz w:val="20"/>
          <w:szCs w:val="20"/>
        </w:rPr>
        <w:t xml:space="preserve">(1) </w:t>
      </w:r>
      <w:r w:rsidRPr="00E178EA">
        <w:rPr>
          <w:sz w:val="20"/>
          <w:szCs w:val="20"/>
        </w:rPr>
        <w:t>Bivirkninger rapporteret efter markedsføring.</w:t>
      </w:r>
    </w:p>
    <w:p w14:paraId="557F6966" w14:textId="77777777" w:rsidR="00E178EA" w:rsidRPr="00E178EA" w:rsidRDefault="00E178EA" w:rsidP="00E178EA">
      <w:pPr>
        <w:tabs>
          <w:tab w:val="left" w:pos="851"/>
        </w:tabs>
        <w:ind w:left="851"/>
        <w:rPr>
          <w:sz w:val="24"/>
          <w:szCs w:val="24"/>
          <w:lang w:val="en-US"/>
        </w:rPr>
      </w:pPr>
    </w:p>
    <w:p w14:paraId="13FB553C" w14:textId="77777777" w:rsidR="00E178EA" w:rsidRPr="00E178EA" w:rsidRDefault="00E178EA" w:rsidP="00E178EA">
      <w:pPr>
        <w:tabs>
          <w:tab w:val="left" w:pos="851"/>
        </w:tabs>
        <w:ind w:left="851"/>
        <w:rPr>
          <w:sz w:val="24"/>
          <w:szCs w:val="24"/>
        </w:rPr>
      </w:pPr>
      <w:r w:rsidRPr="00E178EA">
        <w:rPr>
          <w:sz w:val="24"/>
          <w:szCs w:val="24"/>
          <w:u w:val="single"/>
        </w:rPr>
        <w:lastRenderedPageBreak/>
        <w:t>Beskrivelse af udvalgte bivirkninger</w:t>
      </w:r>
    </w:p>
    <w:p w14:paraId="5404B136" w14:textId="77777777" w:rsidR="00E178EA" w:rsidRPr="00E178EA" w:rsidRDefault="00E178EA" w:rsidP="00E178EA">
      <w:pPr>
        <w:tabs>
          <w:tab w:val="left" w:pos="851"/>
        </w:tabs>
        <w:ind w:left="851"/>
        <w:rPr>
          <w:sz w:val="24"/>
          <w:szCs w:val="24"/>
        </w:rPr>
      </w:pPr>
      <w:r w:rsidRPr="00E178EA">
        <w:rPr>
          <w:sz w:val="24"/>
          <w:szCs w:val="24"/>
        </w:rPr>
        <w:t xml:space="preserve">Der blev rapporteret neutropeni hos 0,5 % (6/1.099) af patienterne, som fik brivaracetam, og hos 0 % (0/459) af patienterne, som fik placebo. Fire af disse forsøgspersoner havde nedsat neutrofiltal ved </w:t>
      </w:r>
      <w:r w:rsidRPr="00E178EA">
        <w:rPr>
          <w:i/>
          <w:sz w:val="24"/>
          <w:szCs w:val="24"/>
        </w:rPr>
        <w:t xml:space="preserve">baseline </w:t>
      </w:r>
      <w:r w:rsidRPr="00E178EA">
        <w:rPr>
          <w:sz w:val="24"/>
          <w:szCs w:val="24"/>
        </w:rPr>
        <w:t>og oplevede yderligere fald i neutrofiltallet efter initiering af behandlingen med brivaracetam. Ingen af de 6 tilfælde af neutropeni var alvorlige, krævede særlig behandling eller førte til seponering af brivaracetam, og ingen af patienterne fik ledsagende infektioner.</w:t>
      </w:r>
    </w:p>
    <w:p w14:paraId="530F4F2A" w14:textId="77777777" w:rsidR="00E178EA" w:rsidRPr="00E178EA" w:rsidRDefault="00E178EA" w:rsidP="00E178EA">
      <w:pPr>
        <w:tabs>
          <w:tab w:val="left" w:pos="851"/>
        </w:tabs>
        <w:ind w:left="851"/>
        <w:rPr>
          <w:sz w:val="24"/>
          <w:szCs w:val="24"/>
        </w:rPr>
      </w:pPr>
    </w:p>
    <w:p w14:paraId="0D5CE357" w14:textId="77777777" w:rsidR="00E178EA" w:rsidRPr="00E178EA" w:rsidRDefault="00E178EA" w:rsidP="00E178EA">
      <w:pPr>
        <w:tabs>
          <w:tab w:val="left" w:pos="851"/>
        </w:tabs>
        <w:ind w:left="851"/>
        <w:rPr>
          <w:sz w:val="24"/>
          <w:szCs w:val="24"/>
        </w:rPr>
      </w:pPr>
      <w:r w:rsidRPr="00E178EA">
        <w:rPr>
          <w:sz w:val="24"/>
          <w:szCs w:val="24"/>
        </w:rPr>
        <w:t>Der blev rapporteret selvmordstanker hos 0,3 % (3/1.099) af patienterne, som fik brivaracetam, og hos 0,7 % (3/459) af patienterne, som fik placebo. I de korterevarende kliniske studier med brivaracetam hos epilepsipatienter var der ingen tilfælde med fuldbyrdet selvmord og selvmordsforsøg, dog blev både selvmord og selvmordsforsøg rapporteret i åbne forlængelsesstudier (se pkt. 4.4).</w:t>
      </w:r>
    </w:p>
    <w:p w14:paraId="3F8A355B" w14:textId="77777777" w:rsidR="00E178EA" w:rsidRPr="00E178EA" w:rsidRDefault="00E178EA" w:rsidP="00E178EA">
      <w:pPr>
        <w:tabs>
          <w:tab w:val="left" w:pos="851"/>
        </w:tabs>
        <w:ind w:left="851"/>
        <w:rPr>
          <w:sz w:val="24"/>
          <w:szCs w:val="24"/>
        </w:rPr>
      </w:pPr>
    </w:p>
    <w:p w14:paraId="342DB91A" w14:textId="77777777" w:rsidR="00E178EA" w:rsidRPr="00E178EA" w:rsidRDefault="00E178EA" w:rsidP="00E178EA">
      <w:pPr>
        <w:tabs>
          <w:tab w:val="left" w:pos="851"/>
        </w:tabs>
        <w:ind w:left="851"/>
        <w:rPr>
          <w:sz w:val="24"/>
          <w:szCs w:val="24"/>
        </w:rPr>
      </w:pPr>
      <w:r w:rsidRPr="00E178EA">
        <w:rPr>
          <w:sz w:val="24"/>
          <w:szCs w:val="24"/>
        </w:rPr>
        <w:t>Under klinisk udvikling blev der rapporteret reaktioner, som tydede på akut (type I) overfølsomhed hos et lille antal patienter, som fik brivaracetam (9/3.022).</w:t>
      </w:r>
    </w:p>
    <w:p w14:paraId="5922FA81" w14:textId="77777777" w:rsidR="00E178EA" w:rsidRPr="00E178EA" w:rsidRDefault="00E178EA" w:rsidP="00E178EA">
      <w:pPr>
        <w:tabs>
          <w:tab w:val="left" w:pos="851"/>
        </w:tabs>
        <w:ind w:left="851"/>
        <w:rPr>
          <w:sz w:val="24"/>
          <w:szCs w:val="24"/>
        </w:rPr>
      </w:pPr>
    </w:p>
    <w:p w14:paraId="2DF0FB75" w14:textId="77777777" w:rsidR="00E178EA" w:rsidRPr="00E178EA" w:rsidRDefault="00E178EA" w:rsidP="00E178EA">
      <w:pPr>
        <w:tabs>
          <w:tab w:val="left" w:pos="851"/>
        </w:tabs>
        <w:ind w:left="851"/>
        <w:rPr>
          <w:sz w:val="24"/>
          <w:szCs w:val="24"/>
        </w:rPr>
      </w:pPr>
      <w:r w:rsidRPr="00E178EA">
        <w:rPr>
          <w:sz w:val="24"/>
          <w:szCs w:val="24"/>
          <w:u w:val="single"/>
        </w:rPr>
        <w:t>Pædiatrisk population</w:t>
      </w:r>
    </w:p>
    <w:p w14:paraId="389E09DB" w14:textId="77777777" w:rsidR="00E178EA" w:rsidRPr="00E178EA" w:rsidRDefault="00E178EA" w:rsidP="00E178EA">
      <w:pPr>
        <w:tabs>
          <w:tab w:val="left" w:pos="851"/>
        </w:tabs>
        <w:ind w:left="851"/>
        <w:rPr>
          <w:sz w:val="24"/>
          <w:szCs w:val="24"/>
        </w:rPr>
      </w:pPr>
      <w:r w:rsidRPr="00E178EA">
        <w:rPr>
          <w:sz w:val="24"/>
          <w:szCs w:val="24"/>
        </w:rPr>
        <w:t>Sikkerhedsprofilen af brivaracetam observeret hos børn fra 1 måned svarede til sikkerhedsprofilen observeret hos voksne. I de åbne, ukontrollerede langtidsstudier, blev der rapporteret selvmordstanker hos 4,7 % af pædiatriske patienter (vurderet fra 6 år og derover, mere almindelige hos unge), sammenlignet med 2,4 % af voksne, og adfærdsforstyrrelser blev rapporteret hos 24,8 % af pædiatriske patienter sammenlignet med 15,1 % af voksne. Størstedelen af hændelserne var af mild eller moderat intensitet, ikke alvorlige og medførte ikke seponering af studiemedicin. En yderligere bivirkning rapporteret hos børn var psykomotorisk hyperaktivitet (4,7 %).</w:t>
      </w:r>
    </w:p>
    <w:p w14:paraId="21ECF0ED" w14:textId="77777777" w:rsidR="00E178EA" w:rsidRPr="00E178EA" w:rsidRDefault="00E178EA" w:rsidP="00E178EA">
      <w:pPr>
        <w:tabs>
          <w:tab w:val="left" w:pos="851"/>
        </w:tabs>
        <w:ind w:left="851"/>
        <w:rPr>
          <w:sz w:val="24"/>
          <w:szCs w:val="24"/>
        </w:rPr>
      </w:pPr>
    </w:p>
    <w:p w14:paraId="19E369D3" w14:textId="77777777" w:rsidR="00E178EA" w:rsidRPr="00E178EA" w:rsidRDefault="00E178EA" w:rsidP="00E178EA">
      <w:pPr>
        <w:tabs>
          <w:tab w:val="left" w:pos="851"/>
        </w:tabs>
        <w:ind w:left="851"/>
        <w:rPr>
          <w:sz w:val="24"/>
          <w:szCs w:val="24"/>
        </w:rPr>
      </w:pPr>
      <w:r w:rsidRPr="00E178EA">
        <w:rPr>
          <w:sz w:val="24"/>
          <w:szCs w:val="24"/>
        </w:rPr>
        <w:t>Der blev ikke identificeret noget specifikt mønster for bivirkninger hos børn fra 1 måned til &lt; 4 år ved sammenligning med ældre pædiatriske aldersgrupper. Der blevet ikke identificeret signifikant sikkerhedsinformation, som angiver den stigende forekomst af en bestemt bivirkning i denne aldersgruppe. Da tilgængelige data for børn under 2 år er begrænsede, er brivaracetam ikke indiceret til denne aldersgruppe. Der er begrænsede kliniske data hos nyfødte.</w:t>
      </w:r>
    </w:p>
    <w:p w14:paraId="445F8032" w14:textId="77777777" w:rsidR="00E178EA" w:rsidRPr="00E178EA" w:rsidRDefault="00E178EA" w:rsidP="00E178EA">
      <w:pPr>
        <w:tabs>
          <w:tab w:val="left" w:pos="851"/>
        </w:tabs>
        <w:ind w:left="851"/>
        <w:rPr>
          <w:sz w:val="24"/>
          <w:szCs w:val="24"/>
        </w:rPr>
      </w:pPr>
    </w:p>
    <w:p w14:paraId="1EC5CF04" w14:textId="77777777" w:rsidR="00E178EA" w:rsidRPr="00E178EA" w:rsidRDefault="00E178EA" w:rsidP="00E178EA">
      <w:pPr>
        <w:tabs>
          <w:tab w:val="left" w:pos="851"/>
        </w:tabs>
        <w:ind w:left="851"/>
        <w:rPr>
          <w:sz w:val="24"/>
          <w:szCs w:val="24"/>
        </w:rPr>
      </w:pPr>
      <w:r w:rsidRPr="00E178EA">
        <w:rPr>
          <w:sz w:val="24"/>
          <w:szCs w:val="24"/>
          <w:u w:val="single"/>
        </w:rPr>
        <w:t>Ældre</w:t>
      </w:r>
    </w:p>
    <w:p w14:paraId="0C613FC8" w14:textId="77777777" w:rsidR="00E178EA" w:rsidRPr="00E178EA" w:rsidRDefault="00E178EA" w:rsidP="00E178EA">
      <w:pPr>
        <w:tabs>
          <w:tab w:val="left" w:pos="851"/>
        </w:tabs>
        <w:ind w:left="851"/>
        <w:rPr>
          <w:sz w:val="24"/>
          <w:szCs w:val="24"/>
        </w:rPr>
      </w:pPr>
      <w:r w:rsidRPr="00E178EA">
        <w:rPr>
          <w:sz w:val="24"/>
          <w:szCs w:val="24"/>
        </w:rPr>
        <w:t>Af de 130 ældre forsøgspersoner, som deltog i fase 2/3 i udviklingsprogrammet for brivaracetam (44 med epilepsi), var 100 i alderen 65-74 år og 30 i alderen 75-84 år. Sikkerhedsprofilen hos ældre patienter syntes at svare til den, som er observeret hos yngre voksne patienter.</w:t>
      </w:r>
    </w:p>
    <w:p w14:paraId="09D8A34B" w14:textId="77777777" w:rsidR="00E178EA" w:rsidRPr="00E178EA" w:rsidRDefault="00E178EA" w:rsidP="00E178EA">
      <w:pPr>
        <w:tabs>
          <w:tab w:val="left" w:pos="851"/>
        </w:tabs>
        <w:ind w:left="851"/>
        <w:rPr>
          <w:sz w:val="24"/>
          <w:szCs w:val="24"/>
        </w:rPr>
      </w:pPr>
    </w:p>
    <w:p w14:paraId="56FD1A3C" w14:textId="77777777" w:rsidR="00E178EA" w:rsidRPr="00E178EA" w:rsidRDefault="00E178EA" w:rsidP="00E178EA">
      <w:pPr>
        <w:tabs>
          <w:tab w:val="left" w:pos="851"/>
        </w:tabs>
        <w:ind w:left="851"/>
        <w:rPr>
          <w:sz w:val="24"/>
          <w:szCs w:val="24"/>
        </w:rPr>
      </w:pPr>
      <w:r w:rsidRPr="00E178EA">
        <w:rPr>
          <w:sz w:val="24"/>
          <w:szCs w:val="24"/>
          <w:u w:val="single"/>
        </w:rPr>
        <w:t>Indberetning af formodede bivirkninger</w:t>
      </w:r>
    </w:p>
    <w:p w14:paraId="7D48A18D" w14:textId="77777777" w:rsidR="00E178EA" w:rsidRDefault="00E178EA" w:rsidP="00E178EA">
      <w:pPr>
        <w:tabs>
          <w:tab w:val="left" w:pos="851"/>
        </w:tabs>
        <w:ind w:left="851"/>
        <w:rPr>
          <w:sz w:val="24"/>
          <w:szCs w:val="24"/>
        </w:rPr>
      </w:pPr>
      <w:r w:rsidRPr="00E178EA">
        <w:rPr>
          <w:sz w:val="24"/>
          <w:szCs w:val="24"/>
        </w:rPr>
        <w:t>Når lægemidlet er godkendt, er indberetning af formodede bivirkninger vigtig. Det muliggør løbende overvågning af benefit/risk-forholdet for lægemidlet. Sundhedspersoner anmodes om at indberette alle formodede bivirkninger via</w:t>
      </w:r>
      <w:r>
        <w:rPr>
          <w:sz w:val="24"/>
          <w:szCs w:val="24"/>
        </w:rPr>
        <w:t>:</w:t>
      </w:r>
    </w:p>
    <w:p w14:paraId="3F70DDCF" w14:textId="73256961" w:rsidR="00E178EA" w:rsidRPr="00E178EA" w:rsidRDefault="00E178EA" w:rsidP="00E178EA">
      <w:pPr>
        <w:tabs>
          <w:tab w:val="left" w:pos="851"/>
        </w:tabs>
        <w:ind w:left="851"/>
        <w:rPr>
          <w:sz w:val="24"/>
          <w:szCs w:val="24"/>
        </w:rPr>
      </w:pPr>
      <w:r w:rsidRPr="00E178EA">
        <w:rPr>
          <w:sz w:val="24"/>
          <w:szCs w:val="24"/>
        </w:rPr>
        <w:t xml:space="preserve">  </w:t>
      </w:r>
    </w:p>
    <w:p w14:paraId="67FA25B7" w14:textId="05B831A1" w:rsidR="00E178EA" w:rsidRDefault="00E178EA" w:rsidP="00E178EA">
      <w:pPr>
        <w:tabs>
          <w:tab w:val="left" w:pos="851"/>
        </w:tabs>
        <w:ind w:left="851"/>
        <w:rPr>
          <w:bCs/>
          <w:sz w:val="24"/>
          <w:szCs w:val="24"/>
        </w:rPr>
      </w:pPr>
      <w:r w:rsidRPr="00E178EA">
        <w:rPr>
          <w:sz w:val="24"/>
          <w:szCs w:val="24"/>
        </w:rPr>
        <w:t>Lægemiddelstyrelsen</w:t>
      </w:r>
      <w:r w:rsidRPr="00E178EA">
        <w:rPr>
          <w:sz w:val="24"/>
          <w:szCs w:val="24"/>
        </w:rPr>
        <w:br/>
        <w:t>Axel Heides Gade 1</w:t>
      </w:r>
      <w:r w:rsidRPr="00E178EA">
        <w:rPr>
          <w:sz w:val="24"/>
          <w:szCs w:val="24"/>
        </w:rPr>
        <w:br/>
        <w:t>DK-2300 København S</w:t>
      </w:r>
      <w:r w:rsidRPr="00E178EA">
        <w:rPr>
          <w:sz w:val="24"/>
          <w:szCs w:val="24"/>
        </w:rPr>
        <w:br/>
        <w:t>Websted: </w:t>
      </w:r>
      <w:hyperlink r:id="rId8" w:history="1">
        <w:r w:rsidRPr="00E64996">
          <w:rPr>
            <w:rStyle w:val="Hyperlink"/>
            <w:bCs/>
            <w:sz w:val="24"/>
            <w:szCs w:val="24"/>
          </w:rPr>
          <w:t>www.meldenbivirkning.dk</w:t>
        </w:r>
      </w:hyperlink>
    </w:p>
    <w:p w14:paraId="20B1AB5A" w14:textId="1DA196CA" w:rsidR="008A2719" w:rsidRDefault="008A2719">
      <w:pPr>
        <w:rPr>
          <w:sz w:val="24"/>
          <w:szCs w:val="24"/>
        </w:rPr>
      </w:pPr>
      <w:r>
        <w:rPr>
          <w:sz w:val="24"/>
          <w:szCs w:val="24"/>
        </w:rPr>
        <w:br w:type="page"/>
      </w:r>
    </w:p>
    <w:p w14:paraId="5B228625" w14:textId="77777777" w:rsidR="00E178EA" w:rsidRDefault="00E178EA" w:rsidP="00E178EA">
      <w:pPr>
        <w:tabs>
          <w:tab w:val="left" w:pos="851"/>
        </w:tabs>
        <w:ind w:left="851"/>
        <w:rPr>
          <w:sz w:val="24"/>
          <w:szCs w:val="24"/>
        </w:rPr>
      </w:pPr>
    </w:p>
    <w:p w14:paraId="77C381C8" w14:textId="77777777" w:rsidR="009260DE" w:rsidRPr="00C84483" w:rsidRDefault="009260DE" w:rsidP="00F853F2">
      <w:pPr>
        <w:tabs>
          <w:tab w:val="left" w:pos="851"/>
        </w:tabs>
        <w:ind w:left="851" w:hanging="851"/>
        <w:rPr>
          <w:b/>
          <w:sz w:val="24"/>
          <w:szCs w:val="24"/>
        </w:rPr>
      </w:pPr>
      <w:r w:rsidRPr="00C84483">
        <w:rPr>
          <w:b/>
          <w:sz w:val="24"/>
          <w:szCs w:val="24"/>
        </w:rPr>
        <w:t>4.9</w:t>
      </w:r>
      <w:r w:rsidRPr="00C84483">
        <w:rPr>
          <w:b/>
          <w:sz w:val="24"/>
          <w:szCs w:val="24"/>
        </w:rPr>
        <w:tab/>
        <w:t>Overdosering</w:t>
      </w:r>
    </w:p>
    <w:p w14:paraId="5CC3896C" w14:textId="77777777" w:rsidR="006849E5" w:rsidRDefault="006849E5" w:rsidP="006849E5">
      <w:pPr>
        <w:tabs>
          <w:tab w:val="left" w:pos="851"/>
        </w:tabs>
        <w:ind w:left="851"/>
        <w:rPr>
          <w:sz w:val="24"/>
          <w:szCs w:val="24"/>
          <w:u w:val="single"/>
        </w:rPr>
      </w:pPr>
    </w:p>
    <w:p w14:paraId="2BDA095F" w14:textId="77777777" w:rsidR="006849E5" w:rsidRDefault="006849E5" w:rsidP="006849E5">
      <w:pPr>
        <w:tabs>
          <w:tab w:val="left" w:pos="851"/>
        </w:tabs>
        <w:ind w:left="851"/>
        <w:rPr>
          <w:sz w:val="24"/>
          <w:szCs w:val="24"/>
          <w:u w:val="single"/>
        </w:rPr>
      </w:pPr>
      <w:r w:rsidRPr="006849E5">
        <w:rPr>
          <w:sz w:val="24"/>
          <w:szCs w:val="24"/>
          <w:u w:val="single"/>
        </w:rPr>
        <w:t>Symptomer</w:t>
      </w:r>
    </w:p>
    <w:p w14:paraId="484B462D" w14:textId="547BC8FA" w:rsidR="006849E5" w:rsidRPr="006849E5" w:rsidRDefault="006849E5" w:rsidP="006849E5">
      <w:pPr>
        <w:tabs>
          <w:tab w:val="left" w:pos="851"/>
        </w:tabs>
        <w:ind w:left="851"/>
        <w:rPr>
          <w:sz w:val="24"/>
          <w:szCs w:val="24"/>
        </w:rPr>
      </w:pPr>
      <w:r w:rsidRPr="006849E5">
        <w:rPr>
          <w:sz w:val="24"/>
          <w:szCs w:val="24"/>
        </w:rPr>
        <w:t>Der er begrænset klinisk erfaring vedrørende overdosering med brivaracetam hos mennesker. Der er rapporteret om døsighed og svimmelhed hos én rask forsøgsperson, som tog én 1.400 mg brivaracetam enkeltdosis.</w:t>
      </w:r>
    </w:p>
    <w:p w14:paraId="0AD00704" w14:textId="4731F34B" w:rsidR="006849E5" w:rsidRPr="006849E5" w:rsidRDefault="006849E5" w:rsidP="006849E5">
      <w:pPr>
        <w:tabs>
          <w:tab w:val="left" w:pos="851"/>
        </w:tabs>
        <w:ind w:left="851"/>
        <w:rPr>
          <w:sz w:val="24"/>
          <w:szCs w:val="24"/>
        </w:rPr>
      </w:pPr>
      <w:r w:rsidRPr="006849E5">
        <w:rPr>
          <w:sz w:val="24"/>
          <w:szCs w:val="24"/>
        </w:rPr>
        <w:t xml:space="preserve">Følgende bivirkninger blev rapporteret ved overdosering af brivaracetam efter markedsføring: </w:t>
      </w:r>
      <w:r w:rsidR="00F164DD">
        <w:rPr>
          <w:sz w:val="24"/>
          <w:szCs w:val="24"/>
        </w:rPr>
        <w:t>K</w:t>
      </w:r>
      <w:r w:rsidRPr="006849E5">
        <w:rPr>
          <w:sz w:val="24"/>
          <w:szCs w:val="24"/>
        </w:rPr>
        <w:t>valme, vertigo, balanceforstyrrelse, angst, træthed, irritabilitet, aggression, insomni, depression og selvmordstanker. Generelt var bivirkningerne forbundet med overdosering af brivaracetam i overensstemmende med de kendte bivirkninger.</w:t>
      </w:r>
    </w:p>
    <w:p w14:paraId="69A9CFAF" w14:textId="77777777" w:rsidR="006849E5" w:rsidRPr="006849E5" w:rsidRDefault="006849E5" w:rsidP="006849E5">
      <w:pPr>
        <w:tabs>
          <w:tab w:val="left" w:pos="851"/>
        </w:tabs>
        <w:ind w:left="851"/>
        <w:rPr>
          <w:sz w:val="24"/>
          <w:szCs w:val="24"/>
        </w:rPr>
      </w:pPr>
    </w:p>
    <w:p w14:paraId="3291655C" w14:textId="77777777" w:rsidR="006849E5" w:rsidRPr="006849E5" w:rsidRDefault="006849E5" w:rsidP="006849E5">
      <w:pPr>
        <w:tabs>
          <w:tab w:val="left" w:pos="851"/>
        </w:tabs>
        <w:ind w:left="851"/>
        <w:rPr>
          <w:sz w:val="24"/>
          <w:szCs w:val="24"/>
        </w:rPr>
      </w:pPr>
      <w:r w:rsidRPr="006849E5">
        <w:rPr>
          <w:sz w:val="24"/>
          <w:szCs w:val="24"/>
          <w:u w:val="single"/>
        </w:rPr>
        <w:t>Behandling af overdosering</w:t>
      </w:r>
    </w:p>
    <w:p w14:paraId="4D8FECF2" w14:textId="77777777" w:rsidR="006849E5" w:rsidRPr="006849E5" w:rsidRDefault="006849E5" w:rsidP="006849E5">
      <w:pPr>
        <w:tabs>
          <w:tab w:val="left" w:pos="851"/>
        </w:tabs>
        <w:ind w:left="851"/>
        <w:rPr>
          <w:sz w:val="24"/>
          <w:szCs w:val="24"/>
        </w:rPr>
      </w:pPr>
      <w:r w:rsidRPr="006849E5">
        <w:rPr>
          <w:sz w:val="24"/>
          <w:szCs w:val="24"/>
        </w:rPr>
        <w:t>Der findes ingen specifik antidot mod overdosering med brivaracetam. Behandling af en overdosis bør omfatte generelle understøttende tiltag. Da mindre end 10 % af brivaracetam udskilles via urinen, forventes hæmodialyse ikke at øge clearance af brivaracetam i signifikant grad (se pkt. 5.2).</w:t>
      </w:r>
    </w:p>
    <w:p w14:paraId="777CB47F" w14:textId="77777777" w:rsidR="009260DE" w:rsidRPr="00C84483" w:rsidRDefault="009260DE" w:rsidP="00F853F2">
      <w:pPr>
        <w:tabs>
          <w:tab w:val="left" w:pos="851"/>
        </w:tabs>
        <w:ind w:left="851"/>
        <w:rPr>
          <w:sz w:val="24"/>
          <w:szCs w:val="24"/>
        </w:rPr>
      </w:pPr>
    </w:p>
    <w:p w14:paraId="062552CB" w14:textId="77777777" w:rsidR="009260DE" w:rsidRPr="00C84483" w:rsidRDefault="009260DE" w:rsidP="00F853F2">
      <w:pPr>
        <w:tabs>
          <w:tab w:val="left" w:pos="851"/>
        </w:tabs>
        <w:ind w:left="851" w:hanging="851"/>
        <w:rPr>
          <w:b/>
          <w:sz w:val="24"/>
          <w:szCs w:val="24"/>
        </w:rPr>
      </w:pPr>
      <w:r w:rsidRPr="00C84483">
        <w:rPr>
          <w:b/>
          <w:sz w:val="24"/>
          <w:szCs w:val="24"/>
        </w:rPr>
        <w:t>4.10</w:t>
      </w:r>
      <w:r w:rsidRPr="00C84483">
        <w:rPr>
          <w:b/>
          <w:sz w:val="24"/>
          <w:szCs w:val="24"/>
        </w:rPr>
        <w:tab/>
        <w:t>Udlevering</w:t>
      </w:r>
    </w:p>
    <w:p w14:paraId="60E5E387" w14:textId="1C4EC758" w:rsidR="009260DE" w:rsidRPr="00C84483" w:rsidRDefault="00F164DD" w:rsidP="00F853F2">
      <w:pPr>
        <w:tabs>
          <w:tab w:val="left" w:pos="851"/>
        </w:tabs>
        <w:ind w:left="851"/>
        <w:rPr>
          <w:sz w:val="24"/>
          <w:szCs w:val="24"/>
        </w:rPr>
      </w:pPr>
      <w:r>
        <w:rPr>
          <w:sz w:val="24"/>
          <w:szCs w:val="24"/>
        </w:rPr>
        <w:t>B</w:t>
      </w:r>
    </w:p>
    <w:p w14:paraId="6E568B35" w14:textId="77777777" w:rsidR="009260DE" w:rsidRPr="00C84483" w:rsidRDefault="009260DE" w:rsidP="00F853F2">
      <w:pPr>
        <w:tabs>
          <w:tab w:val="left" w:pos="851"/>
        </w:tabs>
        <w:ind w:left="851"/>
        <w:rPr>
          <w:sz w:val="24"/>
          <w:szCs w:val="24"/>
        </w:rPr>
      </w:pPr>
    </w:p>
    <w:p w14:paraId="09274FF1" w14:textId="77777777" w:rsidR="009260DE" w:rsidRPr="00C84483" w:rsidRDefault="009260DE" w:rsidP="00F853F2">
      <w:pPr>
        <w:tabs>
          <w:tab w:val="left" w:pos="851"/>
        </w:tabs>
        <w:ind w:left="851"/>
        <w:rPr>
          <w:sz w:val="24"/>
          <w:szCs w:val="24"/>
        </w:rPr>
      </w:pPr>
    </w:p>
    <w:p w14:paraId="44328261" w14:textId="77777777" w:rsidR="009260DE" w:rsidRPr="00C84483" w:rsidRDefault="009260DE" w:rsidP="00F853F2">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0C0950F" w14:textId="77777777" w:rsidR="009260DE" w:rsidRPr="00C84483" w:rsidRDefault="009260DE" w:rsidP="0052225D">
      <w:pPr>
        <w:tabs>
          <w:tab w:val="left" w:pos="851"/>
        </w:tabs>
        <w:ind w:left="851"/>
        <w:rPr>
          <w:sz w:val="24"/>
          <w:szCs w:val="24"/>
        </w:rPr>
      </w:pPr>
    </w:p>
    <w:p w14:paraId="572347C6" w14:textId="77777777" w:rsidR="009260DE" w:rsidRPr="00C84483" w:rsidRDefault="009260DE" w:rsidP="0052225D">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34ED91D8" w14:textId="3E355CFD" w:rsidR="0052225D" w:rsidRDefault="0052225D" w:rsidP="0052225D">
      <w:pPr>
        <w:pStyle w:val="Brdtekst"/>
        <w:ind w:left="851"/>
        <w:rPr>
          <w:sz w:val="24"/>
          <w:szCs w:val="24"/>
          <w:lang w:val="da-DK"/>
        </w:rPr>
      </w:pPr>
      <w:r w:rsidRPr="0052225D">
        <w:rPr>
          <w:sz w:val="24"/>
          <w:szCs w:val="24"/>
          <w:lang w:val="da-DK"/>
        </w:rPr>
        <w:t xml:space="preserve">Farmakoterapeutisk klassifikation: </w:t>
      </w:r>
      <w:r>
        <w:rPr>
          <w:sz w:val="24"/>
          <w:szCs w:val="24"/>
          <w:lang w:val="da-DK"/>
        </w:rPr>
        <w:t>A</w:t>
      </w:r>
      <w:r w:rsidRPr="0052225D">
        <w:rPr>
          <w:sz w:val="24"/>
          <w:szCs w:val="24"/>
          <w:lang w:val="da-DK"/>
        </w:rPr>
        <w:t xml:space="preserve">ntiepileptika, andre antiepileptika, </w:t>
      </w:r>
      <w:r>
        <w:rPr>
          <w:sz w:val="24"/>
          <w:szCs w:val="24"/>
          <w:lang w:val="da-DK"/>
        </w:rPr>
        <w:t>A</w:t>
      </w:r>
      <w:r w:rsidRPr="0052225D">
        <w:rPr>
          <w:sz w:val="24"/>
          <w:szCs w:val="24"/>
          <w:lang w:val="da-DK"/>
        </w:rPr>
        <w:t>TC-kode: N03AX23</w:t>
      </w:r>
      <w:r>
        <w:rPr>
          <w:sz w:val="24"/>
          <w:szCs w:val="24"/>
          <w:lang w:val="da-DK"/>
        </w:rPr>
        <w:t>.</w:t>
      </w:r>
    </w:p>
    <w:p w14:paraId="5025337F" w14:textId="77777777" w:rsidR="0052225D" w:rsidRDefault="0052225D" w:rsidP="0052225D">
      <w:pPr>
        <w:pStyle w:val="Brdtekst"/>
        <w:ind w:left="851"/>
        <w:rPr>
          <w:sz w:val="24"/>
          <w:szCs w:val="24"/>
          <w:u w:val="single"/>
          <w:lang w:val="da-DK"/>
        </w:rPr>
      </w:pPr>
    </w:p>
    <w:p w14:paraId="620C0F69" w14:textId="1900D62D" w:rsidR="0052225D" w:rsidRPr="0052225D" w:rsidRDefault="0052225D" w:rsidP="0052225D">
      <w:pPr>
        <w:pStyle w:val="Brdtekst"/>
        <w:ind w:left="851"/>
        <w:rPr>
          <w:sz w:val="24"/>
          <w:szCs w:val="24"/>
          <w:lang w:val="da-DK"/>
        </w:rPr>
      </w:pPr>
      <w:r w:rsidRPr="0052225D">
        <w:rPr>
          <w:sz w:val="24"/>
          <w:szCs w:val="24"/>
          <w:u w:val="single"/>
          <w:lang w:val="da-DK"/>
        </w:rPr>
        <w:t>Virkningsmekanisme</w:t>
      </w:r>
    </w:p>
    <w:p w14:paraId="03B82D41" w14:textId="77777777" w:rsidR="0052225D" w:rsidRPr="0052225D" w:rsidRDefault="0052225D" w:rsidP="0052225D">
      <w:pPr>
        <w:pStyle w:val="Brdtekst"/>
        <w:ind w:left="851"/>
        <w:rPr>
          <w:sz w:val="24"/>
          <w:szCs w:val="24"/>
          <w:lang w:val="da-DK"/>
        </w:rPr>
      </w:pPr>
      <w:r w:rsidRPr="0052225D">
        <w:rPr>
          <w:sz w:val="24"/>
          <w:szCs w:val="24"/>
          <w:lang w:val="da-DK"/>
        </w:rPr>
        <w:t>Brivaracetam viser en høj og selektiv affinitet for til det synaptiske vesikelprotein 2A (SV2A), som er et transmembrant glycoprotein, som findes på præsynaptisk niveau i neuroner og endokrine celler.</w:t>
      </w:r>
    </w:p>
    <w:p w14:paraId="4BACBEA0" w14:textId="77777777" w:rsidR="0052225D" w:rsidRPr="0052225D" w:rsidRDefault="0052225D" w:rsidP="0052225D">
      <w:pPr>
        <w:pStyle w:val="Brdtekst"/>
        <w:ind w:left="851"/>
        <w:rPr>
          <w:sz w:val="24"/>
          <w:szCs w:val="24"/>
          <w:lang w:val="da-DK"/>
        </w:rPr>
      </w:pPr>
      <w:r w:rsidRPr="0052225D">
        <w:rPr>
          <w:sz w:val="24"/>
          <w:szCs w:val="24"/>
          <w:lang w:val="da-DK"/>
        </w:rPr>
        <w:t>Selvom dette proteins præcise rolle endnu ikke er klarlagt, er det vist, at det modulerer eksocytose af neurotransmittere. Binding til SV2A menes at være den primære mekanisme til brivaracetams antiepileptiske aktivitet.</w:t>
      </w:r>
    </w:p>
    <w:p w14:paraId="3D19D9D1" w14:textId="77777777" w:rsidR="0052225D" w:rsidRPr="0052225D" w:rsidRDefault="0052225D" w:rsidP="0052225D">
      <w:pPr>
        <w:pStyle w:val="Brdtekst"/>
        <w:ind w:left="851"/>
        <w:rPr>
          <w:sz w:val="24"/>
          <w:szCs w:val="24"/>
          <w:lang w:val="da-DK"/>
        </w:rPr>
      </w:pPr>
    </w:p>
    <w:p w14:paraId="23C5EAAA" w14:textId="77777777" w:rsidR="0052225D" w:rsidRPr="0052225D" w:rsidRDefault="0052225D" w:rsidP="0052225D">
      <w:pPr>
        <w:pStyle w:val="Brdtekst"/>
        <w:ind w:left="851"/>
        <w:rPr>
          <w:sz w:val="24"/>
          <w:szCs w:val="24"/>
          <w:lang w:val="da-DK"/>
        </w:rPr>
      </w:pPr>
      <w:r w:rsidRPr="0052225D">
        <w:rPr>
          <w:sz w:val="24"/>
          <w:szCs w:val="24"/>
          <w:u w:val="single"/>
          <w:lang w:val="da-DK"/>
        </w:rPr>
        <w:t>Klinisk virkning og sikkerhed</w:t>
      </w:r>
    </w:p>
    <w:p w14:paraId="6DF3D504" w14:textId="77777777" w:rsidR="0052225D" w:rsidRPr="0052225D" w:rsidRDefault="0052225D" w:rsidP="0052225D">
      <w:pPr>
        <w:pStyle w:val="Brdtekst"/>
        <w:ind w:left="851"/>
        <w:rPr>
          <w:sz w:val="24"/>
          <w:szCs w:val="24"/>
          <w:lang w:val="da-DK"/>
        </w:rPr>
      </w:pPr>
      <w:r w:rsidRPr="0052225D">
        <w:rPr>
          <w:sz w:val="24"/>
          <w:szCs w:val="24"/>
          <w:lang w:val="da-DK"/>
        </w:rPr>
        <w:t>Virkningen af brivaracetam som tillægsbehandling ved partielle anfald (</w:t>
      </w:r>
      <w:r w:rsidRPr="0052225D">
        <w:rPr>
          <w:i/>
          <w:sz w:val="24"/>
          <w:szCs w:val="24"/>
          <w:lang w:val="da-DK"/>
        </w:rPr>
        <w:t xml:space="preserve">partial-onset seizures - </w:t>
      </w:r>
      <w:r w:rsidRPr="0052225D">
        <w:rPr>
          <w:sz w:val="24"/>
          <w:szCs w:val="24"/>
          <w:lang w:val="da-DK"/>
        </w:rPr>
        <w:t xml:space="preserve">POS) blev bestemt hos forsøgspersoner fra 16 år og derover i 3 randomiserede, dobbeltblinde, placebokontrollerede kliniske multicenterstudier med fast dosis. Den daglige brivaracetamdosis varierede fra 5 til 200 mg/dag på tværs af studierne. Alle studierne havde en 8-ugers </w:t>
      </w:r>
      <w:r w:rsidRPr="0052225D">
        <w:rPr>
          <w:i/>
          <w:sz w:val="24"/>
          <w:szCs w:val="24"/>
          <w:lang w:val="da-DK"/>
        </w:rPr>
        <w:t>baseline</w:t>
      </w:r>
      <w:r w:rsidRPr="0052225D">
        <w:rPr>
          <w:sz w:val="24"/>
          <w:szCs w:val="24"/>
          <w:lang w:val="da-DK"/>
        </w:rPr>
        <w:t>-periode efterfulgt af en 12-ugers behandlingsperiode uden optitrering. 1.558 patienter fik studiemedicin og</w:t>
      </w:r>
    </w:p>
    <w:p w14:paraId="3E3FF3C3" w14:textId="77777777" w:rsidR="0052225D" w:rsidRPr="0052225D" w:rsidRDefault="0052225D" w:rsidP="0052225D">
      <w:pPr>
        <w:pStyle w:val="Brdtekst"/>
        <w:ind w:left="851"/>
        <w:rPr>
          <w:sz w:val="24"/>
          <w:szCs w:val="24"/>
          <w:lang w:val="da-DK"/>
        </w:rPr>
      </w:pPr>
      <w:r w:rsidRPr="0052225D">
        <w:rPr>
          <w:sz w:val="24"/>
          <w:szCs w:val="24"/>
          <w:lang w:val="da-DK"/>
        </w:rPr>
        <w:t xml:space="preserve">1.099 af disse fik brivaracetam. Studieinklusionskriterierne krævede, at patienterne havde ukontrollerede POS uanset, om de samtidig fik behandling med 1 eller 2 antiepileptika. Det var påkrævet, at patienterne havde mindst 8 POS i løbet af </w:t>
      </w:r>
      <w:r w:rsidRPr="0052225D">
        <w:rPr>
          <w:i/>
          <w:sz w:val="24"/>
          <w:szCs w:val="24"/>
          <w:lang w:val="da-DK"/>
        </w:rPr>
        <w:t>baseline</w:t>
      </w:r>
      <w:r w:rsidRPr="0052225D">
        <w:rPr>
          <w:sz w:val="24"/>
          <w:szCs w:val="24"/>
          <w:lang w:val="da-DK"/>
        </w:rPr>
        <w:t xml:space="preserve">-perioden. De primære endepunkter i fase 3 studierne var den procentvise reduktion i frekvensen af POS i forhold til placebo, og 50 % responsraten baseret på 50 % reduktion i frekvensen af POS fra </w:t>
      </w:r>
      <w:r w:rsidRPr="0052225D">
        <w:rPr>
          <w:i/>
          <w:sz w:val="24"/>
          <w:szCs w:val="24"/>
          <w:lang w:val="da-DK"/>
        </w:rPr>
        <w:t>baseline</w:t>
      </w:r>
      <w:r w:rsidRPr="0052225D">
        <w:rPr>
          <w:sz w:val="24"/>
          <w:szCs w:val="24"/>
          <w:lang w:val="da-DK"/>
        </w:rPr>
        <w:t>.</w:t>
      </w:r>
    </w:p>
    <w:p w14:paraId="36775CAD" w14:textId="77777777" w:rsidR="0052225D" w:rsidRPr="0052225D" w:rsidRDefault="0052225D" w:rsidP="0052225D">
      <w:pPr>
        <w:pStyle w:val="Brdtekst"/>
        <w:ind w:left="851"/>
        <w:rPr>
          <w:sz w:val="24"/>
          <w:szCs w:val="24"/>
          <w:lang w:val="da-DK"/>
        </w:rPr>
      </w:pPr>
      <w:r w:rsidRPr="0052225D">
        <w:rPr>
          <w:sz w:val="24"/>
          <w:szCs w:val="24"/>
          <w:lang w:val="da-DK"/>
        </w:rPr>
        <w:t xml:space="preserve">De mest almindelige antiepileptika, som blev taget på tidspunktet for initiering af studiet, </w:t>
      </w:r>
      <w:r w:rsidRPr="0052225D">
        <w:rPr>
          <w:sz w:val="24"/>
          <w:szCs w:val="24"/>
          <w:lang w:val="da-DK"/>
        </w:rPr>
        <w:lastRenderedPageBreak/>
        <w:t xml:space="preserve">var carbamazepin (40,6 %), lamotrigin (25,2 %), valproat (20,5 %), oxcarbazepin (16,0 %), topiramat (13,5 %), phenytoin (10,2 %) og levetiracetam (9,8 %). Median </w:t>
      </w:r>
      <w:r w:rsidRPr="0052225D">
        <w:rPr>
          <w:i/>
          <w:sz w:val="24"/>
          <w:szCs w:val="24"/>
          <w:lang w:val="da-DK"/>
        </w:rPr>
        <w:t>baseline</w:t>
      </w:r>
      <w:r w:rsidRPr="0052225D">
        <w:rPr>
          <w:sz w:val="24"/>
          <w:szCs w:val="24"/>
          <w:lang w:val="da-DK"/>
        </w:rPr>
        <w:t>-frekvensen af anfald på tværs af de 3 studier var 9 anfald pr. 28 dage. Patienterne havde en gennemsnitlig epilepsivarighed på 23 år. Virkningsresultaterne er opsummeret i tabel 2. Samlet set var brivaracetam i doser på mellem</w:t>
      </w:r>
    </w:p>
    <w:p w14:paraId="1C2B34B6" w14:textId="77777777" w:rsidR="0052225D" w:rsidRPr="0052225D" w:rsidRDefault="0052225D" w:rsidP="0052225D">
      <w:pPr>
        <w:pStyle w:val="Brdtekst"/>
        <w:ind w:left="851"/>
        <w:rPr>
          <w:sz w:val="24"/>
          <w:szCs w:val="24"/>
          <w:lang w:val="da-DK"/>
        </w:rPr>
      </w:pPr>
      <w:r w:rsidRPr="0052225D">
        <w:rPr>
          <w:sz w:val="24"/>
          <w:szCs w:val="24"/>
          <w:lang w:val="da-DK"/>
        </w:rPr>
        <w:t>50 mg/dag og 200 mg/dag effektivt som tillægsbehandling af partielle anfald hos patienter fra 16 år og opefter.</w:t>
      </w:r>
    </w:p>
    <w:p w14:paraId="4091F81E" w14:textId="77777777" w:rsidR="0052225D" w:rsidRPr="0052225D" w:rsidRDefault="0052225D" w:rsidP="0052225D">
      <w:pPr>
        <w:pStyle w:val="Brdtekst"/>
        <w:ind w:left="851"/>
        <w:rPr>
          <w:sz w:val="24"/>
          <w:szCs w:val="24"/>
          <w:lang w:val="da-DK"/>
        </w:rPr>
      </w:pPr>
    </w:p>
    <w:p w14:paraId="3AE8741C" w14:textId="77777777" w:rsidR="0052225D" w:rsidRPr="0052225D" w:rsidRDefault="0052225D" w:rsidP="0052225D">
      <w:pPr>
        <w:ind w:left="851"/>
        <w:rPr>
          <w:i/>
          <w:sz w:val="24"/>
          <w:szCs w:val="24"/>
        </w:rPr>
      </w:pPr>
      <w:r w:rsidRPr="0052225D">
        <w:rPr>
          <w:i/>
          <w:sz w:val="24"/>
          <w:szCs w:val="24"/>
        </w:rPr>
        <w:t>Tabel 2: Væsentlige virkningsresultater for partielle anfald pr. 28 dage</w:t>
      </w: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7"/>
        <w:gridCol w:w="1217"/>
        <w:gridCol w:w="1524"/>
        <w:gridCol w:w="1526"/>
        <w:gridCol w:w="1524"/>
      </w:tblGrid>
      <w:tr w:rsidR="0052225D" w14:paraId="74395B23" w14:textId="77777777" w:rsidTr="0052225D">
        <w:trPr>
          <w:trHeight w:val="506"/>
        </w:trPr>
        <w:tc>
          <w:tcPr>
            <w:tcW w:w="3497" w:type="dxa"/>
            <w:vMerge w:val="restart"/>
            <w:tcBorders>
              <w:top w:val="single" w:sz="4" w:space="0" w:color="000000"/>
              <w:left w:val="single" w:sz="4" w:space="0" w:color="000000"/>
              <w:bottom w:val="single" w:sz="4" w:space="0" w:color="000000"/>
              <w:right w:val="single" w:sz="4" w:space="0" w:color="000000"/>
            </w:tcBorders>
            <w:hideMark/>
          </w:tcPr>
          <w:p w14:paraId="02BB2E84" w14:textId="77777777" w:rsidR="0052225D" w:rsidRDefault="0052225D" w:rsidP="0052225D">
            <w:pPr>
              <w:pStyle w:val="TableParagraph"/>
              <w:rPr>
                <w:b/>
              </w:rPr>
            </w:pPr>
            <w:r>
              <w:rPr>
                <w:b/>
              </w:rPr>
              <w:t>Studie</w:t>
            </w:r>
          </w:p>
        </w:tc>
        <w:tc>
          <w:tcPr>
            <w:tcW w:w="1217" w:type="dxa"/>
            <w:vMerge w:val="restart"/>
            <w:tcBorders>
              <w:top w:val="single" w:sz="4" w:space="0" w:color="000000"/>
              <w:left w:val="single" w:sz="4" w:space="0" w:color="000000"/>
              <w:bottom w:val="single" w:sz="4" w:space="0" w:color="000000"/>
              <w:right w:val="single" w:sz="4" w:space="0" w:color="000000"/>
            </w:tcBorders>
            <w:hideMark/>
          </w:tcPr>
          <w:p w14:paraId="61F43759" w14:textId="77777777" w:rsidR="0052225D" w:rsidRDefault="0052225D" w:rsidP="0052225D">
            <w:pPr>
              <w:pStyle w:val="TableParagraph"/>
              <w:ind w:left="242"/>
              <w:rPr>
                <w:b/>
              </w:rPr>
            </w:pPr>
            <w:r>
              <w:rPr>
                <w:b/>
              </w:rPr>
              <w:t>Placebo</w:t>
            </w:r>
          </w:p>
        </w:tc>
        <w:tc>
          <w:tcPr>
            <w:tcW w:w="4574" w:type="dxa"/>
            <w:gridSpan w:val="3"/>
            <w:tcBorders>
              <w:top w:val="single" w:sz="4" w:space="0" w:color="000000"/>
              <w:left w:val="single" w:sz="4" w:space="0" w:color="000000"/>
              <w:bottom w:val="single" w:sz="4" w:space="0" w:color="000000"/>
              <w:right w:val="single" w:sz="4" w:space="0" w:color="000000"/>
            </w:tcBorders>
            <w:hideMark/>
          </w:tcPr>
          <w:p w14:paraId="70FC306A" w14:textId="77777777" w:rsidR="0052225D" w:rsidRDefault="0052225D" w:rsidP="0052225D">
            <w:pPr>
              <w:pStyle w:val="TableParagraph"/>
              <w:spacing w:line="249" w:lineRule="exact"/>
              <w:ind w:left="1338"/>
              <w:jc w:val="center"/>
              <w:rPr>
                <w:b/>
                <w:lang w:val="da-DK"/>
              </w:rPr>
            </w:pPr>
            <w:r>
              <w:rPr>
                <w:b/>
                <w:lang w:val="da-DK"/>
              </w:rPr>
              <w:t>Brivaracetam</w:t>
            </w:r>
          </w:p>
          <w:p w14:paraId="15DA569C" w14:textId="77777777" w:rsidR="0052225D" w:rsidRDefault="0052225D" w:rsidP="0052225D">
            <w:pPr>
              <w:pStyle w:val="TableParagraph"/>
              <w:spacing w:line="158" w:lineRule="exact"/>
              <w:ind w:left="1338"/>
              <w:jc w:val="center"/>
              <w:rPr>
                <w:b/>
                <w:sz w:val="14"/>
                <w:lang w:val="da-DK"/>
              </w:rPr>
            </w:pPr>
            <w:r>
              <w:rPr>
                <w:sz w:val="14"/>
                <w:lang w:val="da-DK"/>
              </w:rPr>
              <w:t xml:space="preserve">* Statistisk signifikant </w:t>
            </w:r>
            <w:r>
              <w:rPr>
                <w:b/>
                <w:sz w:val="14"/>
                <w:lang w:val="da-DK"/>
              </w:rPr>
              <w:t>(p-værdi)</w:t>
            </w:r>
          </w:p>
        </w:tc>
      </w:tr>
      <w:tr w:rsidR="0052225D" w14:paraId="4CE78F2D" w14:textId="77777777" w:rsidTr="0052225D">
        <w:trPr>
          <w:trHeight w:val="251"/>
        </w:trPr>
        <w:tc>
          <w:tcPr>
            <w:tcW w:w="9288" w:type="dxa"/>
            <w:vMerge/>
            <w:tcBorders>
              <w:top w:val="single" w:sz="4" w:space="0" w:color="000000"/>
              <w:left w:val="single" w:sz="4" w:space="0" w:color="000000"/>
              <w:bottom w:val="single" w:sz="4" w:space="0" w:color="000000"/>
              <w:right w:val="single" w:sz="4" w:space="0" w:color="000000"/>
            </w:tcBorders>
            <w:vAlign w:val="center"/>
            <w:hideMark/>
          </w:tcPr>
          <w:p w14:paraId="576A3DF5" w14:textId="77777777" w:rsidR="0052225D" w:rsidRPr="0052225D" w:rsidRDefault="0052225D" w:rsidP="0052225D">
            <w:pPr>
              <w:rPr>
                <w:b/>
                <w:sz w:val="22"/>
                <w:szCs w:val="22"/>
              </w:rPr>
            </w:pPr>
          </w:p>
        </w:tc>
        <w:tc>
          <w:tcPr>
            <w:tcW w:w="1217" w:type="dxa"/>
            <w:vMerge/>
            <w:tcBorders>
              <w:top w:val="single" w:sz="4" w:space="0" w:color="000000"/>
              <w:left w:val="single" w:sz="4" w:space="0" w:color="000000"/>
              <w:bottom w:val="single" w:sz="4" w:space="0" w:color="000000"/>
              <w:right w:val="single" w:sz="4" w:space="0" w:color="000000"/>
            </w:tcBorders>
            <w:vAlign w:val="center"/>
            <w:hideMark/>
          </w:tcPr>
          <w:p w14:paraId="21D7BDBE" w14:textId="77777777" w:rsidR="0052225D" w:rsidRPr="0052225D" w:rsidRDefault="0052225D" w:rsidP="0052225D">
            <w:pPr>
              <w:rPr>
                <w:b/>
                <w:sz w:val="22"/>
                <w:szCs w:val="22"/>
              </w:rPr>
            </w:pPr>
          </w:p>
        </w:tc>
        <w:tc>
          <w:tcPr>
            <w:tcW w:w="1524" w:type="dxa"/>
            <w:tcBorders>
              <w:top w:val="single" w:sz="4" w:space="0" w:color="000000"/>
              <w:left w:val="single" w:sz="4" w:space="0" w:color="000000"/>
              <w:bottom w:val="single" w:sz="4" w:space="0" w:color="000000"/>
              <w:right w:val="single" w:sz="4" w:space="0" w:color="000000"/>
            </w:tcBorders>
            <w:hideMark/>
          </w:tcPr>
          <w:p w14:paraId="6C96DE6A" w14:textId="77777777" w:rsidR="0052225D" w:rsidRDefault="0052225D" w:rsidP="0052225D">
            <w:pPr>
              <w:pStyle w:val="TableParagraph"/>
              <w:spacing w:line="232" w:lineRule="exact"/>
              <w:ind w:left="201"/>
              <w:jc w:val="center"/>
              <w:rPr>
                <w:b/>
              </w:rPr>
            </w:pPr>
            <w:r>
              <w:rPr>
                <w:b/>
              </w:rPr>
              <w:t>50 mg/dag</w:t>
            </w:r>
          </w:p>
        </w:tc>
        <w:tc>
          <w:tcPr>
            <w:tcW w:w="1526" w:type="dxa"/>
            <w:tcBorders>
              <w:top w:val="single" w:sz="4" w:space="0" w:color="000000"/>
              <w:left w:val="single" w:sz="4" w:space="0" w:color="000000"/>
              <w:bottom w:val="single" w:sz="4" w:space="0" w:color="000000"/>
              <w:right w:val="single" w:sz="4" w:space="0" w:color="000000"/>
            </w:tcBorders>
            <w:hideMark/>
          </w:tcPr>
          <w:p w14:paraId="72DF71C7" w14:textId="77777777" w:rsidR="0052225D" w:rsidRDefault="0052225D" w:rsidP="0052225D">
            <w:pPr>
              <w:pStyle w:val="TableParagraph"/>
              <w:spacing w:line="232" w:lineRule="exact"/>
              <w:ind w:left="203"/>
              <w:jc w:val="center"/>
              <w:rPr>
                <w:b/>
              </w:rPr>
            </w:pPr>
            <w:r>
              <w:rPr>
                <w:b/>
              </w:rPr>
              <w:t>100 mg/dag</w:t>
            </w:r>
          </w:p>
        </w:tc>
        <w:tc>
          <w:tcPr>
            <w:tcW w:w="1524" w:type="dxa"/>
            <w:tcBorders>
              <w:top w:val="single" w:sz="4" w:space="0" w:color="000000"/>
              <w:left w:val="single" w:sz="4" w:space="0" w:color="000000"/>
              <w:bottom w:val="single" w:sz="4" w:space="0" w:color="000000"/>
              <w:right w:val="single" w:sz="4" w:space="0" w:color="000000"/>
            </w:tcBorders>
            <w:hideMark/>
          </w:tcPr>
          <w:p w14:paraId="011CE771" w14:textId="77777777" w:rsidR="0052225D" w:rsidRDefault="0052225D" w:rsidP="0052225D">
            <w:pPr>
              <w:pStyle w:val="TableParagraph"/>
              <w:spacing w:line="232" w:lineRule="exact"/>
              <w:ind w:left="201"/>
              <w:jc w:val="center"/>
              <w:rPr>
                <w:b/>
              </w:rPr>
            </w:pPr>
            <w:r>
              <w:rPr>
                <w:b/>
              </w:rPr>
              <w:t>200 mg/dag</w:t>
            </w:r>
          </w:p>
        </w:tc>
      </w:tr>
      <w:tr w:rsidR="0052225D" w14:paraId="5FE57BED" w14:textId="77777777" w:rsidTr="0052225D">
        <w:trPr>
          <w:trHeight w:val="253"/>
        </w:trPr>
        <w:tc>
          <w:tcPr>
            <w:tcW w:w="9288" w:type="dxa"/>
            <w:gridSpan w:val="5"/>
            <w:tcBorders>
              <w:top w:val="single" w:sz="4" w:space="0" w:color="000000"/>
              <w:left w:val="single" w:sz="4" w:space="0" w:color="000000"/>
              <w:bottom w:val="single" w:sz="4" w:space="0" w:color="000000"/>
              <w:right w:val="single" w:sz="4" w:space="0" w:color="000000"/>
            </w:tcBorders>
            <w:hideMark/>
          </w:tcPr>
          <w:p w14:paraId="6A6C82DE" w14:textId="77777777" w:rsidR="0052225D" w:rsidRDefault="0052225D" w:rsidP="0052225D">
            <w:pPr>
              <w:pStyle w:val="TableParagraph"/>
              <w:spacing w:line="234" w:lineRule="exact"/>
              <w:rPr>
                <w:b/>
                <w:sz w:val="14"/>
              </w:rPr>
            </w:pPr>
            <w:r>
              <w:rPr>
                <w:b/>
              </w:rPr>
              <w:t>Studie N01253</w:t>
            </w:r>
            <w:r>
              <w:rPr>
                <w:b/>
                <w:position w:val="8"/>
                <w:sz w:val="14"/>
              </w:rPr>
              <w:t>(1)</w:t>
            </w:r>
          </w:p>
        </w:tc>
      </w:tr>
      <w:tr w:rsidR="0052225D" w14:paraId="1DD74219" w14:textId="77777777" w:rsidTr="0052225D">
        <w:trPr>
          <w:trHeight w:val="253"/>
        </w:trPr>
        <w:tc>
          <w:tcPr>
            <w:tcW w:w="3497" w:type="dxa"/>
            <w:tcBorders>
              <w:top w:val="single" w:sz="4" w:space="0" w:color="000000"/>
              <w:left w:val="single" w:sz="4" w:space="0" w:color="000000"/>
              <w:bottom w:val="single" w:sz="4" w:space="0" w:color="000000"/>
              <w:right w:val="single" w:sz="4" w:space="0" w:color="000000"/>
            </w:tcBorders>
          </w:tcPr>
          <w:p w14:paraId="01D027EA" w14:textId="77777777" w:rsidR="0052225D" w:rsidRDefault="0052225D" w:rsidP="0052225D">
            <w:pPr>
              <w:pStyle w:val="TableParagraph"/>
              <w:spacing w:line="240" w:lineRule="auto"/>
              <w:ind w:left="0"/>
              <w:rPr>
                <w:sz w:val="18"/>
              </w:rPr>
            </w:pPr>
          </w:p>
        </w:tc>
        <w:tc>
          <w:tcPr>
            <w:tcW w:w="1217" w:type="dxa"/>
            <w:tcBorders>
              <w:top w:val="single" w:sz="4" w:space="0" w:color="000000"/>
              <w:left w:val="single" w:sz="4" w:space="0" w:color="000000"/>
              <w:bottom w:val="single" w:sz="4" w:space="0" w:color="000000"/>
              <w:right w:val="single" w:sz="4" w:space="0" w:color="000000"/>
            </w:tcBorders>
            <w:hideMark/>
          </w:tcPr>
          <w:p w14:paraId="2997F64E" w14:textId="77777777" w:rsidR="0052225D" w:rsidRDefault="0052225D" w:rsidP="0052225D">
            <w:pPr>
              <w:pStyle w:val="TableParagraph"/>
              <w:spacing w:line="234" w:lineRule="exact"/>
              <w:ind w:left="382"/>
            </w:pPr>
            <w:r>
              <w:t>n=96</w:t>
            </w:r>
          </w:p>
        </w:tc>
        <w:tc>
          <w:tcPr>
            <w:tcW w:w="1524" w:type="dxa"/>
            <w:tcBorders>
              <w:top w:val="single" w:sz="4" w:space="0" w:color="000000"/>
              <w:left w:val="single" w:sz="4" w:space="0" w:color="000000"/>
              <w:bottom w:val="single" w:sz="4" w:space="0" w:color="000000"/>
              <w:right w:val="single" w:sz="4" w:space="0" w:color="000000"/>
            </w:tcBorders>
            <w:hideMark/>
          </w:tcPr>
          <w:p w14:paraId="45D0CDF4" w14:textId="77777777" w:rsidR="0052225D" w:rsidRDefault="0052225D" w:rsidP="0052225D">
            <w:pPr>
              <w:pStyle w:val="TableParagraph"/>
              <w:spacing w:line="234" w:lineRule="exact"/>
              <w:ind w:left="201"/>
              <w:jc w:val="center"/>
            </w:pPr>
            <w:r>
              <w:t>n=101</w:t>
            </w:r>
          </w:p>
        </w:tc>
        <w:tc>
          <w:tcPr>
            <w:tcW w:w="1526" w:type="dxa"/>
            <w:tcBorders>
              <w:top w:val="single" w:sz="4" w:space="0" w:color="000000"/>
              <w:left w:val="single" w:sz="4" w:space="0" w:color="000000"/>
              <w:bottom w:val="single" w:sz="4" w:space="0" w:color="000000"/>
              <w:right w:val="single" w:sz="4" w:space="0" w:color="000000"/>
            </w:tcBorders>
          </w:tcPr>
          <w:p w14:paraId="7679DC49" w14:textId="77777777" w:rsidR="0052225D" w:rsidRDefault="0052225D" w:rsidP="0052225D">
            <w:pPr>
              <w:pStyle w:val="TableParagraph"/>
              <w:spacing w:line="240" w:lineRule="auto"/>
              <w:ind w:left="0"/>
              <w:rPr>
                <w:sz w:val="18"/>
              </w:rPr>
            </w:pPr>
          </w:p>
        </w:tc>
        <w:tc>
          <w:tcPr>
            <w:tcW w:w="1524" w:type="dxa"/>
            <w:tcBorders>
              <w:top w:val="single" w:sz="4" w:space="0" w:color="000000"/>
              <w:left w:val="single" w:sz="4" w:space="0" w:color="000000"/>
              <w:bottom w:val="single" w:sz="4" w:space="0" w:color="000000"/>
              <w:right w:val="single" w:sz="4" w:space="0" w:color="000000"/>
            </w:tcBorders>
          </w:tcPr>
          <w:p w14:paraId="3C04C3C5" w14:textId="77777777" w:rsidR="0052225D" w:rsidRDefault="0052225D" w:rsidP="0052225D">
            <w:pPr>
              <w:pStyle w:val="TableParagraph"/>
              <w:spacing w:line="240" w:lineRule="auto"/>
              <w:ind w:left="0"/>
              <w:rPr>
                <w:sz w:val="18"/>
              </w:rPr>
            </w:pPr>
          </w:p>
        </w:tc>
      </w:tr>
      <w:tr w:rsidR="0052225D" w14:paraId="4FEF1BF1" w14:textId="77777777" w:rsidTr="0052225D">
        <w:trPr>
          <w:trHeight w:val="506"/>
        </w:trPr>
        <w:tc>
          <w:tcPr>
            <w:tcW w:w="3497" w:type="dxa"/>
            <w:tcBorders>
              <w:top w:val="single" w:sz="4" w:space="0" w:color="000000"/>
              <w:left w:val="single" w:sz="4" w:space="0" w:color="000000"/>
              <w:bottom w:val="single" w:sz="4" w:space="0" w:color="000000"/>
              <w:right w:val="single" w:sz="4" w:space="0" w:color="000000"/>
            </w:tcBorders>
            <w:hideMark/>
          </w:tcPr>
          <w:p w14:paraId="660F7147" w14:textId="77777777" w:rsidR="0052225D" w:rsidRDefault="0052225D" w:rsidP="0052225D">
            <w:pPr>
              <w:pStyle w:val="TableParagraph"/>
            </w:pPr>
            <w:r>
              <w:t>50 % responsrate</w:t>
            </w:r>
          </w:p>
        </w:tc>
        <w:tc>
          <w:tcPr>
            <w:tcW w:w="1217" w:type="dxa"/>
            <w:tcBorders>
              <w:top w:val="single" w:sz="4" w:space="0" w:color="000000"/>
              <w:left w:val="single" w:sz="4" w:space="0" w:color="000000"/>
              <w:bottom w:val="single" w:sz="4" w:space="0" w:color="000000"/>
              <w:right w:val="single" w:sz="4" w:space="0" w:color="000000"/>
            </w:tcBorders>
            <w:hideMark/>
          </w:tcPr>
          <w:p w14:paraId="79799378" w14:textId="77777777" w:rsidR="0052225D" w:rsidRDefault="0052225D" w:rsidP="0052225D">
            <w:pPr>
              <w:pStyle w:val="TableParagraph"/>
              <w:ind w:left="418"/>
            </w:pPr>
            <w:r>
              <w:t>16,7</w:t>
            </w:r>
          </w:p>
        </w:tc>
        <w:tc>
          <w:tcPr>
            <w:tcW w:w="1524" w:type="dxa"/>
            <w:tcBorders>
              <w:top w:val="single" w:sz="4" w:space="0" w:color="000000"/>
              <w:left w:val="single" w:sz="4" w:space="0" w:color="000000"/>
              <w:bottom w:val="single" w:sz="4" w:space="0" w:color="000000"/>
              <w:right w:val="single" w:sz="4" w:space="0" w:color="000000"/>
            </w:tcBorders>
            <w:hideMark/>
          </w:tcPr>
          <w:p w14:paraId="481B6B43" w14:textId="77777777" w:rsidR="0052225D" w:rsidRDefault="0052225D" w:rsidP="0052225D">
            <w:pPr>
              <w:pStyle w:val="TableParagraph"/>
              <w:spacing w:line="249" w:lineRule="exact"/>
              <w:ind w:left="199"/>
              <w:jc w:val="center"/>
              <w:rPr>
                <w:sz w:val="14"/>
              </w:rPr>
            </w:pPr>
            <w:r>
              <w:t>32,7</w:t>
            </w:r>
            <w:r>
              <w:rPr>
                <w:position w:val="8"/>
                <w:sz w:val="14"/>
              </w:rPr>
              <w:t>*</w:t>
            </w:r>
          </w:p>
          <w:p w14:paraId="5EEECF2A" w14:textId="77777777" w:rsidR="0052225D" w:rsidRDefault="0052225D" w:rsidP="0052225D">
            <w:pPr>
              <w:pStyle w:val="TableParagraph"/>
              <w:spacing w:line="158" w:lineRule="exact"/>
              <w:ind w:left="197"/>
              <w:jc w:val="center"/>
              <w:rPr>
                <w:sz w:val="14"/>
              </w:rPr>
            </w:pPr>
            <w:r>
              <w:rPr>
                <w:sz w:val="14"/>
              </w:rPr>
              <w:t>(p=0,008)</w:t>
            </w:r>
          </w:p>
        </w:tc>
        <w:tc>
          <w:tcPr>
            <w:tcW w:w="1526" w:type="dxa"/>
            <w:tcBorders>
              <w:top w:val="single" w:sz="4" w:space="0" w:color="000000"/>
              <w:left w:val="single" w:sz="4" w:space="0" w:color="000000"/>
              <w:bottom w:val="single" w:sz="4" w:space="0" w:color="000000"/>
              <w:right w:val="single" w:sz="4" w:space="0" w:color="000000"/>
            </w:tcBorders>
            <w:hideMark/>
          </w:tcPr>
          <w:p w14:paraId="0A8E78B2" w14:textId="77777777" w:rsidR="0052225D" w:rsidRDefault="0052225D" w:rsidP="0052225D">
            <w:pPr>
              <w:pStyle w:val="TableParagraph"/>
              <w:ind w:left="6"/>
              <w:jc w:val="center"/>
            </w:pPr>
            <w:r>
              <w:t>~</w:t>
            </w:r>
          </w:p>
        </w:tc>
        <w:tc>
          <w:tcPr>
            <w:tcW w:w="1524" w:type="dxa"/>
            <w:tcBorders>
              <w:top w:val="single" w:sz="4" w:space="0" w:color="000000"/>
              <w:left w:val="single" w:sz="4" w:space="0" w:color="000000"/>
              <w:bottom w:val="single" w:sz="4" w:space="0" w:color="000000"/>
              <w:right w:val="single" w:sz="4" w:space="0" w:color="000000"/>
            </w:tcBorders>
            <w:hideMark/>
          </w:tcPr>
          <w:p w14:paraId="16B8F080" w14:textId="77777777" w:rsidR="0052225D" w:rsidRDefault="0052225D" w:rsidP="0052225D">
            <w:pPr>
              <w:pStyle w:val="TableParagraph"/>
              <w:ind w:left="5"/>
              <w:jc w:val="center"/>
            </w:pPr>
            <w:r>
              <w:t>~</w:t>
            </w:r>
          </w:p>
        </w:tc>
      </w:tr>
      <w:tr w:rsidR="0052225D" w14:paraId="3DEFF402" w14:textId="77777777" w:rsidTr="0052225D">
        <w:trPr>
          <w:trHeight w:val="505"/>
        </w:trPr>
        <w:tc>
          <w:tcPr>
            <w:tcW w:w="3497" w:type="dxa"/>
            <w:vMerge w:val="restart"/>
            <w:tcBorders>
              <w:top w:val="single" w:sz="4" w:space="0" w:color="000000"/>
              <w:left w:val="single" w:sz="4" w:space="0" w:color="000000"/>
              <w:bottom w:val="single" w:sz="4" w:space="0" w:color="000000"/>
              <w:right w:val="single" w:sz="4" w:space="0" w:color="000000"/>
            </w:tcBorders>
            <w:hideMark/>
          </w:tcPr>
          <w:p w14:paraId="230FC44B" w14:textId="77777777" w:rsidR="0052225D" w:rsidRDefault="0052225D" w:rsidP="0052225D">
            <w:pPr>
              <w:pStyle w:val="TableParagraph"/>
              <w:spacing w:line="248" w:lineRule="exact"/>
              <w:rPr>
                <w:b/>
              </w:rPr>
            </w:pPr>
            <w:r>
              <w:rPr>
                <w:b/>
              </w:rPr>
              <w:t>Studie</w:t>
            </w:r>
          </w:p>
        </w:tc>
        <w:tc>
          <w:tcPr>
            <w:tcW w:w="1217" w:type="dxa"/>
            <w:vMerge w:val="restart"/>
            <w:tcBorders>
              <w:top w:val="single" w:sz="4" w:space="0" w:color="000000"/>
              <w:left w:val="single" w:sz="4" w:space="0" w:color="000000"/>
              <w:bottom w:val="single" w:sz="4" w:space="0" w:color="000000"/>
              <w:right w:val="single" w:sz="4" w:space="0" w:color="000000"/>
            </w:tcBorders>
            <w:hideMark/>
          </w:tcPr>
          <w:p w14:paraId="2EEA3F9F" w14:textId="77777777" w:rsidR="0052225D" w:rsidRDefault="0052225D" w:rsidP="0052225D">
            <w:pPr>
              <w:pStyle w:val="TableParagraph"/>
              <w:spacing w:line="248" w:lineRule="exact"/>
              <w:ind w:left="242"/>
              <w:rPr>
                <w:b/>
              </w:rPr>
            </w:pPr>
            <w:r>
              <w:rPr>
                <w:b/>
              </w:rPr>
              <w:t>Placebo</w:t>
            </w:r>
          </w:p>
        </w:tc>
        <w:tc>
          <w:tcPr>
            <w:tcW w:w="4574" w:type="dxa"/>
            <w:gridSpan w:val="3"/>
            <w:tcBorders>
              <w:top w:val="single" w:sz="4" w:space="0" w:color="000000"/>
              <w:left w:val="single" w:sz="4" w:space="0" w:color="000000"/>
              <w:bottom w:val="single" w:sz="4" w:space="0" w:color="000000"/>
              <w:right w:val="single" w:sz="4" w:space="0" w:color="000000"/>
            </w:tcBorders>
            <w:hideMark/>
          </w:tcPr>
          <w:p w14:paraId="6B979073" w14:textId="77777777" w:rsidR="0052225D" w:rsidRDefault="0052225D" w:rsidP="0052225D">
            <w:pPr>
              <w:pStyle w:val="TableParagraph"/>
              <w:spacing w:line="245" w:lineRule="exact"/>
              <w:ind w:left="1338"/>
              <w:jc w:val="center"/>
              <w:rPr>
                <w:b/>
                <w:lang w:val="da-DK"/>
              </w:rPr>
            </w:pPr>
            <w:r>
              <w:rPr>
                <w:b/>
                <w:lang w:val="da-DK"/>
              </w:rPr>
              <w:t>Brivaracetam</w:t>
            </w:r>
          </w:p>
          <w:p w14:paraId="308D75E1" w14:textId="77777777" w:rsidR="0052225D" w:rsidRDefault="0052225D" w:rsidP="0052225D">
            <w:pPr>
              <w:pStyle w:val="TableParagraph"/>
              <w:spacing w:line="158" w:lineRule="exact"/>
              <w:ind w:left="1338"/>
              <w:jc w:val="center"/>
              <w:rPr>
                <w:b/>
                <w:sz w:val="14"/>
                <w:lang w:val="da-DK"/>
              </w:rPr>
            </w:pPr>
            <w:r>
              <w:rPr>
                <w:sz w:val="14"/>
                <w:lang w:val="da-DK"/>
              </w:rPr>
              <w:t xml:space="preserve">* Statistisk signifikant </w:t>
            </w:r>
            <w:r>
              <w:rPr>
                <w:b/>
                <w:sz w:val="14"/>
                <w:lang w:val="da-DK"/>
              </w:rPr>
              <w:t>(p-værdi)</w:t>
            </w:r>
          </w:p>
        </w:tc>
      </w:tr>
      <w:tr w:rsidR="0052225D" w14:paraId="352ED9AE" w14:textId="77777777" w:rsidTr="0052225D">
        <w:trPr>
          <w:trHeight w:val="254"/>
        </w:trPr>
        <w:tc>
          <w:tcPr>
            <w:tcW w:w="9288" w:type="dxa"/>
            <w:vMerge/>
            <w:tcBorders>
              <w:top w:val="single" w:sz="4" w:space="0" w:color="000000"/>
              <w:left w:val="single" w:sz="4" w:space="0" w:color="000000"/>
              <w:bottom w:val="single" w:sz="4" w:space="0" w:color="000000"/>
              <w:right w:val="single" w:sz="4" w:space="0" w:color="000000"/>
            </w:tcBorders>
            <w:vAlign w:val="center"/>
            <w:hideMark/>
          </w:tcPr>
          <w:p w14:paraId="3970BE34" w14:textId="77777777" w:rsidR="0052225D" w:rsidRPr="0052225D" w:rsidRDefault="0052225D" w:rsidP="0052225D">
            <w:pPr>
              <w:rPr>
                <w:b/>
                <w:sz w:val="22"/>
                <w:szCs w:val="22"/>
              </w:rPr>
            </w:pPr>
          </w:p>
        </w:tc>
        <w:tc>
          <w:tcPr>
            <w:tcW w:w="1217" w:type="dxa"/>
            <w:vMerge/>
            <w:tcBorders>
              <w:top w:val="single" w:sz="4" w:space="0" w:color="000000"/>
              <w:left w:val="single" w:sz="4" w:space="0" w:color="000000"/>
              <w:bottom w:val="single" w:sz="4" w:space="0" w:color="000000"/>
              <w:right w:val="single" w:sz="4" w:space="0" w:color="000000"/>
            </w:tcBorders>
            <w:vAlign w:val="center"/>
            <w:hideMark/>
          </w:tcPr>
          <w:p w14:paraId="353DA3B0" w14:textId="77777777" w:rsidR="0052225D" w:rsidRPr="0052225D" w:rsidRDefault="0052225D" w:rsidP="0052225D">
            <w:pPr>
              <w:rPr>
                <w:b/>
                <w:sz w:val="22"/>
                <w:szCs w:val="22"/>
              </w:rPr>
            </w:pPr>
          </w:p>
        </w:tc>
        <w:tc>
          <w:tcPr>
            <w:tcW w:w="1524" w:type="dxa"/>
            <w:tcBorders>
              <w:top w:val="single" w:sz="4" w:space="0" w:color="000000"/>
              <w:left w:val="single" w:sz="4" w:space="0" w:color="000000"/>
              <w:bottom w:val="single" w:sz="4" w:space="0" w:color="000000"/>
              <w:right w:val="single" w:sz="4" w:space="0" w:color="000000"/>
            </w:tcBorders>
            <w:hideMark/>
          </w:tcPr>
          <w:p w14:paraId="18BD65C4" w14:textId="77777777" w:rsidR="0052225D" w:rsidRDefault="0052225D" w:rsidP="0052225D">
            <w:pPr>
              <w:pStyle w:val="TableParagraph"/>
              <w:spacing w:line="234" w:lineRule="exact"/>
              <w:ind w:left="201"/>
              <w:jc w:val="center"/>
              <w:rPr>
                <w:b/>
              </w:rPr>
            </w:pPr>
            <w:r>
              <w:rPr>
                <w:b/>
              </w:rPr>
              <w:t>50 mg/dag</w:t>
            </w:r>
          </w:p>
        </w:tc>
        <w:tc>
          <w:tcPr>
            <w:tcW w:w="1526" w:type="dxa"/>
            <w:tcBorders>
              <w:top w:val="single" w:sz="4" w:space="0" w:color="000000"/>
              <w:left w:val="single" w:sz="4" w:space="0" w:color="000000"/>
              <w:bottom w:val="single" w:sz="4" w:space="0" w:color="000000"/>
              <w:right w:val="single" w:sz="4" w:space="0" w:color="000000"/>
            </w:tcBorders>
            <w:hideMark/>
          </w:tcPr>
          <w:p w14:paraId="34F5C6FA" w14:textId="77777777" w:rsidR="0052225D" w:rsidRDefault="0052225D" w:rsidP="0052225D">
            <w:pPr>
              <w:pStyle w:val="TableParagraph"/>
              <w:spacing w:line="234" w:lineRule="exact"/>
              <w:ind w:left="203"/>
              <w:jc w:val="center"/>
              <w:rPr>
                <w:b/>
              </w:rPr>
            </w:pPr>
            <w:r>
              <w:rPr>
                <w:b/>
              </w:rPr>
              <w:t>100 mg/dag</w:t>
            </w:r>
          </w:p>
        </w:tc>
        <w:tc>
          <w:tcPr>
            <w:tcW w:w="1524" w:type="dxa"/>
            <w:tcBorders>
              <w:top w:val="single" w:sz="4" w:space="0" w:color="000000"/>
              <w:left w:val="single" w:sz="4" w:space="0" w:color="000000"/>
              <w:bottom w:val="single" w:sz="4" w:space="0" w:color="000000"/>
              <w:right w:val="single" w:sz="4" w:space="0" w:color="000000"/>
            </w:tcBorders>
            <w:hideMark/>
          </w:tcPr>
          <w:p w14:paraId="53DF3631" w14:textId="77777777" w:rsidR="0052225D" w:rsidRDefault="0052225D" w:rsidP="0052225D">
            <w:pPr>
              <w:pStyle w:val="TableParagraph"/>
              <w:spacing w:line="234" w:lineRule="exact"/>
              <w:ind w:left="201"/>
              <w:jc w:val="center"/>
              <w:rPr>
                <w:b/>
              </w:rPr>
            </w:pPr>
            <w:r>
              <w:rPr>
                <w:b/>
              </w:rPr>
              <w:t>200 mg/dag</w:t>
            </w:r>
          </w:p>
        </w:tc>
      </w:tr>
      <w:tr w:rsidR="0052225D" w14:paraId="0FEF6561" w14:textId="77777777" w:rsidTr="0052225D">
        <w:trPr>
          <w:trHeight w:val="505"/>
        </w:trPr>
        <w:tc>
          <w:tcPr>
            <w:tcW w:w="3497" w:type="dxa"/>
            <w:tcBorders>
              <w:top w:val="single" w:sz="4" w:space="0" w:color="000000"/>
              <w:left w:val="single" w:sz="4" w:space="0" w:color="000000"/>
              <w:bottom w:val="single" w:sz="4" w:space="0" w:color="000000"/>
              <w:right w:val="single" w:sz="4" w:space="0" w:color="000000"/>
            </w:tcBorders>
            <w:hideMark/>
          </w:tcPr>
          <w:p w14:paraId="6161C6EB" w14:textId="77777777" w:rsidR="0052225D" w:rsidRDefault="0052225D" w:rsidP="0052225D">
            <w:pPr>
              <w:pStyle w:val="TableParagraph"/>
              <w:spacing w:line="246" w:lineRule="exact"/>
              <w:rPr>
                <w:lang w:val="da-DK"/>
              </w:rPr>
            </w:pPr>
            <w:r>
              <w:rPr>
                <w:lang w:val="da-DK"/>
              </w:rPr>
              <w:t>Procentvis reduktion i forhold til</w:t>
            </w:r>
          </w:p>
          <w:p w14:paraId="7F1915FC" w14:textId="77777777" w:rsidR="0052225D" w:rsidRDefault="0052225D" w:rsidP="0052225D">
            <w:pPr>
              <w:pStyle w:val="TableParagraph"/>
              <w:spacing w:before="1" w:line="239" w:lineRule="exact"/>
              <w:rPr>
                <w:lang w:val="da-DK"/>
              </w:rPr>
            </w:pPr>
            <w:r>
              <w:rPr>
                <w:lang w:val="da-DK"/>
              </w:rPr>
              <w:t>placebo (%)</w:t>
            </w:r>
          </w:p>
        </w:tc>
        <w:tc>
          <w:tcPr>
            <w:tcW w:w="1217" w:type="dxa"/>
            <w:tcBorders>
              <w:top w:val="single" w:sz="4" w:space="0" w:color="000000"/>
              <w:left w:val="single" w:sz="4" w:space="0" w:color="000000"/>
              <w:bottom w:val="single" w:sz="4" w:space="0" w:color="000000"/>
              <w:right w:val="single" w:sz="4" w:space="0" w:color="000000"/>
            </w:tcBorders>
            <w:hideMark/>
          </w:tcPr>
          <w:p w14:paraId="006D64FA" w14:textId="77777777" w:rsidR="0052225D" w:rsidRDefault="0052225D" w:rsidP="0052225D">
            <w:pPr>
              <w:pStyle w:val="TableParagraph"/>
              <w:spacing w:line="246" w:lineRule="exact"/>
              <w:ind w:left="307"/>
              <w:jc w:val="center"/>
            </w:pPr>
            <w:r>
              <w:t>NA</w:t>
            </w:r>
          </w:p>
        </w:tc>
        <w:tc>
          <w:tcPr>
            <w:tcW w:w="1524" w:type="dxa"/>
            <w:tcBorders>
              <w:top w:val="single" w:sz="4" w:space="0" w:color="000000"/>
              <w:left w:val="single" w:sz="4" w:space="0" w:color="000000"/>
              <w:bottom w:val="single" w:sz="4" w:space="0" w:color="000000"/>
              <w:right w:val="single" w:sz="4" w:space="0" w:color="000000"/>
            </w:tcBorders>
            <w:hideMark/>
          </w:tcPr>
          <w:p w14:paraId="7FC78B2E" w14:textId="77777777" w:rsidR="0052225D" w:rsidRDefault="0052225D" w:rsidP="0052225D">
            <w:pPr>
              <w:pStyle w:val="TableParagraph"/>
              <w:spacing w:line="244" w:lineRule="exact"/>
              <w:ind w:left="199"/>
              <w:jc w:val="center"/>
              <w:rPr>
                <w:sz w:val="14"/>
              </w:rPr>
            </w:pPr>
            <w:r>
              <w:t>22,0</w:t>
            </w:r>
            <w:r>
              <w:rPr>
                <w:position w:val="8"/>
                <w:sz w:val="14"/>
              </w:rPr>
              <w:t>*</w:t>
            </w:r>
          </w:p>
          <w:p w14:paraId="2533650A" w14:textId="77777777" w:rsidR="0052225D" w:rsidRDefault="0052225D" w:rsidP="0052225D">
            <w:pPr>
              <w:pStyle w:val="TableParagraph"/>
              <w:spacing w:line="159" w:lineRule="exact"/>
              <w:ind w:left="197"/>
              <w:jc w:val="center"/>
              <w:rPr>
                <w:sz w:val="14"/>
              </w:rPr>
            </w:pPr>
            <w:r>
              <w:rPr>
                <w:sz w:val="14"/>
              </w:rPr>
              <w:t>(p=0,004)</w:t>
            </w:r>
          </w:p>
        </w:tc>
        <w:tc>
          <w:tcPr>
            <w:tcW w:w="1526" w:type="dxa"/>
            <w:tcBorders>
              <w:top w:val="single" w:sz="4" w:space="0" w:color="000000"/>
              <w:left w:val="single" w:sz="4" w:space="0" w:color="000000"/>
              <w:bottom w:val="single" w:sz="4" w:space="0" w:color="000000"/>
              <w:right w:val="single" w:sz="4" w:space="0" w:color="000000"/>
            </w:tcBorders>
            <w:hideMark/>
          </w:tcPr>
          <w:p w14:paraId="3FB80347" w14:textId="77777777" w:rsidR="0052225D" w:rsidRDefault="0052225D" w:rsidP="0052225D">
            <w:pPr>
              <w:pStyle w:val="TableParagraph"/>
              <w:spacing w:line="246" w:lineRule="exact"/>
              <w:ind w:left="6"/>
              <w:jc w:val="center"/>
            </w:pPr>
            <w:r>
              <w:t>~</w:t>
            </w:r>
          </w:p>
        </w:tc>
        <w:tc>
          <w:tcPr>
            <w:tcW w:w="1524" w:type="dxa"/>
            <w:tcBorders>
              <w:top w:val="single" w:sz="4" w:space="0" w:color="000000"/>
              <w:left w:val="single" w:sz="4" w:space="0" w:color="000000"/>
              <w:bottom w:val="single" w:sz="4" w:space="0" w:color="000000"/>
              <w:right w:val="single" w:sz="4" w:space="0" w:color="000000"/>
            </w:tcBorders>
            <w:hideMark/>
          </w:tcPr>
          <w:p w14:paraId="1162A20C" w14:textId="77777777" w:rsidR="0052225D" w:rsidRDefault="0052225D" w:rsidP="0052225D">
            <w:pPr>
              <w:pStyle w:val="TableParagraph"/>
              <w:spacing w:line="246" w:lineRule="exact"/>
              <w:ind w:left="5"/>
              <w:jc w:val="center"/>
            </w:pPr>
            <w:r>
              <w:t>~</w:t>
            </w:r>
          </w:p>
        </w:tc>
      </w:tr>
      <w:tr w:rsidR="0052225D" w14:paraId="191AC710" w14:textId="77777777" w:rsidTr="0052225D">
        <w:trPr>
          <w:trHeight w:val="254"/>
        </w:trPr>
        <w:tc>
          <w:tcPr>
            <w:tcW w:w="9288" w:type="dxa"/>
            <w:gridSpan w:val="5"/>
            <w:tcBorders>
              <w:top w:val="single" w:sz="4" w:space="0" w:color="000000"/>
              <w:left w:val="single" w:sz="4" w:space="0" w:color="000000"/>
              <w:bottom w:val="single" w:sz="4" w:space="0" w:color="000000"/>
              <w:right w:val="single" w:sz="4" w:space="0" w:color="000000"/>
            </w:tcBorders>
            <w:hideMark/>
          </w:tcPr>
          <w:p w14:paraId="6E10E47F" w14:textId="77777777" w:rsidR="0052225D" w:rsidRDefault="0052225D" w:rsidP="0052225D">
            <w:pPr>
              <w:pStyle w:val="TableParagraph"/>
              <w:spacing w:line="234" w:lineRule="exact"/>
              <w:rPr>
                <w:sz w:val="14"/>
              </w:rPr>
            </w:pPr>
            <w:r>
              <w:rPr>
                <w:b/>
              </w:rPr>
              <w:t>Studie N01252</w:t>
            </w:r>
            <w:r>
              <w:rPr>
                <w:position w:val="8"/>
                <w:sz w:val="14"/>
              </w:rPr>
              <w:t>(1)</w:t>
            </w:r>
          </w:p>
        </w:tc>
      </w:tr>
      <w:tr w:rsidR="0052225D" w14:paraId="7D0D53DB" w14:textId="77777777" w:rsidTr="0052225D">
        <w:trPr>
          <w:trHeight w:val="251"/>
        </w:trPr>
        <w:tc>
          <w:tcPr>
            <w:tcW w:w="3497" w:type="dxa"/>
            <w:tcBorders>
              <w:top w:val="single" w:sz="4" w:space="0" w:color="000000"/>
              <w:left w:val="single" w:sz="4" w:space="0" w:color="000000"/>
              <w:bottom w:val="single" w:sz="4" w:space="0" w:color="000000"/>
              <w:right w:val="single" w:sz="4" w:space="0" w:color="000000"/>
            </w:tcBorders>
          </w:tcPr>
          <w:p w14:paraId="33536C15" w14:textId="77777777" w:rsidR="0052225D" w:rsidRDefault="0052225D" w:rsidP="0052225D">
            <w:pPr>
              <w:pStyle w:val="TableParagraph"/>
              <w:spacing w:line="240" w:lineRule="auto"/>
              <w:ind w:left="0"/>
              <w:rPr>
                <w:sz w:val="18"/>
              </w:rPr>
            </w:pPr>
          </w:p>
        </w:tc>
        <w:tc>
          <w:tcPr>
            <w:tcW w:w="1217" w:type="dxa"/>
            <w:tcBorders>
              <w:top w:val="single" w:sz="4" w:space="0" w:color="000000"/>
              <w:left w:val="single" w:sz="4" w:space="0" w:color="000000"/>
              <w:bottom w:val="single" w:sz="4" w:space="0" w:color="000000"/>
              <w:right w:val="single" w:sz="4" w:space="0" w:color="000000"/>
            </w:tcBorders>
            <w:hideMark/>
          </w:tcPr>
          <w:p w14:paraId="22662F1B" w14:textId="77777777" w:rsidR="0052225D" w:rsidRDefault="0052225D" w:rsidP="0052225D">
            <w:pPr>
              <w:pStyle w:val="TableParagraph"/>
              <w:spacing w:line="232" w:lineRule="exact"/>
              <w:ind w:left="307"/>
              <w:jc w:val="center"/>
            </w:pPr>
            <w:r>
              <w:t>n=100</w:t>
            </w:r>
          </w:p>
        </w:tc>
        <w:tc>
          <w:tcPr>
            <w:tcW w:w="1524" w:type="dxa"/>
            <w:tcBorders>
              <w:top w:val="single" w:sz="4" w:space="0" w:color="000000"/>
              <w:left w:val="single" w:sz="4" w:space="0" w:color="000000"/>
              <w:bottom w:val="single" w:sz="4" w:space="0" w:color="000000"/>
              <w:right w:val="single" w:sz="4" w:space="0" w:color="000000"/>
            </w:tcBorders>
            <w:hideMark/>
          </w:tcPr>
          <w:p w14:paraId="4529F19B" w14:textId="77777777" w:rsidR="0052225D" w:rsidRDefault="0052225D" w:rsidP="0052225D">
            <w:pPr>
              <w:pStyle w:val="TableParagraph"/>
              <w:spacing w:line="232" w:lineRule="exact"/>
              <w:ind w:left="201"/>
              <w:jc w:val="center"/>
            </w:pPr>
            <w:r>
              <w:t>n=99</w:t>
            </w:r>
          </w:p>
        </w:tc>
        <w:tc>
          <w:tcPr>
            <w:tcW w:w="1526" w:type="dxa"/>
            <w:tcBorders>
              <w:top w:val="single" w:sz="4" w:space="0" w:color="000000"/>
              <w:left w:val="single" w:sz="4" w:space="0" w:color="000000"/>
              <w:bottom w:val="single" w:sz="4" w:space="0" w:color="000000"/>
              <w:right w:val="single" w:sz="4" w:space="0" w:color="000000"/>
            </w:tcBorders>
            <w:hideMark/>
          </w:tcPr>
          <w:p w14:paraId="75269621" w14:textId="77777777" w:rsidR="0052225D" w:rsidRDefault="0052225D" w:rsidP="0052225D">
            <w:pPr>
              <w:pStyle w:val="TableParagraph"/>
              <w:spacing w:line="232" w:lineRule="exact"/>
              <w:ind w:left="202"/>
              <w:jc w:val="center"/>
            </w:pPr>
            <w:r>
              <w:t>n=100</w:t>
            </w:r>
          </w:p>
        </w:tc>
        <w:tc>
          <w:tcPr>
            <w:tcW w:w="1524" w:type="dxa"/>
            <w:tcBorders>
              <w:top w:val="single" w:sz="4" w:space="0" w:color="000000"/>
              <w:left w:val="single" w:sz="4" w:space="0" w:color="000000"/>
              <w:bottom w:val="single" w:sz="4" w:space="0" w:color="000000"/>
              <w:right w:val="single" w:sz="4" w:space="0" w:color="000000"/>
            </w:tcBorders>
          </w:tcPr>
          <w:p w14:paraId="645A737C" w14:textId="77777777" w:rsidR="0052225D" w:rsidRDefault="0052225D" w:rsidP="0052225D">
            <w:pPr>
              <w:pStyle w:val="TableParagraph"/>
              <w:spacing w:line="240" w:lineRule="auto"/>
              <w:ind w:left="0"/>
              <w:rPr>
                <w:sz w:val="18"/>
              </w:rPr>
            </w:pPr>
          </w:p>
        </w:tc>
      </w:tr>
      <w:tr w:rsidR="0052225D" w14:paraId="790CBFA0" w14:textId="77777777" w:rsidTr="0052225D">
        <w:trPr>
          <w:trHeight w:val="506"/>
        </w:trPr>
        <w:tc>
          <w:tcPr>
            <w:tcW w:w="3497" w:type="dxa"/>
            <w:tcBorders>
              <w:top w:val="single" w:sz="4" w:space="0" w:color="000000"/>
              <w:left w:val="single" w:sz="4" w:space="0" w:color="000000"/>
              <w:bottom w:val="single" w:sz="4" w:space="0" w:color="000000"/>
              <w:right w:val="single" w:sz="4" w:space="0" w:color="000000"/>
            </w:tcBorders>
            <w:hideMark/>
          </w:tcPr>
          <w:p w14:paraId="0356E369" w14:textId="77777777" w:rsidR="0052225D" w:rsidRDefault="0052225D" w:rsidP="0052225D">
            <w:pPr>
              <w:pStyle w:val="TableParagraph"/>
              <w:spacing w:line="246" w:lineRule="exact"/>
            </w:pPr>
            <w:r>
              <w:t>50 % responsrate</w:t>
            </w:r>
          </w:p>
        </w:tc>
        <w:tc>
          <w:tcPr>
            <w:tcW w:w="1217" w:type="dxa"/>
            <w:tcBorders>
              <w:top w:val="single" w:sz="4" w:space="0" w:color="000000"/>
              <w:left w:val="single" w:sz="4" w:space="0" w:color="000000"/>
              <w:bottom w:val="single" w:sz="4" w:space="0" w:color="000000"/>
              <w:right w:val="single" w:sz="4" w:space="0" w:color="000000"/>
            </w:tcBorders>
            <w:hideMark/>
          </w:tcPr>
          <w:p w14:paraId="375EE785" w14:textId="77777777" w:rsidR="0052225D" w:rsidRDefault="0052225D" w:rsidP="0052225D">
            <w:pPr>
              <w:pStyle w:val="TableParagraph"/>
              <w:spacing w:line="246" w:lineRule="exact"/>
              <w:ind w:left="307"/>
              <w:jc w:val="center"/>
            </w:pPr>
            <w:r>
              <w:t>20,0</w:t>
            </w:r>
          </w:p>
        </w:tc>
        <w:tc>
          <w:tcPr>
            <w:tcW w:w="1524" w:type="dxa"/>
            <w:tcBorders>
              <w:top w:val="single" w:sz="4" w:space="0" w:color="000000"/>
              <w:left w:val="single" w:sz="4" w:space="0" w:color="000000"/>
              <w:bottom w:val="single" w:sz="4" w:space="0" w:color="000000"/>
              <w:right w:val="single" w:sz="4" w:space="0" w:color="000000"/>
            </w:tcBorders>
            <w:hideMark/>
          </w:tcPr>
          <w:p w14:paraId="4EE4B1E2" w14:textId="77777777" w:rsidR="0052225D" w:rsidRDefault="0052225D" w:rsidP="0052225D">
            <w:pPr>
              <w:pStyle w:val="TableParagraph"/>
              <w:spacing w:line="244" w:lineRule="exact"/>
              <w:ind w:left="201"/>
              <w:jc w:val="center"/>
            </w:pPr>
            <w:r>
              <w:t>27,3</w:t>
            </w:r>
          </w:p>
          <w:p w14:paraId="3688F967" w14:textId="77777777" w:rsidR="0052225D" w:rsidRDefault="0052225D" w:rsidP="0052225D">
            <w:pPr>
              <w:pStyle w:val="TableParagraph"/>
              <w:spacing w:line="159" w:lineRule="exact"/>
              <w:ind w:left="197"/>
              <w:jc w:val="center"/>
              <w:rPr>
                <w:sz w:val="14"/>
              </w:rPr>
            </w:pPr>
            <w:r>
              <w:rPr>
                <w:sz w:val="14"/>
              </w:rPr>
              <w:t>(p=0,372)</w:t>
            </w:r>
          </w:p>
        </w:tc>
        <w:tc>
          <w:tcPr>
            <w:tcW w:w="1526" w:type="dxa"/>
            <w:tcBorders>
              <w:top w:val="single" w:sz="4" w:space="0" w:color="000000"/>
              <w:left w:val="single" w:sz="4" w:space="0" w:color="000000"/>
              <w:bottom w:val="single" w:sz="4" w:space="0" w:color="000000"/>
              <w:right w:val="single" w:sz="4" w:space="0" w:color="000000"/>
            </w:tcBorders>
            <w:hideMark/>
          </w:tcPr>
          <w:p w14:paraId="3FD4B724" w14:textId="77777777" w:rsidR="0052225D" w:rsidRDefault="0052225D" w:rsidP="0052225D">
            <w:pPr>
              <w:pStyle w:val="TableParagraph"/>
              <w:spacing w:line="244" w:lineRule="exact"/>
              <w:ind w:left="488"/>
              <w:rPr>
                <w:sz w:val="14"/>
              </w:rPr>
            </w:pPr>
            <w:r>
              <w:t>36,0</w:t>
            </w:r>
            <w:r>
              <w:rPr>
                <w:position w:val="8"/>
                <w:sz w:val="14"/>
              </w:rPr>
              <w:t>(2)</w:t>
            </w:r>
          </w:p>
          <w:p w14:paraId="5E82A7EF" w14:textId="77777777" w:rsidR="0052225D" w:rsidRDefault="0052225D" w:rsidP="0052225D">
            <w:pPr>
              <w:pStyle w:val="TableParagraph"/>
              <w:spacing w:line="159" w:lineRule="exact"/>
              <w:ind w:left="483"/>
              <w:rPr>
                <w:sz w:val="14"/>
              </w:rPr>
            </w:pPr>
            <w:r>
              <w:rPr>
                <w:sz w:val="14"/>
              </w:rPr>
              <w:t>(p=0,023)</w:t>
            </w:r>
          </w:p>
        </w:tc>
        <w:tc>
          <w:tcPr>
            <w:tcW w:w="1524" w:type="dxa"/>
            <w:tcBorders>
              <w:top w:val="single" w:sz="4" w:space="0" w:color="000000"/>
              <w:left w:val="single" w:sz="4" w:space="0" w:color="000000"/>
              <w:bottom w:val="single" w:sz="4" w:space="0" w:color="000000"/>
              <w:right w:val="single" w:sz="4" w:space="0" w:color="000000"/>
            </w:tcBorders>
            <w:hideMark/>
          </w:tcPr>
          <w:p w14:paraId="55715D15" w14:textId="77777777" w:rsidR="0052225D" w:rsidRDefault="0052225D" w:rsidP="0052225D">
            <w:pPr>
              <w:pStyle w:val="TableParagraph"/>
              <w:spacing w:line="246" w:lineRule="exact"/>
              <w:ind w:left="5"/>
              <w:jc w:val="center"/>
            </w:pPr>
            <w:r>
              <w:t>~</w:t>
            </w:r>
          </w:p>
        </w:tc>
      </w:tr>
      <w:tr w:rsidR="0052225D" w14:paraId="0352D733" w14:textId="77777777" w:rsidTr="0052225D">
        <w:trPr>
          <w:trHeight w:val="505"/>
        </w:trPr>
        <w:tc>
          <w:tcPr>
            <w:tcW w:w="3497" w:type="dxa"/>
            <w:tcBorders>
              <w:top w:val="single" w:sz="4" w:space="0" w:color="000000"/>
              <w:left w:val="single" w:sz="4" w:space="0" w:color="000000"/>
              <w:bottom w:val="single" w:sz="4" w:space="0" w:color="000000"/>
              <w:right w:val="single" w:sz="4" w:space="0" w:color="000000"/>
            </w:tcBorders>
            <w:hideMark/>
          </w:tcPr>
          <w:p w14:paraId="79204486" w14:textId="77777777" w:rsidR="0052225D" w:rsidRDefault="0052225D" w:rsidP="0052225D">
            <w:pPr>
              <w:pStyle w:val="TableParagraph"/>
              <w:spacing w:line="246" w:lineRule="exact"/>
              <w:rPr>
                <w:lang w:val="da-DK"/>
              </w:rPr>
            </w:pPr>
            <w:r>
              <w:rPr>
                <w:lang w:val="da-DK"/>
              </w:rPr>
              <w:t>Procentvis reduktion i forhold til</w:t>
            </w:r>
          </w:p>
          <w:p w14:paraId="65F1BBFE" w14:textId="77777777" w:rsidR="0052225D" w:rsidRDefault="0052225D" w:rsidP="0052225D">
            <w:pPr>
              <w:pStyle w:val="TableParagraph"/>
              <w:spacing w:before="1" w:line="239" w:lineRule="exact"/>
              <w:rPr>
                <w:lang w:val="da-DK"/>
              </w:rPr>
            </w:pPr>
            <w:r>
              <w:rPr>
                <w:lang w:val="da-DK"/>
              </w:rPr>
              <w:t>placebo (%)</w:t>
            </w:r>
          </w:p>
        </w:tc>
        <w:tc>
          <w:tcPr>
            <w:tcW w:w="1217" w:type="dxa"/>
            <w:tcBorders>
              <w:top w:val="single" w:sz="4" w:space="0" w:color="000000"/>
              <w:left w:val="single" w:sz="4" w:space="0" w:color="000000"/>
              <w:bottom w:val="single" w:sz="4" w:space="0" w:color="000000"/>
              <w:right w:val="single" w:sz="4" w:space="0" w:color="000000"/>
            </w:tcBorders>
            <w:hideMark/>
          </w:tcPr>
          <w:p w14:paraId="05C5EE19" w14:textId="77777777" w:rsidR="0052225D" w:rsidRDefault="0052225D" w:rsidP="0052225D">
            <w:pPr>
              <w:pStyle w:val="TableParagraph"/>
              <w:spacing w:line="246" w:lineRule="exact"/>
              <w:ind w:left="307"/>
              <w:jc w:val="center"/>
            </w:pPr>
            <w:r>
              <w:t>NA</w:t>
            </w:r>
          </w:p>
        </w:tc>
        <w:tc>
          <w:tcPr>
            <w:tcW w:w="1524" w:type="dxa"/>
            <w:tcBorders>
              <w:top w:val="single" w:sz="4" w:space="0" w:color="000000"/>
              <w:left w:val="single" w:sz="4" w:space="0" w:color="000000"/>
              <w:bottom w:val="single" w:sz="4" w:space="0" w:color="000000"/>
              <w:right w:val="single" w:sz="4" w:space="0" w:color="000000"/>
            </w:tcBorders>
            <w:hideMark/>
          </w:tcPr>
          <w:p w14:paraId="154BDB00" w14:textId="77777777" w:rsidR="0052225D" w:rsidRDefault="0052225D" w:rsidP="0052225D">
            <w:pPr>
              <w:pStyle w:val="TableParagraph"/>
              <w:spacing w:line="244" w:lineRule="exact"/>
              <w:ind w:left="201"/>
              <w:jc w:val="center"/>
            </w:pPr>
            <w:r>
              <w:t>9,2</w:t>
            </w:r>
          </w:p>
          <w:p w14:paraId="1A1D3F08" w14:textId="77777777" w:rsidR="0052225D" w:rsidRDefault="0052225D" w:rsidP="0052225D">
            <w:pPr>
              <w:pStyle w:val="TableParagraph"/>
              <w:spacing w:line="159" w:lineRule="exact"/>
              <w:ind w:left="197"/>
              <w:jc w:val="center"/>
              <w:rPr>
                <w:sz w:val="14"/>
              </w:rPr>
            </w:pPr>
            <w:r>
              <w:rPr>
                <w:sz w:val="14"/>
              </w:rPr>
              <w:t>(p=0,274)</w:t>
            </w:r>
          </w:p>
        </w:tc>
        <w:tc>
          <w:tcPr>
            <w:tcW w:w="1526" w:type="dxa"/>
            <w:tcBorders>
              <w:top w:val="single" w:sz="4" w:space="0" w:color="000000"/>
              <w:left w:val="single" w:sz="4" w:space="0" w:color="000000"/>
              <w:bottom w:val="single" w:sz="4" w:space="0" w:color="000000"/>
              <w:right w:val="single" w:sz="4" w:space="0" w:color="000000"/>
            </w:tcBorders>
            <w:hideMark/>
          </w:tcPr>
          <w:p w14:paraId="6F07D9F0" w14:textId="77777777" w:rsidR="0052225D" w:rsidRDefault="0052225D" w:rsidP="0052225D">
            <w:pPr>
              <w:pStyle w:val="TableParagraph"/>
              <w:spacing w:line="244" w:lineRule="exact"/>
              <w:ind w:left="488"/>
              <w:rPr>
                <w:sz w:val="14"/>
              </w:rPr>
            </w:pPr>
            <w:r>
              <w:t>20,5</w:t>
            </w:r>
            <w:r>
              <w:rPr>
                <w:position w:val="8"/>
                <w:sz w:val="14"/>
              </w:rPr>
              <w:t>(2)</w:t>
            </w:r>
          </w:p>
          <w:p w14:paraId="1B40C9B2" w14:textId="77777777" w:rsidR="0052225D" w:rsidRDefault="0052225D" w:rsidP="0052225D">
            <w:pPr>
              <w:pStyle w:val="TableParagraph"/>
              <w:spacing w:line="159" w:lineRule="exact"/>
              <w:ind w:left="483"/>
              <w:rPr>
                <w:sz w:val="14"/>
              </w:rPr>
            </w:pPr>
            <w:r>
              <w:rPr>
                <w:sz w:val="14"/>
              </w:rPr>
              <w:t>(p=0,010)</w:t>
            </w:r>
          </w:p>
        </w:tc>
        <w:tc>
          <w:tcPr>
            <w:tcW w:w="1524" w:type="dxa"/>
            <w:tcBorders>
              <w:top w:val="single" w:sz="4" w:space="0" w:color="000000"/>
              <w:left w:val="single" w:sz="4" w:space="0" w:color="000000"/>
              <w:bottom w:val="single" w:sz="4" w:space="0" w:color="000000"/>
              <w:right w:val="single" w:sz="4" w:space="0" w:color="000000"/>
            </w:tcBorders>
            <w:hideMark/>
          </w:tcPr>
          <w:p w14:paraId="1F866EBC" w14:textId="77777777" w:rsidR="0052225D" w:rsidRDefault="0052225D" w:rsidP="0052225D">
            <w:pPr>
              <w:pStyle w:val="TableParagraph"/>
              <w:spacing w:line="246" w:lineRule="exact"/>
              <w:ind w:left="5"/>
              <w:jc w:val="center"/>
            </w:pPr>
            <w:r>
              <w:t>~</w:t>
            </w:r>
          </w:p>
        </w:tc>
      </w:tr>
      <w:tr w:rsidR="0052225D" w14:paraId="25A56F43" w14:textId="77777777" w:rsidTr="0052225D">
        <w:trPr>
          <w:trHeight w:val="254"/>
        </w:trPr>
        <w:tc>
          <w:tcPr>
            <w:tcW w:w="9288" w:type="dxa"/>
            <w:gridSpan w:val="5"/>
            <w:tcBorders>
              <w:top w:val="single" w:sz="4" w:space="0" w:color="000000"/>
              <w:left w:val="single" w:sz="4" w:space="0" w:color="000000"/>
              <w:bottom w:val="single" w:sz="4" w:space="0" w:color="000000"/>
              <w:right w:val="single" w:sz="4" w:space="0" w:color="000000"/>
            </w:tcBorders>
            <w:hideMark/>
          </w:tcPr>
          <w:p w14:paraId="1C167C26" w14:textId="77777777" w:rsidR="0052225D" w:rsidRDefault="0052225D" w:rsidP="0052225D">
            <w:pPr>
              <w:pStyle w:val="TableParagraph"/>
              <w:spacing w:line="234" w:lineRule="exact"/>
              <w:rPr>
                <w:b/>
              </w:rPr>
            </w:pPr>
            <w:r>
              <w:rPr>
                <w:b/>
              </w:rPr>
              <w:t>Studie N01358</w:t>
            </w:r>
          </w:p>
        </w:tc>
      </w:tr>
      <w:tr w:rsidR="0052225D" w14:paraId="56E27041" w14:textId="77777777" w:rsidTr="0052225D">
        <w:trPr>
          <w:trHeight w:val="251"/>
        </w:trPr>
        <w:tc>
          <w:tcPr>
            <w:tcW w:w="3497" w:type="dxa"/>
            <w:tcBorders>
              <w:top w:val="single" w:sz="4" w:space="0" w:color="000000"/>
              <w:left w:val="single" w:sz="4" w:space="0" w:color="000000"/>
              <w:bottom w:val="single" w:sz="4" w:space="0" w:color="000000"/>
              <w:right w:val="single" w:sz="4" w:space="0" w:color="000000"/>
            </w:tcBorders>
          </w:tcPr>
          <w:p w14:paraId="56AA2352" w14:textId="77777777" w:rsidR="0052225D" w:rsidRDefault="0052225D" w:rsidP="0052225D">
            <w:pPr>
              <w:pStyle w:val="TableParagraph"/>
              <w:spacing w:line="240" w:lineRule="auto"/>
              <w:ind w:left="0"/>
              <w:rPr>
                <w:sz w:val="18"/>
              </w:rPr>
            </w:pPr>
          </w:p>
        </w:tc>
        <w:tc>
          <w:tcPr>
            <w:tcW w:w="1217" w:type="dxa"/>
            <w:tcBorders>
              <w:top w:val="single" w:sz="4" w:space="0" w:color="000000"/>
              <w:left w:val="single" w:sz="4" w:space="0" w:color="000000"/>
              <w:bottom w:val="single" w:sz="4" w:space="0" w:color="000000"/>
              <w:right w:val="single" w:sz="4" w:space="0" w:color="000000"/>
            </w:tcBorders>
            <w:hideMark/>
          </w:tcPr>
          <w:p w14:paraId="5819F3A7" w14:textId="77777777" w:rsidR="0052225D" w:rsidRDefault="0052225D" w:rsidP="0052225D">
            <w:pPr>
              <w:pStyle w:val="TableParagraph"/>
              <w:spacing w:line="232" w:lineRule="exact"/>
              <w:ind w:left="307"/>
              <w:jc w:val="center"/>
            </w:pPr>
            <w:r>
              <w:t>n=259</w:t>
            </w:r>
          </w:p>
        </w:tc>
        <w:tc>
          <w:tcPr>
            <w:tcW w:w="1524" w:type="dxa"/>
            <w:tcBorders>
              <w:top w:val="single" w:sz="4" w:space="0" w:color="000000"/>
              <w:left w:val="single" w:sz="4" w:space="0" w:color="000000"/>
              <w:bottom w:val="single" w:sz="4" w:space="0" w:color="000000"/>
              <w:right w:val="single" w:sz="4" w:space="0" w:color="000000"/>
            </w:tcBorders>
          </w:tcPr>
          <w:p w14:paraId="76A538F6" w14:textId="77777777" w:rsidR="0052225D" w:rsidRDefault="0052225D" w:rsidP="0052225D">
            <w:pPr>
              <w:pStyle w:val="TableParagraph"/>
              <w:spacing w:line="240" w:lineRule="auto"/>
              <w:ind w:left="0"/>
              <w:rPr>
                <w:sz w:val="18"/>
              </w:rPr>
            </w:pPr>
          </w:p>
        </w:tc>
        <w:tc>
          <w:tcPr>
            <w:tcW w:w="1526" w:type="dxa"/>
            <w:tcBorders>
              <w:top w:val="single" w:sz="4" w:space="0" w:color="000000"/>
              <w:left w:val="single" w:sz="4" w:space="0" w:color="000000"/>
              <w:bottom w:val="single" w:sz="4" w:space="0" w:color="000000"/>
              <w:right w:val="single" w:sz="4" w:space="0" w:color="000000"/>
            </w:tcBorders>
            <w:hideMark/>
          </w:tcPr>
          <w:p w14:paraId="3B8739C4" w14:textId="77777777" w:rsidR="0052225D" w:rsidRDefault="0052225D" w:rsidP="0052225D">
            <w:pPr>
              <w:pStyle w:val="TableParagraph"/>
              <w:spacing w:line="232" w:lineRule="exact"/>
              <w:ind w:left="202"/>
              <w:jc w:val="center"/>
            </w:pPr>
            <w:r>
              <w:t>n=252</w:t>
            </w:r>
          </w:p>
        </w:tc>
        <w:tc>
          <w:tcPr>
            <w:tcW w:w="1524" w:type="dxa"/>
            <w:tcBorders>
              <w:top w:val="single" w:sz="4" w:space="0" w:color="000000"/>
              <w:left w:val="single" w:sz="4" w:space="0" w:color="000000"/>
              <w:bottom w:val="single" w:sz="4" w:space="0" w:color="000000"/>
              <w:right w:val="single" w:sz="4" w:space="0" w:color="000000"/>
            </w:tcBorders>
            <w:hideMark/>
          </w:tcPr>
          <w:p w14:paraId="4DBFEC8B" w14:textId="77777777" w:rsidR="0052225D" w:rsidRDefault="0052225D" w:rsidP="0052225D">
            <w:pPr>
              <w:pStyle w:val="TableParagraph"/>
              <w:spacing w:line="232" w:lineRule="exact"/>
              <w:ind w:left="201"/>
              <w:jc w:val="center"/>
            </w:pPr>
            <w:r>
              <w:t>n=249</w:t>
            </w:r>
          </w:p>
        </w:tc>
      </w:tr>
      <w:tr w:rsidR="0052225D" w14:paraId="02B91E8B" w14:textId="77777777" w:rsidTr="0052225D">
        <w:trPr>
          <w:trHeight w:val="506"/>
        </w:trPr>
        <w:tc>
          <w:tcPr>
            <w:tcW w:w="3497" w:type="dxa"/>
            <w:tcBorders>
              <w:top w:val="single" w:sz="4" w:space="0" w:color="000000"/>
              <w:left w:val="single" w:sz="4" w:space="0" w:color="000000"/>
              <w:bottom w:val="single" w:sz="4" w:space="0" w:color="000000"/>
              <w:right w:val="single" w:sz="4" w:space="0" w:color="000000"/>
            </w:tcBorders>
            <w:hideMark/>
          </w:tcPr>
          <w:p w14:paraId="47F94CB2" w14:textId="77777777" w:rsidR="0052225D" w:rsidRDefault="0052225D" w:rsidP="0052225D">
            <w:pPr>
              <w:pStyle w:val="TableParagraph"/>
              <w:spacing w:line="246" w:lineRule="exact"/>
            </w:pPr>
            <w:r>
              <w:t>50 % responsrate</w:t>
            </w:r>
          </w:p>
        </w:tc>
        <w:tc>
          <w:tcPr>
            <w:tcW w:w="1217" w:type="dxa"/>
            <w:tcBorders>
              <w:top w:val="single" w:sz="4" w:space="0" w:color="000000"/>
              <w:left w:val="single" w:sz="4" w:space="0" w:color="000000"/>
              <w:bottom w:val="single" w:sz="4" w:space="0" w:color="000000"/>
              <w:right w:val="single" w:sz="4" w:space="0" w:color="000000"/>
            </w:tcBorders>
            <w:hideMark/>
          </w:tcPr>
          <w:p w14:paraId="420035C3" w14:textId="77777777" w:rsidR="0052225D" w:rsidRDefault="0052225D" w:rsidP="0052225D">
            <w:pPr>
              <w:pStyle w:val="TableParagraph"/>
              <w:spacing w:line="246" w:lineRule="exact"/>
              <w:ind w:left="307"/>
              <w:jc w:val="center"/>
            </w:pPr>
            <w:r>
              <w:t>21,6</w:t>
            </w:r>
          </w:p>
        </w:tc>
        <w:tc>
          <w:tcPr>
            <w:tcW w:w="1524" w:type="dxa"/>
            <w:tcBorders>
              <w:top w:val="single" w:sz="4" w:space="0" w:color="000000"/>
              <w:left w:val="single" w:sz="4" w:space="0" w:color="000000"/>
              <w:bottom w:val="single" w:sz="4" w:space="0" w:color="000000"/>
              <w:right w:val="single" w:sz="4" w:space="0" w:color="000000"/>
            </w:tcBorders>
            <w:hideMark/>
          </w:tcPr>
          <w:p w14:paraId="1D1B3F4D" w14:textId="77777777" w:rsidR="0052225D" w:rsidRDefault="0052225D" w:rsidP="0052225D">
            <w:pPr>
              <w:pStyle w:val="TableParagraph"/>
              <w:spacing w:line="246" w:lineRule="exact"/>
              <w:ind w:left="65"/>
              <w:jc w:val="center"/>
            </w:pPr>
            <w:r>
              <w:t>~</w:t>
            </w:r>
          </w:p>
        </w:tc>
        <w:tc>
          <w:tcPr>
            <w:tcW w:w="1526" w:type="dxa"/>
            <w:tcBorders>
              <w:top w:val="single" w:sz="4" w:space="0" w:color="000000"/>
              <w:left w:val="single" w:sz="4" w:space="0" w:color="000000"/>
              <w:bottom w:val="single" w:sz="4" w:space="0" w:color="000000"/>
              <w:right w:val="single" w:sz="4" w:space="0" w:color="000000"/>
            </w:tcBorders>
            <w:hideMark/>
          </w:tcPr>
          <w:p w14:paraId="39582F0F" w14:textId="77777777" w:rsidR="0052225D" w:rsidRDefault="0052225D" w:rsidP="0052225D">
            <w:pPr>
              <w:pStyle w:val="TableParagraph"/>
              <w:spacing w:line="244" w:lineRule="exact"/>
              <w:ind w:left="198"/>
              <w:jc w:val="center"/>
              <w:rPr>
                <w:sz w:val="14"/>
              </w:rPr>
            </w:pPr>
            <w:r>
              <w:t>38,9</w:t>
            </w:r>
            <w:r>
              <w:rPr>
                <w:position w:val="8"/>
                <w:sz w:val="14"/>
              </w:rPr>
              <w:t>*</w:t>
            </w:r>
          </w:p>
          <w:p w14:paraId="0712343C" w14:textId="77777777" w:rsidR="0052225D" w:rsidRDefault="0052225D" w:rsidP="0052225D">
            <w:pPr>
              <w:pStyle w:val="TableParagraph"/>
              <w:spacing w:line="159" w:lineRule="exact"/>
              <w:ind w:left="196"/>
              <w:jc w:val="center"/>
              <w:rPr>
                <w:sz w:val="14"/>
              </w:rPr>
            </w:pPr>
            <w:r>
              <w:rPr>
                <w:sz w:val="14"/>
              </w:rPr>
              <w:t>(p&lt;0,001)</w:t>
            </w:r>
          </w:p>
        </w:tc>
        <w:tc>
          <w:tcPr>
            <w:tcW w:w="1524" w:type="dxa"/>
            <w:tcBorders>
              <w:top w:val="single" w:sz="4" w:space="0" w:color="000000"/>
              <w:left w:val="single" w:sz="4" w:space="0" w:color="000000"/>
              <w:bottom w:val="single" w:sz="4" w:space="0" w:color="000000"/>
              <w:right w:val="single" w:sz="4" w:space="0" w:color="000000"/>
            </w:tcBorders>
            <w:hideMark/>
          </w:tcPr>
          <w:p w14:paraId="606A96D8" w14:textId="77777777" w:rsidR="0052225D" w:rsidRDefault="0052225D" w:rsidP="0052225D">
            <w:pPr>
              <w:pStyle w:val="TableParagraph"/>
              <w:spacing w:line="244" w:lineRule="exact"/>
              <w:ind w:left="197"/>
              <w:jc w:val="center"/>
              <w:rPr>
                <w:sz w:val="14"/>
              </w:rPr>
            </w:pPr>
            <w:r>
              <w:t>37,8</w:t>
            </w:r>
            <w:r>
              <w:rPr>
                <w:position w:val="8"/>
                <w:sz w:val="14"/>
              </w:rPr>
              <w:t>*</w:t>
            </w:r>
          </w:p>
          <w:p w14:paraId="7429CD62" w14:textId="77777777" w:rsidR="0052225D" w:rsidRDefault="0052225D" w:rsidP="0052225D">
            <w:pPr>
              <w:pStyle w:val="TableParagraph"/>
              <w:spacing w:line="159" w:lineRule="exact"/>
              <w:ind w:left="195"/>
              <w:jc w:val="center"/>
              <w:rPr>
                <w:sz w:val="14"/>
              </w:rPr>
            </w:pPr>
            <w:r>
              <w:rPr>
                <w:sz w:val="14"/>
              </w:rPr>
              <w:t>(p=0,001)</w:t>
            </w:r>
          </w:p>
        </w:tc>
      </w:tr>
      <w:tr w:rsidR="0052225D" w14:paraId="29450A4C" w14:textId="77777777" w:rsidTr="0052225D">
        <w:trPr>
          <w:trHeight w:val="506"/>
        </w:trPr>
        <w:tc>
          <w:tcPr>
            <w:tcW w:w="3497" w:type="dxa"/>
            <w:tcBorders>
              <w:top w:val="single" w:sz="4" w:space="0" w:color="000000"/>
              <w:left w:val="single" w:sz="4" w:space="0" w:color="000000"/>
              <w:bottom w:val="single" w:sz="4" w:space="0" w:color="000000"/>
              <w:right w:val="single" w:sz="4" w:space="0" w:color="000000"/>
            </w:tcBorders>
            <w:hideMark/>
          </w:tcPr>
          <w:p w14:paraId="12D56A61" w14:textId="77777777" w:rsidR="0052225D" w:rsidRDefault="0052225D" w:rsidP="0052225D">
            <w:pPr>
              <w:pStyle w:val="TableParagraph"/>
              <w:spacing w:line="246" w:lineRule="exact"/>
              <w:rPr>
                <w:lang w:val="da-DK"/>
              </w:rPr>
            </w:pPr>
            <w:r>
              <w:rPr>
                <w:lang w:val="da-DK"/>
              </w:rPr>
              <w:t>Procentvis reduktion i forhold til</w:t>
            </w:r>
          </w:p>
          <w:p w14:paraId="205EC157" w14:textId="77777777" w:rsidR="0052225D" w:rsidRDefault="0052225D" w:rsidP="0052225D">
            <w:pPr>
              <w:pStyle w:val="TableParagraph"/>
              <w:spacing w:before="1" w:line="239" w:lineRule="exact"/>
              <w:rPr>
                <w:lang w:val="da-DK"/>
              </w:rPr>
            </w:pPr>
            <w:r>
              <w:rPr>
                <w:lang w:val="da-DK"/>
              </w:rPr>
              <w:t>placebo (%)</w:t>
            </w:r>
          </w:p>
        </w:tc>
        <w:tc>
          <w:tcPr>
            <w:tcW w:w="1217" w:type="dxa"/>
            <w:tcBorders>
              <w:top w:val="single" w:sz="4" w:space="0" w:color="000000"/>
              <w:left w:val="single" w:sz="4" w:space="0" w:color="000000"/>
              <w:bottom w:val="single" w:sz="4" w:space="0" w:color="000000"/>
              <w:right w:val="single" w:sz="4" w:space="0" w:color="000000"/>
            </w:tcBorders>
            <w:hideMark/>
          </w:tcPr>
          <w:p w14:paraId="6E2BF6A0" w14:textId="77777777" w:rsidR="0052225D" w:rsidRDefault="0052225D" w:rsidP="0052225D">
            <w:pPr>
              <w:pStyle w:val="TableParagraph"/>
              <w:spacing w:line="246" w:lineRule="exact"/>
              <w:ind w:left="307"/>
              <w:jc w:val="center"/>
            </w:pPr>
            <w:r>
              <w:t>NA</w:t>
            </w:r>
          </w:p>
        </w:tc>
        <w:tc>
          <w:tcPr>
            <w:tcW w:w="1524" w:type="dxa"/>
            <w:tcBorders>
              <w:top w:val="single" w:sz="4" w:space="0" w:color="000000"/>
              <w:left w:val="single" w:sz="4" w:space="0" w:color="000000"/>
              <w:bottom w:val="single" w:sz="4" w:space="0" w:color="000000"/>
              <w:right w:val="single" w:sz="4" w:space="0" w:color="000000"/>
            </w:tcBorders>
            <w:hideMark/>
          </w:tcPr>
          <w:p w14:paraId="27A15808" w14:textId="77777777" w:rsidR="0052225D" w:rsidRDefault="0052225D" w:rsidP="0052225D">
            <w:pPr>
              <w:pStyle w:val="TableParagraph"/>
              <w:spacing w:line="246" w:lineRule="exact"/>
              <w:ind w:left="7"/>
              <w:jc w:val="center"/>
            </w:pPr>
            <w:r>
              <w:t>~</w:t>
            </w:r>
          </w:p>
        </w:tc>
        <w:tc>
          <w:tcPr>
            <w:tcW w:w="1526" w:type="dxa"/>
            <w:tcBorders>
              <w:top w:val="single" w:sz="4" w:space="0" w:color="000000"/>
              <w:left w:val="single" w:sz="4" w:space="0" w:color="000000"/>
              <w:bottom w:val="single" w:sz="4" w:space="0" w:color="000000"/>
              <w:right w:val="single" w:sz="4" w:space="0" w:color="000000"/>
            </w:tcBorders>
            <w:hideMark/>
          </w:tcPr>
          <w:p w14:paraId="73BAE0C7" w14:textId="77777777" w:rsidR="0052225D" w:rsidRDefault="0052225D" w:rsidP="0052225D">
            <w:pPr>
              <w:pStyle w:val="TableParagraph"/>
              <w:spacing w:line="245" w:lineRule="exact"/>
              <w:ind w:left="198"/>
              <w:jc w:val="center"/>
              <w:rPr>
                <w:sz w:val="14"/>
              </w:rPr>
            </w:pPr>
            <w:r>
              <w:t>22,8</w:t>
            </w:r>
            <w:r>
              <w:rPr>
                <w:position w:val="8"/>
                <w:sz w:val="14"/>
              </w:rPr>
              <w:t>*</w:t>
            </w:r>
          </w:p>
          <w:p w14:paraId="634E2322" w14:textId="77777777" w:rsidR="0052225D" w:rsidRDefault="0052225D" w:rsidP="0052225D">
            <w:pPr>
              <w:pStyle w:val="TableParagraph"/>
              <w:spacing w:line="159" w:lineRule="exact"/>
              <w:ind w:left="201"/>
              <w:jc w:val="center"/>
              <w:rPr>
                <w:sz w:val="14"/>
              </w:rPr>
            </w:pPr>
            <w:r>
              <w:rPr>
                <w:sz w:val="14"/>
              </w:rPr>
              <w:t>(p&lt;0,001)</w:t>
            </w:r>
          </w:p>
        </w:tc>
        <w:tc>
          <w:tcPr>
            <w:tcW w:w="1524" w:type="dxa"/>
            <w:tcBorders>
              <w:top w:val="single" w:sz="4" w:space="0" w:color="000000"/>
              <w:left w:val="single" w:sz="4" w:space="0" w:color="000000"/>
              <w:bottom w:val="single" w:sz="4" w:space="0" w:color="000000"/>
              <w:right w:val="single" w:sz="4" w:space="0" w:color="000000"/>
            </w:tcBorders>
            <w:hideMark/>
          </w:tcPr>
          <w:p w14:paraId="47A6BE78" w14:textId="77777777" w:rsidR="0052225D" w:rsidRDefault="0052225D" w:rsidP="0052225D">
            <w:pPr>
              <w:pStyle w:val="TableParagraph"/>
              <w:spacing w:line="245" w:lineRule="exact"/>
              <w:ind w:left="197"/>
              <w:jc w:val="center"/>
              <w:rPr>
                <w:sz w:val="14"/>
              </w:rPr>
            </w:pPr>
            <w:r>
              <w:t>23,2</w:t>
            </w:r>
            <w:r>
              <w:rPr>
                <w:position w:val="8"/>
                <w:sz w:val="14"/>
              </w:rPr>
              <w:t>*</w:t>
            </w:r>
          </w:p>
          <w:p w14:paraId="62E5E9BE" w14:textId="77777777" w:rsidR="0052225D" w:rsidRDefault="0052225D" w:rsidP="0052225D">
            <w:pPr>
              <w:pStyle w:val="TableParagraph"/>
              <w:spacing w:line="159" w:lineRule="exact"/>
              <w:ind w:left="195"/>
              <w:jc w:val="center"/>
              <w:rPr>
                <w:sz w:val="14"/>
              </w:rPr>
            </w:pPr>
            <w:r>
              <w:rPr>
                <w:sz w:val="14"/>
              </w:rPr>
              <w:t>(p&lt;0,001)</w:t>
            </w:r>
          </w:p>
        </w:tc>
      </w:tr>
    </w:tbl>
    <w:p w14:paraId="58A8CB24" w14:textId="77777777" w:rsidR="0052225D" w:rsidRPr="0052225D" w:rsidRDefault="0052225D" w:rsidP="0052225D">
      <w:pPr>
        <w:pStyle w:val="Brdtekst"/>
        <w:spacing w:line="246" w:lineRule="exact"/>
        <w:ind w:left="658"/>
        <w:rPr>
          <w:sz w:val="20"/>
          <w:szCs w:val="20"/>
          <w:lang w:val="da-DK"/>
        </w:rPr>
      </w:pPr>
      <w:r w:rsidRPr="0052225D">
        <w:rPr>
          <w:sz w:val="20"/>
          <w:szCs w:val="20"/>
          <w:lang w:val="da-DK"/>
        </w:rPr>
        <w:t>n = randomiserede patienter, som fik mindst 1 dosis af studiemedicinen</w:t>
      </w:r>
    </w:p>
    <w:p w14:paraId="5E86137F" w14:textId="77777777" w:rsidR="0052225D" w:rsidRPr="0052225D" w:rsidRDefault="0052225D" w:rsidP="0052225D">
      <w:pPr>
        <w:pStyle w:val="Brdtekst"/>
        <w:spacing w:before="1" w:line="250" w:lineRule="exact"/>
        <w:ind w:left="658"/>
        <w:rPr>
          <w:sz w:val="20"/>
          <w:szCs w:val="20"/>
          <w:lang w:val="da-DK"/>
        </w:rPr>
      </w:pPr>
      <w:r w:rsidRPr="0052225D">
        <w:rPr>
          <w:sz w:val="20"/>
          <w:szCs w:val="20"/>
          <w:lang w:val="da-DK"/>
        </w:rPr>
        <w:t>~ Dosis ikke undersøgt</w:t>
      </w:r>
    </w:p>
    <w:p w14:paraId="58A6CCCC" w14:textId="77777777" w:rsidR="0052225D" w:rsidRPr="0052225D" w:rsidRDefault="0052225D" w:rsidP="0052225D">
      <w:pPr>
        <w:pStyle w:val="Brdtekst"/>
        <w:spacing w:line="253" w:lineRule="exact"/>
        <w:ind w:left="658"/>
        <w:rPr>
          <w:sz w:val="20"/>
          <w:szCs w:val="20"/>
          <w:lang w:val="da-DK"/>
        </w:rPr>
      </w:pPr>
      <w:r w:rsidRPr="0052225D">
        <w:rPr>
          <w:position w:val="8"/>
          <w:sz w:val="20"/>
          <w:szCs w:val="20"/>
          <w:lang w:val="da-DK"/>
        </w:rPr>
        <w:t xml:space="preserve">* </w:t>
      </w:r>
      <w:r w:rsidRPr="0052225D">
        <w:rPr>
          <w:sz w:val="20"/>
          <w:szCs w:val="20"/>
          <w:lang w:val="da-DK"/>
        </w:rPr>
        <w:t>Statistisk signifikant</w:t>
      </w:r>
    </w:p>
    <w:p w14:paraId="120B89E6" w14:textId="77777777" w:rsidR="0052225D" w:rsidRPr="0052225D" w:rsidRDefault="0052225D" w:rsidP="0052225D">
      <w:pPr>
        <w:pStyle w:val="Brdtekst"/>
        <w:spacing w:line="253" w:lineRule="exact"/>
        <w:ind w:left="658"/>
        <w:rPr>
          <w:sz w:val="20"/>
          <w:szCs w:val="20"/>
          <w:lang w:val="da-DK"/>
        </w:rPr>
      </w:pPr>
      <w:r w:rsidRPr="0052225D">
        <w:rPr>
          <w:position w:val="8"/>
          <w:sz w:val="20"/>
          <w:szCs w:val="20"/>
          <w:lang w:val="da-DK"/>
        </w:rPr>
        <w:t xml:space="preserve">(1) </w:t>
      </w:r>
      <w:r w:rsidRPr="0052225D">
        <w:rPr>
          <w:sz w:val="20"/>
          <w:szCs w:val="20"/>
          <w:lang w:val="da-DK"/>
        </w:rPr>
        <w:t>Ca. 20 % af patienterne fik samtidig behandling med levetiracetam</w:t>
      </w:r>
    </w:p>
    <w:p w14:paraId="5FB60396" w14:textId="77777777" w:rsidR="0052225D" w:rsidRPr="0052225D" w:rsidRDefault="0052225D" w:rsidP="0052225D">
      <w:pPr>
        <w:pStyle w:val="Brdtekst"/>
        <w:ind w:left="658"/>
        <w:rPr>
          <w:sz w:val="20"/>
          <w:szCs w:val="20"/>
          <w:lang w:val="da-DK"/>
        </w:rPr>
      </w:pPr>
      <w:r w:rsidRPr="0052225D">
        <w:rPr>
          <w:position w:val="8"/>
          <w:sz w:val="20"/>
          <w:szCs w:val="20"/>
          <w:lang w:val="da-DK"/>
        </w:rPr>
        <w:t xml:space="preserve">(2) </w:t>
      </w:r>
      <w:r w:rsidRPr="0052225D">
        <w:rPr>
          <w:sz w:val="20"/>
          <w:szCs w:val="20"/>
          <w:lang w:val="da-DK"/>
        </w:rPr>
        <w:t>På baggrund af den sekventielle testprocedure opnåede de primære endepunkter for N01252 ikke statistisk signifikans. 100 mg/dag dosen var nominelt signifikant.</w:t>
      </w:r>
    </w:p>
    <w:p w14:paraId="64B472D2" w14:textId="77777777" w:rsidR="0052225D" w:rsidRPr="0052225D" w:rsidRDefault="0052225D" w:rsidP="0052225D">
      <w:pPr>
        <w:pStyle w:val="Brdtekst"/>
        <w:tabs>
          <w:tab w:val="left" w:pos="851"/>
        </w:tabs>
        <w:ind w:left="851"/>
        <w:rPr>
          <w:sz w:val="24"/>
          <w:szCs w:val="24"/>
          <w:lang w:val="da-DK"/>
        </w:rPr>
      </w:pPr>
    </w:p>
    <w:p w14:paraId="79A5E09D" w14:textId="77777777" w:rsidR="0052225D" w:rsidRPr="0052225D" w:rsidRDefault="0052225D" w:rsidP="0052225D">
      <w:pPr>
        <w:pStyle w:val="Brdtekst"/>
        <w:tabs>
          <w:tab w:val="left" w:pos="851"/>
        </w:tabs>
        <w:ind w:left="851"/>
        <w:rPr>
          <w:sz w:val="24"/>
          <w:szCs w:val="24"/>
          <w:lang w:val="da-DK"/>
        </w:rPr>
      </w:pPr>
      <w:r w:rsidRPr="0052225D">
        <w:rPr>
          <w:sz w:val="24"/>
          <w:szCs w:val="24"/>
          <w:lang w:val="da-DK"/>
        </w:rPr>
        <w:t>I kliniske studier var reduktionen i frekvensen af anfald i forhold til placebo højere med dosen på 100 mg/dag end med dosen på 50 mg/dag. Bortset fra dosisafhængige stigninger i incidensen af døsighed og træthed, havde brivaracetam 50 mg/dag og 100 mg/dag en tilsvarende sikkerhedsprofil, inklusive CNS-relaterede bivirkninger og langtidsbehandling.</w:t>
      </w:r>
    </w:p>
    <w:p w14:paraId="6BA6F0AD" w14:textId="77777777" w:rsidR="0052225D" w:rsidRPr="0052225D" w:rsidRDefault="0052225D" w:rsidP="0052225D">
      <w:pPr>
        <w:pStyle w:val="Brdtekst"/>
        <w:tabs>
          <w:tab w:val="left" w:pos="851"/>
        </w:tabs>
        <w:ind w:left="851"/>
        <w:rPr>
          <w:sz w:val="24"/>
          <w:szCs w:val="24"/>
          <w:lang w:val="da-DK"/>
        </w:rPr>
      </w:pPr>
    </w:p>
    <w:p w14:paraId="7E6C109C" w14:textId="77777777" w:rsidR="0052225D" w:rsidRPr="0052225D" w:rsidRDefault="0052225D" w:rsidP="0052225D">
      <w:pPr>
        <w:pStyle w:val="Brdtekst"/>
        <w:tabs>
          <w:tab w:val="left" w:pos="851"/>
        </w:tabs>
        <w:ind w:left="851"/>
        <w:rPr>
          <w:sz w:val="24"/>
          <w:szCs w:val="24"/>
          <w:lang w:val="da-DK"/>
        </w:rPr>
      </w:pPr>
      <w:r w:rsidRPr="0052225D">
        <w:rPr>
          <w:sz w:val="24"/>
          <w:szCs w:val="24"/>
          <w:lang w:val="da-DK"/>
        </w:rPr>
        <w:t xml:space="preserve">Figur 1 viser procentdelen af patienter (eksklusive patienter, som samtidig fik levetiracetam) i alle 3 studier kategoriseret efter reduktion i POS pr. 28 dage fra </w:t>
      </w:r>
      <w:r w:rsidRPr="0052225D">
        <w:rPr>
          <w:i/>
          <w:sz w:val="24"/>
          <w:szCs w:val="24"/>
          <w:lang w:val="da-DK"/>
        </w:rPr>
        <w:t>baseline</w:t>
      </w:r>
      <w:r w:rsidRPr="0052225D">
        <w:rPr>
          <w:sz w:val="24"/>
          <w:szCs w:val="24"/>
          <w:lang w:val="da-DK"/>
        </w:rPr>
        <w:t xml:space="preserve">. Patienter med en stigning i antallet af POS på mere en 25 % er vist til venstre som ”forværring”. Patienter med en forbedring i den procentvise reduktion i frekvensen af POS ved </w:t>
      </w:r>
      <w:r w:rsidRPr="0052225D">
        <w:rPr>
          <w:i/>
          <w:sz w:val="24"/>
          <w:szCs w:val="24"/>
          <w:lang w:val="da-DK"/>
        </w:rPr>
        <w:t xml:space="preserve">baseline </w:t>
      </w:r>
      <w:r w:rsidRPr="0052225D">
        <w:rPr>
          <w:sz w:val="24"/>
          <w:szCs w:val="24"/>
          <w:lang w:val="da-DK"/>
        </w:rPr>
        <w:t>er vist i de 4 koloner længst til højre.</w:t>
      </w:r>
    </w:p>
    <w:p w14:paraId="12C622F1" w14:textId="77777777" w:rsidR="0052225D" w:rsidRPr="0052225D" w:rsidRDefault="0052225D" w:rsidP="0052225D">
      <w:pPr>
        <w:pStyle w:val="Brdtekst"/>
        <w:tabs>
          <w:tab w:val="left" w:pos="851"/>
        </w:tabs>
        <w:ind w:left="851"/>
        <w:rPr>
          <w:sz w:val="24"/>
          <w:szCs w:val="24"/>
          <w:lang w:val="da-DK"/>
        </w:rPr>
      </w:pPr>
      <w:r w:rsidRPr="0052225D">
        <w:rPr>
          <w:sz w:val="24"/>
          <w:szCs w:val="24"/>
          <w:lang w:val="da-DK"/>
        </w:rPr>
        <w:t>Procentdelen af patienter med mindst 50 % reduktion i frekvensen af anfald var 20,3 %, 34,2 %, 39,5 % og 37,8 % for henholdsvis placebo, 50 mg/dag, 100 mg/dag og 200 mg/dag.</w:t>
      </w:r>
    </w:p>
    <w:p w14:paraId="56372B2D" w14:textId="77777777" w:rsidR="0052225D" w:rsidRPr="0052225D" w:rsidRDefault="0052225D" w:rsidP="0052225D">
      <w:pPr>
        <w:tabs>
          <w:tab w:val="left" w:pos="851"/>
          <w:tab w:val="left" w:pos="2098"/>
        </w:tabs>
        <w:ind w:left="851"/>
        <w:rPr>
          <w:i/>
          <w:sz w:val="24"/>
          <w:szCs w:val="24"/>
        </w:rPr>
      </w:pPr>
    </w:p>
    <w:p w14:paraId="1D803CF5" w14:textId="77777777" w:rsidR="0052225D" w:rsidRPr="0052225D" w:rsidRDefault="0052225D" w:rsidP="0052225D">
      <w:pPr>
        <w:tabs>
          <w:tab w:val="left" w:pos="851"/>
          <w:tab w:val="left" w:pos="2098"/>
        </w:tabs>
        <w:ind w:left="851"/>
        <w:rPr>
          <w:i/>
          <w:sz w:val="24"/>
          <w:szCs w:val="24"/>
        </w:rPr>
      </w:pPr>
      <w:r w:rsidRPr="0052225D">
        <w:rPr>
          <w:i/>
          <w:sz w:val="24"/>
          <w:szCs w:val="24"/>
        </w:rPr>
        <w:t>Figur 1: Antal patienter kategoriseret efter anfaldsrespons over 12 uger for brivaracetam og placebo på tværs af alle tre dobbeltblinde pivotale kliniske</w:t>
      </w:r>
      <w:r w:rsidRPr="0052225D">
        <w:rPr>
          <w:i/>
          <w:spacing w:val="-13"/>
          <w:sz w:val="24"/>
          <w:szCs w:val="24"/>
        </w:rPr>
        <w:t xml:space="preserve"> </w:t>
      </w:r>
      <w:r w:rsidRPr="0052225D">
        <w:rPr>
          <w:i/>
          <w:sz w:val="24"/>
          <w:szCs w:val="24"/>
        </w:rPr>
        <w:t>studier</w:t>
      </w:r>
    </w:p>
    <w:p w14:paraId="5BAF5426" w14:textId="48970029" w:rsidR="0052225D" w:rsidRDefault="0052225D" w:rsidP="0052225D">
      <w:pPr>
        <w:pStyle w:val="Brdtekst"/>
        <w:ind w:left="658"/>
        <w:rPr>
          <w:sz w:val="20"/>
        </w:rPr>
      </w:pPr>
      <w:r>
        <w:rPr>
          <w:noProof/>
          <w:sz w:val="20"/>
        </w:rPr>
        <w:drawing>
          <wp:inline distT="0" distB="0" distL="0" distR="0" wp14:anchorId="7FCC775C" wp14:editId="723DD165">
            <wp:extent cx="5461000" cy="3511550"/>
            <wp:effectExtent l="0" t="0" r="635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0" cy="3511550"/>
                    </a:xfrm>
                    <a:prstGeom prst="rect">
                      <a:avLst/>
                    </a:prstGeom>
                    <a:noFill/>
                    <a:ln>
                      <a:noFill/>
                    </a:ln>
                  </pic:spPr>
                </pic:pic>
              </a:graphicData>
            </a:graphic>
          </wp:inline>
        </w:drawing>
      </w:r>
    </w:p>
    <w:p w14:paraId="703C2B24" w14:textId="77777777" w:rsidR="0052225D" w:rsidRDefault="0052225D" w:rsidP="0052225D">
      <w:pPr>
        <w:pStyle w:val="Brdtekst"/>
        <w:spacing w:before="5"/>
        <w:rPr>
          <w:i/>
          <w:sz w:val="20"/>
        </w:rPr>
      </w:pPr>
    </w:p>
    <w:p w14:paraId="4896745F" w14:textId="724873D8" w:rsidR="0052225D" w:rsidRPr="0052225D" w:rsidRDefault="0052225D" w:rsidP="0052225D">
      <w:pPr>
        <w:pStyle w:val="Brdtekst"/>
        <w:ind w:left="851"/>
        <w:rPr>
          <w:sz w:val="24"/>
          <w:szCs w:val="24"/>
          <w:lang w:val="da-DK"/>
        </w:rPr>
      </w:pPr>
      <w:r w:rsidRPr="0052225D">
        <w:rPr>
          <w:sz w:val="24"/>
          <w:szCs w:val="24"/>
          <w:lang w:val="da-DK"/>
        </w:rPr>
        <w:t>I en samlet analyse af de tre pivotale kliniske studier blev der ikke set forskelle i virkning (målt som 50 % responsrate) inden for dosisområdet 50 mg/dag til 200 mg/dag, når brivaracetam blev givet samtidig med andre inducerende eller ikke-inducerende antiepileptika. I kliniske studier blev 2,5 % (4/161), 5,1 % (17/332) og 4,0 % (10/249) af patienterne, som fik henholdsvis brivaracetam</w:t>
      </w:r>
      <w:r>
        <w:rPr>
          <w:sz w:val="24"/>
          <w:szCs w:val="24"/>
          <w:lang w:val="da-DK"/>
        </w:rPr>
        <w:t xml:space="preserve"> </w:t>
      </w:r>
      <w:r w:rsidRPr="0052225D">
        <w:rPr>
          <w:sz w:val="24"/>
          <w:szCs w:val="24"/>
          <w:lang w:val="da-DK"/>
        </w:rPr>
        <w:t>50 mg/dag, 100 mg/dag og 200 mg/dag, anfaldsfrie i løbet af en 12-ugers behandlingsperiode sammenlignet med 0,5 % (2/148) af patienterne, som fik placebo.</w:t>
      </w:r>
    </w:p>
    <w:p w14:paraId="4EFB4C1C" w14:textId="77777777" w:rsidR="0052225D" w:rsidRPr="0052225D" w:rsidRDefault="0052225D" w:rsidP="0052225D">
      <w:pPr>
        <w:pStyle w:val="Brdtekst"/>
        <w:ind w:left="851"/>
        <w:rPr>
          <w:sz w:val="24"/>
          <w:szCs w:val="24"/>
          <w:lang w:val="da-DK"/>
        </w:rPr>
      </w:pPr>
    </w:p>
    <w:p w14:paraId="357FD7A0" w14:textId="37E3F153" w:rsidR="0052225D" w:rsidRPr="0052225D" w:rsidRDefault="0052225D" w:rsidP="0052225D">
      <w:pPr>
        <w:pStyle w:val="Brdtekst"/>
        <w:ind w:left="851"/>
        <w:rPr>
          <w:sz w:val="24"/>
          <w:szCs w:val="24"/>
          <w:lang w:val="da-DK"/>
        </w:rPr>
      </w:pPr>
      <w:r w:rsidRPr="0052225D">
        <w:rPr>
          <w:sz w:val="24"/>
          <w:szCs w:val="24"/>
          <w:lang w:val="da-DK"/>
        </w:rPr>
        <w:t xml:space="preserve">Hos patienter med type IC-anfald (sekundære generaliserede tonisk-kloniske anfald) ved </w:t>
      </w:r>
      <w:r w:rsidRPr="0052225D">
        <w:rPr>
          <w:i/>
          <w:sz w:val="24"/>
          <w:szCs w:val="24"/>
          <w:lang w:val="da-DK"/>
        </w:rPr>
        <w:t xml:space="preserve">baseline </w:t>
      </w:r>
      <w:r w:rsidRPr="0052225D">
        <w:rPr>
          <w:sz w:val="24"/>
          <w:szCs w:val="24"/>
          <w:lang w:val="da-DK"/>
        </w:rPr>
        <w:t>blev der observeret forbedring af median procentvis reduktion i frekvensen af anfald pr. 28 dage (66,6 % (n=62), 61,2 % (n=100) og 82,1 % (n=75) af patienterne, som fik brivaracetam henholdsvis</w:t>
      </w:r>
      <w:r>
        <w:rPr>
          <w:sz w:val="24"/>
          <w:szCs w:val="24"/>
          <w:lang w:val="da-DK"/>
        </w:rPr>
        <w:t xml:space="preserve"> </w:t>
      </w:r>
      <w:r w:rsidRPr="0052225D">
        <w:rPr>
          <w:sz w:val="24"/>
          <w:szCs w:val="24"/>
          <w:lang w:val="da-DK"/>
        </w:rPr>
        <w:t>50 mg/dag, 100 mg/dag og 200 mg/dag sammenlignet med 33,3 % (n=115) af patienterne, som fik placebo).</w:t>
      </w:r>
    </w:p>
    <w:p w14:paraId="047FEF6B" w14:textId="77777777" w:rsidR="0052225D" w:rsidRPr="0052225D" w:rsidRDefault="0052225D" w:rsidP="0052225D">
      <w:pPr>
        <w:pStyle w:val="Brdtekst"/>
        <w:ind w:left="851"/>
        <w:rPr>
          <w:sz w:val="24"/>
          <w:szCs w:val="24"/>
          <w:lang w:val="da-DK"/>
        </w:rPr>
      </w:pPr>
    </w:p>
    <w:p w14:paraId="3B108AA1" w14:textId="77777777" w:rsidR="0052225D" w:rsidRPr="0052225D" w:rsidRDefault="0052225D" w:rsidP="0052225D">
      <w:pPr>
        <w:pStyle w:val="Brdtekst"/>
        <w:ind w:left="851"/>
        <w:rPr>
          <w:sz w:val="24"/>
          <w:szCs w:val="24"/>
          <w:lang w:val="da-DK"/>
        </w:rPr>
      </w:pPr>
      <w:r w:rsidRPr="0052225D">
        <w:rPr>
          <w:sz w:val="24"/>
          <w:szCs w:val="24"/>
          <w:lang w:val="da-DK"/>
        </w:rPr>
        <w:t>Virkningen af brivaracetam som monoterapi er ikke klarlagt. Brivaracetam anbefales ikke som monoterapi.</w:t>
      </w:r>
    </w:p>
    <w:p w14:paraId="04A30328" w14:textId="77777777" w:rsidR="0052225D" w:rsidRPr="0052225D" w:rsidRDefault="0052225D" w:rsidP="0052225D">
      <w:pPr>
        <w:pStyle w:val="Brdtekst"/>
        <w:ind w:left="851"/>
        <w:rPr>
          <w:sz w:val="24"/>
          <w:szCs w:val="24"/>
          <w:lang w:val="da-DK"/>
        </w:rPr>
      </w:pPr>
    </w:p>
    <w:p w14:paraId="7CBCBFA3" w14:textId="77777777" w:rsidR="0052225D" w:rsidRPr="0052225D" w:rsidRDefault="0052225D" w:rsidP="0052225D">
      <w:pPr>
        <w:pStyle w:val="Brdtekst"/>
        <w:ind w:left="851"/>
        <w:rPr>
          <w:sz w:val="24"/>
          <w:szCs w:val="24"/>
          <w:lang w:val="da-DK"/>
        </w:rPr>
      </w:pPr>
      <w:r w:rsidRPr="0052225D">
        <w:rPr>
          <w:sz w:val="24"/>
          <w:szCs w:val="24"/>
          <w:u w:val="single"/>
          <w:lang w:val="da-DK"/>
        </w:rPr>
        <w:t>Behandling med levetiracetam</w:t>
      </w:r>
    </w:p>
    <w:p w14:paraId="5091252F" w14:textId="77777777" w:rsidR="0052225D" w:rsidRPr="0052225D" w:rsidRDefault="0052225D" w:rsidP="0052225D">
      <w:pPr>
        <w:pStyle w:val="Brdtekst"/>
        <w:ind w:left="851"/>
        <w:rPr>
          <w:sz w:val="24"/>
          <w:szCs w:val="24"/>
          <w:lang w:val="da-DK"/>
        </w:rPr>
      </w:pPr>
      <w:r w:rsidRPr="0052225D">
        <w:rPr>
          <w:sz w:val="24"/>
          <w:szCs w:val="24"/>
          <w:lang w:val="da-DK"/>
        </w:rPr>
        <w:t xml:space="preserve">Levetiracetam blev administreret som antiepileptisk tillægsbehandling hos ca. 20 % af patienterne i to randomiserede, placebokontrollerede kliniske fase 3 studier. Selvom antallet af forsøgspersoner var begrænset, blev der ikke observeret nogen fordel hos patienter, som tog levetiracetam og fik tillægsbehandling med brivaracetam </w:t>
      </w:r>
      <w:r w:rsidRPr="0052225D">
        <w:rPr>
          <w:i/>
          <w:sz w:val="24"/>
          <w:szCs w:val="24"/>
          <w:lang w:val="da-DK"/>
        </w:rPr>
        <w:t xml:space="preserve">versus </w:t>
      </w:r>
      <w:r w:rsidRPr="0052225D">
        <w:rPr>
          <w:sz w:val="24"/>
          <w:szCs w:val="24"/>
          <w:lang w:val="da-DK"/>
        </w:rPr>
        <w:t>patienter, som tog levetiracetam og placebo, hvilket kan afspejle konkurrence ved 2V2A-bindingsstedet. Der blev ikke observeret andre sikkerheds- eller tolerabilitetsproblemer.</w:t>
      </w:r>
    </w:p>
    <w:p w14:paraId="6B4C6F3D" w14:textId="77777777" w:rsidR="0052225D" w:rsidRPr="0052225D" w:rsidRDefault="0052225D" w:rsidP="0052225D">
      <w:pPr>
        <w:pStyle w:val="Brdtekst"/>
        <w:ind w:left="851"/>
        <w:rPr>
          <w:sz w:val="24"/>
          <w:szCs w:val="24"/>
          <w:lang w:val="da-DK"/>
        </w:rPr>
      </w:pPr>
    </w:p>
    <w:p w14:paraId="6E5457F7" w14:textId="203D2530" w:rsidR="0052225D" w:rsidRDefault="0052225D" w:rsidP="0052225D">
      <w:pPr>
        <w:pStyle w:val="Brdtekst"/>
        <w:ind w:left="851"/>
        <w:rPr>
          <w:i/>
          <w:sz w:val="24"/>
          <w:szCs w:val="24"/>
          <w:lang w:val="da-DK"/>
        </w:rPr>
      </w:pPr>
      <w:r w:rsidRPr="0052225D">
        <w:rPr>
          <w:sz w:val="24"/>
          <w:szCs w:val="24"/>
          <w:lang w:val="da-DK"/>
        </w:rPr>
        <w:t xml:space="preserve">I et tredje studie viste en præspecificeret analyse virkning for 100 mg/dag og 200 mg/dag set i forhold til placebo hos patienter med tidligere eksponering for levetiracetam. Den </w:t>
      </w:r>
      <w:r w:rsidRPr="0052225D">
        <w:rPr>
          <w:sz w:val="24"/>
          <w:szCs w:val="24"/>
          <w:lang w:val="da-DK"/>
        </w:rPr>
        <w:lastRenderedPageBreak/>
        <w:t xml:space="preserve">lavere virkning observeret hos disse patienter, sammenlignet med virkningen hos patienter, som ikke tidligere havde fået levetiracetam, skyldtes sandsynligvis det større antal af tidligere anvendt antiepileptika samt højere anfaldsfrekvens ved </w:t>
      </w:r>
      <w:r w:rsidRPr="0052225D">
        <w:rPr>
          <w:i/>
          <w:sz w:val="24"/>
          <w:szCs w:val="24"/>
          <w:lang w:val="da-DK"/>
        </w:rPr>
        <w:t>baseline.</w:t>
      </w:r>
    </w:p>
    <w:p w14:paraId="64C85CA8" w14:textId="77777777" w:rsidR="0052225D" w:rsidRPr="0052225D" w:rsidRDefault="0052225D" w:rsidP="0052225D">
      <w:pPr>
        <w:pStyle w:val="Brdtekst"/>
        <w:ind w:left="851"/>
        <w:rPr>
          <w:i/>
          <w:sz w:val="24"/>
          <w:szCs w:val="24"/>
          <w:lang w:val="da-DK"/>
        </w:rPr>
      </w:pPr>
    </w:p>
    <w:p w14:paraId="34BF92A5" w14:textId="77777777" w:rsidR="0052225D" w:rsidRPr="0052225D" w:rsidRDefault="0052225D" w:rsidP="0052225D">
      <w:pPr>
        <w:ind w:left="851"/>
        <w:jc w:val="both"/>
        <w:rPr>
          <w:i/>
          <w:sz w:val="24"/>
          <w:szCs w:val="24"/>
        </w:rPr>
      </w:pPr>
      <w:r w:rsidRPr="0052225D">
        <w:rPr>
          <w:i/>
          <w:sz w:val="24"/>
          <w:szCs w:val="24"/>
        </w:rPr>
        <w:t>Ældre (65 år og derover)</w:t>
      </w:r>
    </w:p>
    <w:p w14:paraId="34699DC8" w14:textId="77777777" w:rsidR="0052225D" w:rsidRPr="0052225D" w:rsidRDefault="0052225D" w:rsidP="0052225D">
      <w:pPr>
        <w:pStyle w:val="Brdtekst"/>
        <w:ind w:left="851"/>
        <w:jc w:val="both"/>
        <w:rPr>
          <w:sz w:val="24"/>
          <w:szCs w:val="24"/>
          <w:lang w:val="da-DK"/>
        </w:rPr>
      </w:pPr>
      <w:r w:rsidRPr="0052225D">
        <w:rPr>
          <w:sz w:val="24"/>
          <w:szCs w:val="24"/>
          <w:lang w:val="da-DK"/>
        </w:rPr>
        <w:t>De tre pivotale, dobbeltblinde, placebokontrollerede kliniske studier inkluderede 38 ældre patienter i alderen 65 år til 80 år. Selvom data er begrænsede, svarede virkningen til den, som kendes fra yngre forsøgspersoner.</w:t>
      </w:r>
    </w:p>
    <w:p w14:paraId="52D6D354" w14:textId="77777777" w:rsidR="0052225D" w:rsidRPr="0052225D" w:rsidRDefault="0052225D" w:rsidP="0052225D">
      <w:pPr>
        <w:pStyle w:val="Brdtekst"/>
        <w:ind w:left="851"/>
        <w:rPr>
          <w:sz w:val="24"/>
          <w:szCs w:val="24"/>
          <w:lang w:val="da-DK"/>
        </w:rPr>
      </w:pPr>
    </w:p>
    <w:p w14:paraId="167616E8" w14:textId="77777777" w:rsidR="0052225D" w:rsidRPr="0052225D" w:rsidRDefault="0052225D" w:rsidP="0052225D">
      <w:pPr>
        <w:ind w:left="851"/>
        <w:rPr>
          <w:i/>
          <w:sz w:val="24"/>
          <w:szCs w:val="24"/>
        </w:rPr>
      </w:pPr>
      <w:r w:rsidRPr="0052225D">
        <w:rPr>
          <w:i/>
          <w:sz w:val="24"/>
          <w:szCs w:val="24"/>
        </w:rPr>
        <w:t>Åbne forlængelsesstudier</w:t>
      </w:r>
    </w:p>
    <w:p w14:paraId="4B599082" w14:textId="77777777" w:rsidR="0052225D" w:rsidRPr="0052225D" w:rsidRDefault="0052225D" w:rsidP="0052225D">
      <w:pPr>
        <w:pStyle w:val="Brdtekst"/>
        <w:ind w:left="851"/>
        <w:rPr>
          <w:sz w:val="24"/>
          <w:szCs w:val="24"/>
          <w:lang w:val="da-DK"/>
        </w:rPr>
      </w:pPr>
      <w:r w:rsidRPr="0052225D">
        <w:rPr>
          <w:sz w:val="24"/>
          <w:szCs w:val="24"/>
          <w:lang w:val="da-DK"/>
        </w:rPr>
        <w:t>På tværs af alle studier blev 81,7 % af patienterne, som gennemførte de randomiserede studier, inkluderet i længerevarende åbne forlængelsesstudier. 5,3 % af forsøgspersonerne, som fik brivaracetam i 6 måneder (n=1.500) var anfaldsfrie sammenlignet med 4,6 % og 3,7 % af forsøgspersonerne, som fik brivaracetam i henholdsvis 12 måneder (n=1.188) og 24 måneder (n=847). Men da en stor del af forsøgspersonerne (26 %) udgik fra de åbne studier på grund af manglende virkning, kan der være opstået et udvælgelsesbias, idet forsøgspersonerne, som blev i studiet, responderede bedre end dem, som havde afsluttet studiet før tid.</w:t>
      </w:r>
    </w:p>
    <w:p w14:paraId="460996FB" w14:textId="77777777" w:rsidR="0052225D" w:rsidRPr="0052225D" w:rsidRDefault="0052225D" w:rsidP="0052225D">
      <w:pPr>
        <w:pStyle w:val="Brdtekst"/>
        <w:ind w:left="851"/>
        <w:rPr>
          <w:sz w:val="24"/>
          <w:szCs w:val="24"/>
          <w:lang w:val="da-DK"/>
        </w:rPr>
      </w:pPr>
      <w:r w:rsidRPr="0052225D">
        <w:rPr>
          <w:sz w:val="24"/>
          <w:szCs w:val="24"/>
          <w:lang w:val="da-DK"/>
        </w:rPr>
        <w:t>Hos patienter, som blev fulgt i op til 8 år i åbne forlængelsesstudier, svarede sikkerhedsprofilen til den, som blev observeret i de korterevarende, placebokontrollerede kliniske studier.</w:t>
      </w:r>
    </w:p>
    <w:p w14:paraId="78F1E728" w14:textId="77777777" w:rsidR="0052225D" w:rsidRPr="0052225D" w:rsidRDefault="0052225D" w:rsidP="0052225D">
      <w:pPr>
        <w:pStyle w:val="Brdtekst"/>
        <w:ind w:left="851"/>
        <w:rPr>
          <w:sz w:val="24"/>
          <w:szCs w:val="24"/>
          <w:lang w:val="da-DK"/>
        </w:rPr>
      </w:pPr>
    </w:p>
    <w:p w14:paraId="733DF0C6" w14:textId="77777777" w:rsidR="0052225D" w:rsidRPr="0052225D" w:rsidRDefault="0052225D" w:rsidP="0052225D">
      <w:pPr>
        <w:pStyle w:val="Brdtekst"/>
        <w:ind w:left="851"/>
        <w:rPr>
          <w:sz w:val="24"/>
          <w:szCs w:val="24"/>
          <w:lang w:val="da-DK"/>
        </w:rPr>
      </w:pPr>
      <w:r w:rsidRPr="0052225D">
        <w:rPr>
          <w:sz w:val="24"/>
          <w:szCs w:val="24"/>
          <w:u w:val="single"/>
          <w:lang w:val="da-DK"/>
        </w:rPr>
        <w:t>Pædiatrisk population</w:t>
      </w:r>
    </w:p>
    <w:p w14:paraId="14229F27" w14:textId="77777777" w:rsidR="0052225D" w:rsidRPr="0052225D" w:rsidRDefault="0052225D" w:rsidP="0052225D">
      <w:pPr>
        <w:pStyle w:val="Brdtekst"/>
        <w:ind w:left="851"/>
        <w:rPr>
          <w:sz w:val="24"/>
          <w:szCs w:val="24"/>
          <w:lang w:val="da-DK"/>
        </w:rPr>
      </w:pPr>
      <w:r w:rsidRPr="0052225D">
        <w:rPr>
          <w:sz w:val="24"/>
          <w:szCs w:val="24"/>
          <w:lang w:val="da-DK"/>
        </w:rPr>
        <w:t>Hos børn på 2 år eller derover svarer patofysiologien af de partielle anfald til dem, der ses hos unge og voksne. Erfaring med epilepsilægemidler indikerer, at resultaterne af effektstudier udført hos voksne kan ekstrapoleres til børn ned til en alder på 2 år, forudsat den pædiatriske dosistilpasning er fastslået, og sikkerheden er påvist (se pkt. 5.2 og 4.8). Doser hos patienter fra 2 år blev bestemt ved dosistilpasning baseret på vægt, hvilket er påvist at føre til tilsvarende plasmakoncentrationer som set hos voksne, der tager en effektiv dosis (pkt. 5.2).</w:t>
      </w:r>
    </w:p>
    <w:p w14:paraId="0F406919" w14:textId="77777777" w:rsidR="0052225D" w:rsidRPr="0052225D" w:rsidRDefault="0052225D" w:rsidP="0052225D">
      <w:pPr>
        <w:pStyle w:val="Brdtekst"/>
        <w:ind w:left="851"/>
        <w:rPr>
          <w:sz w:val="24"/>
          <w:szCs w:val="24"/>
          <w:lang w:val="da-DK"/>
        </w:rPr>
      </w:pPr>
    </w:p>
    <w:p w14:paraId="3E9520D4" w14:textId="4EE4FDC2" w:rsidR="0052225D" w:rsidRPr="0052225D" w:rsidRDefault="0052225D" w:rsidP="0052225D">
      <w:pPr>
        <w:pStyle w:val="Brdtekst"/>
        <w:ind w:left="851"/>
        <w:rPr>
          <w:sz w:val="24"/>
          <w:szCs w:val="24"/>
          <w:lang w:val="da-DK"/>
        </w:rPr>
      </w:pPr>
      <w:r w:rsidRPr="0052225D">
        <w:rPr>
          <w:sz w:val="24"/>
          <w:szCs w:val="24"/>
          <w:lang w:val="da-DK"/>
        </w:rPr>
        <w:t>Et længerevarende, ukontrolleret åbent sikkerhedsstudie inkluderede børn (fra 1 måned til under 16 år), som fortsatte behandling efter fuldførelse af farmakokinetik-studiet (se pkt. 5.2), børn som</w:t>
      </w:r>
      <w:r>
        <w:rPr>
          <w:sz w:val="24"/>
          <w:szCs w:val="24"/>
          <w:lang w:val="da-DK"/>
        </w:rPr>
        <w:t xml:space="preserve"> </w:t>
      </w:r>
      <w:r w:rsidRPr="0052225D">
        <w:rPr>
          <w:sz w:val="24"/>
          <w:szCs w:val="24"/>
          <w:lang w:val="da-DK"/>
        </w:rPr>
        <w:t>fortsatte behandling efter fuldførelse af i.v. (intravenøst)-sikkerhedsstudiet, og børn, der indgik direkte i sikkerhedsstudiet. Børn, som indgik direkte, fik en startdosis af brivaracetam på 1 mg/kg/dag, som blev øget op til 5 mg/kg/dag, afhængigt af respons og tolerabilitet, ved at fordoble dosen med ugentlige intervaller. Ingen børn fik en dosis på mere end 200 mg/dag. For børn, som vejede 50 kg eller derover, var startdosen af brivaracetam 50 mg/dag, som, afhængigt af respons og tolerabilitet blev øget op til højst 200 mg/dag med ugentlige forhøjelser på 50</w:t>
      </w:r>
      <w:r w:rsidRPr="0052225D">
        <w:rPr>
          <w:spacing w:val="-12"/>
          <w:sz w:val="24"/>
          <w:szCs w:val="24"/>
          <w:lang w:val="da-DK"/>
        </w:rPr>
        <w:t xml:space="preserve"> </w:t>
      </w:r>
      <w:r w:rsidRPr="0052225D">
        <w:rPr>
          <w:sz w:val="24"/>
          <w:szCs w:val="24"/>
          <w:lang w:val="da-DK"/>
        </w:rPr>
        <w:t>mg/dag.</w:t>
      </w:r>
    </w:p>
    <w:p w14:paraId="7A194465" w14:textId="77777777" w:rsidR="0052225D" w:rsidRPr="0052225D" w:rsidRDefault="0052225D" w:rsidP="0052225D">
      <w:pPr>
        <w:pStyle w:val="Brdtekst"/>
        <w:ind w:left="851"/>
        <w:rPr>
          <w:sz w:val="24"/>
          <w:szCs w:val="24"/>
          <w:lang w:val="da-DK"/>
        </w:rPr>
      </w:pPr>
    </w:p>
    <w:p w14:paraId="63CE31BB" w14:textId="79422FD0" w:rsidR="0052225D" w:rsidRPr="0052225D" w:rsidRDefault="0052225D" w:rsidP="0052225D">
      <w:pPr>
        <w:pStyle w:val="Brdtekst"/>
        <w:ind w:left="851"/>
        <w:rPr>
          <w:sz w:val="24"/>
          <w:szCs w:val="24"/>
          <w:lang w:val="da-DK"/>
        </w:rPr>
      </w:pPr>
      <w:r w:rsidRPr="0052225D">
        <w:rPr>
          <w:sz w:val="24"/>
          <w:szCs w:val="24"/>
          <w:lang w:val="da-DK"/>
        </w:rPr>
        <w:t>I alt har 186 børn med POS i alderen fra 1 måned til &lt; 16 år fået brivaracetam i de åbne sikkerheds- og farmakokinetik-studier som tillægsbehandling, hvoraf 149 er blevet behandlet i ≥ 3 måneder, 138 i</w:t>
      </w:r>
      <w:r>
        <w:rPr>
          <w:sz w:val="24"/>
          <w:szCs w:val="24"/>
          <w:lang w:val="da-DK"/>
        </w:rPr>
        <w:t xml:space="preserve"> </w:t>
      </w:r>
      <w:r w:rsidRPr="0052225D">
        <w:rPr>
          <w:sz w:val="24"/>
          <w:szCs w:val="24"/>
          <w:lang w:val="da-DK"/>
        </w:rPr>
        <w:t>≥ 6 måneder, 123 i ≥ 12 måneder, 107 i ≥ 24 måneder og 90 i ≥ 36 måneder.</w:t>
      </w:r>
    </w:p>
    <w:p w14:paraId="7856BCE1" w14:textId="77777777" w:rsidR="0052225D" w:rsidRPr="0052225D" w:rsidRDefault="0052225D" w:rsidP="0052225D">
      <w:pPr>
        <w:pStyle w:val="Brdtekst"/>
        <w:ind w:left="851"/>
        <w:rPr>
          <w:sz w:val="24"/>
          <w:szCs w:val="24"/>
          <w:lang w:val="da-DK"/>
        </w:rPr>
      </w:pPr>
    </w:p>
    <w:p w14:paraId="3298FDCC" w14:textId="77777777" w:rsidR="0052225D" w:rsidRPr="0052225D" w:rsidRDefault="0052225D" w:rsidP="0052225D">
      <w:pPr>
        <w:pStyle w:val="Brdtekst"/>
        <w:ind w:left="851"/>
        <w:rPr>
          <w:sz w:val="24"/>
          <w:szCs w:val="24"/>
          <w:lang w:val="da-DK"/>
        </w:rPr>
      </w:pPr>
      <w:r w:rsidRPr="0052225D">
        <w:rPr>
          <w:sz w:val="24"/>
          <w:szCs w:val="24"/>
          <w:lang w:val="da-DK"/>
        </w:rPr>
        <w:t>Det Europæiske Lægemiddelagentur har udsat forpligtelsen til at fremlægge resultaterne af studier med brivaracetam i en eller flere undergrupper af den pædiatriske population ved epilepsi med partielle anfald (se pkt. 4.2 for oplysninger om pædiatrisk anvendelse).</w:t>
      </w:r>
    </w:p>
    <w:p w14:paraId="3B3E674C" w14:textId="7DC81A9E" w:rsidR="00085437" w:rsidRDefault="00085437">
      <w:pPr>
        <w:rPr>
          <w:sz w:val="24"/>
          <w:szCs w:val="24"/>
        </w:rPr>
      </w:pPr>
      <w:r>
        <w:rPr>
          <w:sz w:val="24"/>
          <w:szCs w:val="24"/>
        </w:rPr>
        <w:br w:type="page"/>
      </w:r>
    </w:p>
    <w:p w14:paraId="00B21BB5" w14:textId="77777777" w:rsidR="009260DE" w:rsidRPr="0052225D" w:rsidRDefault="009260DE" w:rsidP="0052225D">
      <w:pPr>
        <w:tabs>
          <w:tab w:val="left" w:pos="851"/>
        </w:tabs>
        <w:ind w:left="851"/>
        <w:rPr>
          <w:sz w:val="24"/>
          <w:szCs w:val="24"/>
        </w:rPr>
      </w:pPr>
    </w:p>
    <w:p w14:paraId="640D939E" w14:textId="77777777" w:rsidR="009260DE" w:rsidRPr="00C84483" w:rsidRDefault="009260DE" w:rsidP="0052225D">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19687A9B" w14:textId="77777777" w:rsidR="00085437" w:rsidRPr="00085437" w:rsidRDefault="00085437" w:rsidP="00085437">
      <w:pPr>
        <w:tabs>
          <w:tab w:val="left" w:pos="851"/>
        </w:tabs>
        <w:ind w:left="851"/>
        <w:rPr>
          <w:sz w:val="24"/>
          <w:szCs w:val="24"/>
        </w:rPr>
      </w:pPr>
      <w:r w:rsidRPr="00085437">
        <w:rPr>
          <w:sz w:val="24"/>
          <w:szCs w:val="24"/>
        </w:rPr>
        <w:t>Brivaracetam filmovertrukne tabletter, oral opløsning og injektionsvæske, opløsning viser samme AUC, mens den maksimale plasmakoncentration er lidt højere efter intravenøs administration.</w:t>
      </w:r>
    </w:p>
    <w:p w14:paraId="58345A9C" w14:textId="4BDDAF6B" w:rsidR="00085437" w:rsidRDefault="00085437" w:rsidP="00085437">
      <w:pPr>
        <w:tabs>
          <w:tab w:val="left" w:pos="851"/>
        </w:tabs>
        <w:ind w:left="851"/>
        <w:rPr>
          <w:sz w:val="24"/>
          <w:szCs w:val="24"/>
        </w:rPr>
      </w:pPr>
      <w:r w:rsidRPr="00085437">
        <w:rPr>
          <w:sz w:val="24"/>
          <w:szCs w:val="24"/>
        </w:rPr>
        <w:t>Brivaracetam udviser lineær og tidsuafhængig farmakokinetik med lav intra- og interindividuel variation, samt komplet absorption, meget lav proteinbinding, renal udskillelse efter omfattende biotransformation og farmakologisk inaktive metabolitter.</w:t>
      </w:r>
    </w:p>
    <w:p w14:paraId="129F6C59" w14:textId="77777777" w:rsidR="00085437" w:rsidRPr="00085437" w:rsidRDefault="00085437" w:rsidP="00085437">
      <w:pPr>
        <w:tabs>
          <w:tab w:val="left" w:pos="851"/>
        </w:tabs>
        <w:ind w:left="851"/>
        <w:rPr>
          <w:sz w:val="24"/>
          <w:szCs w:val="24"/>
        </w:rPr>
      </w:pPr>
    </w:p>
    <w:p w14:paraId="6B84E564" w14:textId="77777777" w:rsidR="00085437" w:rsidRPr="00085437" w:rsidRDefault="00085437" w:rsidP="00085437">
      <w:pPr>
        <w:tabs>
          <w:tab w:val="left" w:pos="851"/>
        </w:tabs>
        <w:ind w:left="851"/>
        <w:rPr>
          <w:sz w:val="24"/>
          <w:szCs w:val="24"/>
        </w:rPr>
      </w:pPr>
      <w:r w:rsidRPr="00085437">
        <w:rPr>
          <w:sz w:val="24"/>
          <w:szCs w:val="24"/>
          <w:u w:val="single"/>
        </w:rPr>
        <w:t>Absorption</w:t>
      </w:r>
    </w:p>
    <w:p w14:paraId="7C6AAB30" w14:textId="77777777" w:rsidR="00085437" w:rsidRPr="00085437" w:rsidRDefault="00085437" w:rsidP="00085437">
      <w:pPr>
        <w:tabs>
          <w:tab w:val="left" w:pos="851"/>
        </w:tabs>
        <w:ind w:left="851"/>
        <w:rPr>
          <w:sz w:val="24"/>
          <w:szCs w:val="24"/>
        </w:rPr>
      </w:pPr>
      <w:r w:rsidRPr="00085437">
        <w:rPr>
          <w:sz w:val="24"/>
          <w:szCs w:val="24"/>
        </w:rPr>
        <w:t>Brivaracetam absorberes hurtig og fuldstændigt efter oral administration og den absolutte biotilgængelighed er ca. 100 %. Median tmax for tabletter, som tages uden mad, er 1 time (tmax interval er 0,25 til 3 timer).</w:t>
      </w:r>
    </w:p>
    <w:p w14:paraId="23364EC5" w14:textId="77777777" w:rsidR="00085437" w:rsidRPr="00085437" w:rsidRDefault="00085437" w:rsidP="00085437">
      <w:pPr>
        <w:tabs>
          <w:tab w:val="left" w:pos="851"/>
        </w:tabs>
        <w:ind w:left="851"/>
        <w:rPr>
          <w:sz w:val="24"/>
          <w:szCs w:val="24"/>
        </w:rPr>
      </w:pPr>
      <w:r w:rsidRPr="00085437">
        <w:rPr>
          <w:sz w:val="24"/>
          <w:szCs w:val="24"/>
        </w:rPr>
        <w:t>Samtidig administration med et fedtrigt måltid bremsede absorptionsraten (median tmax 3 timer) og sænkede den maksimale plasmakoncentration (37 % lavere) af brivaracetam, mens absorptionsgraden forblev uændret.</w:t>
      </w:r>
    </w:p>
    <w:p w14:paraId="757898A1" w14:textId="77777777" w:rsidR="00085437" w:rsidRPr="00085437" w:rsidRDefault="00085437" w:rsidP="00085437">
      <w:pPr>
        <w:tabs>
          <w:tab w:val="left" w:pos="851"/>
        </w:tabs>
        <w:ind w:left="851"/>
        <w:rPr>
          <w:sz w:val="24"/>
          <w:szCs w:val="24"/>
        </w:rPr>
      </w:pPr>
    </w:p>
    <w:p w14:paraId="2E845A1E" w14:textId="77777777" w:rsidR="00085437" w:rsidRPr="00085437" w:rsidRDefault="00085437" w:rsidP="00085437">
      <w:pPr>
        <w:tabs>
          <w:tab w:val="left" w:pos="851"/>
        </w:tabs>
        <w:ind w:left="851"/>
        <w:rPr>
          <w:sz w:val="24"/>
          <w:szCs w:val="24"/>
        </w:rPr>
      </w:pPr>
      <w:r w:rsidRPr="00085437">
        <w:rPr>
          <w:sz w:val="24"/>
          <w:szCs w:val="24"/>
          <w:u w:val="single"/>
        </w:rPr>
        <w:t>Fordeling</w:t>
      </w:r>
    </w:p>
    <w:p w14:paraId="61877882" w14:textId="77777777" w:rsidR="00085437" w:rsidRPr="00085437" w:rsidRDefault="00085437" w:rsidP="00085437">
      <w:pPr>
        <w:tabs>
          <w:tab w:val="left" w:pos="851"/>
        </w:tabs>
        <w:ind w:left="851"/>
        <w:rPr>
          <w:sz w:val="24"/>
          <w:szCs w:val="24"/>
        </w:rPr>
      </w:pPr>
      <w:r w:rsidRPr="00085437">
        <w:rPr>
          <w:sz w:val="24"/>
          <w:szCs w:val="24"/>
        </w:rPr>
        <w:t>Brivaracetam bindes svagt (≤20 %) til plasmaproteiner. Fordelingsvolumen er 0,5 l/kg, en værdi, der ligger tæt på kroppens totale vandindhold.</w:t>
      </w:r>
    </w:p>
    <w:p w14:paraId="390F6EA7" w14:textId="77777777" w:rsidR="00085437" w:rsidRDefault="00085437" w:rsidP="00085437">
      <w:pPr>
        <w:tabs>
          <w:tab w:val="left" w:pos="851"/>
        </w:tabs>
        <w:ind w:left="851"/>
        <w:rPr>
          <w:sz w:val="24"/>
          <w:szCs w:val="24"/>
        </w:rPr>
      </w:pPr>
      <w:r w:rsidRPr="00085437">
        <w:rPr>
          <w:sz w:val="24"/>
          <w:szCs w:val="24"/>
        </w:rPr>
        <w:t xml:space="preserve">På grund af dets lipofilicitet (Log P) har brivaracetam en høj cellemembranpermeabititet. </w:t>
      </w:r>
    </w:p>
    <w:p w14:paraId="5AB2682E" w14:textId="77777777" w:rsidR="00085437" w:rsidRDefault="00085437" w:rsidP="00085437">
      <w:pPr>
        <w:tabs>
          <w:tab w:val="left" w:pos="851"/>
        </w:tabs>
        <w:ind w:left="851"/>
        <w:rPr>
          <w:sz w:val="24"/>
          <w:szCs w:val="24"/>
          <w:u w:val="single"/>
        </w:rPr>
      </w:pPr>
    </w:p>
    <w:p w14:paraId="252706B1" w14:textId="2014D815" w:rsidR="00085437" w:rsidRPr="00085437" w:rsidRDefault="00085437" w:rsidP="00085437">
      <w:pPr>
        <w:tabs>
          <w:tab w:val="left" w:pos="851"/>
        </w:tabs>
        <w:ind w:left="851"/>
        <w:rPr>
          <w:sz w:val="24"/>
          <w:szCs w:val="24"/>
        </w:rPr>
      </w:pPr>
      <w:r w:rsidRPr="00085437">
        <w:rPr>
          <w:sz w:val="24"/>
          <w:szCs w:val="24"/>
          <w:u w:val="single"/>
        </w:rPr>
        <w:t>Biotransformation</w:t>
      </w:r>
    </w:p>
    <w:p w14:paraId="452AB2D4" w14:textId="68939065" w:rsidR="00085437" w:rsidRPr="00085437" w:rsidRDefault="00085437" w:rsidP="00085437">
      <w:pPr>
        <w:tabs>
          <w:tab w:val="left" w:pos="851"/>
        </w:tabs>
        <w:ind w:left="851"/>
        <w:rPr>
          <w:sz w:val="24"/>
          <w:szCs w:val="24"/>
        </w:rPr>
      </w:pPr>
      <w:r w:rsidRPr="00085437">
        <w:rPr>
          <w:sz w:val="24"/>
          <w:szCs w:val="24"/>
        </w:rPr>
        <w:t>Brivaracetam metaboliseres primært ved hydrolyse af amid-delen til dannelse af den tilsvarende carboxylsyre (ca. 60 % af udskillelsen), og sekundært ved hydroxylering af propyl-sidekæden (ca.</w:t>
      </w:r>
      <w:r>
        <w:rPr>
          <w:sz w:val="24"/>
          <w:szCs w:val="24"/>
        </w:rPr>
        <w:t xml:space="preserve"> </w:t>
      </w:r>
      <w:r w:rsidRPr="00085437">
        <w:rPr>
          <w:sz w:val="24"/>
          <w:szCs w:val="24"/>
        </w:rPr>
        <w:t xml:space="preserve">30 % af udskillelsen). Hydrolysen af amid-delen som danner carboxylsyre-metabolitten (34 % af dosis i urinen) understøttes af hepatisk og ekstrahepatisk amidase. Hydroxyleringen af brivaracetam medieres primært af CYP2C19 </w:t>
      </w:r>
      <w:r w:rsidRPr="00085437">
        <w:rPr>
          <w:i/>
          <w:sz w:val="24"/>
          <w:szCs w:val="24"/>
        </w:rPr>
        <w:t>in vitro</w:t>
      </w:r>
      <w:r w:rsidRPr="00085437">
        <w:rPr>
          <w:sz w:val="24"/>
          <w:szCs w:val="24"/>
        </w:rPr>
        <w:t xml:space="preserve">. Begge metabolitter metaboliseres yderligere til en almindelig hydroxyleret syre dannet fortrinsvist ved hydroxylering af propyl-sidekæden på carboxylsyre- metabolitten (hovedsageligt af CYP2C9). </w:t>
      </w:r>
      <w:r w:rsidRPr="00085437">
        <w:rPr>
          <w:i/>
          <w:sz w:val="24"/>
          <w:szCs w:val="24"/>
        </w:rPr>
        <w:t xml:space="preserve">In vivo </w:t>
      </w:r>
      <w:r w:rsidRPr="00085437">
        <w:rPr>
          <w:sz w:val="24"/>
          <w:szCs w:val="24"/>
        </w:rPr>
        <w:t>falder produktionen af hydroxymetabolitten tifoldigt hos mennesker, der har ineffektive mutationer af CYP2C19, mens brivaracetam selv stiger med 22 % eller 42 % hos personer, hvor et eller begge alleler er muteret. De tre metabolitter er ikke farmakologisk aktive.</w:t>
      </w:r>
    </w:p>
    <w:p w14:paraId="121B4A48" w14:textId="77777777" w:rsidR="00085437" w:rsidRPr="00085437" w:rsidRDefault="00085437" w:rsidP="00085437">
      <w:pPr>
        <w:tabs>
          <w:tab w:val="left" w:pos="851"/>
        </w:tabs>
        <w:ind w:left="851"/>
        <w:rPr>
          <w:sz w:val="24"/>
          <w:szCs w:val="24"/>
        </w:rPr>
      </w:pPr>
    </w:p>
    <w:p w14:paraId="3BFD68C6" w14:textId="77777777" w:rsidR="00085437" w:rsidRPr="00085437" w:rsidRDefault="00085437" w:rsidP="00085437">
      <w:pPr>
        <w:tabs>
          <w:tab w:val="left" w:pos="851"/>
        </w:tabs>
        <w:ind w:left="851"/>
        <w:rPr>
          <w:sz w:val="24"/>
          <w:szCs w:val="24"/>
        </w:rPr>
      </w:pPr>
      <w:r w:rsidRPr="00085437">
        <w:rPr>
          <w:sz w:val="24"/>
          <w:szCs w:val="24"/>
          <w:u w:val="single"/>
        </w:rPr>
        <w:t>Elimination</w:t>
      </w:r>
    </w:p>
    <w:p w14:paraId="10CBB3BC" w14:textId="77777777" w:rsidR="00085437" w:rsidRPr="00085437" w:rsidRDefault="00085437" w:rsidP="00085437">
      <w:pPr>
        <w:tabs>
          <w:tab w:val="left" w:pos="851"/>
        </w:tabs>
        <w:ind w:left="851"/>
        <w:rPr>
          <w:sz w:val="24"/>
          <w:szCs w:val="24"/>
        </w:rPr>
      </w:pPr>
      <w:r w:rsidRPr="00085437">
        <w:rPr>
          <w:sz w:val="24"/>
          <w:szCs w:val="24"/>
        </w:rPr>
        <w:t>Brivaracetam elimineres primært ved metabolisme og ved udskillelse via urinen. Mere end 95 % af dosis, inklusive metabolitter, udskilles i urinen inden for 72 timer efter indtagelse. Mindre end 1 % af dosis udskilles i fæces og mindre end 10 % af brivaracetam udskilles uomdannet i urinen. Den terminale plasmahalveringstid (t1/2) er ca. 9 timer. Den totale plasmaclearance hos patienter blev anslået til at være 3,6 l/t.</w:t>
      </w:r>
    </w:p>
    <w:p w14:paraId="71BAE280" w14:textId="77777777" w:rsidR="00085437" w:rsidRPr="00085437" w:rsidRDefault="00085437" w:rsidP="00085437">
      <w:pPr>
        <w:tabs>
          <w:tab w:val="left" w:pos="851"/>
        </w:tabs>
        <w:ind w:left="851"/>
        <w:rPr>
          <w:sz w:val="24"/>
          <w:szCs w:val="24"/>
        </w:rPr>
      </w:pPr>
    </w:p>
    <w:p w14:paraId="299032FA" w14:textId="77777777" w:rsidR="00085437" w:rsidRPr="00085437" w:rsidRDefault="00085437" w:rsidP="00085437">
      <w:pPr>
        <w:tabs>
          <w:tab w:val="left" w:pos="851"/>
        </w:tabs>
        <w:ind w:left="851"/>
        <w:rPr>
          <w:sz w:val="24"/>
          <w:szCs w:val="24"/>
        </w:rPr>
      </w:pPr>
      <w:r w:rsidRPr="00085437">
        <w:rPr>
          <w:sz w:val="24"/>
          <w:szCs w:val="24"/>
          <w:u w:val="single"/>
        </w:rPr>
        <w:t>Linearitet</w:t>
      </w:r>
    </w:p>
    <w:p w14:paraId="2773FE32" w14:textId="77777777" w:rsidR="00085437" w:rsidRDefault="00085437" w:rsidP="00085437">
      <w:pPr>
        <w:tabs>
          <w:tab w:val="left" w:pos="851"/>
        </w:tabs>
        <w:ind w:left="851"/>
        <w:rPr>
          <w:sz w:val="24"/>
          <w:szCs w:val="24"/>
        </w:rPr>
      </w:pPr>
      <w:r w:rsidRPr="00085437">
        <w:rPr>
          <w:sz w:val="24"/>
          <w:szCs w:val="24"/>
        </w:rPr>
        <w:t>Farmakokinetikken er proportional med dosis fra 10 til mindst 600 mg.</w:t>
      </w:r>
    </w:p>
    <w:p w14:paraId="0FB2BC3E" w14:textId="77777777" w:rsidR="00085437" w:rsidRDefault="00085437" w:rsidP="00085437">
      <w:pPr>
        <w:tabs>
          <w:tab w:val="left" w:pos="851"/>
        </w:tabs>
        <w:ind w:left="851"/>
        <w:rPr>
          <w:sz w:val="24"/>
          <w:szCs w:val="24"/>
          <w:u w:val="single"/>
        </w:rPr>
      </w:pPr>
    </w:p>
    <w:p w14:paraId="545571C8" w14:textId="27EB79F7" w:rsidR="00085437" w:rsidRPr="00085437" w:rsidRDefault="00085437" w:rsidP="00085437">
      <w:pPr>
        <w:tabs>
          <w:tab w:val="left" w:pos="851"/>
        </w:tabs>
        <w:ind w:left="851"/>
        <w:rPr>
          <w:sz w:val="24"/>
          <w:szCs w:val="24"/>
        </w:rPr>
      </w:pPr>
      <w:r w:rsidRPr="00085437">
        <w:rPr>
          <w:sz w:val="24"/>
          <w:szCs w:val="24"/>
          <w:u w:val="single"/>
        </w:rPr>
        <w:t>Interaktion med andre lægemidler</w:t>
      </w:r>
    </w:p>
    <w:p w14:paraId="6CFAD634" w14:textId="77777777" w:rsidR="00085437" w:rsidRPr="00085437" w:rsidRDefault="00085437" w:rsidP="00085437">
      <w:pPr>
        <w:tabs>
          <w:tab w:val="left" w:pos="851"/>
        </w:tabs>
        <w:ind w:left="851"/>
        <w:rPr>
          <w:sz w:val="24"/>
          <w:szCs w:val="24"/>
        </w:rPr>
      </w:pPr>
      <w:r w:rsidRPr="00085437">
        <w:rPr>
          <w:sz w:val="24"/>
          <w:szCs w:val="24"/>
        </w:rPr>
        <w:t xml:space="preserve">Brivaracetam udskilles via flere veje, inklusive renal udskillelse, non-CYP-medieret hydrolyse og CYP-medieret oxidation. </w:t>
      </w:r>
      <w:r w:rsidRPr="00085437">
        <w:rPr>
          <w:i/>
          <w:sz w:val="24"/>
          <w:szCs w:val="24"/>
        </w:rPr>
        <w:t xml:space="preserve">In vitro </w:t>
      </w:r>
      <w:r w:rsidRPr="00085437">
        <w:rPr>
          <w:sz w:val="24"/>
          <w:szCs w:val="24"/>
        </w:rPr>
        <w:t>er brivaracetam ikke et substrat af humant P-glycoprotein (P-gp), multimedicinske resistensproteiner (MRP) 1 og 2, og sandsynligvis ikke organisk anion-transporter polypeptid 1B1 (OATP1B1) og OATP1B3.</w:t>
      </w:r>
    </w:p>
    <w:p w14:paraId="6DF86CD8" w14:textId="77777777" w:rsidR="00085437" w:rsidRPr="00085437" w:rsidRDefault="00085437" w:rsidP="00085437">
      <w:pPr>
        <w:tabs>
          <w:tab w:val="left" w:pos="851"/>
        </w:tabs>
        <w:ind w:left="851"/>
        <w:rPr>
          <w:sz w:val="24"/>
          <w:szCs w:val="24"/>
        </w:rPr>
      </w:pPr>
      <w:r w:rsidRPr="00085437">
        <w:rPr>
          <w:i/>
          <w:sz w:val="24"/>
          <w:szCs w:val="24"/>
        </w:rPr>
        <w:lastRenderedPageBreak/>
        <w:t>In vitro-</w:t>
      </w:r>
      <w:r w:rsidRPr="00085437">
        <w:rPr>
          <w:sz w:val="24"/>
          <w:szCs w:val="24"/>
        </w:rPr>
        <w:t>tests viste, at brivaracetam eksponering ikke burde blive signifikant påvirket af CYP (f.eks. CYP1A, CYP2C8, CYP2C9, CYP2D6 og CYP3A4) inhibitorer.</w:t>
      </w:r>
    </w:p>
    <w:p w14:paraId="6E74804B" w14:textId="77777777" w:rsidR="00085437" w:rsidRPr="00085437" w:rsidRDefault="00085437" w:rsidP="00085437">
      <w:pPr>
        <w:tabs>
          <w:tab w:val="left" w:pos="851"/>
        </w:tabs>
        <w:ind w:left="851"/>
        <w:rPr>
          <w:sz w:val="24"/>
          <w:szCs w:val="24"/>
        </w:rPr>
      </w:pPr>
    </w:p>
    <w:p w14:paraId="4718405A" w14:textId="68AE0C06" w:rsidR="00085437" w:rsidRDefault="00085437" w:rsidP="00085437">
      <w:pPr>
        <w:tabs>
          <w:tab w:val="left" w:pos="851"/>
        </w:tabs>
        <w:ind w:left="851"/>
        <w:rPr>
          <w:sz w:val="24"/>
          <w:szCs w:val="24"/>
        </w:rPr>
      </w:pPr>
      <w:r w:rsidRPr="00085437">
        <w:rPr>
          <w:i/>
          <w:sz w:val="24"/>
          <w:szCs w:val="24"/>
        </w:rPr>
        <w:t>In vitro</w:t>
      </w:r>
      <w:r w:rsidRPr="00085437">
        <w:rPr>
          <w:sz w:val="24"/>
          <w:szCs w:val="24"/>
        </w:rPr>
        <w:t>, var brivaracetam ikke inhibitor af CYP1A2, CYP2A6, CYP2B6, CYP2C8, CYP2C9, CYP2D6, CYP3A4 eller transporterne P-gb, BCRP, BSEP, MRP2, MATE-K, MATE-1, OATP1B1,</w:t>
      </w:r>
      <w:r>
        <w:rPr>
          <w:sz w:val="24"/>
          <w:szCs w:val="24"/>
        </w:rPr>
        <w:t xml:space="preserve"> </w:t>
      </w:r>
      <w:r w:rsidRPr="00085437">
        <w:rPr>
          <w:sz w:val="24"/>
          <w:szCs w:val="24"/>
        </w:rPr>
        <w:t xml:space="preserve">OATP1B3, OAT1 og OCT1 ved kliniske relevante koncentrationer. Brivaracetam inducerede ikke CYP1A2 </w:t>
      </w:r>
      <w:r w:rsidRPr="00085437">
        <w:rPr>
          <w:i/>
          <w:sz w:val="24"/>
          <w:szCs w:val="24"/>
        </w:rPr>
        <w:t>in vitro</w:t>
      </w:r>
      <w:r w:rsidRPr="00085437">
        <w:rPr>
          <w:sz w:val="24"/>
          <w:szCs w:val="24"/>
        </w:rPr>
        <w:t>.</w:t>
      </w:r>
    </w:p>
    <w:p w14:paraId="781041EE" w14:textId="77777777" w:rsidR="00085437" w:rsidRPr="00085437" w:rsidRDefault="00085437" w:rsidP="00085437">
      <w:pPr>
        <w:tabs>
          <w:tab w:val="left" w:pos="851"/>
        </w:tabs>
        <w:ind w:left="851"/>
        <w:rPr>
          <w:sz w:val="24"/>
          <w:szCs w:val="24"/>
        </w:rPr>
      </w:pPr>
    </w:p>
    <w:p w14:paraId="0869A35A" w14:textId="77777777" w:rsidR="00085437" w:rsidRPr="00085437" w:rsidRDefault="00085437" w:rsidP="00085437">
      <w:pPr>
        <w:tabs>
          <w:tab w:val="left" w:pos="851"/>
        </w:tabs>
        <w:ind w:left="851"/>
        <w:rPr>
          <w:sz w:val="24"/>
          <w:szCs w:val="24"/>
        </w:rPr>
      </w:pPr>
      <w:r w:rsidRPr="00085437">
        <w:rPr>
          <w:sz w:val="24"/>
          <w:szCs w:val="24"/>
          <w:u w:val="single"/>
        </w:rPr>
        <w:t>Farmakokinetiske forhold hos specielle patientgrupper</w:t>
      </w:r>
    </w:p>
    <w:p w14:paraId="57AC6153" w14:textId="77777777" w:rsidR="00085437" w:rsidRPr="00085437" w:rsidRDefault="00085437" w:rsidP="00085437">
      <w:pPr>
        <w:tabs>
          <w:tab w:val="left" w:pos="851"/>
        </w:tabs>
        <w:ind w:left="851"/>
        <w:rPr>
          <w:sz w:val="24"/>
          <w:szCs w:val="24"/>
        </w:rPr>
      </w:pPr>
    </w:p>
    <w:p w14:paraId="0B1E9EBF" w14:textId="77777777" w:rsidR="00085437" w:rsidRPr="00085437" w:rsidRDefault="00085437" w:rsidP="00085437">
      <w:pPr>
        <w:tabs>
          <w:tab w:val="left" w:pos="851"/>
        </w:tabs>
        <w:ind w:left="851"/>
        <w:rPr>
          <w:i/>
          <w:sz w:val="24"/>
          <w:szCs w:val="24"/>
        </w:rPr>
      </w:pPr>
      <w:r w:rsidRPr="00085437">
        <w:rPr>
          <w:i/>
          <w:sz w:val="24"/>
          <w:szCs w:val="24"/>
        </w:rPr>
        <w:t>Ældre (65 år og derover)</w:t>
      </w:r>
    </w:p>
    <w:p w14:paraId="55292FA5" w14:textId="77128A79" w:rsidR="00085437" w:rsidRPr="00085437" w:rsidRDefault="00085437" w:rsidP="00085437">
      <w:pPr>
        <w:tabs>
          <w:tab w:val="left" w:pos="851"/>
        </w:tabs>
        <w:ind w:left="851"/>
        <w:rPr>
          <w:sz w:val="24"/>
          <w:szCs w:val="24"/>
        </w:rPr>
      </w:pPr>
      <w:r w:rsidRPr="00085437">
        <w:rPr>
          <w:sz w:val="24"/>
          <w:szCs w:val="24"/>
        </w:rPr>
        <w:t>I et studie med ældre forsøgspersoner (65 til 79 år; med kreatininclearance på 53 til 98 ml/min/1,73 m2), som fik brivaracetam 400 mg/dag administreret som to administrationer, var brivaracetams plasmahalveringstid 7,9 timer for 65 til 75 års gruppen og 9,3 timer for &gt;75 års</w:t>
      </w:r>
      <w:r>
        <w:rPr>
          <w:sz w:val="24"/>
          <w:szCs w:val="24"/>
        </w:rPr>
        <w:t xml:space="preserve"> </w:t>
      </w:r>
      <w:r w:rsidRPr="00085437">
        <w:rPr>
          <w:sz w:val="24"/>
          <w:szCs w:val="24"/>
        </w:rPr>
        <w:t xml:space="preserve">gruppen. Brivaracetams </w:t>
      </w:r>
      <w:r w:rsidRPr="00085437">
        <w:rPr>
          <w:i/>
          <w:sz w:val="24"/>
          <w:szCs w:val="24"/>
        </w:rPr>
        <w:t xml:space="preserve">steady-state </w:t>
      </w:r>
      <w:r w:rsidRPr="00085437">
        <w:rPr>
          <w:sz w:val="24"/>
          <w:szCs w:val="24"/>
        </w:rPr>
        <w:t>plasmaclearance (0,76 ml/min/kg) svarende til den, som sås hos unge raske mandlige forsøgspersoner (0,83 ml/min/kg) (se pkt. 4.2).</w:t>
      </w:r>
    </w:p>
    <w:p w14:paraId="28159ED7" w14:textId="77777777" w:rsidR="00085437" w:rsidRPr="00085437" w:rsidRDefault="00085437" w:rsidP="00085437">
      <w:pPr>
        <w:tabs>
          <w:tab w:val="left" w:pos="851"/>
        </w:tabs>
        <w:ind w:left="851"/>
        <w:rPr>
          <w:sz w:val="24"/>
          <w:szCs w:val="24"/>
        </w:rPr>
      </w:pPr>
    </w:p>
    <w:p w14:paraId="607B6609" w14:textId="77777777" w:rsidR="00085437" w:rsidRPr="00085437" w:rsidRDefault="00085437" w:rsidP="00085437">
      <w:pPr>
        <w:tabs>
          <w:tab w:val="left" w:pos="851"/>
        </w:tabs>
        <w:ind w:left="851"/>
        <w:rPr>
          <w:i/>
          <w:sz w:val="24"/>
          <w:szCs w:val="24"/>
        </w:rPr>
      </w:pPr>
      <w:r w:rsidRPr="00085437">
        <w:rPr>
          <w:i/>
          <w:sz w:val="24"/>
          <w:szCs w:val="24"/>
        </w:rPr>
        <w:t>Nedsat nyrefunktion</w:t>
      </w:r>
    </w:p>
    <w:p w14:paraId="79064F7E" w14:textId="77777777" w:rsidR="00085437" w:rsidRPr="00085437" w:rsidRDefault="00085437" w:rsidP="00085437">
      <w:pPr>
        <w:tabs>
          <w:tab w:val="left" w:pos="851"/>
        </w:tabs>
        <w:ind w:left="851"/>
        <w:rPr>
          <w:sz w:val="24"/>
          <w:szCs w:val="24"/>
        </w:rPr>
      </w:pPr>
      <w:r w:rsidRPr="00085437">
        <w:rPr>
          <w:sz w:val="24"/>
          <w:szCs w:val="24"/>
        </w:rPr>
        <w:t>Et studie med forsøgspersoner med nedsat nyrefunktion (kreatinclearance &lt; 30 ml/min/1,73 m2 og ikke dialysekrævende) viste, at brivaracetams plasma-AUC var øget i moderat grad (+21 %) i forhold til hos raske forsøgspersoner, mens AUC af syre-, hydroxy- og hydroxysyremetabolitterne blev øget henholdsvis 3-, 4- og 21-fold. Den renale clearance af disse ikke-aktive metabolitter var reduceret 10- foldigt. Hydroxysyre-metabolitten viste ingen sikkerhedsrisici i non-kliniske studier. Brivaracetam er ikke blevet undersøgt hos patienter, der får hæmodialyse (se pkt. 4.2).</w:t>
      </w:r>
    </w:p>
    <w:p w14:paraId="02248804" w14:textId="77777777" w:rsidR="00085437" w:rsidRPr="00085437" w:rsidRDefault="00085437" w:rsidP="00085437">
      <w:pPr>
        <w:tabs>
          <w:tab w:val="left" w:pos="851"/>
        </w:tabs>
        <w:ind w:left="851"/>
        <w:rPr>
          <w:sz w:val="24"/>
          <w:szCs w:val="24"/>
        </w:rPr>
      </w:pPr>
    </w:p>
    <w:p w14:paraId="4E82C304" w14:textId="77777777" w:rsidR="00085437" w:rsidRPr="00085437" w:rsidRDefault="00085437" w:rsidP="00085437">
      <w:pPr>
        <w:tabs>
          <w:tab w:val="left" w:pos="851"/>
        </w:tabs>
        <w:ind w:left="851"/>
        <w:rPr>
          <w:i/>
          <w:sz w:val="24"/>
          <w:szCs w:val="24"/>
        </w:rPr>
      </w:pPr>
      <w:r w:rsidRPr="00085437">
        <w:rPr>
          <w:i/>
          <w:sz w:val="24"/>
          <w:szCs w:val="24"/>
        </w:rPr>
        <w:t>Nedsat leverfunktion</w:t>
      </w:r>
    </w:p>
    <w:p w14:paraId="098047D3" w14:textId="77777777" w:rsidR="00085437" w:rsidRPr="00085437" w:rsidRDefault="00085437" w:rsidP="00085437">
      <w:pPr>
        <w:tabs>
          <w:tab w:val="left" w:pos="851"/>
        </w:tabs>
        <w:ind w:left="851"/>
        <w:rPr>
          <w:sz w:val="24"/>
          <w:szCs w:val="24"/>
        </w:rPr>
      </w:pPr>
      <w:r w:rsidRPr="00085437">
        <w:rPr>
          <w:sz w:val="24"/>
          <w:szCs w:val="24"/>
        </w:rPr>
        <w:t>Et farmakokinetisk studie med forsøgspersoner med levercirrhose (</w:t>
      </w:r>
      <w:r w:rsidRPr="00085437">
        <w:rPr>
          <w:i/>
          <w:sz w:val="24"/>
          <w:szCs w:val="24"/>
        </w:rPr>
        <w:t>Child-Pugh</w:t>
      </w:r>
      <w:r w:rsidRPr="00085437">
        <w:rPr>
          <w:sz w:val="24"/>
          <w:szCs w:val="24"/>
        </w:rPr>
        <w:t>-klasse A, B og C) viste stigninger i eksponering for brivaracetam uanset sygdommens sværhedsgrad (50 %, 57 % og 59 %), der var sammenlignelige med stigninger hos raske forsøgspersoner (se pkt. 4.2).</w:t>
      </w:r>
    </w:p>
    <w:p w14:paraId="19502C31" w14:textId="77777777" w:rsidR="00085437" w:rsidRPr="00085437" w:rsidRDefault="00085437" w:rsidP="00085437">
      <w:pPr>
        <w:tabs>
          <w:tab w:val="left" w:pos="851"/>
        </w:tabs>
        <w:ind w:left="851"/>
        <w:rPr>
          <w:sz w:val="24"/>
          <w:szCs w:val="24"/>
        </w:rPr>
      </w:pPr>
    </w:p>
    <w:p w14:paraId="33BC12AB" w14:textId="77777777" w:rsidR="00085437" w:rsidRPr="00085437" w:rsidRDefault="00085437" w:rsidP="00085437">
      <w:pPr>
        <w:tabs>
          <w:tab w:val="left" w:pos="851"/>
        </w:tabs>
        <w:ind w:left="851"/>
        <w:rPr>
          <w:i/>
          <w:sz w:val="24"/>
          <w:szCs w:val="24"/>
        </w:rPr>
      </w:pPr>
      <w:r w:rsidRPr="00085437">
        <w:rPr>
          <w:i/>
          <w:sz w:val="24"/>
          <w:szCs w:val="24"/>
        </w:rPr>
        <w:t>Vægt</w:t>
      </w:r>
    </w:p>
    <w:p w14:paraId="5124ECCE" w14:textId="77777777" w:rsidR="00085437" w:rsidRPr="00085437" w:rsidRDefault="00085437" w:rsidP="00085437">
      <w:pPr>
        <w:tabs>
          <w:tab w:val="left" w:pos="851"/>
        </w:tabs>
        <w:ind w:left="851"/>
        <w:rPr>
          <w:sz w:val="24"/>
          <w:szCs w:val="24"/>
        </w:rPr>
      </w:pPr>
      <w:r w:rsidRPr="00085437">
        <w:rPr>
          <w:sz w:val="24"/>
          <w:szCs w:val="24"/>
        </w:rPr>
        <w:t xml:space="preserve">Der er vist et fald på 40 % i </w:t>
      </w:r>
      <w:r w:rsidRPr="00085437">
        <w:rPr>
          <w:i/>
          <w:sz w:val="24"/>
          <w:szCs w:val="24"/>
        </w:rPr>
        <w:t xml:space="preserve">steady-state </w:t>
      </w:r>
      <w:r w:rsidRPr="00085437">
        <w:rPr>
          <w:sz w:val="24"/>
          <w:szCs w:val="24"/>
        </w:rPr>
        <w:t>plasmakoncentrationen ved kropsvægt, som rangerede fra 46 kg til 115 kg. Dette anses dog ikke som værende en klinisk relevant forskel.</w:t>
      </w:r>
    </w:p>
    <w:p w14:paraId="109D8E01" w14:textId="77777777" w:rsidR="00085437" w:rsidRPr="00085437" w:rsidRDefault="00085437" w:rsidP="00085437">
      <w:pPr>
        <w:tabs>
          <w:tab w:val="left" w:pos="851"/>
        </w:tabs>
        <w:ind w:left="851"/>
        <w:rPr>
          <w:sz w:val="24"/>
          <w:szCs w:val="24"/>
        </w:rPr>
      </w:pPr>
    </w:p>
    <w:p w14:paraId="075D76D0" w14:textId="77777777" w:rsidR="00085437" w:rsidRPr="00085437" w:rsidRDefault="00085437" w:rsidP="00085437">
      <w:pPr>
        <w:tabs>
          <w:tab w:val="left" w:pos="851"/>
        </w:tabs>
        <w:ind w:left="851"/>
        <w:rPr>
          <w:i/>
          <w:sz w:val="24"/>
          <w:szCs w:val="24"/>
        </w:rPr>
      </w:pPr>
      <w:r w:rsidRPr="00085437">
        <w:rPr>
          <w:i/>
          <w:sz w:val="24"/>
          <w:szCs w:val="24"/>
        </w:rPr>
        <w:t>Køn</w:t>
      </w:r>
    </w:p>
    <w:p w14:paraId="27A3B0C0" w14:textId="77777777" w:rsidR="00085437" w:rsidRPr="00085437" w:rsidRDefault="00085437" w:rsidP="00085437">
      <w:pPr>
        <w:tabs>
          <w:tab w:val="left" w:pos="851"/>
        </w:tabs>
        <w:ind w:left="851"/>
        <w:rPr>
          <w:sz w:val="24"/>
          <w:szCs w:val="24"/>
        </w:rPr>
      </w:pPr>
      <w:r w:rsidRPr="00085437">
        <w:rPr>
          <w:sz w:val="24"/>
          <w:szCs w:val="24"/>
        </w:rPr>
        <w:t>Der er ingen klinisk relevante kønsforskelle i brivaracetams farmakokinetik.</w:t>
      </w:r>
    </w:p>
    <w:p w14:paraId="4DC08F83" w14:textId="77777777" w:rsidR="00085437" w:rsidRPr="00085437" w:rsidRDefault="00085437" w:rsidP="00085437">
      <w:pPr>
        <w:tabs>
          <w:tab w:val="left" w:pos="851"/>
        </w:tabs>
        <w:ind w:left="851"/>
        <w:rPr>
          <w:sz w:val="24"/>
          <w:szCs w:val="24"/>
        </w:rPr>
      </w:pPr>
    </w:p>
    <w:p w14:paraId="6F4E85A7" w14:textId="77777777" w:rsidR="00085437" w:rsidRPr="00085437" w:rsidRDefault="00085437" w:rsidP="00085437">
      <w:pPr>
        <w:tabs>
          <w:tab w:val="left" w:pos="851"/>
        </w:tabs>
        <w:ind w:left="851"/>
        <w:rPr>
          <w:i/>
          <w:sz w:val="24"/>
          <w:szCs w:val="24"/>
        </w:rPr>
      </w:pPr>
      <w:r w:rsidRPr="00085437">
        <w:rPr>
          <w:i/>
          <w:sz w:val="24"/>
          <w:szCs w:val="24"/>
        </w:rPr>
        <w:t>Race</w:t>
      </w:r>
    </w:p>
    <w:p w14:paraId="326A5B8B" w14:textId="77777777" w:rsidR="00085437" w:rsidRPr="00085437" w:rsidRDefault="00085437" w:rsidP="00085437">
      <w:pPr>
        <w:tabs>
          <w:tab w:val="left" w:pos="851"/>
        </w:tabs>
        <w:ind w:left="851"/>
        <w:rPr>
          <w:sz w:val="24"/>
          <w:szCs w:val="24"/>
        </w:rPr>
      </w:pPr>
      <w:r w:rsidRPr="00085437">
        <w:rPr>
          <w:sz w:val="24"/>
          <w:szCs w:val="24"/>
        </w:rPr>
        <w:t>Brivaracetams farmakokinetik blev ikke påvirket af race (kaukasisk, asiatisk) i signifikant grad i en farmakokinetisk populationsmodellering fra epilepsipatienter. Antallet af patienter med anden etnisk baggrund var begrænsede.</w:t>
      </w:r>
    </w:p>
    <w:p w14:paraId="3546B159" w14:textId="77777777" w:rsidR="00085437" w:rsidRPr="00085437" w:rsidRDefault="00085437" w:rsidP="00085437">
      <w:pPr>
        <w:tabs>
          <w:tab w:val="left" w:pos="851"/>
        </w:tabs>
        <w:ind w:left="851"/>
        <w:rPr>
          <w:sz w:val="24"/>
          <w:szCs w:val="24"/>
        </w:rPr>
      </w:pPr>
    </w:p>
    <w:p w14:paraId="740E729A" w14:textId="77777777" w:rsidR="00085437" w:rsidRPr="00085437" w:rsidRDefault="00085437" w:rsidP="00085437">
      <w:pPr>
        <w:tabs>
          <w:tab w:val="left" w:pos="851"/>
        </w:tabs>
        <w:ind w:left="851"/>
        <w:rPr>
          <w:sz w:val="24"/>
          <w:szCs w:val="24"/>
        </w:rPr>
      </w:pPr>
      <w:r w:rsidRPr="00085437">
        <w:rPr>
          <w:sz w:val="24"/>
          <w:szCs w:val="24"/>
          <w:u w:val="single"/>
        </w:rPr>
        <w:t>Farmakokinetiske/farmakodynamiske forhold</w:t>
      </w:r>
    </w:p>
    <w:p w14:paraId="2AA9FDEA" w14:textId="77777777" w:rsidR="00085437" w:rsidRPr="00085437" w:rsidRDefault="00085437" w:rsidP="00085437">
      <w:pPr>
        <w:tabs>
          <w:tab w:val="left" w:pos="851"/>
        </w:tabs>
        <w:ind w:left="851"/>
        <w:rPr>
          <w:sz w:val="24"/>
          <w:szCs w:val="24"/>
        </w:rPr>
      </w:pPr>
      <w:r w:rsidRPr="00085437">
        <w:rPr>
          <w:sz w:val="24"/>
          <w:szCs w:val="24"/>
        </w:rPr>
        <w:t>EC50 (brivaracetam plasmakoncentrationer svarende til 50 % af den maksimale virkning) blev anslået til at være 0,57 mg/l. Denne plasmakoncentration er lidt højere end median-eksponeringen, som sås efter brivaracetamdoser på 50 mg/dag. Yderligere reduktion i antallet af anfald opnås ved at øge dosis til 100 mg/dag, og en udjævning nås ved 200 mg/dag.</w:t>
      </w:r>
    </w:p>
    <w:p w14:paraId="567EC0BD" w14:textId="77777777" w:rsidR="00085437" w:rsidRPr="00085437" w:rsidRDefault="00085437" w:rsidP="00085437">
      <w:pPr>
        <w:tabs>
          <w:tab w:val="left" w:pos="851"/>
        </w:tabs>
        <w:ind w:left="851"/>
        <w:rPr>
          <w:sz w:val="24"/>
          <w:szCs w:val="24"/>
        </w:rPr>
      </w:pPr>
    </w:p>
    <w:p w14:paraId="57B4FE7B" w14:textId="77777777" w:rsidR="00085437" w:rsidRPr="00085437" w:rsidRDefault="00085437" w:rsidP="00085437">
      <w:pPr>
        <w:tabs>
          <w:tab w:val="left" w:pos="851"/>
        </w:tabs>
        <w:ind w:left="851"/>
        <w:rPr>
          <w:sz w:val="24"/>
          <w:szCs w:val="24"/>
        </w:rPr>
      </w:pPr>
      <w:r w:rsidRPr="00085437">
        <w:rPr>
          <w:sz w:val="24"/>
          <w:szCs w:val="24"/>
          <w:u w:val="single"/>
        </w:rPr>
        <w:t>Pædiatrisk population</w:t>
      </w:r>
    </w:p>
    <w:p w14:paraId="7E9A45D0" w14:textId="0D76F54F" w:rsidR="00085437" w:rsidRPr="00085437" w:rsidRDefault="00085437" w:rsidP="00085437">
      <w:pPr>
        <w:tabs>
          <w:tab w:val="left" w:pos="851"/>
        </w:tabs>
        <w:ind w:left="851"/>
        <w:rPr>
          <w:sz w:val="24"/>
          <w:szCs w:val="24"/>
        </w:rPr>
      </w:pPr>
      <w:r w:rsidRPr="00085437">
        <w:rPr>
          <w:sz w:val="24"/>
          <w:szCs w:val="24"/>
        </w:rPr>
        <w:t>I et farmakokinetisk studie med en evalueringsperiode på 3 uger og fast ugentlig optitrering i 3 trin ved brug af den orale opløsning af brivaracetam evalueredes 99 forsøgspersoner i en alder fra 1 måned til</w:t>
      </w:r>
      <w:r>
        <w:rPr>
          <w:sz w:val="24"/>
          <w:szCs w:val="24"/>
        </w:rPr>
        <w:t xml:space="preserve"> </w:t>
      </w:r>
      <w:r w:rsidRPr="00085437">
        <w:rPr>
          <w:sz w:val="24"/>
          <w:szCs w:val="24"/>
        </w:rPr>
        <w:t>&lt; 16 år. Brivaracetam blev administreret ved ugentligt forhøjede doser på ca. 1 mg/kg/dag,</w:t>
      </w:r>
      <w:r>
        <w:rPr>
          <w:sz w:val="24"/>
          <w:szCs w:val="24"/>
        </w:rPr>
        <w:t xml:space="preserve"> </w:t>
      </w:r>
      <w:r w:rsidRPr="00085437">
        <w:rPr>
          <w:sz w:val="24"/>
          <w:szCs w:val="24"/>
        </w:rPr>
        <w:t>2 mg/kg/dag og 4 mg/kg/dag. Alle doser blev justeret efter kropsvægt og oversteg ikke en maksimal dosis på 50 mg/dag, 100 mg/dag og 200 mg/dag. I slutningen af evalueringsperioden kunne forsøgspersoner være kvalificerede til at indgå i et langtids-opfølgningsstudie og fortsætte behandling med den sidst modtagne dosis (se pkt. 4.8). Plasmakoncentrationerne blev påvist at være proportionale med dosis hos alle aldersgrupper. Farmakokinetisk populationsmodellering blev udført baseret på sparsomme data om plasmakoncentration indsamlet i det 3 uger lange farmakokinetik-studie og det igangværende langtids-opfølgningsstudie. 232 pædiatriske patienter med epilepsi i alderen fra</w:t>
      </w:r>
      <w:r>
        <w:rPr>
          <w:sz w:val="24"/>
          <w:szCs w:val="24"/>
        </w:rPr>
        <w:t xml:space="preserve"> </w:t>
      </w:r>
      <w:r w:rsidRPr="00085437">
        <w:rPr>
          <w:sz w:val="24"/>
          <w:szCs w:val="24"/>
        </w:rPr>
        <w:t xml:space="preserve">2 måneder til 17 år var inkluderet i analysen. Analysen viste, at doser på 5,0 (kropsvægt 10-20 kg) og 4,0 mg/kg/dag (kropsvægt 20-50 kg) giver samme gennemsnitlige </w:t>
      </w:r>
      <w:r w:rsidRPr="00085437">
        <w:rPr>
          <w:i/>
          <w:sz w:val="24"/>
          <w:szCs w:val="24"/>
        </w:rPr>
        <w:t xml:space="preserve">steady-state </w:t>
      </w:r>
      <w:r w:rsidRPr="00085437">
        <w:rPr>
          <w:sz w:val="24"/>
          <w:szCs w:val="24"/>
        </w:rPr>
        <w:t>plasmakoncentrationer som hos voksne, der får 200 mg/dag. Den estimerede plasmaclearance var 0,96 l/t, 1,61 l/t, 2,18 l/t og 3,19 l/t for børn, der vejede hhv. 10 kg, 20 kg, 30 kg og 50 kg. Til sammenligning blev</w:t>
      </w:r>
      <w:r>
        <w:rPr>
          <w:sz w:val="24"/>
          <w:szCs w:val="24"/>
        </w:rPr>
        <w:t xml:space="preserve"> </w:t>
      </w:r>
      <w:r w:rsidRPr="00085437">
        <w:rPr>
          <w:sz w:val="24"/>
          <w:szCs w:val="24"/>
        </w:rPr>
        <w:t>plasmaclearance estimeret til at være 3,58 l/t hos voksne patienter (kropsvægt på 70 kg). Der findes i øjeblikket ingen data hos nyfødte.</w:t>
      </w:r>
    </w:p>
    <w:p w14:paraId="7F753172" w14:textId="77777777" w:rsidR="00085437" w:rsidRPr="00085437" w:rsidRDefault="00085437" w:rsidP="00085437">
      <w:pPr>
        <w:tabs>
          <w:tab w:val="left" w:pos="851"/>
        </w:tabs>
        <w:ind w:left="851"/>
        <w:rPr>
          <w:sz w:val="24"/>
          <w:szCs w:val="24"/>
        </w:rPr>
      </w:pPr>
    </w:p>
    <w:p w14:paraId="1BF5458E" w14:textId="77777777" w:rsidR="009260DE" w:rsidRPr="00C84483" w:rsidRDefault="009260DE" w:rsidP="0052225D">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05993376" w14:textId="77777777" w:rsidR="00085437" w:rsidRPr="00085437" w:rsidRDefault="00085437" w:rsidP="00085437">
      <w:pPr>
        <w:tabs>
          <w:tab w:val="left" w:pos="851"/>
        </w:tabs>
        <w:ind w:left="851"/>
        <w:rPr>
          <w:sz w:val="24"/>
          <w:szCs w:val="24"/>
        </w:rPr>
      </w:pPr>
      <w:r w:rsidRPr="00085437">
        <w:rPr>
          <w:sz w:val="24"/>
          <w:szCs w:val="24"/>
        </w:rPr>
        <w:t>I sikkerhedsfarmakologistudier var de dominerende virkninger CNS-relaterede (hovedsageligt forbigående CNS-depression og nedsat spontan lokomotorisk aktivitet) set ved mangedobling (større end 50 gange) af den farmakologisk aktive brivaracetamdosis på 2 mg/kg. Indlæringsevnen og hukommelsen blev ikke påvirket.</w:t>
      </w:r>
    </w:p>
    <w:p w14:paraId="6157E585" w14:textId="77777777" w:rsidR="00085437" w:rsidRPr="00085437" w:rsidRDefault="00085437" w:rsidP="00085437">
      <w:pPr>
        <w:tabs>
          <w:tab w:val="left" w:pos="851"/>
        </w:tabs>
        <w:ind w:left="851"/>
        <w:rPr>
          <w:sz w:val="24"/>
          <w:szCs w:val="24"/>
        </w:rPr>
      </w:pPr>
    </w:p>
    <w:p w14:paraId="040D0D3D" w14:textId="77777777" w:rsidR="00085437" w:rsidRPr="00085437" w:rsidRDefault="00085437" w:rsidP="00085437">
      <w:pPr>
        <w:tabs>
          <w:tab w:val="left" w:pos="851"/>
        </w:tabs>
        <w:ind w:left="851"/>
        <w:rPr>
          <w:sz w:val="24"/>
          <w:szCs w:val="24"/>
        </w:rPr>
      </w:pPr>
      <w:r w:rsidRPr="00085437">
        <w:rPr>
          <w:sz w:val="24"/>
          <w:szCs w:val="24"/>
        </w:rPr>
        <w:t>Fund, som ikke blev observeret i kliniske studier, men som blev set i toksikologistudier med gentagen dosering hos hunde ved eksponering svarende til klinisk plasma AUC, var hepatotoksisk virkning (hovedsageligt porfyri). Toksikologiske data indsamlet for brivaracetam og et strukturelt relateret stof indikerer dog, at leverforandringerne hos hunden er udviklet gennem mekanismer, som ikke er relevante for mennesker. Der blev ikke set negative leverændringer hos rotter og aber efter kronisk administration af brivaracetam ved doser, der var 5 og 42 gange større end den kliniske AUC- eksponering. Hos aber forekom der CNS-tegn (afkræftelse, tab af balance, klodsede bevægelser) ved 64 gange det kliniske Cmax. Disse virkninger blev mindre udtalt over tid.</w:t>
      </w:r>
    </w:p>
    <w:p w14:paraId="03C1A28C" w14:textId="77777777" w:rsidR="00085437" w:rsidRPr="00085437" w:rsidRDefault="00085437" w:rsidP="00085437">
      <w:pPr>
        <w:tabs>
          <w:tab w:val="left" w:pos="851"/>
        </w:tabs>
        <w:ind w:left="851"/>
        <w:rPr>
          <w:sz w:val="24"/>
          <w:szCs w:val="24"/>
        </w:rPr>
      </w:pPr>
    </w:p>
    <w:p w14:paraId="36858FFB" w14:textId="77777777" w:rsidR="00085437" w:rsidRPr="00085437" w:rsidRDefault="00085437" w:rsidP="00085437">
      <w:pPr>
        <w:tabs>
          <w:tab w:val="left" w:pos="851"/>
        </w:tabs>
        <w:ind w:left="851"/>
        <w:rPr>
          <w:sz w:val="24"/>
          <w:szCs w:val="24"/>
        </w:rPr>
      </w:pPr>
      <w:r w:rsidRPr="00085437">
        <w:rPr>
          <w:sz w:val="24"/>
          <w:szCs w:val="24"/>
        </w:rPr>
        <w:t>Genotoksicitetsstudier har ikke påvist mutagen eller klastogen aktivitet. Karcinogenicitetsstudier viste ikke onkogent potentiale hos rotter, mens øget incidens af hepatocellulære tumorer hos hanmus vurderes at skyldes en non-genotoksisk virkningsmekanisme forbundet med en phenobarbital-lignende leverenzyminduktion, hvilket er kendt som et gnaver-specifikt fænomen.</w:t>
      </w:r>
    </w:p>
    <w:p w14:paraId="3CF14FB9" w14:textId="77777777" w:rsidR="00085437" w:rsidRPr="00085437" w:rsidRDefault="00085437" w:rsidP="00085437">
      <w:pPr>
        <w:tabs>
          <w:tab w:val="left" w:pos="851"/>
        </w:tabs>
        <w:ind w:left="851"/>
        <w:rPr>
          <w:sz w:val="24"/>
          <w:szCs w:val="24"/>
        </w:rPr>
      </w:pPr>
    </w:p>
    <w:p w14:paraId="108C4740" w14:textId="77777777" w:rsidR="00085437" w:rsidRPr="00085437" w:rsidRDefault="00085437" w:rsidP="00085437">
      <w:pPr>
        <w:tabs>
          <w:tab w:val="left" w:pos="851"/>
        </w:tabs>
        <w:ind w:left="851"/>
        <w:rPr>
          <w:sz w:val="24"/>
          <w:szCs w:val="24"/>
        </w:rPr>
      </w:pPr>
      <w:r w:rsidRPr="00085437">
        <w:rPr>
          <w:sz w:val="24"/>
          <w:szCs w:val="24"/>
        </w:rPr>
        <w:t>Brivaracetam viste ikke teratogent potentiale og påvirkede ikke fertiliteten hos hverken rotter eller kaniner af begge køn. Der blev observeret embryotoksicitet hos kaniner ved en maternel toksisk brivaracetamdosis svarende til et eksponeringsniveau, der var 8 gange større end den kliniske AUC- eksponering ved den maksimalt anbefalede dosis. Hos rotter blev det vist, at brivaracetam let krydser placenta, samt udskilles i modermælken i koncentrationer svarende til maternelle plasmakoncentrationer.</w:t>
      </w:r>
    </w:p>
    <w:p w14:paraId="709609F6" w14:textId="77777777" w:rsidR="00085437" w:rsidRPr="00085437" w:rsidRDefault="00085437" w:rsidP="00085437">
      <w:pPr>
        <w:tabs>
          <w:tab w:val="left" w:pos="851"/>
        </w:tabs>
        <w:ind w:left="851"/>
        <w:rPr>
          <w:sz w:val="24"/>
          <w:szCs w:val="24"/>
        </w:rPr>
      </w:pPr>
    </w:p>
    <w:p w14:paraId="4A2FF1BD" w14:textId="77777777" w:rsidR="00085437" w:rsidRDefault="00085437" w:rsidP="00085437">
      <w:pPr>
        <w:tabs>
          <w:tab w:val="left" w:pos="851"/>
        </w:tabs>
        <w:ind w:left="851"/>
        <w:rPr>
          <w:sz w:val="24"/>
          <w:szCs w:val="24"/>
        </w:rPr>
      </w:pPr>
      <w:r w:rsidRPr="00085437">
        <w:rPr>
          <w:sz w:val="24"/>
          <w:szCs w:val="24"/>
        </w:rPr>
        <w:t>Brivaracetam viste ikke afhængighedspotentiale hos rotter.</w:t>
      </w:r>
    </w:p>
    <w:p w14:paraId="0C365242" w14:textId="77777777" w:rsidR="00085437" w:rsidRDefault="00085437" w:rsidP="00085437">
      <w:pPr>
        <w:tabs>
          <w:tab w:val="left" w:pos="851"/>
        </w:tabs>
        <w:ind w:left="851"/>
        <w:rPr>
          <w:sz w:val="24"/>
          <w:szCs w:val="24"/>
        </w:rPr>
      </w:pPr>
    </w:p>
    <w:p w14:paraId="4709068C" w14:textId="1AFE60DB" w:rsidR="00085437" w:rsidRPr="00085437" w:rsidRDefault="00085437" w:rsidP="00085437">
      <w:pPr>
        <w:tabs>
          <w:tab w:val="left" w:pos="851"/>
        </w:tabs>
        <w:ind w:left="851"/>
        <w:rPr>
          <w:sz w:val="24"/>
          <w:szCs w:val="24"/>
        </w:rPr>
      </w:pPr>
      <w:r w:rsidRPr="00085437">
        <w:rPr>
          <w:sz w:val="24"/>
          <w:szCs w:val="24"/>
          <w:u w:val="single"/>
        </w:rPr>
        <w:t>Juvenile dyrestudier</w:t>
      </w:r>
    </w:p>
    <w:p w14:paraId="404CFD27" w14:textId="77777777" w:rsidR="00085437" w:rsidRPr="00085437" w:rsidRDefault="00085437" w:rsidP="00085437">
      <w:pPr>
        <w:tabs>
          <w:tab w:val="left" w:pos="851"/>
        </w:tabs>
        <w:ind w:left="851"/>
        <w:rPr>
          <w:sz w:val="24"/>
          <w:szCs w:val="24"/>
        </w:rPr>
      </w:pPr>
      <w:r w:rsidRPr="00085437">
        <w:rPr>
          <w:sz w:val="24"/>
          <w:szCs w:val="24"/>
        </w:rPr>
        <w:t>Hos juvenile rotter fremkaldte brivaracetam udviklingsmæssige uønskede virkninger (dvs. dødelighed, kliniske tegn, nedsat kropsvægt og lavere hjernevægt) ved eksponeringsniveauer på 6 til 15 gange den kliniske AUC-eksponering ved den maksimalt anbefalede dosis. Der blev ikke set uønskede virkninger på CNS-funktion ved neuropatologisk undersøgelse eller ved histopatologisk undersøgelse af hjernen. Hos juvenile hunde svarede de brivaracetam-inducerede ændringer ved et eksponeringsniveau på 6 gange den kliniske AUC til dem, der blev observeret hos voksne dyr. Der sås ikke uønskede virkninger på standardudvikling og modningsmålepunkter.</w:t>
      </w:r>
    </w:p>
    <w:p w14:paraId="06191D60" w14:textId="77777777" w:rsidR="009260DE" w:rsidRPr="00C84483" w:rsidRDefault="009260DE" w:rsidP="0052225D">
      <w:pPr>
        <w:tabs>
          <w:tab w:val="left" w:pos="851"/>
        </w:tabs>
        <w:ind w:left="851"/>
        <w:rPr>
          <w:sz w:val="24"/>
          <w:szCs w:val="24"/>
        </w:rPr>
      </w:pPr>
    </w:p>
    <w:p w14:paraId="0C8890BE" w14:textId="77777777" w:rsidR="009260DE" w:rsidRPr="00C84483" w:rsidRDefault="009260DE" w:rsidP="0052225D">
      <w:pPr>
        <w:tabs>
          <w:tab w:val="left" w:pos="851"/>
        </w:tabs>
        <w:ind w:left="851"/>
        <w:rPr>
          <w:sz w:val="24"/>
          <w:szCs w:val="24"/>
        </w:rPr>
      </w:pPr>
    </w:p>
    <w:p w14:paraId="6E258A95" w14:textId="77777777" w:rsidR="009260DE" w:rsidRPr="00C84483" w:rsidRDefault="009260DE" w:rsidP="0052225D">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14273DC" w14:textId="77777777" w:rsidR="009260DE" w:rsidRPr="00BA09F1" w:rsidRDefault="009260DE" w:rsidP="0052225D">
      <w:pPr>
        <w:tabs>
          <w:tab w:val="left" w:pos="851"/>
        </w:tabs>
        <w:ind w:left="851"/>
        <w:rPr>
          <w:sz w:val="24"/>
          <w:szCs w:val="24"/>
        </w:rPr>
      </w:pPr>
    </w:p>
    <w:p w14:paraId="5D6390F8" w14:textId="77777777" w:rsidR="009260DE" w:rsidRPr="00C84483" w:rsidRDefault="009260DE" w:rsidP="0052225D">
      <w:pPr>
        <w:tabs>
          <w:tab w:val="left" w:pos="851"/>
        </w:tabs>
        <w:ind w:left="851" w:hanging="851"/>
        <w:rPr>
          <w:b/>
          <w:sz w:val="24"/>
          <w:szCs w:val="24"/>
        </w:rPr>
      </w:pPr>
      <w:r w:rsidRPr="00C84483">
        <w:rPr>
          <w:b/>
          <w:sz w:val="24"/>
          <w:szCs w:val="24"/>
        </w:rPr>
        <w:t>6.1</w:t>
      </w:r>
      <w:r w:rsidRPr="00C84483">
        <w:rPr>
          <w:b/>
          <w:sz w:val="24"/>
          <w:szCs w:val="24"/>
        </w:rPr>
        <w:tab/>
        <w:t>Hjælpestoffer</w:t>
      </w:r>
    </w:p>
    <w:p w14:paraId="11A0FBEE" w14:textId="77777777" w:rsidR="00085437" w:rsidRPr="00085437" w:rsidRDefault="00085437" w:rsidP="00085437">
      <w:pPr>
        <w:tabs>
          <w:tab w:val="left" w:pos="851"/>
        </w:tabs>
        <w:ind w:left="851"/>
        <w:rPr>
          <w:sz w:val="24"/>
          <w:szCs w:val="24"/>
        </w:rPr>
      </w:pPr>
      <w:r w:rsidRPr="00085437">
        <w:rPr>
          <w:sz w:val="24"/>
          <w:szCs w:val="24"/>
        </w:rPr>
        <w:t>Sorbitol, flydende (ikke-krystalliserende)</w:t>
      </w:r>
    </w:p>
    <w:p w14:paraId="67ED89B6" w14:textId="77777777" w:rsidR="00085437" w:rsidRPr="00085437" w:rsidRDefault="00085437" w:rsidP="00085437">
      <w:pPr>
        <w:tabs>
          <w:tab w:val="left" w:pos="851"/>
        </w:tabs>
        <w:ind w:left="851"/>
        <w:rPr>
          <w:sz w:val="24"/>
          <w:szCs w:val="24"/>
        </w:rPr>
      </w:pPr>
      <w:r w:rsidRPr="00085437">
        <w:rPr>
          <w:sz w:val="24"/>
          <w:szCs w:val="24"/>
        </w:rPr>
        <w:t>Glycerol</w:t>
      </w:r>
    </w:p>
    <w:p w14:paraId="1EC90A6C" w14:textId="77777777" w:rsidR="00085437" w:rsidRPr="00085437" w:rsidRDefault="00085437" w:rsidP="00085437">
      <w:pPr>
        <w:tabs>
          <w:tab w:val="left" w:pos="851"/>
        </w:tabs>
        <w:ind w:left="851"/>
        <w:rPr>
          <w:sz w:val="24"/>
          <w:szCs w:val="24"/>
        </w:rPr>
      </w:pPr>
      <w:r w:rsidRPr="00085437">
        <w:rPr>
          <w:sz w:val="24"/>
          <w:szCs w:val="24"/>
        </w:rPr>
        <w:t>Carmellosenatrium</w:t>
      </w:r>
    </w:p>
    <w:p w14:paraId="21A19C04" w14:textId="77777777" w:rsidR="00085437" w:rsidRPr="00085437" w:rsidRDefault="00085437" w:rsidP="00085437">
      <w:pPr>
        <w:tabs>
          <w:tab w:val="left" w:pos="851"/>
        </w:tabs>
        <w:ind w:left="851"/>
        <w:rPr>
          <w:sz w:val="24"/>
          <w:szCs w:val="24"/>
        </w:rPr>
      </w:pPr>
      <w:r w:rsidRPr="00085437">
        <w:rPr>
          <w:sz w:val="24"/>
          <w:szCs w:val="24"/>
        </w:rPr>
        <w:t>Methylparahydroxybenzoat</w:t>
      </w:r>
    </w:p>
    <w:p w14:paraId="4FEB0391" w14:textId="77777777" w:rsidR="00085437" w:rsidRPr="00085437" w:rsidRDefault="00085437" w:rsidP="00085437">
      <w:pPr>
        <w:tabs>
          <w:tab w:val="left" w:pos="851"/>
        </w:tabs>
        <w:ind w:left="851"/>
        <w:rPr>
          <w:sz w:val="24"/>
          <w:szCs w:val="24"/>
        </w:rPr>
      </w:pPr>
      <w:r w:rsidRPr="00085437">
        <w:rPr>
          <w:sz w:val="24"/>
          <w:szCs w:val="24"/>
        </w:rPr>
        <w:t>Natriumcitrat</w:t>
      </w:r>
    </w:p>
    <w:p w14:paraId="05F4C1C6" w14:textId="77777777" w:rsidR="00085437" w:rsidRPr="00085437" w:rsidRDefault="00085437" w:rsidP="00085437">
      <w:pPr>
        <w:tabs>
          <w:tab w:val="left" w:pos="851"/>
        </w:tabs>
        <w:ind w:left="851"/>
        <w:rPr>
          <w:sz w:val="24"/>
          <w:szCs w:val="24"/>
        </w:rPr>
      </w:pPr>
      <w:r w:rsidRPr="00085437">
        <w:rPr>
          <w:sz w:val="24"/>
          <w:szCs w:val="24"/>
        </w:rPr>
        <w:t>Sucralose</w:t>
      </w:r>
    </w:p>
    <w:p w14:paraId="19BA7238" w14:textId="77777777" w:rsidR="00085437" w:rsidRPr="00085437" w:rsidRDefault="00085437" w:rsidP="00085437">
      <w:pPr>
        <w:tabs>
          <w:tab w:val="left" w:pos="851"/>
        </w:tabs>
        <w:ind w:left="851"/>
        <w:rPr>
          <w:sz w:val="24"/>
          <w:szCs w:val="24"/>
        </w:rPr>
      </w:pPr>
      <w:r w:rsidRPr="00085437">
        <w:rPr>
          <w:sz w:val="24"/>
          <w:szCs w:val="24"/>
        </w:rPr>
        <w:t>Hindbærsmag (propylenglycol (E1520) ~81%, triacetin (E1518) ~1,3%, aromastoffer og naturlige aromastoffer)</w:t>
      </w:r>
    </w:p>
    <w:p w14:paraId="20BC850B" w14:textId="77777777" w:rsidR="00085437" w:rsidRPr="00085437" w:rsidRDefault="00085437" w:rsidP="00085437">
      <w:pPr>
        <w:tabs>
          <w:tab w:val="left" w:pos="851"/>
        </w:tabs>
        <w:ind w:left="851"/>
        <w:rPr>
          <w:sz w:val="24"/>
          <w:szCs w:val="24"/>
        </w:rPr>
      </w:pPr>
      <w:r w:rsidRPr="00085437">
        <w:rPr>
          <w:sz w:val="24"/>
          <w:szCs w:val="24"/>
        </w:rPr>
        <w:t>Citronsyre</w:t>
      </w:r>
    </w:p>
    <w:p w14:paraId="7B48C166" w14:textId="77777777" w:rsidR="00085437" w:rsidRPr="00085437" w:rsidRDefault="00085437" w:rsidP="00B47D5C">
      <w:pPr>
        <w:tabs>
          <w:tab w:val="left" w:pos="851"/>
        </w:tabs>
        <w:ind w:left="851"/>
        <w:rPr>
          <w:sz w:val="24"/>
          <w:szCs w:val="24"/>
        </w:rPr>
      </w:pPr>
      <w:r w:rsidRPr="00085437">
        <w:rPr>
          <w:sz w:val="24"/>
          <w:szCs w:val="24"/>
        </w:rPr>
        <w:t>Vand, renset</w:t>
      </w:r>
    </w:p>
    <w:p w14:paraId="2CB1705A" w14:textId="77777777" w:rsidR="009260DE" w:rsidRPr="00C84483" w:rsidRDefault="009260DE" w:rsidP="0052225D">
      <w:pPr>
        <w:tabs>
          <w:tab w:val="left" w:pos="851"/>
        </w:tabs>
        <w:ind w:left="851"/>
        <w:rPr>
          <w:sz w:val="24"/>
          <w:szCs w:val="24"/>
        </w:rPr>
      </w:pPr>
    </w:p>
    <w:p w14:paraId="2E2FFA53" w14:textId="77777777" w:rsidR="009260DE" w:rsidRPr="00C84483" w:rsidRDefault="009260DE" w:rsidP="0052225D">
      <w:pPr>
        <w:tabs>
          <w:tab w:val="left" w:pos="851"/>
        </w:tabs>
        <w:ind w:left="851" w:hanging="851"/>
        <w:rPr>
          <w:b/>
          <w:sz w:val="24"/>
          <w:szCs w:val="24"/>
        </w:rPr>
      </w:pPr>
      <w:r w:rsidRPr="00C84483">
        <w:rPr>
          <w:b/>
          <w:sz w:val="24"/>
          <w:szCs w:val="24"/>
        </w:rPr>
        <w:t>6.2</w:t>
      </w:r>
      <w:r w:rsidRPr="00C84483">
        <w:rPr>
          <w:b/>
          <w:sz w:val="24"/>
          <w:szCs w:val="24"/>
        </w:rPr>
        <w:tab/>
        <w:t>Uforligeligheder</w:t>
      </w:r>
    </w:p>
    <w:p w14:paraId="793F40F8" w14:textId="77777777" w:rsidR="00B47D5C" w:rsidRPr="00085437" w:rsidRDefault="00B47D5C" w:rsidP="00B47D5C">
      <w:pPr>
        <w:tabs>
          <w:tab w:val="left" w:pos="851"/>
        </w:tabs>
        <w:ind w:left="851"/>
        <w:rPr>
          <w:sz w:val="24"/>
          <w:szCs w:val="24"/>
        </w:rPr>
      </w:pPr>
      <w:r w:rsidRPr="00085437">
        <w:rPr>
          <w:sz w:val="24"/>
          <w:szCs w:val="24"/>
        </w:rPr>
        <w:t>Ikke relevant.</w:t>
      </w:r>
    </w:p>
    <w:p w14:paraId="64BE6743" w14:textId="77777777" w:rsidR="009260DE" w:rsidRPr="00C84483" w:rsidRDefault="009260DE" w:rsidP="0052225D">
      <w:pPr>
        <w:tabs>
          <w:tab w:val="left" w:pos="851"/>
        </w:tabs>
        <w:ind w:left="851"/>
        <w:rPr>
          <w:sz w:val="24"/>
          <w:szCs w:val="24"/>
        </w:rPr>
      </w:pPr>
    </w:p>
    <w:p w14:paraId="778C5339" w14:textId="77777777" w:rsidR="009260DE" w:rsidRPr="00C84483" w:rsidRDefault="009260DE" w:rsidP="0052225D">
      <w:pPr>
        <w:tabs>
          <w:tab w:val="left" w:pos="851"/>
        </w:tabs>
        <w:ind w:left="851" w:hanging="851"/>
        <w:rPr>
          <w:b/>
          <w:sz w:val="24"/>
          <w:szCs w:val="24"/>
        </w:rPr>
      </w:pPr>
      <w:r w:rsidRPr="00C84483">
        <w:rPr>
          <w:b/>
          <w:sz w:val="24"/>
          <w:szCs w:val="24"/>
        </w:rPr>
        <w:t>6.3</w:t>
      </w:r>
      <w:r w:rsidRPr="00C84483">
        <w:rPr>
          <w:b/>
          <w:sz w:val="24"/>
          <w:szCs w:val="24"/>
        </w:rPr>
        <w:tab/>
        <w:t>Opbevaringstid</w:t>
      </w:r>
    </w:p>
    <w:p w14:paraId="4B937B84" w14:textId="5F017A83" w:rsidR="00B47D5C" w:rsidRDefault="00B47D5C" w:rsidP="00B47D5C">
      <w:pPr>
        <w:tabs>
          <w:tab w:val="left" w:pos="851"/>
        </w:tabs>
        <w:ind w:left="851"/>
        <w:rPr>
          <w:sz w:val="24"/>
          <w:szCs w:val="24"/>
        </w:rPr>
      </w:pPr>
      <w:r w:rsidRPr="00B47D5C">
        <w:rPr>
          <w:sz w:val="24"/>
          <w:szCs w:val="24"/>
        </w:rPr>
        <w:t>3 år.</w:t>
      </w:r>
    </w:p>
    <w:p w14:paraId="56C5E64E" w14:textId="77777777" w:rsidR="00B47D5C" w:rsidRPr="00B47D5C" w:rsidRDefault="00B47D5C" w:rsidP="00B47D5C">
      <w:pPr>
        <w:tabs>
          <w:tab w:val="left" w:pos="851"/>
        </w:tabs>
        <w:ind w:left="851"/>
        <w:rPr>
          <w:sz w:val="24"/>
          <w:szCs w:val="24"/>
        </w:rPr>
      </w:pPr>
    </w:p>
    <w:p w14:paraId="73F65DC0" w14:textId="77777777" w:rsidR="00B47D5C" w:rsidRPr="00B47D5C" w:rsidRDefault="00B47D5C" w:rsidP="00B47D5C">
      <w:pPr>
        <w:tabs>
          <w:tab w:val="left" w:pos="851"/>
        </w:tabs>
        <w:ind w:left="851"/>
        <w:rPr>
          <w:sz w:val="24"/>
          <w:szCs w:val="24"/>
        </w:rPr>
      </w:pPr>
      <w:r w:rsidRPr="00B47D5C">
        <w:rPr>
          <w:sz w:val="24"/>
          <w:szCs w:val="24"/>
        </w:rPr>
        <w:t>Efter første åbning: 10 måneder.</w:t>
      </w:r>
    </w:p>
    <w:p w14:paraId="0757D061" w14:textId="77777777" w:rsidR="009260DE" w:rsidRPr="00C84483" w:rsidRDefault="009260DE" w:rsidP="0052225D">
      <w:pPr>
        <w:tabs>
          <w:tab w:val="left" w:pos="851"/>
        </w:tabs>
        <w:ind w:left="851"/>
        <w:rPr>
          <w:sz w:val="24"/>
          <w:szCs w:val="24"/>
        </w:rPr>
      </w:pPr>
    </w:p>
    <w:p w14:paraId="4EE1CB97" w14:textId="77777777" w:rsidR="009260DE" w:rsidRPr="00C84483" w:rsidRDefault="009260DE" w:rsidP="0052225D">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626883C3" w14:textId="77777777" w:rsidR="00B47D5C" w:rsidRPr="00B47D5C" w:rsidRDefault="00B47D5C" w:rsidP="00B47D5C">
      <w:pPr>
        <w:tabs>
          <w:tab w:val="left" w:pos="851"/>
        </w:tabs>
        <w:ind w:left="851"/>
        <w:rPr>
          <w:sz w:val="24"/>
          <w:szCs w:val="24"/>
        </w:rPr>
      </w:pPr>
      <w:r w:rsidRPr="00B47D5C">
        <w:rPr>
          <w:sz w:val="24"/>
          <w:szCs w:val="24"/>
        </w:rPr>
        <w:t>Dette lægemiddel kræver ingen særlige forholdsregler vedrørende opbevaringen.</w:t>
      </w:r>
    </w:p>
    <w:p w14:paraId="52AA2F32" w14:textId="77777777" w:rsidR="009260DE" w:rsidRPr="00C84483" w:rsidRDefault="009260DE" w:rsidP="0052225D">
      <w:pPr>
        <w:tabs>
          <w:tab w:val="left" w:pos="851"/>
        </w:tabs>
        <w:ind w:left="851"/>
        <w:rPr>
          <w:sz w:val="24"/>
          <w:szCs w:val="24"/>
        </w:rPr>
      </w:pPr>
    </w:p>
    <w:p w14:paraId="65E18022" w14:textId="77777777" w:rsidR="009260DE" w:rsidRPr="00C84483" w:rsidRDefault="009260DE" w:rsidP="0052225D">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4CD14B76" w14:textId="77777777" w:rsidR="00B47D5C" w:rsidRDefault="00B47D5C" w:rsidP="00B47D5C">
      <w:pPr>
        <w:tabs>
          <w:tab w:val="left" w:pos="851"/>
        </w:tabs>
        <w:ind w:left="851"/>
        <w:rPr>
          <w:sz w:val="24"/>
          <w:szCs w:val="24"/>
        </w:rPr>
      </w:pPr>
      <w:r w:rsidRPr="00B47D5C">
        <w:rPr>
          <w:sz w:val="24"/>
          <w:szCs w:val="24"/>
        </w:rPr>
        <w:t>300 ml ravfarvet glasflaske (type III) eller</w:t>
      </w:r>
      <w:r>
        <w:rPr>
          <w:sz w:val="24"/>
          <w:szCs w:val="24"/>
        </w:rPr>
        <w:t xml:space="preserve"> </w:t>
      </w:r>
      <w:r w:rsidRPr="00B47D5C">
        <w:rPr>
          <w:sz w:val="24"/>
          <w:szCs w:val="24"/>
        </w:rPr>
        <w:t>300 ml ravfarvet PET-flaske med en hvid børnesikret lukning (polypropylen (PP), high-density polyethylen (HDPE)) med en forsegling (polyethylen (PE)) og en 5 ml og en 10 ml gradueret oral doseringssprøjte (polypropylen (PP), polyethylen (PE)) og en adapter til sprøjten (polyethylen (PE)).</w:t>
      </w:r>
    </w:p>
    <w:p w14:paraId="1448BA12" w14:textId="77777777" w:rsidR="00B47D5C" w:rsidRDefault="00B47D5C" w:rsidP="00B47D5C">
      <w:pPr>
        <w:tabs>
          <w:tab w:val="left" w:pos="851"/>
        </w:tabs>
        <w:ind w:left="851"/>
        <w:rPr>
          <w:sz w:val="24"/>
          <w:szCs w:val="24"/>
        </w:rPr>
      </w:pPr>
    </w:p>
    <w:p w14:paraId="451713F7" w14:textId="77777777" w:rsidR="00B47D5C" w:rsidRDefault="00B47D5C" w:rsidP="00B47D5C">
      <w:pPr>
        <w:tabs>
          <w:tab w:val="left" w:pos="851"/>
        </w:tabs>
        <w:ind w:left="851"/>
        <w:rPr>
          <w:sz w:val="24"/>
          <w:szCs w:val="24"/>
        </w:rPr>
      </w:pPr>
      <w:r>
        <w:rPr>
          <w:sz w:val="24"/>
          <w:szCs w:val="24"/>
        </w:rPr>
        <w:t>Pakningsstørrelser. 300 ml.</w:t>
      </w:r>
    </w:p>
    <w:p w14:paraId="2165B2E3" w14:textId="77777777" w:rsidR="00B47D5C" w:rsidRPr="00B47D5C" w:rsidRDefault="00B47D5C" w:rsidP="00B47D5C">
      <w:pPr>
        <w:tabs>
          <w:tab w:val="left" w:pos="851"/>
        </w:tabs>
        <w:ind w:left="851"/>
        <w:rPr>
          <w:sz w:val="24"/>
          <w:szCs w:val="24"/>
        </w:rPr>
      </w:pPr>
      <w:r>
        <w:rPr>
          <w:sz w:val="24"/>
          <w:szCs w:val="24"/>
        </w:rPr>
        <w:t>Ikke alle pakningsstørrelser er nødvendigvis markedsført</w:t>
      </w:r>
    </w:p>
    <w:p w14:paraId="1420F2D4" w14:textId="77777777" w:rsidR="009260DE" w:rsidRPr="00C84483" w:rsidRDefault="009260DE" w:rsidP="0052225D">
      <w:pPr>
        <w:tabs>
          <w:tab w:val="left" w:pos="851"/>
        </w:tabs>
        <w:ind w:left="851"/>
        <w:rPr>
          <w:sz w:val="24"/>
          <w:szCs w:val="24"/>
        </w:rPr>
      </w:pPr>
    </w:p>
    <w:p w14:paraId="4F1073CD" w14:textId="77777777" w:rsidR="009260DE" w:rsidRPr="00C84483" w:rsidRDefault="009260DE" w:rsidP="0052225D">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276059B5" w14:textId="11C9B5FE" w:rsidR="00B47D5C" w:rsidRPr="00B47D5C" w:rsidRDefault="00B47D5C" w:rsidP="00B47D5C">
      <w:pPr>
        <w:tabs>
          <w:tab w:val="left" w:pos="851"/>
        </w:tabs>
        <w:ind w:left="851"/>
        <w:rPr>
          <w:sz w:val="24"/>
          <w:szCs w:val="24"/>
        </w:rPr>
      </w:pPr>
      <w:r w:rsidRPr="00B47D5C">
        <w:rPr>
          <w:sz w:val="24"/>
          <w:szCs w:val="24"/>
        </w:rPr>
        <w:t>Ingen særlige forholdsregler.</w:t>
      </w:r>
    </w:p>
    <w:p w14:paraId="365E4F1E" w14:textId="77777777" w:rsidR="00B47D5C" w:rsidRPr="00B47D5C" w:rsidRDefault="00B47D5C" w:rsidP="00B47D5C">
      <w:pPr>
        <w:tabs>
          <w:tab w:val="left" w:pos="851"/>
        </w:tabs>
        <w:ind w:left="851"/>
        <w:rPr>
          <w:sz w:val="24"/>
          <w:szCs w:val="24"/>
        </w:rPr>
      </w:pPr>
    </w:p>
    <w:p w14:paraId="5B0E0DFC" w14:textId="77777777" w:rsidR="00B47D5C" w:rsidRPr="00B47D5C" w:rsidRDefault="00B47D5C" w:rsidP="00B47D5C">
      <w:pPr>
        <w:tabs>
          <w:tab w:val="left" w:pos="851"/>
        </w:tabs>
        <w:ind w:left="851"/>
        <w:rPr>
          <w:sz w:val="24"/>
          <w:szCs w:val="24"/>
        </w:rPr>
      </w:pPr>
      <w:r w:rsidRPr="00B47D5C">
        <w:rPr>
          <w:sz w:val="24"/>
          <w:szCs w:val="24"/>
        </w:rPr>
        <w:t>Ikke anvendt lægemiddel, ufortyndet eller fortyndet, samt affald heraf skal bortskaffes i henhold til lokale retningslinjer.</w:t>
      </w:r>
    </w:p>
    <w:p w14:paraId="45374F92" w14:textId="77777777" w:rsidR="009260DE" w:rsidRPr="00C84483" w:rsidRDefault="009260DE" w:rsidP="0052225D">
      <w:pPr>
        <w:tabs>
          <w:tab w:val="left" w:pos="851"/>
        </w:tabs>
        <w:ind w:left="851"/>
        <w:rPr>
          <w:sz w:val="24"/>
          <w:szCs w:val="24"/>
        </w:rPr>
      </w:pPr>
    </w:p>
    <w:p w14:paraId="75F4748B" w14:textId="77777777" w:rsidR="009260DE" w:rsidRPr="00C84483" w:rsidRDefault="009260DE" w:rsidP="0052225D">
      <w:pPr>
        <w:tabs>
          <w:tab w:val="left" w:pos="851"/>
        </w:tabs>
        <w:ind w:left="851"/>
        <w:rPr>
          <w:sz w:val="24"/>
          <w:szCs w:val="24"/>
        </w:rPr>
      </w:pPr>
    </w:p>
    <w:p w14:paraId="3E27F6E7" w14:textId="77777777" w:rsidR="009260DE" w:rsidRPr="00C84483" w:rsidRDefault="009260DE" w:rsidP="0052225D">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439FB0EE" w14:textId="77777777" w:rsidR="00B47D5C" w:rsidRPr="00B47D5C" w:rsidRDefault="00B47D5C" w:rsidP="00B47D5C">
      <w:pPr>
        <w:tabs>
          <w:tab w:val="left" w:pos="851"/>
        </w:tabs>
        <w:ind w:left="851"/>
        <w:rPr>
          <w:sz w:val="24"/>
          <w:szCs w:val="24"/>
          <w:lang w:val="es-ES"/>
        </w:rPr>
      </w:pPr>
      <w:r w:rsidRPr="00B47D5C">
        <w:rPr>
          <w:sz w:val="24"/>
          <w:szCs w:val="24"/>
          <w:lang w:val="es-ES"/>
        </w:rPr>
        <w:t>Desitin Arzneimittel GmbH</w:t>
      </w:r>
    </w:p>
    <w:p w14:paraId="6053823C" w14:textId="30F5D165" w:rsidR="00B47D5C" w:rsidRPr="00B47D5C" w:rsidRDefault="00B47D5C" w:rsidP="00B47D5C">
      <w:pPr>
        <w:tabs>
          <w:tab w:val="left" w:pos="851"/>
        </w:tabs>
        <w:ind w:left="851"/>
        <w:rPr>
          <w:sz w:val="24"/>
          <w:szCs w:val="24"/>
          <w:lang w:val="es-ES"/>
        </w:rPr>
      </w:pPr>
      <w:r w:rsidRPr="00B47D5C">
        <w:rPr>
          <w:sz w:val="24"/>
          <w:szCs w:val="24"/>
          <w:lang w:val="es-ES"/>
        </w:rPr>
        <w:t>Weg beim Jäger 214</w:t>
      </w:r>
    </w:p>
    <w:p w14:paraId="7EB82796" w14:textId="73BA7DD7" w:rsidR="00B47D5C" w:rsidRPr="00B47D5C" w:rsidRDefault="00B47D5C" w:rsidP="00B47D5C">
      <w:pPr>
        <w:tabs>
          <w:tab w:val="left" w:pos="851"/>
        </w:tabs>
        <w:ind w:left="851"/>
        <w:rPr>
          <w:sz w:val="24"/>
          <w:szCs w:val="24"/>
          <w:lang w:val="es-ES"/>
        </w:rPr>
      </w:pPr>
      <w:r w:rsidRPr="00B47D5C">
        <w:rPr>
          <w:sz w:val="24"/>
          <w:szCs w:val="24"/>
          <w:lang w:val="es-ES"/>
        </w:rPr>
        <w:t>22335 Hamburg</w:t>
      </w:r>
    </w:p>
    <w:p w14:paraId="79D3A5FE" w14:textId="77777777" w:rsidR="00B47D5C" w:rsidRPr="00B47D5C" w:rsidRDefault="00B47D5C" w:rsidP="00B47D5C">
      <w:pPr>
        <w:tabs>
          <w:tab w:val="left" w:pos="851"/>
        </w:tabs>
        <w:ind w:left="851"/>
        <w:rPr>
          <w:sz w:val="24"/>
          <w:szCs w:val="24"/>
          <w:lang w:val="es-ES"/>
        </w:rPr>
      </w:pPr>
      <w:r w:rsidRPr="00B47D5C">
        <w:rPr>
          <w:sz w:val="24"/>
          <w:szCs w:val="24"/>
          <w:lang w:val="es-ES"/>
        </w:rPr>
        <w:t>Tyskland</w:t>
      </w:r>
    </w:p>
    <w:p w14:paraId="5BC8EAE9" w14:textId="77777777" w:rsidR="009260DE" w:rsidRDefault="009260DE" w:rsidP="0052225D">
      <w:pPr>
        <w:tabs>
          <w:tab w:val="left" w:pos="851"/>
        </w:tabs>
        <w:ind w:left="851"/>
        <w:rPr>
          <w:sz w:val="24"/>
          <w:szCs w:val="24"/>
        </w:rPr>
      </w:pPr>
    </w:p>
    <w:p w14:paraId="45E8D41F" w14:textId="77777777" w:rsidR="00641C65" w:rsidRDefault="00641C65" w:rsidP="0052225D">
      <w:pPr>
        <w:tabs>
          <w:tab w:val="left" w:pos="851"/>
        </w:tabs>
        <w:ind w:left="851"/>
        <w:rPr>
          <w:sz w:val="24"/>
          <w:szCs w:val="24"/>
        </w:rPr>
      </w:pPr>
      <w:r>
        <w:rPr>
          <w:b/>
          <w:sz w:val="24"/>
          <w:szCs w:val="24"/>
        </w:rPr>
        <w:t>Repræsentant</w:t>
      </w:r>
    </w:p>
    <w:p w14:paraId="101E7D2F" w14:textId="17BA37E3" w:rsidR="00641C65" w:rsidRPr="00897B0F" w:rsidRDefault="00B47D5C" w:rsidP="0052225D">
      <w:pPr>
        <w:tabs>
          <w:tab w:val="left" w:pos="851"/>
        </w:tabs>
        <w:ind w:left="851"/>
        <w:rPr>
          <w:sz w:val="24"/>
          <w:szCs w:val="24"/>
          <w:lang w:val="en-US"/>
        </w:rPr>
      </w:pPr>
      <w:r w:rsidRPr="00897B0F">
        <w:rPr>
          <w:sz w:val="24"/>
          <w:szCs w:val="24"/>
          <w:lang w:val="en-US"/>
        </w:rPr>
        <w:t>Desitin Pharma A/S</w:t>
      </w:r>
    </w:p>
    <w:p w14:paraId="5DFEC24D" w14:textId="2A12C1CA" w:rsidR="00B47D5C" w:rsidRPr="00897B0F" w:rsidRDefault="00B47D5C" w:rsidP="0052225D">
      <w:pPr>
        <w:tabs>
          <w:tab w:val="left" w:pos="851"/>
        </w:tabs>
        <w:ind w:left="851"/>
        <w:rPr>
          <w:sz w:val="24"/>
          <w:szCs w:val="24"/>
          <w:lang w:val="en-US"/>
        </w:rPr>
      </w:pPr>
      <w:r w:rsidRPr="00897B0F">
        <w:rPr>
          <w:sz w:val="24"/>
          <w:szCs w:val="24"/>
          <w:lang w:val="en-US"/>
        </w:rPr>
        <w:t>Automatikvej 1/4</w:t>
      </w:r>
    </w:p>
    <w:p w14:paraId="3E9DD04F" w14:textId="53C5C0A1" w:rsidR="00B47D5C" w:rsidRDefault="00B47D5C" w:rsidP="0052225D">
      <w:pPr>
        <w:tabs>
          <w:tab w:val="left" w:pos="851"/>
        </w:tabs>
        <w:ind w:left="851"/>
        <w:rPr>
          <w:sz w:val="24"/>
          <w:szCs w:val="24"/>
        </w:rPr>
      </w:pPr>
      <w:r>
        <w:rPr>
          <w:sz w:val="24"/>
          <w:szCs w:val="24"/>
        </w:rPr>
        <w:t>2860 Søborg</w:t>
      </w:r>
    </w:p>
    <w:p w14:paraId="7CB53855" w14:textId="77777777" w:rsidR="00641C65" w:rsidRPr="00641C65" w:rsidRDefault="00641C65" w:rsidP="0052225D">
      <w:pPr>
        <w:tabs>
          <w:tab w:val="left" w:pos="851"/>
        </w:tabs>
        <w:ind w:left="851"/>
        <w:rPr>
          <w:sz w:val="24"/>
          <w:szCs w:val="24"/>
        </w:rPr>
      </w:pPr>
    </w:p>
    <w:p w14:paraId="4F3F00ED" w14:textId="77777777" w:rsidR="009260DE" w:rsidRPr="00C84483" w:rsidRDefault="009260DE" w:rsidP="0052225D">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3F135B3D" w14:textId="3D36FB93" w:rsidR="009260DE" w:rsidRPr="00C84483" w:rsidRDefault="00B47D5C" w:rsidP="0052225D">
      <w:pPr>
        <w:tabs>
          <w:tab w:val="left" w:pos="851"/>
        </w:tabs>
        <w:ind w:left="851"/>
        <w:rPr>
          <w:sz w:val="24"/>
          <w:szCs w:val="24"/>
        </w:rPr>
      </w:pPr>
      <w:r>
        <w:rPr>
          <w:sz w:val="24"/>
          <w:szCs w:val="24"/>
        </w:rPr>
        <w:t>73250</w:t>
      </w:r>
    </w:p>
    <w:p w14:paraId="64A01683" w14:textId="77777777" w:rsidR="009260DE" w:rsidRPr="00C84483" w:rsidRDefault="009260DE" w:rsidP="0052225D">
      <w:pPr>
        <w:tabs>
          <w:tab w:val="left" w:pos="851"/>
        </w:tabs>
        <w:ind w:left="851"/>
        <w:jc w:val="both"/>
        <w:rPr>
          <w:sz w:val="24"/>
          <w:szCs w:val="24"/>
        </w:rPr>
      </w:pPr>
    </w:p>
    <w:p w14:paraId="6C8C9A3F" w14:textId="77777777" w:rsidR="009260DE" w:rsidRPr="00C84483" w:rsidRDefault="009260DE" w:rsidP="0052225D">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690649FC" w14:textId="2B8891B3" w:rsidR="009260DE" w:rsidRPr="00C84483" w:rsidRDefault="00897B0F" w:rsidP="0052225D">
      <w:pPr>
        <w:tabs>
          <w:tab w:val="left" w:pos="851"/>
        </w:tabs>
        <w:ind w:left="851"/>
        <w:rPr>
          <w:sz w:val="24"/>
          <w:szCs w:val="24"/>
        </w:rPr>
      </w:pPr>
      <w:r>
        <w:rPr>
          <w:sz w:val="24"/>
          <w:szCs w:val="24"/>
        </w:rPr>
        <w:t>7. oktober 2025</w:t>
      </w:r>
    </w:p>
    <w:p w14:paraId="3151465A" w14:textId="77777777" w:rsidR="009260DE" w:rsidRPr="00C84483" w:rsidRDefault="009260DE" w:rsidP="0052225D">
      <w:pPr>
        <w:tabs>
          <w:tab w:val="left" w:pos="851"/>
        </w:tabs>
        <w:ind w:left="851"/>
        <w:rPr>
          <w:sz w:val="24"/>
          <w:szCs w:val="24"/>
        </w:rPr>
      </w:pPr>
    </w:p>
    <w:p w14:paraId="1604C390" w14:textId="77777777" w:rsidR="009260DE" w:rsidRPr="00C84483" w:rsidRDefault="009260DE" w:rsidP="0052225D">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4FCF2F1F" w14:textId="1687905A" w:rsidR="009260DE" w:rsidRPr="00C84483" w:rsidRDefault="00B47D5C" w:rsidP="0052225D">
      <w:pPr>
        <w:tabs>
          <w:tab w:val="left" w:pos="851"/>
        </w:tabs>
        <w:ind w:left="851"/>
        <w:rPr>
          <w:sz w:val="24"/>
          <w:szCs w:val="24"/>
        </w:rPr>
      </w:pPr>
      <w:r>
        <w:rPr>
          <w:sz w:val="24"/>
          <w:szCs w:val="24"/>
        </w:rPr>
        <w:t>-</w:t>
      </w:r>
    </w:p>
    <w:sectPr w:rsidR="009260DE" w:rsidRPr="00C84483"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CB97D" w14:textId="77777777" w:rsidR="00F41036" w:rsidRDefault="00F41036">
      <w:r>
        <w:separator/>
      </w:r>
    </w:p>
  </w:endnote>
  <w:endnote w:type="continuationSeparator" w:id="0">
    <w:p w14:paraId="4C88813D" w14:textId="77777777" w:rsidR="00F41036" w:rsidRDefault="00F4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399B0" w14:textId="6DAE6F98" w:rsidR="00F41036" w:rsidRDefault="00F41036">
    <w:pPr>
      <w:pStyle w:val="Sidefod"/>
      <w:pBdr>
        <w:bottom w:val="single" w:sz="6" w:space="1" w:color="auto"/>
      </w:pBdr>
    </w:pPr>
  </w:p>
  <w:p w14:paraId="11EBD5F9" w14:textId="77777777" w:rsidR="00F41036" w:rsidRDefault="00F41036" w:rsidP="00C42586">
    <w:pPr>
      <w:pStyle w:val="Sidefod"/>
      <w:tabs>
        <w:tab w:val="clear" w:pos="4819"/>
        <w:tab w:val="left" w:pos="8505"/>
      </w:tabs>
      <w:rPr>
        <w:i/>
        <w:sz w:val="18"/>
        <w:szCs w:val="18"/>
      </w:rPr>
    </w:pPr>
  </w:p>
  <w:p w14:paraId="1F7C6D8D" w14:textId="629AFE48" w:rsidR="00F41036" w:rsidRPr="00B373D7" w:rsidRDefault="00F41036"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Brivaracetam Desitin, oral opløsning 10 mg-ml</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D54E6" w14:textId="77777777" w:rsidR="00F41036" w:rsidRDefault="00F41036">
      <w:r>
        <w:separator/>
      </w:r>
    </w:p>
  </w:footnote>
  <w:footnote w:type="continuationSeparator" w:id="0">
    <w:p w14:paraId="679262D0" w14:textId="77777777" w:rsidR="00F41036" w:rsidRDefault="00F41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866398C"/>
    <w:multiLevelType w:val="multilevel"/>
    <w:tmpl w:val="C2D606C6"/>
    <w:lvl w:ilvl="0">
      <w:start w:val="1"/>
      <w:numFmt w:val="decimal"/>
      <w:lvlText w:val="%1."/>
      <w:lvlJc w:val="left"/>
      <w:pPr>
        <w:ind w:left="1225" w:hanging="567"/>
      </w:pPr>
      <w:rPr>
        <w:rFonts w:ascii="Times New Roman" w:eastAsia="Times New Roman" w:hAnsi="Times New Roman" w:cs="Times New Roman" w:hint="default"/>
        <w:b/>
        <w:bCs/>
        <w:w w:val="100"/>
        <w:sz w:val="22"/>
        <w:szCs w:val="22"/>
      </w:rPr>
    </w:lvl>
    <w:lvl w:ilvl="1">
      <w:start w:val="1"/>
      <w:numFmt w:val="decimal"/>
      <w:lvlText w:val="%1.%2"/>
      <w:lvlJc w:val="left"/>
      <w:pPr>
        <w:ind w:left="1225" w:hanging="567"/>
      </w:pPr>
      <w:rPr>
        <w:rFonts w:ascii="Times New Roman" w:eastAsia="Times New Roman" w:hAnsi="Times New Roman" w:cs="Times New Roman" w:hint="default"/>
        <w:b/>
        <w:bCs/>
        <w:w w:val="100"/>
        <w:sz w:val="22"/>
        <w:szCs w:val="22"/>
      </w:rPr>
    </w:lvl>
    <w:lvl w:ilvl="2">
      <w:numFmt w:val="bullet"/>
      <w:lvlText w:val="•"/>
      <w:lvlJc w:val="left"/>
      <w:pPr>
        <w:ind w:left="3081" w:hanging="567"/>
      </w:pPr>
    </w:lvl>
    <w:lvl w:ilvl="3">
      <w:numFmt w:val="bullet"/>
      <w:lvlText w:val="•"/>
      <w:lvlJc w:val="left"/>
      <w:pPr>
        <w:ind w:left="4011" w:hanging="567"/>
      </w:pPr>
    </w:lvl>
    <w:lvl w:ilvl="4">
      <w:numFmt w:val="bullet"/>
      <w:lvlText w:val="•"/>
      <w:lvlJc w:val="left"/>
      <w:pPr>
        <w:ind w:left="4942" w:hanging="567"/>
      </w:pPr>
    </w:lvl>
    <w:lvl w:ilvl="5">
      <w:numFmt w:val="bullet"/>
      <w:lvlText w:val="•"/>
      <w:lvlJc w:val="left"/>
      <w:pPr>
        <w:ind w:left="5873" w:hanging="567"/>
      </w:pPr>
    </w:lvl>
    <w:lvl w:ilvl="6">
      <w:numFmt w:val="bullet"/>
      <w:lvlText w:val="•"/>
      <w:lvlJc w:val="left"/>
      <w:pPr>
        <w:ind w:left="6803" w:hanging="567"/>
      </w:pPr>
    </w:lvl>
    <w:lvl w:ilvl="7">
      <w:numFmt w:val="bullet"/>
      <w:lvlText w:val="•"/>
      <w:lvlJc w:val="left"/>
      <w:pPr>
        <w:ind w:left="7734" w:hanging="567"/>
      </w:pPr>
    </w:lvl>
    <w:lvl w:ilvl="8">
      <w:numFmt w:val="bullet"/>
      <w:lvlText w:val="•"/>
      <w:lvlJc w:val="left"/>
      <w:pPr>
        <w:ind w:left="8665" w:hanging="567"/>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8305097"/>
    <w:multiLevelType w:val="hybridMultilevel"/>
    <w:tmpl w:val="DD7A522A"/>
    <w:lvl w:ilvl="0" w:tplc="7E7E0528">
      <w:numFmt w:val="bullet"/>
      <w:lvlText w:val="-"/>
      <w:lvlJc w:val="left"/>
      <w:pPr>
        <w:ind w:left="1225" w:hanging="591"/>
      </w:pPr>
      <w:rPr>
        <w:rFonts w:ascii="Times New Roman" w:eastAsia="Times New Roman" w:hAnsi="Times New Roman" w:cs="Times New Roman" w:hint="default"/>
        <w:w w:val="100"/>
        <w:sz w:val="22"/>
        <w:szCs w:val="22"/>
      </w:rPr>
    </w:lvl>
    <w:lvl w:ilvl="1" w:tplc="32E25E12">
      <w:numFmt w:val="bullet"/>
      <w:lvlText w:val="•"/>
      <w:lvlJc w:val="left"/>
      <w:pPr>
        <w:ind w:left="2150" w:hanging="591"/>
      </w:pPr>
    </w:lvl>
    <w:lvl w:ilvl="2" w:tplc="693E020A">
      <w:numFmt w:val="bullet"/>
      <w:lvlText w:val="•"/>
      <w:lvlJc w:val="left"/>
      <w:pPr>
        <w:ind w:left="3081" w:hanging="591"/>
      </w:pPr>
    </w:lvl>
    <w:lvl w:ilvl="3" w:tplc="AC6E8A08">
      <w:numFmt w:val="bullet"/>
      <w:lvlText w:val="•"/>
      <w:lvlJc w:val="left"/>
      <w:pPr>
        <w:ind w:left="4011" w:hanging="591"/>
      </w:pPr>
    </w:lvl>
    <w:lvl w:ilvl="4" w:tplc="BDBC861C">
      <w:numFmt w:val="bullet"/>
      <w:lvlText w:val="•"/>
      <w:lvlJc w:val="left"/>
      <w:pPr>
        <w:ind w:left="4942" w:hanging="591"/>
      </w:pPr>
    </w:lvl>
    <w:lvl w:ilvl="5" w:tplc="604848F0">
      <w:numFmt w:val="bullet"/>
      <w:lvlText w:val="•"/>
      <w:lvlJc w:val="left"/>
      <w:pPr>
        <w:ind w:left="5873" w:hanging="591"/>
      </w:pPr>
    </w:lvl>
    <w:lvl w:ilvl="6" w:tplc="877C35D8">
      <w:numFmt w:val="bullet"/>
      <w:lvlText w:val="•"/>
      <w:lvlJc w:val="left"/>
      <w:pPr>
        <w:ind w:left="6803" w:hanging="591"/>
      </w:pPr>
    </w:lvl>
    <w:lvl w:ilvl="7" w:tplc="F7563520">
      <w:numFmt w:val="bullet"/>
      <w:lvlText w:val="•"/>
      <w:lvlJc w:val="left"/>
      <w:pPr>
        <w:ind w:left="7734" w:hanging="591"/>
      </w:pPr>
    </w:lvl>
    <w:lvl w:ilvl="8" w:tplc="8A5ECDDA">
      <w:numFmt w:val="bullet"/>
      <w:lvlText w:val="•"/>
      <w:lvlJc w:val="left"/>
      <w:pPr>
        <w:ind w:left="8665" w:hanging="591"/>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B4"/>
    <w:rsid w:val="000259B9"/>
    <w:rsid w:val="00041491"/>
    <w:rsid w:val="00050D16"/>
    <w:rsid w:val="000730CA"/>
    <w:rsid w:val="00074F2A"/>
    <w:rsid w:val="00085437"/>
    <w:rsid w:val="000A1CA8"/>
    <w:rsid w:val="000A466B"/>
    <w:rsid w:val="000B058C"/>
    <w:rsid w:val="000D68B0"/>
    <w:rsid w:val="000E4EE6"/>
    <w:rsid w:val="001454E2"/>
    <w:rsid w:val="00206CE8"/>
    <w:rsid w:val="0021526C"/>
    <w:rsid w:val="00283A2B"/>
    <w:rsid w:val="0029558E"/>
    <w:rsid w:val="002B30AD"/>
    <w:rsid w:val="002C1EC0"/>
    <w:rsid w:val="002C2C01"/>
    <w:rsid w:val="00344E8B"/>
    <w:rsid w:val="003A29AE"/>
    <w:rsid w:val="003A32D7"/>
    <w:rsid w:val="003B4074"/>
    <w:rsid w:val="003C769A"/>
    <w:rsid w:val="003D3A90"/>
    <w:rsid w:val="003F1838"/>
    <w:rsid w:val="004251C1"/>
    <w:rsid w:val="0045746C"/>
    <w:rsid w:val="0049104B"/>
    <w:rsid w:val="004E3B12"/>
    <w:rsid w:val="0052225D"/>
    <w:rsid w:val="00532310"/>
    <w:rsid w:val="00565F0F"/>
    <w:rsid w:val="00594A86"/>
    <w:rsid w:val="00596D86"/>
    <w:rsid w:val="005B168D"/>
    <w:rsid w:val="006249D4"/>
    <w:rsid w:val="00637F5A"/>
    <w:rsid w:val="00641C65"/>
    <w:rsid w:val="006560B1"/>
    <w:rsid w:val="006756DD"/>
    <w:rsid w:val="006849E5"/>
    <w:rsid w:val="0071241E"/>
    <w:rsid w:val="00737275"/>
    <w:rsid w:val="00740EEC"/>
    <w:rsid w:val="0078011A"/>
    <w:rsid w:val="00782AF4"/>
    <w:rsid w:val="00790EE7"/>
    <w:rsid w:val="007B6649"/>
    <w:rsid w:val="0082576E"/>
    <w:rsid w:val="0089346F"/>
    <w:rsid w:val="00897B0F"/>
    <w:rsid w:val="008A2719"/>
    <w:rsid w:val="008B0489"/>
    <w:rsid w:val="008F29B4"/>
    <w:rsid w:val="00907F75"/>
    <w:rsid w:val="009260DE"/>
    <w:rsid w:val="0093258A"/>
    <w:rsid w:val="00944ED2"/>
    <w:rsid w:val="009C7BA3"/>
    <w:rsid w:val="009D1F5A"/>
    <w:rsid w:val="00A00DE3"/>
    <w:rsid w:val="00A10294"/>
    <w:rsid w:val="00AA1962"/>
    <w:rsid w:val="00B003BF"/>
    <w:rsid w:val="00B373D7"/>
    <w:rsid w:val="00B47D5C"/>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178EA"/>
    <w:rsid w:val="00E3749A"/>
    <w:rsid w:val="00E54FAE"/>
    <w:rsid w:val="00E7437F"/>
    <w:rsid w:val="00E865B8"/>
    <w:rsid w:val="00EC0B9B"/>
    <w:rsid w:val="00ED5E9F"/>
    <w:rsid w:val="00F164DD"/>
    <w:rsid w:val="00F41036"/>
    <w:rsid w:val="00F66D4F"/>
    <w:rsid w:val="00F853F2"/>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31E11"/>
  <w15:chartTrackingRefBased/>
  <w15:docId w15:val="{F38A2662-C01E-46EA-BB2E-1A123FA8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unhideWhenUsed/>
    <w:qFormat/>
    <w:rsid w:val="00944ED2"/>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rsid w:val="00944ED2"/>
    <w:rPr>
      <w:sz w:val="22"/>
      <w:szCs w:val="22"/>
      <w:lang w:val="en-US" w:eastAsia="en-US"/>
    </w:rPr>
  </w:style>
  <w:style w:type="paragraph" w:styleId="Listeafsnit">
    <w:name w:val="List Paragraph"/>
    <w:basedOn w:val="Normal"/>
    <w:uiPriority w:val="1"/>
    <w:qFormat/>
    <w:rsid w:val="00944ED2"/>
    <w:pPr>
      <w:widowControl w:val="0"/>
      <w:autoSpaceDE w:val="0"/>
      <w:autoSpaceDN w:val="0"/>
      <w:ind w:left="1225" w:hanging="568"/>
    </w:pPr>
    <w:rPr>
      <w:sz w:val="22"/>
      <w:szCs w:val="22"/>
      <w:lang w:val="en-US"/>
    </w:rPr>
  </w:style>
  <w:style w:type="paragraph" w:customStyle="1" w:styleId="TableParagraph">
    <w:name w:val="Table Paragraph"/>
    <w:basedOn w:val="Normal"/>
    <w:uiPriority w:val="1"/>
    <w:qFormat/>
    <w:rsid w:val="00944ED2"/>
    <w:pPr>
      <w:widowControl w:val="0"/>
      <w:autoSpaceDE w:val="0"/>
      <w:autoSpaceDN w:val="0"/>
      <w:spacing w:line="251" w:lineRule="exact"/>
      <w:ind w:left="107"/>
    </w:pPr>
    <w:rPr>
      <w:sz w:val="22"/>
      <w:szCs w:val="22"/>
      <w:lang w:val="en-US"/>
    </w:rPr>
  </w:style>
  <w:style w:type="character" w:styleId="Hyperlink">
    <w:name w:val="Hyperlink"/>
    <w:basedOn w:val="Standardskrifttypeiafsnit"/>
    <w:uiPriority w:val="99"/>
    <w:unhideWhenUsed/>
    <w:rsid w:val="00E178EA"/>
    <w:rPr>
      <w:color w:val="0563C1" w:themeColor="hyperlink"/>
      <w:u w:val="single"/>
    </w:rPr>
  </w:style>
  <w:style w:type="character" w:styleId="Ulstomtale">
    <w:name w:val="Unresolved Mention"/>
    <w:basedOn w:val="Standardskrifttypeiafsnit"/>
    <w:uiPriority w:val="99"/>
    <w:semiHidden/>
    <w:unhideWhenUsed/>
    <w:rsid w:val="00E17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0552">
      <w:bodyDiv w:val="1"/>
      <w:marLeft w:val="0"/>
      <w:marRight w:val="0"/>
      <w:marTop w:val="0"/>
      <w:marBottom w:val="0"/>
      <w:divBdr>
        <w:top w:val="none" w:sz="0" w:space="0" w:color="auto"/>
        <w:left w:val="none" w:sz="0" w:space="0" w:color="auto"/>
        <w:bottom w:val="none" w:sz="0" w:space="0" w:color="auto"/>
        <w:right w:val="none" w:sz="0" w:space="0" w:color="auto"/>
      </w:divBdr>
    </w:div>
    <w:div w:id="4425721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7282089">
      <w:bodyDiv w:val="1"/>
      <w:marLeft w:val="0"/>
      <w:marRight w:val="0"/>
      <w:marTop w:val="0"/>
      <w:marBottom w:val="0"/>
      <w:divBdr>
        <w:top w:val="none" w:sz="0" w:space="0" w:color="auto"/>
        <w:left w:val="none" w:sz="0" w:space="0" w:color="auto"/>
        <w:bottom w:val="none" w:sz="0" w:space="0" w:color="auto"/>
        <w:right w:val="none" w:sz="0" w:space="0" w:color="auto"/>
      </w:divBdr>
    </w:div>
    <w:div w:id="301008023">
      <w:bodyDiv w:val="1"/>
      <w:marLeft w:val="0"/>
      <w:marRight w:val="0"/>
      <w:marTop w:val="0"/>
      <w:marBottom w:val="0"/>
      <w:divBdr>
        <w:top w:val="none" w:sz="0" w:space="0" w:color="auto"/>
        <w:left w:val="none" w:sz="0" w:space="0" w:color="auto"/>
        <w:bottom w:val="none" w:sz="0" w:space="0" w:color="auto"/>
        <w:right w:val="none" w:sz="0" w:space="0" w:color="auto"/>
      </w:divBdr>
    </w:div>
    <w:div w:id="414011883">
      <w:bodyDiv w:val="1"/>
      <w:marLeft w:val="0"/>
      <w:marRight w:val="0"/>
      <w:marTop w:val="0"/>
      <w:marBottom w:val="0"/>
      <w:divBdr>
        <w:top w:val="none" w:sz="0" w:space="0" w:color="auto"/>
        <w:left w:val="none" w:sz="0" w:space="0" w:color="auto"/>
        <w:bottom w:val="none" w:sz="0" w:space="0" w:color="auto"/>
        <w:right w:val="none" w:sz="0" w:space="0" w:color="auto"/>
      </w:divBdr>
    </w:div>
    <w:div w:id="428504773">
      <w:bodyDiv w:val="1"/>
      <w:marLeft w:val="0"/>
      <w:marRight w:val="0"/>
      <w:marTop w:val="0"/>
      <w:marBottom w:val="0"/>
      <w:divBdr>
        <w:top w:val="none" w:sz="0" w:space="0" w:color="auto"/>
        <w:left w:val="none" w:sz="0" w:space="0" w:color="auto"/>
        <w:bottom w:val="none" w:sz="0" w:space="0" w:color="auto"/>
        <w:right w:val="none" w:sz="0" w:space="0" w:color="auto"/>
      </w:divBdr>
    </w:div>
    <w:div w:id="483400044">
      <w:bodyDiv w:val="1"/>
      <w:marLeft w:val="0"/>
      <w:marRight w:val="0"/>
      <w:marTop w:val="0"/>
      <w:marBottom w:val="0"/>
      <w:divBdr>
        <w:top w:val="none" w:sz="0" w:space="0" w:color="auto"/>
        <w:left w:val="none" w:sz="0" w:space="0" w:color="auto"/>
        <w:bottom w:val="none" w:sz="0" w:space="0" w:color="auto"/>
        <w:right w:val="none" w:sz="0" w:space="0" w:color="auto"/>
      </w:divBdr>
    </w:div>
    <w:div w:id="625358901">
      <w:bodyDiv w:val="1"/>
      <w:marLeft w:val="0"/>
      <w:marRight w:val="0"/>
      <w:marTop w:val="0"/>
      <w:marBottom w:val="0"/>
      <w:divBdr>
        <w:top w:val="none" w:sz="0" w:space="0" w:color="auto"/>
        <w:left w:val="none" w:sz="0" w:space="0" w:color="auto"/>
        <w:bottom w:val="none" w:sz="0" w:space="0" w:color="auto"/>
        <w:right w:val="none" w:sz="0" w:space="0" w:color="auto"/>
      </w:divBdr>
    </w:div>
    <w:div w:id="679938284">
      <w:bodyDiv w:val="1"/>
      <w:marLeft w:val="0"/>
      <w:marRight w:val="0"/>
      <w:marTop w:val="0"/>
      <w:marBottom w:val="0"/>
      <w:divBdr>
        <w:top w:val="none" w:sz="0" w:space="0" w:color="auto"/>
        <w:left w:val="none" w:sz="0" w:space="0" w:color="auto"/>
        <w:bottom w:val="none" w:sz="0" w:space="0" w:color="auto"/>
        <w:right w:val="none" w:sz="0" w:space="0" w:color="auto"/>
      </w:divBdr>
    </w:div>
    <w:div w:id="745805613">
      <w:bodyDiv w:val="1"/>
      <w:marLeft w:val="0"/>
      <w:marRight w:val="0"/>
      <w:marTop w:val="0"/>
      <w:marBottom w:val="0"/>
      <w:divBdr>
        <w:top w:val="none" w:sz="0" w:space="0" w:color="auto"/>
        <w:left w:val="none" w:sz="0" w:space="0" w:color="auto"/>
        <w:bottom w:val="none" w:sz="0" w:space="0" w:color="auto"/>
        <w:right w:val="none" w:sz="0" w:space="0" w:color="auto"/>
      </w:divBdr>
    </w:div>
    <w:div w:id="753093464">
      <w:bodyDiv w:val="1"/>
      <w:marLeft w:val="0"/>
      <w:marRight w:val="0"/>
      <w:marTop w:val="0"/>
      <w:marBottom w:val="0"/>
      <w:divBdr>
        <w:top w:val="none" w:sz="0" w:space="0" w:color="auto"/>
        <w:left w:val="none" w:sz="0" w:space="0" w:color="auto"/>
        <w:bottom w:val="none" w:sz="0" w:space="0" w:color="auto"/>
        <w:right w:val="none" w:sz="0" w:space="0" w:color="auto"/>
      </w:divBdr>
    </w:div>
    <w:div w:id="766772077">
      <w:bodyDiv w:val="1"/>
      <w:marLeft w:val="0"/>
      <w:marRight w:val="0"/>
      <w:marTop w:val="0"/>
      <w:marBottom w:val="0"/>
      <w:divBdr>
        <w:top w:val="none" w:sz="0" w:space="0" w:color="auto"/>
        <w:left w:val="none" w:sz="0" w:space="0" w:color="auto"/>
        <w:bottom w:val="none" w:sz="0" w:space="0" w:color="auto"/>
        <w:right w:val="none" w:sz="0" w:space="0" w:color="auto"/>
      </w:divBdr>
    </w:div>
    <w:div w:id="869994663">
      <w:bodyDiv w:val="1"/>
      <w:marLeft w:val="0"/>
      <w:marRight w:val="0"/>
      <w:marTop w:val="0"/>
      <w:marBottom w:val="0"/>
      <w:divBdr>
        <w:top w:val="none" w:sz="0" w:space="0" w:color="auto"/>
        <w:left w:val="none" w:sz="0" w:space="0" w:color="auto"/>
        <w:bottom w:val="none" w:sz="0" w:space="0" w:color="auto"/>
        <w:right w:val="none" w:sz="0" w:space="0" w:color="auto"/>
      </w:divBdr>
    </w:div>
    <w:div w:id="1025518825">
      <w:bodyDiv w:val="1"/>
      <w:marLeft w:val="0"/>
      <w:marRight w:val="0"/>
      <w:marTop w:val="0"/>
      <w:marBottom w:val="0"/>
      <w:divBdr>
        <w:top w:val="none" w:sz="0" w:space="0" w:color="auto"/>
        <w:left w:val="none" w:sz="0" w:space="0" w:color="auto"/>
        <w:bottom w:val="none" w:sz="0" w:space="0" w:color="auto"/>
        <w:right w:val="none" w:sz="0" w:space="0" w:color="auto"/>
      </w:divBdr>
    </w:div>
    <w:div w:id="1050422412">
      <w:bodyDiv w:val="1"/>
      <w:marLeft w:val="0"/>
      <w:marRight w:val="0"/>
      <w:marTop w:val="0"/>
      <w:marBottom w:val="0"/>
      <w:divBdr>
        <w:top w:val="none" w:sz="0" w:space="0" w:color="auto"/>
        <w:left w:val="none" w:sz="0" w:space="0" w:color="auto"/>
        <w:bottom w:val="none" w:sz="0" w:space="0" w:color="auto"/>
        <w:right w:val="none" w:sz="0" w:space="0" w:color="auto"/>
      </w:divBdr>
    </w:div>
    <w:div w:id="1071852008">
      <w:bodyDiv w:val="1"/>
      <w:marLeft w:val="0"/>
      <w:marRight w:val="0"/>
      <w:marTop w:val="0"/>
      <w:marBottom w:val="0"/>
      <w:divBdr>
        <w:top w:val="none" w:sz="0" w:space="0" w:color="auto"/>
        <w:left w:val="none" w:sz="0" w:space="0" w:color="auto"/>
        <w:bottom w:val="none" w:sz="0" w:space="0" w:color="auto"/>
        <w:right w:val="none" w:sz="0" w:space="0" w:color="auto"/>
      </w:divBdr>
    </w:div>
    <w:div w:id="1098913457">
      <w:bodyDiv w:val="1"/>
      <w:marLeft w:val="0"/>
      <w:marRight w:val="0"/>
      <w:marTop w:val="0"/>
      <w:marBottom w:val="0"/>
      <w:divBdr>
        <w:top w:val="none" w:sz="0" w:space="0" w:color="auto"/>
        <w:left w:val="none" w:sz="0" w:space="0" w:color="auto"/>
        <w:bottom w:val="none" w:sz="0" w:space="0" w:color="auto"/>
        <w:right w:val="none" w:sz="0" w:space="0" w:color="auto"/>
      </w:divBdr>
    </w:div>
    <w:div w:id="1146698333">
      <w:bodyDiv w:val="1"/>
      <w:marLeft w:val="0"/>
      <w:marRight w:val="0"/>
      <w:marTop w:val="0"/>
      <w:marBottom w:val="0"/>
      <w:divBdr>
        <w:top w:val="none" w:sz="0" w:space="0" w:color="auto"/>
        <w:left w:val="none" w:sz="0" w:space="0" w:color="auto"/>
        <w:bottom w:val="none" w:sz="0" w:space="0" w:color="auto"/>
        <w:right w:val="none" w:sz="0" w:space="0" w:color="auto"/>
      </w:divBdr>
    </w:div>
    <w:div w:id="1216812504">
      <w:bodyDiv w:val="1"/>
      <w:marLeft w:val="0"/>
      <w:marRight w:val="0"/>
      <w:marTop w:val="0"/>
      <w:marBottom w:val="0"/>
      <w:divBdr>
        <w:top w:val="none" w:sz="0" w:space="0" w:color="auto"/>
        <w:left w:val="none" w:sz="0" w:space="0" w:color="auto"/>
        <w:bottom w:val="none" w:sz="0" w:space="0" w:color="auto"/>
        <w:right w:val="none" w:sz="0" w:space="0" w:color="auto"/>
      </w:divBdr>
    </w:div>
    <w:div w:id="1280331094">
      <w:bodyDiv w:val="1"/>
      <w:marLeft w:val="0"/>
      <w:marRight w:val="0"/>
      <w:marTop w:val="0"/>
      <w:marBottom w:val="0"/>
      <w:divBdr>
        <w:top w:val="none" w:sz="0" w:space="0" w:color="auto"/>
        <w:left w:val="none" w:sz="0" w:space="0" w:color="auto"/>
        <w:bottom w:val="none" w:sz="0" w:space="0" w:color="auto"/>
        <w:right w:val="none" w:sz="0" w:space="0" w:color="auto"/>
      </w:divBdr>
    </w:div>
    <w:div w:id="1287851082">
      <w:bodyDiv w:val="1"/>
      <w:marLeft w:val="0"/>
      <w:marRight w:val="0"/>
      <w:marTop w:val="0"/>
      <w:marBottom w:val="0"/>
      <w:divBdr>
        <w:top w:val="none" w:sz="0" w:space="0" w:color="auto"/>
        <w:left w:val="none" w:sz="0" w:space="0" w:color="auto"/>
        <w:bottom w:val="none" w:sz="0" w:space="0" w:color="auto"/>
        <w:right w:val="none" w:sz="0" w:space="0" w:color="auto"/>
      </w:divBdr>
    </w:div>
    <w:div w:id="1298533481">
      <w:bodyDiv w:val="1"/>
      <w:marLeft w:val="0"/>
      <w:marRight w:val="0"/>
      <w:marTop w:val="0"/>
      <w:marBottom w:val="0"/>
      <w:divBdr>
        <w:top w:val="none" w:sz="0" w:space="0" w:color="auto"/>
        <w:left w:val="none" w:sz="0" w:space="0" w:color="auto"/>
        <w:bottom w:val="none" w:sz="0" w:space="0" w:color="auto"/>
        <w:right w:val="none" w:sz="0" w:space="0" w:color="auto"/>
      </w:divBdr>
    </w:div>
    <w:div w:id="1326938221">
      <w:bodyDiv w:val="1"/>
      <w:marLeft w:val="0"/>
      <w:marRight w:val="0"/>
      <w:marTop w:val="0"/>
      <w:marBottom w:val="0"/>
      <w:divBdr>
        <w:top w:val="none" w:sz="0" w:space="0" w:color="auto"/>
        <w:left w:val="none" w:sz="0" w:space="0" w:color="auto"/>
        <w:bottom w:val="none" w:sz="0" w:space="0" w:color="auto"/>
        <w:right w:val="none" w:sz="0" w:space="0" w:color="auto"/>
      </w:divBdr>
    </w:div>
    <w:div w:id="1354188154">
      <w:bodyDiv w:val="1"/>
      <w:marLeft w:val="0"/>
      <w:marRight w:val="0"/>
      <w:marTop w:val="0"/>
      <w:marBottom w:val="0"/>
      <w:divBdr>
        <w:top w:val="none" w:sz="0" w:space="0" w:color="auto"/>
        <w:left w:val="none" w:sz="0" w:space="0" w:color="auto"/>
        <w:bottom w:val="none" w:sz="0" w:space="0" w:color="auto"/>
        <w:right w:val="none" w:sz="0" w:space="0" w:color="auto"/>
      </w:divBdr>
    </w:div>
    <w:div w:id="1359160982">
      <w:bodyDiv w:val="1"/>
      <w:marLeft w:val="0"/>
      <w:marRight w:val="0"/>
      <w:marTop w:val="0"/>
      <w:marBottom w:val="0"/>
      <w:divBdr>
        <w:top w:val="none" w:sz="0" w:space="0" w:color="auto"/>
        <w:left w:val="none" w:sz="0" w:space="0" w:color="auto"/>
        <w:bottom w:val="none" w:sz="0" w:space="0" w:color="auto"/>
        <w:right w:val="none" w:sz="0" w:space="0" w:color="auto"/>
      </w:divBdr>
    </w:div>
    <w:div w:id="1361664719">
      <w:bodyDiv w:val="1"/>
      <w:marLeft w:val="0"/>
      <w:marRight w:val="0"/>
      <w:marTop w:val="0"/>
      <w:marBottom w:val="0"/>
      <w:divBdr>
        <w:top w:val="none" w:sz="0" w:space="0" w:color="auto"/>
        <w:left w:val="none" w:sz="0" w:space="0" w:color="auto"/>
        <w:bottom w:val="none" w:sz="0" w:space="0" w:color="auto"/>
        <w:right w:val="none" w:sz="0" w:space="0" w:color="auto"/>
      </w:divBdr>
    </w:div>
    <w:div w:id="1382629043">
      <w:bodyDiv w:val="1"/>
      <w:marLeft w:val="0"/>
      <w:marRight w:val="0"/>
      <w:marTop w:val="0"/>
      <w:marBottom w:val="0"/>
      <w:divBdr>
        <w:top w:val="none" w:sz="0" w:space="0" w:color="auto"/>
        <w:left w:val="none" w:sz="0" w:space="0" w:color="auto"/>
        <w:bottom w:val="none" w:sz="0" w:space="0" w:color="auto"/>
        <w:right w:val="none" w:sz="0" w:space="0" w:color="auto"/>
      </w:divBdr>
    </w:div>
    <w:div w:id="1466774279">
      <w:bodyDiv w:val="1"/>
      <w:marLeft w:val="0"/>
      <w:marRight w:val="0"/>
      <w:marTop w:val="0"/>
      <w:marBottom w:val="0"/>
      <w:divBdr>
        <w:top w:val="none" w:sz="0" w:space="0" w:color="auto"/>
        <w:left w:val="none" w:sz="0" w:space="0" w:color="auto"/>
        <w:bottom w:val="none" w:sz="0" w:space="0" w:color="auto"/>
        <w:right w:val="none" w:sz="0" w:space="0" w:color="auto"/>
      </w:divBdr>
    </w:div>
    <w:div w:id="1560898598">
      <w:bodyDiv w:val="1"/>
      <w:marLeft w:val="0"/>
      <w:marRight w:val="0"/>
      <w:marTop w:val="0"/>
      <w:marBottom w:val="0"/>
      <w:divBdr>
        <w:top w:val="none" w:sz="0" w:space="0" w:color="auto"/>
        <w:left w:val="none" w:sz="0" w:space="0" w:color="auto"/>
        <w:bottom w:val="none" w:sz="0" w:space="0" w:color="auto"/>
        <w:right w:val="none" w:sz="0" w:space="0" w:color="auto"/>
      </w:divBdr>
    </w:div>
    <w:div w:id="1653439519">
      <w:bodyDiv w:val="1"/>
      <w:marLeft w:val="0"/>
      <w:marRight w:val="0"/>
      <w:marTop w:val="0"/>
      <w:marBottom w:val="0"/>
      <w:divBdr>
        <w:top w:val="none" w:sz="0" w:space="0" w:color="auto"/>
        <w:left w:val="none" w:sz="0" w:space="0" w:color="auto"/>
        <w:bottom w:val="none" w:sz="0" w:space="0" w:color="auto"/>
        <w:right w:val="none" w:sz="0" w:space="0" w:color="auto"/>
      </w:divBdr>
    </w:div>
    <w:div w:id="1665015380">
      <w:bodyDiv w:val="1"/>
      <w:marLeft w:val="0"/>
      <w:marRight w:val="0"/>
      <w:marTop w:val="0"/>
      <w:marBottom w:val="0"/>
      <w:divBdr>
        <w:top w:val="none" w:sz="0" w:space="0" w:color="auto"/>
        <w:left w:val="none" w:sz="0" w:space="0" w:color="auto"/>
        <w:bottom w:val="none" w:sz="0" w:space="0" w:color="auto"/>
        <w:right w:val="none" w:sz="0" w:space="0" w:color="auto"/>
      </w:divBdr>
    </w:div>
    <w:div w:id="1676179705">
      <w:bodyDiv w:val="1"/>
      <w:marLeft w:val="0"/>
      <w:marRight w:val="0"/>
      <w:marTop w:val="0"/>
      <w:marBottom w:val="0"/>
      <w:divBdr>
        <w:top w:val="none" w:sz="0" w:space="0" w:color="auto"/>
        <w:left w:val="none" w:sz="0" w:space="0" w:color="auto"/>
        <w:bottom w:val="none" w:sz="0" w:space="0" w:color="auto"/>
        <w:right w:val="none" w:sz="0" w:space="0" w:color="auto"/>
      </w:divBdr>
    </w:div>
    <w:div w:id="1689482472">
      <w:bodyDiv w:val="1"/>
      <w:marLeft w:val="0"/>
      <w:marRight w:val="0"/>
      <w:marTop w:val="0"/>
      <w:marBottom w:val="0"/>
      <w:divBdr>
        <w:top w:val="none" w:sz="0" w:space="0" w:color="auto"/>
        <w:left w:val="none" w:sz="0" w:space="0" w:color="auto"/>
        <w:bottom w:val="none" w:sz="0" w:space="0" w:color="auto"/>
        <w:right w:val="none" w:sz="0" w:space="0" w:color="auto"/>
      </w:divBdr>
    </w:div>
    <w:div w:id="1690988893">
      <w:bodyDiv w:val="1"/>
      <w:marLeft w:val="0"/>
      <w:marRight w:val="0"/>
      <w:marTop w:val="0"/>
      <w:marBottom w:val="0"/>
      <w:divBdr>
        <w:top w:val="none" w:sz="0" w:space="0" w:color="auto"/>
        <w:left w:val="none" w:sz="0" w:space="0" w:color="auto"/>
        <w:bottom w:val="none" w:sz="0" w:space="0" w:color="auto"/>
        <w:right w:val="none" w:sz="0" w:space="0" w:color="auto"/>
      </w:divBdr>
    </w:div>
    <w:div w:id="1694065474">
      <w:bodyDiv w:val="1"/>
      <w:marLeft w:val="0"/>
      <w:marRight w:val="0"/>
      <w:marTop w:val="0"/>
      <w:marBottom w:val="0"/>
      <w:divBdr>
        <w:top w:val="none" w:sz="0" w:space="0" w:color="auto"/>
        <w:left w:val="none" w:sz="0" w:space="0" w:color="auto"/>
        <w:bottom w:val="none" w:sz="0" w:space="0" w:color="auto"/>
        <w:right w:val="none" w:sz="0" w:space="0" w:color="auto"/>
      </w:divBdr>
    </w:div>
    <w:div w:id="1719469173">
      <w:bodyDiv w:val="1"/>
      <w:marLeft w:val="0"/>
      <w:marRight w:val="0"/>
      <w:marTop w:val="0"/>
      <w:marBottom w:val="0"/>
      <w:divBdr>
        <w:top w:val="none" w:sz="0" w:space="0" w:color="auto"/>
        <w:left w:val="none" w:sz="0" w:space="0" w:color="auto"/>
        <w:bottom w:val="none" w:sz="0" w:space="0" w:color="auto"/>
        <w:right w:val="none" w:sz="0" w:space="0" w:color="auto"/>
      </w:divBdr>
    </w:div>
    <w:div w:id="1753886949">
      <w:bodyDiv w:val="1"/>
      <w:marLeft w:val="0"/>
      <w:marRight w:val="0"/>
      <w:marTop w:val="0"/>
      <w:marBottom w:val="0"/>
      <w:divBdr>
        <w:top w:val="none" w:sz="0" w:space="0" w:color="auto"/>
        <w:left w:val="none" w:sz="0" w:space="0" w:color="auto"/>
        <w:bottom w:val="none" w:sz="0" w:space="0" w:color="auto"/>
        <w:right w:val="none" w:sz="0" w:space="0" w:color="auto"/>
      </w:divBdr>
    </w:div>
    <w:div w:id="1845631030">
      <w:bodyDiv w:val="1"/>
      <w:marLeft w:val="0"/>
      <w:marRight w:val="0"/>
      <w:marTop w:val="0"/>
      <w:marBottom w:val="0"/>
      <w:divBdr>
        <w:top w:val="none" w:sz="0" w:space="0" w:color="auto"/>
        <w:left w:val="none" w:sz="0" w:space="0" w:color="auto"/>
        <w:bottom w:val="none" w:sz="0" w:space="0" w:color="auto"/>
        <w:right w:val="none" w:sz="0" w:space="0" w:color="auto"/>
      </w:divBdr>
    </w:div>
    <w:div w:id="1878197074">
      <w:bodyDiv w:val="1"/>
      <w:marLeft w:val="0"/>
      <w:marRight w:val="0"/>
      <w:marTop w:val="0"/>
      <w:marBottom w:val="0"/>
      <w:divBdr>
        <w:top w:val="none" w:sz="0" w:space="0" w:color="auto"/>
        <w:left w:val="none" w:sz="0" w:space="0" w:color="auto"/>
        <w:bottom w:val="none" w:sz="0" w:space="0" w:color="auto"/>
        <w:right w:val="none" w:sz="0" w:space="0" w:color="auto"/>
      </w:divBdr>
    </w:div>
    <w:div w:id="1911647490">
      <w:bodyDiv w:val="1"/>
      <w:marLeft w:val="0"/>
      <w:marRight w:val="0"/>
      <w:marTop w:val="0"/>
      <w:marBottom w:val="0"/>
      <w:divBdr>
        <w:top w:val="none" w:sz="0" w:space="0" w:color="auto"/>
        <w:left w:val="none" w:sz="0" w:space="0" w:color="auto"/>
        <w:bottom w:val="none" w:sz="0" w:space="0" w:color="auto"/>
        <w:right w:val="none" w:sz="0" w:space="0" w:color="auto"/>
      </w:divBdr>
    </w:div>
    <w:div w:id="1935165555">
      <w:bodyDiv w:val="1"/>
      <w:marLeft w:val="0"/>
      <w:marRight w:val="0"/>
      <w:marTop w:val="0"/>
      <w:marBottom w:val="0"/>
      <w:divBdr>
        <w:top w:val="none" w:sz="0" w:space="0" w:color="auto"/>
        <w:left w:val="none" w:sz="0" w:space="0" w:color="auto"/>
        <w:bottom w:val="none" w:sz="0" w:space="0" w:color="auto"/>
        <w:right w:val="none" w:sz="0" w:space="0" w:color="auto"/>
      </w:divBdr>
    </w:div>
    <w:div w:id="1978409536">
      <w:bodyDiv w:val="1"/>
      <w:marLeft w:val="0"/>
      <w:marRight w:val="0"/>
      <w:marTop w:val="0"/>
      <w:marBottom w:val="0"/>
      <w:divBdr>
        <w:top w:val="none" w:sz="0" w:space="0" w:color="auto"/>
        <w:left w:val="none" w:sz="0" w:space="0" w:color="auto"/>
        <w:bottom w:val="none" w:sz="0" w:space="0" w:color="auto"/>
        <w:right w:val="none" w:sz="0" w:space="0" w:color="auto"/>
      </w:divBdr>
    </w:div>
    <w:div w:id="198103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191</TotalTime>
  <Pages>20</Pages>
  <Words>6929</Words>
  <Characters>41894</Characters>
  <Application>Microsoft Office Word</Application>
  <DocSecurity>0</DocSecurity>
  <Lines>349</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2025013825 mt</dc:description>
  <cp:lastModifiedBy>Hanne Thy Iversen</cp:lastModifiedBy>
  <cp:revision>12</cp:revision>
  <cp:lastPrinted>2012-08-22T08:53:00Z</cp:lastPrinted>
  <dcterms:created xsi:type="dcterms:W3CDTF">2025-10-06T09:06:00Z</dcterms:created>
  <dcterms:modified xsi:type="dcterms:W3CDTF">2025-10-08T12:08:00Z</dcterms:modified>
</cp:coreProperties>
</file>