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BD764" w14:textId="41DFF59F" w:rsidR="009260DE" w:rsidRPr="00E90DD6" w:rsidRDefault="0021526C" w:rsidP="009260DE">
      <w:pPr>
        <w:rPr>
          <w:sz w:val="24"/>
          <w:szCs w:val="24"/>
        </w:rPr>
      </w:pPr>
      <w:r w:rsidRPr="00E90DD6">
        <w:rPr>
          <w:noProof/>
          <w:sz w:val="24"/>
          <w:szCs w:val="24"/>
          <w:lang w:eastAsia="da-DK"/>
        </w:rPr>
        <w:drawing>
          <wp:anchor distT="0" distB="0" distL="114300" distR="114300" simplePos="0" relativeHeight="251658240" behindDoc="0" locked="0" layoutInCell="1" allowOverlap="1" wp14:anchorId="2CE663C5" wp14:editId="1D8E4B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90DD6">
        <w:rPr>
          <w:sz w:val="24"/>
          <w:szCs w:val="24"/>
        </w:rPr>
        <w:br w:type="textWrapping" w:clear="all"/>
      </w:r>
    </w:p>
    <w:p w14:paraId="5001CB02" w14:textId="3F279D7E" w:rsidR="009260DE" w:rsidRPr="00E90DD6" w:rsidRDefault="009260DE" w:rsidP="009260DE">
      <w:pPr>
        <w:pStyle w:val="Titel"/>
        <w:tabs>
          <w:tab w:val="right" w:pos="9356"/>
        </w:tabs>
        <w:jc w:val="left"/>
        <w:rPr>
          <w:b w:val="0"/>
          <w:szCs w:val="24"/>
          <w:lang w:eastAsia="en-US"/>
        </w:rPr>
      </w:pPr>
      <w:r w:rsidRPr="00E90DD6">
        <w:rPr>
          <w:b w:val="0"/>
          <w:szCs w:val="24"/>
          <w:lang w:eastAsia="en-US"/>
        </w:rPr>
        <w:tab/>
      </w:r>
      <w:r w:rsidR="00325924">
        <w:rPr>
          <w:szCs w:val="24"/>
        </w:rPr>
        <w:t xml:space="preserve">29. </w:t>
      </w:r>
      <w:r w:rsidR="0041739F">
        <w:rPr>
          <w:szCs w:val="24"/>
        </w:rPr>
        <w:t>oktober</w:t>
      </w:r>
      <w:r w:rsidR="00325924">
        <w:rPr>
          <w:szCs w:val="24"/>
        </w:rPr>
        <w:t xml:space="preserve"> 202</w:t>
      </w:r>
      <w:r w:rsidR="0041739F">
        <w:rPr>
          <w:szCs w:val="24"/>
        </w:rPr>
        <w:t>4</w:t>
      </w:r>
    </w:p>
    <w:p w14:paraId="6FD5DC46" w14:textId="77777777" w:rsidR="009260DE" w:rsidRPr="00E90DD6" w:rsidRDefault="009260DE" w:rsidP="009260DE">
      <w:pPr>
        <w:pStyle w:val="Titel"/>
        <w:tabs>
          <w:tab w:val="left" w:pos="8222"/>
        </w:tabs>
        <w:jc w:val="left"/>
        <w:rPr>
          <w:b w:val="0"/>
          <w:szCs w:val="24"/>
        </w:rPr>
      </w:pPr>
    </w:p>
    <w:p w14:paraId="7A704D61" w14:textId="77777777" w:rsidR="009260DE" w:rsidRPr="00E90DD6" w:rsidRDefault="009260DE" w:rsidP="009260DE">
      <w:pPr>
        <w:pStyle w:val="Titel"/>
        <w:jc w:val="left"/>
        <w:rPr>
          <w:b w:val="0"/>
          <w:szCs w:val="24"/>
        </w:rPr>
      </w:pPr>
    </w:p>
    <w:p w14:paraId="41558E6E" w14:textId="77777777" w:rsidR="009260DE" w:rsidRPr="00E90DD6" w:rsidRDefault="009260DE" w:rsidP="009260DE">
      <w:pPr>
        <w:pStyle w:val="Titel"/>
        <w:jc w:val="left"/>
        <w:rPr>
          <w:b w:val="0"/>
          <w:szCs w:val="24"/>
        </w:rPr>
      </w:pPr>
    </w:p>
    <w:p w14:paraId="0A45E61C" w14:textId="77777777" w:rsidR="009260DE" w:rsidRPr="00E90DD6" w:rsidRDefault="009260DE" w:rsidP="009260DE">
      <w:pPr>
        <w:jc w:val="center"/>
        <w:rPr>
          <w:b/>
          <w:sz w:val="24"/>
          <w:szCs w:val="24"/>
        </w:rPr>
      </w:pPr>
      <w:r w:rsidRPr="00E90DD6">
        <w:rPr>
          <w:b/>
          <w:sz w:val="24"/>
          <w:szCs w:val="24"/>
        </w:rPr>
        <w:t>PRODUKTRESUMÉ</w:t>
      </w:r>
    </w:p>
    <w:p w14:paraId="369972F9" w14:textId="77777777" w:rsidR="009260DE" w:rsidRPr="00E90DD6" w:rsidRDefault="009260DE" w:rsidP="009260DE">
      <w:pPr>
        <w:jc w:val="center"/>
        <w:rPr>
          <w:b/>
          <w:sz w:val="24"/>
          <w:szCs w:val="24"/>
        </w:rPr>
      </w:pPr>
    </w:p>
    <w:p w14:paraId="37DC9A24" w14:textId="77777777" w:rsidR="009260DE" w:rsidRPr="00E90DD6" w:rsidRDefault="009260DE" w:rsidP="009260DE">
      <w:pPr>
        <w:jc w:val="center"/>
        <w:rPr>
          <w:b/>
          <w:sz w:val="24"/>
          <w:szCs w:val="24"/>
        </w:rPr>
      </w:pPr>
      <w:r w:rsidRPr="00E90DD6">
        <w:rPr>
          <w:b/>
          <w:sz w:val="24"/>
          <w:szCs w:val="24"/>
        </w:rPr>
        <w:t>for</w:t>
      </w:r>
    </w:p>
    <w:p w14:paraId="25122F32" w14:textId="77777777" w:rsidR="000B058C" w:rsidRPr="00E90DD6" w:rsidRDefault="000B058C" w:rsidP="009260DE">
      <w:pPr>
        <w:jc w:val="center"/>
        <w:rPr>
          <w:b/>
          <w:sz w:val="24"/>
          <w:szCs w:val="24"/>
        </w:rPr>
      </w:pPr>
    </w:p>
    <w:p w14:paraId="45A95C04" w14:textId="1BF39132" w:rsidR="009260DE" w:rsidRPr="00E90DD6" w:rsidRDefault="004A5B85" w:rsidP="009260DE">
      <w:pPr>
        <w:jc w:val="center"/>
        <w:rPr>
          <w:b/>
          <w:sz w:val="24"/>
          <w:szCs w:val="24"/>
        </w:rPr>
      </w:pPr>
      <w:proofErr w:type="spellStart"/>
      <w:r w:rsidRPr="00E90DD6">
        <w:rPr>
          <w:b/>
          <w:sz w:val="24"/>
          <w:szCs w:val="24"/>
        </w:rPr>
        <w:t>Budesonid</w:t>
      </w:r>
      <w:proofErr w:type="spellEnd"/>
      <w:r w:rsidRPr="00E90DD6">
        <w:rPr>
          <w:b/>
          <w:sz w:val="24"/>
          <w:szCs w:val="24"/>
        </w:rPr>
        <w:t xml:space="preserve"> "</w:t>
      </w:r>
      <w:proofErr w:type="spellStart"/>
      <w:r w:rsidRPr="00E90DD6">
        <w:rPr>
          <w:b/>
          <w:sz w:val="24"/>
          <w:szCs w:val="24"/>
        </w:rPr>
        <w:t>Teva</w:t>
      </w:r>
      <w:proofErr w:type="spellEnd"/>
      <w:r w:rsidRPr="00E90DD6">
        <w:rPr>
          <w:b/>
          <w:sz w:val="24"/>
          <w:szCs w:val="24"/>
        </w:rPr>
        <w:t xml:space="preserve">", hårde </w:t>
      </w:r>
      <w:proofErr w:type="spellStart"/>
      <w:r w:rsidRPr="00E90DD6">
        <w:rPr>
          <w:b/>
          <w:sz w:val="24"/>
          <w:szCs w:val="24"/>
        </w:rPr>
        <w:t>enterokapsler</w:t>
      </w:r>
      <w:proofErr w:type="spellEnd"/>
    </w:p>
    <w:p w14:paraId="0D3BF0E7" w14:textId="77777777" w:rsidR="009260DE" w:rsidRPr="00E90DD6" w:rsidRDefault="009260DE" w:rsidP="009260DE">
      <w:pPr>
        <w:jc w:val="both"/>
        <w:rPr>
          <w:sz w:val="24"/>
          <w:szCs w:val="24"/>
        </w:rPr>
      </w:pPr>
    </w:p>
    <w:p w14:paraId="4F959387" w14:textId="77777777" w:rsidR="009260DE" w:rsidRPr="00E90DD6" w:rsidRDefault="009260DE" w:rsidP="009260DE">
      <w:pPr>
        <w:jc w:val="both"/>
        <w:rPr>
          <w:sz w:val="24"/>
          <w:szCs w:val="24"/>
        </w:rPr>
      </w:pPr>
    </w:p>
    <w:p w14:paraId="38497211" w14:textId="77777777" w:rsidR="009260DE" w:rsidRPr="00E90DD6" w:rsidRDefault="009260DE" w:rsidP="009260DE">
      <w:pPr>
        <w:tabs>
          <w:tab w:val="left" w:pos="851"/>
        </w:tabs>
        <w:ind w:left="851" w:hanging="851"/>
        <w:rPr>
          <w:b/>
          <w:sz w:val="24"/>
          <w:szCs w:val="24"/>
        </w:rPr>
      </w:pPr>
      <w:r w:rsidRPr="00E90DD6">
        <w:rPr>
          <w:b/>
          <w:sz w:val="24"/>
          <w:szCs w:val="24"/>
        </w:rPr>
        <w:t>0.</w:t>
      </w:r>
      <w:r w:rsidRPr="00E90DD6">
        <w:rPr>
          <w:b/>
          <w:sz w:val="24"/>
          <w:szCs w:val="24"/>
        </w:rPr>
        <w:tab/>
        <w:t>D.SP.NR.</w:t>
      </w:r>
    </w:p>
    <w:p w14:paraId="74A9CFB6" w14:textId="4EA76B1E" w:rsidR="009260DE" w:rsidRPr="00E90DD6" w:rsidRDefault="001F3519" w:rsidP="009260DE">
      <w:pPr>
        <w:tabs>
          <w:tab w:val="left" w:pos="851"/>
        </w:tabs>
        <w:ind w:left="851"/>
        <w:rPr>
          <w:sz w:val="24"/>
          <w:szCs w:val="24"/>
        </w:rPr>
      </w:pPr>
      <w:r w:rsidRPr="00E90DD6">
        <w:rPr>
          <w:sz w:val="24"/>
          <w:szCs w:val="24"/>
        </w:rPr>
        <w:t>32355</w:t>
      </w:r>
    </w:p>
    <w:p w14:paraId="31927BA5" w14:textId="77777777" w:rsidR="009260DE" w:rsidRPr="00E90DD6" w:rsidRDefault="009260DE" w:rsidP="009260DE">
      <w:pPr>
        <w:tabs>
          <w:tab w:val="left" w:pos="851"/>
        </w:tabs>
        <w:ind w:left="851"/>
        <w:rPr>
          <w:sz w:val="24"/>
          <w:szCs w:val="24"/>
        </w:rPr>
      </w:pPr>
    </w:p>
    <w:p w14:paraId="5B9E2C9A" w14:textId="77777777" w:rsidR="009260DE" w:rsidRPr="00E90DD6" w:rsidRDefault="009260DE" w:rsidP="009260DE">
      <w:pPr>
        <w:tabs>
          <w:tab w:val="left" w:pos="851"/>
        </w:tabs>
        <w:ind w:left="851" w:hanging="851"/>
        <w:rPr>
          <w:b/>
          <w:sz w:val="24"/>
          <w:szCs w:val="24"/>
        </w:rPr>
      </w:pPr>
      <w:r w:rsidRPr="00E90DD6">
        <w:rPr>
          <w:b/>
          <w:sz w:val="24"/>
          <w:szCs w:val="24"/>
        </w:rPr>
        <w:t>1.</w:t>
      </w:r>
      <w:r w:rsidRPr="00E90DD6">
        <w:rPr>
          <w:b/>
          <w:sz w:val="24"/>
          <w:szCs w:val="24"/>
        </w:rPr>
        <w:tab/>
        <w:t>LÆGEMIDLETS NAVN</w:t>
      </w:r>
    </w:p>
    <w:p w14:paraId="5E21EA9B" w14:textId="478FBE03" w:rsidR="009260DE" w:rsidRPr="00E90DD6" w:rsidRDefault="001F3519" w:rsidP="009260DE">
      <w:pPr>
        <w:tabs>
          <w:tab w:val="left" w:pos="851"/>
        </w:tabs>
        <w:ind w:left="851"/>
        <w:rPr>
          <w:sz w:val="24"/>
          <w:szCs w:val="24"/>
        </w:rPr>
      </w:pPr>
      <w:proofErr w:type="spellStart"/>
      <w:r w:rsidRPr="00E90DD6">
        <w:rPr>
          <w:sz w:val="24"/>
          <w:szCs w:val="24"/>
        </w:rPr>
        <w:t>Budesonid</w:t>
      </w:r>
      <w:proofErr w:type="spellEnd"/>
      <w:r w:rsidRPr="00E90DD6">
        <w:rPr>
          <w:sz w:val="24"/>
          <w:szCs w:val="24"/>
        </w:rPr>
        <w:t xml:space="preserve"> "</w:t>
      </w:r>
      <w:proofErr w:type="spellStart"/>
      <w:r w:rsidRPr="00E90DD6">
        <w:rPr>
          <w:sz w:val="24"/>
          <w:szCs w:val="24"/>
        </w:rPr>
        <w:t>Teva</w:t>
      </w:r>
      <w:proofErr w:type="spellEnd"/>
      <w:r w:rsidRPr="00E90DD6">
        <w:rPr>
          <w:sz w:val="24"/>
          <w:szCs w:val="24"/>
        </w:rPr>
        <w:t>"</w:t>
      </w:r>
    </w:p>
    <w:p w14:paraId="56323445" w14:textId="77777777" w:rsidR="009260DE" w:rsidRPr="00E90DD6" w:rsidRDefault="009260DE" w:rsidP="009260DE">
      <w:pPr>
        <w:tabs>
          <w:tab w:val="left" w:pos="851"/>
        </w:tabs>
        <w:ind w:left="851"/>
        <w:rPr>
          <w:sz w:val="24"/>
          <w:szCs w:val="24"/>
        </w:rPr>
      </w:pPr>
    </w:p>
    <w:p w14:paraId="5F0C0D7C" w14:textId="77777777" w:rsidR="009260DE" w:rsidRPr="00E90DD6" w:rsidRDefault="009260DE" w:rsidP="009260DE">
      <w:pPr>
        <w:tabs>
          <w:tab w:val="left" w:pos="851"/>
        </w:tabs>
        <w:ind w:left="851" w:hanging="851"/>
        <w:rPr>
          <w:b/>
          <w:sz w:val="24"/>
          <w:szCs w:val="24"/>
        </w:rPr>
      </w:pPr>
      <w:r w:rsidRPr="00E90DD6">
        <w:rPr>
          <w:b/>
          <w:sz w:val="24"/>
          <w:szCs w:val="24"/>
        </w:rPr>
        <w:t>2.</w:t>
      </w:r>
      <w:r w:rsidRPr="00E90DD6">
        <w:rPr>
          <w:b/>
          <w:sz w:val="24"/>
          <w:szCs w:val="24"/>
        </w:rPr>
        <w:tab/>
        <w:t>KVALITATIV OG KVANTITATIV SAMMENSÆTNING</w:t>
      </w:r>
    </w:p>
    <w:p w14:paraId="03FDE3E3" w14:textId="77777777" w:rsidR="004B1BE8" w:rsidRPr="00E90DD6" w:rsidRDefault="004B1BE8" w:rsidP="00D11BE3">
      <w:pPr>
        <w:ind w:left="851"/>
        <w:rPr>
          <w:sz w:val="24"/>
          <w:szCs w:val="24"/>
          <w:lang w:eastAsia="da-DK"/>
        </w:rPr>
      </w:pPr>
      <w:r w:rsidRPr="00E90DD6">
        <w:rPr>
          <w:sz w:val="24"/>
          <w:szCs w:val="24"/>
        </w:rPr>
        <w:t xml:space="preserve">Hver kapsel indeholder 3 mg </w:t>
      </w:r>
      <w:proofErr w:type="spellStart"/>
      <w:r w:rsidRPr="00E90DD6">
        <w:rPr>
          <w:sz w:val="24"/>
          <w:szCs w:val="24"/>
        </w:rPr>
        <w:t>budesonid</w:t>
      </w:r>
      <w:proofErr w:type="spellEnd"/>
      <w:r w:rsidRPr="00E90DD6">
        <w:rPr>
          <w:sz w:val="24"/>
          <w:szCs w:val="24"/>
        </w:rPr>
        <w:t>.</w:t>
      </w:r>
    </w:p>
    <w:p w14:paraId="3E1C2E7E" w14:textId="77777777" w:rsidR="004B1BE8" w:rsidRPr="00E90DD6" w:rsidRDefault="004B1BE8" w:rsidP="00D11BE3">
      <w:pPr>
        <w:ind w:left="851"/>
        <w:rPr>
          <w:sz w:val="24"/>
          <w:szCs w:val="24"/>
        </w:rPr>
      </w:pPr>
    </w:p>
    <w:p w14:paraId="5A3065FF" w14:textId="77777777" w:rsidR="004B1BE8" w:rsidRPr="00E90DD6" w:rsidRDefault="004B1BE8" w:rsidP="00D11BE3">
      <w:pPr>
        <w:ind w:left="851"/>
        <w:rPr>
          <w:sz w:val="24"/>
          <w:szCs w:val="24"/>
        </w:rPr>
      </w:pPr>
      <w:r w:rsidRPr="00E90DD6">
        <w:rPr>
          <w:sz w:val="24"/>
          <w:szCs w:val="24"/>
        </w:rPr>
        <w:t>Hjælpestoffer, som behandleren skal være opmærksom på:</w:t>
      </w:r>
    </w:p>
    <w:p w14:paraId="0DC5D9C2" w14:textId="02969D52" w:rsidR="004B1BE8" w:rsidRPr="00E90DD6" w:rsidRDefault="004B1BE8" w:rsidP="00D11BE3">
      <w:pPr>
        <w:ind w:left="851"/>
        <w:rPr>
          <w:sz w:val="24"/>
          <w:szCs w:val="24"/>
        </w:rPr>
      </w:pPr>
      <w:r w:rsidRPr="00E90DD6">
        <w:rPr>
          <w:sz w:val="24"/>
          <w:szCs w:val="24"/>
        </w:rPr>
        <w:t xml:space="preserve">Hver kapsel indeholder op til 305 mg </w:t>
      </w:r>
      <w:proofErr w:type="spellStart"/>
      <w:r w:rsidRPr="00E90DD6">
        <w:rPr>
          <w:sz w:val="24"/>
          <w:szCs w:val="24"/>
        </w:rPr>
        <w:t>saccharose</w:t>
      </w:r>
      <w:proofErr w:type="spellEnd"/>
      <w:r w:rsidRPr="00E90DD6">
        <w:rPr>
          <w:sz w:val="24"/>
          <w:szCs w:val="24"/>
        </w:rPr>
        <w:t>.</w:t>
      </w:r>
    </w:p>
    <w:p w14:paraId="7A3F8D16" w14:textId="77777777" w:rsidR="004B1BE8" w:rsidRPr="00E90DD6" w:rsidRDefault="004B1BE8" w:rsidP="00D11BE3">
      <w:pPr>
        <w:ind w:left="851"/>
        <w:rPr>
          <w:sz w:val="24"/>
          <w:szCs w:val="24"/>
        </w:rPr>
      </w:pPr>
    </w:p>
    <w:p w14:paraId="73148C3C" w14:textId="671DFDA5" w:rsidR="004B1BE8" w:rsidRPr="00E90DD6" w:rsidRDefault="004B1BE8" w:rsidP="00D11BE3">
      <w:pPr>
        <w:ind w:left="851"/>
        <w:rPr>
          <w:sz w:val="24"/>
          <w:szCs w:val="24"/>
        </w:rPr>
      </w:pPr>
      <w:r w:rsidRPr="00E90DD6">
        <w:rPr>
          <w:sz w:val="24"/>
          <w:szCs w:val="24"/>
        </w:rPr>
        <w:t>Alle hjælpestoffer er anført under pkt. 6.1.</w:t>
      </w:r>
    </w:p>
    <w:p w14:paraId="5D9D4BDA" w14:textId="77777777" w:rsidR="009260DE" w:rsidRPr="00E90DD6" w:rsidRDefault="009260DE" w:rsidP="009260DE">
      <w:pPr>
        <w:tabs>
          <w:tab w:val="left" w:pos="851"/>
        </w:tabs>
        <w:ind w:left="851"/>
        <w:rPr>
          <w:sz w:val="24"/>
          <w:szCs w:val="24"/>
        </w:rPr>
      </w:pPr>
    </w:p>
    <w:p w14:paraId="7673E034" w14:textId="77777777" w:rsidR="009260DE" w:rsidRPr="00E90DD6" w:rsidRDefault="009260DE" w:rsidP="009260DE">
      <w:pPr>
        <w:tabs>
          <w:tab w:val="left" w:pos="851"/>
        </w:tabs>
        <w:ind w:left="851" w:hanging="851"/>
        <w:rPr>
          <w:b/>
          <w:sz w:val="24"/>
          <w:szCs w:val="24"/>
        </w:rPr>
      </w:pPr>
      <w:r w:rsidRPr="00E90DD6">
        <w:rPr>
          <w:b/>
          <w:sz w:val="24"/>
          <w:szCs w:val="24"/>
        </w:rPr>
        <w:t>3.</w:t>
      </w:r>
      <w:r w:rsidRPr="00E90DD6">
        <w:rPr>
          <w:b/>
          <w:sz w:val="24"/>
          <w:szCs w:val="24"/>
        </w:rPr>
        <w:tab/>
        <w:t>LÆGEMIDDELFORM</w:t>
      </w:r>
    </w:p>
    <w:p w14:paraId="4A4F7031" w14:textId="3AA01AD2" w:rsidR="004B1BE8" w:rsidRPr="00E90DD6" w:rsidRDefault="00E90DD6" w:rsidP="00D11BE3">
      <w:pPr>
        <w:ind w:left="851"/>
        <w:rPr>
          <w:sz w:val="24"/>
          <w:szCs w:val="24"/>
          <w:lang w:eastAsia="da-DK"/>
        </w:rPr>
      </w:pPr>
      <w:r>
        <w:rPr>
          <w:sz w:val="24"/>
          <w:szCs w:val="24"/>
        </w:rPr>
        <w:t>Hårde e</w:t>
      </w:r>
      <w:r w:rsidR="004B1BE8" w:rsidRPr="00E90DD6">
        <w:rPr>
          <w:sz w:val="24"/>
          <w:szCs w:val="24"/>
        </w:rPr>
        <w:t>nterokapsler</w:t>
      </w:r>
    </w:p>
    <w:p w14:paraId="648FF08C" w14:textId="77777777" w:rsidR="004B1BE8" w:rsidRPr="00E90DD6" w:rsidRDefault="004B1BE8" w:rsidP="00D11BE3">
      <w:pPr>
        <w:ind w:left="851"/>
        <w:rPr>
          <w:sz w:val="24"/>
          <w:szCs w:val="24"/>
        </w:rPr>
      </w:pPr>
    </w:p>
    <w:p w14:paraId="66451AEB" w14:textId="77777777" w:rsidR="00813B42" w:rsidRDefault="004B1BE8" w:rsidP="00D11BE3">
      <w:pPr>
        <w:ind w:left="851"/>
        <w:rPr>
          <w:sz w:val="24"/>
          <w:szCs w:val="24"/>
        </w:rPr>
      </w:pPr>
      <w:r w:rsidRPr="00E90DD6">
        <w:rPr>
          <w:sz w:val="24"/>
          <w:szCs w:val="24"/>
        </w:rPr>
        <w:t xml:space="preserve">Hårde gelatinekapsler fyldt med hvide pellets. </w:t>
      </w:r>
    </w:p>
    <w:p w14:paraId="55CF1FCD" w14:textId="5F096DFB" w:rsidR="00813B42" w:rsidRDefault="004B1BE8" w:rsidP="00D11BE3">
      <w:pPr>
        <w:ind w:left="851"/>
        <w:rPr>
          <w:sz w:val="24"/>
          <w:szCs w:val="24"/>
        </w:rPr>
      </w:pPr>
      <w:r w:rsidRPr="00E90DD6">
        <w:rPr>
          <w:sz w:val="24"/>
          <w:szCs w:val="24"/>
        </w:rPr>
        <w:t xml:space="preserve">Bund: </w:t>
      </w:r>
      <w:r w:rsidR="00813B42">
        <w:rPr>
          <w:sz w:val="24"/>
          <w:szCs w:val="24"/>
        </w:rPr>
        <w:t>M</w:t>
      </w:r>
      <w:r w:rsidRPr="00E90DD6">
        <w:rPr>
          <w:sz w:val="24"/>
          <w:szCs w:val="24"/>
        </w:rPr>
        <w:t xml:space="preserve">ørk pink, uigennemsigtig. </w:t>
      </w:r>
    </w:p>
    <w:p w14:paraId="010C2885" w14:textId="60A4AB15" w:rsidR="004B1BE8" w:rsidRPr="00E90DD6" w:rsidRDefault="004B1BE8" w:rsidP="00D11BE3">
      <w:pPr>
        <w:ind w:left="851"/>
        <w:rPr>
          <w:sz w:val="24"/>
          <w:szCs w:val="24"/>
        </w:rPr>
      </w:pPr>
      <w:r w:rsidRPr="00E90DD6">
        <w:rPr>
          <w:sz w:val="24"/>
          <w:szCs w:val="24"/>
        </w:rPr>
        <w:t xml:space="preserve">Top: </w:t>
      </w:r>
      <w:r w:rsidR="00813B42">
        <w:rPr>
          <w:sz w:val="24"/>
          <w:szCs w:val="24"/>
        </w:rPr>
        <w:t>M</w:t>
      </w:r>
      <w:r w:rsidRPr="00E90DD6">
        <w:rPr>
          <w:sz w:val="24"/>
          <w:szCs w:val="24"/>
        </w:rPr>
        <w:t>ørk pink, uigennemsigtig.</w:t>
      </w:r>
    </w:p>
    <w:p w14:paraId="4A7B1AE2" w14:textId="77777777" w:rsidR="004B1BE8" w:rsidRPr="00E90DD6" w:rsidRDefault="004B1BE8" w:rsidP="00D11BE3">
      <w:pPr>
        <w:ind w:left="851"/>
        <w:rPr>
          <w:sz w:val="24"/>
          <w:szCs w:val="24"/>
        </w:rPr>
      </w:pPr>
      <w:r w:rsidRPr="00E90DD6">
        <w:rPr>
          <w:sz w:val="24"/>
          <w:szCs w:val="24"/>
        </w:rPr>
        <w:t>Størrelse: ca. 20 mm lang og 7 mm i diameter.</w:t>
      </w:r>
    </w:p>
    <w:p w14:paraId="3596A3FB" w14:textId="77777777" w:rsidR="009260DE" w:rsidRPr="00E90DD6" w:rsidRDefault="009260DE" w:rsidP="009260DE">
      <w:pPr>
        <w:tabs>
          <w:tab w:val="left" w:pos="851"/>
        </w:tabs>
        <w:ind w:left="851"/>
        <w:rPr>
          <w:sz w:val="24"/>
          <w:szCs w:val="24"/>
        </w:rPr>
      </w:pPr>
    </w:p>
    <w:p w14:paraId="6F1DA3C1" w14:textId="77777777" w:rsidR="009260DE" w:rsidRPr="00E90DD6" w:rsidRDefault="009260DE" w:rsidP="009260DE">
      <w:pPr>
        <w:tabs>
          <w:tab w:val="left" w:pos="851"/>
        </w:tabs>
        <w:ind w:left="851"/>
        <w:rPr>
          <w:sz w:val="24"/>
          <w:szCs w:val="24"/>
        </w:rPr>
      </w:pPr>
    </w:p>
    <w:p w14:paraId="5F201F91" w14:textId="77777777" w:rsidR="009260DE" w:rsidRPr="00E90DD6" w:rsidRDefault="009260DE" w:rsidP="009260DE">
      <w:pPr>
        <w:tabs>
          <w:tab w:val="left" w:pos="851"/>
        </w:tabs>
        <w:ind w:left="851" w:hanging="851"/>
        <w:rPr>
          <w:b/>
          <w:sz w:val="24"/>
          <w:szCs w:val="24"/>
        </w:rPr>
      </w:pPr>
      <w:r w:rsidRPr="00E90DD6">
        <w:rPr>
          <w:b/>
          <w:sz w:val="24"/>
          <w:szCs w:val="24"/>
        </w:rPr>
        <w:t>4.</w:t>
      </w:r>
      <w:r w:rsidRPr="00E90DD6">
        <w:rPr>
          <w:b/>
          <w:sz w:val="24"/>
          <w:szCs w:val="24"/>
        </w:rPr>
        <w:tab/>
        <w:t>KLINISKE OPLYSNINGER</w:t>
      </w:r>
    </w:p>
    <w:p w14:paraId="6E67F2A3" w14:textId="77777777" w:rsidR="009260DE" w:rsidRPr="00E90DD6" w:rsidRDefault="009260DE" w:rsidP="009260DE">
      <w:pPr>
        <w:tabs>
          <w:tab w:val="left" w:pos="851"/>
        </w:tabs>
        <w:ind w:left="851"/>
        <w:rPr>
          <w:b/>
          <w:sz w:val="24"/>
          <w:szCs w:val="24"/>
        </w:rPr>
      </w:pPr>
    </w:p>
    <w:p w14:paraId="24D445D0" w14:textId="77777777" w:rsidR="009260DE" w:rsidRPr="00E90DD6" w:rsidRDefault="009260DE" w:rsidP="009260DE">
      <w:pPr>
        <w:tabs>
          <w:tab w:val="left" w:pos="851"/>
        </w:tabs>
        <w:ind w:left="851" w:hanging="851"/>
        <w:rPr>
          <w:b/>
          <w:sz w:val="24"/>
          <w:szCs w:val="24"/>
          <w:u w:val="single"/>
        </w:rPr>
      </w:pPr>
      <w:r w:rsidRPr="00E90DD6">
        <w:rPr>
          <w:b/>
          <w:sz w:val="24"/>
          <w:szCs w:val="24"/>
        </w:rPr>
        <w:t>4.1</w:t>
      </w:r>
      <w:r w:rsidRPr="00E90DD6">
        <w:rPr>
          <w:b/>
          <w:sz w:val="24"/>
          <w:szCs w:val="24"/>
        </w:rPr>
        <w:tab/>
        <w:t>Terapeutiske indikationer</w:t>
      </w:r>
    </w:p>
    <w:p w14:paraId="33E49195" w14:textId="77777777" w:rsidR="004B1BE8" w:rsidRPr="00E90DD6" w:rsidRDefault="004B1BE8" w:rsidP="00D11BE3">
      <w:pPr>
        <w:pStyle w:val="Listeafsnit"/>
        <w:numPr>
          <w:ilvl w:val="0"/>
          <w:numId w:val="11"/>
        </w:numPr>
        <w:ind w:left="1276" w:hanging="425"/>
        <w:rPr>
          <w:sz w:val="24"/>
          <w:szCs w:val="24"/>
          <w:lang w:eastAsia="ja-JP"/>
        </w:rPr>
      </w:pPr>
      <w:proofErr w:type="spellStart"/>
      <w:r w:rsidRPr="00E90DD6">
        <w:rPr>
          <w:sz w:val="24"/>
          <w:szCs w:val="24"/>
        </w:rPr>
        <w:t>Crohns</w:t>
      </w:r>
      <w:proofErr w:type="spellEnd"/>
      <w:r w:rsidRPr="00E90DD6">
        <w:rPr>
          <w:sz w:val="24"/>
          <w:szCs w:val="24"/>
        </w:rPr>
        <w:t xml:space="preserve"> sygdom.</w:t>
      </w:r>
    </w:p>
    <w:p w14:paraId="62B1C936" w14:textId="77777777" w:rsidR="004B1BE8" w:rsidRPr="00E90DD6" w:rsidRDefault="004B1BE8" w:rsidP="00D11BE3">
      <w:pPr>
        <w:pStyle w:val="Listeafsnit"/>
        <w:numPr>
          <w:ilvl w:val="0"/>
          <w:numId w:val="11"/>
        </w:numPr>
        <w:ind w:left="1276" w:hanging="425"/>
        <w:rPr>
          <w:i/>
          <w:sz w:val="24"/>
          <w:szCs w:val="24"/>
        </w:rPr>
      </w:pPr>
      <w:r w:rsidRPr="00E90DD6">
        <w:rPr>
          <w:sz w:val="24"/>
          <w:szCs w:val="24"/>
        </w:rPr>
        <w:t xml:space="preserve">Induktion af remission hos patienter med mild til moderat aktiv </w:t>
      </w:r>
      <w:proofErr w:type="spellStart"/>
      <w:r w:rsidRPr="00E90DD6">
        <w:rPr>
          <w:sz w:val="24"/>
          <w:szCs w:val="24"/>
        </w:rPr>
        <w:t>Crohns</w:t>
      </w:r>
      <w:proofErr w:type="spellEnd"/>
      <w:r w:rsidRPr="00E90DD6">
        <w:rPr>
          <w:sz w:val="24"/>
          <w:szCs w:val="24"/>
        </w:rPr>
        <w:t xml:space="preserve"> sygdom, lokaliseret i </w:t>
      </w:r>
      <w:proofErr w:type="spellStart"/>
      <w:r w:rsidRPr="00E90DD6">
        <w:rPr>
          <w:sz w:val="24"/>
          <w:szCs w:val="24"/>
        </w:rPr>
        <w:t>ileum</w:t>
      </w:r>
      <w:proofErr w:type="spellEnd"/>
      <w:r w:rsidRPr="00E90DD6">
        <w:rPr>
          <w:i/>
          <w:sz w:val="24"/>
          <w:szCs w:val="24"/>
        </w:rPr>
        <w:t xml:space="preserve"> </w:t>
      </w:r>
      <w:r w:rsidRPr="00E90DD6">
        <w:rPr>
          <w:sz w:val="24"/>
          <w:szCs w:val="24"/>
        </w:rPr>
        <w:t xml:space="preserve">og/eller </w:t>
      </w:r>
      <w:proofErr w:type="spellStart"/>
      <w:r w:rsidRPr="00E90DD6">
        <w:rPr>
          <w:sz w:val="24"/>
          <w:szCs w:val="24"/>
        </w:rPr>
        <w:t>colon</w:t>
      </w:r>
      <w:proofErr w:type="spellEnd"/>
      <w:r w:rsidRPr="00E90DD6">
        <w:rPr>
          <w:sz w:val="24"/>
          <w:szCs w:val="24"/>
        </w:rPr>
        <w:t xml:space="preserve"> ascendens</w:t>
      </w:r>
      <w:r w:rsidRPr="00E90DD6">
        <w:rPr>
          <w:i/>
          <w:sz w:val="24"/>
          <w:szCs w:val="24"/>
        </w:rPr>
        <w:t>.</w:t>
      </w:r>
    </w:p>
    <w:p w14:paraId="5981036B" w14:textId="77777777" w:rsidR="004B1BE8" w:rsidRPr="00E90DD6" w:rsidRDefault="004B1BE8" w:rsidP="00D11BE3">
      <w:pPr>
        <w:pStyle w:val="Listeafsnit"/>
        <w:numPr>
          <w:ilvl w:val="0"/>
          <w:numId w:val="11"/>
        </w:numPr>
        <w:ind w:left="1276" w:hanging="425"/>
        <w:rPr>
          <w:sz w:val="24"/>
          <w:szCs w:val="24"/>
        </w:rPr>
      </w:pPr>
      <w:r w:rsidRPr="00E90DD6">
        <w:rPr>
          <w:sz w:val="24"/>
          <w:szCs w:val="24"/>
        </w:rPr>
        <w:t>Mikroskopisk colitis.</w:t>
      </w:r>
    </w:p>
    <w:p w14:paraId="456D01CD" w14:textId="77777777" w:rsidR="004B1BE8" w:rsidRPr="00E90DD6" w:rsidRDefault="004B1BE8" w:rsidP="00D11BE3">
      <w:pPr>
        <w:pStyle w:val="Listeafsnit"/>
        <w:numPr>
          <w:ilvl w:val="0"/>
          <w:numId w:val="11"/>
        </w:numPr>
        <w:ind w:left="1276" w:hanging="425"/>
        <w:rPr>
          <w:sz w:val="24"/>
          <w:szCs w:val="24"/>
        </w:rPr>
      </w:pPr>
      <w:r w:rsidRPr="00E90DD6">
        <w:rPr>
          <w:sz w:val="24"/>
          <w:szCs w:val="24"/>
        </w:rPr>
        <w:t>Autoimmun hepatitis.</w:t>
      </w:r>
    </w:p>
    <w:p w14:paraId="1A48FA95" w14:textId="737B551D" w:rsidR="00D56FEC" w:rsidRDefault="00D56FEC">
      <w:pPr>
        <w:rPr>
          <w:sz w:val="24"/>
          <w:szCs w:val="24"/>
        </w:rPr>
      </w:pPr>
      <w:r>
        <w:rPr>
          <w:sz w:val="24"/>
          <w:szCs w:val="24"/>
        </w:rPr>
        <w:br w:type="page"/>
      </w:r>
    </w:p>
    <w:p w14:paraId="5D7D3996" w14:textId="77777777" w:rsidR="009260DE" w:rsidRPr="00E90DD6" w:rsidRDefault="009260DE" w:rsidP="009260DE">
      <w:pPr>
        <w:tabs>
          <w:tab w:val="left" w:pos="851"/>
        </w:tabs>
        <w:ind w:left="851"/>
        <w:rPr>
          <w:sz w:val="24"/>
          <w:szCs w:val="24"/>
        </w:rPr>
      </w:pPr>
    </w:p>
    <w:p w14:paraId="7CC1E930" w14:textId="77777777" w:rsidR="009260DE" w:rsidRPr="00E90DD6" w:rsidRDefault="009260DE" w:rsidP="009260DE">
      <w:pPr>
        <w:tabs>
          <w:tab w:val="left" w:pos="851"/>
        </w:tabs>
        <w:ind w:left="851" w:hanging="851"/>
        <w:rPr>
          <w:b/>
          <w:sz w:val="24"/>
          <w:szCs w:val="24"/>
        </w:rPr>
      </w:pPr>
      <w:r w:rsidRPr="00E90DD6">
        <w:rPr>
          <w:b/>
          <w:sz w:val="24"/>
          <w:szCs w:val="24"/>
        </w:rPr>
        <w:t>4.2</w:t>
      </w:r>
      <w:r w:rsidRPr="00E90DD6">
        <w:rPr>
          <w:b/>
          <w:sz w:val="24"/>
          <w:szCs w:val="24"/>
        </w:rPr>
        <w:tab/>
        <w:t>Dosering og indgivelsesmåde</w:t>
      </w:r>
    </w:p>
    <w:p w14:paraId="5C3166A6" w14:textId="77777777" w:rsidR="00813B42" w:rsidRDefault="00813B42" w:rsidP="00D11BE3">
      <w:pPr>
        <w:ind w:left="851"/>
        <w:rPr>
          <w:sz w:val="24"/>
          <w:szCs w:val="24"/>
        </w:rPr>
      </w:pPr>
    </w:p>
    <w:p w14:paraId="46A77CD1" w14:textId="28443852" w:rsidR="004B1BE8" w:rsidRPr="00813B42" w:rsidRDefault="004B1BE8" w:rsidP="00D11BE3">
      <w:pPr>
        <w:ind w:left="851"/>
        <w:rPr>
          <w:sz w:val="24"/>
          <w:szCs w:val="24"/>
          <w:u w:val="single"/>
          <w:lang w:eastAsia="da-DK"/>
        </w:rPr>
      </w:pPr>
      <w:r w:rsidRPr="00813B42">
        <w:rPr>
          <w:sz w:val="24"/>
          <w:szCs w:val="24"/>
          <w:u w:val="single"/>
        </w:rPr>
        <w:t>Dosering</w:t>
      </w:r>
    </w:p>
    <w:p w14:paraId="226C36CB" w14:textId="77777777" w:rsidR="004B1BE8" w:rsidRPr="00813B42" w:rsidRDefault="004B1BE8" w:rsidP="00D11BE3">
      <w:pPr>
        <w:ind w:left="851"/>
        <w:rPr>
          <w:sz w:val="24"/>
          <w:szCs w:val="24"/>
          <w:u w:val="single"/>
        </w:rPr>
      </w:pPr>
    </w:p>
    <w:p w14:paraId="2C7ECD8F" w14:textId="77777777" w:rsidR="004B1BE8" w:rsidRPr="00813B42" w:rsidRDefault="004B1BE8" w:rsidP="00D11BE3">
      <w:pPr>
        <w:ind w:left="851"/>
        <w:rPr>
          <w:i/>
          <w:iCs/>
          <w:sz w:val="24"/>
          <w:szCs w:val="24"/>
          <w:u w:val="single"/>
        </w:rPr>
      </w:pPr>
      <w:proofErr w:type="spellStart"/>
      <w:r w:rsidRPr="00813B42">
        <w:rPr>
          <w:i/>
          <w:iCs/>
          <w:sz w:val="24"/>
          <w:szCs w:val="24"/>
          <w:u w:val="single"/>
        </w:rPr>
        <w:t>Crohns</w:t>
      </w:r>
      <w:proofErr w:type="spellEnd"/>
      <w:r w:rsidRPr="00813B42">
        <w:rPr>
          <w:i/>
          <w:iCs/>
          <w:sz w:val="24"/>
          <w:szCs w:val="24"/>
          <w:u w:val="single"/>
        </w:rPr>
        <w:t xml:space="preserve"> sygdom</w:t>
      </w:r>
    </w:p>
    <w:p w14:paraId="17A0A930" w14:textId="77777777" w:rsidR="004B1BE8" w:rsidRPr="00E90DD6" w:rsidRDefault="004B1BE8" w:rsidP="00D11BE3">
      <w:pPr>
        <w:ind w:left="851"/>
        <w:rPr>
          <w:sz w:val="24"/>
          <w:szCs w:val="24"/>
        </w:rPr>
      </w:pPr>
    </w:p>
    <w:p w14:paraId="09875FCC" w14:textId="77777777" w:rsidR="004B1BE8" w:rsidRPr="00E90DD6" w:rsidRDefault="004B1BE8" w:rsidP="00D11BE3">
      <w:pPr>
        <w:ind w:left="851"/>
        <w:rPr>
          <w:i/>
          <w:iCs/>
          <w:sz w:val="24"/>
          <w:szCs w:val="24"/>
        </w:rPr>
      </w:pPr>
      <w:r w:rsidRPr="00E90DD6">
        <w:rPr>
          <w:i/>
          <w:iCs/>
          <w:sz w:val="24"/>
          <w:szCs w:val="24"/>
        </w:rPr>
        <w:t>Induktion af remission</w:t>
      </w:r>
    </w:p>
    <w:p w14:paraId="2972C1EB" w14:textId="77777777" w:rsidR="004B1BE8" w:rsidRPr="00E90DD6" w:rsidRDefault="004B1BE8" w:rsidP="00D11BE3">
      <w:pPr>
        <w:ind w:left="851"/>
        <w:rPr>
          <w:sz w:val="24"/>
          <w:szCs w:val="24"/>
        </w:rPr>
      </w:pPr>
      <w:r w:rsidRPr="00E90DD6">
        <w:rPr>
          <w:sz w:val="24"/>
          <w:szCs w:val="24"/>
        </w:rPr>
        <w:t xml:space="preserve">Den anbefalede daglige dosering er tre kapsler en gang daglig om morgenen eller en kapsel (indeholdende 3 mg </w:t>
      </w:r>
      <w:proofErr w:type="spellStart"/>
      <w:r w:rsidRPr="00E90DD6">
        <w:rPr>
          <w:sz w:val="24"/>
          <w:szCs w:val="24"/>
        </w:rPr>
        <w:t>budesonid</w:t>
      </w:r>
      <w:proofErr w:type="spellEnd"/>
      <w:r w:rsidRPr="00E90DD6">
        <w:rPr>
          <w:sz w:val="24"/>
          <w:szCs w:val="24"/>
        </w:rPr>
        <w:t xml:space="preserve">) tre gange daglig (morgen, middag og aften, svarende til en total daglig dosis på 9 mg </w:t>
      </w:r>
      <w:proofErr w:type="spellStart"/>
      <w:r w:rsidRPr="00E90DD6">
        <w:rPr>
          <w:sz w:val="24"/>
          <w:szCs w:val="24"/>
        </w:rPr>
        <w:t>budesonid</w:t>
      </w:r>
      <w:proofErr w:type="spellEnd"/>
      <w:r w:rsidRPr="00E90DD6">
        <w:rPr>
          <w:sz w:val="24"/>
          <w:szCs w:val="24"/>
        </w:rPr>
        <w:t>), hvis dette er mere hensigtsmæssigt for patienten.</w:t>
      </w:r>
    </w:p>
    <w:p w14:paraId="32861FAD" w14:textId="77777777" w:rsidR="004B1BE8" w:rsidRPr="00E90DD6" w:rsidRDefault="004B1BE8" w:rsidP="00D11BE3">
      <w:pPr>
        <w:ind w:left="851"/>
        <w:rPr>
          <w:sz w:val="24"/>
          <w:szCs w:val="24"/>
        </w:rPr>
      </w:pPr>
    </w:p>
    <w:p w14:paraId="5E79F860" w14:textId="77777777" w:rsidR="004B1BE8" w:rsidRPr="00E90DD6" w:rsidRDefault="004B1BE8" w:rsidP="00D11BE3">
      <w:pPr>
        <w:ind w:left="851"/>
        <w:rPr>
          <w:i/>
          <w:sz w:val="24"/>
          <w:szCs w:val="24"/>
        </w:rPr>
      </w:pPr>
      <w:r w:rsidRPr="00E90DD6">
        <w:rPr>
          <w:i/>
          <w:sz w:val="24"/>
          <w:szCs w:val="24"/>
        </w:rPr>
        <w:t>Behandlingsvarighed</w:t>
      </w:r>
    </w:p>
    <w:p w14:paraId="083A747D" w14:textId="77777777" w:rsidR="004B1BE8" w:rsidRPr="00E90DD6" w:rsidRDefault="004B1BE8" w:rsidP="00D11BE3">
      <w:pPr>
        <w:ind w:left="851"/>
        <w:rPr>
          <w:sz w:val="24"/>
          <w:szCs w:val="24"/>
        </w:rPr>
      </w:pPr>
      <w:r w:rsidRPr="00E90DD6">
        <w:rPr>
          <w:sz w:val="24"/>
          <w:szCs w:val="24"/>
        </w:rPr>
        <w:t xml:space="preserve">Behandlingens varighed ved aktiv </w:t>
      </w:r>
      <w:proofErr w:type="spellStart"/>
      <w:r w:rsidRPr="00E90DD6">
        <w:rPr>
          <w:sz w:val="24"/>
          <w:szCs w:val="24"/>
        </w:rPr>
        <w:t>Crohns</w:t>
      </w:r>
      <w:proofErr w:type="spellEnd"/>
      <w:r w:rsidRPr="00E90DD6">
        <w:rPr>
          <w:sz w:val="24"/>
          <w:szCs w:val="24"/>
        </w:rPr>
        <w:t xml:space="preserve"> sygdom bør begrænses til 8 uger.</w:t>
      </w:r>
    </w:p>
    <w:p w14:paraId="45938B51" w14:textId="77777777" w:rsidR="004B1BE8" w:rsidRPr="00E90DD6" w:rsidRDefault="004B1BE8" w:rsidP="00D11BE3">
      <w:pPr>
        <w:ind w:left="851"/>
        <w:rPr>
          <w:sz w:val="24"/>
          <w:szCs w:val="24"/>
        </w:rPr>
      </w:pPr>
    </w:p>
    <w:p w14:paraId="48548D33" w14:textId="77777777" w:rsidR="004B1BE8" w:rsidRPr="00813B42" w:rsidRDefault="004B1BE8" w:rsidP="00D11BE3">
      <w:pPr>
        <w:ind w:left="851"/>
        <w:rPr>
          <w:i/>
          <w:iCs/>
          <w:sz w:val="24"/>
          <w:szCs w:val="24"/>
          <w:u w:val="single"/>
        </w:rPr>
      </w:pPr>
      <w:r w:rsidRPr="00813B42">
        <w:rPr>
          <w:i/>
          <w:iCs/>
          <w:sz w:val="24"/>
          <w:szCs w:val="24"/>
          <w:u w:val="single"/>
        </w:rPr>
        <w:t>Mikroskopisk colitis</w:t>
      </w:r>
    </w:p>
    <w:p w14:paraId="6EB9B125" w14:textId="77777777" w:rsidR="004B1BE8" w:rsidRPr="00E90DD6" w:rsidRDefault="004B1BE8" w:rsidP="00D11BE3">
      <w:pPr>
        <w:ind w:left="851"/>
        <w:rPr>
          <w:i/>
          <w:iCs/>
          <w:sz w:val="24"/>
          <w:szCs w:val="24"/>
        </w:rPr>
      </w:pPr>
    </w:p>
    <w:p w14:paraId="64CDCD8D" w14:textId="77777777" w:rsidR="004B1BE8" w:rsidRPr="00E90DD6" w:rsidRDefault="004B1BE8" w:rsidP="00D11BE3">
      <w:pPr>
        <w:ind w:left="851"/>
        <w:rPr>
          <w:i/>
          <w:iCs/>
          <w:sz w:val="24"/>
          <w:szCs w:val="24"/>
        </w:rPr>
      </w:pPr>
      <w:r w:rsidRPr="00E90DD6">
        <w:rPr>
          <w:i/>
          <w:iCs/>
          <w:sz w:val="24"/>
          <w:szCs w:val="24"/>
        </w:rPr>
        <w:t>Induktion af remission</w:t>
      </w:r>
    </w:p>
    <w:p w14:paraId="465396D4" w14:textId="77777777" w:rsidR="004B1BE8" w:rsidRPr="00E90DD6" w:rsidRDefault="004B1BE8" w:rsidP="00D11BE3">
      <w:pPr>
        <w:ind w:left="851"/>
        <w:rPr>
          <w:sz w:val="24"/>
          <w:szCs w:val="24"/>
        </w:rPr>
      </w:pPr>
      <w:r w:rsidRPr="00E90DD6">
        <w:rPr>
          <w:sz w:val="24"/>
          <w:szCs w:val="24"/>
        </w:rPr>
        <w:t xml:space="preserve">Den anbefalede dosis er tre kapsler en gang daglig om morgenen (svarende til en daglig dosis på 9 mg </w:t>
      </w:r>
      <w:proofErr w:type="spellStart"/>
      <w:r w:rsidRPr="00E90DD6">
        <w:rPr>
          <w:sz w:val="24"/>
          <w:szCs w:val="24"/>
        </w:rPr>
        <w:t>budesonid</w:t>
      </w:r>
      <w:proofErr w:type="spellEnd"/>
      <w:r w:rsidRPr="00E90DD6">
        <w:rPr>
          <w:sz w:val="24"/>
          <w:szCs w:val="24"/>
        </w:rPr>
        <w:t>).</w:t>
      </w:r>
    </w:p>
    <w:p w14:paraId="0FCE1F7B" w14:textId="77777777" w:rsidR="004B1BE8" w:rsidRPr="00E90DD6" w:rsidRDefault="004B1BE8" w:rsidP="00D11BE3">
      <w:pPr>
        <w:ind w:left="851"/>
        <w:rPr>
          <w:sz w:val="24"/>
          <w:szCs w:val="24"/>
        </w:rPr>
      </w:pPr>
    </w:p>
    <w:p w14:paraId="719A6AB4" w14:textId="77777777" w:rsidR="004B1BE8" w:rsidRPr="00E90DD6" w:rsidRDefault="004B1BE8" w:rsidP="00D11BE3">
      <w:pPr>
        <w:ind w:left="851"/>
        <w:rPr>
          <w:i/>
          <w:iCs/>
          <w:sz w:val="24"/>
          <w:szCs w:val="24"/>
        </w:rPr>
      </w:pPr>
      <w:r w:rsidRPr="00E90DD6">
        <w:rPr>
          <w:i/>
          <w:iCs/>
          <w:sz w:val="24"/>
          <w:szCs w:val="24"/>
        </w:rPr>
        <w:t>Vedligeholdelse af remission</w:t>
      </w:r>
    </w:p>
    <w:p w14:paraId="4BFC5DFF" w14:textId="77777777" w:rsidR="004B1BE8" w:rsidRPr="00E90DD6" w:rsidRDefault="004B1BE8" w:rsidP="00D11BE3">
      <w:pPr>
        <w:ind w:left="851"/>
        <w:rPr>
          <w:sz w:val="24"/>
          <w:szCs w:val="24"/>
        </w:rPr>
      </w:pPr>
      <w:r w:rsidRPr="00E90DD6">
        <w:rPr>
          <w:sz w:val="24"/>
          <w:szCs w:val="24"/>
        </w:rPr>
        <w:t xml:space="preserve">Vedligeholdelsesbehandling bør kun påbegyndes hos patienter med hyppigt tilbagevendende symptomer på mikroskopisk colitis efter vellykket induktionsbehandling. Et dosisregime på to kapsler en gang daglig om morgenen (6 mg </w:t>
      </w:r>
      <w:proofErr w:type="spellStart"/>
      <w:r w:rsidRPr="00E90DD6">
        <w:rPr>
          <w:sz w:val="24"/>
          <w:szCs w:val="24"/>
        </w:rPr>
        <w:t>budesonid</w:t>
      </w:r>
      <w:proofErr w:type="spellEnd"/>
      <w:r w:rsidRPr="00E90DD6">
        <w:rPr>
          <w:sz w:val="24"/>
          <w:szCs w:val="24"/>
        </w:rPr>
        <w:t xml:space="preserve">) eller skiftevis to kapsler en gang daglig om morgenen og en kapsel daglig om morgenen (svarende til en gennemsnitlig daglig dosis på 4,5 mg </w:t>
      </w:r>
      <w:proofErr w:type="spellStart"/>
      <w:r w:rsidRPr="00E90DD6">
        <w:rPr>
          <w:sz w:val="24"/>
          <w:szCs w:val="24"/>
        </w:rPr>
        <w:t>budesonid</w:t>
      </w:r>
      <w:proofErr w:type="spellEnd"/>
      <w:r w:rsidRPr="00E90DD6">
        <w:rPr>
          <w:sz w:val="24"/>
          <w:szCs w:val="24"/>
        </w:rPr>
        <w:t>) kan bruges i henhold til patientens individuelle behov. Den laveste effektive dosis bør anvendes.</w:t>
      </w:r>
    </w:p>
    <w:p w14:paraId="2BAEDAFA" w14:textId="77777777" w:rsidR="004B1BE8" w:rsidRPr="00E90DD6" w:rsidRDefault="004B1BE8" w:rsidP="00D11BE3">
      <w:pPr>
        <w:ind w:left="851"/>
        <w:rPr>
          <w:sz w:val="24"/>
          <w:szCs w:val="24"/>
        </w:rPr>
      </w:pPr>
    </w:p>
    <w:p w14:paraId="6E136C67" w14:textId="77777777" w:rsidR="004B1BE8" w:rsidRPr="00E90DD6" w:rsidRDefault="004B1BE8" w:rsidP="00D11BE3">
      <w:pPr>
        <w:ind w:left="851"/>
        <w:rPr>
          <w:i/>
          <w:sz w:val="24"/>
          <w:szCs w:val="24"/>
        </w:rPr>
      </w:pPr>
      <w:r w:rsidRPr="00E90DD6">
        <w:rPr>
          <w:i/>
          <w:sz w:val="24"/>
          <w:szCs w:val="24"/>
        </w:rPr>
        <w:t>Behandlingsvarighed</w:t>
      </w:r>
    </w:p>
    <w:p w14:paraId="7A32A579" w14:textId="77777777" w:rsidR="004B1BE8" w:rsidRPr="00E90DD6" w:rsidRDefault="004B1BE8" w:rsidP="00D11BE3">
      <w:pPr>
        <w:ind w:left="851"/>
        <w:rPr>
          <w:sz w:val="24"/>
          <w:szCs w:val="24"/>
        </w:rPr>
      </w:pPr>
      <w:r w:rsidRPr="00E90DD6">
        <w:rPr>
          <w:sz w:val="24"/>
          <w:szCs w:val="24"/>
        </w:rPr>
        <w:t xml:space="preserve">Behandlingens varighed ved </w:t>
      </w:r>
      <w:proofErr w:type="gramStart"/>
      <w:r w:rsidRPr="00E90DD6">
        <w:rPr>
          <w:sz w:val="24"/>
          <w:szCs w:val="24"/>
        </w:rPr>
        <w:t>aktiv mikroskopisk colitis</w:t>
      </w:r>
      <w:proofErr w:type="gramEnd"/>
      <w:r w:rsidRPr="00E90DD6">
        <w:rPr>
          <w:sz w:val="24"/>
          <w:szCs w:val="24"/>
        </w:rPr>
        <w:t xml:space="preserve"> bør begrænses til 8 uger.</w:t>
      </w:r>
    </w:p>
    <w:p w14:paraId="04030F1E" w14:textId="77777777" w:rsidR="004B1BE8" w:rsidRPr="00E90DD6" w:rsidRDefault="004B1BE8" w:rsidP="00D11BE3">
      <w:pPr>
        <w:ind w:left="851"/>
        <w:rPr>
          <w:sz w:val="24"/>
          <w:szCs w:val="24"/>
        </w:rPr>
      </w:pPr>
      <w:r w:rsidRPr="00E90DD6">
        <w:rPr>
          <w:sz w:val="24"/>
          <w:szCs w:val="24"/>
        </w:rPr>
        <w:t>Under vedligeholdelsesbehandling skal behandlingseffekten evalueres regelmæssigt for at vurdere, om fortsat behandling er nødvendig, og ikke senere end 12 måneder efter påbegyndelse af vedligeholdelsesbehandlingen. Vedligeholdelsesbehandling bør kun forlænges ud over en varighed på 12 måneder, hvis fordelene for den enkelte patient anses for at opveje risiciene.</w:t>
      </w:r>
    </w:p>
    <w:p w14:paraId="0467A4A1" w14:textId="77777777" w:rsidR="004B1BE8" w:rsidRPr="00E90DD6" w:rsidRDefault="004B1BE8" w:rsidP="00D11BE3">
      <w:pPr>
        <w:ind w:left="851"/>
        <w:rPr>
          <w:sz w:val="24"/>
          <w:szCs w:val="24"/>
        </w:rPr>
      </w:pPr>
    </w:p>
    <w:p w14:paraId="172366D8" w14:textId="77777777" w:rsidR="004B1BE8" w:rsidRPr="00813B42" w:rsidRDefault="004B1BE8" w:rsidP="00D11BE3">
      <w:pPr>
        <w:ind w:left="851"/>
        <w:rPr>
          <w:i/>
          <w:iCs/>
          <w:sz w:val="24"/>
          <w:szCs w:val="24"/>
          <w:u w:val="single"/>
        </w:rPr>
      </w:pPr>
      <w:r w:rsidRPr="00813B42">
        <w:rPr>
          <w:i/>
          <w:iCs/>
          <w:sz w:val="24"/>
          <w:szCs w:val="24"/>
          <w:u w:val="single"/>
        </w:rPr>
        <w:t>Autoimmun hepatitis</w:t>
      </w:r>
    </w:p>
    <w:p w14:paraId="442D2258" w14:textId="77777777" w:rsidR="004B1BE8" w:rsidRPr="00E90DD6" w:rsidRDefault="004B1BE8" w:rsidP="00D11BE3">
      <w:pPr>
        <w:ind w:left="851"/>
        <w:rPr>
          <w:i/>
          <w:iCs/>
          <w:sz w:val="24"/>
          <w:szCs w:val="24"/>
        </w:rPr>
      </w:pPr>
    </w:p>
    <w:p w14:paraId="128B5473" w14:textId="77777777" w:rsidR="004B1BE8" w:rsidRPr="00E90DD6" w:rsidRDefault="004B1BE8" w:rsidP="00D11BE3">
      <w:pPr>
        <w:ind w:left="851"/>
        <w:rPr>
          <w:i/>
          <w:sz w:val="24"/>
          <w:szCs w:val="24"/>
        </w:rPr>
      </w:pPr>
      <w:r w:rsidRPr="00E90DD6">
        <w:rPr>
          <w:i/>
          <w:sz w:val="24"/>
          <w:szCs w:val="24"/>
        </w:rPr>
        <w:t>Induktion af remission</w:t>
      </w:r>
    </w:p>
    <w:p w14:paraId="06338863" w14:textId="77777777" w:rsidR="004B1BE8" w:rsidRPr="00E90DD6" w:rsidRDefault="004B1BE8" w:rsidP="00D11BE3">
      <w:pPr>
        <w:ind w:left="851"/>
        <w:rPr>
          <w:sz w:val="24"/>
          <w:szCs w:val="24"/>
        </w:rPr>
      </w:pPr>
      <w:r w:rsidRPr="00E90DD6">
        <w:rPr>
          <w:sz w:val="24"/>
          <w:szCs w:val="24"/>
        </w:rPr>
        <w:t xml:space="preserve">Til induktion af remission (dvs. til normalisering af forhøjede laboratorieparametre) er den anbefalede daglige dosis en kapsel (indeholdende 3 mg </w:t>
      </w:r>
      <w:proofErr w:type="spellStart"/>
      <w:r w:rsidRPr="00E90DD6">
        <w:rPr>
          <w:sz w:val="24"/>
          <w:szCs w:val="24"/>
        </w:rPr>
        <w:t>budesonid</w:t>
      </w:r>
      <w:proofErr w:type="spellEnd"/>
      <w:r w:rsidRPr="00E90DD6">
        <w:rPr>
          <w:sz w:val="24"/>
          <w:szCs w:val="24"/>
        </w:rPr>
        <w:t xml:space="preserve">) tre gange daglig (morgen, middag og aften, svarende til en total daglig dosis på 9 mg </w:t>
      </w:r>
      <w:proofErr w:type="spellStart"/>
      <w:r w:rsidRPr="00E90DD6">
        <w:rPr>
          <w:sz w:val="24"/>
          <w:szCs w:val="24"/>
        </w:rPr>
        <w:t>budesonid</w:t>
      </w:r>
      <w:proofErr w:type="spellEnd"/>
      <w:r w:rsidRPr="00E90DD6">
        <w:rPr>
          <w:sz w:val="24"/>
          <w:szCs w:val="24"/>
        </w:rPr>
        <w:t>).</w:t>
      </w:r>
    </w:p>
    <w:p w14:paraId="0203F1D2" w14:textId="77777777" w:rsidR="004B1BE8" w:rsidRPr="00E90DD6" w:rsidRDefault="004B1BE8" w:rsidP="00D11BE3">
      <w:pPr>
        <w:ind w:left="851"/>
        <w:rPr>
          <w:sz w:val="24"/>
          <w:szCs w:val="24"/>
        </w:rPr>
      </w:pPr>
    </w:p>
    <w:p w14:paraId="6C60AD13" w14:textId="77777777" w:rsidR="004B1BE8" w:rsidRPr="00E90DD6" w:rsidRDefault="004B1BE8" w:rsidP="00D11BE3">
      <w:pPr>
        <w:ind w:left="851"/>
        <w:rPr>
          <w:i/>
          <w:sz w:val="24"/>
          <w:szCs w:val="24"/>
        </w:rPr>
      </w:pPr>
      <w:r w:rsidRPr="00E90DD6">
        <w:rPr>
          <w:i/>
          <w:sz w:val="24"/>
          <w:szCs w:val="24"/>
        </w:rPr>
        <w:t>Vedligeholdelse af remission</w:t>
      </w:r>
    </w:p>
    <w:p w14:paraId="53DC9D0D" w14:textId="77777777" w:rsidR="004B1BE8" w:rsidRPr="00E90DD6" w:rsidRDefault="004B1BE8" w:rsidP="00D11BE3">
      <w:pPr>
        <w:ind w:left="851"/>
        <w:rPr>
          <w:sz w:val="24"/>
          <w:szCs w:val="24"/>
        </w:rPr>
      </w:pPr>
      <w:r w:rsidRPr="00E90DD6">
        <w:rPr>
          <w:sz w:val="24"/>
          <w:szCs w:val="24"/>
        </w:rPr>
        <w:t xml:space="preserve">Efter opnåelse af remission er den anbefalede daglige dosis en kapsel (indeholdende 3 mg </w:t>
      </w:r>
      <w:proofErr w:type="spellStart"/>
      <w:r w:rsidRPr="00E90DD6">
        <w:rPr>
          <w:sz w:val="24"/>
          <w:szCs w:val="24"/>
        </w:rPr>
        <w:t>budesonid</w:t>
      </w:r>
      <w:proofErr w:type="spellEnd"/>
      <w:r w:rsidRPr="00E90DD6">
        <w:rPr>
          <w:sz w:val="24"/>
          <w:szCs w:val="24"/>
        </w:rPr>
        <w:t xml:space="preserve">) to gange daglig (en kapsel om morgenen og en kapsel om aftenen, svarende til en total daglig dosis på 6 mg </w:t>
      </w:r>
      <w:proofErr w:type="spellStart"/>
      <w:r w:rsidRPr="00E90DD6">
        <w:rPr>
          <w:sz w:val="24"/>
          <w:szCs w:val="24"/>
        </w:rPr>
        <w:t>budesonid</w:t>
      </w:r>
      <w:proofErr w:type="spellEnd"/>
      <w:r w:rsidRPr="00E90DD6">
        <w:rPr>
          <w:sz w:val="24"/>
          <w:szCs w:val="24"/>
        </w:rPr>
        <w:t>).</w:t>
      </w:r>
    </w:p>
    <w:p w14:paraId="5181E2E6" w14:textId="77777777" w:rsidR="004B1BE8" w:rsidRPr="00E90DD6" w:rsidRDefault="004B1BE8" w:rsidP="00D11BE3">
      <w:pPr>
        <w:ind w:left="851"/>
        <w:rPr>
          <w:sz w:val="24"/>
          <w:szCs w:val="24"/>
        </w:rPr>
      </w:pPr>
    </w:p>
    <w:p w14:paraId="7EEA6FF6" w14:textId="77777777" w:rsidR="004B1BE8" w:rsidRPr="00E90DD6" w:rsidRDefault="004B1BE8" w:rsidP="00D11BE3">
      <w:pPr>
        <w:ind w:left="851"/>
        <w:rPr>
          <w:sz w:val="24"/>
          <w:szCs w:val="24"/>
        </w:rPr>
      </w:pPr>
      <w:r w:rsidRPr="00E90DD6">
        <w:rPr>
          <w:sz w:val="24"/>
          <w:szCs w:val="24"/>
        </w:rPr>
        <w:lastRenderedPageBreak/>
        <w:t xml:space="preserve">Hvis </w:t>
      </w:r>
      <w:proofErr w:type="spellStart"/>
      <w:r w:rsidRPr="00E90DD6">
        <w:rPr>
          <w:sz w:val="24"/>
          <w:szCs w:val="24"/>
        </w:rPr>
        <w:t>transaminaserne</w:t>
      </w:r>
      <w:proofErr w:type="spellEnd"/>
      <w:r w:rsidRPr="00E90DD6">
        <w:rPr>
          <w:sz w:val="24"/>
          <w:szCs w:val="24"/>
        </w:rPr>
        <w:t xml:space="preserve"> ALAT og/eller ASAT stiger under vedligeholdelsesbehandling, bør dosis øges til 3 kapsler om dagen (svarende til en total daglig dosis på 9 mg </w:t>
      </w:r>
      <w:proofErr w:type="spellStart"/>
      <w:r w:rsidRPr="00E90DD6">
        <w:rPr>
          <w:sz w:val="24"/>
          <w:szCs w:val="24"/>
        </w:rPr>
        <w:t>budesonid</w:t>
      </w:r>
      <w:proofErr w:type="spellEnd"/>
      <w:r w:rsidRPr="00E90DD6">
        <w:rPr>
          <w:sz w:val="24"/>
          <w:szCs w:val="24"/>
        </w:rPr>
        <w:t>), som beskrevet for induktion af remission.</w:t>
      </w:r>
    </w:p>
    <w:p w14:paraId="02D62B7A" w14:textId="77777777" w:rsidR="004B1BE8" w:rsidRPr="00E90DD6" w:rsidRDefault="004B1BE8" w:rsidP="00D11BE3">
      <w:pPr>
        <w:ind w:left="851"/>
        <w:rPr>
          <w:sz w:val="24"/>
          <w:szCs w:val="24"/>
        </w:rPr>
      </w:pPr>
    </w:p>
    <w:p w14:paraId="6D4EAB94" w14:textId="77777777" w:rsidR="004B1BE8" w:rsidRPr="00E90DD6" w:rsidRDefault="004B1BE8" w:rsidP="00D11BE3">
      <w:pPr>
        <w:ind w:left="851"/>
        <w:rPr>
          <w:sz w:val="24"/>
          <w:szCs w:val="24"/>
        </w:rPr>
      </w:pPr>
      <w:r w:rsidRPr="00E90DD6">
        <w:rPr>
          <w:sz w:val="24"/>
          <w:szCs w:val="24"/>
        </w:rPr>
        <w:t xml:space="preserve">Til patienter, som tåler </w:t>
      </w:r>
      <w:proofErr w:type="spellStart"/>
      <w:r w:rsidRPr="00E90DD6">
        <w:rPr>
          <w:sz w:val="24"/>
          <w:szCs w:val="24"/>
        </w:rPr>
        <w:t>azathioprin</w:t>
      </w:r>
      <w:proofErr w:type="spellEnd"/>
      <w:r w:rsidRPr="00E90DD6">
        <w:rPr>
          <w:sz w:val="24"/>
          <w:szCs w:val="24"/>
        </w:rPr>
        <w:t xml:space="preserve">, bør </w:t>
      </w:r>
      <w:proofErr w:type="spellStart"/>
      <w:r w:rsidRPr="00E90DD6">
        <w:rPr>
          <w:sz w:val="24"/>
          <w:szCs w:val="24"/>
        </w:rPr>
        <w:t>budesonid</w:t>
      </w:r>
      <w:proofErr w:type="spellEnd"/>
      <w:r w:rsidRPr="00E90DD6">
        <w:rPr>
          <w:sz w:val="24"/>
          <w:szCs w:val="24"/>
        </w:rPr>
        <w:t xml:space="preserve"> kombineres med </w:t>
      </w:r>
      <w:proofErr w:type="spellStart"/>
      <w:r w:rsidRPr="00E90DD6">
        <w:rPr>
          <w:sz w:val="24"/>
          <w:szCs w:val="24"/>
        </w:rPr>
        <w:t>azathioprin</w:t>
      </w:r>
      <w:proofErr w:type="spellEnd"/>
      <w:r w:rsidRPr="00E90DD6">
        <w:rPr>
          <w:sz w:val="24"/>
          <w:szCs w:val="24"/>
        </w:rPr>
        <w:t xml:space="preserve"> til behandling af induktion og vedligeholdelse af remission.</w:t>
      </w:r>
    </w:p>
    <w:p w14:paraId="7E1938D0" w14:textId="77777777" w:rsidR="004B1BE8" w:rsidRPr="00E90DD6" w:rsidRDefault="004B1BE8" w:rsidP="00D11BE3">
      <w:pPr>
        <w:ind w:left="851"/>
        <w:rPr>
          <w:sz w:val="24"/>
          <w:szCs w:val="24"/>
        </w:rPr>
      </w:pPr>
    </w:p>
    <w:p w14:paraId="28A571A2" w14:textId="77777777" w:rsidR="004B1BE8" w:rsidRPr="00E90DD6" w:rsidRDefault="004B1BE8" w:rsidP="00D11BE3">
      <w:pPr>
        <w:ind w:left="851"/>
        <w:rPr>
          <w:i/>
          <w:iCs/>
          <w:sz w:val="24"/>
          <w:szCs w:val="24"/>
        </w:rPr>
      </w:pPr>
      <w:bookmarkStart w:id="0" w:name="_Hlk27144739"/>
      <w:r w:rsidRPr="00E90DD6">
        <w:rPr>
          <w:i/>
          <w:iCs/>
          <w:sz w:val="24"/>
          <w:szCs w:val="24"/>
        </w:rPr>
        <w:t>Behandlingsvarighed</w:t>
      </w:r>
    </w:p>
    <w:p w14:paraId="6E05273F" w14:textId="77777777" w:rsidR="004B1BE8" w:rsidRPr="00E90DD6" w:rsidRDefault="004B1BE8" w:rsidP="00D11BE3">
      <w:pPr>
        <w:ind w:left="851"/>
        <w:rPr>
          <w:sz w:val="24"/>
          <w:szCs w:val="24"/>
        </w:rPr>
      </w:pPr>
      <w:r w:rsidRPr="00E90DD6">
        <w:rPr>
          <w:spacing w:val="-3"/>
          <w:sz w:val="24"/>
          <w:szCs w:val="24"/>
        </w:rPr>
        <w:t xml:space="preserve">Til induktion af remission skal en daglig dosis </w:t>
      </w:r>
      <w:r w:rsidRPr="00E90DD6">
        <w:rPr>
          <w:sz w:val="24"/>
          <w:szCs w:val="24"/>
        </w:rPr>
        <w:t xml:space="preserve">på 9 mg gives, indtil remission er opnået. Derefter bør der gives en total daglig dosis på 6 mg </w:t>
      </w:r>
      <w:proofErr w:type="spellStart"/>
      <w:r w:rsidRPr="00E90DD6">
        <w:rPr>
          <w:sz w:val="24"/>
          <w:szCs w:val="24"/>
        </w:rPr>
        <w:t>budesonid</w:t>
      </w:r>
      <w:proofErr w:type="spellEnd"/>
      <w:r w:rsidRPr="00E90DD6">
        <w:rPr>
          <w:sz w:val="24"/>
          <w:szCs w:val="24"/>
        </w:rPr>
        <w:t xml:space="preserve"> til vedligeholdelse af remission. Behandling til vedligeholdelse af remission bør fortsætte i mindst 24 måneder ved autoimmun hepatitis. Den bør kun afbrydes, hvis biokemisk remission til stadighed er vedligeholdt, og der ikke er nogen tegn på inflammation tilstede i en leverbiopsi.</w:t>
      </w:r>
    </w:p>
    <w:p w14:paraId="56BF7C18" w14:textId="77777777" w:rsidR="004B1BE8" w:rsidRPr="00E90DD6" w:rsidRDefault="004B1BE8" w:rsidP="00D11BE3">
      <w:pPr>
        <w:ind w:left="851"/>
        <w:rPr>
          <w:sz w:val="24"/>
          <w:szCs w:val="24"/>
        </w:rPr>
      </w:pPr>
    </w:p>
    <w:p w14:paraId="0B088741" w14:textId="77777777" w:rsidR="004B1BE8" w:rsidRPr="00813B42" w:rsidRDefault="004B1BE8" w:rsidP="00D11BE3">
      <w:pPr>
        <w:ind w:left="851"/>
        <w:rPr>
          <w:sz w:val="24"/>
          <w:szCs w:val="24"/>
          <w:u w:val="single"/>
        </w:rPr>
      </w:pPr>
      <w:r w:rsidRPr="00813B42">
        <w:rPr>
          <w:sz w:val="24"/>
          <w:szCs w:val="24"/>
          <w:u w:val="single"/>
        </w:rPr>
        <w:t>Afbrydelse af behandling</w:t>
      </w:r>
    </w:p>
    <w:p w14:paraId="6139769E" w14:textId="6BEDF3B3" w:rsidR="004B1BE8" w:rsidRPr="00E90DD6" w:rsidRDefault="004B1BE8" w:rsidP="00D11BE3">
      <w:pPr>
        <w:ind w:left="851"/>
        <w:rPr>
          <w:sz w:val="24"/>
          <w:szCs w:val="24"/>
        </w:rPr>
      </w:pPr>
      <w:r w:rsidRPr="00E90DD6">
        <w:rPr>
          <w:sz w:val="24"/>
          <w:szCs w:val="24"/>
        </w:rPr>
        <w:t xml:space="preserve">Behandling med </w:t>
      </w:r>
      <w:proofErr w:type="spellStart"/>
      <w:r w:rsidRPr="00E90DD6">
        <w:rPr>
          <w:sz w:val="24"/>
          <w:szCs w:val="24"/>
        </w:rPr>
        <w:t>Budesonid</w:t>
      </w:r>
      <w:proofErr w:type="spellEnd"/>
      <w:r w:rsidRPr="00E90DD6">
        <w:rPr>
          <w:sz w:val="24"/>
          <w:szCs w:val="24"/>
        </w:rPr>
        <w:t xml:space="preserve"> </w:t>
      </w:r>
      <w:r w:rsidR="00CB3CD5">
        <w:rPr>
          <w:sz w:val="24"/>
          <w:szCs w:val="24"/>
        </w:rPr>
        <w:t>"</w:t>
      </w:r>
      <w:proofErr w:type="spellStart"/>
      <w:r w:rsidR="00CB3CD5">
        <w:rPr>
          <w:sz w:val="24"/>
          <w:szCs w:val="24"/>
        </w:rPr>
        <w:t>Teva</w:t>
      </w:r>
      <w:proofErr w:type="spellEnd"/>
      <w:r w:rsidR="00CB3CD5">
        <w:rPr>
          <w:sz w:val="24"/>
          <w:szCs w:val="24"/>
        </w:rPr>
        <w:t>"</w:t>
      </w:r>
      <w:r w:rsidRPr="00E90DD6">
        <w:rPr>
          <w:sz w:val="24"/>
          <w:szCs w:val="24"/>
        </w:rPr>
        <w:t xml:space="preserve"> bør ikke stoppes pludseligt, men bør nedtrappes gradvist (ved at reducere antallet af doser). </w:t>
      </w:r>
      <w:bookmarkEnd w:id="0"/>
      <w:r w:rsidRPr="00E90DD6">
        <w:rPr>
          <w:sz w:val="24"/>
          <w:szCs w:val="24"/>
        </w:rPr>
        <w:t xml:space="preserve">Gradvis dosisreduktion over 2 uger anbefales. </w:t>
      </w:r>
    </w:p>
    <w:p w14:paraId="74887977" w14:textId="77777777" w:rsidR="004B1BE8" w:rsidRPr="00E90DD6" w:rsidRDefault="004B1BE8" w:rsidP="00D11BE3">
      <w:pPr>
        <w:ind w:left="851"/>
        <w:rPr>
          <w:sz w:val="24"/>
          <w:szCs w:val="24"/>
        </w:rPr>
      </w:pPr>
    </w:p>
    <w:p w14:paraId="32A8C3EA" w14:textId="77777777" w:rsidR="004B1BE8" w:rsidRPr="00C66038" w:rsidRDefault="004B1BE8" w:rsidP="00D11BE3">
      <w:pPr>
        <w:ind w:left="851"/>
        <w:rPr>
          <w:sz w:val="24"/>
          <w:szCs w:val="24"/>
          <w:u w:val="single"/>
        </w:rPr>
      </w:pPr>
      <w:r w:rsidRPr="00C66038">
        <w:rPr>
          <w:sz w:val="24"/>
          <w:szCs w:val="24"/>
          <w:u w:val="single"/>
        </w:rPr>
        <w:t>Pædiatrisk population</w:t>
      </w:r>
    </w:p>
    <w:p w14:paraId="0F70C140" w14:textId="77777777" w:rsidR="004B1BE8" w:rsidRPr="00E90DD6" w:rsidRDefault="004B1BE8" w:rsidP="00D11BE3">
      <w:pPr>
        <w:ind w:left="851"/>
        <w:rPr>
          <w:sz w:val="24"/>
          <w:szCs w:val="24"/>
        </w:rPr>
      </w:pPr>
    </w:p>
    <w:p w14:paraId="73B27489" w14:textId="77777777" w:rsidR="004B1BE8" w:rsidRPr="00E90DD6" w:rsidRDefault="004B1BE8" w:rsidP="00D11BE3">
      <w:pPr>
        <w:ind w:left="851"/>
        <w:rPr>
          <w:i/>
          <w:iCs/>
          <w:sz w:val="24"/>
          <w:szCs w:val="24"/>
        </w:rPr>
      </w:pPr>
      <w:r w:rsidRPr="00E90DD6">
        <w:rPr>
          <w:i/>
          <w:iCs/>
          <w:sz w:val="24"/>
          <w:szCs w:val="24"/>
        </w:rPr>
        <w:t>Børn under 12 år</w:t>
      </w:r>
    </w:p>
    <w:p w14:paraId="202DA621" w14:textId="146E50FC" w:rsidR="004B1BE8" w:rsidRPr="00E90DD6" w:rsidRDefault="004B1BE8" w:rsidP="00D11BE3">
      <w:pPr>
        <w:ind w:left="851"/>
        <w:rPr>
          <w:sz w:val="24"/>
          <w:szCs w:val="24"/>
        </w:rPr>
      </w:pPr>
      <w:proofErr w:type="spellStart"/>
      <w:r w:rsidRPr="00E90DD6">
        <w:rPr>
          <w:sz w:val="24"/>
          <w:szCs w:val="24"/>
        </w:rPr>
        <w:t>Budesonid</w:t>
      </w:r>
      <w:proofErr w:type="spellEnd"/>
      <w:r w:rsidRPr="00E90DD6">
        <w:rPr>
          <w:sz w:val="24"/>
          <w:szCs w:val="24"/>
        </w:rPr>
        <w:t xml:space="preserve"> </w:t>
      </w:r>
      <w:r w:rsidR="00CB3CD5">
        <w:rPr>
          <w:sz w:val="24"/>
          <w:szCs w:val="24"/>
        </w:rPr>
        <w:t>"</w:t>
      </w:r>
      <w:proofErr w:type="spellStart"/>
      <w:r w:rsidR="00CB3CD5">
        <w:rPr>
          <w:sz w:val="24"/>
          <w:szCs w:val="24"/>
        </w:rPr>
        <w:t>Teva</w:t>
      </w:r>
      <w:proofErr w:type="spellEnd"/>
      <w:r w:rsidR="00CB3CD5">
        <w:rPr>
          <w:sz w:val="24"/>
          <w:szCs w:val="24"/>
        </w:rPr>
        <w:t>"</w:t>
      </w:r>
      <w:r w:rsidRPr="00E90DD6">
        <w:rPr>
          <w:sz w:val="24"/>
          <w:szCs w:val="24"/>
        </w:rPr>
        <w:t xml:space="preserve"> bør ikke tages af børn under 12 år på grund af utilstrækkelig erfaring og muligvis øget risiko for binyrebarksuppression i denne aldersgruppe.</w:t>
      </w:r>
    </w:p>
    <w:p w14:paraId="124B0B4B" w14:textId="77777777" w:rsidR="004B1BE8" w:rsidRPr="00E90DD6" w:rsidRDefault="004B1BE8" w:rsidP="00D11BE3">
      <w:pPr>
        <w:ind w:left="851"/>
        <w:rPr>
          <w:sz w:val="24"/>
          <w:szCs w:val="24"/>
        </w:rPr>
      </w:pPr>
    </w:p>
    <w:p w14:paraId="63FD04C6" w14:textId="77777777" w:rsidR="004B1BE8" w:rsidRPr="00E90DD6" w:rsidRDefault="004B1BE8" w:rsidP="00D11BE3">
      <w:pPr>
        <w:ind w:left="851"/>
        <w:rPr>
          <w:i/>
          <w:sz w:val="24"/>
          <w:szCs w:val="24"/>
        </w:rPr>
      </w:pPr>
      <w:r w:rsidRPr="00E90DD6">
        <w:rPr>
          <w:i/>
          <w:sz w:val="24"/>
          <w:szCs w:val="24"/>
        </w:rPr>
        <w:t>Unge patienter i alderen 12</w:t>
      </w:r>
      <w:r w:rsidRPr="00E90DD6">
        <w:rPr>
          <w:i/>
          <w:sz w:val="24"/>
          <w:szCs w:val="24"/>
        </w:rPr>
        <w:noBreakHyphen/>
        <w:t>18 år</w:t>
      </w:r>
    </w:p>
    <w:p w14:paraId="7CAD1989" w14:textId="77777777" w:rsidR="004B1BE8" w:rsidRPr="00E90DD6" w:rsidRDefault="004B1BE8" w:rsidP="00D11BE3">
      <w:pPr>
        <w:ind w:left="851"/>
        <w:rPr>
          <w:sz w:val="24"/>
          <w:szCs w:val="24"/>
        </w:rPr>
      </w:pPr>
      <w:r w:rsidRPr="00E90DD6">
        <w:rPr>
          <w:sz w:val="24"/>
          <w:szCs w:val="24"/>
        </w:rPr>
        <w:t xml:space="preserve">Sikkerhed og virkning af </w:t>
      </w:r>
      <w:proofErr w:type="spellStart"/>
      <w:r w:rsidRPr="00E90DD6">
        <w:rPr>
          <w:sz w:val="24"/>
          <w:szCs w:val="24"/>
        </w:rPr>
        <w:t>budesonid</w:t>
      </w:r>
      <w:proofErr w:type="spellEnd"/>
      <w:r w:rsidRPr="00E90DD6">
        <w:rPr>
          <w:sz w:val="24"/>
          <w:szCs w:val="24"/>
        </w:rPr>
        <w:t xml:space="preserve"> hos børn i alderen 12</w:t>
      </w:r>
      <w:r w:rsidRPr="00E90DD6">
        <w:rPr>
          <w:sz w:val="24"/>
          <w:szCs w:val="24"/>
        </w:rPr>
        <w:noBreakHyphen/>
        <w:t>18 år er endnu ikke klarlagt. De foreliggende data for unge patienter (12</w:t>
      </w:r>
      <w:r w:rsidRPr="00E90DD6">
        <w:rPr>
          <w:sz w:val="24"/>
          <w:szCs w:val="24"/>
        </w:rPr>
        <w:noBreakHyphen/>
        <w:t xml:space="preserve">18 år) med </w:t>
      </w:r>
      <w:proofErr w:type="spellStart"/>
      <w:r w:rsidRPr="00E90DD6">
        <w:rPr>
          <w:sz w:val="24"/>
          <w:szCs w:val="24"/>
        </w:rPr>
        <w:t>Crohns</w:t>
      </w:r>
      <w:proofErr w:type="spellEnd"/>
      <w:r w:rsidRPr="00E90DD6">
        <w:rPr>
          <w:sz w:val="24"/>
          <w:szCs w:val="24"/>
        </w:rPr>
        <w:t xml:space="preserve"> sygdom eller autoimmun hepatitis er beskrevet i pkt. 4.8 og 5.1, men der kan ikke gives nogen anbefalinger vedrørende dosering.</w:t>
      </w:r>
    </w:p>
    <w:p w14:paraId="17B99568" w14:textId="77777777" w:rsidR="004B1BE8" w:rsidRPr="00E90DD6" w:rsidRDefault="004B1BE8" w:rsidP="00D11BE3">
      <w:pPr>
        <w:ind w:left="851"/>
        <w:rPr>
          <w:sz w:val="24"/>
          <w:szCs w:val="24"/>
        </w:rPr>
      </w:pPr>
    </w:p>
    <w:p w14:paraId="45A57B57" w14:textId="77777777" w:rsidR="004B1BE8" w:rsidRPr="00C66038" w:rsidRDefault="004B1BE8" w:rsidP="00D11BE3">
      <w:pPr>
        <w:ind w:left="851"/>
        <w:rPr>
          <w:sz w:val="24"/>
          <w:szCs w:val="24"/>
          <w:u w:val="single"/>
        </w:rPr>
      </w:pPr>
      <w:r w:rsidRPr="00C66038">
        <w:rPr>
          <w:sz w:val="24"/>
          <w:szCs w:val="24"/>
          <w:u w:val="single"/>
        </w:rPr>
        <w:t>Administration</w:t>
      </w:r>
    </w:p>
    <w:p w14:paraId="78799A29" w14:textId="77777777" w:rsidR="004B1BE8" w:rsidRPr="00E90DD6" w:rsidRDefault="004B1BE8" w:rsidP="00D11BE3">
      <w:pPr>
        <w:ind w:left="851"/>
        <w:rPr>
          <w:sz w:val="24"/>
          <w:szCs w:val="24"/>
        </w:rPr>
      </w:pPr>
      <w:r w:rsidRPr="00E90DD6">
        <w:rPr>
          <w:sz w:val="24"/>
          <w:szCs w:val="24"/>
        </w:rPr>
        <w:t xml:space="preserve">Kapslerne, der indeholder </w:t>
      </w:r>
      <w:proofErr w:type="spellStart"/>
      <w:r w:rsidRPr="00E90DD6">
        <w:rPr>
          <w:sz w:val="24"/>
          <w:szCs w:val="24"/>
        </w:rPr>
        <w:t>enterogranulat</w:t>
      </w:r>
      <w:proofErr w:type="spellEnd"/>
      <w:r w:rsidRPr="00E90DD6">
        <w:rPr>
          <w:sz w:val="24"/>
          <w:szCs w:val="24"/>
        </w:rPr>
        <w:t>, skal tages cirka en halv time før måltiderne og synkes hele sammen med rigelig væske (f.eks. et glas vand) for at sikre lægemidlets effekt.</w:t>
      </w:r>
    </w:p>
    <w:p w14:paraId="628ADFFB" w14:textId="77777777" w:rsidR="009260DE" w:rsidRPr="00E90DD6" w:rsidRDefault="009260DE" w:rsidP="009260DE">
      <w:pPr>
        <w:tabs>
          <w:tab w:val="left" w:pos="851"/>
        </w:tabs>
        <w:ind w:left="851"/>
        <w:rPr>
          <w:sz w:val="24"/>
          <w:szCs w:val="24"/>
        </w:rPr>
      </w:pPr>
    </w:p>
    <w:p w14:paraId="04BF7D8C" w14:textId="77777777" w:rsidR="009260DE" w:rsidRPr="00E90DD6" w:rsidRDefault="009260DE" w:rsidP="009260DE">
      <w:pPr>
        <w:tabs>
          <w:tab w:val="left" w:pos="851"/>
        </w:tabs>
        <w:ind w:left="851" w:hanging="851"/>
        <w:rPr>
          <w:b/>
          <w:sz w:val="24"/>
          <w:szCs w:val="24"/>
        </w:rPr>
      </w:pPr>
      <w:r w:rsidRPr="00E90DD6">
        <w:rPr>
          <w:b/>
          <w:sz w:val="24"/>
          <w:szCs w:val="24"/>
        </w:rPr>
        <w:t>4.3</w:t>
      </w:r>
      <w:r w:rsidRPr="00E90DD6">
        <w:rPr>
          <w:b/>
          <w:sz w:val="24"/>
          <w:szCs w:val="24"/>
        </w:rPr>
        <w:tab/>
        <w:t>Kontraindikationer</w:t>
      </w:r>
    </w:p>
    <w:p w14:paraId="772F2B7B" w14:textId="24E7EC4B" w:rsidR="004B1BE8" w:rsidRPr="00E90DD6" w:rsidRDefault="004B1BE8" w:rsidP="00D11BE3">
      <w:pPr>
        <w:ind w:left="851"/>
        <w:rPr>
          <w:sz w:val="24"/>
          <w:szCs w:val="24"/>
          <w:lang w:eastAsia="da-DK"/>
        </w:rPr>
      </w:pPr>
      <w:proofErr w:type="spellStart"/>
      <w:r w:rsidRPr="00E90DD6">
        <w:rPr>
          <w:sz w:val="24"/>
          <w:szCs w:val="24"/>
        </w:rPr>
        <w:t>Budesonid</w:t>
      </w:r>
      <w:proofErr w:type="spellEnd"/>
      <w:r w:rsidRPr="00E90DD6">
        <w:rPr>
          <w:sz w:val="24"/>
          <w:szCs w:val="24"/>
        </w:rPr>
        <w:t xml:space="preserve"> </w:t>
      </w:r>
      <w:r w:rsidR="00CB3CD5">
        <w:rPr>
          <w:sz w:val="24"/>
          <w:szCs w:val="24"/>
        </w:rPr>
        <w:t>"</w:t>
      </w:r>
      <w:proofErr w:type="spellStart"/>
      <w:r w:rsidR="00CB3CD5">
        <w:rPr>
          <w:sz w:val="24"/>
          <w:szCs w:val="24"/>
        </w:rPr>
        <w:t>Teva</w:t>
      </w:r>
      <w:proofErr w:type="spellEnd"/>
      <w:r w:rsidR="00CB3CD5">
        <w:rPr>
          <w:sz w:val="24"/>
          <w:szCs w:val="24"/>
        </w:rPr>
        <w:t>"</w:t>
      </w:r>
      <w:r w:rsidRPr="00E90DD6">
        <w:rPr>
          <w:sz w:val="24"/>
          <w:szCs w:val="24"/>
        </w:rPr>
        <w:t xml:space="preserve"> må ikke anvendes af patienter med:</w:t>
      </w:r>
    </w:p>
    <w:p w14:paraId="67A3FBF0" w14:textId="77777777" w:rsidR="004B1BE8" w:rsidRPr="00E90DD6" w:rsidRDefault="004B1BE8" w:rsidP="0007645B">
      <w:pPr>
        <w:pStyle w:val="Listeafsnit"/>
        <w:numPr>
          <w:ilvl w:val="0"/>
          <w:numId w:val="12"/>
        </w:numPr>
        <w:ind w:left="1276" w:hanging="425"/>
        <w:rPr>
          <w:sz w:val="24"/>
          <w:szCs w:val="24"/>
        </w:rPr>
      </w:pPr>
      <w:r w:rsidRPr="00E90DD6">
        <w:rPr>
          <w:sz w:val="24"/>
          <w:szCs w:val="24"/>
        </w:rPr>
        <w:t>overfølsomhed over for det aktive stof eller over for et eller flere af hjælpestofferne anført i pkt. 6.1</w:t>
      </w:r>
    </w:p>
    <w:p w14:paraId="19051E27" w14:textId="77777777" w:rsidR="004B1BE8" w:rsidRPr="00E90DD6" w:rsidRDefault="004B1BE8" w:rsidP="0007645B">
      <w:pPr>
        <w:pStyle w:val="Listeafsnit"/>
        <w:numPr>
          <w:ilvl w:val="0"/>
          <w:numId w:val="12"/>
        </w:numPr>
        <w:ind w:left="1276" w:hanging="425"/>
        <w:rPr>
          <w:sz w:val="24"/>
          <w:szCs w:val="24"/>
        </w:rPr>
      </w:pPr>
      <w:r w:rsidRPr="00E90DD6">
        <w:rPr>
          <w:sz w:val="24"/>
          <w:szCs w:val="24"/>
        </w:rPr>
        <w:t>levercirrose.</w:t>
      </w:r>
    </w:p>
    <w:p w14:paraId="54A93A72" w14:textId="77777777" w:rsidR="009260DE" w:rsidRPr="00E90DD6" w:rsidRDefault="009260DE" w:rsidP="009260DE">
      <w:pPr>
        <w:tabs>
          <w:tab w:val="left" w:pos="851"/>
        </w:tabs>
        <w:ind w:left="851"/>
        <w:rPr>
          <w:sz w:val="24"/>
          <w:szCs w:val="24"/>
        </w:rPr>
      </w:pPr>
    </w:p>
    <w:p w14:paraId="7B34073E" w14:textId="77777777" w:rsidR="009260DE" w:rsidRPr="00E90DD6" w:rsidRDefault="009260DE" w:rsidP="009260DE">
      <w:pPr>
        <w:tabs>
          <w:tab w:val="left" w:pos="851"/>
        </w:tabs>
        <w:ind w:left="851" w:hanging="851"/>
        <w:rPr>
          <w:b/>
          <w:sz w:val="24"/>
          <w:szCs w:val="24"/>
        </w:rPr>
      </w:pPr>
      <w:r w:rsidRPr="00E90DD6">
        <w:rPr>
          <w:b/>
          <w:sz w:val="24"/>
          <w:szCs w:val="24"/>
        </w:rPr>
        <w:t>4.4</w:t>
      </w:r>
      <w:r w:rsidRPr="00E90DD6">
        <w:rPr>
          <w:b/>
          <w:sz w:val="24"/>
          <w:szCs w:val="24"/>
        </w:rPr>
        <w:tab/>
        <w:t>Særlige advarsler og forsigtighedsregler vedrørende brugen</w:t>
      </w:r>
    </w:p>
    <w:p w14:paraId="36BEB950" w14:textId="77777777" w:rsidR="00E647D4" w:rsidRPr="00E90DD6" w:rsidRDefault="00E647D4" w:rsidP="0007645B">
      <w:pPr>
        <w:ind w:left="851"/>
        <w:rPr>
          <w:sz w:val="24"/>
          <w:szCs w:val="24"/>
          <w:lang w:eastAsia="da-DK"/>
        </w:rPr>
      </w:pPr>
      <w:r w:rsidRPr="00E90DD6">
        <w:rPr>
          <w:sz w:val="24"/>
          <w:szCs w:val="24"/>
        </w:rPr>
        <w:t xml:space="preserve">Behandling med </w:t>
      </w:r>
      <w:proofErr w:type="spellStart"/>
      <w:r w:rsidRPr="00E90DD6">
        <w:rPr>
          <w:sz w:val="24"/>
          <w:szCs w:val="24"/>
        </w:rPr>
        <w:t>budesonid</w:t>
      </w:r>
      <w:proofErr w:type="spellEnd"/>
      <w:r w:rsidRPr="00E90DD6">
        <w:rPr>
          <w:sz w:val="24"/>
          <w:szCs w:val="24"/>
        </w:rPr>
        <w:t xml:space="preserve"> resulterer i lavere systemiske steroidniveauer end konventionel oral </w:t>
      </w:r>
      <w:proofErr w:type="spellStart"/>
      <w:r w:rsidRPr="00E90DD6">
        <w:rPr>
          <w:sz w:val="24"/>
          <w:szCs w:val="24"/>
        </w:rPr>
        <w:t>glukokortikosteroidbehandling</w:t>
      </w:r>
      <w:proofErr w:type="spellEnd"/>
      <w:r w:rsidRPr="00E90DD6">
        <w:rPr>
          <w:sz w:val="24"/>
          <w:szCs w:val="24"/>
        </w:rPr>
        <w:t xml:space="preserve">. Skift fra en anden </w:t>
      </w:r>
      <w:proofErr w:type="spellStart"/>
      <w:r w:rsidRPr="00E90DD6">
        <w:rPr>
          <w:sz w:val="24"/>
          <w:szCs w:val="24"/>
        </w:rPr>
        <w:t>glukokortikosteroid</w:t>
      </w:r>
      <w:r w:rsidRPr="00E90DD6">
        <w:rPr>
          <w:sz w:val="24"/>
          <w:szCs w:val="24"/>
        </w:rPr>
        <w:softHyphen/>
        <w:t>behandling</w:t>
      </w:r>
      <w:proofErr w:type="spellEnd"/>
      <w:r w:rsidRPr="00E90DD6">
        <w:rPr>
          <w:sz w:val="24"/>
          <w:szCs w:val="24"/>
        </w:rPr>
        <w:t xml:space="preserve"> kan føre til symptomer, der er relateret til ændringen i det systemiske steroidniveau.</w:t>
      </w:r>
    </w:p>
    <w:p w14:paraId="4DD80409" w14:textId="77777777" w:rsidR="00E647D4" w:rsidRPr="00E90DD6" w:rsidRDefault="00E647D4" w:rsidP="0007645B">
      <w:pPr>
        <w:ind w:left="851"/>
        <w:rPr>
          <w:i/>
          <w:sz w:val="24"/>
          <w:szCs w:val="24"/>
        </w:rPr>
      </w:pPr>
      <w:r w:rsidRPr="00E90DD6">
        <w:rPr>
          <w:i/>
          <w:sz w:val="24"/>
          <w:szCs w:val="24"/>
        </w:rPr>
        <w:t xml:space="preserve"> </w:t>
      </w:r>
    </w:p>
    <w:p w14:paraId="731F9C2B" w14:textId="77777777" w:rsidR="00E647D4" w:rsidRPr="00E90DD6" w:rsidRDefault="00E647D4" w:rsidP="0007645B">
      <w:pPr>
        <w:ind w:left="851"/>
        <w:rPr>
          <w:sz w:val="24"/>
          <w:szCs w:val="24"/>
        </w:rPr>
      </w:pPr>
      <w:r w:rsidRPr="00E90DD6">
        <w:rPr>
          <w:sz w:val="24"/>
          <w:szCs w:val="24"/>
        </w:rPr>
        <w:t xml:space="preserve">Forsigtighed er påkrævet hos patienter med tuberkulose, hypertension, diabetes mellitus, osteoporose, ulcus </w:t>
      </w:r>
      <w:proofErr w:type="spellStart"/>
      <w:r w:rsidRPr="00E90DD6">
        <w:rPr>
          <w:sz w:val="24"/>
          <w:szCs w:val="24"/>
        </w:rPr>
        <w:t>pepticum</w:t>
      </w:r>
      <w:proofErr w:type="spellEnd"/>
      <w:r w:rsidRPr="00E90DD6">
        <w:rPr>
          <w:sz w:val="24"/>
          <w:szCs w:val="24"/>
        </w:rPr>
        <w:t xml:space="preserve">, </w:t>
      </w:r>
      <w:proofErr w:type="spellStart"/>
      <w:r w:rsidRPr="00E90DD6">
        <w:rPr>
          <w:sz w:val="24"/>
          <w:szCs w:val="24"/>
        </w:rPr>
        <w:t>glaukom</w:t>
      </w:r>
      <w:proofErr w:type="spellEnd"/>
      <w:r w:rsidRPr="00E90DD6">
        <w:rPr>
          <w:sz w:val="24"/>
          <w:szCs w:val="24"/>
        </w:rPr>
        <w:t xml:space="preserve">, katarakt, familiær optræden af diabetes eller </w:t>
      </w:r>
      <w:proofErr w:type="spellStart"/>
      <w:r w:rsidRPr="00E90DD6">
        <w:rPr>
          <w:sz w:val="24"/>
          <w:szCs w:val="24"/>
        </w:rPr>
        <w:t>glaukom</w:t>
      </w:r>
      <w:proofErr w:type="spellEnd"/>
      <w:r w:rsidRPr="00E90DD6">
        <w:rPr>
          <w:sz w:val="24"/>
          <w:szCs w:val="24"/>
        </w:rPr>
        <w:t xml:space="preserve"> eller andre sygdomstilstande, hvor </w:t>
      </w:r>
      <w:proofErr w:type="spellStart"/>
      <w:r w:rsidRPr="00E90DD6">
        <w:rPr>
          <w:sz w:val="24"/>
          <w:szCs w:val="24"/>
        </w:rPr>
        <w:t>glukokortikosteroider</w:t>
      </w:r>
      <w:proofErr w:type="spellEnd"/>
      <w:r w:rsidRPr="00E90DD6">
        <w:rPr>
          <w:sz w:val="24"/>
          <w:szCs w:val="24"/>
        </w:rPr>
        <w:t xml:space="preserve"> kan have uønskede virkninger.</w:t>
      </w:r>
    </w:p>
    <w:p w14:paraId="1EB701BA" w14:textId="77777777" w:rsidR="00E647D4" w:rsidRPr="00E90DD6" w:rsidRDefault="00E647D4" w:rsidP="0007645B">
      <w:pPr>
        <w:ind w:left="851"/>
        <w:rPr>
          <w:sz w:val="24"/>
          <w:szCs w:val="24"/>
        </w:rPr>
      </w:pPr>
    </w:p>
    <w:p w14:paraId="6DCA09D2" w14:textId="77777777" w:rsidR="00E647D4" w:rsidRPr="00E90DD6" w:rsidRDefault="00E647D4" w:rsidP="0007645B">
      <w:pPr>
        <w:ind w:left="851"/>
        <w:rPr>
          <w:sz w:val="24"/>
          <w:szCs w:val="24"/>
        </w:rPr>
      </w:pPr>
      <w:r w:rsidRPr="00E90DD6">
        <w:rPr>
          <w:sz w:val="24"/>
          <w:szCs w:val="24"/>
        </w:rPr>
        <w:lastRenderedPageBreak/>
        <w:t xml:space="preserve">Denne medicin er ikke egnet til patienter, der lider af </w:t>
      </w:r>
      <w:proofErr w:type="spellStart"/>
      <w:r w:rsidRPr="00E90DD6">
        <w:rPr>
          <w:sz w:val="24"/>
          <w:szCs w:val="24"/>
        </w:rPr>
        <w:t>Crohns</w:t>
      </w:r>
      <w:proofErr w:type="spellEnd"/>
      <w:r w:rsidRPr="00E90DD6">
        <w:rPr>
          <w:sz w:val="24"/>
          <w:szCs w:val="24"/>
        </w:rPr>
        <w:t xml:space="preserve"> sygdom i den øvre mave-tarm-kanal.</w:t>
      </w:r>
    </w:p>
    <w:p w14:paraId="7AE7A18A" w14:textId="77777777" w:rsidR="00E647D4" w:rsidRPr="00E90DD6" w:rsidRDefault="00E647D4" w:rsidP="0007645B">
      <w:pPr>
        <w:ind w:left="851"/>
        <w:rPr>
          <w:sz w:val="24"/>
          <w:szCs w:val="24"/>
        </w:rPr>
      </w:pPr>
    </w:p>
    <w:p w14:paraId="232D2CD6" w14:textId="77777777" w:rsidR="00E647D4" w:rsidRPr="00E90DD6" w:rsidRDefault="00E647D4" w:rsidP="0007645B">
      <w:pPr>
        <w:ind w:left="851"/>
        <w:rPr>
          <w:sz w:val="24"/>
          <w:szCs w:val="24"/>
        </w:rPr>
      </w:pPr>
      <w:r w:rsidRPr="00E90DD6">
        <w:rPr>
          <w:sz w:val="24"/>
          <w:szCs w:val="24"/>
        </w:rPr>
        <w:t xml:space="preserve">På grund af stoffets overvejende lokale virkningsmekanisme kan der ikke forventes nogen virkning hos patienter med </w:t>
      </w:r>
      <w:proofErr w:type="spellStart"/>
      <w:r w:rsidRPr="00E90DD6">
        <w:rPr>
          <w:sz w:val="24"/>
          <w:szCs w:val="24"/>
        </w:rPr>
        <w:t>ekstraintestinale</w:t>
      </w:r>
      <w:proofErr w:type="spellEnd"/>
      <w:r w:rsidRPr="00E90DD6">
        <w:rPr>
          <w:sz w:val="24"/>
          <w:szCs w:val="24"/>
        </w:rPr>
        <w:t xml:space="preserve"> symptomer (f.eks. i øjne, hud og led).</w:t>
      </w:r>
    </w:p>
    <w:p w14:paraId="171DD168" w14:textId="77777777" w:rsidR="00E647D4" w:rsidRPr="00E90DD6" w:rsidRDefault="00E647D4" w:rsidP="0007645B">
      <w:pPr>
        <w:ind w:left="851"/>
        <w:rPr>
          <w:sz w:val="24"/>
          <w:szCs w:val="24"/>
        </w:rPr>
      </w:pPr>
    </w:p>
    <w:p w14:paraId="6DF73714" w14:textId="77777777" w:rsidR="00E647D4" w:rsidRPr="00E90DD6" w:rsidRDefault="00E647D4" w:rsidP="0007645B">
      <w:pPr>
        <w:ind w:left="851"/>
        <w:rPr>
          <w:sz w:val="24"/>
          <w:szCs w:val="24"/>
        </w:rPr>
      </w:pPr>
      <w:r w:rsidRPr="00E90DD6">
        <w:rPr>
          <w:sz w:val="24"/>
          <w:szCs w:val="24"/>
        </w:rPr>
        <w:t xml:space="preserve">Systemiske virkninger af </w:t>
      </w:r>
      <w:proofErr w:type="spellStart"/>
      <w:r w:rsidRPr="00E90DD6">
        <w:rPr>
          <w:sz w:val="24"/>
          <w:szCs w:val="24"/>
        </w:rPr>
        <w:t>glukokortikosteroider</w:t>
      </w:r>
      <w:proofErr w:type="spellEnd"/>
      <w:r w:rsidRPr="00E90DD6">
        <w:rPr>
          <w:sz w:val="24"/>
          <w:szCs w:val="24"/>
        </w:rPr>
        <w:t xml:space="preserve"> kan forekomme, især ved høje doser ordineret over længere perioder. Mulige systemiske virkninger inkluderer </w:t>
      </w:r>
      <w:proofErr w:type="spellStart"/>
      <w:r w:rsidRPr="00E90DD6">
        <w:rPr>
          <w:sz w:val="24"/>
          <w:szCs w:val="24"/>
        </w:rPr>
        <w:t>Cushings</w:t>
      </w:r>
      <w:proofErr w:type="spellEnd"/>
      <w:r w:rsidRPr="00E90DD6">
        <w:rPr>
          <w:sz w:val="24"/>
          <w:szCs w:val="24"/>
        </w:rPr>
        <w:t xml:space="preserve"> syndrom, binyrebarksuppression, væksthæmning, nedsat knoglemineraltæthed, katarakt, </w:t>
      </w:r>
      <w:proofErr w:type="spellStart"/>
      <w:r w:rsidRPr="00E90DD6">
        <w:rPr>
          <w:sz w:val="24"/>
          <w:szCs w:val="24"/>
        </w:rPr>
        <w:t>glaukom</w:t>
      </w:r>
      <w:proofErr w:type="spellEnd"/>
      <w:r w:rsidRPr="00E90DD6">
        <w:rPr>
          <w:sz w:val="24"/>
          <w:szCs w:val="24"/>
        </w:rPr>
        <w:t xml:space="preserve"> og forskellige psykiatriske/adfærdsmæssige virkninger (se pkt. 4.8).</w:t>
      </w:r>
    </w:p>
    <w:p w14:paraId="4008F23A" w14:textId="77777777" w:rsidR="00E647D4" w:rsidRPr="00E90DD6" w:rsidRDefault="00E647D4" w:rsidP="0007645B">
      <w:pPr>
        <w:ind w:left="851"/>
        <w:rPr>
          <w:sz w:val="24"/>
          <w:szCs w:val="24"/>
        </w:rPr>
      </w:pPr>
    </w:p>
    <w:p w14:paraId="32416D91" w14:textId="77777777" w:rsidR="00E647D4" w:rsidRPr="00E90DD6" w:rsidRDefault="00E647D4" w:rsidP="0007645B">
      <w:pPr>
        <w:ind w:left="851"/>
        <w:rPr>
          <w:sz w:val="24"/>
          <w:szCs w:val="24"/>
          <w:u w:val="single"/>
        </w:rPr>
      </w:pPr>
      <w:r w:rsidRPr="00E90DD6">
        <w:rPr>
          <w:sz w:val="24"/>
          <w:szCs w:val="24"/>
          <w:u w:val="single"/>
        </w:rPr>
        <w:t>Infektion</w:t>
      </w:r>
    </w:p>
    <w:p w14:paraId="13152CFE" w14:textId="77777777" w:rsidR="00E647D4" w:rsidRPr="00E90DD6" w:rsidRDefault="00E647D4" w:rsidP="0007645B">
      <w:pPr>
        <w:ind w:left="851"/>
        <w:rPr>
          <w:sz w:val="24"/>
          <w:szCs w:val="24"/>
        </w:rPr>
      </w:pPr>
      <w:r w:rsidRPr="00E90DD6">
        <w:rPr>
          <w:sz w:val="24"/>
          <w:szCs w:val="24"/>
        </w:rPr>
        <w:t xml:space="preserve">Undertrykkelse af inflammationsrespons og immunforsvar øger modtageligheden for infektioner og sværhedsgraden af disse. Forværring af infektioner fremkaldt af bakterier, svampe, amøber eller virus ved </w:t>
      </w:r>
      <w:proofErr w:type="spellStart"/>
      <w:r w:rsidRPr="00E90DD6">
        <w:rPr>
          <w:sz w:val="24"/>
          <w:szCs w:val="24"/>
        </w:rPr>
        <w:t>glukokortikosteroidbehandling</w:t>
      </w:r>
      <w:proofErr w:type="spellEnd"/>
      <w:r w:rsidRPr="00E90DD6">
        <w:rPr>
          <w:sz w:val="24"/>
          <w:szCs w:val="24"/>
        </w:rPr>
        <w:t xml:space="preserve"> bør nøje overvejes. Den kliniske præsentation er ofte atypisk og alvorlige infektioner såsom sepsis og tuberkulose kan være maskerede og kan derfor nå et fremskredent stadium, før de erkendes.</w:t>
      </w:r>
    </w:p>
    <w:p w14:paraId="2E6BD388" w14:textId="77777777" w:rsidR="00E647D4" w:rsidRPr="00E90DD6" w:rsidRDefault="00E647D4" w:rsidP="0007645B">
      <w:pPr>
        <w:ind w:left="851"/>
        <w:rPr>
          <w:sz w:val="24"/>
          <w:szCs w:val="24"/>
        </w:rPr>
      </w:pPr>
    </w:p>
    <w:p w14:paraId="799ED847" w14:textId="77777777" w:rsidR="00E647D4" w:rsidRPr="00E90DD6" w:rsidRDefault="00E647D4" w:rsidP="0007645B">
      <w:pPr>
        <w:ind w:left="851"/>
        <w:rPr>
          <w:sz w:val="24"/>
          <w:szCs w:val="24"/>
          <w:u w:val="single"/>
        </w:rPr>
      </w:pPr>
      <w:r w:rsidRPr="00E90DD6">
        <w:rPr>
          <w:sz w:val="24"/>
          <w:szCs w:val="24"/>
          <w:u w:val="single"/>
        </w:rPr>
        <w:t>Skoldkopper</w:t>
      </w:r>
    </w:p>
    <w:p w14:paraId="5DDC0DC2" w14:textId="77777777" w:rsidR="00E647D4" w:rsidRPr="00E90DD6" w:rsidRDefault="00E647D4" w:rsidP="0007645B">
      <w:pPr>
        <w:ind w:left="851"/>
        <w:rPr>
          <w:sz w:val="24"/>
          <w:szCs w:val="24"/>
        </w:rPr>
      </w:pPr>
      <w:r w:rsidRPr="00E90DD6">
        <w:rPr>
          <w:sz w:val="24"/>
          <w:szCs w:val="24"/>
        </w:rPr>
        <w:t xml:space="preserve">Skoldkopper er et særligt problem, da denne normalt ufarlige sygdom kan blive livstruende hos immunsupprimerede patienter. Patienter, der ikke tidligere med sikkerhed har haft skoldkopper, bør rådes til at undgå tæt kontakt med personer med skoldkopper eller </w:t>
      </w:r>
      <w:r w:rsidRPr="00E90DD6">
        <w:rPr>
          <w:i/>
          <w:sz w:val="24"/>
          <w:szCs w:val="24"/>
        </w:rPr>
        <w:t xml:space="preserve">herpes </w:t>
      </w:r>
      <w:proofErr w:type="spellStart"/>
      <w:r w:rsidRPr="00E90DD6">
        <w:rPr>
          <w:i/>
          <w:sz w:val="24"/>
          <w:szCs w:val="24"/>
        </w:rPr>
        <w:t>zoster</w:t>
      </w:r>
      <w:proofErr w:type="spellEnd"/>
      <w:r w:rsidRPr="00E90DD6">
        <w:rPr>
          <w:i/>
          <w:sz w:val="24"/>
          <w:szCs w:val="24"/>
        </w:rPr>
        <w:t xml:space="preserve"> </w:t>
      </w:r>
      <w:r w:rsidRPr="00E90DD6">
        <w:rPr>
          <w:sz w:val="24"/>
          <w:szCs w:val="24"/>
        </w:rPr>
        <w:t xml:space="preserve">(helvedesild), og hvis de udsættes for smitte, bør de omgående søge lægehjælp. Forældrene til behandlede børn skal informeres om dette. Passiv immunisering med </w:t>
      </w:r>
      <w:proofErr w:type="spellStart"/>
      <w:r w:rsidRPr="00E90DD6">
        <w:rPr>
          <w:i/>
          <w:sz w:val="24"/>
          <w:szCs w:val="24"/>
        </w:rPr>
        <w:t>varicella</w:t>
      </w:r>
      <w:proofErr w:type="spellEnd"/>
      <w:r w:rsidRPr="00E90DD6">
        <w:rPr>
          <w:i/>
          <w:sz w:val="24"/>
          <w:szCs w:val="24"/>
        </w:rPr>
        <w:t xml:space="preserve"> </w:t>
      </w:r>
      <w:proofErr w:type="spellStart"/>
      <w:r w:rsidRPr="00E90DD6">
        <w:rPr>
          <w:i/>
          <w:sz w:val="24"/>
          <w:szCs w:val="24"/>
        </w:rPr>
        <w:t>zoster</w:t>
      </w:r>
      <w:proofErr w:type="spellEnd"/>
      <w:r w:rsidRPr="00E90DD6">
        <w:rPr>
          <w:i/>
          <w:sz w:val="24"/>
          <w:szCs w:val="24"/>
        </w:rPr>
        <w:t xml:space="preserve"> </w:t>
      </w:r>
      <w:proofErr w:type="spellStart"/>
      <w:r w:rsidRPr="00E90DD6">
        <w:rPr>
          <w:i/>
          <w:sz w:val="24"/>
          <w:szCs w:val="24"/>
        </w:rPr>
        <w:t>immunoglobulin</w:t>
      </w:r>
      <w:proofErr w:type="spellEnd"/>
      <w:r w:rsidRPr="00E90DD6">
        <w:rPr>
          <w:sz w:val="24"/>
          <w:szCs w:val="24"/>
        </w:rPr>
        <w:t xml:space="preserve"> (VZIG) er indiceret til smitteeksponerede ikke-immune patienter, der får behandling med systemiske </w:t>
      </w:r>
      <w:proofErr w:type="spellStart"/>
      <w:r w:rsidRPr="00E90DD6">
        <w:rPr>
          <w:sz w:val="24"/>
          <w:szCs w:val="24"/>
        </w:rPr>
        <w:t>glukokortikosteroider</w:t>
      </w:r>
      <w:proofErr w:type="spellEnd"/>
      <w:r w:rsidRPr="00E90DD6">
        <w:rPr>
          <w:sz w:val="24"/>
          <w:szCs w:val="24"/>
        </w:rPr>
        <w:t xml:space="preserve">, eller som har anvendt sådanne inden for de seneste 3 måneder; dette skal gives inden for 10 dage efter det tidspunkt, hvor de blev udsat for smitte med skoldkopper. Hvis diagnosen skoldkopper bekræftes, er omgående specialistbehandling påkrævet. Behandlingen med </w:t>
      </w:r>
      <w:proofErr w:type="spellStart"/>
      <w:r w:rsidRPr="00E90DD6">
        <w:rPr>
          <w:sz w:val="24"/>
          <w:szCs w:val="24"/>
        </w:rPr>
        <w:t>glukokortikosteroider</w:t>
      </w:r>
      <w:proofErr w:type="spellEnd"/>
      <w:r w:rsidRPr="00E90DD6">
        <w:rPr>
          <w:sz w:val="24"/>
          <w:szCs w:val="24"/>
        </w:rPr>
        <w:t xml:space="preserve"> bør ikke stoppes, og det kan være nødvendigt at øge dosis.</w:t>
      </w:r>
    </w:p>
    <w:p w14:paraId="5E08AFF4" w14:textId="77777777" w:rsidR="00E647D4" w:rsidRPr="00E90DD6" w:rsidRDefault="00E647D4" w:rsidP="0007645B">
      <w:pPr>
        <w:ind w:left="851"/>
        <w:rPr>
          <w:sz w:val="24"/>
          <w:szCs w:val="24"/>
        </w:rPr>
      </w:pPr>
    </w:p>
    <w:p w14:paraId="0E5313BD" w14:textId="77777777" w:rsidR="00E647D4" w:rsidRPr="00E90DD6" w:rsidRDefault="00E647D4" w:rsidP="0007645B">
      <w:pPr>
        <w:ind w:left="851"/>
        <w:rPr>
          <w:sz w:val="24"/>
          <w:szCs w:val="24"/>
          <w:u w:val="single"/>
        </w:rPr>
      </w:pPr>
      <w:r w:rsidRPr="00E90DD6">
        <w:rPr>
          <w:sz w:val="24"/>
          <w:szCs w:val="24"/>
          <w:u w:val="single"/>
        </w:rPr>
        <w:t>Mæslinger</w:t>
      </w:r>
    </w:p>
    <w:p w14:paraId="2428E2F3" w14:textId="77777777" w:rsidR="00E647D4" w:rsidRPr="00E90DD6" w:rsidRDefault="00E647D4" w:rsidP="0007645B">
      <w:pPr>
        <w:ind w:left="851"/>
        <w:rPr>
          <w:sz w:val="24"/>
          <w:szCs w:val="24"/>
        </w:rPr>
      </w:pPr>
      <w:r w:rsidRPr="00E90DD6">
        <w:rPr>
          <w:sz w:val="24"/>
          <w:szCs w:val="24"/>
        </w:rPr>
        <w:t xml:space="preserve">Patienter med nedsat immunforsvar, som har været udsat for smitte med mæslinger bør, så vidt muligt, modtage normal </w:t>
      </w:r>
      <w:proofErr w:type="spellStart"/>
      <w:r w:rsidRPr="00E90DD6">
        <w:rPr>
          <w:sz w:val="24"/>
          <w:szCs w:val="24"/>
        </w:rPr>
        <w:t>immunoglobulin</w:t>
      </w:r>
      <w:proofErr w:type="spellEnd"/>
      <w:r w:rsidRPr="00E90DD6">
        <w:rPr>
          <w:sz w:val="24"/>
          <w:szCs w:val="24"/>
        </w:rPr>
        <w:t xml:space="preserve"> så hurtigt som muligt efter eksponeringen.</w:t>
      </w:r>
    </w:p>
    <w:p w14:paraId="4F973AF9" w14:textId="77777777" w:rsidR="00E647D4" w:rsidRPr="00E90DD6" w:rsidRDefault="00E647D4" w:rsidP="0007645B">
      <w:pPr>
        <w:ind w:left="851"/>
        <w:rPr>
          <w:sz w:val="24"/>
          <w:szCs w:val="24"/>
        </w:rPr>
      </w:pPr>
    </w:p>
    <w:p w14:paraId="77BE5339" w14:textId="77777777" w:rsidR="00E647D4" w:rsidRPr="00E90DD6" w:rsidRDefault="00E647D4" w:rsidP="0007645B">
      <w:pPr>
        <w:ind w:left="851"/>
        <w:rPr>
          <w:sz w:val="24"/>
          <w:szCs w:val="24"/>
          <w:u w:val="single"/>
        </w:rPr>
      </w:pPr>
      <w:r w:rsidRPr="00E90DD6">
        <w:rPr>
          <w:sz w:val="24"/>
          <w:szCs w:val="24"/>
          <w:u w:val="single"/>
        </w:rPr>
        <w:t>Vacciner</w:t>
      </w:r>
    </w:p>
    <w:p w14:paraId="5B8B99B5" w14:textId="77777777" w:rsidR="00E647D4" w:rsidRPr="00E90DD6" w:rsidRDefault="00E647D4" w:rsidP="0007645B">
      <w:pPr>
        <w:ind w:left="851"/>
        <w:rPr>
          <w:sz w:val="24"/>
          <w:szCs w:val="24"/>
        </w:rPr>
      </w:pPr>
      <w:r w:rsidRPr="00E90DD6">
        <w:rPr>
          <w:sz w:val="24"/>
          <w:szCs w:val="24"/>
        </w:rPr>
        <w:t xml:space="preserve">Levende vacciner bør ikke gives til personer med kronisk brug af </w:t>
      </w:r>
      <w:proofErr w:type="spellStart"/>
      <w:r w:rsidRPr="00E90DD6">
        <w:rPr>
          <w:sz w:val="24"/>
          <w:szCs w:val="24"/>
        </w:rPr>
        <w:t>glukokortikosteroider</w:t>
      </w:r>
      <w:proofErr w:type="spellEnd"/>
      <w:r w:rsidRPr="00E90DD6">
        <w:rPr>
          <w:sz w:val="24"/>
          <w:szCs w:val="24"/>
        </w:rPr>
        <w:t>. Antistofresponset over for andre vacciner kan være reduceret.</w:t>
      </w:r>
    </w:p>
    <w:p w14:paraId="15949317" w14:textId="77777777" w:rsidR="00E647D4" w:rsidRPr="00E90DD6" w:rsidRDefault="00E647D4" w:rsidP="0007645B">
      <w:pPr>
        <w:ind w:left="851"/>
        <w:rPr>
          <w:i/>
          <w:sz w:val="24"/>
          <w:szCs w:val="24"/>
        </w:rPr>
      </w:pPr>
    </w:p>
    <w:p w14:paraId="7FDBA721" w14:textId="77777777" w:rsidR="00E647D4" w:rsidRPr="00E90DD6" w:rsidRDefault="00E647D4" w:rsidP="0007645B">
      <w:pPr>
        <w:ind w:left="851"/>
        <w:rPr>
          <w:sz w:val="24"/>
          <w:szCs w:val="24"/>
          <w:u w:val="single"/>
        </w:rPr>
      </w:pPr>
      <w:r w:rsidRPr="00E90DD6">
        <w:rPr>
          <w:sz w:val="24"/>
          <w:szCs w:val="24"/>
          <w:u w:val="single"/>
        </w:rPr>
        <w:t>Patienter med leverfunktionsforstyrrelser</w:t>
      </w:r>
    </w:p>
    <w:p w14:paraId="28A78BA9" w14:textId="77777777" w:rsidR="00E647D4" w:rsidRPr="00E90DD6" w:rsidRDefault="00E647D4" w:rsidP="0007645B">
      <w:pPr>
        <w:ind w:left="851"/>
        <w:rPr>
          <w:sz w:val="24"/>
          <w:szCs w:val="24"/>
        </w:rPr>
      </w:pPr>
      <w:r w:rsidRPr="00E90DD6">
        <w:rPr>
          <w:sz w:val="24"/>
          <w:szCs w:val="24"/>
        </w:rPr>
        <w:t xml:space="preserve">Baseret på erfaring hos patienter, der lider af et sent stadie af primær biliær cirrose (PBC) med levercirrose, er en øget systemisk tilgængelighed af </w:t>
      </w:r>
      <w:proofErr w:type="spellStart"/>
      <w:r w:rsidRPr="00E90DD6">
        <w:rPr>
          <w:sz w:val="24"/>
          <w:szCs w:val="24"/>
        </w:rPr>
        <w:t>budesonid</w:t>
      </w:r>
      <w:proofErr w:type="spellEnd"/>
      <w:r w:rsidRPr="00E90DD6">
        <w:rPr>
          <w:sz w:val="24"/>
          <w:szCs w:val="24"/>
        </w:rPr>
        <w:t xml:space="preserve"> forventet hos alle patienter med alvorligt nedsat leverfunktion. </w:t>
      </w:r>
      <w:proofErr w:type="spellStart"/>
      <w:r w:rsidRPr="00E90DD6">
        <w:rPr>
          <w:sz w:val="24"/>
          <w:szCs w:val="24"/>
        </w:rPr>
        <w:t>Budesonid</w:t>
      </w:r>
      <w:proofErr w:type="spellEnd"/>
      <w:r w:rsidRPr="00E90DD6">
        <w:rPr>
          <w:sz w:val="24"/>
          <w:szCs w:val="24"/>
        </w:rPr>
        <w:t xml:space="preserve"> er dog i en daglig dosis på 9 mg sikker og veltolereret hos patienter med leversygdom uden levercirrose. Der er ikke evidens for en særlig dosisanbefaling til patienter med ikke-</w:t>
      </w:r>
      <w:proofErr w:type="spellStart"/>
      <w:r w:rsidRPr="00E90DD6">
        <w:rPr>
          <w:sz w:val="24"/>
          <w:szCs w:val="24"/>
        </w:rPr>
        <w:t>cirrotiske</w:t>
      </w:r>
      <w:proofErr w:type="spellEnd"/>
      <w:r w:rsidRPr="00E90DD6">
        <w:rPr>
          <w:sz w:val="24"/>
          <w:szCs w:val="24"/>
        </w:rPr>
        <w:t xml:space="preserve"> leversygdomme eller kun svagt nedsat leverfunktion.</w:t>
      </w:r>
    </w:p>
    <w:p w14:paraId="3EA590CF" w14:textId="77777777" w:rsidR="00E647D4" w:rsidRPr="00E90DD6" w:rsidRDefault="00E647D4" w:rsidP="0007645B">
      <w:pPr>
        <w:ind w:left="851"/>
        <w:rPr>
          <w:sz w:val="24"/>
          <w:szCs w:val="24"/>
        </w:rPr>
      </w:pPr>
    </w:p>
    <w:p w14:paraId="70B13ACD" w14:textId="77777777" w:rsidR="00E647D4" w:rsidRPr="00E90DD6" w:rsidRDefault="00E647D4" w:rsidP="0007645B">
      <w:pPr>
        <w:ind w:left="851"/>
        <w:rPr>
          <w:sz w:val="24"/>
          <w:szCs w:val="24"/>
          <w:u w:val="single"/>
        </w:rPr>
      </w:pPr>
      <w:r w:rsidRPr="00E90DD6">
        <w:rPr>
          <w:sz w:val="24"/>
          <w:szCs w:val="24"/>
          <w:u w:val="single"/>
        </w:rPr>
        <w:t>Synsforstyrrelser</w:t>
      </w:r>
    </w:p>
    <w:p w14:paraId="5A29B000" w14:textId="77777777" w:rsidR="00E647D4" w:rsidRPr="00E90DD6" w:rsidRDefault="00E647D4" w:rsidP="0007645B">
      <w:pPr>
        <w:ind w:left="851"/>
        <w:rPr>
          <w:sz w:val="24"/>
          <w:szCs w:val="24"/>
        </w:rPr>
      </w:pPr>
      <w:r w:rsidRPr="00E90DD6">
        <w:rPr>
          <w:sz w:val="24"/>
          <w:szCs w:val="24"/>
        </w:rPr>
        <w:t xml:space="preserve">Ved brug af systemisk og </w:t>
      </w:r>
      <w:proofErr w:type="spellStart"/>
      <w:r w:rsidRPr="00E90DD6">
        <w:rPr>
          <w:sz w:val="24"/>
          <w:szCs w:val="24"/>
        </w:rPr>
        <w:t>topikalt</w:t>
      </w:r>
      <w:proofErr w:type="spellEnd"/>
      <w:r w:rsidRPr="00E90DD6">
        <w:rPr>
          <w:sz w:val="24"/>
          <w:szCs w:val="24"/>
        </w:rPr>
        <w:t xml:space="preserve"> </w:t>
      </w:r>
      <w:proofErr w:type="spellStart"/>
      <w:r w:rsidRPr="00E90DD6">
        <w:rPr>
          <w:sz w:val="24"/>
          <w:szCs w:val="24"/>
        </w:rPr>
        <w:t>kortikosteroid</w:t>
      </w:r>
      <w:proofErr w:type="spellEnd"/>
      <w:r w:rsidRPr="00E90DD6">
        <w:rPr>
          <w:sz w:val="24"/>
          <w:szCs w:val="24"/>
        </w:rPr>
        <w:t xml:space="preserve"> kan der blive indberettet synsforstyrrelser. Ved symptomer som sløret syn eller andre synsforstyrrelser bør det overvejes at henvise patienten til en oftalmolog med henblik på vurdering af de mulige årsager; disse kan være </w:t>
      </w:r>
      <w:r w:rsidRPr="00E90DD6">
        <w:rPr>
          <w:sz w:val="24"/>
          <w:szCs w:val="24"/>
        </w:rPr>
        <w:lastRenderedPageBreak/>
        <w:t xml:space="preserve">katarakt, </w:t>
      </w:r>
      <w:proofErr w:type="spellStart"/>
      <w:r w:rsidRPr="00E90DD6">
        <w:rPr>
          <w:sz w:val="24"/>
          <w:szCs w:val="24"/>
        </w:rPr>
        <w:t>glaukom</w:t>
      </w:r>
      <w:proofErr w:type="spellEnd"/>
      <w:r w:rsidRPr="00E90DD6">
        <w:rPr>
          <w:sz w:val="24"/>
          <w:szCs w:val="24"/>
        </w:rPr>
        <w:t xml:space="preserve"> eller sjældne sygdomme såsom central serøs </w:t>
      </w:r>
      <w:proofErr w:type="spellStart"/>
      <w:r w:rsidRPr="00E90DD6">
        <w:rPr>
          <w:sz w:val="24"/>
          <w:szCs w:val="24"/>
        </w:rPr>
        <w:t>korioretinopati</w:t>
      </w:r>
      <w:proofErr w:type="spellEnd"/>
      <w:r w:rsidRPr="00E90DD6">
        <w:rPr>
          <w:sz w:val="24"/>
          <w:szCs w:val="24"/>
        </w:rPr>
        <w:t xml:space="preserve"> (CSCR), som er indberettet efter brug af systemiske og </w:t>
      </w:r>
      <w:proofErr w:type="spellStart"/>
      <w:r w:rsidRPr="00E90DD6">
        <w:rPr>
          <w:sz w:val="24"/>
          <w:szCs w:val="24"/>
        </w:rPr>
        <w:t>topikale</w:t>
      </w:r>
      <w:proofErr w:type="spellEnd"/>
      <w:r w:rsidRPr="00E90DD6">
        <w:rPr>
          <w:sz w:val="24"/>
          <w:szCs w:val="24"/>
        </w:rPr>
        <w:t xml:space="preserve"> </w:t>
      </w:r>
      <w:proofErr w:type="spellStart"/>
      <w:r w:rsidRPr="00E90DD6">
        <w:rPr>
          <w:sz w:val="24"/>
          <w:szCs w:val="24"/>
        </w:rPr>
        <w:t>kortikosteroider</w:t>
      </w:r>
      <w:proofErr w:type="spellEnd"/>
      <w:r w:rsidRPr="00E90DD6">
        <w:rPr>
          <w:sz w:val="24"/>
          <w:szCs w:val="24"/>
        </w:rPr>
        <w:t xml:space="preserve">. </w:t>
      </w:r>
    </w:p>
    <w:p w14:paraId="0C51CEA3" w14:textId="77777777" w:rsidR="00E647D4" w:rsidRPr="00E90DD6" w:rsidRDefault="00E647D4" w:rsidP="0007645B">
      <w:pPr>
        <w:ind w:left="851"/>
        <w:rPr>
          <w:sz w:val="24"/>
          <w:szCs w:val="24"/>
        </w:rPr>
      </w:pPr>
    </w:p>
    <w:p w14:paraId="39710680" w14:textId="77777777" w:rsidR="00E647D4" w:rsidRPr="00E90DD6" w:rsidRDefault="00E647D4" w:rsidP="0007645B">
      <w:pPr>
        <w:ind w:left="851"/>
        <w:rPr>
          <w:sz w:val="24"/>
          <w:szCs w:val="24"/>
          <w:u w:val="single"/>
        </w:rPr>
      </w:pPr>
      <w:r w:rsidRPr="00E90DD6">
        <w:rPr>
          <w:sz w:val="24"/>
          <w:szCs w:val="24"/>
          <w:u w:val="single"/>
        </w:rPr>
        <w:t>Øvrigt</w:t>
      </w:r>
    </w:p>
    <w:p w14:paraId="40133AAF" w14:textId="77777777" w:rsidR="00E647D4" w:rsidRPr="00E90DD6" w:rsidRDefault="00E647D4" w:rsidP="0007645B">
      <w:pPr>
        <w:ind w:left="851"/>
        <w:rPr>
          <w:sz w:val="24"/>
          <w:szCs w:val="24"/>
        </w:rPr>
      </w:pPr>
      <w:proofErr w:type="spellStart"/>
      <w:r w:rsidRPr="00E90DD6">
        <w:rPr>
          <w:sz w:val="24"/>
          <w:szCs w:val="24"/>
        </w:rPr>
        <w:t>Glukokortikosteroider</w:t>
      </w:r>
      <w:proofErr w:type="spellEnd"/>
      <w:r w:rsidRPr="00E90DD6">
        <w:rPr>
          <w:sz w:val="24"/>
          <w:szCs w:val="24"/>
        </w:rPr>
        <w:t xml:space="preserve"> kan forårsage undertrykkelse af </w:t>
      </w:r>
      <w:proofErr w:type="spellStart"/>
      <w:r w:rsidRPr="00E90DD6">
        <w:rPr>
          <w:sz w:val="24"/>
          <w:szCs w:val="24"/>
        </w:rPr>
        <w:t>hypothalamus</w:t>
      </w:r>
      <w:proofErr w:type="spellEnd"/>
      <w:r w:rsidRPr="00E90DD6">
        <w:rPr>
          <w:sz w:val="24"/>
          <w:szCs w:val="24"/>
        </w:rPr>
        <w:t xml:space="preserve">-hypofyse-binyreaksen (HPA) og reducere stressresponset. I de tilfælde, hvor patienter skal opereres eller udsættes for andre stress-situationer, anbefales supplerende systemisk </w:t>
      </w:r>
      <w:proofErr w:type="spellStart"/>
      <w:r w:rsidRPr="00E90DD6">
        <w:rPr>
          <w:sz w:val="24"/>
          <w:szCs w:val="24"/>
        </w:rPr>
        <w:t>glukokortikosteroidbehandling</w:t>
      </w:r>
      <w:proofErr w:type="spellEnd"/>
      <w:r w:rsidRPr="00E90DD6">
        <w:rPr>
          <w:sz w:val="24"/>
          <w:szCs w:val="24"/>
        </w:rPr>
        <w:t>.</w:t>
      </w:r>
    </w:p>
    <w:p w14:paraId="3CBF31C7" w14:textId="77777777" w:rsidR="00E647D4" w:rsidRPr="00E90DD6" w:rsidRDefault="00E647D4" w:rsidP="0007645B">
      <w:pPr>
        <w:tabs>
          <w:tab w:val="left" w:pos="426"/>
          <w:tab w:val="left" w:pos="851"/>
        </w:tabs>
        <w:ind w:left="851"/>
        <w:rPr>
          <w:sz w:val="24"/>
          <w:szCs w:val="24"/>
        </w:rPr>
      </w:pPr>
    </w:p>
    <w:p w14:paraId="0DE56FD8" w14:textId="77777777" w:rsidR="00E647D4" w:rsidRPr="00E90DD6" w:rsidRDefault="00E647D4" w:rsidP="0007645B">
      <w:pPr>
        <w:tabs>
          <w:tab w:val="left" w:pos="426"/>
          <w:tab w:val="left" w:pos="851"/>
        </w:tabs>
        <w:ind w:left="851"/>
        <w:rPr>
          <w:sz w:val="24"/>
          <w:szCs w:val="24"/>
        </w:rPr>
      </w:pPr>
      <w:r w:rsidRPr="00E90DD6">
        <w:rPr>
          <w:sz w:val="24"/>
          <w:szCs w:val="24"/>
        </w:rPr>
        <w:t xml:space="preserve">Samtidig behandling med </w:t>
      </w:r>
      <w:proofErr w:type="spellStart"/>
      <w:r w:rsidRPr="00E90DD6">
        <w:rPr>
          <w:sz w:val="24"/>
          <w:szCs w:val="24"/>
        </w:rPr>
        <w:t>ketoconazol</w:t>
      </w:r>
      <w:proofErr w:type="spellEnd"/>
      <w:r w:rsidRPr="00E90DD6">
        <w:rPr>
          <w:sz w:val="24"/>
          <w:szCs w:val="24"/>
        </w:rPr>
        <w:t xml:space="preserve"> eller andre CYP3A4-hæmmere bør undgås (se pkt. 4.5).</w:t>
      </w:r>
    </w:p>
    <w:p w14:paraId="36006F10" w14:textId="77777777" w:rsidR="00E647D4" w:rsidRPr="00E90DD6" w:rsidRDefault="00E647D4" w:rsidP="0007645B">
      <w:pPr>
        <w:tabs>
          <w:tab w:val="left" w:pos="851"/>
        </w:tabs>
        <w:ind w:left="851"/>
        <w:rPr>
          <w:sz w:val="24"/>
          <w:szCs w:val="24"/>
        </w:rPr>
      </w:pPr>
    </w:p>
    <w:p w14:paraId="49B17820" w14:textId="77777777" w:rsidR="00E647D4" w:rsidRPr="00E90DD6" w:rsidRDefault="00E647D4" w:rsidP="0007645B">
      <w:pPr>
        <w:ind w:left="851"/>
        <w:rPr>
          <w:sz w:val="24"/>
          <w:szCs w:val="24"/>
        </w:rPr>
      </w:pPr>
      <w:r w:rsidRPr="00E90DD6">
        <w:rPr>
          <w:sz w:val="24"/>
          <w:szCs w:val="24"/>
        </w:rPr>
        <w:t xml:space="preserve">Hos patienter med autoimmun hepatitis bør serumniveauet af </w:t>
      </w:r>
      <w:proofErr w:type="spellStart"/>
      <w:r w:rsidRPr="00E90DD6">
        <w:rPr>
          <w:sz w:val="24"/>
          <w:szCs w:val="24"/>
        </w:rPr>
        <w:t>transaminaser</w:t>
      </w:r>
      <w:proofErr w:type="spellEnd"/>
      <w:r w:rsidRPr="00E90DD6">
        <w:rPr>
          <w:sz w:val="24"/>
          <w:szCs w:val="24"/>
        </w:rPr>
        <w:t xml:space="preserve"> (ALAT, ASAT) evalueres med jævne mellemrum for at tilpasse dosis af </w:t>
      </w:r>
      <w:proofErr w:type="spellStart"/>
      <w:r w:rsidRPr="00E90DD6">
        <w:rPr>
          <w:sz w:val="24"/>
          <w:szCs w:val="24"/>
        </w:rPr>
        <w:t>budesonid</w:t>
      </w:r>
      <w:proofErr w:type="spellEnd"/>
      <w:r w:rsidRPr="00E90DD6">
        <w:rPr>
          <w:sz w:val="24"/>
          <w:szCs w:val="24"/>
        </w:rPr>
        <w:t xml:space="preserve"> tilsvarende. I løbet af den første måned af behandlingen bør niveauerne af </w:t>
      </w:r>
      <w:proofErr w:type="spellStart"/>
      <w:r w:rsidRPr="00E90DD6">
        <w:rPr>
          <w:sz w:val="24"/>
          <w:szCs w:val="24"/>
        </w:rPr>
        <w:t>transaminase</w:t>
      </w:r>
      <w:proofErr w:type="spellEnd"/>
      <w:r w:rsidRPr="00E90DD6">
        <w:rPr>
          <w:sz w:val="24"/>
          <w:szCs w:val="24"/>
        </w:rPr>
        <w:t xml:space="preserve"> evalueres hver anden uge, derefter mindst hver 3 måned.</w:t>
      </w:r>
    </w:p>
    <w:p w14:paraId="385A501F" w14:textId="77777777" w:rsidR="00E647D4" w:rsidRPr="00E90DD6" w:rsidRDefault="00E647D4" w:rsidP="0007645B">
      <w:pPr>
        <w:ind w:left="851"/>
        <w:rPr>
          <w:sz w:val="24"/>
          <w:szCs w:val="24"/>
        </w:rPr>
      </w:pPr>
    </w:p>
    <w:p w14:paraId="7BC08FB2" w14:textId="77777777" w:rsidR="00E647D4" w:rsidRPr="00E90DD6" w:rsidRDefault="00E647D4" w:rsidP="0007645B">
      <w:pPr>
        <w:tabs>
          <w:tab w:val="left" w:pos="851"/>
        </w:tabs>
        <w:ind w:left="851"/>
        <w:rPr>
          <w:sz w:val="24"/>
          <w:szCs w:val="24"/>
        </w:rPr>
      </w:pPr>
      <w:r w:rsidRPr="00E90DD6">
        <w:rPr>
          <w:sz w:val="24"/>
          <w:szCs w:val="24"/>
          <w:u w:val="single"/>
        </w:rPr>
        <w:t>Hjælpestoffer</w:t>
      </w:r>
    </w:p>
    <w:p w14:paraId="2555A916" w14:textId="4C94AFEA" w:rsidR="00E647D4" w:rsidRPr="00E90DD6" w:rsidRDefault="00E647D4" w:rsidP="0007645B">
      <w:pPr>
        <w:tabs>
          <w:tab w:val="left" w:pos="851"/>
        </w:tabs>
        <w:ind w:left="851"/>
        <w:rPr>
          <w:sz w:val="24"/>
          <w:szCs w:val="24"/>
        </w:rPr>
      </w:pPr>
      <w:proofErr w:type="spellStart"/>
      <w:r w:rsidRPr="00E90DD6">
        <w:rPr>
          <w:sz w:val="24"/>
          <w:szCs w:val="24"/>
        </w:rPr>
        <w:t>Budesonid</w:t>
      </w:r>
      <w:proofErr w:type="spellEnd"/>
      <w:r w:rsidRPr="00E90DD6">
        <w:rPr>
          <w:sz w:val="24"/>
          <w:szCs w:val="24"/>
        </w:rPr>
        <w:t xml:space="preserve"> </w:t>
      </w:r>
      <w:r w:rsidR="00CB3CD5">
        <w:rPr>
          <w:sz w:val="24"/>
          <w:szCs w:val="24"/>
        </w:rPr>
        <w:t>"</w:t>
      </w:r>
      <w:proofErr w:type="spellStart"/>
      <w:r w:rsidR="00CB3CD5">
        <w:rPr>
          <w:sz w:val="24"/>
          <w:szCs w:val="24"/>
        </w:rPr>
        <w:t>Teva</w:t>
      </w:r>
      <w:proofErr w:type="spellEnd"/>
      <w:r w:rsidR="00CB3CD5">
        <w:rPr>
          <w:sz w:val="24"/>
          <w:szCs w:val="24"/>
        </w:rPr>
        <w:t>"</w:t>
      </w:r>
      <w:r w:rsidRPr="00E90DD6">
        <w:rPr>
          <w:sz w:val="24"/>
          <w:szCs w:val="24"/>
        </w:rPr>
        <w:t xml:space="preserve"> indeholder </w:t>
      </w:r>
      <w:proofErr w:type="spellStart"/>
      <w:r w:rsidRPr="00E90DD6">
        <w:rPr>
          <w:sz w:val="24"/>
          <w:szCs w:val="24"/>
        </w:rPr>
        <w:t>saccharose</w:t>
      </w:r>
      <w:proofErr w:type="spellEnd"/>
      <w:r w:rsidRPr="00E90DD6">
        <w:rPr>
          <w:sz w:val="24"/>
          <w:szCs w:val="24"/>
        </w:rPr>
        <w:t xml:space="preserve">. Patienter med sjældne arvelige tilstande som </w:t>
      </w:r>
      <w:proofErr w:type="spellStart"/>
      <w:r w:rsidRPr="00E90DD6">
        <w:rPr>
          <w:sz w:val="24"/>
          <w:szCs w:val="24"/>
        </w:rPr>
        <w:t>fruktoseintolerans</w:t>
      </w:r>
      <w:proofErr w:type="spellEnd"/>
      <w:r w:rsidRPr="00E90DD6">
        <w:rPr>
          <w:sz w:val="24"/>
          <w:szCs w:val="24"/>
        </w:rPr>
        <w:t>, glukose-</w:t>
      </w:r>
      <w:proofErr w:type="spellStart"/>
      <w:r w:rsidRPr="00E90DD6">
        <w:rPr>
          <w:sz w:val="24"/>
          <w:szCs w:val="24"/>
        </w:rPr>
        <w:t>galaktosemalabsorption</w:t>
      </w:r>
      <w:proofErr w:type="spellEnd"/>
      <w:r w:rsidRPr="00E90DD6">
        <w:rPr>
          <w:sz w:val="24"/>
          <w:szCs w:val="24"/>
        </w:rPr>
        <w:t xml:space="preserve"> eller sukrase-</w:t>
      </w:r>
      <w:proofErr w:type="spellStart"/>
      <w:r w:rsidRPr="00E90DD6">
        <w:rPr>
          <w:sz w:val="24"/>
          <w:szCs w:val="24"/>
        </w:rPr>
        <w:t>isomaltasemangel</w:t>
      </w:r>
      <w:proofErr w:type="spellEnd"/>
      <w:r w:rsidRPr="00E90DD6">
        <w:rPr>
          <w:sz w:val="24"/>
          <w:szCs w:val="24"/>
        </w:rPr>
        <w:t xml:space="preserve"> bør ikke tage dette lægemiddel.</w:t>
      </w:r>
    </w:p>
    <w:p w14:paraId="62446990" w14:textId="77777777" w:rsidR="00E647D4" w:rsidRPr="00E90DD6" w:rsidRDefault="00E647D4" w:rsidP="0007645B">
      <w:pPr>
        <w:tabs>
          <w:tab w:val="left" w:pos="851"/>
        </w:tabs>
        <w:ind w:left="851"/>
        <w:rPr>
          <w:sz w:val="24"/>
          <w:szCs w:val="24"/>
        </w:rPr>
      </w:pPr>
    </w:p>
    <w:p w14:paraId="75929878" w14:textId="77777777" w:rsidR="00E647D4" w:rsidRPr="00E90DD6" w:rsidRDefault="00E647D4" w:rsidP="0007645B">
      <w:pPr>
        <w:tabs>
          <w:tab w:val="left" w:pos="851"/>
        </w:tabs>
        <w:ind w:left="851"/>
        <w:rPr>
          <w:sz w:val="24"/>
          <w:szCs w:val="24"/>
        </w:rPr>
      </w:pPr>
      <w:r w:rsidRPr="00E90DD6">
        <w:rPr>
          <w:sz w:val="24"/>
          <w:szCs w:val="24"/>
        </w:rPr>
        <w:t>Dette lægemiddel indeholder mindre end 1 mmol (23 mg) natrium pr. kapsel, dvs. det er i det væsentlige natriumfrit.</w:t>
      </w:r>
    </w:p>
    <w:p w14:paraId="21169D50" w14:textId="77777777" w:rsidR="009260DE" w:rsidRPr="00E90DD6" w:rsidRDefault="009260DE" w:rsidP="009260DE">
      <w:pPr>
        <w:tabs>
          <w:tab w:val="left" w:pos="851"/>
        </w:tabs>
        <w:ind w:left="851"/>
        <w:rPr>
          <w:sz w:val="24"/>
          <w:szCs w:val="24"/>
        </w:rPr>
      </w:pPr>
    </w:p>
    <w:p w14:paraId="7B9DD9D4" w14:textId="77777777" w:rsidR="009260DE" w:rsidRPr="00E90DD6" w:rsidRDefault="009260DE" w:rsidP="009260DE">
      <w:pPr>
        <w:tabs>
          <w:tab w:val="left" w:pos="851"/>
        </w:tabs>
        <w:ind w:left="851" w:hanging="851"/>
        <w:rPr>
          <w:b/>
          <w:sz w:val="24"/>
          <w:szCs w:val="24"/>
        </w:rPr>
      </w:pPr>
      <w:r w:rsidRPr="00E90DD6">
        <w:rPr>
          <w:b/>
          <w:sz w:val="24"/>
          <w:szCs w:val="24"/>
        </w:rPr>
        <w:t>4.5</w:t>
      </w:r>
      <w:r w:rsidRPr="00E90DD6">
        <w:rPr>
          <w:b/>
          <w:sz w:val="24"/>
          <w:szCs w:val="24"/>
        </w:rPr>
        <w:tab/>
        <w:t>Interaktion med andre lægemidler og andre former for interaktion</w:t>
      </w:r>
    </w:p>
    <w:p w14:paraId="3CEC8D07" w14:textId="77777777" w:rsidR="00C66038" w:rsidRDefault="00C66038" w:rsidP="0007645B">
      <w:pPr>
        <w:ind w:left="851"/>
        <w:rPr>
          <w:sz w:val="24"/>
          <w:szCs w:val="24"/>
        </w:rPr>
      </w:pPr>
    </w:p>
    <w:p w14:paraId="6C20BA64" w14:textId="0AC183DE" w:rsidR="00E647D4" w:rsidRPr="00C66038" w:rsidRDefault="00E647D4" w:rsidP="0007645B">
      <w:pPr>
        <w:ind w:left="851"/>
        <w:rPr>
          <w:sz w:val="24"/>
          <w:szCs w:val="24"/>
          <w:u w:val="single"/>
          <w:lang w:eastAsia="da-DK"/>
        </w:rPr>
      </w:pPr>
      <w:proofErr w:type="spellStart"/>
      <w:r w:rsidRPr="00C66038">
        <w:rPr>
          <w:sz w:val="24"/>
          <w:szCs w:val="24"/>
          <w:u w:val="single"/>
        </w:rPr>
        <w:t>Farmakodynamiske</w:t>
      </w:r>
      <w:proofErr w:type="spellEnd"/>
      <w:r w:rsidRPr="00C66038">
        <w:rPr>
          <w:sz w:val="24"/>
          <w:szCs w:val="24"/>
          <w:u w:val="single"/>
        </w:rPr>
        <w:t xml:space="preserve"> interaktioner</w:t>
      </w:r>
    </w:p>
    <w:p w14:paraId="3E9B91D4" w14:textId="77777777" w:rsidR="00E647D4" w:rsidRPr="00E90DD6" w:rsidRDefault="00E647D4" w:rsidP="0007645B">
      <w:pPr>
        <w:ind w:left="851"/>
        <w:rPr>
          <w:i/>
          <w:sz w:val="24"/>
          <w:szCs w:val="24"/>
        </w:rPr>
      </w:pPr>
      <w:r w:rsidRPr="00E90DD6">
        <w:rPr>
          <w:i/>
          <w:sz w:val="24"/>
          <w:szCs w:val="24"/>
        </w:rPr>
        <w:t>Hjerteglykosider</w:t>
      </w:r>
    </w:p>
    <w:p w14:paraId="71364376" w14:textId="77777777" w:rsidR="00E647D4" w:rsidRPr="00E90DD6" w:rsidRDefault="00E647D4" w:rsidP="0007645B">
      <w:pPr>
        <w:ind w:left="851"/>
        <w:rPr>
          <w:sz w:val="24"/>
          <w:szCs w:val="24"/>
        </w:rPr>
      </w:pPr>
      <w:r w:rsidRPr="00E90DD6">
        <w:rPr>
          <w:sz w:val="24"/>
          <w:szCs w:val="24"/>
        </w:rPr>
        <w:t>Virkningen af glykosider kan forstærkes ved kaliummangel.</w:t>
      </w:r>
    </w:p>
    <w:p w14:paraId="49C6F0B7" w14:textId="77777777" w:rsidR="00E647D4" w:rsidRPr="00E90DD6" w:rsidRDefault="00E647D4" w:rsidP="0007645B">
      <w:pPr>
        <w:ind w:left="851"/>
        <w:rPr>
          <w:sz w:val="24"/>
          <w:szCs w:val="24"/>
        </w:rPr>
      </w:pPr>
    </w:p>
    <w:p w14:paraId="700D7737" w14:textId="77777777" w:rsidR="00E647D4" w:rsidRPr="00E90DD6" w:rsidRDefault="00E647D4" w:rsidP="0007645B">
      <w:pPr>
        <w:ind w:left="851"/>
        <w:rPr>
          <w:i/>
          <w:sz w:val="24"/>
          <w:szCs w:val="24"/>
        </w:rPr>
      </w:pPr>
      <w:proofErr w:type="spellStart"/>
      <w:r w:rsidRPr="00E90DD6">
        <w:rPr>
          <w:i/>
          <w:sz w:val="24"/>
          <w:szCs w:val="24"/>
        </w:rPr>
        <w:t>Diuretika</w:t>
      </w:r>
      <w:proofErr w:type="spellEnd"/>
    </w:p>
    <w:p w14:paraId="4FA377E9" w14:textId="77777777" w:rsidR="00E647D4" w:rsidRPr="00E90DD6" w:rsidRDefault="00E647D4" w:rsidP="0007645B">
      <w:pPr>
        <w:ind w:left="851"/>
        <w:rPr>
          <w:sz w:val="24"/>
          <w:szCs w:val="24"/>
        </w:rPr>
      </w:pPr>
      <w:r w:rsidRPr="00E90DD6">
        <w:rPr>
          <w:sz w:val="24"/>
          <w:szCs w:val="24"/>
        </w:rPr>
        <w:t>Udskillelsen af kalium kan øges.</w:t>
      </w:r>
    </w:p>
    <w:p w14:paraId="4D3BF418" w14:textId="77777777" w:rsidR="00E647D4" w:rsidRPr="00E90DD6" w:rsidRDefault="00E647D4" w:rsidP="0007645B">
      <w:pPr>
        <w:ind w:left="851"/>
        <w:rPr>
          <w:sz w:val="24"/>
          <w:szCs w:val="24"/>
        </w:rPr>
      </w:pPr>
    </w:p>
    <w:p w14:paraId="10101D61" w14:textId="77777777" w:rsidR="00E647D4" w:rsidRPr="000955E7" w:rsidRDefault="00E647D4" w:rsidP="0007645B">
      <w:pPr>
        <w:ind w:left="851"/>
        <w:rPr>
          <w:sz w:val="24"/>
          <w:szCs w:val="24"/>
          <w:u w:val="single"/>
        </w:rPr>
      </w:pPr>
      <w:proofErr w:type="spellStart"/>
      <w:r w:rsidRPr="000955E7">
        <w:rPr>
          <w:sz w:val="24"/>
          <w:szCs w:val="24"/>
          <w:u w:val="single"/>
        </w:rPr>
        <w:t>Farmakokinetiske</w:t>
      </w:r>
      <w:proofErr w:type="spellEnd"/>
      <w:r w:rsidRPr="000955E7">
        <w:rPr>
          <w:sz w:val="24"/>
          <w:szCs w:val="24"/>
          <w:u w:val="single"/>
        </w:rPr>
        <w:t xml:space="preserve"> interaktioner</w:t>
      </w:r>
    </w:p>
    <w:p w14:paraId="5543D1DA" w14:textId="77777777" w:rsidR="00E647D4" w:rsidRPr="009F6463" w:rsidRDefault="00E647D4" w:rsidP="009F6463">
      <w:pPr>
        <w:ind w:left="851"/>
        <w:rPr>
          <w:i/>
          <w:iCs/>
          <w:sz w:val="24"/>
          <w:szCs w:val="24"/>
        </w:rPr>
      </w:pPr>
      <w:proofErr w:type="spellStart"/>
      <w:r w:rsidRPr="009F6463">
        <w:rPr>
          <w:i/>
          <w:iCs/>
          <w:sz w:val="24"/>
          <w:szCs w:val="24"/>
        </w:rPr>
        <w:t>Cytochrom</w:t>
      </w:r>
      <w:proofErr w:type="spellEnd"/>
      <w:r w:rsidRPr="009F6463">
        <w:rPr>
          <w:i/>
          <w:iCs/>
          <w:sz w:val="24"/>
          <w:szCs w:val="24"/>
        </w:rPr>
        <w:t xml:space="preserve"> P450</w:t>
      </w:r>
    </w:p>
    <w:p w14:paraId="25D67A34" w14:textId="77777777" w:rsidR="00E647D4" w:rsidRPr="00E90DD6" w:rsidRDefault="00E647D4" w:rsidP="000955E7">
      <w:pPr>
        <w:ind w:left="1276" w:hanging="425"/>
        <w:rPr>
          <w:sz w:val="24"/>
          <w:szCs w:val="24"/>
        </w:rPr>
      </w:pPr>
    </w:p>
    <w:p w14:paraId="301AE6D9" w14:textId="77777777" w:rsidR="00E647D4" w:rsidRPr="009F6463" w:rsidRDefault="00E647D4" w:rsidP="000955E7">
      <w:pPr>
        <w:pStyle w:val="Listeafsnit"/>
        <w:numPr>
          <w:ilvl w:val="0"/>
          <w:numId w:val="13"/>
        </w:numPr>
        <w:ind w:left="1276" w:hanging="425"/>
        <w:rPr>
          <w:i/>
          <w:sz w:val="24"/>
          <w:szCs w:val="24"/>
        </w:rPr>
      </w:pPr>
      <w:r w:rsidRPr="009F6463">
        <w:rPr>
          <w:i/>
          <w:sz w:val="24"/>
          <w:szCs w:val="24"/>
        </w:rPr>
        <w:t>CYP3A4-hæmmere</w:t>
      </w:r>
    </w:p>
    <w:p w14:paraId="1316D107" w14:textId="77777777" w:rsidR="00E647D4" w:rsidRPr="000955E7" w:rsidRDefault="00E647D4" w:rsidP="000955E7">
      <w:pPr>
        <w:pStyle w:val="Listeafsnit"/>
        <w:ind w:left="1276"/>
        <w:rPr>
          <w:sz w:val="24"/>
          <w:szCs w:val="24"/>
        </w:rPr>
      </w:pPr>
      <w:r w:rsidRPr="000955E7">
        <w:rPr>
          <w:sz w:val="24"/>
          <w:szCs w:val="24"/>
        </w:rPr>
        <w:t xml:space="preserve">Det forventes, at samtidig behandling med CYP3A-hæmmere, herunder </w:t>
      </w:r>
      <w:proofErr w:type="spellStart"/>
      <w:r w:rsidRPr="000955E7">
        <w:rPr>
          <w:sz w:val="24"/>
          <w:szCs w:val="24"/>
        </w:rPr>
        <w:t>cobicistat-holdige</w:t>
      </w:r>
      <w:proofErr w:type="spellEnd"/>
      <w:r w:rsidRPr="000955E7">
        <w:rPr>
          <w:sz w:val="24"/>
          <w:szCs w:val="24"/>
        </w:rPr>
        <w:t xml:space="preserve"> lægemidler, øger risikoen for systemiske bivirkninger. Kombination bør undgås, medmindre fordelen opvejer den øgede risiko for systemiske </w:t>
      </w:r>
      <w:proofErr w:type="spellStart"/>
      <w:r w:rsidRPr="000955E7">
        <w:rPr>
          <w:sz w:val="24"/>
          <w:szCs w:val="24"/>
        </w:rPr>
        <w:t>kortikosteroid</w:t>
      </w:r>
      <w:proofErr w:type="spellEnd"/>
      <w:r w:rsidRPr="000955E7">
        <w:rPr>
          <w:sz w:val="24"/>
          <w:szCs w:val="24"/>
        </w:rPr>
        <w:t xml:space="preserve">-bivirkninger. Patienterne skal i givet fald overvåges for systemiske </w:t>
      </w:r>
      <w:proofErr w:type="spellStart"/>
      <w:r w:rsidRPr="000955E7">
        <w:rPr>
          <w:sz w:val="24"/>
          <w:szCs w:val="24"/>
        </w:rPr>
        <w:t>kortikosteroid</w:t>
      </w:r>
      <w:proofErr w:type="spellEnd"/>
      <w:r w:rsidRPr="000955E7">
        <w:rPr>
          <w:sz w:val="24"/>
          <w:szCs w:val="24"/>
        </w:rPr>
        <w:t xml:space="preserve">-bivirkninger. </w:t>
      </w:r>
    </w:p>
    <w:p w14:paraId="6D5DA3E0" w14:textId="77777777" w:rsidR="00E647D4" w:rsidRPr="00E90DD6" w:rsidRDefault="00E647D4" w:rsidP="000955E7">
      <w:pPr>
        <w:ind w:left="1276" w:hanging="425"/>
        <w:rPr>
          <w:sz w:val="24"/>
          <w:szCs w:val="24"/>
        </w:rPr>
      </w:pPr>
    </w:p>
    <w:p w14:paraId="3C64BA44" w14:textId="77777777" w:rsidR="00E647D4" w:rsidRPr="000955E7" w:rsidRDefault="00E647D4" w:rsidP="000955E7">
      <w:pPr>
        <w:pStyle w:val="Listeafsnit"/>
        <w:ind w:left="1276"/>
        <w:rPr>
          <w:sz w:val="24"/>
          <w:szCs w:val="24"/>
        </w:rPr>
      </w:pPr>
      <w:proofErr w:type="spellStart"/>
      <w:r w:rsidRPr="000955E7">
        <w:rPr>
          <w:sz w:val="24"/>
          <w:szCs w:val="24"/>
        </w:rPr>
        <w:t>Ketoconazol</w:t>
      </w:r>
      <w:proofErr w:type="spellEnd"/>
      <w:r w:rsidRPr="000955E7">
        <w:rPr>
          <w:sz w:val="24"/>
          <w:szCs w:val="24"/>
        </w:rPr>
        <w:t xml:space="preserve"> 200 mg 1 gang daglig </w:t>
      </w:r>
      <w:proofErr w:type="spellStart"/>
      <w:r w:rsidRPr="000955E7">
        <w:rPr>
          <w:sz w:val="24"/>
          <w:szCs w:val="24"/>
        </w:rPr>
        <w:t>p.o</w:t>
      </w:r>
      <w:proofErr w:type="spellEnd"/>
      <w:r w:rsidRPr="000955E7">
        <w:rPr>
          <w:sz w:val="24"/>
          <w:szCs w:val="24"/>
        </w:rPr>
        <w:t xml:space="preserve">. øgede plasmakoncentrationen af </w:t>
      </w:r>
      <w:proofErr w:type="spellStart"/>
      <w:r w:rsidRPr="000955E7">
        <w:rPr>
          <w:sz w:val="24"/>
          <w:szCs w:val="24"/>
        </w:rPr>
        <w:t>budesonid</w:t>
      </w:r>
      <w:proofErr w:type="spellEnd"/>
      <w:r w:rsidRPr="000955E7">
        <w:rPr>
          <w:sz w:val="24"/>
          <w:szCs w:val="24"/>
        </w:rPr>
        <w:t xml:space="preserve"> (3 mg enkeltdosis) ca. 6 gange ved samtidig administration. Når </w:t>
      </w:r>
      <w:proofErr w:type="spellStart"/>
      <w:r w:rsidRPr="000955E7">
        <w:rPr>
          <w:sz w:val="24"/>
          <w:szCs w:val="24"/>
        </w:rPr>
        <w:t>ketoconazol</w:t>
      </w:r>
      <w:proofErr w:type="spellEnd"/>
      <w:r w:rsidRPr="000955E7">
        <w:rPr>
          <w:sz w:val="24"/>
          <w:szCs w:val="24"/>
        </w:rPr>
        <w:t xml:space="preserve"> blev givet 12 timer efter </w:t>
      </w:r>
      <w:proofErr w:type="spellStart"/>
      <w:r w:rsidRPr="000955E7">
        <w:rPr>
          <w:sz w:val="24"/>
          <w:szCs w:val="24"/>
        </w:rPr>
        <w:t>budesonid</w:t>
      </w:r>
      <w:proofErr w:type="spellEnd"/>
      <w:r w:rsidRPr="000955E7">
        <w:rPr>
          <w:sz w:val="24"/>
          <w:szCs w:val="24"/>
        </w:rPr>
        <w:t xml:space="preserve">, steg koncentrationerne ca. 3 gange. Da der ikke foreligger tilstrækkelige data til at give dosisanbefalinger, bør kombinationen undgås. </w:t>
      </w:r>
    </w:p>
    <w:p w14:paraId="7F4AA023" w14:textId="77777777" w:rsidR="00E647D4" w:rsidRPr="00E90DD6" w:rsidRDefault="00E647D4" w:rsidP="000955E7">
      <w:pPr>
        <w:ind w:left="1276" w:hanging="425"/>
        <w:rPr>
          <w:sz w:val="24"/>
          <w:szCs w:val="24"/>
        </w:rPr>
      </w:pPr>
    </w:p>
    <w:p w14:paraId="6CEE4BF5" w14:textId="77777777" w:rsidR="00E647D4" w:rsidRPr="000955E7" w:rsidRDefault="00E647D4" w:rsidP="000955E7">
      <w:pPr>
        <w:pStyle w:val="Listeafsnit"/>
        <w:ind w:left="1276"/>
        <w:rPr>
          <w:sz w:val="24"/>
          <w:szCs w:val="24"/>
        </w:rPr>
      </w:pPr>
      <w:r w:rsidRPr="000955E7">
        <w:rPr>
          <w:sz w:val="24"/>
          <w:szCs w:val="24"/>
        </w:rPr>
        <w:lastRenderedPageBreak/>
        <w:t xml:space="preserve">Det er også sandsynligt, at andre potente </w:t>
      </w:r>
      <w:proofErr w:type="spellStart"/>
      <w:r w:rsidRPr="000955E7">
        <w:rPr>
          <w:sz w:val="24"/>
          <w:szCs w:val="24"/>
        </w:rPr>
        <w:t>hæmmere</w:t>
      </w:r>
      <w:proofErr w:type="spellEnd"/>
      <w:r w:rsidRPr="000955E7">
        <w:rPr>
          <w:sz w:val="24"/>
          <w:szCs w:val="24"/>
        </w:rPr>
        <w:t xml:space="preserve"> af CYP3A4, f.eks. </w:t>
      </w:r>
      <w:proofErr w:type="spellStart"/>
      <w:r w:rsidRPr="000955E7">
        <w:rPr>
          <w:sz w:val="24"/>
          <w:szCs w:val="24"/>
        </w:rPr>
        <w:t>ritonavir</w:t>
      </w:r>
      <w:proofErr w:type="spellEnd"/>
      <w:r w:rsidRPr="000955E7">
        <w:rPr>
          <w:sz w:val="24"/>
          <w:szCs w:val="24"/>
        </w:rPr>
        <w:t xml:space="preserve">, </w:t>
      </w:r>
      <w:proofErr w:type="spellStart"/>
      <w:r w:rsidRPr="000955E7">
        <w:rPr>
          <w:sz w:val="24"/>
          <w:szCs w:val="24"/>
        </w:rPr>
        <w:t>itraconazol</w:t>
      </w:r>
      <w:proofErr w:type="spellEnd"/>
      <w:r w:rsidRPr="000955E7">
        <w:rPr>
          <w:sz w:val="24"/>
          <w:szCs w:val="24"/>
        </w:rPr>
        <w:t xml:space="preserve">, </w:t>
      </w:r>
      <w:proofErr w:type="spellStart"/>
      <w:r w:rsidRPr="000955E7">
        <w:rPr>
          <w:sz w:val="24"/>
          <w:szCs w:val="24"/>
        </w:rPr>
        <w:t>clarithromycin</w:t>
      </w:r>
      <w:proofErr w:type="spellEnd"/>
      <w:r w:rsidRPr="000955E7">
        <w:rPr>
          <w:sz w:val="24"/>
          <w:szCs w:val="24"/>
        </w:rPr>
        <w:t xml:space="preserve"> og grapefrugtjuice vil forårsage en markant stigning i plasmakoncentrationerne af </w:t>
      </w:r>
      <w:proofErr w:type="spellStart"/>
      <w:r w:rsidRPr="000955E7">
        <w:rPr>
          <w:sz w:val="24"/>
          <w:szCs w:val="24"/>
        </w:rPr>
        <w:t>budesonid</w:t>
      </w:r>
      <w:proofErr w:type="spellEnd"/>
      <w:r w:rsidRPr="000955E7">
        <w:rPr>
          <w:sz w:val="24"/>
          <w:szCs w:val="24"/>
        </w:rPr>
        <w:t>. Samtidig indtagelse bør derfor undgås.</w:t>
      </w:r>
    </w:p>
    <w:p w14:paraId="0CE4EFEA" w14:textId="77777777" w:rsidR="00E647D4" w:rsidRPr="00E90DD6" w:rsidRDefault="00E647D4" w:rsidP="000955E7">
      <w:pPr>
        <w:ind w:left="1276" w:hanging="425"/>
        <w:rPr>
          <w:sz w:val="24"/>
          <w:szCs w:val="24"/>
        </w:rPr>
      </w:pPr>
    </w:p>
    <w:p w14:paraId="45D4ABDD" w14:textId="77777777" w:rsidR="00E647D4" w:rsidRPr="009F6463" w:rsidRDefault="00E647D4" w:rsidP="000955E7">
      <w:pPr>
        <w:pStyle w:val="Listeafsnit"/>
        <w:numPr>
          <w:ilvl w:val="0"/>
          <w:numId w:val="13"/>
        </w:numPr>
        <w:ind w:left="1276" w:hanging="425"/>
        <w:rPr>
          <w:i/>
          <w:sz w:val="24"/>
          <w:szCs w:val="24"/>
        </w:rPr>
      </w:pPr>
      <w:r w:rsidRPr="009F6463">
        <w:rPr>
          <w:i/>
          <w:sz w:val="24"/>
          <w:szCs w:val="24"/>
        </w:rPr>
        <w:t>CYP3A4-induktorer</w:t>
      </w:r>
    </w:p>
    <w:p w14:paraId="0AD21E8C" w14:textId="77777777" w:rsidR="00E647D4" w:rsidRPr="000955E7" w:rsidRDefault="00E647D4" w:rsidP="000955E7">
      <w:pPr>
        <w:pStyle w:val="Listeafsnit"/>
        <w:ind w:left="1276"/>
        <w:rPr>
          <w:sz w:val="24"/>
          <w:szCs w:val="24"/>
        </w:rPr>
      </w:pPr>
      <w:r w:rsidRPr="000955E7">
        <w:rPr>
          <w:sz w:val="24"/>
          <w:szCs w:val="24"/>
        </w:rPr>
        <w:t xml:space="preserve">Stoffer eller lægemidler, såsom </w:t>
      </w:r>
      <w:proofErr w:type="spellStart"/>
      <w:r w:rsidRPr="000955E7">
        <w:rPr>
          <w:sz w:val="24"/>
          <w:szCs w:val="24"/>
        </w:rPr>
        <w:t>carbamazepin</w:t>
      </w:r>
      <w:proofErr w:type="spellEnd"/>
      <w:r w:rsidRPr="000955E7">
        <w:rPr>
          <w:sz w:val="24"/>
          <w:szCs w:val="24"/>
        </w:rPr>
        <w:t xml:space="preserve"> og </w:t>
      </w:r>
      <w:proofErr w:type="spellStart"/>
      <w:r w:rsidRPr="000955E7">
        <w:rPr>
          <w:sz w:val="24"/>
          <w:szCs w:val="24"/>
        </w:rPr>
        <w:t>rifampicin</w:t>
      </w:r>
      <w:proofErr w:type="spellEnd"/>
      <w:r w:rsidRPr="000955E7">
        <w:rPr>
          <w:sz w:val="24"/>
          <w:szCs w:val="24"/>
        </w:rPr>
        <w:t xml:space="preserve">, som inducerer CYP3A4, kan reducere den systemiske, men også den lokale eksponering for </w:t>
      </w:r>
      <w:proofErr w:type="spellStart"/>
      <w:r w:rsidRPr="000955E7">
        <w:rPr>
          <w:sz w:val="24"/>
          <w:szCs w:val="24"/>
        </w:rPr>
        <w:t>budesonid</w:t>
      </w:r>
      <w:proofErr w:type="spellEnd"/>
      <w:r w:rsidRPr="000955E7">
        <w:rPr>
          <w:sz w:val="24"/>
          <w:szCs w:val="24"/>
        </w:rPr>
        <w:t xml:space="preserve"> i tarmslimhinden. En justering af </w:t>
      </w:r>
      <w:proofErr w:type="spellStart"/>
      <w:r w:rsidRPr="000955E7">
        <w:rPr>
          <w:sz w:val="24"/>
          <w:szCs w:val="24"/>
        </w:rPr>
        <w:t>budesoniddosis</w:t>
      </w:r>
      <w:proofErr w:type="spellEnd"/>
      <w:r w:rsidRPr="000955E7">
        <w:rPr>
          <w:sz w:val="24"/>
          <w:szCs w:val="24"/>
        </w:rPr>
        <w:t xml:space="preserve"> kan være nødvendig.</w:t>
      </w:r>
    </w:p>
    <w:p w14:paraId="39EA8B7F" w14:textId="77777777" w:rsidR="00E647D4" w:rsidRPr="00E90DD6" w:rsidRDefault="00E647D4" w:rsidP="000955E7">
      <w:pPr>
        <w:ind w:left="1276" w:hanging="425"/>
        <w:rPr>
          <w:sz w:val="24"/>
          <w:szCs w:val="24"/>
        </w:rPr>
      </w:pPr>
    </w:p>
    <w:p w14:paraId="75F6482C" w14:textId="77777777" w:rsidR="00E647D4" w:rsidRPr="009F6463" w:rsidRDefault="00E647D4" w:rsidP="000955E7">
      <w:pPr>
        <w:pStyle w:val="Listeafsnit"/>
        <w:numPr>
          <w:ilvl w:val="0"/>
          <w:numId w:val="13"/>
        </w:numPr>
        <w:ind w:left="1276" w:hanging="425"/>
        <w:rPr>
          <w:i/>
          <w:sz w:val="24"/>
          <w:szCs w:val="24"/>
        </w:rPr>
      </w:pPr>
      <w:r w:rsidRPr="009F6463">
        <w:rPr>
          <w:i/>
          <w:sz w:val="24"/>
          <w:szCs w:val="24"/>
        </w:rPr>
        <w:t>CYP3A4-substrater</w:t>
      </w:r>
    </w:p>
    <w:p w14:paraId="043BB34E" w14:textId="77777777" w:rsidR="00E647D4" w:rsidRPr="000955E7" w:rsidRDefault="00E647D4" w:rsidP="009F6463">
      <w:pPr>
        <w:pStyle w:val="Listeafsnit"/>
        <w:ind w:left="1276"/>
        <w:rPr>
          <w:sz w:val="24"/>
          <w:szCs w:val="24"/>
        </w:rPr>
      </w:pPr>
      <w:r w:rsidRPr="000955E7">
        <w:rPr>
          <w:sz w:val="24"/>
          <w:szCs w:val="24"/>
        </w:rPr>
        <w:t xml:space="preserve">Stoffer eller lægemidler, der </w:t>
      </w:r>
      <w:proofErr w:type="spellStart"/>
      <w:r w:rsidRPr="000955E7">
        <w:rPr>
          <w:sz w:val="24"/>
          <w:szCs w:val="24"/>
        </w:rPr>
        <w:t>metaboliseres</w:t>
      </w:r>
      <w:proofErr w:type="spellEnd"/>
      <w:r w:rsidRPr="000955E7">
        <w:rPr>
          <w:sz w:val="24"/>
          <w:szCs w:val="24"/>
        </w:rPr>
        <w:t xml:space="preserve"> af CYP3A4, kan konkurrere med </w:t>
      </w:r>
      <w:proofErr w:type="spellStart"/>
      <w:r w:rsidRPr="000955E7">
        <w:rPr>
          <w:sz w:val="24"/>
          <w:szCs w:val="24"/>
        </w:rPr>
        <w:t>budesonid</w:t>
      </w:r>
      <w:proofErr w:type="spellEnd"/>
      <w:r w:rsidRPr="000955E7">
        <w:rPr>
          <w:sz w:val="24"/>
          <w:szCs w:val="24"/>
        </w:rPr>
        <w:t xml:space="preserve">. Dette kan føre til en øget plasmakoncentration af </w:t>
      </w:r>
      <w:proofErr w:type="spellStart"/>
      <w:r w:rsidRPr="000955E7">
        <w:rPr>
          <w:sz w:val="24"/>
          <w:szCs w:val="24"/>
        </w:rPr>
        <w:t>budesonid</w:t>
      </w:r>
      <w:proofErr w:type="spellEnd"/>
      <w:r w:rsidRPr="000955E7">
        <w:rPr>
          <w:sz w:val="24"/>
          <w:szCs w:val="24"/>
        </w:rPr>
        <w:t xml:space="preserve">, hvis det konkurrerende stof har en stærkere affinitet til CYP3A4, eller – hvis </w:t>
      </w:r>
      <w:proofErr w:type="spellStart"/>
      <w:r w:rsidRPr="000955E7">
        <w:rPr>
          <w:sz w:val="24"/>
          <w:szCs w:val="24"/>
        </w:rPr>
        <w:t>budesonid</w:t>
      </w:r>
      <w:proofErr w:type="spellEnd"/>
      <w:r w:rsidRPr="000955E7">
        <w:rPr>
          <w:sz w:val="24"/>
          <w:szCs w:val="24"/>
        </w:rPr>
        <w:t xml:space="preserve"> bindes stærkere til CYP3A4 – kan det konkurrerende stof øges i plasma og en dosistilpasning/reduktion af dette lægemiddel kan være påkrævet.</w:t>
      </w:r>
    </w:p>
    <w:p w14:paraId="015A596F" w14:textId="77777777" w:rsidR="00E647D4" w:rsidRPr="00E90DD6" w:rsidRDefault="00E647D4" w:rsidP="0007645B">
      <w:pPr>
        <w:ind w:left="851"/>
        <w:rPr>
          <w:sz w:val="24"/>
          <w:szCs w:val="24"/>
        </w:rPr>
      </w:pPr>
    </w:p>
    <w:p w14:paraId="02259D3E" w14:textId="77777777" w:rsidR="00E647D4" w:rsidRPr="00E90DD6" w:rsidRDefault="00E647D4" w:rsidP="0007645B">
      <w:pPr>
        <w:ind w:left="851"/>
        <w:rPr>
          <w:sz w:val="24"/>
          <w:szCs w:val="24"/>
        </w:rPr>
      </w:pPr>
      <w:r w:rsidRPr="00E90DD6">
        <w:rPr>
          <w:sz w:val="24"/>
          <w:szCs w:val="24"/>
        </w:rPr>
        <w:t xml:space="preserve">Forhøjede plasmakoncentrationer og øget virkning af </w:t>
      </w:r>
      <w:proofErr w:type="spellStart"/>
      <w:r w:rsidRPr="00E90DD6">
        <w:rPr>
          <w:sz w:val="24"/>
          <w:szCs w:val="24"/>
        </w:rPr>
        <w:t>glukokortikosteroider</w:t>
      </w:r>
      <w:proofErr w:type="spellEnd"/>
      <w:r w:rsidRPr="00E90DD6">
        <w:rPr>
          <w:sz w:val="24"/>
          <w:szCs w:val="24"/>
        </w:rPr>
        <w:t xml:space="preserve"> er beskrevet hos kvinder, som tager østrogener eller orale </w:t>
      </w:r>
      <w:proofErr w:type="spellStart"/>
      <w:r w:rsidRPr="00E90DD6">
        <w:rPr>
          <w:sz w:val="24"/>
          <w:szCs w:val="24"/>
        </w:rPr>
        <w:t>kontraceptiva</w:t>
      </w:r>
      <w:proofErr w:type="spellEnd"/>
      <w:r w:rsidRPr="00E90DD6">
        <w:rPr>
          <w:sz w:val="24"/>
          <w:szCs w:val="24"/>
        </w:rPr>
        <w:t xml:space="preserve">, men dette er ikke set med orale lavdosis </w:t>
      </w:r>
      <w:proofErr w:type="spellStart"/>
      <w:r w:rsidRPr="00E90DD6">
        <w:rPr>
          <w:sz w:val="24"/>
          <w:szCs w:val="24"/>
        </w:rPr>
        <w:t>kombinationskontraceptiva</w:t>
      </w:r>
      <w:proofErr w:type="spellEnd"/>
      <w:r w:rsidRPr="00E90DD6">
        <w:rPr>
          <w:sz w:val="24"/>
          <w:szCs w:val="24"/>
        </w:rPr>
        <w:t>.</w:t>
      </w:r>
    </w:p>
    <w:p w14:paraId="780E038D" w14:textId="77777777" w:rsidR="00E647D4" w:rsidRPr="00E90DD6" w:rsidRDefault="00E647D4" w:rsidP="0007645B">
      <w:pPr>
        <w:ind w:left="851"/>
        <w:rPr>
          <w:sz w:val="24"/>
          <w:szCs w:val="24"/>
        </w:rPr>
      </w:pPr>
    </w:p>
    <w:p w14:paraId="4CAB2E1F" w14:textId="77777777" w:rsidR="00E647D4" w:rsidRPr="00E90DD6" w:rsidRDefault="00E647D4" w:rsidP="0007645B">
      <w:pPr>
        <w:ind w:left="851"/>
        <w:rPr>
          <w:sz w:val="24"/>
          <w:szCs w:val="24"/>
        </w:rPr>
      </w:pPr>
      <w:proofErr w:type="spellStart"/>
      <w:r w:rsidRPr="00E90DD6">
        <w:rPr>
          <w:sz w:val="24"/>
          <w:szCs w:val="24"/>
        </w:rPr>
        <w:t>Cimetidin</w:t>
      </w:r>
      <w:proofErr w:type="spellEnd"/>
      <w:r w:rsidRPr="00E90DD6">
        <w:rPr>
          <w:sz w:val="24"/>
          <w:szCs w:val="24"/>
        </w:rPr>
        <w:t xml:space="preserve"> i anbefalede doser i kombination med </w:t>
      </w:r>
      <w:proofErr w:type="spellStart"/>
      <w:r w:rsidRPr="00E90DD6">
        <w:rPr>
          <w:sz w:val="24"/>
          <w:szCs w:val="24"/>
        </w:rPr>
        <w:t>budesonid</w:t>
      </w:r>
      <w:proofErr w:type="spellEnd"/>
      <w:r w:rsidRPr="00E90DD6">
        <w:rPr>
          <w:sz w:val="24"/>
          <w:szCs w:val="24"/>
        </w:rPr>
        <w:t xml:space="preserve"> har en lille, betydningsløs effekt på </w:t>
      </w:r>
      <w:proofErr w:type="spellStart"/>
      <w:r w:rsidRPr="00E90DD6">
        <w:rPr>
          <w:sz w:val="24"/>
          <w:szCs w:val="24"/>
        </w:rPr>
        <w:t>budesonids</w:t>
      </w:r>
      <w:proofErr w:type="spellEnd"/>
      <w:r w:rsidRPr="00E90DD6">
        <w:rPr>
          <w:sz w:val="24"/>
          <w:szCs w:val="24"/>
        </w:rPr>
        <w:t xml:space="preserve"> farmakokinetik. </w:t>
      </w:r>
      <w:proofErr w:type="spellStart"/>
      <w:r w:rsidRPr="00E90DD6">
        <w:rPr>
          <w:sz w:val="24"/>
          <w:szCs w:val="24"/>
        </w:rPr>
        <w:t>Omeprazol</w:t>
      </w:r>
      <w:proofErr w:type="spellEnd"/>
      <w:r w:rsidRPr="00E90DD6">
        <w:rPr>
          <w:sz w:val="24"/>
          <w:szCs w:val="24"/>
        </w:rPr>
        <w:t xml:space="preserve"> har ingen virkning på </w:t>
      </w:r>
      <w:proofErr w:type="spellStart"/>
      <w:r w:rsidRPr="00E90DD6">
        <w:rPr>
          <w:sz w:val="24"/>
          <w:szCs w:val="24"/>
        </w:rPr>
        <w:t>budesonids</w:t>
      </w:r>
      <w:proofErr w:type="spellEnd"/>
      <w:r w:rsidRPr="00E90DD6">
        <w:rPr>
          <w:sz w:val="24"/>
          <w:szCs w:val="24"/>
        </w:rPr>
        <w:t xml:space="preserve"> farmakokinetik.</w:t>
      </w:r>
    </w:p>
    <w:p w14:paraId="5E152A29" w14:textId="77777777" w:rsidR="00E647D4" w:rsidRPr="00E90DD6" w:rsidRDefault="00E647D4" w:rsidP="0007645B">
      <w:pPr>
        <w:ind w:left="851"/>
        <w:rPr>
          <w:sz w:val="24"/>
          <w:szCs w:val="24"/>
        </w:rPr>
      </w:pPr>
    </w:p>
    <w:p w14:paraId="6CFF4AFF" w14:textId="77777777" w:rsidR="00E647D4" w:rsidRPr="009F6463" w:rsidRDefault="00E647D4" w:rsidP="0007645B">
      <w:pPr>
        <w:ind w:left="851"/>
        <w:rPr>
          <w:i/>
          <w:sz w:val="24"/>
          <w:szCs w:val="24"/>
        </w:rPr>
      </w:pPr>
      <w:r w:rsidRPr="009F6463">
        <w:rPr>
          <w:i/>
          <w:sz w:val="24"/>
          <w:szCs w:val="24"/>
        </w:rPr>
        <w:t>Steroidbindende stoffer</w:t>
      </w:r>
    </w:p>
    <w:p w14:paraId="18ED0C41" w14:textId="11302943" w:rsidR="00E647D4" w:rsidRPr="00E90DD6" w:rsidRDefault="00E647D4" w:rsidP="0007645B">
      <w:pPr>
        <w:ind w:left="851"/>
        <w:rPr>
          <w:bCs/>
          <w:sz w:val="24"/>
          <w:szCs w:val="24"/>
        </w:rPr>
      </w:pPr>
      <w:r w:rsidRPr="00E90DD6">
        <w:rPr>
          <w:bCs/>
          <w:sz w:val="24"/>
          <w:szCs w:val="24"/>
        </w:rPr>
        <w:t xml:space="preserve">Potentielle interaktioner med steroidbindende, syntetiske harpikser, såsom </w:t>
      </w:r>
      <w:proofErr w:type="spellStart"/>
      <w:r w:rsidRPr="00E90DD6">
        <w:rPr>
          <w:bCs/>
          <w:sz w:val="24"/>
          <w:szCs w:val="24"/>
        </w:rPr>
        <w:t>colestyramin</w:t>
      </w:r>
      <w:proofErr w:type="spellEnd"/>
      <w:r w:rsidRPr="00E90DD6">
        <w:rPr>
          <w:bCs/>
          <w:sz w:val="24"/>
          <w:szCs w:val="24"/>
        </w:rPr>
        <w:t xml:space="preserve">, og med </w:t>
      </w:r>
      <w:proofErr w:type="spellStart"/>
      <w:r w:rsidRPr="00E90DD6">
        <w:rPr>
          <w:bCs/>
          <w:sz w:val="24"/>
          <w:szCs w:val="24"/>
        </w:rPr>
        <w:t>antacida</w:t>
      </w:r>
      <w:proofErr w:type="spellEnd"/>
      <w:r w:rsidRPr="00E90DD6">
        <w:rPr>
          <w:bCs/>
          <w:sz w:val="24"/>
          <w:szCs w:val="24"/>
        </w:rPr>
        <w:t xml:space="preserve"> kan teoretisk ikke udelukkes. Hvis disse gives samtidig med </w:t>
      </w:r>
      <w:proofErr w:type="spellStart"/>
      <w:r w:rsidRPr="00E90DD6">
        <w:rPr>
          <w:bCs/>
          <w:sz w:val="24"/>
          <w:szCs w:val="24"/>
        </w:rPr>
        <w:t>Budesonid</w:t>
      </w:r>
      <w:proofErr w:type="spellEnd"/>
      <w:r w:rsidRPr="00E90DD6">
        <w:rPr>
          <w:bCs/>
          <w:sz w:val="24"/>
          <w:szCs w:val="24"/>
        </w:rPr>
        <w:t xml:space="preserve"> </w:t>
      </w:r>
      <w:r w:rsidR="00CB3CD5">
        <w:rPr>
          <w:bCs/>
          <w:sz w:val="24"/>
          <w:szCs w:val="24"/>
        </w:rPr>
        <w:t>"</w:t>
      </w:r>
      <w:proofErr w:type="spellStart"/>
      <w:r w:rsidR="00CB3CD5">
        <w:rPr>
          <w:bCs/>
          <w:sz w:val="24"/>
          <w:szCs w:val="24"/>
        </w:rPr>
        <w:t>Teva</w:t>
      </w:r>
      <w:proofErr w:type="spellEnd"/>
      <w:r w:rsidR="00CB3CD5">
        <w:rPr>
          <w:bCs/>
          <w:sz w:val="24"/>
          <w:szCs w:val="24"/>
        </w:rPr>
        <w:t>"</w:t>
      </w:r>
      <w:r w:rsidRPr="00E90DD6">
        <w:rPr>
          <w:bCs/>
          <w:sz w:val="24"/>
          <w:szCs w:val="24"/>
        </w:rPr>
        <w:t xml:space="preserve">, kan sådanne interaktioner resultere i en reduktion af </w:t>
      </w:r>
      <w:proofErr w:type="spellStart"/>
      <w:r w:rsidRPr="00E90DD6">
        <w:rPr>
          <w:bCs/>
          <w:sz w:val="24"/>
          <w:szCs w:val="24"/>
        </w:rPr>
        <w:t>budesonids</w:t>
      </w:r>
      <w:proofErr w:type="spellEnd"/>
      <w:r w:rsidRPr="00E90DD6">
        <w:rPr>
          <w:bCs/>
          <w:sz w:val="24"/>
          <w:szCs w:val="24"/>
        </w:rPr>
        <w:t xml:space="preserve"> virkning. Derfor bør disse præparater ikke tages samtidig med </w:t>
      </w:r>
      <w:proofErr w:type="spellStart"/>
      <w:r w:rsidRPr="00E90DD6">
        <w:rPr>
          <w:bCs/>
          <w:sz w:val="24"/>
          <w:szCs w:val="24"/>
        </w:rPr>
        <w:t>budesonid</w:t>
      </w:r>
      <w:proofErr w:type="spellEnd"/>
      <w:r w:rsidRPr="00E90DD6">
        <w:rPr>
          <w:bCs/>
          <w:sz w:val="24"/>
          <w:szCs w:val="24"/>
        </w:rPr>
        <w:t>, men med mindst 2 timers mellemrum.</w:t>
      </w:r>
    </w:p>
    <w:p w14:paraId="58FBD794" w14:textId="77777777" w:rsidR="00E647D4" w:rsidRPr="00E90DD6" w:rsidRDefault="00E647D4" w:rsidP="0007645B">
      <w:pPr>
        <w:ind w:left="851"/>
        <w:rPr>
          <w:sz w:val="24"/>
          <w:szCs w:val="24"/>
        </w:rPr>
      </w:pPr>
    </w:p>
    <w:p w14:paraId="508A2AEC" w14:textId="77777777" w:rsidR="00E647D4" w:rsidRPr="00E90DD6" w:rsidRDefault="00E647D4" w:rsidP="0007645B">
      <w:pPr>
        <w:ind w:left="851"/>
        <w:rPr>
          <w:sz w:val="24"/>
          <w:szCs w:val="24"/>
        </w:rPr>
      </w:pPr>
      <w:r w:rsidRPr="00E90DD6">
        <w:rPr>
          <w:sz w:val="24"/>
          <w:szCs w:val="24"/>
        </w:rPr>
        <w:t xml:space="preserve">Da den </w:t>
      </w:r>
      <w:proofErr w:type="spellStart"/>
      <w:r w:rsidRPr="00E90DD6">
        <w:rPr>
          <w:sz w:val="24"/>
          <w:szCs w:val="24"/>
        </w:rPr>
        <w:t>adrenale</w:t>
      </w:r>
      <w:proofErr w:type="spellEnd"/>
      <w:r w:rsidRPr="00E90DD6">
        <w:rPr>
          <w:sz w:val="24"/>
          <w:szCs w:val="24"/>
        </w:rPr>
        <w:t xml:space="preserve"> funktion kan være supprimeret ved behandling med </w:t>
      </w:r>
      <w:proofErr w:type="spellStart"/>
      <w:r w:rsidRPr="00E90DD6">
        <w:rPr>
          <w:sz w:val="24"/>
          <w:szCs w:val="24"/>
        </w:rPr>
        <w:t>budesonid</w:t>
      </w:r>
      <w:proofErr w:type="spellEnd"/>
      <w:r w:rsidRPr="00E90DD6">
        <w:rPr>
          <w:sz w:val="24"/>
          <w:szCs w:val="24"/>
        </w:rPr>
        <w:t>, kan en ACTH-stimuleringstest for diagnosticering af hypofyseinsufficiens give falske resultater (lave værdier).</w:t>
      </w:r>
    </w:p>
    <w:p w14:paraId="1F28632E" w14:textId="77777777" w:rsidR="009260DE" w:rsidRPr="00E90DD6" w:rsidRDefault="009260DE" w:rsidP="009260DE">
      <w:pPr>
        <w:tabs>
          <w:tab w:val="left" w:pos="851"/>
        </w:tabs>
        <w:ind w:left="851"/>
        <w:rPr>
          <w:sz w:val="24"/>
          <w:szCs w:val="24"/>
        </w:rPr>
      </w:pPr>
    </w:p>
    <w:p w14:paraId="6B7192A2" w14:textId="77777777" w:rsidR="009260DE" w:rsidRPr="00E90DD6" w:rsidRDefault="009260DE" w:rsidP="009260DE">
      <w:pPr>
        <w:tabs>
          <w:tab w:val="left" w:pos="851"/>
        </w:tabs>
        <w:ind w:left="851" w:hanging="851"/>
        <w:rPr>
          <w:b/>
          <w:sz w:val="24"/>
          <w:szCs w:val="24"/>
        </w:rPr>
      </w:pPr>
      <w:r w:rsidRPr="00E90DD6">
        <w:rPr>
          <w:b/>
          <w:sz w:val="24"/>
          <w:szCs w:val="24"/>
        </w:rPr>
        <w:t>4.6</w:t>
      </w:r>
      <w:r w:rsidRPr="00E90DD6">
        <w:rPr>
          <w:b/>
          <w:sz w:val="24"/>
          <w:szCs w:val="24"/>
        </w:rPr>
        <w:tab/>
        <w:t>Graviditet og amning</w:t>
      </w:r>
    </w:p>
    <w:p w14:paraId="52F68291" w14:textId="77777777" w:rsidR="009F6463" w:rsidRDefault="009F6463" w:rsidP="0007645B">
      <w:pPr>
        <w:ind w:left="851"/>
        <w:rPr>
          <w:sz w:val="24"/>
          <w:szCs w:val="24"/>
          <w:u w:val="single"/>
        </w:rPr>
      </w:pPr>
    </w:p>
    <w:p w14:paraId="012F256E" w14:textId="26E8FB1E" w:rsidR="00E647D4" w:rsidRPr="00E90DD6" w:rsidRDefault="00E647D4" w:rsidP="0007645B">
      <w:pPr>
        <w:ind w:left="851"/>
        <w:rPr>
          <w:sz w:val="24"/>
          <w:szCs w:val="24"/>
          <w:u w:val="single"/>
          <w:lang w:eastAsia="da-DK"/>
        </w:rPr>
      </w:pPr>
      <w:r w:rsidRPr="00E90DD6">
        <w:rPr>
          <w:sz w:val="24"/>
          <w:szCs w:val="24"/>
          <w:u w:val="single"/>
        </w:rPr>
        <w:t>Graviditet</w:t>
      </w:r>
    </w:p>
    <w:p w14:paraId="08BB926E" w14:textId="77777777" w:rsidR="00E647D4" w:rsidRPr="00E90DD6" w:rsidRDefault="00E647D4" w:rsidP="0007645B">
      <w:pPr>
        <w:ind w:left="851"/>
        <w:rPr>
          <w:sz w:val="24"/>
          <w:szCs w:val="24"/>
        </w:rPr>
      </w:pPr>
      <w:r w:rsidRPr="00E90DD6">
        <w:rPr>
          <w:sz w:val="24"/>
          <w:szCs w:val="24"/>
        </w:rPr>
        <w:t xml:space="preserve">Administration under graviditet skal undgås, medmindre der foreligger en tvingende grund til behandling med </w:t>
      </w:r>
      <w:proofErr w:type="spellStart"/>
      <w:r w:rsidRPr="00E90DD6">
        <w:rPr>
          <w:sz w:val="24"/>
          <w:szCs w:val="24"/>
        </w:rPr>
        <w:t>budesonid</w:t>
      </w:r>
      <w:proofErr w:type="spellEnd"/>
      <w:r w:rsidRPr="00E90DD6">
        <w:rPr>
          <w:sz w:val="24"/>
          <w:szCs w:val="24"/>
        </w:rPr>
        <w:t xml:space="preserve">. Der foreligger begrænsede data af graviditeters udfald efter oral administration af </w:t>
      </w:r>
      <w:proofErr w:type="spellStart"/>
      <w:r w:rsidRPr="00E90DD6">
        <w:rPr>
          <w:sz w:val="24"/>
          <w:szCs w:val="24"/>
        </w:rPr>
        <w:t>budesonid</w:t>
      </w:r>
      <w:proofErr w:type="spellEnd"/>
      <w:r w:rsidRPr="00E90DD6">
        <w:rPr>
          <w:sz w:val="24"/>
          <w:szCs w:val="24"/>
        </w:rPr>
        <w:t xml:space="preserve"> til mennesker. Selvom data efter brug af inhaleret </w:t>
      </w:r>
      <w:proofErr w:type="spellStart"/>
      <w:r w:rsidRPr="00E90DD6">
        <w:rPr>
          <w:sz w:val="24"/>
          <w:szCs w:val="24"/>
        </w:rPr>
        <w:t>budesonid</w:t>
      </w:r>
      <w:proofErr w:type="spellEnd"/>
      <w:r w:rsidRPr="00E90DD6">
        <w:rPr>
          <w:sz w:val="24"/>
          <w:szCs w:val="24"/>
        </w:rPr>
        <w:t xml:space="preserve"> til et stort antal af gravide ikke indikerer nogen bivirkninger, bør den maksimale plasmakoncentration forventes at blive højere med oral </w:t>
      </w:r>
      <w:proofErr w:type="spellStart"/>
      <w:r w:rsidRPr="00E90DD6">
        <w:rPr>
          <w:sz w:val="24"/>
          <w:szCs w:val="24"/>
        </w:rPr>
        <w:t>budesonid</w:t>
      </w:r>
      <w:proofErr w:type="spellEnd"/>
      <w:r w:rsidRPr="00E90DD6">
        <w:rPr>
          <w:sz w:val="24"/>
          <w:szCs w:val="24"/>
        </w:rPr>
        <w:t xml:space="preserve"> i forhold til inhaleret </w:t>
      </w:r>
      <w:proofErr w:type="spellStart"/>
      <w:r w:rsidRPr="00E90DD6">
        <w:rPr>
          <w:sz w:val="24"/>
          <w:szCs w:val="24"/>
        </w:rPr>
        <w:t>budesonid</w:t>
      </w:r>
      <w:proofErr w:type="spellEnd"/>
      <w:r w:rsidRPr="00E90DD6">
        <w:rPr>
          <w:sz w:val="24"/>
          <w:szCs w:val="24"/>
        </w:rPr>
        <w:t xml:space="preserve">. Hos drægtige dyr har </w:t>
      </w:r>
      <w:proofErr w:type="spellStart"/>
      <w:r w:rsidRPr="00E90DD6">
        <w:rPr>
          <w:sz w:val="24"/>
          <w:szCs w:val="24"/>
        </w:rPr>
        <w:t>budesonid</w:t>
      </w:r>
      <w:proofErr w:type="spellEnd"/>
      <w:r w:rsidRPr="00E90DD6">
        <w:rPr>
          <w:sz w:val="24"/>
          <w:szCs w:val="24"/>
        </w:rPr>
        <w:t xml:space="preserve"> vist, ligesom andre </w:t>
      </w:r>
      <w:proofErr w:type="spellStart"/>
      <w:r w:rsidRPr="00E90DD6">
        <w:rPr>
          <w:sz w:val="24"/>
          <w:szCs w:val="24"/>
        </w:rPr>
        <w:t>glukokortikosteroider</w:t>
      </w:r>
      <w:proofErr w:type="spellEnd"/>
      <w:r w:rsidRPr="00E90DD6">
        <w:rPr>
          <w:sz w:val="24"/>
          <w:szCs w:val="24"/>
        </w:rPr>
        <w:t xml:space="preserve">, at forårsage abnormiteter i den </w:t>
      </w:r>
      <w:proofErr w:type="spellStart"/>
      <w:r w:rsidRPr="00E90DD6">
        <w:rPr>
          <w:sz w:val="24"/>
          <w:szCs w:val="24"/>
        </w:rPr>
        <w:t>føtale</w:t>
      </w:r>
      <w:proofErr w:type="spellEnd"/>
      <w:r w:rsidRPr="00E90DD6">
        <w:rPr>
          <w:sz w:val="24"/>
          <w:szCs w:val="24"/>
        </w:rPr>
        <w:t xml:space="preserve"> udvikling (se pkt. 5.3). Relevansen af dette for mennesker er ikke fastslået.</w:t>
      </w:r>
    </w:p>
    <w:p w14:paraId="1EED328C" w14:textId="77777777" w:rsidR="00E647D4" w:rsidRPr="00E90DD6" w:rsidRDefault="00E647D4" w:rsidP="0007645B">
      <w:pPr>
        <w:ind w:left="851"/>
        <w:rPr>
          <w:sz w:val="24"/>
          <w:szCs w:val="24"/>
        </w:rPr>
      </w:pPr>
    </w:p>
    <w:p w14:paraId="0CB8E6C3" w14:textId="77777777" w:rsidR="00E647D4" w:rsidRPr="00E90DD6" w:rsidRDefault="00E647D4" w:rsidP="0007645B">
      <w:pPr>
        <w:ind w:left="851"/>
        <w:rPr>
          <w:sz w:val="24"/>
          <w:szCs w:val="24"/>
          <w:u w:val="single"/>
        </w:rPr>
      </w:pPr>
      <w:r w:rsidRPr="00E90DD6">
        <w:rPr>
          <w:sz w:val="24"/>
          <w:szCs w:val="24"/>
          <w:u w:val="single"/>
        </w:rPr>
        <w:t>Amning</w:t>
      </w:r>
    </w:p>
    <w:p w14:paraId="2C798405" w14:textId="77777777" w:rsidR="00E647D4" w:rsidRPr="00E90DD6" w:rsidRDefault="00E647D4" w:rsidP="0007645B">
      <w:pPr>
        <w:ind w:left="851"/>
        <w:rPr>
          <w:sz w:val="24"/>
          <w:szCs w:val="24"/>
        </w:rPr>
      </w:pPr>
      <w:proofErr w:type="spellStart"/>
      <w:r w:rsidRPr="00E90DD6">
        <w:rPr>
          <w:sz w:val="24"/>
          <w:szCs w:val="24"/>
        </w:rPr>
        <w:t>Budesonid</w:t>
      </w:r>
      <w:proofErr w:type="spellEnd"/>
      <w:r w:rsidRPr="00E90DD6">
        <w:rPr>
          <w:sz w:val="24"/>
          <w:szCs w:val="24"/>
        </w:rPr>
        <w:t xml:space="preserve"> udskilles i modermælk (data for </w:t>
      </w:r>
      <w:proofErr w:type="spellStart"/>
      <w:r w:rsidRPr="00E90DD6">
        <w:rPr>
          <w:sz w:val="24"/>
          <w:szCs w:val="24"/>
        </w:rPr>
        <w:t>ekskretion</w:t>
      </w:r>
      <w:proofErr w:type="spellEnd"/>
      <w:r w:rsidRPr="00E90DD6">
        <w:rPr>
          <w:sz w:val="24"/>
          <w:szCs w:val="24"/>
        </w:rPr>
        <w:t xml:space="preserve"> efter inhalation er tilgængelig).</w:t>
      </w:r>
    </w:p>
    <w:p w14:paraId="4CCA8659" w14:textId="77777777" w:rsidR="00E647D4" w:rsidRPr="00E90DD6" w:rsidRDefault="00E647D4" w:rsidP="0007645B">
      <w:pPr>
        <w:ind w:left="851"/>
        <w:rPr>
          <w:sz w:val="24"/>
          <w:szCs w:val="24"/>
        </w:rPr>
      </w:pPr>
      <w:r w:rsidRPr="00E90DD6">
        <w:rPr>
          <w:sz w:val="24"/>
          <w:szCs w:val="24"/>
        </w:rPr>
        <w:t xml:space="preserve">Dog forventes kun mindre virkninger på det ammede barn efter oral indtagelse af </w:t>
      </w:r>
      <w:proofErr w:type="spellStart"/>
      <w:r w:rsidRPr="00E90DD6">
        <w:rPr>
          <w:sz w:val="24"/>
          <w:szCs w:val="24"/>
        </w:rPr>
        <w:t>budesonid</w:t>
      </w:r>
      <w:proofErr w:type="spellEnd"/>
      <w:r w:rsidRPr="00E90DD6">
        <w:rPr>
          <w:sz w:val="24"/>
          <w:szCs w:val="24"/>
        </w:rPr>
        <w:t xml:space="preserve"> inden for det terapeutiske område. Det skal besluttes, om amning skal ophøre </w:t>
      </w:r>
      <w:r w:rsidRPr="00E90DD6">
        <w:rPr>
          <w:sz w:val="24"/>
          <w:szCs w:val="24"/>
        </w:rPr>
        <w:lastRenderedPageBreak/>
        <w:t xml:space="preserve">eller behandling med </w:t>
      </w:r>
      <w:proofErr w:type="spellStart"/>
      <w:r w:rsidRPr="00E90DD6">
        <w:rPr>
          <w:sz w:val="24"/>
          <w:szCs w:val="24"/>
        </w:rPr>
        <w:t>budesonid</w:t>
      </w:r>
      <w:proofErr w:type="spellEnd"/>
      <w:r w:rsidRPr="00E90DD6">
        <w:rPr>
          <w:sz w:val="24"/>
          <w:szCs w:val="24"/>
        </w:rPr>
        <w:t xml:space="preserve"> seponeres/undgås, idet der tages højde for fordelene ved amning for barnet i forhold til de terapeutiske fordele for moderen.</w:t>
      </w:r>
    </w:p>
    <w:p w14:paraId="1090F451" w14:textId="77777777" w:rsidR="00E647D4" w:rsidRPr="00E90DD6" w:rsidRDefault="00E647D4" w:rsidP="0007645B">
      <w:pPr>
        <w:ind w:left="851"/>
        <w:rPr>
          <w:sz w:val="24"/>
          <w:szCs w:val="24"/>
          <w:u w:val="single"/>
        </w:rPr>
      </w:pPr>
    </w:p>
    <w:p w14:paraId="23F9797B" w14:textId="77777777" w:rsidR="00E647D4" w:rsidRPr="00E90DD6" w:rsidRDefault="00E647D4" w:rsidP="0007645B">
      <w:pPr>
        <w:ind w:left="851"/>
        <w:rPr>
          <w:sz w:val="24"/>
          <w:szCs w:val="24"/>
          <w:u w:val="single"/>
        </w:rPr>
      </w:pPr>
      <w:r w:rsidRPr="00E90DD6">
        <w:rPr>
          <w:sz w:val="24"/>
          <w:szCs w:val="24"/>
          <w:u w:val="single"/>
        </w:rPr>
        <w:t>Fertilitet</w:t>
      </w:r>
    </w:p>
    <w:p w14:paraId="34B6240C" w14:textId="77777777" w:rsidR="00E647D4" w:rsidRPr="00E90DD6" w:rsidRDefault="00E647D4" w:rsidP="0007645B">
      <w:pPr>
        <w:tabs>
          <w:tab w:val="left" w:pos="851"/>
        </w:tabs>
        <w:ind w:left="851"/>
        <w:rPr>
          <w:sz w:val="24"/>
          <w:szCs w:val="24"/>
        </w:rPr>
      </w:pPr>
      <w:r w:rsidRPr="00E90DD6">
        <w:rPr>
          <w:sz w:val="24"/>
          <w:szCs w:val="24"/>
        </w:rPr>
        <w:t xml:space="preserve">Der foreligger ingen data af </w:t>
      </w:r>
      <w:proofErr w:type="spellStart"/>
      <w:r w:rsidRPr="00E90DD6">
        <w:rPr>
          <w:sz w:val="24"/>
          <w:szCs w:val="24"/>
        </w:rPr>
        <w:t>budesonids</w:t>
      </w:r>
      <w:proofErr w:type="spellEnd"/>
      <w:r w:rsidRPr="00E90DD6">
        <w:rPr>
          <w:sz w:val="24"/>
          <w:szCs w:val="24"/>
        </w:rPr>
        <w:t xml:space="preserve"> påvirkning af menneskets fertilitet. I dyrestudier var fertiliteten ikke påvirket under </w:t>
      </w:r>
      <w:proofErr w:type="spellStart"/>
      <w:r w:rsidRPr="00E90DD6">
        <w:rPr>
          <w:sz w:val="24"/>
          <w:szCs w:val="24"/>
        </w:rPr>
        <w:t>budesonidbehandling</w:t>
      </w:r>
      <w:proofErr w:type="spellEnd"/>
      <w:r w:rsidRPr="00E90DD6">
        <w:rPr>
          <w:sz w:val="24"/>
          <w:szCs w:val="24"/>
        </w:rPr>
        <w:t xml:space="preserve"> (se pkt. 5.3).</w:t>
      </w:r>
    </w:p>
    <w:p w14:paraId="1E2B7089" w14:textId="77777777" w:rsidR="009260DE" w:rsidRPr="00E90DD6" w:rsidRDefault="009260DE" w:rsidP="009260DE">
      <w:pPr>
        <w:tabs>
          <w:tab w:val="left" w:pos="851"/>
        </w:tabs>
        <w:ind w:left="851"/>
        <w:rPr>
          <w:sz w:val="24"/>
          <w:szCs w:val="24"/>
        </w:rPr>
      </w:pPr>
    </w:p>
    <w:p w14:paraId="0388F0F2" w14:textId="77777777" w:rsidR="009260DE" w:rsidRPr="00E90DD6" w:rsidRDefault="009260DE" w:rsidP="009260DE">
      <w:pPr>
        <w:tabs>
          <w:tab w:val="left" w:pos="851"/>
        </w:tabs>
        <w:ind w:left="851" w:hanging="851"/>
        <w:rPr>
          <w:b/>
          <w:sz w:val="24"/>
          <w:szCs w:val="24"/>
        </w:rPr>
      </w:pPr>
      <w:r w:rsidRPr="00E90DD6">
        <w:rPr>
          <w:b/>
          <w:sz w:val="24"/>
          <w:szCs w:val="24"/>
        </w:rPr>
        <w:t>4.7</w:t>
      </w:r>
      <w:r w:rsidRPr="00E90DD6">
        <w:rPr>
          <w:b/>
          <w:sz w:val="24"/>
          <w:szCs w:val="24"/>
        </w:rPr>
        <w:tab/>
        <w:t>Virkninger på evnen til at føre motorkøretøj eller betjene maskiner</w:t>
      </w:r>
    </w:p>
    <w:p w14:paraId="39296295" w14:textId="77777777" w:rsidR="00E647D4" w:rsidRPr="00E90DD6" w:rsidRDefault="00E647D4" w:rsidP="00E647D4">
      <w:pPr>
        <w:ind w:left="851"/>
        <w:rPr>
          <w:sz w:val="24"/>
          <w:szCs w:val="24"/>
          <w:lang w:eastAsia="da-DK"/>
        </w:rPr>
      </w:pPr>
      <w:r w:rsidRPr="00E90DD6">
        <w:rPr>
          <w:sz w:val="24"/>
          <w:szCs w:val="24"/>
        </w:rPr>
        <w:t>Ikke mærkning.</w:t>
      </w:r>
    </w:p>
    <w:p w14:paraId="03B7B3BE" w14:textId="77777777" w:rsidR="00E647D4" w:rsidRPr="00E90DD6" w:rsidRDefault="00E647D4" w:rsidP="00E647D4">
      <w:pPr>
        <w:ind w:left="851"/>
        <w:rPr>
          <w:sz w:val="24"/>
          <w:szCs w:val="24"/>
        </w:rPr>
      </w:pPr>
      <w:r w:rsidRPr="00E90DD6">
        <w:rPr>
          <w:sz w:val="24"/>
          <w:szCs w:val="24"/>
        </w:rPr>
        <w:t>Der er ikke foretaget undersøgelser af virkningen på evnen til at føre motorkøretøj eller betjene maskiner.</w:t>
      </w:r>
    </w:p>
    <w:p w14:paraId="2DEB3408" w14:textId="77777777" w:rsidR="009260DE" w:rsidRPr="00E90DD6" w:rsidRDefault="009260DE" w:rsidP="009260DE">
      <w:pPr>
        <w:tabs>
          <w:tab w:val="left" w:pos="851"/>
        </w:tabs>
        <w:ind w:left="851"/>
        <w:rPr>
          <w:sz w:val="24"/>
          <w:szCs w:val="24"/>
        </w:rPr>
      </w:pPr>
    </w:p>
    <w:p w14:paraId="3337DB3E" w14:textId="77777777" w:rsidR="009260DE" w:rsidRPr="00E90DD6" w:rsidRDefault="009260DE" w:rsidP="009260DE">
      <w:pPr>
        <w:tabs>
          <w:tab w:val="left" w:pos="851"/>
        </w:tabs>
        <w:ind w:left="851" w:hanging="851"/>
        <w:rPr>
          <w:b/>
          <w:sz w:val="24"/>
          <w:szCs w:val="24"/>
        </w:rPr>
      </w:pPr>
      <w:r w:rsidRPr="00E90DD6">
        <w:rPr>
          <w:b/>
          <w:sz w:val="24"/>
          <w:szCs w:val="24"/>
        </w:rPr>
        <w:t>4.8</w:t>
      </w:r>
      <w:r w:rsidRPr="00E90DD6">
        <w:rPr>
          <w:b/>
          <w:sz w:val="24"/>
          <w:szCs w:val="24"/>
        </w:rPr>
        <w:tab/>
        <w:t>Bivirkninger</w:t>
      </w:r>
    </w:p>
    <w:p w14:paraId="49583F6E" w14:textId="77777777" w:rsidR="00E647D4" w:rsidRPr="00E90DD6" w:rsidRDefault="00E647D4" w:rsidP="0007645B">
      <w:pPr>
        <w:ind w:left="851"/>
        <w:rPr>
          <w:sz w:val="24"/>
          <w:szCs w:val="24"/>
          <w:lang w:eastAsia="da-DK"/>
        </w:rPr>
      </w:pPr>
      <w:r w:rsidRPr="00E90DD6">
        <w:rPr>
          <w:sz w:val="24"/>
          <w:szCs w:val="24"/>
        </w:rPr>
        <w:t>Følgende hyppigheder er anvendt for bivirkninger:</w:t>
      </w:r>
    </w:p>
    <w:p w14:paraId="598637D3" w14:textId="77777777" w:rsidR="00E647D4" w:rsidRPr="00E90DD6" w:rsidRDefault="00E647D4" w:rsidP="0007645B">
      <w:pPr>
        <w:ind w:left="851"/>
        <w:rPr>
          <w:sz w:val="24"/>
          <w:szCs w:val="24"/>
        </w:rPr>
      </w:pPr>
    </w:p>
    <w:p w14:paraId="0D1883D4" w14:textId="77777777" w:rsidR="00E647D4" w:rsidRPr="00E90DD6" w:rsidRDefault="00E647D4" w:rsidP="0007645B">
      <w:pPr>
        <w:ind w:left="851"/>
        <w:rPr>
          <w:sz w:val="24"/>
          <w:szCs w:val="24"/>
        </w:rPr>
      </w:pPr>
      <w:r w:rsidRPr="00E90DD6">
        <w:rPr>
          <w:sz w:val="24"/>
          <w:szCs w:val="24"/>
        </w:rPr>
        <w:t>Meget almindelig: (&gt;1/10)</w:t>
      </w:r>
    </w:p>
    <w:p w14:paraId="00861E42" w14:textId="77777777" w:rsidR="00E647D4" w:rsidRPr="00E90DD6" w:rsidRDefault="00E647D4" w:rsidP="0007645B">
      <w:pPr>
        <w:ind w:left="851"/>
        <w:rPr>
          <w:sz w:val="24"/>
          <w:szCs w:val="24"/>
        </w:rPr>
      </w:pPr>
      <w:r w:rsidRPr="00E90DD6">
        <w:rPr>
          <w:sz w:val="24"/>
          <w:szCs w:val="24"/>
        </w:rPr>
        <w:t>Almindelig: (≥1/100 til &lt;1/10)</w:t>
      </w:r>
    </w:p>
    <w:p w14:paraId="34436CF8" w14:textId="77777777" w:rsidR="00E647D4" w:rsidRPr="00E90DD6" w:rsidRDefault="00E647D4" w:rsidP="0007645B">
      <w:pPr>
        <w:ind w:left="851"/>
        <w:rPr>
          <w:sz w:val="24"/>
          <w:szCs w:val="24"/>
        </w:rPr>
      </w:pPr>
      <w:r w:rsidRPr="00E90DD6">
        <w:rPr>
          <w:sz w:val="24"/>
          <w:szCs w:val="24"/>
        </w:rPr>
        <w:t>Ikke almindelig: (≥1/1.000 til &lt;1/100)</w:t>
      </w:r>
      <w:r w:rsidRPr="00E90DD6">
        <w:rPr>
          <w:sz w:val="24"/>
          <w:szCs w:val="24"/>
        </w:rPr>
        <w:br/>
        <w:t>Sjælden: (≥1/10.000 til &lt;1/1.000)</w:t>
      </w:r>
    </w:p>
    <w:p w14:paraId="19B83945" w14:textId="77777777" w:rsidR="00E647D4" w:rsidRPr="00E90DD6" w:rsidRDefault="00E647D4" w:rsidP="0007645B">
      <w:pPr>
        <w:ind w:left="851"/>
        <w:rPr>
          <w:sz w:val="24"/>
          <w:szCs w:val="24"/>
        </w:rPr>
      </w:pPr>
      <w:r w:rsidRPr="00E90DD6">
        <w:rPr>
          <w:sz w:val="24"/>
          <w:szCs w:val="24"/>
        </w:rPr>
        <w:t>Meget sjælden: (&lt;1/10.000), ikke kendt (kan ikke estimeres ud fra forhåndenværende</w:t>
      </w:r>
    </w:p>
    <w:p w14:paraId="4B79BC82" w14:textId="77777777" w:rsidR="00E647D4" w:rsidRPr="00E90DD6" w:rsidRDefault="00E647D4" w:rsidP="0007645B">
      <w:pPr>
        <w:ind w:left="851"/>
        <w:rPr>
          <w:sz w:val="24"/>
          <w:szCs w:val="24"/>
        </w:rPr>
      </w:pPr>
      <w:r w:rsidRPr="00E90DD6">
        <w:rPr>
          <w:sz w:val="24"/>
          <w:szCs w:val="24"/>
        </w:rPr>
        <w:t>data).</w:t>
      </w:r>
    </w:p>
    <w:p w14:paraId="18419E69" w14:textId="77777777" w:rsidR="00E647D4" w:rsidRPr="00E90DD6" w:rsidRDefault="00E647D4" w:rsidP="00E647D4">
      <w:pPr>
        <w:ind w:left="851"/>
        <w:rPr>
          <w:sz w:val="24"/>
          <w:szCs w:val="24"/>
        </w:rPr>
      </w:pPr>
    </w:p>
    <w:tbl>
      <w:tblPr>
        <w:tblW w:w="5000" w:type="pct"/>
        <w:tblLook w:val="04A0" w:firstRow="1" w:lastRow="0" w:firstColumn="1" w:lastColumn="0" w:noHBand="0" w:noVBand="1"/>
      </w:tblPr>
      <w:tblGrid>
        <w:gridCol w:w="2407"/>
        <w:gridCol w:w="2888"/>
        <w:gridCol w:w="4333"/>
      </w:tblGrid>
      <w:tr w:rsidR="00E647D4" w:rsidRPr="00E90DD6" w14:paraId="6B629EE0" w14:textId="77777777" w:rsidTr="0054239A">
        <w:trPr>
          <w:cantSplit/>
          <w:tblHeader/>
        </w:trPr>
        <w:tc>
          <w:tcPr>
            <w:tcW w:w="1250" w:type="pct"/>
            <w:tcBorders>
              <w:top w:val="single" w:sz="4" w:space="0" w:color="auto"/>
              <w:left w:val="single" w:sz="4" w:space="0" w:color="auto"/>
              <w:bottom w:val="single" w:sz="4" w:space="0" w:color="auto"/>
              <w:right w:val="single" w:sz="4" w:space="0" w:color="auto"/>
            </w:tcBorders>
            <w:hideMark/>
          </w:tcPr>
          <w:p w14:paraId="2866CF67" w14:textId="77777777" w:rsidR="00E647D4" w:rsidRPr="00E90DD6" w:rsidRDefault="00E647D4">
            <w:pPr>
              <w:rPr>
                <w:b/>
                <w:sz w:val="24"/>
                <w:szCs w:val="24"/>
              </w:rPr>
            </w:pPr>
            <w:r w:rsidRPr="00E90DD6">
              <w:rPr>
                <w:b/>
                <w:sz w:val="24"/>
                <w:szCs w:val="24"/>
              </w:rPr>
              <w:t>Systemorganklasse</w:t>
            </w:r>
          </w:p>
        </w:tc>
        <w:tc>
          <w:tcPr>
            <w:tcW w:w="1500" w:type="pct"/>
            <w:tcBorders>
              <w:top w:val="single" w:sz="4" w:space="0" w:color="auto"/>
              <w:left w:val="single" w:sz="4" w:space="0" w:color="auto"/>
              <w:bottom w:val="single" w:sz="4" w:space="0" w:color="auto"/>
              <w:right w:val="single" w:sz="4" w:space="0" w:color="auto"/>
            </w:tcBorders>
            <w:hideMark/>
          </w:tcPr>
          <w:p w14:paraId="0B2F712C" w14:textId="77777777" w:rsidR="00E647D4" w:rsidRPr="00E90DD6" w:rsidRDefault="00E647D4">
            <w:pPr>
              <w:rPr>
                <w:b/>
                <w:sz w:val="24"/>
                <w:szCs w:val="24"/>
              </w:rPr>
            </w:pPr>
            <w:r w:rsidRPr="00E90DD6">
              <w:rPr>
                <w:b/>
                <w:sz w:val="24"/>
                <w:szCs w:val="24"/>
              </w:rPr>
              <w:t xml:space="preserve">Hyppighed i henhold til </w:t>
            </w:r>
            <w:proofErr w:type="spellStart"/>
            <w:r w:rsidRPr="00E90DD6">
              <w:rPr>
                <w:b/>
                <w:sz w:val="24"/>
                <w:szCs w:val="24"/>
              </w:rPr>
              <w:t>MedDRA</w:t>
            </w:r>
            <w:proofErr w:type="spellEnd"/>
            <w:r w:rsidRPr="00E90DD6">
              <w:rPr>
                <w:b/>
                <w:sz w:val="24"/>
                <w:szCs w:val="24"/>
              </w:rPr>
              <w:t>-konventionen</w:t>
            </w:r>
          </w:p>
        </w:tc>
        <w:tc>
          <w:tcPr>
            <w:tcW w:w="2250" w:type="pct"/>
            <w:tcBorders>
              <w:top w:val="single" w:sz="4" w:space="0" w:color="auto"/>
              <w:left w:val="single" w:sz="4" w:space="0" w:color="auto"/>
              <w:bottom w:val="single" w:sz="4" w:space="0" w:color="auto"/>
              <w:right w:val="single" w:sz="4" w:space="0" w:color="auto"/>
            </w:tcBorders>
            <w:hideMark/>
          </w:tcPr>
          <w:p w14:paraId="361554CA" w14:textId="77777777" w:rsidR="00E647D4" w:rsidRPr="00E90DD6" w:rsidRDefault="00E647D4">
            <w:pPr>
              <w:rPr>
                <w:b/>
                <w:sz w:val="24"/>
                <w:szCs w:val="24"/>
              </w:rPr>
            </w:pPr>
            <w:r w:rsidRPr="00E90DD6">
              <w:rPr>
                <w:b/>
                <w:sz w:val="24"/>
                <w:szCs w:val="24"/>
              </w:rPr>
              <w:t>Bivirkning</w:t>
            </w:r>
          </w:p>
        </w:tc>
      </w:tr>
      <w:tr w:rsidR="00E647D4" w:rsidRPr="00E90DD6" w14:paraId="56B6B3D5" w14:textId="77777777" w:rsidTr="0054239A">
        <w:trPr>
          <w:cantSplit/>
          <w:trHeight w:val="2610"/>
        </w:trPr>
        <w:tc>
          <w:tcPr>
            <w:tcW w:w="1250" w:type="pct"/>
            <w:vMerge w:val="restart"/>
            <w:tcBorders>
              <w:top w:val="single" w:sz="4" w:space="0" w:color="auto"/>
              <w:left w:val="single" w:sz="4" w:space="0" w:color="auto"/>
              <w:bottom w:val="single" w:sz="4" w:space="0" w:color="auto"/>
              <w:right w:val="single" w:sz="4" w:space="0" w:color="auto"/>
            </w:tcBorders>
            <w:hideMark/>
          </w:tcPr>
          <w:p w14:paraId="4175DAE1" w14:textId="77777777" w:rsidR="00E647D4" w:rsidRPr="00E90DD6" w:rsidRDefault="00E647D4">
            <w:pPr>
              <w:rPr>
                <w:color w:val="000000"/>
                <w:sz w:val="24"/>
                <w:szCs w:val="24"/>
              </w:rPr>
            </w:pPr>
            <w:r w:rsidRPr="00E90DD6">
              <w:rPr>
                <w:i/>
                <w:sz w:val="24"/>
                <w:szCs w:val="24"/>
              </w:rPr>
              <w:t>Metabolisme og ernæring</w:t>
            </w:r>
          </w:p>
        </w:tc>
        <w:tc>
          <w:tcPr>
            <w:tcW w:w="1500" w:type="pct"/>
            <w:tcBorders>
              <w:top w:val="single" w:sz="4" w:space="0" w:color="auto"/>
              <w:left w:val="single" w:sz="4" w:space="0" w:color="auto"/>
              <w:bottom w:val="single" w:sz="4" w:space="0" w:color="auto"/>
              <w:right w:val="single" w:sz="4" w:space="0" w:color="auto"/>
            </w:tcBorders>
            <w:hideMark/>
          </w:tcPr>
          <w:p w14:paraId="615ACBF8" w14:textId="77777777" w:rsidR="00E647D4" w:rsidRPr="00E90DD6" w:rsidRDefault="00E647D4">
            <w:pPr>
              <w:widowControl w:val="0"/>
              <w:tabs>
                <w:tab w:val="left" w:pos="1134"/>
                <w:tab w:val="left" w:pos="1701"/>
                <w:tab w:val="right" w:pos="3969"/>
                <w:tab w:val="right" w:pos="5670"/>
                <w:tab w:val="right" w:pos="7056"/>
              </w:tabs>
              <w:autoSpaceDE w:val="0"/>
              <w:autoSpaceDN w:val="0"/>
              <w:adjustRightInd w:val="0"/>
              <w:ind w:right="113"/>
              <w:rPr>
                <w:color w:val="000000"/>
                <w:sz w:val="24"/>
                <w:szCs w:val="24"/>
              </w:rPr>
            </w:pPr>
            <w:r w:rsidRPr="00E90DD6">
              <w:rPr>
                <w:sz w:val="24"/>
                <w:szCs w:val="24"/>
              </w:rPr>
              <w:t>Almindelig</w:t>
            </w:r>
          </w:p>
        </w:tc>
        <w:tc>
          <w:tcPr>
            <w:tcW w:w="2250" w:type="pct"/>
            <w:tcBorders>
              <w:top w:val="single" w:sz="4" w:space="0" w:color="auto"/>
              <w:left w:val="single" w:sz="4" w:space="0" w:color="auto"/>
              <w:bottom w:val="single" w:sz="4" w:space="0" w:color="auto"/>
              <w:right w:val="single" w:sz="4" w:space="0" w:color="auto"/>
            </w:tcBorders>
            <w:hideMark/>
          </w:tcPr>
          <w:p w14:paraId="734FC7F3" w14:textId="77777777" w:rsidR="00E647D4" w:rsidRPr="00E90DD6" w:rsidRDefault="00E647D4">
            <w:pPr>
              <w:rPr>
                <w:color w:val="000000"/>
                <w:sz w:val="24"/>
                <w:szCs w:val="24"/>
              </w:rPr>
            </w:pPr>
            <w:proofErr w:type="spellStart"/>
            <w:r w:rsidRPr="00E90DD6">
              <w:rPr>
                <w:sz w:val="24"/>
                <w:szCs w:val="24"/>
              </w:rPr>
              <w:t>Cushings</w:t>
            </w:r>
            <w:proofErr w:type="spellEnd"/>
            <w:r w:rsidRPr="00E90DD6">
              <w:rPr>
                <w:sz w:val="24"/>
                <w:szCs w:val="24"/>
              </w:rPr>
              <w:t xml:space="preserve"> syndrom: måneansigt, </w:t>
            </w:r>
            <w:proofErr w:type="spellStart"/>
            <w:r w:rsidRPr="00E90DD6">
              <w:rPr>
                <w:sz w:val="24"/>
                <w:szCs w:val="24"/>
              </w:rPr>
              <w:t>truncus</w:t>
            </w:r>
            <w:proofErr w:type="spellEnd"/>
            <w:r w:rsidRPr="00E90DD6">
              <w:rPr>
                <w:sz w:val="24"/>
                <w:szCs w:val="24"/>
              </w:rPr>
              <w:t xml:space="preserve">-lokaliseret </w:t>
            </w:r>
            <w:proofErr w:type="spellStart"/>
            <w:r w:rsidRPr="00E90DD6">
              <w:rPr>
                <w:sz w:val="24"/>
                <w:szCs w:val="24"/>
              </w:rPr>
              <w:t>adipositas</w:t>
            </w:r>
            <w:proofErr w:type="spellEnd"/>
            <w:r w:rsidRPr="00E90DD6">
              <w:rPr>
                <w:sz w:val="24"/>
                <w:szCs w:val="24"/>
              </w:rPr>
              <w:t xml:space="preserve">, nedsat </w:t>
            </w:r>
            <w:proofErr w:type="spellStart"/>
            <w:r w:rsidRPr="00E90DD6">
              <w:rPr>
                <w:sz w:val="24"/>
                <w:szCs w:val="24"/>
              </w:rPr>
              <w:t>glucosetolerance</w:t>
            </w:r>
            <w:proofErr w:type="spellEnd"/>
            <w:r w:rsidRPr="00E90DD6">
              <w:rPr>
                <w:sz w:val="24"/>
                <w:szCs w:val="24"/>
              </w:rPr>
              <w:t>, diabetes mellitus, hypertension, natriumretention med ødemdannelse, øget udskillelse af kalium, inaktivitet eller atrofi af binyrebark, røde striber i huden, steroid-akne, forstyrrelser i kønshormon</w:t>
            </w:r>
            <w:r w:rsidRPr="00E90DD6">
              <w:rPr>
                <w:sz w:val="24"/>
                <w:szCs w:val="24"/>
              </w:rPr>
              <w:softHyphen/>
              <w:t xml:space="preserve">udskillelsen (f.eks. </w:t>
            </w:r>
            <w:proofErr w:type="spellStart"/>
            <w:r w:rsidRPr="00E90DD6">
              <w:rPr>
                <w:sz w:val="24"/>
                <w:szCs w:val="24"/>
              </w:rPr>
              <w:t>amenorré</w:t>
            </w:r>
            <w:proofErr w:type="spellEnd"/>
            <w:r w:rsidRPr="00E90DD6">
              <w:rPr>
                <w:sz w:val="24"/>
                <w:szCs w:val="24"/>
              </w:rPr>
              <w:t xml:space="preserve">, </w:t>
            </w:r>
            <w:proofErr w:type="spellStart"/>
            <w:r w:rsidRPr="00E90DD6">
              <w:rPr>
                <w:sz w:val="24"/>
                <w:szCs w:val="24"/>
              </w:rPr>
              <w:t>hirsutisme</w:t>
            </w:r>
            <w:proofErr w:type="spellEnd"/>
            <w:r w:rsidRPr="00E90DD6">
              <w:rPr>
                <w:sz w:val="24"/>
                <w:szCs w:val="24"/>
              </w:rPr>
              <w:t>, impotens)</w:t>
            </w:r>
          </w:p>
        </w:tc>
      </w:tr>
      <w:tr w:rsidR="00E647D4" w:rsidRPr="00E90DD6" w14:paraId="54DCC333" w14:textId="77777777" w:rsidTr="0054239A">
        <w:trPr>
          <w:cantSplit/>
          <w:trHeight w:val="859"/>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3A1DC447" w14:textId="77777777" w:rsidR="00E647D4" w:rsidRPr="00E90DD6" w:rsidRDefault="00E647D4">
            <w:pPr>
              <w:rPr>
                <w:color w:val="000000"/>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14:paraId="22FF9FBA" w14:textId="77777777" w:rsidR="00E647D4" w:rsidRPr="00E90DD6" w:rsidRDefault="00E647D4">
            <w:pPr>
              <w:widowControl w:val="0"/>
              <w:tabs>
                <w:tab w:val="left" w:pos="1134"/>
                <w:tab w:val="left" w:pos="1701"/>
                <w:tab w:val="right" w:pos="3969"/>
                <w:tab w:val="right" w:pos="5670"/>
                <w:tab w:val="right" w:pos="7056"/>
              </w:tabs>
              <w:autoSpaceDE w:val="0"/>
              <w:autoSpaceDN w:val="0"/>
              <w:adjustRightInd w:val="0"/>
              <w:ind w:right="113"/>
              <w:rPr>
                <w:sz w:val="24"/>
                <w:szCs w:val="24"/>
              </w:rPr>
            </w:pPr>
            <w:r w:rsidRPr="00E90DD6">
              <w:rPr>
                <w:sz w:val="24"/>
                <w:szCs w:val="24"/>
              </w:rPr>
              <w:t xml:space="preserve">Meget sjælden </w:t>
            </w:r>
          </w:p>
        </w:tc>
        <w:tc>
          <w:tcPr>
            <w:tcW w:w="2250" w:type="pct"/>
            <w:tcBorders>
              <w:top w:val="single" w:sz="4" w:space="0" w:color="auto"/>
              <w:left w:val="single" w:sz="4" w:space="0" w:color="auto"/>
              <w:bottom w:val="single" w:sz="4" w:space="0" w:color="auto"/>
              <w:right w:val="single" w:sz="4" w:space="0" w:color="auto"/>
            </w:tcBorders>
            <w:hideMark/>
          </w:tcPr>
          <w:p w14:paraId="439F646F" w14:textId="77777777" w:rsidR="00E647D4" w:rsidRPr="00E90DD6" w:rsidRDefault="00E647D4">
            <w:pPr>
              <w:widowControl w:val="0"/>
              <w:tabs>
                <w:tab w:val="left" w:pos="1134"/>
                <w:tab w:val="left" w:pos="1701"/>
                <w:tab w:val="right" w:pos="3969"/>
                <w:tab w:val="right" w:pos="5670"/>
                <w:tab w:val="right" w:pos="7056"/>
              </w:tabs>
              <w:autoSpaceDE w:val="0"/>
              <w:autoSpaceDN w:val="0"/>
              <w:adjustRightInd w:val="0"/>
              <w:ind w:right="113"/>
              <w:rPr>
                <w:sz w:val="24"/>
                <w:szCs w:val="24"/>
              </w:rPr>
            </w:pPr>
            <w:r w:rsidRPr="00E90DD6">
              <w:rPr>
                <w:sz w:val="24"/>
                <w:szCs w:val="24"/>
              </w:rPr>
              <w:t>Væksthæmning hos børn</w:t>
            </w:r>
          </w:p>
        </w:tc>
      </w:tr>
      <w:tr w:rsidR="00E647D4" w:rsidRPr="00E90DD6" w14:paraId="4FE99C26" w14:textId="77777777" w:rsidTr="0054239A">
        <w:trPr>
          <w:cantSplit/>
        </w:trPr>
        <w:tc>
          <w:tcPr>
            <w:tcW w:w="1250" w:type="pct"/>
            <w:tcBorders>
              <w:top w:val="single" w:sz="4" w:space="0" w:color="auto"/>
              <w:left w:val="single" w:sz="4" w:space="0" w:color="auto"/>
              <w:bottom w:val="single" w:sz="4" w:space="0" w:color="auto"/>
              <w:right w:val="single" w:sz="4" w:space="0" w:color="auto"/>
            </w:tcBorders>
            <w:hideMark/>
          </w:tcPr>
          <w:p w14:paraId="3439634E" w14:textId="77777777" w:rsidR="00E647D4" w:rsidRPr="00E90DD6" w:rsidRDefault="00E647D4">
            <w:pPr>
              <w:pStyle w:val="A-TableText"/>
              <w:spacing w:before="0" w:after="0"/>
              <w:ind w:right="113"/>
              <w:rPr>
                <w:color w:val="000000"/>
                <w:sz w:val="24"/>
                <w:szCs w:val="24"/>
                <w:lang w:val="da-DK"/>
              </w:rPr>
            </w:pPr>
            <w:r w:rsidRPr="00E90DD6">
              <w:rPr>
                <w:i/>
                <w:sz w:val="24"/>
                <w:szCs w:val="24"/>
                <w:lang w:val="da-DK"/>
              </w:rPr>
              <w:t>Øjne</w:t>
            </w:r>
          </w:p>
        </w:tc>
        <w:tc>
          <w:tcPr>
            <w:tcW w:w="1500" w:type="pct"/>
            <w:tcBorders>
              <w:top w:val="single" w:sz="4" w:space="0" w:color="auto"/>
              <w:left w:val="single" w:sz="4" w:space="0" w:color="auto"/>
              <w:bottom w:val="single" w:sz="4" w:space="0" w:color="auto"/>
              <w:right w:val="single" w:sz="4" w:space="0" w:color="auto"/>
            </w:tcBorders>
            <w:hideMark/>
          </w:tcPr>
          <w:p w14:paraId="18A370C5" w14:textId="77777777" w:rsidR="00E647D4" w:rsidRPr="00E90DD6" w:rsidRDefault="00E647D4">
            <w:pPr>
              <w:pStyle w:val="A-TableText"/>
              <w:spacing w:before="0" w:after="0"/>
              <w:ind w:right="113"/>
              <w:rPr>
                <w:color w:val="000000"/>
                <w:sz w:val="24"/>
                <w:szCs w:val="24"/>
                <w:lang w:val="da-DK"/>
              </w:rPr>
            </w:pPr>
            <w:r w:rsidRPr="00E90DD6">
              <w:rPr>
                <w:sz w:val="24"/>
                <w:szCs w:val="24"/>
                <w:lang w:val="da-DK"/>
              </w:rPr>
              <w:t>Sjælden</w:t>
            </w:r>
          </w:p>
        </w:tc>
        <w:tc>
          <w:tcPr>
            <w:tcW w:w="2250" w:type="pct"/>
            <w:tcBorders>
              <w:top w:val="single" w:sz="4" w:space="0" w:color="auto"/>
              <w:left w:val="single" w:sz="4" w:space="0" w:color="auto"/>
              <w:bottom w:val="single" w:sz="4" w:space="0" w:color="auto"/>
              <w:right w:val="single" w:sz="4" w:space="0" w:color="auto"/>
            </w:tcBorders>
            <w:hideMark/>
          </w:tcPr>
          <w:p w14:paraId="5129E957" w14:textId="77777777" w:rsidR="00E647D4" w:rsidRPr="00E90DD6" w:rsidRDefault="00E647D4">
            <w:pPr>
              <w:rPr>
                <w:color w:val="000000"/>
                <w:sz w:val="24"/>
                <w:szCs w:val="24"/>
              </w:rPr>
            </w:pPr>
            <w:proofErr w:type="spellStart"/>
            <w:r w:rsidRPr="00E90DD6">
              <w:rPr>
                <w:sz w:val="24"/>
                <w:szCs w:val="24"/>
              </w:rPr>
              <w:t>Glaukom</w:t>
            </w:r>
            <w:proofErr w:type="spellEnd"/>
            <w:r w:rsidRPr="00E90DD6">
              <w:rPr>
                <w:sz w:val="24"/>
                <w:szCs w:val="24"/>
              </w:rPr>
              <w:t>, katarakt, sløret syn (se også pkt. 4.4)</w:t>
            </w:r>
          </w:p>
        </w:tc>
      </w:tr>
      <w:tr w:rsidR="00E647D4" w:rsidRPr="00E90DD6" w14:paraId="1A5FD3D1" w14:textId="77777777" w:rsidTr="0054239A">
        <w:tc>
          <w:tcPr>
            <w:tcW w:w="1250" w:type="pct"/>
            <w:vMerge w:val="restart"/>
            <w:tcBorders>
              <w:top w:val="single" w:sz="4" w:space="0" w:color="auto"/>
              <w:left w:val="single" w:sz="4" w:space="0" w:color="auto"/>
              <w:bottom w:val="single" w:sz="4" w:space="0" w:color="auto"/>
              <w:right w:val="single" w:sz="4" w:space="0" w:color="auto"/>
            </w:tcBorders>
            <w:hideMark/>
          </w:tcPr>
          <w:p w14:paraId="50184D13" w14:textId="77777777" w:rsidR="00E647D4" w:rsidRPr="00E90DD6" w:rsidRDefault="00E647D4">
            <w:pPr>
              <w:rPr>
                <w:color w:val="000000"/>
                <w:sz w:val="24"/>
                <w:szCs w:val="24"/>
              </w:rPr>
            </w:pPr>
            <w:r w:rsidRPr="00E90DD6">
              <w:rPr>
                <w:i/>
                <w:sz w:val="24"/>
                <w:szCs w:val="24"/>
              </w:rPr>
              <w:t>Mave-tarm-kanalen</w:t>
            </w:r>
          </w:p>
        </w:tc>
        <w:tc>
          <w:tcPr>
            <w:tcW w:w="1500" w:type="pct"/>
            <w:tcBorders>
              <w:top w:val="single" w:sz="4" w:space="0" w:color="auto"/>
              <w:left w:val="single" w:sz="4" w:space="0" w:color="auto"/>
              <w:bottom w:val="single" w:sz="4" w:space="0" w:color="auto"/>
              <w:right w:val="single" w:sz="4" w:space="0" w:color="auto"/>
            </w:tcBorders>
            <w:hideMark/>
          </w:tcPr>
          <w:p w14:paraId="4F51A1A0" w14:textId="77777777" w:rsidR="00E647D4" w:rsidRPr="00E90DD6" w:rsidRDefault="00E647D4">
            <w:pPr>
              <w:pStyle w:val="A-TableText"/>
              <w:spacing w:before="0" w:after="0"/>
              <w:ind w:right="113"/>
              <w:rPr>
                <w:color w:val="000000"/>
                <w:sz w:val="24"/>
                <w:szCs w:val="24"/>
                <w:lang w:val="da-DK"/>
              </w:rPr>
            </w:pPr>
            <w:r w:rsidRPr="00E90DD6">
              <w:rPr>
                <w:sz w:val="24"/>
                <w:szCs w:val="24"/>
                <w:lang w:val="da-DK"/>
              </w:rPr>
              <w:t>Almindelig</w:t>
            </w:r>
          </w:p>
        </w:tc>
        <w:tc>
          <w:tcPr>
            <w:tcW w:w="2250" w:type="pct"/>
            <w:tcBorders>
              <w:top w:val="single" w:sz="4" w:space="0" w:color="auto"/>
              <w:left w:val="single" w:sz="4" w:space="0" w:color="auto"/>
              <w:bottom w:val="single" w:sz="4" w:space="0" w:color="auto"/>
              <w:right w:val="single" w:sz="4" w:space="0" w:color="auto"/>
            </w:tcBorders>
            <w:hideMark/>
          </w:tcPr>
          <w:p w14:paraId="09B25B28" w14:textId="77777777" w:rsidR="00E647D4" w:rsidRPr="00E90DD6" w:rsidRDefault="00E647D4">
            <w:pPr>
              <w:rPr>
                <w:sz w:val="24"/>
                <w:szCs w:val="24"/>
              </w:rPr>
            </w:pPr>
            <w:r w:rsidRPr="00E90DD6">
              <w:rPr>
                <w:sz w:val="24"/>
                <w:szCs w:val="24"/>
              </w:rPr>
              <w:t xml:space="preserve">Dyspepsi, </w:t>
            </w:r>
            <w:proofErr w:type="spellStart"/>
            <w:r w:rsidRPr="00E90DD6">
              <w:rPr>
                <w:sz w:val="24"/>
                <w:szCs w:val="24"/>
              </w:rPr>
              <w:t>abdominalsmerter</w:t>
            </w:r>
            <w:proofErr w:type="spellEnd"/>
          </w:p>
        </w:tc>
      </w:tr>
      <w:tr w:rsidR="00E647D4" w:rsidRPr="00E90DD6" w14:paraId="001BD8F4" w14:textId="77777777" w:rsidTr="0054239A">
        <w:tc>
          <w:tcPr>
            <w:tcW w:w="1250" w:type="pct"/>
            <w:vMerge/>
            <w:tcBorders>
              <w:top w:val="single" w:sz="4" w:space="0" w:color="auto"/>
              <w:left w:val="single" w:sz="4" w:space="0" w:color="auto"/>
              <w:bottom w:val="single" w:sz="4" w:space="0" w:color="auto"/>
              <w:right w:val="single" w:sz="4" w:space="0" w:color="auto"/>
            </w:tcBorders>
            <w:vAlign w:val="center"/>
            <w:hideMark/>
          </w:tcPr>
          <w:p w14:paraId="694DBAEF" w14:textId="77777777" w:rsidR="00E647D4" w:rsidRPr="00E90DD6" w:rsidRDefault="00E647D4">
            <w:pPr>
              <w:rPr>
                <w:color w:val="000000"/>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14:paraId="66096400" w14:textId="77777777" w:rsidR="00E647D4" w:rsidRPr="00E90DD6" w:rsidRDefault="00E647D4">
            <w:pPr>
              <w:pStyle w:val="A-TableText"/>
              <w:spacing w:before="0" w:after="0"/>
              <w:ind w:right="113"/>
              <w:rPr>
                <w:sz w:val="24"/>
                <w:szCs w:val="24"/>
                <w:lang w:val="da-DK"/>
              </w:rPr>
            </w:pPr>
            <w:r w:rsidRPr="00E90DD6">
              <w:rPr>
                <w:sz w:val="24"/>
                <w:szCs w:val="24"/>
                <w:lang w:val="da-DK"/>
              </w:rPr>
              <w:t xml:space="preserve">Ikke almindelig </w:t>
            </w:r>
          </w:p>
        </w:tc>
        <w:tc>
          <w:tcPr>
            <w:tcW w:w="2250" w:type="pct"/>
            <w:tcBorders>
              <w:top w:val="single" w:sz="4" w:space="0" w:color="auto"/>
              <w:left w:val="single" w:sz="4" w:space="0" w:color="auto"/>
              <w:bottom w:val="single" w:sz="4" w:space="0" w:color="auto"/>
              <w:right w:val="single" w:sz="4" w:space="0" w:color="auto"/>
            </w:tcBorders>
            <w:hideMark/>
          </w:tcPr>
          <w:p w14:paraId="114E3389" w14:textId="77777777" w:rsidR="00E647D4" w:rsidRPr="00E90DD6" w:rsidRDefault="00E647D4">
            <w:pPr>
              <w:rPr>
                <w:sz w:val="24"/>
                <w:szCs w:val="24"/>
              </w:rPr>
            </w:pPr>
            <w:r w:rsidRPr="00E90DD6">
              <w:rPr>
                <w:sz w:val="24"/>
                <w:szCs w:val="24"/>
              </w:rPr>
              <w:t xml:space="preserve">Ulcus </w:t>
            </w:r>
            <w:proofErr w:type="spellStart"/>
            <w:r w:rsidRPr="00E90DD6">
              <w:rPr>
                <w:sz w:val="24"/>
                <w:szCs w:val="24"/>
              </w:rPr>
              <w:t>gastroduodeni</w:t>
            </w:r>
            <w:proofErr w:type="spellEnd"/>
          </w:p>
        </w:tc>
      </w:tr>
      <w:tr w:rsidR="00E647D4" w:rsidRPr="00E90DD6" w14:paraId="0C0C0D1C" w14:textId="77777777" w:rsidTr="0054239A">
        <w:tc>
          <w:tcPr>
            <w:tcW w:w="1250" w:type="pct"/>
            <w:vMerge/>
            <w:tcBorders>
              <w:top w:val="single" w:sz="4" w:space="0" w:color="auto"/>
              <w:left w:val="single" w:sz="4" w:space="0" w:color="auto"/>
              <w:bottom w:val="single" w:sz="4" w:space="0" w:color="auto"/>
              <w:right w:val="single" w:sz="4" w:space="0" w:color="auto"/>
            </w:tcBorders>
            <w:vAlign w:val="center"/>
            <w:hideMark/>
          </w:tcPr>
          <w:p w14:paraId="475EB55F" w14:textId="77777777" w:rsidR="00E647D4" w:rsidRPr="00E90DD6" w:rsidRDefault="00E647D4">
            <w:pPr>
              <w:rPr>
                <w:color w:val="000000"/>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14:paraId="1760E837" w14:textId="77777777" w:rsidR="00E647D4" w:rsidRPr="00E90DD6" w:rsidRDefault="00E647D4">
            <w:pPr>
              <w:pStyle w:val="A-TableText"/>
              <w:spacing w:before="0" w:after="0"/>
              <w:ind w:right="113"/>
              <w:rPr>
                <w:sz w:val="24"/>
                <w:szCs w:val="24"/>
                <w:lang w:val="da-DK"/>
              </w:rPr>
            </w:pPr>
            <w:r w:rsidRPr="00E90DD6">
              <w:rPr>
                <w:sz w:val="24"/>
                <w:szCs w:val="24"/>
                <w:lang w:val="da-DK"/>
              </w:rPr>
              <w:t>Sjælden</w:t>
            </w:r>
          </w:p>
        </w:tc>
        <w:tc>
          <w:tcPr>
            <w:tcW w:w="2250" w:type="pct"/>
            <w:tcBorders>
              <w:top w:val="single" w:sz="4" w:space="0" w:color="auto"/>
              <w:left w:val="single" w:sz="4" w:space="0" w:color="auto"/>
              <w:bottom w:val="single" w:sz="4" w:space="0" w:color="auto"/>
              <w:right w:val="single" w:sz="4" w:space="0" w:color="auto"/>
            </w:tcBorders>
            <w:hideMark/>
          </w:tcPr>
          <w:p w14:paraId="7BB93AA7" w14:textId="77777777" w:rsidR="00E647D4" w:rsidRPr="00E90DD6" w:rsidRDefault="00E647D4">
            <w:pPr>
              <w:rPr>
                <w:sz w:val="24"/>
                <w:szCs w:val="24"/>
              </w:rPr>
            </w:pPr>
            <w:proofErr w:type="spellStart"/>
            <w:r w:rsidRPr="00E90DD6">
              <w:rPr>
                <w:sz w:val="24"/>
                <w:szCs w:val="24"/>
              </w:rPr>
              <w:t>Pancreatitis</w:t>
            </w:r>
            <w:proofErr w:type="spellEnd"/>
          </w:p>
        </w:tc>
      </w:tr>
      <w:tr w:rsidR="00E647D4" w:rsidRPr="00E90DD6" w14:paraId="3D8AE13C" w14:textId="77777777" w:rsidTr="0054239A">
        <w:tc>
          <w:tcPr>
            <w:tcW w:w="1250" w:type="pct"/>
            <w:vMerge/>
            <w:tcBorders>
              <w:top w:val="single" w:sz="4" w:space="0" w:color="auto"/>
              <w:left w:val="single" w:sz="4" w:space="0" w:color="auto"/>
              <w:bottom w:val="single" w:sz="4" w:space="0" w:color="auto"/>
              <w:right w:val="single" w:sz="4" w:space="0" w:color="auto"/>
            </w:tcBorders>
            <w:vAlign w:val="center"/>
            <w:hideMark/>
          </w:tcPr>
          <w:p w14:paraId="455FA923" w14:textId="77777777" w:rsidR="00E647D4" w:rsidRPr="00E90DD6" w:rsidRDefault="00E647D4">
            <w:pPr>
              <w:rPr>
                <w:color w:val="000000"/>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14:paraId="01E885E0" w14:textId="77777777" w:rsidR="00E647D4" w:rsidRPr="00E90DD6" w:rsidRDefault="00E647D4">
            <w:pPr>
              <w:pStyle w:val="A-TableText"/>
              <w:spacing w:before="0" w:after="0"/>
              <w:ind w:right="113"/>
              <w:rPr>
                <w:sz w:val="24"/>
                <w:szCs w:val="24"/>
                <w:lang w:val="da-DK"/>
              </w:rPr>
            </w:pPr>
            <w:r w:rsidRPr="00E90DD6">
              <w:rPr>
                <w:sz w:val="24"/>
                <w:szCs w:val="24"/>
                <w:lang w:val="da-DK"/>
              </w:rPr>
              <w:t>Meget sjælden</w:t>
            </w:r>
          </w:p>
        </w:tc>
        <w:tc>
          <w:tcPr>
            <w:tcW w:w="2250" w:type="pct"/>
            <w:tcBorders>
              <w:top w:val="single" w:sz="4" w:space="0" w:color="auto"/>
              <w:left w:val="single" w:sz="4" w:space="0" w:color="auto"/>
              <w:bottom w:val="single" w:sz="4" w:space="0" w:color="auto"/>
              <w:right w:val="single" w:sz="4" w:space="0" w:color="auto"/>
            </w:tcBorders>
            <w:hideMark/>
          </w:tcPr>
          <w:p w14:paraId="506493E7" w14:textId="77777777" w:rsidR="00E647D4" w:rsidRPr="00E90DD6" w:rsidRDefault="00E647D4">
            <w:pPr>
              <w:rPr>
                <w:sz w:val="24"/>
                <w:szCs w:val="24"/>
              </w:rPr>
            </w:pPr>
            <w:r w:rsidRPr="00E90DD6">
              <w:rPr>
                <w:sz w:val="24"/>
                <w:szCs w:val="24"/>
              </w:rPr>
              <w:t>Forstoppelse</w:t>
            </w:r>
          </w:p>
        </w:tc>
      </w:tr>
      <w:tr w:rsidR="00E647D4" w:rsidRPr="00E90DD6" w14:paraId="76D42A81" w14:textId="77777777" w:rsidTr="0054239A">
        <w:trPr>
          <w:cantSplit/>
        </w:trPr>
        <w:tc>
          <w:tcPr>
            <w:tcW w:w="1250" w:type="pct"/>
            <w:tcBorders>
              <w:top w:val="single" w:sz="4" w:space="0" w:color="auto"/>
              <w:left w:val="single" w:sz="4" w:space="0" w:color="auto"/>
              <w:bottom w:val="single" w:sz="4" w:space="0" w:color="auto"/>
              <w:right w:val="single" w:sz="4" w:space="0" w:color="auto"/>
            </w:tcBorders>
            <w:hideMark/>
          </w:tcPr>
          <w:p w14:paraId="13EF7CE3" w14:textId="77777777" w:rsidR="00E647D4" w:rsidRPr="00E90DD6" w:rsidRDefault="00E647D4">
            <w:pPr>
              <w:rPr>
                <w:color w:val="000000"/>
                <w:sz w:val="24"/>
                <w:szCs w:val="24"/>
              </w:rPr>
            </w:pPr>
            <w:r w:rsidRPr="00E90DD6">
              <w:rPr>
                <w:i/>
                <w:sz w:val="24"/>
                <w:szCs w:val="24"/>
              </w:rPr>
              <w:t>Immunsystemet</w:t>
            </w:r>
          </w:p>
        </w:tc>
        <w:tc>
          <w:tcPr>
            <w:tcW w:w="1500" w:type="pct"/>
            <w:tcBorders>
              <w:top w:val="single" w:sz="4" w:space="0" w:color="auto"/>
              <w:left w:val="single" w:sz="4" w:space="0" w:color="auto"/>
              <w:bottom w:val="single" w:sz="4" w:space="0" w:color="auto"/>
              <w:right w:val="single" w:sz="4" w:space="0" w:color="auto"/>
            </w:tcBorders>
            <w:hideMark/>
          </w:tcPr>
          <w:p w14:paraId="6596CBE2" w14:textId="77777777" w:rsidR="00E647D4" w:rsidRPr="00E90DD6" w:rsidRDefault="00E647D4">
            <w:pPr>
              <w:pStyle w:val="A-TableText"/>
              <w:spacing w:before="0" w:after="0"/>
              <w:ind w:right="113"/>
              <w:rPr>
                <w:color w:val="000000"/>
                <w:sz w:val="24"/>
                <w:szCs w:val="24"/>
                <w:lang w:val="da-DK"/>
              </w:rPr>
            </w:pPr>
            <w:r w:rsidRPr="00E90DD6">
              <w:rPr>
                <w:color w:val="000000"/>
                <w:sz w:val="24"/>
                <w:szCs w:val="24"/>
                <w:lang w:val="da-DK"/>
              </w:rPr>
              <w:t xml:space="preserve">Almindelig </w:t>
            </w:r>
          </w:p>
        </w:tc>
        <w:tc>
          <w:tcPr>
            <w:tcW w:w="2250" w:type="pct"/>
            <w:tcBorders>
              <w:top w:val="single" w:sz="4" w:space="0" w:color="auto"/>
              <w:left w:val="single" w:sz="4" w:space="0" w:color="auto"/>
              <w:bottom w:val="single" w:sz="4" w:space="0" w:color="auto"/>
              <w:right w:val="single" w:sz="4" w:space="0" w:color="auto"/>
            </w:tcBorders>
            <w:hideMark/>
          </w:tcPr>
          <w:p w14:paraId="65187883" w14:textId="77777777" w:rsidR="00E647D4" w:rsidRPr="00E90DD6" w:rsidRDefault="00E647D4">
            <w:pPr>
              <w:ind w:right="113"/>
              <w:rPr>
                <w:color w:val="000000"/>
                <w:sz w:val="24"/>
                <w:szCs w:val="24"/>
              </w:rPr>
            </w:pPr>
            <w:r w:rsidRPr="00E90DD6">
              <w:rPr>
                <w:sz w:val="24"/>
                <w:szCs w:val="24"/>
              </w:rPr>
              <w:t>Øget risiko for infektioner</w:t>
            </w:r>
          </w:p>
        </w:tc>
      </w:tr>
      <w:tr w:rsidR="00E647D4" w:rsidRPr="00E90DD6" w14:paraId="42195EEF" w14:textId="77777777" w:rsidTr="0054239A">
        <w:trPr>
          <w:cantSplit/>
        </w:trPr>
        <w:tc>
          <w:tcPr>
            <w:tcW w:w="1250" w:type="pct"/>
            <w:vMerge w:val="restart"/>
            <w:tcBorders>
              <w:top w:val="single" w:sz="4" w:space="0" w:color="auto"/>
              <w:left w:val="single" w:sz="4" w:space="0" w:color="auto"/>
              <w:bottom w:val="single" w:sz="4" w:space="0" w:color="auto"/>
              <w:right w:val="single" w:sz="4" w:space="0" w:color="auto"/>
            </w:tcBorders>
            <w:hideMark/>
          </w:tcPr>
          <w:p w14:paraId="446F8CCD" w14:textId="77777777" w:rsidR="00E647D4" w:rsidRPr="00E90DD6" w:rsidRDefault="00E647D4">
            <w:pPr>
              <w:rPr>
                <w:color w:val="000000"/>
                <w:sz w:val="24"/>
                <w:szCs w:val="24"/>
              </w:rPr>
            </w:pPr>
            <w:r w:rsidRPr="00E90DD6">
              <w:rPr>
                <w:i/>
                <w:sz w:val="24"/>
                <w:szCs w:val="24"/>
              </w:rPr>
              <w:t>Knogler, led, muskler og bindevæv</w:t>
            </w:r>
          </w:p>
        </w:tc>
        <w:tc>
          <w:tcPr>
            <w:tcW w:w="1500" w:type="pct"/>
            <w:tcBorders>
              <w:top w:val="single" w:sz="4" w:space="0" w:color="auto"/>
              <w:left w:val="single" w:sz="4" w:space="0" w:color="auto"/>
              <w:bottom w:val="single" w:sz="4" w:space="0" w:color="auto"/>
              <w:right w:val="single" w:sz="4" w:space="0" w:color="auto"/>
            </w:tcBorders>
            <w:hideMark/>
          </w:tcPr>
          <w:p w14:paraId="06796AB8" w14:textId="77777777" w:rsidR="00E647D4" w:rsidRPr="00E90DD6" w:rsidRDefault="00E647D4">
            <w:pPr>
              <w:pStyle w:val="A-TableText"/>
              <w:spacing w:before="0" w:after="0"/>
              <w:ind w:right="113"/>
              <w:rPr>
                <w:color w:val="000000"/>
                <w:sz w:val="24"/>
                <w:szCs w:val="24"/>
                <w:lang w:val="da-DK"/>
              </w:rPr>
            </w:pPr>
            <w:r w:rsidRPr="00E90DD6">
              <w:rPr>
                <w:color w:val="000000"/>
                <w:sz w:val="24"/>
                <w:szCs w:val="24"/>
                <w:lang w:val="da-DK"/>
              </w:rPr>
              <w:t xml:space="preserve">Almindelig </w:t>
            </w:r>
          </w:p>
        </w:tc>
        <w:tc>
          <w:tcPr>
            <w:tcW w:w="2250" w:type="pct"/>
            <w:tcBorders>
              <w:top w:val="single" w:sz="4" w:space="0" w:color="auto"/>
              <w:left w:val="single" w:sz="4" w:space="0" w:color="auto"/>
              <w:bottom w:val="single" w:sz="4" w:space="0" w:color="auto"/>
              <w:right w:val="single" w:sz="4" w:space="0" w:color="auto"/>
            </w:tcBorders>
            <w:hideMark/>
          </w:tcPr>
          <w:p w14:paraId="7AFFCAF0" w14:textId="77777777" w:rsidR="00E647D4" w:rsidRPr="00E90DD6" w:rsidRDefault="00E647D4">
            <w:pPr>
              <w:ind w:right="113"/>
              <w:rPr>
                <w:color w:val="000000"/>
                <w:sz w:val="24"/>
                <w:szCs w:val="24"/>
              </w:rPr>
            </w:pPr>
            <w:r w:rsidRPr="00E90DD6">
              <w:rPr>
                <w:sz w:val="24"/>
                <w:szCs w:val="24"/>
              </w:rPr>
              <w:t>Muskel- og ledsmerter, muskelsvaghed og muskeltrækninger, osteoporose</w:t>
            </w:r>
          </w:p>
        </w:tc>
      </w:tr>
      <w:tr w:rsidR="00E647D4" w:rsidRPr="00E90DD6" w14:paraId="764816EB" w14:textId="77777777" w:rsidTr="0054239A">
        <w:trPr>
          <w:cantSplit/>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625BD981" w14:textId="77777777" w:rsidR="00E647D4" w:rsidRPr="00E90DD6" w:rsidRDefault="00E647D4">
            <w:pPr>
              <w:rPr>
                <w:color w:val="000000"/>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14:paraId="78B40C2B" w14:textId="77777777" w:rsidR="00E647D4" w:rsidRPr="00E90DD6" w:rsidRDefault="00E647D4">
            <w:pPr>
              <w:pStyle w:val="A-TableText"/>
              <w:spacing w:before="0" w:after="0"/>
              <w:ind w:right="113"/>
              <w:rPr>
                <w:color w:val="000000"/>
                <w:sz w:val="24"/>
                <w:szCs w:val="24"/>
                <w:lang w:val="da-DK"/>
              </w:rPr>
            </w:pPr>
            <w:r w:rsidRPr="00E90DD6">
              <w:rPr>
                <w:sz w:val="24"/>
                <w:szCs w:val="24"/>
                <w:lang w:val="da-DK"/>
              </w:rPr>
              <w:t>Sjælden</w:t>
            </w:r>
          </w:p>
        </w:tc>
        <w:tc>
          <w:tcPr>
            <w:tcW w:w="2250" w:type="pct"/>
            <w:tcBorders>
              <w:top w:val="single" w:sz="4" w:space="0" w:color="auto"/>
              <w:left w:val="single" w:sz="4" w:space="0" w:color="auto"/>
              <w:bottom w:val="single" w:sz="4" w:space="0" w:color="auto"/>
              <w:right w:val="single" w:sz="4" w:space="0" w:color="auto"/>
            </w:tcBorders>
            <w:hideMark/>
          </w:tcPr>
          <w:p w14:paraId="2E43B373" w14:textId="77777777" w:rsidR="00E647D4" w:rsidRPr="00E90DD6" w:rsidRDefault="00E647D4">
            <w:pPr>
              <w:rPr>
                <w:color w:val="000000"/>
                <w:sz w:val="24"/>
                <w:szCs w:val="24"/>
              </w:rPr>
            </w:pPr>
            <w:r w:rsidRPr="00E90DD6">
              <w:rPr>
                <w:sz w:val="24"/>
                <w:szCs w:val="24"/>
              </w:rPr>
              <w:t>Knoglenekrose</w:t>
            </w:r>
          </w:p>
        </w:tc>
      </w:tr>
      <w:tr w:rsidR="00E647D4" w:rsidRPr="00E90DD6" w14:paraId="4C44216D" w14:textId="77777777" w:rsidTr="0054239A">
        <w:trPr>
          <w:cantSplit/>
          <w:trHeight w:val="885"/>
        </w:trPr>
        <w:tc>
          <w:tcPr>
            <w:tcW w:w="1250" w:type="pct"/>
            <w:vMerge w:val="restart"/>
            <w:tcBorders>
              <w:top w:val="single" w:sz="4" w:space="0" w:color="auto"/>
              <w:left w:val="single" w:sz="4" w:space="0" w:color="auto"/>
              <w:bottom w:val="single" w:sz="4" w:space="0" w:color="auto"/>
              <w:right w:val="single" w:sz="4" w:space="0" w:color="auto"/>
            </w:tcBorders>
            <w:hideMark/>
          </w:tcPr>
          <w:p w14:paraId="46A434E6" w14:textId="77777777" w:rsidR="00E647D4" w:rsidRPr="00E90DD6" w:rsidRDefault="00E647D4">
            <w:pPr>
              <w:pStyle w:val="A-TableText"/>
              <w:spacing w:before="0" w:after="0"/>
              <w:ind w:right="113"/>
              <w:rPr>
                <w:color w:val="000000"/>
                <w:sz w:val="24"/>
                <w:szCs w:val="24"/>
                <w:lang w:val="da-DK"/>
              </w:rPr>
            </w:pPr>
            <w:r w:rsidRPr="00E90DD6">
              <w:rPr>
                <w:i/>
                <w:sz w:val="24"/>
                <w:szCs w:val="24"/>
                <w:lang w:val="da-DK"/>
              </w:rPr>
              <w:t>Nervesystemet</w:t>
            </w:r>
          </w:p>
        </w:tc>
        <w:tc>
          <w:tcPr>
            <w:tcW w:w="1500" w:type="pct"/>
            <w:tcBorders>
              <w:top w:val="single" w:sz="4" w:space="0" w:color="auto"/>
              <w:left w:val="single" w:sz="4" w:space="0" w:color="auto"/>
              <w:bottom w:val="single" w:sz="4" w:space="0" w:color="auto"/>
              <w:right w:val="single" w:sz="4" w:space="0" w:color="auto"/>
            </w:tcBorders>
            <w:hideMark/>
          </w:tcPr>
          <w:p w14:paraId="248E3B64" w14:textId="77777777" w:rsidR="00E647D4" w:rsidRPr="00E90DD6" w:rsidRDefault="00E647D4">
            <w:pPr>
              <w:pStyle w:val="A-TableText"/>
              <w:spacing w:before="0" w:after="0"/>
              <w:ind w:right="113"/>
              <w:rPr>
                <w:i/>
                <w:color w:val="000000"/>
                <w:sz w:val="24"/>
                <w:szCs w:val="24"/>
                <w:lang w:val="da-DK"/>
              </w:rPr>
            </w:pPr>
            <w:r w:rsidRPr="00E90DD6">
              <w:rPr>
                <w:color w:val="000000"/>
                <w:sz w:val="24"/>
                <w:szCs w:val="24"/>
                <w:lang w:val="da-DK"/>
              </w:rPr>
              <w:t>Almindelig</w:t>
            </w:r>
          </w:p>
        </w:tc>
        <w:tc>
          <w:tcPr>
            <w:tcW w:w="2250" w:type="pct"/>
            <w:tcBorders>
              <w:top w:val="single" w:sz="4" w:space="0" w:color="auto"/>
              <w:left w:val="single" w:sz="4" w:space="0" w:color="auto"/>
              <w:bottom w:val="single" w:sz="4" w:space="0" w:color="auto"/>
              <w:right w:val="single" w:sz="4" w:space="0" w:color="auto"/>
            </w:tcBorders>
            <w:hideMark/>
          </w:tcPr>
          <w:p w14:paraId="7F892B03" w14:textId="77777777" w:rsidR="00E647D4" w:rsidRPr="00E90DD6" w:rsidRDefault="00E647D4">
            <w:pPr>
              <w:pStyle w:val="A-TableText"/>
              <w:spacing w:before="0" w:after="0"/>
              <w:ind w:right="113"/>
              <w:rPr>
                <w:color w:val="000000"/>
                <w:sz w:val="24"/>
                <w:szCs w:val="24"/>
                <w:lang w:val="da-DK"/>
              </w:rPr>
            </w:pPr>
            <w:r w:rsidRPr="00E90DD6">
              <w:rPr>
                <w:sz w:val="24"/>
                <w:szCs w:val="24"/>
                <w:lang w:val="da-DK"/>
              </w:rPr>
              <w:t>Hovedpine</w:t>
            </w:r>
          </w:p>
        </w:tc>
      </w:tr>
      <w:tr w:rsidR="00E647D4" w:rsidRPr="00E90DD6" w14:paraId="7C59ABAA" w14:textId="77777777" w:rsidTr="0054239A">
        <w:trPr>
          <w:cantSplit/>
          <w:trHeight w:val="885"/>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6CC33EDE" w14:textId="77777777" w:rsidR="00E647D4" w:rsidRPr="00E90DD6" w:rsidRDefault="00E647D4">
            <w:pPr>
              <w:rPr>
                <w:color w:val="000000"/>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14:paraId="194FB68C" w14:textId="77777777" w:rsidR="00E647D4" w:rsidRPr="00E90DD6" w:rsidRDefault="00E647D4">
            <w:pPr>
              <w:pStyle w:val="A-TableText"/>
              <w:spacing w:before="0" w:after="0"/>
              <w:ind w:right="113"/>
              <w:rPr>
                <w:color w:val="000000"/>
                <w:sz w:val="24"/>
                <w:szCs w:val="24"/>
                <w:lang w:val="da-DK"/>
              </w:rPr>
            </w:pPr>
            <w:r w:rsidRPr="00E90DD6">
              <w:rPr>
                <w:sz w:val="24"/>
                <w:szCs w:val="24"/>
                <w:lang w:val="da-DK"/>
              </w:rPr>
              <w:t>Meget sjælden</w:t>
            </w:r>
          </w:p>
        </w:tc>
        <w:tc>
          <w:tcPr>
            <w:tcW w:w="2250" w:type="pct"/>
            <w:tcBorders>
              <w:top w:val="single" w:sz="4" w:space="0" w:color="auto"/>
              <w:left w:val="single" w:sz="4" w:space="0" w:color="auto"/>
              <w:bottom w:val="single" w:sz="4" w:space="0" w:color="auto"/>
              <w:right w:val="single" w:sz="4" w:space="0" w:color="auto"/>
            </w:tcBorders>
            <w:hideMark/>
          </w:tcPr>
          <w:p w14:paraId="221AE1EB" w14:textId="77777777" w:rsidR="00E647D4" w:rsidRPr="00E90DD6" w:rsidRDefault="00E647D4">
            <w:pPr>
              <w:pStyle w:val="A-TableText"/>
              <w:spacing w:before="0" w:after="0"/>
              <w:ind w:right="113"/>
              <w:rPr>
                <w:sz w:val="24"/>
                <w:szCs w:val="24"/>
                <w:lang w:val="da-DK"/>
              </w:rPr>
            </w:pPr>
            <w:r w:rsidRPr="00E90DD6">
              <w:rPr>
                <w:sz w:val="24"/>
                <w:szCs w:val="24"/>
                <w:lang w:val="da-DK"/>
              </w:rPr>
              <w:t xml:space="preserve">Pseudotumor </w:t>
            </w:r>
            <w:proofErr w:type="spellStart"/>
            <w:r w:rsidRPr="00E90DD6">
              <w:rPr>
                <w:sz w:val="24"/>
                <w:szCs w:val="24"/>
                <w:lang w:val="da-DK"/>
              </w:rPr>
              <w:t>cerebri</w:t>
            </w:r>
            <w:proofErr w:type="spellEnd"/>
            <w:r w:rsidRPr="00E90DD6">
              <w:rPr>
                <w:sz w:val="24"/>
                <w:szCs w:val="24"/>
                <w:lang w:val="da-DK"/>
              </w:rPr>
              <w:t xml:space="preserve"> inklusive papilødem hos unge</w:t>
            </w:r>
          </w:p>
        </w:tc>
      </w:tr>
      <w:tr w:rsidR="00E647D4" w:rsidRPr="00E90DD6" w14:paraId="37FFF791" w14:textId="77777777" w:rsidTr="0054239A">
        <w:trPr>
          <w:cantSplit/>
          <w:trHeight w:val="1050"/>
        </w:trPr>
        <w:tc>
          <w:tcPr>
            <w:tcW w:w="1250" w:type="pct"/>
            <w:vMerge w:val="restart"/>
            <w:tcBorders>
              <w:top w:val="single" w:sz="4" w:space="0" w:color="auto"/>
              <w:left w:val="single" w:sz="4" w:space="0" w:color="auto"/>
              <w:bottom w:val="single" w:sz="4" w:space="0" w:color="auto"/>
              <w:right w:val="single" w:sz="4" w:space="0" w:color="auto"/>
            </w:tcBorders>
            <w:hideMark/>
          </w:tcPr>
          <w:p w14:paraId="171B9AE9" w14:textId="77777777" w:rsidR="00E647D4" w:rsidRPr="00E90DD6" w:rsidRDefault="00E647D4">
            <w:pPr>
              <w:rPr>
                <w:color w:val="000000"/>
                <w:sz w:val="24"/>
                <w:szCs w:val="24"/>
              </w:rPr>
            </w:pPr>
            <w:r w:rsidRPr="00E90DD6">
              <w:rPr>
                <w:i/>
                <w:sz w:val="24"/>
                <w:szCs w:val="24"/>
              </w:rPr>
              <w:t>Psykiske forstyrrelser</w:t>
            </w:r>
          </w:p>
        </w:tc>
        <w:tc>
          <w:tcPr>
            <w:tcW w:w="1500" w:type="pct"/>
            <w:tcBorders>
              <w:top w:val="single" w:sz="4" w:space="0" w:color="auto"/>
              <w:left w:val="single" w:sz="4" w:space="0" w:color="auto"/>
              <w:bottom w:val="single" w:sz="4" w:space="0" w:color="auto"/>
              <w:right w:val="single" w:sz="4" w:space="0" w:color="auto"/>
            </w:tcBorders>
            <w:hideMark/>
          </w:tcPr>
          <w:p w14:paraId="1912A3C1" w14:textId="77777777" w:rsidR="00E647D4" w:rsidRPr="00E90DD6" w:rsidRDefault="00E647D4">
            <w:pPr>
              <w:pStyle w:val="A-TableText"/>
              <w:spacing w:before="0" w:after="0"/>
              <w:ind w:right="113"/>
              <w:rPr>
                <w:color w:val="000000"/>
                <w:sz w:val="24"/>
                <w:szCs w:val="24"/>
                <w:lang w:val="da-DK"/>
              </w:rPr>
            </w:pPr>
            <w:r w:rsidRPr="00E90DD6">
              <w:rPr>
                <w:color w:val="000000"/>
                <w:sz w:val="24"/>
                <w:szCs w:val="24"/>
                <w:lang w:val="da-DK"/>
              </w:rPr>
              <w:t>Almindelig</w:t>
            </w:r>
          </w:p>
        </w:tc>
        <w:tc>
          <w:tcPr>
            <w:tcW w:w="2250" w:type="pct"/>
            <w:tcBorders>
              <w:top w:val="single" w:sz="4" w:space="0" w:color="auto"/>
              <w:left w:val="single" w:sz="4" w:space="0" w:color="auto"/>
              <w:bottom w:val="single" w:sz="4" w:space="0" w:color="auto"/>
              <w:right w:val="single" w:sz="4" w:space="0" w:color="auto"/>
            </w:tcBorders>
            <w:hideMark/>
          </w:tcPr>
          <w:p w14:paraId="7B20E50C" w14:textId="77777777" w:rsidR="00E647D4" w:rsidRPr="00E90DD6" w:rsidRDefault="00E647D4">
            <w:pPr>
              <w:rPr>
                <w:sz w:val="24"/>
                <w:szCs w:val="24"/>
              </w:rPr>
            </w:pPr>
            <w:r w:rsidRPr="00E90DD6">
              <w:rPr>
                <w:sz w:val="24"/>
                <w:szCs w:val="24"/>
              </w:rPr>
              <w:t>Depression, irritabilitet, eufori</w:t>
            </w:r>
          </w:p>
        </w:tc>
      </w:tr>
      <w:tr w:rsidR="00E647D4" w:rsidRPr="00E90DD6" w14:paraId="426603AF" w14:textId="77777777" w:rsidTr="0054239A">
        <w:trPr>
          <w:cantSplit/>
          <w:trHeight w:val="1050"/>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1C95967" w14:textId="77777777" w:rsidR="00E647D4" w:rsidRPr="00E90DD6" w:rsidRDefault="00E647D4">
            <w:pPr>
              <w:rPr>
                <w:color w:val="000000"/>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14:paraId="5477BB8E" w14:textId="77777777" w:rsidR="00E647D4" w:rsidRPr="00E90DD6" w:rsidRDefault="00E647D4">
            <w:pPr>
              <w:pStyle w:val="A-TableText"/>
              <w:spacing w:before="0" w:after="0"/>
              <w:ind w:right="113"/>
              <w:rPr>
                <w:color w:val="000000"/>
                <w:sz w:val="24"/>
                <w:szCs w:val="24"/>
                <w:lang w:val="da-DK"/>
              </w:rPr>
            </w:pPr>
            <w:r w:rsidRPr="00E90DD6">
              <w:rPr>
                <w:sz w:val="24"/>
                <w:szCs w:val="24"/>
                <w:lang w:val="da-DK"/>
              </w:rPr>
              <w:t>Ikke almindelig</w:t>
            </w:r>
          </w:p>
        </w:tc>
        <w:tc>
          <w:tcPr>
            <w:tcW w:w="2250" w:type="pct"/>
            <w:tcBorders>
              <w:top w:val="single" w:sz="4" w:space="0" w:color="auto"/>
              <w:left w:val="single" w:sz="4" w:space="0" w:color="auto"/>
              <w:bottom w:val="single" w:sz="4" w:space="0" w:color="auto"/>
              <w:right w:val="single" w:sz="4" w:space="0" w:color="auto"/>
            </w:tcBorders>
            <w:hideMark/>
          </w:tcPr>
          <w:p w14:paraId="1063093C" w14:textId="77777777" w:rsidR="00E647D4" w:rsidRPr="00E90DD6" w:rsidRDefault="00E647D4">
            <w:pPr>
              <w:ind w:right="113"/>
              <w:rPr>
                <w:sz w:val="24"/>
                <w:szCs w:val="24"/>
              </w:rPr>
            </w:pPr>
            <w:proofErr w:type="spellStart"/>
            <w:r w:rsidRPr="00E90DD6">
              <w:rPr>
                <w:sz w:val="24"/>
                <w:szCs w:val="24"/>
              </w:rPr>
              <w:t>Psykomotorisk</w:t>
            </w:r>
            <w:proofErr w:type="spellEnd"/>
            <w:r w:rsidRPr="00E90DD6">
              <w:rPr>
                <w:sz w:val="24"/>
                <w:szCs w:val="24"/>
              </w:rPr>
              <w:t xml:space="preserve"> hyperaktivitet, angst</w:t>
            </w:r>
          </w:p>
        </w:tc>
      </w:tr>
      <w:tr w:rsidR="00E647D4" w:rsidRPr="00E90DD6" w14:paraId="79DF1EF8" w14:textId="77777777" w:rsidTr="0054239A">
        <w:trPr>
          <w:cantSplit/>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5EA835F3" w14:textId="77777777" w:rsidR="00E647D4" w:rsidRPr="00E90DD6" w:rsidRDefault="00E647D4">
            <w:pPr>
              <w:rPr>
                <w:color w:val="000000"/>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14:paraId="762AA243" w14:textId="77777777" w:rsidR="00E647D4" w:rsidRPr="00E90DD6" w:rsidRDefault="00E647D4">
            <w:pPr>
              <w:pStyle w:val="A-TableText"/>
              <w:spacing w:before="0" w:after="0"/>
              <w:ind w:right="113"/>
              <w:rPr>
                <w:color w:val="000000"/>
                <w:sz w:val="24"/>
                <w:szCs w:val="24"/>
                <w:lang w:val="da-DK"/>
              </w:rPr>
            </w:pPr>
            <w:r w:rsidRPr="00E90DD6">
              <w:rPr>
                <w:color w:val="000000"/>
                <w:sz w:val="24"/>
                <w:szCs w:val="24"/>
                <w:lang w:val="da-DK"/>
              </w:rPr>
              <w:t>Sjælden</w:t>
            </w:r>
          </w:p>
        </w:tc>
        <w:tc>
          <w:tcPr>
            <w:tcW w:w="2250" w:type="pct"/>
            <w:tcBorders>
              <w:top w:val="single" w:sz="4" w:space="0" w:color="auto"/>
              <w:left w:val="single" w:sz="4" w:space="0" w:color="auto"/>
              <w:bottom w:val="single" w:sz="4" w:space="0" w:color="auto"/>
              <w:right w:val="single" w:sz="4" w:space="0" w:color="auto"/>
            </w:tcBorders>
            <w:hideMark/>
          </w:tcPr>
          <w:p w14:paraId="5C9FCF43" w14:textId="77777777" w:rsidR="00E647D4" w:rsidRPr="00E90DD6" w:rsidRDefault="00E647D4">
            <w:pPr>
              <w:rPr>
                <w:sz w:val="24"/>
                <w:szCs w:val="24"/>
              </w:rPr>
            </w:pPr>
            <w:r w:rsidRPr="00E90DD6">
              <w:rPr>
                <w:sz w:val="24"/>
                <w:szCs w:val="24"/>
              </w:rPr>
              <w:t>Aggression</w:t>
            </w:r>
          </w:p>
        </w:tc>
      </w:tr>
      <w:tr w:rsidR="00E647D4" w:rsidRPr="00E90DD6" w14:paraId="3C70EF48" w14:textId="77777777" w:rsidTr="0054239A">
        <w:trPr>
          <w:cantSplit/>
        </w:trPr>
        <w:tc>
          <w:tcPr>
            <w:tcW w:w="1250" w:type="pct"/>
            <w:vMerge w:val="restart"/>
            <w:tcBorders>
              <w:top w:val="single" w:sz="4" w:space="0" w:color="auto"/>
              <w:left w:val="single" w:sz="4" w:space="0" w:color="auto"/>
              <w:bottom w:val="single" w:sz="4" w:space="0" w:color="auto"/>
              <w:right w:val="single" w:sz="4" w:space="0" w:color="auto"/>
            </w:tcBorders>
            <w:hideMark/>
          </w:tcPr>
          <w:p w14:paraId="7FB403EE" w14:textId="77777777" w:rsidR="00E647D4" w:rsidRPr="00E90DD6" w:rsidRDefault="00E647D4">
            <w:pPr>
              <w:rPr>
                <w:color w:val="000000"/>
                <w:sz w:val="24"/>
                <w:szCs w:val="24"/>
              </w:rPr>
            </w:pPr>
            <w:r w:rsidRPr="00E90DD6">
              <w:rPr>
                <w:i/>
                <w:sz w:val="24"/>
                <w:szCs w:val="24"/>
              </w:rPr>
              <w:t>Hud og subkutane væv</w:t>
            </w:r>
          </w:p>
        </w:tc>
        <w:tc>
          <w:tcPr>
            <w:tcW w:w="1500" w:type="pct"/>
            <w:tcBorders>
              <w:top w:val="single" w:sz="4" w:space="0" w:color="auto"/>
              <w:left w:val="single" w:sz="4" w:space="0" w:color="auto"/>
              <w:bottom w:val="single" w:sz="4" w:space="0" w:color="auto"/>
              <w:right w:val="single" w:sz="4" w:space="0" w:color="auto"/>
            </w:tcBorders>
            <w:hideMark/>
          </w:tcPr>
          <w:p w14:paraId="3807BAC5" w14:textId="77777777" w:rsidR="00E647D4" w:rsidRPr="00E90DD6" w:rsidRDefault="00E647D4">
            <w:pPr>
              <w:pStyle w:val="A-TableText"/>
              <w:spacing w:before="0" w:after="0"/>
              <w:ind w:right="113"/>
              <w:rPr>
                <w:color w:val="000000"/>
                <w:sz w:val="24"/>
                <w:szCs w:val="24"/>
                <w:lang w:val="da-DK"/>
              </w:rPr>
            </w:pPr>
            <w:r w:rsidRPr="00E90DD6">
              <w:rPr>
                <w:color w:val="000000"/>
                <w:sz w:val="24"/>
                <w:szCs w:val="24"/>
                <w:lang w:val="da-DK"/>
              </w:rPr>
              <w:t xml:space="preserve">Almindelig </w:t>
            </w:r>
          </w:p>
        </w:tc>
        <w:tc>
          <w:tcPr>
            <w:tcW w:w="2250" w:type="pct"/>
            <w:tcBorders>
              <w:top w:val="single" w:sz="4" w:space="0" w:color="auto"/>
              <w:left w:val="single" w:sz="4" w:space="0" w:color="auto"/>
              <w:bottom w:val="single" w:sz="4" w:space="0" w:color="auto"/>
              <w:right w:val="single" w:sz="4" w:space="0" w:color="auto"/>
            </w:tcBorders>
            <w:hideMark/>
          </w:tcPr>
          <w:p w14:paraId="1B94F468" w14:textId="77777777" w:rsidR="00E647D4" w:rsidRPr="00E90DD6" w:rsidRDefault="00E647D4">
            <w:pPr>
              <w:rPr>
                <w:color w:val="000000"/>
                <w:sz w:val="24"/>
                <w:szCs w:val="24"/>
              </w:rPr>
            </w:pPr>
            <w:r w:rsidRPr="00E90DD6">
              <w:rPr>
                <w:sz w:val="24"/>
                <w:szCs w:val="24"/>
              </w:rPr>
              <w:t xml:space="preserve">Allergisk </w:t>
            </w:r>
            <w:proofErr w:type="spellStart"/>
            <w:r w:rsidRPr="00E90DD6">
              <w:rPr>
                <w:sz w:val="24"/>
                <w:szCs w:val="24"/>
              </w:rPr>
              <w:t>exanthema</w:t>
            </w:r>
            <w:proofErr w:type="spellEnd"/>
            <w:r w:rsidRPr="00E90DD6">
              <w:rPr>
                <w:sz w:val="24"/>
                <w:szCs w:val="24"/>
              </w:rPr>
              <w:t xml:space="preserve">, </w:t>
            </w:r>
            <w:proofErr w:type="spellStart"/>
            <w:r w:rsidRPr="00E90DD6">
              <w:rPr>
                <w:sz w:val="24"/>
                <w:szCs w:val="24"/>
              </w:rPr>
              <w:t>petekkier</w:t>
            </w:r>
            <w:proofErr w:type="spellEnd"/>
            <w:r w:rsidRPr="00E90DD6">
              <w:rPr>
                <w:sz w:val="24"/>
                <w:szCs w:val="24"/>
              </w:rPr>
              <w:t xml:space="preserve">, langsom sårheling, </w:t>
            </w:r>
            <w:proofErr w:type="spellStart"/>
            <w:r w:rsidRPr="00E90DD6">
              <w:rPr>
                <w:sz w:val="24"/>
                <w:szCs w:val="24"/>
              </w:rPr>
              <w:t>kontaktdermatitis</w:t>
            </w:r>
            <w:proofErr w:type="spellEnd"/>
          </w:p>
        </w:tc>
      </w:tr>
      <w:tr w:rsidR="00E647D4" w:rsidRPr="00E90DD6" w14:paraId="1432468C" w14:textId="77777777" w:rsidTr="0054239A">
        <w:trPr>
          <w:cantSplit/>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53986B28" w14:textId="77777777" w:rsidR="00E647D4" w:rsidRPr="00E90DD6" w:rsidRDefault="00E647D4">
            <w:pPr>
              <w:rPr>
                <w:color w:val="000000"/>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14:paraId="1953BABF" w14:textId="77777777" w:rsidR="00E647D4" w:rsidRPr="00E90DD6" w:rsidRDefault="00E647D4">
            <w:pPr>
              <w:pStyle w:val="A-TableText"/>
              <w:spacing w:before="0" w:after="0"/>
              <w:ind w:right="113"/>
              <w:rPr>
                <w:color w:val="000000"/>
                <w:sz w:val="24"/>
                <w:szCs w:val="24"/>
                <w:lang w:val="da-DK"/>
              </w:rPr>
            </w:pPr>
            <w:r w:rsidRPr="00E90DD6">
              <w:rPr>
                <w:color w:val="000000"/>
                <w:sz w:val="24"/>
                <w:szCs w:val="24"/>
                <w:lang w:val="da-DK"/>
              </w:rPr>
              <w:t>Sjælden</w:t>
            </w:r>
          </w:p>
        </w:tc>
        <w:tc>
          <w:tcPr>
            <w:tcW w:w="2250" w:type="pct"/>
            <w:tcBorders>
              <w:top w:val="single" w:sz="4" w:space="0" w:color="auto"/>
              <w:left w:val="single" w:sz="4" w:space="0" w:color="auto"/>
              <w:bottom w:val="single" w:sz="4" w:space="0" w:color="auto"/>
              <w:right w:val="single" w:sz="4" w:space="0" w:color="auto"/>
            </w:tcBorders>
            <w:hideMark/>
          </w:tcPr>
          <w:p w14:paraId="3C2FE35D" w14:textId="77777777" w:rsidR="00E647D4" w:rsidRPr="00E90DD6" w:rsidRDefault="00E647D4">
            <w:pPr>
              <w:rPr>
                <w:sz w:val="24"/>
                <w:szCs w:val="24"/>
              </w:rPr>
            </w:pPr>
            <w:proofErr w:type="spellStart"/>
            <w:r w:rsidRPr="00E90DD6">
              <w:rPr>
                <w:sz w:val="24"/>
                <w:szCs w:val="24"/>
              </w:rPr>
              <w:t>Ekkymose</w:t>
            </w:r>
            <w:proofErr w:type="spellEnd"/>
          </w:p>
        </w:tc>
      </w:tr>
      <w:tr w:rsidR="00E647D4" w:rsidRPr="00E90DD6" w14:paraId="44FDE779" w14:textId="77777777" w:rsidTr="0054239A">
        <w:trPr>
          <w:cantSplit/>
        </w:trPr>
        <w:tc>
          <w:tcPr>
            <w:tcW w:w="1250" w:type="pct"/>
            <w:tcBorders>
              <w:top w:val="single" w:sz="4" w:space="0" w:color="auto"/>
              <w:left w:val="single" w:sz="4" w:space="0" w:color="auto"/>
              <w:bottom w:val="single" w:sz="4" w:space="0" w:color="auto"/>
              <w:right w:val="single" w:sz="4" w:space="0" w:color="auto"/>
            </w:tcBorders>
            <w:hideMark/>
          </w:tcPr>
          <w:p w14:paraId="67C92194" w14:textId="77777777" w:rsidR="00E647D4" w:rsidRPr="00E90DD6" w:rsidRDefault="00E647D4">
            <w:pPr>
              <w:rPr>
                <w:color w:val="000000"/>
                <w:sz w:val="24"/>
                <w:szCs w:val="24"/>
              </w:rPr>
            </w:pPr>
            <w:proofErr w:type="spellStart"/>
            <w:r w:rsidRPr="00E90DD6">
              <w:rPr>
                <w:i/>
                <w:sz w:val="24"/>
                <w:szCs w:val="24"/>
              </w:rPr>
              <w:t>Vaskulære</w:t>
            </w:r>
            <w:proofErr w:type="spellEnd"/>
            <w:r w:rsidRPr="00E90DD6">
              <w:rPr>
                <w:i/>
                <w:sz w:val="24"/>
                <w:szCs w:val="24"/>
              </w:rPr>
              <w:t xml:space="preserve"> sygdomme</w:t>
            </w:r>
          </w:p>
        </w:tc>
        <w:tc>
          <w:tcPr>
            <w:tcW w:w="1500" w:type="pct"/>
            <w:tcBorders>
              <w:top w:val="single" w:sz="4" w:space="0" w:color="auto"/>
              <w:left w:val="single" w:sz="4" w:space="0" w:color="auto"/>
              <w:bottom w:val="single" w:sz="4" w:space="0" w:color="auto"/>
              <w:right w:val="single" w:sz="4" w:space="0" w:color="auto"/>
            </w:tcBorders>
            <w:hideMark/>
          </w:tcPr>
          <w:p w14:paraId="2A1A17DD" w14:textId="77777777" w:rsidR="00E647D4" w:rsidRPr="00E90DD6" w:rsidRDefault="00E647D4">
            <w:pPr>
              <w:pStyle w:val="A-TableText"/>
              <w:spacing w:before="0" w:after="0"/>
              <w:ind w:right="113"/>
              <w:rPr>
                <w:color w:val="000000"/>
                <w:sz w:val="24"/>
                <w:szCs w:val="24"/>
                <w:lang w:val="da-DK"/>
              </w:rPr>
            </w:pPr>
            <w:r w:rsidRPr="00E90DD6">
              <w:rPr>
                <w:sz w:val="24"/>
                <w:szCs w:val="24"/>
                <w:lang w:val="da-DK"/>
              </w:rPr>
              <w:t>Meget sjælden</w:t>
            </w:r>
          </w:p>
        </w:tc>
        <w:tc>
          <w:tcPr>
            <w:tcW w:w="2250" w:type="pct"/>
            <w:tcBorders>
              <w:top w:val="single" w:sz="4" w:space="0" w:color="auto"/>
              <w:left w:val="single" w:sz="4" w:space="0" w:color="auto"/>
              <w:bottom w:val="single" w:sz="4" w:space="0" w:color="auto"/>
              <w:right w:val="single" w:sz="4" w:space="0" w:color="auto"/>
            </w:tcBorders>
            <w:hideMark/>
          </w:tcPr>
          <w:p w14:paraId="46123EBE" w14:textId="77777777" w:rsidR="00E647D4" w:rsidRPr="00E90DD6" w:rsidRDefault="00E647D4">
            <w:pPr>
              <w:rPr>
                <w:color w:val="000000"/>
                <w:sz w:val="24"/>
                <w:szCs w:val="24"/>
              </w:rPr>
            </w:pPr>
            <w:r w:rsidRPr="00E90DD6">
              <w:rPr>
                <w:sz w:val="24"/>
                <w:szCs w:val="24"/>
              </w:rPr>
              <w:t xml:space="preserve">Øget risiko for trombose, </w:t>
            </w:r>
            <w:proofErr w:type="spellStart"/>
            <w:r w:rsidRPr="00E90DD6">
              <w:rPr>
                <w:sz w:val="24"/>
                <w:szCs w:val="24"/>
              </w:rPr>
              <w:t>vaskulitis</w:t>
            </w:r>
            <w:proofErr w:type="spellEnd"/>
            <w:r w:rsidRPr="00E90DD6">
              <w:rPr>
                <w:sz w:val="24"/>
                <w:szCs w:val="24"/>
              </w:rPr>
              <w:t xml:space="preserve"> (abstinenssyndrom efter langtidsterapi)</w:t>
            </w:r>
          </w:p>
        </w:tc>
      </w:tr>
      <w:tr w:rsidR="00E647D4" w:rsidRPr="00E90DD6" w14:paraId="64775313" w14:textId="77777777" w:rsidTr="0054239A">
        <w:trPr>
          <w:cantSplit/>
        </w:trPr>
        <w:tc>
          <w:tcPr>
            <w:tcW w:w="1250" w:type="pct"/>
            <w:tcBorders>
              <w:top w:val="single" w:sz="4" w:space="0" w:color="auto"/>
              <w:left w:val="single" w:sz="4" w:space="0" w:color="auto"/>
              <w:bottom w:val="single" w:sz="4" w:space="0" w:color="auto"/>
              <w:right w:val="single" w:sz="4" w:space="0" w:color="auto"/>
            </w:tcBorders>
            <w:hideMark/>
          </w:tcPr>
          <w:p w14:paraId="5BA5EEBD" w14:textId="77777777" w:rsidR="00E647D4" w:rsidRPr="00E90DD6" w:rsidRDefault="00E647D4">
            <w:pPr>
              <w:ind w:right="113"/>
              <w:rPr>
                <w:i/>
                <w:sz w:val="24"/>
                <w:szCs w:val="24"/>
              </w:rPr>
            </w:pPr>
            <w:r w:rsidRPr="00E90DD6">
              <w:rPr>
                <w:i/>
                <w:sz w:val="24"/>
                <w:szCs w:val="24"/>
              </w:rPr>
              <w:t>Almene symptomer og reaktioner på administrations</w:t>
            </w:r>
            <w:r w:rsidRPr="00E90DD6">
              <w:rPr>
                <w:i/>
                <w:sz w:val="24"/>
                <w:szCs w:val="24"/>
              </w:rPr>
              <w:softHyphen/>
              <w:t xml:space="preserve">stedet </w:t>
            </w:r>
          </w:p>
        </w:tc>
        <w:tc>
          <w:tcPr>
            <w:tcW w:w="1500" w:type="pct"/>
            <w:tcBorders>
              <w:top w:val="single" w:sz="4" w:space="0" w:color="auto"/>
              <w:left w:val="single" w:sz="4" w:space="0" w:color="auto"/>
              <w:bottom w:val="single" w:sz="4" w:space="0" w:color="auto"/>
              <w:right w:val="single" w:sz="4" w:space="0" w:color="auto"/>
            </w:tcBorders>
            <w:hideMark/>
          </w:tcPr>
          <w:p w14:paraId="07C4A414" w14:textId="77777777" w:rsidR="00E647D4" w:rsidRPr="00E90DD6" w:rsidRDefault="00E647D4">
            <w:pPr>
              <w:pStyle w:val="A-TableText"/>
              <w:spacing w:before="0" w:after="0"/>
              <w:ind w:right="113"/>
              <w:rPr>
                <w:sz w:val="24"/>
                <w:szCs w:val="24"/>
                <w:lang w:val="da-DK"/>
              </w:rPr>
            </w:pPr>
            <w:r w:rsidRPr="00E90DD6">
              <w:rPr>
                <w:sz w:val="24"/>
                <w:szCs w:val="24"/>
                <w:lang w:val="da-DK"/>
              </w:rPr>
              <w:t>Meget sjælden</w:t>
            </w:r>
          </w:p>
        </w:tc>
        <w:tc>
          <w:tcPr>
            <w:tcW w:w="2250" w:type="pct"/>
            <w:tcBorders>
              <w:top w:val="single" w:sz="4" w:space="0" w:color="auto"/>
              <w:left w:val="single" w:sz="4" w:space="0" w:color="auto"/>
              <w:bottom w:val="single" w:sz="4" w:space="0" w:color="auto"/>
              <w:right w:val="single" w:sz="4" w:space="0" w:color="auto"/>
            </w:tcBorders>
            <w:hideMark/>
          </w:tcPr>
          <w:p w14:paraId="1DD73775" w14:textId="77777777" w:rsidR="00E647D4" w:rsidRPr="00E90DD6" w:rsidRDefault="00E647D4">
            <w:pPr>
              <w:ind w:right="113"/>
              <w:rPr>
                <w:sz w:val="24"/>
                <w:szCs w:val="24"/>
              </w:rPr>
            </w:pPr>
            <w:r w:rsidRPr="00E90DD6">
              <w:rPr>
                <w:sz w:val="24"/>
                <w:szCs w:val="24"/>
              </w:rPr>
              <w:t>Træthed, utilpashed</w:t>
            </w:r>
          </w:p>
        </w:tc>
      </w:tr>
    </w:tbl>
    <w:p w14:paraId="50BAFC5C" w14:textId="77777777" w:rsidR="00E647D4" w:rsidRPr="00E90DD6" w:rsidRDefault="00E647D4" w:rsidP="00E647D4">
      <w:pPr>
        <w:ind w:left="851"/>
        <w:rPr>
          <w:sz w:val="24"/>
          <w:szCs w:val="24"/>
        </w:rPr>
      </w:pPr>
    </w:p>
    <w:p w14:paraId="307023F3" w14:textId="77777777" w:rsidR="00E647D4" w:rsidRPr="00E90DD6" w:rsidRDefault="00E647D4" w:rsidP="00841917">
      <w:pPr>
        <w:ind w:left="851"/>
        <w:rPr>
          <w:sz w:val="24"/>
          <w:szCs w:val="24"/>
        </w:rPr>
      </w:pPr>
      <w:r w:rsidRPr="00E90DD6">
        <w:rPr>
          <w:sz w:val="24"/>
          <w:szCs w:val="24"/>
        </w:rPr>
        <w:t xml:space="preserve">De fleste af bivirkningerne nævnt i dette produktresume kan også forventes ved behandling med andre </w:t>
      </w:r>
      <w:proofErr w:type="spellStart"/>
      <w:r w:rsidRPr="00E90DD6">
        <w:rPr>
          <w:sz w:val="24"/>
          <w:szCs w:val="24"/>
        </w:rPr>
        <w:t>glukokortikosteroider</w:t>
      </w:r>
      <w:proofErr w:type="spellEnd"/>
      <w:r w:rsidRPr="00E90DD6">
        <w:rPr>
          <w:sz w:val="24"/>
          <w:szCs w:val="24"/>
        </w:rPr>
        <w:t>.</w:t>
      </w:r>
    </w:p>
    <w:p w14:paraId="591FE28A" w14:textId="77777777" w:rsidR="00E647D4" w:rsidRPr="0054239A" w:rsidRDefault="00E647D4" w:rsidP="00841917">
      <w:pPr>
        <w:ind w:left="851"/>
        <w:rPr>
          <w:sz w:val="24"/>
          <w:szCs w:val="24"/>
        </w:rPr>
      </w:pPr>
    </w:p>
    <w:p w14:paraId="3742A9FD" w14:textId="77777777" w:rsidR="00E647D4" w:rsidRPr="00E90DD6" w:rsidRDefault="00E647D4" w:rsidP="00841917">
      <w:pPr>
        <w:ind w:left="851"/>
        <w:rPr>
          <w:sz w:val="24"/>
          <w:szCs w:val="24"/>
        </w:rPr>
      </w:pPr>
      <w:r w:rsidRPr="00E90DD6">
        <w:rPr>
          <w:sz w:val="24"/>
          <w:szCs w:val="24"/>
        </w:rPr>
        <w:t xml:space="preserve">Undertiden kan der optræde bivirkninger, som er typiske for systemiske </w:t>
      </w:r>
      <w:proofErr w:type="spellStart"/>
      <w:r w:rsidRPr="00E90DD6">
        <w:rPr>
          <w:sz w:val="24"/>
          <w:szCs w:val="24"/>
        </w:rPr>
        <w:t>glukokortiko</w:t>
      </w:r>
      <w:r w:rsidRPr="00E90DD6">
        <w:rPr>
          <w:sz w:val="24"/>
          <w:szCs w:val="24"/>
        </w:rPr>
        <w:softHyphen/>
        <w:t>steroider</w:t>
      </w:r>
      <w:proofErr w:type="spellEnd"/>
      <w:r w:rsidRPr="00E90DD6">
        <w:rPr>
          <w:sz w:val="24"/>
          <w:szCs w:val="24"/>
        </w:rPr>
        <w:t xml:space="preserve">. Disse bivirkninger afhænger af doseringen, behandlingsvarigheden, samtidig eller tidligere behandling med andre </w:t>
      </w:r>
      <w:proofErr w:type="spellStart"/>
      <w:r w:rsidRPr="00E90DD6">
        <w:rPr>
          <w:sz w:val="24"/>
          <w:szCs w:val="24"/>
        </w:rPr>
        <w:t>glukokortikosteroider</w:t>
      </w:r>
      <w:proofErr w:type="spellEnd"/>
      <w:r w:rsidRPr="00E90DD6">
        <w:rPr>
          <w:sz w:val="24"/>
          <w:szCs w:val="24"/>
        </w:rPr>
        <w:t xml:space="preserve"> og den individuelle følsomhed.</w:t>
      </w:r>
    </w:p>
    <w:p w14:paraId="1380314B" w14:textId="77777777" w:rsidR="00E647D4" w:rsidRPr="00E90DD6" w:rsidRDefault="00E647D4" w:rsidP="00841917">
      <w:pPr>
        <w:ind w:left="851"/>
        <w:rPr>
          <w:sz w:val="24"/>
          <w:szCs w:val="24"/>
        </w:rPr>
      </w:pPr>
    </w:p>
    <w:p w14:paraId="37EFD0AE" w14:textId="77777777" w:rsidR="00E647D4" w:rsidRPr="00E90DD6" w:rsidRDefault="00E647D4" w:rsidP="00841917">
      <w:pPr>
        <w:ind w:left="851"/>
        <w:rPr>
          <w:sz w:val="24"/>
          <w:szCs w:val="24"/>
        </w:rPr>
      </w:pPr>
      <w:r w:rsidRPr="00E90DD6">
        <w:rPr>
          <w:sz w:val="24"/>
          <w:szCs w:val="24"/>
        </w:rPr>
        <w:t xml:space="preserve">Kliniske studier har vist, at frekvensen af </w:t>
      </w:r>
      <w:proofErr w:type="spellStart"/>
      <w:r w:rsidRPr="00E90DD6">
        <w:rPr>
          <w:sz w:val="24"/>
          <w:szCs w:val="24"/>
        </w:rPr>
        <w:t>glukokortikosteroid</w:t>
      </w:r>
      <w:proofErr w:type="spellEnd"/>
      <w:r w:rsidRPr="00E90DD6">
        <w:rPr>
          <w:sz w:val="24"/>
          <w:szCs w:val="24"/>
        </w:rPr>
        <w:t xml:space="preserve">-associerede bivirkninger er lavere med oral </w:t>
      </w:r>
      <w:proofErr w:type="spellStart"/>
      <w:r w:rsidRPr="00E90DD6">
        <w:rPr>
          <w:sz w:val="24"/>
          <w:szCs w:val="24"/>
        </w:rPr>
        <w:t>budesonid</w:t>
      </w:r>
      <w:proofErr w:type="spellEnd"/>
      <w:r w:rsidRPr="00E90DD6">
        <w:rPr>
          <w:sz w:val="24"/>
          <w:szCs w:val="24"/>
        </w:rPr>
        <w:t xml:space="preserve"> end ved oral behandling med tilsvarende doser af </w:t>
      </w:r>
      <w:proofErr w:type="spellStart"/>
      <w:r w:rsidRPr="00E90DD6">
        <w:rPr>
          <w:sz w:val="24"/>
          <w:szCs w:val="24"/>
        </w:rPr>
        <w:t>prednisolon</w:t>
      </w:r>
      <w:proofErr w:type="spellEnd"/>
      <w:r w:rsidRPr="00E90DD6">
        <w:rPr>
          <w:sz w:val="24"/>
          <w:szCs w:val="24"/>
        </w:rPr>
        <w:t>.</w:t>
      </w:r>
    </w:p>
    <w:p w14:paraId="0625732A" w14:textId="77777777" w:rsidR="00E647D4" w:rsidRPr="00E90DD6" w:rsidRDefault="00E647D4" w:rsidP="00841917">
      <w:pPr>
        <w:ind w:left="851"/>
        <w:rPr>
          <w:i/>
          <w:sz w:val="24"/>
          <w:szCs w:val="24"/>
        </w:rPr>
      </w:pPr>
    </w:p>
    <w:p w14:paraId="65BFBE77" w14:textId="77777777" w:rsidR="00E647D4" w:rsidRPr="00E90DD6" w:rsidRDefault="00E647D4" w:rsidP="00841917">
      <w:pPr>
        <w:ind w:left="851"/>
        <w:rPr>
          <w:sz w:val="24"/>
          <w:szCs w:val="24"/>
        </w:rPr>
      </w:pPr>
      <w:r w:rsidRPr="00E90DD6">
        <w:rPr>
          <w:sz w:val="24"/>
          <w:szCs w:val="24"/>
        </w:rPr>
        <w:t xml:space="preserve">Forværring i eller tilbagevenden af </w:t>
      </w:r>
      <w:proofErr w:type="spellStart"/>
      <w:r w:rsidRPr="00E90DD6">
        <w:rPr>
          <w:sz w:val="24"/>
          <w:szCs w:val="24"/>
        </w:rPr>
        <w:t>ekstraintestinale</w:t>
      </w:r>
      <w:proofErr w:type="spellEnd"/>
      <w:r w:rsidRPr="00E90DD6">
        <w:rPr>
          <w:sz w:val="24"/>
          <w:szCs w:val="24"/>
        </w:rPr>
        <w:t xml:space="preserve"> manifestationer (især i hud og led) kan forekomme, når en patient går fra </w:t>
      </w:r>
      <w:proofErr w:type="spellStart"/>
      <w:r w:rsidRPr="00E90DD6">
        <w:rPr>
          <w:sz w:val="24"/>
          <w:szCs w:val="24"/>
        </w:rPr>
        <w:t>glukokortikosteroider</w:t>
      </w:r>
      <w:proofErr w:type="spellEnd"/>
      <w:r w:rsidRPr="00E90DD6">
        <w:rPr>
          <w:sz w:val="24"/>
          <w:szCs w:val="24"/>
        </w:rPr>
        <w:t xml:space="preserve"> med systemisk virkning til </w:t>
      </w:r>
      <w:proofErr w:type="spellStart"/>
      <w:r w:rsidRPr="00E90DD6">
        <w:rPr>
          <w:sz w:val="24"/>
          <w:szCs w:val="24"/>
        </w:rPr>
        <w:t>budesonid</w:t>
      </w:r>
      <w:proofErr w:type="spellEnd"/>
      <w:r w:rsidRPr="00E90DD6">
        <w:rPr>
          <w:sz w:val="24"/>
          <w:szCs w:val="24"/>
        </w:rPr>
        <w:t xml:space="preserve"> med lokal virkning.</w:t>
      </w:r>
    </w:p>
    <w:p w14:paraId="07FABB84" w14:textId="77777777" w:rsidR="00E647D4" w:rsidRPr="00E90DD6" w:rsidRDefault="00E647D4" w:rsidP="00841917">
      <w:pPr>
        <w:ind w:left="851"/>
        <w:rPr>
          <w:sz w:val="24"/>
          <w:szCs w:val="24"/>
        </w:rPr>
      </w:pPr>
    </w:p>
    <w:p w14:paraId="38F87A17" w14:textId="77777777" w:rsidR="00E647D4" w:rsidRPr="00E90DD6" w:rsidRDefault="00E647D4" w:rsidP="00841917">
      <w:pPr>
        <w:ind w:left="851"/>
        <w:rPr>
          <w:sz w:val="24"/>
          <w:szCs w:val="24"/>
          <w:u w:val="single"/>
        </w:rPr>
      </w:pPr>
      <w:r w:rsidRPr="00E90DD6">
        <w:rPr>
          <w:sz w:val="24"/>
          <w:szCs w:val="24"/>
          <w:u w:val="single"/>
        </w:rPr>
        <w:t>Pædiatrisk population</w:t>
      </w:r>
    </w:p>
    <w:p w14:paraId="2F70949B" w14:textId="77777777" w:rsidR="00E647D4" w:rsidRPr="00E90DD6" w:rsidRDefault="00E647D4" w:rsidP="00841917">
      <w:pPr>
        <w:ind w:left="851"/>
        <w:rPr>
          <w:sz w:val="24"/>
          <w:szCs w:val="24"/>
        </w:rPr>
      </w:pPr>
    </w:p>
    <w:p w14:paraId="0D01C665" w14:textId="77777777" w:rsidR="00E647D4" w:rsidRPr="00E90DD6" w:rsidRDefault="00E647D4" w:rsidP="00841917">
      <w:pPr>
        <w:ind w:left="851"/>
        <w:rPr>
          <w:i/>
          <w:sz w:val="24"/>
          <w:szCs w:val="24"/>
        </w:rPr>
      </w:pPr>
      <w:r w:rsidRPr="00E90DD6">
        <w:rPr>
          <w:i/>
          <w:sz w:val="24"/>
          <w:szCs w:val="24"/>
        </w:rPr>
        <w:t>Bivirkninger i kliniske studier med pædiatriske patienter</w:t>
      </w:r>
    </w:p>
    <w:p w14:paraId="1824BA21" w14:textId="77777777" w:rsidR="00E647D4" w:rsidRPr="00E90DD6" w:rsidRDefault="00E647D4" w:rsidP="00841917">
      <w:pPr>
        <w:ind w:left="851"/>
        <w:rPr>
          <w:strike/>
          <w:sz w:val="24"/>
          <w:szCs w:val="24"/>
        </w:rPr>
      </w:pPr>
    </w:p>
    <w:p w14:paraId="5405489F" w14:textId="77777777" w:rsidR="00E647D4" w:rsidRPr="00E90DD6" w:rsidRDefault="00E647D4" w:rsidP="00841917">
      <w:pPr>
        <w:ind w:left="851"/>
        <w:rPr>
          <w:i/>
          <w:sz w:val="24"/>
          <w:szCs w:val="24"/>
        </w:rPr>
      </w:pPr>
      <w:proofErr w:type="spellStart"/>
      <w:r w:rsidRPr="00E90DD6">
        <w:rPr>
          <w:i/>
          <w:sz w:val="24"/>
          <w:szCs w:val="24"/>
        </w:rPr>
        <w:t>Crohns</w:t>
      </w:r>
      <w:proofErr w:type="spellEnd"/>
      <w:r w:rsidRPr="00E90DD6">
        <w:rPr>
          <w:i/>
          <w:sz w:val="24"/>
          <w:szCs w:val="24"/>
        </w:rPr>
        <w:t xml:space="preserve"> sygdom</w:t>
      </w:r>
    </w:p>
    <w:p w14:paraId="69BFE449" w14:textId="77777777" w:rsidR="00E647D4" w:rsidRPr="00E90DD6" w:rsidRDefault="00E647D4" w:rsidP="00841917">
      <w:pPr>
        <w:ind w:left="851"/>
        <w:rPr>
          <w:sz w:val="24"/>
          <w:szCs w:val="24"/>
        </w:rPr>
      </w:pPr>
      <w:r w:rsidRPr="00E90DD6">
        <w:rPr>
          <w:sz w:val="24"/>
          <w:szCs w:val="24"/>
        </w:rPr>
        <w:t xml:space="preserve">I kliniske studier med </w:t>
      </w:r>
      <w:proofErr w:type="spellStart"/>
      <w:r w:rsidRPr="00E90DD6">
        <w:rPr>
          <w:sz w:val="24"/>
          <w:szCs w:val="24"/>
        </w:rPr>
        <w:t>budesonid</w:t>
      </w:r>
      <w:proofErr w:type="spellEnd"/>
      <w:r w:rsidRPr="00E90DD6">
        <w:rPr>
          <w:sz w:val="24"/>
          <w:szCs w:val="24"/>
        </w:rPr>
        <w:t xml:space="preserve"> 3 mg-kapsler til 82 pædiatriske patienter med </w:t>
      </w:r>
      <w:proofErr w:type="spellStart"/>
      <w:r w:rsidRPr="00E90DD6">
        <w:rPr>
          <w:sz w:val="24"/>
          <w:szCs w:val="24"/>
        </w:rPr>
        <w:t>Crohns</w:t>
      </w:r>
      <w:proofErr w:type="spellEnd"/>
      <w:r w:rsidRPr="00E90DD6">
        <w:rPr>
          <w:sz w:val="24"/>
          <w:szCs w:val="24"/>
        </w:rPr>
        <w:t xml:space="preserve"> sygdom var binyrebarksuppression og hovedpine de mest hyppige bivirkninger. Bivirkninger, som er typiske for </w:t>
      </w:r>
      <w:proofErr w:type="spellStart"/>
      <w:r w:rsidRPr="00E90DD6">
        <w:rPr>
          <w:sz w:val="24"/>
          <w:szCs w:val="24"/>
        </w:rPr>
        <w:t>glukokortikosteroider</w:t>
      </w:r>
      <w:proofErr w:type="spellEnd"/>
      <w:r w:rsidRPr="00E90DD6">
        <w:rPr>
          <w:sz w:val="24"/>
          <w:szCs w:val="24"/>
        </w:rPr>
        <w:t xml:space="preserve">, samt andre sjældne reaktioner såsom svimmelhed, kvalme, opkastning og </w:t>
      </w:r>
      <w:proofErr w:type="spellStart"/>
      <w:r w:rsidRPr="00E90DD6">
        <w:rPr>
          <w:sz w:val="24"/>
          <w:szCs w:val="24"/>
        </w:rPr>
        <w:t>hyperacusis</w:t>
      </w:r>
      <w:proofErr w:type="spellEnd"/>
      <w:r w:rsidRPr="00E90DD6">
        <w:rPr>
          <w:sz w:val="24"/>
          <w:szCs w:val="24"/>
        </w:rPr>
        <w:t xml:space="preserve"> (se også pkt. 5.1) blev rapporteret.</w:t>
      </w:r>
    </w:p>
    <w:p w14:paraId="01A5AD46" w14:textId="77777777" w:rsidR="00E647D4" w:rsidRPr="00E90DD6" w:rsidRDefault="00E647D4" w:rsidP="00841917">
      <w:pPr>
        <w:ind w:left="851"/>
        <w:rPr>
          <w:sz w:val="24"/>
          <w:szCs w:val="24"/>
        </w:rPr>
      </w:pPr>
    </w:p>
    <w:p w14:paraId="4BF5075C" w14:textId="77777777" w:rsidR="00E647D4" w:rsidRPr="00E90DD6" w:rsidRDefault="00E647D4" w:rsidP="00841917">
      <w:pPr>
        <w:ind w:left="851"/>
        <w:rPr>
          <w:i/>
          <w:sz w:val="24"/>
          <w:szCs w:val="24"/>
        </w:rPr>
      </w:pPr>
      <w:r w:rsidRPr="00E90DD6">
        <w:rPr>
          <w:i/>
          <w:sz w:val="24"/>
          <w:szCs w:val="24"/>
        </w:rPr>
        <w:t>Autoimmun hepatitis</w:t>
      </w:r>
    </w:p>
    <w:p w14:paraId="12281F5B" w14:textId="77777777" w:rsidR="00E647D4" w:rsidRPr="00E90DD6" w:rsidRDefault="00E647D4" w:rsidP="00841917">
      <w:pPr>
        <w:ind w:left="851"/>
        <w:rPr>
          <w:sz w:val="24"/>
          <w:szCs w:val="24"/>
        </w:rPr>
      </w:pPr>
      <w:r w:rsidRPr="00E90DD6">
        <w:rPr>
          <w:sz w:val="24"/>
          <w:szCs w:val="24"/>
        </w:rPr>
        <w:t>Sikkerhedsdata fra en delmængde på i alt 42 pædiatriske patienter i et klinisk studie af autoimmun hepatitis viste, at de rapporterede bivirkninger ikke var anderledes og ikke hyppigere i forhold til den voksne gruppe i denne undersøgelse (se også pkt. 5.1).</w:t>
      </w:r>
    </w:p>
    <w:p w14:paraId="28479737" w14:textId="77777777" w:rsidR="00E647D4" w:rsidRPr="00E90DD6" w:rsidRDefault="00E647D4" w:rsidP="00841917">
      <w:pPr>
        <w:ind w:left="851"/>
        <w:rPr>
          <w:sz w:val="24"/>
          <w:szCs w:val="24"/>
        </w:rPr>
      </w:pPr>
    </w:p>
    <w:p w14:paraId="34DB01D3" w14:textId="77777777" w:rsidR="0054239A" w:rsidRDefault="0054239A" w:rsidP="0054239A">
      <w:pPr>
        <w:autoSpaceDE w:val="0"/>
        <w:autoSpaceDN w:val="0"/>
        <w:ind w:left="851"/>
        <w:rPr>
          <w:sz w:val="24"/>
          <w:szCs w:val="24"/>
          <w:u w:val="single"/>
        </w:rPr>
      </w:pPr>
      <w:r>
        <w:rPr>
          <w:sz w:val="24"/>
          <w:szCs w:val="24"/>
          <w:u w:val="single"/>
        </w:rPr>
        <w:t>Indberetning af formodede bivirkninger</w:t>
      </w:r>
    </w:p>
    <w:p w14:paraId="50E1D86A" w14:textId="77777777" w:rsidR="0054239A" w:rsidRDefault="0054239A" w:rsidP="0054239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03382F68" w14:textId="77777777" w:rsidR="0054239A" w:rsidRDefault="0054239A" w:rsidP="0054239A">
      <w:pPr>
        <w:tabs>
          <w:tab w:val="left" w:pos="2440"/>
        </w:tabs>
        <w:ind w:left="851"/>
        <w:rPr>
          <w:sz w:val="24"/>
          <w:szCs w:val="24"/>
        </w:rPr>
      </w:pPr>
    </w:p>
    <w:p w14:paraId="1D7F548B" w14:textId="77777777" w:rsidR="0054239A" w:rsidRDefault="0054239A" w:rsidP="0054239A">
      <w:pPr>
        <w:ind w:left="851"/>
        <w:rPr>
          <w:sz w:val="24"/>
          <w:szCs w:val="24"/>
        </w:rPr>
      </w:pPr>
      <w:r>
        <w:rPr>
          <w:sz w:val="24"/>
          <w:szCs w:val="24"/>
        </w:rPr>
        <w:t>Lægemiddelstyrelsen</w:t>
      </w:r>
    </w:p>
    <w:p w14:paraId="38DB0EF9" w14:textId="77777777" w:rsidR="0054239A" w:rsidRDefault="0054239A" w:rsidP="0054239A">
      <w:pPr>
        <w:ind w:left="851"/>
        <w:rPr>
          <w:sz w:val="24"/>
          <w:szCs w:val="24"/>
        </w:rPr>
      </w:pPr>
      <w:r>
        <w:rPr>
          <w:sz w:val="24"/>
          <w:szCs w:val="24"/>
        </w:rPr>
        <w:t>Axel Heides Gade 1</w:t>
      </w:r>
    </w:p>
    <w:p w14:paraId="46DA32F5" w14:textId="77777777" w:rsidR="0054239A" w:rsidRDefault="0054239A" w:rsidP="0054239A">
      <w:pPr>
        <w:ind w:left="851"/>
        <w:rPr>
          <w:sz w:val="24"/>
          <w:szCs w:val="24"/>
        </w:rPr>
      </w:pPr>
      <w:r>
        <w:rPr>
          <w:sz w:val="24"/>
          <w:szCs w:val="24"/>
        </w:rPr>
        <w:t>DK-2300 København S</w:t>
      </w:r>
    </w:p>
    <w:p w14:paraId="3BE1CC4D" w14:textId="77777777" w:rsidR="0054239A" w:rsidRDefault="0054239A" w:rsidP="0054239A">
      <w:pPr>
        <w:ind w:left="851"/>
        <w:rPr>
          <w:sz w:val="24"/>
          <w:szCs w:val="24"/>
        </w:rPr>
      </w:pPr>
      <w:r>
        <w:rPr>
          <w:sz w:val="24"/>
          <w:szCs w:val="24"/>
        </w:rPr>
        <w:t xml:space="preserve">Websted: </w:t>
      </w:r>
      <w:hyperlink r:id="rId8" w:history="1">
        <w:r>
          <w:rPr>
            <w:rStyle w:val="Hyperlink"/>
            <w:sz w:val="24"/>
            <w:szCs w:val="24"/>
          </w:rPr>
          <w:t>www.meldenbivirkning.dk</w:t>
        </w:r>
      </w:hyperlink>
    </w:p>
    <w:p w14:paraId="120DDF39" w14:textId="77777777" w:rsidR="009260DE" w:rsidRPr="00E90DD6" w:rsidRDefault="009260DE" w:rsidP="00A10294">
      <w:pPr>
        <w:tabs>
          <w:tab w:val="left" w:pos="851"/>
        </w:tabs>
        <w:ind w:left="851"/>
        <w:rPr>
          <w:sz w:val="24"/>
          <w:szCs w:val="24"/>
        </w:rPr>
      </w:pPr>
    </w:p>
    <w:p w14:paraId="39393D23" w14:textId="77777777" w:rsidR="009260DE" w:rsidRPr="00E90DD6" w:rsidRDefault="009260DE" w:rsidP="009260DE">
      <w:pPr>
        <w:tabs>
          <w:tab w:val="left" w:pos="851"/>
        </w:tabs>
        <w:ind w:left="851" w:hanging="851"/>
        <w:rPr>
          <w:b/>
          <w:sz w:val="24"/>
          <w:szCs w:val="24"/>
        </w:rPr>
      </w:pPr>
      <w:r w:rsidRPr="00E90DD6">
        <w:rPr>
          <w:b/>
          <w:sz w:val="24"/>
          <w:szCs w:val="24"/>
        </w:rPr>
        <w:t>4.9</w:t>
      </w:r>
      <w:r w:rsidRPr="00E90DD6">
        <w:rPr>
          <w:b/>
          <w:sz w:val="24"/>
          <w:szCs w:val="24"/>
        </w:rPr>
        <w:tab/>
        <w:t>Overdosering</w:t>
      </w:r>
    </w:p>
    <w:p w14:paraId="31DE87D7" w14:textId="77777777" w:rsidR="00E647D4" w:rsidRPr="00E90DD6" w:rsidRDefault="00E647D4" w:rsidP="00E647D4">
      <w:pPr>
        <w:ind w:left="851"/>
        <w:rPr>
          <w:sz w:val="24"/>
          <w:szCs w:val="24"/>
          <w:lang w:eastAsia="da-DK"/>
        </w:rPr>
      </w:pPr>
      <w:r w:rsidRPr="00E90DD6">
        <w:rPr>
          <w:sz w:val="24"/>
          <w:szCs w:val="24"/>
        </w:rPr>
        <w:t xml:space="preserve">Der har hidtil ikke været tilfælde med overdosering af </w:t>
      </w:r>
      <w:proofErr w:type="spellStart"/>
      <w:r w:rsidRPr="00E90DD6">
        <w:rPr>
          <w:sz w:val="24"/>
          <w:szCs w:val="24"/>
        </w:rPr>
        <w:t>budesonid</w:t>
      </w:r>
      <w:proofErr w:type="spellEnd"/>
      <w:r w:rsidRPr="00E90DD6">
        <w:rPr>
          <w:sz w:val="24"/>
          <w:szCs w:val="24"/>
        </w:rPr>
        <w:t>.</w:t>
      </w:r>
    </w:p>
    <w:p w14:paraId="54D853CA" w14:textId="77777777" w:rsidR="009260DE" w:rsidRPr="00E90DD6" w:rsidRDefault="009260DE" w:rsidP="009260DE">
      <w:pPr>
        <w:tabs>
          <w:tab w:val="left" w:pos="851"/>
        </w:tabs>
        <w:ind w:left="851"/>
        <w:rPr>
          <w:sz w:val="24"/>
          <w:szCs w:val="24"/>
        </w:rPr>
      </w:pPr>
    </w:p>
    <w:p w14:paraId="0A135CDB" w14:textId="77777777" w:rsidR="009260DE" w:rsidRPr="00E90DD6" w:rsidRDefault="009260DE" w:rsidP="009260DE">
      <w:pPr>
        <w:tabs>
          <w:tab w:val="left" w:pos="851"/>
        </w:tabs>
        <w:ind w:left="851" w:hanging="851"/>
        <w:rPr>
          <w:b/>
          <w:sz w:val="24"/>
          <w:szCs w:val="24"/>
        </w:rPr>
      </w:pPr>
      <w:r w:rsidRPr="00E90DD6">
        <w:rPr>
          <w:b/>
          <w:sz w:val="24"/>
          <w:szCs w:val="24"/>
        </w:rPr>
        <w:t>4.10</w:t>
      </w:r>
      <w:r w:rsidRPr="00E90DD6">
        <w:rPr>
          <w:b/>
          <w:sz w:val="24"/>
          <w:szCs w:val="24"/>
        </w:rPr>
        <w:tab/>
        <w:t>Udlevering</w:t>
      </w:r>
    </w:p>
    <w:p w14:paraId="23DDE353" w14:textId="521528A4" w:rsidR="009260DE" w:rsidRPr="00E90DD6" w:rsidRDefault="00E647D4" w:rsidP="009260DE">
      <w:pPr>
        <w:tabs>
          <w:tab w:val="left" w:pos="851"/>
        </w:tabs>
        <w:ind w:left="851"/>
        <w:rPr>
          <w:sz w:val="24"/>
          <w:szCs w:val="24"/>
        </w:rPr>
      </w:pPr>
      <w:r w:rsidRPr="00E90DD6">
        <w:rPr>
          <w:sz w:val="24"/>
          <w:szCs w:val="24"/>
        </w:rPr>
        <w:t>B</w:t>
      </w:r>
    </w:p>
    <w:p w14:paraId="1266AF9C" w14:textId="77777777" w:rsidR="009260DE" w:rsidRPr="00E90DD6" w:rsidRDefault="009260DE" w:rsidP="009260DE">
      <w:pPr>
        <w:tabs>
          <w:tab w:val="left" w:pos="851"/>
        </w:tabs>
        <w:ind w:left="851"/>
        <w:rPr>
          <w:sz w:val="24"/>
          <w:szCs w:val="24"/>
        </w:rPr>
      </w:pPr>
    </w:p>
    <w:p w14:paraId="086BBFF4" w14:textId="77777777" w:rsidR="009260DE" w:rsidRPr="00E90DD6" w:rsidRDefault="009260DE" w:rsidP="009260DE">
      <w:pPr>
        <w:tabs>
          <w:tab w:val="left" w:pos="851"/>
        </w:tabs>
        <w:ind w:left="851"/>
        <w:rPr>
          <w:sz w:val="24"/>
          <w:szCs w:val="24"/>
        </w:rPr>
      </w:pPr>
    </w:p>
    <w:p w14:paraId="28AFA3AC" w14:textId="77777777" w:rsidR="009260DE" w:rsidRPr="00E90DD6" w:rsidRDefault="009260DE" w:rsidP="009260DE">
      <w:pPr>
        <w:tabs>
          <w:tab w:val="left" w:pos="851"/>
        </w:tabs>
        <w:ind w:left="851" w:hanging="851"/>
        <w:rPr>
          <w:b/>
          <w:sz w:val="24"/>
          <w:szCs w:val="24"/>
        </w:rPr>
      </w:pPr>
      <w:r w:rsidRPr="00E90DD6">
        <w:rPr>
          <w:b/>
          <w:sz w:val="24"/>
          <w:szCs w:val="24"/>
        </w:rPr>
        <w:t>5.</w:t>
      </w:r>
      <w:r w:rsidRPr="00E90DD6">
        <w:rPr>
          <w:b/>
          <w:sz w:val="24"/>
          <w:szCs w:val="24"/>
        </w:rPr>
        <w:tab/>
        <w:t>FARMAKOLOGISKE EGENSKABER</w:t>
      </w:r>
    </w:p>
    <w:p w14:paraId="7526C184" w14:textId="77777777" w:rsidR="009260DE" w:rsidRPr="00E90DD6" w:rsidRDefault="009260DE" w:rsidP="009260DE">
      <w:pPr>
        <w:tabs>
          <w:tab w:val="left" w:pos="851"/>
        </w:tabs>
        <w:ind w:left="851"/>
        <w:rPr>
          <w:sz w:val="24"/>
          <w:szCs w:val="24"/>
        </w:rPr>
      </w:pPr>
    </w:p>
    <w:p w14:paraId="6ADAE275" w14:textId="77777777" w:rsidR="009260DE" w:rsidRPr="00E90DD6" w:rsidRDefault="009260DE" w:rsidP="009260DE">
      <w:pPr>
        <w:tabs>
          <w:tab w:val="left" w:pos="851"/>
        </w:tabs>
        <w:ind w:left="851" w:hanging="851"/>
        <w:rPr>
          <w:b/>
          <w:sz w:val="24"/>
          <w:szCs w:val="24"/>
        </w:rPr>
      </w:pPr>
      <w:r w:rsidRPr="00E90DD6">
        <w:rPr>
          <w:b/>
          <w:sz w:val="24"/>
          <w:szCs w:val="24"/>
        </w:rPr>
        <w:t>5.0</w:t>
      </w:r>
      <w:r w:rsidRPr="00E90DD6">
        <w:rPr>
          <w:b/>
          <w:sz w:val="24"/>
          <w:szCs w:val="24"/>
        </w:rPr>
        <w:tab/>
        <w:t>Terapeutisk klassifikation</w:t>
      </w:r>
    </w:p>
    <w:p w14:paraId="642E61E0" w14:textId="77777777" w:rsidR="00E647D4" w:rsidRPr="00E90DD6" w:rsidRDefault="00E647D4" w:rsidP="00E647D4">
      <w:pPr>
        <w:ind w:left="851"/>
        <w:rPr>
          <w:sz w:val="24"/>
          <w:szCs w:val="24"/>
          <w:lang w:eastAsia="da-DK"/>
        </w:rPr>
      </w:pPr>
      <w:r w:rsidRPr="00E90DD6">
        <w:rPr>
          <w:sz w:val="24"/>
          <w:szCs w:val="24"/>
        </w:rPr>
        <w:t xml:space="preserve">ATC-kode: A 07 EA 06. </w:t>
      </w:r>
      <w:proofErr w:type="spellStart"/>
      <w:r w:rsidRPr="00E90DD6">
        <w:rPr>
          <w:color w:val="000000"/>
          <w:sz w:val="24"/>
          <w:szCs w:val="24"/>
        </w:rPr>
        <w:t>Kortikosteroider</w:t>
      </w:r>
      <w:proofErr w:type="spellEnd"/>
      <w:r w:rsidRPr="00E90DD6">
        <w:rPr>
          <w:color w:val="000000"/>
          <w:sz w:val="24"/>
          <w:szCs w:val="24"/>
        </w:rPr>
        <w:t xml:space="preserve"> med lokal virkning.</w:t>
      </w:r>
    </w:p>
    <w:p w14:paraId="15D4FD2A" w14:textId="77777777" w:rsidR="009260DE" w:rsidRPr="00E90DD6" w:rsidRDefault="009260DE" w:rsidP="009260DE">
      <w:pPr>
        <w:tabs>
          <w:tab w:val="left" w:pos="851"/>
        </w:tabs>
        <w:ind w:left="851"/>
        <w:rPr>
          <w:sz w:val="24"/>
          <w:szCs w:val="24"/>
        </w:rPr>
      </w:pPr>
    </w:p>
    <w:p w14:paraId="2700F7D8" w14:textId="77777777" w:rsidR="009260DE" w:rsidRPr="00E90DD6" w:rsidRDefault="009260DE" w:rsidP="009260DE">
      <w:pPr>
        <w:tabs>
          <w:tab w:val="num" w:pos="851"/>
        </w:tabs>
        <w:ind w:left="851" w:hanging="851"/>
        <w:rPr>
          <w:b/>
          <w:sz w:val="24"/>
          <w:szCs w:val="24"/>
        </w:rPr>
      </w:pPr>
      <w:r w:rsidRPr="00E90DD6">
        <w:rPr>
          <w:b/>
          <w:sz w:val="24"/>
          <w:szCs w:val="24"/>
        </w:rPr>
        <w:t>5.1</w:t>
      </w:r>
      <w:r w:rsidRPr="00E90DD6">
        <w:rPr>
          <w:b/>
          <w:sz w:val="24"/>
          <w:szCs w:val="24"/>
        </w:rPr>
        <w:tab/>
      </w:r>
      <w:proofErr w:type="spellStart"/>
      <w:r w:rsidRPr="00E90DD6">
        <w:rPr>
          <w:b/>
          <w:sz w:val="24"/>
          <w:szCs w:val="24"/>
        </w:rPr>
        <w:t>Farmakodynamiske</w:t>
      </w:r>
      <w:proofErr w:type="spellEnd"/>
      <w:r w:rsidRPr="00E90DD6">
        <w:rPr>
          <w:b/>
          <w:sz w:val="24"/>
          <w:szCs w:val="24"/>
        </w:rPr>
        <w:t xml:space="preserve"> egenskaber</w:t>
      </w:r>
    </w:p>
    <w:p w14:paraId="6DBFB0AF" w14:textId="77777777" w:rsidR="0070411C" w:rsidRDefault="0070411C" w:rsidP="00841917">
      <w:pPr>
        <w:ind w:left="851"/>
        <w:rPr>
          <w:sz w:val="24"/>
          <w:szCs w:val="24"/>
        </w:rPr>
      </w:pPr>
    </w:p>
    <w:p w14:paraId="188F403B" w14:textId="198711B9" w:rsidR="00E647D4" w:rsidRPr="0070411C" w:rsidRDefault="00E647D4" w:rsidP="00841917">
      <w:pPr>
        <w:ind w:left="851"/>
        <w:rPr>
          <w:sz w:val="24"/>
          <w:szCs w:val="24"/>
          <w:u w:val="single"/>
          <w:lang w:eastAsia="da-DK"/>
        </w:rPr>
      </w:pPr>
      <w:r w:rsidRPr="0070411C">
        <w:rPr>
          <w:sz w:val="24"/>
          <w:szCs w:val="24"/>
          <w:u w:val="single"/>
        </w:rPr>
        <w:t>Virkningsmekanisme</w:t>
      </w:r>
    </w:p>
    <w:p w14:paraId="4A9FDE51" w14:textId="77777777" w:rsidR="00E647D4" w:rsidRPr="00E90DD6" w:rsidRDefault="00E647D4" w:rsidP="00841917">
      <w:pPr>
        <w:ind w:left="851"/>
        <w:rPr>
          <w:sz w:val="24"/>
          <w:szCs w:val="24"/>
        </w:rPr>
      </w:pPr>
      <w:r w:rsidRPr="00E90DD6">
        <w:rPr>
          <w:sz w:val="24"/>
          <w:szCs w:val="24"/>
        </w:rPr>
        <w:t xml:space="preserve">Den nøjagtige mekanisme af </w:t>
      </w:r>
      <w:proofErr w:type="spellStart"/>
      <w:r w:rsidRPr="00E90DD6">
        <w:rPr>
          <w:sz w:val="24"/>
          <w:szCs w:val="24"/>
        </w:rPr>
        <w:t>budesonid</w:t>
      </w:r>
      <w:proofErr w:type="spellEnd"/>
      <w:r w:rsidRPr="00E90DD6">
        <w:rPr>
          <w:sz w:val="24"/>
          <w:szCs w:val="24"/>
        </w:rPr>
        <w:t xml:space="preserve"> i behandlingen af </w:t>
      </w:r>
      <w:proofErr w:type="spellStart"/>
      <w:r w:rsidRPr="00E90DD6">
        <w:rPr>
          <w:sz w:val="24"/>
          <w:szCs w:val="24"/>
        </w:rPr>
        <w:t>Crohns</w:t>
      </w:r>
      <w:proofErr w:type="spellEnd"/>
      <w:r w:rsidRPr="00E90DD6">
        <w:rPr>
          <w:sz w:val="24"/>
          <w:szCs w:val="24"/>
        </w:rPr>
        <w:t xml:space="preserve"> sygdom er ikke klarlagt fuldstændigt. Data fra kliniske, farmakologiske studier og kontrollerede kliniske studier indikerer stærkt, at virkningsmåden af </w:t>
      </w:r>
      <w:proofErr w:type="spellStart"/>
      <w:r w:rsidRPr="00E90DD6">
        <w:rPr>
          <w:sz w:val="24"/>
          <w:szCs w:val="24"/>
        </w:rPr>
        <w:t>budesonid</w:t>
      </w:r>
      <w:proofErr w:type="spellEnd"/>
      <w:r w:rsidRPr="00E90DD6">
        <w:rPr>
          <w:sz w:val="24"/>
          <w:szCs w:val="24"/>
        </w:rPr>
        <w:t>-kapsler</w:t>
      </w:r>
      <w:r w:rsidRPr="00E90DD6">
        <w:rPr>
          <w:sz w:val="24"/>
          <w:szCs w:val="24"/>
          <w:vertAlign w:val="superscript"/>
        </w:rPr>
        <w:t xml:space="preserve"> </w:t>
      </w:r>
      <w:r w:rsidRPr="00E90DD6">
        <w:rPr>
          <w:sz w:val="24"/>
          <w:szCs w:val="24"/>
        </w:rPr>
        <w:t xml:space="preserve">hovedsagelig er baseret på en lokal virkning i tarmen. </w:t>
      </w:r>
      <w:proofErr w:type="spellStart"/>
      <w:r w:rsidRPr="00E90DD6">
        <w:rPr>
          <w:sz w:val="24"/>
          <w:szCs w:val="24"/>
        </w:rPr>
        <w:t>Budesonid</w:t>
      </w:r>
      <w:proofErr w:type="spellEnd"/>
      <w:r w:rsidRPr="00E90DD6">
        <w:rPr>
          <w:sz w:val="24"/>
          <w:szCs w:val="24"/>
        </w:rPr>
        <w:t xml:space="preserve"> er et </w:t>
      </w:r>
      <w:proofErr w:type="spellStart"/>
      <w:r w:rsidRPr="00E90DD6">
        <w:rPr>
          <w:sz w:val="24"/>
          <w:szCs w:val="24"/>
        </w:rPr>
        <w:t>glukokortikosteroid</w:t>
      </w:r>
      <w:proofErr w:type="spellEnd"/>
      <w:r w:rsidRPr="00E90DD6">
        <w:rPr>
          <w:sz w:val="24"/>
          <w:szCs w:val="24"/>
        </w:rPr>
        <w:t xml:space="preserve"> med en kraftig lokal antiinflammatorisk virkning. I doser, der er klinisk ækvivalente til systemisk virkende </w:t>
      </w:r>
      <w:proofErr w:type="spellStart"/>
      <w:r w:rsidRPr="00E90DD6">
        <w:rPr>
          <w:sz w:val="24"/>
          <w:szCs w:val="24"/>
        </w:rPr>
        <w:t>glukokortikosteroider</w:t>
      </w:r>
      <w:proofErr w:type="spellEnd"/>
      <w:r w:rsidRPr="00E90DD6">
        <w:rPr>
          <w:sz w:val="24"/>
          <w:szCs w:val="24"/>
        </w:rPr>
        <w:t xml:space="preserve">, giver </w:t>
      </w:r>
      <w:proofErr w:type="spellStart"/>
      <w:r w:rsidRPr="00E90DD6">
        <w:rPr>
          <w:sz w:val="24"/>
          <w:szCs w:val="24"/>
        </w:rPr>
        <w:t>budesonid</w:t>
      </w:r>
      <w:proofErr w:type="spellEnd"/>
      <w:r w:rsidRPr="00E90DD6">
        <w:rPr>
          <w:sz w:val="24"/>
          <w:szCs w:val="24"/>
        </w:rPr>
        <w:t xml:space="preserve"> betydelig mindre hæmning af </w:t>
      </w:r>
      <w:proofErr w:type="spellStart"/>
      <w:r w:rsidRPr="00E90DD6">
        <w:rPr>
          <w:sz w:val="24"/>
          <w:szCs w:val="24"/>
        </w:rPr>
        <w:t>hypothalamus</w:t>
      </w:r>
      <w:proofErr w:type="spellEnd"/>
      <w:r w:rsidRPr="00E90DD6">
        <w:rPr>
          <w:sz w:val="24"/>
          <w:szCs w:val="24"/>
        </w:rPr>
        <w:t>-hypofyse-binyrebarkfunktionen og har en mindre indvirkning på inflammations-markørerne.</w:t>
      </w:r>
    </w:p>
    <w:p w14:paraId="72209CD1" w14:textId="77777777" w:rsidR="00E647D4" w:rsidRPr="00E90DD6" w:rsidRDefault="00E647D4" w:rsidP="00841917">
      <w:pPr>
        <w:ind w:left="851"/>
        <w:rPr>
          <w:sz w:val="24"/>
          <w:szCs w:val="24"/>
        </w:rPr>
      </w:pPr>
    </w:p>
    <w:p w14:paraId="682D047F" w14:textId="77777777" w:rsidR="00E647D4" w:rsidRPr="0070411C" w:rsidRDefault="00E647D4" w:rsidP="00841917">
      <w:pPr>
        <w:ind w:left="851"/>
        <w:rPr>
          <w:sz w:val="24"/>
          <w:szCs w:val="24"/>
          <w:u w:val="single"/>
        </w:rPr>
      </w:pPr>
      <w:proofErr w:type="spellStart"/>
      <w:r w:rsidRPr="0070411C">
        <w:rPr>
          <w:sz w:val="24"/>
          <w:szCs w:val="24"/>
          <w:u w:val="single"/>
        </w:rPr>
        <w:t>Farmakodynamisk</w:t>
      </w:r>
      <w:proofErr w:type="spellEnd"/>
      <w:r w:rsidRPr="0070411C">
        <w:rPr>
          <w:sz w:val="24"/>
          <w:szCs w:val="24"/>
          <w:u w:val="single"/>
        </w:rPr>
        <w:t xml:space="preserve"> virkning</w:t>
      </w:r>
    </w:p>
    <w:p w14:paraId="22125EAB" w14:textId="77777777" w:rsidR="00E647D4" w:rsidRPr="00E90DD6" w:rsidRDefault="00E647D4" w:rsidP="00841917">
      <w:pPr>
        <w:ind w:left="851"/>
        <w:rPr>
          <w:sz w:val="24"/>
          <w:szCs w:val="24"/>
        </w:rPr>
      </w:pPr>
      <w:proofErr w:type="spellStart"/>
      <w:r w:rsidRPr="00E90DD6">
        <w:rPr>
          <w:sz w:val="24"/>
          <w:szCs w:val="24"/>
        </w:rPr>
        <w:t>Budesonid</w:t>
      </w:r>
      <w:proofErr w:type="spellEnd"/>
      <w:r w:rsidRPr="00E90DD6">
        <w:rPr>
          <w:sz w:val="24"/>
          <w:szCs w:val="24"/>
        </w:rPr>
        <w:t xml:space="preserve">-kapsler viser en dosisafhængig indflydelse på plasmaniveauerne af kortisol, som ved den anbefalede dosis på 9 mg </w:t>
      </w:r>
      <w:proofErr w:type="spellStart"/>
      <w:r w:rsidRPr="00E90DD6">
        <w:rPr>
          <w:sz w:val="24"/>
          <w:szCs w:val="24"/>
        </w:rPr>
        <w:t>budesonid</w:t>
      </w:r>
      <w:proofErr w:type="spellEnd"/>
      <w:r w:rsidRPr="00E90DD6">
        <w:rPr>
          <w:sz w:val="24"/>
          <w:szCs w:val="24"/>
        </w:rPr>
        <w:t xml:space="preserve"> pr. dag ligger væsentlig lavere end for de kliniske ækvivalente effektive doser af systemiske </w:t>
      </w:r>
      <w:proofErr w:type="spellStart"/>
      <w:r w:rsidRPr="00E90DD6">
        <w:rPr>
          <w:sz w:val="24"/>
          <w:szCs w:val="24"/>
        </w:rPr>
        <w:t>glukokortiko</w:t>
      </w:r>
      <w:r w:rsidRPr="00E90DD6">
        <w:rPr>
          <w:sz w:val="24"/>
          <w:szCs w:val="24"/>
        </w:rPr>
        <w:softHyphen/>
        <w:t>steroider</w:t>
      </w:r>
      <w:proofErr w:type="spellEnd"/>
      <w:r w:rsidRPr="00E90DD6">
        <w:rPr>
          <w:sz w:val="24"/>
          <w:szCs w:val="24"/>
        </w:rPr>
        <w:t>.</w:t>
      </w:r>
    </w:p>
    <w:p w14:paraId="35C69A7E" w14:textId="77777777" w:rsidR="00E647D4" w:rsidRPr="00E90DD6" w:rsidRDefault="00E647D4" w:rsidP="00841917">
      <w:pPr>
        <w:ind w:left="851"/>
        <w:rPr>
          <w:sz w:val="24"/>
          <w:szCs w:val="24"/>
        </w:rPr>
      </w:pPr>
    </w:p>
    <w:p w14:paraId="1F219B7B" w14:textId="77777777" w:rsidR="00E647D4" w:rsidRPr="0070411C" w:rsidRDefault="00E647D4" w:rsidP="00841917">
      <w:pPr>
        <w:ind w:left="851"/>
        <w:rPr>
          <w:sz w:val="24"/>
          <w:szCs w:val="24"/>
          <w:u w:val="single"/>
        </w:rPr>
      </w:pPr>
      <w:r w:rsidRPr="0070411C">
        <w:rPr>
          <w:sz w:val="24"/>
          <w:szCs w:val="24"/>
          <w:u w:val="single"/>
        </w:rPr>
        <w:t>Klinisk virkning og sikkerhed</w:t>
      </w:r>
    </w:p>
    <w:p w14:paraId="67569100" w14:textId="77777777" w:rsidR="00E647D4" w:rsidRPr="0070411C" w:rsidRDefault="00E647D4" w:rsidP="00841917">
      <w:pPr>
        <w:ind w:left="851"/>
        <w:rPr>
          <w:sz w:val="24"/>
          <w:szCs w:val="24"/>
          <w:u w:val="single"/>
        </w:rPr>
      </w:pPr>
    </w:p>
    <w:p w14:paraId="7F05AC99" w14:textId="77777777" w:rsidR="00E647D4" w:rsidRPr="0070411C" w:rsidRDefault="00E647D4" w:rsidP="00841917">
      <w:pPr>
        <w:ind w:left="851"/>
        <w:rPr>
          <w:i/>
          <w:sz w:val="24"/>
          <w:szCs w:val="24"/>
          <w:u w:val="single"/>
        </w:rPr>
      </w:pPr>
      <w:proofErr w:type="spellStart"/>
      <w:r w:rsidRPr="0070411C">
        <w:rPr>
          <w:i/>
          <w:sz w:val="24"/>
          <w:szCs w:val="24"/>
          <w:u w:val="single"/>
        </w:rPr>
        <w:t>Crohns</w:t>
      </w:r>
      <w:proofErr w:type="spellEnd"/>
      <w:r w:rsidRPr="0070411C">
        <w:rPr>
          <w:i/>
          <w:sz w:val="24"/>
          <w:szCs w:val="24"/>
          <w:u w:val="single"/>
        </w:rPr>
        <w:t xml:space="preserve"> sygdom</w:t>
      </w:r>
    </w:p>
    <w:p w14:paraId="17BB769A" w14:textId="77777777" w:rsidR="00E647D4" w:rsidRPr="00E90DD6" w:rsidRDefault="00E647D4" w:rsidP="00841917">
      <w:pPr>
        <w:ind w:left="851"/>
        <w:rPr>
          <w:i/>
          <w:sz w:val="24"/>
          <w:szCs w:val="24"/>
        </w:rPr>
      </w:pPr>
    </w:p>
    <w:p w14:paraId="0DC19FBB" w14:textId="77777777" w:rsidR="00E647D4" w:rsidRPr="00E90DD6" w:rsidRDefault="00E647D4" w:rsidP="00841917">
      <w:pPr>
        <w:ind w:left="851"/>
        <w:rPr>
          <w:i/>
          <w:sz w:val="24"/>
          <w:szCs w:val="24"/>
        </w:rPr>
      </w:pPr>
      <w:r w:rsidRPr="00E90DD6">
        <w:rPr>
          <w:i/>
          <w:sz w:val="24"/>
          <w:szCs w:val="24"/>
        </w:rPr>
        <w:t xml:space="preserve">Klinisk studie af voksne patienter med </w:t>
      </w:r>
      <w:proofErr w:type="spellStart"/>
      <w:r w:rsidRPr="00E90DD6">
        <w:rPr>
          <w:i/>
          <w:sz w:val="24"/>
          <w:szCs w:val="24"/>
        </w:rPr>
        <w:t>Crohns</w:t>
      </w:r>
      <w:proofErr w:type="spellEnd"/>
      <w:r w:rsidRPr="00E90DD6">
        <w:rPr>
          <w:i/>
          <w:sz w:val="24"/>
          <w:szCs w:val="24"/>
        </w:rPr>
        <w:t xml:space="preserve"> sygdom</w:t>
      </w:r>
    </w:p>
    <w:p w14:paraId="58197BBC" w14:textId="77777777" w:rsidR="00E647D4" w:rsidRPr="00E90DD6" w:rsidRDefault="00E647D4" w:rsidP="00841917">
      <w:pPr>
        <w:ind w:left="851"/>
        <w:rPr>
          <w:sz w:val="24"/>
          <w:szCs w:val="24"/>
        </w:rPr>
      </w:pPr>
      <w:r w:rsidRPr="00E90DD6">
        <w:rPr>
          <w:sz w:val="24"/>
          <w:szCs w:val="24"/>
        </w:rPr>
        <w:t xml:space="preserve">I et randomiseret, dobbeltblindet, dobbelt-dummy studie hos patienter med mild til moderat </w:t>
      </w:r>
      <w:proofErr w:type="spellStart"/>
      <w:r w:rsidRPr="00E90DD6">
        <w:rPr>
          <w:sz w:val="24"/>
          <w:szCs w:val="24"/>
        </w:rPr>
        <w:t>Crohns</w:t>
      </w:r>
      <w:proofErr w:type="spellEnd"/>
      <w:r w:rsidRPr="00E90DD6">
        <w:rPr>
          <w:sz w:val="24"/>
          <w:szCs w:val="24"/>
        </w:rPr>
        <w:t xml:space="preserve"> sygdom (200 &lt; CDAI &lt; 400) med påvirkning på terminal </w:t>
      </w:r>
      <w:proofErr w:type="spellStart"/>
      <w:r w:rsidRPr="00E90DD6">
        <w:rPr>
          <w:sz w:val="24"/>
          <w:szCs w:val="24"/>
        </w:rPr>
        <w:t>ileum</w:t>
      </w:r>
      <w:proofErr w:type="spellEnd"/>
      <w:r w:rsidRPr="00E90DD6">
        <w:rPr>
          <w:sz w:val="24"/>
          <w:szCs w:val="24"/>
        </w:rPr>
        <w:t xml:space="preserve"> og/eller </w:t>
      </w:r>
      <w:proofErr w:type="spellStart"/>
      <w:r w:rsidRPr="00E90DD6">
        <w:rPr>
          <w:sz w:val="24"/>
          <w:szCs w:val="24"/>
        </w:rPr>
        <w:t>colon</w:t>
      </w:r>
      <w:proofErr w:type="spellEnd"/>
      <w:r w:rsidRPr="00E90DD6">
        <w:rPr>
          <w:sz w:val="24"/>
          <w:szCs w:val="24"/>
        </w:rPr>
        <w:t xml:space="preserve"> ascendens blev effekten af 9 mg </w:t>
      </w:r>
      <w:proofErr w:type="spellStart"/>
      <w:r w:rsidRPr="00E90DD6">
        <w:rPr>
          <w:sz w:val="24"/>
          <w:szCs w:val="24"/>
        </w:rPr>
        <w:t>budesonid</w:t>
      </w:r>
      <w:proofErr w:type="spellEnd"/>
      <w:r w:rsidRPr="00E90DD6">
        <w:rPr>
          <w:sz w:val="24"/>
          <w:szCs w:val="24"/>
        </w:rPr>
        <w:t xml:space="preserve"> som en enkelt daglig dosis (9 mg OD) sammenlignet med en behandling på 3 mg </w:t>
      </w:r>
      <w:proofErr w:type="spellStart"/>
      <w:r w:rsidRPr="00E90DD6">
        <w:rPr>
          <w:sz w:val="24"/>
          <w:szCs w:val="24"/>
        </w:rPr>
        <w:t>budesonid</w:t>
      </w:r>
      <w:proofErr w:type="spellEnd"/>
      <w:r w:rsidRPr="00E90DD6">
        <w:rPr>
          <w:sz w:val="24"/>
          <w:szCs w:val="24"/>
        </w:rPr>
        <w:t xml:space="preserve"> givet tre gange daglig (3 mg TID). </w:t>
      </w:r>
    </w:p>
    <w:p w14:paraId="64ACBAFA" w14:textId="77777777" w:rsidR="00E647D4" w:rsidRPr="00E90DD6" w:rsidRDefault="00E647D4" w:rsidP="00841917">
      <w:pPr>
        <w:ind w:left="851"/>
        <w:rPr>
          <w:sz w:val="24"/>
          <w:szCs w:val="24"/>
        </w:rPr>
      </w:pPr>
    </w:p>
    <w:p w14:paraId="518E074C" w14:textId="77777777" w:rsidR="00E647D4" w:rsidRPr="00E90DD6" w:rsidRDefault="00E647D4" w:rsidP="00841917">
      <w:pPr>
        <w:ind w:left="851"/>
        <w:rPr>
          <w:sz w:val="24"/>
          <w:szCs w:val="24"/>
        </w:rPr>
      </w:pPr>
      <w:r w:rsidRPr="00E90DD6">
        <w:rPr>
          <w:sz w:val="24"/>
          <w:szCs w:val="24"/>
        </w:rPr>
        <w:t>Det primære effektmål var andelen af patienter i remission (CDAI &lt; 150) i uge 8.</w:t>
      </w:r>
    </w:p>
    <w:p w14:paraId="50BADFD3" w14:textId="77777777" w:rsidR="00E647D4" w:rsidRPr="00E90DD6" w:rsidRDefault="00E647D4" w:rsidP="00841917">
      <w:pPr>
        <w:ind w:left="851"/>
        <w:rPr>
          <w:sz w:val="24"/>
          <w:szCs w:val="24"/>
        </w:rPr>
      </w:pPr>
    </w:p>
    <w:p w14:paraId="2C298D1A" w14:textId="77777777" w:rsidR="00E647D4" w:rsidRPr="00E90DD6" w:rsidRDefault="00E647D4" w:rsidP="00841917">
      <w:pPr>
        <w:ind w:left="851"/>
        <w:rPr>
          <w:sz w:val="24"/>
          <w:szCs w:val="24"/>
        </w:rPr>
      </w:pPr>
      <w:r w:rsidRPr="00E90DD6">
        <w:rPr>
          <w:sz w:val="24"/>
          <w:szCs w:val="24"/>
        </w:rPr>
        <w:t>I alt var 471 patienter inkluderet i studiet (</w:t>
      </w:r>
      <w:proofErr w:type="gramStart"/>
      <w:r w:rsidRPr="00E90DD6">
        <w:rPr>
          <w:sz w:val="24"/>
          <w:szCs w:val="24"/>
        </w:rPr>
        <w:t>fuld analysesæt</w:t>
      </w:r>
      <w:proofErr w:type="gramEnd"/>
      <w:r w:rsidRPr="00E90DD6">
        <w:rPr>
          <w:sz w:val="24"/>
          <w:szCs w:val="24"/>
        </w:rPr>
        <w:t xml:space="preserve">, FAS), 439 patienter var i per-protokol (PP) analysesættet. Der var ingen relevante forskelle i baseline karakteristika i de to behandlingsgrupper. Ved den bekræftende analyse var 71,3 % af patienterne i remission i 9 mg OD-gruppen og 75,1 % i 3 mg TID-gruppen (PP) (p = 0,01975), hvilket viste non-inferioritet af 9 mg </w:t>
      </w:r>
      <w:proofErr w:type="spellStart"/>
      <w:r w:rsidRPr="00E90DD6">
        <w:rPr>
          <w:sz w:val="24"/>
          <w:szCs w:val="24"/>
        </w:rPr>
        <w:t>budesonid</w:t>
      </w:r>
      <w:proofErr w:type="spellEnd"/>
      <w:r w:rsidRPr="00E90DD6">
        <w:rPr>
          <w:sz w:val="24"/>
          <w:szCs w:val="24"/>
        </w:rPr>
        <w:t xml:space="preserve"> en gang daglig over for 3 mg </w:t>
      </w:r>
      <w:proofErr w:type="spellStart"/>
      <w:r w:rsidRPr="00E90DD6">
        <w:rPr>
          <w:sz w:val="24"/>
          <w:szCs w:val="24"/>
        </w:rPr>
        <w:t>budesonid</w:t>
      </w:r>
      <w:proofErr w:type="spellEnd"/>
      <w:r w:rsidRPr="00E90DD6">
        <w:rPr>
          <w:sz w:val="24"/>
          <w:szCs w:val="24"/>
        </w:rPr>
        <w:t xml:space="preserve"> 3 gange daglig. </w:t>
      </w:r>
    </w:p>
    <w:p w14:paraId="5116E40E" w14:textId="77777777" w:rsidR="00E647D4" w:rsidRPr="00E90DD6" w:rsidRDefault="00E647D4" w:rsidP="00841917">
      <w:pPr>
        <w:ind w:left="851"/>
        <w:rPr>
          <w:sz w:val="24"/>
          <w:szCs w:val="24"/>
        </w:rPr>
      </w:pPr>
    </w:p>
    <w:p w14:paraId="7637BD1B" w14:textId="77777777" w:rsidR="00E647D4" w:rsidRPr="00E90DD6" w:rsidRDefault="00E647D4" w:rsidP="00841917">
      <w:pPr>
        <w:ind w:left="851"/>
        <w:rPr>
          <w:sz w:val="24"/>
          <w:szCs w:val="24"/>
        </w:rPr>
      </w:pPr>
      <w:r w:rsidRPr="00E90DD6">
        <w:rPr>
          <w:sz w:val="24"/>
          <w:szCs w:val="24"/>
        </w:rPr>
        <w:t xml:space="preserve">Der blev ikke rapporteret nogen lægemiddelrelaterede alvorlige bivirkninger. </w:t>
      </w:r>
    </w:p>
    <w:p w14:paraId="535EB4B6" w14:textId="77777777" w:rsidR="00E647D4" w:rsidRPr="00E90DD6" w:rsidRDefault="00E647D4" w:rsidP="00841917">
      <w:pPr>
        <w:ind w:left="851"/>
        <w:rPr>
          <w:sz w:val="24"/>
          <w:szCs w:val="24"/>
        </w:rPr>
      </w:pPr>
    </w:p>
    <w:p w14:paraId="7347865A" w14:textId="77777777" w:rsidR="00E647D4" w:rsidRPr="00E90DD6" w:rsidRDefault="00E647D4" w:rsidP="00841917">
      <w:pPr>
        <w:ind w:left="851"/>
        <w:rPr>
          <w:i/>
          <w:sz w:val="24"/>
          <w:szCs w:val="24"/>
        </w:rPr>
      </w:pPr>
      <w:r w:rsidRPr="00E90DD6">
        <w:rPr>
          <w:i/>
          <w:sz w:val="24"/>
          <w:szCs w:val="24"/>
        </w:rPr>
        <w:t xml:space="preserve">Kliniske studier af pædiatriske patienter med </w:t>
      </w:r>
      <w:proofErr w:type="spellStart"/>
      <w:r w:rsidRPr="00E90DD6">
        <w:rPr>
          <w:i/>
          <w:sz w:val="24"/>
          <w:szCs w:val="24"/>
        </w:rPr>
        <w:t>Crohns</w:t>
      </w:r>
      <w:proofErr w:type="spellEnd"/>
      <w:r w:rsidRPr="00E90DD6">
        <w:rPr>
          <w:i/>
          <w:sz w:val="24"/>
          <w:szCs w:val="24"/>
        </w:rPr>
        <w:t xml:space="preserve"> sygdom</w:t>
      </w:r>
    </w:p>
    <w:p w14:paraId="19FA1B8A" w14:textId="0CB8DB83" w:rsidR="00E647D4" w:rsidRPr="00E90DD6" w:rsidRDefault="00E647D4" w:rsidP="00841917">
      <w:pPr>
        <w:ind w:left="851"/>
        <w:rPr>
          <w:sz w:val="24"/>
          <w:szCs w:val="24"/>
        </w:rPr>
      </w:pPr>
      <w:r w:rsidRPr="00E90DD6">
        <w:rPr>
          <w:sz w:val="24"/>
          <w:szCs w:val="24"/>
        </w:rPr>
        <w:t xml:space="preserve">To randomiserede, kontrollerede studier med </w:t>
      </w:r>
      <w:proofErr w:type="spellStart"/>
      <w:r w:rsidRPr="00E90DD6">
        <w:rPr>
          <w:sz w:val="24"/>
          <w:szCs w:val="24"/>
        </w:rPr>
        <w:t>budesonid</w:t>
      </w:r>
      <w:proofErr w:type="spellEnd"/>
      <w:r w:rsidRPr="00E90DD6">
        <w:rPr>
          <w:sz w:val="24"/>
          <w:szCs w:val="24"/>
        </w:rPr>
        <w:t xml:space="preserve"> 3 mg</w:t>
      </w:r>
      <w:r w:rsidR="008312F6">
        <w:rPr>
          <w:sz w:val="24"/>
          <w:szCs w:val="24"/>
        </w:rPr>
        <w:t xml:space="preserve"> </w:t>
      </w:r>
      <w:r w:rsidRPr="00E90DD6">
        <w:rPr>
          <w:sz w:val="24"/>
          <w:szCs w:val="24"/>
        </w:rPr>
        <w:t xml:space="preserve">kapsler inkluderede patienter i alderen fra 8 til 19 år med mild til moderat aktiv </w:t>
      </w:r>
      <w:proofErr w:type="spellStart"/>
      <w:r w:rsidRPr="00E90DD6">
        <w:rPr>
          <w:sz w:val="24"/>
          <w:szCs w:val="24"/>
        </w:rPr>
        <w:t>Crohns</w:t>
      </w:r>
      <w:proofErr w:type="spellEnd"/>
      <w:r w:rsidRPr="00E90DD6">
        <w:rPr>
          <w:sz w:val="24"/>
          <w:szCs w:val="24"/>
        </w:rPr>
        <w:t xml:space="preserve"> sygdom (pædiatrisk </w:t>
      </w:r>
      <w:proofErr w:type="spellStart"/>
      <w:r w:rsidRPr="00E90DD6">
        <w:rPr>
          <w:sz w:val="24"/>
          <w:szCs w:val="24"/>
        </w:rPr>
        <w:t>Crohns</w:t>
      </w:r>
      <w:proofErr w:type="spellEnd"/>
      <w:r w:rsidRPr="00E90DD6">
        <w:rPr>
          <w:sz w:val="24"/>
          <w:szCs w:val="24"/>
        </w:rPr>
        <w:t xml:space="preserve"> sygdom-aktivitetsindeks 12,5</w:t>
      </w:r>
      <w:r w:rsidRPr="00E90DD6">
        <w:rPr>
          <w:sz w:val="24"/>
          <w:szCs w:val="24"/>
        </w:rPr>
        <w:noBreakHyphen/>
        <w:t xml:space="preserve">40) med inflammation i </w:t>
      </w:r>
      <w:proofErr w:type="spellStart"/>
      <w:r w:rsidRPr="00E90DD6">
        <w:rPr>
          <w:sz w:val="24"/>
          <w:szCs w:val="24"/>
        </w:rPr>
        <w:t>ileum</w:t>
      </w:r>
      <w:proofErr w:type="spellEnd"/>
      <w:r w:rsidRPr="00E90DD6">
        <w:rPr>
          <w:sz w:val="24"/>
          <w:szCs w:val="24"/>
        </w:rPr>
        <w:t xml:space="preserve">, inflammation samtidig i både </w:t>
      </w:r>
      <w:proofErr w:type="spellStart"/>
      <w:r w:rsidRPr="00E90DD6">
        <w:rPr>
          <w:sz w:val="24"/>
          <w:szCs w:val="24"/>
        </w:rPr>
        <w:t>ileum</w:t>
      </w:r>
      <w:proofErr w:type="spellEnd"/>
      <w:r w:rsidRPr="00E90DD6">
        <w:rPr>
          <w:sz w:val="24"/>
          <w:szCs w:val="24"/>
        </w:rPr>
        <w:t xml:space="preserve"> og </w:t>
      </w:r>
      <w:proofErr w:type="spellStart"/>
      <w:r w:rsidRPr="00E90DD6">
        <w:rPr>
          <w:sz w:val="24"/>
          <w:szCs w:val="24"/>
        </w:rPr>
        <w:t>colon</w:t>
      </w:r>
      <w:proofErr w:type="spellEnd"/>
      <w:r w:rsidRPr="00E90DD6">
        <w:rPr>
          <w:sz w:val="24"/>
          <w:szCs w:val="24"/>
        </w:rPr>
        <w:t xml:space="preserve"> eller isoleret i </w:t>
      </w:r>
      <w:proofErr w:type="spellStart"/>
      <w:r w:rsidRPr="00E90DD6">
        <w:rPr>
          <w:sz w:val="24"/>
          <w:szCs w:val="24"/>
        </w:rPr>
        <w:t>colon</w:t>
      </w:r>
      <w:proofErr w:type="spellEnd"/>
      <w:r w:rsidRPr="00E90DD6">
        <w:rPr>
          <w:sz w:val="24"/>
          <w:szCs w:val="24"/>
        </w:rPr>
        <w:t xml:space="preserve">. </w:t>
      </w:r>
    </w:p>
    <w:p w14:paraId="2AFF45E4" w14:textId="77777777" w:rsidR="00E647D4" w:rsidRPr="00E90DD6" w:rsidRDefault="00E647D4" w:rsidP="00841917">
      <w:pPr>
        <w:ind w:left="851"/>
        <w:rPr>
          <w:sz w:val="24"/>
          <w:szCs w:val="24"/>
        </w:rPr>
      </w:pPr>
    </w:p>
    <w:p w14:paraId="1E28FD9E" w14:textId="77777777" w:rsidR="00E647D4" w:rsidRPr="00E90DD6" w:rsidRDefault="00E647D4" w:rsidP="00841917">
      <w:pPr>
        <w:ind w:left="851"/>
        <w:rPr>
          <w:sz w:val="24"/>
          <w:szCs w:val="24"/>
        </w:rPr>
      </w:pPr>
      <w:r w:rsidRPr="00E90DD6">
        <w:rPr>
          <w:sz w:val="24"/>
          <w:szCs w:val="24"/>
        </w:rPr>
        <w:t xml:space="preserve">I et studie blev i alt 33 patienter behandlet med enten 9 mg </w:t>
      </w:r>
      <w:proofErr w:type="spellStart"/>
      <w:r w:rsidRPr="00E90DD6">
        <w:rPr>
          <w:sz w:val="24"/>
          <w:szCs w:val="24"/>
        </w:rPr>
        <w:t>budesonid</w:t>
      </w:r>
      <w:proofErr w:type="spellEnd"/>
      <w:r w:rsidRPr="00E90DD6">
        <w:rPr>
          <w:sz w:val="24"/>
          <w:szCs w:val="24"/>
        </w:rPr>
        <w:t xml:space="preserve"> dagligt (3 mg tre gange dagligt) i 8 uger efterfulgt af 6 mg </w:t>
      </w:r>
      <w:proofErr w:type="spellStart"/>
      <w:r w:rsidRPr="00E90DD6">
        <w:rPr>
          <w:sz w:val="24"/>
          <w:szCs w:val="24"/>
        </w:rPr>
        <w:t>budesonid</w:t>
      </w:r>
      <w:proofErr w:type="spellEnd"/>
      <w:r w:rsidRPr="00E90DD6">
        <w:rPr>
          <w:sz w:val="24"/>
          <w:szCs w:val="24"/>
        </w:rPr>
        <w:t xml:space="preserve"> dagligt i uge 9 og 3 mg </w:t>
      </w:r>
      <w:proofErr w:type="spellStart"/>
      <w:r w:rsidRPr="00E90DD6">
        <w:rPr>
          <w:sz w:val="24"/>
          <w:szCs w:val="24"/>
        </w:rPr>
        <w:t>budesonid</w:t>
      </w:r>
      <w:proofErr w:type="spellEnd"/>
      <w:r w:rsidRPr="00E90DD6">
        <w:rPr>
          <w:sz w:val="24"/>
          <w:szCs w:val="24"/>
        </w:rPr>
        <w:t xml:space="preserve"> dagligt i uge 10 eller med </w:t>
      </w:r>
      <w:proofErr w:type="spellStart"/>
      <w:r w:rsidRPr="00E90DD6">
        <w:rPr>
          <w:sz w:val="24"/>
          <w:szCs w:val="24"/>
        </w:rPr>
        <w:t>prednison</w:t>
      </w:r>
      <w:proofErr w:type="spellEnd"/>
      <w:r w:rsidRPr="00E90DD6">
        <w:rPr>
          <w:sz w:val="24"/>
          <w:szCs w:val="24"/>
        </w:rPr>
        <w:t xml:space="preserve"> (40 mg/dag i 2 uger, aftagende til nul i trin af 5 mg/uge). Remission (pædiatrisk </w:t>
      </w:r>
      <w:proofErr w:type="spellStart"/>
      <w:r w:rsidRPr="00E90DD6">
        <w:rPr>
          <w:sz w:val="24"/>
          <w:szCs w:val="24"/>
        </w:rPr>
        <w:t>Crohns</w:t>
      </w:r>
      <w:proofErr w:type="spellEnd"/>
      <w:r w:rsidRPr="00E90DD6">
        <w:rPr>
          <w:sz w:val="24"/>
          <w:szCs w:val="24"/>
        </w:rPr>
        <w:t xml:space="preserve"> sygdom-aktivitetsindeks ≤ 10) blev opnået for 9/19 (47,3 %) af patienterne i </w:t>
      </w:r>
      <w:proofErr w:type="spellStart"/>
      <w:r w:rsidRPr="00E90DD6">
        <w:rPr>
          <w:sz w:val="24"/>
          <w:szCs w:val="24"/>
        </w:rPr>
        <w:t>budesonidgruppen</w:t>
      </w:r>
      <w:proofErr w:type="spellEnd"/>
      <w:r w:rsidRPr="00E90DD6">
        <w:rPr>
          <w:sz w:val="24"/>
          <w:szCs w:val="24"/>
        </w:rPr>
        <w:t xml:space="preserve"> (både i uge 4 og 12) og 8/14 (57,1 % i uge 4) og 7/14 (50 % i uge 12) for patienterne i </w:t>
      </w:r>
      <w:proofErr w:type="spellStart"/>
      <w:r w:rsidRPr="00E90DD6">
        <w:rPr>
          <w:sz w:val="24"/>
          <w:szCs w:val="24"/>
        </w:rPr>
        <w:t>prednisongruppen</w:t>
      </w:r>
      <w:proofErr w:type="spellEnd"/>
      <w:r w:rsidRPr="00E90DD6">
        <w:rPr>
          <w:sz w:val="24"/>
          <w:szCs w:val="24"/>
        </w:rPr>
        <w:t>.</w:t>
      </w:r>
    </w:p>
    <w:p w14:paraId="25965C4F" w14:textId="77777777" w:rsidR="00E647D4" w:rsidRPr="00E90DD6" w:rsidRDefault="00E647D4" w:rsidP="00841917">
      <w:pPr>
        <w:ind w:left="851"/>
        <w:rPr>
          <w:sz w:val="24"/>
          <w:szCs w:val="24"/>
        </w:rPr>
      </w:pPr>
    </w:p>
    <w:p w14:paraId="1460083C" w14:textId="77777777" w:rsidR="00E647D4" w:rsidRPr="00E90DD6" w:rsidRDefault="00E647D4" w:rsidP="00841917">
      <w:pPr>
        <w:ind w:left="851"/>
        <w:rPr>
          <w:sz w:val="24"/>
          <w:szCs w:val="24"/>
        </w:rPr>
      </w:pPr>
      <w:r w:rsidRPr="00E90DD6">
        <w:rPr>
          <w:sz w:val="24"/>
          <w:szCs w:val="24"/>
        </w:rPr>
        <w:t xml:space="preserve">Et andet studie inkluderede 70 børn med </w:t>
      </w:r>
      <w:proofErr w:type="spellStart"/>
      <w:r w:rsidRPr="00E90DD6">
        <w:rPr>
          <w:sz w:val="24"/>
          <w:szCs w:val="24"/>
        </w:rPr>
        <w:t>Crohns</w:t>
      </w:r>
      <w:proofErr w:type="spellEnd"/>
      <w:r w:rsidRPr="00E90DD6">
        <w:rPr>
          <w:sz w:val="24"/>
          <w:szCs w:val="24"/>
        </w:rPr>
        <w:t xml:space="preserve"> sygdom, hvor 2 doseringsregimer for </w:t>
      </w:r>
      <w:proofErr w:type="spellStart"/>
      <w:r w:rsidRPr="00E90DD6">
        <w:rPr>
          <w:sz w:val="24"/>
          <w:szCs w:val="24"/>
        </w:rPr>
        <w:t>budesonid</w:t>
      </w:r>
      <w:proofErr w:type="spellEnd"/>
      <w:r w:rsidRPr="00E90DD6">
        <w:rPr>
          <w:sz w:val="24"/>
          <w:szCs w:val="24"/>
        </w:rPr>
        <w:t xml:space="preserve"> blev sammenlignet: Patienterne i gruppe 1 blev behandlet i 7 uger med 9 mg </w:t>
      </w:r>
      <w:proofErr w:type="spellStart"/>
      <w:r w:rsidRPr="00E90DD6">
        <w:rPr>
          <w:sz w:val="24"/>
          <w:szCs w:val="24"/>
        </w:rPr>
        <w:t>budesonid</w:t>
      </w:r>
      <w:proofErr w:type="spellEnd"/>
      <w:r w:rsidRPr="00E90DD6">
        <w:rPr>
          <w:sz w:val="24"/>
          <w:szCs w:val="24"/>
        </w:rPr>
        <w:t xml:space="preserve"> dagligt (3 mg tre gange dagligt) efterfulgt af 6 mg </w:t>
      </w:r>
      <w:proofErr w:type="spellStart"/>
      <w:r w:rsidRPr="00E90DD6">
        <w:rPr>
          <w:sz w:val="24"/>
          <w:szCs w:val="24"/>
        </w:rPr>
        <w:t>budesonid</w:t>
      </w:r>
      <w:proofErr w:type="spellEnd"/>
      <w:r w:rsidRPr="00E90DD6">
        <w:rPr>
          <w:sz w:val="24"/>
          <w:szCs w:val="24"/>
        </w:rPr>
        <w:t xml:space="preserve"> dagligt (3 mg to gange dagligt) i yderligere 3 uger. I gruppe 2 blev patienterne behandlet i 4 uger med 12 mg </w:t>
      </w:r>
      <w:proofErr w:type="spellStart"/>
      <w:r w:rsidRPr="00E90DD6">
        <w:rPr>
          <w:sz w:val="24"/>
          <w:szCs w:val="24"/>
        </w:rPr>
        <w:t>budesonid</w:t>
      </w:r>
      <w:proofErr w:type="spellEnd"/>
      <w:r w:rsidRPr="00E90DD6">
        <w:rPr>
          <w:sz w:val="24"/>
          <w:szCs w:val="24"/>
        </w:rPr>
        <w:t xml:space="preserve"> dagligt (</w:t>
      </w:r>
      <w:bookmarkStart w:id="1" w:name="_Hlk35592166"/>
      <w:r w:rsidRPr="00E90DD6">
        <w:rPr>
          <w:sz w:val="24"/>
          <w:szCs w:val="24"/>
        </w:rPr>
        <w:t>3 mg tre gange dagligt og 3 mg en gang dagligt)</w:t>
      </w:r>
      <w:bookmarkEnd w:id="1"/>
      <w:r w:rsidRPr="00E90DD6">
        <w:rPr>
          <w:sz w:val="24"/>
          <w:szCs w:val="24"/>
        </w:rPr>
        <w:t xml:space="preserve"> og derefter i 3 uger med 9 mg </w:t>
      </w:r>
      <w:proofErr w:type="spellStart"/>
      <w:r w:rsidRPr="00E90DD6">
        <w:rPr>
          <w:sz w:val="24"/>
          <w:szCs w:val="24"/>
        </w:rPr>
        <w:t>budesonid</w:t>
      </w:r>
      <w:proofErr w:type="spellEnd"/>
      <w:r w:rsidRPr="00E90DD6">
        <w:rPr>
          <w:sz w:val="24"/>
          <w:szCs w:val="24"/>
        </w:rPr>
        <w:t xml:space="preserve"> dagligt (3 mg 3 gange dagligt) og dernæst i 3 uger med 6 mg </w:t>
      </w:r>
      <w:proofErr w:type="spellStart"/>
      <w:r w:rsidRPr="00E90DD6">
        <w:rPr>
          <w:sz w:val="24"/>
          <w:szCs w:val="24"/>
        </w:rPr>
        <w:t>budesonid</w:t>
      </w:r>
      <w:proofErr w:type="spellEnd"/>
      <w:r w:rsidRPr="00E90DD6">
        <w:rPr>
          <w:sz w:val="24"/>
          <w:szCs w:val="24"/>
        </w:rPr>
        <w:t xml:space="preserve"> dagligt (3 mg to gange dagligt). Det gennemsnitlige fald i pædiatrisk </w:t>
      </w:r>
      <w:proofErr w:type="spellStart"/>
      <w:r w:rsidRPr="00E90DD6">
        <w:rPr>
          <w:sz w:val="24"/>
          <w:szCs w:val="24"/>
        </w:rPr>
        <w:t>Crohns</w:t>
      </w:r>
      <w:proofErr w:type="spellEnd"/>
      <w:r w:rsidRPr="00E90DD6">
        <w:rPr>
          <w:sz w:val="24"/>
          <w:szCs w:val="24"/>
        </w:rPr>
        <w:t xml:space="preserve"> sygdom-aktivitetsindeks i uge 7 blev defineret som det primære effekt-</w:t>
      </w:r>
      <w:proofErr w:type="spellStart"/>
      <w:r w:rsidRPr="00E90DD6">
        <w:rPr>
          <w:sz w:val="24"/>
          <w:szCs w:val="24"/>
        </w:rPr>
        <w:t>endpoint</w:t>
      </w:r>
      <w:proofErr w:type="spellEnd"/>
      <w:r w:rsidRPr="00E90DD6">
        <w:rPr>
          <w:sz w:val="24"/>
          <w:szCs w:val="24"/>
        </w:rPr>
        <w:t xml:space="preserve">. Der var et relevant fald i pædiatrisk </w:t>
      </w:r>
      <w:proofErr w:type="spellStart"/>
      <w:r w:rsidRPr="00E90DD6">
        <w:rPr>
          <w:sz w:val="24"/>
          <w:szCs w:val="24"/>
        </w:rPr>
        <w:t>Crohns</w:t>
      </w:r>
      <w:proofErr w:type="spellEnd"/>
      <w:r w:rsidRPr="00E90DD6">
        <w:rPr>
          <w:sz w:val="24"/>
          <w:szCs w:val="24"/>
        </w:rPr>
        <w:t xml:space="preserve"> sygdom-aktivitetsindeks i begge behandlingsgrupper. Faldet var mere udtalt i gruppe 2, men forskellen mellem grupperne var ikke statistisk signifikant. Det sekundære effekt-</w:t>
      </w:r>
      <w:proofErr w:type="spellStart"/>
      <w:r w:rsidRPr="00E90DD6">
        <w:rPr>
          <w:sz w:val="24"/>
          <w:szCs w:val="24"/>
        </w:rPr>
        <w:t>endpoint</w:t>
      </w:r>
      <w:proofErr w:type="spellEnd"/>
      <w:r w:rsidRPr="00E90DD6">
        <w:rPr>
          <w:sz w:val="24"/>
          <w:szCs w:val="24"/>
        </w:rPr>
        <w:t xml:space="preserve">: Forbedring (defineret som fald i pædiatrisk </w:t>
      </w:r>
      <w:proofErr w:type="spellStart"/>
      <w:r w:rsidRPr="00E90DD6">
        <w:rPr>
          <w:sz w:val="24"/>
          <w:szCs w:val="24"/>
        </w:rPr>
        <w:t>Crohns</w:t>
      </w:r>
      <w:proofErr w:type="spellEnd"/>
      <w:r w:rsidRPr="00E90DD6">
        <w:rPr>
          <w:sz w:val="24"/>
          <w:szCs w:val="24"/>
        </w:rPr>
        <w:t xml:space="preserve"> sygdom-aktivitetsindeks ≥ 10 point) blev set hos 51,4 % af patienterne i gruppe 1 og hos 74,3 % af patienterne i gruppe 2 (ikke statistisk signifikant); remission (pædiatrisk </w:t>
      </w:r>
      <w:proofErr w:type="spellStart"/>
      <w:r w:rsidRPr="00E90DD6">
        <w:rPr>
          <w:sz w:val="24"/>
          <w:szCs w:val="24"/>
        </w:rPr>
        <w:t>Crohns</w:t>
      </w:r>
      <w:proofErr w:type="spellEnd"/>
      <w:r w:rsidRPr="00E90DD6">
        <w:rPr>
          <w:sz w:val="24"/>
          <w:szCs w:val="24"/>
        </w:rPr>
        <w:t xml:space="preserve"> sygdom-aktivitetsindeks ≤ 12,5) blev set hos 42,9 % af patienterne i den første gruppe versus 65,7 % i den anden gruppe (ikke statistisk signifikant).</w:t>
      </w:r>
    </w:p>
    <w:p w14:paraId="4328AEDA" w14:textId="77777777" w:rsidR="00E647D4" w:rsidRPr="00E90DD6" w:rsidRDefault="00E647D4" w:rsidP="00841917">
      <w:pPr>
        <w:ind w:left="851"/>
        <w:rPr>
          <w:i/>
          <w:sz w:val="24"/>
          <w:szCs w:val="24"/>
        </w:rPr>
      </w:pPr>
    </w:p>
    <w:p w14:paraId="0AC8BEDC" w14:textId="77777777" w:rsidR="00E647D4" w:rsidRPr="00787AE5" w:rsidRDefault="00E647D4" w:rsidP="00841917">
      <w:pPr>
        <w:ind w:left="851"/>
        <w:rPr>
          <w:i/>
          <w:iCs/>
          <w:sz w:val="24"/>
          <w:szCs w:val="24"/>
          <w:u w:val="single"/>
        </w:rPr>
      </w:pPr>
      <w:r w:rsidRPr="00787AE5">
        <w:rPr>
          <w:i/>
          <w:iCs/>
          <w:sz w:val="24"/>
          <w:szCs w:val="24"/>
          <w:u w:val="single"/>
        </w:rPr>
        <w:t>Mikroskopisk colitis</w:t>
      </w:r>
    </w:p>
    <w:p w14:paraId="524EB358" w14:textId="77777777" w:rsidR="00E647D4" w:rsidRPr="00E90DD6" w:rsidRDefault="00E647D4" w:rsidP="00841917">
      <w:pPr>
        <w:ind w:left="851"/>
        <w:rPr>
          <w:sz w:val="24"/>
          <w:szCs w:val="24"/>
        </w:rPr>
      </w:pPr>
    </w:p>
    <w:p w14:paraId="3043245E" w14:textId="77777777" w:rsidR="00E647D4" w:rsidRPr="00E90DD6" w:rsidRDefault="00E647D4" w:rsidP="00841917">
      <w:pPr>
        <w:ind w:left="851"/>
        <w:rPr>
          <w:i/>
          <w:iCs/>
          <w:sz w:val="24"/>
          <w:szCs w:val="24"/>
        </w:rPr>
      </w:pPr>
      <w:r w:rsidRPr="00E90DD6">
        <w:rPr>
          <w:i/>
          <w:iCs/>
          <w:sz w:val="24"/>
          <w:szCs w:val="24"/>
        </w:rPr>
        <w:t>Kliniske studier af induktion af remission ved kollagen colitis</w:t>
      </w:r>
    </w:p>
    <w:p w14:paraId="1AD6E51F" w14:textId="77777777" w:rsidR="00E647D4" w:rsidRPr="00E90DD6" w:rsidRDefault="00E647D4" w:rsidP="00841917">
      <w:pPr>
        <w:ind w:left="851"/>
        <w:rPr>
          <w:iCs/>
          <w:sz w:val="24"/>
          <w:szCs w:val="24"/>
        </w:rPr>
      </w:pPr>
      <w:r w:rsidRPr="00E90DD6">
        <w:rPr>
          <w:iCs/>
          <w:sz w:val="24"/>
          <w:szCs w:val="24"/>
        </w:rPr>
        <w:t xml:space="preserve">Sikkerhed og effekt af </w:t>
      </w:r>
      <w:proofErr w:type="spellStart"/>
      <w:r w:rsidRPr="00E90DD6">
        <w:rPr>
          <w:iCs/>
          <w:sz w:val="24"/>
          <w:szCs w:val="24"/>
        </w:rPr>
        <w:t>budesonid</w:t>
      </w:r>
      <w:proofErr w:type="spellEnd"/>
      <w:r w:rsidRPr="00E90DD6">
        <w:rPr>
          <w:iCs/>
          <w:sz w:val="24"/>
          <w:szCs w:val="24"/>
        </w:rPr>
        <w:t xml:space="preserve"> til induktion af remission ved kollagen colitis blev evalueret i to </w:t>
      </w:r>
      <w:proofErr w:type="spellStart"/>
      <w:r w:rsidRPr="00E90DD6">
        <w:rPr>
          <w:iCs/>
          <w:sz w:val="24"/>
          <w:szCs w:val="24"/>
        </w:rPr>
        <w:t>prospektive</w:t>
      </w:r>
      <w:proofErr w:type="spellEnd"/>
      <w:r w:rsidRPr="00E90DD6">
        <w:rPr>
          <w:iCs/>
          <w:sz w:val="24"/>
          <w:szCs w:val="24"/>
        </w:rPr>
        <w:t xml:space="preserve">, dobbeltblindede (DB), randomiserede, placebokontrollerede multicenterstudier med patienter med </w:t>
      </w:r>
      <w:proofErr w:type="gramStart"/>
      <w:r w:rsidRPr="00E90DD6">
        <w:rPr>
          <w:iCs/>
          <w:sz w:val="24"/>
          <w:szCs w:val="24"/>
        </w:rPr>
        <w:t>aktiv kollagen</w:t>
      </w:r>
      <w:proofErr w:type="gramEnd"/>
      <w:r w:rsidRPr="00E90DD6">
        <w:rPr>
          <w:iCs/>
          <w:sz w:val="24"/>
          <w:szCs w:val="24"/>
        </w:rPr>
        <w:t xml:space="preserve"> colitis.</w:t>
      </w:r>
    </w:p>
    <w:p w14:paraId="412087DD" w14:textId="77777777" w:rsidR="00E647D4" w:rsidRPr="00E90DD6" w:rsidRDefault="00E647D4" w:rsidP="00841917">
      <w:pPr>
        <w:ind w:left="851"/>
        <w:rPr>
          <w:iCs/>
          <w:sz w:val="24"/>
          <w:szCs w:val="24"/>
        </w:rPr>
      </w:pPr>
    </w:p>
    <w:p w14:paraId="18090C91" w14:textId="77777777" w:rsidR="00E647D4" w:rsidRPr="00E90DD6" w:rsidRDefault="00E647D4" w:rsidP="00841917">
      <w:pPr>
        <w:ind w:left="851"/>
        <w:rPr>
          <w:iCs/>
          <w:sz w:val="24"/>
          <w:szCs w:val="24"/>
        </w:rPr>
      </w:pPr>
      <w:r w:rsidRPr="00E90DD6">
        <w:rPr>
          <w:iCs/>
          <w:sz w:val="24"/>
          <w:szCs w:val="24"/>
        </w:rPr>
        <w:t xml:space="preserve">I et studie blev 30 patienter randomiseret til en behandling med 9 mg </w:t>
      </w:r>
      <w:proofErr w:type="spellStart"/>
      <w:r w:rsidRPr="00E90DD6">
        <w:rPr>
          <w:iCs/>
          <w:sz w:val="24"/>
          <w:szCs w:val="24"/>
        </w:rPr>
        <w:t>budesonid</w:t>
      </w:r>
      <w:proofErr w:type="spellEnd"/>
      <w:r w:rsidRPr="00E90DD6">
        <w:rPr>
          <w:iCs/>
          <w:sz w:val="24"/>
          <w:szCs w:val="24"/>
        </w:rPr>
        <w:t xml:space="preserve"> om dagen, 25 patienter til en behandling med 3 g </w:t>
      </w:r>
      <w:proofErr w:type="spellStart"/>
      <w:r w:rsidRPr="00E90DD6">
        <w:rPr>
          <w:iCs/>
          <w:sz w:val="24"/>
          <w:szCs w:val="24"/>
        </w:rPr>
        <w:t>mesalazin</w:t>
      </w:r>
      <w:proofErr w:type="spellEnd"/>
      <w:r w:rsidRPr="00E90DD6">
        <w:rPr>
          <w:iCs/>
          <w:sz w:val="24"/>
          <w:szCs w:val="24"/>
        </w:rPr>
        <w:t xml:space="preserve"> om dagen og 37 til placebo. Den primære virkningsvariabel var raten af patienter i klinisk remission, defineret som ≤ 3 afføringer om dagen. 80 % af patienterne behandlet med </w:t>
      </w:r>
      <w:proofErr w:type="spellStart"/>
      <w:r w:rsidRPr="00E90DD6">
        <w:rPr>
          <w:iCs/>
          <w:sz w:val="24"/>
          <w:szCs w:val="24"/>
        </w:rPr>
        <w:t>budesonid</w:t>
      </w:r>
      <w:proofErr w:type="spellEnd"/>
      <w:r w:rsidRPr="00E90DD6">
        <w:rPr>
          <w:iCs/>
          <w:sz w:val="24"/>
          <w:szCs w:val="24"/>
        </w:rPr>
        <w:t xml:space="preserve">, 44 % af patienterne behandlet med </w:t>
      </w:r>
      <w:proofErr w:type="spellStart"/>
      <w:r w:rsidRPr="00E90DD6">
        <w:rPr>
          <w:iCs/>
          <w:sz w:val="24"/>
          <w:szCs w:val="24"/>
        </w:rPr>
        <w:t>mesalazin</w:t>
      </w:r>
      <w:proofErr w:type="spellEnd"/>
      <w:r w:rsidRPr="00E90DD6">
        <w:rPr>
          <w:iCs/>
          <w:sz w:val="24"/>
          <w:szCs w:val="24"/>
        </w:rPr>
        <w:t xml:space="preserve"> og 59,5 % af patienterne i placebogruppen nåede det primære </w:t>
      </w:r>
      <w:proofErr w:type="spellStart"/>
      <w:r w:rsidRPr="00E90DD6">
        <w:rPr>
          <w:iCs/>
          <w:sz w:val="24"/>
          <w:szCs w:val="24"/>
        </w:rPr>
        <w:t>endpoint</w:t>
      </w:r>
      <w:proofErr w:type="spellEnd"/>
      <w:r w:rsidRPr="00E90DD6">
        <w:rPr>
          <w:iCs/>
          <w:sz w:val="24"/>
          <w:szCs w:val="24"/>
        </w:rPr>
        <w:t xml:space="preserve"> (</w:t>
      </w:r>
      <w:proofErr w:type="spellStart"/>
      <w:r w:rsidRPr="00E90DD6">
        <w:rPr>
          <w:iCs/>
          <w:sz w:val="24"/>
          <w:szCs w:val="24"/>
        </w:rPr>
        <w:t>budesonid</w:t>
      </w:r>
      <w:proofErr w:type="spellEnd"/>
      <w:r w:rsidRPr="00E90DD6">
        <w:rPr>
          <w:iCs/>
          <w:sz w:val="24"/>
          <w:szCs w:val="24"/>
        </w:rPr>
        <w:t xml:space="preserve"> vs. placebo = 0,072). Ifølge en anden definition af klinisk remission, som også </w:t>
      </w:r>
      <w:r w:rsidRPr="00E90DD6">
        <w:rPr>
          <w:iCs/>
          <w:sz w:val="24"/>
          <w:szCs w:val="24"/>
        </w:rPr>
        <w:lastRenderedPageBreak/>
        <w:t xml:space="preserve">inkluderer afføringskonsistens, dvs. gennemsnitligt &lt; 3 afføringer om dagen og gennemsnitligt &lt; 1 vandig afføring om dagen i de sidste 7 dage før den sidste administration af forsøgslægemidlet, opnåede 80 % af patienterne i </w:t>
      </w:r>
      <w:proofErr w:type="spellStart"/>
      <w:r w:rsidRPr="00E90DD6">
        <w:rPr>
          <w:iCs/>
          <w:sz w:val="24"/>
          <w:szCs w:val="24"/>
        </w:rPr>
        <w:t>budesonidgruppen</w:t>
      </w:r>
      <w:proofErr w:type="spellEnd"/>
      <w:r w:rsidRPr="00E90DD6">
        <w:rPr>
          <w:iCs/>
          <w:sz w:val="24"/>
          <w:szCs w:val="24"/>
        </w:rPr>
        <w:t xml:space="preserve">, 32,0 % af patienterne i </w:t>
      </w:r>
      <w:proofErr w:type="spellStart"/>
      <w:r w:rsidRPr="00E90DD6">
        <w:rPr>
          <w:iCs/>
          <w:sz w:val="24"/>
          <w:szCs w:val="24"/>
        </w:rPr>
        <w:t>mesalazingruppen</w:t>
      </w:r>
      <w:proofErr w:type="spellEnd"/>
      <w:r w:rsidRPr="00E90DD6">
        <w:rPr>
          <w:iCs/>
          <w:sz w:val="24"/>
          <w:szCs w:val="24"/>
        </w:rPr>
        <w:t xml:space="preserve"> og 37,8 % af patienterne i placebogruppen remission (</w:t>
      </w:r>
      <w:proofErr w:type="spellStart"/>
      <w:r w:rsidRPr="00E90DD6">
        <w:rPr>
          <w:iCs/>
          <w:sz w:val="24"/>
          <w:szCs w:val="24"/>
        </w:rPr>
        <w:t>budesonid</w:t>
      </w:r>
      <w:proofErr w:type="spellEnd"/>
      <w:r w:rsidRPr="00E90DD6">
        <w:rPr>
          <w:iCs/>
          <w:sz w:val="24"/>
          <w:szCs w:val="24"/>
        </w:rPr>
        <w:t xml:space="preserve"> vs. placebo: p &lt; 0,0006). </w:t>
      </w:r>
      <w:proofErr w:type="spellStart"/>
      <w:r w:rsidRPr="00E90DD6">
        <w:rPr>
          <w:iCs/>
          <w:sz w:val="24"/>
          <w:szCs w:val="24"/>
        </w:rPr>
        <w:t>Budesonid</w:t>
      </w:r>
      <w:proofErr w:type="spellEnd"/>
      <w:r w:rsidRPr="00E90DD6">
        <w:rPr>
          <w:iCs/>
          <w:sz w:val="24"/>
          <w:szCs w:val="24"/>
        </w:rPr>
        <w:t xml:space="preserve"> var sikkert og veltolereret. Ingen af bivirkningerne i </w:t>
      </w:r>
      <w:proofErr w:type="spellStart"/>
      <w:r w:rsidRPr="00E90DD6">
        <w:rPr>
          <w:iCs/>
          <w:sz w:val="24"/>
          <w:szCs w:val="24"/>
        </w:rPr>
        <w:t>budesonidgruppen</w:t>
      </w:r>
      <w:proofErr w:type="spellEnd"/>
      <w:r w:rsidRPr="00E90DD6">
        <w:rPr>
          <w:iCs/>
          <w:sz w:val="24"/>
          <w:szCs w:val="24"/>
        </w:rPr>
        <w:t xml:space="preserve"> ansås for at være lægemiddelrelaterede.</w:t>
      </w:r>
    </w:p>
    <w:p w14:paraId="2E33E401" w14:textId="77777777" w:rsidR="00E647D4" w:rsidRPr="00E90DD6" w:rsidRDefault="00E647D4" w:rsidP="00841917">
      <w:pPr>
        <w:ind w:left="851"/>
        <w:rPr>
          <w:iCs/>
          <w:sz w:val="24"/>
          <w:szCs w:val="24"/>
        </w:rPr>
      </w:pPr>
    </w:p>
    <w:p w14:paraId="17BEBF3A" w14:textId="77777777" w:rsidR="00E647D4" w:rsidRPr="00E90DD6" w:rsidRDefault="00E647D4" w:rsidP="00841917">
      <w:pPr>
        <w:ind w:left="851"/>
        <w:rPr>
          <w:iCs/>
          <w:sz w:val="24"/>
          <w:szCs w:val="24"/>
        </w:rPr>
      </w:pPr>
      <w:r w:rsidRPr="00E90DD6">
        <w:rPr>
          <w:iCs/>
          <w:sz w:val="24"/>
          <w:szCs w:val="24"/>
        </w:rPr>
        <w:t xml:space="preserve">I et andet studie blev 14 patienter randomiseret til en behandling med 9 mg </w:t>
      </w:r>
      <w:proofErr w:type="spellStart"/>
      <w:r w:rsidRPr="00E90DD6">
        <w:rPr>
          <w:iCs/>
          <w:sz w:val="24"/>
          <w:szCs w:val="24"/>
        </w:rPr>
        <w:t>budesonid</w:t>
      </w:r>
      <w:proofErr w:type="spellEnd"/>
      <w:r w:rsidRPr="00E90DD6">
        <w:rPr>
          <w:iCs/>
          <w:sz w:val="24"/>
          <w:szCs w:val="24"/>
        </w:rPr>
        <w:t xml:space="preserve"> om dagen, og 14 blev randomiseret til placebo. Den primære virkningsvariabel var klinisk respons defineret som et fald til ≤ 50 % af sygdomsaktiviteten ved baseline med klinisk sygdomsaktivitet defineret som antal afføringer i løbet af de sidste 7 dage. 57,1 % af patienterne i </w:t>
      </w:r>
      <w:proofErr w:type="spellStart"/>
      <w:r w:rsidRPr="00E90DD6">
        <w:rPr>
          <w:iCs/>
          <w:sz w:val="24"/>
          <w:szCs w:val="24"/>
        </w:rPr>
        <w:t>budesonidgruppen</w:t>
      </w:r>
      <w:proofErr w:type="spellEnd"/>
      <w:r w:rsidRPr="00E90DD6">
        <w:rPr>
          <w:iCs/>
          <w:sz w:val="24"/>
          <w:szCs w:val="24"/>
        </w:rPr>
        <w:t xml:space="preserve"> og 21,4 % i placebogruppen opnåede klinisk respons (p = 0,05). </w:t>
      </w:r>
      <w:proofErr w:type="spellStart"/>
      <w:r w:rsidRPr="00E90DD6">
        <w:rPr>
          <w:iCs/>
          <w:sz w:val="24"/>
          <w:szCs w:val="24"/>
        </w:rPr>
        <w:t>Budesonid</w:t>
      </w:r>
      <w:proofErr w:type="spellEnd"/>
      <w:r w:rsidRPr="00E90DD6">
        <w:rPr>
          <w:iCs/>
          <w:sz w:val="24"/>
          <w:szCs w:val="24"/>
        </w:rPr>
        <w:t xml:space="preserve"> var sikkert og veltolereret. Der forekom ingen alvorlige lægemiddelreaktioner i </w:t>
      </w:r>
      <w:proofErr w:type="spellStart"/>
      <w:r w:rsidRPr="00E90DD6">
        <w:rPr>
          <w:iCs/>
          <w:sz w:val="24"/>
          <w:szCs w:val="24"/>
        </w:rPr>
        <w:t>budesonidgruppen</w:t>
      </w:r>
      <w:proofErr w:type="spellEnd"/>
      <w:r w:rsidRPr="00E90DD6">
        <w:rPr>
          <w:iCs/>
          <w:sz w:val="24"/>
          <w:szCs w:val="24"/>
        </w:rPr>
        <w:t>.</w:t>
      </w:r>
    </w:p>
    <w:p w14:paraId="0BBAC4C7" w14:textId="77777777" w:rsidR="00E647D4" w:rsidRPr="00E90DD6" w:rsidRDefault="00E647D4" w:rsidP="00841917">
      <w:pPr>
        <w:ind w:left="851"/>
        <w:rPr>
          <w:sz w:val="24"/>
          <w:szCs w:val="24"/>
        </w:rPr>
      </w:pPr>
    </w:p>
    <w:p w14:paraId="171BBC52" w14:textId="77777777" w:rsidR="00E647D4" w:rsidRPr="00E90DD6" w:rsidRDefault="00E647D4" w:rsidP="00841917">
      <w:pPr>
        <w:ind w:left="851"/>
        <w:rPr>
          <w:i/>
          <w:iCs/>
          <w:sz w:val="24"/>
          <w:szCs w:val="24"/>
        </w:rPr>
      </w:pPr>
      <w:r w:rsidRPr="00E90DD6">
        <w:rPr>
          <w:i/>
          <w:iCs/>
          <w:sz w:val="24"/>
          <w:szCs w:val="24"/>
        </w:rPr>
        <w:t>Klinisk studie af vedligeholdelse af remission ved kollagen colitis</w:t>
      </w:r>
    </w:p>
    <w:p w14:paraId="1E1447D8" w14:textId="77777777" w:rsidR="00E647D4" w:rsidRPr="00E90DD6" w:rsidRDefault="00E647D4" w:rsidP="00841917">
      <w:pPr>
        <w:ind w:left="851"/>
        <w:rPr>
          <w:iCs/>
          <w:sz w:val="24"/>
          <w:szCs w:val="24"/>
        </w:rPr>
      </w:pPr>
      <w:r w:rsidRPr="00E90DD6">
        <w:rPr>
          <w:iCs/>
          <w:sz w:val="24"/>
          <w:szCs w:val="24"/>
        </w:rPr>
        <w:t xml:space="preserve">Sikkerhed og effekt af </w:t>
      </w:r>
      <w:proofErr w:type="spellStart"/>
      <w:r w:rsidRPr="00E90DD6">
        <w:rPr>
          <w:iCs/>
          <w:sz w:val="24"/>
          <w:szCs w:val="24"/>
        </w:rPr>
        <w:t>budesonid</w:t>
      </w:r>
      <w:proofErr w:type="spellEnd"/>
      <w:r w:rsidRPr="00E90DD6">
        <w:rPr>
          <w:iCs/>
          <w:sz w:val="24"/>
          <w:szCs w:val="24"/>
        </w:rPr>
        <w:t xml:space="preserve"> i vedligeholdelsen af remission ved kollagen colitis blev evalueret i et </w:t>
      </w:r>
      <w:proofErr w:type="spellStart"/>
      <w:r w:rsidRPr="00E90DD6">
        <w:rPr>
          <w:iCs/>
          <w:sz w:val="24"/>
          <w:szCs w:val="24"/>
        </w:rPr>
        <w:t>prospektivt</w:t>
      </w:r>
      <w:proofErr w:type="spellEnd"/>
      <w:r w:rsidRPr="00E90DD6">
        <w:rPr>
          <w:iCs/>
          <w:sz w:val="24"/>
          <w:szCs w:val="24"/>
        </w:rPr>
        <w:t>, dobbeltblindet (DB), randomiseret, placebokontrolleret multicenterstudie med patienter med kollagen colitis i remission.</w:t>
      </w:r>
    </w:p>
    <w:p w14:paraId="0B14E9D6" w14:textId="77777777" w:rsidR="00E647D4" w:rsidRPr="00E90DD6" w:rsidRDefault="00E647D4" w:rsidP="00841917">
      <w:pPr>
        <w:ind w:left="851"/>
        <w:rPr>
          <w:iCs/>
          <w:sz w:val="24"/>
          <w:szCs w:val="24"/>
        </w:rPr>
      </w:pPr>
      <w:r w:rsidRPr="00E90DD6">
        <w:rPr>
          <w:iCs/>
          <w:sz w:val="24"/>
          <w:szCs w:val="24"/>
        </w:rPr>
        <w:t xml:space="preserve">Det primære </w:t>
      </w:r>
      <w:proofErr w:type="spellStart"/>
      <w:r w:rsidRPr="00E90DD6">
        <w:rPr>
          <w:iCs/>
          <w:sz w:val="24"/>
          <w:szCs w:val="24"/>
        </w:rPr>
        <w:t>endpoint</w:t>
      </w:r>
      <w:proofErr w:type="spellEnd"/>
      <w:r w:rsidRPr="00E90DD6">
        <w:rPr>
          <w:iCs/>
          <w:sz w:val="24"/>
          <w:szCs w:val="24"/>
        </w:rPr>
        <w:t xml:space="preserve"> var andelen af </w:t>
      </w:r>
      <w:r w:rsidRPr="00E90DD6">
        <w:rPr>
          <w:sz w:val="24"/>
          <w:szCs w:val="24"/>
        </w:rPr>
        <w:t>patienter</w:t>
      </w:r>
      <w:r w:rsidRPr="00E90DD6">
        <w:rPr>
          <w:iCs/>
          <w:sz w:val="24"/>
          <w:szCs w:val="24"/>
        </w:rPr>
        <w:t xml:space="preserve"> i klinisk remission i løbet af 52 uger. Remission blev defineret som gennemsnitligt &lt; 3 afføringer/dag, hvoraf gennemsnitligt &lt; 1 vandig afføring/dag i løbet af ugen før det sidste besøg og uden recidiv i løbet af det 1</w:t>
      </w:r>
      <w:r w:rsidRPr="00E90DD6">
        <w:rPr>
          <w:iCs/>
          <w:sz w:val="24"/>
          <w:szCs w:val="24"/>
        </w:rPr>
        <w:noBreakHyphen/>
        <w:t>årige forløb. Recidiv blev defineret som gennemsnitligt ≥ 3 afføringer/dag, hvoraf gennemsnitligt ≥ 1 vandig afføring/dag i løbet af den forrige uge.</w:t>
      </w:r>
    </w:p>
    <w:p w14:paraId="3C5B6B58" w14:textId="77777777" w:rsidR="00E647D4" w:rsidRPr="00E90DD6" w:rsidRDefault="00E647D4" w:rsidP="00841917">
      <w:pPr>
        <w:ind w:left="851"/>
        <w:rPr>
          <w:iCs/>
          <w:sz w:val="24"/>
          <w:szCs w:val="24"/>
        </w:rPr>
      </w:pPr>
      <w:r w:rsidRPr="00E90DD6">
        <w:rPr>
          <w:iCs/>
          <w:sz w:val="24"/>
          <w:szCs w:val="24"/>
        </w:rPr>
        <w:t>92 patienter blev randomiseret til behandling i den dobbeltblindede fase (44 </w:t>
      </w:r>
      <w:proofErr w:type="spellStart"/>
      <w:r w:rsidRPr="00E90DD6">
        <w:rPr>
          <w:iCs/>
          <w:sz w:val="24"/>
          <w:szCs w:val="24"/>
        </w:rPr>
        <w:t>budesonid</w:t>
      </w:r>
      <w:proofErr w:type="spellEnd"/>
      <w:r w:rsidRPr="00E90DD6">
        <w:rPr>
          <w:iCs/>
          <w:sz w:val="24"/>
          <w:szCs w:val="24"/>
        </w:rPr>
        <w:t xml:space="preserve">, 48 placebo) og tog mindst en dosis af forsøgsmedicinen (fuldt analysesæt, FAS). Doseringen var 6 mg </w:t>
      </w:r>
      <w:proofErr w:type="spellStart"/>
      <w:r w:rsidRPr="00E90DD6">
        <w:rPr>
          <w:iCs/>
          <w:sz w:val="24"/>
          <w:szCs w:val="24"/>
        </w:rPr>
        <w:t>budesonid</w:t>
      </w:r>
      <w:proofErr w:type="spellEnd"/>
      <w:r w:rsidRPr="00E90DD6">
        <w:rPr>
          <w:iCs/>
          <w:sz w:val="24"/>
          <w:szCs w:val="24"/>
        </w:rPr>
        <w:t xml:space="preserve">/dag skiftevis med 3 mg </w:t>
      </w:r>
      <w:proofErr w:type="spellStart"/>
      <w:r w:rsidRPr="00E90DD6">
        <w:rPr>
          <w:iCs/>
          <w:sz w:val="24"/>
          <w:szCs w:val="24"/>
        </w:rPr>
        <w:t>budesonid</w:t>
      </w:r>
      <w:proofErr w:type="spellEnd"/>
      <w:r w:rsidRPr="00E90DD6">
        <w:rPr>
          <w:iCs/>
          <w:sz w:val="24"/>
          <w:szCs w:val="24"/>
        </w:rPr>
        <w:t xml:space="preserve">/dag (svarende til en gennemsnitlig daglig dosis på 4,5 mg </w:t>
      </w:r>
      <w:proofErr w:type="spellStart"/>
      <w:r w:rsidRPr="00E90DD6">
        <w:rPr>
          <w:iCs/>
          <w:sz w:val="24"/>
          <w:szCs w:val="24"/>
        </w:rPr>
        <w:t>budesonid</w:t>
      </w:r>
      <w:proofErr w:type="spellEnd"/>
      <w:r w:rsidRPr="00E90DD6">
        <w:rPr>
          <w:iCs/>
          <w:sz w:val="24"/>
          <w:szCs w:val="24"/>
        </w:rPr>
        <w:t xml:space="preserve">). I den endelige analyse opnåede signifikant flere patienter i </w:t>
      </w:r>
      <w:proofErr w:type="spellStart"/>
      <w:r w:rsidRPr="00E90DD6">
        <w:rPr>
          <w:iCs/>
          <w:sz w:val="24"/>
          <w:szCs w:val="24"/>
        </w:rPr>
        <w:t>budesonidgruppen</w:t>
      </w:r>
      <w:proofErr w:type="spellEnd"/>
      <w:r w:rsidRPr="00E90DD6">
        <w:rPr>
          <w:iCs/>
          <w:sz w:val="24"/>
          <w:szCs w:val="24"/>
        </w:rPr>
        <w:t xml:space="preserve"> (61,4 %) sammenlignet med patienter i placebogruppen (16,7 %) det primære </w:t>
      </w:r>
      <w:proofErr w:type="spellStart"/>
      <w:r w:rsidRPr="00E90DD6">
        <w:rPr>
          <w:iCs/>
          <w:sz w:val="24"/>
          <w:szCs w:val="24"/>
        </w:rPr>
        <w:t>endpoint</w:t>
      </w:r>
      <w:proofErr w:type="spellEnd"/>
      <w:r w:rsidRPr="00E90DD6">
        <w:rPr>
          <w:iCs/>
          <w:sz w:val="24"/>
          <w:szCs w:val="24"/>
        </w:rPr>
        <w:t xml:space="preserve">, hvilket påviste </w:t>
      </w:r>
      <w:proofErr w:type="spellStart"/>
      <w:r w:rsidRPr="00E90DD6">
        <w:rPr>
          <w:iCs/>
          <w:sz w:val="24"/>
          <w:szCs w:val="24"/>
        </w:rPr>
        <w:t>budesonids</w:t>
      </w:r>
      <w:proofErr w:type="spellEnd"/>
      <w:r w:rsidRPr="00E90DD6">
        <w:rPr>
          <w:iCs/>
          <w:sz w:val="24"/>
          <w:szCs w:val="24"/>
        </w:rPr>
        <w:t xml:space="preserve"> </w:t>
      </w:r>
      <w:proofErr w:type="spellStart"/>
      <w:r w:rsidRPr="00E90DD6">
        <w:rPr>
          <w:iCs/>
          <w:sz w:val="24"/>
          <w:szCs w:val="24"/>
        </w:rPr>
        <w:t>superioritet</w:t>
      </w:r>
      <w:proofErr w:type="spellEnd"/>
      <w:r w:rsidRPr="00E90DD6">
        <w:rPr>
          <w:iCs/>
          <w:sz w:val="24"/>
          <w:szCs w:val="24"/>
        </w:rPr>
        <w:t xml:space="preserve"> over placebo (p &lt; 0,001).</w:t>
      </w:r>
    </w:p>
    <w:p w14:paraId="1A31D614" w14:textId="77777777" w:rsidR="00E647D4" w:rsidRPr="00E90DD6" w:rsidRDefault="00E647D4" w:rsidP="00841917">
      <w:pPr>
        <w:ind w:left="851"/>
        <w:rPr>
          <w:iCs/>
          <w:sz w:val="24"/>
          <w:szCs w:val="24"/>
        </w:rPr>
      </w:pPr>
    </w:p>
    <w:p w14:paraId="04EE7F35" w14:textId="77777777" w:rsidR="00E647D4" w:rsidRPr="00E90DD6" w:rsidRDefault="00E647D4" w:rsidP="00841917">
      <w:pPr>
        <w:ind w:left="851"/>
        <w:rPr>
          <w:i/>
          <w:iCs/>
          <w:sz w:val="24"/>
          <w:szCs w:val="24"/>
        </w:rPr>
      </w:pPr>
      <w:r w:rsidRPr="00E90DD6">
        <w:rPr>
          <w:i/>
          <w:iCs/>
          <w:sz w:val="24"/>
          <w:szCs w:val="24"/>
        </w:rPr>
        <w:t xml:space="preserve">Klinisk studie af induktion af remission ved </w:t>
      </w:r>
      <w:proofErr w:type="spellStart"/>
      <w:r w:rsidRPr="00E90DD6">
        <w:rPr>
          <w:i/>
          <w:iCs/>
          <w:sz w:val="24"/>
          <w:szCs w:val="24"/>
        </w:rPr>
        <w:t>lymfocytær</w:t>
      </w:r>
      <w:proofErr w:type="spellEnd"/>
      <w:r w:rsidRPr="00E90DD6">
        <w:rPr>
          <w:i/>
          <w:iCs/>
          <w:sz w:val="24"/>
          <w:szCs w:val="24"/>
        </w:rPr>
        <w:t xml:space="preserve"> colitis</w:t>
      </w:r>
    </w:p>
    <w:p w14:paraId="4C92C1BC" w14:textId="77777777" w:rsidR="00E647D4" w:rsidRPr="00E90DD6" w:rsidRDefault="00E647D4" w:rsidP="00841917">
      <w:pPr>
        <w:ind w:left="851"/>
        <w:rPr>
          <w:iCs/>
          <w:sz w:val="24"/>
          <w:szCs w:val="24"/>
        </w:rPr>
      </w:pPr>
      <w:r w:rsidRPr="00E90DD6">
        <w:rPr>
          <w:iCs/>
          <w:sz w:val="24"/>
          <w:szCs w:val="24"/>
        </w:rPr>
        <w:t xml:space="preserve">Sikkerhed og effekt af </w:t>
      </w:r>
      <w:proofErr w:type="spellStart"/>
      <w:r w:rsidRPr="00E90DD6">
        <w:rPr>
          <w:iCs/>
          <w:sz w:val="24"/>
          <w:szCs w:val="24"/>
        </w:rPr>
        <w:t>budesonid</w:t>
      </w:r>
      <w:proofErr w:type="spellEnd"/>
      <w:r w:rsidRPr="00E90DD6">
        <w:rPr>
          <w:iCs/>
          <w:sz w:val="24"/>
          <w:szCs w:val="24"/>
        </w:rPr>
        <w:t xml:space="preserve"> i induktionen af remission ved </w:t>
      </w:r>
      <w:proofErr w:type="spellStart"/>
      <w:r w:rsidRPr="00E90DD6">
        <w:rPr>
          <w:iCs/>
          <w:sz w:val="24"/>
          <w:szCs w:val="24"/>
        </w:rPr>
        <w:t>lymfocytær</w:t>
      </w:r>
      <w:proofErr w:type="spellEnd"/>
      <w:r w:rsidRPr="00E90DD6">
        <w:rPr>
          <w:iCs/>
          <w:sz w:val="24"/>
          <w:szCs w:val="24"/>
        </w:rPr>
        <w:t xml:space="preserve"> colitis blev evalueret i et </w:t>
      </w:r>
      <w:proofErr w:type="spellStart"/>
      <w:r w:rsidRPr="00E90DD6">
        <w:rPr>
          <w:iCs/>
          <w:sz w:val="24"/>
          <w:szCs w:val="24"/>
        </w:rPr>
        <w:t>prospektivt</w:t>
      </w:r>
      <w:proofErr w:type="spellEnd"/>
      <w:r w:rsidRPr="00E90DD6">
        <w:rPr>
          <w:iCs/>
          <w:sz w:val="24"/>
          <w:szCs w:val="24"/>
        </w:rPr>
        <w:t xml:space="preserve">, dobbeltblindet (DB), dobbelt-dummy, randomiseret, placebokontrolleret multicenterstudie med patienter med aktiv </w:t>
      </w:r>
      <w:proofErr w:type="spellStart"/>
      <w:r w:rsidRPr="00E90DD6">
        <w:rPr>
          <w:iCs/>
          <w:sz w:val="24"/>
          <w:szCs w:val="24"/>
        </w:rPr>
        <w:t>lymfocytær</w:t>
      </w:r>
      <w:proofErr w:type="spellEnd"/>
      <w:r w:rsidRPr="00E90DD6">
        <w:rPr>
          <w:iCs/>
          <w:sz w:val="24"/>
          <w:szCs w:val="24"/>
        </w:rPr>
        <w:t xml:space="preserve"> colitis.</w:t>
      </w:r>
    </w:p>
    <w:p w14:paraId="351F2CF4" w14:textId="77777777" w:rsidR="00E647D4" w:rsidRPr="00E90DD6" w:rsidRDefault="00E647D4" w:rsidP="00841917">
      <w:pPr>
        <w:ind w:left="851"/>
        <w:rPr>
          <w:iCs/>
          <w:sz w:val="24"/>
          <w:szCs w:val="24"/>
        </w:rPr>
      </w:pPr>
      <w:r w:rsidRPr="00E90DD6">
        <w:rPr>
          <w:iCs/>
          <w:sz w:val="24"/>
          <w:szCs w:val="24"/>
        </w:rPr>
        <w:t xml:space="preserve">Det primære </w:t>
      </w:r>
      <w:proofErr w:type="spellStart"/>
      <w:r w:rsidRPr="00E90DD6">
        <w:rPr>
          <w:iCs/>
          <w:sz w:val="24"/>
          <w:szCs w:val="24"/>
        </w:rPr>
        <w:t>endpoint</w:t>
      </w:r>
      <w:proofErr w:type="spellEnd"/>
      <w:r w:rsidRPr="00E90DD6">
        <w:rPr>
          <w:iCs/>
          <w:sz w:val="24"/>
          <w:szCs w:val="24"/>
        </w:rPr>
        <w:t xml:space="preserve"> var raten af klinisk remission, defineret som maks. 21 afføringer, hvoraf højst 6 vandige afføringer i de sidste 7 dage før det sidste besøg.</w:t>
      </w:r>
    </w:p>
    <w:p w14:paraId="080C5673" w14:textId="77777777" w:rsidR="00E647D4" w:rsidRPr="00E90DD6" w:rsidRDefault="00E647D4" w:rsidP="00841917">
      <w:pPr>
        <w:ind w:left="851"/>
        <w:rPr>
          <w:iCs/>
          <w:sz w:val="24"/>
          <w:szCs w:val="24"/>
        </w:rPr>
      </w:pPr>
      <w:r w:rsidRPr="00E90DD6">
        <w:rPr>
          <w:iCs/>
          <w:sz w:val="24"/>
          <w:szCs w:val="24"/>
        </w:rPr>
        <w:t xml:space="preserve">57 patienter blev randomiseret (19 patienter i hhv. </w:t>
      </w:r>
      <w:proofErr w:type="spellStart"/>
      <w:r w:rsidRPr="00E90DD6">
        <w:rPr>
          <w:iCs/>
          <w:sz w:val="24"/>
          <w:szCs w:val="24"/>
        </w:rPr>
        <w:t>budesonidgruppen</w:t>
      </w:r>
      <w:proofErr w:type="spellEnd"/>
      <w:r w:rsidRPr="00E90DD6">
        <w:rPr>
          <w:iCs/>
          <w:sz w:val="24"/>
          <w:szCs w:val="24"/>
        </w:rPr>
        <w:t xml:space="preserve">, </w:t>
      </w:r>
      <w:proofErr w:type="spellStart"/>
      <w:r w:rsidRPr="00E90DD6">
        <w:rPr>
          <w:iCs/>
          <w:sz w:val="24"/>
          <w:szCs w:val="24"/>
        </w:rPr>
        <w:t>mesalazingruppen</w:t>
      </w:r>
      <w:proofErr w:type="spellEnd"/>
      <w:r w:rsidRPr="00E90DD6">
        <w:rPr>
          <w:iCs/>
          <w:sz w:val="24"/>
          <w:szCs w:val="24"/>
        </w:rPr>
        <w:t xml:space="preserve"> og placebogruppen) og tog mindst en dosis af forsøgsmedicinen (</w:t>
      </w:r>
      <w:proofErr w:type="spellStart"/>
      <w:r w:rsidRPr="00E90DD6">
        <w:rPr>
          <w:iCs/>
          <w:sz w:val="24"/>
          <w:szCs w:val="24"/>
        </w:rPr>
        <w:t>budesonid</w:t>
      </w:r>
      <w:proofErr w:type="spellEnd"/>
      <w:r w:rsidRPr="00E90DD6">
        <w:rPr>
          <w:iCs/>
          <w:sz w:val="24"/>
          <w:szCs w:val="24"/>
        </w:rPr>
        <w:t xml:space="preserve">: 9 mg OD; </w:t>
      </w:r>
      <w:proofErr w:type="spellStart"/>
      <w:r w:rsidRPr="00E90DD6">
        <w:rPr>
          <w:iCs/>
          <w:sz w:val="24"/>
          <w:szCs w:val="24"/>
        </w:rPr>
        <w:t>mesalazin</w:t>
      </w:r>
      <w:proofErr w:type="spellEnd"/>
      <w:r w:rsidRPr="00E90DD6">
        <w:rPr>
          <w:iCs/>
          <w:sz w:val="24"/>
          <w:szCs w:val="24"/>
        </w:rPr>
        <w:t xml:space="preserve">: 3 g OD). Behandlingsvarigheden var 8 uger. </w:t>
      </w:r>
    </w:p>
    <w:p w14:paraId="5C5D2A08" w14:textId="77777777" w:rsidR="00E647D4" w:rsidRPr="00E90DD6" w:rsidRDefault="00E647D4" w:rsidP="00841917">
      <w:pPr>
        <w:ind w:left="851"/>
        <w:rPr>
          <w:iCs/>
          <w:sz w:val="24"/>
          <w:szCs w:val="24"/>
        </w:rPr>
      </w:pPr>
      <w:r w:rsidRPr="00E90DD6">
        <w:rPr>
          <w:iCs/>
          <w:sz w:val="24"/>
          <w:szCs w:val="24"/>
        </w:rPr>
        <w:t xml:space="preserve">I den bekræftende analyse opnåede signifikant flere patienter i </w:t>
      </w:r>
      <w:proofErr w:type="spellStart"/>
      <w:r w:rsidRPr="00E90DD6">
        <w:rPr>
          <w:iCs/>
          <w:sz w:val="24"/>
          <w:szCs w:val="24"/>
        </w:rPr>
        <w:t>budesonidgruppen</w:t>
      </w:r>
      <w:proofErr w:type="spellEnd"/>
      <w:r w:rsidRPr="00E90DD6">
        <w:rPr>
          <w:iCs/>
          <w:sz w:val="24"/>
          <w:szCs w:val="24"/>
        </w:rPr>
        <w:t xml:space="preserve"> (78,9 %) sammenlignet med patienter i placebogruppen (42,1 %) det primære </w:t>
      </w:r>
      <w:proofErr w:type="spellStart"/>
      <w:r w:rsidRPr="00E90DD6">
        <w:rPr>
          <w:iCs/>
          <w:sz w:val="24"/>
          <w:szCs w:val="24"/>
        </w:rPr>
        <w:t>endpoint</w:t>
      </w:r>
      <w:proofErr w:type="spellEnd"/>
      <w:r w:rsidRPr="00E90DD6">
        <w:rPr>
          <w:iCs/>
          <w:sz w:val="24"/>
          <w:szCs w:val="24"/>
        </w:rPr>
        <w:t xml:space="preserve">, hvilket påviste </w:t>
      </w:r>
      <w:proofErr w:type="spellStart"/>
      <w:r w:rsidRPr="00E90DD6">
        <w:rPr>
          <w:iCs/>
          <w:sz w:val="24"/>
          <w:szCs w:val="24"/>
        </w:rPr>
        <w:t>budesonids</w:t>
      </w:r>
      <w:proofErr w:type="spellEnd"/>
      <w:r w:rsidRPr="00E90DD6">
        <w:rPr>
          <w:iCs/>
          <w:sz w:val="24"/>
          <w:szCs w:val="24"/>
        </w:rPr>
        <w:t xml:space="preserve"> </w:t>
      </w:r>
      <w:proofErr w:type="spellStart"/>
      <w:r w:rsidRPr="00E90DD6">
        <w:rPr>
          <w:iCs/>
          <w:sz w:val="24"/>
          <w:szCs w:val="24"/>
        </w:rPr>
        <w:t>superioritet</w:t>
      </w:r>
      <w:proofErr w:type="spellEnd"/>
      <w:r w:rsidRPr="00E90DD6">
        <w:rPr>
          <w:iCs/>
          <w:sz w:val="24"/>
          <w:szCs w:val="24"/>
        </w:rPr>
        <w:t xml:space="preserve"> over placebo (p = 0,010). 63,2 % af patienterne i </w:t>
      </w:r>
      <w:proofErr w:type="spellStart"/>
      <w:r w:rsidRPr="00E90DD6">
        <w:rPr>
          <w:iCs/>
          <w:sz w:val="24"/>
          <w:szCs w:val="24"/>
        </w:rPr>
        <w:t>mesalazingruppen</w:t>
      </w:r>
      <w:proofErr w:type="spellEnd"/>
      <w:r w:rsidRPr="00E90DD6">
        <w:rPr>
          <w:iCs/>
          <w:sz w:val="24"/>
          <w:szCs w:val="24"/>
        </w:rPr>
        <w:t xml:space="preserve"> opnåede remission (p = 0,097).</w:t>
      </w:r>
    </w:p>
    <w:p w14:paraId="7D224DD8" w14:textId="77777777" w:rsidR="00E647D4" w:rsidRPr="00787AE5" w:rsidRDefault="00E647D4" w:rsidP="00841917">
      <w:pPr>
        <w:ind w:left="851"/>
        <w:rPr>
          <w:sz w:val="24"/>
          <w:szCs w:val="24"/>
        </w:rPr>
      </w:pPr>
    </w:p>
    <w:p w14:paraId="2811489D" w14:textId="77777777" w:rsidR="00E647D4" w:rsidRPr="00787AE5" w:rsidRDefault="00E647D4" w:rsidP="00841917">
      <w:pPr>
        <w:ind w:left="851"/>
        <w:rPr>
          <w:i/>
          <w:sz w:val="24"/>
          <w:szCs w:val="24"/>
          <w:u w:val="single"/>
        </w:rPr>
      </w:pPr>
      <w:r w:rsidRPr="00787AE5">
        <w:rPr>
          <w:i/>
          <w:sz w:val="24"/>
          <w:szCs w:val="24"/>
          <w:u w:val="single"/>
        </w:rPr>
        <w:t>Autoimmun hepatitis</w:t>
      </w:r>
    </w:p>
    <w:p w14:paraId="3A1B6D4D" w14:textId="77777777" w:rsidR="00E647D4" w:rsidRPr="00E90DD6" w:rsidRDefault="00E647D4" w:rsidP="00841917">
      <w:pPr>
        <w:ind w:left="851"/>
        <w:rPr>
          <w:i/>
          <w:sz w:val="24"/>
          <w:szCs w:val="24"/>
        </w:rPr>
      </w:pPr>
    </w:p>
    <w:p w14:paraId="493CFAA3" w14:textId="77777777" w:rsidR="00E647D4" w:rsidRPr="00E90DD6" w:rsidRDefault="00E647D4" w:rsidP="00841917">
      <w:pPr>
        <w:ind w:left="851"/>
        <w:rPr>
          <w:i/>
          <w:sz w:val="24"/>
          <w:szCs w:val="24"/>
        </w:rPr>
      </w:pPr>
      <w:r w:rsidRPr="00E90DD6">
        <w:rPr>
          <w:i/>
          <w:sz w:val="24"/>
          <w:szCs w:val="24"/>
        </w:rPr>
        <w:t>Klinisk studie af voksne patienter med autoimmun hepatitis</w:t>
      </w:r>
    </w:p>
    <w:p w14:paraId="43682CFC" w14:textId="77777777" w:rsidR="00E647D4" w:rsidRPr="00E90DD6" w:rsidRDefault="00E647D4" w:rsidP="00841917">
      <w:pPr>
        <w:ind w:left="851"/>
        <w:rPr>
          <w:sz w:val="24"/>
          <w:szCs w:val="24"/>
        </w:rPr>
      </w:pPr>
      <w:r w:rsidRPr="00E90DD6">
        <w:rPr>
          <w:sz w:val="24"/>
          <w:szCs w:val="24"/>
        </w:rPr>
        <w:t xml:space="preserve">I et </w:t>
      </w:r>
      <w:proofErr w:type="spellStart"/>
      <w:r w:rsidRPr="00E90DD6">
        <w:rPr>
          <w:sz w:val="24"/>
          <w:szCs w:val="24"/>
        </w:rPr>
        <w:t>prospektivt</w:t>
      </w:r>
      <w:proofErr w:type="spellEnd"/>
      <w:r w:rsidRPr="00E90DD6">
        <w:rPr>
          <w:sz w:val="24"/>
          <w:szCs w:val="24"/>
        </w:rPr>
        <w:t xml:space="preserve">, dobbeltblindet, randomiseret multicenterstudie blev 207 patienter med autoimmun hepatitis (AIH) uden cirrose behandlet med initiale daglige doser på 9 mg/dag </w:t>
      </w:r>
      <w:proofErr w:type="spellStart"/>
      <w:r w:rsidRPr="00E90DD6">
        <w:rPr>
          <w:sz w:val="24"/>
          <w:szCs w:val="24"/>
        </w:rPr>
        <w:lastRenderedPageBreak/>
        <w:t>budesonid</w:t>
      </w:r>
      <w:proofErr w:type="spellEnd"/>
      <w:r w:rsidRPr="00E90DD6">
        <w:rPr>
          <w:sz w:val="24"/>
          <w:szCs w:val="24"/>
        </w:rPr>
        <w:t xml:space="preserve"> (n = 102) i op til 6 måneder eller 40 mg/dag </w:t>
      </w:r>
      <w:proofErr w:type="spellStart"/>
      <w:r w:rsidRPr="00E90DD6">
        <w:rPr>
          <w:sz w:val="24"/>
          <w:szCs w:val="24"/>
        </w:rPr>
        <w:t>prednison</w:t>
      </w:r>
      <w:proofErr w:type="spellEnd"/>
      <w:r w:rsidRPr="00E90DD6">
        <w:rPr>
          <w:sz w:val="24"/>
          <w:szCs w:val="24"/>
        </w:rPr>
        <w:t xml:space="preserve"> (nedtrappet til 10 mg/dag, n = 105). Ved biokemisk remission blev dosis af </w:t>
      </w:r>
      <w:proofErr w:type="spellStart"/>
      <w:r w:rsidRPr="00E90DD6">
        <w:rPr>
          <w:sz w:val="24"/>
          <w:szCs w:val="24"/>
        </w:rPr>
        <w:t>budesonid</w:t>
      </w:r>
      <w:proofErr w:type="spellEnd"/>
      <w:r w:rsidRPr="00E90DD6">
        <w:rPr>
          <w:sz w:val="24"/>
          <w:szCs w:val="24"/>
        </w:rPr>
        <w:t xml:space="preserve"> reduceret til 6 mg/dag. Patienter fik også 1</w:t>
      </w:r>
      <w:r w:rsidRPr="00E90DD6">
        <w:rPr>
          <w:sz w:val="24"/>
          <w:szCs w:val="24"/>
        </w:rPr>
        <w:noBreakHyphen/>
        <w:t xml:space="preserve">2 mg/kg/dag </w:t>
      </w:r>
      <w:proofErr w:type="spellStart"/>
      <w:r w:rsidRPr="00E90DD6">
        <w:rPr>
          <w:sz w:val="24"/>
          <w:szCs w:val="24"/>
        </w:rPr>
        <w:t>azathioprin</w:t>
      </w:r>
      <w:proofErr w:type="spellEnd"/>
      <w:r w:rsidRPr="00E90DD6">
        <w:rPr>
          <w:sz w:val="24"/>
          <w:szCs w:val="24"/>
        </w:rPr>
        <w:t xml:space="preserve"> igennem studiet. Det sammensatte primære </w:t>
      </w:r>
      <w:proofErr w:type="spellStart"/>
      <w:r w:rsidRPr="00E90DD6">
        <w:rPr>
          <w:sz w:val="24"/>
          <w:szCs w:val="24"/>
        </w:rPr>
        <w:t>endpoint</w:t>
      </w:r>
      <w:proofErr w:type="spellEnd"/>
      <w:r w:rsidRPr="00E90DD6">
        <w:rPr>
          <w:sz w:val="24"/>
          <w:szCs w:val="24"/>
        </w:rPr>
        <w:t xml:space="preserve"> var komplet biokemisk remission (dvs. normale serumniveauer af </w:t>
      </w:r>
      <w:proofErr w:type="spellStart"/>
      <w:r w:rsidRPr="00E90DD6">
        <w:rPr>
          <w:sz w:val="24"/>
          <w:szCs w:val="24"/>
        </w:rPr>
        <w:t>aspartat</w:t>
      </w:r>
      <w:proofErr w:type="spellEnd"/>
      <w:r w:rsidRPr="00E90DD6">
        <w:rPr>
          <w:sz w:val="24"/>
          <w:szCs w:val="24"/>
        </w:rPr>
        <w:t xml:space="preserve">- og </w:t>
      </w:r>
      <w:proofErr w:type="spellStart"/>
      <w:r w:rsidRPr="00E90DD6">
        <w:rPr>
          <w:sz w:val="24"/>
          <w:szCs w:val="24"/>
        </w:rPr>
        <w:t>alanin-aminotransferase</w:t>
      </w:r>
      <w:proofErr w:type="spellEnd"/>
      <w:r w:rsidRPr="00E90DD6">
        <w:rPr>
          <w:sz w:val="24"/>
          <w:szCs w:val="24"/>
        </w:rPr>
        <w:t xml:space="preserve">) uden forekomst af prædefinerede steroid-specifikke bivirkninger efter 6 måneder. Det primære </w:t>
      </w:r>
      <w:proofErr w:type="spellStart"/>
      <w:r w:rsidRPr="00E90DD6">
        <w:rPr>
          <w:sz w:val="24"/>
          <w:szCs w:val="24"/>
        </w:rPr>
        <w:t>endpoint</w:t>
      </w:r>
      <w:proofErr w:type="spellEnd"/>
      <w:r w:rsidRPr="00E90DD6">
        <w:rPr>
          <w:sz w:val="24"/>
          <w:szCs w:val="24"/>
        </w:rPr>
        <w:t xml:space="preserve"> blev opnået for 47 % af patienterne i </w:t>
      </w:r>
      <w:proofErr w:type="spellStart"/>
      <w:r w:rsidRPr="00E90DD6">
        <w:rPr>
          <w:sz w:val="24"/>
          <w:szCs w:val="24"/>
        </w:rPr>
        <w:t>budesonidgruppen</w:t>
      </w:r>
      <w:proofErr w:type="spellEnd"/>
      <w:r w:rsidRPr="00E90DD6">
        <w:rPr>
          <w:sz w:val="24"/>
          <w:szCs w:val="24"/>
        </w:rPr>
        <w:t xml:space="preserve"> og for 18 % af patienterne i </w:t>
      </w:r>
      <w:proofErr w:type="spellStart"/>
      <w:r w:rsidRPr="00E90DD6">
        <w:rPr>
          <w:sz w:val="24"/>
          <w:szCs w:val="24"/>
        </w:rPr>
        <w:t>prednisongruppen</w:t>
      </w:r>
      <w:proofErr w:type="spellEnd"/>
      <w:r w:rsidRPr="00E90DD6">
        <w:rPr>
          <w:sz w:val="24"/>
          <w:szCs w:val="24"/>
        </w:rPr>
        <w:t xml:space="preserve"> (p &lt; 0,001). </w:t>
      </w:r>
    </w:p>
    <w:p w14:paraId="0E929D5C" w14:textId="77777777" w:rsidR="00E647D4" w:rsidRPr="00E90DD6" w:rsidRDefault="00E647D4" w:rsidP="00841917">
      <w:pPr>
        <w:ind w:left="851"/>
        <w:rPr>
          <w:sz w:val="24"/>
          <w:szCs w:val="24"/>
        </w:rPr>
      </w:pPr>
    </w:p>
    <w:p w14:paraId="29AB95C9" w14:textId="77777777" w:rsidR="00E647D4" w:rsidRPr="00E90DD6" w:rsidRDefault="00E647D4" w:rsidP="00841917">
      <w:pPr>
        <w:ind w:left="851"/>
        <w:rPr>
          <w:sz w:val="24"/>
          <w:szCs w:val="24"/>
        </w:rPr>
      </w:pPr>
      <w:r w:rsidRPr="00E90DD6">
        <w:rPr>
          <w:sz w:val="24"/>
          <w:szCs w:val="24"/>
        </w:rPr>
        <w:t xml:space="preserve">Vedrørende sekundære virkningsvariabler ved 6 måneder forekom komplet biokemisk remission hos henholdsvis 60 % og 39 % af patienterne i </w:t>
      </w:r>
      <w:proofErr w:type="spellStart"/>
      <w:r w:rsidRPr="00E90DD6">
        <w:rPr>
          <w:sz w:val="24"/>
          <w:szCs w:val="24"/>
        </w:rPr>
        <w:t>budesonidgruppen</w:t>
      </w:r>
      <w:proofErr w:type="spellEnd"/>
      <w:r w:rsidRPr="00E90DD6">
        <w:rPr>
          <w:sz w:val="24"/>
          <w:szCs w:val="24"/>
        </w:rPr>
        <w:t xml:space="preserve"> og i </w:t>
      </w:r>
      <w:proofErr w:type="spellStart"/>
      <w:r w:rsidRPr="00E90DD6">
        <w:rPr>
          <w:sz w:val="24"/>
          <w:szCs w:val="24"/>
        </w:rPr>
        <w:t>prednisongruppen</w:t>
      </w:r>
      <w:proofErr w:type="spellEnd"/>
      <w:r w:rsidRPr="00E90DD6">
        <w:rPr>
          <w:sz w:val="24"/>
          <w:szCs w:val="24"/>
        </w:rPr>
        <w:t xml:space="preserve"> (p = 0,001). Henholdsvis 72 % og 47 % af patienterne i </w:t>
      </w:r>
      <w:proofErr w:type="spellStart"/>
      <w:r w:rsidRPr="00E90DD6">
        <w:rPr>
          <w:sz w:val="24"/>
          <w:szCs w:val="24"/>
        </w:rPr>
        <w:t>budesonidgruppen</w:t>
      </w:r>
      <w:proofErr w:type="spellEnd"/>
      <w:r w:rsidRPr="00E90DD6">
        <w:rPr>
          <w:sz w:val="24"/>
          <w:szCs w:val="24"/>
        </w:rPr>
        <w:t xml:space="preserve"> og i </w:t>
      </w:r>
      <w:proofErr w:type="spellStart"/>
      <w:r w:rsidRPr="00E90DD6">
        <w:rPr>
          <w:sz w:val="24"/>
          <w:szCs w:val="24"/>
        </w:rPr>
        <w:t>prednisongruppen</w:t>
      </w:r>
      <w:proofErr w:type="spellEnd"/>
      <w:r w:rsidRPr="00E90DD6">
        <w:rPr>
          <w:sz w:val="24"/>
          <w:szCs w:val="24"/>
        </w:rPr>
        <w:t xml:space="preserve"> udviklede ikke steroid-specifikke bivirkninger (p &lt; 0,001). Det gennemsnitlige fald i </w:t>
      </w:r>
      <w:proofErr w:type="spellStart"/>
      <w:r w:rsidRPr="00E90DD6">
        <w:rPr>
          <w:sz w:val="24"/>
          <w:szCs w:val="24"/>
        </w:rPr>
        <w:t>IgG</w:t>
      </w:r>
      <w:proofErr w:type="spellEnd"/>
      <w:r w:rsidRPr="00E90DD6">
        <w:rPr>
          <w:sz w:val="24"/>
          <w:szCs w:val="24"/>
        </w:rPr>
        <w:t>- og γ-</w:t>
      </w:r>
      <w:proofErr w:type="spellStart"/>
      <w:r w:rsidRPr="00E90DD6">
        <w:rPr>
          <w:sz w:val="24"/>
          <w:szCs w:val="24"/>
        </w:rPr>
        <w:t>globulinkoncentrationer</w:t>
      </w:r>
      <w:proofErr w:type="spellEnd"/>
      <w:r w:rsidRPr="00E90DD6">
        <w:rPr>
          <w:sz w:val="24"/>
          <w:szCs w:val="24"/>
        </w:rPr>
        <w:t xml:space="preserve"> og faldet hos andelen af patienter med forhøjede </w:t>
      </w:r>
      <w:proofErr w:type="spellStart"/>
      <w:r w:rsidRPr="00E90DD6">
        <w:rPr>
          <w:sz w:val="24"/>
          <w:szCs w:val="24"/>
        </w:rPr>
        <w:t>IgG</w:t>
      </w:r>
      <w:proofErr w:type="spellEnd"/>
      <w:r w:rsidRPr="00E90DD6">
        <w:rPr>
          <w:sz w:val="24"/>
          <w:szCs w:val="24"/>
        </w:rPr>
        <w:t xml:space="preserve"> og γ-</w:t>
      </w:r>
      <w:proofErr w:type="spellStart"/>
      <w:r w:rsidRPr="00E90DD6">
        <w:rPr>
          <w:sz w:val="24"/>
          <w:szCs w:val="24"/>
        </w:rPr>
        <w:t>globulinkoncentrationer</w:t>
      </w:r>
      <w:proofErr w:type="spellEnd"/>
      <w:r w:rsidRPr="00E90DD6">
        <w:rPr>
          <w:sz w:val="24"/>
          <w:szCs w:val="24"/>
        </w:rPr>
        <w:t xml:space="preserve"> viste ingen forskelle mellem de to behandlingsgrupper. </w:t>
      </w:r>
    </w:p>
    <w:p w14:paraId="369DFECF" w14:textId="77777777" w:rsidR="00E647D4" w:rsidRPr="00E90DD6" w:rsidRDefault="00E647D4" w:rsidP="00841917">
      <w:pPr>
        <w:ind w:left="851"/>
        <w:rPr>
          <w:sz w:val="24"/>
          <w:szCs w:val="24"/>
        </w:rPr>
      </w:pPr>
    </w:p>
    <w:p w14:paraId="66452D47" w14:textId="77777777" w:rsidR="00E647D4" w:rsidRPr="00E90DD6" w:rsidRDefault="00E647D4" w:rsidP="00841917">
      <w:pPr>
        <w:ind w:left="851"/>
        <w:rPr>
          <w:sz w:val="24"/>
          <w:szCs w:val="24"/>
        </w:rPr>
      </w:pPr>
      <w:r w:rsidRPr="00E90DD6">
        <w:rPr>
          <w:sz w:val="24"/>
          <w:szCs w:val="24"/>
        </w:rPr>
        <w:t xml:space="preserve">En åben </w:t>
      </w:r>
      <w:proofErr w:type="spellStart"/>
      <w:r w:rsidRPr="00E90DD6">
        <w:rPr>
          <w:sz w:val="24"/>
          <w:szCs w:val="24"/>
        </w:rPr>
        <w:t>follow</w:t>
      </w:r>
      <w:proofErr w:type="spellEnd"/>
      <w:r w:rsidRPr="00E90DD6">
        <w:rPr>
          <w:sz w:val="24"/>
          <w:szCs w:val="24"/>
        </w:rPr>
        <w:t xml:space="preserve">-up-behandling på yderligere 6 måneder blev tilbudt alle patienter efter den kontrollerede dobbeltblindede fase. I alt 176 patienter fortsatte i den åbne fase og fik 6 mg/dag </w:t>
      </w:r>
      <w:proofErr w:type="spellStart"/>
      <w:r w:rsidRPr="00E90DD6">
        <w:rPr>
          <w:sz w:val="24"/>
          <w:szCs w:val="24"/>
        </w:rPr>
        <w:t>budesonid</w:t>
      </w:r>
      <w:proofErr w:type="spellEnd"/>
      <w:r w:rsidRPr="00E90DD6">
        <w:rPr>
          <w:sz w:val="24"/>
          <w:szCs w:val="24"/>
        </w:rPr>
        <w:t xml:space="preserve"> i kombination med 1</w:t>
      </w:r>
      <w:r w:rsidRPr="00E90DD6">
        <w:rPr>
          <w:sz w:val="24"/>
          <w:szCs w:val="24"/>
        </w:rPr>
        <w:noBreakHyphen/>
        <w:t xml:space="preserve">2 mg/kg/dag </w:t>
      </w:r>
      <w:proofErr w:type="spellStart"/>
      <w:r w:rsidRPr="00E90DD6">
        <w:rPr>
          <w:sz w:val="24"/>
          <w:szCs w:val="24"/>
        </w:rPr>
        <w:t>azathioprin</w:t>
      </w:r>
      <w:proofErr w:type="spellEnd"/>
      <w:r w:rsidRPr="00E90DD6">
        <w:rPr>
          <w:sz w:val="24"/>
          <w:szCs w:val="24"/>
        </w:rPr>
        <w:t xml:space="preserve">. Andelen af patienter med biokemisk remission og andelen af patienter med komplet respons (ikke statistisk signifikant) var stadig højere i den oprindelige </w:t>
      </w:r>
      <w:proofErr w:type="spellStart"/>
      <w:r w:rsidRPr="00E90DD6">
        <w:rPr>
          <w:sz w:val="24"/>
          <w:szCs w:val="24"/>
        </w:rPr>
        <w:t>budesonidgruppe</w:t>
      </w:r>
      <w:proofErr w:type="spellEnd"/>
      <w:r w:rsidRPr="00E90DD6">
        <w:rPr>
          <w:sz w:val="24"/>
          <w:szCs w:val="24"/>
        </w:rPr>
        <w:t xml:space="preserve"> (andelen med komplet respons var 60 % og andelen med biokemisk remission var 68,2 % ved slutningen af det åbne studie) end i den oprindelige </w:t>
      </w:r>
      <w:proofErr w:type="spellStart"/>
      <w:r w:rsidRPr="00E90DD6">
        <w:rPr>
          <w:sz w:val="24"/>
          <w:szCs w:val="24"/>
        </w:rPr>
        <w:t>prednisongruppe</w:t>
      </w:r>
      <w:proofErr w:type="spellEnd"/>
      <w:r w:rsidRPr="00E90DD6">
        <w:rPr>
          <w:sz w:val="24"/>
          <w:szCs w:val="24"/>
        </w:rPr>
        <w:t xml:space="preserve"> (andelen med komplet respons var 49 % og andelen med biokemisk remission var 50,6 % ved slutningen af det åbne studie). </w:t>
      </w:r>
    </w:p>
    <w:p w14:paraId="06E6F415" w14:textId="77777777" w:rsidR="00E647D4" w:rsidRPr="00E90DD6" w:rsidRDefault="00E647D4" w:rsidP="00841917">
      <w:pPr>
        <w:ind w:left="851"/>
        <w:rPr>
          <w:sz w:val="24"/>
          <w:szCs w:val="24"/>
        </w:rPr>
      </w:pPr>
    </w:p>
    <w:p w14:paraId="652E83B2" w14:textId="77777777" w:rsidR="00E647D4" w:rsidRPr="00E90DD6" w:rsidRDefault="00E647D4" w:rsidP="00841917">
      <w:pPr>
        <w:ind w:left="851"/>
        <w:rPr>
          <w:rStyle w:val="longtext1"/>
          <w:sz w:val="24"/>
          <w:szCs w:val="24"/>
        </w:rPr>
      </w:pPr>
      <w:r w:rsidRPr="00E90DD6">
        <w:rPr>
          <w:rStyle w:val="longtext1"/>
          <w:i/>
          <w:color w:val="000000"/>
          <w:sz w:val="24"/>
          <w:szCs w:val="24"/>
        </w:rPr>
        <w:t>Klinisk studie af pædiatriske patienter med autoimmun hepatitis</w:t>
      </w:r>
      <w:r w:rsidRPr="00E90DD6">
        <w:rPr>
          <w:rStyle w:val="longtext1"/>
          <w:color w:val="000000"/>
          <w:sz w:val="24"/>
          <w:szCs w:val="24"/>
        </w:rPr>
        <w:t xml:space="preserve"> </w:t>
      </w:r>
    </w:p>
    <w:p w14:paraId="447F3B1A" w14:textId="77777777" w:rsidR="00E647D4" w:rsidRPr="00E90DD6" w:rsidRDefault="00E647D4" w:rsidP="00841917">
      <w:pPr>
        <w:ind w:left="851"/>
        <w:rPr>
          <w:rStyle w:val="longtext1"/>
          <w:color w:val="000000"/>
          <w:sz w:val="24"/>
          <w:szCs w:val="24"/>
        </w:rPr>
      </w:pPr>
      <w:r w:rsidRPr="00E90DD6">
        <w:rPr>
          <w:color w:val="000000"/>
          <w:sz w:val="24"/>
          <w:szCs w:val="24"/>
          <w:shd w:val="clear" w:color="auto" w:fill="FFFFFF"/>
        </w:rPr>
        <w:t xml:space="preserve">Sikkerhed og effekt af </w:t>
      </w:r>
      <w:proofErr w:type="spellStart"/>
      <w:r w:rsidRPr="00E90DD6">
        <w:rPr>
          <w:color w:val="000000"/>
          <w:sz w:val="24"/>
          <w:szCs w:val="24"/>
          <w:shd w:val="clear" w:color="auto" w:fill="FFFFFF"/>
        </w:rPr>
        <w:t>budesonid</w:t>
      </w:r>
      <w:proofErr w:type="spellEnd"/>
      <w:r w:rsidRPr="00E90DD6">
        <w:rPr>
          <w:color w:val="000000"/>
          <w:sz w:val="24"/>
          <w:szCs w:val="24"/>
          <w:shd w:val="clear" w:color="auto" w:fill="FFFFFF"/>
        </w:rPr>
        <w:t xml:space="preserve"> hos 46 pædiatriske patienter (11 drenge og 35 piger) i alderen 9 til 18 år blev undersøgt som en undergruppe af patienterne</w:t>
      </w:r>
      <w:r w:rsidRPr="00E90DD6">
        <w:rPr>
          <w:color w:val="000000"/>
          <w:sz w:val="24"/>
          <w:szCs w:val="24"/>
        </w:rPr>
        <w:t xml:space="preserve"> i ovenfor nævnte kliniske studie. </w:t>
      </w:r>
      <w:r w:rsidRPr="00E90DD6">
        <w:rPr>
          <w:rStyle w:val="longtext1"/>
          <w:color w:val="000000"/>
          <w:sz w:val="24"/>
          <w:szCs w:val="24"/>
        </w:rPr>
        <w:t xml:space="preserve">19 pædiatriske patienter blev behandlet med </w:t>
      </w:r>
      <w:proofErr w:type="spellStart"/>
      <w:r w:rsidRPr="00E90DD6">
        <w:rPr>
          <w:rStyle w:val="longtext1"/>
          <w:color w:val="000000"/>
          <w:sz w:val="24"/>
          <w:szCs w:val="24"/>
        </w:rPr>
        <w:t>budesonid</w:t>
      </w:r>
      <w:proofErr w:type="spellEnd"/>
      <w:r w:rsidRPr="00E90DD6">
        <w:rPr>
          <w:rStyle w:val="longtext1"/>
          <w:color w:val="000000"/>
          <w:sz w:val="24"/>
          <w:szCs w:val="24"/>
        </w:rPr>
        <w:t>, og 27 fik den aktive kontrol (</w:t>
      </w:r>
      <w:proofErr w:type="spellStart"/>
      <w:r w:rsidRPr="00E90DD6">
        <w:rPr>
          <w:rStyle w:val="longtext1"/>
          <w:color w:val="000000"/>
          <w:sz w:val="24"/>
          <w:szCs w:val="24"/>
        </w:rPr>
        <w:t>prednison</w:t>
      </w:r>
      <w:proofErr w:type="spellEnd"/>
      <w:r w:rsidRPr="00E90DD6">
        <w:rPr>
          <w:rStyle w:val="longtext1"/>
          <w:color w:val="000000"/>
          <w:sz w:val="24"/>
          <w:szCs w:val="24"/>
        </w:rPr>
        <w:t xml:space="preserve">) til induktion af remission med en daglig dosis på 9 mg </w:t>
      </w:r>
      <w:proofErr w:type="spellStart"/>
      <w:r w:rsidRPr="00E90DD6">
        <w:rPr>
          <w:rStyle w:val="longtext1"/>
          <w:color w:val="000000"/>
          <w:sz w:val="24"/>
          <w:szCs w:val="24"/>
        </w:rPr>
        <w:t>budesonid</w:t>
      </w:r>
      <w:proofErr w:type="spellEnd"/>
      <w:r w:rsidRPr="00E90DD6">
        <w:rPr>
          <w:rStyle w:val="longtext1"/>
          <w:color w:val="000000"/>
          <w:sz w:val="24"/>
          <w:szCs w:val="24"/>
        </w:rPr>
        <w:t xml:space="preserve">. Efter 6 måneder i studiet fortsatte 42 pædiatriske patienter i yderligere 6 måneder i en åben </w:t>
      </w:r>
      <w:proofErr w:type="spellStart"/>
      <w:r w:rsidRPr="00E90DD6">
        <w:rPr>
          <w:rStyle w:val="longtext1"/>
          <w:color w:val="000000"/>
          <w:sz w:val="24"/>
          <w:szCs w:val="24"/>
        </w:rPr>
        <w:t>follow</w:t>
      </w:r>
      <w:proofErr w:type="spellEnd"/>
      <w:r w:rsidRPr="00E90DD6">
        <w:rPr>
          <w:rStyle w:val="longtext1"/>
          <w:color w:val="000000"/>
          <w:sz w:val="24"/>
          <w:szCs w:val="24"/>
        </w:rPr>
        <w:t xml:space="preserve">-up-behandling med </w:t>
      </w:r>
      <w:proofErr w:type="spellStart"/>
      <w:r w:rsidRPr="00E90DD6">
        <w:rPr>
          <w:rStyle w:val="longtext1"/>
          <w:color w:val="000000"/>
          <w:sz w:val="24"/>
          <w:szCs w:val="24"/>
        </w:rPr>
        <w:t>budesonid</w:t>
      </w:r>
      <w:proofErr w:type="spellEnd"/>
      <w:r w:rsidRPr="00E90DD6">
        <w:rPr>
          <w:rStyle w:val="longtext1"/>
          <w:color w:val="000000"/>
          <w:sz w:val="24"/>
          <w:szCs w:val="24"/>
        </w:rPr>
        <w:t xml:space="preserve">. </w:t>
      </w:r>
    </w:p>
    <w:p w14:paraId="600B1C73" w14:textId="77777777" w:rsidR="00E647D4" w:rsidRPr="00E90DD6" w:rsidRDefault="00E647D4" w:rsidP="00841917">
      <w:pPr>
        <w:ind w:left="851"/>
        <w:rPr>
          <w:rStyle w:val="longtext1"/>
          <w:color w:val="000000"/>
          <w:sz w:val="24"/>
          <w:szCs w:val="24"/>
        </w:rPr>
      </w:pPr>
    </w:p>
    <w:p w14:paraId="254F56F9" w14:textId="77777777" w:rsidR="00E647D4" w:rsidRPr="00E90DD6" w:rsidRDefault="00E647D4" w:rsidP="00841917">
      <w:pPr>
        <w:ind w:left="851"/>
        <w:rPr>
          <w:sz w:val="24"/>
          <w:szCs w:val="24"/>
        </w:rPr>
      </w:pPr>
      <w:r w:rsidRPr="00E90DD6">
        <w:rPr>
          <w:rStyle w:val="longtext1"/>
          <w:color w:val="000000"/>
          <w:sz w:val="24"/>
          <w:szCs w:val="24"/>
          <w:shd w:val="clear" w:color="auto" w:fill="FFFFFF"/>
        </w:rPr>
        <w:t xml:space="preserve">Andelen af </w:t>
      </w:r>
      <w:r w:rsidRPr="00E90DD6">
        <w:rPr>
          <w:color w:val="000000"/>
          <w:sz w:val="24"/>
          <w:szCs w:val="24"/>
          <w:shd w:val="clear" w:color="auto" w:fill="FFFFFF"/>
        </w:rPr>
        <w:t xml:space="preserve">komplette </w:t>
      </w:r>
      <w:r w:rsidRPr="00E90DD6">
        <w:rPr>
          <w:rStyle w:val="longtext1"/>
          <w:color w:val="000000"/>
          <w:sz w:val="24"/>
          <w:szCs w:val="24"/>
          <w:shd w:val="clear" w:color="auto" w:fill="FFFFFF"/>
        </w:rPr>
        <w:t xml:space="preserve">respondenter (defineret som biokemisk respons, dvs. normalisering af </w:t>
      </w:r>
      <w:proofErr w:type="spellStart"/>
      <w:r w:rsidRPr="00E90DD6">
        <w:rPr>
          <w:rStyle w:val="longtext1"/>
          <w:color w:val="000000"/>
          <w:sz w:val="24"/>
          <w:szCs w:val="24"/>
          <w:shd w:val="clear" w:color="auto" w:fill="FFFFFF"/>
        </w:rPr>
        <w:t>levertransaminaser</w:t>
      </w:r>
      <w:proofErr w:type="spellEnd"/>
      <w:r w:rsidRPr="00E90DD6">
        <w:rPr>
          <w:rStyle w:val="longtext1"/>
          <w:color w:val="000000"/>
          <w:sz w:val="24"/>
          <w:szCs w:val="24"/>
          <w:shd w:val="clear" w:color="auto" w:fill="FFFFFF"/>
        </w:rPr>
        <w:t xml:space="preserve"> (ASAT, ALAT) og manglende steroid-specifikke bivirkninger) hos patienter ≤ 18 år var betydeligt lavere sammenlignet med de voksne patienter. Der var ingen signifikant forskel mellem de to behandlingsgrupper. </w:t>
      </w:r>
      <w:r w:rsidRPr="00E90DD6">
        <w:rPr>
          <w:rStyle w:val="longtext1"/>
          <w:color w:val="000000"/>
          <w:sz w:val="24"/>
          <w:szCs w:val="24"/>
        </w:rPr>
        <w:t xml:space="preserve">Efter </w:t>
      </w:r>
      <w:proofErr w:type="spellStart"/>
      <w:r w:rsidRPr="00E90DD6">
        <w:rPr>
          <w:rStyle w:val="longtext1"/>
          <w:color w:val="000000"/>
          <w:sz w:val="24"/>
          <w:szCs w:val="24"/>
        </w:rPr>
        <w:t>follow</w:t>
      </w:r>
      <w:proofErr w:type="spellEnd"/>
      <w:r w:rsidRPr="00E90DD6">
        <w:rPr>
          <w:rStyle w:val="longtext1"/>
          <w:color w:val="000000"/>
          <w:sz w:val="24"/>
          <w:szCs w:val="24"/>
        </w:rPr>
        <w:t xml:space="preserve">-up-behandling med </w:t>
      </w:r>
      <w:proofErr w:type="spellStart"/>
      <w:r w:rsidRPr="00E90DD6">
        <w:rPr>
          <w:rStyle w:val="longtext1"/>
          <w:color w:val="000000"/>
          <w:sz w:val="24"/>
          <w:szCs w:val="24"/>
        </w:rPr>
        <w:t>budesonid</w:t>
      </w:r>
      <w:proofErr w:type="spellEnd"/>
      <w:r w:rsidRPr="00E90DD6">
        <w:rPr>
          <w:rStyle w:val="longtext1"/>
          <w:color w:val="000000"/>
          <w:sz w:val="24"/>
          <w:szCs w:val="24"/>
        </w:rPr>
        <w:t xml:space="preserve"> i yderligere 6 måneder var andelen af pædiatriske patienter </w:t>
      </w:r>
      <w:r w:rsidRPr="00E90DD6">
        <w:rPr>
          <w:color w:val="000000"/>
          <w:sz w:val="24"/>
          <w:szCs w:val="24"/>
        </w:rPr>
        <w:t xml:space="preserve">med komplet respons </w:t>
      </w:r>
      <w:r w:rsidRPr="00E90DD6">
        <w:rPr>
          <w:rStyle w:val="longtext1"/>
          <w:color w:val="000000"/>
          <w:sz w:val="24"/>
          <w:szCs w:val="24"/>
        </w:rPr>
        <w:t xml:space="preserve">stadig lidt lavere sammenlignet med de voksne patienter, men forskellen mellem aldersgrupperne var meget mindre. </w:t>
      </w:r>
      <w:r w:rsidRPr="00E90DD6">
        <w:rPr>
          <w:rStyle w:val="longtext1"/>
          <w:color w:val="000000"/>
          <w:sz w:val="24"/>
          <w:szCs w:val="24"/>
          <w:shd w:val="clear" w:color="auto" w:fill="FFFFFF"/>
        </w:rPr>
        <w:t xml:space="preserve">Der var ingen signifikant forskel i andelen af komplette respondenter hos dem, der oprindeligt blev behandlet med </w:t>
      </w:r>
      <w:proofErr w:type="spellStart"/>
      <w:r w:rsidRPr="00E90DD6">
        <w:rPr>
          <w:rStyle w:val="longtext1"/>
          <w:color w:val="000000"/>
          <w:sz w:val="24"/>
          <w:szCs w:val="24"/>
          <w:shd w:val="clear" w:color="auto" w:fill="FFFFFF"/>
        </w:rPr>
        <w:t>prednison</w:t>
      </w:r>
      <w:proofErr w:type="spellEnd"/>
      <w:r w:rsidRPr="00E90DD6">
        <w:rPr>
          <w:rStyle w:val="longtext1"/>
          <w:color w:val="000000"/>
          <w:sz w:val="24"/>
          <w:szCs w:val="24"/>
          <w:shd w:val="clear" w:color="auto" w:fill="FFFFFF"/>
        </w:rPr>
        <w:t xml:space="preserve">, og dem, der hele tiden var blevet behandlet med </w:t>
      </w:r>
      <w:proofErr w:type="spellStart"/>
      <w:r w:rsidRPr="00E90DD6">
        <w:rPr>
          <w:rStyle w:val="longtext1"/>
          <w:color w:val="000000"/>
          <w:sz w:val="24"/>
          <w:szCs w:val="24"/>
          <w:shd w:val="clear" w:color="auto" w:fill="FFFFFF"/>
        </w:rPr>
        <w:t>budesonid</w:t>
      </w:r>
      <w:proofErr w:type="spellEnd"/>
      <w:r w:rsidRPr="00E90DD6">
        <w:rPr>
          <w:rStyle w:val="longtext1"/>
          <w:color w:val="000000"/>
          <w:sz w:val="24"/>
          <w:szCs w:val="24"/>
          <w:shd w:val="clear" w:color="auto" w:fill="FFFFFF"/>
        </w:rPr>
        <w:t>.</w:t>
      </w:r>
    </w:p>
    <w:p w14:paraId="4F0739FA" w14:textId="77777777" w:rsidR="009260DE" w:rsidRPr="00E90DD6" w:rsidRDefault="009260DE" w:rsidP="009260DE">
      <w:pPr>
        <w:tabs>
          <w:tab w:val="left" w:pos="851"/>
        </w:tabs>
        <w:ind w:left="851"/>
        <w:rPr>
          <w:sz w:val="24"/>
          <w:szCs w:val="24"/>
        </w:rPr>
      </w:pPr>
    </w:p>
    <w:p w14:paraId="6347FDDD" w14:textId="77777777" w:rsidR="009260DE" w:rsidRPr="00E90DD6" w:rsidRDefault="009260DE" w:rsidP="009260DE">
      <w:pPr>
        <w:tabs>
          <w:tab w:val="left" w:pos="851"/>
        </w:tabs>
        <w:ind w:left="851" w:hanging="851"/>
        <w:rPr>
          <w:b/>
          <w:sz w:val="24"/>
          <w:szCs w:val="24"/>
        </w:rPr>
      </w:pPr>
      <w:r w:rsidRPr="00E90DD6">
        <w:rPr>
          <w:b/>
          <w:sz w:val="24"/>
          <w:szCs w:val="24"/>
        </w:rPr>
        <w:t>5.2</w:t>
      </w:r>
      <w:r w:rsidRPr="00E90DD6">
        <w:rPr>
          <w:b/>
          <w:sz w:val="24"/>
          <w:szCs w:val="24"/>
        </w:rPr>
        <w:tab/>
      </w:r>
      <w:proofErr w:type="spellStart"/>
      <w:r w:rsidRPr="00E90DD6">
        <w:rPr>
          <w:b/>
          <w:sz w:val="24"/>
          <w:szCs w:val="24"/>
        </w:rPr>
        <w:t>Farmakokinetiske</w:t>
      </w:r>
      <w:proofErr w:type="spellEnd"/>
      <w:r w:rsidRPr="00E90DD6">
        <w:rPr>
          <w:b/>
          <w:sz w:val="24"/>
          <w:szCs w:val="24"/>
        </w:rPr>
        <w:t xml:space="preserve"> egenskaber</w:t>
      </w:r>
    </w:p>
    <w:p w14:paraId="3E8B5DFF" w14:textId="77777777" w:rsidR="00787AE5" w:rsidRDefault="00787AE5" w:rsidP="00841917">
      <w:pPr>
        <w:ind w:left="851"/>
        <w:rPr>
          <w:sz w:val="24"/>
          <w:szCs w:val="24"/>
        </w:rPr>
      </w:pPr>
    </w:p>
    <w:p w14:paraId="7AA85B61" w14:textId="6C9C2D86" w:rsidR="00E647D4" w:rsidRPr="00787AE5" w:rsidRDefault="00E647D4" w:rsidP="00841917">
      <w:pPr>
        <w:ind w:left="851"/>
        <w:rPr>
          <w:sz w:val="24"/>
          <w:szCs w:val="24"/>
          <w:u w:val="single"/>
          <w:lang w:eastAsia="da-DK"/>
        </w:rPr>
      </w:pPr>
      <w:r w:rsidRPr="00787AE5">
        <w:rPr>
          <w:sz w:val="24"/>
          <w:szCs w:val="24"/>
          <w:u w:val="single"/>
        </w:rPr>
        <w:t>Absorption</w:t>
      </w:r>
    </w:p>
    <w:p w14:paraId="27C68629" w14:textId="65C153C3" w:rsidR="00E647D4" w:rsidRPr="00E90DD6" w:rsidRDefault="00E647D4" w:rsidP="00841917">
      <w:pPr>
        <w:ind w:left="851"/>
        <w:rPr>
          <w:sz w:val="24"/>
          <w:szCs w:val="24"/>
        </w:rPr>
      </w:pPr>
      <w:proofErr w:type="spellStart"/>
      <w:r w:rsidRPr="00E90DD6">
        <w:rPr>
          <w:sz w:val="24"/>
          <w:szCs w:val="24"/>
        </w:rPr>
        <w:t>Budesonid</w:t>
      </w:r>
      <w:proofErr w:type="spellEnd"/>
      <w:r w:rsidRPr="00E90DD6">
        <w:rPr>
          <w:sz w:val="24"/>
          <w:szCs w:val="24"/>
        </w:rPr>
        <w:t xml:space="preserve"> 3 mg</w:t>
      </w:r>
      <w:r w:rsidR="00787AE5">
        <w:rPr>
          <w:sz w:val="24"/>
          <w:szCs w:val="24"/>
        </w:rPr>
        <w:t xml:space="preserve"> </w:t>
      </w:r>
      <w:r w:rsidRPr="00E90DD6">
        <w:rPr>
          <w:sz w:val="24"/>
          <w:szCs w:val="24"/>
        </w:rPr>
        <w:t xml:space="preserve">kapsler, som indeholder mavesyreresistent granulat, har – på grund af det specifikke overtræk af granulatet – en </w:t>
      </w:r>
      <w:proofErr w:type="spellStart"/>
      <w:r w:rsidRPr="00E90DD6">
        <w:rPr>
          <w:sz w:val="24"/>
          <w:szCs w:val="24"/>
        </w:rPr>
        <w:t>latensfase</w:t>
      </w:r>
      <w:proofErr w:type="spellEnd"/>
      <w:r w:rsidRPr="00E90DD6">
        <w:rPr>
          <w:sz w:val="24"/>
          <w:szCs w:val="24"/>
        </w:rPr>
        <w:t xml:space="preserve"> på 2-3 timer. Hos raske forsøgspersoner såvel som hos patienter med </w:t>
      </w:r>
      <w:proofErr w:type="spellStart"/>
      <w:r w:rsidRPr="00E90DD6">
        <w:rPr>
          <w:sz w:val="24"/>
          <w:szCs w:val="24"/>
        </w:rPr>
        <w:t>Crohns</w:t>
      </w:r>
      <w:proofErr w:type="spellEnd"/>
      <w:r w:rsidRPr="00E90DD6">
        <w:rPr>
          <w:sz w:val="24"/>
          <w:szCs w:val="24"/>
        </w:rPr>
        <w:t xml:space="preserve"> sygdom blev der observeret maksimale gennemsnitlige </w:t>
      </w:r>
      <w:proofErr w:type="spellStart"/>
      <w:r w:rsidRPr="00E90DD6">
        <w:rPr>
          <w:sz w:val="24"/>
          <w:szCs w:val="24"/>
        </w:rPr>
        <w:t>budesonid</w:t>
      </w:r>
      <w:proofErr w:type="spellEnd"/>
      <w:r w:rsidRPr="00E90DD6">
        <w:rPr>
          <w:sz w:val="24"/>
          <w:szCs w:val="24"/>
        </w:rPr>
        <w:t>-plasmakoncentrationer på 1-2 </w:t>
      </w:r>
      <w:proofErr w:type="spellStart"/>
      <w:r w:rsidRPr="00E90DD6">
        <w:rPr>
          <w:sz w:val="24"/>
          <w:szCs w:val="24"/>
        </w:rPr>
        <w:t>ng</w:t>
      </w:r>
      <w:proofErr w:type="spellEnd"/>
      <w:r w:rsidRPr="00E90DD6">
        <w:rPr>
          <w:sz w:val="24"/>
          <w:szCs w:val="24"/>
        </w:rPr>
        <w:t xml:space="preserve">/ml ca. 5 timer efter en peroral dosis af </w:t>
      </w:r>
      <w:proofErr w:type="spellStart"/>
      <w:r w:rsidRPr="00E90DD6">
        <w:rPr>
          <w:sz w:val="24"/>
          <w:szCs w:val="24"/>
        </w:rPr>
        <w:t>budesonid</w:t>
      </w:r>
      <w:proofErr w:type="spellEnd"/>
      <w:r w:rsidRPr="00E90DD6">
        <w:rPr>
          <w:sz w:val="24"/>
          <w:szCs w:val="24"/>
        </w:rPr>
        <w:t xml:space="preserve"> 3 mg</w:t>
      </w:r>
      <w:r w:rsidR="00F95609">
        <w:rPr>
          <w:sz w:val="24"/>
          <w:szCs w:val="24"/>
        </w:rPr>
        <w:t xml:space="preserve"> </w:t>
      </w:r>
      <w:r w:rsidRPr="00E90DD6">
        <w:rPr>
          <w:sz w:val="24"/>
          <w:szCs w:val="24"/>
        </w:rPr>
        <w:t xml:space="preserve">kapsler ved en enkelt dosis på 3 mg, taget før et måltid. Dette </w:t>
      </w:r>
      <w:r w:rsidRPr="00E90DD6">
        <w:rPr>
          <w:sz w:val="24"/>
          <w:szCs w:val="24"/>
        </w:rPr>
        <w:lastRenderedPageBreak/>
        <w:t xml:space="preserve">betyder, at den maksimale udløsning finder sted i den terminale </w:t>
      </w:r>
      <w:proofErr w:type="spellStart"/>
      <w:r w:rsidRPr="00E90DD6">
        <w:rPr>
          <w:sz w:val="24"/>
          <w:szCs w:val="24"/>
        </w:rPr>
        <w:t>ileum</w:t>
      </w:r>
      <w:proofErr w:type="spellEnd"/>
      <w:r w:rsidRPr="00E90DD6">
        <w:rPr>
          <w:sz w:val="24"/>
          <w:szCs w:val="24"/>
        </w:rPr>
        <w:t xml:space="preserve"> og </w:t>
      </w:r>
      <w:proofErr w:type="spellStart"/>
      <w:r w:rsidRPr="00E90DD6">
        <w:rPr>
          <w:sz w:val="24"/>
          <w:szCs w:val="24"/>
        </w:rPr>
        <w:t>caecum</w:t>
      </w:r>
      <w:proofErr w:type="spellEnd"/>
      <w:r w:rsidRPr="00E90DD6">
        <w:rPr>
          <w:sz w:val="24"/>
          <w:szCs w:val="24"/>
        </w:rPr>
        <w:t xml:space="preserve">, betændelsens hovedområde ved </w:t>
      </w:r>
      <w:proofErr w:type="spellStart"/>
      <w:r w:rsidRPr="00E90DD6">
        <w:rPr>
          <w:sz w:val="24"/>
          <w:szCs w:val="24"/>
        </w:rPr>
        <w:t>Crohns</w:t>
      </w:r>
      <w:proofErr w:type="spellEnd"/>
      <w:r w:rsidRPr="00E90DD6">
        <w:rPr>
          <w:sz w:val="24"/>
          <w:szCs w:val="24"/>
        </w:rPr>
        <w:t xml:space="preserve"> sygdom.</w:t>
      </w:r>
    </w:p>
    <w:p w14:paraId="0615985B" w14:textId="77777777" w:rsidR="00E647D4" w:rsidRPr="00E90DD6" w:rsidRDefault="00E647D4" w:rsidP="00841917">
      <w:pPr>
        <w:ind w:left="851"/>
        <w:rPr>
          <w:sz w:val="24"/>
          <w:szCs w:val="24"/>
        </w:rPr>
      </w:pPr>
    </w:p>
    <w:p w14:paraId="05829D26" w14:textId="44B75E2B" w:rsidR="00E647D4" w:rsidRPr="00E90DD6" w:rsidRDefault="00E647D4" w:rsidP="00841917">
      <w:pPr>
        <w:ind w:left="851"/>
        <w:rPr>
          <w:sz w:val="24"/>
          <w:szCs w:val="24"/>
        </w:rPr>
      </w:pPr>
      <w:r w:rsidRPr="00E90DD6">
        <w:rPr>
          <w:sz w:val="24"/>
          <w:szCs w:val="24"/>
        </w:rPr>
        <w:t xml:space="preserve">Hos patienter med </w:t>
      </w:r>
      <w:proofErr w:type="spellStart"/>
      <w:r w:rsidRPr="00E90DD6">
        <w:rPr>
          <w:sz w:val="24"/>
          <w:szCs w:val="24"/>
        </w:rPr>
        <w:t>ileostomi</w:t>
      </w:r>
      <w:proofErr w:type="spellEnd"/>
      <w:r w:rsidRPr="00E90DD6">
        <w:rPr>
          <w:sz w:val="24"/>
          <w:szCs w:val="24"/>
        </w:rPr>
        <w:t xml:space="preserve"> svarer udløsningen af </w:t>
      </w:r>
      <w:proofErr w:type="spellStart"/>
      <w:r w:rsidRPr="00E90DD6">
        <w:rPr>
          <w:sz w:val="24"/>
          <w:szCs w:val="24"/>
        </w:rPr>
        <w:t>budesonid</w:t>
      </w:r>
      <w:proofErr w:type="spellEnd"/>
      <w:r w:rsidRPr="00E90DD6">
        <w:rPr>
          <w:sz w:val="24"/>
          <w:szCs w:val="24"/>
        </w:rPr>
        <w:t xml:space="preserve"> fra </w:t>
      </w:r>
      <w:proofErr w:type="spellStart"/>
      <w:r w:rsidRPr="00E90DD6">
        <w:rPr>
          <w:sz w:val="24"/>
          <w:szCs w:val="24"/>
        </w:rPr>
        <w:t>budesonid</w:t>
      </w:r>
      <w:proofErr w:type="spellEnd"/>
      <w:r w:rsidRPr="00E90DD6">
        <w:rPr>
          <w:sz w:val="24"/>
          <w:szCs w:val="24"/>
        </w:rPr>
        <w:t xml:space="preserve"> 3 mg</w:t>
      </w:r>
      <w:r w:rsidR="00F95609">
        <w:rPr>
          <w:sz w:val="24"/>
          <w:szCs w:val="24"/>
        </w:rPr>
        <w:t xml:space="preserve"> </w:t>
      </w:r>
      <w:r w:rsidRPr="00E90DD6">
        <w:rPr>
          <w:sz w:val="24"/>
          <w:szCs w:val="24"/>
        </w:rPr>
        <w:t xml:space="preserve">kapsler til den, der ses hos raske forsøgspersoner eller patienter med </w:t>
      </w:r>
      <w:proofErr w:type="spellStart"/>
      <w:r w:rsidRPr="00E90DD6">
        <w:rPr>
          <w:sz w:val="24"/>
          <w:szCs w:val="24"/>
        </w:rPr>
        <w:t>Crohns</w:t>
      </w:r>
      <w:proofErr w:type="spellEnd"/>
      <w:r w:rsidRPr="00E90DD6">
        <w:rPr>
          <w:sz w:val="24"/>
          <w:szCs w:val="24"/>
        </w:rPr>
        <w:t xml:space="preserve"> sygdom. Det er vist, at hos patienter med </w:t>
      </w:r>
      <w:proofErr w:type="spellStart"/>
      <w:r w:rsidRPr="00E90DD6">
        <w:rPr>
          <w:sz w:val="24"/>
          <w:szCs w:val="24"/>
        </w:rPr>
        <w:t>ileostomi</w:t>
      </w:r>
      <w:proofErr w:type="spellEnd"/>
      <w:r w:rsidRPr="00E90DD6">
        <w:rPr>
          <w:sz w:val="24"/>
          <w:szCs w:val="24"/>
        </w:rPr>
        <w:t xml:space="preserve"> findes ca. 30-40 % af det frigjorte </w:t>
      </w:r>
      <w:proofErr w:type="spellStart"/>
      <w:r w:rsidRPr="00E90DD6">
        <w:rPr>
          <w:sz w:val="24"/>
          <w:szCs w:val="24"/>
        </w:rPr>
        <w:t>budesonid</w:t>
      </w:r>
      <w:proofErr w:type="spellEnd"/>
      <w:r w:rsidRPr="00E90DD6">
        <w:rPr>
          <w:sz w:val="24"/>
          <w:szCs w:val="24"/>
        </w:rPr>
        <w:t xml:space="preserve"> stadig i </w:t>
      </w:r>
      <w:proofErr w:type="spellStart"/>
      <w:r w:rsidRPr="00E90DD6">
        <w:rPr>
          <w:sz w:val="24"/>
          <w:szCs w:val="24"/>
        </w:rPr>
        <w:t>ileostomiposen</w:t>
      </w:r>
      <w:proofErr w:type="spellEnd"/>
      <w:r w:rsidRPr="00E90DD6">
        <w:rPr>
          <w:sz w:val="24"/>
          <w:szCs w:val="24"/>
        </w:rPr>
        <w:t xml:space="preserve">, hvilket indikerer, at en betydelig mængde </w:t>
      </w:r>
      <w:proofErr w:type="spellStart"/>
      <w:r w:rsidRPr="00E90DD6">
        <w:rPr>
          <w:sz w:val="24"/>
          <w:szCs w:val="24"/>
        </w:rPr>
        <w:t>budesonid</w:t>
      </w:r>
      <w:proofErr w:type="spellEnd"/>
      <w:r w:rsidRPr="00E90DD6">
        <w:rPr>
          <w:sz w:val="24"/>
          <w:szCs w:val="24"/>
        </w:rPr>
        <w:t xml:space="preserve"> fra </w:t>
      </w:r>
      <w:proofErr w:type="spellStart"/>
      <w:r w:rsidRPr="00E90DD6">
        <w:rPr>
          <w:sz w:val="24"/>
          <w:szCs w:val="24"/>
        </w:rPr>
        <w:t>budesonid</w:t>
      </w:r>
      <w:proofErr w:type="spellEnd"/>
      <w:r w:rsidRPr="00E90DD6">
        <w:rPr>
          <w:sz w:val="24"/>
          <w:szCs w:val="24"/>
        </w:rPr>
        <w:t xml:space="preserve"> 3 mg</w:t>
      </w:r>
      <w:r w:rsidR="003D33A4">
        <w:rPr>
          <w:sz w:val="24"/>
          <w:szCs w:val="24"/>
        </w:rPr>
        <w:t xml:space="preserve"> </w:t>
      </w:r>
      <w:r w:rsidRPr="00E90DD6">
        <w:rPr>
          <w:sz w:val="24"/>
          <w:szCs w:val="24"/>
        </w:rPr>
        <w:t xml:space="preserve">kapsler normalt vil blive overført til </w:t>
      </w:r>
      <w:proofErr w:type="spellStart"/>
      <w:r w:rsidRPr="00E90DD6">
        <w:rPr>
          <w:sz w:val="24"/>
          <w:szCs w:val="24"/>
        </w:rPr>
        <w:t>colon</w:t>
      </w:r>
      <w:proofErr w:type="spellEnd"/>
      <w:r w:rsidRPr="00E90DD6">
        <w:rPr>
          <w:sz w:val="24"/>
          <w:szCs w:val="24"/>
        </w:rPr>
        <w:t>.</w:t>
      </w:r>
    </w:p>
    <w:p w14:paraId="7ED37638" w14:textId="77777777" w:rsidR="00E647D4" w:rsidRPr="00E90DD6" w:rsidRDefault="00E647D4" w:rsidP="00841917">
      <w:pPr>
        <w:ind w:left="851"/>
        <w:rPr>
          <w:sz w:val="24"/>
          <w:szCs w:val="24"/>
        </w:rPr>
      </w:pPr>
    </w:p>
    <w:p w14:paraId="116B441F" w14:textId="77777777" w:rsidR="00E647D4" w:rsidRPr="00E90DD6" w:rsidRDefault="00E647D4" w:rsidP="00841917">
      <w:pPr>
        <w:ind w:left="851"/>
        <w:rPr>
          <w:sz w:val="24"/>
          <w:szCs w:val="24"/>
        </w:rPr>
      </w:pPr>
      <w:r w:rsidRPr="00E90DD6">
        <w:rPr>
          <w:sz w:val="24"/>
          <w:szCs w:val="24"/>
        </w:rPr>
        <w:t xml:space="preserve">Samtidig indtagelse af føde kan forsinke frigørelsen af granulatet fra maven med 2-3 timer, hvilket forlænger </w:t>
      </w:r>
      <w:proofErr w:type="spellStart"/>
      <w:r w:rsidRPr="00E90DD6">
        <w:rPr>
          <w:sz w:val="24"/>
          <w:szCs w:val="24"/>
        </w:rPr>
        <w:t>latensfasen</w:t>
      </w:r>
      <w:proofErr w:type="spellEnd"/>
      <w:r w:rsidRPr="00E90DD6">
        <w:rPr>
          <w:sz w:val="24"/>
          <w:szCs w:val="24"/>
        </w:rPr>
        <w:t xml:space="preserve"> med ca. 4-6 timer, uden ændring i absorptionsgraden.</w:t>
      </w:r>
    </w:p>
    <w:p w14:paraId="5B2123D0" w14:textId="77777777" w:rsidR="00E647D4" w:rsidRPr="00787AE5" w:rsidRDefault="00E647D4" w:rsidP="00841917">
      <w:pPr>
        <w:ind w:left="851"/>
        <w:rPr>
          <w:sz w:val="24"/>
          <w:szCs w:val="24"/>
        </w:rPr>
      </w:pPr>
    </w:p>
    <w:p w14:paraId="2167D880" w14:textId="77777777" w:rsidR="00E647D4" w:rsidRPr="003D33A4" w:rsidRDefault="00E647D4" w:rsidP="00841917">
      <w:pPr>
        <w:ind w:left="851"/>
        <w:rPr>
          <w:sz w:val="24"/>
          <w:szCs w:val="24"/>
          <w:u w:val="single"/>
        </w:rPr>
      </w:pPr>
      <w:r w:rsidRPr="003D33A4">
        <w:rPr>
          <w:sz w:val="24"/>
          <w:szCs w:val="24"/>
          <w:u w:val="single"/>
        </w:rPr>
        <w:t>Fordeling</w:t>
      </w:r>
    </w:p>
    <w:p w14:paraId="27E97C98" w14:textId="77777777" w:rsidR="00E647D4" w:rsidRPr="00E90DD6" w:rsidRDefault="00E647D4" w:rsidP="00841917">
      <w:pPr>
        <w:ind w:left="851"/>
        <w:rPr>
          <w:sz w:val="24"/>
          <w:szCs w:val="24"/>
        </w:rPr>
      </w:pPr>
      <w:proofErr w:type="spellStart"/>
      <w:r w:rsidRPr="00E90DD6">
        <w:rPr>
          <w:sz w:val="24"/>
          <w:szCs w:val="24"/>
        </w:rPr>
        <w:t>Budesonid</w:t>
      </w:r>
      <w:proofErr w:type="spellEnd"/>
      <w:r w:rsidRPr="00E90DD6">
        <w:rPr>
          <w:sz w:val="24"/>
          <w:szCs w:val="24"/>
        </w:rPr>
        <w:t xml:space="preserve"> har et højt fordelingsvolumen (ca. 3 l/kg). Den gennemsnitlige plasmaprotein-binding er mellem 85 og 90 %.</w:t>
      </w:r>
    </w:p>
    <w:p w14:paraId="435DA1BE" w14:textId="77777777" w:rsidR="00E647D4" w:rsidRPr="00E90DD6" w:rsidRDefault="00E647D4" w:rsidP="00841917">
      <w:pPr>
        <w:ind w:left="851"/>
        <w:rPr>
          <w:sz w:val="24"/>
          <w:szCs w:val="24"/>
        </w:rPr>
      </w:pPr>
    </w:p>
    <w:p w14:paraId="7A12DDA5" w14:textId="77777777" w:rsidR="00E647D4" w:rsidRPr="003D33A4" w:rsidRDefault="00E647D4" w:rsidP="00841917">
      <w:pPr>
        <w:ind w:left="851"/>
        <w:rPr>
          <w:sz w:val="24"/>
          <w:szCs w:val="24"/>
          <w:u w:val="single"/>
        </w:rPr>
      </w:pPr>
      <w:r w:rsidRPr="003D33A4">
        <w:rPr>
          <w:sz w:val="24"/>
          <w:szCs w:val="24"/>
          <w:u w:val="single"/>
        </w:rPr>
        <w:t>Biotransformation</w:t>
      </w:r>
    </w:p>
    <w:p w14:paraId="40CE0B29" w14:textId="77777777" w:rsidR="00E647D4" w:rsidRPr="00E90DD6" w:rsidRDefault="00E647D4" w:rsidP="00841917">
      <w:pPr>
        <w:ind w:left="851"/>
        <w:rPr>
          <w:sz w:val="24"/>
          <w:szCs w:val="24"/>
        </w:rPr>
      </w:pPr>
      <w:proofErr w:type="spellStart"/>
      <w:r w:rsidRPr="00E90DD6">
        <w:rPr>
          <w:sz w:val="24"/>
          <w:szCs w:val="24"/>
        </w:rPr>
        <w:t>Budesonid</w:t>
      </w:r>
      <w:proofErr w:type="spellEnd"/>
      <w:r w:rsidRPr="00E90DD6">
        <w:rPr>
          <w:sz w:val="24"/>
          <w:szCs w:val="24"/>
        </w:rPr>
        <w:t xml:space="preserve"> gennemgår omfattende biotransformation i leveren (ca. 90 %) til metabolitter med lav </w:t>
      </w:r>
      <w:proofErr w:type="spellStart"/>
      <w:r w:rsidRPr="00E90DD6">
        <w:rPr>
          <w:sz w:val="24"/>
          <w:szCs w:val="24"/>
        </w:rPr>
        <w:t>glukokortikosteroidaktivitet</w:t>
      </w:r>
      <w:proofErr w:type="spellEnd"/>
      <w:r w:rsidRPr="00E90DD6">
        <w:rPr>
          <w:sz w:val="24"/>
          <w:szCs w:val="24"/>
        </w:rPr>
        <w:t xml:space="preserve">. </w:t>
      </w:r>
      <w:proofErr w:type="spellStart"/>
      <w:r w:rsidRPr="00E90DD6">
        <w:rPr>
          <w:sz w:val="24"/>
          <w:szCs w:val="24"/>
        </w:rPr>
        <w:t>Glukokortikosteroidaktiviteten</w:t>
      </w:r>
      <w:proofErr w:type="spellEnd"/>
      <w:r w:rsidRPr="00E90DD6">
        <w:rPr>
          <w:sz w:val="24"/>
          <w:szCs w:val="24"/>
        </w:rPr>
        <w:t xml:space="preserve"> af hoved-metabolitterne, 6β-</w:t>
      </w:r>
      <w:proofErr w:type="spellStart"/>
      <w:r w:rsidRPr="00E90DD6">
        <w:rPr>
          <w:sz w:val="24"/>
          <w:szCs w:val="24"/>
        </w:rPr>
        <w:t>hydroxybudesonid</w:t>
      </w:r>
      <w:proofErr w:type="spellEnd"/>
      <w:r w:rsidRPr="00E90DD6">
        <w:rPr>
          <w:sz w:val="24"/>
          <w:szCs w:val="24"/>
        </w:rPr>
        <w:t xml:space="preserve"> og 16α-</w:t>
      </w:r>
      <w:proofErr w:type="spellStart"/>
      <w:r w:rsidRPr="00E90DD6">
        <w:rPr>
          <w:sz w:val="24"/>
          <w:szCs w:val="24"/>
        </w:rPr>
        <w:t>hydroxyprednisolon</w:t>
      </w:r>
      <w:proofErr w:type="spellEnd"/>
      <w:r w:rsidRPr="00E90DD6">
        <w:rPr>
          <w:sz w:val="24"/>
          <w:szCs w:val="24"/>
        </w:rPr>
        <w:t xml:space="preserve">, er mindre end 1 % af </w:t>
      </w:r>
      <w:proofErr w:type="spellStart"/>
      <w:r w:rsidRPr="00E90DD6">
        <w:rPr>
          <w:sz w:val="24"/>
          <w:szCs w:val="24"/>
        </w:rPr>
        <w:t>budesonids</w:t>
      </w:r>
      <w:proofErr w:type="spellEnd"/>
      <w:r w:rsidRPr="00E90DD6">
        <w:rPr>
          <w:sz w:val="24"/>
          <w:szCs w:val="24"/>
        </w:rPr>
        <w:t>.</w:t>
      </w:r>
    </w:p>
    <w:p w14:paraId="3B8F066D" w14:textId="77777777" w:rsidR="00E647D4" w:rsidRPr="00E90DD6" w:rsidRDefault="00E647D4" w:rsidP="00841917">
      <w:pPr>
        <w:ind w:left="851"/>
        <w:rPr>
          <w:sz w:val="24"/>
          <w:szCs w:val="24"/>
        </w:rPr>
      </w:pPr>
    </w:p>
    <w:p w14:paraId="78F657F7" w14:textId="77777777" w:rsidR="00E647D4" w:rsidRPr="003D33A4" w:rsidRDefault="00E647D4" w:rsidP="00841917">
      <w:pPr>
        <w:ind w:left="851"/>
        <w:rPr>
          <w:sz w:val="24"/>
          <w:szCs w:val="24"/>
          <w:u w:val="single"/>
        </w:rPr>
      </w:pPr>
      <w:r w:rsidRPr="003D33A4">
        <w:rPr>
          <w:sz w:val="24"/>
          <w:szCs w:val="24"/>
          <w:u w:val="single"/>
        </w:rPr>
        <w:t>Elimination</w:t>
      </w:r>
    </w:p>
    <w:p w14:paraId="1D998CCD" w14:textId="77777777" w:rsidR="00E647D4" w:rsidRPr="00E90DD6" w:rsidRDefault="00E647D4" w:rsidP="00841917">
      <w:pPr>
        <w:ind w:left="851"/>
        <w:rPr>
          <w:sz w:val="24"/>
          <w:szCs w:val="24"/>
        </w:rPr>
      </w:pPr>
      <w:r w:rsidRPr="00E90DD6">
        <w:rPr>
          <w:sz w:val="24"/>
          <w:szCs w:val="24"/>
        </w:rPr>
        <w:t xml:space="preserve">Den gennemsnitlige eliminationshalveringstid er ca. 3-4 timer. Den systemiske tilgængelighed hos raske forsøgspersoner såvel som hos fastende patienter med </w:t>
      </w:r>
      <w:proofErr w:type="spellStart"/>
      <w:r w:rsidRPr="00E90DD6">
        <w:rPr>
          <w:sz w:val="24"/>
          <w:szCs w:val="24"/>
        </w:rPr>
        <w:t>Crohns</w:t>
      </w:r>
      <w:proofErr w:type="spellEnd"/>
      <w:r w:rsidRPr="00E90DD6">
        <w:rPr>
          <w:sz w:val="24"/>
          <w:szCs w:val="24"/>
        </w:rPr>
        <w:t xml:space="preserve"> sygdom er ca. 9-13 %. </w:t>
      </w:r>
      <w:proofErr w:type="spellStart"/>
      <w:r w:rsidRPr="00E90DD6">
        <w:rPr>
          <w:sz w:val="24"/>
          <w:szCs w:val="24"/>
        </w:rPr>
        <w:t>Clearancehastigheden</w:t>
      </w:r>
      <w:proofErr w:type="spellEnd"/>
      <w:r w:rsidRPr="00E90DD6">
        <w:rPr>
          <w:sz w:val="24"/>
          <w:szCs w:val="24"/>
        </w:rPr>
        <w:t xml:space="preserve"> er ca. 10-15 l/min for </w:t>
      </w:r>
      <w:proofErr w:type="spellStart"/>
      <w:r w:rsidRPr="00E90DD6">
        <w:rPr>
          <w:sz w:val="24"/>
          <w:szCs w:val="24"/>
        </w:rPr>
        <w:t>budesonid</w:t>
      </w:r>
      <w:proofErr w:type="spellEnd"/>
      <w:r w:rsidRPr="00E90DD6">
        <w:rPr>
          <w:sz w:val="24"/>
          <w:szCs w:val="24"/>
        </w:rPr>
        <w:t>, bestemt ved HPLC-baserede metoder.</w:t>
      </w:r>
    </w:p>
    <w:p w14:paraId="26BB67DF" w14:textId="77777777" w:rsidR="00E647D4" w:rsidRPr="00E90DD6" w:rsidRDefault="00E647D4" w:rsidP="00841917">
      <w:pPr>
        <w:ind w:left="851"/>
        <w:rPr>
          <w:sz w:val="24"/>
          <w:szCs w:val="24"/>
        </w:rPr>
      </w:pPr>
    </w:p>
    <w:p w14:paraId="7E8C8FDA" w14:textId="77777777" w:rsidR="00E647D4" w:rsidRPr="003D33A4" w:rsidRDefault="00E647D4" w:rsidP="00841917">
      <w:pPr>
        <w:ind w:left="851"/>
        <w:rPr>
          <w:sz w:val="24"/>
          <w:szCs w:val="24"/>
          <w:u w:val="single"/>
        </w:rPr>
      </w:pPr>
      <w:r w:rsidRPr="003D33A4">
        <w:rPr>
          <w:sz w:val="24"/>
          <w:szCs w:val="24"/>
          <w:u w:val="single"/>
        </w:rPr>
        <w:t xml:space="preserve">Særlige patientgrupper </w:t>
      </w:r>
    </w:p>
    <w:p w14:paraId="7177A716" w14:textId="77777777" w:rsidR="00E647D4" w:rsidRPr="00E90DD6" w:rsidRDefault="00E647D4" w:rsidP="00841917">
      <w:pPr>
        <w:ind w:left="851"/>
        <w:rPr>
          <w:i/>
          <w:sz w:val="24"/>
          <w:szCs w:val="24"/>
        </w:rPr>
      </w:pPr>
    </w:p>
    <w:p w14:paraId="1651F1CD" w14:textId="77777777" w:rsidR="00E647D4" w:rsidRPr="00E90DD6" w:rsidRDefault="00E647D4" w:rsidP="00841917">
      <w:pPr>
        <w:ind w:left="851"/>
        <w:rPr>
          <w:i/>
          <w:sz w:val="24"/>
          <w:szCs w:val="24"/>
        </w:rPr>
      </w:pPr>
      <w:r w:rsidRPr="00E90DD6">
        <w:rPr>
          <w:i/>
          <w:sz w:val="24"/>
          <w:szCs w:val="24"/>
        </w:rPr>
        <w:t>Leversygdomme</w:t>
      </w:r>
    </w:p>
    <w:p w14:paraId="60B61438" w14:textId="04540CE2" w:rsidR="00E647D4" w:rsidRPr="00E90DD6" w:rsidRDefault="00E647D4" w:rsidP="00841917">
      <w:pPr>
        <w:ind w:left="851"/>
        <w:rPr>
          <w:sz w:val="24"/>
          <w:szCs w:val="24"/>
        </w:rPr>
      </w:pPr>
      <w:r w:rsidRPr="00E90DD6">
        <w:rPr>
          <w:sz w:val="24"/>
          <w:szCs w:val="24"/>
        </w:rPr>
        <w:t xml:space="preserve">En væsentlig del af </w:t>
      </w:r>
      <w:proofErr w:type="spellStart"/>
      <w:r w:rsidRPr="00E90DD6">
        <w:rPr>
          <w:sz w:val="24"/>
          <w:szCs w:val="24"/>
        </w:rPr>
        <w:t>budesonid</w:t>
      </w:r>
      <w:proofErr w:type="spellEnd"/>
      <w:r w:rsidRPr="00E90DD6">
        <w:rPr>
          <w:sz w:val="24"/>
          <w:szCs w:val="24"/>
        </w:rPr>
        <w:t xml:space="preserve"> </w:t>
      </w:r>
      <w:proofErr w:type="spellStart"/>
      <w:r w:rsidRPr="00E90DD6">
        <w:rPr>
          <w:sz w:val="24"/>
          <w:szCs w:val="24"/>
        </w:rPr>
        <w:t>metaboliseres</w:t>
      </w:r>
      <w:proofErr w:type="spellEnd"/>
      <w:r w:rsidRPr="00E90DD6">
        <w:rPr>
          <w:sz w:val="24"/>
          <w:szCs w:val="24"/>
        </w:rPr>
        <w:t xml:space="preserve"> i leveren. Den systemiske eksponering af </w:t>
      </w:r>
      <w:proofErr w:type="spellStart"/>
      <w:r w:rsidRPr="00E90DD6">
        <w:rPr>
          <w:sz w:val="24"/>
          <w:szCs w:val="24"/>
        </w:rPr>
        <w:t>budesonid</w:t>
      </w:r>
      <w:proofErr w:type="spellEnd"/>
      <w:r w:rsidRPr="00E90DD6">
        <w:rPr>
          <w:sz w:val="24"/>
          <w:szCs w:val="24"/>
        </w:rPr>
        <w:t xml:space="preserve"> kan være øget hos patienter med nedsat leverfunktion på grund af et fald i </w:t>
      </w:r>
      <w:proofErr w:type="spellStart"/>
      <w:r w:rsidRPr="00E90DD6">
        <w:rPr>
          <w:sz w:val="24"/>
          <w:szCs w:val="24"/>
        </w:rPr>
        <w:t>budesonid</w:t>
      </w:r>
      <w:proofErr w:type="spellEnd"/>
      <w:r w:rsidRPr="00E90DD6">
        <w:rPr>
          <w:sz w:val="24"/>
          <w:szCs w:val="24"/>
        </w:rPr>
        <w:t xml:space="preserve"> metabolisme via CYP3A4. Det afhænger af typen og sværhedsgraden af leversygdom.</w:t>
      </w:r>
    </w:p>
    <w:p w14:paraId="4432A4E0" w14:textId="77777777" w:rsidR="00E647D4" w:rsidRPr="00E90DD6" w:rsidRDefault="00E647D4" w:rsidP="00841917">
      <w:pPr>
        <w:ind w:left="851"/>
        <w:rPr>
          <w:sz w:val="24"/>
          <w:szCs w:val="24"/>
        </w:rPr>
      </w:pPr>
    </w:p>
    <w:p w14:paraId="65EBFADE" w14:textId="77777777" w:rsidR="00E647D4" w:rsidRPr="00E90DD6" w:rsidRDefault="00E647D4" w:rsidP="00841917">
      <w:pPr>
        <w:ind w:left="851"/>
        <w:rPr>
          <w:i/>
          <w:color w:val="000000"/>
          <w:sz w:val="24"/>
          <w:szCs w:val="24"/>
        </w:rPr>
      </w:pPr>
      <w:r w:rsidRPr="00E90DD6">
        <w:rPr>
          <w:i/>
          <w:color w:val="000000"/>
          <w:sz w:val="24"/>
          <w:szCs w:val="24"/>
        </w:rPr>
        <w:t>Pædiatriske patienter</w:t>
      </w:r>
    </w:p>
    <w:p w14:paraId="2903FA28" w14:textId="77777777" w:rsidR="00E647D4" w:rsidRPr="00E90DD6" w:rsidRDefault="00E647D4" w:rsidP="00841917">
      <w:pPr>
        <w:ind w:left="851"/>
        <w:rPr>
          <w:color w:val="000000"/>
          <w:sz w:val="24"/>
          <w:szCs w:val="24"/>
        </w:rPr>
      </w:pPr>
      <w:r w:rsidRPr="00E90DD6">
        <w:rPr>
          <w:color w:val="000000"/>
          <w:sz w:val="24"/>
          <w:szCs w:val="24"/>
        </w:rPr>
        <w:t xml:space="preserve">Farmakokinetikken af </w:t>
      </w:r>
      <w:proofErr w:type="spellStart"/>
      <w:r w:rsidRPr="00E90DD6">
        <w:rPr>
          <w:color w:val="000000"/>
          <w:sz w:val="24"/>
          <w:szCs w:val="24"/>
        </w:rPr>
        <w:t>budesonid</w:t>
      </w:r>
      <w:proofErr w:type="spellEnd"/>
      <w:r w:rsidRPr="00E90DD6">
        <w:rPr>
          <w:color w:val="000000"/>
          <w:sz w:val="24"/>
          <w:szCs w:val="24"/>
        </w:rPr>
        <w:t xml:space="preserve"> blev evalueret hos 12 pædiatriske patienter med </w:t>
      </w:r>
      <w:proofErr w:type="spellStart"/>
      <w:r w:rsidRPr="00E90DD6">
        <w:rPr>
          <w:color w:val="000000"/>
          <w:sz w:val="24"/>
          <w:szCs w:val="24"/>
        </w:rPr>
        <w:t>Crohns</w:t>
      </w:r>
      <w:proofErr w:type="spellEnd"/>
      <w:r w:rsidRPr="00E90DD6">
        <w:rPr>
          <w:color w:val="000000"/>
          <w:sz w:val="24"/>
          <w:szCs w:val="24"/>
        </w:rPr>
        <w:t xml:space="preserve"> sygdom (alder: 5 til 15 år). Efter flere doser af </w:t>
      </w:r>
      <w:proofErr w:type="spellStart"/>
      <w:r w:rsidRPr="00E90DD6">
        <w:rPr>
          <w:color w:val="000000"/>
          <w:sz w:val="24"/>
          <w:szCs w:val="24"/>
        </w:rPr>
        <w:t>budesonid</w:t>
      </w:r>
      <w:proofErr w:type="spellEnd"/>
      <w:r w:rsidRPr="00E90DD6">
        <w:rPr>
          <w:color w:val="000000"/>
          <w:sz w:val="24"/>
          <w:szCs w:val="24"/>
        </w:rPr>
        <w:t xml:space="preserve"> (3 x 3 mg </w:t>
      </w:r>
      <w:proofErr w:type="spellStart"/>
      <w:r w:rsidRPr="00E90DD6">
        <w:rPr>
          <w:color w:val="000000"/>
          <w:sz w:val="24"/>
          <w:szCs w:val="24"/>
        </w:rPr>
        <w:t>budesonid</w:t>
      </w:r>
      <w:proofErr w:type="spellEnd"/>
      <w:r w:rsidRPr="00E90DD6">
        <w:rPr>
          <w:color w:val="000000"/>
          <w:sz w:val="24"/>
          <w:szCs w:val="24"/>
        </w:rPr>
        <w:t xml:space="preserve"> i en uge), var den gennemsnitlige AUC af </w:t>
      </w:r>
      <w:proofErr w:type="spellStart"/>
      <w:r w:rsidRPr="00E90DD6">
        <w:rPr>
          <w:color w:val="000000"/>
          <w:sz w:val="24"/>
          <w:szCs w:val="24"/>
        </w:rPr>
        <w:t>budesonid</w:t>
      </w:r>
      <w:proofErr w:type="spellEnd"/>
      <w:r w:rsidRPr="00E90DD6">
        <w:rPr>
          <w:color w:val="000000"/>
          <w:sz w:val="24"/>
          <w:szCs w:val="24"/>
        </w:rPr>
        <w:t xml:space="preserve"> i løbet af dosisintervallet omkring 7 </w:t>
      </w:r>
      <w:proofErr w:type="spellStart"/>
      <w:r w:rsidRPr="00E90DD6">
        <w:rPr>
          <w:color w:val="000000"/>
          <w:sz w:val="24"/>
          <w:szCs w:val="24"/>
        </w:rPr>
        <w:t>ng</w:t>
      </w:r>
      <w:proofErr w:type="spellEnd"/>
      <w:r w:rsidRPr="00E90DD6">
        <w:rPr>
          <w:color w:val="000000"/>
          <w:sz w:val="24"/>
          <w:szCs w:val="24"/>
        </w:rPr>
        <w:t xml:space="preserve"> t/ml, og </w:t>
      </w:r>
      <w:proofErr w:type="spellStart"/>
      <w:r w:rsidRPr="00E90DD6">
        <w:rPr>
          <w:color w:val="000000"/>
          <w:sz w:val="24"/>
          <w:szCs w:val="24"/>
        </w:rPr>
        <w:t>C</w:t>
      </w:r>
      <w:r w:rsidRPr="00E90DD6">
        <w:rPr>
          <w:color w:val="000000"/>
          <w:sz w:val="24"/>
          <w:szCs w:val="24"/>
          <w:vertAlign w:val="subscript"/>
        </w:rPr>
        <w:t>max</w:t>
      </w:r>
      <w:proofErr w:type="spellEnd"/>
      <w:r w:rsidRPr="00E90DD6">
        <w:rPr>
          <w:color w:val="000000"/>
          <w:sz w:val="24"/>
          <w:szCs w:val="24"/>
        </w:rPr>
        <w:t xml:space="preserve"> ca. 2 </w:t>
      </w:r>
      <w:proofErr w:type="spellStart"/>
      <w:r w:rsidRPr="00E90DD6">
        <w:rPr>
          <w:color w:val="000000"/>
          <w:sz w:val="24"/>
          <w:szCs w:val="24"/>
        </w:rPr>
        <w:t>ng</w:t>
      </w:r>
      <w:proofErr w:type="spellEnd"/>
      <w:r w:rsidRPr="00E90DD6">
        <w:rPr>
          <w:color w:val="000000"/>
          <w:sz w:val="24"/>
          <w:szCs w:val="24"/>
        </w:rPr>
        <w:t xml:space="preserve">/ml. Fordeling af oral </w:t>
      </w:r>
      <w:proofErr w:type="spellStart"/>
      <w:r w:rsidRPr="00E90DD6">
        <w:rPr>
          <w:color w:val="000000"/>
          <w:sz w:val="24"/>
          <w:szCs w:val="24"/>
        </w:rPr>
        <w:t>budesonid</w:t>
      </w:r>
      <w:proofErr w:type="spellEnd"/>
      <w:r w:rsidRPr="00E90DD6">
        <w:rPr>
          <w:color w:val="000000"/>
          <w:sz w:val="24"/>
          <w:szCs w:val="24"/>
        </w:rPr>
        <w:t xml:space="preserve"> (3 mg, enkeltdosis) hos pædiatriske patienter var tilsvarende voksnes.</w:t>
      </w:r>
    </w:p>
    <w:p w14:paraId="2F0ABEF0" w14:textId="77777777" w:rsidR="009260DE" w:rsidRPr="00E90DD6" w:rsidRDefault="009260DE" w:rsidP="009260DE">
      <w:pPr>
        <w:tabs>
          <w:tab w:val="left" w:pos="851"/>
        </w:tabs>
        <w:ind w:left="851"/>
        <w:rPr>
          <w:sz w:val="24"/>
          <w:szCs w:val="24"/>
        </w:rPr>
      </w:pPr>
    </w:p>
    <w:p w14:paraId="4A4BCAD0" w14:textId="77777777" w:rsidR="009260DE" w:rsidRPr="00E90DD6" w:rsidRDefault="009260DE" w:rsidP="009260DE">
      <w:pPr>
        <w:tabs>
          <w:tab w:val="left" w:pos="851"/>
        </w:tabs>
        <w:ind w:left="851" w:hanging="851"/>
        <w:rPr>
          <w:b/>
          <w:sz w:val="24"/>
          <w:szCs w:val="24"/>
        </w:rPr>
      </w:pPr>
      <w:r w:rsidRPr="00E90DD6">
        <w:rPr>
          <w:b/>
          <w:sz w:val="24"/>
          <w:szCs w:val="24"/>
        </w:rPr>
        <w:t>5.3</w:t>
      </w:r>
      <w:r w:rsidRPr="00E90DD6">
        <w:rPr>
          <w:b/>
          <w:sz w:val="24"/>
          <w:szCs w:val="24"/>
        </w:rPr>
        <w:tab/>
        <w:t>Prækliniske sikkerhedsdata</w:t>
      </w:r>
    </w:p>
    <w:p w14:paraId="6DCC5B7F" w14:textId="77777777" w:rsidR="00E647D4" w:rsidRPr="00E90DD6" w:rsidRDefault="00E647D4" w:rsidP="00841917">
      <w:pPr>
        <w:ind w:left="851"/>
        <w:rPr>
          <w:sz w:val="24"/>
          <w:szCs w:val="24"/>
          <w:lang w:eastAsia="da-DK"/>
        </w:rPr>
      </w:pPr>
      <w:r w:rsidRPr="00E90DD6">
        <w:rPr>
          <w:sz w:val="24"/>
          <w:szCs w:val="24"/>
        </w:rPr>
        <w:t xml:space="preserve">Prækliniske data i akutte, subkroniske og kroniske toksikologiske undersøgelser med </w:t>
      </w:r>
      <w:proofErr w:type="spellStart"/>
      <w:r w:rsidRPr="00E90DD6">
        <w:rPr>
          <w:sz w:val="24"/>
          <w:szCs w:val="24"/>
        </w:rPr>
        <w:t>budesonid</w:t>
      </w:r>
      <w:proofErr w:type="spellEnd"/>
      <w:r w:rsidRPr="00E90DD6">
        <w:rPr>
          <w:sz w:val="24"/>
          <w:szCs w:val="24"/>
        </w:rPr>
        <w:t xml:space="preserve"> har vist atrofi af </w:t>
      </w:r>
      <w:proofErr w:type="spellStart"/>
      <w:r w:rsidRPr="00E90DD6">
        <w:rPr>
          <w:sz w:val="24"/>
          <w:szCs w:val="24"/>
        </w:rPr>
        <w:t>thymus</w:t>
      </w:r>
      <w:proofErr w:type="spellEnd"/>
      <w:r w:rsidRPr="00E90DD6">
        <w:rPr>
          <w:sz w:val="24"/>
          <w:szCs w:val="24"/>
        </w:rPr>
        <w:t xml:space="preserve"> og binyrebarken og en reduktion især af lymfocytter. Disse virkninger var mindre udprægede eller i samme størrelsesorden som observeret med andre </w:t>
      </w:r>
      <w:proofErr w:type="spellStart"/>
      <w:r w:rsidRPr="00E90DD6">
        <w:rPr>
          <w:sz w:val="24"/>
          <w:szCs w:val="24"/>
        </w:rPr>
        <w:t>glukokortikosteroider</w:t>
      </w:r>
      <w:proofErr w:type="spellEnd"/>
      <w:r w:rsidRPr="00E90DD6">
        <w:rPr>
          <w:sz w:val="24"/>
          <w:szCs w:val="24"/>
        </w:rPr>
        <w:t xml:space="preserve">. Ligesom med andre </w:t>
      </w:r>
      <w:proofErr w:type="spellStart"/>
      <w:r w:rsidRPr="00E90DD6">
        <w:rPr>
          <w:sz w:val="24"/>
          <w:szCs w:val="24"/>
        </w:rPr>
        <w:t>glukokortikosteroider</w:t>
      </w:r>
      <w:proofErr w:type="spellEnd"/>
      <w:r w:rsidRPr="00E90DD6">
        <w:rPr>
          <w:sz w:val="24"/>
          <w:szCs w:val="24"/>
        </w:rPr>
        <w:t xml:space="preserve"> og afhængig af dosis, varighed og afhængig af sygdommene, kan disse steroidvirkninger også have betydning for mennesker. </w:t>
      </w:r>
    </w:p>
    <w:p w14:paraId="53DEF7A5" w14:textId="77777777" w:rsidR="00E647D4" w:rsidRPr="00E90DD6" w:rsidRDefault="00E647D4" w:rsidP="00841917">
      <w:pPr>
        <w:ind w:left="851"/>
        <w:rPr>
          <w:sz w:val="24"/>
          <w:szCs w:val="24"/>
        </w:rPr>
      </w:pPr>
    </w:p>
    <w:p w14:paraId="2BCF4CFC" w14:textId="77777777" w:rsidR="00E647D4" w:rsidRPr="00E90DD6" w:rsidRDefault="00E647D4" w:rsidP="00841917">
      <w:pPr>
        <w:ind w:left="851"/>
        <w:rPr>
          <w:sz w:val="24"/>
          <w:szCs w:val="24"/>
        </w:rPr>
      </w:pPr>
      <w:proofErr w:type="spellStart"/>
      <w:r w:rsidRPr="00E90DD6">
        <w:rPr>
          <w:sz w:val="24"/>
          <w:szCs w:val="24"/>
        </w:rPr>
        <w:lastRenderedPageBreak/>
        <w:t>Budesonid</w:t>
      </w:r>
      <w:proofErr w:type="spellEnd"/>
      <w:r w:rsidRPr="00E90DD6">
        <w:rPr>
          <w:sz w:val="24"/>
          <w:szCs w:val="24"/>
        </w:rPr>
        <w:t xml:space="preserve"> havde ingen mutagene virkninger i en række </w:t>
      </w:r>
      <w:r w:rsidRPr="00E90DD6">
        <w:rPr>
          <w:i/>
          <w:sz w:val="24"/>
          <w:szCs w:val="24"/>
        </w:rPr>
        <w:t xml:space="preserve">in </w:t>
      </w:r>
      <w:proofErr w:type="spellStart"/>
      <w:r w:rsidRPr="00E90DD6">
        <w:rPr>
          <w:i/>
          <w:sz w:val="24"/>
          <w:szCs w:val="24"/>
        </w:rPr>
        <w:t>vitro</w:t>
      </w:r>
      <w:proofErr w:type="spellEnd"/>
      <w:r w:rsidRPr="00E90DD6">
        <w:rPr>
          <w:i/>
          <w:sz w:val="24"/>
          <w:szCs w:val="24"/>
        </w:rPr>
        <w:t>-</w:t>
      </w:r>
      <w:r w:rsidRPr="00E90DD6">
        <w:rPr>
          <w:sz w:val="24"/>
          <w:szCs w:val="24"/>
        </w:rPr>
        <w:t xml:space="preserve"> og </w:t>
      </w:r>
      <w:r w:rsidRPr="00E90DD6">
        <w:rPr>
          <w:i/>
          <w:sz w:val="24"/>
          <w:szCs w:val="24"/>
        </w:rPr>
        <w:t xml:space="preserve">in </w:t>
      </w:r>
      <w:proofErr w:type="spellStart"/>
      <w:r w:rsidRPr="00E90DD6">
        <w:rPr>
          <w:i/>
          <w:sz w:val="24"/>
          <w:szCs w:val="24"/>
        </w:rPr>
        <w:t>vivo</w:t>
      </w:r>
      <w:proofErr w:type="spellEnd"/>
      <w:r w:rsidRPr="00E90DD6">
        <w:rPr>
          <w:sz w:val="24"/>
          <w:szCs w:val="24"/>
        </w:rPr>
        <w:t>-tests.</w:t>
      </w:r>
    </w:p>
    <w:p w14:paraId="4AC9236E" w14:textId="77777777" w:rsidR="00E647D4" w:rsidRPr="00E90DD6" w:rsidRDefault="00E647D4" w:rsidP="00841917">
      <w:pPr>
        <w:ind w:left="851"/>
        <w:rPr>
          <w:sz w:val="24"/>
          <w:szCs w:val="24"/>
        </w:rPr>
      </w:pPr>
    </w:p>
    <w:p w14:paraId="21612288" w14:textId="49A47AE7" w:rsidR="00E647D4" w:rsidRPr="00E90DD6" w:rsidRDefault="00E647D4" w:rsidP="00841917">
      <w:pPr>
        <w:ind w:left="851"/>
        <w:rPr>
          <w:sz w:val="24"/>
          <w:szCs w:val="24"/>
        </w:rPr>
      </w:pPr>
      <w:r w:rsidRPr="00E90DD6">
        <w:rPr>
          <w:sz w:val="24"/>
          <w:szCs w:val="24"/>
        </w:rPr>
        <w:t xml:space="preserve">Et let øget antal af </w:t>
      </w:r>
      <w:proofErr w:type="spellStart"/>
      <w:r w:rsidRPr="00E90DD6">
        <w:rPr>
          <w:sz w:val="24"/>
          <w:szCs w:val="24"/>
        </w:rPr>
        <w:t>basofile</w:t>
      </w:r>
      <w:proofErr w:type="spellEnd"/>
      <w:r w:rsidRPr="00E90DD6">
        <w:rPr>
          <w:sz w:val="24"/>
          <w:szCs w:val="24"/>
        </w:rPr>
        <w:t xml:space="preserve"> </w:t>
      </w:r>
      <w:proofErr w:type="spellStart"/>
      <w:r w:rsidRPr="00E90DD6">
        <w:rPr>
          <w:sz w:val="24"/>
          <w:szCs w:val="24"/>
        </w:rPr>
        <w:t>hepatiske</w:t>
      </w:r>
      <w:proofErr w:type="spellEnd"/>
      <w:r w:rsidRPr="00E90DD6">
        <w:rPr>
          <w:sz w:val="24"/>
          <w:szCs w:val="24"/>
        </w:rPr>
        <w:t xml:space="preserve"> </w:t>
      </w:r>
      <w:proofErr w:type="spellStart"/>
      <w:r w:rsidRPr="00E90DD6">
        <w:rPr>
          <w:sz w:val="24"/>
          <w:szCs w:val="24"/>
        </w:rPr>
        <w:t>foci</w:t>
      </w:r>
      <w:proofErr w:type="spellEnd"/>
      <w:r w:rsidRPr="00E90DD6">
        <w:rPr>
          <w:sz w:val="24"/>
          <w:szCs w:val="24"/>
        </w:rPr>
        <w:t xml:space="preserve"> blev observeret i undersøgelser over længere tid med </w:t>
      </w:r>
      <w:proofErr w:type="spellStart"/>
      <w:r w:rsidRPr="00E90DD6">
        <w:rPr>
          <w:sz w:val="24"/>
          <w:szCs w:val="24"/>
        </w:rPr>
        <w:t>budesonid</w:t>
      </w:r>
      <w:proofErr w:type="spellEnd"/>
      <w:r w:rsidRPr="00E90DD6">
        <w:rPr>
          <w:sz w:val="24"/>
          <w:szCs w:val="24"/>
        </w:rPr>
        <w:t xml:space="preserve"> i rotter, og i </w:t>
      </w:r>
      <w:proofErr w:type="spellStart"/>
      <w:r w:rsidRPr="00E90DD6">
        <w:rPr>
          <w:sz w:val="24"/>
          <w:szCs w:val="24"/>
        </w:rPr>
        <w:t>cancerogenicitetsundersøgelser</w:t>
      </w:r>
      <w:proofErr w:type="spellEnd"/>
      <w:r w:rsidRPr="00E90DD6">
        <w:rPr>
          <w:sz w:val="24"/>
          <w:szCs w:val="24"/>
        </w:rPr>
        <w:t xml:space="preserve"> blev en øget forekomst af primære </w:t>
      </w:r>
      <w:proofErr w:type="spellStart"/>
      <w:r w:rsidRPr="00E90DD6">
        <w:rPr>
          <w:sz w:val="24"/>
          <w:szCs w:val="24"/>
        </w:rPr>
        <w:t>hepatocellulære</w:t>
      </w:r>
      <w:proofErr w:type="spellEnd"/>
      <w:r w:rsidRPr="00E90DD6">
        <w:rPr>
          <w:sz w:val="24"/>
          <w:szCs w:val="24"/>
        </w:rPr>
        <w:t xml:space="preserve"> neoplasmer, </w:t>
      </w:r>
      <w:proofErr w:type="spellStart"/>
      <w:r w:rsidRPr="00E90DD6">
        <w:rPr>
          <w:sz w:val="24"/>
          <w:szCs w:val="24"/>
        </w:rPr>
        <w:t>astrocytomer</w:t>
      </w:r>
      <w:proofErr w:type="spellEnd"/>
      <w:r w:rsidRPr="00E90DD6">
        <w:rPr>
          <w:sz w:val="24"/>
          <w:szCs w:val="24"/>
        </w:rPr>
        <w:t xml:space="preserve"> (hos hanrotter) og </w:t>
      </w:r>
      <w:proofErr w:type="spellStart"/>
      <w:r w:rsidRPr="00E90DD6">
        <w:rPr>
          <w:sz w:val="24"/>
          <w:szCs w:val="24"/>
        </w:rPr>
        <w:t>mammatumorer</w:t>
      </w:r>
      <w:proofErr w:type="spellEnd"/>
      <w:r w:rsidRPr="00E90DD6">
        <w:rPr>
          <w:sz w:val="24"/>
          <w:szCs w:val="24"/>
        </w:rPr>
        <w:t xml:space="preserve"> (hunrotter) iagttaget. Disse tumorer skyldes sandsynligvis den specifikke steroidreceptor</w:t>
      </w:r>
      <w:r w:rsidR="00F95609">
        <w:rPr>
          <w:sz w:val="24"/>
          <w:szCs w:val="24"/>
        </w:rPr>
        <w:softHyphen/>
      </w:r>
      <w:r w:rsidRPr="00E90DD6">
        <w:rPr>
          <w:sz w:val="24"/>
          <w:szCs w:val="24"/>
        </w:rPr>
        <w:t xml:space="preserve">virkning, den øgede metaboliske byrde på leveren og anabolske virkninger, dvs. virkninger, som også er kendt fra andre </w:t>
      </w:r>
      <w:proofErr w:type="spellStart"/>
      <w:r w:rsidRPr="00E90DD6">
        <w:rPr>
          <w:sz w:val="24"/>
          <w:szCs w:val="24"/>
        </w:rPr>
        <w:t>glukokortikosteroider</w:t>
      </w:r>
      <w:proofErr w:type="spellEnd"/>
      <w:r w:rsidRPr="00E90DD6">
        <w:rPr>
          <w:sz w:val="24"/>
          <w:szCs w:val="24"/>
        </w:rPr>
        <w:t xml:space="preserve"> i rotteundersøgelser og derfor repræsenterer en klassevirkning. Ingen lignende virkninger er nogen sinde blevet observeret for </w:t>
      </w:r>
      <w:proofErr w:type="spellStart"/>
      <w:r w:rsidRPr="00E90DD6">
        <w:rPr>
          <w:sz w:val="24"/>
          <w:szCs w:val="24"/>
        </w:rPr>
        <w:t>budesonid</w:t>
      </w:r>
      <w:proofErr w:type="spellEnd"/>
      <w:r w:rsidRPr="00E90DD6">
        <w:rPr>
          <w:sz w:val="24"/>
          <w:szCs w:val="24"/>
        </w:rPr>
        <w:t xml:space="preserve"> hos mennesker, hverken i kliniske studier eller fra spontane rapporteringer.</w:t>
      </w:r>
    </w:p>
    <w:p w14:paraId="267680A4" w14:textId="77777777" w:rsidR="00E647D4" w:rsidRPr="003D33A4" w:rsidRDefault="00E647D4" w:rsidP="00841917">
      <w:pPr>
        <w:ind w:left="851"/>
        <w:rPr>
          <w:sz w:val="24"/>
          <w:szCs w:val="24"/>
        </w:rPr>
      </w:pPr>
    </w:p>
    <w:p w14:paraId="2B31E720" w14:textId="77777777" w:rsidR="00E647D4" w:rsidRPr="00E90DD6" w:rsidRDefault="00E647D4" w:rsidP="00841917">
      <w:pPr>
        <w:ind w:left="851"/>
        <w:rPr>
          <w:sz w:val="24"/>
          <w:szCs w:val="24"/>
        </w:rPr>
      </w:pPr>
      <w:r w:rsidRPr="00E90DD6">
        <w:rPr>
          <w:sz w:val="24"/>
          <w:szCs w:val="24"/>
        </w:rPr>
        <w:t xml:space="preserve">Generelt har prækliniske data ikke vist nogen særlig fare for mennesker baseret på konventionelle undersøgelser af sikkerhedsfarmakologi, gentagen dosistoksicitet, genotoksicitet og </w:t>
      </w:r>
      <w:proofErr w:type="spellStart"/>
      <w:r w:rsidRPr="00E90DD6">
        <w:rPr>
          <w:sz w:val="24"/>
          <w:szCs w:val="24"/>
        </w:rPr>
        <w:t>carcinogenicitet</w:t>
      </w:r>
      <w:proofErr w:type="spellEnd"/>
      <w:r w:rsidRPr="00E90DD6">
        <w:rPr>
          <w:sz w:val="24"/>
          <w:szCs w:val="24"/>
        </w:rPr>
        <w:t xml:space="preserve">. </w:t>
      </w:r>
    </w:p>
    <w:p w14:paraId="347C7E68" w14:textId="77777777" w:rsidR="00E647D4" w:rsidRPr="00E90DD6" w:rsidRDefault="00E647D4" w:rsidP="00841917">
      <w:pPr>
        <w:ind w:left="851"/>
        <w:rPr>
          <w:sz w:val="24"/>
          <w:szCs w:val="24"/>
        </w:rPr>
      </w:pPr>
    </w:p>
    <w:p w14:paraId="270A3612" w14:textId="77777777" w:rsidR="00E647D4" w:rsidRPr="00E90DD6" w:rsidRDefault="00E647D4" w:rsidP="00841917">
      <w:pPr>
        <w:ind w:left="851"/>
        <w:rPr>
          <w:sz w:val="24"/>
          <w:szCs w:val="24"/>
        </w:rPr>
      </w:pPr>
      <w:r w:rsidRPr="00E90DD6">
        <w:rPr>
          <w:sz w:val="24"/>
          <w:szCs w:val="24"/>
        </w:rPr>
        <w:t xml:space="preserve">Hos drægtige dyr har </w:t>
      </w:r>
      <w:proofErr w:type="spellStart"/>
      <w:r w:rsidRPr="00E90DD6">
        <w:rPr>
          <w:sz w:val="24"/>
          <w:szCs w:val="24"/>
        </w:rPr>
        <w:t>budesonid</w:t>
      </w:r>
      <w:proofErr w:type="spellEnd"/>
      <w:r w:rsidRPr="00E90DD6">
        <w:rPr>
          <w:sz w:val="24"/>
          <w:szCs w:val="24"/>
        </w:rPr>
        <w:t xml:space="preserve">, ligesom andre </w:t>
      </w:r>
      <w:proofErr w:type="spellStart"/>
      <w:r w:rsidRPr="00E90DD6">
        <w:rPr>
          <w:sz w:val="24"/>
          <w:szCs w:val="24"/>
        </w:rPr>
        <w:t>glukokortikosteroider</w:t>
      </w:r>
      <w:proofErr w:type="spellEnd"/>
      <w:r w:rsidRPr="00E90DD6">
        <w:rPr>
          <w:sz w:val="24"/>
          <w:szCs w:val="24"/>
        </w:rPr>
        <w:t>, vist sig at forårsage abnormiteter ved udvikling af fostre. Relevansen af dette for mennesker er ikke fastslået (se også pkt. 4.6).</w:t>
      </w:r>
    </w:p>
    <w:p w14:paraId="03842032" w14:textId="77777777" w:rsidR="009260DE" w:rsidRPr="00E90DD6" w:rsidRDefault="009260DE" w:rsidP="009260DE">
      <w:pPr>
        <w:tabs>
          <w:tab w:val="left" w:pos="851"/>
        </w:tabs>
        <w:ind w:left="851"/>
        <w:rPr>
          <w:sz w:val="24"/>
          <w:szCs w:val="24"/>
        </w:rPr>
      </w:pPr>
    </w:p>
    <w:p w14:paraId="7ED3D5AF" w14:textId="77777777" w:rsidR="009260DE" w:rsidRPr="00E90DD6" w:rsidRDefault="009260DE" w:rsidP="009260DE">
      <w:pPr>
        <w:tabs>
          <w:tab w:val="left" w:pos="851"/>
        </w:tabs>
        <w:ind w:left="851"/>
        <w:rPr>
          <w:sz w:val="24"/>
          <w:szCs w:val="24"/>
        </w:rPr>
      </w:pPr>
    </w:p>
    <w:p w14:paraId="1FB98B45" w14:textId="77777777" w:rsidR="009260DE" w:rsidRPr="00E90DD6" w:rsidRDefault="009260DE" w:rsidP="009260DE">
      <w:pPr>
        <w:tabs>
          <w:tab w:val="left" w:pos="851"/>
        </w:tabs>
        <w:ind w:left="851" w:hanging="851"/>
        <w:rPr>
          <w:b/>
          <w:sz w:val="24"/>
          <w:szCs w:val="24"/>
        </w:rPr>
      </w:pPr>
      <w:r w:rsidRPr="00E90DD6">
        <w:rPr>
          <w:b/>
          <w:sz w:val="24"/>
          <w:szCs w:val="24"/>
        </w:rPr>
        <w:t>6.</w:t>
      </w:r>
      <w:r w:rsidRPr="00E90DD6">
        <w:rPr>
          <w:b/>
          <w:sz w:val="24"/>
          <w:szCs w:val="24"/>
        </w:rPr>
        <w:tab/>
        <w:t>FARMACEUTISKE OPLYSNINGER</w:t>
      </w:r>
    </w:p>
    <w:p w14:paraId="2C2090BD" w14:textId="77777777" w:rsidR="009260DE" w:rsidRPr="00E90DD6" w:rsidRDefault="009260DE" w:rsidP="009260DE">
      <w:pPr>
        <w:tabs>
          <w:tab w:val="left" w:pos="851"/>
        </w:tabs>
        <w:ind w:left="851"/>
        <w:rPr>
          <w:sz w:val="24"/>
          <w:szCs w:val="24"/>
        </w:rPr>
      </w:pPr>
    </w:p>
    <w:p w14:paraId="785D5EC0" w14:textId="77777777" w:rsidR="009260DE" w:rsidRPr="00E90DD6" w:rsidRDefault="009260DE" w:rsidP="009260DE">
      <w:pPr>
        <w:tabs>
          <w:tab w:val="left" w:pos="851"/>
        </w:tabs>
        <w:ind w:left="851" w:hanging="851"/>
        <w:rPr>
          <w:b/>
          <w:sz w:val="24"/>
          <w:szCs w:val="24"/>
        </w:rPr>
      </w:pPr>
      <w:r w:rsidRPr="00E90DD6">
        <w:rPr>
          <w:b/>
          <w:sz w:val="24"/>
          <w:szCs w:val="24"/>
        </w:rPr>
        <w:t>6.1</w:t>
      </w:r>
      <w:r w:rsidRPr="00E90DD6">
        <w:rPr>
          <w:b/>
          <w:sz w:val="24"/>
          <w:szCs w:val="24"/>
        </w:rPr>
        <w:tab/>
        <w:t>Hjælpestoffer</w:t>
      </w:r>
    </w:p>
    <w:p w14:paraId="4A9E21C0" w14:textId="77777777" w:rsidR="003D33A4" w:rsidRDefault="003D33A4" w:rsidP="00841917">
      <w:pPr>
        <w:ind w:left="851"/>
        <w:rPr>
          <w:sz w:val="24"/>
          <w:szCs w:val="24"/>
        </w:rPr>
      </w:pPr>
    </w:p>
    <w:p w14:paraId="111CEEBD" w14:textId="277EE82F" w:rsidR="00E647D4" w:rsidRPr="003D33A4" w:rsidRDefault="00E647D4" w:rsidP="00841917">
      <w:pPr>
        <w:ind w:left="851"/>
        <w:rPr>
          <w:sz w:val="24"/>
          <w:szCs w:val="24"/>
          <w:u w:val="single"/>
          <w:lang w:eastAsia="da-DK"/>
        </w:rPr>
      </w:pPr>
      <w:r w:rsidRPr="003D33A4">
        <w:rPr>
          <w:sz w:val="24"/>
          <w:szCs w:val="24"/>
          <w:u w:val="single"/>
        </w:rPr>
        <w:t>Indhold i kapslerne</w:t>
      </w:r>
    </w:p>
    <w:p w14:paraId="1DFF7EB0" w14:textId="77777777" w:rsidR="00E647D4" w:rsidRPr="00E90DD6" w:rsidRDefault="00E647D4" w:rsidP="00841917">
      <w:pPr>
        <w:ind w:left="851"/>
        <w:rPr>
          <w:sz w:val="24"/>
          <w:szCs w:val="24"/>
        </w:rPr>
      </w:pPr>
      <w:proofErr w:type="spellStart"/>
      <w:r w:rsidRPr="00E90DD6">
        <w:rPr>
          <w:sz w:val="24"/>
          <w:szCs w:val="24"/>
        </w:rPr>
        <w:t>Saccharosekugler</w:t>
      </w:r>
      <w:proofErr w:type="spellEnd"/>
      <w:r w:rsidRPr="00E90DD6">
        <w:rPr>
          <w:sz w:val="24"/>
          <w:szCs w:val="24"/>
        </w:rPr>
        <w:t xml:space="preserve"> (</w:t>
      </w:r>
      <w:proofErr w:type="spellStart"/>
      <w:r w:rsidRPr="00E90DD6">
        <w:rPr>
          <w:sz w:val="24"/>
          <w:szCs w:val="24"/>
        </w:rPr>
        <w:t>saccharose</w:t>
      </w:r>
      <w:proofErr w:type="spellEnd"/>
      <w:r w:rsidRPr="00E90DD6">
        <w:rPr>
          <w:sz w:val="24"/>
          <w:szCs w:val="24"/>
        </w:rPr>
        <w:t>, majsstivelse)</w:t>
      </w:r>
    </w:p>
    <w:p w14:paraId="6DABD7FD" w14:textId="77777777" w:rsidR="00E647D4" w:rsidRPr="00E90DD6" w:rsidRDefault="00E647D4" w:rsidP="00841917">
      <w:pPr>
        <w:ind w:left="851"/>
        <w:rPr>
          <w:sz w:val="24"/>
          <w:szCs w:val="24"/>
        </w:rPr>
      </w:pPr>
      <w:proofErr w:type="spellStart"/>
      <w:r w:rsidRPr="00E90DD6">
        <w:rPr>
          <w:sz w:val="24"/>
          <w:szCs w:val="24"/>
        </w:rPr>
        <w:t>Macrogol</w:t>
      </w:r>
      <w:proofErr w:type="spellEnd"/>
      <w:r w:rsidRPr="00E90DD6">
        <w:rPr>
          <w:sz w:val="24"/>
          <w:szCs w:val="24"/>
        </w:rPr>
        <w:t xml:space="preserve"> polyvinylalkohol </w:t>
      </w:r>
      <w:proofErr w:type="spellStart"/>
      <w:r w:rsidRPr="00E90DD6">
        <w:rPr>
          <w:sz w:val="24"/>
          <w:szCs w:val="24"/>
        </w:rPr>
        <w:t>copolymer</w:t>
      </w:r>
      <w:proofErr w:type="spellEnd"/>
    </w:p>
    <w:p w14:paraId="7489EBA2" w14:textId="77777777" w:rsidR="00E647D4" w:rsidRPr="00E90DD6" w:rsidRDefault="00E647D4" w:rsidP="00841917">
      <w:pPr>
        <w:ind w:left="851"/>
        <w:rPr>
          <w:sz w:val="24"/>
          <w:szCs w:val="24"/>
        </w:rPr>
      </w:pPr>
      <w:r w:rsidRPr="00E90DD6">
        <w:rPr>
          <w:sz w:val="24"/>
          <w:szCs w:val="24"/>
        </w:rPr>
        <w:t xml:space="preserve">Glycerol </w:t>
      </w:r>
      <w:proofErr w:type="spellStart"/>
      <w:r w:rsidRPr="00E90DD6">
        <w:rPr>
          <w:sz w:val="24"/>
          <w:szCs w:val="24"/>
        </w:rPr>
        <w:t>monocaprylocaprat</w:t>
      </w:r>
      <w:proofErr w:type="spellEnd"/>
      <w:r w:rsidRPr="00E90DD6">
        <w:rPr>
          <w:sz w:val="24"/>
          <w:szCs w:val="24"/>
        </w:rPr>
        <w:t xml:space="preserve"> (type I)</w:t>
      </w:r>
    </w:p>
    <w:p w14:paraId="6A21A740" w14:textId="77777777" w:rsidR="00E647D4" w:rsidRPr="00E90DD6" w:rsidRDefault="00E647D4" w:rsidP="00841917">
      <w:pPr>
        <w:ind w:left="851"/>
        <w:rPr>
          <w:sz w:val="24"/>
          <w:szCs w:val="24"/>
        </w:rPr>
      </w:pPr>
      <w:r w:rsidRPr="00E90DD6">
        <w:rPr>
          <w:sz w:val="24"/>
          <w:szCs w:val="24"/>
        </w:rPr>
        <w:t>Polyvinylalkohol</w:t>
      </w:r>
    </w:p>
    <w:p w14:paraId="281A36C4" w14:textId="77777777" w:rsidR="00E647D4" w:rsidRPr="00E90DD6" w:rsidRDefault="00E647D4" w:rsidP="00841917">
      <w:pPr>
        <w:ind w:left="851"/>
        <w:rPr>
          <w:sz w:val="24"/>
          <w:szCs w:val="24"/>
        </w:rPr>
      </w:pPr>
      <w:proofErr w:type="spellStart"/>
      <w:r w:rsidRPr="00E90DD6">
        <w:rPr>
          <w:sz w:val="24"/>
          <w:szCs w:val="24"/>
        </w:rPr>
        <w:t>Methacrylsyre</w:t>
      </w:r>
      <w:proofErr w:type="spellEnd"/>
      <w:r w:rsidRPr="00E90DD6">
        <w:rPr>
          <w:sz w:val="24"/>
          <w:szCs w:val="24"/>
        </w:rPr>
        <w:t xml:space="preserve"> - </w:t>
      </w:r>
      <w:proofErr w:type="spellStart"/>
      <w:r w:rsidRPr="00E90DD6">
        <w:rPr>
          <w:sz w:val="24"/>
          <w:szCs w:val="24"/>
        </w:rPr>
        <w:t>methyl</w:t>
      </w:r>
      <w:r w:rsidRPr="00E90DD6">
        <w:rPr>
          <w:sz w:val="24"/>
          <w:szCs w:val="24"/>
        </w:rPr>
        <w:softHyphen/>
        <w:t>methacrylat</w:t>
      </w:r>
      <w:proofErr w:type="spellEnd"/>
      <w:r w:rsidRPr="00E90DD6">
        <w:rPr>
          <w:sz w:val="24"/>
          <w:szCs w:val="24"/>
        </w:rPr>
        <w:t xml:space="preserve"> </w:t>
      </w:r>
      <w:proofErr w:type="spellStart"/>
      <w:r w:rsidRPr="00E90DD6">
        <w:rPr>
          <w:sz w:val="24"/>
          <w:szCs w:val="24"/>
        </w:rPr>
        <w:t>copolymer</w:t>
      </w:r>
      <w:proofErr w:type="spellEnd"/>
      <w:r w:rsidRPr="00E90DD6">
        <w:rPr>
          <w:sz w:val="24"/>
          <w:szCs w:val="24"/>
        </w:rPr>
        <w:t xml:space="preserve"> (1:1) </w:t>
      </w:r>
    </w:p>
    <w:p w14:paraId="10B3C1FE" w14:textId="77777777" w:rsidR="00E647D4" w:rsidRPr="00E90DD6" w:rsidRDefault="00E647D4" w:rsidP="00841917">
      <w:pPr>
        <w:ind w:left="851"/>
        <w:rPr>
          <w:sz w:val="24"/>
          <w:szCs w:val="24"/>
          <w:lang w:val="en-US"/>
        </w:rPr>
      </w:pPr>
      <w:proofErr w:type="spellStart"/>
      <w:r w:rsidRPr="00E90DD6">
        <w:rPr>
          <w:sz w:val="24"/>
          <w:szCs w:val="24"/>
          <w:lang w:val="en-US"/>
        </w:rPr>
        <w:t>Methacrylsyre</w:t>
      </w:r>
      <w:proofErr w:type="spellEnd"/>
      <w:r w:rsidRPr="00E90DD6">
        <w:rPr>
          <w:sz w:val="24"/>
          <w:szCs w:val="24"/>
          <w:lang w:val="en-US"/>
        </w:rPr>
        <w:t xml:space="preserve"> - </w:t>
      </w:r>
      <w:proofErr w:type="spellStart"/>
      <w:r w:rsidRPr="00E90DD6">
        <w:rPr>
          <w:sz w:val="24"/>
          <w:szCs w:val="24"/>
          <w:lang w:val="en-US"/>
        </w:rPr>
        <w:t>methyl</w:t>
      </w:r>
      <w:r w:rsidRPr="00E90DD6">
        <w:rPr>
          <w:sz w:val="24"/>
          <w:szCs w:val="24"/>
          <w:lang w:val="en-US"/>
        </w:rPr>
        <w:softHyphen/>
        <w:t>methacrylat</w:t>
      </w:r>
      <w:proofErr w:type="spellEnd"/>
      <w:r w:rsidRPr="00E90DD6">
        <w:rPr>
          <w:sz w:val="24"/>
          <w:szCs w:val="24"/>
          <w:lang w:val="en-US"/>
        </w:rPr>
        <w:t xml:space="preserve"> copolymer (1:2)</w:t>
      </w:r>
    </w:p>
    <w:p w14:paraId="5B25D702" w14:textId="77777777" w:rsidR="00E647D4" w:rsidRPr="00E90DD6" w:rsidRDefault="00E647D4" w:rsidP="00841917">
      <w:pPr>
        <w:ind w:left="851"/>
        <w:rPr>
          <w:sz w:val="24"/>
          <w:szCs w:val="24"/>
          <w:lang w:val="en-US"/>
        </w:rPr>
      </w:pPr>
      <w:proofErr w:type="spellStart"/>
      <w:r w:rsidRPr="00E90DD6">
        <w:rPr>
          <w:sz w:val="24"/>
          <w:szCs w:val="24"/>
          <w:lang w:val="en-US"/>
        </w:rPr>
        <w:t>Ammoniummethacrylat</w:t>
      </w:r>
      <w:proofErr w:type="spellEnd"/>
      <w:r w:rsidRPr="00E90DD6">
        <w:rPr>
          <w:sz w:val="24"/>
          <w:szCs w:val="24"/>
          <w:lang w:val="en-US"/>
        </w:rPr>
        <w:t xml:space="preserve"> copolymer (type B)</w:t>
      </w:r>
    </w:p>
    <w:p w14:paraId="55B6483C" w14:textId="77777777" w:rsidR="00E647D4" w:rsidRPr="00E90DD6" w:rsidRDefault="00E647D4" w:rsidP="00841917">
      <w:pPr>
        <w:ind w:left="851"/>
        <w:rPr>
          <w:sz w:val="24"/>
          <w:szCs w:val="24"/>
          <w:lang w:val="en-US"/>
        </w:rPr>
      </w:pPr>
      <w:proofErr w:type="spellStart"/>
      <w:r w:rsidRPr="00E90DD6">
        <w:rPr>
          <w:sz w:val="24"/>
          <w:szCs w:val="24"/>
          <w:lang w:val="en-US"/>
        </w:rPr>
        <w:t>Ammoniummethacrylat</w:t>
      </w:r>
      <w:proofErr w:type="spellEnd"/>
      <w:r w:rsidRPr="00E90DD6">
        <w:rPr>
          <w:sz w:val="24"/>
          <w:szCs w:val="24"/>
          <w:lang w:val="en-US"/>
        </w:rPr>
        <w:t xml:space="preserve"> copolymer (type A) </w:t>
      </w:r>
    </w:p>
    <w:p w14:paraId="4CFDFDD6" w14:textId="77777777" w:rsidR="00E647D4" w:rsidRPr="00E90DD6" w:rsidRDefault="00E647D4" w:rsidP="00841917">
      <w:pPr>
        <w:ind w:left="851"/>
        <w:rPr>
          <w:sz w:val="24"/>
          <w:szCs w:val="24"/>
          <w:lang w:val="en-US"/>
        </w:rPr>
      </w:pPr>
      <w:proofErr w:type="spellStart"/>
      <w:r w:rsidRPr="00E90DD6">
        <w:rPr>
          <w:sz w:val="24"/>
          <w:szCs w:val="24"/>
          <w:lang w:val="en-US"/>
        </w:rPr>
        <w:t>Triethylcitrat</w:t>
      </w:r>
      <w:proofErr w:type="spellEnd"/>
      <w:r w:rsidRPr="00E90DD6">
        <w:rPr>
          <w:sz w:val="24"/>
          <w:szCs w:val="24"/>
          <w:lang w:val="en-US"/>
        </w:rPr>
        <w:t xml:space="preserve"> (E1505)</w:t>
      </w:r>
    </w:p>
    <w:p w14:paraId="46FFE4FE" w14:textId="77777777" w:rsidR="00E647D4" w:rsidRPr="00E90DD6" w:rsidRDefault="00E647D4" w:rsidP="00841917">
      <w:pPr>
        <w:ind w:left="851"/>
        <w:rPr>
          <w:sz w:val="24"/>
          <w:szCs w:val="24"/>
          <w:lang w:val="en-US"/>
        </w:rPr>
      </w:pPr>
      <w:r w:rsidRPr="00E90DD6">
        <w:rPr>
          <w:sz w:val="24"/>
          <w:szCs w:val="24"/>
          <w:lang w:val="en-US"/>
        </w:rPr>
        <w:t>Talcum (E553b)</w:t>
      </w:r>
    </w:p>
    <w:p w14:paraId="6200AD7A" w14:textId="77777777" w:rsidR="00E647D4" w:rsidRPr="00E90DD6" w:rsidRDefault="00E647D4" w:rsidP="00841917">
      <w:pPr>
        <w:ind w:left="851"/>
        <w:rPr>
          <w:sz w:val="24"/>
          <w:szCs w:val="24"/>
          <w:lang w:val="en-US"/>
        </w:rPr>
      </w:pPr>
    </w:p>
    <w:p w14:paraId="4F0C0CEB" w14:textId="77777777" w:rsidR="00E647D4" w:rsidRPr="003D33A4" w:rsidRDefault="00E647D4" w:rsidP="00841917">
      <w:pPr>
        <w:ind w:left="851"/>
        <w:rPr>
          <w:sz w:val="24"/>
          <w:szCs w:val="24"/>
          <w:u w:val="single"/>
          <w:lang w:val="en-US"/>
        </w:rPr>
      </w:pPr>
      <w:proofErr w:type="spellStart"/>
      <w:r w:rsidRPr="003D33A4">
        <w:rPr>
          <w:sz w:val="24"/>
          <w:szCs w:val="24"/>
          <w:u w:val="single"/>
          <w:lang w:val="en-US"/>
        </w:rPr>
        <w:t>Kapselskal</w:t>
      </w:r>
      <w:proofErr w:type="spellEnd"/>
    </w:p>
    <w:p w14:paraId="1C5866EB" w14:textId="77777777" w:rsidR="00E647D4" w:rsidRPr="00E90DD6" w:rsidRDefault="00E647D4" w:rsidP="00841917">
      <w:pPr>
        <w:ind w:left="851"/>
        <w:rPr>
          <w:iCs/>
          <w:sz w:val="24"/>
          <w:szCs w:val="24"/>
          <w:lang w:val="en-US" w:eastAsia="en-GB"/>
        </w:rPr>
      </w:pPr>
      <w:r w:rsidRPr="00E90DD6">
        <w:rPr>
          <w:iCs/>
          <w:sz w:val="24"/>
          <w:szCs w:val="24"/>
          <w:lang w:val="en-US" w:eastAsia="en-GB"/>
        </w:rPr>
        <w:t>Brilliant blue FCF (E133)</w:t>
      </w:r>
    </w:p>
    <w:p w14:paraId="06710D28" w14:textId="77777777" w:rsidR="00E647D4" w:rsidRPr="00E90DD6" w:rsidRDefault="00E647D4" w:rsidP="00841917">
      <w:pPr>
        <w:ind w:left="851"/>
        <w:rPr>
          <w:sz w:val="24"/>
          <w:szCs w:val="24"/>
          <w:lang w:val="en-US" w:eastAsia="da-DK"/>
        </w:rPr>
      </w:pPr>
      <w:proofErr w:type="spellStart"/>
      <w:r w:rsidRPr="00E90DD6">
        <w:rPr>
          <w:sz w:val="24"/>
          <w:szCs w:val="24"/>
          <w:lang w:val="en-US"/>
        </w:rPr>
        <w:t>Quinolingult</w:t>
      </w:r>
      <w:proofErr w:type="spellEnd"/>
      <w:r w:rsidRPr="00E90DD6">
        <w:rPr>
          <w:sz w:val="24"/>
          <w:szCs w:val="24"/>
          <w:lang w:val="en-US"/>
        </w:rPr>
        <w:t xml:space="preserve"> (E104)</w:t>
      </w:r>
    </w:p>
    <w:p w14:paraId="3A126B75" w14:textId="77777777" w:rsidR="00E647D4" w:rsidRPr="00E90DD6" w:rsidRDefault="00E647D4" w:rsidP="00841917">
      <w:pPr>
        <w:ind w:left="851"/>
        <w:rPr>
          <w:sz w:val="24"/>
          <w:szCs w:val="24"/>
          <w:lang w:val="en-US"/>
        </w:rPr>
      </w:pPr>
      <w:proofErr w:type="spellStart"/>
      <w:r w:rsidRPr="00E90DD6">
        <w:rPr>
          <w:sz w:val="24"/>
          <w:szCs w:val="24"/>
          <w:lang w:val="en-US"/>
        </w:rPr>
        <w:t>Erytrosin</w:t>
      </w:r>
      <w:proofErr w:type="spellEnd"/>
      <w:r w:rsidRPr="00E90DD6">
        <w:rPr>
          <w:sz w:val="24"/>
          <w:szCs w:val="24"/>
          <w:lang w:val="en-US"/>
        </w:rPr>
        <w:t xml:space="preserve"> (E 127)</w:t>
      </w:r>
    </w:p>
    <w:p w14:paraId="6FB13C9F" w14:textId="77777777" w:rsidR="00E647D4" w:rsidRPr="00E90DD6" w:rsidRDefault="00E647D4" w:rsidP="00841917">
      <w:pPr>
        <w:ind w:left="851"/>
        <w:rPr>
          <w:sz w:val="24"/>
          <w:szCs w:val="24"/>
          <w:lang w:val="en-US"/>
        </w:rPr>
      </w:pPr>
      <w:proofErr w:type="spellStart"/>
      <w:r w:rsidRPr="00E90DD6">
        <w:rPr>
          <w:sz w:val="24"/>
          <w:szCs w:val="24"/>
          <w:lang w:val="en-US"/>
        </w:rPr>
        <w:t>Titandioxid</w:t>
      </w:r>
      <w:proofErr w:type="spellEnd"/>
      <w:r w:rsidRPr="00E90DD6">
        <w:rPr>
          <w:sz w:val="24"/>
          <w:szCs w:val="24"/>
          <w:lang w:val="en-US"/>
        </w:rPr>
        <w:t xml:space="preserve"> (E 171)</w:t>
      </w:r>
    </w:p>
    <w:p w14:paraId="7D6F86C9" w14:textId="77777777" w:rsidR="00E647D4" w:rsidRPr="00E90DD6" w:rsidRDefault="00E647D4" w:rsidP="00841917">
      <w:pPr>
        <w:ind w:left="851"/>
        <w:rPr>
          <w:sz w:val="24"/>
          <w:szCs w:val="24"/>
          <w:lang w:val="en-US"/>
        </w:rPr>
      </w:pPr>
      <w:proofErr w:type="spellStart"/>
      <w:r w:rsidRPr="00E90DD6">
        <w:rPr>
          <w:sz w:val="24"/>
          <w:szCs w:val="24"/>
          <w:lang w:val="en-US"/>
        </w:rPr>
        <w:t>Natriumlaurilsulfat</w:t>
      </w:r>
      <w:proofErr w:type="spellEnd"/>
    </w:p>
    <w:p w14:paraId="3A92C3EE" w14:textId="77777777" w:rsidR="00E647D4" w:rsidRPr="00E90DD6" w:rsidRDefault="00E647D4" w:rsidP="00841917">
      <w:pPr>
        <w:ind w:left="851"/>
        <w:rPr>
          <w:sz w:val="24"/>
          <w:szCs w:val="24"/>
        </w:rPr>
      </w:pPr>
      <w:r w:rsidRPr="00E90DD6">
        <w:rPr>
          <w:sz w:val="24"/>
          <w:szCs w:val="24"/>
        </w:rPr>
        <w:t xml:space="preserve">Gelatine </w:t>
      </w:r>
    </w:p>
    <w:p w14:paraId="3C7396DB" w14:textId="77777777" w:rsidR="009260DE" w:rsidRPr="00E90DD6" w:rsidRDefault="009260DE" w:rsidP="009260DE">
      <w:pPr>
        <w:tabs>
          <w:tab w:val="left" w:pos="851"/>
        </w:tabs>
        <w:ind w:left="851"/>
        <w:rPr>
          <w:sz w:val="24"/>
          <w:szCs w:val="24"/>
        </w:rPr>
      </w:pPr>
    </w:p>
    <w:p w14:paraId="396F2979" w14:textId="77777777" w:rsidR="009260DE" w:rsidRPr="00E90DD6" w:rsidRDefault="009260DE" w:rsidP="009260DE">
      <w:pPr>
        <w:tabs>
          <w:tab w:val="left" w:pos="851"/>
        </w:tabs>
        <w:ind w:left="851" w:hanging="851"/>
        <w:rPr>
          <w:b/>
          <w:sz w:val="24"/>
          <w:szCs w:val="24"/>
        </w:rPr>
      </w:pPr>
      <w:r w:rsidRPr="00E90DD6">
        <w:rPr>
          <w:b/>
          <w:sz w:val="24"/>
          <w:szCs w:val="24"/>
        </w:rPr>
        <w:t>6.2</w:t>
      </w:r>
      <w:r w:rsidRPr="00E90DD6">
        <w:rPr>
          <w:b/>
          <w:sz w:val="24"/>
          <w:szCs w:val="24"/>
        </w:rPr>
        <w:tab/>
        <w:t>Uforligeligheder</w:t>
      </w:r>
    </w:p>
    <w:p w14:paraId="4DADB528" w14:textId="77777777" w:rsidR="00E647D4" w:rsidRPr="00E90DD6" w:rsidRDefault="00E647D4" w:rsidP="00E647D4">
      <w:pPr>
        <w:tabs>
          <w:tab w:val="left" w:pos="851"/>
        </w:tabs>
        <w:ind w:left="851"/>
        <w:rPr>
          <w:sz w:val="24"/>
          <w:szCs w:val="24"/>
          <w:lang w:eastAsia="da-DK"/>
        </w:rPr>
      </w:pPr>
      <w:r w:rsidRPr="00E90DD6">
        <w:rPr>
          <w:sz w:val="24"/>
          <w:szCs w:val="24"/>
        </w:rPr>
        <w:t>Ikke relevant.</w:t>
      </w:r>
    </w:p>
    <w:p w14:paraId="4F0CC5DA" w14:textId="77777777" w:rsidR="009260DE" w:rsidRPr="00E90DD6" w:rsidRDefault="009260DE" w:rsidP="009260DE">
      <w:pPr>
        <w:tabs>
          <w:tab w:val="left" w:pos="851"/>
        </w:tabs>
        <w:ind w:left="851"/>
        <w:rPr>
          <w:sz w:val="24"/>
          <w:szCs w:val="24"/>
        </w:rPr>
      </w:pPr>
    </w:p>
    <w:p w14:paraId="380F0AF2" w14:textId="77777777" w:rsidR="009260DE" w:rsidRPr="00E90DD6" w:rsidRDefault="009260DE" w:rsidP="009260DE">
      <w:pPr>
        <w:tabs>
          <w:tab w:val="left" w:pos="851"/>
        </w:tabs>
        <w:ind w:left="851" w:hanging="851"/>
        <w:rPr>
          <w:b/>
          <w:sz w:val="24"/>
          <w:szCs w:val="24"/>
        </w:rPr>
      </w:pPr>
      <w:r w:rsidRPr="00E90DD6">
        <w:rPr>
          <w:b/>
          <w:sz w:val="24"/>
          <w:szCs w:val="24"/>
        </w:rPr>
        <w:t>6.3</w:t>
      </w:r>
      <w:r w:rsidRPr="00E90DD6">
        <w:rPr>
          <w:b/>
          <w:sz w:val="24"/>
          <w:szCs w:val="24"/>
        </w:rPr>
        <w:tab/>
        <w:t>Opbevaringstid</w:t>
      </w:r>
    </w:p>
    <w:p w14:paraId="4A2E2731" w14:textId="2F8191F3" w:rsidR="00E647D4" w:rsidRPr="00E90DD6" w:rsidRDefault="00E647D4" w:rsidP="00370E59">
      <w:pPr>
        <w:ind w:left="851"/>
        <w:rPr>
          <w:sz w:val="24"/>
          <w:szCs w:val="24"/>
          <w:lang w:eastAsia="da-DK"/>
        </w:rPr>
      </w:pPr>
      <w:r w:rsidRPr="00E90DD6">
        <w:rPr>
          <w:sz w:val="24"/>
          <w:szCs w:val="24"/>
        </w:rPr>
        <w:t>Blisterpakning: 18 måneder.</w:t>
      </w:r>
    </w:p>
    <w:p w14:paraId="67A264A8" w14:textId="77777777" w:rsidR="00E647D4" w:rsidRPr="00E90DD6" w:rsidRDefault="00E647D4" w:rsidP="00370E59">
      <w:pPr>
        <w:ind w:left="851"/>
        <w:rPr>
          <w:sz w:val="24"/>
          <w:szCs w:val="24"/>
        </w:rPr>
      </w:pPr>
      <w:r w:rsidRPr="00E90DD6">
        <w:rPr>
          <w:sz w:val="24"/>
          <w:szCs w:val="24"/>
        </w:rPr>
        <w:t>Beholder: 2 år.</w:t>
      </w:r>
    </w:p>
    <w:p w14:paraId="59F3471F" w14:textId="77777777" w:rsidR="009260DE" w:rsidRPr="00E90DD6" w:rsidRDefault="009260DE" w:rsidP="009260DE">
      <w:pPr>
        <w:tabs>
          <w:tab w:val="left" w:pos="851"/>
        </w:tabs>
        <w:ind w:left="851"/>
        <w:rPr>
          <w:sz w:val="24"/>
          <w:szCs w:val="24"/>
        </w:rPr>
      </w:pPr>
    </w:p>
    <w:p w14:paraId="64FC53C4" w14:textId="77777777" w:rsidR="009260DE" w:rsidRPr="00E90DD6" w:rsidRDefault="009260DE" w:rsidP="009260DE">
      <w:pPr>
        <w:tabs>
          <w:tab w:val="left" w:pos="851"/>
        </w:tabs>
        <w:ind w:left="851" w:hanging="851"/>
        <w:rPr>
          <w:b/>
          <w:sz w:val="24"/>
          <w:szCs w:val="24"/>
        </w:rPr>
      </w:pPr>
      <w:r w:rsidRPr="00E90DD6">
        <w:rPr>
          <w:b/>
          <w:sz w:val="24"/>
          <w:szCs w:val="24"/>
        </w:rPr>
        <w:t>6.4</w:t>
      </w:r>
      <w:r w:rsidRPr="00E90DD6">
        <w:rPr>
          <w:b/>
          <w:sz w:val="24"/>
          <w:szCs w:val="24"/>
        </w:rPr>
        <w:tab/>
        <w:t>Særlige opbevaringsforhold</w:t>
      </w:r>
    </w:p>
    <w:p w14:paraId="6CDD97BE" w14:textId="77777777" w:rsidR="0041739F" w:rsidRDefault="0041739F" w:rsidP="0041739F">
      <w:pPr>
        <w:ind w:firstLine="851"/>
      </w:pPr>
      <w:r w:rsidRPr="00342FC8">
        <w:t>Må ikke opbevares ved temperaturer over 25 °C.</w:t>
      </w:r>
    </w:p>
    <w:p w14:paraId="3F81492F" w14:textId="77777777" w:rsidR="009260DE" w:rsidRPr="00E90DD6" w:rsidRDefault="009260DE" w:rsidP="009260DE">
      <w:pPr>
        <w:tabs>
          <w:tab w:val="left" w:pos="851"/>
        </w:tabs>
        <w:ind w:left="851"/>
        <w:rPr>
          <w:sz w:val="24"/>
          <w:szCs w:val="24"/>
        </w:rPr>
      </w:pPr>
    </w:p>
    <w:p w14:paraId="5DE16843" w14:textId="77777777" w:rsidR="009260DE" w:rsidRPr="00E90DD6" w:rsidRDefault="009260DE" w:rsidP="009260DE">
      <w:pPr>
        <w:tabs>
          <w:tab w:val="left" w:pos="851"/>
        </w:tabs>
        <w:ind w:left="851" w:hanging="851"/>
        <w:rPr>
          <w:b/>
          <w:sz w:val="24"/>
          <w:szCs w:val="24"/>
        </w:rPr>
      </w:pPr>
      <w:r w:rsidRPr="00E90DD6">
        <w:rPr>
          <w:b/>
          <w:sz w:val="24"/>
          <w:szCs w:val="24"/>
        </w:rPr>
        <w:t>6.5</w:t>
      </w:r>
      <w:r w:rsidRPr="00E90DD6">
        <w:rPr>
          <w:b/>
          <w:sz w:val="24"/>
          <w:szCs w:val="24"/>
        </w:rPr>
        <w:tab/>
        <w:t>Emballagetyper og pakningsstørrelser</w:t>
      </w:r>
    </w:p>
    <w:p w14:paraId="4FDDF49A" w14:textId="6DD7A59C" w:rsidR="00CA6168" w:rsidRPr="00E90DD6" w:rsidRDefault="00CA6168" w:rsidP="00CA6168">
      <w:pPr>
        <w:ind w:left="851"/>
        <w:rPr>
          <w:sz w:val="24"/>
          <w:szCs w:val="24"/>
          <w:lang w:eastAsia="da-DK"/>
        </w:rPr>
      </w:pPr>
      <w:r w:rsidRPr="00E90DD6">
        <w:rPr>
          <w:sz w:val="24"/>
          <w:szCs w:val="24"/>
        </w:rPr>
        <w:t>Enkeltdosisblister af PVC/</w:t>
      </w:r>
      <w:proofErr w:type="spellStart"/>
      <w:r w:rsidRPr="00E90DD6">
        <w:rPr>
          <w:sz w:val="24"/>
          <w:szCs w:val="24"/>
        </w:rPr>
        <w:t>PVdC</w:t>
      </w:r>
      <w:proofErr w:type="spellEnd"/>
      <w:r w:rsidRPr="00E90DD6">
        <w:rPr>
          <w:sz w:val="24"/>
          <w:szCs w:val="24"/>
        </w:rPr>
        <w:t>-aluminium med 20</w:t>
      </w:r>
      <w:r w:rsidR="00E13C43">
        <w:rPr>
          <w:sz w:val="24"/>
          <w:szCs w:val="24"/>
        </w:rPr>
        <w:t>×</w:t>
      </w:r>
      <w:r w:rsidRPr="00E90DD6">
        <w:rPr>
          <w:sz w:val="24"/>
          <w:szCs w:val="24"/>
        </w:rPr>
        <w:t>1, 50</w:t>
      </w:r>
      <w:r w:rsidR="00E13C43">
        <w:rPr>
          <w:sz w:val="24"/>
          <w:szCs w:val="24"/>
        </w:rPr>
        <w:t>×</w:t>
      </w:r>
      <w:r w:rsidRPr="00E90DD6">
        <w:rPr>
          <w:sz w:val="24"/>
          <w:szCs w:val="24"/>
        </w:rPr>
        <w:t>1, 60</w:t>
      </w:r>
      <w:r w:rsidR="00E13C43">
        <w:rPr>
          <w:sz w:val="24"/>
          <w:szCs w:val="24"/>
        </w:rPr>
        <w:t>×</w:t>
      </w:r>
      <w:r w:rsidRPr="00E90DD6">
        <w:rPr>
          <w:sz w:val="24"/>
          <w:szCs w:val="24"/>
        </w:rPr>
        <w:t>1, 90</w:t>
      </w:r>
      <w:r w:rsidR="00E13C43">
        <w:rPr>
          <w:sz w:val="24"/>
          <w:szCs w:val="24"/>
        </w:rPr>
        <w:t>×</w:t>
      </w:r>
      <w:r w:rsidRPr="00E90DD6">
        <w:rPr>
          <w:sz w:val="24"/>
          <w:szCs w:val="24"/>
        </w:rPr>
        <w:t>1, 100</w:t>
      </w:r>
      <w:r w:rsidR="00E13C43">
        <w:rPr>
          <w:sz w:val="24"/>
          <w:szCs w:val="24"/>
        </w:rPr>
        <w:t>×</w:t>
      </w:r>
      <w:r w:rsidRPr="00E90DD6">
        <w:rPr>
          <w:sz w:val="24"/>
          <w:szCs w:val="24"/>
        </w:rPr>
        <w:t>1 eller 120</w:t>
      </w:r>
      <w:r w:rsidR="00E13C43">
        <w:rPr>
          <w:sz w:val="24"/>
          <w:szCs w:val="24"/>
        </w:rPr>
        <w:t>×</w:t>
      </w:r>
      <w:r w:rsidRPr="00E90DD6">
        <w:rPr>
          <w:sz w:val="24"/>
          <w:szCs w:val="24"/>
        </w:rPr>
        <w:t>1 kapsler.</w:t>
      </w:r>
    </w:p>
    <w:p w14:paraId="10FDA019" w14:textId="77777777" w:rsidR="00CA6168" w:rsidRPr="00E90DD6" w:rsidRDefault="00CA6168" w:rsidP="00CA6168">
      <w:pPr>
        <w:ind w:left="851"/>
        <w:rPr>
          <w:sz w:val="24"/>
          <w:szCs w:val="24"/>
        </w:rPr>
      </w:pPr>
      <w:r w:rsidRPr="00E90DD6">
        <w:rPr>
          <w:sz w:val="24"/>
          <w:szCs w:val="24"/>
        </w:rPr>
        <w:t>HDPE-beholdere med børnesikret PP-lukning med aluminiumforsegling med 100 kapsler.</w:t>
      </w:r>
    </w:p>
    <w:p w14:paraId="6CF3A4FD" w14:textId="04F95660" w:rsidR="00CA6168" w:rsidRPr="00E90DD6" w:rsidRDefault="00CA6168" w:rsidP="00CA6168">
      <w:pPr>
        <w:ind w:left="851"/>
        <w:rPr>
          <w:sz w:val="24"/>
          <w:szCs w:val="24"/>
        </w:rPr>
      </w:pPr>
    </w:p>
    <w:p w14:paraId="5A0D69CE" w14:textId="77777777" w:rsidR="00CA6168" w:rsidRPr="00E90DD6" w:rsidRDefault="00CA6168" w:rsidP="00CA6168">
      <w:pPr>
        <w:ind w:left="851"/>
        <w:rPr>
          <w:sz w:val="24"/>
          <w:szCs w:val="24"/>
        </w:rPr>
      </w:pPr>
      <w:r w:rsidRPr="00E90DD6">
        <w:rPr>
          <w:sz w:val="24"/>
          <w:szCs w:val="24"/>
        </w:rPr>
        <w:t>Ikke alle pakningsstørrelser er nødvendigvis markedsført.</w:t>
      </w:r>
    </w:p>
    <w:p w14:paraId="148B5E02" w14:textId="77777777" w:rsidR="009260DE" w:rsidRPr="00E90DD6" w:rsidRDefault="009260DE" w:rsidP="009260DE">
      <w:pPr>
        <w:tabs>
          <w:tab w:val="left" w:pos="851"/>
        </w:tabs>
        <w:ind w:left="851"/>
        <w:rPr>
          <w:sz w:val="24"/>
          <w:szCs w:val="24"/>
        </w:rPr>
      </w:pPr>
    </w:p>
    <w:p w14:paraId="41A238B6" w14:textId="77777777" w:rsidR="009260DE" w:rsidRPr="00E90DD6" w:rsidRDefault="009260DE" w:rsidP="009260DE">
      <w:pPr>
        <w:tabs>
          <w:tab w:val="left" w:pos="851"/>
        </w:tabs>
        <w:ind w:left="851" w:hanging="851"/>
        <w:rPr>
          <w:b/>
          <w:sz w:val="24"/>
          <w:szCs w:val="24"/>
        </w:rPr>
      </w:pPr>
      <w:r w:rsidRPr="00E90DD6">
        <w:rPr>
          <w:b/>
          <w:sz w:val="24"/>
          <w:szCs w:val="24"/>
        </w:rPr>
        <w:t>6.6</w:t>
      </w:r>
      <w:r w:rsidRPr="00E90DD6">
        <w:rPr>
          <w:b/>
          <w:sz w:val="24"/>
          <w:szCs w:val="24"/>
        </w:rPr>
        <w:tab/>
        <w:t>Regler for destruktion og anden håndtering</w:t>
      </w:r>
    </w:p>
    <w:p w14:paraId="78EEC646" w14:textId="77777777" w:rsidR="00CA6168" w:rsidRPr="00E90DD6" w:rsidRDefault="00CA6168" w:rsidP="00CA6168">
      <w:pPr>
        <w:ind w:left="851"/>
        <w:rPr>
          <w:sz w:val="24"/>
          <w:szCs w:val="24"/>
          <w:lang w:eastAsia="da-DK"/>
        </w:rPr>
      </w:pPr>
      <w:r w:rsidRPr="00E90DD6">
        <w:rPr>
          <w:sz w:val="24"/>
          <w:szCs w:val="24"/>
        </w:rPr>
        <w:t>Ingen særlig forholdsregler.</w:t>
      </w:r>
    </w:p>
    <w:p w14:paraId="7B395620" w14:textId="77777777" w:rsidR="00CA6168" w:rsidRPr="00E90DD6" w:rsidRDefault="00CA6168" w:rsidP="00CA6168">
      <w:pPr>
        <w:ind w:left="851"/>
        <w:rPr>
          <w:sz w:val="24"/>
          <w:szCs w:val="24"/>
        </w:rPr>
      </w:pPr>
    </w:p>
    <w:p w14:paraId="61A9FCA3" w14:textId="77777777" w:rsidR="00CA6168" w:rsidRPr="00E90DD6" w:rsidRDefault="00CA6168" w:rsidP="00CA6168">
      <w:pPr>
        <w:ind w:left="851"/>
        <w:rPr>
          <w:sz w:val="24"/>
          <w:szCs w:val="24"/>
        </w:rPr>
      </w:pPr>
      <w:r w:rsidRPr="00E90DD6">
        <w:rPr>
          <w:sz w:val="24"/>
          <w:szCs w:val="24"/>
        </w:rPr>
        <w:t>Ikke anvendt lægemiddel samt affald heraf skal bortskaffes i henhold til lokale retningslinjer.</w:t>
      </w:r>
    </w:p>
    <w:p w14:paraId="7F151AB1" w14:textId="77777777" w:rsidR="009260DE" w:rsidRPr="00E90DD6" w:rsidRDefault="009260DE" w:rsidP="000730CA">
      <w:pPr>
        <w:tabs>
          <w:tab w:val="left" w:pos="851"/>
        </w:tabs>
        <w:ind w:left="851"/>
        <w:rPr>
          <w:sz w:val="24"/>
          <w:szCs w:val="24"/>
        </w:rPr>
      </w:pPr>
    </w:p>
    <w:p w14:paraId="67ADFCB2" w14:textId="77777777" w:rsidR="009260DE" w:rsidRPr="00E90DD6" w:rsidRDefault="009260DE" w:rsidP="009260DE">
      <w:pPr>
        <w:tabs>
          <w:tab w:val="left" w:pos="851"/>
        </w:tabs>
        <w:ind w:left="851" w:hanging="851"/>
        <w:rPr>
          <w:b/>
          <w:sz w:val="24"/>
          <w:szCs w:val="24"/>
        </w:rPr>
      </w:pPr>
      <w:r w:rsidRPr="00E90DD6">
        <w:rPr>
          <w:b/>
          <w:sz w:val="24"/>
          <w:szCs w:val="24"/>
        </w:rPr>
        <w:t>7.</w:t>
      </w:r>
      <w:r w:rsidRPr="00E90DD6">
        <w:rPr>
          <w:b/>
          <w:sz w:val="24"/>
          <w:szCs w:val="24"/>
        </w:rPr>
        <w:tab/>
        <w:t>INDEHAVER AF MARKEDSFØRINGSTILLADELSEN</w:t>
      </w:r>
    </w:p>
    <w:p w14:paraId="14A0607A" w14:textId="77777777" w:rsidR="00CA6168" w:rsidRPr="00E90DD6" w:rsidRDefault="00CA6168" w:rsidP="00370E59">
      <w:pPr>
        <w:ind w:left="851"/>
        <w:rPr>
          <w:sz w:val="24"/>
          <w:szCs w:val="24"/>
          <w:lang w:eastAsia="da-DK"/>
        </w:rPr>
      </w:pPr>
      <w:proofErr w:type="spellStart"/>
      <w:r w:rsidRPr="00E90DD6">
        <w:rPr>
          <w:sz w:val="24"/>
          <w:szCs w:val="24"/>
        </w:rPr>
        <w:t>Teva</w:t>
      </w:r>
      <w:proofErr w:type="spellEnd"/>
      <w:r w:rsidRPr="00E90DD6">
        <w:rPr>
          <w:sz w:val="24"/>
          <w:szCs w:val="24"/>
        </w:rPr>
        <w:t xml:space="preserve"> B.V.</w:t>
      </w:r>
    </w:p>
    <w:p w14:paraId="67A1DF3E" w14:textId="77777777" w:rsidR="00CA6168" w:rsidRPr="00E90DD6" w:rsidRDefault="00CA6168" w:rsidP="00370E59">
      <w:pPr>
        <w:ind w:left="851"/>
        <w:rPr>
          <w:sz w:val="24"/>
          <w:szCs w:val="24"/>
        </w:rPr>
      </w:pPr>
      <w:proofErr w:type="spellStart"/>
      <w:r w:rsidRPr="00E90DD6">
        <w:rPr>
          <w:sz w:val="24"/>
          <w:szCs w:val="24"/>
        </w:rPr>
        <w:t>Swensweg</w:t>
      </w:r>
      <w:proofErr w:type="spellEnd"/>
      <w:r w:rsidRPr="00E90DD6">
        <w:rPr>
          <w:sz w:val="24"/>
          <w:szCs w:val="24"/>
        </w:rPr>
        <w:t xml:space="preserve"> 5</w:t>
      </w:r>
    </w:p>
    <w:p w14:paraId="47FE2CD5" w14:textId="77777777" w:rsidR="00CA6168" w:rsidRPr="00E90DD6" w:rsidRDefault="00CA6168" w:rsidP="00370E59">
      <w:pPr>
        <w:ind w:left="851"/>
        <w:rPr>
          <w:sz w:val="24"/>
          <w:szCs w:val="24"/>
        </w:rPr>
      </w:pPr>
      <w:r w:rsidRPr="00E90DD6">
        <w:rPr>
          <w:sz w:val="24"/>
          <w:szCs w:val="24"/>
        </w:rPr>
        <w:t xml:space="preserve">2031 GA </w:t>
      </w:r>
      <w:proofErr w:type="spellStart"/>
      <w:r w:rsidRPr="00E90DD6">
        <w:rPr>
          <w:sz w:val="24"/>
          <w:szCs w:val="24"/>
        </w:rPr>
        <w:t>Haarlem</w:t>
      </w:r>
      <w:proofErr w:type="spellEnd"/>
    </w:p>
    <w:p w14:paraId="7D0AC303" w14:textId="77777777" w:rsidR="00CA6168" w:rsidRPr="00E90DD6" w:rsidRDefault="00CA6168" w:rsidP="00370E59">
      <w:pPr>
        <w:ind w:left="851"/>
        <w:rPr>
          <w:sz w:val="24"/>
          <w:szCs w:val="24"/>
        </w:rPr>
      </w:pPr>
      <w:r w:rsidRPr="00E90DD6">
        <w:rPr>
          <w:sz w:val="24"/>
          <w:szCs w:val="24"/>
        </w:rPr>
        <w:t>Holland</w:t>
      </w:r>
    </w:p>
    <w:p w14:paraId="20E84FEA" w14:textId="77777777" w:rsidR="00CA6168" w:rsidRPr="00E90DD6" w:rsidRDefault="00CA6168" w:rsidP="00370E59">
      <w:pPr>
        <w:ind w:left="851"/>
        <w:rPr>
          <w:sz w:val="24"/>
          <w:szCs w:val="24"/>
        </w:rPr>
      </w:pPr>
    </w:p>
    <w:p w14:paraId="0B4E875F" w14:textId="46F3A14B" w:rsidR="00CA6168" w:rsidRPr="00E90DD6" w:rsidRDefault="00CA6168" w:rsidP="00370E59">
      <w:pPr>
        <w:ind w:left="851"/>
        <w:rPr>
          <w:b/>
          <w:sz w:val="24"/>
          <w:szCs w:val="24"/>
        </w:rPr>
      </w:pPr>
      <w:r w:rsidRPr="00E90DD6">
        <w:rPr>
          <w:b/>
          <w:sz w:val="24"/>
          <w:szCs w:val="24"/>
        </w:rPr>
        <w:t>Repræsentant</w:t>
      </w:r>
    </w:p>
    <w:p w14:paraId="5EAC064D" w14:textId="77777777" w:rsidR="00CA6168" w:rsidRPr="00325924" w:rsidRDefault="00CA6168" w:rsidP="00370E59">
      <w:pPr>
        <w:ind w:left="851"/>
        <w:rPr>
          <w:sz w:val="24"/>
          <w:szCs w:val="24"/>
        </w:rPr>
      </w:pPr>
      <w:proofErr w:type="spellStart"/>
      <w:r w:rsidRPr="00325924">
        <w:rPr>
          <w:sz w:val="24"/>
          <w:szCs w:val="24"/>
        </w:rPr>
        <w:t>Teva</w:t>
      </w:r>
      <w:proofErr w:type="spellEnd"/>
      <w:r w:rsidRPr="00325924">
        <w:rPr>
          <w:sz w:val="24"/>
          <w:szCs w:val="24"/>
        </w:rPr>
        <w:t xml:space="preserve"> Denmark A/S</w:t>
      </w:r>
    </w:p>
    <w:p w14:paraId="087A9A0F" w14:textId="77777777" w:rsidR="00CA6168" w:rsidRPr="00325924" w:rsidRDefault="00CA6168" w:rsidP="00370E59">
      <w:pPr>
        <w:ind w:left="851"/>
        <w:rPr>
          <w:sz w:val="24"/>
          <w:szCs w:val="24"/>
        </w:rPr>
      </w:pPr>
      <w:r w:rsidRPr="00325924">
        <w:rPr>
          <w:sz w:val="24"/>
          <w:szCs w:val="24"/>
        </w:rPr>
        <w:t>Vandtårnsvej 83A</w:t>
      </w:r>
    </w:p>
    <w:p w14:paraId="6274DC02" w14:textId="77777777" w:rsidR="00CA6168" w:rsidRPr="00E90DD6" w:rsidRDefault="00CA6168" w:rsidP="00370E59">
      <w:pPr>
        <w:ind w:left="851"/>
        <w:rPr>
          <w:sz w:val="24"/>
          <w:szCs w:val="24"/>
        </w:rPr>
      </w:pPr>
      <w:r w:rsidRPr="00E90DD6">
        <w:rPr>
          <w:sz w:val="24"/>
          <w:szCs w:val="24"/>
        </w:rPr>
        <w:t>2860 Søborg</w:t>
      </w:r>
    </w:p>
    <w:p w14:paraId="3A8CF0E8" w14:textId="77777777" w:rsidR="009260DE" w:rsidRPr="00E90DD6" w:rsidRDefault="009260DE" w:rsidP="009260DE">
      <w:pPr>
        <w:tabs>
          <w:tab w:val="left" w:pos="851"/>
        </w:tabs>
        <w:ind w:left="851"/>
        <w:rPr>
          <w:sz w:val="24"/>
          <w:szCs w:val="24"/>
        </w:rPr>
      </w:pPr>
    </w:p>
    <w:p w14:paraId="4C02D35D" w14:textId="77777777" w:rsidR="009260DE" w:rsidRPr="00E90DD6" w:rsidRDefault="009260DE" w:rsidP="009260DE">
      <w:pPr>
        <w:tabs>
          <w:tab w:val="left" w:pos="851"/>
        </w:tabs>
        <w:ind w:left="851" w:hanging="851"/>
        <w:rPr>
          <w:b/>
          <w:sz w:val="24"/>
          <w:szCs w:val="24"/>
        </w:rPr>
      </w:pPr>
      <w:r w:rsidRPr="00E90DD6">
        <w:rPr>
          <w:b/>
          <w:sz w:val="24"/>
          <w:szCs w:val="24"/>
        </w:rPr>
        <w:t>8.</w:t>
      </w:r>
      <w:r w:rsidRPr="00E90DD6">
        <w:rPr>
          <w:b/>
          <w:sz w:val="24"/>
          <w:szCs w:val="24"/>
        </w:rPr>
        <w:tab/>
        <w:t>MARKEDSFØRINGSTILLADELSESNUMMER (NUMRE)</w:t>
      </w:r>
    </w:p>
    <w:p w14:paraId="237383E2" w14:textId="57B9A102" w:rsidR="009260DE" w:rsidRPr="00E90DD6" w:rsidRDefault="00CA6168" w:rsidP="009260DE">
      <w:pPr>
        <w:tabs>
          <w:tab w:val="left" w:pos="851"/>
        </w:tabs>
        <w:ind w:left="851"/>
        <w:rPr>
          <w:sz w:val="24"/>
          <w:szCs w:val="24"/>
        </w:rPr>
      </w:pPr>
      <w:r w:rsidRPr="00E90DD6">
        <w:rPr>
          <w:sz w:val="24"/>
          <w:szCs w:val="24"/>
        </w:rPr>
        <w:t>65596</w:t>
      </w:r>
    </w:p>
    <w:p w14:paraId="21973A90" w14:textId="77777777" w:rsidR="009260DE" w:rsidRPr="00E90DD6" w:rsidRDefault="009260DE" w:rsidP="009260DE">
      <w:pPr>
        <w:tabs>
          <w:tab w:val="left" w:pos="851"/>
        </w:tabs>
        <w:ind w:left="851"/>
        <w:jc w:val="both"/>
        <w:rPr>
          <w:sz w:val="24"/>
          <w:szCs w:val="24"/>
        </w:rPr>
      </w:pPr>
    </w:p>
    <w:p w14:paraId="41AE6866" w14:textId="77777777" w:rsidR="009260DE" w:rsidRPr="00E90DD6" w:rsidRDefault="009260DE" w:rsidP="009260DE">
      <w:pPr>
        <w:tabs>
          <w:tab w:val="left" w:pos="851"/>
        </w:tabs>
        <w:ind w:left="851" w:hanging="851"/>
        <w:rPr>
          <w:b/>
          <w:sz w:val="24"/>
          <w:szCs w:val="24"/>
        </w:rPr>
      </w:pPr>
      <w:r w:rsidRPr="00E90DD6">
        <w:rPr>
          <w:b/>
          <w:sz w:val="24"/>
          <w:szCs w:val="24"/>
        </w:rPr>
        <w:t>9.</w:t>
      </w:r>
      <w:r w:rsidRPr="00E90DD6">
        <w:rPr>
          <w:b/>
          <w:sz w:val="24"/>
          <w:szCs w:val="24"/>
        </w:rPr>
        <w:tab/>
        <w:t>DATO FOR FØRSTE MARKEDSFØRINGSTILLADELSE</w:t>
      </w:r>
    </w:p>
    <w:p w14:paraId="5AE7F2D6" w14:textId="16B29DC7" w:rsidR="009260DE" w:rsidRPr="00E90DD6" w:rsidRDefault="00830281" w:rsidP="009260DE">
      <w:pPr>
        <w:tabs>
          <w:tab w:val="left" w:pos="851"/>
        </w:tabs>
        <w:ind w:left="851"/>
        <w:rPr>
          <w:sz w:val="24"/>
          <w:szCs w:val="24"/>
        </w:rPr>
      </w:pPr>
      <w:r>
        <w:rPr>
          <w:sz w:val="24"/>
          <w:szCs w:val="24"/>
        </w:rPr>
        <w:t>29. april 2022</w:t>
      </w:r>
    </w:p>
    <w:p w14:paraId="0F5BD728" w14:textId="77777777" w:rsidR="009260DE" w:rsidRPr="00E90DD6" w:rsidRDefault="009260DE" w:rsidP="009260DE">
      <w:pPr>
        <w:tabs>
          <w:tab w:val="left" w:pos="851"/>
        </w:tabs>
        <w:ind w:left="851"/>
        <w:rPr>
          <w:sz w:val="24"/>
          <w:szCs w:val="24"/>
        </w:rPr>
      </w:pPr>
    </w:p>
    <w:p w14:paraId="5159E416" w14:textId="77777777" w:rsidR="009260DE" w:rsidRPr="00E90DD6" w:rsidRDefault="009260DE" w:rsidP="009260DE">
      <w:pPr>
        <w:tabs>
          <w:tab w:val="left" w:pos="851"/>
        </w:tabs>
        <w:ind w:left="851" w:hanging="851"/>
        <w:rPr>
          <w:b/>
          <w:sz w:val="24"/>
          <w:szCs w:val="24"/>
        </w:rPr>
      </w:pPr>
      <w:r w:rsidRPr="00E90DD6">
        <w:rPr>
          <w:b/>
          <w:sz w:val="24"/>
          <w:szCs w:val="24"/>
        </w:rPr>
        <w:t>10.</w:t>
      </w:r>
      <w:r w:rsidRPr="00E90DD6">
        <w:rPr>
          <w:b/>
          <w:sz w:val="24"/>
          <w:szCs w:val="24"/>
        </w:rPr>
        <w:tab/>
        <w:t>DATO FOR ÆNDRING AF TEKSTEN</w:t>
      </w:r>
    </w:p>
    <w:p w14:paraId="008FEF92" w14:textId="24A4F891" w:rsidR="009260DE" w:rsidRPr="00E90DD6" w:rsidRDefault="0041739F" w:rsidP="009260DE">
      <w:pPr>
        <w:tabs>
          <w:tab w:val="left" w:pos="851"/>
        </w:tabs>
        <w:ind w:left="851"/>
        <w:rPr>
          <w:sz w:val="24"/>
          <w:szCs w:val="24"/>
        </w:rPr>
      </w:pPr>
      <w:r>
        <w:rPr>
          <w:sz w:val="24"/>
          <w:szCs w:val="24"/>
        </w:rPr>
        <w:t>29. oktober 2024</w:t>
      </w:r>
      <w:bookmarkStart w:id="2" w:name="_GoBack"/>
      <w:bookmarkEnd w:id="2"/>
    </w:p>
    <w:sectPr w:rsidR="009260DE" w:rsidRPr="00E90DD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2E501" w14:textId="77777777" w:rsidR="00B26EC7" w:rsidRDefault="00B26EC7">
      <w:r>
        <w:separator/>
      </w:r>
    </w:p>
  </w:endnote>
  <w:endnote w:type="continuationSeparator" w:id="0">
    <w:p w14:paraId="0DCC8265" w14:textId="77777777" w:rsidR="00B26EC7" w:rsidRDefault="00B2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6AAAF" w14:textId="77777777" w:rsidR="000259B9" w:rsidRDefault="000259B9">
    <w:pPr>
      <w:pStyle w:val="Sidefod"/>
      <w:pBdr>
        <w:bottom w:val="single" w:sz="6" w:space="1" w:color="auto"/>
      </w:pBdr>
    </w:pPr>
  </w:p>
  <w:p w14:paraId="3FCEDF4E" w14:textId="77777777" w:rsidR="000259B9" w:rsidRDefault="000259B9" w:rsidP="00C42586">
    <w:pPr>
      <w:pStyle w:val="Sidefod"/>
      <w:tabs>
        <w:tab w:val="clear" w:pos="4819"/>
        <w:tab w:val="left" w:pos="8505"/>
      </w:tabs>
      <w:rPr>
        <w:i/>
        <w:sz w:val="18"/>
        <w:szCs w:val="18"/>
      </w:rPr>
    </w:pPr>
  </w:p>
  <w:p w14:paraId="7E59841B" w14:textId="06E02FA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25924">
      <w:rPr>
        <w:i/>
        <w:noProof/>
        <w:sz w:val="18"/>
        <w:szCs w:val="18"/>
      </w:rPr>
      <w:t>Budesonid Teva, hårde enterokapsler 3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FE753" w14:textId="77777777" w:rsidR="00B26EC7" w:rsidRDefault="00B26EC7">
      <w:r>
        <w:separator/>
      </w:r>
    </w:p>
  </w:footnote>
  <w:footnote w:type="continuationSeparator" w:id="0">
    <w:p w14:paraId="46ECA182" w14:textId="77777777" w:rsidR="00B26EC7" w:rsidRDefault="00B2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186118"/>
    <w:multiLevelType w:val="hybridMultilevel"/>
    <w:tmpl w:val="5FCEE7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7B3E6C"/>
    <w:multiLevelType w:val="hybridMultilevel"/>
    <w:tmpl w:val="03C29DF6"/>
    <w:lvl w:ilvl="0" w:tplc="6A3AB1AE">
      <w:numFmt w:val="bullet"/>
      <w:lvlText w:val="-"/>
      <w:lvlJc w:val="left"/>
      <w:pPr>
        <w:ind w:left="1211" w:hanging="360"/>
      </w:pPr>
      <w:rPr>
        <w:rFonts w:ascii="Times New Roman" w:eastAsia="Times New Roman" w:hAnsi="Times New Roman" w:cs="Times New Roman" w:hint="default"/>
        <w:i/>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5F11F32"/>
    <w:multiLevelType w:val="hybridMultilevel"/>
    <w:tmpl w:val="F3FE1700"/>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572F79"/>
    <w:multiLevelType w:val="hybridMultilevel"/>
    <w:tmpl w:val="F71C91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1700B22"/>
    <w:multiLevelType w:val="hybridMultilevel"/>
    <w:tmpl w:val="86D41C8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EDA70FF"/>
    <w:multiLevelType w:val="hybridMultilevel"/>
    <w:tmpl w:val="7EA615E4"/>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1" w15:restartNumberingAfterBreak="0">
    <w:nsid w:val="7C732CAE"/>
    <w:multiLevelType w:val="hybridMultilevel"/>
    <w:tmpl w:val="72D26FC0"/>
    <w:lvl w:ilvl="0" w:tplc="6A3AB1AE">
      <w:numFmt w:val="bullet"/>
      <w:lvlText w:val="-"/>
      <w:lvlJc w:val="left"/>
      <w:pPr>
        <w:ind w:left="1571" w:hanging="360"/>
      </w:pPr>
      <w:rPr>
        <w:rFonts w:ascii="Times New Roman" w:eastAsia="Times New Roman" w:hAnsi="Times New Roman" w:cs="Times New Roman" w:hint="default"/>
        <w:i/>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4"/>
  </w:num>
  <w:num w:numId="9">
    <w:abstractNumId w:val="2"/>
  </w:num>
  <w:num w:numId="10">
    <w:abstractNumId w:val="2"/>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C7"/>
    <w:rsid w:val="000259B9"/>
    <w:rsid w:val="00041491"/>
    <w:rsid w:val="00050D16"/>
    <w:rsid w:val="000730CA"/>
    <w:rsid w:val="00074F2A"/>
    <w:rsid w:val="0007645B"/>
    <w:rsid w:val="000955E7"/>
    <w:rsid w:val="000A1CA8"/>
    <w:rsid w:val="000A466B"/>
    <w:rsid w:val="000B058C"/>
    <w:rsid w:val="000E4EE6"/>
    <w:rsid w:val="001454E2"/>
    <w:rsid w:val="001F3519"/>
    <w:rsid w:val="00206CE8"/>
    <w:rsid w:val="0021526C"/>
    <w:rsid w:val="00283A2B"/>
    <w:rsid w:val="002B30AD"/>
    <w:rsid w:val="002C2C01"/>
    <w:rsid w:val="00325924"/>
    <w:rsid w:val="00370E59"/>
    <w:rsid w:val="003A29AE"/>
    <w:rsid w:val="003A32D7"/>
    <w:rsid w:val="003B4074"/>
    <w:rsid w:val="003C769A"/>
    <w:rsid w:val="003D33A4"/>
    <w:rsid w:val="003F1838"/>
    <w:rsid w:val="0041739F"/>
    <w:rsid w:val="0045746C"/>
    <w:rsid w:val="0049104B"/>
    <w:rsid w:val="004A5B85"/>
    <w:rsid w:val="004B1BE8"/>
    <w:rsid w:val="004E3B12"/>
    <w:rsid w:val="00532310"/>
    <w:rsid w:val="0054239A"/>
    <w:rsid w:val="00557C33"/>
    <w:rsid w:val="00565F0F"/>
    <w:rsid w:val="00594A86"/>
    <w:rsid w:val="00596D86"/>
    <w:rsid w:val="00637F5A"/>
    <w:rsid w:val="006560B1"/>
    <w:rsid w:val="006756DD"/>
    <w:rsid w:val="0070411C"/>
    <w:rsid w:val="00737275"/>
    <w:rsid w:val="00740EEC"/>
    <w:rsid w:val="0078011A"/>
    <w:rsid w:val="00782AF4"/>
    <w:rsid w:val="00787AE5"/>
    <w:rsid w:val="00790EE7"/>
    <w:rsid w:val="007B6649"/>
    <w:rsid w:val="00813B42"/>
    <w:rsid w:val="0082576E"/>
    <w:rsid w:val="00830281"/>
    <w:rsid w:val="008312F6"/>
    <w:rsid w:val="00841917"/>
    <w:rsid w:val="00907F75"/>
    <w:rsid w:val="009260DE"/>
    <w:rsid w:val="0093258A"/>
    <w:rsid w:val="009C7BA3"/>
    <w:rsid w:val="009D1F5A"/>
    <w:rsid w:val="009F6463"/>
    <w:rsid w:val="00A10294"/>
    <w:rsid w:val="00B003BF"/>
    <w:rsid w:val="00B26EC7"/>
    <w:rsid w:val="00B373D7"/>
    <w:rsid w:val="00C13736"/>
    <w:rsid w:val="00C36276"/>
    <w:rsid w:val="00C42586"/>
    <w:rsid w:val="00C60CCD"/>
    <w:rsid w:val="00C66038"/>
    <w:rsid w:val="00C84483"/>
    <w:rsid w:val="00C95551"/>
    <w:rsid w:val="00CA6168"/>
    <w:rsid w:val="00CB20D7"/>
    <w:rsid w:val="00CB3CD5"/>
    <w:rsid w:val="00D020B0"/>
    <w:rsid w:val="00D11748"/>
    <w:rsid w:val="00D11BE3"/>
    <w:rsid w:val="00D366CF"/>
    <w:rsid w:val="00D56FEC"/>
    <w:rsid w:val="00E108AA"/>
    <w:rsid w:val="00E13C43"/>
    <w:rsid w:val="00E3749A"/>
    <w:rsid w:val="00E647D4"/>
    <w:rsid w:val="00E7437F"/>
    <w:rsid w:val="00E865B8"/>
    <w:rsid w:val="00E90DD6"/>
    <w:rsid w:val="00EC0B9B"/>
    <w:rsid w:val="00ED5E9F"/>
    <w:rsid w:val="00F66D4F"/>
    <w:rsid w:val="00F9560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E49AE"/>
  <w15:chartTrackingRefBased/>
  <w15:docId w15:val="{255AB2F7-57A7-4C8C-8BCE-CF023C61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E647D4"/>
    <w:pPr>
      <w:keepNext/>
      <w:snapToGrid w:val="0"/>
      <w:ind w:left="851"/>
      <w:jc w:val="both"/>
      <w:outlineLvl w:val="3"/>
    </w:pPr>
    <w:rPr>
      <w:b/>
      <w:i/>
      <w:sz w:val="24"/>
      <w:lang w:val="en-GB"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4B1BE8"/>
    <w:pPr>
      <w:spacing w:before="120" w:after="120"/>
      <w:jc w:val="both"/>
    </w:pPr>
    <w:rPr>
      <w:sz w:val="22"/>
      <w:lang w:val="en-US"/>
    </w:rPr>
  </w:style>
  <w:style w:type="paragraph" w:styleId="Brdtekstindrykning">
    <w:name w:val="Body Text Indent"/>
    <w:basedOn w:val="Normal"/>
    <w:link w:val="BrdtekstindrykningTegn"/>
    <w:semiHidden/>
    <w:unhideWhenUsed/>
    <w:rsid w:val="004B1BE8"/>
    <w:pPr>
      <w:snapToGrid w:val="0"/>
      <w:ind w:left="2835"/>
    </w:pPr>
    <w:rPr>
      <w:rFonts w:ascii="Arial" w:hAnsi="Arial"/>
      <w:sz w:val="24"/>
      <w:lang w:eastAsia="ja-JP"/>
    </w:rPr>
  </w:style>
  <w:style w:type="character" w:customStyle="1" w:styleId="BrdtekstindrykningTegn">
    <w:name w:val="Brødtekstindrykning Tegn"/>
    <w:basedOn w:val="Standardskrifttypeiafsnit"/>
    <w:link w:val="Brdtekstindrykning"/>
    <w:semiHidden/>
    <w:rsid w:val="004B1BE8"/>
    <w:rPr>
      <w:rFonts w:ascii="Arial" w:hAnsi="Arial"/>
      <w:sz w:val="24"/>
      <w:lang w:eastAsia="ja-JP"/>
    </w:rPr>
  </w:style>
  <w:style w:type="character" w:customStyle="1" w:styleId="Overskrift4Tegn">
    <w:name w:val="Overskrift 4 Tegn"/>
    <w:basedOn w:val="Standardskrifttypeiafsnit"/>
    <w:link w:val="Overskrift4"/>
    <w:semiHidden/>
    <w:rsid w:val="00E647D4"/>
    <w:rPr>
      <w:b/>
      <w:i/>
      <w:sz w:val="24"/>
      <w:lang w:val="en-GB" w:eastAsia="ja-JP"/>
    </w:rPr>
  </w:style>
  <w:style w:type="paragraph" w:styleId="Brdtekst">
    <w:name w:val="Body Text"/>
    <w:basedOn w:val="Normal"/>
    <w:link w:val="BrdtekstTegn"/>
    <w:uiPriority w:val="99"/>
    <w:semiHidden/>
    <w:unhideWhenUsed/>
    <w:rsid w:val="00E647D4"/>
    <w:pPr>
      <w:spacing w:after="120"/>
    </w:pPr>
    <w:rPr>
      <w:sz w:val="24"/>
      <w:lang w:eastAsia="da-DK"/>
    </w:rPr>
  </w:style>
  <w:style w:type="character" w:customStyle="1" w:styleId="BrdtekstTegn">
    <w:name w:val="Brødtekst Tegn"/>
    <w:basedOn w:val="Standardskrifttypeiafsnit"/>
    <w:link w:val="Brdtekst"/>
    <w:uiPriority w:val="99"/>
    <w:semiHidden/>
    <w:rsid w:val="00E647D4"/>
    <w:rPr>
      <w:sz w:val="24"/>
    </w:rPr>
  </w:style>
  <w:style w:type="character" w:styleId="Hyperlink">
    <w:name w:val="Hyperlink"/>
    <w:uiPriority w:val="99"/>
    <w:semiHidden/>
    <w:unhideWhenUsed/>
    <w:rsid w:val="00E647D4"/>
    <w:rPr>
      <w:color w:val="0000FF"/>
      <w:u w:val="single"/>
    </w:rPr>
  </w:style>
  <w:style w:type="character" w:styleId="Strk">
    <w:name w:val="Strong"/>
    <w:uiPriority w:val="22"/>
    <w:qFormat/>
    <w:rsid w:val="00E647D4"/>
    <w:rPr>
      <w:b/>
      <w:bCs/>
      <w:i w:val="0"/>
      <w:iCs w:val="0"/>
    </w:rPr>
  </w:style>
  <w:style w:type="paragraph" w:styleId="NormalWeb">
    <w:name w:val="Normal (Web)"/>
    <w:basedOn w:val="Normal"/>
    <w:uiPriority w:val="99"/>
    <w:semiHidden/>
    <w:unhideWhenUsed/>
    <w:rsid w:val="00E647D4"/>
    <w:pPr>
      <w:spacing w:before="45" w:after="100" w:afterAutospacing="1"/>
    </w:pPr>
    <w:rPr>
      <w:sz w:val="22"/>
      <w:szCs w:val="22"/>
      <w:lang w:eastAsia="da-DK"/>
    </w:rPr>
  </w:style>
  <w:style w:type="paragraph" w:styleId="Brdtekstindrykning3">
    <w:name w:val="Body Text Indent 3"/>
    <w:basedOn w:val="Normal"/>
    <w:link w:val="Brdtekstindrykning3Tegn"/>
    <w:uiPriority w:val="99"/>
    <w:semiHidden/>
    <w:unhideWhenUsed/>
    <w:rsid w:val="00E647D4"/>
    <w:pPr>
      <w:spacing w:after="120"/>
      <w:ind w:left="283"/>
    </w:pPr>
    <w:rPr>
      <w:sz w:val="16"/>
      <w:szCs w:val="16"/>
      <w:lang w:eastAsia="da-DK"/>
    </w:rPr>
  </w:style>
  <w:style w:type="character" w:customStyle="1" w:styleId="Brdtekstindrykning3Tegn">
    <w:name w:val="Brødtekstindrykning 3 Tegn"/>
    <w:basedOn w:val="Standardskrifttypeiafsnit"/>
    <w:link w:val="Brdtekstindrykning3"/>
    <w:uiPriority w:val="99"/>
    <w:semiHidden/>
    <w:rsid w:val="00E647D4"/>
    <w:rPr>
      <w:sz w:val="16"/>
      <w:szCs w:val="16"/>
    </w:rPr>
  </w:style>
  <w:style w:type="paragraph" w:customStyle="1" w:styleId="A-TableText">
    <w:name w:val="A-Table Text"/>
    <w:uiPriority w:val="99"/>
    <w:semiHidden/>
    <w:rsid w:val="00E647D4"/>
    <w:pPr>
      <w:spacing w:before="60" w:after="60"/>
    </w:pPr>
    <w:rPr>
      <w:sz w:val="22"/>
      <w:lang w:val="en-GB" w:eastAsia="en-US"/>
    </w:rPr>
  </w:style>
  <w:style w:type="character" w:customStyle="1" w:styleId="longtext1">
    <w:name w:val="long_text1"/>
    <w:rsid w:val="00E647D4"/>
    <w:rPr>
      <w:sz w:val="20"/>
      <w:szCs w:val="20"/>
    </w:rPr>
  </w:style>
  <w:style w:type="paragraph" w:styleId="Listeafsnit">
    <w:name w:val="List Paragraph"/>
    <w:basedOn w:val="Normal"/>
    <w:uiPriority w:val="34"/>
    <w:qFormat/>
    <w:rsid w:val="00D11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1625368">
      <w:bodyDiv w:val="1"/>
      <w:marLeft w:val="0"/>
      <w:marRight w:val="0"/>
      <w:marTop w:val="0"/>
      <w:marBottom w:val="0"/>
      <w:divBdr>
        <w:top w:val="none" w:sz="0" w:space="0" w:color="auto"/>
        <w:left w:val="none" w:sz="0" w:space="0" w:color="auto"/>
        <w:bottom w:val="none" w:sz="0" w:space="0" w:color="auto"/>
        <w:right w:val="none" w:sz="0" w:space="0" w:color="auto"/>
      </w:divBdr>
    </w:div>
    <w:div w:id="184753037">
      <w:bodyDiv w:val="1"/>
      <w:marLeft w:val="0"/>
      <w:marRight w:val="0"/>
      <w:marTop w:val="0"/>
      <w:marBottom w:val="0"/>
      <w:divBdr>
        <w:top w:val="none" w:sz="0" w:space="0" w:color="auto"/>
        <w:left w:val="none" w:sz="0" w:space="0" w:color="auto"/>
        <w:bottom w:val="none" w:sz="0" w:space="0" w:color="auto"/>
        <w:right w:val="none" w:sz="0" w:space="0" w:color="auto"/>
      </w:divBdr>
    </w:div>
    <w:div w:id="197164452">
      <w:bodyDiv w:val="1"/>
      <w:marLeft w:val="0"/>
      <w:marRight w:val="0"/>
      <w:marTop w:val="0"/>
      <w:marBottom w:val="0"/>
      <w:divBdr>
        <w:top w:val="none" w:sz="0" w:space="0" w:color="auto"/>
        <w:left w:val="none" w:sz="0" w:space="0" w:color="auto"/>
        <w:bottom w:val="none" w:sz="0" w:space="0" w:color="auto"/>
        <w:right w:val="none" w:sz="0" w:space="0" w:color="auto"/>
      </w:divBdr>
    </w:div>
    <w:div w:id="244727112">
      <w:bodyDiv w:val="1"/>
      <w:marLeft w:val="0"/>
      <w:marRight w:val="0"/>
      <w:marTop w:val="0"/>
      <w:marBottom w:val="0"/>
      <w:divBdr>
        <w:top w:val="none" w:sz="0" w:space="0" w:color="auto"/>
        <w:left w:val="none" w:sz="0" w:space="0" w:color="auto"/>
        <w:bottom w:val="none" w:sz="0" w:space="0" w:color="auto"/>
        <w:right w:val="none" w:sz="0" w:space="0" w:color="auto"/>
      </w:divBdr>
    </w:div>
    <w:div w:id="259680283">
      <w:bodyDiv w:val="1"/>
      <w:marLeft w:val="0"/>
      <w:marRight w:val="0"/>
      <w:marTop w:val="0"/>
      <w:marBottom w:val="0"/>
      <w:divBdr>
        <w:top w:val="none" w:sz="0" w:space="0" w:color="auto"/>
        <w:left w:val="none" w:sz="0" w:space="0" w:color="auto"/>
        <w:bottom w:val="none" w:sz="0" w:space="0" w:color="auto"/>
        <w:right w:val="none" w:sz="0" w:space="0" w:color="auto"/>
      </w:divBdr>
    </w:div>
    <w:div w:id="295113824">
      <w:bodyDiv w:val="1"/>
      <w:marLeft w:val="0"/>
      <w:marRight w:val="0"/>
      <w:marTop w:val="0"/>
      <w:marBottom w:val="0"/>
      <w:divBdr>
        <w:top w:val="none" w:sz="0" w:space="0" w:color="auto"/>
        <w:left w:val="none" w:sz="0" w:space="0" w:color="auto"/>
        <w:bottom w:val="none" w:sz="0" w:space="0" w:color="auto"/>
        <w:right w:val="none" w:sz="0" w:space="0" w:color="auto"/>
      </w:divBdr>
    </w:div>
    <w:div w:id="616066201">
      <w:bodyDiv w:val="1"/>
      <w:marLeft w:val="0"/>
      <w:marRight w:val="0"/>
      <w:marTop w:val="0"/>
      <w:marBottom w:val="0"/>
      <w:divBdr>
        <w:top w:val="none" w:sz="0" w:space="0" w:color="auto"/>
        <w:left w:val="none" w:sz="0" w:space="0" w:color="auto"/>
        <w:bottom w:val="none" w:sz="0" w:space="0" w:color="auto"/>
        <w:right w:val="none" w:sz="0" w:space="0" w:color="auto"/>
      </w:divBdr>
    </w:div>
    <w:div w:id="623586629">
      <w:bodyDiv w:val="1"/>
      <w:marLeft w:val="0"/>
      <w:marRight w:val="0"/>
      <w:marTop w:val="0"/>
      <w:marBottom w:val="0"/>
      <w:divBdr>
        <w:top w:val="none" w:sz="0" w:space="0" w:color="auto"/>
        <w:left w:val="none" w:sz="0" w:space="0" w:color="auto"/>
        <w:bottom w:val="none" w:sz="0" w:space="0" w:color="auto"/>
        <w:right w:val="none" w:sz="0" w:space="0" w:color="auto"/>
      </w:divBdr>
    </w:div>
    <w:div w:id="778110120">
      <w:bodyDiv w:val="1"/>
      <w:marLeft w:val="0"/>
      <w:marRight w:val="0"/>
      <w:marTop w:val="0"/>
      <w:marBottom w:val="0"/>
      <w:divBdr>
        <w:top w:val="none" w:sz="0" w:space="0" w:color="auto"/>
        <w:left w:val="none" w:sz="0" w:space="0" w:color="auto"/>
        <w:bottom w:val="none" w:sz="0" w:space="0" w:color="auto"/>
        <w:right w:val="none" w:sz="0" w:space="0" w:color="auto"/>
      </w:divBdr>
    </w:div>
    <w:div w:id="838807173">
      <w:bodyDiv w:val="1"/>
      <w:marLeft w:val="0"/>
      <w:marRight w:val="0"/>
      <w:marTop w:val="0"/>
      <w:marBottom w:val="0"/>
      <w:divBdr>
        <w:top w:val="none" w:sz="0" w:space="0" w:color="auto"/>
        <w:left w:val="none" w:sz="0" w:space="0" w:color="auto"/>
        <w:bottom w:val="none" w:sz="0" w:space="0" w:color="auto"/>
        <w:right w:val="none" w:sz="0" w:space="0" w:color="auto"/>
      </w:divBdr>
    </w:div>
    <w:div w:id="1236746067">
      <w:bodyDiv w:val="1"/>
      <w:marLeft w:val="0"/>
      <w:marRight w:val="0"/>
      <w:marTop w:val="0"/>
      <w:marBottom w:val="0"/>
      <w:divBdr>
        <w:top w:val="none" w:sz="0" w:space="0" w:color="auto"/>
        <w:left w:val="none" w:sz="0" w:space="0" w:color="auto"/>
        <w:bottom w:val="none" w:sz="0" w:space="0" w:color="auto"/>
        <w:right w:val="none" w:sz="0" w:space="0" w:color="auto"/>
      </w:divBdr>
    </w:div>
    <w:div w:id="1242715223">
      <w:bodyDiv w:val="1"/>
      <w:marLeft w:val="0"/>
      <w:marRight w:val="0"/>
      <w:marTop w:val="0"/>
      <w:marBottom w:val="0"/>
      <w:divBdr>
        <w:top w:val="none" w:sz="0" w:space="0" w:color="auto"/>
        <w:left w:val="none" w:sz="0" w:space="0" w:color="auto"/>
        <w:bottom w:val="none" w:sz="0" w:space="0" w:color="auto"/>
        <w:right w:val="none" w:sz="0" w:space="0" w:color="auto"/>
      </w:divBdr>
    </w:div>
    <w:div w:id="1315833229">
      <w:bodyDiv w:val="1"/>
      <w:marLeft w:val="0"/>
      <w:marRight w:val="0"/>
      <w:marTop w:val="0"/>
      <w:marBottom w:val="0"/>
      <w:divBdr>
        <w:top w:val="none" w:sz="0" w:space="0" w:color="auto"/>
        <w:left w:val="none" w:sz="0" w:space="0" w:color="auto"/>
        <w:bottom w:val="none" w:sz="0" w:space="0" w:color="auto"/>
        <w:right w:val="none" w:sz="0" w:space="0" w:color="auto"/>
      </w:divBdr>
    </w:div>
    <w:div w:id="1345937099">
      <w:bodyDiv w:val="1"/>
      <w:marLeft w:val="0"/>
      <w:marRight w:val="0"/>
      <w:marTop w:val="0"/>
      <w:marBottom w:val="0"/>
      <w:divBdr>
        <w:top w:val="none" w:sz="0" w:space="0" w:color="auto"/>
        <w:left w:val="none" w:sz="0" w:space="0" w:color="auto"/>
        <w:bottom w:val="none" w:sz="0" w:space="0" w:color="auto"/>
        <w:right w:val="none" w:sz="0" w:space="0" w:color="auto"/>
      </w:divBdr>
    </w:div>
    <w:div w:id="1610623624">
      <w:bodyDiv w:val="1"/>
      <w:marLeft w:val="0"/>
      <w:marRight w:val="0"/>
      <w:marTop w:val="0"/>
      <w:marBottom w:val="0"/>
      <w:divBdr>
        <w:top w:val="none" w:sz="0" w:space="0" w:color="auto"/>
        <w:left w:val="none" w:sz="0" w:space="0" w:color="auto"/>
        <w:bottom w:val="none" w:sz="0" w:space="0" w:color="auto"/>
        <w:right w:val="none" w:sz="0" w:space="0" w:color="auto"/>
      </w:divBdr>
    </w:div>
    <w:div w:id="1646667153">
      <w:bodyDiv w:val="1"/>
      <w:marLeft w:val="0"/>
      <w:marRight w:val="0"/>
      <w:marTop w:val="0"/>
      <w:marBottom w:val="0"/>
      <w:divBdr>
        <w:top w:val="none" w:sz="0" w:space="0" w:color="auto"/>
        <w:left w:val="none" w:sz="0" w:space="0" w:color="auto"/>
        <w:bottom w:val="none" w:sz="0" w:space="0" w:color="auto"/>
        <w:right w:val="none" w:sz="0" w:space="0" w:color="auto"/>
      </w:divBdr>
    </w:div>
    <w:div w:id="1717660810">
      <w:bodyDiv w:val="1"/>
      <w:marLeft w:val="0"/>
      <w:marRight w:val="0"/>
      <w:marTop w:val="0"/>
      <w:marBottom w:val="0"/>
      <w:divBdr>
        <w:top w:val="none" w:sz="0" w:space="0" w:color="auto"/>
        <w:left w:val="none" w:sz="0" w:space="0" w:color="auto"/>
        <w:bottom w:val="none" w:sz="0" w:space="0" w:color="auto"/>
        <w:right w:val="none" w:sz="0" w:space="0" w:color="auto"/>
      </w:divBdr>
    </w:div>
    <w:div w:id="1731729979">
      <w:bodyDiv w:val="1"/>
      <w:marLeft w:val="0"/>
      <w:marRight w:val="0"/>
      <w:marTop w:val="0"/>
      <w:marBottom w:val="0"/>
      <w:divBdr>
        <w:top w:val="none" w:sz="0" w:space="0" w:color="auto"/>
        <w:left w:val="none" w:sz="0" w:space="0" w:color="auto"/>
        <w:bottom w:val="none" w:sz="0" w:space="0" w:color="auto"/>
        <w:right w:val="none" w:sz="0" w:space="0" w:color="auto"/>
      </w:divBdr>
    </w:div>
    <w:div w:id="1756978825">
      <w:bodyDiv w:val="1"/>
      <w:marLeft w:val="0"/>
      <w:marRight w:val="0"/>
      <w:marTop w:val="0"/>
      <w:marBottom w:val="0"/>
      <w:divBdr>
        <w:top w:val="none" w:sz="0" w:space="0" w:color="auto"/>
        <w:left w:val="none" w:sz="0" w:space="0" w:color="auto"/>
        <w:bottom w:val="none" w:sz="0" w:space="0" w:color="auto"/>
        <w:right w:val="none" w:sz="0" w:space="0" w:color="auto"/>
      </w:divBdr>
    </w:div>
    <w:div w:id="1807896784">
      <w:bodyDiv w:val="1"/>
      <w:marLeft w:val="0"/>
      <w:marRight w:val="0"/>
      <w:marTop w:val="0"/>
      <w:marBottom w:val="0"/>
      <w:divBdr>
        <w:top w:val="none" w:sz="0" w:space="0" w:color="auto"/>
        <w:left w:val="none" w:sz="0" w:space="0" w:color="auto"/>
        <w:bottom w:val="none" w:sz="0" w:space="0" w:color="auto"/>
        <w:right w:val="none" w:sz="0" w:space="0" w:color="auto"/>
      </w:divBdr>
    </w:div>
    <w:div w:id="1930696946">
      <w:bodyDiv w:val="1"/>
      <w:marLeft w:val="0"/>
      <w:marRight w:val="0"/>
      <w:marTop w:val="0"/>
      <w:marBottom w:val="0"/>
      <w:divBdr>
        <w:top w:val="none" w:sz="0" w:space="0" w:color="auto"/>
        <w:left w:val="none" w:sz="0" w:space="0" w:color="auto"/>
        <w:bottom w:val="none" w:sz="0" w:space="0" w:color="auto"/>
        <w:right w:val="none" w:sz="0" w:space="0" w:color="auto"/>
      </w:divBdr>
    </w:div>
    <w:div w:id="2019845658">
      <w:bodyDiv w:val="1"/>
      <w:marLeft w:val="0"/>
      <w:marRight w:val="0"/>
      <w:marTop w:val="0"/>
      <w:marBottom w:val="0"/>
      <w:divBdr>
        <w:top w:val="none" w:sz="0" w:space="0" w:color="auto"/>
        <w:left w:val="none" w:sz="0" w:space="0" w:color="auto"/>
        <w:bottom w:val="none" w:sz="0" w:space="0" w:color="auto"/>
        <w:right w:val="none" w:sz="0" w:space="0" w:color="auto"/>
      </w:divBdr>
    </w:div>
    <w:div w:id="20803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4801</Words>
  <Characters>30503</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2024091101 pkt. 6.4. ændret til ikke over 25°C.</dc:description>
  <cp:lastModifiedBy>Helle Søndersted</cp:lastModifiedBy>
  <cp:revision>2</cp:revision>
  <cp:lastPrinted>2012-08-22T08:53:00Z</cp:lastPrinted>
  <dcterms:created xsi:type="dcterms:W3CDTF">2024-10-29T08:30:00Z</dcterms:created>
  <dcterms:modified xsi:type="dcterms:W3CDTF">2024-10-29T08:30:00Z</dcterms:modified>
</cp:coreProperties>
</file>