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7E9C" w14:textId="73713F33" w:rsidR="009260DE" w:rsidRPr="006B1CEF" w:rsidRDefault="0021526C" w:rsidP="006B1CEF">
      <w:pPr>
        <w:rPr>
          <w:b/>
          <w:sz w:val="24"/>
          <w:szCs w:val="24"/>
        </w:rPr>
      </w:pPr>
      <w:r w:rsidRPr="009260DE">
        <w:rPr>
          <w:noProof/>
          <w:sz w:val="24"/>
          <w:szCs w:val="24"/>
          <w:lang w:eastAsia="da-DK"/>
        </w:rPr>
        <w:drawing>
          <wp:anchor distT="0" distB="0" distL="114300" distR="114300" simplePos="0" relativeHeight="251658240" behindDoc="0" locked="0" layoutInCell="1" allowOverlap="1" wp14:anchorId="2E43427F" wp14:editId="655AC3F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F2DF3B3" w14:textId="599634C8" w:rsidR="009260DE" w:rsidRPr="006B1CEF" w:rsidRDefault="009260DE" w:rsidP="009260DE">
      <w:pPr>
        <w:pStyle w:val="Titel"/>
        <w:tabs>
          <w:tab w:val="right" w:pos="9356"/>
        </w:tabs>
        <w:jc w:val="left"/>
        <w:rPr>
          <w:b w:val="0"/>
          <w:szCs w:val="24"/>
          <w:lang w:eastAsia="en-US"/>
        </w:rPr>
      </w:pPr>
      <w:r w:rsidRPr="006B1CEF">
        <w:rPr>
          <w:b w:val="0"/>
          <w:szCs w:val="24"/>
          <w:lang w:eastAsia="en-US"/>
        </w:rPr>
        <w:tab/>
      </w:r>
      <w:r w:rsidR="00CC62E3">
        <w:rPr>
          <w:szCs w:val="24"/>
        </w:rPr>
        <w:t>4. august 2022</w:t>
      </w:r>
    </w:p>
    <w:p w14:paraId="10EAE961" w14:textId="77777777" w:rsidR="009260DE" w:rsidRPr="006B1CEF" w:rsidRDefault="009260DE" w:rsidP="009260DE">
      <w:pPr>
        <w:pStyle w:val="Titel"/>
        <w:tabs>
          <w:tab w:val="left" w:pos="8222"/>
        </w:tabs>
        <w:jc w:val="left"/>
        <w:rPr>
          <w:b w:val="0"/>
          <w:szCs w:val="24"/>
        </w:rPr>
      </w:pPr>
    </w:p>
    <w:p w14:paraId="1F07EF6E" w14:textId="77777777" w:rsidR="009260DE" w:rsidRPr="006B1CEF" w:rsidRDefault="009260DE" w:rsidP="009260DE">
      <w:pPr>
        <w:pStyle w:val="Titel"/>
        <w:jc w:val="left"/>
        <w:rPr>
          <w:b w:val="0"/>
          <w:szCs w:val="24"/>
        </w:rPr>
      </w:pPr>
    </w:p>
    <w:p w14:paraId="0E79037D" w14:textId="77777777" w:rsidR="009260DE" w:rsidRPr="006B1CEF" w:rsidRDefault="009260DE" w:rsidP="009260DE">
      <w:pPr>
        <w:pStyle w:val="Titel"/>
        <w:jc w:val="left"/>
        <w:rPr>
          <w:b w:val="0"/>
          <w:szCs w:val="24"/>
        </w:rPr>
      </w:pPr>
    </w:p>
    <w:p w14:paraId="5387928C" w14:textId="77777777" w:rsidR="009260DE" w:rsidRPr="006B1CEF" w:rsidRDefault="009260DE" w:rsidP="009260DE">
      <w:pPr>
        <w:jc w:val="center"/>
        <w:rPr>
          <w:b/>
          <w:sz w:val="24"/>
          <w:szCs w:val="24"/>
        </w:rPr>
      </w:pPr>
      <w:r w:rsidRPr="006B1CEF">
        <w:rPr>
          <w:b/>
          <w:sz w:val="24"/>
          <w:szCs w:val="24"/>
        </w:rPr>
        <w:t>PRODUKTRESUMÉ</w:t>
      </w:r>
    </w:p>
    <w:p w14:paraId="130DF149" w14:textId="77777777" w:rsidR="009260DE" w:rsidRPr="006B1CEF" w:rsidRDefault="009260DE" w:rsidP="009260DE">
      <w:pPr>
        <w:jc w:val="center"/>
        <w:rPr>
          <w:b/>
          <w:sz w:val="24"/>
          <w:szCs w:val="24"/>
        </w:rPr>
      </w:pPr>
    </w:p>
    <w:p w14:paraId="18EE2AA1" w14:textId="77777777" w:rsidR="009260DE" w:rsidRPr="006B1CEF" w:rsidRDefault="009260DE" w:rsidP="009260DE">
      <w:pPr>
        <w:jc w:val="center"/>
        <w:rPr>
          <w:b/>
          <w:sz w:val="24"/>
          <w:szCs w:val="24"/>
        </w:rPr>
      </w:pPr>
      <w:r w:rsidRPr="006B1CEF">
        <w:rPr>
          <w:b/>
          <w:sz w:val="24"/>
          <w:szCs w:val="24"/>
        </w:rPr>
        <w:t>for</w:t>
      </w:r>
    </w:p>
    <w:p w14:paraId="03E6234E" w14:textId="77777777" w:rsidR="000B058C" w:rsidRPr="006B1CEF" w:rsidRDefault="000B058C" w:rsidP="009260DE">
      <w:pPr>
        <w:jc w:val="center"/>
        <w:rPr>
          <w:b/>
          <w:sz w:val="24"/>
          <w:szCs w:val="24"/>
        </w:rPr>
      </w:pPr>
    </w:p>
    <w:p w14:paraId="2EE51F62" w14:textId="449ADE27" w:rsidR="009260DE" w:rsidRPr="006B1CEF" w:rsidRDefault="005E7D1A" w:rsidP="009260DE">
      <w:pPr>
        <w:jc w:val="center"/>
        <w:rPr>
          <w:b/>
          <w:sz w:val="24"/>
          <w:szCs w:val="24"/>
        </w:rPr>
      </w:pPr>
      <w:proofErr w:type="spellStart"/>
      <w:r w:rsidRPr="006B1CEF">
        <w:rPr>
          <w:b/>
          <w:sz w:val="24"/>
          <w:szCs w:val="24"/>
        </w:rPr>
        <w:t>Bumacor</w:t>
      </w:r>
      <w:proofErr w:type="spellEnd"/>
      <w:r w:rsidRPr="006B1CEF">
        <w:rPr>
          <w:b/>
          <w:sz w:val="24"/>
          <w:szCs w:val="24"/>
        </w:rPr>
        <w:t>, injektionsvæske, opløsning</w:t>
      </w:r>
    </w:p>
    <w:p w14:paraId="26F1C759" w14:textId="77777777" w:rsidR="009260DE" w:rsidRPr="006B1CEF" w:rsidRDefault="009260DE" w:rsidP="009260DE">
      <w:pPr>
        <w:jc w:val="both"/>
        <w:rPr>
          <w:sz w:val="24"/>
          <w:szCs w:val="24"/>
        </w:rPr>
      </w:pPr>
    </w:p>
    <w:p w14:paraId="24796585" w14:textId="77777777" w:rsidR="009260DE" w:rsidRPr="006B1CEF" w:rsidRDefault="009260DE" w:rsidP="009260DE">
      <w:pPr>
        <w:jc w:val="both"/>
        <w:rPr>
          <w:sz w:val="24"/>
          <w:szCs w:val="24"/>
        </w:rPr>
      </w:pPr>
    </w:p>
    <w:p w14:paraId="60385E08" w14:textId="77777777" w:rsidR="009260DE" w:rsidRPr="006B1CEF" w:rsidRDefault="009260DE" w:rsidP="009260DE">
      <w:pPr>
        <w:tabs>
          <w:tab w:val="left" w:pos="851"/>
        </w:tabs>
        <w:ind w:left="851" w:hanging="851"/>
        <w:rPr>
          <w:b/>
          <w:sz w:val="24"/>
          <w:szCs w:val="24"/>
        </w:rPr>
      </w:pPr>
      <w:r w:rsidRPr="006B1CEF">
        <w:rPr>
          <w:b/>
          <w:sz w:val="24"/>
          <w:szCs w:val="24"/>
        </w:rPr>
        <w:t>0.</w:t>
      </w:r>
      <w:r w:rsidRPr="006B1CEF">
        <w:rPr>
          <w:b/>
          <w:sz w:val="24"/>
          <w:szCs w:val="24"/>
        </w:rPr>
        <w:tab/>
        <w:t>D.SP.NR.</w:t>
      </w:r>
    </w:p>
    <w:p w14:paraId="6D7C3404" w14:textId="4611F869" w:rsidR="009260DE" w:rsidRPr="006B1CEF" w:rsidRDefault="005E7D1A" w:rsidP="009260DE">
      <w:pPr>
        <w:tabs>
          <w:tab w:val="left" w:pos="851"/>
        </w:tabs>
        <w:ind w:left="851"/>
        <w:rPr>
          <w:sz w:val="24"/>
          <w:szCs w:val="24"/>
        </w:rPr>
      </w:pPr>
      <w:r w:rsidRPr="006B1CEF">
        <w:rPr>
          <w:sz w:val="24"/>
          <w:szCs w:val="24"/>
        </w:rPr>
        <w:t>32263</w:t>
      </w:r>
    </w:p>
    <w:p w14:paraId="50E478DC" w14:textId="77777777" w:rsidR="009260DE" w:rsidRPr="006B1CEF" w:rsidRDefault="009260DE" w:rsidP="009260DE">
      <w:pPr>
        <w:tabs>
          <w:tab w:val="left" w:pos="851"/>
        </w:tabs>
        <w:ind w:left="851"/>
        <w:rPr>
          <w:sz w:val="24"/>
          <w:szCs w:val="24"/>
        </w:rPr>
      </w:pPr>
    </w:p>
    <w:p w14:paraId="67FD700E" w14:textId="77777777" w:rsidR="009260DE" w:rsidRPr="006B1CEF" w:rsidRDefault="009260DE" w:rsidP="009260DE">
      <w:pPr>
        <w:tabs>
          <w:tab w:val="left" w:pos="851"/>
        </w:tabs>
        <w:ind w:left="851" w:hanging="851"/>
        <w:rPr>
          <w:b/>
          <w:sz w:val="24"/>
          <w:szCs w:val="24"/>
        </w:rPr>
      </w:pPr>
      <w:r w:rsidRPr="006B1CEF">
        <w:rPr>
          <w:b/>
          <w:sz w:val="24"/>
          <w:szCs w:val="24"/>
        </w:rPr>
        <w:t>1.</w:t>
      </w:r>
      <w:r w:rsidRPr="006B1CEF">
        <w:rPr>
          <w:b/>
          <w:sz w:val="24"/>
          <w:szCs w:val="24"/>
        </w:rPr>
        <w:tab/>
        <w:t>LÆGEMIDLETS NAVN</w:t>
      </w:r>
    </w:p>
    <w:p w14:paraId="00C0A4A7" w14:textId="7467B228" w:rsidR="009260DE" w:rsidRPr="006B1CEF" w:rsidRDefault="005E7D1A" w:rsidP="009260DE">
      <w:pPr>
        <w:tabs>
          <w:tab w:val="left" w:pos="851"/>
        </w:tabs>
        <w:ind w:left="851"/>
        <w:rPr>
          <w:sz w:val="24"/>
          <w:szCs w:val="24"/>
        </w:rPr>
      </w:pPr>
      <w:proofErr w:type="spellStart"/>
      <w:r w:rsidRPr="006B1CEF">
        <w:rPr>
          <w:sz w:val="24"/>
          <w:szCs w:val="24"/>
        </w:rPr>
        <w:t>Bumacor</w:t>
      </w:r>
      <w:proofErr w:type="spellEnd"/>
    </w:p>
    <w:p w14:paraId="79794CCB" w14:textId="77777777" w:rsidR="009260DE" w:rsidRPr="006B1CEF" w:rsidRDefault="009260DE" w:rsidP="009260DE">
      <w:pPr>
        <w:tabs>
          <w:tab w:val="left" w:pos="851"/>
        </w:tabs>
        <w:ind w:left="851"/>
        <w:rPr>
          <w:sz w:val="24"/>
          <w:szCs w:val="24"/>
        </w:rPr>
      </w:pPr>
    </w:p>
    <w:p w14:paraId="3D83F571" w14:textId="77777777" w:rsidR="009260DE" w:rsidRPr="006B1CEF" w:rsidRDefault="009260DE" w:rsidP="009260DE">
      <w:pPr>
        <w:tabs>
          <w:tab w:val="left" w:pos="851"/>
        </w:tabs>
        <w:ind w:left="851" w:hanging="851"/>
        <w:rPr>
          <w:b/>
          <w:sz w:val="24"/>
          <w:szCs w:val="24"/>
        </w:rPr>
      </w:pPr>
      <w:r w:rsidRPr="006B1CEF">
        <w:rPr>
          <w:b/>
          <w:sz w:val="24"/>
          <w:szCs w:val="24"/>
        </w:rPr>
        <w:t>2.</w:t>
      </w:r>
      <w:r w:rsidRPr="006B1CEF">
        <w:rPr>
          <w:b/>
          <w:sz w:val="24"/>
          <w:szCs w:val="24"/>
        </w:rPr>
        <w:tab/>
        <w:t>KVALITATIV OG KVANTITATIV SAMMENSÆTNING</w:t>
      </w:r>
    </w:p>
    <w:p w14:paraId="528BAE2B" w14:textId="77777777" w:rsidR="00900E22" w:rsidRPr="006B1CEF" w:rsidRDefault="00900E22" w:rsidP="000943B0">
      <w:pPr>
        <w:pStyle w:val="EMEAEnBodyText"/>
        <w:autoSpaceDE w:val="0"/>
        <w:autoSpaceDN w:val="0"/>
        <w:adjustRightInd w:val="0"/>
        <w:spacing w:before="0" w:after="0"/>
        <w:ind w:left="851"/>
        <w:rPr>
          <w:iCs/>
          <w:sz w:val="24"/>
          <w:szCs w:val="24"/>
        </w:rPr>
      </w:pPr>
      <w:r w:rsidRPr="006B1CEF">
        <w:rPr>
          <w:sz w:val="24"/>
          <w:szCs w:val="24"/>
        </w:rPr>
        <w:t xml:space="preserve">Hver ml opløsning (= en ampul) indeholder 20 mg </w:t>
      </w:r>
      <w:bookmarkStart w:id="0" w:name="_Hlk110493027"/>
      <w:proofErr w:type="spellStart"/>
      <w:r w:rsidRPr="006B1CEF">
        <w:rPr>
          <w:sz w:val="24"/>
          <w:szCs w:val="24"/>
        </w:rPr>
        <w:t>hyoscinbutylbromid</w:t>
      </w:r>
      <w:bookmarkEnd w:id="0"/>
      <w:proofErr w:type="spellEnd"/>
      <w:r w:rsidRPr="006B1CEF">
        <w:rPr>
          <w:sz w:val="24"/>
          <w:szCs w:val="24"/>
        </w:rPr>
        <w:t>.</w:t>
      </w:r>
    </w:p>
    <w:p w14:paraId="53A58954" w14:textId="77777777" w:rsidR="00900E22" w:rsidRPr="006B1CEF" w:rsidRDefault="00900E22" w:rsidP="000943B0">
      <w:pPr>
        <w:pStyle w:val="EMEAEnBodyText"/>
        <w:autoSpaceDE w:val="0"/>
        <w:autoSpaceDN w:val="0"/>
        <w:adjustRightInd w:val="0"/>
        <w:spacing w:before="0" w:after="0"/>
        <w:ind w:left="851"/>
        <w:rPr>
          <w:iCs/>
          <w:sz w:val="24"/>
          <w:szCs w:val="24"/>
        </w:rPr>
      </w:pPr>
    </w:p>
    <w:p w14:paraId="10922FF7" w14:textId="77777777" w:rsidR="00900E22" w:rsidRPr="006B1CEF" w:rsidRDefault="00900E22" w:rsidP="000943B0">
      <w:pPr>
        <w:ind w:left="851"/>
        <w:rPr>
          <w:sz w:val="24"/>
          <w:szCs w:val="24"/>
        </w:rPr>
      </w:pPr>
      <w:r w:rsidRPr="006B1CEF">
        <w:rPr>
          <w:sz w:val="24"/>
          <w:szCs w:val="24"/>
        </w:rPr>
        <w:t>Alle hjælpestoffer er anført under pkt. 6.1.</w:t>
      </w:r>
    </w:p>
    <w:p w14:paraId="6574B2C1" w14:textId="77777777" w:rsidR="009260DE" w:rsidRPr="006B1CEF" w:rsidRDefault="009260DE" w:rsidP="009260DE">
      <w:pPr>
        <w:tabs>
          <w:tab w:val="left" w:pos="851"/>
        </w:tabs>
        <w:ind w:left="851"/>
        <w:rPr>
          <w:sz w:val="24"/>
          <w:szCs w:val="24"/>
        </w:rPr>
      </w:pPr>
    </w:p>
    <w:p w14:paraId="48FA8C6D" w14:textId="77777777" w:rsidR="009260DE" w:rsidRPr="006B1CEF" w:rsidRDefault="009260DE" w:rsidP="009260DE">
      <w:pPr>
        <w:tabs>
          <w:tab w:val="left" w:pos="851"/>
        </w:tabs>
        <w:ind w:left="851" w:hanging="851"/>
        <w:rPr>
          <w:b/>
          <w:sz w:val="24"/>
          <w:szCs w:val="24"/>
        </w:rPr>
      </w:pPr>
      <w:r w:rsidRPr="006B1CEF">
        <w:rPr>
          <w:b/>
          <w:sz w:val="24"/>
          <w:szCs w:val="24"/>
        </w:rPr>
        <w:t>3.</w:t>
      </w:r>
      <w:r w:rsidRPr="006B1CEF">
        <w:rPr>
          <w:b/>
          <w:sz w:val="24"/>
          <w:szCs w:val="24"/>
        </w:rPr>
        <w:tab/>
        <w:t>LÆGEMIDDELFORM</w:t>
      </w:r>
    </w:p>
    <w:p w14:paraId="1820885D" w14:textId="77777777" w:rsidR="00900E22" w:rsidRPr="006B1CEF" w:rsidRDefault="00900E22" w:rsidP="000943B0">
      <w:pPr>
        <w:ind w:left="851"/>
        <w:rPr>
          <w:sz w:val="24"/>
          <w:szCs w:val="24"/>
        </w:rPr>
      </w:pPr>
      <w:r w:rsidRPr="006B1CEF">
        <w:rPr>
          <w:sz w:val="24"/>
          <w:szCs w:val="24"/>
        </w:rPr>
        <w:t>Injektionsvæske, opløsning</w:t>
      </w:r>
    </w:p>
    <w:p w14:paraId="331C1454" w14:textId="77777777" w:rsidR="00900E22" w:rsidRPr="006B1CEF" w:rsidRDefault="00900E22" w:rsidP="000943B0">
      <w:pPr>
        <w:ind w:left="851"/>
        <w:rPr>
          <w:sz w:val="24"/>
          <w:szCs w:val="24"/>
        </w:rPr>
      </w:pPr>
    </w:p>
    <w:p w14:paraId="5744AB5D" w14:textId="77777777" w:rsidR="00900E22" w:rsidRPr="006B1CEF" w:rsidRDefault="00900E22" w:rsidP="000943B0">
      <w:pPr>
        <w:ind w:left="851"/>
        <w:rPr>
          <w:sz w:val="24"/>
          <w:szCs w:val="24"/>
        </w:rPr>
      </w:pPr>
      <w:r w:rsidRPr="006B1CEF">
        <w:rPr>
          <w:sz w:val="24"/>
          <w:szCs w:val="24"/>
        </w:rPr>
        <w:t>Klar og farveløs opløsning, praktisk talt fri for partikler, pH 3,7-5,0.</w:t>
      </w:r>
    </w:p>
    <w:p w14:paraId="02AEC5E8" w14:textId="77777777" w:rsidR="009260DE" w:rsidRPr="006B1CEF" w:rsidRDefault="009260DE" w:rsidP="009260DE">
      <w:pPr>
        <w:tabs>
          <w:tab w:val="left" w:pos="851"/>
        </w:tabs>
        <w:ind w:left="851"/>
        <w:rPr>
          <w:sz w:val="24"/>
          <w:szCs w:val="24"/>
        </w:rPr>
      </w:pPr>
    </w:p>
    <w:p w14:paraId="05EB186C" w14:textId="77777777" w:rsidR="009260DE" w:rsidRPr="006B1CEF" w:rsidRDefault="009260DE" w:rsidP="009260DE">
      <w:pPr>
        <w:tabs>
          <w:tab w:val="left" w:pos="851"/>
        </w:tabs>
        <w:ind w:left="851"/>
        <w:rPr>
          <w:sz w:val="24"/>
          <w:szCs w:val="24"/>
        </w:rPr>
      </w:pPr>
    </w:p>
    <w:p w14:paraId="27149120" w14:textId="77777777" w:rsidR="009260DE" w:rsidRPr="006B1CEF" w:rsidRDefault="009260DE" w:rsidP="009260DE">
      <w:pPr>
        <w:tabs>
          <w:tab w:val="left" w:pos="851"/>
        </w:tabs>
        <w:ind w:left="851" w:hanging="851"/>
        <w:rPr>
          <w:b/>
          <w:sz w:val="24"/>
          <w:szCs w:val="24"/>
        </w:rPr>
      </w:pPr>
      <w:r w:rsidRPr="006B1CEF">
        <w:rPr>
          <w:b/>
          <w:sz w:val="24"/>
          <w:szCs w:val="24"/>
        </w:rPr>
        <w:t>4.</w:t>
      </w:r>
      <w:r w:rsidRPr="006B1CEF">
        <w:rPr>
          <w:b/>
          <w:sz w:val="24"/>
          <w:szCs w:val="24"/>
        </w:rPr>
        <w:tab/>
        <w:t>KLINISKE OPLYSNINGER</w:t>
      </w:r>
    </w:p>
    <w:p w14:paraId="5B103156" w14:textId="77777777" w:rsidR="009260DE" w:rsidRPr="006B1CEF" w:rsidRDefault="009260DE" w:rsidP="009260DE">
      <w:pPr>
        <w:tabs>
          <w:tab w:val="left" w:pos="851"/>
        </w:tabs>
        <w:ind w:left="851"/>
        <w:rPr>
          <w:b/>
          <w:sz w:val="24"/>
          <w:szCs w:val="24"/>
        </w:rPr>
      </w:pPr>
    </w:p>
    <w:p w14:paraId="17418E18" w14:textId="77777777" w:rsidR="009260DE" w:rsidRPr="006B1CEF" w:rsidRDefault="009260DE" w:rsidP="009260DE">
      <w:pPr>
        <w:tabs>
          <w:tab w:val="left" w:pos="851"/>
        </w:tabs>
        <w:ind w:left="851" w:hanging="851"/>
        <w:rPr>
          <w:b/>
          <w:sz w:val="24"/>
          <w:szCs w:val="24"/>
          <w:u w:val="single"/>
        </w:rPr>
      </w:pPr>
      <w:r w:rsidRPr="006B1CEF">
        <w:rPr>
          <w:b/>
          <w:sz w:val="24"/>
          <w:szCs w:val="24"/>
        </w:rPr>
        <w:t>4.1</w:t>
      </w:r>
      <w:r w:rsidRPr="006B1CEF">
        <w:rPr>
          <w:b/>
          <w:sz w:val="24"/>
          <w:szCs w:val="24"/>
        </w:rPr>
        <w:tab/>
        <w:t>Terapeutiske indikationer</w:t>
      </w:r>
    </w:p>
    <w:p w14:paraId="5F5E1871" w14:textId="77777777" w:rsidR="004B5CEE" w:rsidRPr="006B1CEF" w:rsidRDefault="004B5CEE" w:rsidP="000943B0">
      <w:pPr>
        <w:ind w:left="851"/>
        <w:rPr>
          <w:sz w:val="24"/>
          <w:szCs w:val="24"/>
        </w:rPr>
      </w:pPr>
      <w:r w:rsidRPr="006B1CEF">
        <w:rPr>
          <w:sz w:val="24"/>
          <w:szCs w:val="24"/>
        </w:rPr>
        <w:t xml:space="preserve">Spastiske smerter og </w:t>
      </w:r>
      <w:proofErr w:type="spellStart"/>
      <w:r w:rsidRPr="006B1CEF">
        <w:rPr>
          <w:sz w:val="24"/>
          <w:szCs w:val="24"/>
        </w:rPr>
        <w:t>motilitetsforstyrrelser</w:t>
      </w:r>
      <w:proofErr w:type="spellEnd"/>
      <w:r w:rsidRPr="006B1CEF">
        <w:rPr>
          <w:sz w:val="24"/>
          <w:szCs w:val="24"/>
        </w:rPr>
        <w:t xml:space="preserve"> i </w:t>
      </w:r>
      <w:proofErr w:type="spellStart"/>
      <w:r w:rsidRPr="006B1CEF">
        <w:rPr>
          <w:sz w:val="24"/>
          <w:szCs w:val="24"/>
        </w:rPr>
        <w:t>esofagus</w:t>
      </w:r>
      <w:proofErr w:type="spellEnd"/>
      <w:r w:rsidRPr="006B1CEF">
        <w:rPr>
          <w:sz w:val="24"/>
          <w:szCs w:val="24"/>
        </w:rPr>
        <w:t xml:space="preserve">, mave og tarmsystem. Spasmer i galdegangen, bugspytkirtlen, urinvejene og de kvindelige forplantningsorganer. Differentialdiagnose af funktionelle og organiske spasmer ved radiologi, f.eks. ved </w:t>
      </w:r>
      <w:proofErr w:type="spellStart"/>
      <w:r w:rsidRPr="006B1CEF">
        <w:rPr>
          <w:sz w:val="24"/>
          <w:szCs w:val="24"/>
        </w:rPr>
        <w:t>gastroduodenal</w:t>
      </w:r>
      <w:proofErr w:type="spellEnd"/>
      <w:r w:rsidRPr="006B1CEF">
        <w:rPr>
          <w:sz w:val="24"/>
          <w:szCs w:val="24"/>
        </w:rPr>
        <w:t xml:space="preserve"> endoskopi.</w:t>
      </w:r>
    </w:p>
    <w:p w14:paraId="759F0972" w14:textId="77777777" w:rsidR="009260DE" w:rsidRPr="006B1CEF" w:rsidRDefault="009260DE" w:rsidP="009260DE">
      <w:pPr>
        <w:tabs>
          <w:tab w:val="left" w:pos="851"/>
        </w:tabs>
        <w:ind w:left="851"/>
        <w:rPr>
          <w:sz w:val="24"/>
          <w:szCs w:val="24"/>
        </w:rPr>
      </w:pPr>
    </w:p>
    <w:p w14:paraId="713A4DCD" w14:textId="77777777" w:rsidR="009260DE" w:rsidRPr="006B1CEF" w:rsidRDefault="009260DE" w:rsidP="009260DE">
      <w:pPr>
        <w:tabs>
          <w:tab w:val="left" w:pos="851"/>
        </w:tabs>
        <w:ind w:left="851" w:hanging="851"/>
        <w:rPr>
          <w:b/>
          <w:sz w:val="24"/>
          <w:szCs w:val="24"/>
        </w:rPr>
      </w:pPr>
      <w:r w:rsidRPr="006B1CEF">
        <w:rPr>
          <w:b/>
          <w:sz w:val="24"/>
          <w:szCs w:val="24"/>
        </w:rPr>
        <w:t>4.2</w:t>
      </w:r>
      <w:r w:rsidRPr="006B1CEF">
        <w:rPr>
          <w:b/>
          <w:sz w:val="24"/>
          <w:szCs w:val="24"/>
        </w:rPr>
        <w:tab/>
        <w:t>Dosering og indgivelsesmåde</w:t>
      </w:r>
    </w:p>
    <w:p w14:paraId="74AE0DF5" w14:textId="77777777" w:rsidR="004B5CEE" w:rsidRPr="006B1CEF" w:rsidRDefault="004B5CEE" w:rsidP="000943B0">
      <w:pPr>
        <w:ind w:left="851"/>
        <w:rPr>
          <w:sz w:val="24"/>
          <w:szCs w:val="24"/>
        </w:rPr>
      </w:pPr>
      <w:r w:rsidRPr="006B1CEF">
        <w:rPr>
          <w:sz w:val="24"/>
          <w:szCs w:val="24"/>
        </w:rPr>
        <w:t xml:space="preserve">1 ampul flere gange om dagen ved akut smerte. Den anbefalede maksimale dosis (100 mg) bør ikke overskrides. Administration ved intramuskulær, subkutan eller langsom intravenøs injektion. </w:t>
      </w:r>
    </w:p>
    <w:p w14:paraId="545A5C80" w14:textId="77777777" w:rsidR="004B5CEE" w:rsidRPr="006B1CEF" w:rsidRDefault="004B5CEE" w:rsidP="000943B0">
      <w:pPr>
        <w:ind w:left="851"/>
        <w:rPr>
          <w:sz w:val="24"/>
          <w:szCs w:val="24"/>
          <w:u w:val="single"/>
        </w:rPr>
      </w:pPr>
      <w:proofErr w:type="spellStart"/>
      <w:r w:rsidRPr="006B1CEF">
        <w:rPr>
          <w:sz w:val="24"/>
          <w:szCs w:val="24"/>
        </w:rPr>
        <w:t>Bumacor</w:t>
      </w:r>
      <w:proofErr w:type="spellEnd"/>
      <w:r w:rsidRPr="006B1CEF">
        <w:rPr>
          <w:sz w:val="24"/>
          <w:szCs w:val="24"/>
        </w:rPr>
        <w:t xml:space="preserve"> må ikke gives kontinuerligt på daglig basis eller i længere perioder uden forudgående undersøgelse af årsagen til mavesmerterne.</w:t>
      </w:r>
    </w:p>
    <w:p w14:paraId="5A659DB3" w14:textId="7273CAB9" w:rsidR="00CC62E3" w:rsidRDefault="00CC62E3">
      <w:pPr>
        <w:rPr>
          <w:sz w:val="24"/>
          <w:szCs w:val="24"/>
        </w:rPr>
      </w:pPr>
      <w:r>
        <w:rPr>
          <w:sz w:val="24"/>
          <w:szCs w:val="24"/>
        </w:rPr>
        <w:br w:type="page"/>
      </w:r>
    </w:p>
    <w:p w14:paraId="5F3514E4" w14:textId="77777777" w:rsidR="009260DE" w:rsidRPr="006B1CEF" w:rsidRDefault="009260DE" w:rsidP="009260DE">
      <w:pPr>
        <w:tabs>
          <w:tab w:val="left" w:pos="851"/>
        </w:tabs>
        <w:ind w:left="851"/>
        <w:rPr>
          <w:sz w:val="24"/>
          <w:szCs w:val="24"/>
        </w:rPr>
      </w:pPr>
    </w:p>
    <w:p w14:paraId="075FBDE3" w14:textId="77777777" w:rsidR="009260DE" w:rsidRPr="006B1CEF" w:rsidRDefault="009260DE" w:rsidP="009260DE">
      <w:pPr>
        <w:tabs>
          <w:tab w:val="left" w:pos="851"/>
        </w:tabs>
        <w:ind w:left="851" w:hanging="851"/>
        <w:rPr>
          <w:b/>
          <w:sz w:val="24"/>
          <w:szCs w:val="24"/>
        </w:rPr>
      </w:pPr>
      <w:r w:rsidRPr="006B1CEF">
        <w:rPr>
          <w:b/>
          <w:sz w:val="24"/>
          <w:szCs w:val="24"/>
        </w:rPr>
        <w:t>4.3</w:t>
      </w:r>
      <w:r w:rsidRPr="006B1CEF">
        <w:rPr>
          <w:b/>
          <w:sz w:val="24"/>
          <w:szCs w:val="24"/>
        </w:rPr>
        <w:tab/>
        <w:t>Kontraindikationer</w:t>
      </w:r>
    </w:p>
    <w:p w14:paraId="358BC25D" w14:textId="77777777" w:rsidR="004B5CEE" w:rsidRPr="006B1CEF" w:rsidRDefault="004B5CEE" w:rsidP="000943B0">
      <w:pPr>
        <w:ind w:left="851"/>
        <w:rPr>
          <w:noProof/>
          <w:sz w:val="24"/>
          <w:szCs w:val="24"/>
        </w:rPr>
      </w:pPr>
      <w:proofErr w:type="spellStart"/>
      <w:r w:rsidRPr="006B1CEF">
        <w:rPr>
          <w:sz w:val="24"/>
          <w:szCs w:val="24"/>
        </w:rPr>
        <w:t>Bumacor</w:t>
      </w:r>
      <w:proofErr w:type="spellEnd"/>
      <w:r w:rsidRPr="006B1CEF">
        <w:rPr>
          <w:sz w:val="24"/>
          <w:szCs w:val="24"/>
        </w:rPr>
        <w:t xml:space="preserve"> er kontraindiceret hos patienter med:</w:t>
      </w:r>
    </w:p>
    <w:p w14:paraId="4DAC3038" w14:textId="77777777" w:rsidR="004B5CEE" w:rsidRPr="006B1CEF" w:rsidRDefault="004B5CEE" w:rsidP="004B5CEE">
      <w:pPr>
        <w:rPr>
          <w:sz w:val="24"/>
          <w:szCs w:val="24"/>
        </w:rPr>
      </w:pPr>
    </w:p>
    <w:p w14:paraId="61C2A44A" w14:textId="77777777" w:rsidR="004B5CEE" w:rsidRPr="006B1CEF" w:rsidRDefault="004B5CEE" w:rsidP="000449C0">
      <w:pPr>
        <w:pStyle w:val="Listeafsnit"/>
        <w:numPr>
          <w:ilvl w:val="0"/>
          <w:numId w:val="8"/>
        </w:numPr>
        <w:tabs>
          <w:tab w:val="clear" w:pos="567"/>
        </w:tabs>
        <w:ind w:left="1276" w:hanging="425"/>
        <w:rPr>
          <w:sz w:val="24"/>
          <w:szCs w:val="24"/>
        </w:rPr>
      </w:pPr>
      <w:r w:rsidRPr="006B1CEF">
        <w:rPr>
          <w:sz w:val="24"/>
          <w:szCs w:val="24"/>
        </w:rPr>
        <w:t>overfølsomhed over for det aktive stof eller over for et eller flere af hjælpestofferne anført i pkt. 6.1.</w:t>
      </w:r>
    </w:p>
    <w:p w14:paraId="0325A3D2" w14:textId="77777777" w:rsidR="004B5CEE" w:rsidRPr="006B1CEF" w:rsidRDefault="004B5CEE" w:rsidP="000449C0">
      <w:pPr>
        <w:pStyle w:val="Listeafsnit"/>
        <w:numPr>
          <w:ilvl w:val="0"/>
          <w:numId w:val="8"/>
        </w:numPr>
        <w:tabs>
          <w:tab w:val="clear" w:pos="567"/>
        </w:tabs>
        <w:ind w:left="1276" w:hanging="425"/>
        <w:rPr>
          <w:sz w:val="24"/>
          <w:szCs w:val="24"/>
        </w:rPr>
      </w:pPr>
      <w:r w:rsidRPr="006B1CEF">
        <w:rPr>
          <w:sz w:val="24"/>
          <w:szCs w:val="24"/>
        </w:rPr>
        <w:t xml:space="preserve">ubehandlet snævervinklet </w:t>
      </w:r>
      <w:proofErr w:type="spellStart"/>
      <w:r w:rsidRPr="006B1CEF">
        <w:rPr>
          <w:sz w:val="24"/>
          <w:szCs w:val="24"/>
        </w:rPr>
        <w:t>glaukom</w:t>
      </w:r>
      <w:proofErr w:type="spellEnd"/>
    </w:p>
    <w:p w14:paraId="560A6935" w14:textId="77777777" w:rsidR="004B5CEE" w:rsidRPr="006B1CEF" w:rsidRDefault="004B5CEE" w:rsidP="000449C0">
      <w:pPr>
        <w:pStyle w:val="Listeafsnit"/>
        <w:numPr>
          <w:ilvl w:val="0"/>
          <w:numId w:val="8"/>
        </w:numPr>
        <w:tabs>
          <w:tab w:val="clear" w:pos="567"/>
        </w:tabs>
        <w:ind w:left="1276" w:hanging="425"/>
        <w:rPr>
          <w:sz w:val="24"/>
          <w:szCs w:val="24"/>
        </w:rPr>
      </w:pPr>
      <w:r w:rsidRPr="006B1CEF">
        <w:rPr>
          <w:sz w:val="24"/>
          <w:szCs w:val="24"/>
        </w:rPr>
        <w:t>forstørret prostata med urinretention</w:t>
      </w:r>
    </w:p>
    <w:p w14:paraId="6872FFC1" w14:textId="77777777" w:rsidR="004B5CEE" w:rsidRPr="006B1CEF" w:rsidRDefault="004B5CEE" w:rsidP="000449C0">
      <w:pPr>
        <w:pStyle w:val="Listeafsnit"/>
        <w:numPr>
          <w:ilvl w:val="0"/>
          <w:numId w:val="8"/>
        </w:numPr>
        <w:tabs>
          <w:tab w:val="clear" w:pos="567"/>
        </w:tabs>
        <w:ind w:left="1276" w:hanging="425"/>
        <w:rPr>
          <w:sz w:val="24"/>
          <w:szCs w:val="24"/>
        </w:rPr>
      </w:pPr>
      <w:r w:rsidRPr="006B1CEF">
        <w:rPr>
          <w:sz w:val="24"/>
          <w:szCs w:val="24"/>
        </w:rPr>
        <w:t>forsnævret mave-tarm-kanal</w:t>
      </w:r>
    </w:p>
    <w:p w14:paraId="1ECA765E" w14:textId="77777777" w:rsidR="004B5CEE" w:rsidRPr="006B1CEF" w:rsidRDefault="004B5CEE" w:rsidP="000449C0">
      <w:pPr>
        <w:pStyle w:val="Listeafsnit"/>
        <w:numPr>
          <w:ilvl w:val="0"/>
          <w:numId w:val="8"/>
        </w:numPr>
        <w:tabs>
          <w:tab w:val="clear" w:pos="567"/>
        </w:tabs>
        <w:ind w:left="1276" w:hanging="425"/>
        <w:rPr>
          <w:sz w:val="24"/>
          <w:szCs w:val="24"/>
        </w:rPr>
      </w:pPr>
      <w:r w:rsidRPr="006B1CEF">
        <w:rPr>
          <w:sz w:val="24"/>
          <w:szCs w:val="24"/>
        </w:rPr>
        <w:t xml:space="preserve">paralytisk eller obstruktiv </w:t>
      </w:r>
      <w:proofErr w:type="spellStart"/>
      <w:r w:rsidRPr="006B1CEF">
        <w:rPr>
          <w:sz w:val="24"/>
          <w:szCs w:val="24"/>
        </w:rPr>
        <w:t>ileus</w:t>
      </w:r>
      <w:proofErr w:type="spellEnd"/>
    </w:p>
    <w:p w14:paraId="582BB329" w14:textId="77777777" w:rsidR="004B5CEE" w:rsidRPr="006B1CEF" w:rsidRDefault="004B5CEE" w:rsidP="000449C0">
      <w:pPr>
        <w:pStyle w:val="Listeafsnit"/>
        <w:numPr>
          <w:ilvl w:val="0"/>
          <w:numId w:val="8"/>
        </w:numPr>
        <w:tabs>
          <w:tab w:val="clear" w:pos="567"/>
        </w:tabs>
        <w:ind w:left="1276" w:hanging="425"/>
        <w:rPr>
          <w:sz w:val="24"/>
          <w:szCs w:val="24"/>
        </w:rPr>
      </w:pPr>
      <w:proofErr w:type="spellStart"/>
      <w:r w:rsidRPr="006B1CEF">
        <w:rPr>
          <w:sz w:val="24"/>
          <w:szCs w:val="24"/>
        </w:rPr>
        <w:t>megacolon</w:t>
      </w:r>
      <w:proofErr w:type="spellEnd"/>
    </w:p>
    <w:p w14:paraId="1F8522E2" w14:textId="77777777" w:rsidR="004B5CEE" w:rsidRPr="006B1CEF" w:rsidRDefault="004B5CEE" w:rsidP="000449C0">
      <w:pPr>
        <w:pStyle w:val="Listeafsnit"/>
        <w:numPr>
          <w:ilvl w:val="0"/>
          <w:numId w:val="8"/>
        </w:numPr>
        <w:tabs>
          <w:tab w:val="clear" w:pos="567"/>
        </w:tabs>
        <w:ind w:left="1276" w:hanging="425"/>
        <w:rPr>
          <w:sz w:val="24"/>
          <w:szCs w:val="24"/>
        </w:rPr>
      </w:pPr>
      <w:proofErr w:type="spellStart"/>
      <w:r w:rsidRPr="006B1CEF">
        <w:rPr>
          <w:sz w:val="24"/>
          <w:szCs w:val="24"/>
        </w:rPr>
        <w:t>takykardi</w:t>
      </w:r>
      <w:proofErr w:type="spellEnd"/>
    </w:p>
    <w:p w14:paraId="4EC4C0F3" w14:textId="275D4F26" w:rsidR="004B5CEE" w:rsidRPr="006B1CEF" w:rsidRDefault="004B5CEE" w:rsidP="000449C0">
      <w:pPr>
        <w:pStyle w:val="Listeafsnit"/>
        <w:numPr>
          <w:ilvl w:val="0"/>
          <w:numId w:val="8"/>
        </w:numPr>
        <w:tabs>
          <w:tab w:val="clear" w:pos="567"/>
        </w:tabs>
        <w:ind w:left="1276" w:hanging="425"/>
        <w:rPr>
          <w:sz w:val="24"/>
          <w:szCs w:val="24"/>
        </w:rPr>
      </w:pPr>
      <w:proofErr w:type="spellStart"/>
      <w:r w:rsidRPr="006B1CEF">
        <w:rPr>
          <w:sz w:val="24"/>
          <w:szCs w:val="24"/>
        </w:rPr>
        <w:t>myastenia</w:t>
      </w:r>
      <w:proofErr w:type="spellEnd"/>
      <w:r w:rsidRPr="006B1CEF">
        <w:rPr>
          <w:sz w:val="24"/>
          <w:szCs w:val="24"/>
        </w:rPr>
        <w:t xml:space="preserve"> </w:t>
      </w:r>
      <w:proofErr w:type="spellStart"/>
      <w:r w:rsidRPr="006B1CEF">
        <w:rPr>
          <w:sz w:val="24"/>
          <w:szCs w:val="24"/>
        </w:rPr>
        <w:t>gravis</w:t>
      </w:r>
      <w:proofErr w:type="spellEnd"/>
      <w:r w:rsidRPr="006B1CEF">
        <w:rPr>
          <w:sz w:val="24"/>
          <w:szCs w:val="24"/>
        </w:rPr>
        <w:t>.</w:t>
      </w:r>
    </w:p>
    <w:p w14:paraId="6D2B1725" w14:textId="41B2332E" w:rsidR="004B5CEE" w:rsidRPr="006B1CEF" w:rsidRDefault="004B5CEE" w:rsidP="000449C0">
      <w:pPr>
        <w:ind w:left="851"/>
        <w:rPr>
          <w:sz w:val="24"/>
          <w:szCs w:val="24"/>
        </w:rPr>
      </w:pPr>
      <w:proofErr w:type="spellStart"/>
      <w:r w:rsidRPr="006B1CEF">
        <w:rPr>
          <w:sz w:val="24"/>
          <w:szCs w:val="24"/>
        </w:rPr>
        <w:t>Bumacor</w:t>
      </w:r>
      <w:proofErr w:type="spellEnd"/>
      <w:r w:rsidRPr="006B1CEF">
        <w:rPr>
          <w:sz w:val="24"/>
          <w:szCs w:val="24"/>
        </w:rPr>
        <w:t xml:space="preserve"> bør ikke gives som intramuskulær injektion til patienter i behandling med </w:t>
      </w:r>
      <w:proofErr w:type="spellStart"/>
      <w:r w:rsidRPr="006B1CEF">
        <w:rPr>
          <w:sz w:val="24"/>
          <w:szCs w:val="24"/>
        </w:rPr>
        <w:t>antikoagulantia</w:t>
      </w:r>
      <w:proofErr w:type="spellEnd"/>
      <w:r w:rsidRPr="006B1CEF">
        <w:rPr>
          <w:sz w:val="24"/>
          <w:szCs w:val="24"/>
        </w:rPr>
        <w:t xml:space="preserve">, da der kan forekomme intramuskulær </w:t>
      </w:r>
      <w:proofErr w:type="spellStart"/>
      <w:r w:rsidRPr="006B1CEF">
        <w:rPr>
          <w:sz w:val="24"/>
          <w:szCs w:val="24"/>
        </w:rPr>
        <w:t>hæmatom</w:t>
      </w:r>
      <w:proofErr w:type="spellEnd"/>
      <w:r w:rsidRPr="006B1CEF">
        <w:rPr>
          <w:sz w:val="24"/>
          <w:szCs w:val="24"/>
        </w:rPr>
        <w:t>. Hos disse patienter skal den subkutane eller intravenøse injektion gives langsomt.</w:t>
      </w:r>
    </w:p>
    <w:p w14:paraId="674F807A" w14:textId="77777777" w:rsidR="009260DE" w:rsidRPr="006B1CEF" w:rsidRDefault="009260DE" w:rsidP="009260DE">
      <w:pPr>
        <w:tabs>
          <w:tab w:val="left" w:pos="851"/>
        </w:tabs>
        <w:ind w:left="851"/>
        <w:rPr>
          <w:sz w:val="24"/>
          <w:szCs w:val="24"/>
        </w:rPr>
      </w:pPr>
    </w:p>
    <w:p w14:paraId="7000BEA1" w14:textId="77777777" w:rsidR="009260DE" w:rsidRPr="006B1CEF" w:rsidRDefault="009260DE" w:rsidP="009260DE">
      <w:pPr>
        <w:tabs>
          <w:tab w:val="left" w:pos="851"/>
        </w:tabs>
        <w:ind w:left="851" w:hanging="851"/>
        <w:rPr>
          <w:b/>
          <w:sz w:val="24"/>
          <w:szCs w:val="24"/>
        </w:rPr>
      </w:pPr>
      <w:r w:rsidRPr="006B1CEF">
        <w:rPr>
          <w:b/>
          <w:sz w:val="24"/>
          <w:szCs w:val="24"/>
        </w:rPr>
        <w:t>4.4</w:t>
      </w:r>
      <w:r w:rsidRPr="006B1CEF">
        <w:rPr>
          <w:b/>
          <w:sz w:val="24"/>
          <w:szCs w:val="24"/>
        </w:rPr>
        <w:tab/>
        <w:t>Særlige advarsler og forsigtighedsregler vedrørende brugen</w:t>
      </w:r>
    </w:p>
    <w:p w14:paraId="27A96720" w14:textId="79CA4E8F" w:rsidR="004B5CEE" w:rsidRPr="006B1CEF" w:rsidRDefault="004B5CEE" w:rsidP="000449C0">
      <w:pPr>
        <w:ind w:left="851"/>
        <w:rPr>
          <w:sz w:val="24"/>
          <w:szCs w:val="24"/>
        </w:rPr>
      </w:pPr>
      <w:r w:rsidRPr="006B1CEF">
        <w:rPr>
          <w:sz w:val="24"/>
          <w:szCs w:val="24"/>
        </w:rPr>
        <w:t>I tilfælde af kraftige, uforklarlige mavesmerter fortsætter eller forværres eller forekommer samtidig med symptomer som feber, kvalme, opkastning, ændringer i tarmperistaltikken,</w:t>
      </w:r>
      <w:r w:rsidR="008A00EE">
        <w:rPr>
          <w:sz w:val="24"/>
          <w:szCs w:val="24"/>
        </w:rPr>
        <w:t xml:space="preserve"> </w:t>
      </w:r>
      <w:proofErr w:type="spellStart"/>
      <w:r w:rsidRPr="006B1CEF">
        <w:rPr>
          <w:sz w:val="24"/>
          <w:szCs w:val="24"/>
        </w:rPr>
        <w:t>abdominal</w:t>
      </w:r>
      <w:proofErr w:type="spellEnd"/>
      <w:r w:rsidRPr="006B1CEF">
        <w:rPr>
          <w:sz w:val="24"/>
          <w:szCs w:val="24"/>
        </w:rPr>
        <w:t xml:space="preserve"> ømhed, nedsat blodtryk, besvimelse eller blod i afføringen, er det nødvendigt at træffe de nødvendige diagnostiske foranstaltninger for at undersøge symptomernes ætiologi.</w:t>
      </w:r>
    </w:p>
    <w:p w14:paraId="28E60274" w14:textId="77777777" w:rsidR="004B5CEE" w:rsidRPr="006B1CEF" w:rsidRDefault="004B5CEE" w:rsidP="000449C0">
      <w:pPr>
        <w:ind w:left="851"/>
        <w:rPr>
          <w:sz w:val="24"/>
          <w:szCs w:val="24"/>
        </w:rPr>
      </w:pPr>
    </w:p>
    <w:p w14:paraId="1AF8EF17" w14:textId="77777777" w:rsidR="004B5CEE" w:rsidRPr="006B1CEF" w:rsidRDefault="004B5CEE" w:rsidP="000449C0">
      <w:pPr>
        <w:ind w:left="851"/>
        <w:rPr>
          <w:sz w:val="24"/>
          <w:szCs w:val="24"/>
        </w:rPr>
      </w:pPr>
      <w:r w:rsidRPr="006B1CEF">
        <w:rPr>
          <w:sz w:val="24"/>
          <w:szCs w:val="24"/>
        </w:rPr>
        <w:t xml:space="preserve">Der kan forekomme forhøjet </w:t>
      </w:r>
      <w:proofErr w:type="spellStart"/>
      <w:r w:rsidRPr="006B1CEF">
        <w:rPr>
          <w:sz w:val="24"/>
          <w:szCs w:val="24"/>
        </w:rPr>
        <w:t>intraokulært</w:t>
      </w:r>
      <w:proofErr w:type="spellEnd"/>
      <w:r w:rsidRPr="006B1CEF">
        <w:rPr>
          <w:sz w:val="24"/>
          <w:szCs w:val="24"/>
        </w:rPr>
        <w:t xml:space="preserve"> tryk ved administration af </w:t>
      </w:r>
      <w:proofErr w:type="spellStart"/>
      <w:r w:rsidRPr="006B1CEF">
        <w:rPr>
          <w:sz w:val="24"/>
          <w:szCs w:val="24"/>
        </w:rPr>
        <w:t>antikolinerge</w:t>
      </w:r>
      <w:proofErr w:type="spellEnd"/>
      <w:r w:rsidRPr="006B1CEF">
        <w:rPr>
          <w:sz w:val="24"/>
          <w:szCs w:val="24"/>
        </w:rPr>
        <w:t xml:space="preserve"> stoffer som </w:t>
      </w:r>
      <w:proofErr w:type="spellStart"/>
      <w:r w:rsidRPr="006B1CEF">
        <w:rPr>
          <w:sz w:val="24"/>
          <w:szCs w:val="24"/>
        </w:rPr>
        <w:t>Bumacor</w:t>
      </w:r>
      <w:proofErr w:type="spellEnd"/>
      <w:r w:rsidRPr="006B1CEF">
        <w:rPr>
          <w:sz w:val="24"/>
          <w:szCs w:val="24"/>
        </w:rPr>
        <w:t xml:space="preserve"> hos patienter med </w:t>
      </w:r>
      <w:proofErr w:type="spellStart"/>
      <w:r w:rsidRPr="006B1CEF">
        <w:rPr>
          <w:sz w:val="24"/>
          <w:szCs w:val="24"/>
        </w:rPr>
        <w:t>udiagnosticeret</w:t>
      </w:r>
      <w:proofErr w:type="spellEnd"/>
      <w:r w:rsidRPr="006B1CEF">
        <w:rPr>
          <w:sz w:val="24"/>
          <w:szCs w:val="24"/>
        </w:rPr>
        <w:t xml:space="preserve"> og derfor ubehandlet snævervinklet </w:t>
      </w:r>
      <w:proofErr w:type="spellStart"/>
      <w:r w:rsidRPr="006B1CEF">
        <w:rPr>
          <w:sz w:val="24"/>
          <w:szCs w:val="24"/>
        </w:rPr>
        <w:t>glaukom</w:t>
      </w:r>
      <w:proofErr w:type="spellEnd"/>
      <w:r w:rsidRPr="006B1CEF">
        <w:rPr>
          <w:sz w:val="24"/>
          <w:szCs w:val="24"/>
        </w:rPr>
        <w:t xml:space="preserve">. Patienterne bør derfor straks søge hjælp hos en oftalmolog, hvis de udvikler smertefulde, røde øjne med synstab efter injektion af </w:t>
      </w:r>
      <w:proofErr w:type="spellStart"/>
      <w:r w:rsidRPr="006B1CEF">
        <w:rPr>
          <w:sz w:val="24"/>
          <w:szCs w:val="24"/>
        </w:rPr>
        <w:t>Bumacor</w:t>
      </w:r>
      <w:proofErr w:type="spellEnd"/>
      <w:r w:rsidRPr="006B1CEF">
        <w:rPr>
          <w:sz w:val="24"/>
          <w:szCs w:val="24"/>
        </w:rPr>
        <w:t>.</w:t>
      </w:r>
    </w:p>
    <w:p w14:paraId="5AF8FBC1" w14:textId="77777777" w:rsidR="004B5CEE" w:rsidRPr="006B1CEF" w:rsidRDefault="004B5CEE" w:rsidP="000449C0">
      <w:pPr>
        <w:ind w:left="851"/>
        <w:rPr>
          <w:sz w:val="24"/>
          <w:szCs w:val="24"/>
        </w:rPr>
      </w:pPr>
    </w:p>
    <w:p w14:paraId="1CDEF002" w14:textId="77777777" w:rsidR="004B5CEE" w:rsidRPr="006B1CEF" w:rsidRDefault="004B5CEE" w:rsidP="000449C0">
      <w:pPr>
        <w:ind w:left="851"/>
        <w:rPr>
          <w:sz w:val="24"/>
          <w:szCs w:val="24"/>
        </w:rPr>
      </w:pPr>
      <w:r w:rsidRPr="006B1CEF">
        <w:rPr>
          <w:sz w:val="24"/>
          <w:szCs w:val="24"/>
        </w:rPr>
        <w:t xml:space="preserve">Der er efter parenteral administration af </w:t>
      </w:r>
      <w:proofErr w:type="spellStart"/>
      <w:r w:rsidRPr="006B1CEF">
        <w:rPr>
          <w:sz w:val="24"/>
          <w:szCs w:val="24"/>
        </w:rPr>
        <w:t>Bumacor</w:t>
      </w:r>
      <w:proofErr w:type="spellEnd"/>
      <w:r w:rsidRPr="006B1CEF">
        <w:rPr>
          <w:sz w:val="24"/>
          <w:szCs w:val="24"/>
        </w:rPr>
        <w:t xml:space="preserve"> observeret tilfælde af anafylaksi, herunder episoder med chok. Som med alle lægemidler, der forårsager sådanne reaktioner, skal patienter der får </w:t>
      </w:r>
      <w:proofErr w:type="spellStart"/>
      <w:r w:rsidRPr="006B1CEF">
        <w:rPr>
          <w:sz w:val="24"/>
          <w:szCs w:val="24"/>
        </w:rPr>
        <w:t>Bumacor</w:t>
      </w:r>
      <w:proofErr w:type="spellEnd"/>
      <w:r w:rsidRPr="006B1CEF">
        <w:rPr>
          <w:sz w:val="24"/>
          <w:szCs w:val="24"/>
        </w:rPr>
        <w:t xml:space="preserve"> som injektion, holdes under observation.</w:t>
      </w:r>
    </w:p>
    <w:p w14:paraId="2FAA4ED9" w14:textId="77777777" w:rsidR="004B5CEE" w:rsidRPr="006B1CEF" w:rsidRDefault="004B5CEE" w:rsidP="000449C0">
      <w:pPr>
        <w:ind w:left="851"/>
        <w:rPr>
          <w:sz w:val="24"/>
          <w:szCs w:val="24"/>
        </w:rPr>
      </w:pPr>
    </w:p>
    <w:p w14:paraId="339FB7AB" w14:textId="77777777" w:rsidR="004B5CEE" w:rsidRPr="006B1CEF" w:rsidRDefault="004B5CEE" w:rsidP="000449C0">
      <w:pPr>
        <w:ind w:left="851"/>
        <w:rPr>
          <w:sz w:val="24"/>
          <w:szCs w:val="24"/>
        </w:rPr>
      </w:pPr>
      <w:proofErr w:type="spellStart"/>
      <w:r w:rsidRPr="006B1CEF">
        <w:rPr>
          <w:sz w:val="24"/>
          <w:szCs w:val="24"/>
        </w:rPr>
        <w:t>Bumacor</w:t>
      </w:r>
      <w:proofErr w:type="spellEnd"/>
      <w:r w:rsidRPr="006B1CEF">
        <w:rPr>
          <w:sz w:val="24"/>
          <w:szCs w:val="24"/>
        </w:rPr>
        <w:t xml:space="preserve"> skal administreres med forsigtighed til patienter med hjertesygdomme. Det anbefales at monitorere sådanne patienter. En øget hjertefrekvens kan forværre problemerne med </w:t>
      </w:r>
      <w:proofErr w:type="spellStart"/>
      <w:r w:rsidRPr="006B1CEF">
        <w:rPr>
          <w:sz w:val="24"/>
          <w:szCs w:val="24"/>
        </w:rPr>
        <w:t>takyarytmi</w:t>
      </w:r>
      <w:proofErr w:type="spellEnd"/>
      <w:r w:rsidRPr="006B1CEF">
        <w:rPr>
          <w:sz w:val="24"/>
          <w:szCs w:val="24"/>
        </w:rPr>
        <w:t xml:space="preserve">, kronisk hjerteinsufficiens, angina pectoris og </w:t>
      </w:r>
      <w:proofErr w:type="spellStart"/>
      <w:r w:rsidRPr="006B1CEF">
        <w:rPr>
          <w:sz w:val="24"/>
          <w:szCs w:val="24"/>
        </w:rPr>
        <w:t>mitralklapstenose</w:t>
      </w:r>
      <w:proofErr w:type="spellEnd"/>
      <w:r w:rsidRPr="006B1CEF">
        <w:rPr>
          <w:sz w:val="24"/>
          <w:szCs w:val="24"/>
        </w:rPr>
        <w:t>.</w:t>
      </w:r>
    </w:p>
    <w:p w14:paraId="1155F6FD" w14:textId="77777777" w:rsidR="004B5CEE" w:rsidRPr="006B1CEF" w:rsidRDefault="004B5CEE" w:rsidP="000449C0">
      <w:pPr>
        <w:ind w:left="851"/>
        <w:rPr>
          <w:sz w:val="24"/>
          <w:szCs w:val="24"/>
        </w:rPr>
      </w:pPr>
    </w:p>
    <w:p w14:paraId="29F0EF8D" w14:textId="77777777" w:rsidR="004B5CEE" w:rsidRPr="006B1CEF" w:rsidRDefault="004B5CEE" w:rsidP="000449C0">
      <w:pPr>
        <w:ind w:left="851"/>
        <w:rPr>
          <w:sz w:val="24"/>
          <w:szCs w:val="24"/>
        </w:rPr>
      </w:pPr>
      <w:bookmarkStart w:id="1" w:name="_Hlk87882389"/>
      <w:r w:rsidRPr="006B1CEF">
        <w:rPr>
          <w:sz w:val="24"/>
          <w:szCs w:val="24"/>
        </w:rPr>
        <w:t xml:space="preserve">Da </w:t>
      </w:r>
      <w:proofErr w:type="spellStart"/>
      <w:r w:rsidRPr="006B1CEF">
        <w:rPr>
          <w:sz w:val="24"/>
          <w:szCs w:val="24"/>
        </w:rPr>
        <w:t>antikolinerge</w:t>
      </w:r>
      <w:proofErr w:type="spellEnd"/>
      <w:r w:rsidRPr="006B1CEF">
        <w:rPr>
          <w:sz w:val="24"/>
          <w:szCs w:val="24"/>
        </w:rPr>
        <w:t xml:space="preserve"> stoffer kan reducere svedafsondring, skal </w:t>
      </w:r>
      <w:proofErr w:type="spellStart"/>
      <w:r w:rsidRPr="006B1CEF">
        <w:rPr>
          <w:sz w:val="24"/>
          <w:szCs w:val="24"/>
        </w:rPr>
        <w:t>Bumacor</w:t>
      </w:r>
      <w:proofErr w:type="spellEnd"/>
      <w:r w:rsidRPr="006B1CEF">
        <w:rPr>
          <w:sz w:val="24"/>
          <w:szCs w:val="24"/>
        </w:rPr>
        <w:t xml:space="preserve"> administreres med forsigtighed til patienter med </w:t>
      </w:r>
      <w:proofErr w:type="spellStart"/>
      <w:r w:rsidRPr="006B1CEF">
        <w:rPr>
          <w:sz w:val="24"/>
          <w:szCs w:val="24"/>
        </w:rPr>
        <w:t>pyreksi</w:t>
      </w:r>
      <w:proofErr w:type="spellEnd"/>
      <w:r w:rsidRPr="006B1CEF">
        <w:rPr>
          <w:sz w:val="24"/>
          <w:szCs w:val="24"/>
        </w:rPr>
        <w:t>.</w:t>
      </w:r>
    </w:p>
    <w:bookmarkEnd w:id="1"/>
    <w:p w14:paraId="1B22AB13" w14:textId="77777777" w:rsidR="004B5CEE" w:rsidRPr="006B1CEF" w:rsidRDefault="004B5CEE" w:rsidP="000449C0">
      <w:pPr>
        <w:ind w:left="851"/>
        <w:rPr>
          <w:sz w:val="24"/>
          <w:szCs w:val="24"/>
        </w:rPr>
      </w:pPr>
    </w:p>
    <w:p w14:paraId="1C09A9E2" w14:textId="77777777" w:rsidR="004B5CEE" w:rsidRPr="006B1CEF" w:rsidRDefault="004B5CEE" w:rsidP="000449C0">
      <w:pPr>
        <w:ind w:left="851"/>
        <w:rPr>
          <w:sz w:val="24"/>
          <w:szCs w:val="24"/>
        </w:rPr>
      </w:pPr>
      <w:proofErr w:type="spellStart"/>
      <w:r w:rsidRPr="006B1CEF">
        <w:rPr>
          <w:sz w:val="24"/>
          <w:szCs w:val="24"/>
        </w:rPr>
        <w:t>Bumacor</w:t>
      </w:r>
      <w:proofErr w:type="spellEnd"/>
      <w:r w:rsidRPr="006B1CEF">
        <w:rPr>
          <w:sz w:val="24"/>
          <w:szCs w:val="24"/>
        </w:rPr>
        <w:t xml:space="preserve"> kan forårsage </w:t>
      </w:r>
      <w:proofErr w:type="spellStart"/>
      <w:r w:rsidRPr="006B1CEF">
        <w:rPr>
          <w:sz w:val="24"/>
          <w:szCs w:val="24"/>
        </w:rPr>
        <w:t>takykardi</w:t>
      </w:r>
      <w:proofErr w:type="spellEnd"/>
      <w:r w:rsidRPr="006B1CEF">
        <w:rPr>
          <w:sz w:val="24"/>
          <w:szCs w:val="24"/>
        </w:rPr>
        <w:t xml:space="preserve">, hypotension og anafylaksi og skal derfor bruges med forsigtighed til patienter med hjertesygdomme såsom hjerteinsufficiens, hjerte-kar-sygdomme, </w:t>
      </w:r>
      <w:proofErr w:type="spellStart"/>
      <w:r w:rsidRPr="006B1CEF">
        <w:rPr>
          <w:sz w:val="24"/>
          <w:szCs w:val="24"/>
        </w:rPr>
        <w:t>hjertearytmi</w:t>
      </w:r>
      <w:proofErr w:type="spellEnd"/>
      <w:r w:rsidRPr="006B1CEF">
        <w:rPr>
          <w:sz w:val="24"/>
          <w:szCs w:val="24"/>
        </w:rPr>
        <w:t xml:space="preserve"> eller hypertension samt ved hjertekirurgi. Det anbefales at monitorere sådanne patienter. Nødhjælpsudstyr og personale, der er uddannet i brugen af det, skal være let tilgængelige.</w:t>
      </w:r>
    </w:p>
    <w:p w14:paraId="39C6FC7F" w14:textId="77777777" w:rsidR="004B5CEE" w:rsidRPr="006B1CEF" w:rsidRDefault="004B5CEE" w:rsidP="000449C0">
      <w:pPr>
        <w:ind w:left="851"/>
        <w:rPr>
          <w:sz w:val="24"/>
          <w:szCs w:val="24"/>
        </w:rPr>
      </w:pPr>
    </w:p>
    <w:p w14:paraId="21D17339" w14:textId="77777777" w:rsidR="004B5CEE" w:rsidRPr="006B1CEF" w:rsidRDefault="004B5CEE" w:rsidP="000449C0">
      <w:pPr>
        <w:ind w:left="851"/>
        <w:rPr>
          <w:sz w:val="24"/>
          <w:szCs w:val="24"/>
        </w:rPr>
      </w:pPr>
      <w:r w:rsidRPr="006B1CEF">
        <w:rPr>
          <w:sz w:val="24"/>
          <w:szCs w:val="24"/>
        </w:rPr>
        <w:t>Denne medicin indeholder under 1 mmol natrium (23 mg) pr. ampul, dvs. det er i det væsentlige "natriumfrit".</w:t>
      </w:r>
    </w:p>
    <w:p w14:paraId="382852AB" w14:textId="126F4812" w:rsidR="00CC62E3" w:rsidRDefault="00CC62E3">
      <w:pPr>
        <w:rPr>
          <w:sz w:val="24"/>
          <w:szCs w:val="24"/>
        </w:rPr>
      </w:pPr>
      <w:r>
        <w:rPr>
          <w:sz w:val="24"/>
          <w:szCs w:val="24"/>
        </w:rPr>
        <w:br w:type="page"/>
      </w:r>
    </w:p>
    <w:p w14:paraId="522C9AD4" w14:textId="77777777" w:rsidR="009260DE" w:rsidRPr="006B1CEF" w:rsidRDefault="009260DE" w:rsidP="009260DE">
      <w:pPr>
        <w:tabs>
          <w:tab w:val="left" w:pos="851"/>
        </w:tabs>
        <w:ind w:left="851"/>
        <w:rPr>
          <w:sz w:val="24"/>
          <w:szCs w:val="24"/>
        </w:rPr>
      </w:pPr>
    </w:p>
    <w:p w14:paraId="7DF83B31" w14:textId="77777777" w:rsidR="009260DE" w:rsidRPr="006B1CEF" w:rsidRDefault="009260DE" w:rsidP="009260DE">
      <w:pPr>
        <w:tabs>
          <w:tab w:val="left" w:pos="851"/>
        </w:tabs>
        <w:ind w:left="851" w:hanging="851"/>
        <w:rPr>
          <w:b/>
          <w:sz w:val="24"/>
          <w:szCs w:val="24"/>
        </w:rPr>
      </w:pPr>
      <w:r w:rsidRPr="006B1CEF">
        <w:rPr>
          <w:b/>
          <w:sz w:val="24"/>
          <w:szCs w:val="24"/>
        </w:rPr>
        <w:t>4.5</w:t>
      </w:r>
      <w:r w:rsidRPr="006B1CEF">
        <w:rPr>
          <w:b/>
          <w:sz w:val="24"/>
          <w:szCs w:val="24"/>
        </w:rPr>
        <w:tab/>
        <w:t>Interaktion med andre lægemidler og andre former for interaktion</w:t>
      </w:r>
    </w:p>
    <w:p w14:paraId="7FF4D237" w14:textId="77777777" w:rsidR="004B5CEE" w:rsidRPr="006B1CEF" w:rsidRDefault="004B5CEE" w:rsidP="000449C0">
      <w:pPr>
        <w:ind w:left="851"/>
        <w:rPr>
          <w:sz w:val="24"/>
          <w:szCs w:val="24"/>
        </w:rPr>
      </w:pPr>
      <w:r w:rsidRPr="006B1CEF">
        <w:rPr>
          <w:sz w:val="24"/>
          <w:szCs w:val="24"/>
        </w:rPr>
        <w:t xml:space="preserve">Den </w:t>
      </w:r>
      <w:proofErr w:type="spellStart"/>
      <w:r w:rsidRPr="006B1CEF">
        <w:rPr>
          <w:sz w:val="24"/>
          <w:szCs w:val="24"/>
        </w:rPr>
        <w:t>antikolinerge</w:t>
      </w:r>
      <w:proofErr w:type="spellEnd"/>
      <w:r w:rsidRPr="006B1CEF">
        <w:rPr>
          <w:sz w:val="24"/>
          <w:szCs w:val="24"/>
        </w:rPr>
        <w:t xml:space="preserve"> effekt af lægemidler såsom tricykliske og </w:t>
      </w:r>
      <w:proofErr w:type="spellStart"/>
      <w:r w:rsidRPr="006B1CEF">
        <w:rPr>
          <w:sz w:val="24"/>
          <w:szCs w:val="24"/>
        </w:rPr>
        <w:t>tetracykliske</w:t>
      </w:r>
      <w:proofErr w:type="spellEnd"/>
      <w:r w:rsidRPr="006B1CEF">
        <w:rPr>
          <w:sz w:val="24"/>
          <w:szCs w:val="24"/>
        </w:rPr>
        <w:t xml:space="preserve"> </w:t>
      </w:r>
      <w:proofErr w:type="spellStart"/>
      <w:r w:rsidRPr="006B1CEF">
        <w:rPr>
          <w:sz w:val="24"/>
          <w:szCs w:val="24"/>
        </w:rPr>
        <w:t>antidepressiva</w:t>
      </w:r>
      <w:proofErr w:type="spellEnd"/>
      <w:r w:rsidRPr="006B1CEF">
        <w:rPr>
          <w:sz w:val="24"/>
          <w:szCs w:val="24"/>
        </w:rPr>
        <w:t xml:space="preserve">, antihistaminer, </w:t>
      </w:r>
      <w:proofErr w:type="spellStart"/>
      <w:r w:rsidRPr="006B1CEF">
        <w:rPr>
          <w:sz w:val="24"/>
          <w:szCs w:val="24"/>
        </w:rPr>
        <w:t>quinidin</w:t>
      </w:r>
      <w:proofErr w:type="spellEnd"/>
      <w:r w:rsidRPr="006B1CEF">
        <w:rPr>
          <w:sz w:val="24"/>
          <w:szCs w:val="24"/>
        </w:rPr>
        <w:t xml:space="preserve">, </w:t>
      </w:r>
      <w:proofErr w:type="spellStart"/>
      <w:r w:rsidRPr="006B1CEF">
        <w:rPr>
          <w:sz w:val="24"/>
          <w:szCs w:val="24"/>
        </w:rPr>
        <w:t>amantadin</w:t>
      </w:r>
      <w:proofErr w:type="spellEnd"/>
      <w:r w:rsidRPr="006B1CEF">
        <w:rPr>
          <w:sz w:val="24"/>
          <w:szCs w:val="24"/>
        </w:rPr>
        <w:t xml:space="preserve">, antipsykotika, </w:t>
      </w:r>
      <w:proofErr w:type="spellStart"/>
      <w:r w:rsidRPr="006B1CEF">
        <w:rPr>
          <w:sz w:val="24"/>
          <w:szCs w:val="24"/>
        </w:rPr>
        <w:t>disopyramid</w:t>
      </w:r>
      <w:proofErr w:type="spellEnd"/>
      <w:r w:rsidRPr="006B1CEF">
        <w:rPr>
          <w:sz w:val="24"/>
          <w:szCs w:val="24"/>
        </w:rPr>
        <w:t xml:space="preserve"> og andre </w:t>
      </w:r>
      <w:proofErr w:type="spellStart"/>
      <w:r w:rsidRPr="006B1CEF">
        <w:rPr>
          <w:sz w:val="24"/>
          <w:szCs w:val="24"/>
        </w:rPr>
        <w:t>antikolinerge</w:t>
      </w:r>
      <w:proofErr w:type="spellEnd"/>
      <w:r w:rsidRPr="006B1CEF">
        <w:rPr>
          <w:sz w:val="24"/>
          <w:szCs w:val="24"/>
        </w:rPr>
        <w:t xml:space="preserve"> stoffer (f.eks. </w:t>
      </w:r>
      <w:proofErr w:type="spellStart"/>
      <w:r w:rsidRPr="006B1CEF">
        <w:rPr>
          <w:sz w:val="24"/>
          <w:szCs w:val="24"/>
        </w:rPr>
        <w:t>tiotropium</w:t>
      </w:r>
      <w:proofErr w:type="spellEnd"/>
      <w:r w:rsidRPr="006B1CEF">
        <w:rPr>
          <w:sz w:val="24"/>
          <w:szCs w:val="24"/>
        </w:rPr>
        <w:t xml:space="preserve">, </w:t>
      </w:r>
      <w:proofErr w:type="spellStart"/>
      <w:r w:rsidRPr="006B1CEF">
        <w:rPr>
          <w:sz w:val="24"/>
          <w:szCs w:val="24"/>
        </w:rPr>
        <w:t>ipratropium</w:t>
      </w:r>
      <w:proofErr w:type="spellEnd"/>
      <w:r w:rsidRPr="006B1CEF">
        <w:rPr>
          <w:sz w:val="24"/>
          <w:szCs w:val="24"/>
        </w:rPr>
        <w:t xml:space="preserve">, atropinlignende stoffer) kan intensiveres af </w:t>
      </w:r>
      <w:proofErr w:type="spellStart"/>
      <w:r w:rsidRPr="006B1CEF">
        <w:rPr>
          <w:sz w:val="24"/>
          <w:szCs w:val="24"/>
        </w:rPr>
        <w:t>Bumacor</w:t>
      </w:r>
      <w:proofErr w:type="spellEnd"/>
      <w:r w:rsidRPr="006B1CEF">
        <w:rPr>
          <w:sz w:val="24"/>
          <w:szCs w:val="24"/>
        </w:rPr>
        <w:t>.</w:t>
      </w:r>
    </w:p>
    <w:p w14:paraId="6E318017" w14:textId="77777777" w:rsidR="004B5CEE" w:rsidRPr="006B1CEF" w:rsidRDefault="004B5CEE" w:rsidP="000449C0">
      <w:pPr>
        <w:ind w:left="851"/>
        <w:rPr>
          <w:sz w:val="24"/>
          <w:szCs w:val="24"/>
        </w:rPr>
      </w:pPr>
    </w:p>
    <w:p w14:paraId="7C0BD2C9" w14:textId="77777777" w:rsidR="004B5CEE" w:rsidRPr="006B1CEF" w:rsidRDefault="004B5CEE" w:rsidP="000449C0">
      <w:pPr>
        <w:ind w:left="851"/>
        <w:rPr>
          <w:sz w:val="24"/>
          <w:szCs w:val="24"/>
        </w:rPr>
      </w:pPr>
      <w:r w:rsidRPr="006B1CEF">
        <w:rPr>
          <w:sz w:val="24"/>
          <w:szCs w:val="24"/>
        </w:rPr>
        <w:t xml:space="preserve">Samtidig behandling med dopaminantagonister såsom </w:t>
      </w:r>
      <w:proofErr w:type="spellStart"/>
      <w:r w:rsidRPr="006B1CEF">
        <w:rPr>
          <w:sz w:val="24"/>
          <w:szCs w:val="24"/>
        </w:rPr>
        <w:t>metoclopramid</w:t>
      </w:r>
      <w:proofErr w:type="spellEnd"/>
      <w:r w:rsidRPr="006B1CEF">
        <w:rPr>
          <w:sz w:val="24"/>
          <w:szCs w:val="24"/>
        </w:rPr>
        <w:t xml:space="preserve"> kan reducere effekten af begge lægemidler på mave-tarm-kanalen.</w:t>
      </w:r>
    </w:p>
    <w:p w14:paraId="6CA26087" w14:textId="77777777" w:rsidR="004B5CEE" w:rsidRPr="006B1CEF" w:rsidRDefault="004B5CEE" w:rsidP="000449C0">
      <w:pPr>
        <w:ind w:left="851"/>
        <w:rPr>
          <w:sz w:val="24"/>
          <w:szCs w:val="24"/>
        </w:rPr>
      </w:pPr>
    </w:p>
    <w:p w14:paraId="2C5E1075" w14:textId="77777777" w:rsidR="004B5CEE" w:rsidRPr="006B1CEF" w:rsidRDefault="004B5CEE" w:rsidP="000449C0">
      <w:pPr>
        <w:ind w:left="851"/>
        <w:rPr>
          <w:sz w:val="24"/>
          <w:szCs w:val="24"/>
        </w:rPr>
      </w:pPr>
      <w:r w:rsidRPr="006B1CEF">
        <w:rPr>
          <w:sz w:val="24"/>
          <w:szCs w:val="24"/>
        </w:rPr>
        <w:t xml:space="preserve">Den </w:t>
      </w:r>
      <w:proofErr w:type="spellStart"/>
      <w:r w:rsidRPr="006B1CEF">
        <w:rPr>
          <w:sz w:val="24"/>
          <w:szCs w:val="24"/>
        </w:rPr>
        <w:t>takykardiske</w:t>
      </w:r>
      <w:proofErr w:type="spellEnd"/>
      <w:r w:rsidRPr="006B1CEF">
        <w:rPr>
          <w:sz w:val="24"/>
          <w:szCs w:val="24"/>
        </w:rPr>
        <w:t xml:space="preserve"> effekt af beta-</w:t>
      </w:r>
      <w:proofErr w:type="spellStart"/>
      <w:r w:rsidRPr="006B1CEF">
        <w:rPr>
          <w:sz w:val="24"/>
          <w:szCs w:val="24"/>
        </w:rPr>
        <w:t>adrenerge</w:t>
      </w:r>
      <w:proofErr w:type="spellEnd"/>
      <w:r w:rsidRPr="006B1CEF">
        <w:rPr>
          <w:sz w:val="24"/>
          <w:szCs w:val="24"/>
        </w:rPr>
        <w:t xml:space="preserve"> stoffer kan forøges af </w:t>
      </w:r>
      <w:proofErr w:type="spellStart"/>
      <w:r w:rsidRPr="006B1CEF">
        <w:rPr>
          <w:sz w:val="24"/>
          <w:szCs w:val="24"/>
        </w:rPr>
        <w:t>Bumacor</w:t>
      </w:r>
      <w:proofErr w:type="spellEnd"/>
      <w:r w:rsidRPr="006B1CEF">
        <w:rPr>
          <w:sz w:val="24"/>
          <w:szCs w:val="24"/>
        </w:rPr>
        <w:t>.</w:t>
      </w:r>
    </w:p>
    <w:p w14:paraId="244A21E4" w14:textId="77777777" w:rsidR="009260DE" w:rsidRPr="006B1CEF" w:rsidRDefault="009260DE" w:rsidP="009260DE">
      <w:pPr>
        <w:tabs>
          <w:tab w:val="left" w:pos="851"/>
        </w:tabs>
        <w:ind w:left="851"/>
        <w:rPr>
          <w:sz w:val="24"/>
          <w:szCs w:val="24"/>
        </w:rPr>
      </w:pPr>
    </w:p>
    <w:p w14:paraId="4B02F78D" w14:textId="77777777" w:rsidR="009260DE" w:rsidRPr="006B1CEF" w:rsidRDefault="009260DE" w:rsidP="009260DE">
      <w:pPr>
        <w:tabs>
          <w:tab w:val="left" w:pos="851"/>
        </w:tabs>
        <w:ind w:left="851" w:hanging="851"/>
        <w:rPr>
          <w:b/>
          <w:sz w:val="24"/>
          <w:szCs w:val="24"/>
        </w:rPr>
      </w:pPr>
      <w:r w:rsidRPr="006B1CEF">
        <w:rPr>
          <w:b/>
          <w:sz w:val="24"/>
          <w:szCs w:val="24"/>
        </w:rPr>
        <w:t>4.6</w:t>
      </w:r>
      <w:r w:rsidRPr="006B1CEF">
        <w:rPr>
          <w:b/>
          <w:sz w:val="24"/>
          <w:szCs w:val="24"/>
        </w:rPr>
        <w:tab/>
        <w:t>Graviditet og amning</w:t>
      </w:r>
    </w:p>
    <w:p w14:paraId="36A3402F" w14:textId="77777777" w:rsidR="00E256F6" w:rsidRDefault="00E256F6" w:rsidP="000449C0">
      <w:pPr>
        <w:ind w:left="851"/>
        <w:rPr>
          <w:sz w:val="24"/>
          <w:szCs w:val="24"/>
          <w:u w:val="single"/>
        </w:rPr>
      </w:pPr>
    </w:p>
    <w:p w14:paraId="359C1F36" w14:textId="5774CB2C" w:rsidR="004B5CEE" w:rsidRPr="006B1CEF" w:rsidRDefault="004B5CEE" w:rsidP="000449C0">
      <w:pPr>
        <w:ind w:left="851"/>
        <w:rPr>
          <w:noProof/>
          <w:sz w:val="24"/>
          <w:szCs w:val="24"/>
          <w:u w:val="single"/>
        </w:rPr>
      </w:pPr>
      <w:r w:rsidRPr="006B1CEF">
        <w:rPr>
          <w:sz w:val="24"/>
          <w:szCs w:val="24"/>
          <w:u w:val="single"/>
        </w:rPr>
        <w:t>Graviditet</w:t>
      </w:r>
    </w:p>
    <w:p w14:paraId="416618CF" w14:textId="226E384F" w:rsidR="004B5CEE" w:rsidRPr="006B1CEF" w:rsidRDefault="004B5CEE" w:rsidP="000449C0">
      <w:pPr>
        <w:ind w:left="851"/>
        <w:rPr>
          <w:sz w:val="24"/>
          <w:szCs w:val="24"/>
        </w:rPr>
      </w:pPr>
      <w:r w:rsidRPr="006B1CEF">
        <w:rPr>
          <w:sz w:val="24"/>
          <w:szCs w:val="24"/>
        </w:rPr>
        <w:t xml:space="preserve">Der er ingen eller utilstrækkelige data fra anvendelsen af </w:t>
      </w:r>
      <w:proofErr w:type="spellStart"/>
      <w:r w:rsidRPr="006B1CEF">
        <w:rPr>
          <w:sz w:val="24"/>
          <w:szCs w:val="24"/>
        </w:rPr>
        <w:t>hyoscinbutylbromid</w:t>
      </w:r>
      <w:proofErr w:type="spellEnd"/>
      <w:r w:rsidRPr="006B1CEF">
        <w:rPr>
          <w:sz w:val="24"/>
          <w:szCs w:val="24"/>
        </w:rPr>
        <w:t xml:space="preserve"> til gravide kvinder. For en sikkerheds skyld anbefales brugen af </w:t>
      </w:r>
      <w:proofErr w:type="spellStart"/>
      <w:r w:rsidRPr="006B1CEF">
        <w:rPr>
          <w:sz w:val="24"/>
          <w:szCs w:val="24"/>
        </w:rPr>
        <w:t>Bumacor</w:t>
      </w:r>
      <w:proofErr w:type="spellEnd"/>
      <w:r w:rsidRPr="006B1CEF">
        <w:rPr>
          <w:sz w:val="24"/>
          <w:szCs w:val="24"/>
        </w:rPr>
        <w:t xml:space="preserve"> ikke under graviditeten.</w:t>
      </w:r>
    </w:p>
    <w:p w14:paraId="04D28DE7" w14:textId="77777777" w:rsidR="004B5CEE" w:rsidRPr="006B1CEF" w:rsidRDefault="004B5CEE" w:rsidP="000449C0">
      <w:pPr>
        <w:ind w:left="851"/>
        <w:rPr>
          <w:sz w:val="24"/>
          <w:szCs w:val="24"/>
        </w:rPr>
      </w:pPr>
    </w:p>
    <w:p w14:paraId="1C9A7C16" w14:textId="77777777" w:rsidR="004B5CEE" w:rsidRPr="006B1CEF" w:rsidRDefault="004B5CEE" w:rsidP="000449C0">
      <w:pPr>
        <w:ind w:left="851"/>
        <w:rPr>
          <w:noProof/>
          <w:sz w:val="24"/>
          <w:szCs w:val="24"/>
          <w:u w:val="single"/>
        </w:rPr>
      </w:pPr>
      <w:r w:rsidRPr="006B1CEF">
        <w:rPr>
          <w:sz w:val="24"/>
          <w:szCs w:val="24"/>
          <w:u w:val="single"/>
        </w:rPr>
        <w:t>Amning</w:t>
      </w:r>
    </w:p>
    <w:p w14:paraId="6D970F10" w14:textId="2205E2B5" w:rsidR="004B5CEE" w:rsidRPr="006B1CEF" w:rsidRDefault="004B5CEE" w:rsidP="000449C0">
      <w:pPr>
        <w:ind w:left="851"/>
        <w:rPr>
          <w:sz w:val="24"/>
          <w:szCs w:val="24"/>
        </w:rPr>
      </w:pPr>
      <w:r w:rsidRPr="006B1CEF">
        <w:rPr>
          <w:sz w:val="24"/>
          <w:szCs w:val="24"/>
        </w:rPr>
        <w:t xml:space="preserve">Data for udskillelse af </w:t>
      </w:r>
      <w:proofErr w:type="spellStart"/>
      <w:r w:rsidRPr="006B1CEF">
        <w:rPr>
          <w:sz w:val="24"/>
          <w:szCs w:val="24"/>
        </w:rPr>
        <w:t>Bumacor</w:t>
      </w:r>
      <w:proofErr w:type="spellEnd"/>
      <w:r w:rsidRPr="006B1CEF">
        <w:rPr>
          <w:sz w:val="24"/>
          <w:szCs w:val="24"/>
        </w:rPr>
        <w:t xml:space="preserve"> og dets metabolitter i human mælk er utilstrækkelige. For en sikkerheds skyld anbefales brugen af </w:t>
      </w:r>
      <w:proofErr w:type="spellStart"/>
      <w:r w:rsidRPr="006B1CEF">
        <w:rPr>
          <w:sz w:val="24"/>
          <w:szCs w:val="24"/>
        </w:rPr>
        <w:t>Bumacor</w:t>
      </w:r>
      <w:proofErr w:type="spellEnd"/>
      <w:r w:rsidRPr="006B1CEF">
        <w:rPr>
          <w:sz w:val="24"/>
          <w:szCs w:val="24"/>
        </w:rPr>
        <w:t xml:space="preserve"> ikke under amning.</w:t>
      </w:r>
    </w:p>
    <w:p w14:paraId="5729C60F" w14:textId="77777777" w:rsidR="004B5CEE" w:rsidRPr="006B1CEF" w:rsidRDefault="004B5CEE" w:rsidP="000449C0">
      <w:pPr>
        <w:ind w:left="851"/>
        <w:rPr>
          <w:sz w:val="24"/>
          <w:szCs w:val="24"/>
        </w:rPr>
      </w:pPr>
    </w:p>
    <w:p w14:paraId="78A000FE" w14:textId="77777777" w:rsidR="004B5CEE" w:rsidRPr="006B1CEF" w:rsidRDefault="004B5CEE" w:rsidP="000449C0">
      <w:pPr>
        <w:ind w:left="851"/>
        <w:rPr>
          <w:noProof/>
          <w:sz w:val="24"/>
          <w:szCs w:val="24"/>
          <w:u w:val="single"/>
        </w:rPr>
      </w:pPr>
      <w:r w:rsidRPr="006B1CEF">
        <w:rPr>
          <w:sz w:val="24"/>
          <w:szCs w:val="24"/>
          <w:u w:val="single"/>
        </w:rPr>
        <w:t>Fertilitet</w:t>
      </w:r>
    </w:p>
    <w:p w14:paraId="2D52FE6B" w14:textId="77777777" w:rsidR="004B5CEE" w:rsidRPr="006B1CEF" w:rsidRDefault="004B5CEE" w:rsidP="000449C0">
      <w:pPr>
        <w:ind w:left="851"/>
        <w:rPr>
          <w:sz w:val="24"/>
          <w:szCs w:val="24"/>
        </w:rPr>
      </w:pPr>
      <w:r w:rsidRPr="006B1CEF">
        <w:rPr>
          <w:sz w:val="24"/>
          <w:szCs w:val="24"/>
        </w:rPr>
        <w:t>Erfaringsgrundlaget fra dyreforsøg er utilstrækkeligt, hvad angår reproduktionstoksicitet (se pkt. 5.3). Der er ikke foretaget studier af virkningen på fertiliteten hos mennesker (se pkt. 5.3).</w:t>
      </w:r>
    </w:p>
    <w:p w14:paraId="61DF43E5" w14:textId="77777777" w:rsidR="009260DE" w:rsidRPr="006B1CEF" w:rsidRDefault="009260DE" w:rsidP="009260DE">
      <w:pPr>
        <w:tabs>
          <w:tab w:val="left" w:pos="851"/>
        </w:tabs>
        <w:ind w:left="851"/>
        <w:rPr>
          <w:sz w:val="24"/>
          <w:szCs w:val="24"/>
        </w:rPr>
      </w:pPr>
    </w:p>
    <w:p w14:paraId="4D3C9091" w14:textId="77777777" w:rsidR="009260DE" w:rsidRPr="006B1CEF" w:rsidRDefault="009260DE" w:rsidP="009260DE">
      <w:pPr>
        <w:tabs>
          <w:tab w:val="left" w:pos="851"/>
        </w:tabs>
        <w:ind w:left="851" w:hanging="851"/>
        <w:rPr>
          <w:b/>
          <w:sz w:val="24"/>
          <w:szCs w:val="24"/>
        </w:rPr>
      </w:pPr>
      <w:r w:rsidRPr="006B1CEF">
        <w:rPr>
          <w:b/>
          <w:sz w:val="24"/>
          <w:szCs w:val="24"/>
        </w:rPr>
        <w:t>4.7</w:t>
      </w:r>
      <w:r w:rsidRPr="006B1CEF">
        <w:rPr>
          <w:b/>
          <w:sz w:val="24"/>
          <w:szCs w:val="24"/>
        </w:rPr>
        <w:tab/>
        <w:t>Virkninger på evnen til at føre motorkøretøj eller betjene maskiner</w:t>
      </w:r>
    </w:p>
    <w:p w14:paraId="4B021D44" w14:textId="77777777" w:rsidR="004B5CEE" w:rsidRPr="006B1CEF" w:rsidRDefault="004B5CEE" w:rsidP="000449C0">
      <w:pPr>
        <w:ind w:left="851"/>
        <w:rPr>
          <w:b/>
          <w:sz w:val="24"/>
          <w:szCs w:val="24"/>
        </w:rPr>
      </w:pPr>
      <w:r w:rsidRPr="006B1CEF">
        <w:rPr>
          <w:sz w:val="24"/>
          <w:szCs w:val="24"/>
        </w:rPr>
        <w:t>Ikke mærkning.</w:t>
      </w:r>
    </w:p>
    <w:p w14:paraId="2B29A959" w14:textId="77777777" w:rsidR="004B5CEE" w:rsidRPr="006B1CEF" w:rsidRDefault="004B5CEE" w:rsidP="000449C0">
      <w:pPr>
        <w:ind w:left="851"/>
        <w:rPr>
          <w:sz w:val="24"/>
          <w:szCs w:val="24"/>
        </w:rPr>
      </w:pPr>
      <w:r w:rsidRPr="006B1CEF">
        <w:rPr>
          <w:sz w:val="24"/>
          <w:szCs w:val="24"/>
        </w:rPr>
        <w:t xml:space="preserve">Der er ikke foretaget studier af virkningen på evnen til at føre motorkøretøj og betjene maskiner. Men patienterne skal informeres om, at de kan opleve bivirkninger såsom akkommodationsbesvær eller svimmelhed under behandlingen med </w:t>
      </w:r>
      <w:proofErr w:type="spellStart"/>
      <w:r w:rsidRPr="006B1CEF">
        <w:rPr>
          <w:sz w:val="24"/>
          <w:szCs w:val="24"/>
        </w:rPr>
        <w:t>Bumacor</w:t>
      </w:r>
      <w:proofErr w:type="spellEnd"/>
      <w:r w:rsidRPr="006B1CEF">
        <w:rPr>
          <w:sz w:val="24"/>
          <w:szCs w:val="24"/>
        </w:rPr>
        <w:t>. Patienterne tilrådes derfor at udvise forsigtighed, når de fører motorkøretøj eller betjener maskiner. Hvis patienterne oplever akkommodationsbesvær eller svimmelhed, skal de undgå potentielt farlige opgaver såsom at føre motorkøretøj eller betjene maskiner.</w:t>
      </w:r>
    </w:p>
    <w:p w14:paraId="63AACBF1" w14:textId="77777777" w:rsidR="009260DE" w:rsidRPr="006B1CEF" w:rsidRDefault="009260DE" w:rsidP="000449C0">
      <w:pPr>
        <w:tabs>
          <w:tab w:val="left" w:pos="851"/>
        </w:tabs>
        <w:ind w:left="851"/>
        <w:rPr>
          <w:sz w:val="24"/>
          <w:szCs w:val="24"/>
        </w:rPr>
      </w:pPr>
    </w:p>
    <w:p w14:paraId="2A5ECD18" w14:textId="77777777" w:rsidR="009260DE" w:rsidRPr="006B1CEF" w:rsidRDefault="009260DE" w:rsidP="009260DE">
      <w:pPr>
        <w:tabs>
          <w:tab w:val="left" w:pos="851"/>
        </w:tabs>
        <w:ind w:left="851" w:hanging="851"/>
        <w:rPr>
          <w:b/>
          <w:sz w:val="24"/>
          <w:szCs w:val="24"/>
        </w:rPr>
      </w:pPr>
      <w:r w:rsidRPr="006B1CEF">
        <w:rPr>
          <w:b/>
          <w:sz w:val="24"/>
          <w:szCs w:val="24"/>
        </w:rPr>
        <w:t>4.8</w:t>
      </w:r>
      <w:r w:rsidRPr="006B1CEF">
        <w:rPr>
          <w:b/>
          <w:sz w:val="24"/>
          <w:szCs w:val="24"/>
        </w:rPr>
        <w:tab/>
        <w:t>Bivirkninger</w:t>
      </w:r>
    </w:p>
    <w:p w14:paraId="0017AB7B" w14:textId="77777777" w:rsidR="004B5CEE" w:rsidRPr="006B1CEF" w:rsidRDefault="004B5CEE" w:rsidP="000449C0">
      <w:pPr>
        <w:ind w:left="851"/>
        <w:rPr>
          <w:noProof/>
          <w:sz w:val="24"/>
          <w:szCs w:val="24"/>
        </w:rPr>
      </w:pPr>
      <w:r w:rsidRPr="006B1CEF">
        <w:rPr>
          <w:sz w:val="24"/>
          <w:szCs w:val="24"/>
        </w:rPr>
        <w:t xml:space="preserve">Mange af de angivne bivirkninger kan tilskrives </w:t>
      </w:r>
      <w:proofErr w:type="spellStart"/>
      <w:r w:rsidRPr="006B1CEF">
        <w:rPr>
          <w:sz w:val="24"/>
          <w:szCs w:val="24"/>
        </w:rPr>
        <w:t>Bumacors</w:t>
      </w:r>
      <w:proofErr w:type="spellEnd"/>
      <w:r w:rsidRPr="006B1CEF">
        <w:rPr>
          <w:sz w:val="24"/>
          <w:szCs w:val="24"/>
        </w:rPr>
        <w:t xml:space="preserve"> </w:t>
      </w:r>
      <w:proofErr w:type="spellStart"/>
      <w:r w:rsidRPr="006B1CEF">
        <w:rPr>
          <w:sz w:val="24"/>
          <w:szCs w:val="24"/>
        </w:rPr>
        <w:t>antikolinerge</w:t>
      </w:r>
      <w:proofErr w:type="spellEnd"/>
      <w:r w:rsidRPr="006B1CEF">
        <w:rPr>
          <w:sz w:val="24"/>
          <w:szCs w:val="24"/>
        </w:rPr>
        <w:t xml:space="preserve"> egenskaber. Bivirkningerne ved </w:t>
      </w:r>
      <w:proofErr w:type="spellStart"/>
      <w:r w:rsidRPr="006B1CEF">
        <w:rPr>
          <w:sz w:val="24"/>
          <w:szCs w:val="24"/>
        </w:rPr>
        <w:t>antikolinerge</w:t>
      </w:r>
      <w:proofErr w:type="spellEnd"/>
      <w:r w:rsidRPr="006B1CEF">
        <w:rPr>
          <w:sz w:val="24"/>
          <w:szCs w:val="24"/>
        </w:rPr>
        <w:t xml:space="preserve"> midler er sædvanligvis milde og forbigående.</w:t>
      </w:r>
    </w:p>
    <w:p w14:paraId="271A2F2E" w14:textId="77777777" w:rsidR="004B5CEE" w:rsidRPr="006B1CEF" w:rsidRDefault="004B5CEE" w:rsidP="000449C0">
      <w:pPr>
        <w:ind w:left="851"/>
        <w:rPr>
          <w:sz w:val="24"/>
          <w:szCs w:val="24"/>
        </w:rPr>
      </w:pPr>
    </w:p>
    <w:p w14:paraId="3290B29B" w14:textId="77777777" w:rsidR="004B5CEE" w:rsidRPr="006B1CEF" w:rsidRDefault="004B5CEE" w:rsidP="000449C0">
      <w:pPr>
        <w:ind w:left="851"/>
        <w:rPr>
          <w:sz w:val="24"/>
          <w:szCs w:val="24"/>
        </w:rPr>
      </w:pPr>
      <w:r w:rsidRPr="006B1CEF">
        <w:rPr>
          <w:sz w:val="24"/>
          <w:szCs w:val="24"/>
        </w:rPr>
        <w:t>Bivirkningerne er angivet efter frekvens ved hjælp følgende konvention:</w:t>
      </w:r>
    </w:p>
    <w:p w14:paraId="7420C2F1" w14:textId="77777777" w:rsidR="004B5CEE" w:rsidRPr="006B1CEF" w:rsidRDefault="004B5CEE" w:rsidP="000449C0">
      <w:pPr>
        <w:ind w:left="851"/>
        <w:rPr>
          <w:sz w:val="24"/>
          <w:szCs w:val="24"/>
        </w:rPr>
      </w:pPr>
      <w:r w:rsidRPr="006B1CEF">
        <w:rPr>
          <w:sz w:val="24"/>
          <w:szCs w:val="24"/>
        </w:rPr>
        <w:t>Meget almindelig (≥ 1/10); Almindelig (≥ 1/100 til &lt; 1/10); Ikke almindelig (≥ 1/1.000 til &lt; 1/100); Sjælden (≥ 1/10.000 til &lt; 1/1.000); Meget sjælden (&lt; 1/10.000); Ikke kendt (kan ikke estimeres ud fra forhåndenværende data).</w:t>
      </w:r>
    </w:p>
    <w:p w14:paraId="27E38134" w14:textId="77777777" w:rsidR="004B5CEE" w:rsidRPr="006B1CEF" w:rsidRDefault="004B5CEE" w:rsidP="004B5CE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887"/>
        <w:gridCol w:w="4354"/>
      </w:tblGrid>
      <w:tr w:rsidR="004B5CEE" w:rsidRPr="006B1CEF" w14:paraId="6F4D4099" w14:textId="77777777" w:rsidTr="000449C0">
        <w:tc>
          <w:tcPr>
            <w:tcW w:w="1759" w:type="pct"/>
            <w:tcBorders>
              <w:top w:val="single" w:sz="4" w:space="0" w:color="auto"/>
              <w:left w:val="single" w:sz="4" w:space="0" w:color="auto"/>
              <w:bottom w:val="single" w:sz="4" w:space="0" w:color="auto"/>
              <w:right w:val="single" w:sz="4" w:space="0" w:color="auto"/>
            </w:tcBorders>
            <w:hideMark/>
          </w:tcPr>
          <w:p w14:paraId="5DE05FDC" w14:textId="77777777" w:rsidR="004B5CEE" w:rsidRPr="006B1CEF" w:rsidRDefault="004B5CEE">
            <w:pPr>
              <w:rPr>
                <w:b/>
                <w:bCs/>
                <w:sz w:val="24"/>
                <w:szCs w:val="24"/>
              </w:rPr>
            </w:pPr>
            <w:r w:rsidRPr="006B1CEF">
              <w:rPr>
                <w:b/>
                <w:bCs/>
                <w:sz w:val="24"/>
                <w:szCs w:val="24"/>
              </w:rPr>
              <w:t>Systemorganklasse</w:t>
            </w:r>
          </w:p>
        </w:tc>
        <w:tc>
          <w:tcPr>
            <w:tcW w:w="980" w:type="pct"/>
            <w:tcBorders>
              <w:top w:val="single" w:sz="4" w:space="0" w:color="auto"/>
              <w:left w:val="single" w:sz="4" w:space="0" w:color="auto"/>
              <w:bottom w:val="single" w:sz="4" w:space="0" w:color="auto"/>
              <w:right w:val="single" w:sz="4" w:space="0" w:color="auto"/>
            </w:tcBorders>
            <w:hideMark/>
          </w:tcPr>
          <w:p w14:paraId="03CA6F11" w14:textId="77777777" w:rsidR="004B5CEE" w:rsidRPr="006B1CEF" w:rsidRDefault="004B5CEE">
            <w:pPr>
              <w:rPr>
                <w:b/>
                <w:bCs/>
                <w:sz w:val="24"/>
                <w:szCs w:val="24"/>
              </w:rPr>
            </w:pPr>
            <w:r w:rsidRPr="006B1CEF">
              <w:rPr>
                <w:b/>
                <w:bCs/>
                <w:sz w:val="24"/>
                <w:szCs w:val="24"/>
              </w:rPr>
              <w:t>Frekvens</w:t>
            </w:r>
          </w:p>
        </w:tc>
        <w:tc>
          <w:tcPr>
            <w:tcW w:w="2261" w:type="pct"/>
            <w:tcBorders>
              <w:top w:val="single" w:sz="4" w:space="0" w:color="auto"/>
              <w:left w:val="single" w:sz="4" w:space="0" w:color="auto"/>
              <w:bottom w:val="single" w:sz="4" w:space="0" w:color="auto"/>
              <w:right w:val="single" w:sz="4" w:space="0" w:color="auto"/>
            </w:tcBorders>
            <w:hideMark/>
          </w:tcPr>
          <w:p w14:paraId="0813811F" w14:textId="77777777" w:rsidR="004B5CEE" w:rsidRPr="006B1CEF" w:rsidRDefault="004B5CEE">
            <w:pPr>
              <w:rPr>
                <w:b/>
                <w:bCs/>
                <w:sz w:val="24"/>
                <w:szCs w:val="24"/>
              </w:rPr>
            </w:pPr>
            <w:r w:rsidRPr="006B1CEF">
              <w:rPr>
                <w:b/>
                <w:bCs/>
                <w:sz w:val="24"/>
                <w:szCs w:val="24"/>
              </w:rPr>
              <w:t>Hændelse</w:t>
            </w:r>
          </w:p>
        </w:tc>
      </w:tr>
      <w:tr w:rsidR="004B5CEE" w:rsidRPr="006B1CEF" w14:paraId="0C7CB67A" w14:textId="77777777" w:rsidTr="000449C0">
        <w:tc>
          <w:tcPr>
            <w:tcW w:w="1759" w:type="pct"/>
            <w:tcBorders>
              <w:top w:val="single" w:sz="4" w:space="0" w:color="auto"/>
              <w:left w:val="single" w:sz="4" w:space="0" w:color="auto"/>
              <w:bottom w:val="single" w:sz="4" w:space="0" w:color="auto"/>
              <w:right w:val="single" w:sz="4" w:space="0" w:color="auto"/>
            </w:tcBorders>
            <w:hideMark/>
          </w:tcPr>
          <w:p w14:paraId="01B43295" w14:textId="77777777" w:rsidR="004B5CEE" w:rsidRPr="006B1CEF" w:rsidRDefault="004B5CEE">
            <w:pPr>
              <w:rPr>
                <w:sz w:val="24"/>
                <w:szCs w:val="24"/>
              </w:rPr>
            </w:pPr>
            <w:r w:rsidRPr="006B1CEF">
              <w:rPr>
                <w:sz w:val="24"/>
                <w:szCs w:val="24"/>
              </w:rPr>
              <w:t>Immunsystemet</w:t>
            </w:r>
          </w:p>
        </w:tc>
        <w:tc>
          <w:tcPr>
            <w:tcW w:w="980" w:type="pct"/>
            <w:tcBorders>
              <w:top w:val="single" w:sz="4" w:space="0" w:color="auto"/>
              <w:left w:val="single" w:sz="4" w:space="0" w:color="auto"/>
              <w:bottom w:val="single" w:sz="4" w:space="0" w:color="auto"/>
              <w:right w:val="single" w:sz="4" w:space="0" w:color="auto"/>
            </w:tcBorders>
            <w:hideMark/>
          </w:tcPr>
          <w:p w14:paraId="7905417C" w14:textId="77777777" w:rsidR="004B5CEE" w:rsidRPr="006B1CEF" w:rsidRDefault="004B5CEE">
            <w:pPr>
              <w:rPr>
                <w:sz w:val="24"/>
                <w:szCs w:val="24"/>
              </w:rPr>
            </w:pPr>
            <w:r w:rsidRPr="006B1CEF">
              <w:rPr>
                <w:sz w:val="24"/>
                <w:szCs w:val="24"/>
              </w:rPr>
              <w:t>Ikke kendt</w:t>
            </w:r>
          </w:p>
        </w:tc>
        <w:tc>
          <w:tcPr>
            <w:tcW w:w="2261" w:type="pct"/>
            <w:tcBorders>
              <w:top w:val="single" w:sz="4" w:space="0" w:color="auto"/>
              <w:left w:val="single" w:sz="4" w:space="0" w:color="auto"/>
              <w:bottom w:val="single" w:sz="4" w:space="0" w:color="auto"/>
              <w:right w:val="single" w:sz="4" w:space="0" w:color="auto"/>
            </w:tcBorders>
            <w:hideMark/>
          </w:tcPr>
          <w:p w14:paraId="59AE3D91" w14:textId="77777777" w:rsidR="004B5CEE" w:rsidRPr="006B1CEF" w:rsidRDefault="004B5CEE">
            <w:pPr>
              <w:rPr>
                <w:sz w:val="24"/>
                <w:szCs w:val="24"/>
              </w:rPr>
            </w:pPr>
            <w:proofErr w:type="spellStart"/>
            <w:r w:rsidRPr="006B1CEF">
              <w:rPr>
                <w:sz w:val="24"/>
                <w:szCs w:val="24"/>
              </w:rPr>
              <w:t>Anafylaktisk</w:t>
            </w:r>
            <w:proofErr w:type="spellEnd"/>
            <w:r w:rsidRPr="006B1CEF">
              <w:rPr>
                <w:sz w:val="24"/>
                <w:szCs w:val="24"/>
              </w:rPr>
              <w:t xml:space="preserve"> chok*, herunder tilfælde med dødelig udgang*, </w:t>
            </w:r>
            <w:proofErr w:type="spellStart"/>
            <w:r w:rsidRPr="006B1CEF">
              <w:rPr>
                <w:sz w:val="24"/>
                <w:szCs w:val="24"/>
              </w:rPr>
              <w:t>anafylaktiske</w:t>
            </w:r>
            <w:proofErr w:type="spellEnd"/>
            <w:r w:rsidRPr="006B1CEF">
              <w:rPr>
                <w:sz w:val="24"/>
                <w:szCs w:val="24"/>
              </w:rPr>
              <w:t xml:space="preserve"> reaktioner*, dyspnø*, hypersensitivitet*</w:t>
            </w:r>
          </w:p>
        </w:tc>
      </w:tr>
      <w:tr w:rsidR="004B5CEE" w:rsidRPr="006B1CEF" w14:paraId="65DC0EC7" w14:textId="77777777" w:rsidTr="000449C0">
        <w:tc>
          <w:tcPr>
            <w:tcW w:w="1759" w:type="pct"/>
            <w:vMerge w:val="restart"/>
            <w:tcBorders>
              <w:top w:val="single" w:sz="4" w:space="0" w:color="auto"/>
              <w:left w:val="single" w:sz="4" w:space="0" w:color="auto"/>
              <w:bottom w:val="single" w:sz="4" w:space="0" w:color="auto"/>
              <w:right w:val="single" w:sz="4" w:space="0" w:color="auto"/>
            </w:tcBorders>
            <w:hideMark/>
          </w:tcPr>
          <w:p w14:paraId="27710EC9" w14:textId="77777777" w:rsidR="004B5CEE" w:rsidRPr="006B1CEF" w:rsidRDefault="004B5CEE">
            <w:pPr>
              <w:rPr>
                <w:sz w:val="24"/>
                <w:szCs w:val="24"/>
              </w:rPr>
            </w:pPr>
            <w:r w:rsidRPr="006B1CEF">
              <w:rPr>
                <w:sz w:val="24"/>
                <w:szCs w:val="24"/>
              </w:rPr>
              <w:t>Øjne</w:t>
            </w:r>
          </w:p>
        </w:tc>
        <w:tc>
          <w:tcPr>
            <w:tcW w:w="980" w:type="pct"/>
            <w:tcBorders>
              <w:top w:val="single" w:sz="4" w:space="0" w:color="auto"/>
              <w:left w:val="single" w:sz="4" w:space="0" w:color="auto"/>
              <w:bottom w:val="single" w:sz="4" w:space="0" w:color="auto"/>
              <w:right w:val="single" w:sz="4" w:space="0" w:color="auto"/>
            </w:tcBorders>
            <w:hideMark/>
          </w:tcPr>
          <w:p w14:paraId="3750EBCB" w14:textId="77777777" w:rsidR="004B5CEE" w:rsidRPr="006B1CEF" w:rsidRDefault="004B5CEE">
            <w:pPr>
              <w:rPr>
                <w:sz w:val="24"/>
                <w:szCs w:val="24"/>
              </w:rPr>
            </w:pPr>
            <w:r w:rsidRPr="006B1CEF">
              <w:rPr>
                <w:sz w:val="24"/>
                <w:szCs w:val="24"/>
              </w:rPr>
              <w:t>Almindelig</w:t>
            </w:r>
          </w:p>
        </w:tc>
        <w:tc>
          <w:tcPr>
            <w:tcW w:w="2261" w:type="pct"/>
            <w:tcBorders>
              <w:top w:val="single" w:sz="4" w:space="0" w:color="auto"/>
              <w:left w:val="single" w:sz="4" w:space="0" w:color="auto"/>
              <w:bottom w:val="single" w:sz="4" w:space="0" w:color="auto"/>
              <w:right w:val="single" w:sz="4" w:space="0" w:color="auto"/>
            </w:tcBorders>
            <w:hideMark/>
          </w:tcPr>
          <w:p w14:paraId="36729C1E" w14:textId="77777777" w:rsidR="004B5CEE" w:rsidRPr="006B1CEF" w:rsidRDefault="004B5CEE">
            <w:pPr>
              <w:rPr>
                <w:sz w:val="24"/>
                <w:szCs w:val="24"/>
              </w:rPr>
            </w:pPr>
            <w:r w:rsidRPr="006B1CEF">
              <w:rPr>
                <w:sz w:val="24"/>
                <w:szCs w:val="24"/>
              </w:rPr>
              <w:t xml:space="preserve">Akkommodationsbesvær </w:t>
            </w:r>
          </w:p>
        </w:tc>
      </w:tr>
      <w:tr w:rsidR="004B5CEE" w:rsidRPr="006B1CEF" w14:paraId="752CF371" w14:textId="77777777" w:rsidTr="000449C0">
        <w:tc>
          <w:tcPr>
            <w:tcW w:w="1759" w:type="pct"/>
            <w:vMerge/>
            <w:tcBorders>
              <w:top w:val="single" w:sz="4" w:space="0" w:color="auto"/>
              <w:left w:val="single" w:sz="4" w:space="0" w:color="auto"/>
              <w:bottom w:val="single" w:sz="4" w:space="0" w:color="auto"/>
              <w:right w:val="single" w:sz="4" w:space="0" w:color="auto"/>
            </w:tcBorders>
            <w:vAlign w:val="center"/>
            <w:hideMark/>
          </w:tcPr>
          <w:p w14:paraId="462FC701" w14:textId="77777777" w:rsidR="004B5CEE" w:rsidRPr="006B1CEF" w:rsidRDefault="004B5CEE">
            <w:pPr>
              <w:rPr>
                <w:sz w:val="24"/>
                <w:szCs w:val="24"/>
              </w:rPr>
            </w:pPr>
          </w:p>
        </w:tc>
        <w:tc>
          <w:tcPr>
            <w:tcW w:w="980" w:type="pct"/>
            <w:tcBorders>
              <w:top w:val="single" w:sz="4" w:space="0" w:color="auto"/>
              <w:left w:val="single" w:sz="4" w:space="0" w:color="auto"/>
              <w:bottom w:val="single" w:sz="4" w:space="0" w:color="auto"/>
              <w:right w:val="single" w:sz="4" w:space="0" w:color="auto"/>
            </w:tcBorders>
            <w:hideMark/>
          </w:tcPr>
          <w:p w14:paraId="31F23B9E" w14:textId="77777777" w:rsidR="004B5CEE" w:rsidRPr="006B1CEF" w:rsidRDefault="004B5CEE">
            <w:pPr>
              <w:rPr>
                <w:sz w:val="24"/>
                <w:szCs w:val="24"/>
              </w:rPr>
            </w:pPr>
            <w:r w:rsidRPr="006B1CEF">
              <w:rPr>
                <w:sz w:val="24"/>
                <w:szCs w:val="24"/>
              </w:rPr>
              <w:t>Ikke kendt</w:t>
            </w:r>
          </w:p>
        </w:tc>
        <w:tc>
          <w:tcPr>
            <w:tcW w:w="2261" w:type="pct"/>
            <w:tcBorders>
              <w:top w:val="single" w:sz="4" w:space="0" w:color="auto"/>
              <w:left w:val="single" w:sz="4" w:space="0" w:color="auto"/>
              <w:bottom w:val="single" w:sz="4" w:space="0" w:color="auto"/>
              <w:right w:val="single" w:sz="4" w:space="0" w:color="auto"/>
            </w:tcBorders>
            <w:hideMark/>
          </w:tcPr>
          <w:p w14:paraId="34E5F677" w14:textId="77777777" w:rsidR="004B5CEE" w:rsidRPr="006B1CEF" w:rsidRDefault="004B5CEE">
            <w:pPr>
              <w:rPr>
                <w:sz w:val="24"/>
                <w:szCs w:val="24"/>
              </w:rPr>
            </w:pPr>
            <w:proofErr w:type="spellStart"/>
            <w:r w:rsidRPr="006B1CEF">
              <w:rPr>
                <w:sz w:val="24"/>
                <w:szCs w:val="24"/>
              </w:rPr>
              <w:t>Mydriasis</w:t>
            </w:r>
            <w:proofErr w:type="spellEnd"/>
            <w:r w:rsidRPr="006B1CEF">
              <w:rPr>
                <w:sz w:val="24"/>
                <w:szCs w:val="24"/>
              </w:rPr>
              <w:t xml:space="preserve">*, forhøjet </w:t>
            </w:r>
            <w:proofErr w:type="spellStart"/>
            <w:r w:rsidRPr="006B1CEF">
              <w:rPr>
                <w:sz w:val="24"/>
                <w:szCs w:val="24"/>
              </w:rPr>
              <w:t>intraokulært</w:t>
            </w:r>
            <w:proofErr w:type="spellEnd"/>
            <w:r w:rsidRPr="006B1CEF">
              <w:rPr>
                <w:sz w:val="24"/>
                <w:szCs w:val="24"/>
              </w:rPr>
              <w:t xml:space="preserve"> tryk*</w:t>
            </w:r>
          </w:p>
        </w:tc>
      </w:tr>
      <w:tr w:rsidR="004B5CEE" w:rsidRPr="006B1CEF" w14:paraId="6ABE8032" w14:textId="77777777" w:rsidTr="000449C0">
        <w:tc>
          <w:tcPr>
            <w:tcW w:w="1759" w:type="pct"/>
            <w:tcBorders>
              <w:top w:val="single" w:sz="4" w:space="0" w:color="auto"/>
              <w:left w:val="single" w:sz="4" w:space="0" w:color="auto"/>
              <w:bottom w:val="single" w:sz="4" w:space="0" w:color="auto"/>
              <w:right w:val="single" w:sz="4" w:space="0" w:color="auto"/>
            </w:tcBorders>
            <w:hideMark/>
          </w:tcPr>
          <w:p w14:paraId="58842970" w14:textId="77777777" w:rsidR="004B5CEE" w:rsidRPr="006B1CEF" w:rsidRDefault="004B5CEE">
            <w:pPr>
              <w:tabs>
                <w:tab w:val="left" w:pos="1005"/>
              </w:tabs>
              <w:rPr>
                <w:sz w:val="24"/>
                <w:szCs w:val="24"/>
              </w:rPr>
            </w:pPr>
            <w:r w:rsidRPr="006B1CEF">
              <w:rPr>
                <w:sz w:val="24"/>
                <w:szCs w:val="24"/>
              </w:rPr>
              <w:lastRenderedPageBreak/>
              <w:t>Hjerte</w:t>
            </w:r>
          </w:p>
        </w:tc>
        <w:tc>
          <w:tcPr>
            <w:tcW w:w="980" w:type="pct"/>
            <w:tcBorders>
              <w:top w:val="single" w:sz="4" w:space="0" w:color="auto"/>
              <w:left w:val="single" w:sz="4" w:space="0" w:color="auto"/>
              <w:bottom w:val="single" w:sz="4" w:space="0" w:color="auto"/>
              <w:right w:val="single" w:sz="4" w:space="0" w:color="auto"/>
            </w:tcBorders>
            <w:hideMark/>
          </w:tcPr>
          <w:p w14:paraId="6136A366" w14:textId="77777777" w:rsidR="004B5CEE" w:rsidRPr="006B1CEF" w:rsidRDefault="004B5CEE">
            <w:pPr>
              <w:rPr>
                <w:sz w:val="24"/>
                <w:szCs w:val="24"/>
              </w:rPr>
            </w:pPr>
            <w:r w:rsidRPr="006B1CEF">
              <w:rPr>
                <w:sz w:val="24"/>
                <w:szCs w:val="24"/>
              </w:rPr>
              <w:t>Almindelig</w:t>
            </w:r>
          </w:p>
        </w:tc>
        <w:tc>
          <w:tcPr>
            <w:tcW w:w="2261" w:type="pct"/>
            <w:tcBorders>
              <w:top w:val="single" w:sz="4" w:space="0" w:color="auto"/>
              <w:left w:val="single" w:sz="4" w:space="0" w:color="auto"/>
              <w:bottom w:val="single" w:sz="4" w:space="0" w:color="auto"/>
              <w:right w:val="single" w:sz="4" w:space="0" w:color="auto"/>
            </w:tcBorders>
            <w:hideMark/>
          </w:tcPr>
          <w:p w14:paraId="0827679C" w14:textId="77777777" w:rsidR="004B5CEE" w:rsidRPr="006B1CEF" w:rsidRDefault="004B5CEE">
            <w:pPr>
              <w:rPr>
                <w:sz w:val="24"/>
                <w:szCs w:val="24"/>
              </w:rPr>
            </w:pPr>
            <w:proofErr w:type="spellStart"/>
            <w:r w:rsidRPr="006B1CEF">
              <w:rPr>
                <w:sz w:val="24"/>
                <w:szCs w:val="24"/>
              </w:rPr>
              <w:t>Takykardi</w:t>
            </w:r>
            <w:proofErr w:type="spellEnd"/>
          </w:p>
        </w:tc>
      </w:tr>
      <w:tr w:rsidR="004B5CEE" w:rsidRPr="006B1CEF" w14:paraId="4F8E2E09" w14:textId="77777777" w:rsidTr="000449C0">
        <w:tc>
          <w:tcPr>
            <w:tcW w:w="1759" w:type="pct"/>
            <w:tcBorders>
              <w:top w:val="single" w:sz="4" w:space="0" w:color="auto"/>
              <w:left w:val="single" w:sz="4" w:space="0" w:color="auto"/>
              <w:bottom w:val="single" w:sz="4" w:space="0" w:color="auto"/>
              <w:right w:val="single" w:sz="4" w:space="0" w:color="auto"/>
            </w:tcBorders>
            <w:hideMark/>
          </w:tcPr>
          <w:p w14:paraId="2948E4AB" w14:textId="77777777" w:rsidR="004B5CEE" w:rsidRPr="006B1CEF" w:rsidRDefault="004B5CEE">
            <w:pPr>
              <w:rPr>
                <w:sz w:val="24"/>
                <w:szCs w:val="24"/>
              </w:rPr>
            </w:pPr>
            <w:proofErr w:type="spellStart"/>
            <w:r w:rsidRPr="006B1CEF">
              <w:rPr>
                <w:sz w:val="24"/>
                <w:szCs w:val="24"/>
              </w:rPr>
              <w:t>Vaskulære</w:t>
            </w:r>
            <w:proofErr w:type="spellEnd"/>
            <w:r w:rsidRPr="006B1CEF">
              <w:rPr>
                <w:sz w:val="24"/>
                <w:szCs w:val="24"/>
              </w:rPr>
              <w:t xml:space="preserve"> sygdomme</w:t>
            </w:r>
          </w:p>
        </w:tc>
        <w:tc>
          <w:tcPr>
            <w:tcW w:w="980" w:type="pct"/>
            <w:tcBorders>
              <w:top w:val="single" w:sz="4" w:space="0" w:color="auto"/>
              <w:left w:val="single" w:sz="4" w:space="0" w:color="auto"/>
              <w:bottom w:val="single" w:sz="4" w:space="0" w:color="auto"/>
              <w:right w:val="single" w:sz="4" w:space="0" w:color="auto"/>
            </w:tcBorders>
            <w:hideMark/>
          </w:tcPr>
          <w:p w14:paraId="6C793A2D" w14:textId="77777777" w:rsidR="004B5CEE" w:rsidRPr="006B1CEF" w:rsidRDefault="004B5CEE">
            <w:pPr>
              <w:rPr>
                <w:sz w:val="24"/>
                <w:szCs w:val="24"/>
              </w:rPr>
            </w:pPr>
            <w:r w:rsidRPr="006B1CEF">
              <w:rPr>
                <w:sz w:val="24"/>
                <w:szCs w:val="24"/>
              </w:rPr>
              <w:t>Ikke kendt</w:t>
            </w:r>
          </w:p>
        </w:tc>
        <w:tc>
          <w:tcPr>
            <w:tcW w:w="2261" w:type="pct"/>
            <w:tcBorders>
              <w:top w:val="single" w:sz="4" w:space="0" w:color="auto"/>
              <w:left w:val="single" w:sz="4" w:space="0" w:color="auto"/>
              <w:bottom w:val="single" w:sz="4" w:space="0" w:color="auto"/>
              <w:right w:val="single" w:sz="4" w:space="0" w:color="auto"/>
            </w:tcBorders>
            <w:hideMark/>
          </w:tcPr>
          <w:p w14:paraId="01B9CA2F" w14:textId="77777777" w:rsidR="004B5CEE" w:rsidRPr="006B1CEF" w:rsidRDefault="004B5CEE">
            <w:pPr>
              <w:rPr>
                <w:sz w:val="24"/>
                <w:szCs w:val="24"/>
              </w:rPr>
            </w:pPr>
            <w:r w:rsidRPr="006B1CEF">
              <w:rPr>
                <w:sz w:val="24"/>
                <w:szCs w:val="24"/>
              </w:rPr>
              <w:t>Svimmelhed, nedsat blodtryk*, rødmen*</w:t>
            </w:r>
          </w:p>
        </w:tc>
      </w:tr>
      <w:tr w:rsidR="004B5CEE" w:rsidRPr="006B1CEF" w14:paraId="3A1E07AA" w14:textId="77777777" w:rsidTr="000449C0">
        <w:tc>
          <w:tcPr>
            <w:tcW w:w="1759" w:type="pct"/>
            <w:tcBorders>
              <w:top w:val="single" w:sz="4" w:space="0" w:color="auto"/>
              <w:left w:val="single" w:sz="4" w:space="0" w:color="auto"/>
              <w:bottom w:val="single" w:sz="4" w:space="0" w:color="auto"/>
              <w:right w:val="single" w:sz="4" w:space="0" w:color="auto"/>
            </w:tcBorders>
            <w:hideMark/>
          </w:tcPr>
          <w:p w14:paraId="1C88FB9F" w14:textId="77777777" w:rsidR="004B5CEE" w:rsidRPr="006B1CEF" w:rsidRDefault="004B5CEE">
            <w:pPr>
              <w:rPr>
                <w:sz w:val="24"/>
                <w:szCs w:val="24"/>
              </w:rPr>
            </w:pPr>
            <w:r w:rsidRPr="006B1CEF">
              <w:rPr>
                <w:sz w:val="24"/>
                <w:szCs w:val="24"/>
              </w:rPr>
              <w:t>Mave-tarm-kanalen</w:t>
            </w:r>
          </w:p>
        </w:tc>
        <w:tc>
          <w:tcPr>
            <w:tcW w:w="980" w:type="pct"/>
            <w:tcBorders>
              <w:top w:val="single" w:sz="4" w:space="0" w:color="auto"/>
              <w:left w:val="single" w:sz="4" w:space="0" w:color="auto"/>
              <w:bottom w:val="single" w:sz="4" w:space="0" w:color="auto"/>
              <w:right w:val="single" w:sz="4" w:space="0" w:color="auto"/>
            </w:tcBorders>
            <w:hideMark/>
          </w:tcPr>
          <w:p w14:paraId="4E29BFE7" w14:textId="77777777" w:rsidR="004B5CEE" w:rsidRPr="006B1CEF" w:rsidRDefault="004B5CEE">
            <w:pPr>
              <w:rPr>
                <w:sz w:val="24"/>
                <w:szCs w:val="24"/>
              </w:rPr>
            </w:pPr>
            <w:r w:rsidRPr="006B1CEF">
              <w:rPr>
                <w:sz w:val="24"/>
                <w:szCs w:val="24"/>
              </w:rPr>
              <w:t>Almindelig</w:t>
            </w:r>
          </w:p>
        </w:tc>
        <w:tc>
          <w:tcPr>
            <w:tcW w:w="2261" w:type="pct"/>
            <w:tcBorders>
              <w:top w:val="single" w:sz="4" w:space="0" w:color="auto"/>
              <w:left w:val="single" w:sz="4" w:space="0" w:color="auto"/>
              <w:bottom w:val="single" w:sz="4" w:space="0" w:color="auto"/>
              <w:right w:val="single" w:sz="4" w:space="0" w:color="auto"/>
            </w:tcBorders>
            <w:hideMark/>
          </w:tcPr>
          <w:p w14:paraId="32B3E326" w14:textId="56D70B20" w:rsidR="004B5CEE" w:rsidRPr="006B1CEF" w:rsidRDefault="004B5CEE">
            <w:pPr>
              <w:rPr>
                <w:sz w:val="24"/>
                <w:szCs w:val="24"/>
              </w:rPr>
            </w:pPr>
            <w:r w:rsidRPr="006B1CEF">
              <w:rPr>
                <w:sz w:val="24"/>
                <w:szCs w:val="24"/>
              </w:rPr>
              <w:t>Mundtørhed</w:t>
            </w:r>
          </w:p>
        </w:tc>
      </w:tr>
      <w:tr w:rsidR="004B5CEE" w:rsidRPr="006B1CEF" w14:paraId="58FF167D" w14:textId="77777777" w:rsidTr="000449C0">
        <w:tc>
          <w:tcPr>
            <w:tcW w:w="1759" w:type="pct"/>
            <w:tcBorders>
              <w:top w:val="single" w:sz="4" w:space="0" w:color="auto"/>
              <w:left w:val="single" w:sz="4" w:space="0" w:color="auto"/>
              <w:bottom w:val="single" w:sz="4" w:space="0" w:color="auto"/>
              <w:right w:val="single" w:sz="4" w:space="0" w:color="auto"/>
            </w:tcBorders>
          </w:tcPr>
          <w:p w14:paraId="2DE1281A" w14:textId="2FE225D0" w:rsidR="004B5CEE" w:rsidRPr="006B1CEF" w:rsidRDefault="004B5CEE" w:rsidP="00E256F6">
            <w:pPr>
              <w:rPr>
                <w:sz w:val="24"/>
                <w:szCs w:val="24"/>
              </w:rPr>
            </w:pPr>
            <w:r w:rsidRPr="006B1CEF">
              <w:rPr>
                <w:sz w:val="24"/>
                <w:szCs w:val="24"/>
              </w:rPr>
              <w:t>Hud og subkutane væv</w:t>
            </w:r>
          </w:p>
        </w:tc>
        <w:tc>
          <w:tcPr>
            <w:tcW w:w="980" w:type="pct"/>
            <w:tcBorders>
              <w:top w:val="single" w:sz="4" w:space="0" w:color="auto"/>
              <w:left w:val="single" w:sz="4" w:space="0" w:color="auto"/>
              <w:bottom w:val="single" w:sz="4" w:space="0" w:color="auto"/>
              <w:right w:val="single" w:sz="4" w:space="0" w:color="auto"/>
            </w:tcBorders>
            <w:hideMark/>
          </w:tcPr>
          <w:p w14:paraId="31CC2E69" w14:textId="77777777" w:rsidR="004B5CEE" w:rsidRPr="006B1CEF" w:rsidRDefault="004B5CEE">
            <w:pPr>
              <w:rPr>
                <w:sz w:val="24"/>
                <w:szCs w:val="24"/>
              </w:rPr>
            </w:pPr>
            <w:r w:rsidRPr="006B1CEF">
              <w:rPr>
                <w:sz w:val="24"/>
                <w:szCs w:val="24"/>
              </w:rPr>
              <w:t>Ikke kendt</w:t>
            </w:r>
          </w:p>
        </w:tc>
        <w:tc>
          <w:tcPr>
            <w:tcW w:w="2261" w:type="pct"/>
            <w:tcBorders>
              <w:top w:val="single" w:sz="4" w:space="0" w:color="auto"/>
              <w:left w:val="single" w:sz="4" w:space="0" w:color="auto"/>
              <w:bottom w:val="single" w:sz="4" w:space="0" w:color="auto"/>
              <w:right w:val="single" w:sz="4" w:space="0" w:color="auto"/>
            </w:tcBorders>
            <w:hideMark/>
          </w:tcPr>
          <w:p w14:paraId="011D3822" w14:textId="77777777" w:rsidR="004B5CEE" w:rsidRPr="006B1CEF" w:rsidRDefault="004B5CEE">
            <w:pPr>
              <w:rPr>
                <w:sz w:val="24"/>
                <w:szCs w:val="24"/>
              </w:rPr>
            </w:pPr>
            <w:r w:rsidRPr="006B1CEF">
              <w:rPr>
                <w:sz w:val="24"/>
                <w:szCs w:val="24"/>
              </w:rPr>
              <w:t xml:space="preserve">Hudreaktioner* (f.eks. </w:t>
            </w:r>
            <w:proofErr w:type="spellStart"/>
            <w:r w:rsidRPr="006B1CEF">
              <w:rPr>
                <w:sz w:val="24"/>
                <w:szCs w:val="24"/>
              </w:rPr>
              <w:t>urticaria</w:t>
            </w:r>
            <w:proofErr w:type="spellEnd"/>
            <w:r w:rsidRPr="006B1CEF">
              <w:rPr>
                <w:sz w:val="24"/>
                <w:szCs w:val="24"/>
              </w:rPr>
              <w:t xml:space="preserve">*, udslæt*, </w:t>
            </w:r>
            <w:proofErr w:type="spellStart"/>
            <w:r w:rsidRPr="006B1CEF">
              <w:rPr>
                <w:sz w:val="24"/>
                <w:szCs w:val="24"/>
              </w:rPr>
              <w:t>erythema</w:t>
            </w:r>
            <w:proofErr w:type="spellEnd"/>
            <w:r w:rsidRPr="006B1CEF">
              <w:rPr>
                <w:sz w:val="24"/>
                <w:szCs w:val="24"/>
              </w:rPr>
              <w:t xml:space="preserve">*, </w:t>
            </w:r>
            <w:proofErr w:type="spellStart"/>
            <w:r w:rsidRPr="006B1CEF">
              <w:rPr>
                <w:sz w:val="24"/>
                <w:szCs w:val="24"/>
              </w:rPr>
              <w:t>pruritus</w:t>
            </w:r>
            <w:proofErr w:type="spellEnd"/>
            <w:r w:rsidRPr="006B1CEF">
              <w:rPr>
                <w:sz w:val="24"/>
                <w:szCs w:val="24"/>
              </w:rPr>
              <w:t>*), svedabnormitet*</w:t>
            </w:r>
          </w:p>
        </w:tc>
      </w:tr>
      <w:tr w:rsidR="004B5CEE" w:rsidRPr="006B1CEF" w14:paraId="00CA645F" w14:textId="77777777" w:rsidTr="000449C0">
        <w:tc>
          <w:tcPr>
            <w:tcW w:w="1759" w:type="pct"/>
            <w:tcBorders>
              <w:top w:val="single" w:sz="4" w:space="0" w:color="auto"/>
              <w:left w:val="single" w:sz="4" w:space="0" w:color="auto"/>
              <w:bottom w:val="single" w:sz="4" w:space="0" w:color="auto"/>
              <w:right w:val="single" w:sz="4" w:space="0" w:color="auto"/>
            </w:tcBorders>
            <w:hideMark/>
          </w:tcPr>
          <w:p w14:paraId="4D0EA4B5" w14:textId="77777777" w:rsidR="004B5CEE" w:rsidRPr="006B1CEF" w:rsidRDefault="004B5CEE">
            <w:pPr>
              <w:rPr>
                <w:sz w:val="24"/>
                <w:szCs w:val="24"/>
              </w:rPr>
            </w:pPr>
            <w:r w:rsidRPr="006B1CEF">
              <w:rPr>
                <w:sz w:val="24"/>
                <w:szCs w:val="24"/>
              </w:rPr>
              <w:t>Nyrer og urinveje</w:t>
            </w:r>
          </w:p>
        </w:tc>
        <w:tc>
          <w:tcPr>
            <w:tcW w:w="980" w:type="pct"/>
            <w:tcBorders>
              <w:top w:val="single" w:sz="4" w:space="0" w:color="auto"/>
              <w:left w:val="single" w:sz="4" w:space="0" w:color="auto"/>
              <w:bottom w:val="single" w:sz="4" w:space="0" w:color="auto"/>
              <w:right w:val="single" w:sz="4" w:space="0" w:color="auto"/>
            </w:tcBorders>
            <w:hideMark/>
          </w:tcPr>
          <w:p w14:paraId="45D19D41" w14:textId="77777777" w:rsidR="004B5CEE" w:rsidRPr="006B1CEF" w:rsidRDefault="004B5CEE">
            <w:pPr>
              <w:rPr>
                <w:sz w:val="24"/>
                <w:szCs w:val="24"/>
              </w:rPr>
            </w:pPr>
            <w:r w:rsidRPr="006B1CEF">
              <w:rPr>
                <w:sz w:val="24"/>
                <w:szCs w:val="24"/>
              </w:rPr>
              <w:t>Ikke kendt</w:t>
            </w:r>
          </w:p>
        </w:tc>
        <w:tc>
          <w:tcPr>
            <w:tcW w:w="2261" w:type="pct"/>
            <w:tcBorders>
              <w:top w:val="single" w:sz="4" w:space="0" w:color="auto"/>
              <w:left w:val="single" w:sz="4" w:space="0" w:color="auto"/>
              <w:bottom w:val="single" w:sz="4" w:space="0" w:color="auto"/>
              <w:right w:val="single" w:sz="4" w:space="0" w:color="auto"/>
            </w:tcBorders>
            <w:hideMark/>
          </w:tcPr>
          <w:p w14:paraId="158A96DD" w14:textId="77777777" w:rsidR="004B5CEE" w:rsidRPr="006B1CEF" w:rsidRDefault="004B5CEE">
            <w:pPr>
              <w:rPr>
                <w:sz w:val="24"/>
                <w:szCs w:val="24"/>
              </w:rPr>
            </w:pPr>
            <w:r w:rsidRPr="006B1CEF">
              <w:rPr>
                <w:sz w:val="24"/>
                <w:szCs w:val="24"/>
              </w:rPr>
              <w:t>Urinretention*</w:t>
            </w:r>
          </w:p>
        </w:tc>
      </w:tr>
    </w:tbl>
    <w:p w14:paraId="6F7939F2" w14:textId="77777777" w:rsidR="004B5CEE" w:rsidRPr="006B1CEF" w:rsidRDefault="004B5CEE" w:rsidP="004B5CEE">
      <w:pPr>
        <w:rPr>
          <w:sz w:val="24"/>
          <w:szCs w:val="24"/>
        </w:rPr>
      </w:pPr>
      <w:r w:rsidRPr="006B1CEF">
        <w:rPr>
          <w:sz w:val="24"/>
          <w:szCs w:val="24"/>
        </w:rPr>
        <w:t>*Denne bivirkning er observeret i postmarketingfasen. Denne frekvenskategori er med 95 % sikkerhed ikke højere end ”Almindelig”, men kan være lavere. Det er ikke muligt at angive en præcis frekvens, da bivirkningen ikke forekom i en database over kliniske forsøg med 185 patienter.</w:t>
      </w:r>
    </w:p>
    <w:p w14:paraId="18B0E3EA" w14:textId="77777777" w:rsidR="004B5CEE" w:rsidRPr="006B1CEF" w:rsidRDefault="004B5CEE" w:rsidP="004B5CEE">
      <w:pPr>
        <w:rPr>
          <w:sz w:val="24"/>
          <w:szCs w:val="24"/>
        </w:rPr>
      </w:pPr>
    </w:p>
    <w:p w14:paraId="552455B5" w14:textId="77777777" w:rsidR="004B5CEE" w:rsidRPr="006B1CEF" w:rsidRDefault="004B5CEE" w:rsidP="000449C0">
      <w:pPr>
        <w:autoSpaceDE w:val="0"/>
        <w:autoSpaceDN w:val="0"/>
        <w:adjustRightInd w:val="0"/>
        <w:ind w:left="851"/>
        <w:rPr>
          <w:sz w:val="24"/>
          <w:szCs w:val="24"/>
          <w:u w:val="single"/>
        </w:rPr>
      </w:pPr>
      <w:r w:rsidRPr="006B1CEF">
        <w:rPr>
          <w:sz w:val="24"/>
          <w:szCs w:val="24"/>
          <w:u w:val="single"/>
        </w:rPr>
        <w:t>Indberetning af formodede bivirkninger</w:t>
      </w:r>
    </w:p>
    <w:p w14:paraId="6DF8E874" w14:textId="77777777" w:rsidR="004B5CEE" w:rsidRPr="006B1CEF" w:rsidRDefault="004B5CEE" w:rsidP="000449C0">
      <w:pPr>
        <w:autoSpaceDE w:val="0"/>
        <w:autoSpaceDN w:val="0"/>
        <w:adjustRightInd w:val="0"/>
        <w:ind w:left="851"/>
        <w:rPr>
          <w:sz w:val="24"/>
          <w:szCs w:val="24"/>
        </w:rPr>
      </w:pPr>
      <w:r w:rsidRPr="006B1CEF">
        <w:rPr>
          <w:sz w:val="24"/>
          <w:szCs w:val="24"/>
        </w:rPr>
        <w:t>Når lægemidlet er godkendt, er indberetning af formodede bivirkninger vigtig. Det muliggør løbende overvågning af benefit/</w:t>
      </w:r>
      <w:proofErr w:type="spellStart"/>
      <w:r w:rsidRPr="006B1CEF">
        <w:rPr>
          <w:sz w:val="24"/>
          <w:szCs w:val="24"/>
        </w:rPr>
        <w:t>risk</w:t>
      </w:r>
      <w:proofErr w:type="spellEnd"/>
      <w:r w:rsidRPr="006B1CEF">
        <w:rPr>
          <w:sz w:val="24"/>
          <w:szCs w:val="24"/>
        </w:rPr>
        <w:t>-forholdet for lægemidlet. Sundhedspersoner anmodes om at indberette alle formodede bivirkninger via</w:t>
      </w:r>
    </w:p>
    <w:p w14:paraId="00FA92F8" w14:textId="77777777" w:rsidR="004B5CEE" w:rsidRPr="006B1CEF" w:rsidRDefault="004B5CEE" w:rsidP="000449C0">
      <w:pPr>
        <w:autoSpaceDE w:val="0"/>
        <w:autoSpaceDN w:val="0"/>
        <w:adjustRightInd w:val="0"/>
        <w:ind w:left="851"/>
        <w:rPr>
          <w:sz w:val="24"/>
          <w:szCs w:val="24"/>
        </w:rPr>
      </w:pPr>
    </w:p>
    <w:p w14:paraId="27E4EC11" w14:textId="77777777" w:rsidR="004B5CEE" w:rsidRPr="006B1CEF" w:rsidRDefault="004B5CEE" w:rsidP="000449C0">
      <w:pPr>
        <w:ind w:left="851"/>
        <w:rPr>
          <w:rFonts w:eastAsia="Calibri"/>
          <w:color w:val="000000"/>
          <w:sz w:val="24"/>
          <w:szCs w:val="24"/>
          <w:lang w:eastAsia="zh-CN"/>
        </w:rPr>
      </w:pPr>
      <w:r w:rsidRPr="006B1CEF">
        <w:rPr>
          <w:sz w:val="24"/>
          <w:szCs w:val="24"/>
        </w:rPr>
        <w:t>Lægemiddelstyrelsen</w:t>
      </w:r>
    </w:p>
    <w:p w14:paraId="144115F5" w14:textId="77777777" w:rsidR="004B5CEE" w:rsidRPr="006B1CEF" w:rsidRDefault="004B5CEE" w:rsidP="000449C0">
      <w:pPr>
        <w:ind w:left="851"/>
        <w:rPr>
          <w:rFonts w:eastAsia="Calibri"/>
          <w:noProof/>
          <w:sz w:val="24"/>
          <w:szCs w:val="24"/>
          <w:lang w:eastAsia="zh-CN"/>
        </w:rPr>
      </w:pPr>
      <w:r w:rsidRPr="006B1CEF">
        <w:rPr>
          <w:rFonts w:eastAsia="Calibri"/>
          <w:sz w:val="24"/>
          <w:szCs w:val="24"/>
          <w:lang w:eastAsia="zh-CN"/>
        </w:rPr>
        <w:t>Axel Heides Gade 1</w:t>
      </w:r>
    </w:p>
    <w:p w14:paraId="1FF40573" w14:textId="77777777" w:rsidR="004B5CEE" w:rsidRPr="006B1CEF" w:rsidRDefault="004B5CEE" w:rsidP="000449C0">
      <w:pPr>
        <w:ind w:left="851"/>
        <w:rPr>
          <w:rFonts w:eastAsia="Calibri"/>
          <w:noProof/>
          <w:sz w:val="24"/>
          <w:szCs w:val="24"/>
          <w:lang w:eastAsia="zh-CN"/>
        </w:rPr>
      </w:pPr>
      <w:r w:rsidRPr="006B1CEF">
        <w:rPr>
          <w:rFonts w:eastAsia="Calibri"/>
          <w:noProof/>
          <w:sz w:val="24"/>
          <w:szCs w:val="24"/>
          <w:lang w:eastAsia="zh-CN"/>
        </w:rPr>
        <w:t xml:space="preserve">DK-2300 </w:t>
      </w:r>
      <w:r w:rsidRPr="006B1CEF">
        <w:rPr>
          <w:rFonts w:eastAsia="Calibri"/>
          <w:sz w:val="24"/>
          <w:szCs w:val="24"/>
          <w:lang w:eastAsia="zh-CN"/>
        </w:rPr>
        <w:t>København S</w:t>
      </w:r>
    </w:p>
    <w:p w14:paraId="6F81D9C3" w14:textId="77777777" w:rsidR="004B5CEE" w:rsidRPr="006B1CEF" w:rsidRDefault="004B5CEE" w:rsidP="000449C0">
      <w:pPr>
        <w:autoSpaceDE w:val="0"/>
        <w:autoSpaceDN w:val="0"/>
        <w:adjustRightInd w:val="0"/>
        <w:ind w:left="851"/>
        <w:rPr>
          <w:noProof/>
          <w:sz w:val="24"/>
          <w:szCs w:val="24"/>
        </w:rPr>
      </w:pPr>
      <w:r w:rsidRPr="006B1CEF">
        <w:rPr>
          <w:rFonts w:eastAsia="Calibri"/>
          <w:sz w:val="24"/>
          <w:szCs w:val="24"/>
          <w:lang w:eastAsia="zh-CN"/>
        </w:rPr>
        <w:t>Websted</w:t>
      </w:r>
      <w:r w:rsidRPr="006B1CEF">
        <w:rPr>
          <w:rFonts w:eastAsia="Calibri"/>
          <w:noProof/>
          <w:sz w:val="24"/>
          <w:szCs w:val="24"/>
          <w:lang w:eastAsia="zh-CN"/>
        </w:rPr>
        <w:t xml:space="preserve">: </w:t>
      </w:r>
      <w:hyperlink r:id="rId8" w:history="1">
        <w:r w:rsidRPr="006B1CEF">
          <w:rPr>
            <w:rStyle w:val="Hyperlink"/>
            <w:rFonts w:eastAsia="Calibri"/>
            <w:noProof/>
            <w:sz w:val="24"/>
            <w:szCs w:val="24"/>
            <w:lang w:eastAsia="zh-CN"/>
          </w:rPr>
          <w:t>www.meldenbivirkning.dk</w:t>
        </w:r>
      </w:hyperlink>
    </w:p>
    <w:p w14:paraId="14CCEA43" w14:textId="77777777" w:rsidR="009260DE" w:rsidRPr="006B1CEF" w:rsidRDefault="009260DE" w:rsidP="00A10294">
      <w:pPr>
        <w:tabs>
          <w:tab w:val="left" w:pos="851"/>
        </w:tabs>
        <w:ind w:left="851"/>
        <w:rPr>
          <w:sz w:val="24"/>
          <w:szCs w:val="24"/>
        </w:rPr>
      </w:pPr>
    </w:p>
    <w:p w14:paraId="1443D8FF" w14:textId="77777777" w:rsidR="009260DE" w:rsidRPr="006B1CEF" w:rsidRDefault="009260DE" w:rsidP="009260DE">
      <w:pPr>
        <w:tabs>
          <w:tab w:val="left" w:pos="851"/>
        </w:tabs>
        <w:ind w:left="851" w:hanging="851"/>
        <w:rPr>
          <w:b/>
          <w:sz w:val="24"/>
          <w:szCs w:val="24"/>
        </w:rPr>
      </w:pPr>
      <w:r w:rsidRPr="006B1CEF">
        <w:rPr>
          <w:b/>
          <w:sz w:val="24"/>
          <w:szCs w:val="24"/>
        </w:rPr>
        <w:t>4.9</w:t>
      </w:r>
      <w:r w:rsidRPr="006B1CEF">
        <w:rPr>
          <w:b/>
          <w:sz w:val="24"/>
          <w:szCs w:val="24"/>
        </w:rPr>
        <w:tab/>
        <w:t>Overdosering</w:t>
      </w:r>
    </w:p>
    <w:p w14:paraId="78188904" w14:textId="77777777" w:rsidR="00630780" w:rsidRDefault="00630780" w:rsidP="000449C0">
      <w:pPr>
        <w:ind w:left="851"/>
        <w:rPr>
          <w:sz w:val="24"/>
          <w:szCs w:val="24"/>
          <w:u w:val="single"/>
        </w:rPr>
      </w:pPr>
    </w:p>
    <w:p w14:paraId="1DCFD9CB" w14:textId="6A707A81" w:rsidR="004B5CEE" w:rsidRPr="006B1CEF" w:rsidRDefault="004B5CEE" w:rsidP="000449C0">
      <w:pPr>
        <w:ind w:left="851"/>
        <w:rPr>
          <w:noProof/>
          <w:sz w:val="24"/>
          <w:szCs w:val="24"/>
          <w:u w:val="single"/>
        </w:rPr>
      </w:pPr>
      <w:r w:rsidRPr="006B1CEF">
        <w:rPr>
          <w:sz w:val="24"/>
          <w:szCs w:val="24"/>
          <w:u w:val="single"/>
        </w:rPr>
        <w:t>Symptomer</w:t>
      </w:r>
    </w:p>
    <w:p w14:paraId="49E2FD96" w14:textId="77777777" w:rsidR="004B5CEE" w:rsidRPr="006B1CEF" w:rsidRDefault="004B5CEE" w:rsidP="000449C0">
      <w:pPr>
        <w:ind w:left="851"/>
        <w:rPr>
          <w:noProof/>
          <w:sz w:val="24"/>
          <w:szCs w:val="24"/>
        </w:rPr>
      </w:pPr>
      <w:r w:rsidRPr="006B1CEF">
        <w:rPr>
          <w:sz w:val="24"/>
          <w:szCs w:val="24"/>
        </w:rPr>
        <w:t xml:space="preserve">Der kan forekomme </w:t>
      </w:r>
      <w:proofErr w:type="spellStart"/>
      <w:r w:rsidRPr="006B1CEF">
        <w:rPr>
          <w:sz w:val="24"/>
          <w:szCs w:val="24"/>
        </w:rPr>
        <w:t>antikolinerge</w:t>
      </w:r>
      <w:proofErr w:type="spellEnd"/>
      <w:r w:rsidRPr="006B1CEF">
        <w:rPr>
          <w:sz w:val="24"/>
          <w:szCs w:val="24"/>
        </w:rPr>
        <w:t xml:space="preserve"> symptomer i tilfælde af overdosering.</w:t>
      </w:r>
    </w:p>
    <w:p w14:paraId="24275037" w14:textId="77777777" w:rsidR="004B5CEE" w:rsidRPr="006B1CEF" w:rsidRDefault="004B5CEE" w:rsidP="000449C0">
      <w:pPr>
        <w:ind w:left="851"/>
        <w:rPr>
          <w:noProof/>
          <w:sz w:val="24"/>
          <w:szCs w:val="24"/>
        </w:rPr>
      </w:pPr>
    </w:p>
    <w:p w14:paraId="133D16F7" w14:textId="77777777" w:rsidR="004B5CEE" w:rsidRPr="006B1CEF" w:rsidRDefault="004B5CEE" w:rsidP="000449C0">
      <w:pPr>
        <w:ind w:left="851"/>
        <w:rPr>
          <w:noProof/>
          <w:sz w:val="24"/>
          <w:szCs w:val="24"/>
          <w:u w:val="single"/>
        </w:rPr>
      </w:pPr>
      <w:r w:rsidRPr="006B1CEF">
        <w:rPr>
          <w:sz w:val="24"/>
          <w:szCs w:val="24"/>
          <w:u w:val="single"/>
        </w:rPr>
        <w:t>Behandling</w:t>
      </w:r>
    </w:p>
    <w:p w14:paraId="29A6B210" w14:textId="77777777" w:rsidR="004B5CEE" w:rsidRPr="006B1CEF" w:rsidRDefault="004B5CEE" w:rsidP="000449C0">
      <w:pPr>
        <w:ind w:left="851"/>
        <w:rPr>
          <w:b/>
          <w:bCs/>
          <w:noProof/>
          <w:sz w:val="24"/>
          <w:szCs w:val="24"/>
        </w:rPr>
      </w:pPr>
      <w:r w:rsidRPr="006B1CEF">
        <w:rPr>
          <w:sz w:val="24"/>
          <w:szCs w:val="24"/>
        </w:rPr>
        <w:t xml:space="preserve">Symptomer på overdosering af </w:t>
      </w:r>
      <w:proofErr w:type="spellStart"/>
      <w:r w:rsidRPr="006B1CEF">
        <w:rPr>
          <w:sz w:val="24"/>
          <w:szCs w:val="24"/>
        </w:rPr>
        <w:t>Bumacor</w:t>
      </w:r>
      <w:proofErr w:type="spellEnd"/>
      <w:r w:rsidRPr="006B1CEF">
        <w:rPr>
          <w:sz w:val="24"/>
          <w:szCs w:val="24"/>
        </w:rPr>
        <w:t xml:space="preserve"> reagerer på </w:t>
      </w:r>
      <w:proofErr w:type="spellStart"/>
      <w:r w:rsidRPr="006B1CEF">
        <w:rPr>
          <w:sz w:val="24"/>
          <w:szCs w:val="24"/>
        </w:rPr>
        <w:t>parasympatomimetika</w:t>
      </w:r>
      <w:proofErr w:type="spellEnd"/>
      <w:r w:rsidRPr="006B1CEF">
        <w:rPr>
          <w:sz w:val="24"/>
          <w:szCs w:val="24"/>
        </w:rPr>
        <w:t xml:space="preserve">. I tilfælde af </w:t>
      </w:r>
      <w:proofErr w:type="spellStart"/>
      <w:r w:rsidRPr="006B1CEF">
        <w:rPr>
          <w:sz w:val="24"/>
          <w:szCs w:val="24"/>
        </w:rPr>
        <w:t>glaukom</w:t>
      </w:r>
      <w:proofErr w:type="spellEnd"/>
      <w:r w:rsidRPr="006B1CEF">
        <w:rPr>
          <w:sz w:val="24"/>
          <w:szCs w:val="24"/>
        </w:rPr>
        <w:t xml:space="preserve"> skal patienterne omgående søge hjælp hos en oftalmolog. Kateteranlæggelse kan være nødvendig ved urinretention. Der gives i andre tilfælde understøttende behandling efter behov.</w:t>
      </w:r>
    </w:p>
    <w:p w14:paraId="31FD703C" w14:textId="77777777" w:rsidR="009260DE" w:rsidRPr="006B1CEF" w:rsidRDefault="009260DE" w:rsidP="009260DE">
      <w:pPr>
        <w:tabs>
          <w:tab w:val="left" w:pos="851"/>
        </w:tabs>
        <w:ind w:left="851"/>
        <w:rPr>
          <w:sz w:val="24"/>
          <w:szCs w:val="24"/>
        </w:rPr>
      </w:pPr>
    </w:p>
    <w:p w14:paraId="62C786CF" w14:textId="77777777" w:rsidR="009260DE" w:rsidRPr="006B1CEF" w:rsidRDefault="009260DE" w:rsidP="009260DE">
      <w:pPr>
        <w:tabs>
          <w:tab w:val="left" w:pos="851"/>
        </w:tabs>
        <w:ind w:left="851" w:hanging="851"/>
        <w:rPr>
          <w:b/>
          <w:sz w:val="24"/>
          <w:szCs w:val="24"/>
        </w:rPr>
      </w:pPr>
      <w:r w:rsidRPr="006B1CEF">
        <w:rPr>
          <w:b/>
          <w:sz w:val="24"/>
          <w:szCs w:val="24"/>
        </w:rPr>
        <w:t>4.10</w:t>
      </w:r>
      <w:r w:rsidRPr="006B1CEF">
        <w:rPr>
          <w:b/>
          <w:sz w:val="24"/>
          <w:szCs w:val="24"/>
        </w:rPr>
        <w:tab/>
        <w:t>Udlevering</w:t>
      </w:r>
    </w:p>
    <w:p w14:paraId="1B8BAB50" w14:textId="10EBF90B" w:rsidR="009260DE" w:rsidRPr="006B1CEF" w:rsidRDefault="006B1CEF" w:rsidP="009260DE">
      <w:pPr>
        <w:tabs>
          <w:tab w:val="left" w:pos="851"/>
        </w:tabs>
        <w:ind w:left="851"/>
        <w:rPr>
          <w:sz w:val="24"/>
          <w:szCs w:val="24"/>
        </w:rPr>
      </w:pPr>
      <w:r w:rsidRPr="006B1CEF">
        <w:rPr>
          <w:sz w:val="24"/>
          <w:szCs w:val="24"/>
        </w:rPr>
        <w:t>B</w:t>
      </w:r>
    </w:p>
    <w:p w14:paraId="5837D60E" w14:textId="77777777" w:rsidR="009260DE" w:rsidRPr="006B1CEF" w:rsidRDefault="009260DE" w:rsidP="009260DE">
      <w:pPr>
        <w:tabs>
          <w:tab w:val="left" w:pos="851"/>
        </w:tabs>
        <w:ind w:left="851"/>
        <w:rPr>
          <w:sz w:val="24"/>
          <w:szCs w:val="24"/>
        </w:rPr>
      </w:pPr>
    </w:p>
    <w:p w14:paraId="711BC78D" w14:textId="77777777" w:rsidR="009260DE" w:rsidRPr="006B1CEF" w:rsidRDefault="009260DE" w:rsidP="009260DE">
      <w:pPr>
        <w:tabs>
          <w:tab w:val="left" w:pos="851"/>
        </w:tabs>
        <w:ind w:left="851"/>
        <w:rPr>
          <w:sz w:val="24"/>
          <w:szCs w:val="24"/>
        </w:rPr>
      </w:pPr>
    </w:p>
    <w:p w14:paraId="51C35EB6" w14:textId="77777777" w:rsidR="009260DE" w:rsidRPr="006B1CEF" w:rsidRDefault="009260DE" w:rsidP="009260DE">
      <w:pPr>
        <w:tabs>
          <w:tab w:val="left" w:pos="851"/>
        </w:tabs>
        <w:ind w:left="851" w:hanging="851"/>
        <w:rPr>
          <w:b/>
          <w:sz w:val="24"/>
          <w:szCs w:val="24"/>
        </w:rPr>
      </w:pPr>
      <w:r w:rsidRPr="006B1CEF">
        <w:rPr>
          <w:b/>
          <w:sz w:val="24"/>
          <w:szCs w:val="24"/>
        </w:rPr>
        <w:t>5.</w:t>
      </w:r>
      <w:r w:rsidRPr="006B1CEF">
        <w:rPr>
          <w:b/>
          <w:sz w:val="24"/>
          <w:szCs w:val="24"/>
        </w:rPr>
        <w:tab/>
        <w:t>FARMAKOLOGISKE EGENSKABER</w:t>
      </w:r>
    </w:p>
    <w:p w14:paraId="4F155AEF" w14:textId="77777777" w:rsidR="009260DE" w:rsidRPr="006B1CEF" w:rsidRDefault="009260DE" w:rsidP="009260DE">
      <w:pPr>
        <w:tabs>
          <w:tab w:val="left" w:pos="851"/>
        </w:tabs>
        <w:ind w:left="851"/>
        <w:rPr>
          <w:sz w:val="24"/>
          <w:szCs w:val="24"/>
        </w:rPr>
      </w:pPr>
    </w:p>
    <w:p w14:paraId="014E7578" w14:textId="77777777" w:rsidR="009260DE" w:rsidRPr="006B1CEF" w:rsidRDefault="009260DE" w:rsidP="009260DE">
      <w:pPr>
        <w:tabs>
          <w:tab w:val="left" w:pos="851"/>
        </w:tabs>
        <w:ind w:left="851" w:hanging="851"/>
        <w:rPr>
          <w:b/>
          <w:sz w:val="24"/>
          <w:szCs w:val="24"/>
        </w:rPr>
      </w:pPr>
      <w:r w:rsidRPr="006B1CEF">
        <w:rPr>
          <w:b/>
          <w:sz w:val="24"/>
          <w:szCs w:val="24"/>
        </w:rPr>
        <w:t>5.0</w:t>
      </w:r>
      <w:r w:rsidRPr="006B1CEF">
        <w:rPr>
          <w:b/>
          <w:sz w:val="24"/>
          <w:szCs w:val="24"/>
        </w:rPr>
        <w:tab/>
        <w:t>Terapeutisk klassifikation</w:t>
      </w:r>
    </w:p>
    <w:p w14:paraId="7C5D0227" w14:textId="7EA11874" w:rsidR="004B5CEE" w:rsidRPr="006B1CEF" w:rsidRDefault="000449C0" w:rsidP="000449C0">
      <w:pPr>
        <w:ind w:left="851"/>
        <w:rPr>
          <w:noProof/>
          <w:sz w:val="24"/>
          <w:szCs w:val="24"/>
          <w:lang w:val="en-US"/>
        </w:rPr>
      </w:pPr>
      <w:r w:rsidRPr="006B1CEF">
        <w:rPr>
          <w:sz w:val="24"/>
          <w:szCs w:val="24"/>
          <w:lang w:val="en-US"/>
        </w:rPr>
        <w:t>ATC-</w:t>
      </w:r>
      <w:proofErr w:type="spellStart"/>
      <w:r w:rsidRPr="006B1CEF">
        <w:rPr>
          <w:sz w:val="24"/>
          <w:szCs w:val="24"/>
          <w:lang w:val="en-US"/>
        </w:rPr>
        <w:t>kode</w:t>
      </w:r>
      <w:proofErr w:type="spellEnd"/>
      <w:r w:rsidRPr="006B1CEF">
        <w:rPr>
          <w:sz w:val="24"/>
          <w:szCs w:val="24"/>
          <w:lang w:val="en-US"/>
        </w:rPr>
        <w:t>: A 03 BB 01.</w:t>
      </w:r>
      <w:r w:rsidR="004B5CEE" w:rsidRPr="006B1CEF">
        <w:rPr>
          <w:sz w:val="24"/>
          <w:szCs w:val="24"/>
          <w:lang w:val="en-US"/>
        </w:rPr>
        <w:t xml:space="preserve"> </w:t>
      </w:r>
      <w:proofErr w:type="spellStart"/>
      <w:r w:rsidR="004B5CEE" w:rsidRPr="006B1CEF">
        <w:rPr>
          <w:sz w:val="24"/>
          <w:szCs w:val="24"/>
          <w:lang w:val="en-US"/>
        </w:rPr>
        <w:t>Butylscopolamin</w:t>
      </w:r>
      <w:proofErr w:type="spellEnd"/>
      <w:r w:rsidRPr="006B1CEF">
        <w:rPr>
          <w:sz w:val="24"/>
          <w:szCs w:val="24"/>
          <w:lang w:val="en-US"/>
        </w:rPr>
        <w:t>.</w:t>
      </w:r>
      <w:r w:rsidR="004B5CEE" w:rsidRPr="006B1CEF">
        <w:rPr>
          <w:sz w:val="24"/>
          <w:szCs w:val="24"/>
          <w:lang w:val="en-US"/>
        </w:rPr>
        <w:t xml:space="preserve"> </w:t>
      </w:r>
    </w:p>
    <w:p w14:paraId="40A5BA29" w14:textId="77777777" w:rsidR="009260DE" w:rsidRPr="006B1CEF" w:rsidRDefault="009260DE" w:rsidP="009260DE">
      <w:pPr>
        <w:tabs>
          <w:tab w:val="left" w:pos="851"/>
        </w:tabs>
        <w:ind w:left="851"/>
        <w:rPr>
          <w:sz w:val="24"/>
          <w:szCs w:val="24"/>
          <w:lang w:val="en-US"/>
        </w:rPr>
      </w:pPr>
    </w:p>
    <w:p w14:paraId="30E39980" w14:textId="77777777" w:rsidR="009260DE" w:rsidRPr="006B1CEF" w:rsidRDefault="009260DE" w:rsidP="009260DE">
      <w:pPr>
        <w:tabs>
          <w:tab w:val="num" w:pos="851"/>
        </w:tabs>
        <w:ind w:left="851" w:hanging="851"/>
        <w:rPr>
          <w:b/>
          <w:sz w:val="24"/>
          <w:szCs w:val="24"/>
        </w:rPr>
      </w:pPr>
      <w:r w:rsidRPr="006B1CEF">
        <w:rPr>
          <w:b/>
          <w:sz w:val="24"/>
          <w:szCs w:val="24"/>
        </w:rPr>
        <w:t>5.1</w:t>
      </w:r>
      <w:r w:rsidRPr="006B1CEF">
        <w:rPr>
          <w:b/>
          <w:sz w:val="24"/>
          <w:szCs w:val="24"/>
        </w:rPr>
        <w:tab/>
      </w:r>
      <w:proofErr w:type="spellStart"/>
      <w:r w:rsidRPr="006B1CEF">
        <w:rPr>
          <w:b/>
          <w:sz w:val="24"/>
          <w:szCs w:val="24"/>
        </w:rPr>
        <w:t>Farmakodynamiske</w:t>
      </w:r>
      <w:proofErr w:type="spellEnd"/>
      <w:r w:rsidRPr="006B1CEF">
        <w:rPr>
          <w:b/>
          <w:sz w:val="24"/>
          <w:szCs w:val="24"/>
        </w:rPr>
        <w:t xml:space="preserve"> egenskaber</w:t>
      </w:r>
    </w:p>
    <w:p w14:paraId="294381D3" w14:textId="77777777" w:rsidR="004B5CEE" w:rsidRPr="006B1CEF" w:rsidRDefault="004B5CEE" w:rsidP="000449C0">
      <w:pPr>
        <w:ind w:left="851"/>
        <w:rPr>
          <w:sz w:val="24"/>
          <w:szCs w:val="24"/>
        </w:rPr>
      </w:pPr>
      <w:r w:rsidRPr="006B1CEF">
        <w:rPr>
          <w:sz w:val="24"/>
          <w:szCs w:val="24"/>
        </w:rPr>
        <w:t xml:space="preserve">Det aktive stof i </w:t>
      </w:r>
      <w:proofErr w:type="spellStart"/>
      <w:r w:rsidRPr="006B1CEF">
        <w:rPr>
          <w:sz w:val="24"/>
          <w:szCs w:val="24"/>
        </w:rPr>
        <w:t>Bumacor</w:t>
      </w:r>
      <w:proofErr w:type="spellEnd"/>
      <w:r w:rsidRPr="006B1CEF">
        <w:rPr>
          <w:sz w:val="24"/>
          <w:szCs w:val="24"/>
        </w:rPr>
        <w:t xml:space="preserve">, </w:t>
      </w:r>
      <w:proofErr w:type="spellStart"/>
      <w:r w:rsidRPr="006B1CEF">
        <w:rPr>
          <w:sz w:val="24"/>
          <w:szCs w:val="24"/>
        </w:rPr>
        <w:t>hyoscinbutylbromid</w:t>
      </w:r>
      <w:proofErr w:type="spellEnd"/>
      <w:r w:rsidRPr="006B1CEF">
        <w:rPr>
          <w:sz w:val="24"/>
          <w:szCs w:val="24"/>
        </w:rPr>
        <w:t xml:space="preserve">, virker på de parasympatiske ganglier i den </w:t>
      </w:r>
      <w:proofErr w:type="spellStart"/>
      <w:r w:rsidRPr="006B1CEF">
        <w:rPr>
          <w:sz w:val="24"/>
          <w:szCs w:val="24"/>
        </w:rPr>
        <w:t>viscerale</w:t>
      </w:r>
      <w:proofErr w:type="spellEnd"/>
      <w:r w:rsidRPr="006B1CEF">
        <w:rPr>
          <w:sz w:val="24"/>
          <w:szCs w:val="24"/>
        </w:rPr>
        <w:t xml:space="preserve"> glatte muskulatur, hvor det blokerer overførslen af impulser. Det har en </w:t>
      </w:r>
      <w:proofErr w:type="spellStart"/>
      <w:r w:rsidRPr="006B1CEF">
        <w:rPr>
          <w:sz w:val="24"/>
          <w:szCs w:val="24"/>
        </w:rPr>
        <w:t>spasmolytisk</w:t>
      </w:r>
      <w:proofErr w:type="spellEnd"/>
      <w:r w:rsidRPr="006B1CEF">
        <w:rPr>
          <w:sz w:val="24"/>
          <w:szCs w:val="24"/>
        </w:rPr>
        <w:t xml:space="preserve"> effekt på den glatte muskulatur i mave-tarm-kanalen, galdegangene, urinvejene og det urogenitale system. Som derivat af kvartært ammonium krydser </w:t>
      </w:r>
      <w:proofErr w:type="spellStart"/>
      <w:r w:rsidRPr="006B1CEF">
        <w:rPr>
          <w:sz w:val="24"/>
          <w:szCs w:val="24"/>
        </w:rPr>
        <w:t>hyoscinbutylbromid</w:t>
      </w:r>
      <w:proofErr w:type="spellEnd"/>
      <w:r w:rsidRPr="006B1CEF">
        <w:rPr>
          <w:sz w:val="24"/>
          <w:szCs w:val="24"/>
        </w:rPr>
        <w:t xml:space="preserve"> ikke blod-hjerne-barrieren og har derfor ingen </w:t>
      </w:r>
      <w:proofErr w:type="spellStart"/>
      <w:r w:rsidRPr="006B1CEF">
        <w:rPr>
          <w:sz w:val="24"/>
          <w:szCs w:val="24"/>
        </w:rPr>
        <w:t>antikolinerg</w:t>
      </w:r>
      <w:proofErr w:type="spellEnd"/>
      <w:r w:rsidRPr="006B1CEF">
        <w:rPr>
          <w:sz w:val="24"/>
          <w:szCs w:val="24"/>
        </w:rPr>
        <w:t xml:space="preserve"> effekt på centralnervesystemet.</w:t>
      </w:r>
    </w:p>
    <w:p w14:paraId="48CE61B1" w14:textId="143C8B03" w:rsidR="00CC62E3" w:rsidRDefault="00CC62E3">
      <w:pPr>
        <w:rPr>
          <w:sz w:val="24"/>
          <w:szCs w:val="24"/>
        </w:rPr>
      </w:pPr>
      <w:r>
        <w:rPr>
          <w:sz w:val="24"/>
          <w:szCs w:val="24"/>
        </w:rPr>
        <w:br w:type="page"/>
      </w:r>
    </w:p>
    <w:p w14:paraId="71ADBD51" w14:textId="77777777" w:rsidR="009260DE" w:rsidRPr="006B1CEF" w:rsidRDefault="009260DE" w:rsidP="009260DE">
      <w:pPr>
        <w:tabs>
          <w:tab w:val="left" w:pos="851"/>
        </w:tabs>
        <w:ind w:left="851"/>
        <w:rPr>
          <w:sz w:val="24"/>
          <w:szCs w:val="24"/>
        </w:rPr>
      </w:pPr>
    </w:p>
    <w:p w14:paraId="308696FF" w14:textId="77777777" w:rsidR="009260DE" w:rsidRPr="006B1CEF" w:rsidRDefault="009260DE" w:rsidP="009260DE">
      <w:pPr>
        <w:tabs>
          <w:tab w:val="left" w:pos="851"/>
        </w:tabs>
        <w:ind w:left="851" w:hanging="851"/>
        <w:rPr>
          <w:b/>
          <w:sz w:val="24"/>
          <w:szCs w:val="24"/>
        </w:rPr>
      </w:pPr>
      <w:r w:rsidRPr="006B1CEF">
        <w:rPr>
          <w:b/>
          <w:sz w:val="24"/>
          <w:szCs w:val="24"/>
        </w:rPr>
        <w:t>5.2</w:t>
      </w:r>
      <w:r w:rsidRPr="006B1CEF">
        <w:rPr>
          <w:b/>
          <w:sz w:val="24"/>
          <w:szCs w:val="24"/>
        </w:rPr>
        <w:tab/>
      </w:r>
      <w:proofErr w:type="spellStart"/>
      <w:r w:rsidRPr="006B1CEF">
        <w:rPr>
          <w:b/>
          <w:sz w:val="24"/>
          <w:szCs w:val="24"/>
        </w:rPr>
        <w:t>Farmakokinetiske</w:t>
      </w:r>
      <w:proofErr w:type="spellEnd"/>
      <w:r w:rsidRPr="006B1CEF">
        <w:rPr>
          <w:b/>
          <w:sz w:val="24"/>
          <w:szCs w:val="24"/>
        </w:rPr>
        <w:t xml:space="preserve"> egenskaber</w:t>
      </w:r>
    </w:p>
    <w:p w14:paraId="12EA6825" w14:textId="77777777" w:rsidR="00630780" w:rsidRDefault="00630780" w:rsidP="000449C0">
      <w:pPr>
        <w:numPr>
          <w:ilvl w:val="12"/>
          <w:numId w:val="0"/>
        </w:numPr>
        <w:ind w:left="851" w:right="-2"/>
        <w:rPr>
          <w:iCs/>
          <w:sz w:val="24"/>
          <w:szCs w:val="24"/>
          <w:u w:val="single"/>
        </w:rPr>
      </w:pPr>
    </w:p>
    <w:p w14:paraId="21096688" w14:textId="604D5CB5" w:rsidR="004B5CEE" w:rsidRPr="006B1CEF" w:rsidRDefault="004B5CEE" w:rsidP="000449C0">
      <w:pPr>
        <w:numPr>
          <w:ilvl w:val="12"/>
          <w:numId w:val="0"/>
        </w:numPr>
        <w:ind w:left="851" w:right="-2"/>
        <w:rPr>
          <w:iCs/>
          <w:noProof/>
          <w:sz w:val="24"/>
          <w:szCs w:val="24"/>
          <w:u w:val="single"/>
        </w:rPr>
      </w:pPr>
      <w:r w:rsidRPr="006B1CEF">
        <w:rPr>
          <w:iCs/>
          <w:sz w:val="24"/>
          <w:szCs w:val="24"/>
          <w:u w:val="single"/>
        </w:rPr>
        <w:t>Absorption og fordeling</w:t>
      </w:r>
    </w:p>
    <w:p w14:paraId="00AF268F" w14:textId="377D6993" w:rsidR="004B5CEE" w:rsidRPr="006B1CEF" w:rsidRDefault="004B5CEE" w:rsidP="000449C0">
      <w:pPr>
        <w:ind w:left="851"/>
        <w:rPr>
          <w:sz w:val="24"/>
          <w:szCs w:val="24"/>
        </w:rPr>
      </w:pPr>
      <w:r w:rsidRPr="006B1CEF">
        <w:rPr>
          <w:sz w:val="24"/>
          <w:szCs w:val="24"/>
        </w:rPr>
        <w:t xml:space="preserve">Efter intravenøs administration distribueres </w:t>
      </w:r>
      <w:proofErr w:type="spellStart"/>
      <w:r w:rsidRPr="006B1CEF">
        <w:rPr>
          <w:sz w:val="24"/>
          <w:szCs w:val="24"/>
        </w:rPr>
        <w:t>hyoscinbutylbromid</w:t>
      </w:r>
      <w:proofErr w:type="spellEnd"/>
      <w:r w:rsidRPr="006B1CEF">
        <w:rPr>
          <w:sz w:val="24"/>
          <w:szCs w:val="24"/>
        </w:rPr>
        <w:t xml:space="preserve"> hurtigt (t</w:t>
      </w:r>
      <w:r w:rsidRPr="006B1CEF">
        <w:rPr>
          <w:sz w:val="24"/>
          <w:szCs w:val="24"/>
          <w:vertAlign w:val="subscript"/>
        </w:rPr>
        <w:t>½α</w:t>
      </w:r>
      <w:r w:rsidRPr="006B1CEF">
        <w:rPr>
          <w:sz w:val="24"/>
          <w:szCs w:val="24"/>
        </w:rPr>
        <w:t xml:space="preserve"> = 4 min, t</w:t>
      </w:r>
      <w:r w:rsidRPr="006B1CEF">
        <w:rPr>
          <w:sz w:val="24"/>
          <w:szCs w:val="24"/>
          <w:vertAlign w:val="subscript"/>
        </w:rPr>
        <w:t>½β</w:t>
      </w:r>
      <w:r w:rsidRPr="006B1CEF">
        <w:rPr>
          <w:sz w:val="24"/>
          <w:szCs w:val="24"/>
        </w:rPr>
        <w:t xml:space="preserve"> = 29 min) i vævet. </w:t>
      </w:r>
      <w:proofErr w:type="spellStart"/>
      <w:r w:rsidRPr="006B1CEF">
        <w:rPr>
          <w:sz w:val="24"/>
          <w:szCs w:val="24"/>
        </w:rPr>
        <w:t>Distributionsvolumet</w:t>
      </w:r>
      <w:proofErr w:type="spellEnd"/>
      <w:r w:rsidRPr="006B1CEF">
        <w:rPr>
          <w:sz w:val="24"/>
          <w:szCs w:val="24"/>
        </w:rPr>
        <w:t xml:space="preserve"> (</w:t>
      </w:r>
      <w:proofErr w:type="spellStart"/>
      <w:r w:rsidRPr="006B1CEF">
        <w:rPr>
          <w:sz w:val="24"/>
          <w:szCs w:val="24"/>
        </w:rPr>
        <w:t>Vss</w:t>
      </w:r>
      <w:proofErr w:type="spellEnd"/>
      <w:r w:rsidRPr="006B1CEF">
        <w:rPr>
          <w:sz w:val="24"/>
          <w:szCs w:val="24"/>
        </w:rPr>
        <w:t xml:space="preserve">) er 128 l (svarende til ca. 1,7 l/kg). På grund af den høje affinitet for </w:t>
      </w:r>
      <w:proofErr w:type="spellStart"/>
      <w:r w:rsidRPr="006B1CEF">
        <w:rPr>
          <w:sz w:val="24"/>
          <w:szCs w:val="24"/>
        </w:rPr>
        <w:t>muskarine</w:t>
      </w:r>
      <w:proofErr w:type="spellEnd"/>
      <w:r w:rsidRPr="006B1CEF">
        <w:rPr>
          <w:sz w:val="24"/>
          <w:szCs w:val="24"/>
        </w:rPr>
        <w:t xml:space="preserve"> receptorer og nikotin receptorer distribueres </w:t>
      </w:r>
      <w:proofErr w:type="spellStart"/>
      <w:r w:rsidRPr="006B1CEF">
        <w:rPr>
          <w:sz w:val="24"/>
          <w:szCs w:val="24"/>
        </w:rPr>
        <w:t>hyoscinbutylbromid</w:t>
      </w:r>
      <w:proofErr w:type="spellEnd"/>
      <w:r w:rsidRPr="006B1CEF">
        <w:rPr>
          <w:sz w:val="24"/>
          <w:szCs w:val="24"/>
        </w:rPr>
        <w:t xml:space="preserve"> hovedsageligt på muskelceller i abdomen og bækkenområdet samt i de </w:t>
      </w:r>
      <w:proofErr w:type="spellStart"/>
      <w:r w:rsidRPr="006B1CEF">
        <w:rPr>
          <w:sz w:val="24"/>
          <w:szCs w:val="24"/>
        </w:rPr>
        <w:t>intramurale</w:t>
      </w:r>
      <w:proofErr w:type="spellEnd"/>
      <w:r w:rsidRPr="006B1CEF">
        <w:rPr>
          <w:sz w:val="24"/>
          <w:szCs w:val="24"/>
        </w:rPr>
        <w:t xml:space="preserve"> ganglier i </w:t>
      </w:r>
      <w:proofErr w:type="spellStart"/>
      <w:r w:rsidRPr="006B1CEF">
        <w:rPr>
          <w:sz w:val="24"/>
          <w:szCs w:val="24"/>
        </w:rPr>
        <w:t>abdominalorganerne</w:t>
      </w:r>
      <w:proofErr w:type="spellEnd"/>
      <w:r w:rsidRPr="006B1CEF">
        <w:rPr>
          <w:sz w:val="24"/>
          <w:szCs w:val="24"/>
        </w:rPr>
        <w:t xml:space="preserve">. Plasmaproteinbinding (albumin) af </w:t>
      </w:r>
      <w:proofErr w:type="spellStart"/>
      <w:r w:rsidRPr="006B1CEF">
        <w:rPr>
          <w:sz w:val="24"/>
          <w:szCs w:val="24"/>
        </w:rPr>
        <w:t>hyoscinbutylbromid</w:t>
      </w:r>
      <w:proofErr w:type="spellEnd"/>
      <w:r w:rsidRPr="006B1CEF">
        <w:rPr>
          <w:sz w:val="24"/>
          <w:szCs w:val="24"/>
        </w:rPr>
        <w:t xml:space="preserve"> er ca. 4,4 %. Dyreforsøg viser, at </w:t>
      </w:r>
      <w:proofErr w:type="spellStart"/>
      <w:r w:rsidRPr="006B1CEF">
        <w:rPr>
          <w:sz w:val="24"/>
          <w:szCs w:val="24"/>
        </w:rPr>
        <w:t>hyoscinbutylbromid</w:t>
      </w:r>
      <w:proofErr w:type="spellEnd"/>
      <w:r w:rsidRPr="006B1CEF">
        <w:rPr>
          <w:sz w:val="24"/>
          <w:szCs w:val="24"/>
        </w:rPr>
        <w:t xml:space="preserve"> ikke passerer blod-hjerne-barrieren, men der foreligger ingen kliniske data i denne henseende. Det er blevet observeret, at </w:t>
      </w:r>
      <w:proofErr w:type="spellStart"/>
      <w:r w:rsidRPr="006B1CEF">
        <w:rPr>
          <w:sz w:val="24"/>
          <w:szCs w:val="24"/>
        </w:rPr>
        <w:t>hyoscinbutylbromid</w:t>
      </w:r>
      <w:proofErr w:type="spellEnd"/>
      <w:r w:rsidRPr="006B1CEF">
        <w:rPr>
          <w:sz w:val="24"/>
          <w:szCs w:val="24"/>
        </w:rPr>
        <w:t xml:space="preserve"> (1 </w:t>
      </w:r>
      <w:proofErr w:type="spellStart"/>
      <w:r w:rsidRPr="006B1CEF">
        <w:rPr>
          <w:sz w:val="24"/>
          <w:szCs w:val="24"/>
        </w:rPr>
        <w:t>mM</w:t>
      </w:r>
      <w:proofErr w:type="spellEnd"/>
      <w:r w:rsidRPr="006B1CEF">
        <w:rPr>
          <w:sz w:val="24"/>
          <w:szCs w:val="24"/>
        </w:rPr>
        <w:t xml:space="preserve">) interagerer med transporten af </w:t>
      </w:r>
      <w:proofErr w:type="spellStart"/>
      <w:r w:rsidRPr="006B1CEF">
        <w:rPr>
          <w:sz w:val="24"/>
          <w:szCs w:val="24"/>
        </w:rPr>
        <w:t>cholin</w:t>
      </w:r>
      <w:proofErr w:type="spellEnd"/>
      <w:r w:rsidRPr="006B1CEF">
        <w:rPr>
          <w:sz w:val="24"/>
          <w:szCs w:val="24"/>
        </w:rPr>
        <w:t xml:space="preserve"> (1,4 </w:t>
      </w:r>
      <w:proofErr w:type="spellStart"/>
      <w:r w:rsidRPr="006B1CEF">
        <w:rPr>
          <w:sz w:val="24"/>
          <w:szCs w:val="24"/>
        </w:rPr>
        <w:t>nM</w:t>
      </w:r>
      <w:proofErr w:type="spellEnd"/>
      <w:r w:rsidRPr="006B1CEF">
        <w:rPr>
          <w:sz w:val="24"/>
          <w:szCs w:val="24"/>
        </w:rPr>
        <w:t xml:space="preserve">) i epitelceller i moderkagen hos mennesker </w:t>
      </w:r>
      <w:r w:rsidRPr="006B1CEF">
        <w:rPr>
          <w:i/>
          <w:iCs/>
          <w:sz w:val="24"/>
          <w:szCs w:val="24"/>
        </w:rPr>
        <w:t xml:space="preserve">in </w:t>
      </w:r>
      <w:proofErr w:type="spellStart"/>
      <w:r w:rsidRPr="006B1CEF">
        <w:rPr>
          <w:i/>
          <w:iCs/>
          <w:sz w:val="24"/>
          <w:szCs w:val="24"/>
        </w:rPr>
        <w:t>vitro</w:t>
      </w:r>
      <w:proofErr w:type="spellEnd"/>
      <w:r w:rsidRPr="006B1CEF">
        <w:rPr>
          <w:sz w:val="24"/>
          <w:szCs w:val="24"/>
        </w:rPr>
        <w:t>.</w:t>
      </w:r>
    </w:p>
    <w:p w14:paraId="5A66E36F" w14:textId="77777777" w:rsidR="004B5CEE" w:rsidRPr="006B1CEF" w:rsidRDefault="004B5CEE" w:rsidP="000449C0">
      <w:pPr>
        <w:ind w:left="851"/>
        <w:rPr>
          <w:sz w:val="24"/>
          <w:szCs w:val="24"/>
        </w:rPr>
      </w:pPr>
    </w:p>
    <w:p w14:paraId="38300EF7" w14:textId="77777777" w:rsidR="004B5CEE" w:rsidRPr="006B1CEF" w:rsidRDefault="004B5CEE" w:rsidP="000449C0">
      <w:pPr>
        <w:numPr>
          <w:ilvl w:val="12"/>
          <w:numId w:val="0"/>
        </w:numPr>
        <w:ind w:left="851" w:right="-2"/>
        <w:rPr>
          <w:iCs/>
          <w:noProof/>
          <w:sz w:val="24"/>
          <w:szCs w:val="24"/>
          <w:u w:val="single"/>
        </w:rPr>
      </w:pPr>
      <w:r w:rsidRPr="006B1CEF">
        <w:rPr>
          <w:iCs/>
          <w:sz w:val="24"/>
          <w:szCs w:val="24"/>
          <w:u w:val="single"/>
        </w:rPr>
        <w:t>Metabolisme og elimination</w:t>
      </w:r>
    </w:p>
    <w:p w14:paraId="26BADF6A" w14:textId="77777777" w:rsidR="004B5CEE" w:rsidRPr="006B1CEF" w:rsidRDefault="004B5CEE" w:rsidP="000449C0">
      <w:pPr>
        <w:ind w:left="851"/>
        <w:rPr>
          <w:sz w:val="24"/>
          <w:szCs w:val="24"/>
        </w:rPr>
      </w:pPr>
      <w:r w:rsidRPr="006B1CEF">
        <w:rPr>
          <w:sz w:val="24"/>
          <w:szCs w:val="24"/>
        </w:rPr>
        <w:t>Den primære stofskiftevej er den hydrolytiske spaltning af esterbindingen. Halveringstiden for den terminale eliminationsfase (t</w:t>
      </w:r>
      <w:r w:rsidRPr="006B1CEF">
        <w:rPr>
          <w:sz w:val="24"/>
          <w:szCs w:val="24"/>
          <w:vertAlign w:val="subscript"/>
        </w:rPr>
        <w:t>½γ</w:t>
      </w:r>
      <w:r w:rsidRPr="006B1CEF">
        <w:rPr>
          <w:sz w:val="24"/>
          <w:szCs w:val="24"/>
        </w:rPr>
        <w:t xml:space="preserve">) er ca. 5 timer. Den totale </w:t>
      </w:r>
      <w:proofErr w:type="spellStart"/>
      <w:r w:rsidRPr="006B1CEF">
        <w:rPr>
          <w:sz w:val="24"/>
          <w:szCs w:val="24"/>
        </w:rPr>
        <w:t>clearance</w:t>
      </w:r>
      <w:proofErr w:type="spellEnd"/>
      <w:r w:rsidRPr="006B1CEF">
        <w:rPr>
          <w:sz w:val="24"/>
          <w:szCs w:val="24"/>
        </w:rPr>
        <w:t xml:space="preserve"> er 1,2 l/min. Kliniske studier med radioaktiv mærket </w:t>
      </w:r>
      <w:proofErr w:type="spellStart"/>
      <w:r w:rsidRPr="006B1CEF">
        <w:rPr>
          <w:sz w:val="24"/>
          <w:szCs w:val="24"/>
        </w:rPr>
        <w:t>hyoscinbutylbromid</w:t>
      </w:r>
      <w:proofErr w:type="spellEnd"/>
      <w:r w:rsidRPr="006B1CEF">
        <w:rPr>
          <w:sz w:val="24"/>
          <w:szCs w:val="24"/>
        </w:rPr>
        <w:t xml:space="preserve"> viser, at 42 til 61 % af den radioaktive dosis efter intravenøs injektion udskilles </w:t>
      </w:r>
      <w:proofErr w:type="spellStart"/>
      <w:r w:rsidRPr="006B1CEF">
        <w:rPr>
          <w:sz w:val="24"/>
          <w:szCs w:val="24"/>
        </w:rPr>
        <w:t>renalt</w:t>
      </w:r>
      <w:proofErr w:type="spellEnd"/>
      <w:r w:rsidRPr="006B1CEF">
        <w:rPr>
          <w:sz w:val="24"/>
          <w:szCs w:val="24"/>
        </w:rPr>
        <w:t xml:space="preserve"> og 28,3 til 37 % fækalt. Andelen af uændret aktivt indholdsstof, som udskilles i urinen, er ca. 50 %. De metabolitter, der udskilles via nyrerne, binder dårligt til de </w:t>
      </w:r>
      <w:proofErr w:type="spellStart"/>
      <w:r w:rsidRPr="006B1CEF">
        <w:rPr>
          <w:sz w:val="24"/>
          <w:szCs w:val="24"/>
        </w:rPr>
        <w:t>muskarine</w:t>
      </w:r>
      <w:proofErr w:type="spellEnd"/>
      <w:r w:rsidRPr="006B1CEF">
        <w:rPr>
          <w:sz w:val="24"/>
          <w:szCs w:val="24"/>
        </w:rPr>
        <w:t xml:space="preserve"> receptorer og menes derfor ikke at bidrage til effekten af </w:t>
      </w:r>
      <w:proofErr w:type="spellStart"/>
      <w:r w:rsidRPr="006B1CEF">
        <w:rPr>
          <w:sz w:val="24"/>
          <w:szCs w:val="24"/>
        </w:rPr>
        <w:t>hyoscinbutylbromid</w:t>
      </w:r>
      <w:proofErr w:type="spellEnd"/>
      <w:r w:rsidRPr="006B1CEF">
        <w:rPr>
          <w:sz w:val="24"/>
          <w:szCs w:val="24"/>
        </w:rPr>
        <w:t>.</w:t>
      </w:r>
    </w:p>
    <w:p w14:paraId="70D7971A" w14:textId="77777777" w:rsidR="009260DE" w:rsidRPr="006B1CEF" w:rsidRDefault="009260DE" w:rsidP="009260DE">
      <w:pPr>
        <w:tabs>
          <w:tab w:val="left" w:pos="851"/>
        </w:tabs>
        <w:ind w:left="851"/>
        <w:rPr>
          <w:sz w:val="24"/>
          <w:szCs w:val="24"/>
        </w:rPr>
      </w:pPr>
    </w:p>
    <w:p w14:paraId="19CCBCAE" w14:textId="77777777" w:rsidR="009260DE" w:rsidRPr="006B1CEF" w:rsidRDefault="009260DE" w:rsidP="009260DE">
      <w:pPr>
        <w:tabs>
          <w:tab w:val="left" w:pos="851"/>
        </w:tabs>
        <w:ind w:left="851" w:hanging="851"/>
        <w:rPr>
          <w:b/>
          <w:sz w:val="24"/>
          <w:szCs w:val="24"/>
        </w:rPr>
      </w:pPr>
      <w:r w:rsidRPr="006B1CEF">
        <w:rPr>
          <w:b/>
          <w:sz w:val="24"/>
          <w:szCs w:val="24"/>
        </w:rPr>
        <w:t>5.3</w:t>
      </w:r>
      <w:r w:rsidRPr="006B1CEF">
        <w:rPr>
          <w:b/>
          <w:sz w:val="24"/>
          <w:szCs w:val="24"/>
        </w:rPr>
        <w:tab/>
        <w:t>Prækliniske sikkerhedsdata</w:t>
      </w:r>
    </w:p>
    <w:p w14:paraId="33B6C1C8" w14:textId="77777777" w:rsidR="001A0DF1" w:rsidRPr="006B1CEF" w:rsidRDefault="001A0DF1" w:rsidP="000449C0">
      <w:pPr>
        <w:ind w:left="851"/>
        <w:rPr>
          <w:sz w:val="24"/>
          <w:szCs w:val="24"/>
        </w:rPr>
      </w:pPr>
      <w:proofErr w:type="spellStart"/>
      <w:r w:rsidRPr="006B1CEF">
        <w:rPr>
          <w:sz w:val="24"/>
          <w:szCs w:val="24"/>
        </w:rPr>
        <w:t>Hyoscinbutylbromids</w:t>
      </w:r>
      <w:proofErr w:type="spellEnd"/>
      <w:r w:rsidRPr="006B1CEF">
        <w:rPr>
          <w:sz w:val="24"/>
          <w:szCs w:val="24"/>
        </w:rPr>
        <w:t xml:space="preserve"> akutte toksicitet er lav. Orale LD</w:t>
      </w:r>
      <w:r w:rsidRPr="006B1CEF">
        <w:rPr>
          <w:sz w:val="24"/>
          <w:szCs w:val="24"/>
          <w:vertAlign w:val="subscript"/>
        </w:rPr>
        <w:t>50</w:t>
      </w:r>
      <w:r w:rsidRPr="006B1CEF">
        <w:rPr>
          <w:sz w:val="24"/>
          <w:szCs w:val="24"/>
        </w:rPr>
        <w:t xml:space="preserve">-værdier var 1.000-3.000 mg/kg hos mus, 1.040-3.300 mg/kg hos rotter og 600 mg/kg hos hunde. Tegn på toksicitet omfattede </w:t>
      </w:r>
      <w:proofErr w:type="spellStart"/>
      <w:r w:rsidRPr="006B1CEF">
        <w:rPr>
          <w:sz w:val="24"/>
          <w:szCs w:val="24"/>
        </w:rPr>
        <w:t>ataksi</w:t>
      </w:r>
      <w:proofErr w:type="spellEnd"/>
      <w:r w:rsidRPr="006B1CEF">
        <w:rPr>
          <w:sz w:val="24"/>
          <w:szCs w:val="24"/>
        </w:rPr>
        <w:t xml:space="preserve"> og nedsat </w:t>
      </w:r>
      <w:proofErr w:type="spellStart"/>
      <w:r w:rsidRPr="006B1CEF">
        <w:rPr>
          <w:sz w:val="24"/>
          <w:szCs w:val="24"/>
        </w:rPr>
        <w:t>muskeltonus</w:t>
      </w:r>
      <w:proofErr w:type="spellEnd"/>
      <w:r w:rsidRPr="006B1CEF">
        <w:rPr>
          <w:sz w:val="24"/>
          <w:szCs w:val="24"/>
        </w:rPr>
        <w:t xml:space="preserve"> samt </w:t>
      </w:r>
      <w:proofErr w:type="spellStart"/>
      <w:r w:rsidRPr="006B1CEF">
        <w:rPr>
          <w:sz w:val="24"/>
          <w:szCs w:val="24"/>
        </w:rPr>
        <w:t>tremor</w:t>
      </w:r>
      <w:proofErr w:type="spellEnd"/>
      <w:r w:rsidRPr="006B1CEF">
        <w:rPr>
          <w:sz w:val="24"/>
          <w:szCs w:val="24"/>
        </w:rPr>
        <w:t xml:space="preserve"> og kramper (mus), </w:t>
      </w:r>
      <w:proofErr w:type="spellStart"/>
      <w:r w:rsidRPr="006B1CEF">
        <w:rPr>
          <w:sz w:val="24"/>
          <w:szCs w:val="24"/>
        </w:rPr>
        <w:t>mydriasis</w:t>
      </w:r>
      <w:proofErr w:type="spellEnd"/>
      <w:r w:rsidRPr="006B1CEF">
        <w:rPr>
          <w:sz w:val="24"/>
          <w:szCs w:val="24"/>
        </w:rPr>
        <w:t xml:space="preserve">, tørre slimhinder og </w:t>
      </w:r>
      <w:proofErr w:type="spellStart"/>
      <w:r w:rsidRPr="006B1CEF">
        <w:rPr>
          <w:sz w:val="24"/>
          <w:szCs w:val="24"/>
        </w:rPr>
        <w:t>takykardi</w:t>
      </w:r>
      <w:proofErr w:type="spellEnd"/>
      <w:r w:rsidRPr="006B1CEF">
        <w:rPr>
          <w:sz w:val="24"/>
          <w:szCs w:val="24"/>
        </w:rPr>
        <w:t xml:space="preserve"> (hunde). Dødsfald som følge af respirationsstop opstod inden for 24 timer. Intravenøse LD</w:t>
      </w:r>
      <w:r w:rsidRPr="006B1CEF">
        <w:rPr>
          <w:sz w:val="24"/>
          <w:szCs w:val="24"/>
          <w:vertAlign w:val="subscript"/>
        </w:rPr>
        <w:t>50</w:t>
      </w:r>
      <w:r w:rsidRPr="006B1CEF">
        <w:rPr>
          <w:sz w:val="24"/>
          <w:szCs w:val="24"/>
        </w:rPr>
        <w:t xml:space="preserve">-værdier for </w:t>
      </w:r>
      <w:proofErr w:type="spellStart"/>
      <w:r w:rsidRPr="006B1CEF">
        <w:rPr>
          <w:sz w:val="24"/>
          <w:szCs w:val="24"/>
        </w:rPr>
        <w:t>hyoscinbutylbromid</w:t>
      </w:r>
      <w:proofErr w:type="spellEnd"/>
      <w:r w:rsidRPr="006B1CEF">
        <w:rPr>
          <w:sz w:val="24"/>
          <w:szCs w:val="24"/>
        </w:rPr>
        <w:t xml:space="preserve"> var 10-23 mg/kg hos mus og 18 mg/kg hos rotter.</w:t>
      </w:r>
    </w:p>
    <w:p w14:paraId="0534F651" w14:textId="77777777" w:rsidR="001A0DF1" w:rsidRPr="006B1CEF" w:rsidRDefault="001A0DF1" w:rsidP="000449C0">
      <w:pPr>
        <w:ind w:left="851"/>
        <w:rPr>
          <w:sz w:val="24"/>
          <w:szCs w:val="24"/>
        </w:rPr>
      </w:pPr>
    </w:p>
    <w:p w14:paraId="5BDA410A" w14:textId="77777777" w:rsidR="001A0DF1" w:rsidRPr="006B1CEF" w:rsidRDefault="001A0DF1" w:rsidP="000449C0">
      <w:pPr>
        <w:ind w:left="851"/>
        <w:rPr>
          <w:sz w:val="24"/>
          <w:szCs w:val="24"/>
        </w:rPr>
      </w:pPr>
      <w:r w:rsidRPr="006B1CEF">
        <w:rPr>
          <w:sz w:val="24"/>
          <w:szCs w:val="24"/>
        </w:rPr>
        <w:t xml:space="preserve">I flerdosisstudier af oral toksicitet hos rotter i 4 uger var NOAEL (No </w:t>
      </w:r>
      <w:proofErr w:type="spellStart"/>
      <w:r w:rsidRPr="006B1CEF">
        <w:rPr>
          <w:sz w:val="24"/>
          <w:szCs w:val="24"/>
        </w:rPr>
        <w:t>Observed</w:t>
      </w:r>
      <w:proofErr w:type="spellEnd"/>
      <w:r w:rsidRPr="006B1CEF">
        <w:rPr>
          <w:sz w:val="24"/>
          <w:szCs w:val="24"/>
        </w:rPr>
        <w:t xml:space="preserve"> </w:t>
      </w:r>
      <w:proofErr w:type="spellStart"/>
      <w:r w:rsidRPr="006B1CEF">
        <w:rPr>
          <w:sz w:val="24"/>
          <w:szCs w:val="24"/>
        </w:rPr>
        <w:t>Adverse</w:t>
      </w:r>
      <w:proofErr w:type="spellEnd"/>
      <w:r w:rsidRPr="006B1CEF">
        <w:rPr>
          <w:sz w:val="24"/>
          <w:szCs w:val="24"/>
        </w:rPr>
        <w:t xml:space="preserve"> </w:t>
      </w:r>
      <w:proofErr w:type="spellStart"/>
      <w:r w:rsidRPr="006B1CEF">
        <w:rPr>
          <w:sz w:val="24"/>
          <w:szCs w:val="24"/>
        </w:rPr>
        <w:t>Effect</w:t>
      </w:r>
      <w:proofErr w:type="spellEnd"/>
      <w:r w:rsidRPr="006B1CEF">
        <w:rPr>
          <w:sz w:val="24"/>
          <w:szCs w:val="24"/>
        </w:rPr>
        <w:t xml:space="preserve"> Level) 500 mg/kg. Ved at påvirke de parasympatiske ganglier i det </w:t>
      </w:r>
      <w:proofErr w:type="spellStart"/>
      <w:r w:rsidRPr="006B1CEF">
        <w:rPr>
          <w:sz w:val="24"/>
          <w:szCs w:val="24"/>
        </w:rPr>
        <w:t>viscerale</w:t>
      </w:r>
      <w:proofErr w:type="spellEnd"/>
      <w:r w:rsidRPr="006B1CEF">
        <w:rPr>
          <w:sz w:val="24"/>
          <w:szCs w:val="24"/>
        </w:rPr>
        <w:t xml:space="preserve"> området lammede </w:t>
      </w:r>
      <w:proofErr w:type="spellStart"/>
      <w:r w:rsidRPr="006B1CEF">
        <w:rPr>
          <w:sz w:val="24"/>
          <w:szCs w:val="24"/>
        </w:rPr>
        <w:t>hyoscinbutylbromid</w:t>
      </w:r>
      <w:proofErr w:type="spellEnd"/>
      <w:r w:rsidRPr="006B1CEF">
        <w:rPr>
          <w:sz w:val="24"/>
          <w:szCs w:val="24"/>
        </w:rPr>
        <w:t xml:space="preserve"> (2.000 mg/kg) mave-tarm-kanalen og forårsagede forstoppelse. 11 af 50 rotter døde. Resultaterne af hæmatologi og klinisk kemi viste ikke dosisrelaterede abnormiteter.</w:t>
      </w:r>
    </w:p>
    <w:p w14:paraId="5EFDFEA3" w14:textId="77777777" w:rsidR="001A0DF1" w:rsidRPr="006B1CEF" w:rsidRDefault="001A0DF1" w:rsidP="000449C0">
      <w:pPr>
        <w:ind w:left="851"/>
        <w:rPr>
          <w:sz w:val="24"/>
          <w:szCs w:val="24"/>
        </w:rPr>
      </w:pPr>
    </w:p>
    <w:p w14:paraId="511EA388" w14:textId="77777777" w:rsidR="001A0DF1" w:rsidRPr="006B1CEF" w:rsidRDefault="001A0DF1" w:rsidP="000449C0">
      <w:pPr>
        <w:ind w:left="851"/>
        <w:rPr>
          <w:sz w:val="24"/>
          <w:szCs w:val="24"/>
        </w:rPr>
      </w:pPr>
      <w:r w:rsidRPr="006B1CEF">
        <w:rPr>
          <w:sz w:val="24"/>
          <w:szCs w:val="24"/>
        </w:rPr>
        <w:t xml:space="preserve">I studier af mere end 26 ugers varighed tolererede rotter 200 mg/kg, mens mave-tarm-funktionen blev svækket, og der forekom dødsfald ved 250 og 1.000 mg/kg. I et 39-ugers studie med oral dosis (kapsel) hos hunde var NOAEL-dosen 30 mg/kg. Størstedelen af de kliniske resultater kunne tilskrives den akutte effekt af høje doser </w:t>
      </w:r>
      <w:proofErr w:type="spellStart"/>
      <w:r w:rsidRPr="006B1CEF">
        <w:rPr>
          <w:sz w:val="24"/>
          <w:szCs w:val="24"/>
        </w:rPr>
        <w:t>hyoscinbutylbromid</w:t>
      </w:r>
      <w:proofErr w:type="spellEnd"/>
      <w:r w:rsidRPr="006B1CEF">
        <w:rPr>
          <w:sz w:val="24"/>
          <w:szCs w:val="24"/>
        </w:rPr>
        <w:t xml:space="preserve"> (200 mg/kg). Der blev ikke observeret skadelige </w:t>
      </w:r>
      <w:proofErr w:type="spellStart"/>
      <w:r w:rsidRPr="006B1CEF">
        <w:rPr>
          <w:sz w:val="24"/>
          <w:szCs w:val="24"/>
        </w:rPr>
        <w:t>histopatologiske</w:t>
      </w:r>
      <w:proofErr w:type="spellEnd"/>
      <w:r w:rsidRPr="006B1CEF">
        <w:rPr>
          <w:sz w:val="24"/>
          <w:szCs w:val="24"/>
        </w:rPr>
        <w:t xml:space="preserve"> fund. </w:t>
      </w:r>
    </w:p>
    <w:p w14:paraId="1F747CF6" w14:textId="77777777" w:rsidR="001A0DF1" w:rsidRPr="006B1CEF" w:rsidRDefault="001A0DF1" w:rsidP="000449C0">
      <w:pPr>
        <w:ind w:left="851"/>
        <w:rPr>
          <w:sz w:val="24"/>
          <w:szCs w:val="24"/>
        </w:rPr>
      </w:pPr>
      <w:r w:rsidRPr="006B1CEF">
        <w:rPr>
          <w:sz w:val="24"/>
          <w:szCs w:val="24"/>
        </w:rPr>
        <w:t>En gentagen intravenøs dosis på 1 mg/kg blev godt tolereret hos rotter i et 4-ugers studie. Der forekom krampeanfald umiddelbart efter injektion af en dosis på 3 mg/kg. Rotter, der fik en dosis på 9 mg/kg døde af respirationslammelse.</w:t>
      </w:r>
    </w:p>
    <w:p w14:paraId="52EABA10" w14:textId="77777777" w:rsidR="001A0DF1" w:rsidRPr="006B1CEF" w:rsidRDefault="001A0DF1" w:rsidP="000449C0">
      <w:pPr>
        <w:ind w:left="851"/>
        <w:rPr>
          <w:sz w:val="24"/>
          <w:szCs w:val="24"/>
        </w:rPr>
      </w:pPr>
    </w:p>
    <w:p w14:paraId="11F0E9B5" w14:textId="77777777" w:rsidR="001A0DF1" w:rsidRPr="006B1CEF" w:rsidRDefault="001A0DF1" w:rsidP="000449C0">
      <w:pPr>
        <w:ind w:left="851"/>
        <w:rPr>
          <w:sz w:val="24"/>
          <w:szCs w:val="24"/>
        </w:rPr>
      </w:pPr>
      <w:r w:rsidRPr="006B1CEF">
        <w:rPr>
          <w:sz w:val="24"/>
          <w:szCs w:val="24"/>
        </w:rPr>
        <w:t xml:space="preserve">Hunde, der blev behandlet i mere end fem uger med </w:t>
      </w:r>
      <w:proofErr w:type="spellStart"/>
      <w:r w:rsidRPr="006B1CEF">
        <w:rPr>
          <w:sz w:val="24"/>
          <w:szCs w:val="24"/>
        </w:rPr>
        <w:t>i.v</w:t>
      </w:r>
      <w:proofErr w:type="spellEnd"/>
      <w:r w:rsidRPr="006B1CEF">
        <w:rPr>
          <w:sz w:val="24"/>
          <w:szCs w:val="24"/>
        </w:rPr>
        <w:t xml:space="preserve">. doser på 2 x 1 mg/kg, 2 x 3 mg/kg og 2 x 9 mg/kg viste dosisafhængig </w:t>
      </w:r>
      <w:proofErr w:type="spellStart"/>
      <w:r w:rsidRPr="006B1CEF">
        <w:rPr>
          <w:sz w:val="24"/>
          <w:szCs w:val="24"/>
        </w:rPr>
        <w:t>mydriasis</w:t>
      </w:r>
      <w:proofErr w:type="spellEnd"/>
      <w:r w:rsidRPr="006B1CEF">
        <w:rPr>
          <w:sz w:val="24"/>
          <w:szCs w:val="24"/>
        </w:rPr>
        <w:t xml:space="preserve"> (hos samtlige behandlede dyr). Der blev derudover observeret </w:t>
      </w:r>
      <w:proofErr w:type="spellStart"/>
      <w:r w:rsidRPr="006B1CEF">
        <w:rPr>
          <w:sz w:val="24"/>
          <w:szCs w:val="24"/>
        </w:rPr>
        <w:t>ataksi</w:t>
      </w:r>
      <w:proofErr w:type="spellEnd"/>
      <w:r w:rsidRPr="006B1CEF">
        <w:rPr>
          <w:sz w:val="24"/>
          <w:szCs w:val="24"/>
        </w:rPr>
        <w:t>, spytafsondring og reduceret kropsvægt og foderindtagelse ved doser på 2 x 9 mg/kg. Opløsningerne blev godt tolereret lokalt.</w:t>
      </w:r>
    </w:p>
    <w:p w14:paraId="62427BD3" w14:textId="77777777" w:rsidR="001A0DF1" w:rsidRPr="006B1CEF" w:rsidRDefault="001A0DF1" w:rsidP="000449C0">
      <w:pPr>
        <w:ind w:left="851"/>
        <w:rPr>
          <w:sz w:val="24"/>
          <w:szCs w:val="24"/>
        </w:rPr>
      </w:pPr>
    </w:p>
    <w:p w14:paraId="2B953AE6" w14:textId="77777777" w:rsidR="001A0DF1" w:rsidRPr="006B1CEF" w:rsidRDefault="001A0DF1" w:rsidP="000449C0">
      <w:pPr>
        <w:ind w:left="851"/>
        <w:rPr>
          <w:sz w:val="24"/>
          <w:szCs w:val="24"/>
        </w:rPr>
      </w:pPr>
      <w:r w:rsidRPr="006B1CEF">
        <w:rPr>
          <w:sz w:val="24"/>
          <w:szCs w:val="24"/>
        </w:rPr>
        <w:lastRenderedPageBreak/>
        <w:t>Efter gentagne intramuskulære injektioner blev doser på 10 mg/kg godt tolereret systemisk, men muskelskaderne på injektionsstedet blev øget markant sammenlignet med rotter i kontrolgruppen. Ved 60 mg/kg og 120 mg/kg var dødeligheden høj, og lokale skader øgedes dosisafhængigt.</w:t>
      </w:r>
    </w:p>
    <w:p w14:paraId="17015CF4" w14:textId="77777777" w:rsidR="001A0DF1" w:rsidRPr="006B1CEF" w:rsidRDefault="001A0DF1" w:rsidP="000449C0">
      <w:pPr>
        <w:ind w:left="851"/>
        <w:rPr>
          <w:sz w:val="24"/>
          <w:szCs w:val="24"/>
        </w:rPr>
      </w:pPr>
    </w:p>
    <w:p w14:paraId="2A57B67D" w14:textId="6147F6A8" w:rsidR="001A0DF1" w:rsidRPr="006B1CEF" w:rsidRDefault="001A0DF1" w:rsidP="000449C0">
      <w:pPr>
        <w:ind w:left="851"/>
        <w:rPr>
          <w:sz w:val="24"/>
          <w:szCs w:val="24"/>
        </w:rPr>
      </w:pPr>
      <w:proofErr w:type="spellStart"/>
      <w:r w:rsidRPr="006B1CEF">
        <w:rPr>
          <w:sz w:val="24"/>
          <w:szCs w:val="24"/>
        </w:rPr>
        <w:t>Hyoscinbutylbromid</w:t>
      </w:r>
      <w:proofErr w:type="spellEnd"/>
      <w:r w:rsidRPr="006B1CEF">
        <w:rPr>
          <w:sz w:val="24"/>
          <w:szCs w:val="24"/>
        </w:rPr>
        <w:t xml:space="preserve"> viste hverken embryotoksisk eller </w:t>
      </w:r>
      <w:proofErr w:type="spellStart"/>
      <w:r w:rsidRPr="006B1CEF">
        <w:rPr>
          <w:sz w:val="24"/>
          <w:szCs w:val="24"/>
        </w:rPr>
        <w:t>teratogen</w:t>
      </w:r>
      <w:proofErr w:type="spellEnd"/>
      <w:r w:rsidRPr="006B1CEF">
        <w:rPr>
          <w:sz w:val="24"/>
          <w:szCs w:val="24"/>
        </w:rPr>
        <w:t xml:space="preserve"> effekt ved doser på 200 mg/kg via foder (rotter) og 200 mg/kg ved sondeernæring eller 50 mg/kg subkutant (kaniner). Fertiliteten faldt ikke ved doser på op til 200 mg/kg oralt. Som andre lægemidler med </w:t>
      </w:r>
      <w:proofErr w:type="spellStart"/>
      <w:r w:rsidRPr="006B1CEF">
        <w:rPr>
          <w:sz w:val="24"/>
          <w:szCs w:val="24"/>
        </w:rPr>
        <w:t>kationiske</w:t>
      </w:r>
      <w:proofErr w:type="spellEnd"/>
      <w:r w:rsidRPr="006B1CEF">
        <w:rPr>
          <w:sz w:val="24"/>
          <w:szCs w:val="24"/>
        </w:rPr>
        <w:t xml:space="preserve"> egenskaber interagerer </w:t>
      </w:r>
      <w:proofErr w:type="spellStart"/>
      <w:r w:rsidRPr="006B1CEF">
        <w:rPr>
          <w:sz w:val="24"/>
          <w:szCs w:val="24"/>
        </w:rPr>
        <w:t>hyoscinbutylbromid</w:t>
      </w:r>
      <w:proofErr w:type="spellEnd"/>
      <w:r w:rsidRPr="006B1CEF">
        <w:rPr>
          <w:sz w:val="24"/>
          <w:szCs w:val="24"/>
        </w:rPr>
        <w:t xml:space="preserve"> med transporten af </w:t>
      </w:r>
      <w:proofErr w:type="spellStart"/>
      <w:r w:rsidRPr="006B1CEF">
        <w:rPr>
          <w:sz w:val="24"/>
          <w:szCs w:val="24"/>
        </w:rPr>
        <w:t>cholin</w:t>
      </w:r>
      <w:proofErr w:type="spellEnd"/>
      <w:r w:rsidRPr="006B1CEF">
        <w:rPr>
          <w:sz w:val="24"/>
          <w:szCs w:val="24"/>
        </w:rPr>
        <w:t xml:space="preserve"> i epitelceller i moderkagen hos mennesker </w:t>
      </w:r>
      <w:r w:rsidRPr="006B1CEF">
        <w:rPr>
          <w:i/>
          <w:iCs/>
          <w:sz w:val="24"/>
          <w:szCs w:val="24"/>
        </w:rPr>
        <w:t xml:space="preserve">in </w:t>
      </w:r>
      <w:proofErr w:type="spellStart"/>
      <w:r w:rsidRPr="006B1CEF">
        <w:rPr>
          <w:i/>
          <w:iCs/>
          <w:sz w:val="24"/>
          <w:szCs w:val="24"/>
        </w:rPr>
        <w:t>vitro</w:t>
      </w:r>
      <w:proofErr w:type="spellEnd"/>
      <w:r w:rsidRPr="006B1CEF">
        <w:rPr>
          <w:sz w:val="24"/>
          <w:szCs w:val="24"/>
        </w:rPr>
        <w:t xml:space="preserve">. Det er ikke påvist, at </w:t>
      </w:r>
      <w:proofErr w:type="spellStart"/>
      <w:r w:rsidRPr="006B1CEF">
        <w:rPr>
          <w:sz w:val="24"/>
          <w:szCs w:val="24"/>
        </w:rPr>
        <w:t>hyoscinbutylbromid</w:t>
      </w:r>
      <w:proofErr w:type="spellEnd"/>
      <w:r w:rsidRPr="006B1CEF">
        <w:rPr>
          <w:sz w:val="24"/>
          <w:szCs w:val="24"/>
        </w:rPr>
        <w:t xml:space="preserve"> overføres til fosteret.</w:t>
      </w:r>
    </w:p>
    <w:p w14:paraId="02009595" w14:textId="77777777" w:rsidR="001A0DF1" w:rsidRPr="006B1CEF" w:rsidRDefault="001A0DF1" w:rsidP="000449C0">
      <w:pPr>
        <w:ind w:left="851"/>
        <w:rPr>
          <w:sz w:val="24"/>
          <w:szCs w:val="24"/>
        </w:rPr>
      </w:pPr>
    </w:p>
    <w:p w14:paraId="6B772322" w14:textId="77777777" w:rsidR="001A0DF1" w:rsidRPr="006B1CEF" w:rsidRDefault="001A0DF1" w:rsidP="000449C0">
      <w:pPr>
        <w:ind w:left="851"/>
        <w:rPr>
          <w:sz w:val="24"/>
          <w:szCs w:val="24"/>
        </w:rPr>
      </w:pPr>
      <w:r w:rsidRPr="006B1CEF">
        <w:rPr>
          <w:sz w:val="24"/>
          <w:szCs w:val="24"/>
        </w:rPr>
        <w:t xml:space="preserve">I særlige lokale </w:t>
      </w:r>
      <w:proofErr w:type="spellStart"/>
      <w:r w:rsidRPr="006B1CEF">
        <w:rPr>
          <w:sz w:val="24"/>
          <w:szCs w:val="24"/>
        </w:rPr>
        <w:t>tolerabilitetsstudier</w:t>
      </w:r>
      <w:proofErr w:type="spellEnd"/>
      <w:r w:rsidRPr="006B1CEF">
        <w:rPr>
          <w:sz w:val="24"/>
          <w:szCs w:val="24"/>
        </w:rPr>
        <w:t xml:space="preserve"> fik hunde og aber </w:t>
      </w:r>
      <w:proofErr w:type="spellStart"/>
      <w:r w:rsidRPr="006B1CEF">
        <w:rPr>
          <w:sz w:val="24"/>
          <w:szCs w:val="24"/>
        </w:rPr>
        <w:t>hyoscinbutylbromid</w:t>
      </w:r>
      <w:proofErr w:type="spellEnd"/>
      <w:r w:rsidRPr="006B1CEF">
        <w:rPr>
          <w:sz w:val="24"/>
          <w:szCs w:val="24"/>
        </w:rPr>
        <w:t xml:space="preserve"> i mere end 28 dage med en gentaget intravenøs injektion på 15 mg/kg. Kun små hunde viste en lille </w:t>
      </w:r>
      <w:proofErr w:type="spellStart"/>
      <w:r w:rsidRPr="006B1CEF">
        <w:rPr>
          <w:sz w:val="24"/>
          <w:szCs w:val="24"/>
        </w:rPr>
        <w:t>fokal</w:t>
      </w:r>
      <w:proofErr w:type="spellEnd"/>
      <w:r w:rsidRPr="006B1CEF">
        <w:rPr>
          <w:sz w:val="24"/>
          <w:szCs w:val="24"/>
        </w:rPr>
        <w:t xml:space="preserve"> nekrose på injektionsstedet. </w:t>
      </w:r>
      <w:proofErr w:type="spellStart"/>
      <w:r w:rsidRPr="006B1CEF">
        <w:rPr>
          <w:sz w:val="24"/>
          <w:szCs w:val="24"/>
        </w:rPr>
        <w:t>Hyoscinbutylbromid</w:t>
      </w:r>
      <w:proofErr w:type="spellEnd"/>
      <w:r w:rsidRPr="006B1CEF">
        <w:rPr>
          <w:sz w:val="24"/>
          <w:szCs w:val="24"/>
        </w:rPr>
        <w:t xml:space="preserve"> blev også godt tolereret i ørevenerne hos kaniner. I et </w:t>
      </w:r>
      <w:r w:rsidRPr="006B1CEF">
        <w:rPr>
          <w:i/>
          <w:iCs/>
          <w:sz w:val="24"/>
          <w:szCs w:val="24"/>
        </w:rPr>
        <w:t xml:space="preserve">in </w:t>
      </w:r>
      <w:proofErr w:type="spellStart"/>
      <w:r w:rsidRPr="006B1CEF">
        <w:rPr>
          <w:i/>
          <w:iCs/>
          <w:sz w:val="24"/>
          <w:szCs w:val="24"/>
        </w:rPr>
        <w:t>vitro</w:t>
      </w:r>
      <w:proofErr w:type="spellEnd"/>
      <w:r w:rsidRPr="006B1CEF">
        <w:rPr>
          <w:sz w:val="24"/>
          <w:szCs w:val="24"/>
        </w:rPr>
        <w:t xml:space="preserve"> studie viste en 2 % opløsning til injektion med </w:t>
      </w:r>
      <w:proofErr w:type="spellStart"/>
      <w:r w:rsidRPr="006B1CEF">
        <w:rPr>
          <w:sz w:val="24"/>
          <w:szCs w:val="24"/>
        </w:rPr>
        <w:t>hyoscinbutylbromid</w:t>
      </w:r>
      <w:proofErr w:type="spellEnd"/>
      <w:r w:rsidRPr="006B1CEF">
        <w:rPr>
          <w:sz w:val="24"/>
          <w:szCs w:val="24"/>
        </w:rPr>
        <w:t xml:space="preserve"> ingen </w:t>
      </w:r>
      <w:proofErr w:type="spellStart"/>
      <w:r w:rsidRPr="006B1CEF">
        <w:rPr>
          <w:sz w:val="24"/>
          <w:szCs w:val="24"/>
        </w:rPr>
        <w:t>hæmolytisk</w:t>
      </w:r>
      <w:proofErr w:type="spellEnd"/>
      <w:r w:rsidRPr="006B1CEF">
        <w:rPr>
          <w:sz w:val="24"/>
          <w:szCs w:val="24"/>
        </w:rPr>
        <w:t xml:space="preserve"> effekt blandet med 0,1 ml blod fra mennesker.</w:t>
      </w:r>
    </w:p>
    <w:p w14:paraId="548BBD6C" w14:textId="77777777" w:rsidR="001A0DF1" w:rsidRPr="006B1CEF" w:rsidRDefault="001A0DF1" w:rsidP="000449C0">
      <w:pPr>
        <w:ind w:left="851"/>
        <w:rPr>
          <w:sz w:val="24"/>
          <w:szCs w:val="24"/>
        </w:rPr>
      </w:pPr>
    </w:p>
    <w:p w14:paraId="0FEEC290" w14:textId="77777777" w:rsidR="001A0DF1" w:rsidRPr="006B1CEF" w:rsidRDefault="001A0DF1" w:rsidP="000449C0">
      <w:pPr>
        <w:ind w:left="851"/>
        <w:rPr>
          <w:sz w:val="24"/>
          <w:szCs w:val="24"/>
        </w:rPr>
      </w:pPr>
      <w:proofErr w:type="spellStart"/>
      <w:r w:rsidRPr="006B1CEF">
        <w:rPr>
          <w:sz w:val="24"/>
          <w:szCs w:val="24"/>
        </w:rPr>
        <w:t>Hyoscinbutylbromid</w:t>
      </w:r>
      <w:proofErr w:type="spellEnd"/>
      <w:r w:rsidRPr="006B1CEF">
        <w:rPr>
          <w:sz w:val="24"/>
          <w:szCs w:val="24"/>
        </w:rPr>
        <w:t xml:space="preserve"> viste hverken mutagent eller </w:t>
      </w:r>
      <w:proofErr w:type="spellStart"/>
      <w:r w:rsidRPr="006B1CEF">
        <w:rPr>
          <w:sz w:val="24"/>
          <w:szCs w:val="24"/>
        </w:rPr>
        <w:t>klastogent</w:t>
      </w:r>
      <w:proofErr w:type="spellEnd"/>
      <w:r w:rsidRPr="006B1CEF">
        <w:rPr>
          <w:sz w:val="24"/>
          <w:szCs w:val="24"/>
        </w:rPr>
        <w:t xml:space="preserve"> potentiale i </w:t>
      </w:r>
      <w:proofErr w:type="spellStart"/>
      <w:r w:rsidRPr="006B1CEF">
        <w:rPr>
          <w:sz w:val="24"/>
          <w:szCs w:val="24"/>
        </w:rPr>
        <w:t>Ames</w:t>
      </w:r>
      <w:proofErr w:type="spellEnd"/>
      <w:r w:rsidRPr="006B1CEF">
        <w:rPr>
          <w:sz w:val="24"/>
          <w:szCs w:val="24"/>
        </w:rPr>
        <w:t xml:space="preserve"> testen, </w:t>
      </w:r>
      <w:r w:rsidRPr="006B1CEF">
        <w:rPr>
          <w:i/>
          <w:iCs/>
          <w:sz w:val="24"/>
          <w:szCs w:val="24"/>
        </w:rPr>
        <w:t xml:space="preserve">in </w:t>
      </w:r>
      <w:proofErr w:type="spellStart"/>
      <w:r w:rsidRPr="006B1CEF">
        <w:rPr>
          <w:i/>
          <w:iCs/>
          <w:sz w:val="24"/>
          <w:szCs w:val="24"/>
        </w:rPr>
        <w:t>vitro</w:t>
      </w:r>
      <w:proofErr w:type="spellEnd"/>
      <w:r w:rsidRPr="006B1CEF">
        <w:rPr>
          <w:sz w:val="24"/>
          <w:szCs w:val="24"/>
        </w:rPr>
        <w:t xml:space="preserve"> genmutationsanalysen i V79-pattedyrsceller (HPRT-analyse) eller i en </w:t>
      </w:r>
      <w:r w:rsidRPr="006B1CEF">
        <w:rPr>
          <w:i/>
          <w:iCs/>
          <w:sz w:val="24"/>
          <w:szCs w:val="24"/>
        </w:rPr>
        <w:t xml:space="preserve">in </w:t>
      </w:r>
      <w:proofErr w:type="spellStart"/>
      <w:r w:rsidRPr="006B1CEF">
        <w:rPr>
          <w:i/>
          <w:iCs/>
          <w:sz w:val="24"/>
          <w:szCs w:val="24"/>
        </w:rPr>
        <w:t>vitro</w:t>
      </w:r>
      <w:proofErr w:type="spellEnd"/>
      <w:r w:rsidRPr="006B1CEF">
        <w:rPr>
          <w:sz w:val="24"/>
          <w:szCs w:val="24"/>
        </w:rPr>
        <w:t xml:space="preserve"> kromosomafvigelsestest i perifere humane lymfocytter. </w:t>
      </w:r>
      <w:proofErr w:type="spellStart"/>
      <w:r w:rsidRPr="006B1CEF">
        <w:rPr>
          <w:sz w:val="24"/>
          <w:szCs w:val="24"/>
        </w:rPr>
        <w:t>Hyoscinbutylbromid</w:t>
      </w:r>
      <w:proofErr w:type="spellEnd"/>
      <w:r w:rsidRPr="006B1CEF">
        <w:rPr>
          <w:sz w:val="24"/>
          <w:szCs w:val="24"/>
        </w:rPr>
        <w:t xml:space="preserve"> var negativ i </w:t>
      </w:r>
      <w:proofErr w:type="spellStart"/>
      <w:r w:rsidRPr="006B1CEF">
        <w:rPr>
          <w:sz w:val="24"/>
          <w:szCs w:val="24"/>
        </w:rPr>
        <w:t>mikronukleusanalyse</w:t>
      </w:r>
      <w:proofErr w:type="spellEnd"/>
      <w:r w:rsidRPr="006B1CEF">
        <w:rPr>
          <w:sz w:val="24"/>
          <w:szCs w:val="24"/>
        </w:rPr>
        <w:t xml:space="preserve"> fra knoglemarv hos rotter </w:t>
      </w:r>
      <w:r w:rsidRPr="006B1CEF">
        <w:rPr>
          <w:i/>
          <w:iCs/>
          <w:sz w:val="24"/>
          <w:szCs w:val="24"/>
        </w:rPr>
        <w:t xml:space="preserve">in </w:t>
      </w:r>
      <w:proofErr w:type="spellStart"/>
      <w:r w:rsidRPr="006B1CEF">
        <w:rPr>
          <w:i/>
          <w:iCs/>
          <w:sz w:val="24"/>
          <w:szCs w:val="24"/>
        </w:rPr>
        <w:t>vivo</w:t>
      </w:r>
      <w:proofErr w:type="spellEnd"/>
      <w:r w:rsidRPr="006B1CEF">
        <w:rPr>
          <w:sz w:val="24"/>
          <w:szCs w:val="24"/>
        </w:rPr>
        <w:t>.</w:t>
      </w:r>
    </w:p>
    <w:p w14:paraId="55AAB81F" w14:textId="77777777" w:rsidR="001A0DF1" w:rsidRPr="006B1CEF" w:rsidRDefault="001A0DF1" w:rsidP="000449C0">
      <w:pPr>
        <w:ind w:left="851"/>
        <w:rPr>
          <w:sz w:val="24"/>
          <w:szCs w:val="24"/>
        </w:rPr>
      </w:pPr>
    </w:p>
    <w:p w14:paraId="116664BE" w14:textId="77777777" w:rsidR="001A0DF1" w:rsidRPr="006B1CEF" w:rsidRDefault="001A0DF1" w:rsidP="000449C0">
      <w:pPr>
        <w:ind w:left="851"/>
        <w:rPr>
          <w:sz w:val="24"/>
          <w:szCs w:val="24"/>
        </w:rPr>
      </w:pPr>
      <w:r w:rsidRPr="006B1CEF">
        <w:rPr>
          <w:sz w:val="24"/>
          <w:szCs w:val="24"/>
        </w:rPr>
        <w:t xml:space="preserve">Der er ikke udført </w:t>
      </w:r>
      <w:r w:rsidRPr="006B1CEF">
        <w:rPr>
          <w:i/>
          <w:iCs/>
          <w:sz w:val="24"/>
          <w:szCs w:val="24"/>
        </w:rPr>
        <w:t xml:space="preserve">in </w:t>
      </w:r>
      <w:proofErr w:type="spellStart"/>
      <w:r w:rsidRPr="006B1CEF">
        <w:rPr>
          <w:i/>
          <w:iCs/>
          <w:sz w:val="24"/>
          <w:szCs w:val="24"/>
        </w:rPr>
        <w:t>vivo</w:t>
      </w:r>
      <w:proofErr w:type="spellEnd"/>
      <w:r w:rsidRPr="006B1CEF">
        <w:rPr>
          <w:sz w:val="24"/>
          <w:szCs w:val="24"/>
        </w:rPr>
        <w:t xml:space="preserve"> </w:t>
      </w:r>
      <w:proofErr w:type="spellStart"/>
      <w:r w:rsidRPr="006B1CEF">
        <w:rPr>
          <w:sz w:val="24"/>
          <w:szCs w:val="24"/>
        </w:rPr>
        <w:t>karcinogenicitetsstudier</w:t>
      </w:r>
      <w:proofErr w:type="spellEnd"/>
      <w:r w:rsidRPr="006B1CEF">
        <w:rPr>
          <w:sz w:val="24"/>
          <w:szCs w:val="24"/>
        </w:rPr>
        <w:t xml:space="preserve">. </w:t>
      </w:r>
      <w:proofErr w:type="spellStart"/>
      <w:r w:rsidRPr="006B1CEF">
        <w:rPr>
          <w:sz w:val="24"/>
          <w:szCs w:val="24"/>
        </w:rPr>
        <w:t>Hyoscinbutylbromid</w:t>
      </w:r>
      <w:proofErr w:type="spellEnd"/>
      <w:r w:rsidRPr="006B1CEF">
        <w:rPr>
          <w:sz w:val="24"/>
          <w:szCs w:val="24"/>
        </w:rPr>
        <w:t xml:space="preserve"> havde imidlertid ikke tumorfremkaldende potentiale i to studier, hvor rotter fik 1.000 mg/kg oralt i 26 uger.</w:t>
      </w:r>
    </w:p>
    <w:p w14:paraId="671E30BE" w14:textId="77777777" w:rsidR="009260DE" w:rsidRPr="006B1CEF" w:rsidRDefault="009260DE" w:rsidP="009260DE">
      <w:pPr>
        <w:tabs>
          <w:tab w:val="left" w:pos="851"/>
        </w:tabs>
        <w:ind w:left="851"/>
        <w:rPr>
          <w:sz w:val="24"/>
          <w:szCs w:val="24"/>
        </w:rPr>
      </w:pPr>
    </w:p>
    <w:p w14:paraId="0C40E7E1" w14:textId="77777777" w:rsidR="009260DE" w:rsidRPr="006B1CEF" w:rsidRDefault="009260DE" w:rsidP="009260DE">
      <w:pPr>
        <w:tabs>
          <w:tab w:val="left" w:pos="851"/>
        </w:tabs>
        <w:ind w:left="851"/>
        <w:rPr>
          <w:sz w:val="24"/>
          <w:szCs w:val="24"/>
        </w:rPr>
      </w:pPr>
    </w:p>
    <w:p w14:paraId="310C6A12" w14:textId="77777777" w:rsidR="009260DE" w:rsidRPr="006B1CEF" w:rsidRDefault="009260DE" w:rsidP="009260DE">
      <w:pPr>
        <w:tabs>
          <w:tab w:val="left" w:pos="851"/>
        </w:tabs>
        <w:ind w:left="851" w:hanging="851"/>
        <w:rPr>
          <w:b/>
          <w:sz w:val="24"/>
          <w:szCs w:val="24"/>
        </w:rPr>
      </w:pPr>
      <w:r w:rsidRPr="006B1CEF">
        <w:rPr>
          <w:b/>
          <w:sz w:val="24"/>
          <w:szCs w:val="24"/>
        </w:rPr>
        <w:t>6.</w:t>
      </w:r>
      <w:r w:rsidRPr="006B1CEF">
        <w:rPr>
          <w:b/>
          <w:sz w:val="24"/>
          <w:szCs w:val="24"/>
        </w:rPr>
        <w:tab/>
        <w:t>FARMACEUTISKE OPLYSNINGER</w:t>
      </w:r>
    </w:p>
    <w:p w14:paraId="444E0B62" w14:textId="77777777" w:rsidR="009260DE" w:rsidRPr="006B1CEF" w:rsidRDefault="009260DE" w:rsidP="009260DE">
      <w:pPr>
        <w:tabs>
          <w:tab w:val="left" w:pos="851"/>
        </w:tabs>
        <w:ind w:left="851"/>
        <w:rPr>
          <w:sz w:val="24"/>
          <w:szCs w:val="24"/>
        </w:rPr>
      </w:pPr>
    </w:p>
    <w:p w14:paraId="01177616" w14:textId="77777777" w:rsidR="009260DE" w:rsidRPr="006B1CEF" w:rsidRDefault="009260DE" w:rsidP="009260DE">
      <w:pPr>
        <w:tabs>
          <w:tab w:val="left" w:pos="851"/>
        </w:tabs>
        <w:ind w:left="851" w:hanging="851"/>
        <w:rPr>
          <w:b/>
          <w:sz w:val="24"/>
          <w:szCs w:val="24"/>
        </w:rPr>
      </w:pPr>
      <w:r w:rsidRPr="006B1CEF">
        <w:rPr>
          <w:b/>
          <w:sz w:val="24"/>
          <w:szCs w:val="24"/>
        </w:rPr>
        <w:t>6.1</w:t>
      </w:r>
      <w:r w:rsidRPr="006B1CEF">
        <w:rPr>
          <w:b/>
          <w:sz w:val="24"/>
          <w:szCs w:val="24"/>
        </w:rPr>
        <w:tab/>
        <w:t>Hjælpestoffer</w:t>
      </w:r>
    </w:p>
    <w:p w14:paraId="391821DA" w14:textId="77777777" w:rsidR="001A0DF1" w:rsidRPr="006B1CEF" w:rsidRDefault="001A0DF1" w:rsidP="000449C0">
      <w:pPr>
        <w:ind w:left="851"/>
        <w:rPr>
          <w:sz w:val="24"/>
          <w:szCs w:val="24"/>
        </w:rPr>
      </w:pPr>
      <w:proofErr w:type="spellStart"/>
      <w:r w:rsidRPr="006B1CEF">
        <w:rPr>
          <w:sz w:val="24"/>
          <w:szCs w:val="24"/>
        </w:rPr>
        <w:t>Natriumdihydrogenphosphat-dihydrat</w:t>
      </w:r>
      <w:proofErr w:type="spellEnd"/>
    </w:p>
    <w:p w14:paraId="6DD7864E" w14:textId="77777777" w:rsidR="001A0DF1" w:rsidRPr="006B1CEF" w:rsidRDefault="001A0DF1" w:rsidP="000449C0">
      <w:pPr>
        <w:ind w:left="851"/>
        <w:rPr>
          <w:noProof/>
          <w:sz w:val="24"/>
          <w:szCs w:val="24"/>
        </w:rPr>
      </w:pPr>
      <w:r w:rsidRPr="006B1CEF">
        <w:rPr>
          <w:sz w:val="24"/>
          <w:szCs w:val="24"/>
        </w:rPr>
        <w:t xml:space="preserve">Saltsyre, fortyndet (til justering af pH) </w:t>
      </w:r>
    </w:p>
    <w:p w14:paraId="7C19E867" w14:textId="2AAB1C97" w:rsidR="009260DE" w:rsidRPr="006B1CEF" w:rsidRDefault="001A0DF1" w:rsidP="00E256F6">
      <w:pPr>
        <w:ind w:left="851"/>
        <w:rPr>
          <w:sz w:val="24"/>
          <w:szCs w:val="24"/>
        </w:rPr>
      </w:pPr>
      <w:r w:rsidRPr="006B1CEF">
        <w:rPr>
          <w:sz w:val="24"/>
          <w:szCs w:val="24"/>
        </w:rPr>
        <w:t>Vand til injektionsvæsker</w:t>
      </w:r>
    </w:p>
    <w:p w14:paraId="08F5C364" w14:textId="77777777" w:rsidR="009260DE" w:rsidRPr="006B1CEF" w:rsidRDefault="009260DE" w:rsidP="009260DE">
      <w:pPr>
        <w:tabs>
          <w:tab w:val="left" w:pos="851"/>
        </w:tabs>
        <w:ind w:left="851"/>
        <w:rPr>
          <w:sz w:val="24"/>
          <w:szCs w:val="24"/>
        </w:rPr>
      </w:pPr>
    </w:p>
    <w:p w14:paraId="575577AB" w14:textId="77777777" w:rsidR="009260DE" w:rsidRPr="006B1CEF" w:rsidRDefault="009260DE" w:rsidP="009260DE">
      <w:pPr>
        <w:tabs>
          <w:tab w:val="left" w:pos="851"/>
        </w:tabs>
        <w:ind w:left="851" w:hanging="851"/>
        <w:rPr>
          <w:b/>
          <w:sz w:val="24"/>
          <w:szCs w:val="24"/>
        </w:rPr>
      </w:pPr>
      <w:r w:rsidRPr="006B1CEF">
        <w:rPr>
          <w:b/>
          <w:sz w:val="24"/>
          <w:szCs w:val="24"/>
        </w:rPr>
        <w:t>6.2</w:t>
      </w:r>
      <w:r w:rsidRPr="006B1CEF">
        <w:rPr>
          <w:b/>
          <w:sz w:val="24"/>
          <w:szCs w:val="24"/>
        </w:rPr>
        <w:tab/>
        <w:t>Uforligeligheder</w:t>
      </w:r>
    </w:p>
    <w:p w14:paraId="04DCB8A3" w14:textId="72E3EF91" w:rsidR="009260DE" w:rsidRPr="006B1CEF" w:rsidRDefault="001A0DF1" w:rsidP="00E256F6">
      <w:pPr>
        <w:ind w:left="851"/>
        <w:rPr>
          <w:sz w:val="24"/>
          <w:szCs w:val="24"/>
        </w:rPr>
      </w:pPr>
      <w:r w:rsidRPr="006B1CEF">
        <w:rPr>
          <w:sz w:val="24"/>
          <w:szCs w:val="24"/>
        </w:rPr>
        <w:t>Da der ikke foreligger studier af eventuelle uforligeligheder, må dette lægemiddel ikke blandes med andre lægemidler.</w:t>
      </w:r>
    </w:p>
    <w:p w14:paraId="22A3ECB4" w14:textId="77777777" w:rsidR="009260DE" w:rsidRPr="006B1CEF" w:rsidRDefault="009260DE" w:rsidP="009260DE">
      <w:pPr>
        <w:tabs>
          <w:tab w:val="left" w:pos="851"/>
        </w:tabs>
        <w:ind w:left="851"/>
        <w:rPr>
          <w:sz w:val="24"/>
          <w:szCs w:val="24"/>
        </w:rPr>
      </w:pPr>
    </w:p>
    <w:p w14:paraId="05BC84AB" w14:textId="77777777" w:rsidR="009260DE" w:rsidRPr="006B1CEF" w:rsidRDefault="009260DE" w:rsidP="009260DE">
      <w:pPr>
        <w:tabs>
          <w:tab w:val="left" w:pos="851"/>
        </w:tabs>
        <w:ind w:left="851" w:hanging="851"/>
        <w:rPr>
          <w:b/>
          <w:sz w:val="24"/>
          <w:szCs w:val="24"/>
        </w:rPr>
      </w:pPr>
      <w:r w:rsidRPr="006B1CEF">
        <w:rPr>
          <w:b/>
          <w:sz w:val="24"/>
          <w:szCs w:val="24"/>
        </w:rPr>
        <w:t>6.3</w:t>
      </w:r>
      <w:r w:rsidRPr="006B1CEF">
        <w:rPr>
          <w:b/>
          <w:sz w:val="24"/>
          <w:szCs w:val="24"/>
        </w:rPr>
        <w:tab/>
        <w:t>Opbevaringstid</w:t>
      </w:r>
    </w:p>
    <w:p w14:paraId="6862DA90" w14:textId="2D6A815E" w:rsidR="001A0DF1" w:rsidRPr="006B1CEF" w:rsidRDefault="001A0DF1" w:rsidP="000449C0">
      <w:pPr>
        <w:ind w:left="851"/>
        <w:rPr>
          <w:sz w:val="24"/>
          <w:szCs w:val="24"/>
        </w:rPr>
      </w:pPr>
      <w:r w:rsidRPr="006B1CEF">
        <w:rPr>
          <w:sz w:val="24"/>
          <w:szCs w:val="24"/>
        </w:rPr>
        <w:t>3 år</w:t>
      </w:r>
    </w:p>
    <w:p w14:paraId="3367C218" w14:textId="77777777" w:rsidR="001A0DF1" w:rsidRPr="006B1CEF" w:rsidRDefault="001A0DF1" w:rsidP="000449C0">
      <w:pPr>
        <w:ind w:left="851"/>
        <w:rPr>
          <w:sz w:val="24"/>
          <w:szCs w:val="24"/>
        </w:rPr>
      </w:pPr>
    </w:p>
    <w:p w14:paraId="2E8DEF42" w14:textId="77777777" w:rsidR="001A0DF1" w:rsidRPr="006B1CEF" w:rsidRDefault="001A0DF1" w:rsidP="000449C0">
      <w:pPr>
        <w:ind w:left="851"/>
        <w:rPr>
          <w:sz w:val="24"/>
          <w:szCs w:val="24"/>
        </w:rPr>
      </w:pPr>
      <w:r w:rsidRPr="006B1CEF">
        <w:rPr>
          <w:sz w:val="24"/>
          <w:szCs w:val="24"/>
        </w:rPr>
        <w:t>Efter åbning af ampullen skal indholdet bruges straks, og evt. overskydende opløsning skal bortskaffes.</w:t>
      </w:r>
    </w:p>
    <w:p w14:paraId="53DC3E9D" w14:textId="77777777" w:rsidR="009260DE" w:rsidRPr="006B1CEF" w:rsidRDefault="009260DE" w:rsidP="009260DE">
      <w:pPr>
        <w:tabs>
          <w:tab w:val="left" w:pos="851"/>
        </w:tabs>
        <w:ind w:left="851"/>
        <w:rPr>
          <w:sz w:val="24"/>
          <w:szCs w:val="24"/>
        </w:rPr>
      </w:pPr>
    </w:p>
    <w:p w14:paraId="435AF32A" w14:textId="77777777" w:rsidR="009260DE" w:rsidRPr="006B1CEF" w:rsidRDefault="009260DE" w:rsidP="009260DE">
      <w:pPr>
        <w:tabs>
          <w:tab w:val="left" w:pos="851"/>
        </w:tabs>
        <w:ind w:left="851" w:hanging="851"/>
        <w:rPr>
          <w:b/>
          <w:sz w:val="24"/>
          <w:szCs w:val="24"/>
        </w:rPr>
      </w:pPr>
      <w:r w:rsidRPr="006B1CEF">
        <w:rPr>
          <w:b/>
          <w:sz w:val="24"/>
          <w:szCs w:val="24"/>
        </w:rPr>
        <w:t>6.4</w:t>
      </w:r>
      <w:r w:rsidRPr="006B1CEF">
        <w:rPr>
          <w:b/>
          <w:sz w:val="24"/>
          <w:szCs w:val="24"/>
        </w:rPr>
        <w:tab/>
        <w:t>Særlige opbevaringsforhold</w:t>
      </w:r>
    </w:p>
    <w:p w14:paraId="344EC72F" w14:textId="77777777" w:rsidR="001A0DF1" w:rsidRPr="006B1CEF" w:rsidRDefault="001A0DF1" w:rsidP="000449C0">
      <w:pPr>
        <w:ind w:left="851"/>
        <w:rPr>
          <w:sz w:val="24"/>
          <w:szCs w:val="24"/>
        </w:rPr>
      </w:pPr>
      <w:r w:rsidRPr="006B1CEF">
        <w:rPr>
          <w:sz w:val="24"/>
          <w:szCs w:val="24"/>
        </w:rPr>
        <w:t>Må ikke opbevares ved temperaturer over 25 °C. Må ikke nedfryses.</w:t>
      </w:r>
    </w:p>
    <w:p w14:paraId="1AE308D2" w14:textId="77777777" w:rsidR="009260DE" w:rsidRPr="006B1CEF" w:rsidRDefault="009260DE" w:rsidP="009260DE">
      <w:pPr>
        <w:tabs>
          <w:tab w:val="left" w:pos="851"/>
        </w:tabs>
        <w:ind w:left="851"/>
        <w:rPr>
          <w:sz w:val="24"/>
          <w:szCs w:val="24"/>
        </w:rPr>
      </w:pPr>
    </w:p>
    <w:p w14:paraId="12D61F3B" w14:textId="77777777" w:rsidR="009260DE" w:rsidRPr="006B1CEF" w:rsidRDefault="009260DE" w:rsidP="009260DE">
      <w:pPr>
        <w:tabs>
          <w:tab w:val="left" w:pos="851"/>
        </w:tabs>
        <w:ind w:left="851" w:hanging="851"/>
        <w:rPr>
          <w:b/>
          <w:sz w:val="24"/>
          <w:szCs w:val="24"/>
        </w:rPr>
      </w:pPr>
      <w:r w:rsidRPr="006B1CEF">
        <w:rPr>
          <w:b/>
          <w:sz w:val="24"/>
          <w:szCs w:val="24"/>
        </w:rPr>
        <w:t>6.5</w:t>
      </w:r>
      <w:r w:rsidRPr="006B1CEF">
        <w:rPr>
          <w:b/>
          <w:sz w:val="24"/>
          <w:szCs w:val="24"/>
        </w:rPr>
        <w:tab/>
        <w:t>Emballagetyper og pakningsstørrelser</w:t>
      </w:r>
    </w:p>
    <w:p w14:paraId="28DD6DEA" w14:textId="20CE6519" w:rsidR="001A0DF1" w:rsidRPr="006B1CEF" w:rsidRDefault="001A0DF1" w:rsidP="000449C0">
      <w:pPr>
        <w:ind w:left="851"/>
        <w:rPr>
          <w:sz w:val="24"/>
          <w:szCs w:val="24"/>
        </w:rPr>
      </w:pPr>
      <w:r w:rsidRPr="006B1CEF">
        <w:rPr>
          <w:sz w:val="24"/>
          <w:szCs w:val="24"/>
        </w:rPr>
        <w:t>Farveløse glasampuller på 1 ml i pakningsstørrelser af 10 ampuller.</w:t>
      </w:r>
    </w:p>
    <w:p w14:paraId="27D30F0A" w14:textId="3144B45A" w:rsidR="00CC62E3" w:rsidRDefault="00CC62E3">
      <w:pPr>
        <w:rPr>
          <w:sz w:val="24"/>
          <w:szCs w:val="24"/>
        </w:rPr>
      </w:pPr>
      <w:r>
        <w:rPr>
          <w:sz w:val="24"/>
          <w:szCs w:val="24"/>
        </w:rPr>
        <w:br w:type="page"/>
      </w:r>
    </w:p>
    <w:p w14:paraId="33C7B823" w14:textId="77777777" w:rsidR="009260DE" w:rsidRPr="006B1CEF" w:rsidRDefault="009260DE" w:rsidP="009260DE">
      <w:pPr>
        <w:tabs>
          <w:tab w:val="left" w:pos="851"/>
        </w:tabs>
        <w:ind w:left="851"/>
        <w:rPr>
          <w:sz w:val="24"/>
          <w:szCs w:val="24"/>
        </w:rPr>
      </w:pPr>
    </w:p>
    <w:p w14:paraId="66F4AD73" w14:textId="77777777" w:rsidR="009260DE" w:rsidRPr="006B1CEF" w:rsidRDefault="009260DE" w:rsidP="009260DE">
      <w:pPr>
        <w:tabs>
          <w:tab w:val="left" w:pos="851"/>
        </w:tabs>
        <w:ind w:left="851" w:hanging="851"/>
        <w:rPr>
          <w:b/>
          <w:sz w:val="24"/>
          <w:szCs w:val="24"/>
        </w:rPr>
      </w:pPr>
      <w:r w:rsidRPr="006B1CEF">
        <w:rPr>
          <w:b/>
          <w:sz w:val="24"/>
          <w:szCs w:val="24"/>
        </w:rPr>
        <w:t>6.6</w:t>
      </w:r>
      <w:r w:rsidRPr="006B1CEF">
        <w:rPr>
          <w:b/>
          <w:sz w:val="24"/>
          <w:szCs w:val="24"/>
        </w:rPr>
        <w:tab/>
        <w:t>Regler for destruktion og anden håndtering</w:t>
      </w:r>
    </w:p>
    <w:p w14:paraId="4FB094B5" w14:textId="2909304C" w:rsidR="001A0DF1" w:rsidRPr="006B1CEF" w:rsidRDefault="001A0DF1" w:rsidP="000449C0">
      <w:pPr>
        <w:ind w:left="851"/>
        <w:rPr>
          <w:i/>
          <w:noProof/>
          <w:sz w:val="24"/>
          <w:szCs w:val="24"/>
        </w:rPr>
      </w:pPr>
      <w:r w:rsidRPr="006B1CEF">
        <w:rPr>
          <w:sz w:val="24"/>
          <w:szCs w:val="24"/>
        </w:rPr>
        <w:t>Ingen særlige forholdsregler.</w:t>
      </w:r>
    </w:p>
    <w:p w14:paraId="4445BEA4" w14:textId="77777777" w:rsidR="001A0DF1" w:rsidRPr="006B1CEF" w:rsidRDefault="001A0DF1" w:rsidP="000449C0">
      <w:pPr>
        <w:ind w:left="851"/>
        <w:rPr>
          <w:sz w:val="24"/>
          <w:szCs w:val="24"/>
        </w:rPr>
      </w:pPr>
    </w:p>
    <w:p w14:paraId="42AF8015" w14:textId="77777777" w:rsidR="001A0DF1" w:rsidRPr="006B1CEF" w:rsidRDefault="001A0DF1" w:rsidP="000449C0">
      <w:pPr>
        <w:ind w:left="851"/>
        <w:rPr>
          <w:sz w:val="24"/>
          <w:szCs w:val="24"/>
        </w:rPr>
      </w:pPr>
      <w:r w:rsidRPr="006B1CEF">
        <w:rPr>
          <w:sz w:val="24"/>
          <w:szCs w:val="24"/>
        </w:rPr>
        <w:t>Ikke anvendt lægemiddel samt affald heraf skal bortskaffes i henhold til lokale retningslinjer.</w:t>
      </w:r>
    </w:p>
    <w:p w14:paraId="7C662E24" w14:textId="77777777" w:rsidR="009260DE" w:rsidRPr="006B1CEF" w:rsidRDefault="009260DE" w:rsidP="000730CA">
      <w:pPr>
        <w:tabs>
          <w:tab w:val="left" w:pos="851"/>
        </w:tabs>
        <w:ind w:left="851"/>
        <w:rPr>
          <w:sz w:val="24"/>
          <w:szCs w:val="24"/>
        </w:rPr>
      </w:pPr>
    </w:p>
    <w:p w14:paraId="77050E04" w14:textId="77777777" w:rsidR="009260DE" w:rsidRPr="006B1CEF" w:rsidRDefault="009260DE" w:rsidP="009260DE">
      <w:pPr>
        <w:tabs>
          <w:tab w:val="left" w:pos="851"/>
        </w:tabs>
        <w:ind w:left="851" w:hanging="851"/>
        <w:rPr>
          <w:b/>
          <w:sz w:val="24"/>
          <w:szCs w:val="24"/>
        </w:rPr>
      </w:pPr>
      <w:r w:rsidRPr="006B1CEF">
        <w:rPr>
          <w:b/>
          <w:sz w:val="24"/>
          <w:szCs w:val="24"/>
        </w:rPr>
        <w:t>7.</w:t>
      </w:r>
      <w:r w:rsidRPr="006B1CEF">
        <w:rPr>
          <w:b/>
          <w:sz w:val="24"/>
          <w:szCs w:val="24"/>
        </w:rPr>
        <w:tab/>
        <w:t>INDEHAVER AF MARKEDSFØRINGSTILLADELSEN</w:t>
      </w:r>
    </w:p>
    <w:p w14:paraId="2695F4C3" w14:textId="77777777" w:rsidR="001A0DF1" w:rsidRPr="006B1CEF" w:rsidRDefault="001A0DF1" w:rsidP="000449C0">
      <w:pPr>
        <w:ind w:left="851"/>
        <w:rPr>
          <w:sz w:val="24"/>
          <w:szCs w:val="24"/>
        </w:rPr>
      </w:pPr>
      <w:proofErr w:type="spellStart"/>
      <w:r w:rsidRPr="006B1CEF">
        <w:rPr>
          <w:sz w:val="24"/>
          <w:szCs w:val="24"/>
        </w:rPr>
        <w:t>Macure</w:t>
      </w:r>
      <w:proofErr w:type="spellEnd"/>
      <w:r w:rsidRPr="006B1CEF">
        <w:rPr>
          <w:sz w:val="24"/>
          <w:szCs w:val="24"/>
        </w:rPr>
        <w:t xml:space="preserve"> Pharma ApS</w:t>
      </w:r>
    </w:p>
    <w:p w14:paraId="61DBB195" w14:textId="77777777" w:rsidR="001A0DF1" w:rsidRPr="006B1CEF" w:rsidRDefault="001A0DF1" w:rsidP="000449C0">
      <w:pPr>
        <w:ind w:left="851"/>
        <w:rPr>
          <w:sz w:val="24"/>
          <w:szCs w:val="24"/>
        </w:rPr>
      </w:pPr>
      <w:r w:rsidRPr="006B1CEF">
        <w:rPr>
          <w:sz w:val="24"/>
          <w:szCs w:val="24"/>
        </w:rPr>
        <w:t>Hejrevej 39</w:t>
      </w:r>
    </w:p>
    <w:p w14:paraId="44388BAD" w14:textId="77777777" w:rsidR="001A0DF1" w:rsidRPr="006B1CEF" w:rsidRDefault="001A0DF1" w:rsidP="000449C0">
      <w:pPr>
        <w:ind w:left="851"/>
        <w:rPr>
          <w:sz w:val="24"/>
          <w:szCs w:val="24"/>
        </w:rPr>
      </w:pPr>
      <w:r w:rsidRPr="006B1CEF">
        <w:rPr>
          <w:sz w:val="24"/>
          <w:szCs w:val="24"/>
        </w:rPr>
        <w:t>2400 København NV</w:t>
      </w:r>
    </w:p>
    <w:p w14:paraId="1209A994" w14:textId="77777777" w:rsidR="009260DE" w:rsidRPr="006B1CEF" w:rsidRDefault="009260DE" w:rsidP="009260DE">
      <w:pPr>
        <w:tabs>
          <w:tab w:val="left" w:pos="851"/>
        </w:tabs>
        <w:ind w:left="851"/>
        <w:rPr>
          <w:sz w:val="24"/>
          <w:szCs w:val="24"/>
        </w:rPr>
      </w:pPr>
    </w:p>
    <w:p w14:paraId="17BB43C6" w14:textId="77777777" w:rsidR="009260DE" w:rsidRPr="006B1CEF" w:rsidRDefault="009260DE" w:rsidP="009260DE">
      <w:pPr>
        <w:tabs>
          <w:tab w:val="left" w:pos="851"/>
        </w:tabs>
        <w:ind w:left="851" w:hanging="851"/>
        <w:rPr>
          <w:b/>
          <w:sz w:val="24"/>
          <w:szCs w:val="24"/>
        </w:rPr>
      </w:pPr>
      <w:r w:rsidRPr="006B1CEF">
        <w:rPr>
          <w:b/>
          <w:sz w:val="24"/>
          <w:szCs w:val="24"/>
        </w:rPr>
        <w:t>8.</w:t>
      </w:r>
      <w:r w:rsidRPr="006B1CEF">
        <w:rPr>
          <w:b/>
          <w:sz w:val="24"/>
          <w:szCs w:val="24"/>
        </w:rPr>
        <w:tab/>
        <w:t>MARKEDSFØRINGSTILLADELSESNUMMER (NUMRE)</w:t>
      </w:r>
    </w:p>
    <w:p w14:paraId="0623AE78" w14:textId="6C25623D" w:rsidR="009260DE" w:rsidRPr="006B1CEF" w:rsidRDefault="003A6D05" w:rsidP="009260DE">
      <w:pPr>
        <w:tabs>
          <w:tab w:val="left" w:pos="851"/>
        </w:tabs>
        <w:ind w:left="851"/>
        <w:rPr>
          <w:sz w:val="24"/>
          <w:szCs w:val="24"/>
        </w:rPr>
      </w:pPr>
      <w:r w:rsidRPr="006B1CEF">
        <w:rPr>
          <w:sz w:val="24"/>
          <w:szCs w:val="24"/>
        </w:rPr>
        <w:t>65257</w:t>
      </w:r>
    </w:p>
    <w:p w14:paraId="21E8D32A" w14:textId="77777777" w:rsidR="009260DE" w:rsidRPr="006B1CEF" w:rsidRDefault="009260DE" w:rsidP="009260DE">
      <w:pPr>
        <w:tabs>
          <w:tab w:val="left" w:pos="851"/>
        </w:tabs>
        <w:ind w:left="851"/>
        <w:jc w:val="both"/>
        <w:rPr>
          <w:sz w:val="24"/>
          <w:szCs w:val="24"/>
        </w:rPr>
      </w:pPr>
    </w:p>
    <w:p w14:paraId="7BF9B41E" w14:textId="77777777" w:rsidR="009260DE" w:rsidRPr="006B1CEF" w:rsidRDefault="009260DE" w:rsidP="009260DE">
      <w:pPr>
        <w:tabs>
          <w:tab w:val="left" w:pos="851"/>
        </w:tabs>
        <w:ind w:left="851" w:hanging="851"/>
        <w:rPr>
          <w:b/>
          <w:sz w:val="24"/>
          <w:szCs w:val="24"/>
        </w:rPr>
      </w:pPr>
      <w:r w:rsidRPr="006B1CEF">
        <w:rPr>
          <w:b/>
          <w:sz w:val="24"/>
          <w:szCs w:val="24"/>
        </w:rPr>
        <w:t>9.</w:t>
      </w:r>
      <w:r w:rsidRPr="006B1CEF">
        <w:rPr>
          <w:b/>
          <w:sz w:val="24"/>
          <w:szCs w:val="24"/>
        </w:rPr>
        <w:tab/>
        <w:t>DATO FOR FØRSTE MARKEDSFØRINGSTILLADELSE</w:t>
      </w:r>
    </w:p>
    <w:p w14:paraId="357FD624" w14:textId="4DDE208A" w:rsidR="009260DE" w:rsidRPr="006B1CEF" w:rsidRDefault="00CC62E3" w:rsidP="009260DE">
      <w:pPr>
        <w:tabs>
          <w:tab w:val="left" w:pos="851"/>
        </w:tabs>
        <w:ind w:left="851"/>
        <w:rPr>
          <w:sz w:val="24"/>
          <w:szCs w:val="24"/>
        </w:rPr>
      </w:pPr>
      <w:r>
        <w:rPr>
          <w:sz w:val="24"/>
          <w:szCs w:val="24"/>
        </w:rPr>
        <w:t>4. august 2022</w:t>
      </w:r>
      <w:bookmarkStart w:id="2" w:name="_GoBack"/>
      <w:bookmarkEnd w:id="2"/>
    </w:p>
    <w:p w14:paraId="0446E4A5" w14:textId="77777777" w:rsidR="009260DE" w:rsidRPr="006B1CEF" w:rsidRDefault="009260DE" w:rsidP="009260DE">
      <w:pPr>
        <w:tabs>
          <w:tab w:val="left" w:pos="851"/>
        </w:tabs>
        <w:ind w:left="851"/>
        <w:rPr>
          <w:sz w:val="24"/>
          <w:szCs w:val="24"/>
        </w:rPr>
      </w:pPr>
    </w:p>
    <w:p w14:paraId="2EBE3EF2" w14:textId="77777777" w:rsidR="009260DE" w:rsidRPr="006B1CEF" w:rsidRDefault="009260DE" w:rsidP="009260DE">
      <w:pPr>
        <w:tabs>
          <w:tab w:val="left" w:pos="851"/>
        </w:tabs>
        <w:ind w:left="851" w:hanging="851"/>
        <w:rPr>
          <w:b/>
          <w:sz w:val="24"/>
          <w:szCs w:val="24"/>
        </w:rPr>
      </w:pPr>
      <w:r w:rsidRPr="006B1CEF">
        <w:rPr>
          <w:b/>
          <w:sz w:val="24"/>
          <w:szCs w:val="24"/>
        </w:rPr>
        <w:t>10.</w:t>
      </w:r>
      <w:r w:rsidRPr="006B1CEF">
        <w:rPr>
          <w:b/>
          <w:sz w:val="24"/>
          <w:szCs w:val="24"/>
        </w:rPr>
        <w:tab/>
        <w:t>DATO FOR ÆNDRING AF TEKSTEN</w:t>
      </w:r>
    </w:p>
    <w:p w14:paraId="53819BCF" w14:textId="729F7602" w:rsidR="009260DE" w:rsidRPr="00C84483" w:rsidRDefault="003A6D05"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9068" w14:textId="77777777" w:rsidR="00732985" w:rsidRDefault="00732985">
      <w:r>
        <w:separator/>
      </w:r>
    </w:p>
  </w:endnote>
  <w:endnote w:type="continuationSeparator" w:id="0">
    <w:p w14:paraId="23BF248A" w14:textId="77777777" w:rsidR="00732985" w:rsidRDefault="0073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AC28" w14:textId="77777777" w:rsidR="000259B9" w:rsidRDefault="000259B9">
    <w:pPr>
      <w:pStyle w:val="Sidefod"/>
      <w:pBdr>
        <w:bottom w:val="single" w:sz="6" w:space="1" w:color="auto"/>
      </w:pBdr>
    </w:pPr>
  </w:p>
  <w:p w14:paraId="5FB1654D" w14:textId="77777777" w:rsidR="000259B9" w:rsidRDefault="000259B9" w:rsidP="00C42586">
    <w:pPr>
      <w:pStyle w:val="Sidefod"/>
      <w:tabs>
        <w:tab w:val="clear" w:pos="4819"/>
        <w:tab w:val="left" w:pos="8505"/>
      </w:tabs>
      <w:rPr>
        <w:i/>
        <w:sz w:val="18"/>
        <w:szCs w:val="18"/>
      </w:rPr>
    </w:pPr>
  </w:p>
  <w:p w14:paraId="33883508" w14:textId="37FBF95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00EE">
      <w:rPr>
        <w:i/>
        <w:noProof/>
        <w:sz w:val="18"/>
        <w:szCs w:val="18"/>
      </w:rPr>
      <w:t>Bumacor, injektionsvæske, opløsning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F723D" w14:textId="77777777" w:rsidR="00732985" w:rsidRDefault="00732985">
      <w:r>
        <w:separator/>
      </w:r>
    </w:p>
  </w:footnote>
  <w:footnote w:type="continuationSeparator" w:id="0">
    <w:p w14:paraId="2194CD59" w14:textId="77777777" w:rsidR="00732985" w:rsidRDefault="00732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EE0"/>
    <w:multiLevelType w:val="hybridMultilevel"/>
    <w:tmpl w:val="48126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172051"/>
    <w:multiLevelType w:val="hybridMultilevel"/>
    <w:tmpl w:val="0B7267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85"/>
    <w:rsid w:val="0000301A"/>
    <w:rsid w:val="000259B9"/>
    <w:rsid w:val="00041491"/>
    <w:rsid w:val="000449C0"/>
    <w:rsid w:val="00050D16"/>
    <w:rsid w:val="000730CA"/>
    <w:rsid w:val="00074F2A"/>
    <w:rsid w:val="000943B0"/>
    <w:rsid w:val="000A1CA8"/>
    <w:rsid w:val="000A466B"/>
    <w:rsid w:val="000B058C"/>
    <w:rsid w:val="000E4EE6"/>
    <w:rsid w:val="001454E2"/>
    <w:rsid w:val="001A0DF1"/>
    <w:rsid w:val="00206CE8"/>
    <w:rsid w:val="002074DD"/>
    <w:rsid w:val="0021526C"/>
    <w:rsid w:val="00283A2B"/>
    <w:rsid w:val="002B30AD"/>
    <w:rsid w:val="002C2C01"/>
    <w:rsid w:val="003A29AE"/>
    <w:rsid w:val="003A32D7"/>
    <w:rsid w:val="003A6D05"/>
    <w:rsid w:val="003B4074"/>
    <w:rsid w:val="003C769A"/>
    <w:rsid w:val="003F1838"/>
    <w:rsid w:val="0045746C"/>
    <w:rsid w:val="0049104B"/>
    <w:rsid w:val="004B5CEE"/>
    <w:rsid w:val="004E3B12"/>
    <w:rsid w:val="00532310"/>
    <w:rsid w:val="00565F0F"/>
    <w:rsid w:val="00593B87"/>
    <w:rsid w:val="00594A86"/>
    <w:rsid w:val="00596D86"/>
    <w:rsid w:val="005E7D1A"/>
    <w:rsid w:val="00630780"/>
    <w:rsid w:val="00637F5A"/>
    <w:rsid w:val="006560B1"/>
    <w:rsid w:val="006756DD"/>
    <w:rsid w:val="006B1CEF"/>
    <w:rsid w:val="00732985"/>
    <w:rsid w:val="00737275"/>
    <w:rsid w:val="00740EEC"/>
    <w:rsid w:val="0078011A"/>
    <w:rsid w:val="00782AF4"/>
    <w:rsid w:val="00790EE7"/>
    <w:rsid w:val="007B6649"/>
    <w:rsid w:val="0082576E"/>
    <w:rsid w:val="0089300D"/>
    <w:rsid w:val="008A00EE"/>
    <w:rsid w:val="00900E22"/>
    <w:rsid w:val="00907F75"/>
    <w:rsid w:val="009260DE"/>
    <w:rsid w:val="0093258A"/>
    <w:rsid w:val="009C7BA3"/>
    <w:rsid w:val="009D1F5A"/>
    <w:rsid w:val="00A10294"/>
    <w:rsid w:val="00A958B7"/>
    <w:rsid w:val="00AB5647"/>
    <w:rsid w:val="00B003BF"/>
    <w:rsid w:val="00B373D7"/>
    <w:rsid w:val="00C36276"/>
    <w:rsid w:val="00C42586"/>
    <w:rsid w:val="00C60CCD"/>
    <w:rsid w:val="00C84483"/>
    <w:rsid w:val="00C95551"/>
    <w:rsid w:val="00CB20D7"/>
    <w:rsid w:val="00CC62E3"/>
    <w:rsid w:val="00D020B0"/>
    <w:rsid w:val="00D11748"/>
    <w:rsid w:val="00D366CF"/>
    <w:rsid w:val="00E108AA"/>
    <w:rsid w:val="00E256F6"/>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BD2E"/>
  <w15:chartTrackingRefBased/>
  <w15:docId w15:val="{52554FFC-EB24-4605-812A-63946155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00E22"/>
    <w:pPr>
      <w:spacing w:before="120" w:after="120"/>
      <w:jc w:val="both"/>
    </w:pPr>
    <w:rPr>
      <w:sz w:val="22"/>
    </w:rPr>
  </w:style>
  <w:style w:type="paragraph" w:styleId="Listeafsnit">
    <w:name w:val="List Paragraph"/>
    <w:basedOn w:val="Normal"/>
    <w:uiPriority w:val="34"/>
    <w:qFormat/>
    <w:rsid w:val="004B5CEE"/>
    <w:pPr>
      <w:tabs>
        <w:tab w:val="left" w:pos="567"/>
      </w:tabs>
      <w:spacing w:line="260" w:lineRule="exact"/>
      <w:ind w:left="720"/>
      <w:contextualSpacing/>
    </w:pPr>
    <w:rPr>
      <w:sz w:val="22"/>
    </w:rPr>
  </w:style>
  <w:style w:type="character" w:styleId="Hyperlink">
    <w:name w:val="Hyperlink"/>
    <w:semiHidden/>
    <w:unhideWhenUsed/>
    <w:rsid w:val="004B5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2190">
      <w:bodyDiv w:val="1"/>
      <w:marLeft w:val="0"/>
      <w:marRight w:val="0"/>
      <w:marTop w:val="0"/>
      <w:marBottom w:val="0"/>
      <w:divBdr>
        <w:top w:val="none" w:sz="0" w:space="0" w:color="auto"/>
        <w:left w:val="none" w:sz="0" w:space="0" w:color="auto"/>
        <w:bottom w:val="none" w:sz="0" w:space="0" w:color="auto"/>
        <w:right w:val="none" w:sz="0" w:space="0" w:color="auto"/>
      </w:divBdr>
    </w:div>
    <w:div w:id="91243791">
      <w:bodyDiv w:val="1"/>
      <w:marLeft w:val="0"/>
      <w:marRight w:val="0"/>
      <w:marTop w:val="0"/>
      <w:marBottom w:val="0"/>
      <w:divBdr>
        <w:top w:val="none" w:sz="0" w:space="0" w:color="auto"/>
        <w:left w:val="none" w:sz="0" w:space="0" w:color="auto"/>
        <w:bottom w:val="none" w:sz="0" w:space="0" w:color="auto"/>
        <w:right w:val="none" w:sz="0" w:space="0" w:color="auto"/>
      </w:divBdr>
    </w:div>
    <w:div w:id="1392723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7013971">
      <w:bodyDiv w:val="1"/>
      <w:marLeft w:val="0"/>
      <w:marRight w:val="0"/>
      <w:marTop w:val="0"/>
      <w:marBottom w:val="0"/>
      <w:divBdr>
        <w:top w:val="none" w:sz="0" w:space="0" w:color="auto"/>
        <w:left w:val="none" w:sz="0" w:space="0" w:color="auto"/>
        <w:bottom w:val="none" w:sz="0" w:space="0" w:color="auto"/>
        <w:right w:val="none" w:sz="0" w:space="0" w:color="auto"/>
      </w:divBdr>
    </w:div>
    <w:div w:id="305358148">
      <w:bodyDiv w:val="1"/>
      <w:marLeft w:val="0"/>
      <w:marRight w:val="0"/>
      <w:marTop w:val="0"/>
      <w:marBottom w:val="0"/>
      <w:divBdr>
        <w:top w:val="none" w:sz="0" w:space="0" w:color="auto"/>
        <w:left w:val="none" w:sz="0" w:space="0" w:color="auto"/>
        <w:bottom w:val="none" w:sz="0" w:space="0" w:color="auto"/>
        <w:right w:val="none" w:sz="0" w:space="0" w:color="auto"/>
      </w:divBdr>
    </w:div>
    <w:div w:id="345251791">
      <w:bodyDiv w:val="1"/>
      <w:marLeft w:val="0"/>
      <w:marRight w:val="0"/>
      <w:marTop w:val="0"/>
      <w:marBottom w:val="0"/>
      <w:divBdr>
        <w:top w:val="none" w:sz="0" w:space="0" w:color="auto"/>
        <w:left w:val="none" w:sz="0" w:space="0" w:color="auto"/>
        <w:bottom w:val="none" w:sz="0" w:space="0" w:color="auto"/>
        <w:right w:val="none" w:sz="0" w:space="0" w:color="auto"/>
      </w:divBdr>
    </w:div>
    <w:div w:id="793527494">
      <w:bodyDiv w:val="1"/>
      <w:marLeft w:val="0"/>
      <w:marRight w:val="0"/>
      <w:marTop w:val="0"/>
      <w:marBottom w:val="0"/>
      <w:divBdr>
        <w:top w:val="none" w:sz="0" w:space="0" w:color="auto"/>
        <w:left w:val="none" w:sz="0" w:space="0" w:color="auto"/>
        <w:bottom w:val="none" w:sz="0" w:space="0" w:color="auto"/>
        <w:right w:val="none" w:sz="0" w:space="0" w:color="auto"/>
      </w:divBdr>
    </w:div>
    <w:div w:id="859930316">
      <w:bodyDiv w:val="1"/>
      <w:marLeft w:val="0"/>
      <w:marRight w:val="0"/>
      <w:marTop w:val="0"/>
      <w:marBottom w:val="0"/>
      <w:divBdr>
        <w:top w:val="none" w:sz="0" w:space="0" w:color="auto"/>
        <w:left w:val="none" w:sz="0" w:space="0" w:color="auto"/>
        <w:bottom w:val="none" w:sz="0" w:space="0" w:color="auto"/>
        <w:right w:val="none" w:sz="0" w:space="0" w:color="auto"/>
      </w:divBdr>
    </w:div>
    <w:div w:id="873421768">
      <w:bodyDiv w:val="1"/>
      <w:marLeft w:val="0"/>
      <w:marRight w:val="0"/>
      <w:marTop w:val="0"/>
      <w:marBottom w:val="0"/>
      <w:divBdr>
        <w:top w:val="none" w:sz="0" w:space="0" w:color="auto"/>
        <w:left w:val="none" w:sz="0" w:space="0" w:color="auto"/>
        <w:bottom w:val="none" w:sz="0" w:space="0" w:color="auto"/>
        <w:right w:val="none" w:sz="0" w:space="0" w:color="auto"/>
      </w:divBdr>
    </w:div>
    <w:div w:id="898788946">
      <w:bodyDiv w:val="1"/>
      <w:marLeft w:val="0"/>
      <w:marRight w:val="0"/>
      <w:marTop w:val="0"/>
      <w:marBottom w:val="0"/>
      <w:divBdr>
        <w:top w:val="none" w:sz="0" w:space="0" w:color="auto"/>
        <w:left w:val="none" w:sz="0" w:space="0" w:color="auto"/>
        <w:bottom w:val="none" w:sz="0" w:space="0" w:color="auto"/>
        <w:right w:val="none" w:sz="0" w:space="0" w:color="auto"/>
      </w:divBdr>
    </w:div>
    <w:div w:id="1146776670">
      <w:bodyDiv w:val="1"/>
      <w:marLeft w:val="0"/>
      <w:marRight w:val="0"/>
      <w:marTop w:val="0"/>
      <w:marBottom w:val="0"/>
      <w:divBdr>
        <w:top w:val="none" w:sz="0" w:space="0" w:color="auto"/>
        <w:left w:val="none" w:sz="0" w:space="0" w:color="auto"/>
        <w:bottom w:val="none" w:sz="0" w:space="0" w:color="auto"/>
        <w:right w:val="none" w:sz="0" w:space="0" w:color="auto"/>
      </w:divBdr>
    </w:div>
    <w:div w:id="1202329466">
      <w:bodyDiv w:val="1"/>
      <w:marLeft w:val="0"/>
      <w:marRight w:val="0"/>
      <w:marTop w:val="0"/>
      <w:marBottom w:val="0"/>
      <w:divBdr>
        <w:top w:val="none" w:sz="0" w:space="0" w:color="auto"/>
        <w:left w:val="none" w:sz="0" w:space="0" w:color="auto"/>
        <w:bottom w:val="none" w:sz="0" w:space="0" w:color="auto"/>
        <w:right w:val="none" w:sz="0" w:space="0" w:color="auto"/>
      </w:divBdr>
    </w:div>
    <w:div w:id="1374381939">
      <w:bodyDiv w:val="1"/>
      <w:marLeft w:val="0"/>
      <w:marRight w:val="0"/>
      <w:marTop w:val="0"/>
      <w:marBottom w:val="0"/>
      <w:divBdr>
        <w:top w:val="none" w:sz="0" w:space="0" w:color="auto"/>
        <w:left w:val="none" w:sz="0" w:space="0" w:color="auto"/>
        <w:bottom w:val="none" w:sz="0" w:space="0" w:color="auto"/>
        <w:right w:val="none" w:sz="0" w:space="0" w:color="auto"/>
      </w:divBdr>
    </w:div>
    <w:div w:id="1460995659">
      <w:bodyDiv w:val="1"/>
      <w:marLeft w:val="0"/>
      <w:marRight w:val="0"/>
      <w:marTop w:val="0"/>
      <w:marBottom w:val="0"/>
      <w:divBdr>
        <w:top w:val="none" w:sz="0" w:space="0" w:color="auto"/>
        <w:left w:val="none" w:sz="0" w:space="0" w:color="auto"/>
        <w:bottom w:val="none" w:sz="0" w:space="0" w:color="auto"/>
        <w:right w:val="none" w:sz="0" w:space="0" w:color="auto"/>
      </w:divBdr>
    </w:div>
    <w:div w:id="1715084863">
      <w:bodyDiv w:val="1"/>
      <w:marLeft w:val="0"/>
      <w:marRight w:val="0"/>
      <w:marTop w:val="0"/>
      <w:marBottom w:val="0"/>
      <w:divBdr>
        <w:top w:val="none" w:sz="0" w:space="0" w:color="auto"/>
        <w:left w:val="none" w:sz="0" w:space="0" w:color="auto"/>
        <w:bottom w:val="none" w:sz="0" w:space="0" w:color="auto"/>
        <w:right w:val="none" w:sz="0" w:space="0" w:color="auto"/>
      </w:divBdr>
    </w:div>
    <w:div w:id="1732846739">
      <w:bodyDiv w:val="1"/>
      <w:marLeft w:val="0"/>
      <w:marRight w:val="0"/>
      <w:marTop w:val="0"/>
      <w:marBottom w:val="0"/>
      <w:divBdr>
        <w:top w:val="none" w:sz="0" w:space="0" w:color="auto"/>
        <w:left w:val="none" w:sz="0" w:space="0" w:color="auto"/>
        <w:bottom w:val="none" w:sz="0" w:space="0" w:color="auto"/>
        <w:right w:val="none" w:sz="0" w:space="0" w:color="auto"/>
      </w:divBdr>
    </w:div>
    <w:div w:id="1735809897">
      <w:bodyDiv w:val="1"/>
      <w:marLeft w:val="0"/>
      <w:marRight w:val="0"/>
      <w:marTop w:val="0"/>
      <w:marBottom w:val="0"/>
      <w:divBdr>
        <w:top w:val="none" w:sz="0" w:space="0" w:color="auto"/>
        <w:left w:val="none" w:sz="0" w:space="0" w:color="auto"/>
        <w:bottom w:val="none" w:sz="0" w:space="0" w:color="auto"/>
        <w:right w:val="none" w:sz="0" w:space="0" w:color="auto"/>
      </w:divBdr>
    </w:div>
    <w:div w:id="1846706119">
      <w:bodyDiv w:val="1"/>
      <w:marLeft w:val="0"/>
      <w:marRight w:val="0"/>
      <w:marTop w:val="0"/>
      <w:marBottom w:val="0"/>
      <w:divBdr>
        <w:top w:val="none" w:sz="0" w:space="0" w:color="auto"/>
        <w:left w:val="none" w:sz="0" w:space="0" w:color="auto"/>
        <w:bottom w:val="none" w:sz="0" w:space="0" w:color="auto"/>
        <w:right w:val="none" w:sz="0" w:space="0" w:color="auto"/>
      </w:divBdr>
    </w:div>
    <w:div w:id="1905336031">
      <w:bodyDiv w:val="1"/>
      <w:marLeft w:val="0"/>
      <w:marRight w:val="0"/>
      <w:marTop w:val="0"/>
      <w:marBottom w:val="0"/>
      <w:divBdr>
        <w:top w:val="none" w:sz="0" w:space="0" w:color="auto"/>
        <w:left w:val="none" w:sz="0" w:space="0" w:color="auto"/>
        <w:bottom w:val="none" w:sz="0" w:space="0" w:color="auto"/>
        <w:right w:val="none" w:sz="0" w:space="0" w:color="auto"/>
      </w:divBdr>
    </w:div>
    <w:div w:id="2036956285">
      <w:bodyDiv w:val="1"/>
      <w:marLeft w:val="0"/>
      <w:marRight w:val="0"/>
      <w:marTop w:val="0"/>
      <w:marBottom w:val="0"/>
      <w:divBdr>
        <w:top w:val="none" w:sz="0" w:space="0" w:color="auto"/>
        <w:left w:val="none" w:sz="0" w:space="0" w:color="auto"/>
        <w:bottom w:val="none" w:sz="0" w:space="0" w:color="auto"/>
        <w:right w:val="none" w:sz="0" w:space="0" w:color="auto"/>
      </w:divBdr>
    </w:div>
    <w:div w:id="2076929323">
      <w:bodyDiv w:val="1"/>
      <w:marLeft w:val="0"/>
      <w:marRight w:val="0"/>
      <w:marTop w:val="0"/>
      <w:marBottom w:val="0"/>
      <w:divBdr>
        <w:top w:val="none" w:sz="0" w:space="0" w:color="auto"/>
        <w:left w:val="none" w:sz="0" w:space="0" w:color="auto"/>
        <w:bottom w:val="none" w:sz="0" w:space="0" w:color="auto"/>
        <w:right w:val="none" w:sz="0" w:space="0" w:color="auto"/>
      </w:divBdr>
    </w:div>
    <w:div w:id="21376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48</TotalTime>
  <Pages>7</Pages>
  <Words>1833</Words>
  <Characters>12107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2020104012, MT</dc:description>
  <cp:lastModifiedBy>Gitte Jørgensen</cp:lastModifiedBy>
  <cp:revision>11</cp:revision>
  <cp:lastPrinted>2012-08-22T08:53:00Z</cp:lastPrinted>
  <dcterms:created xsi:type="dcterms:W3CDTF">2022-08-04T05:44:00Z</dcterms:created>
  <dcterms:modified xsi:type="dcterms:W3CDTF">2022-08-04T07:04:00Z</dcterms:modified>
</cp:coreProperties>
</file>