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2D960D" w14:textId="77777777" w:rsidR="009260DE" w:rsidRPr="008F49E1" w:rsidRDefault="0021526C" w:rsidP="009260DE">
      <w:pPr>
        <w:rPr>
          <w:sz w:val="24"/>
          <w:szCs w:val="24"/>
        </w:rPr>
      </w:pPr>
      <w:r w:rsidRPr="009260DE">
        <w:rPr>
          <w:noProof/>
          <w:sz w:val="24"/>
          <w:szCs w:val="24"/>
          <w:lang w:eastAsia="da-DK"/>
        </w:rPr>
        <w:drawing>
          <wp:anchor distT="0" distB="0" distL="114300" distR="114300" simplePos="0" relativeHeight="251658240" behindDoc="0" locked="0" layoutInCell="1" allowOverlap="1" wp14:anchorId="169023DF" wp14:editId="32BCF09D">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Pr>
          <w:sz w:val="24"/>
          <w:szCs w:val="24"/>
        </w:rPr>
        <w:br w:type="textWrapping" w:clear="all"/>
      </w:r>
    </w:p>
    <w:p w14:paraId="49E227B8" w14:textId="77777777" w:rsidR="009260DE" w:rsidRPr="00C84483" w:rsidRDefault="009260DE" w:rsidP="009260DE">
      <w:pPr>
        <w:pStyle w:val="Titel"/>
        <w:tabs>
          <w:tab w:val="right" w:pos="9356"/>
        </w:tabs>
        <w:jc w:val="left"/>
        <w:rPr>
          <w:b w:val="0"/>
          <w:szCs w:val="24"/>
          <w:lang w:eastAsia="en-US"/>
        </w:rPr>
      </w:pPr>
    </w:p>
    <w:p w14:paraId="041AA420" w14:textId="192F5D31" w:rsidR="009260DE" w:rsidRPr="00C84483" w:rsidRDefault="009260DE" w:rsidP="009260DE">
      <w:pPr>
        <w:pStyle w:val="Titel"/>
        <w:tabs>
          <w:tab w:val="right" w:pos="9356"/>
        </w:tabs>
        <w:jc w:val="left"/>
        <w:rPr>
          <w:b w:val="0"/>
          <w:szCs w:val="24"/>
          <w:lang w:eastAsia="en-US"/>
        </w:rPr>
      </w:pPr>
      <w:r w:rsidRPr="00C84483">
        <w:rPr>
          <w:b w:val="0"/>
          <w:szCs w:val="24"/>
          <w:lang w:eastAsia="en-US"/>
        </w:rPr>
        <w:tab/>
      </w:r>
      <w:r w:rsidR="005D3095">
        <w:rPr>
          <w:szCs w:val="24"/>
        </w:rPr>
        <w:t>24. april 2025</w:t>
      </w:r>
    </w:p>
    <w:p w14:paraId="0D1710C8" w14:textId="77777777" w:rsidR="009260DE" w:rsidRPr="00C84483" w:rsidRDefault="009260DE" w:rsidP="009260DE">
      <w:pPr>
        <w:pStyle w:val="Titel"/>
        <w:tabs>
          <w:tab w:val="left" w:pos="8222"/>
        </w:tabs>
        <w:jc w:val="left"/>
        <w:rPr>
          <w:b w:val="0"/>
          <w:szCs w:val="24"/>
        </w:rPr>
      </w:pPr>
    </w:p>
    <w:p w14:paraId="48EB8220" w14:textId="77777777" w:rsidR="009260DE" w:rsidRPr="00C84483" w:rsidRDefault="009260DE" w:rsidP="009260DE">
      <w:pPr>
        <w:pStyle w:val="Titel"/>
        <w:jc w:val="left"/>
        <w:rPr>
          <w:b w:val="0"/>
          <w:szCs w:val="24"/>
        </w:rPr>
      </w:pPr>
    </w:p>
    <w:p w14:paraId="0DEBEBAE" w14:textId="77777777" w:rsidR="009260DE" w:rsidRPr="00C84483" w:rsidRDefault="009260DE" w:rsidP="009260DE">
      <w:pPr>
        <w:pStyle w:val="Titel"/>
        <w:jc w:val="left"/>
        <w:rPr>
          <w:b w:val="0"/>
          <w:szCs w:val="24"/>
        </w:rPr>
      </w:pPr>
    </w:p>
    <w:p w14:paraId="2EBD34D3" w14:textId="77777777" w:rsidR="009260DE" w:rsidRPr="00C84483" w:rsidRDefault="009260DE" w:rsidP="009260DE">
      <w:pPr>
        <w:jc w:val="center"/>
        <w:rPr>
          <w:b/>
          <w:sz w:val="24"/>
          <w:szCs w:val="24"/>
        </w:rPr>
      </w:pPr>
      <w:r w:rsidRPr="00C84483">
        <w:rPr>
          <w:b/>
          <w:sz w:val="24"/>
          <w:szCs w:val="24"/>
        </w:rPr>
        <w:t>PRODUKTRESUMÉ</w:t>
      </w:r>
    </w:p>
    <w:p w14:paraId="2BA0487D" w14:textId="77777777" w:rsidR="009260DE" w:rsidRPr="00C84483" w:rsidRDefault="009260DE" w:rsidP="009260DE">
      <w:pPr>
        <w:jc w:val="center"/>
        <w:rPr>
          <w:b/>
          <w:sz w:val="24"/>
          <w:szCs w:val="24"/>
        </w:rPr>
      </w:pPr>
    </w:p>
    <w:p w14:paraId="3F09A1FA" w14:textId="77777777" w:rsidR="009260DE" w:rsidRDefault="009260DE" w:rsidP="009260DE">
      <w:pPr>
        <w:jc w:val="center"/>
        <w:rPr>
          <w:b/>
          <w:sz w:val="24"/>
          <w:szCs w:val="24"/>
        </w:rPr>
      </w:pPr>
      <w:r w:rsidRPr="00C84483">
        <w:rPr>
          <w:b/>
          <w:sz w:val="24"/>
          <w:szCs w:val="24"/>
        </w:rPr>
        <w:t>for</w:t>
      </w:r>
    </w:p>
    <w:p w14:paraId="6F97C0FE" w14:textId="77777777" w:rsidR="000B058C" w:rsidRPr="00C84483" w:rsidRDefault="000B058C" w:rsidP="009260DE">
      <w:pPr>
        <w:jc w:val="center"/>
        <w:rPr>
          <w:b/>
          <w:sz w:val="24"/>
          <w:szCs w:val="24"/>
        </w:rPr>
      </w:pPr>
    </w:p>
    <w:p w14:paraId="2BD3D3ED" w14:textId="77777777" w:rsidR="009260DE" w:rsidRPr="005D3095" w:rsidRDefault="002E29E0" w:rsidP="009260DE">
      <w:pPr>
        <w:jc w:val="center"/>
        <w:rPr>
          <w:b/>
          <w:sz w:val="24"/>
          <w:szCs w:val="24"/>
        </w:rPr>
      </w:pPr>
      <w:bookmarkStart w:id="0" w:name="_Hlk196232200"/>
      <w:r w:rsidRPr="005D3095">
        <w:rPr>
          <w:b/>
          <w:sz w:val="24"/>
          <w:szCs w:val="24"/>
        </w:rPr>
        <w:t>Buprenorphine "G.L. Pharma"</w:t>
      </w:r>
      <w:bookmarkEnd w:id="0"/>
      <w:r w:rsidRPr="005D3095">
        <w:rPr>
          <w:b/>
          <w:sz w:val="24"/>
          <w:szCs w:val="24"/>
        </w:rPr>
        <w:t>, sublinguale resoribletter</w:t>
      </w:r>
    </w:p>
    <w:p w14:paraId="7875E41D" w14:textId="77777777" w:rsidR="009260DE" w:rsidRPr="005D3095" w:rsidRDefault="009260DE" w:rsidP="009260DE">
      <w:pPr>
        <w:jc w:val="both"/>
        <w:rPr>
          <w:sz w:val="24"/>
          <w:szCs w:val="24"/>
        </w:rPr>
      </w:pPr>
    </w:p>
    <w:p w14:paraId="5DBD3581" w14:textId="77777777" w:rsidR="009260DE" w:rsidRPr="005D3095" w:rsidRDefault="009260DE" w:rsidP="009260DE">
      <w:pPr>
        <w:jc w:val="both"/>
        <w:rPr>
          <w:sz w:val="24"/>
          <w:szCs w:val="24"/>
        </w:rPr>
      </w:pPr>
    </w:p>
    <w:p w14:paraId="3EBA7134" w14:textId="77777777" w:rsidR="009260DE" w:rsidRPr="00C84483" w:rsidRDefault="009260DE" w:rsidP="009260DE">
      <w:pPr>
        <w:tabs>
          <w:tab w:val="left" w:pos="851"/>
        </w:tabs>
        <w:ind w:left="851" w:hanging="851"/>
        <w:rPr>
          <w:b/>
          <w:sz w:val="24"/>
          <w:szCs w:val="24"/>
        </w:rPr>
      </w:pPr>
      <w:r w:rsidRPr="00C84483">
        <w:rPr>
          <w:b/>
          <w:sz w:val="24"/>
          <w:szCs w:val="24"/>
        </w:rPr>
        <w:t>0.</w:t>
      </w:r>
      <w:r w:rsidRPr="00C84483">
        <w:rPr>
          <w:b/>
          <w:sz w:val="24"/>
          <w:szCs w:val="24"/>
        </w:rPr>
        <w:tab/>
        <w:t>D.SP.NR.</w:t>
      </w:r>
    </w:p>
    <w:p w14:paraId="11959B7B" w14:textId="05ED5925" w:rsidR="009260DE" w:rsidRPr="00C84483" w:rsidRDefault="00EB54DF" w:rsidP="009260DE">
      <w:pPr>
        <w:tabs>
          <w:tab w:val="left" w:pos="851"/>
        </w:tabs>
        <w:ind w:left="851"/>
        <w:rPr>
          <w:sz w:val="24"/>
          <w:szCs w:val="24"/>
        </w:rPr>
      </w:pPr>
      <w:r>
        <w:rPr>
          <w:sz w:val="24"/>
          <w:szCs w:val="24"/>
        </w:rPr>
        <w:t>33612</w:t>
      </w:r>
    </w:p>
    <w:p w14:paraId="337A6B04" w14:textId="77777777" w:rsidR="009260DE" w:rsidRPr="00C84483" w:rsidRDefault="009260DE" w:rsidP="009260DE">
      <w:pPr>
        <w:tabs>
          <w:tab w:val="left" w:pos="851"/>
        </w:tabs>
        <w:ind w:left="851"/>
        <w:rPr>
          <w:sz w:val="24"/>
          <w:szCs w:val="24"/>
        </w:rPr>
      </w:pPr>
    </w:p>
    <w:p w14:paraId="7A684E2B" w14:textId="77777777" w:rsidR="009260DE" w:rsidRPr="00C84483" w:rsidRDefault="009260DE" w:rsidP="009260DE">
      <w:pPr>
        <w:tabs>
          <w:tab w:val="left" w:pos="851"/>
        </w:tabs>
        <w:ind w:left="851" w:hanging="851"/>
        <w:rPr>
          <w:b/>
          <w:sz w:val="24"/>
          <w:szCs w:val="24"/>
        </w:rPr>
      </w:pPr>
      <w:r w:rsidRPr="00C84483">
        <w:rPr>
          <w:b/>
          <w:sz w:val="24"/>
          <w:szCs w:val="24"/>
        </w:rPr>
        <w:t>1.</w:t>
      </w:r>
      <w:r w:rsidRPr="00C84483">
        <w:rPr>
          <w:b/>
          <w:sz w:val="24"/>
          <w:szCs w:val="24"/>
        </w:rPr>
        <w:tab/>
        <w:t>LÆGEMIDLETS NAVN</w:t>
      </w:r>
    </w:p>
    <w:p w14:paraId="0E8BC009" w14:textId="1D29F100" w:rsidR="009260DE" w:rsidRPr="00EB54DF" w:rsidRDefault="00EB54DF" w:rsidP="009260DE">
      <w:pPr>
        <w:tabs>
          <w:tab w:val="left" w:pos="851"/>
        </w:tabs>
        <w:ind w:left="851"/>
        <w:rPr>
          <w:sz w:val="24"/>
          <w:szCs w:val="24"/>
        </w:rPr>
      </w:pPr>
      <w:r w:rsidRPr="00EB54DF">
        <w:rPr>
          <w:sz w:val="24"/>
          <w:szCs w:val="24"/>
        </w:rPr>
        <w:t>Buprenorphine "G.L. Pharma"</w:t>
      </w:r>
    </w:p>
    <w:p w14:paraId="2252C8DA" w14:textId="77777777" w:rsidR="009260DE" w:rsidRPr="00C84483" w:rsidRDefault="009260DE" w:rsidP="009260DE">
      <w:pPr>
        <w:tabs>
          <w:tab w:val="left" w:pos="851"/>
        </w:tabs>
        <w:ind w:left="851"/>
        <w:rPr>
          <w:sz w:val="24"/>
          <w:szCs w:val="24"/>
        </w:rPr>
      </w:pPr>
    </w:p>
    <w:p w14:paraId="5CF013C8" w14:textId="77777777" w:rsidR="009260DE" w:rsidRPr="00C84483" w:rsidRDefault="009260DE" w:rsidP="009260DE">
      <w:pPr>
        <w:tabs>
          <w:tab w:val="left" w:pos="851"/>
        </w:tabs>
        <w:ind w:left="851" w:hanging="851"/>
        <w:rPr>
          <w:b/>
          <w:sz w:val="24"/>
          <w:szCs w:val="24"/>
        </w:rPr>
      </w:pPr>
      <w:r w:rsidRPr="00C84483">
        <w:rPr>
          <w:b/>
          <w:sz w:val="24"/>
          <w:szCs w:val="24"/>
        </w:rPr>
        <w:t>2.</w:t>
      </w:r>
      <w:r w:rsidRPr="00C84483">
        <w:rPr>
          <w:b/>
          <w:sz w:val="24"/>
          <w:szCs w:val="24"/>
        </w:rPr>
        <w:tab/>
        <w:t>KVALITATIV OG KVANTITATIV SAMMENSÆTNING</w:t>
      </w:r>
    </w:p>
    <w:p w14:paraId="4384CB29" w14:textId="77777777" w:rsidR="00EB54DF" w:rsidRDefault="00EB54DF" w:rsidP="00EB54DF">
      <w:pPr>
        <w:tabs>
          <w:tab w:val="left" w:pos="851"/>
        </w:tabs>
        <w:ind w:left="851"/>
        <w:rPr>
          <w:sz w:val="24"/>
          <w:szCs w:val="24"/>
        </w:rPr>
      </w:pPr>
    </w:p>
    <w:p w14:paraId="4D49ED14" w14:textId="44619993" w:rsidR="00EB54DF" w:rsidRPr="00EB54DF" w:rsidRDefault="00EB54DF" w:rsidP="00EB54DF">
      <w:pPr>
        <w:tabs>
          <w:tab w:val="left" w:pos="851"/>
        </w:tabs>
        <w:ind w:left="851"/>
        <w:rPr>
          <w:sz w:val="24"/>
          <w:szCs w:val="24"/>
          <w:u w:val="single"/>
        </w:rPr>
      </w:pPr>
      <w:r w:rsidRPr="00EB54DF">
        <w:rPr>
          <w:sz w:val="24"/>
          <w:szCs w:val="24"/>
          <w:u w:val="single"/>
        </w:rPr>
        <w:t>Buprenorphine "G.L. Pharma" 0,2 mg</w:t>
      </w:r>
    </w:p>
    <w:p w14:paraId="2818FEB2" w14:textId="77777777" w:rsidR="00EB54DF" w:rsidRPr="00EB54DF" w:rsidRDefault="00EB54DF" w:rsidP="00EB54DF">
      <w:pPr>
        <w:tabs>
          <w:tab w:val="left" w:pos="851"/>
        </w:tabs>
        <w:ind w:left="851"/>
        <w:rPr>
          <w:sz w:val="24"/>
          <w:szCs w:val="24"/>
        </w:rPr>
      </w:pPr>
      <w:r w:rsidRPr="00EB54DF">
        <w:rPr>
          <w:sz w:val="24"/>
          <w:szCs w:val="24"/>
        </w:rPr>
        <w:t>Hver sublingual resoriblet indeholder 0,2 mg buprenorphin (som 0,216 mg buprenorphinhydrochloride).</w:t>
      </w:r>
    </w:p>
    <w:p w14:paraId="61EFB1C0" w14:textId="77777777" w:rsidR="00EB54DF" w:rsidRPr="00EB54DF" w:rsidRDefault="00EB54DF" w:rsidP="00EB54DF">
      <w:pPr>
        <w:tabs>
          <w:tab w:val="left" w:pos="851"/>
        </w:tabs>
        <w:ind w:left="851"/>
        <w:rPr>
          <w:sz w:val="24"/>
          <w:szCs w:val="24"/>
        </w:rPr>
      </w:pPr>
    </w:p>
    <w:p w14:paraId="438310B4" w14:textId="091461D4" w:rsidR="00EB54DF" w:rsidRPr="00EB54DF" w:rsidRDefault="00EB54DF" w:rsidP="00EB54DF">
      <w:pPr>
        <w:tabs>
          <w:tab w:val="left" w:pos="851"/>
        </w:tabs>
        <w:ind w:left="851"/>
        <w:rPr>
          <w:sz w:val="24"/>
          <w:szCs w:val="24"/>
          <w:u w:val="single"/>
        </w:rPr>
      </w:pPr>
      <w:r w:rsidRPr="00EB54DF">
        <w:rPr>
          <w:sz w:val="24"/>
          <w:szCs w:val="24"/>
          <w:u w:val="single"/>
        </w:rPr>
        <w:t>Buprenorphine "G.L. Pharma" 0,4 mg</w:t>
      </w:r>
    </w:p>
    <w:p w14:paraId="1624B032" w14:textId="77777777" w:rsidR="00EB54DF" w:rsidRPr="00EB54DF" w:rsidRDefault="00EB54DF" w:rsidP="00EB54DF">
      <w:pPr>
        <w:tabs>
          <w:tab w:val="left" w:pos="851"/>
        </w:tabs>
        <w:ind w:left="851"/>
        <w:rPr>
          <w:sz w:val="24"/>
          <w:szCs w:val="24"/>
        </w:rPr>
      </w:pPr>
      <w:r w:rsidRPr="00EB54DF">
        <w:rPr>
          <w:sz w:val="24"/>
          <w:szCs w:val="24"/>
        </w:rPr>
        <w:t>Hver sublingual resoriblet indeholder 0,4 mg buprenorphin (som 0,432 mg buprenorphinhydrochloride).</w:t>
      </w:r>
    </w:p>
    <w:p w14:paraId="188829BC" w14:textId="77777777" w:rsidR="00EB54DF" w:rsidRPr="00EB54DF" w:rsidRDefault="00EB54DF" w:rsidP="00EB54DF">
      <w:pPr>
        <w:tabs>
          <w:tab w:val="left" w:pos="851"/>
        </w:tabs>
        <w:ind w:left="851"/>
        <w:rPr>
          <w:sz w:val="24"/>
          <w:szCs w:val="24"/>
        </w:rPr>
      </w:pPr>
    </w:p>
    <w:p w14:paraId="3AB5D449" w14:textId="0FD25A35" w:rsidR="00EB54DF" w:rsidRPr="00EB54DF" w:rsidRDefault="00EB54DF" w:rsidP="00EB54DF">
      <w:pPr>
        <w:tabs>
          <w:tab w:val="left" w:pos="851"/>
        </w:tabs>
        <w:ind w:left="851"/>
        <w:rPr>
          <w:i/>
          <w:sz w:val="24"/>
          <w:szCs w:val="24"/>
        </w:rPr>
      </w:pPr>
      <w:r w:rsidRPr="00EB54DF">
        <w:rPr>
          <w:i/>
          <w:sz w:val="24"/>
          <w:szCs w:val="24"/>
        </w:rPr>
        <w:t>Hjælpestof, som behandleren skal være opmærksom på</w:t>
      </w:r>
    </w:p>
    <w:p w14:paraId="62F6BA72" w14:textId="77777777" w:rsidR="00EB54DF" w:rsidRDefault="00EB54DF" w:rsidP="00EB54DF">
      <w:pPr>
        <w:tabs>
          <w:tab w:val="left" w:pos="851"/>
        </w:tabs>
        <w:ind w:left="851"/>
        <w:rPr>
          <w:sz w:val="24"/>
          <w:szCs w:val="24"/>
        </w:rPr>
      </w:pPr>
    </w:p>
    <w:p w14:paraId="6C9DB6D4" w14:textId="2519767B" w:rsidR="00EB54DF" w:rsidRDefault="00EB54DF" w:rsidP="00EB54DF">
      <w:pPr>
        <w:tabs>
          <w:tab w:val="left" w:pos="851"/>
        </w:tabs>
        <w:ind w:left="851"/>
        <w:rPr>
          <w:sz w:val="24"/>
          <w:szCs w:val="24"/>
        </w:rPr>
      </w:pPr>
      <w:r w:rsidRPr="00EB54DF">
        <w:rPr>
          <w:sz w:val="24"/>
          <w:szCs w:val="24"/>
        </w:rPr>
        <w:t>Buprenorphine "G.L. Pharma" 0,2 mg: Hver sublingual resoriblet indeholder 29,844 mg lactosemonohydrat.</w:t>
      </w:r>
    </w:p>
    <w:p w14:paraId="431C05DB" w14:textId="77777777" w:rsidR="00EB54DF" w:rsidRPr="00EB54DF" w:rsidRDefault="00EB54DF" w:rsidP="00EB54DF">
      <w:pPr>
        <w:tabs>
          <w:tab w:val="left" w:pos="851"/>
        </w:tabs>
        <w:ind w:left="851"/>
        <w:rPr>
          <w:sz w:val="24"/>
          <w:szCs w:val="24"/>
        </w:rPr>
      </w:pPr>
    </w:p>
    <w:p w14:paraId="797BD9B3" w14:textId="5CE310F1" w:rsidR="00EB54DF" w:rsidRPr="00EB54DF" w:rsidRDefault="00EB54DF" w:rsidP="00EB54DF">
      <w:pPr>
        <w:tabs>
          <w:tab w:val="left" w:pos="851"/>
        </w:tabs>
        <w:ind w:left="851"/>
        <w:rPr>
          <w:sz w:val="24"/>
          <w:szCs w:val="24"/>
        </w:rPr>
      </w:pPr>
      <w:r w:rsidRPr="00EB54DF">
        <w:rPr>
          <w:sz w:val="24"/>
          <w:szCs w:val="24"/>
        </w:rPr>
        <w:t xml:space="preserve">Buprenorphine "G.L. Pharma" 0,4 mg: Hver sublingual resoriblet indeholder 29,628 mg lactosemonohydrat. </w:t>
      </w:r>
    </w:p>
    <w:p w14:paraId="1F5B9D71" w14:textId="77777777" w:rsidR="00EB54DF" w:rsidRPr="00EB54DF" w:rsidRDefault="00EB54DF" w:rsidP="00EB54DF">
      <w:pPr>
        <w:tabs>
          <w:tab w:val="left" w:pos="851"/>
        </w:tabs>
        <w:ind w:left="851"/>
        <w:rPr>
          <w:sz w:val="24"/>
          <w:szCs w:val="24"/>
        </w:rPr>
      </w:pPr>
    </w:p>
    <w:p w14:paraId="18B3C3CE" w14:textId="77777777" w:rsidR="00EB54DF" w:rsidRPr="00EB54DF" w:rsidRDefault="00EB54DF" w:rsidP="00EB54DF">
      <w:pPr>
        <w:tabs>
          <w:tab w:val="left" w:pos="851"/>
        </w:tabs>
        <w:ind w:left="851"/>
        <w:rPr>
          <w:sz w:val="24"/>
          <w:szCs w:val="24"/>
        </w:rPr>
      </w:pPr>
      <w:r w:rsidRPr="00EB54DF">
        <w:rPr>
          <w:sz w:val="24"/>
          <w:szCs w:val="24"/>
        </w:rPr>
        <w:t>Alle hjælpestoffer er anført under pkt. 6.1.</w:t>
      </w:r>
    </w:p>
    <w:p w14:paraId="436B81D0" w14:textId="77777777" w:rsidR="00EB54DF" w:rsidRPr="00EB54DF" w:rsidRDefault="00EB54DF" w:rsidP="00EB54DF">
      <w:pPr>
        <w:tabs>
          <w:tab w:val="left" w:pos="851"/>
        </w:tabs>
        <w:ind w:left="851"/>
        <w:rPr>
          <w:sz w:val="24"/>
          <w:szCs w:val="24"/>
        </w:rPr>
      </w:pPr>
    </w:p>
    <w:p w14:paraId="7D029071" w14:textId="77777777" w:rsidR="009260DE" w:rsidRPr="00C84483" w:rsidRDefault="009260DE" w:rsidP="009260DE">
      <w:pPr>
        <w:tabs>
          <w:tab w:val="left" w:pos="851"/>
        </w:tabs>
        <w:ind w:left="851" w:hanging="851"/>
        <w:rPr>
          <w:b/>
          <w:sz w:val="24"/>
          <w:szCs w:val="24"/>
        </w:rPr>
      </w:pPr>
      <w:r w:rsidRPr="00C84483">
        <w:rPr>
          <w:b/>
          <w:sz w:val="24"/>
          <w:szCs w:val="24"/>
        </w:rPr>
        <w:t>3.</w:t>
      </w:r>
      <w:r w:rsidRPr="00C84483">
        <w:rPr>
          <w:b/>
          <w:sz w:val="24"/>
          <w:szCs w:val="24"/>
        </w:rPr>
        <w:tab/>
        <w:t>LÆGEMIDDELFORM</w:t>
      </w:r>
    </w:p>
    <w:p w14:paraId="121121EE" w14:textId="4D428F66" w:rsidR="00EB54DF" w:rsidRPr="00EB54DF" w:rsidRDefault="00EB54DF" w:rsidP="00EB54DF">
      <w:pPr>
        <w:tabs>
          <w:tab w:val="left" w:pos="851"/>
        </w:tabs>
        <w:ind w:left="851"/>
        <w:rPr>
          <w:sz w:val="24"/>
          <w:szCs w:val="24"/>
        </w:rPr>
      </w:pPr>
      <w:r w:rsidRPr="00EB54DF">
        <w:rPr>
          <w:sz w:val="24"/>
          <w:szCs w:val="24"/>
        </w:rPr>
        <w:t>Sublingua</w:t>
      </w:r>
      <w:r>
        <w:rPr>
          <w:sz w:val="24"/>
          <w:szCs w:val="24"/>
        </w:rPr>
        <w:t>e</w:t>
      </w:r>
      <w:r w:rsidRPr="00EB54DF">
        <w:rPr>
          <w:sz w:val="24"/>
          <w:szCs w:val="24"/>
        </w:rPr>
        <w:t>l resoriblet</w:t>
      </w:r>
      <w:r>
        <w:rPr>
          <w:sz w:val="24"/>
          <w:szCs w:val="24"/>
        </w:rPr>
        <w:t>ter</w:t>
      </w:r>
    </w:p>
    <w:p w14:paraId="364F6CFF" w14:textId="77777777" w:rsidR="00EB54DF" w:rsidRPr="00EB54DF" w:rsidRDefault="00EB54DF" w:rsidP="00EB54DF">
      <w:pPr>
        <w:tabs>
          <w:tab w:val="left" w:pos="851"/>
        </w:tabs>
        <w:ind w:left="851"/>
        <w:rPr>
          <w:sz w:val="24"/>
          <w:szCs w:val="24"/>
        </w:rPr>
      </w:pPr>
    </w:p>
    <w:p w14:paraId="20153BB2" w14:textId="77777777" w:rsidR="00EB54DF" w:rsidRPr="00EB54DF" w:rsidRDefault="00EB54DF" w:rsidP="00EB54DF">
      <w:pPr>
        <w:tabs>
          <w:tab w:val="left" w:pos="851"/>
        </w:tabs>
        <w:ind w:left="851"/>
        <w:rPr>
          <w:sz w:val="24"/>
          <w:szCs w:val="24"/>
        </w:rPr>
      </w:pPr>
      <w:bookmarkStart w:id="1" w:name="_Hlk188615885"/>
      <w:r w:rsidRPr="00EB54DF">
        <w:rPr>
          <w:sz w:val="24"/>
          <w:szCs w:val="24"/>
        </w:rPr>
        <w:t xml:space="preserve">Buprenorphine "G.L. Pharma" </w:t>
      </w:r>
      <w:bookmarkEnd w:id="1"/>
      <w:r w:rsidRPr="00EB54DF">
        <w:rPr>
          <w:sz w:val="24"/>
          <w:szCs w:val="24"/>
        </w:rPr>
        <w:t xml:space="preserve">0,2 mg sublinguale resoribletter er hvide til råhvide, runde, bikonvekse tabletter, præget med ”I” på den ene side og med en diameter på ca. 5 mm. </w:t>
      </w:r>
    </w:p>
    <w:p w14:paraId="699FD2F5" w14:textId="77777777" w:rsidR="00EB54DF" w:rsidRPr="00EB54DF" w:rsidRDefault="00EB54DF" w:rsidP="00EB54DF">
      <w:pPr>
        <w:tabs>
          <w:tab w:val="left" w:pos="851"/>
        </w:tabs>
        <w:ind w:left="851"/>
        <w:rPr>
          <w:sz w:val="24"/>
          <w:szCs w:val="24"/>
        </w:rPr>
      </w:pPr>
    </w:p>
    <w:p w14:paraId="336D0328" w14:textId="77777777" w:rsidR="00EB54DF" w:rsidRPr="00EB54DF" w:rsidRDefault="00EB54DF" w:rsidP="00EB54DF">
      <w:pPr>
        <w:tabs>
          <w:tab w:val="left" w:pos="851"/>
        </w:tabs>
        <w:ind w:left="851"/>
        <w:rPr>
          <w:sz w:val="24"/>
          <w:szCs w:val="24"/>
        </w:rPr>
      </w:pPr>
      <w:r w:rsidRPr="00EB54DF">
        <w:rPr>
          <w:sz w:val="24"/>
          <w:szCs w:val="24"/>
        </w:rPr>
        <w:t xml:space="preserve">Buprenorphine "G.L. Pharma" 0,4 mg sublinguale resoribletter er hvide til råhvide, runde, bikonvekse tabletter, plane på begge sider og med en diameter på ca. 5 mm. </w:t>
      </w:r>
    </w:p>
    <w:p w14:paraId="60FFFB27" w14:textId="77777777" w:rsidR="009260DE" w:rsidRPr="00C84483" w:rsidRDefault="009260DE" w:rsidP="009260DE">
      <w:pPr>
        <w:tabs>
          <w:tab w:val="left" w:pos="851"/>
        </w:tabs>
        <w:ind w:left="851"/>
        <w:rPr>
          <w:sz w:val="24"/>
          <w:szCs w:val="24"/>
        </w:rPr>
      </w:pPr>
    </w:p>
    <w:p w14:paraId="5752F337" w14:textId="77777777" w:rsidR="009260DE" w:rsidRPr="00C84483" w:rsidRDefault="009260DE" w:rsidP="009260DE">
      <w:pPr>
        <w:tabs>
          <w:tab w:val="left" w:pos="851"/>
        </w:tabs>
        <w:ind w:left="851"/>
        <w:rPr>
          <w:sz w:val="24"/>
          <w:szCs w:val="24"/>
        </w:rPr>
      </w:pPr>
    </w:p>
    <w:p w14:paraId="24495BF9" w14:textId="77777777" w:rsidR="009260DE" w:rsidRPr="00C84483" w:rsidRDefault="009260DE" w:rsidP="009260DE">
      <w:pPr>
        <w:tabs>
          <w:tab w:val="left" w:pos="851"/>
        </w:tabs>
        <w:ind w:left="851" w:hanging="851"/>
        <w:rPr>
          <w:b/>
          <w:sz w:val="24"/>
          <w:szCs w:val="24"/>
        </w:rPr>
      </w:pPr>
      <w:r w:rsidRPr="00C84483">
        <w:rPr>
          <w:b/>
          <w:sz w:val="24"/>
          <w:szCs w:val="24"/>
        </w:rPr>
        <w:t>4.</w:t>
      </w:r>
      <w:r w:rsidRPr="00C84483">
        <w:rPr>
          <w:b/>
          <w:sz w:val="24"/>
          <w:szCs w:val="24"/>
        </w:rPr>
        <w:tab/>
        <w:t>KLINISKE OPLYSNINGER</w:t>
      </w:r>
    </w:p>
    <w:p w14:paraId="2D5A34E0" w14:textId="77777777" w:rsidR="009260DE" w:rsidRPr="00C84483" w:rsidRDefault="009260DE" w:rsidP="009260DE">
      <w:pPr>
        <w:tabs>
          <w:tab w:val="left" w:pos="851"/>
        </w:tabs>
        <w:ind w:left="851"/>
        <w:rPr>
          <w:b/>
          <w:sz w:val="24"/>
          <w:szCs w:val="24"/>
        </w:rPr>
      </w:pPr>
    </w:p>
    <w:p w14:paraId="78AB51E9" w14:textId="77777777" w:rsidR="009260DE" w:rsidRPr="00C84483" w:rsidRDefault="009260DE" w:rsidP="009260DE">
      <w:pPr>
        <w:tabs>
          <w:tab w:val="left" w:pos="851"/>
        </w:tabs>
        <w:ind w:left="851" w:hanging="851"/>
        <w:rPr>
          <w:b/>
          <w:sz w:val="24"/>
          <w:szCs w:val="24"/>
          <w:u w:val="single"/>
        </w:rPr>
      </w:pPr>
      <w:r w:rsidRPr="00C84483">
        <w:rPr>
          <w:b/>
          <w:sz w:val="24"/>
          <w:szCs w:val="24"/>
        </w:rPr>
        <w:t>4.1</w:t>
      </w:r>
      <w:r w:rsidRPr="00C84483">
        <w:rPr>
          <w:b/>
          <w:sz w:val="24"/>
          <w:szCs w:val="24"/>
        </w:rPr>
        <w:tab/>
        <w:t>Terapeutiske indikationer</w:t>
      </w:r>
    </w:p>
    <w:p w14:paraId="6A55372C" w14:textId="77777777" w:rsidR="00B56C47" w:rsidRPr="00B56C47" w:rsidRDefault="00B56C47" w:rsidP="00B56C47">
      <w:pPr>
        <w:tabs>
          <w:tab w:val="left" w:pos="851"/>
        </w:tabs>
        <w:ind w:left="851"/>
        <w:rPr>
          <w:sz w:val="24"/>
          <w:szCs w:val="24"/>
        </w:rPr>
      </w:pPr>
      <w:r w:rsidRPr="00B56C47">
        <w:rPr>
          <w:sz w:val="24"/>
          <w:szCs w:val="24"/>
        </w:rPr>
        <w:t xml:space="preserve">Buprenorphine "G.L. Pharma" anvendes til behandling af svære postoperative smerter hos voksne. </w:t>
      </w:r>
    </w:p>
    <w:p w14:paraId="3CC13E46" w14:textId="77777777" w:rsidR="009260DE" w:rsidRPr="00C84483" w:rsidRDefault="009260DE" w:rsidP="009260DE">
      <w:pPr>
        <w:tabs>
          <w:tab w:val="left" w:pos="851"/>
        </w:tabs>
        <w:ind w:left="851"/>
        <w:rPr>
          <w:sz w:val="24"/>
          <w:szCs w:val="24"/>
        </w:rPr>
      </w:pPr>
    </w:p>
    <w:p w14:paraId="5C7EC6B7" w14:textId="77777777" w:rsidR="009260DE" w:rsidRPr="00C84483" w:rsidRDefault="009260DE" w:rsidP="009260DE">
      <w:pPr>
        <w:tabs>
          <w:tab w:val="left" w:pos="851"/>
        </w:tabs>
        <w:ind w:left="851" w:hanging="851"/>
        <w:rPr>
          <w:b/>
          <w:sz w:val="24"/>
          <w:szCs w:val="24"/>
        </w:rPr>
      </w:pPr>
      <w:r w:rsidRPr="00C84483">
        <w:rPr>
          <w:b/>
          <w:sz w:val="24"/>
          <w:szCs w:val="24"/>
        </w:rPr>
        <w:t>4.2</w:t>
      </w:r>
      <w:r w:rsidRPr="00C84483">
        <w:rPr>
          <w:b/>
          <w:sz w:val="24"/>
          <w:szCs w:val="24"/>
        </w:rPr>
        <w:tab/>
        <w:t xml:space="preserve">Dosering og </w:t>
      </w:r>
      <w:r w:rsidR="002C1EC0">
        <w:rPr>
          <w:b/>
          <w:sz w:val="24"/>
          <w:szCs w:val="24"/>
        </w:rPr>
        <w:t>administration</w:t>
      </w:r>
    </w:p>
    <w:p w14:paraId="20EB9928" w14:textId="77777777" w:rsidR="00B56C47" w:rsidRDefault="00B56C47" w:rsidP="00B56C47">
      <w:pPr>
        <w:tabs>
          <w:tab w:val="left" w:pos="851"/>
        </w:tabs>
        <w:ind w:left="851"/>
        <w:rPr>
          <w:sz w:val="24"/>
          <w:szCs w:val="24"/>
          <w:u w:val="single"/>
        </w:rPr>
      </w:pPr>
    </w:p>
    <w:p w14:paraId="436300A4" w14:textId="2E5F812E" w:rsidR="00B56C47" w:rsidRPr="00B56C47" w:rsidRDefault="00B56C47" w:rsidP="00B56C47">
      <w:pPr>
        <w:tabs>
          <w:tab w:val="left" w:pos="851"/>
        </w:tabs>
        <w:ind w:left="851"/>
        <w:rPr>
          <w:sz w:val="24"/>
          <w:szCs w:val="24"/>
          <w:u w:val="single"/>
        </w:rPr>
      </w:pPr>
      <w:r w:rsidRPr="00B56C47">
        <w:rPr>
          <w:sz w:val="24"/>
          <w:szCs w:val="24"/>
          <w:u w:val="single"/>
        </w:rPr>
        <w:t>Dosering</w:t>
      </w:r>
    </w:p>
    <w:p w14:paraId="03EC6713" w14:textId="77777777" w:rsidR="00B56C47" w:rsidRPr="00B56C47" w:rsidRDefault="00B56C47" w:rsidP="00B56C47">
      <w:pPr>
        <w:tabs>
          <w:tab w:val="left" w:pos="851"/>
        </w:tabs>
        <w:ind w:left="851"/>
        <w:rPr>
          <w:sz w:val="24"/>
          <w:szCs w:val="24"/>
        </w:rPr>
      </w:pPr>
      <w:r w:rsidRPr="00B56C47">
        <w:rPr>
          <w:sz w:val="24"/>
          <w:szCs w:val="24"/>
        </w:rPr>
        <w:t xml:space="preserve">Generelt bør doseringen af Buprenorphine "G.L. Pharma" altid tilpasses patientens smerte og individuelle følsomhed. </w:t>
      </w:r>
    </w:p>
    <w:p w14:paraId="1F3AFF66" w14:textId="77777777" w:rsidR="00B56C47" w:rsidRPr="00B56C47" w:rsidRDefault="00B56C47" w:rsidP="00B56C47">
      <w:pPr>
        <w:tabs>
          <w:tab w:val="left" w:pos="851"/>
        </w:tabs>
        <w:ind w:left="851"/>
        <w:rPr>
          <w:sz w:val="24"/>
          <w:szCs w:val="24"/>
        </w:rPr>
      </w:pPr>
    </w:p>
    <w:p w14:paraId="3564A813" w14:textId="77777777" w:rsidR="00B56C47" w:rsidRPr="00B56C47" w:rsidRDefault="00B56C47" w:rsidP="00B56C47">
      <w:pPr>
        <w:tabs>
          <w:tab w:val="left" w:pos="851"/>
        </w:tabs>
        <w:ind w:left="851"/>
        <w:rPr>
          <w:sz w:val="24"/>
          <w:szCs w:val="24"/>
        </w:rPr>
      </w:pPr>
      <w:r w:rsidRPr="00B56C47">
        <w:rPr>
          <w:sz w:val="24"/>
          <w:szCs w:val="24"/>
        </w:rPr>
        <w:t xml:space="preserve">Da den analgetiske effekt indtræder langsomt, er disse sublinguale tabletter ikke egnede til behandling af akutte smerter. Behandling bør derfor initieres med f.eks. den parenterale form af buprenorphin. Behandlingen kan derefter fortsættes med den sublinguale form. Den anbefalede dosis er 0,2-0,4 mg, hver 6. – 8. time efter behov. </w:t>
      </w:r>
    </w:p>
    <w:p w14:paraId="7190A755" w14:textId="77777777" w:rsidR="00B56C47" w:rsidRPr="00B56C47" w:rsidRDefault="00B56C47" w:rsidP="00B56C47">
      <w:pPr>
        <w:tabs>
          <w:tab w:val="left" w:pos="851"/>
        </w:tabs>
        <w:ind w:left="851"/>
        <w:rPr>
          <w:sz w:val="24"/>
          <w:szCs w:val="24"/>
        </w:rPr>
      </w:pPr>
    </w:p>
    <w:p w14:paraId="55705E31" w14:textId="77777777" w:rsidR="00B56C47" w:rsidRPr="00B56C47" w:rsidRDefault="00B56C47" w:rsidP="00B56C47">
      <w:pPr>
        <w:tabs>
          <w:tab w:val="left" w:pos="851"/>
        </w:tabs>
        <w:ind w:left="851"/>
        <w:rPr>
          <w:sz w:val="24"/>
          <w:szCs w:val="24"/>
          <w:u w:val="single"/>
        </w:rPr>
      </w:pPr>
      <w:r w:rsidRPr="00B56C47">
        <w:rPr>
          <w:sz w:val="24"/>
          <w:szCs w:val="24"/>
          <w:u w:val="single"/>
        </w:rPr>
        <w:t>Behandlingsvarighed</w:t>
      </w:r>
    </w:p>
    <w:p w14:paraId="1C4D0CAB" w14:textId="77777777" w:rsidR="00B56C47" w:rsidRPr="00B56C47" w:rsidRDefault="00B56C47" w:rsidP="00B56C47">
      <w:pPr>
        <w:tabs>
          <w:tab w:val="left" w:pos="851"/>
        </w:tabs>
        <w:ind w:left="851"/>
        <w:rPr>
          <w:sz w:val="24"/>
          <w:szCs w:val="24"/>
        </w:rPr>
      </w:pPr>
      <w:r w:rsidRPr="00B56C47">
        <w:rPr>
          <w:sz w:val="24"/>
          <w:szCs w:val="24"/>
        </w:rPr>
        <w:t xml:space="preserve">Buprenorphine "G.L. Pharma" bør ikke anvendes mere end 6-7 dage. Hvis der er behov for langvarig smertebehandling, bør behandlingen vurderes og overvåges regelmæssigt med korte intervaller (om nødvendigt med behandlingspauser) for at fastslå, om behandlingen skal fortsætte, og i hvilken dosis. Buprenorphine "G.L. Pharma" bør ikke anvendes længere end nødvendigt. </w:t>
      </w:r>
    </w:p>
    <w:p w14:paraId="52EBBB23" w14:textId="77777777" w:rsidR="00B56C47" w:rsidRPr="00B56C47" w:rsidRDefault="00B56C47" w:rsidP="00B56C47">
      <w:pPr>
        <w:tabs>
          <w:tab w:val="left" w:pos="851"/>
        </w:tabs>
        <w:ind w:left="851"/>
        <w:rPr>
          <w:sz w:val="24"/>
          <w:szCs w:val="24"/>
        </w:rPr>
      </w:pPr>
    </w:p>
    <w:p w14:paraId="3876FE57" w14:textId="77777777" w:rsidR="00B56C47" w:rsidRPr="00B56C47" w:rsidRDefault="00B56C47" w:rsidP="00B56C47">
      <w:pPr>
        <w:tabs>
          <w:tab w:val="left" w:pos="851"/>
        </w:tabs>
        <w:ind w:left="851"/>
        <w:rPr>
          <w:i/>
          <w:iCs/>
          <w:sz w:val="24"/>
          <w:szCs w:val="24"/>
        </w:rPr>
      </w:pPr>
      <w:r w:rsidRPr="00B56C47">
        <w:rPr>
          <w:i/>
          <w:iCs/>
          <w:sz w:val="24"/>
          <w:szCs w:val="24"/>
        </w:rPr>
        <w:t>Behandlingskontrol</w:t>
      </w:r>
    </w:p>
    <w:p w14:paraId="4808142A" w14:textId="77777777" w:rsidR="00B56C47" w:rsidRPr="00B56C47" w:rsidRDefault="00B56C47" w:rsidP="00B56C47">
      <w:pPr>
        <w:tabs>
          <w:tab w:val="left" w:pos="851"/>
        </w:tabs>
        <w:ind w:left="851"/>
        <w:rPr>
          <w:sz w:val="24"/>
          <w:szCs w:val="24"/>
        </w:rPr>
      </w:pPr>
      <w:r w:rsidRPr="00B56C47">
        <w:rPr>
          <w:sz w:val="24"/>
          <w:szCs w:val="24"/>
        </w:rPr>
        <w:t>Respirationsdepression kan delvist reverseres med naloxon. I mere alvorlige tilfælde bør assisteret ventilation overvejes.</w:t>
      </w:r>
    </w:p>
    <w:p w14:paraId="78FA70D0" w14:textId="77777777" w:rsidR="00B56C47" w:rsidRPr="00B56C47" w:rsidRDefault="00B56C47" w:rsidP="00B56C47">
      <w:pPr>
        <w:tabs>
          <w:tab w:val="left" w:pos="851"/>
        </w:tabs>
        <w:ind w:left="851"/>
        <w:rPr>
          <w:sz w:val="24"/>
          <w:szCs w:val="24"/>
        </w:rPr>
      </w:pPr>
    </w:p>
    <w:p w14:paraId="3AC6C86F" w14:textId="77777777" w:rsidR="00B56C47" w:rsidRPr="00B56C47" w:rsidRDefault="00B56C47" w:rsidP="00B56C47">
      <w:pPr>
        <w:tabs>
          <w:tab w:val="left" w:pos="851"/>
        </w:tabs>
        <w:ind w:left="851"/>
        <w:rPr>
          <w:sz w:val="24"/>
          <w:szCs w:val="24"/>
          <w:u w:val="single"/>
        </w:rPr>
      </w:pPr>
      <w:r w:rsidRPr="00B56C47">
        <w:rPr>
          <w:sz w:val="24"/>
          <w:szCs w:val="24"/>
          <w:u w:val="single"/>
        </w:rPr>
        <w:t>Særlige populationer</w:t>
      </w:r>
    </w:p>
    <w:p w14:paraId="77042150" w14:textId="77777777" w:rsidR="00B56C47" w:rsidRPr="00B56C47" w:rsidRDefault="00B56C47" w:rsidP="00B56C47">
      <w:pPr>
        <w:tabs>
          <w:tab w:val="left" w:pos="851"/>
        </w:tabs>
        <w:ind w:left="851"/>
        <w:rPr>
          <w:sz w:val="24"/>
          <w:szCs w:val="24"/>
        </w:rPr>
      </w:pPr>
    </w:p>
    <w:p w14:paraId="747EF5D7" w14:textId="77777777" w:rsidR="00B56C47" w:rsidRPr="00B56C47" w:rsidRDefault="00B56C47" w:rsidP="00B56C47">
      <w:pPr>
        <w:tabs>
          <w:tab w:val="left" w:pos="851"/>
        </w:tabs>
        <w:ind w:left="851"/>
        <w:rPr>
          <w:i/>
          <w:iCs/>
          <w:sz w:val="24"/>
          <w:szCs w:val="24"/>
        </w:rPr>
      </w:pPr>
      <w:r w:rsidRPr="00B56C47">
        <w:rPr>
          <w:i/>
          <w:iCs/>
          <w:sz w:val="24"/>
          <w:szCs w:val="24"/>
        </w:rPr>
        <w:t>Patienter med nedsat leverfunktion</w:t>
      </w:r>
    </w:p>
    <w:p w14:paraId="45AA3C01" w14:textId="77777777" w:rsidR="00B56C47" w:rsidRPr="00B56C47" w:rsidRDefault="00B56C47" w:rsidP="00B56C47">
      <w:pPr>
        <w:tabs>
          <w:tab w:val="left" w:pos="851"/>
        </w:tabs>
        <w:ind w:left="851"/>
        <w:rPr>
          <w:sz w:val="24"/>
          <w:szCs w:val="24"/>
        </w:rPr>
      </w:pPr>
      <w:r w:rsidRPr="00B56C47">
        <w:rPr>
          <w:sz w:val="24"/>
          <w:szCs w:val="24"/>
        </w:rPr>
        <w:t xml:space="preserve">Buprenorphin metaboliseres i leveren. Plasmaniveauerne er forhøjede hos patienter med moderat og svær leverinsufficiens sammenlignet med raske forsøgspersoner (se pkt. 5.2). Buprenorphin bør anvendes med forsigtighed hos patienter med moderat nedsat leverfunktion. Det kan være nødvendigt med lavere startdoser og forsigtig dosistitrering. Patienter bør monitoreres for tegn og symptomer på toksicitet eller overdosering forårsaget af forhøjede buprenorphinniveauer (se pkt. 4.4). Buprenorphine "G.L. Pharma" er kontraindiceret hos patienter med svær leverinsufficiens (se pkt. 4.3). </w:t>
      </w:r>
    </w:p>
    <w:p w14:paraId="2ECCD8CB" w14:textId="77777777" w:rsidR="00B56C47" w:rsidRPr="00B56C47" w:rsidRDefault="00B56C47" w:rsidP="00B56C47">
      <w:pPr>
        <w:tabs>
          <w:tab w:val="left" w:pos="851"/>
        </w:tabs>
        <w:ind w:left="851"/>
        <w:rPr>
          <w:sz w:val="24"/>
          <w:szCs w:val="24"/>
        </w:rPr>
      </w:pPr>
    </w:p>
    <w:p w14:paraId="03A5A2D7" w14:textId="77777777" w:rsidR="00B56C47" w:rsidRPr="00B56C47" w:rsidRDefault="00B56C47" w:rsidP="00B56C47">
      <w:pPr>
        <w:tabs>
          <w:tab w:val="left" w:pos="851"/>
        </w:tabs>
        <w:ind w:left="851"/>
        <w:rPr>
          <w:i/>
          <w:iCs/>
          <w:sz w:val="24"/>
          <w:szCs w:val="24"/>
        </w:rPr>
      </w:pPr>
      <w:r w:rsidRPr="00B56C47">
        <w:rPr>
          <w:i/>
          <w:iCs/>
          <w:sz w:val="24"/>
          <w:szCs w:val="24"/>
        </w:rPr>
        <w:t>Patienter med nedsat nyrefunktion</w:t>
      </w:r>
    </w:p>
    <w:p w14:paraId="0464C356" w14:textId="77777777" w:rsidR="00B56C47" w:rsidRPr="00B56C47" w:rsidRDefault="00B56C47" w:rsidP="00B56C47">
      <w:pPr>
        <w:tabs>
          <w:tab w:val="left" w:pos="851"/>
        </w:tabs>
        <w:ind w:left="851"/>
        <w:rPr>
          <w:sz w:val="24"/>
          <w:szCs w:val="24"/>
        </w:rPr>
      </w:pPr>
      <w:r w:rsidRPr="00B56C47">
        <w:rPr>
          <w:sz w:val="24"/>
          <w:szCs w:val="24"/>
        </w:rPr>
        <w:t xml:space="preserve">Da buprenorphin primært elimineres via hepatisk metabolisme, er dosisjustering ikke nødvendig hos patienter med mild nyreinsufficiens. Dog bør forsigtighed udvises hos patienter med svær nyreinsufficiens (se pkt. 4.4). </w:t>
      </w:r>
    </w:p>
    <w:p w14:paraId="28A67AAF" w14:textId="77777777" w:rsidR="00B56C47" w:rsidRPr="00B56C47" w:rsidRDefault="00B56C47" w:rsidP="00B56C47">
      <w:pPr>
        <w:tabs>
          <w:tab w:val="left" w:pos="851"/>
        </w:tabs>
        <w:ind w:left="851"/>
        <w:rPr>
          <w:i/>
          <w:sz w:val="24"/>
          <w:szCs w:val="24"/>
        </w:rPr>
      </w:pPr>
    </w:p>
    <w:p w14:paraId="15BD4725" w14:textId="77777777" w:rsidR="00B56C47" w:rsidRPr="00B56C47" w:rsidRDefault="00B56C47" w:rsidP="00B56C47">
      <w:pPr>
        <w:tabs>
          <w:tab w:val="left" w:pos="851"/>
        </w:tabs>
        <w:ind w:left="851"/>
        <w:rPr>
          <w:sz w:val="24"/>
          <w:szCs w:val="24"/>
        </w:rPr>
      </w:pPr>
      <w:r w:rsidRPr="00B56C47">
        <w:rPr>
          <w:i/>
          <w:sz w:val="24"/>
          <w:szCs w:val="24"/>
        </w:rPr>
        <w:t>Pædiatrisk population</w:t>
      </w:r>
    </w:p>
    <w:p w14:paraId="195F196E" w14:textId="77777777" w:rsidR="00B56C47" w:rsidRPr="00B56C47" w:rsidRDefault="00B56C47" w:rsidP="00B56C47">
      <w:pPr>
        <w:tabs>
          <w:tab w:val="left" w:pos="851"/>
        </w:tabs>
        <w:ind w:left="851"/>
        <w:rPr>
          <w:sz w:val="24"/>
          <w:szCs w:val="24"/>
        </w:rPr>
      </w:pPr>
      <w:r w:rsidRPr="00B56C47">
        <w:rPr>
          <w:sz w:val="24"/>
          <w:szCs w:val="24"/>
        </w:rPr>
        <w:t xml:space="preserve">Buprenorphine "G.L. Pharma" anbefales ikke til børn på grund af utilstrækkelig data om sikkerhed og virkning hos børn. </w:t>
      </w:r>
    </w:p>
    <w:p w14:paraId="705F5345" w14:textId="095F4609" w:rsidR="00B56C47" w:rsidRDefault="00B56C47">
      <w:pPr>
        <w:rPr>
          <w:sz w:val="24"/>
          <w:szCs w:val="24"/>
        </w:rPr>
      </w:pPr>
      <w:r>
        <w:rPr>
          <w:sz w:val="24"/>
          <w:szCs w:val="24"/>
        </w:rPr>
        <w:br w:type="page"/>
      </w:r>
    </w:p>
    <w:p w14:paraId="270E8B15" w14:textId="77777777" w:rsidR="00B56C47" w:rsidRPr="00B56C47" w:rsidRDefault="00B56C47" w:rsidP="00B56C47">
      <w:pPr>
        <w:tabs>
          <w:tab w:val="left" w:pos="851"/>
        </w:tabs>
        <w:ind w:left="851"/>
        <w:rPr>
          <w:sz w:val="24"/>
          <w:szCs w:val="24"/>
        </w:rPr>
      </w:pPr>
    </w:p>
    <w:p w14:paraId="140A74C1" w14:textId="77777777" w:rsidR="00B56C47" w:rsidRPr="00B56C47" w:rsidRDefault="00B56C47" w:rsidP="00B56C47">
      <w:pPr>
        <w:tabs>
          <w:tab w:val="left" w:pos="851"/>
        </w:tabs>
        <w:ind w:left="851"/>
        <w:rPr>
          <w:i/>
          <w:iCs/>
          <w:sz w:val="24"/>
          <w:szCs w:val="24"/>
        </w:rPr>
      </w:pPr>
      <w:r w:rsidRPr="00B56C47">
        <w:rPr>
          <w:i/>
          <w:iCs/>
          <w:sz w:val="24"/>
          <w:szCs w:val="24"/>
        </w:rPr>
        <w:t>Ældre</w:t>
      </w:r>
    </w:p>
    <w:p w14:paraId="702DDF29" w14:textId="77777777" w:rsidR="00B56C47" w:rsidRPr="00B56C47" w:rsidRDefault="00B56C47" w:rsidP="00B56C47">
      <w:pPr>
        <w:tabs>
          <w:tab w:val="left" w:pos="851"/>
        </w:tabs>
        <w:ind w:left="851"/>
        <w:rPr>
          <w:sz w:val="24"/>
          <w:szCs w:val="24"/>
        </w:rPr>
      </w:pPr>
      <w:r w:rsidRPr="00B56C47">
        <w:rPr>
          <w:sz w:val="24"/>
          <w:szCs w:val="24"/>
        </w:rPr>
        <w:t xml:space="preserve">En enkeltdosis på 0,2 mg er tilstrækkelig i de fleste tilfælde. I nogle tilfælde (f.eks. hos ældre patienter med nedsat leverfunktion) bør dosis reduceres og gradvist justeres i henhold til patientens respons. </w:t>
      </w:r>
    </w:p>
    <w:p w14:paraId="2AD719F0" w14:textId="77777777" w:rsidR="00B56C47" w:rsidRPr="00B56C47" w:rsidRDefault="00B56C47" w:rsidP="00B56C47">
      <w:pPr>
        <w:tabs>
          <w:tab w:val="left" w:pos="851"/>
        </w:tabs>
        <w:ind w:left="851"/>
        <w:rPr>
          <w:sz w:val="24"/>
          <w:szCs w:val="24"/>
        </w:rPr>
      </w:pPr>
    </w:p>
    <w:p w14:paraId="190AD159" w14:textId="77777777" w:rsidR="00B56C47" w:rsidRPr="00B56C47" w:rsidRDefault="00B56C47" w:rsidP="00B56C47">
      <w:pPr>
        <w:tabs>
          <w:tab w:val="left" w:pos="851"/>
        </w:tabs>
        <w:ind w:left="851"/>
        <w:rPr>
          <w:sz w:val="24"/>
          <w:szCs w:val="24"/>
          <w:u w:val="single"/>
        </w:rPr>
      </w:pPr>
      <w:r w:rsidRPr="00B56C47">
        <w:rPr>
          <w:sz w:val="24"/>
          <w:szCs w:val="24"/>
          <w:u w:val="single"/>
        </w:rPr>
        <w:t>Administration</w:t>
      </w:r>
    </w:p>
    <w:p w14:paraId="6985298B" w14:textId="77777777" w:rsidR="00B56C47" w:rsidRPr="00B56C47" w:rsidRDefault="00B56C47" w:rsidP="00B56C47">
      <w:pPr>
        <w:tabs>
          <w:tab w:val="left" w:pos="851"/>
        </w:tabs>
        <w:ind w:left="851"/>
        <w:rPr>
          <w:sz w:val="24"/>
          <w:szCs w:val="24"/>
        </w:rPr>
      </w:pPr>
      <w:r w:rsidRPr="00B56C47">
        <w:rPr>
          <w:sz w:val="24"/>
          <w:szCs w:val="24"/>
        </w:rPr>
        <w:t>Sublingual anvendelse.</w:t>
      </w:r>
    </w:p>
    <w:p w14:paraId="3497B9C6" w14:textId="77777777" w:rsidR="00B56C47" w:rsidRPr="00B56C47" w:rsidRDefault="00B56C47" w:rsidP="00B56C47">
      <w:pPr>
        <w:tabs>
          <w:tab w:val="left" w:pos="851"/>
        </w:tabs>
        <w:ind w:left="851"/>
        <w:rPr>
          <w:sz w:val="24"/>
          <w:szCs w:val="24"/>
        </w:rPr>
      </w:pPr>
      <w:bookmarkStart w:id="2" w:name="_Hlk189233352"/>
      <w:r w:rsidRPr="00B56C47">
        <w:rPr>
          <w:sz w:val="24"/>
          <w:szCs w:val="24"/>
        </w:rPr>
        <w:t>De sublinguale resoribletter må ikke suttes, tygges eller synkes.</w:t>
      </w:r>
    </w:p>
    <w:bookmarkEnd w:id="2"/>
    <w:p w14:paraId="3BBEB992" w14:textId="77777777" w:rsidR="00B56C47" w:rsidRPr="00B56C47" w:rsidRDefault="00B56C47" w:rsidP="00B56C47">
      <w:pPr>
        <w:tabs>
          <w:tab w:val="left" w:pos="851"/>
        </w:tabs>
        <w:ind w:left="851"/>
        <w:rPr>
          <w:sz w:val="24"/>
          <w:szCs w:val="24"/>
        </w:rPr>
      </w:pPr>
      <w:r w:rsidRPr="00B56C47">
        <w:rPr>
          <w:sz w:val="24"/>
          <w:szCs w:val="24"/>
        </w:rPr>
        <w:t xml:space="preserve">De sublinguale resoribletter må ikke deles. </w:t>
      </w:r>
    </w:p>
    <w:p w14:paraId="1EE1EB4F" w14:textId="77777777" w:rsidR="00B56C47" w:rsidRPr="00B56C47" w:rsidRDefault="00B56C47" w:rsidP="00B56C47">
      <w:pPr>
        <w:tabs>
          <w:tab w:val="left" w:pos="851"/>
        </w:tabs>
        <w:ind w:left="851"/>
        <w:rPr>
          <w:sz w:val="24"/>
          <w:szCs w:val="24"/>
        </w:rPr>
      </w:pPr>
    </w:p>
    <w:p w14:paraId="5C0D044C" w14:textId="77777777" w:rsidR="00B56C47" w:rsidRPr="00B56C47" w:rsidRDefault="00B56C47" w:rsidP="00B56C47">
      <w:pPr>
        <w:tabs>
          <w:tab w:val="left" w:pos="851"/>
        </w:tabs>
        <w:ind w:left="851"/>
        <w:rPr>
          <w:sz w:val="24"/>
          <w:szCs w:val="24"/>
        </w:rPr>
      </w:pPr>
      <w:bookmarkStart w:id="3" w:name="_Hlk189233822"/>
      <w:r w:rsidRPr="00B56C47">
        <w:rPr>
          <w:sz w:val="24"/>
          <w:szCs w:val="24"/>
        </w:rPr>
        <w:t>Den sublinguale resoriblet lægges under tungen, hvor den vil blive opløst inden for 5-10 minutter.</w:t>
      </w:r>
      <w:bookmarkEnd w:id="3"/>
      <w:r w:rsidRPr="00B56C47">
        <w:rPr>
          <w:sz w:val="24"/>
          <w:szCs w:val="24"/>
        </w:rPr>
        <w:t xml:space="preserve"> I tilfælde af at slimhinderne i munden er meget tørre kan opløsningsprocessen fremskyndes med et par dråber væske.</w:t>
      </w:r>
    </w:p>
    <w:p w14:paraId="7A6AC633" w14:textId="77777777" w:rsidR="00B56C47" w:rsidRPr="00B56C47" w:rsidRDefault="00B56C47" w:rsidP="00B56C47">
      <w:pPr>
        <w:tabs>
          <w:tab w:val="left" w:pos="851"/>
        </w:tabs>
        <w:ind w:left="851"/>
        <w:rPr>
          <w:sz w:val="24"/>
          <w:szCs w:val="24"/>
        </w:rPr>
      </w:pPr>
    </w:p>
    <w:p w14:paraId="6D4296A0" w14:textId="77777777" w:rsidR="00B56C47" w:rsidRPr="00B56C47" w:rsidRDefault="00B56C47" w:rsidP="00B56C47">
      <w:pPr>
        <w:tabs>
          <w:tab w:val="left" w:pos="851"/>
        </w:tabs>
        <w:ind w:left="851"/>
        <w:rPr>
          <w:sz w:val="24"/>
          <w:szCs w:val="24"/>
          <w:u w:val="single"/>
        </w:rPr>
      </w:pPr>
      <w:r w:rsidRPr="00B56C47">
        <w:rPr>
          <w:sz w:val="24"/>
          <w:szCs w:val="24"/>
          <w:u w:val="single"/>
        </w:rPr>
        <w:t>Behandlingsmål og seponering</w:t>
      </w:r>
    </w:p>
    <w:p w14:paraId="2E995AF5" w14:textId="77777777" w:rsidR="00B56C47" w:rsidRPr="00B56C47" w:rsidRDefault="00B56C47" w:rsidP="00B56C47">
      <w:pPr>
        <w:tabs>
          <w:tab w:val="left" w:pos="851"/>
        </w:tabs>
        <w:ind w:left="851"/>
        <w:rPr>
          <w:sz w:val="24"/>
          <w:szCs w:val="24"/>
        </w:rPr>
      </w:pPr>
      <w:r w:rsidRPr="00B56C47">
        <w:rPr>
          <w:sz w:val="24"/>
          <w:szCs w:val="24"/>
        </w:rPr>
        <w:t xml:space="preserve">Før behandling med Buprenorphine "G.L. Pharma" påbegyndes, bør en behandlingsstrategi, herunder behandlingsvarighed, behandlingsmål samt en plan for afslutning af behandlingen, aftales sammen med patienten i overensstemmelse med smertebehandlingsretningslinjerne. Under behandlingen bør der være hyppig kontakt mellem lægen og patienten for at vurdere behovet for fortsat behandling, overveje seponering og justere doseringerne om nødvendigt. Når en patient ikke længere har brug for behandling med Buprenorphine "G.L. Pharma", kan det være tilrådeligt at trappe dosen gradvist ned for at forhindre abstinenssymptomer. I tilfælde af utilstrækkelig smertelindring bør muligheden for hyperalgesi, tolerance og progression af den underliggende sygdom overvejes (se pkt. 4.4). </w:t>
      </w:r>
    </w:p>
    <w:p w14:paraId="4C4332F5" w14:textId="77777777" w:rsidR="00B56C47" w:rsidRPr="00B56C47" w:rsidRDefault="00B56C47" w:rsidP="00B56C47">
      <w:pPr>
        <w:tabs>
          <w:tab w:val="left" w:pos="851"/>
        </w:tabs>
        <w:ind w:left="851"/>
        <w:rPr>
          <w:sz w:val="24"/>
          <w:szCs w:val="24"/>
        </w:rPr>
      </w:pPr>
    </w:p>
    <w:p w14:paraId="7CAA28E9" w14:textId="77777777" w:rsidR="009260DE" w:rsidRPr="00C84483" w:rsidRDefault="009260DE" w:rsidP="009260DE">
      <w:pPr>
        <w:tabs>
          <w:tab w:val="left" w:pos="851"/>
        </w:tabs>
        <w:ind w:left="851" w:hanging="851"/>
        <w:rPr>
          <w:b/>
          <w:sz w:val="24"/>
          <w:szCs w:val="24"/>
        </w:rPr>
      </w:pPr>
      <w:r w:rsidRPr="00C84483">
        <w:rPr>
          <w:b/>
          <w:sz w:val="24"/>
          <w:szCs w:val="24"/>
        </w:rPr>
        <w:t>4.3</w:t>
      </w:r>
      <w:r w:rsidRPr="00C84483">
        <w:rPr>
          <w:b/>
          <w:sz w:val="24"/>
          <w:szCs w:val="24"/>
        </w:rPr>
        <w:tab/>
        <w:t>Kontraindikationer</w:t>
      </w:r>
    </w:p>
    <w:p w14:paraId="6C73DF5F" w14:textId="77777777" w:rsidR="00B56C47" w:rsidRDefault="00B56C47" w:rsidP="00B56C47">
      <w:pPr>
        <w:tabs>
          <w:tab w:val="left" w:pos="851"/>
        </w:tabs>
        <w:ind w:left="851"/>
        <w:rPr>
          <w:sz w:val="24"/>
          <w:szCs w:val="24"/>
          <w:u w:val="single"/>
        </w:rPr>
      </w:pPr>
    </w:p>
    <w:p w14:paraId="3829E34F" w14:textId="1FDFEC2B" w:rsidR="00B56C47" w:rsidRPr="00B56C47" w:rsidRDefault="00B56C47" w:rsidP="00B56C47">
      <w:pPr>
        <w:tabs>
          <w:tab w:val="left" w:pos="851"/>
        </w:tabs>
        <w:ind w:left="851"/>
        <w:rPr>
          <w:sz w:val="24"/>
          <w:szCs w:val="24"/>
        </w:rPr>
      </w:pPr>
      <w:r w:rsidRPr="00B56C47">
        <w:rPr>
          <w:sz w:val="24"/>
          <w:szCs w:val="24"/>
        </w:rPr>
        <w:t xml:space="preserve">Buprenorphine "G.L. Pharma" må ikke anvendes i følgende tilfælde: </w:t>
      </w:r>
    </w:p>
    <w:p w14:paraId="3A0227B0" w14:textId="77777777" w:rsidR="00B56C47" w:rsidRPr="00B56C47" w:rsidRDefault="00B56C47" w:rsidP="00B56C47">
      <w:pPr>
        <w:numPr>
          <w:ilvl w:val="0"/>
          <w:numId w:val="6"/>
        </w:numPr>
        <w:tabs>
          <w:tab w:val="left" w:pos="851"/>
        </w:tabs>
        <w:ind w:left="1134" w:hanging="283"/>
        <w:rPr>
          <w:sz w:val="24"/>
          <w:szCs w:val="24"/>
        </w:rPr>
      </w:pPr>
      <w:r w:rsidRPr="00B56C47">
        <w:rPr>
          <w:sz w:val="24"/>
          <w:szCs w:val="24"/>
        </w:rPr>
        <w:t>Overfølsomhed over for buprenorphin, centralt virkende analgetika eller over for et eller flere af hjælpestofferne anført i pkt. 6.1,</w:t>
      </w:r>
    </w:p>
    <w:p w14:paraId="7FB96A8B" w14:textId="77777777" w:rsidR="00B56C47" w:rsidRPr="00B56C47" w:rsidRDefault="00B56C47" w:rsidP="00B56C47">
      <w:pPr>
        <w:numPr>
          <w:ilvl w:val="0"/>
          <w:numId w:val="6"/>
        </w:numPr>
        <w:tabs>
          <w:tab w:val="left" w:pos="851"/>
        </w:tabs>
        <w:ind w:left="1134" w:hanging="283"/>
        <w:rPr>
          <w:sz w:val="24"/>
          <w:szCs w:val="24"/>
        </w:rPr>
      </w:pPr>
      <w:r w:rsidRPr="00B56C47">
        <w:rPr>
          <w:sz w:val="24"/>
          <w:szCs w:val="24"/>
        </w:rPr>
        <w:t>svær respirationsinsufficiens,</w:t>
      </w:r>
    </w:p>
    <w:p w14:paraId="07394E03" w14:textId="77777777" w:rsidR="00B56C47" w:rsidRPr="00B56C47" w:rsidRDefault="00B56C47" w:rsidP="00B56C47">
      <w:pPr>
        <w:numPr>
          <w:ilvl w:val="0"/>
          <w:numId w:val="6"/>
        </w:numPr>
        <w:tabs>
          <w:tab w:val="left" w:pos="851"/>
        </w:tabs>
        <w:ind w:left="1134" w:hanging="283"/>
        <w:rPr>
          <w:sz w:val="24"/>
          <w:szCs w:val="24"/>
        </w:rPr>
      </w:pPr>
      <w:r w:rsidRPr="00B56C47">
        <w:rPr>
          <w:sz w:val="24"/>
          <w:szCs w:val="24"/>
        </w:rPr>
        <w:t>svær leverinsufficiens,</w:t>
      </w:r>
    </w:p>
    <w:p w14:paraId="3C7271C7" w14:textId="77777777" w:rsidR="00B56C47" w:rsidRPr="00B56C47" w:rsidRDefault="00B56C47" w:rsidP="00B56C47">
      <w:pPr>
        <w:numPr>
          <w:ilvl w:val="0"/>
          <w:numId w:val="6"/>
        </w:numPr>
        <w:tabs>
          <w:tab w:val="left" w:pos="851"/>
        </w:tabs>
        <w:ind w:left="1134" w:hanging="283"/>
        <w:rPr>
          <w:sz w:val="24"/>
          <w:szCs w:val="24"/>
        </w:rPr>
      </w:pPr>
      <w:r w:rsidRPr="00B56C47">
        <w:rPr>
          <w:sz w:val="24"/>
          <w:szCs w:val="24"/>
        </w:rPr>
        <w:t xml:space="preserve">akut alkoholforgiftning eller delirium tremens. </w:t>
      </w:r>
    </w:p>
    <w:p w14:paraId="72F6CF31" w14:textId="77777777" w:rsidR="009260DE" w:rsidRPr="00C84483" w:rsidRDefault="009260DE" w:rsidP="009260DE">
      <w:pPr>
        <w:tabs>
          <w:tab w:val="left" w:pos="851"/>
        </w:tabs>
        <w:ind w:left="851"/>
        <w:rPr>
          <w:sz w:val="24"/>
          <w:szCs w:val="24"/>
        </w:rPr>
      </w:pPr>
    </w:p>
    <w:p w14:paraId="0177853D" w14:textId="77777777" w:rsidR="009260DE" w:rsidRPr="00C84483" w:rsidRDefault="009260DE" w:rsidP="009260DE">
      <w:pPr>
        <w:tabs>
          <w:tab w:val="left" w:pos="851"/>
        </w:tabs>
        <w:ind w:left="851" w:hanging="851"/>
        <w:rPr>
          <w:b/>
          <w:sz w:val="24"/>
          <w:szCs w:val="24"/>
        </w:rPr>
      </w:pPr>
      <w:r w:rsidRPr="00C84483">
        <w:rPr>
          <w:b/>
          <w:sz w:val="24"/>
          <w:szCs w:val="24"/>
        </w:rPr>
        <w:t>4.4</w:t>
      </w:r>
      <w:r w:rsidRPr="00C84483">
        <w:rPr>
          <w:b/>
          <w:sz w:val="24"/>
          <w:szCs w:val="24"/>
        </w:rPr>
        <w:tab/>
        <w:t>Særlige advarsler og forsigtighedsregler vedrørende brugen</w:t>
      </w:r>
    </w:p>
    <w:p w14:paraId="70FE2082" w14:textId="77777777" w:rsidR="00B56C47" w:rsidRPr="00B56C47" w:rsidRDefault="00B56C47" w:rsidP="00B56C47">
      <w:pPr>
        <w:tabs>
          <w:tab w:val="left" w:pos="851"/>
        </w:tabs>
        <w:ind w:left="851"/>
        <w:rPr>
          <w:sz w:val="24"/>
          <w:szCs w:val="24"/>
        </w:rPr>
      </w:pPr>
    </w:p>
    <w:p w14:paraId="603218CE" w14:textId="77777777" w:rsidR="00B56C47" w:rsidRPr="00B56C47" w:rsidRDefault="00B56C47" w:rsidP="00B56C47">
      <w:pPr>
        <w:tabs>
          <w:tab w:val="left" w:pos="851"/>
        </w:tabs>
        <w:ind w:left="851"/>
        <w:rPr>
          <w:sz w:val="24"/>
          <w:szCs w:val="24"/>
          <w:u w:val="single"/>
        </w:rPr>
      </w:pPr>
      <w:r w:rsidRPr="00B56C47">
        <w:rPr>
          <w:sz w:val="24"/>
          <w:szCs w:val="24"/>
          <w:u w:val="single"/>
        </w:rPr>
        <w:t>Risiko ved samtidig brug af sedativa, såsom benzodiazepiner eller beslægtede lægemidler</w:t>
      </w:r>
    </w:p>
    <w:p w14:paraId="64DDD211" w14:textId="77777777" w:rsidR="00B56C47" w:rsidRPr="00B56C47" w:rsidRDefault="00B56C47" w:rsidP="00B56C47">
      <w:pPr>
        <w:tabs>
          <w:tab w:val="left" w:pos="851"/>
        </w:tabs>
        <w:ind w:left="851"/>
        <w:rPr>
          <w:sz w:val="24"/>
          <w:szCs w:val="24"/>
        </w:rPr>
      </w:pPr>
      <w:r w:rsidRPr="00B56C47">
        <w:rPr>
          <w:sz w:val="24"/>
          <w:szCs w:val="24"/>
        </w:rPr>
        <w:t>Samtidig brug af Buprenorphine "G.L. Pharma" og sedativa, såsom benzodiazepiner eller beslægtede lægemidler, kan resultere i sedation, respirationsdepression, koma og død. Som følge af disse risici bør ordination samtidig med disse sedativa forbeholdes patienter, som ikke har andre behandlingsmuligheder. Hvis det besluttes at ordinere Buprenorphine "G.L. Pharma" samtidig med sedativa, bør der anvendes den laveste effektive dosis, og behandlingsvarigheden bør være så kort som mulig. Patienterne bør følges tæt for tegn og symptomer på respirationsdepression og sedation. I denne henseende anbefales det på kraftigste at informere patienterne og deres omsorgspersoner om at være opmærksomme på disse symptomer (se pkt. 4.5).</w:t>
      </w:r>
    </w:p>
    <w:p w14:paraId="2CD0BDCE" w14:textId="6EF6369A" w:rsidR="00B56C47" w:rsidRDefault="00B56C47">
      <w:pPr>
        <w:rPr>
          <w:sz w:val="24"/>
          <w:szCs w:val="24"/>
        </w:rPr>
      </w:pPr>
      <w:r>
        <w:rPr>
          <w:sz w:val="24"/>
          <w:szCs w:val="24"/>
        </w:rPr>
        <w:br w:type="page"/>
      </w:r>
    </w:p>
    <w:p w14:paraId="7699A110" w14:textId="77777777" w:rsidR="00B56C47" w:rsidRPr="00B56C47" w:rsidRDefault="00B56C47" w:rsidP="00B56C47">
      <w:pPr>
        <w:tabs>
          <w:tab w:val="left" w:pos="851"/>
        </w:tabs>
        <w:ind w:left="851"/>
        <w:rPr>
          <w:sz w:val="24"/>
          <w:szCs w:val="24"/>
        </w:rPr>
      </w:pPr>
    </w:p>
    <w:p w14:paraId="5F0E4354" w14:textId="77777777" w:rsidR="00B56C47" w:rsidRPr="00B56C47" w:rsidRDefault="00B56C47" w:rsidP="00B56C47">
      <w:pPr>
        <w:tabs>
          <w:tab w:val="left" w:pos="851"/>
        </w:tabs>
        <w:ind w:left="851"/>
        <w:rPr>
          <w:sz w:val="24"/>
          <w:szCs w:val="24"/>
          <w:u w:val="single"/>
        </w:rPr>
      </w:pPr>
      <w:r w:rsidRPr="00B56C47">
        <w:rPr>
          <w:sz w:val="24"/>
          <w:szCs w:val="24"/>
          <w:u w:val="single"/>
        </w:rPr>
        <w:t>Respirationsdepression</w:t>
      </w:r>
    </w:p>
    <w:p w14:paraId="61E970FC" w14:textId="77777777" w:rsidR="00B56C47" w:rsidRPr="00B56C47" w:rsidRDefault="00B56C47" w:rsidP="00B56C47">
      <w:pPr>
        <w:tabs>
          <w:tab w:val="left" w:pos="851"/>
        </w:tabs>
        <w:ind w:left="851"/>
        <w:rPr>
          <w:sz w:val="24"/>
          <w:szCs w:val="24"/>
        </w:rPr>
      </w:pPr>
      <w:r w:rsidRPr="00B56C47">
        <w:rPr>
          <w:sz w:val="24"/>
          <w:szCs w:val="24"/>
        </w:rPr>
        <w:t>Som med andre potente kraftige opioider, kan der forekomme klinisk signifikant respirationsdepression inden for det anbefalede dosisinterval hos patienter, der får terapeutiske doser af buprenorphin. Dette lægemiddel bør anvendes med forsigtighed hos patienter med nedsat respirationsfunktion (f.eks. kronisk obstruktiv lungesygdom, astma, cor pulmonale, nedsat respirationsreserve, hypoksi, hyperkapni eller allerede eksisterende respirationsdepression). Der bør udvises særlig forsigtighed, hvis buprenorphin administreres til patienter, der får eller for nylig har fået lægemidler med CNS-/respirationshæmmende virkning (se pkt. 4.5). Patienter med de ovennævnte fysiske og/eller farmakologiske risikofaktorer, der er nævnt herover, bør overvåges og dosisreduktion bør overvejes.</w:t>
      </w:r>
    </w:p>
    <w:p w14:paraId="53A069DC" w14:textId="77777777" w:rsidR="00B56C47" w:rsidRPr="00B56C47" w:rsidRDefault="00B56C47" w:rsidP="00B56C47">
      <w:pPr>
        <w:tabs>
          <w:tab w:val="left" w:pos="851"/>
        </w:tabs>
        <w:ind w:left="851"/>
        <w:rPr>
          <w:sz w:val="24"/>
          <w:szCs w:val="24"/>
        </w:rPr>
      </w:pPr>
    </w:p>
    <w:p w14:paraId="4C09EF7E" w14:textId="77777777" w:rsidR="00B56C47" w:rsidRPr="00B56C47" w:rsidRDefault="00B56C47" w:rsidP="00B56C47">
      <w:pPr>
        <w:tabs>
          <w:tab w:val="left" w:pos="851"/>
        </w:tabs>
        <w:ind w:left="851"/>
        <w:rPr>
          <w:sz w:val="24"/>
          <w:szCs w:val="24"/>
          <w:u w:val="single"/>
        </w:rPr>
      </w:pPr>
      <w:r w:rsidRPr="00B56C47">
        <w:rPr>
          <w:sz w:val="24"/>
          <w:szCs w:val="24"/>
          <w:u w:val="single"/>
        </w:rPr>
        <w:t>Søvnrelaterede vejrtrækningsforstyrrelser</w:t>
      </w:r>
    </w:p>
    <w:p w14:paraId="06A42397" w14:textId="77777777" w:rsidR="00B56C47" w:rsidRPr="00B56C47" w:rsidRDefault="00B56C47" w:rsidP="00B56C47">
      <w:pPr>
        <w:tabs>
          <w:tab w:val="left" w:pos="851"/>
        </w:tabs>
        <w:ind w:left="851"/>
        <w:rPr>
          <w:sz w:val="24"/>
          <w:szCs w:val="24"/>
        </w:rPr>
      </w:pPr>
      <w:r w:rsidRPr="00B56C47">
        <w:rPr>
          <w:sz w:val="24"/>
          <w:szCs w:val="24"/>
        </w:rPr>
        <w:t>Opioider kan forårsage søvnrelaterede vejrtrækningsforstyrrelser, herunder central søvnapnø (CSA) og søvnrelateret hypoksæmi. Opioidbrug øger risikoen for CSA på en dosisafhængig måde. Hos patienter, der udviser CSA, skal reduktion af den totale opioiddosis overvejes.</w:t>
      </w:r>
    </w:p>
    <w:p w14:paraId="61F601BD" w14:textId="77777777" w:rsidR="00B56C47" w:rsidRPr="00B56C47" w:rsidRDefault="00B56C47" w:rsidP="00B56C47">
      <w:pPr>
        <w:tabs>
          <w:tab w:val="left" w:pos="851"/>
        </w:tabs>
        <w:ind w:left="851"/>
        <w:rPr>
          <w:sz w:val="24"/>
          <w:szCs w:val="24"/>
        </w:rPr>
      </w:pPr>
    </w:p>
    <w:p w14:paraId="35AD9E1B" w14:textId="77777777" w:rsidR="00B56C47" w:rsidRPr="00B56C47" w:rsidRDefault="00B56C47" w:rsidP="00B56C47">
      <w:pPr>
        <w:tabs>
          <w:tab w:val="left" w:pos="851"/>
        </w:tabs>
        <w:ind w:left="851"/>
        <w:rPr>
          <w:sz w:val="24"/>
          <w:szCs w:val="24"/>
          <w:u w:val="single"/>
        </w:rPr>
      </w:pPr>
      <w:r w:rsidRPr="00B56C47">
        <w:rPr>
          <w:sz w:val="24"/>
          <w:szCs w:val="24"/>
          <w:u w:val="single"/>
        </w:rPr>
        <w:t xml:space="preserve">Serotoninsyndrom </w:t>
      </w:r>
    </w:p>
    <w:p w14:paraId="25BCC24F" w14:textId="77777777" w:rsidR="00B56C47" w:rsidRPr="00B56C47" w:rsidRDefault="00B56C47" w:rsidP="00B56C47">
      <w:pPr>
        <w:tabs>
          <w:tab w:val="left" w:pos="851"/>
        </w:tabs>
        <w:ind w:left="851"/>
        <w:rPr>
          <w:sz w:val="24"/>
          <w:szCs w:val="24"/>
        </w:rPr>
      </w:pPr>
      <w:r w:rsidRPr="00B56C47">
        <w:rPr>
          <w:sz w:val="24"/>
          <w:szCs w:val="24"/>
        </w:rPr>
        <w:t xml:space="preserve">Samtidig administration af Buprenorphine "G.L. Pharma" og andre serotonerge midler, f.eks. MAO-hæmmere, selektive serotoningenoptagelseshæmmere (SSRI'er), serotonin-noradrenalin-genoptagelseshæmmere (SNRI'er) eller tricykliske antidepressive stoffer kan medføre serotoninsyndrom, der er en potentielt livstruende tilstand (se pkt. 4.5). </w:t>
      </w:r>
    </w:p>
    <w:p w14:paraId="557712DC" w14:textId="77777777" w:rsidR="00B56C47" w:rsidRPr="00B56C47" w:rsidRDefault="00B56C47" w:rsidP="00B56C47">
      <w:pPr>
        <w:tabs>
          <w:tab w:val="left" w:pos="851"/>
        </w:tabs>
        <w:ind w:left="851"/>
        <w:rPr>
          <w:sz w:val="24"/>
          <w:szCs w:val="24"/>
        </w:rPr>
      </w:pPr>
      <w:r w:rsidRPr="00B56C47">
        <w:rPr>
          <w:sz w:val="24"/>
          <w:szCs w:val="24"/>
        </w:rPr>
        <w:t xml:space="preserve">Hvis samtidig behandling med andre serotonerge midler er klinisk indiceret, tilrådes det at overvåge patienten grundigt, især ved påbegyndelse af behandlingen og øgning af dosis. </w:t>
      </w:r>
    </w:p>
    <w:p w14:paraId="541B6AAC" w14:textId="77777777" w:rsidR="00B56C47" w:rsidRPr="00B56C47" w:rsidRDefault="00B56C47" w:rsidP="00B56C47">
      <w:pPr>
        <w:tabs>
          <w:tab w:val="left" w:pos="851"/>
        </w:tabs>
        <w:ind w:left="851"/>
        <w:rPr>
          <w:sz w:val="24"/>
          <w:szCs w:val="24"/>
        </w:rPr>
      </w:pPr>
      <w:r w:rsidRPr="00B56C47">
        <w:rPr>
          <w:sz w:val="24"/>
          <w:szCs w:val="24"/>
        </w:rPr>
        <w:t xml:space="preserve">Symptomer på serotoninsyndrom omfatter, men er ikke begrænset til, ændret mental status, autonom ustabilitet, neuromuskulære anomalier og/eller gastrointestinale symptomer. </w:t>
      </w:r>
    </w:p>
    <w:p w14:paraId="3AD81FC7" w14:textId="77777777" w:rsidR="00B56C47" w:rsidRPr="00B56C47" w:rsidRDefault="00B56C47" w:rsidP="00B56C47">
      <w:pPr>
        <w:tabs>
          <w:tab w:val="left" w:pos="851"/>
        </w:tabs>
        <w:ind w:left="851"/>
        <w:rPr>
          <w:sz w:val="24"/>
          <w:szCs w:val="24"/>
        </w:rPr>
      </w:pPr>
      <w:r w:rsidRPr="00B56C47">
        <w:rPr>
          <w:sz w:val="24"/>
          <w:szCs w:val="24"/>
        </w:rPr>
        <w:t>Hvis der er mistanke om serotoninsyndrom, bør dosisreduktion eller behandlingsophør overvejes, afhængigt af symptomernes sværhedsgrad.</w:t>
      </w:r>
    </w:p>
    <w:p w14:paraId="1047E039" w14:textId="77777777" w:rsidR="00B56C47" w:rsidRPr="00B56C47" w:rsidRDefault="00B56C47" w:rsidP="00B56C47">
      <w:pPr>
        <w:tabs>
          <w:tab w:val="left" w:pos="851"/>
        </w:tabs>
        <w:ind w:left="851"/>
        <w:rPr>
          <w:sz w:val="24"/>
          <w:szCs w:val="24"/>
        </w:rPr>
      </w:pPr>
    </w:p>
    <w:p w14:paraId="3071B6C3" w14:textId="77777777" w:rsidR="00B56C47" w:rsidRPr="00B56C47" w:rsidRDefault="00B56C47" w:rsidP="00B56C47">
      <w:pPr>
        <w:tabs>
          <w:tab w:val="left" w:pos="851"/>
        </w:tabs>
        <w:ind w:left="851"/>
        <w:rPr>
          <w:sz w:val="24"/>
          <w:szCs w:val="24"/>
          <w:u w:val="single"/>
        </w:rPr>
      </w:pPr>
      <w:r w:rsidRPr="00B56C47">
        <w:rPr>
          <w:sz w:val="24"/>
          <w:szCs w:val="24"/>
          <w:u w:val="single"/>
        </w:rPr>
        <w:t xml:space="preserve">Tolerance og opioidbrugsforstyrrelse (misbrug og afhængighed) </w:t>
      </w:r>
    </w:p>
    <w:p w14:paraId="7B1B1EE9" w14:textId="77777777" w:rsidR="00B56C47" w:rsidRPr="00B56C47" w:rsidRDefault="00B56C47" w:rsidP="00B56C47">
      <w:pPr>
        <w:tabs>
          <w:tab w:val="left" w:pos="851"/>
        </w:tabs>
        <w:ind w:left="851"/>
        <w:rPr>
          <w:sz w:val="24"/>
          <w:szCs w:val="24"/>
        </w:rPr>
      </w:pPr>
      <w:r w:rsidRPr="00B56C47">
        <w:rPr>
          <w:sz w:val="24"/>
          <w:szCs w:val="24"/>
        </w:rPr>
        <w:t xml:space="preserve">Tolerance, fysisk og psykologisk afhængighed og opioidbrugsforstyrrelse (OUD) kan udvikles ved gentagen administration af opioider såsom Buprenorphine "G.L. Pharma". Gentagen brug af Buprenorphine "G.L. Pharma" kan føre til OUD. En højere dosis og længere varighed af opioidbehandling kan øge risikoen for at udvikle OUD. Misbrug eller bevidst forkert anvendelse af Buprenorphine "G.L. Pharma" kan resultere i overdosis og/eller død. Risikoen for at udvikle OUD er øget hos patienter med en personlig eller slægtsanamnese (forældre eller søskende) af stofmisbrug (herunder alkoholmisbrug), hos nuværende tobaksbrugere eller hos patienter med en personlig anamnese med andre psykiske lidelser (f.eks. svær depression, angst og personlighedsforstyrrelser). </w:t>
      </w:r>
    </w:p>
    <w:p w14:paraId="5A7DCD06" w14:textId="77777777" w:rsidR="00B56C47" w:rsidRPr="00B56C47" w:rsidRDefault="00B56C47" w:rsidP="00B56C47">
      <w:pPr>
        <w:tabs>
          <w:tab w:val="left" w:pos="851"/>
        </w:tabs>
        <w:ind w:left="851"/>
        <w:rPr>
          <w:sz w:val="24"/>
          <w:szCs w:val="24"/>
        </w:rPr>
      </w:pPr>
    </w:p>
    <w:p w14:paraId="272F4D1A" w14:textId="77777777" w:rsidR="00B56C47" w:rsidRPr="00B56C47" w:rsidRDefault="00B56C47" w:rsidP="00B56C47">
      <w:pPr>
        <w:tabs>
          <w:tab w:val="left" w:pos="851"/>
        </w:tabs>
        <w:ind w:left="851"/>
        <w:rPr>
          <w:sz w:val="24"/>
          <w:szCs w:val="24"/>
        </w:rPr>
      </w:pPr>
      <w:r w:rsidRPr="00B56C47">
        <w:rPr>
          <w:sz w:val="24"/>
          <w:szCs w:val="24"/>
        </w:rPr>
        <w:t xml:space="preserve">Inden behandling med Buprenorphine "G.L. Pharma" påbegyndes og under behandlingen, bør behandlingsmål og en seponeringsplan aftales med patienten (se pkt. 4.2). Før og under behandlingen bør patienten også informeres om risikoen for og tegnene på opioidbrugsforstyrrelse (OUD). Hvis disse tegn opstår, bør patienten opfordres til at kontakte deres læge. </w:t>
      </w:r>
    </w:p>
    <w:p w14:paraId="5CADA3D4" w14:textId="77777777" w:rsidR="00B56C47" w:rsidRPr="00B56C47" w:rsidRDefault="00B56C47" w:rsidP="00B56C47">
      <w:pPr>
        <w:tabs>
          <w:tab w:val="left" w:pos="851"/>
        </w:tabs>
        <w:ind w:left="851"/>
        <w:rPr>
          <w:sz w:val="24"/>
          <w:szCs w:val="24"/>
        </w:rPr>
      </w:pPr>
      <w:r w:rsidRPr="00B56C47">
        <w:rPr>
          <w:sz w:val="24"/>
          <w:szCs w:val="24"/>
        </w:rPr>
        <w:t>Patienter bør monitoreres for tegn på stofsøgende adfærd (f.eks. for tidlige anmodninger om genopfyldning). Dette omfatter gennemgang af patientens brug af andre opioider og psykoaktive stoffer (som benzodiazepiner). For patienter med tegn og symptomer på opioidbrugsforstyrrelse bør konsultation med en afhængighedsspecialist overvejes.</w:t>
      </w:r>
    </w:p>
    <w:p w14:paraId="0C72DD80" w14:textId="77777777" w:rsidR="00B56C47" w:rsidRPr="00B56C47" w:rsidRDefault="00B56C47" w:rsidP="00B56C47">
      <w:pPr>
        <w:tabs>
          <w:tab w:val="left" w:pos="851"/>
        </w:tabs>
        <w:ind w:left="851"/>
        <w:rPr>
          <w:sz w:val="24"/>
          <w:szCs w:val="24"/>
        </w:rPr>
      </w:pPr>
    </w:p>
    <w:p w14:paraId="2DA8370A" w14:textId="77777777" w:rsidR="00B56C47" w:rsidRPr="00B56C47" w:rsidRDefault="00B56C47" w:rsidP="00B56C47">
      <w:pPr>
        <w:tabs>
          <w:tab w:val="left" w:pos="851"/>
        </w:tabs>
        <w:ind w:left="851"/>
        <w:rPr>
          <w:sz w:val="24"/>
          <w:szCs w:val="24"/>
          <w:u w:val="single"/>
        </w:rPr>
      </w:pPr>
      <w:r w:rsidRPr="00B56C47">
        <w:rPr>
          <w:sz w:val="24"/>
          <w:szCs w:val="24"/>
          <w:u w:val="single"/>
        </w:rPr>
        <w:t>Brug hos opioidafhængige patienter</w:t>
      </w:r>
    </w:p>
    <w:p w14:paraId="23677590" w14:textId="77777777" w:rsidR="00B56C47" w:rsidRPr="00B56C47" w:rsidRDefault="00B56C47" w:rsidP="00B56C47">
      <w:pPr>
        <w:tabs>
          <w:tab w:val="left" w:pos="851"/>
        </w:tabs>
        <w:ind w:left="851"/>
        <w:rPr>
          <w:sz w:val="24"/>
          <w:szCs w:val="24"/>
        </w:rPr>
      </w:pPr>
      <w:r w:rsidRPr="00B56C47">
        <w:rPr>
          <w:sz w:val="24"/>
          <w:szCs w:val="24"/>
        </w:rPr>
        <w:t>Analgetika, der indeholder buprenorphin kan fremkalde seponeringssyndrom hos opioidafhængige patienter, som anvender komplette opioidagonister som f.eks. methadon eller heroin.</w:t>
      </w:r>
    </w:p>
    <w:p w14:paraId="5315D321" w14:textId="77777777" w:rsidR="00B56C47" w:rsidRPr="00B56C47" w:rsidRDefault="00B56C47" w:rsidP="00B56C47">
      <w:pPr>
        <w:tabs>
          <w:tab w:val="left" w:pos="851"/>
        </w:tabs>
        <w:ind w:left="851"/>
        <w:rPr>
          <w:sz w:val="24"/>
          <w:szCs w:val="24"/>
        </w:rPr>
      </w:pPr>
      <w:r w:rsidRPr="00B56C47">
        <w:rPr>
          <w:sz w:val="24"/>
          <w:szCs w:val="24"/>
        </w:rPr>
        <w:t>Der skal ligeledes udvises forsigtighed ved ordinering af buprenorphin som analgetikum til narkotikamisbrugere, eller til patienter med opioidafhængighed i anamnesen.</w:t>
      </w:r>
    </w:p>
    <w:p w14:paraId="07516D36" w14:textId="77777777" w:rsidR="00B56C47" w:rsidRPr="00B56C47" w:rsidRDefault="00B56C47" w:rsidP="00B56C47">
      <w:pPr>
        <w:tabs>
          <w:tab w:val="left" w:pos="851"/>
        </w:tabs>
        <w:ind w:left="851"/>
        <w:rPr>
          <w:sz w:val="24"/>
          <w:szCs w:val="24"/>
        </w:rPr>
      </w:pPr>
    </w:p>
    <w:p w14:paraId="59D76A63" w14:textId="77777777" w:rsidR="00B56C47" w:rsidRPr="00B56C47" w:rsidRDefault="00B56C47" w:rsidP="00B56C47">
      <w:pPr>
        <w:tabs>
          <w:tab w:val="left" w:pos="851"/>
        </w:tabs>
        <w:ind w:left="851"/>
        <w:rPr>
          <w:sz w:val="24"/>
          <w:szCs w:val="24"/>
          <w:u w:val="single"/>
        </w:rPr>
      </w:pPr>
      <w:r w:rsidRPr="00B56C47">
        <w:rPr>
          <w:sz w:val="24"/>
          <w:szCs w:val="24"/>
          <w:u w:val="single"/>
        </w:rPr>
        <w:t>Nedsat leverfunktion</w:t>
      </w:r>
    </w:p>
    <w:p w14:paraId="39DA9A89" w14:textId="77777777" w:rsidR="00B56C47" w:rsidRPr="00B56C47" w:rsidRDefault="00B56C47" w:rsidP="00B56C47">
      <w:pPr>
        <w:tabs>
          <w:tab w:val="left" w:pos="851"/>
        </w:tabs>
        <w:ind w:left="851"/>
        <w:rPr>
          <w:sz w:val="24"/>
          <w:szCs w:val="24"/>
        </w:rPr>
      </w:pPr>
      <w:r w:rsidRPr="00B56C47">
        <w:rPr>
          <w:sz w:val="24"/>
          <w:szCs w:val="24"/>
        </w:rPr>
        <w:t xml:space="preserve">Indvirkningen af leverinsufficiens på buprenorphins farmakokinetik er blevet undersøgt i et postmarketing-studie. Da buprenorphin i høj grad metaboliseres i leveren, blev der set øgede plasmaniveauer hos patienter med moderat og svær leverinsufficiens. Patienter bør monitoreres for tegn og symptomer på toksicitet eller overdosering som følge af øgede niveauer af buprenorphin. Buprenorphin bør anvendes med forsigtighed hos patienter med nedsat leverfunktion. Buprenorphin er kontraindiceret hos patienter med svær leverinsufficiens. </w:t>
      </w:r>
    </w:p>
    <w:p w14:paraId="1267411B" w14:textId="77777777" w:rsidR="00B56C47" w:rsidRPr="00B56C47" w:rsidRDefault="00B56C47" w:rsidP="00B56C47">
      <w:pPr>
        <w:tabs>
          <w:tab w:val="left" w:pos="851"/>
        </w:tabs>
        <w:ind w:left="851"/>
        <w:rPr>
          <w:sz w:val="24"/>
          <w:szCs w:val="24"/>
        </w:rPr>
      </w:pPr>
    </w:p>
    <w:p w14:paraId="1E39594A" w14:textId="77777777" w:rsidR="00B56C47" w:rsidRPr="00B56C47" w:rsidRDefault="00B56C47" w:rsidP="00B56C47">
      <w:pPr>
        <w:tabs>
          <w:tab w:val="left" w:pos="851"/>
        </w:tabs>
        <w:ind w:left="851"/>
        <w:rPr>
          <w:sz w:val="24"/>
          <w:szCs w:val="24"/>
        </w:rPr>
      </w:pPr>
      <w:r w:rsidRPr="00B56C47">
        <w:rPr>
          <w:sz w:val="24"/>
          <w:szCs w:val="24"/>
        </w:rPr>
        <w:t xml:space="preserve">Buprenorphin har vist sig at øge trykket i galdevejene i samme omfang som andre opioidanalgetika; det skal derfor administreres med forsigtighed til patienter med galdevejssygdomme. </w:t>
      </w:r>
    </w:p>
    <w:p w14:paraId="1923335E" w14:textId="77777777" w:rsidR="00B56C47" w:rsidRPr="00B56C47" w:rsidRDefault="00B56C47" w:rsidP="00B56C47">
      <w:pPr>
        <w:tabs>
          <w:tab w:val="left" w:pos="851"/>
        </w:tabs>
        <w:ind w:left="851"/>
        <w:rPr>
          <w:sz w:val="24"/>
          <w:szCs w:val="24"/>
        </w:rPr>
      </w:pPr>
    </w:p>
    <w:p w14:paraId="76765B90" w14:textId="77777777" w:rsidR="00B56C47" w:rsidRPr="00B56C47" w:rsidRDefault="00B56C47" w:rsidP="00B56C47">
      <w:pPr>
        <w:tabs>
          <w:tab w:val="left" w:pos="851"/>
        </w:tabs>
        <w:ind w:left="851"/>
        <w:rPr>
          <w:sz w:val="24"/>
          <w:szCs w:val="24"/>
          <w:u w:val="single"/>
        </w:rPr>
      </w:pPr>
      <w:r w:rsidRPr="00B56C47">
        <w:rPr>
          <w:sz w:val="24"/>
          <w:szCs w:val="24"/>
          <w:u w:val="single"/>
        </w:rPr>
        <w:t>Nedsat nyrefunktion</w:t>
      </w:r>
    </w:p>
    <w:p w14:paraId="5DC85E89" w14:textId="77777777" w:rsidR="00B56C47" w:rsidRPr="00B56C47" w:rsidRDefault="00B56C47" w:rsidP="00B56C47">
      <w:pPr>
        <w:tabs>
          <w:tab w:val="left" w:pos="851"/>
        </w:tabs>
        <w:ind w:left="851"/>
        <w:rPr>
          <w:sz w:val="24"/>
          <w:szCs w:val="24"/>
        </w:rPr>
      </w:pPr>
      <w:r w:rsidRPr="00B56C47">
        <w:rPr>
          <w:sz w:val="24"/>
          <w:szCs w:val="24"/>
        </w:rPr>
        <w:t>Den renale elimination kan være forlænget, idet 30 % af den administrerede dosis elimineres renalt. Buprenorphins metabolitter akkumuleres hos patienter med nedsat nyrefunktion. Forsigtighed tilrådes ved dosering til patienter med nedsat nyrefunktion eller svært nedsat nyreinsufficiens (kreatininclearance &lt; 30 ml/ min).</w:t>
      </w:r>
    </w:p>
    <w:p w14:paraId="6ADF8C54" w14:textId="77777777" w:rsidR="00B56C47" w:rsidRPr="00B56C47" w:rsidRDefault="00B56C47" w:rsidP="00B56C47">
      <w:pPr>
        <w:tabs>
          <w:tab w:val="left" w:pos="851"/>
        </w:tabs>
        <w:ind w:left="851"/>
        <w:rPr>
          <w:sz w:val="24"/>
          <w:szCs w:val="24"/>
        </w:rPr>
      </w:pPr>
    </w:p>
    <w:p w14:paraId="1D175533" w14:textId="77777777" w:rsidR="00B56C47" w:rsidRPr="00B56C47" w:rsidRDefault="00B56C47" w:rsidP="00B56C47">
      <w:pPr>
        <w:tabs>
          <w:tab w:val="left" w:pos="851"/>
        </w:tabs>
        <w:ind w:left="851"/>
        <w:rPr>
          <w:sz w:val="24"/>
          <w:szCs w:val="24"/>
          <w:u w:val="single"/>
        </w:rPr>
      </w:pPr>
      <w:r w:rsidRPr="00B56C47">
        <w:rPr>
          <w:sz w:val="24"/>
          <w:szCs w:val="24"/>
          <w:u w:val="single"/>
        </w:rPr>
        <w:t>Kardiovaskulære virkninger</w:t>
      </w:r>
    </w:p>
    <w:p w14:paraId="73DB5E4A" w14:textId="77777777" w:rsidR="00B56C47" w:rsidRPr="00B56C47" w:rsidRDefault="00B56C47" w:rsidP="00B56C47">
      <w:pPr>
        <w:tabs>
          <w:tab w:val="left" w:pos="851"/>
        </w:tabs>
        <w:ind w:left="851"/>
        <w:rPr>
          <w:sz w:val="24"/>
          <w:szCs w:val="24"/>
        </w:rPr>
      </w:pPr>
      <w:r w:rsidRPr="00B56C47">
        <w:rPr>
          <w:sz w:val="24"/>
          <w:szCs w:val="24"/>
        </w:rPr>
        <w:t>Buprenorphin kan forårsage en let reduktion i pulsfrekvens og blodtryk hos nogle patienter.</w:t>
      </w:r>
    </w:p>
    <w:p w14:paraId="41BD3332" w14:textId="77777777" w:rsidR="00B56C47" w:rsidRPr="00B56C47" w:rsidRDefault="00B56C47" w:rsidP="00B56C47">
      <w:pPr>
        <w:tabs>
          <w:tab w:val="left" w:pos="851"/>
        </w:tabs>
        <w:ind w:left="851"/>
        <w:rPr>
          <w:sz w:val="24"/>
          <w:szCs w:val="24"/>
        </w:rPr>
      </w:pPr>
      <w:r w:rsidRPr="00B56C47">
        <w:rPr>
          <w:sz w:val="24"/>
          <w:szCs w:val="24"/>
        </w:rPr>
        <w:t>I lighed med andre opioider kan buprenorphin frembringe ortostatisk hypotension hos ambulante patienter.</w:t>
      </w:r>
    </w:p>
    <w:p w14:paraId="1261D7D0" w14:textId="77777777" w:rsidR="00B56C47" w:rsidRPr="00B56C47" w:rsidRDefault="00B56C47" w:rsidP="00B56C47">
      <w:pPr>
        <w:tabs>
          <w:tab w:val="left" w:pos="851"/>
        </w:tabs>
        <w:ind w:left="851"/>
        <w:rPr>
          <w:sz w:val="24"/>
          <w:szCs w:val="24"/>
        </w:rPr>
      </w:pPr>
    </w:p>
    <w:p w14:paraId="4EA10773" w14:textId="77777777" w:rsidR="00B56C47" w:rsidRPr="00B56C47" w:rsidRDefault="00B56C47" w:rsidP="00B56C47">
      <w:pPr>
        <w:tabs>
          <w:tab w:val="left" w:pos="851"/>
        </w:tabs>
        <w:ind w:left="851"/>
        <w:rPr>
          <w:sz w:val="24"/>
          <w:szCs w:val="24"/>
          <w:u w:val="single"/>
        </w:rPr>
      </w:pPr>
      <w:r w:rsidRPr="00B56C47">
        <w:rPr>
          <w:sz w:val="24"/>
          <w:szCs w:val="24"/>
          <w:u w:val="single"/>
        </w:rPr>
        <w:t>Hovedtraumer og øget intrakranielt tryk</w:t>
      </w:r>
    </w:p>
    <w:p w14:paraId="45844B27" w14:textId="77777777" w:rsidR="00B56C47" w:rsidRPr="00B56C47" w:rsidRDefault="00B56C47" w:rsidP="00B56C47">
      <w:pPr>
        <w:tabs>
          <w:tab w:val="left" w:pos="851"/>
        </w:tabs>
        <w:ind w:left="851"/>
        <w:rPr>
          <w:sz w:val="24"/>
          <w:szCs w:val="24"/>
        </w:rPr>
      </w:pPr>
      <w:r w:rsidRPr="00B56C47">
        <w:rPr>
          <w:sz w:val="24"/>
          <w:szCs w:val="24"/>
        </w:rPr>
        <w:t>I lighed med andre potente opioider kan buprenorphin muligvis øge cerebrospinalvæsketrykket og bør derfor anvendes med forsigtighed hos patienter med hovedtraumer, intrakranielle læsioner og andre omstændigheder, hvor cerebrospinaltrykket kan blive øget. Denne effekt kan i kombination med den respirationshæmmende virkning være markant forstærket hos patienter med hovedskader. Da buprenorphin også kan forårsage miosis og forandringer i bevidsthedsniveauet, kan det kliniske forløb af patienter med hovedskader blive maskeret og vurderingen af det kliniske billede kan vanskeliggøres.</w:t>
      </w:r>
    </w:p>
    <w:p w14:paraId="7F440216" w14:textId="77777777" w:rsidR="00B56C47" w:rsidRPr="00B56C47" w:rsidRDefault="00B56C47" w:rsidP="00B56C47">
      <w:pPr>
        <w:tabs>
          <w:tab w:val="left" w:pos="851"/>
        </w:tabs>
        <w:ind w:left="851"/>
        <w:rPr>
          <w:sz w:val="24"/>
          <w:szCs w:val="24"/>
        </w:rPr>
      </w:pPr>
    </w:p>
    <w:p w14:paraId="6F110DE9" w14:textId="77777777" w:rsidR="00B56C47" w:rsidRPr="00B56C47" w:rsidRDefault="00B56C47" w:rsidP="00B56C47">
      <w:pPr>
        <w:tabs>
          <w:tab w:val="left" w:pos="851"/>
        </w:tabs>
        <w:ind w:left="851"/>
        <w:rPr>
          <w:sz w:val="24"/>
          <w:szCs w:val="24"/>
          <w:u w:val="single"/>
        </w:rPr>
      </w:pPr>
      <w:r w:rsidRPr="00B56C47">
        <w:rPr>
          <w:sz w:val="24"/>
          <w:szCs w:val="24"/>
          <w:u w:val="single"/>
        </w:rPr>
        <w:t>Akutte mavetilstande</w:t>
      </w:r>
    </w:p>
    <w:p w14:paraId="136DAEB0" w14:textId="77777777" w:rsidR="00B56C47" w:rsidRPr="00B56C47" w:rsidRDefault="00B56C47" w:rsidP="00B56C47">
      <w:pPr>
        <w:tabs>
          <w:tab w:val="left" w:pos="851"/>
        </w:tabs>
        <w:ind w:left="851"/>
        <w:rPr>
          <w:sz w:val="24"/>
          <w:szCs w:val="24"/>
        </w:rPr>
      </w:pPr>
      <w:r w:rsidRPr="00B56C47">
        <w:rPr>
          <w:sz w:val="24"/>
          <w:szCs w:val="24"/>
        </w:rPr>
        <w:t xml:space="preserve">Som med andre </w:t>
      </w:r>
      <w:r w:rsidRPr="00B56C47">
        <w:rPr>
          <w:sz w:val="24"/>
          <w:szCs w:val="24"/>
          <w:lang w:val="en-GB"/>
        </w:rPr>
        <w:t>μ</w:t>
      </w:r>
      <w:r w:rsidRPr="00B56C47">
        <w:rPr>
          <w:sz w:val="24"/>
          <w:szCs w:val="24"/>
        </w:rPr>
        <w:t>-opioid-receptoragonister kan administration af buprenorphin tilsløre diagnosen eller det kliniske forløb hos patienter med akutte mavetilstande.</w:t>
      </w:r>
    </w:p>
    <w:p w14:paraId="71D36330" w14:textId="77777777" w:rsidR="00B56C47" w:rsidRPr="00B56C47" w:rsidRDefault="00B56C47" w:rsidP="00B56C47">
      <w:pPr>
        <w:tabs>
          <w:tab w:val="left" w:pos="851"/>
        </w:tabs>
        <w:ind w:left="851"/>
        <w:rPr>
          <w:sz w:val="24"/>
          <w:szCs w:val="24"/>
        </w:rPr>
      </w:pPr>
    </w:p>
    <w:p w14:paraId="55910CB1" w14:textId="77777777" w:rsidR="00B56C47" w:rsidRPr="00B56C47" w:rsidRDefault="00B56C47" w:rsidP="00B56C47">
      <w:pPr>
        <w:tabs>
          <w:tab w:val="left" w:pos="851"/>
        </w:tabs>
        <w:ind w:left="851"/>
        <w:rPr>
          <w:sz w:val="24"/>
          <w:szCs w:val="24"/>
          <w:u w:val="single"/>
        </w:rPr>
      </w:pPr>
      <w:r w:rsidRPr="00B56C47">
        <w:rPr>
          <w:sz w:val="24"/>
          <w:szCs w:val="24"/>
          <w:u w:val="single"/>
        </w:rPr>
        <w:t>Generelle advarsler om opioid-klassen</w:t>
      </w:r>
    </w:p>
    <w:p w14:paraId="0998002B" w14:textId="77777777" w:rsidR="00B56C47" w:rsidRPr="00B56C47" w:rsidRDefault="00B56C47" w:rsidP="00B56C47">
      <w:pPr>
        <w:tabs>
          <w:tab w:val="left" w:pos="851"/>
        </w:tabs>
        <w:ind w:left="851"/>
        <w:rPr>
          <w:sz w:val="24"/>
          <w:szCs w:val="24"/>
        </w:rPr>
      </w:pPr>
      <w:r w:rsidRPr="00B56C47">
        <w:rPr>
          <w:sz w:val="24"/>
          <w:szCs w:val="24"/>
        </w:rPr>
        <w:t xml:space="preserve">Hos patienter med følgende lidelser kræves særlig omhyggelig medicinsk overvågning: </w:t>
      </w:r>
    </w:p>
    <w:p w14:paraId="274B1EF4" w14:textId="77777777" w:rsidR="00B56C47" w:rsidRPr="00B56C47" w:rsidRDefault="00B56C47" w:rsidP="00B56C47">
      <w:pPr>
        <w:numPr>
          <w:ilvl w:val="0"/>
          <w:numId w:val="7"/>
        </w:numPr>
        <w:tabs>
          <w:tab w:val="left" w:pos="851"/>
        </w:tabs>
        <w:ind w:left="1134" w:hanging="283"/>
        <w:rPr>
          <w:sz w:val="24"/>
          <w:szCs w:val="24"/>
        </w:rPr>
      </w:pPr>
      <w:r w:rsidRPr="00B56C47">
        <w:rPr>
          <w:sz w:val="24"/>
          <w:szCs w:val="24"/>
        </w:rPr>
        <w:t>myksødem eller hypothyreoidisme,</w:t>
      </w:r>
    </w:p>
    <w:p w14:paraId="07EF4C5D" w14:textId="77777777" w:rsidR="00B56C47" w:rsidRPr="00B56C47" w:rsidRDefault="00B56C47" w:rsidP="00B56C47">
      <w:pPr>
        <w:numPr>
          <w:ilvl w:val="0"/>
          <w:numId w:val="7"/>
        </w:numPr>
        <w:tabs>
          <w:tab w:val="left" w:pos="851"/>
        </w:tabs>
        <w:ind w:left="1134" w:hanging="283"/>
        <w:rPr>
          <w:sz w:val="24"/>
          <w:szCs w:val="24"/>
        </w:rPr>
      </w:pPr>
      <w:r w:rsidRPr="00B56C47">
        <w:rPr>
          <w:sz w:val="24"/>
          <w:szCs w:val="24"/>
        </w:rPr>
        <w:t>binyrebarkinsufficiens (såsom Addisons sygdom),</w:t>
      </w:r>
    </w:p>
    <w:p w14:paraId="02513779" w14:textId="77777777" w:rsidR="00B56C47" w:rsidRPr="00B56C47" w:rsidRDefault="00B56C47" w:rsidP="00B56C47">
      <w:pPr>
        <w:numPr>
          <w:ilvl w:val="0"/>
          <w:numId w:val="7"/>
        </w:numPr>
        <w:tabs>
          <w:tab w:val="left" w:pos="851"/>
        </w:tabs>
        <w:ind w:left="1134" w:hanging="283"/>
        <w:rPr>
          <w:sz w:val="24"/>
          <w:szCs w:val="24"/>
        </w:rPr>
      </w:pPr>
      <w:r w:rsidRPr="00B56C47">
        <w:rPr>
          <w:sz w:val="24"/>
          <w:szCs w:val="24"/>
        </w:rPr>
        <w:t>CNS-depression eller koma,</w:t>
      </w:r>
    </w:p>
    <w:p w14:paraId="00C9CC77" w14:textId="77777777" w:rsidR="00B56C47" w:rsidRPr="00B56C47" w:rsidRDefault="00B56C47" w:rsidP="00B56C47">
      <w:pPr>
        <w:numPr>
          <w:ilvl w:val="0"/>
          <w:numId w:val="7"/>
        </w:numPr>
        <w:tabs>
          <w:tab w:val="left" w:pos="851"/>
        </w:tabs>
        <w:ind w:left="1134" w:hanging="283"/>
        <w:rPr>
          <w:sz w:val="24"/>
          <w:szCs w:val="24"/>
        </w:rPr>
      </w:pPr>
      <w:r w:rsidRPr="00B56C47">
        <w:rPr>
          <w:sz w:val="24"/>
          <w:szCs w:val="24"/>
        </w:rPr>
        <w:lastRenderedPageBreak/>
        <w:t>toksisk psykose</w:t>
      </w:r>
    </w:p>
    <w:p w14:paraId="58B5AADA" w14:textId="77777777" w:rsidR="00B56C47" w:rsidRPr="00B56C47" w:rsidRDefault="00B56C47" w:rsidP="00B56C47">
      <w:pPr>
        <w:numPr>
          <w:ilvl w:val="0"/>
          <w:numId w:val="7"/>
        </w:numPr>
        <w:tabs>
          <w:tab w:val="left" w:pos="851"/>
        </w:tabs>
        <w:ind w:left="1134" w:hanging="283"/>
        <w:rPr>
          <w:sz w:val="24"/>
          <w:szCs w:val="24"/>
        </w:rPr>
      </w:pPr>
      <w:r w:rsidRPr="00B56C47">
        <w:rPr>
          <w:sz w:val="24"/>
          <w:szCs w:val="24"/>
        </w:rPr>
        <w:t>prostatahypertrofi eller ureteralstenose,</w:t>
      </w:r>
    </w:p>
    <w:p w14:paraId="4C6851D1" w14:textId="77777777" w:rsidR="00B56C47" w:rsidRPr="00B56C47" w:rsidRDefault="00B56C47" w:rsidP="00B56C47">
      <w:pPr>
        <w:numPr>
          <w:ilvl w:val="0"/>
          <w:numId w:val="7"/>
        </w:numPr>
        <w:tabs>
          <w:tab w:val="left" w:pos="851"/>
        </w:tabs>
        <w:ind w:left="1134" w:hanging="283"/>
        <w:rPr>
          <w:sz w:val="24"/>
          <w:szCs w:val="24"/>
        </w:rPr>
      </w:pPr>
      <w:r w:rsidRPr="00B56C47">
        <w:rPr>
          <w:sz w:val="24"/>
          <w:szCs w:val="24"/>
        </w:rPr>
        <w:t>kyphoscoliosis med restriktiv lungesygdom</w:t>
      </w:r>
    </w:p>
    <w:p w14:paraId="5917A9D9" w14:textId="77777777" w:rsidR="00B56C47" w:rsidRPr="00B56C47" w:rsidRDefault="00B56C47" w:rsidP="00B56C47">
      <w:pPr>
        <w:numPr>
          <w:ilvl w:val="0"/>
          <w:numId w:val="7"/>
        </w:numPr>
        <w:tabs>
          <w:tab w:val="left" w:pos="851"/>
        </w:tabs>
        <w:ind w:left="1134" w:hanging="283"/>
        <w:rPr>
          <w:sz w:val="24"/>
          <w:szCs w:val="24"/>
        </w:rPr>
      </w:pPr>
      <w:r w:rsidRPr="00B56C47">
        <w:rPr>
          <w:sz w:val="24"/>
          <w:szCs w:val="24"/>
        </w:rPr>
        <w:t xml:space="preserve">forsigtighed bør udvises hos ældre eller svækkede patienter samt hos patienter, der for nylig er blevet behandlet med narkotiske analgetika. </w:t>
      </w:r>
    </w:p>
    <w:p w14:paraId="7BDBCB63" w14:textId="77777777" w:rsidR="00B56C47" w:rsidRPr="00B56C47" w:rsidRDefault="00B56C47" w:rsidP="00B56C47">
      <w:pPr>
        <w:tabs>
          <w:tab w:val="left" w:pos="851"/>
        </w:tabs>
        <w:ind w:left="851"/>
        <w:rPr>
          <w:sz w:val="24"/>
          <w:szCs w:val="24"/>
        </w:rPr>
      </w:pPr>
    </w:p>
    <w:p w14:paraId="3A1681D6" w14:textId="77777777" w:rsidR="00B56C47" w:rsidRPr="00B56C47" w:rsidRDefault="00B56C47" w:rsidP="00B56C47">
      <w:pPr>
        <w:tabs>
          <w:tab w:val="left" w:pos="851"/>
        </w:tabs>
        <w:ind w:left="851"/>
        <w:rPr>
          <w:sz w:val="24"/>
          <w:szCs w:val="24"/>
        </w:rPr>
      </w:pPr>
      <w:r w:rsidRPr="00B56C47">
        <w:rPr>
          <w:sz w:val="24"/>
          <w:szCs w:val="24"/>
          <w:u w:val="single"/>
        </w:rPr>
        <w:t>Buprenorphine "G.L. Pharma" indeholder lactosemonohydrat og natrium</w:t>
      </w:r>
    </w:p>
    <w:p w14:paraId="0C7FC5BD" w14:textId="77777777" w:rsidR="00B56C47" w:rsidRPr="00B56C47" w:rsidRDefault="00B56C47" w:rsidP="00B56C47">
      <w:pPr>
        <w:tabs>
          <w:tab w:val="left" w:pos="851"/>
        </w:tabs>
        <w:ind w:left="851"/>
        <w:rPr>
          <w:sz w:val="24"/>
          <w:szCs w:val="24"/>
        </w:rPr>
      </w:pPr>
      <w:r w:rsidRPr="00B56C47">
        <w:rPr>
          <w:sz w:val="24"/>
          <w:szCs w:val="24"/>
        </w:rPr>
        <w:t>Bør ikke anvendes til patienter med hereditær galactoseintolerans, total lactasemangel eller glucose/galactosemalabsorption.</w:t>
      </w:r>
    </w:p>
    <w:p w14:paraId="1CD192B8" w14:textId="77777777" w:rsidR="00B56C47" w:rsidRPr="00B56C47" w:rsidRDefault="00B56C47" w:rsidP="00B56C47">
      <w:pPr>
        <w:tabs>
          <w:tab w:val="left" w:pos="851"/>
        </w:tabs>
        <w:ind w:left="851"/>
        <w:rPr>
          <w:sz w:val="24"/>
          <w:szCs w:val="24"/>
          <w:u w:val="single"/>
        </w:rPr>
      </w:pPr>
    </w:p>
    <w:p w14:paraId="2EF65305" w14:textId="77777777" w:rsidR="00B56C47" w:rsidRPr="00B56C47" w:rsidRDefault="00B56C47" w:rsidP="00B56C47">
      <w:pPr>
        <w:tabs>
          <w:tab w:val="left" w:pos="851"/>
        </w:tabs>
        <w:ind w:left="851"/>
        <w:rPr>
          <w:sz w:val="24"/>
          <w:szCs w:val="24"/>
        </w:rPr>
      </w:pPr>
      <w:r w:rsidRPr="00B56C47">
        <w:rPr>
          <w:sz w:val="24"/>
          <w:szCs w:val="24"/>
        </w:rPr>
        <w:t>Dette lægemiddel indeholder mindre end 1 mmol (23 mg) natrium pr. sublingual resoriblet, dvs. det er i det væsentlige natriumfrit.</w:t>
      </w:r>
    </w:p>
    <w:p w14:paraId="4DE753D2" w14:textId="77777777" w:rsidR="009260DE" w:rsidRPr="00C84483" w:rsidRDefault="009260DE" w:rsidP="009260DE">
      <w:pPr>
        <w:tabs>
          <w:tab w:val="left" w:pos="851"/>
        </w:tabs>
        <w:ind w:left="851"/>
        <w:rPr>
          <w:sz w:val="24"/>
          <w:szCs w:val="24"/>
        </w:rPr>
      </w:pPr>
    </w:p>
    <w:p w14:paraId="3E877A41" w14:textId="77777777" w:rsidR="009260DE" w:rsidRPr="00C84483" w:rsidRDefault="009260DE" w:rsidP="009260DE">
      <w:pPr>
        <w:tabs>
          <w:tab w:val="left" w:pos="851"/>
        </w:tabs>
        <w:ind w:left="851" w:hanging="851"/>
        <w:rPr>
          <w:b/>
          <w:sz w:val="24"/>
          <w:szCs w:val="24"/>
        </w:rPr>
      </w:pPr>
      <w:r w:rsidRPr="00C84483">
        <w:rPr>
          <w:b/>
          <w:sz w:val="24"/>
          <w:szCs w:val="24"/>
        </w:rPr>
        <w:t>4.5</w:t>
      </w:r>
      <w:r w:rsidRPr="00C84483">
        <w:rPr>
          <w:b/>
          <w:sz w:val="24"/>
          <w:szCs w:val="24"/>
        </w:rPr>
        <w:tab/>
        <w:t>Interaktion med andre lægemidler og andre former for interaktion</w:t>
      </w:r>
    </w:p>
    <w:p w14:paraId="42F9BB06" w14:textId="77777777" w:rsidR="0020272D" w:rsidRPr="0020272D" w:rsidRDefault="0020272D" w:rsidP="0020272D">
      <w:pPr>
        <w:tabs>
          <w:tab w:val="left" w:pos="851"/>
        </w:tabs>
        <w:ind w:left="851"/>
        <w:rPr>
          <w:sz w:val="24"/>
          <w:szCs w:val="24"/>
        </w:rPr>
      </w:pPr>
    </w:p>
    <w:p w14:paraId="0188BF6F" w14:textId="77777777" w:rsidR="0020272D" w:rsidRPr="0020272D" w:rsidRDefault="0020272D" w:rsidP="0020272D">
      <w:pPr>
        <w:tabs>
          <w:tab w:val="left" w:pos="851"/>
        </w:tabs>
        <w:ind w:left="851"/>
        <w:rPr>
          <w:sz w:val="24"/>
          <w:szCs w:val="24"/>
          <w:u w:val="single"/>
        </w:rPr>
      </w:pPr>
      <w:r w:rsidRPr="0020272D">
        <w:rPr>
          <w:sz w:val="24"/>
          <w:szCs w:val="24"/>
          <w:u w:val="single"/>
        </w:rPr>
        <w:t>Serotonerge lægemidler</w:t>
      </w:r>
    </w:p>
    <w:p w14:paraId="77543EDA" w14:textId="77777777" w:rsidR="0020272D" w:rsidRPr="0020272D" w:rsidRDefault="0020272D" w:rsidP="0020272D">
      <w:pPr>
        <w:tabs>
          <w:tab w:val="left" w:pos="851"/>
        </w:tabs>
        <w:ind w:left="851"/>
        <w:rPr>
          <w:sz w:val="24"/>
          <w:szCs w:val="24"/>
        </w:rPr>
      </w:pPr>
      <w:r w:rsidRPr="0020272D">
        <w:rPr>
          <w:sz w:val="24"/>
          <w:szCs w:val="24"/>
        </w:rPr>
        <w:t>Serotonerge lægemidler, f.eks. MAO-hæmmere, selektive serotoningenoptagelses</w:t>
      </w:r>
      <w:r w:rsidRPr="0020272D">
        <w:rPr>
          <w:sz w:val="24"/>
          <w:szCs w:val="24"/>
        </w:rPr>
        <w:softHyphen/>
        <w:t xml:space="preserve">hæmmere (SSRI'er), serotonin-noradrenalin-genoptagelseshæmmere (SNRI'er) eller tricykliske antidepressive stoffer, da risikoen for serotoninsyndrom, der er en potentielt livstruende tilstand, er øget (se pkt. 4.4). Risikoen for serotoninsyndrom er lav med buprenorphin, men det er blevet observeret med andre opioider. </w:t>
      </w:r>
    </w:p>
    <w:p w14:paraId="75FC36A4" w14:textId="77777777" w:rsidR="0020272D" w:rsidRPr="0020272D" w:rsidRDefault="0020272D" w:rsidP="0020272D">
      <w:pPr>
        <w:tabs>
          <w:tab w:val="left" w:pos="851"/>
        </w:tabs>
        <w:ind w:left="851"/>
        <w:rPr>
          <w:sz w:val="24"/>
          <w:szCs w:val="24"/>
          <w:u w:val="single"/>
        </w:rPr>
      </w:pPr>
    </w:p>
    <w:p w14:paraId="67C91EBF" w14:textId="77777777" w:rsidR="0020272D" w:rsidRPr="0020272D" w:rsidRDefault="0020272D" w:rsidP="0020272D">
      <w:pPr>
        <w:tabs>
          <w:tab w:val="left" w:pos="851"/>
        </w:tabs>
        <w:ind w:left="851"/>
        <w:rPr>
          <w:sz w:val="24"/>
          <w:szCs w:val="24"/>
          <w:u w:val="single"/>
        </w:rPr>
      </w:pPr>
      <w:r w:rsidRPr="0020272D">
        <w:rPr>
          <w:sz w:val="24"/>
          <w:szCs w:val="24"/>
          <w:u w:val="single"/>
        </w:rPr>
        <w:t xml:space="preserve">Sedativa, såsom benzodiazepiner eller beslægtede lægemidler </w:t>
      </w:r>
    </w:p>
    <w:p w14:paraId="7EEB1A8B" w14:textId="77777777" w:rsidR="0020272D" w:rsidRPr="0020272D" w:rsidRDefault="0020272D" w:rsidP="0020272D">
      <w:pPr>
        <w:tabs>
          <w:tab w:val="left" w:pos="851"/>
        </w:tabs>
        <w:ind w:left="851"/>
        <w:rPr>
          <w:sz w:val="24"/>
          <w:szCs w:val="24"/>
        </w:rPr>
      </w:pPr>
      <w:r w:rsidRPr="0020272D">
        <w:rPr>
          <w:sz w:val="24"/>
          <w:szCs w:val="24"/>
        </w:rPr>
        <w:t>Samtidig brug af opioider og sedativa, såsom benzodiazepiner eller beslægtede lægemidler, øger risikoen for sedation, respirationsdepression, koma og død som følge af additive CNS-hæmmende virkninger. Dosen og varigheden af samtidig brug bør begrænses (se pkt. 4.4).</w:t>
      </w:r>
    </w:p>
    <w:p w14:paraId="1C664AE6" w14:textId="77777777" w:rsidR="0020272D" w:rsidRPr="0020272D" w:rsidRDefault="0020272D" w:rsidP="0020272D">
      <w:pPr>
        <w:tabs>
          <w:tab w:val="left" w:pos="851"/>
        </w:tabs>
        <w:ind w:left="851"/>
        <w:rPr>
          <w:sz w:val="24"/>
          <w:szCs w:val="24"/>
        </w:rPr>
      </w:pPr>
    </w:p>
    <w:p w14:paraId="1B540B89" w14:textId="77777777" w:rsidR="0020272D" w:rsidRPr="0020272D" w:rsidRDefault="0020272D" w:rsidP="0020272D">
      <w:pPr>
        <w:tabs>
          <w:tab w:val="left" w:pos="851"/>
        </w:tabs>
        <w:ind w:left="851"/>
        <w:rPr>
          <w:sz w:val="24"/>
          <w:szCs w:val="24"/>
          <w:u w:val="single"/>
        </w:rPr>
      </w:pPr>
      <w:r w:rsidRPr="0020272D">
        <w:rPr>
          <w:sz w:val="24"/>
          <w:szCs w:val="24"/>
          <w:u w:val="single"/>
        </w:rPr>
        <w:t>Alkohol eller lægemiddel indeholdende alkohol</w:t>
      </w:r>
    </w:p>
    <w:p w14:paraId="1BE96A58" w14:textId="77777777" w:rsidR="0020272D" w:rsidRPr="0020272D" w:rsidRDefault="0020272D" w:rsidP="0020272D">
      <w:pPr>
        <w:tabs>
          <w:tab w:val="left" w:pos="851"/>
        </w:tabs>
        <w:ind w:left="851"/>
        <w:rPr>
          <w:sz w:val="24"/>
          <w:szCs w:val="24"/>
        </w:rPr>
      </w:pPr>
      <w:r w:rsidRPr="0020272D">
        <w:rPr>
          <w:sz w:val="24"/>
          <w:szCs w:val="24"/>
        </w:rPr>
        <w:t>Buprenorphin bør ikke indtages samtidig med alkohol eller lægemiddel indeholdende alkohol. Alkohol øger buprenorphins sedative virkning (se pkt. 4.7).</w:t>
      </w:r>
    </w:p>
    <w:p w14:paraId="64A178B4" w14:textId="77777777" w:rsidR="0020272D" w:rsidRPr="0020272D" w:rsidRDefault="0020272D" w:rsidP="0020272D">
      <w:pPr>
        <w:tabs>
          <w:tab w:val="left" w:pos="851"/>
        </w:tabs>
        <w:ind w:left="851"/>
        <w:rPr>
          <w:sz w:val="24"/>
          <w:szCs w:val="24"/>
        </w:rPr>
      </w:pPr>
    </w:p>
    <w:p w14:paraId="21A06DDB" w14:textId="77777777" w:rsidR="0020272D" w:rsidRPr="0020272D" w:rsidRDefault="0020272D" w:rsidP="0020272D">
      <w:pPr>
        <w:tabs>
          <w:tab w:val="left" w:pos="851"/>
        </w:tabs>
        <w:ind w:left="851"/>
        <w:rPr>
          <w:sz w:val="24"/>
          <w:szCs w:val="24"/>
          <w:u w:val="single"/>
        </w:rPr>
      </w:pPr>
      <w:r w:rsidRPr="0020272D">
        <w:rPr>
          <w:sz w:val="24"/>
          <w:szCs w:val="24"/>
          <w:u w:val="single"/>
        </w:rPr>
        <w:t xml:space="preserve">Andre hæmmere af det centrale nervesystem </w:t>
      </w:r>
    </w:p>
    <w:p w14:paraId="6798C75F" w14:textId="77777777" w:rsidR="0020272D" w:rsidRPr="0020272D" w:rsidRDefault="0020272D" w:rsidP="0020272D">
      <w:pPr>
        <w:tabs>
          <w:tab w:val="left" w:pos="851"/>
        </w:tabs>
        <w:ind w:left="851"/>
        <w:rPr>
          <w:sz w:val="24"/>
          <w:szCs w:val="24"/>
        </w:rPr>
      </w:pPr>
      <w:r w:rsidRPr="0020272D">
        <w:rPr>
          <w:sz w:val="24"/>
          <w:szCs w:val="24"/>
        </w:rPr>
        <w:t xml:space="preserve">Hvis taget sammen med buprenorphin kan den hæmmende virkning på centralnervesystemet forstærkes. Det nedsatte opmærksomhedsniveau kan gøre det farligt at føre motorkøretøj og betjene maskiner. </w:t>
      </w:r>
    </w:p>
    <w:p w14:paraId="6B2562D9" w14:textId="77777777" w:rsidR="0020272D" w:rsidRPr="0020272D" w:rsidRDefault="0020272D" w:rsidP="0020272D">
      <w:pPr>
        <w:tabs>
          <w:tab w:val="left" w:pos="851"/>
        </w:tabs>
        <w:ind w:left="851"/>
        <w:rPr>
          <w:sz w:val="24"/>
          <w:szCs w:val="24"/>
        </w:rPr>
      </w:pPr>
      <w:r w:rsidRPr="0020272D">
        <w:rPr>
          <w:sz w:val="24"/>
          <w:szCs w:val="24"/>
        </w:rPr>
        <w:t xml:space="preserve">CNS-hæmmende lægemidler omfatter andre opioidderivater (f.eks. methadon, analgetika, antitussiva), anæstetika, phenothiazin, andre beroligende midler, sederende hypnotika, visse antidepressiva, sederende H1-receptorantagonister, barbiturater, anxiolytika (ud over benzodiazepiner), neuroleptika, clonidin og beslægtede stoffer. Ved sådanne lægemiddelkombinationer er det vigtigt at reducere dosis af det ene eller begge lægemidler. </w:t>
      </w:r>
    </w:p>
    <w:p w14:paraId="144E08C9" w14:textId="77777777" w:rsidR="0020272D" w:rsidRPr="0020272D" w:rsidRDefault="0020272D" w:rsidP="0020272D">
      <w:pPr>
        <w:tabs>
          <w:tab w:val="left" w:pos="851"/>
        </w:tabs>
        <w:ind w:left="851"/>
        <w:rPr>
          <w:sz w:val="24"/>
          <w:szCs w:val="24"/>
        </w:rPr>
      </w:pPr>
      <w:r w:rsidRPr="0020272D">
        <w:rPr>
          <w:sz w:val="24"/>
          <w:szCs w:val="24"/>
        </w:rPr>
        <w:t>Samtidig brug af Buprenorphine "G.L. Pharma" og andre CNS-hæmmende lægemidler samt gabapentinoider (gabapentin og pregabalin) kan resultere i respirationsdepression, hypotension, dyb sedation, koma eller død (se pkt. 4.4).</w:t>
      </w:r>
    </w:p>
    <w:p w14:paraId="10B3B481" w14:textId="77777777" w:rsidR="0020272D" w:rsidRPr="0020272D" w:rsidRDefault="0020272D" w:rsidP="0020272D">
      <w:pPr>
        <w:tabs>
          <w:tab w:val="left" w:pos="851"/>
        </w:tabs>
        <w:ind w:left="851"/>
        <w:rPr>
          <w:sz w:val="24"/>
          <w:szCs w:val="24"/>
        </w:rPr>
      </w:pPr>
    </w:p>
    <w:p w14:paraId="59207627" w14:textId="77777777" w:rsidR="0020272D" w:rsidRPr="0020272D" w:rsidRDefault="0020272D" w:rsidP="0020272D">
      <w:pPr>
        <w:tabs>
          <w:tab w:val="left" w:pos="851"/>
        </w:tabs>
        <w:ind w:left="851"/>
        <w:rPr>
          <w:sz w:val="24"/>
          <w:szCs w:val="24"/>
        </w:rPr>
      </w:pPr>
      <w:r w:rsidRPr="0020272D">
        <w:rPr>
          <w:sz w:val="24"/>
          <w:szCs w:val="24"/>
        </w:rPr>
        <w:t>Samtidig administration af buprenorphin med antikolinergika eller lægemiddel med antikolinerg virkning (f.eks. tricykliske antidepressiva, antihistaminer, antipsykotika, muskelafslappende midler, anti-Parkinson lægemidler kan resultere i øgede antikolinerge bivirkninger.</w:t>
      </w:r>
    </w:p>
    <w:p w14:paraId="4D61A656" w14:textId="77777777" w:rsidR="0020272D" w:rsidRPr="0020272D" w:rsidRDefault="0020272D" w:rsidP="0020272D">
      <w:pPr>
        <w:tabs>
          <w:tab w:val="left" w:pos="851"/>
        </w:tabs>
        <w:ind w:left="851"/>
        <w:rPr>
          <w:sz w:val="24"/>
          <w:szCs w:val="24"/>
        </w:rPr>
      </w:pPr>
    </w:p>
    <w:p w14:paraId="363707DC" w14:textId="77777777" w:rsidR="0020272D" w:rsidRPr="0020272D" w:rsidRDefault="0020272D" w:rsidP="0020272D">
      <w:pPr>
        <w:tabs>
          <w:tab w:val="left" w:pos="851"/>
        </w:tabs>
        <w:ind w:left="851"/>
        <w:rPr>
          <w:sz w:val="24"/>
          <w:szCs w:val="24"/>
          <w:u w:val="single"/>
        </w:rPr>
      </w:pPr>
      <w:r w:rsidRPr="0020272D">
        <w:rPr>
          <w:sz w:val="24"/>
          <w:szCs w:val="24"/>
          <w:u w:val="single"/>
        </w:rPr>
        <w:lastRenderedPageBreak/>
        <w:t>Naltrexon</w:t>
      </w:r>
    </w:p>
    <w:p w14:paraId="3211F811" w14:textId="77777777" w:rsidR="0020272D" w:rsidRPr="0020272D" w:rsidRDefault="0020272D" w:rsidP="0020272D">
      <w:pPr>
        <w:tabs>
          <w:tab w:val="left" w:pos="851"/>
        </w:tabs>
        <w:ind w:left="851"/>
        <w:rPr>
          <w:sz w:val="24"/>
          <w:szCs w:val="24"/>
        </w:rPr>
      </w:pPr>
      <w:r w:rsidRPr="0020272D">
        <w:rPr>
          <w:sz w:val="24"/>
          <w:szCs w:val="24"/>
        </w:rPr>
        <w:t>Naltrexon er en opioidantagonist, der kan blokere/modvirke den farmakologiske virkning af buprenorphin. Hos patienter, der har udviklet fysisk afhængighed af buprenorphins virkninger, bør samtidig administration med naltrexon og buprenorphin undgås på grund af den potentielle interaktion, der forhindrer effektiv smertebehandling og kan føre til pludseligt indtræden af opioidabstinenssymptomer.</w:t>
      </w:r>
    </w:p>
    <w:p w14:paraId="76666270" w14:textId="77777777" w:rsidR="0020272D" w:rsidRPr="0020272D" w:rsidRDefault="0020272D" w:rsidP="0020272D">
      <w:pPr>
        <w:tabs>
          <w:tab w:val="left" w:pos="851"/>
        </w:tabs>
        <w:ind w:left="851"/>
        <w:rPr>
          <w:sz w:val="24"/>
          <w:szCs w:val="24"/>
        </w:rPr>
      </w:pPr>
    </w:p>
    <w:p w14:paraId="50DB60B7" w14:textId="77777777" w:rsidR="0020272D" w:rsidRPr="0020272D" w:rsidRDefault="0020272D" w:rsidP="0020272D">
      <w:pPr>
        <w:tabs>
          <w:tab w:val="left" w:pos="851"/>
        </w:tabs>
        <w:ind w:left="851"/>
        <w:rPr>
          <w:sz w:val="24"/>
          <w:szCs w:val="24"/>
          <w:u w:val="single"/>
        </w:rPr>
      </w:pPr>
      <w:r w:rsidRPr="0020272D">
        <w:rPr>
          <w:sz w:val="24"/>
          <w:szCs w:val="24"/>
          <w:u w:val="single"/>
        </w:rPr>
        <w:t>Andre opioide analgetika</w:t>
      </w:r>
    </w:p>
    <w:p w14:paraId="083F46CE" w14:textId="77777777" w:rsidR="0020272D" w:rsidRPr="0020272D" w:rsidRDefault="0020272D" w:rsidP="0020272D">
      <w:pPr>
        <w:tabs>
          <w:tab w:val="left" w:pos="851"/>
        </w:tabs>
        <w:ind w:left="851"/>
        <w:rPr>
          <w:sz w:val="24"/>
          <w:szCs w:val="24"/>
          <w:u w:val="single"/>
        </w:rPr>
      </w:pPr>
      <w:r w:rsidRPr="0020272D">
        <w:rPr>
          <w:sz w:val="24"/>
          <w:szCs w:val="24"/>
        </w:rPr>
        <w:t xml:space="preserve">Den analgetiske virkning af komplette opioidagonister kan formindskes af den partielle agonist buprenorphin som følge af en kompetitiv receptorblokade. Hos patienter, der har udviklet fysisk afhængighed af komplette opioidagonister, kan administration af den partielle agonist buprenorphin udløse seponeringssymptomer (se også ”Brug hos opioidafhængige patienter” i pkt. 4.4). </w:t>
      </w:r>
    </w:p>
    <w:p w14:paraId="7E8C07F3" w14:textId="77777777" w:rsidR="0020272D" w:rsidRPr="0020272D" w:rsidRDefault="0020272D" w:rsidP="0020272D">
      <w:pPr>
        <w:tabs>
          <w:tab w:val="left" w:pos="851"/>
        </w:tabs>
        <w:ind w:left="851"/>
        <w:rPr>
          <w:sz w:val="24"/>
          <w:szCs w:val="24"/>
        </w:rPr>
      </w:pPr>
    </w:p>
    <w:p w14:paraId="5D1A018B" w14:textId="77777777" w:rsidR="0020272D" w:rsidRPr="0020272D" w:rsidRDefault="0020272D" w:rsidP="0020272D">
      <w:pPr>
        <w:tabs>
          <w:tab w:val="left" w:pos="851"/>
        </w:tabs>
        <w:ind w:left="851"/>
        <w:rPr>
          <w:sz w:val="24"/>
          <w:szCs w:val="24"/>
          <w:u w:val="single"/>
        </w:rPr>
      </w:pPr>
      <w:r w:rsidRPr="0020272D">
        <w:rPr>
          <w:sz w:val="24"/>
          <w:szCs w:val="24"/>
          <w:u w:val="single"/>
        </w:rPr>
        <w:t xml:space="preserve">CYP3A4-hæmmere </w:t>
      </w:r>
    </w:p>
    <w:p w14:paraId="017FB1D9" w14:textId="77777777" w:rsidR="0020272D" w:rsidRPr="0020272D" w:rsidRDefault="0020272D" w:rsidP="0020272D">
      <w:pPr>
        <w:tabs>
          <w:tab w:val="left" w:pos="851"/>
        </w:tabs>
        <w:ind w:left="851"/>
        <w:rPr>
          <w:sz w:val="24"/>
          <w:szCs w:val="24"/>
        </w:rPr>
      </w:pPr>
      <w:r w:rsidRPr="0020272D">
        <w:rPr>
          <w:sz w:val="24"/>
          <w:szCs w:val="24"/>
        </w:rPr>
        <w:t>Da buprenorphin-metaboliseres via CYP3A4-isozymet, kan samtidig administration af CYP3A4</w:t>
      </w:r>
      <w:r w:rsidRPr="0020272D">
        <w:rPr>
          <w:sz w:val="24"/>
          <w:szCs w:val="24"/>
        </w:rPr>
        <w:noBreakHyphen/>
        <w:t xml:space="preserve">hæmmere forårsage nedsat </w:t>
      </w:r>
      <w:r w:rsidRPr="0020272D">
        <w:rPr>
          <w:i/>
          <w:iCs/>
          <w:sz w:val="24"/>
          <w:szCs w:val="24"/>
        </w:rPr>
        <w:t>clearance</w:t>
      </w:r>
      <w:r w:rsidRPr="0020272D">
        <w:rPr>
          <w:sz w:val="24"/>
          <w:szCs w:val="24"/>
        </w:rPr>
        <w:t xml:space="preserve"> af buprenorphin. I en interaktionsundersøgelse med buprenorphin og ketoconazol blev forhøjede koncentrationer af buprenorphin og norbuprenorphin målt. Patienter, der får buprenorphin sammen med CYP3A4</w:t>
      </w:r>
      <w:r w:rsidRPr="0020272D">
        <w:rPr>
          <w:sz w:val="24"/>
          <w:szCs w:val="24"/>
        </w:rPr>
        <w:noBreakHyphen/>
        <w:t>hæmmere såsom makrolide antibiotika (f.eks. erythromycin), azol-antimykotika (f.eks. ketoconazol), gestoden, triacetyloleandomycin eller HIV</w:t>
      </w:r>
      <w:r w:rsidRPr="0020272D">
        <w:rPr>
          <w:sz w:val="24"/>
          <w:szCs w:val="24"/>
        </w:rPr>
        <w:noBreakHyphen/>
        <w:t>proteasehæmmerne (f.eks. ritonavir, indinavir, saquinavir og atazanavir), bør overvåges nøje. Der bør udvises forsigtighed ved administration af buprenorphin til patienter, der får sådanne lægemidler, og om nødvendigt skal dosisjusteringer overvejes.</w:t>
      </w:r>
    </w:p>
    <w:p w14:paraId="1AD68FA7" w14:textId="77777777" w:rsidR="0020272D" w:rsidRPr="0020272D" w:rsidRDefault="0020272D" w:rsidP="0020272D">
      <w:pPr>
        <w:tabs>
          <w:tab w:val="left" w:pos="851"/>
        </w:tabs>
        <w:ind w:left="851"/>
        <w:rPr>
          <w:sz w:val="24"/>
          <w:szCs w:val="24"/>
        </w:rPr>
      </w:pPr>
    </w:p>
    <w:p w14:paraId="3451A787" w14:textId="77777777" w:rsidR="0020272D" w:rsidRPr="0020272D" w:rsidRDefault="0020272D" w:rsidP="0020272D">
      <w:pPr>
        <w:tabs>
          <w:tab w:val="left" w:pos="851"/>
        </w:tabs>
        <w:ind w:left="851"/>
        <w:rPr>
          <w:sz w:val="24"/>
          <w:szCs w:val="24"/>
          <w:u w:val="single"/>
        </w:rPr>
      </w:pPr>
      <w:r w:rsidRPr="0020272D">
        <w:rPr>
          <w:sz w:val="24"/>
          <w:szCs w:val="24"/>
          <w:u w:val="single"/>
        </w:rPr>
        <w:t>CYP3A4-induktorer</w:t>
      </w:r>
    </w:p>
    <w:p w14:paraId="517D0646" w14:textId="77777777" w:rsidR="0020272D" w:rsidRPr="0020272D" w:rsidRDefault="0020272D" w:rsidP="0020272D">
      <w:pPr>
        <w:tabs>
          <w:tab w:val="left" w:pos="851"/>
        </w:tabs>
        <w:ind w:left="851"/>
        <w:rPr>
          <w:sz w:val="24"/>
          <w:szCs w:val="24"/>
        </w:rPr>
      </w:pPr>
      <w:r w:rsidRPr="0020272D">
        <w:rPr>
          <w:sz w:val="24"/>
          <w:szCs w:val="24"/>
        </w:rPr>
        <w:t xml:space="preserve">CYP3A4-induktorer, såsom phenobarbital, rifampicin, carbamazepin og phenytoin, inducerer metabolisme og kan forårsage øget </w:t>
      </w:r>
      <w:r w:rsidRPr="0020272D">
        <w:rPr>
          <w:i/>
          <w:iCs/>
          <w:sz w:val="24"/>
          <w:szCs w:val="24"/>
        </w:rPr>
        <w:t>clearance</w:t>
      </w:r>
      <w:r w:rsidRPr="0020272D">
        <w:rPr>
          <w:sz w:val="24"/>
          <w:szCs w:val="24"/>
        </w:rPr>
        <w:t xml:space="preserve"> af buprenorphin. Der bør udvises forsigtighed ved administration af Buprenorphine "G.L. Pharma" til patienter, der får sådanne lægemidler, og om nødvendigt skal dosisjusteringer overvejes.</w:t>
      </w:r>
    </w:p>
    <w:p w14:paraId="4466844B" w14:textId="77777777" w:rsidR="0020272D" w:rsidRPr="0020272D" w:rsidRDefault="0020272D" w:rsidP="0020272D">
      <w:pPr>
        <w:tabs>
          <w:tab w:val="left" w:pos="851"/>
        </w:tabs>
        <w:ind w:left="851"/>
        <w:rPr>
          <w:sz w:val="24"/>
          <w:szCs w:val="24"/>
        </w:rPr>
      </w:pPr>
    </w:p>
    <w:p w14:paraId="2BEE1B6C" w14:textId="77777777" w:rsidR="0020272D" w:rsidRPr="0020272D" w:rsidRDefault="0020272D" w:rsidP="0020272D">
      <w:pPr>
        <w:tabs>
          <w:tab w:val="left" w:pos="851"/>
        </w:tabs>
        <w:ind w:left="851"/>
        <w:rPr>
          <w:sz w:val="24"/>
          <w:szCs w:val="24"/>
          <w:u w:val="single"/>
        </w:rPr>
      </w:pPr>
      <w:r w:rsidRPr="0020272D">
        <w:rPr>
          <w:sz w:val="24"/>
          <w:szCs w:val="24"/>
          <w:u w:val="single"/>
        </w:rPr>
        <w:t>Monoaminooxidase-hæmmere (MAO-hæmmere)</w:t>
      </w:r>
    </w:p>
    <w:p w14:paraId="2D4AAB50" w14:textId="77777777" w:rsidR="0020272D" w:rsidRPr="0020272D" w:rsidRDefault="0020272D" w:rsidP="0020272D">
      <w:pPr>
        <w:tabs>
          <w:tab w:val="left" w:pos="851"/>
        </w:tabs>
        <w:ind w:left="851"/>
        <w:rPr>
          <w:sz w:val="24"/>
          <w:szCs w:val="24"/>
        </w:rPr>
      </w:pPr>
      <w:r w:rsidRPr="0020272D">
        <w:rPr>
          <w:sz w:val="24"/>
          <w:szCs w:val="24"/>
        </w:rPr>
        <w:t xml:space="preserve">Baseret på erfaring med morfin kan effekten af opioider muligvis forstærkes (se pkt. 4.4). Hos patienter der tidligere er blevet behandlet med visse antidepressiva (MAO-hæmmere) inden for de sidste 14 dage før opioidbrug, er der en teoretisk mulighed for livstruende interaktioner, som kan påvirke hjernen, vejrtrækningen og kredsløbsfunktionen. Sådanne kombinationer bør undgås i op til 2 uger efter seponering af MAO-hæmmere. </w:t>
      </w:r>
    </w:p>
    <w:p w14:paraId="249AEF3C" w14:textId="77777777" w:rsidR="0020272D" w:rsidRPr="0020272D" w:rsidRDefault="0020272D" w:rsidP="0020272D">
      <w:pPr>
        <w:tabs>
          <w:tab w:val="left" w:pos="851"/>
        </w:tabs>
        <w:ind w:left="851"/>
        <w:rPr>
          <w:sz w:val="24"/>
          <w:szCs w:val="24"/>
        </w:rPr>
      </w:pPr>
    </w:p>
    <w:p w14:paraId="66D89C19" w14:textId="77777777" w:rsidR="0020272D" w:rsidRPr="0020272D" w:rsidRDefault="0020272D" w:rsidP="0020272D">
      <w:pPr>
        <w:tabs>
          <w:tab w:val="left" w:pos="851"/>
        </w:tabs>
        <w:ind w:left="851"/>
        <w:rPr>
          <w:sz w:val="24"/>
          <w:szCs w:val="24"/>
        </w:rPr>
      </w:pPr>
      <w:r w:rsidRPr="0020272D">
        <w:rPr>
          <w:sz w:val="24"/>
          <w:szCs w:val="24"/>
        </w:rPr>
        <w:t xml:space="preserve">I ét tilfælde blev der rapporteret om en mulig interaktion mellem intravenøs Buprenorphine "G.L. Pharma" og phenprocoumon, hvilket førte til purpura. </w:t>
      </w:r>
    </w:p>
    <w:p w14:paraId="1EE959FA" w14:textId="77777777" w:rsidR="0020272D" w:rsidRPr="0020272D" w:rsidRDefault="0020272D" w:rsidP="0020272D">
      <w:pPr>
        <w:tabs>
          <w:tab w:val="left" w:pos="851"/>
        </w:tabs>
        <w:ind w:left="851"/>
        <w:rPr>
          <w:sz w:val="24"/>
          <w:szCs w:val="24"/>
        </w:rPr>
      </w:pPr>
    </w:p>
    <w:p w14:paraId="792D9F10" w14:textId="77777777" w:rsidR="0020272D" w:rsidRPr="0020272D" w:rsidRDefault="0020272D" w:rsidP="0020272D">
      <w:pPr>
        <w:tabs>
          <w:tab w:val="left" w:pos="851"/>
        </w:tabs>
        <w:ind w:left="851"/>
        <w:rPr>
          <w:sz w:val="24"/>
          <w:szCs w:val="24"/>
          <w:u w:val="single"/>
        </w:rPr>
      </w:pPr>
      <w:r w:rsidRPr="0020272D">
        <w:rPr>
          <w:sz w:val="24"/>
          <w:szCs w:val="24"/>
          <w:u w:val="single"/>
        </w:rPr>
        <w:t>Yderligere</w:t>
      </w:r>
    </w:p>
    <w:p w14:paraId="663C2172" w14:textId="77777777" w:rsidR="0020272D" w:rsidRPr="0020272D" w:rsidRDefault="0020272D" w:rsidP="0020272D">
      <w:pPr>
        <w:tabs>
          <w:tab w:val="left" w:pos="851"/>
        </w:tabs>
        <w:ind w:left="851"/>
        <w:rPr>
          <w:sz w:val="24"/>
          <w:szCs w:val="24"/>
        </w:rPr>
      </w:pPr>
      <w:r w:rsidRPr="0020272D">
        <w:rPr>
          <w:sz w:val="24"/>
          <w:szCs w:val="24"/>
        </w:rPr>
        <w:t xml:space="preserve">Et fald i hepatisk perfusion, som kan induceres af visse generelle anæstetika (f.eks. halothan) og andre lægemidler, kan forsinke den hepatiske elimination af buprenorphin. Da den hepatiske elimination udgør en relativ stor del (~70 %) af den samlede </w:t>
      </w:r>
      <w:r w:rsidRPr="0020272D">
        <w:rPr>
          <w:i/>
          <w:iCs/>
          <w:sz w:val="24"/>
          <w:szCs w:val="24"/>
        </w:rPr>
        <w:t>clearance</w:t>
      </w:r>
      <w:r w:rsidRPr="0020272D">
        <w:rPr>
          <w:sz w:val="24"/>
          <w:szCs w:val="24"/>
        </w:rPr>
        <w:t xml:space="preserve"> af buprenorphin, kan det være nødvendigt med lavere startdoser og forsigtig dosistitrering hos patienter, der samtidig får halothan.</w:t>
      </w:r>
    </w:p>
    <w:p w14:paraId="6D5F3924" w14:textId="62258845" w:rsidR="003F6416" w:rsidRDefault="003F6416">
      <w:pPr>
        <w:rPr>
          <w:sz w:val="24"/>
          <w:szCs w:val="24"/>
        </w:rPr>
      </w:pPr>
      <w:r>
        <w:rPr>
          <w:sz w:val="24"/>
          <w:szCs w:val="24"/>
        </w:rPr>
        <w:br w:type="page"/>
      </w:r>
    </w:p>
    <w:p w14:paraId="54E9AAD0" w14:textId="77777777" w:rsidR="009260DE" w:rsidRPr="00C84483" w:rsidRDefault="009260DE" w:rsidP="009260DE">
      <w:pPr>
        <w:tabs>
          <w:tab w:val="left" w:pos="851"/>
        </w:tabs>
        <w:ind w:left="851"/>
        <w:rPr>
          <w:sz w:val="24"/>
          <w:szCs w:val="24"/>
        </w:rPr>
      </w:pPr>
    </w:p>
    <w:p w14:paraId="79201448" w14:textId="77777777" w:rsidR="009260DE" w:rsidRPr="00C84483" w:rsidRDefault="009260DE" w:rsidP="009260DE">
      <w:pPr>
        <w:tabs>
          <w:tab w:val="left" w:pos="851"/>
        </w:tabs>
        <w:ind w:left="851" w:hanging="851"/>
        <w:rPr>
          <w:b/>
          <w:sz w:val="24"/>
          <w:szCs w:val="24"/>
        </w:rPr>
      </w:pPr>
      <w:r w:rsidRPr="00C84483">
        <w:rPr>
          <w:b/>
          <w:sz w:val="24"/>
          <w:szCs w:val="24"/>
        </w:rPr>
        <w:t>4.6</w:t>
      </w:r>
      <w:r w:rsidRPr="00C84483">
        <w:rPr>
          <w:b/>
          <w:sz w:val="24"/>
          <w:szCs w:val="24"/>
        </w:rPr>
        <w:tab/>
      </w:r>
      <w:r w:rsidR="0071241E">
        <w:rPr>
          <w:b/>
          <w:sz w:val="24"/>
          <w:szCs w:val="24"/>
        </w:rPr>
        <w:t>Fertilitet, g</w:t>
      </w:r>
      <w:r w:rsidRPr="00C84483">
        <w:rPr>
          <w:b/>
          <w:sz w:val="24"/>
          <w:szCs w:val="24"/>
        </w:rPr>
        <w:t>raviditet og amning</w:t>
      </w:r>
    </w:p>
    <w:p w14:paraId="60774D58" w14:textId="77777777" w:rsidR="003F6416" w:rsidRPr="003F6416" w:rsidRDefault="003F6416" w:rsidP="003F6416">
      <w:pPr>
        <w:tabs>
          <w:tab w:val="left" w:pos="851"/>
        </w:tabs>
        <w:ind w:left="851"/>
        <w:rPr>
          <w:sz w:val="24"/>
          <w:szCs w:val="24"/>
        </w:rPr>
      </w:pPr>
    </w:p>
    <w:p w14:paraId="5BDF061A" w14:textId="77777777" w:rsidR="003F6416" w:rsidRPr="003F6416" w:rsidRDefault="003F6416" w:rsidP="003F6416">
      <w:pPr>
        <w:tabs>
          <w:tab w:val="left" w:pos="851"/>
        </w:tabs>
        <w:ind w:left="851"/>
        <w:rPr>
          <w:sz w:val="24"/>
          <w:szCs w:val="24"/>
          <w:u w:val="single"/>
        </w:rPr>
      </w:pPr>
      <w:r w:rsidRPr="003F6416">
        <w:rPr>
          <w:sz w:val="24"/>
          <w:szCs w:val="24"/>
          <w:u w:val="single"/>
        </w:rPr>
        <w:t>Graviditet</w:t>
      </w:r>
    </w:p>
    <w:p w14:paraId="348BC797" w14:textId="77777777" w:rsidR="003F6416" w:rsidRPr="003F6416" w:rsidRDefault="003F6416" w:rsidP="003F6416">
      <w:pPr>
        <w:tabs>
          <w:tab w:val="left" w:pos="851"/>
        </w:tabs>
        <w:ind w:left="851"/>
        <w:rPr>
          <w:sz w:val="24"/>
          <w:szCs w:val="24"/>
        </w:rPr>
      </w:pPr>
      <w:r w:rsidRPr="003F6416">
        <w:rPr>
          <w:sz w:val="24"/>
          <w:szCs w:val="24"/>
        </w:rPr>
        <w:t xml:space="preserve">Der er ingen eller utilstrækkelige data fra anvendelse af buprenorphin til gravide kvinder. Lavdosis buprenorphinpræparater må ikke anvendes under graviditet, medmindre kvindens kliniske tilstand kræver behandling med buprenorphin. I sådanne tilfælde skal den gravide kvinde, fosteret og det nyfødte barn holdes under tæt monitorering af lægen. </w:t>
      </w:r>
    </w:p>
    <w:p w14:paraId="7174CA90" w14:textId="77777777" w:rsidR="003F6416" w:rsidRPr="003F6416" w:rsidRDefault="003F6416" w:rsidP="003F6416">
      <w:pPr>
        <w:tabs>
          <w:tab w:val="left" w:pos="851"/>
        </w:tabs>
        <w:ind w:left="851"/>
        <w:rPr>
          <w:sz w:val="24"/>
          <w:szCs w:val="24"/>
        </w:rPr>
      </w:pPr>
    </w:p>
    <w:p w14:paraId="288BE6EE" w14:textId="77777777" w:rsidR="003F6416" w:rsidRPr="003F6416" w:rsidRDefault="003F6416" w:rsidP="003F6416">
      <w:pPr>
        <w:tabs>
          <w:tab w:val="left" w:pos="851"/>
        </w:tabs>
        <w:ind w:left="851"/>
        <w:rPr>
          <w:sz w:val="24"/>
          <w:szCs w:val="24"/>
        </w:rPr>
      </w:pPr>
      <w:r w:rsidRPr="003F6416">
        <w:rPr>
          <w:sz w:val="24"/>
          <w:szCs w:val="24"/>
        </w:rPr>
        <w:t xml:space="preserve">Mod slutningen af graviditeten kan administration af høje doser, selv efter en kort behandlingsperiode, fremkalde neonatal respirationsdepression. Under graviditetens sidste trimester kan kronisk brug af buprenorphin forårsage neonatal abstinenssyndrom. </w:t>
      </w:r>
    </w:p>
    <w:p w14:paraId="1A27129A" w14:textId="77777777" w:rsidR="003F6416" w:rsidRPr="003F6416" w:rsidRDefault="003F6416" w:rsidP="003F6416">
      <w:pPr>
        <w:tabs>
          <w:tab w:val="left" w:pos="851"/>
        </w:tabs>
        <w:ind w:left="851"/>
        <w:rPr>
          <w:sz w:val="24"/>
          <w:szCs w:val="24"/>
        </w:rPr>
      </w:pPr>
    </w:p>
    <w:p w14:paraId="68016520" w14:textId="77777777" w:rsidR="003F6416" w:rsidRPr="003F6416" w:rsidRDefault="003F6416" w:rsidP="003F6416">
      <w:pPr>
        <w:tabs>
          <w:tab w:val="left" w:pos="851"/>
        </w:tabs>
        <w:ind w:left="851"/>
        <w:rPr>
          <w:sz w:val="24"/>
          <w:szCs w:val="24"/>
          <w:u w:val="single"/>
        </w:rPr>
      </w:pPr>
      <w:r w:rsidRPr="003F6416">
        <w:rPr>
          <w:sz w:val="24"/>
          <w:szCs w:val="24"/>
          <w:u w:val="single"/>
        </w:rPr>
        <w:t>Amning</w:t>
      </w:r>
    </w:p>
    <w:p w14:paraId="1DE4FFEB" w14:textId="77777777" w:rsidR="003F6416" w:rsidRPr="003F6416" w:rsidRDefault="003F6416" w:rsidP="003F6416">
      <w:pPr>
        <w:tabs>
          <w:tab w:val="left" w:pos="851"/>
        </w:tabs>
        <w:ind w:left="851"/>
        <w:rPr>
          <w:sz w:val="24"/>
          <w:szCs w:val="24"/>
        </w:rPr>
      </w:pPr>
      <w:r w:rsidRPr="003F6416">
        <w:rPr>
          <w:sz w:val="24"/>
          <w:szCs w:val="24"/>
        </w:rPr>
        <w:t xml:space="preserve">Da buprenorphin og dets metabolitter udskilles i human mælk, bør buprenorphin ikke anvendes under amning. </w:t>
      </w:r>
    </w:p>
    <w:p w14:paraId="312A2019" w14:textId="77777777" w:rsidR="009260DE" w:rsidRPr="00C84483" w:rsidRDefault="009260DE" w:rsidP="009260DE">
      <w:pPr>
        <w:tabs>
          <w:tab w:val="left" w:pos="851"/>
        </w:tabs>
        <w:ind w:left="851"/>
        <w:rPr>
          <w:sz w:val="24"/>
          <w:szCs w:val="24"/>
        </w:rPr>
      </w:pPr>
    </w:p>
    <w:p w14:paraId="381E388C" w14:textId="77777777" w:rsidR="009260DE" w:rsidRPr="00C84483" w:rsidRDefault="009260DE" w:rsidP="009260DE">
      <w:pPr>
        <w:tabs>
          <w:tab w:val="left" w:pos="851"/>
        </w:tabs>
        <w:ind w:left="851" w:hanging="851"/>
        <w:rPr>
          <w:b/>
          <w:sz w:val="24"/>
          <w:szCs w:val="24"/>
        </w:rPr>
      </w:pPr>
      <w:r w:rsidRPr="00C84483">
        <w:rPr>
          <w:b/>
          <w:sz w:val="24"/>
          <w:szCs w:val="24"/>
        </w:rPr>
        <w:t>4.7</w:t>
      </w:r>
      <w:r w:rsidRPr="00C84483">
        <w:rPr>
          <w:b/>
          <w:sz w:val="24"/>
          <w:szCs w:val="24"/>
        </w:rPr>
        <w:tab/>
        <w:t xml:space="preserve">Virkning på evnen til at føre motorkøretøj </w:t>
      </w:r>
      <w:r w:rsidR="0071241E">
        <w:rPr>
          <w:b/>
          <w:sz w:val="24"/>
          <w:szCs w:val="24"/>
        </w:rPr>
        <w:t>og</w:t>
      </w:r>
      <w:r w:rsidRPr="00C84483">
        <w:rPr>
          <w:b/>
          <w:sz w:val="24"/>
          <w:szCs w:val="24"/>
        </w:rPr>
        <w:t xml:space="preserve"> betjene maskiner</w:t>
      </w:r>
    </w:p>
    <w:p w14:paraId="47098548" w14:textId="70BF4C75" w:rsidR="00A870B7" w:rsidRPr="00A870B7" w:rsidRDefault="00A870B7" w:rsidP="00A870B7">
      <w:pPr>
        <w:tabs>
          <w:tab w:val="left" w:pos="851"/>
        </w:tabs>
        <w:ind w:left="851"/>
        <w:rPr>
          <w:sz w:val="24"/>
          <w:szCs w:val="24"/>
        </w:rPr>
      </w:pPr>
      <w:r w:rsidRPr="00A870B7">
        <w:rPr>
          <w:sz w:val="24"/>
          <w:szCs w:val="24"/>
        </w:rPr>
        <w:t>Mærkning</w:t>
      </w:r>
      <w:r>
        <w:rPr>
          <w:sz w:val="24"/>
          <w:szCs w:val="24"/>
        </w:rPr>
        <w:t>.</w:t>
      </w:r>
    </w:p>
    <w:p w14:paraId="7BFDAF58" w14:textId="77777777" w:rsidR="00A870B7" w:rsidRPr="00A870B7" w:rsidRDefault="00A870B7" w:rsidP="00A870B7">
      <w:pPr>
        <w:tabs>
          <w:tab w:val="left" w:pos="851"/>
        </w:tabs>
        <w:ind w:left="851"/>
        <w:rPr>
          <w:sz w:val="24"/>
          <w:szCs w:val="24"/>
        </w:rPr>
      </w:pPr>
      <w:r w:rsidRPr="00A870B7">
        <w:rPr>
          <w:sz w:val="24"/>
          <w:szCs w:val="24"/>
        </w:rPr>
        <w:t>Når buprenorphin anvendes som foreskrevet, har det en mindre eller moderat påvirkning på evnen til at føre motorkøretøj og betjene maskiner. Dette lægemiddel kan nedsætte de mentale og fysiske evner og forårsage døsighed, svimmelhed eller nedsat tænkeevne, især ved behandlingsstart og under dosisjustering. Patienterne skal advares om dette.</w:t>
      </w:r>
    </w:p>
    <w:p w14:paraId="4E3CB948" w14:textId="77777777" w:rsidR="00A870B7" w:rsidRPr="00A870B7" w:rsidRDefault="00A870B7" w:rsidP="00A870B7">
      <w:pPr>
        <w:tabs>
          <w:tab w:val="left" w:pos="851"/>
        </w:tabs>
        <w:ind w:left="851"/>
        <w:rPr>
          <w:sz w:val="24"/>
          <w:szCs w:val="24"/>
        </w:rPr>
      </w:pPr>
      <w:r w:rsidRPr="00A870B7">
        <w:rPr>
          <w:sz w:val="24"/>
          <w:szCs w:val="24"/>
        </w:rPr>
        <w:t xml:space="preserve">Denne virkning kan forstærkes, hvis buprenorphin anvendes samtidig med alkohol eller midler, der har en dæmpende effekt på centralnervesystemet (se pkt. 4.4 og 4.5). </w:t>
      </w:r>
    </w:p>
    <w:p w14:paraId="224968B8" w14:textId="77777777" w:rsidR="009260DE" w:rsidRPr="00C84483" w:rsidRDefault="009260DE" w:rsidP="009260DE">
      <w:pPr>
        <w:tabs>
          <w:tab w:val="left" w:pos="851"/>
        </w:tabs>
        <w:ind w:left="851"/>
        <w:rPr>
          <w:sz w:val="24"/>
          <w:szCs w:val="24"/>
        </w:rPr>
      </w:pPr>
    </w:p>
    <w:p w14:paraId="75432731" w14:textId="77777777" w:rsidR="009260DE" w:rsidRPr="00C84483" w:rsidRDefault="009260DE" w:rsidP="009260DE">
      <w:pPr>
        <w:tabs>
          <w:tab w:val="left" w:pos="851"/>
        </w:tabs>
        <w:ind w:left="851" w:hanging="851"/>
        <w:rPr>
          <w:b/>
          <w:sz w:val="24"/>
          <w:szCs w:val="24"/>
        </w:rPr>
      </w:pPr>
      <w:r w:rsidRPr="00C84483">
        <w:rPr>
          <w:b/>
          <w:sz w:val="24"/>
          <w:szCs w:val="24"/>
        </w:rPr>
        <w:t>4.8</w:t>
      </w:r>
      <w:r w:rsidRPr="00C84483">
        <w:rPr>
          <w:b/>
          <w:sz w:val="24"/>
          <w:szCs w:val="24"/>
        </w:rPr>
        <w:tab/>
        <w:t>Bivirkninger</w:t>
      </w:r>
    </w:p>
    <w:p w14:paraId="509817CB" w14:textId="77777777" w:rsidR="00687D25" w:rsidRPr="00687D25" w:rsidRDefault="00687D25" w:rsidP="00687D25">
      <w:pPr>
        <w:ind w:left="851"/>
        <w:rPr>
          <w:i/>
          <w:sz w:val="24"/>
          <w:szCs w:val="24"/>
        </w:rPr>
      </w:pPr>
    </w:p>
    <w:p w14:paraId="75D5AA9F" w14:textId="77777777" w:rsidR="00687D25" w:rsidRPr="00687D25" w:rsidRDefault="00687D25" w:rsidP="00687D25">
      <w:pPr>
        <w:ind w:left="851"/>
        <w:rPr>
          <w:sz w:val="24"/>
          <w:szCs w:val="24"/>
        </w:rPr>
      </w:pPr>
      <w:r w:rsidRPr="00687D25">
        <w:rPr>
          <w:sz w:val="24"/>
          <w:szCs w:val="24"/>
          <w:u w:val="single"/>
        </w:rPr>
        <w:t>Resumé af sikkerhedsprofilen</w:t>
      </w:r>
    </w:p>
    <w:p w14:paraId="20FF9AD6" w14:textId="77777777" w:rsidR="00687D25" w:rsidRPr="00687D25" w:rsidRDefault="00687D25" w:rsidP="00687D25">
      <w:pPr>
        <w:ind w:left="851"/>
        <w:rPr>
          <w:sz w:val="24"/>
          <w:szCs w:val="24"/>
        </w:rPr>
      </w:pPr>
      <w:r w:rsidRPr="00687D25">
        <w:rPr>
          <w:sz w:val="24"/>
          <w:szCs w:val="24"/>
        </w:rPr>
        <w:t>De bivirkninger, der i kliniske studier blev indberettet med hyppigheden 'meget almindelig', var sedation, vertigo, svimmelhed og kvalme.</w:t>
      </w:r>
    </w:p>
    <w:p w14:paraId="08E3CE00" w14:textId="77777777" w:rsidR="00687D25" w:rsidRPr="00687D25" w:rsidRDefault="00687D25" w:rsidP="00687D25">
      <w:pPr>
        <w:ind w:left="851"/>
        <w:rPr>
          <w:sz w:val="24"/>
          <w:szCs w:val="24"/>
        </w:rPr>
      </w:pPr>
    </w:p>
    <w:p w14:paraId="266289B4" w14:textId="77777777" w:rsidR="00687D25" w:rsidRPr="00687D25" w:rsidRDefault="00687D25" w:rsidP="00687D25">
      <w:pPr>
        <w:ind w:left="851"/>
        <w:rPr>
          <w:sz w:val="24"/>
          <w:szCs w:val="24"/>
        </w:rPr>
      </w:pPr>
      <w:r w:rsidRPr="00687D25">
        <w:rPr>
          <w:sz w:val="24"/>
          <w:szCs w:val="24"/>
        </w:rPr>
        <w:t>Tabel 1 over bivirkninger opsummerer:</w:t>
      </w:r>
    </w:p>
    <w:p w14:paraId="2D497E9B" w14:textId="77777777" w:rsidR="00687D25" w:rsidRPr="00687D25" w:rsidRDefault="00687D25" w:rsidP="00687D25">
      <w:pPr>
        <w:pStyle w:val="Listeafsnit"/>
        <w:numPr>
          <w:ilvl w:val="0"/>
          <w:numId w:val="8"/>
        </w:numPr>
        <w:ind w:left="1134" w:hanging="283"/>
        <w:rPr>
          <w:sz w:val="24"/>
          <w:szCs w:val="24"/>
        </w:rPr>
      </w:pPr>
      <w:r w:rsidRPr="00687D25">
        <w:rPr>
          <w:sz w:val="24"/>
          <w:szCs w:val="24"/>
        </w:rPr>
        <w:t>Bivirkninger rapporteret under kliniske studier. Alle bivirkninger er opført efter hyppighed: Meget almindelig (≥1/10), almindelig (≥1/100 til &lt;1/10), ikke almindelig (≥1/1.000 til &lt;1/100), sjælden (&gt;1/10.000 til &lt;1/1.000), meget sjælden (&lt;1/10.000) og ikke kendt (kan ikke estimeres ud fra forhåndenværende data). Inden for hver hyppighedsgruppe præsenteres bivirkningerne i rækkefølge efter faldende alvorlighed.</w:t>
      </w:r>
    </w:p>
    <w:p w14:paraId="778ACD55" w14:textId="77777777" w:rsidR="00687D25" w:rsidRPr="00687D25" w:rsidRDefault="00687D25" w:rsidP="00687D25">
      <w:pPr>
        <w:pStyle w:val="Listeafsnit"/>
        <w:numPr>
          <w:ilvl w:val="0"/>
          <w:numId w:val="8"/>
        </w:numPr>
        <w:ind w:left="1134" w:hanging="283"/>
        <w:rPr>
          <w:sz w:val="24"/>
          <w:szCs w:val="24"/>
        </w:rPr>
      </w:pPr>
      <w:r w:rsidRPr="00687D25">
        <w:rPr>
          <w:sz w:val="24"/>
          <w:szCs w:val="24"/>
        </w:rPr>
        <w:t>De hyppigst rapporterede bivirkninger efter markedsføring. De bivirkninger, der forekommer i mindst 1 % af indberetningerne fra sundhedspersonale, og som anses for forventede, er inkluderet. Hyppigheden af bivirkninger, der ikke er rapporteret i pivotale studier, kan ikke estimeres og angives som ikke kendt.</w:t>
      </w:r>
    </w:p>
    <w:p w14:paraId="22F42B98" w14:textId="77777777" w:rsidR="00687D25" w:rsidRDefault="00687D25" w:rsidP="00687D25">
      <w:pPr>
        <w:rPr>
          <w:szCs w:val="22"/>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9"/>
        <w:gridCol w:w="1586"/>
        <w:gridCol w:w="1501"/>
        <w:gridCol w:w="1501"/>
        <w:gridCol w:w="1505"/>
        <w:gridCol w:w="1304"/>
        <w:gridCol w:w="1304"/>
      </w:tblGrid>
      <w:tr w:rsidR="00687D25" w14:paraId="13ED7164" w14:textId="77777777" w:rsidTr="00687D25">
        <w:tc>
          <w:tcPr>
            <w:tcW w:w="1560" w:type="dxa"/>
            <w:tcBorders>
              <w:top w:val="single" w:sz="4" w:space="0" w:color="auto"/>
              <w:left w:val="single" w:sz="4" w:space="0" w:color="auto"/>
              <w:bottom w:val="single" w:sz="4" w:space="0" w:color="auto"/>
              <w:right w:val="single" w:sz="4" w:space="0" w:color="auto"/>
            </w:tcBorders>
          </w:tcPr>
          <w:p w14:paraId="0C39277C" w14:textId="77777777" w:rsidR="00687D25" w:rsidRPr="00687D25" w:rsidRDefault="00687D25">
            <w:pPr>
              <w:keepNext/>
              <w:autoSpaceDE w:val="0"/>
              <w:autoSpaceDN w:val="0"/>
              <w:adjustRightInd w:val="0"/>
              <w:rPr>
                <w:b/>
                <w:sz w:val="20"/>
                <w:szCs w:val="24"/>
              </w:rPr>
            </w:pPr>
          </w:p>
        </w:tc>
        <w:tc>
          <w:tcPr>
            <w:tcW w:w="8702" w:type="dxa"/>
            <w:gridSpan w:val="6"/>
            <w:tcBorders>
              <w:top w:val="single" w:sz="4" w:space="0" w:color="auto"/>
              <w:left w:val="single" w:sz="4" w:space="0" w:color="auto"/>
              <w:bottom w:val="single" w:sz="4" w:space="0" w:color="auto"/>
              <w:right w:val="single" w:sz="4" w:space="0" w:color="auto"/>
            </w:tcBorders>
          </w:tcPr>
          <w:p w14:paraId="07AC7B8B" w14:textId="77777777" w:rsidR="00687D25" w:rsidRDefault="00687D25">
            <w:pPr>
              <w:keepNext/>
              <w:autoSpaceDE w:val="0"/>
              <w:autoSpaceDN w:val="0"/>
              <w:adjustRightInd w:val="0"/>
              <w:rPr>
                <w:b/>
                <w:sz w:val="22"/>
                <w:szCs w:val="22"/>
                <w:u w:val="single"/>
                <w:lang w:val="nb-NO"/>
              </w:rPr>
            </w:pPr>
            <w:r>
              <w:rPr>
                <w:b/>
                <w:szCs w:val="22"/>
                <w:lang w:val="nb-NO"/>
              </w:rPr>
              <w:t>Tabel 1: Bivirkninger rapporteret i kliniske studier</w:t>
            </w:r>
          </w:p>
          <w:p w14:paraId="7F0C3F83" w14:textId="77777777" w:rsidR="00687D25" w:rsidRDefault="00687D25">
            <w:pPr>
              <w:keepNext/>
              <w:autoSpaceDE w:val="0"/>
              <w:autoSpaceDN w:val="0"/>
              <w:adjustRightInd w:val="0"/>
              <w:rPr>
                <w:szCs w:val="24"/>
                <w:lang w:val="nb-NO"/>
              </w:rPr>
            </w:pPr>
          </w:p>
        </w:tc>
      </w:tr>
      <w:tr w:rsidR="00687D25" w14:paraId="780D1274" w14:textId="77777777" w:rsidTr="00687D25">
        <w:tc>
          <w:tcPr>
            <w:tcW w:w="1560" w:type="dxa"/>
            <w:tcBorders>
              <w:top w:val="single" w:sz="4" w:space="0" w:color="auto"/>
              <w:left w:val="single" w:sz="4" w:space="0" w:color="auto"/>
              <w:bottom w:val="single" w:sz="4" w:space="0" w:color="auto"/>
              <w:right w:val="single" w:sz="4" w:space="0" w:color="auto"/>
            </w:tcBorders>
            <w:hideMark/>
          </w:tcPr>
          <w:p w14:paraId="1723B2EB" w14:textId="77777777" w:rsidR="00687D25" w:rsidRDefault="00687D25">
            <w:pPr>
              <w:keepNext/>
              <w:autoSpaceDE w:val="0"/>
              <w:autoSpaceDN w:val="0"/>
              <w:adjustRightInd w:val="0"/>
              <w:rPr>
                <w:szCs w:val="24"/>
                <w:lang w:val="en-GB"/>
              </w:rPr>
            </w:pPr>
            <w:r>
              <w:rPr>
                <w:b/>
                <w:sz w:val="20"/>
                <w:szCs w:val="24"/>
                <w:lang w:val="en-GB"/>
              </w:rPr>
              <w:t>Systemorgan-klasse</w:t>
            </w:r>
          </w:p>
        </w:tc>
        <w:tc>
          <w:tcPr>
            <w:tcW w:w="1587" w:type="dxa"/>
            <w:tcBorders>
              <w:top w:val="single" w:sz="4" w:space="0" w:color="auto"/>
              <w:left w:val="single" w:sz="4" w:space="0" w:color="auto"/>
              <w:bottom w:val="single" w:sz="4" w:space="0" w:color="auto"/>
              <w:right w:val="single" w:sz="4" w:space="0" w:color="auto"/>
            </w:tcBorders>
            <w:hideMark/>
          </w:tcPr>
          <w:p w14:paraId="4F938D94" w14:textId="77777777" w:rsidR="00687D25" w:rsidRDefault="00687D25">
            <w:pPr>
              <w:keepNext/>
              <w:autoSpaceDE w:val="0"/>
              <w:autoSpaceDN w:val="0"/>
              <w:adjustRightInd w:val="0"/>
              <w:rPr>
                <w:szCs w:val="24"/>
                <w:lang w:val="en-GB"/>
              </w:rPr>
            </w:pPr>
            <w:r>
              <w:rPr>
                <w:b/>
                <w:sz w:val="20"/>
                <w:szCs w:val="24"/>
                <w:lang w:val="en-GB"/>
              </w:rPr>
              <w:t>Meget almindelig (≥1/10)</w:t>
            </w:r>
          </w:p>
        </w:tc>
        <w:tc>
          <w:tcPr>
            <w:tcW w:w="1501" w:type="dxa"/>
            <w:tcBorders>
              <w:top w:val="single" w:sz="4" w:space="0" w:color="auto"/>
              <w:left w:val="single" w:sz="4" w:space="0" w:color="auto"/>
              <w:bottom w:val="single" w:sz="4" w:space="0" w:color="auto"/>
              <w:right w:val="single" w:sz="4" w:space="0" w:color="auto"/>
            </w:tcBorders>
            <w:hideMark/>
          </w:tcPr>
          <w:p w14:paraId="6AAB470C" w14:textId="77777777" w:rsidR="00687D25" w:rsidRDefault="00687D25">
            <w:pPr>
              <w:keepNext/>
              <w:autoSpaceDE w:val="0"/>
              <w:autoSpaceDN w:val="0"/>
              <w:adjustRightInd w:val="0"/>
              <w:rPr>
                <w:szCs w:val="24"/>
                <w:lang w:val="en-GB"/>
              </w:rPr>
            </w:pPr>
            <w:r>
              <w:rPr>
                <w:b/>
                <w:sz w:val="20"/>
                <w:szCs w:val="24"/>
                <w:lang w:val="en-GB"/>
              </w:rPr>
              <w:t>Almindelig (≥1/100 til &lt;1/10)</w:t>
            </w:r>
          </w:p>
        </w:tc>
        <w:tc>
          <w:tcPr>
            <w:tcW w:w="1501" w:type="dxa"/>
            <w:tcBorders>
              <w:top w:val="single" w:sz="4" w:space="0" w:color="auto"/>
              <w:left w:val="single" w:sz="4" w:space="0" w:color="auto"/>
              <w:bottom w:val="single" w:sz="4" w:space="0" w:color="auto"/>
              <w:right w:val="single" w:sz="4" w:space="0" w:color="auto"/>
            </w:tcBorders>
            <w:hideMark/>
          </w:tcPr>
          <w:p w14:paraId="47D180DC" w14:textId="77777777" w:rsidR="00687D25" w:rsidRDefault="00687D25">
            <w:pPr>
              <w:keepNext/>
              <w:autoSpaceDE w:val="0"/>
              <w:autoSpaceDN w:val="0"/>
              <w:adjustRightInd w:val="0"/>
              <w:rPr>
                <w:szCs w:val="24"/>
                <w:lang w:val="en-GB"/>
              </w:rPr>
            </w:pPr>
            <w:r>
              <w:rPr>
                <w:b/>
                <w:sz w:val="20"/>
                <w:szCs w:val="24"/>
                <w:lang w:val="en-GB"/>
              </w:rPr>
              <w:t>Ikke almindelig (≥1/1.000 til &lt;1/100)</w:t>
            </w:r>
          </w:p>
        </w:tc>
        <w:tc>
          <w:tcPr>
            <w:tcW w:w="1505" w:type="dxa"/>
            <w:tcBorders>
              <w:top w:val="single" w:sz="4" w:space="0" w:color="auto"/>
              <w:left w:val="single" w:sz="4" w:space="0" w:color="auto"/>
              <w:bottom w:val="single" w:sz="4" w:space="0" w:color="auto"/>
              <w:right w:val="single" w:sz="4" w:space="0" w:color="auto"/>
            </w:tcBorders>
            <w:hideMark/>
          </w:tcPr>
          <w:p w14:paraId="4B49482B" w14:textId="77777777" w:rsidR="00687D25" w:rsidRDefault="00687D25">
            <w:pPr>
              <w:keepNext/>
              <w:autoSpaceDE w:val="0"/>
              <w:autoSpaceDN w:val="0"/>
              <w:adjustRightInd w:val="0"/>
              <w:jc w:val="center"/>
              <w:rPr>
                <w:szCs w:val="24"/>
                <w:lang w:val="en-GB"/>
              </w:rPr>
            </w:pPr>
            <w:r>
              <w:rPr>
                <w:b/>
                <w:sz w:val="20"/>
                <w:szCs w:val="24"/>
                <w:lang w:val="en-GB"/>
              </w:rPr>
              <w:t>Sjælden (≥1/10.000 til &lt;1/1.000)</w:t>
            </w:r>
          </w:p>
        </w:tc>
        <w:tc>
          <w:tcPr>
            <w:tcW w:w="1304" w:type="dxa"/>
            <w:tcBorders>
              <w:top w:val="single" w:sz="4" w:space="0" w:color="auto"/>
              <w:left w:val="single" w:sz="4" w:space="0" w:color="auto"/>
              <w:bottom w:val="single" w:sz="4" w:space="0" w:color="auto"/>
              <w:right w:val="single" w:sz="4" w:space="0" w:color="auto"/>
            </w:tcBorders>
            <w:hideMark/>
          </w:tcPr>
          <w:p w14:paraId="55628810" w14:textId="77777777" w:rsidR="00687D25" w:rsidRDefault="00687D25">
            <w:pPr>
              <w:keepNext/>
              <w:autoSpaceDE w:val="0"/>
              <w:autoSpaceDN w:val="0"/>
              <w:adjustRightInd w:val="0"/>
              <w:jc w:val="center"/>
              <w:rPr>
                <w:b/>
                <w:sz w:val="20"/>
                <w:szCs w:val="24"/>
                <w:lang w:val="en-GB"/>
              </w:rPr>
            </w:pPr>
            <w:r>
              <w:rPr>
                <w:b/>
                <w:sz w:val="20"/>
                <w:szCs w:val="24"/>
                <w:lang w:val="en-GB"/>
              </w:rPr>
              <w:t>Meget sjælden (&lt;1/10.000)</w:t>
            </w:r>
          </w:p>
        </w:tc>
        <w:tc>
          <w:tcPr>
            <w:tcW w:w="1304" w:type="dxa"/>
            <w:tcBorders>
              <w:top w:val="single" w:sz="4" w:space="0" w:color="auto"/>
              <w:left w:val="single" w:sz="4" w:space="0" w:color="auto"/>
              <w:bottom w:val="single" w:sz="4" w:space="0" w:color="auto"/>
              <w:right w:val="single" w:sz="4" w:space="0" w:color="auto"/>
            </w:tcBorders>
            <w:hideMark/>
          </w:tcPr>
          <w:p w14:paraId="400AC3FA" w14:textId="77777777" w:rsidR="00687D25" w:rsidRDefault="00687D25">
            <w:pPr>
              <w:keepNext/>
              <w:autoSpaceDE w:val="0"/>
              <w:autoSpaceDN w:val="0"/>
              <w:adjustRightInd w:val="0"/>
              <w:jc w:val="center"/>
              <w:rPr>
                <w:szCs w:val="24"/>
                <w:lang w:val="en-GB"/>
              </w:rPr>
            </w:pPr>
            <w:r>
              <w:rPr>
                <w:b/>
                <w:sz w:val="20"/>
                <w:szCs w:val="24"/>
                <w:lang w:val="en-GB"/>
              </w:rPr>
              <w:t>Ikke kendt</w:t>
            </w:r>
          </w:p>
        </w:tc>
      </w:tr>
      <w:tr w:rsidR="00687D25" w14:paraId="58376C48" w14:textId="77777777" w:rsidTr="00687D25">
        <w:tc>
          <w:tcPr>
            <w:tcW w:w="1560" w:type="dxa"/>
            <w:tcBorders>
              <w:top w:val="single" w:sz="4" w:space="0" w:color="auto"/>
              <w:left w:val="single" w:sz="4" w:space="0" w:color="auto"/>
              <w:bottom w:val="single" w:sz="4" w:space="0" w:color="auto"/>
              <w:right w:val="single" w:sz="4" w:space="0" w:color="auto"/>
            </w:tcBorders>
            <w:hideMark/>
          </w:tcPr>
          <w:p w14:paraId="2889D4AB" w14:textId="77777777" w:rsidR="00687D25" w:rsidRDefault="00687D25">
            <w:pPr>
              <w:autoSpaceDE w:val="0"/>
              <w:autoSpaceDN w:val="0"/>
              <w:adjustRightInd w:val="0"/>
              <w:rPr>
                <w:szCs w:val="24"/>
                <w:lang w:val="en-GB"/>
              </w:rPr>
            </w:pPr>
            <w:r>
              <w:rPr>
                <w:i/>
                <w:sz w:val="20"/>
                <w:szCs w:val="24"/>
                <w:lang w:val="en-GB"/>
              </w:rPr>
              <w:t>Immunsystemet</w:t>
            </w:r>
          </w:p>
        </w:tc>
        <w:tc>
          <w:tcPr>
            <w:tcW w:w="1587" w:type="dxa"/>
            <w:tcBorders>
              <w:top w:val="single" w:sz="4" w:space="0" w:color="auto"/>
              <w:left w:val="single" w:sz="4" w:space="0" w:color="auto"/>
              <w:bottom w:val="single" w:sz="4" w:space="0" w:color="auto"/>
              <w:right w:val="single" w:sz="4" w:space="0" w:color="auto"/>
            </w:tcBorders>
          </w:tcPr>
          <w:p w14:paraId="4AB06695" w14:textId="77777777" w:rsidR="00687D25" w:rsidRDefault="00687D25">
            <w:pPr>
              <w:autoSpaceDE w:val="0"/>
              <w:autoSpaceDN w:val="0"/>
              <w:adjustRightInd w:val="0"/>
              <w:rPr>
                <w:bCs/>
                <w:sz w:val="20"/>
                <w:lang w:val="en-GB"/>
              </w:rPr>
            </w:pPr>
          </w:p>
        </w:tc>
        <w:tc>
          <w:tcPr>
            <w:tcW w:w="1501" w:type="dxa"/>
            <w:tcBorders>
              <w:top w:val="single" w:sz="4" w:space="0" w:color="auto"/>
              <w:left w:val="single" w:sz="4" w:space="0" w:color="auto"/>
              <w:bottom w:val="single" w:sz="4" w:space="0" w:color="auto"/>
              <w:right w:val="single" w:sz="4" w:space="0" w:color="auto"/>
            </w:tcBorders>
          </w:tcPr>
          <w:p w14:paraId="6C5C4063" w14:textId="77777777" w:rsidR="00687D25" w:rsidRDefault="00687D25">
            <w:pPr>
              <w:autoSpaceDE w:val="0"/>
              <w:autoSpaceDN w:val="0"/>
              <w:adjustRightInd w:val="0"/>
              <w:rPr>
                <w:bCs/>
                <w:sz w:val="20"/>
                <w:lang w:val="en-GB"/>
              </w:rPr>
            </w:pPr>
          </w:p>
        </w:tc>
        <w:tc>
          <w:tcPr>
            <w:tcW w:w="1501" w:type="dxa"/>
            <w:tcBorders>
              <w:top w:val="single" w:sz="4" w:space="0" w:color="auto"/>
              <w:left w:val="single" w:sz="4" w:space="0" w:color="auto"/>
              <w:bottom w:val="single" w:sz="4" w:space="0" w:color="auto"/>
              <w:right w:val="single" w:sz="4" w:space="0" w:color="auto"/>
            </w:tcBorders>
          </w:tcPr>
          <w:p w14:paraId="2A1F0323" w14:textId="77777777" w:rsidR="00687D25" w:rsidRDefault="00687D25">
            <w:pPr>
              <w:autoSpaceDE w:val="0"/>
              <w:autoSpaceDN w:val="0"/>
              <w:adjustRightInd w:val="0"/>
              <w:rPr>
                <w:bCs/>
                <w:sz w:val="20"/>
                <w:lang w:val="en-GB"/>
              </w:rPr>
            </w:pPr>
          </w:p>
        </w:tc>
        <w:tc>
          <w:tcPr>
            <w:tcW w:w="1505" w:type="dxa"/>
            <w:tcBorders>
              <w:top w:val="single" w:sz="4" w:space="0" w:color="auto"/>
              <w:left w:val="single" w:sz="4" w:space="0" w:color="auto"/>
              <w:bottom w:val="single" w:sz="4" w:space="0" w:color="auto"/>
              <w:right w:val="single" w:sz="4" w:space="0" w:color="auto"/>
            </w:tcBorders>
            <w:hideMark/>
          </w:tcPr>
          <w:p w14:paraId="02C82238" w14:textId="77777777" w:rsidR="00687D25" w:rsidRDefault="00687D25">
            <w:pPr>
              <w:autoSpaceDE w:val="0"/>
              <w:autoSpaceDN w:val="0"/>
              <w:adjustRightInd w:val="0"/>
              <w:rPr>
                <w:szCs w:val="24"/>
                <w:lang w:val="en-GB"/>
              </w:rPr>
            </w:pPr>
            <w:r>
              <w:rPr>
                <w:sz w:val="20"/>
                <w:szCs w:val="24"/>
                <w:lang w:val="en-GB"/>
              </w:rPr>
              <w:t>Overfølsomhed</w:t>
            </w:r>
          </w:p>
        </w:tc>
        <w:tc>
          <w:tcPr>
            <w:tcW w:w="1304" w:type="dxa"/>
            <w:tcBorders>
              <w:top w:val="single" w:sz="4" w:space="0" w:color="auto"/>
              <w:left w:val="single" w:sz="4" w:space="0" w:color="auto"/>
              <w:bottom w:val="single" w:sz="4" w:space="0" w:color="auto"/>
              <w:right w:val="single" w:sz="4" w:space="0" w:color="auto"/>
            </w:tcBorders>
            <w:hideMark/>
          </w:tcPr>
          <w:p w14:paraId="52D58347" w14:textId="77777777" w:rsidR="00687D25" w:rsidRDefault="00687D25">
            <w:pPr>
              <w:autoSpaceDE w:val="0"/>
              <w:autoSpaceDN w:val="0"/>
              <w:adjustRightInd w:val="0"/>
              <w:rPr>
                <w:sz w:val="20"/>
                <w:szCs w:val="24"/>
                <w:lang w:val="en-GB"/>
              </w:rPr>
            </w:pPr>
            <w:r>
              <w:rPr>
                <w:sz w:val="20"/>
                <w:szCs w:val="24"/>
                <w:lang w:val="en-GB"/>
              </w:rPr>
              <w:t>Anafylaktisk shock</w:t>
            </w:r>
          </w:p>
        </w:tc>
        <w:tc>
          <w:tcPr>
            <w:tcW w:w="1304" w:type="dxa"/>
            <w:tcBorders>
              <w:top w:val="single" w:sz="4" w:space="0" w:color="auto"/>
              <w:left w:val="single" w:sz="4" w:space="0" w:color="auto"/>
              <w:bottom w:val="single" w:sz="4" w:space="0" w:color="auto"/>
              <w:right w:val="single" w:sz="4" w:space="0" w:color="auto"/>
            </w:tcBorders>
            <w:hideMark/>
          </w:tcPr>
          <w:p w14:paraId="641A18D4" w14:textId="77777777" w:rsidR="00687D25" w:rsidRDefault="00687D25">
            <w:pPr>
              <w:rPr>
                <w:sz w:val="20"/>
                <w:szCs w:val="24"/>
                <w:lang w:val="en-GB"/>
              </w:rPr>
            </w:pPr>
          </w:p>
        </w:tc>
      </w:tr>
      <w:tr w:rsidR="00687D25" w14:paraId="090CE656" w14:textId="77777777" w:rsidTr="00687D25">
        <w:tc>
          <w:tcPr>
            <w:tcW w:w="1560" w:type="dxa"/>
            <w:tcBorders>
              <w:top w:val="single" w:sz="4" w:space="0" w:color="auto"/>
              <w:left w:val="single" w:sz="4" w:space="0" w:color="auto"/>
              <w:bottom w:val="single" w:sz="4" w:space="0" w:color="auto"/>
              <w:right w:val="single" w:sz="4" w:space="0" w:color="auto"/>
            </w:tcBorders>
            <w:hideMark/>
          </w:tcPr>
          <w:p w14:paraId="6141FC3E" w14:textId="77777777" w:rsidR="00687D25" w:rsidRDefault="00687D25">
            <w:pPr>
              <w:autoSpaceDE w:val="0"/>
              <w:autoSpaceDN w:val="0"/>
              <w:adjustRightInd w:val="0"/>
              <w:rPr>
                <w:szCs w:val="24"/>
                <w:lang w:val="en-GB"/>
              </w:rPr>
            </w:pPr>
            <w:r>
              <w:rPr>
                <w:i/>
                <w:sz w:val="20"/>
                <w:szCs w:val="24"/>
                <w:lang w:val="en-GB"/>
              </w:rPr>
              <w:lastRenderedPageBreak/>
              <w:t>Metabolisme og ernæring</w:t>
            </w:r>
          </w:p>
        </w:tc>
        <w:tc>
          <w:tcPr>
            <w:tcW w:w="1587" w:type="dxa"/>
            <w:tcBorders>
              <w:top w:val="single" w:sz="4" w:space="0" w:color="auto"/>
              <w:left w:val="single" w:sz="4" w:space="0" w:color="auto"/>
              <w:bottom w:val="single" w:sz="4" w:space="0" w:color="auto"/>
              <w:right w:val="single" w:sz="4" w:space="0" w:color="auto"/>
            </w:tcBorders>
          </w:tcPr>
          <w:p w14:paraId="3B76BA8E" w14:textId="77777777" w:rsidR="00687D25" w:rsidRDefault="00687D25">
            <w:pPr>
              <w:autoSpaceDE w:val="0"/>
              <w:autoSpaceDN w:val="0"/>
              <w:adjustRightInd w:val="0"/>
              <w:rPr>
                <w:bCs/>
                <w:sz w:val="20"/>
                <w:lang w:val="en-GB"/>
              </w:rPr>
            </w:pPr>
          </w:p>
        </w:tc>
        <w:tc>
          <w:tcPr>
            <w:tcW w:w="1501" w:type="dxa"/>
            <w:tcBorders>
              <w:top w:val="single" w:sz="4" w:space="0" w:color="auto"/>
              <w:left w:val="single" w:sz="4" w:space="0" w:color="auto"/>
              <w:bottom w:val="single" w:sz="4" w:space="0" w:color="auto"/>
              <w:right w:val="single" w:sz="4" w:space="0" w:color="auto"/>
            </w:tcBorders>
          </w:tcPr>
          <w:p w14:paraId="54DF9FDE" w14:textId="77777777" w:rsidR="00687D25" w:rsidRDefault="00687D25">
            <w:pPr>
              <w:autoSpaceDE w:val="0"/>
              <w:autoSpaceDN w:val="0"/>
              <w:adjustRightInd w:val="0"/>
              <w:rPr>
                <w:bCs/>
                <w:sz w:val="20"/>
                <w:lang w:val="en-GB"/>
              </w:rPr>
            </w:pPr>
          </w:p>
        </w:tc>
        <w:tc>
          <w:tcPr>
            <w:tcW w:w="1501" w:type="dxa"/>
            <w:tcBorders>
              <w:top w:val="single" w:sz="4" w:space="0" w:color="auto"/>
              <w:left w:val="single" w:sz="4" w:space="0" w:color="auto"/>
              <w:bottom w:val="single" w:sz="4" w:space="0" w:color="auto"/>
              <w:right w:val="single" w:sz="4" w:space="0" w:color="auto"/>
            </w:tcBorders>
          </w:tcPr>
          <w:p w14:paraId="2204F007" w14:textId="77777777" w:rsidR="00687D25" w:rsidRDefault="00687D25">
            <w:pPr>
              <w:autoSpaceDE w:val="0"/>
              <w:autoSpaceDN w:val="0"/>
              <w:adjustRightInd w:val="0"/>
              <w:rPr>
                <w:bCs/>
                <w:sz w:val="20"/>
                <w:lang w:val="en-GB"/>
              </w:rPr>
            </w:pPr>
          </w:p>
        </w:tc>
        <w:tc>
          <w:tcPr>
            <w:tcW w:w="1505" w:type="dxa"/>
            <w:tcBorders>
              <w:top w:val="single" w:sz="4" w:space="0" w:color="auto"/>
              <w:left w:val="single" w:sz="4" w:space="0" w:color="auto"/>
              <w:bottom w:val="single" w:sz="4" w:space="0" w:color="auto"/>
              <w:right w:val="single" w:sz="4" w:space="0" w:color="auto"/>
            </w:tcBorders>
            <w:hideMark/>
          </w:tcPr>
          <w:p w14:paraId="3278F0FE" w14:textId="77777777" w:rsidR="00687D25" w:rsidRDefault="00687D25">
            <w:pPr>
              <w:autoSpaceDE w:val="0"/>
              <w:autoSpaceDN w:val="0"/>
              <w:adjustRightInd w:val="0"/>
              <w:rPr>
                <w:szCs w:val="24"/>
                <w:lang w:val="en-GB"/>
              </w:rPr>
            </w:pPr>
            <w:r>
              <w:rPr>
                <w:sz w:val="20"/>
                <w:szCs w:val="24"/>
                <w:lang w:val="en-GB"/>
              </w:rPr>
              <w:t>Nedsat appetit</w:t>
            </w:r>
          </w:p>
        </w:tc>
        <w:tc>
          <w:tcPr>
            <w:tcW w:w="1304" w:type="dxa"/>
            <w:tcBorders>
              <w:top w:val="single" w:sz="4" w:space="0" w:color="auto"/>
              <w:left w:val="single" w:sz="4" w:space="0" w:color="auto"/>
              <w:bottom w:val="single" w:sz="4" w:space="0" w:color="auto"/>
              <w:right w:val="single" w:sz="4" w:space="0" w:color="auto"/>
            </w:tcBorders>
          </w:tcPr>
          <w:p w14:paraId="64C21FCE" w14:textId="77777777" w:rsidR="00687D25" w:rsidRDefault="00687D25">
            <w:pPr>
              <w:autoSpaceDE w:val="0"/>
              <w:autoSpaceDN w:val="0"/>
              <w:adjustRightInd w:val="0"/>
              <w:rPr>
                <w:sz w:val="20"/>
                <w:lang w:val="en-GB"/>
              </w:rPr>
            </w:pPr>
          </w:p>
        </w:tc>
        <w:tc>
          <w:tcPr>
            <w:tcW w:w="1304" w:type="dxa"/>
            <w:tcBorders>
              <w:top w:val="single" w:sz="4" w:space="0" w:color="auto"/>
              <w:left w:val="single" w:sz="4" w:space="0" w:color="auto"/>
              <w:bottom w:val="single" w:sz="4" w:space="0" w:color="auto"/>
              <w:right w:val="single" w:sz="4" w:space="0" w:color="auto"/>
            </w:tcBorders>
          </w:tcPr>
          <w:p w14:paraId="064B1262" w14:textId="77777777" w:rsidR="00687D25" w:rsidRDefault="00687D25">
            <w:pPr>
              <w:autoSpaceDE w:val="0"/>
              <w:autoSpaceDN w:val="0"/>
              <w:adjustRightInd w:val="0"/>
              <w:rPr>
                <w:sz w:val="20"/>
                <w:lang w:val="en-GB"/>
              </w:rPr>
            </w:pPr>
          </w:p>
        </w:tc>
      </w:tr>
      <w:tr w:rsidR="00687D25" w14:paraId="50F7D2E7" w14:textId="77777777" w:rsidTr="00687D25">
        <w:tc>
          <w:tcPr>
            <w:tcW w:w="1560" w:type="dxa"/>
            <w:tcBorders>
              <w:top w:val="single" w:sz="4" w:space="0" w:color="auto"/>
              <w:left w:val="single" w:sz="4" w:space="0" w:color="auto"/>
              <w:bottom w:val="single" w:sz="4" w:space="0" w:color="auto"/>
              <w:right w:val="single" w:sz="4" w:space="0" w:color="auto"/>
            </w:tcBorders>
            <w:hideMark/>
          </w:tcPr>
          <w:p w14:paraId="4EED3594" w14:textId="77777777" w:rsidR="00687D25" w:rsidRDefault="00687D25">
            <w:pPr>
              <w:autoSpaceDE w:val="0"/>
              <w:autoSpaceDN w:val="0"/>
              <w:adjustRightInd w:val="0"/>
              <w:rPr>
                <w:szCs w:val="24"/>
                <w:lang w:val="en-GB"/>
              </w:rPr>
            </w:pPr>
            <w:r>
              <w:rPr>
                <w:i/>
                <w:sz w:val="20"/>
                <w:szCs w:val="24"/>
                <w:lang w:val="en-GB"/>
              </w:rPr>
              <w:t>Psykiske forstyrrelser</w:t>
            </w:r>
          </w:p>
        </w:tc>
        <w:tc>
          <w:tcPr>
            <w:tcW w:w="1587" w:type="dxa"/>
            <w:tcBorders>
              <w:top w:val="single" w:sz="4" w:space="0" w:color="auto"/>
              <w:left w:val="single" w:sz="4" w:space="0" w:color="auto"/>
              <w:bottom w:val="single" w:sz="4" w:space="0" w:color="auto"/>
              <w:right w:val="single" w:sz="4" w:space="0" w:color="auto"/>
            </w:tcBorders>
          </w:tcPr>
          <w:p w14:paraId="7D2D3B6A" w14:textId="77777777" w:rsidR="00687D25" w:rsidRDefault="00687D25">
            <w:pPr>
              <w:autoSpaceDE w:val="0"/>
              <w:autoSpaceDN w:val="0"/>
              <w:adjustRightInd w:val="0"/>
              <w:rPr>
                <w:bCs/>
                <w:sz w:val="20"/>
                <w:lang w:val="en-GB"/>
              </w:rPr>
            </w:pPr>
          </w:p>
        </w:tc>
        <w:tc>
          <w:tcPr>
            <w:tcW w:w="1501" w:type="dxa"/>
            <w:tcBorders>
              <w:top w:val="single" w:sz="4" w:space="0" w:color="auto"/>
              <w:left w:val="single" w:sz="4" w:space="0" w:color="auto"/>
              <w:bottom w:val="single" w:sz="4" w:space="0" w:color="auto"/>
              <w:right w:val="single" w:sz="4" w:space="0" w:color="auto"/>
            </w:tcBorders>
          </w:tcPr>
          <w:p w14:paraId="4B4D4ABE" w14:textId="77777777" w:rsidR="00687D25" w:rsidRDefault="00687D25">
            <w:pPr>
              <w:autoSpaceDE w:val="0"/>
              <w:autoSpaceDN w:val="0"/>
              <w:adjustRightInd w:val="0"/>
              <w:rPr>
                <w:bCs/>
                <w:sz w:val="20"/>
                <w:lang w:val="en-GB"/>
              </w:rPr>
            </w:pPr>
          </w:p>
        </w:tc>
        <w:tc>
          <w:tcPr>
            <w:tcW w:w="1501" w:type="dxa"/>
            <w:tcBorders>
              <w:top w:val="single" w:sz="4" w:space="0" w:color="auto"/>
              <w:left w:val="single" w:sz="4" w:space="0" w:color="auto"/>
              <w:bottom w:val="single" w:sz="4" w:space="0" w:color="auto"/>
              <w:right w:val="single" w:sz="4" w:space="0" w:color="auto"/>
            </w:tcBorders>
            <w:hideMark/>
          </w:tcPr>
          <w:p w14:paraId="6F3930F7" w14:textId="77777777" w:rsidR="00687D25" w:rsidRDefault="00687D25">
            <w:pPr>
              <w:autoSpaceDE w:val="0"/>
              <w:autoSpaceDN w:val="0"/>
              <w:adjustRightInd w:val="0"/>
              <w:rPr>
                <w:b/>
                <w:sz w:val="20"/>
                <w:szCs w:val="24"/>
                <w:lang w:val="sv-SE"/>
              </w:rPr>
            </w:pPr>
            <w:r>
              <w:rPr>
                <w:sz w:val="20"/>
                <w:szCs w:val="24"/>
                <w:lang w:val="sv-SE"/>
              </w:rPr>
              <w:t>Konfusion</w:t>
            </w:r>
          </w:p>
          <w:p w14:paraId="00185AB0" w14:textId="77777777" w:rsidR="00687D25" w:rsidRDefault="00687D25">
            <w:pPr>
              <w:autoSpaceDE w:val="0"/>
              <w:autoSpaceDN w:val="0"/>
              <w:adjustRightInd w:val="0"/>
              <w:rPr>
                <w:b/>
                <w:sz w:val="20"/>
                <w:szCs w:val="24"/>
                <w:lang w:val="sv-SE"/>
              </w:rPr>
            </w:pPr>
            <w:r>
              <w:rPr>
                <w:sz w:val="20"/>
                <w:szCs w:val="24"/>
                <w:lang w:val="sv-SE"/>
              </w:rPr>
              <w:t>Eufori</w:t>
            </w:r>
          </w:p>
          <w:p w14:paraId="415BB53B" w14:textId="77777777" w:rsidR="00687D25" w:rsidRDefault="00687D25">
            <w:pPr>
              <w:autoSpaceDE w:val="0"/>
              <w:autoSpaceDN w:val="0"/>
              <w:adjustRightInd w:val="0"/>
              <w:rPr>
                <w:b/>
                <w:sz w:val="20"/>
                <w:szCs w:val="24"/>
                <w:lang w:val="sv-SE"/>
              </w:rPr>
            </w:pPr>
            <w:r>
              <w:rPr>
                <w:sz w:val="20"/>
                <w:szCs w:val="24"/>
                <w:lang w:val="sv-SE"/>
              </w:rPr>
              <w:t>Nervøsitet</w:t>
            </w:r>
          </w:p>
          <w:p w14:paraId="7644611D" w14:textId="77777777" w:rsidR="00687D25" w:rsidRDefault="00687D25">
            <w:pPr>
              <w:autoSpaceDE w:val="0"/>
              <w:autoSpaceDN w:val="0"/>
              <w:adjustRightInd w:val="0"/>
              <w:rPr>
                <w:b/>
                <w:sz w:val="20"/>
                <w:szCs w:val="24"/>
                <w:lang w:val="sv-SE"/>
              </w:rPr>
            </w:pPr>
            <w:r>
              <w:rPr>
                <w:sz w:val="20"/>
                <w:szCs w:val="24"/>
                <w:lang w:val="sv-SE"/>
              </w:rPr>
              <w:t>Depression</w:t>
            </w:r>
          </w:p>
          <w:p w14:paraId="384E845B" w14:textId="77777777" w:rsidR="00687D25" w:rsidRDefault="00687D25">
            <w:pPr>
              <w:autoSpaceDE w:val="0"/>
              <w:autoSpaceDN w:val="0"/>
              <w:adjustRightInd w:val="0"/>
              <w:rPr>
                <w:sz w:val="20"/>
                <w:szCs w:val="24"/>
                <w:lang w:val="sv-SE"/>
              </w:rPr>
            </w:pPr>
            <w:r>
              <w:rPr>
                <w:sz w:val="20"/>
                <w:szCs w:val="24"/>
                <w:lang w:val="sv-SE"/>
              </w:rPr>
              <w:t xml:space="preserve">Psykose </w:t>
            </w:r>
          </w:p>
          <w:p w14:paraId="37386369" w14:textId="77777777" w:rsidR="00687D25" w:rsidRDefault="00687D25">
            <w:pPr>
              <w:autoSpaceDE w:val="0"/>
              <w:autoSpaceDN w:val="0"/>
              <w:adjustRightInd w:val="0"/>
              <w:rPr>
                <w:b/>
                <w:sz w:val="20"/>
                <w:szCs w:val="24"/>
                <w:lang w:val="sv-SE"/>
              </w:rPr>
            </w:pPr>
            <w:r>
              <w:rPr>
                <w:sz w:val="20"/>
                <w:szCs w:val="24"/>
                <w:lang w:val="sv-SE"/>
              </w:rPr>
              <w:t>Hallucination</w:t>
            </w:r>
          </w:p>
          <w:p w14:paraId="094A9082" w14:textId="77777777" w:rsidR="00687D25" w:rsidRDefault="00687D25">
            <w:pPr>
              <w:autoSpaceDE w:val="0"/>
              <w:autoSpaceDN w:val="0"/>
              <w:adjustRightInd w:val="0"/>
              <w:rPr>
                <w:szCs w:val="24"/>
                <w:lang w:val="sv-SE"/>
              </w:rPr>
            </w:pPr>
            <w:r>
              <w:rPr>
                <w:sz w:val="20"/>
                <w:szCs w:val="24"/>
                <w:lang w:val="sv-SE"/>
              </w:rPr>
              <w:t>Depersonalisa</w:t>
            </w:r>
            <w:r>
              <w:rPr>
                <w:sz w:val="20"/>
                <w:szCs w:val="24"/>
                <w:lang w:val="sv-SE"/>
              </w:rPr>
              <w:softHyphen/>
              <w:t>tion</w:t>
            </w:r>
          </w:p>
        </w:tc>
        <w:tc>
          <w:tcPr>
            <w:tcW w:w="1505" w:type="dxa"/>
            <w:tcBorders>
              <w:top w:val="single" w:sz="4" w:space="0" w:color="auto"/>
              <w:left w:val="single" w:sz="4" w:space="0" w:color="auto"/>
              <w:bottom w:val="single" w:sz="4" w:space="0" w:color="auto"/>
              <w:right w:val="single" w:sz="4" w:space="0" w:color="auto"/>
            </w:tcBorders>
            <w:hideMark/>
          </w:tcPr>
          <w:p w14:paraId="0C968B25" w14:textId="77777777" w:rsidR="00687D25" w:rsidRDefault="00687D25">
            <w:pPr>
              <w:autoSpaceDE w:val="0"/>
              <w:autoSpaceDN w:val="0"/>
              <w:adjustRightInd w:val="0"/>
              <w:rPr>
                <w:sz w:val="20"/>
                <w:szCs w:val="24"/>
                <w:lang w:val="en-GB"/>
              </w:rPr>
            </w:pPr>
            <w:r>
              <w:rPr>
                <w:sz w:val="20"/>
                <w:szCs w:val="24"/>
                <w:lang w:val="en-GB"/>
              </w:rPr>
              <w:t>Dysfori</w:t>
            </w:r>
          </w:p>
          <w:p w14:paraId="0664BB99" w14:textId="77777777" w:rsidR="00687D25" w:rsidRDefault="00687D25">
            <w:pPr>
              <w:autoSpaceDE w:val="0"/>
              <w:autoSpaceDN w:val="0"/>
              <w:adjustRightInd w:val="0"/>
              <w:rPr>
                <w:szCs w:val="24"/>
                <w:lang w:val="en-GB"/>
              </w:rPr>
            </w:pPr>
            <w:r>
              <w:rPr>
                <w:sz w:val="20"/>
                <w:szCs w:val="24"/>
                <w:lang w:val="en-GB"/>
              </w:rPr>
              <w:t>Agitation</w:t>
            </w:r>
          </w:p>
        </w:tc>
        <w:tc>
          <w:tcPr>
            <w:tcW w:w="1304" w:type="dxa"/>
            <w:tcBorders>
              <w:top w:val="single" w:sz="4" w:space="0" w:color="auto"/>
              <w:left w:val="single" w:sz="4" w:space="0" w:color="auto"/>
              <w:bottom w:val="single" w:sz="4" w:space="0" w:color="auto"/>
              <w:right w:val="single" w:sz="4" w:space="0" w:color="auto"/>
            </w:tcBorders>
          </w:tcPr>
          <w:p w14:paraId="617D960D" w14:textId="77777777" w:rsidR="00687D25" w:rsidRDefault="00687D25">
            <w:pPr>
              <w:autoSpaceDE w:val="0"/>
              <w:autoSpaceDN w:val="0"/>
              <w:adjustRightInd w:val="0"/>
              <w:rPr>
                <w:sz w:val="20"/>
                <w:szCs w:val="24"/>
                <w:lang w:val="en-GB"/>
              </w:rPr>
            </w:pPr>
          </w:p>
        </w:tc>
        <w:tc>
          <w:tcPr>
            <w:tcW w:w="1304" w:type="dxa"/>
            <w:tcBorders>
              <w:top w:val="single" w:sz="4" w:space="0" w:color="auto"/>
              <w:left w:val="single" w:sz="4" w:space="0" w:color="auto"/>
              <w:bottom w:val="single" w:sz="4" w:space="0" w:color="auto"/>
              <w:right w:val="single" w:sz="4" w:space="0" w:color="auto"/>
            </w:tcBorders>
          </w:tcPr>
          <w:p w14:paraId="29F256C7" w14:textId="77777777" w:rsidR="00687D25" w:rsidRDefault="00687D25">
            <w:pPr>
              <w:autoSpaceDE w:val="0"/>
              <w:autoSpaceDN w:val="0"/>
              <w:adjustRightInd w:val="0"/>
              <w:rPr>
                <w:szCs w:val="24"/>
                <w:lang w:val="en-GB"/>
              </w:rPr>
            </w:pPr>
          </w:p>
        </w:tc>
      </w:tr>
      <w:tr w:rsidR="00687D25" w14:paraId="5A429256" w14:textId="77777777" w:rsidTr="00687D25">
        <w:tc>
          <w:tcPr>
            <w:tcW w:w="1560" w:type="dxa"/>
            <w:tcBorders>
              <w:top w:val="single" w:sz="4" w:space="0" w:color="auto"/>
              <w:left w:val="single" w:sz="4" w:space="0" w:color="auto"/>
              <w:bottom w:val="single" w:sz="4" w:space="0" w:color="auto"/>
              <w:right w:val="single" w:sz="4" w:space="0" w:color="auto"/>
            </w:tcBorders>
            <w:hideMark/>
          </w:tcPr>
          <w:p w14:paraId="4E62D41D" w14:textId="77777777" w:rsidR="00687D25" w:rsidRDefault="00687D25">
            <w:pPr>
              <w:autoSpaceDE w:val="0"/>
              <w:autoSpaceDN w:val="0"/>
              <w:adjustRightInd w:val="0"/>
              <w:rPr>
                <w:szCs w:val="24"/>
                <w:lang w:val="en-GB"/>
              </w:rPr>
            </w:pPr>
            <w:r>
              <w:rPr>
                <w:i/>
                <w:sz w:val="20"/>
                <w:szCs w:val="24"/>
                <w:lang w:val="en-GB"/>
              </w:rPr>
              <w:t>Nervesystemet</w:t>
            </w:r>
          </w:p>
        </w:tc>
        <w:tc>
          <w:tcPr>
            <w:tcW w:w="1587" w:type="dxa"/>
            <w:tcBorders>
              <w:top w:val="single" w:sz="4" w:space="0" w:color="auto"/>
              <w:left w:val="single" w:sz="4" w:space="0" w:color="auto"/>
              <w:bottom w:val="single" w:sz="4" w:space="0" w:color="auto"/>
              <w:right w:val="single" w:sz="4" w:space="0" w:color="auto"/>
            </w:tcBorders>
            <w:hideMark/>
          </w:tcPr>
          <w:p w14:paraId="40704177" w14:textId="77777777" w:rsidR="00687D25" w:rsidRDefault="00687D25">
            <w:pPr>
              <w:autoSpaceDE w:val="0"/>
              <w:autoSpaceDN w:val="0"/>
              <w:adjustRightInd w:val="0"/>
              <w:rPr>
                <w:sz w:val="20"/>
                <w:szCs w:val="24"/>
                <w:lang w:val="en-GB"/>
              </w:rPr>
            </w:pPr>
            <w:r>
              <w:rPr>
                <w:sz w:val="20"/>
                <w:szCs w:val="24"/>
                <w:lang w:val="en-GB"/>
              </w:rPr>
              <w:t>Sedation</w:t>
            </w:r>
          </w:p>
          <w:p w14:paraId="2D8C3F68" w14:textId="77777777" w:rsidR="00687D25" w:rsidRDefault="00687D25">
            <w:pPr>
              <w:autoSpaceDE w:val="0"/>
              <w:autoSpaceDN w:val="0"/>
              <w:adjustRightInd w:val="0"/>
              <w:rPr>
                <w:szCs w:val="24"/>
                <w:lang w:val="en-GB"/>
              </w:rPr>
            </w:pPr>
            <w:r>
              <w:rPr>
                <w:sz w:val="20"/>
                <w:szCs w:val="24"/>
                <w:lang w:val="en-GB"/>
              </w:rPr>
              <w:t>Svimmelhed</w:t>
            </w:r>
          </w:p>
        </w:tc>
        <w:tc>
          <w:tcPr>
            <w:tcW w:w="1501" w:type="dxa"/>
            <w:tcBorders>
              <w:top w:val="single" w:sz="4" w:space="0" w:color="auto"/>
              <w:left w:val="single" w:sz="4" w:space="0" w:color="auto"/>
              <w:bottom w:val="single" w:sz="4" w:space="0" w:color="auto"/>
              <w:right w:val="single" w:sz="4" w:space="0" w:color="auto"/>
            </w:tcBorders>
            <w:hideMark/>
          </w:tcPr>
          <w:p w14:paraId="78695610" w14:textId="77777777" w:rsidR="00687D25" w:rsidRDefault="00687D25">
            <w:pPr>
              <w:autoSpaceDE w:val="0"/>
              <w:autoSpaceDN w:val="0"/>
              <w:adjustRightInd w:val="0"/>
              <w:rPr>
                <w:szCs w:val="24"/>
                <w:lang w:val="en-GB"/>
              </w:rPr>
            </w:pPr>
            <w:r>
              <w:rPr>
                <w:sz w:val="20"/>
                <w:szCs w:val="24"/>
                <w:lang w:val="en-GB"/>
              </w:rPr>
              <w:t>Hovedpine</w:t>
            </w:r>
          </w:p>
        </w:tc>
        <w:tc>
          <w:tcPr>
            <w:tcW w:w="1501" w:type="dxa"/>
            <w:tcBorders>
              <w:top w:val="single" w:sz="4" w:space="0" w:color="auto"/>
              <w:left w:val="single" w:sz="4" w:space="0" w:color="auto"/>
              <w:bottom w:val="single" w:sz="4" w:space="0" w:color="auto"/>
              <w:right w:val="single" w:sz="4" w:space="0" w:color="auto"/>
            </w:tcBorders>
            <w:hideMark/>
          </w:tcPr>
          <w:p w14:paraId="7C17A97B" w14:textId="77777777" w:rsidR="00687D25" w:rsidRDefault="00687D25">
            <w:pPr>
              <w:autoSpaceDE w:val="0"/>
              <w:autoSpaceDN w:val="0"/>
              <w:adjustRightInd w:val="0"/>
              <w:rPr>
                <w:sz w:val="20"/>
                <w:szCs w:val="24"/>
                <w:lang w:val="en-GB"/>
              </w:rPr>
            </w:pPr>
            <w:r>
              <w:rPr>
                <w:sz w:val="20"/>
                <w:szCs w:val="24"/>
                <w:lang w:val="en-GB"/>
              </w:rPr>
              <w:t>Dysartri</w:t>
            </w:r>
          </w:p>
          <w:p w14:paraId="32CDD5AF" w14:textId="77777777" w:rsidR="00687D25" w:rsidRDefault="00687D25">
            <w:pPr>
              <w:autoSpaceDE w:val="0"/>
              <w:autoSpaceDN w:val="0"/>
              <w:adjustRightInd w:val="0"/>
              <w:rPr>
                <w:sz w:val="20"/>
                <w:szCs w:val="24"/>
                <w:lang w:val="en-GB"/>
              </w:rPr>
            </w:pPr>
            <w:r>
              <w:rPr>
                <w:sz w:val="20"/>
                <w:szCs w:val="24"/>
                <w:lang w:val="en-GB"/>
              </w:rPr>
              <w:t>Paræstesi</w:t>
            </w:r>
          </w:p>
          <w:p w14:paraId="1D8B7A1C" w14:textId="77777777" w:rsidR="00687D25" w:rsidRDefault="00687D25">
            <w:pPr>
              <w:autoSpaceDE w:val="0"/>
              <w:autoSpaceDN w:val="0"/>
              <w:adjustRightInd w:val="0"/>
              <w:rPr>
                <w:sz w:val="20"/>
                <w:szCs w:val="24"/>
                <w:lang w:val="en-GB"/>
              </w:rPr>
            </w:pPr>
            <w:r>
              <w:rPr>
                <w:sz w:val="20"/>
                <w:szCs w:val="24"/>
                <w:lang w:val="en-GB"/>
              </w:rPr>
              <w:t>Koma</w:t>
            </w:r>
          </w:p>
          <w:p w14:paraId="0AD84E5B" w14:textId="77777777" w:rsidR="00687D25" w:rsidRDefault="00687D25">
            <w:pPr>
              <w:rPr>
                <w:szCs w:val="24"/>
                <w:lang w:val="en-GB"/>
              </w:rPr>
            </w:pPr>
            <w:r>
              <w:rPr>
                <w:sz w:val="20"/>
                <w:szCs w:val="24"/>
                <w:lang w:val="en-GB"/>
              </w:rPr>
              <w:t>Tremor</w:t>
            </w:r>
          </w:p>
        </w:tc>
        <w:tc>
          <w:tcPr>
            <w:tcW w:w="1505" w:type="dxa"/>
            <w:tcBorders>
              <w:top w:val="single" w:sz="4" w:space="0" w:color="auto"/>
              <w:left w:val="single" w:sz="4" w:space="0" w:color="auto"/>
              <w:bottom w:val="single" w:sz="4" w:space="0" w:color="auto"/>
              <w:right w:val="single" w:sz="4" w:space="0" w:color="auto"/>
            </w:tcBorders>
            <w:hideMark/>
          </w:tcPr>
          <w:p w14:paraId="2742A5CB" w14:textId="77777777" w:rsidR="00687D25" w:rsidRDefault="00687D25">
            <w:pPr>
              <w:autoSpaceDE w:val="0"/>
              <w:autoSpaceDN w:val="0"/>
              <w:adjustRightInd w:val="0"/>
              <w:rPr>
                <w:sz w:val="20"/>
                <w:szCs w:val="24"/>
                <w:lang w:val="en-GB"/>
              </w:rPr>
            </w:pPr>
            <w:r>
              <w:rPr>
                <w:sz w:val="20"/>
                <w:szCs w:val="24"/>
                <w:lang w:val="en-GB"/>
              </w:rPr>
              <w:t>Krampeanfald</w:t>
            </w:r>
          </w:p>
          <w:p w14:paraId="42DF2115" w14:textId="77777777" w:rsidR="00687D25" w:rsidRDefault="00687D25">
            <w:pPr>
              <w:autoSpaceDE w:val="0"/>
              <w:autoSpaceDN w:val="0"/>
              <w:adjustRightInd w:val="0"/>
              <w:rPr>
                <w:szCs w:val="24"/>
                <w:lang w:val="en-GB"/>
              </w:rPr>
            </w:pPr>
            <w:r>
              <w:rPr>
                <w:sz w:val="20"/>
                <w:szCs w:val="24"/>
                <w:lang w:val="en-GB"/>
              </w:rPr>
              <w:t>Nedsat koordinations</w:t>
            </w:r>
            <w:r>
              <w:rPr>
                <w:sz w:val="20"/>
                <w:szCs w:val="24"/>
                <w:lang w:val="en-GB"/>
              </w:rPr>
              <w:softHyphen/>
              <w:t>evne</w:t>
            </w:r>
          </w:p>
        </w:tc>
        <w:tc>
          <w:tcPr>
            <w:tcW w:w="1304" w:type="dxa"/>
            <w:tcBorders>
              <w:top w:val="single" w:sz="4" w:space="0" w:color="auto"/>
              <w:left w:val="single" w:sz="4" w:space="0" w:color="auto"/>
              <w:bottom w:val="single" w:sz="4" w:space="0" w:color="auto"/>
              <w:right w:val="single" w:sz="4" w:space="0" w:color="auto"/>
            </w:tcBorders>
          </w:tcPr>
          <w:p w14:paraId="0504EF49" w14:textId="77777777" w:rsidR="00687D25" w:rsidRDefault="00687D25">
            <w:pPr>
              <w:autoSpaceDE w:val="0"/>
              <w:autoSpaceDN w:val="0"/>
              <w:adjustRightInd w:val="0"/>
              <w:rPr>
                <w:sz w:val="20"/>
                <w:szCs w:val="24"/>
                <w:lang w:val="en-GB"/>
              </w:rPr>
            </w:pPr>
          </w:p>
        </w:tc>
        <w:tc>
          <w:tcPr>
            <w:tcW w:w="1304" w:type="dxa"/>
            <w:tcBorders>
              <w:top w:val="single" w:sz="4" w:space="0" w:color="auto"/>
              <w:left w:val="single" w:sz="4" w:space="0" w:color="auto"/>
              <w:bottom w:val="single" w:sz="4" w:space="0" w:color="auto"/>
              <w:right w:val="single" w:sz="4" w:space="0" w:color="auto"/>
            </w:tcBorders>
            <w:hideMark/>
          </w:tcPr>
          <w:p w14:paraId="295C7007" w14:textId="77777777" w:rsidR="00687D25" w:rsidRDefault="00687D25">
            <w:pPr>
              <w:rPr>
                <w:sz w:val="20"/>
                <w:szCs w:val="24"/>
                <w:lang w:val="en-GB"/>
              </w:rPr>
            </w:pPr>
          </w:p>
        </w:tc>
      </w:tr>
      <w:tr w:rsidR="00687D25" w14:paraId="5359CE89" w14:textId="77777777" w:rsidTr="00687D25">
        <w:tc>
          <w:tcPr>
            <w:tcW w:w="1560" w:type="dxa"/>
            <w:tcBorders>
              <w:top w:val="single" w:sz="4" w:space="0" w:color="auto"/>
              <w:left w:val="single" w:sz="4" w:space="0" w:color="auto"/>
              <w:bottom w:val="single" w:sz="4" w:space="0" w:color="auto"/>
              <w:right w:val="single" w:sz="4" w:space="0" w:color="auto"/>
            </w:tcBorders>
            <w:hideMark/>
          </w:tcPr>
          <w:p w14:paraId="46F4C642" w14:textId="77777777" w:rsidR="00687D25" w:rsidRDefault="00687D25">
            <w:pPr>
              <w:autoSpaceDE w:val="0"/>
              <w:autoSpaceDN w:val="0"/>
              <w:adjustRightInd w:val="0"/>
              <w:rPr>
                <w:szCs w:val="24"/>
                <w:lang w:val="en-GB"/>
              </w:rPr>
            </w:pPr>
            <w:r>
              <w:rPr>
                <w:i/>
                <w:sz w:val="20"/>
                <w:szCs w:val="24"/>
                <w:lang w:val="en-GB"/>
              </w:rPr>
              <w:t>Øjne</w:t>
            </w:r>
          </w:p>
        </w:tc>
        <w:tc>
          <w:tcPr>
            <w:tcW w:w="1587" w:type="dxa"/>
            <w:tcBorders>
              <w:top w:val="single" w:sz="4" w:space="0" w:color="auto"/>
              <w:left w:val="single" w:sz="4" w:space="0" w:color="auto"/>
              <w:bottom w:val="single" w:sz="4" w:space="0" w:color="auto"/>
              <w:right w:val="single" w:sz="4" w:space="0" w:color="auto"/>
            </w:tcBorders>
          </w:tcPr>
          <w:p w14:paraId="3766A3B9" w14:textId="77777777" w:rsidR="00687D25" w:rsidRDefault="00687D25">
            <w:pPr>
              <w:autoSpaceDE w:val="0"/>
              <w:autoSpaceDN w:val="0"/>
              <w:adjustRightInd w:val="0"/>
              <w:rPr>
                <w:bCs/>
                <w:sz w:val="20"/>
                <w:lang w:val="en-GB"/>
              </w:rPr>
            </w:pPr>
          </w:p>
        </w:tc>
        <w:tc>
          <w:tcPr>
            <w:tcW w:w="1501" w:type="dxa"/>
            <w:tcBorders>
              <w:top w:val="single" w:sz="4" w:space="0" w:color="auto"/>
              <w:left w:val="single" w:sz="4" w:space="0" w:color="auto"/>
              <w:bottom w:val="single" w:sz="4" w:space="0" w:color="auto"/>
              <w:right w:val="single" w:sz="4" w:space="0" w:color="auto"/>
            </w:tcBorders>
            <w:hideMark/>
          </w:tcPr>
          <w:p w14:paraId="77A3D090" w14:textId="77777777" w:rsidR="00687D25" w:rsidRDefault="00687D25">
            <w:pPr>
              <w:autoSpaceDE w:val="0"/>
              <w:autoSpaceDN w:val="0"/>
              <w:adjustRightInd w:val="0"/>
              <w:rPr>
                <w:szCs w:val="24"/>
                <w:lang w:val="en-GB"/>
              </w:rPr>
            </w:pPr>
            <w:r>
              <w:rPr>
                <w:sz w:val="20"/>
                <w:szCs w:val="24"/>
                <w:lang w:val="en-GB"/>
              </w:rPr>
              <w:t>Miosis</w:t>
            </w:r>
          </w:p>
        </w:tc>
        <w:tc>
          <w:tcPr>
            <w:tcW w:w="1501" w:type="dxa"/>
            <w:tcBorders>
              <w:top w:val="single" w:sz="4" w:space="0" w:color="auto"/>
              <w:left w:val="single" w:sz="4" w:space="0" w:color="auto"/>
              <w:bottom w:val="single" w:sz="4" w:space="0" w:color="auto"/>
              <w:right w:val="single" w:sz="4" w:space="0" w:color="auto"/>
            </w:tcBorders>
            <w:hideMark/>
          </w:tcPr>
          <w:p w14:paraId="628514C7" w14:textId="77777777" w:rsidR="00687D25" w:rsidRPr="00687D25" w:rsidRDefault="00687D25">
            <w:pPr>
              <w:autoSpaceDE w:val="0"/>
              <w:autoSpaceDN w:val="0"/>
              <w:adjustRightInd w:val="0"/>
              <w:rPr>
                <w:sz w:val="20"/>
                <w:szCs w:val="24"/>
              </w:rPr>
            </w:pPr>
            <w:r w:rsidRPr="00687D25">
              <w:rPr>
                <w:sz w:val="20"/>
                <w:szCs w:val="24"/>
              </w:rPr>
              <w:t>Sløret syn</w:t>
            </w:r>
          </w:p>
          <w:p w14:paraId="267B08DC" w14:textId="77777777" w:rsidR="00687D25" w:rsidRPr="00687D25" w:rsidRDefault="00687D25">
            <w:pPr>
              <w:autoSpaceDE w:val="0"/>
              <w:autoSpaceDN w:val="0"/>
              <w:adjustRightInd w:val="0"/>
              <w:rPr>
                <w:sz w:val="20"/>
                <w:szCs w:val="24"/>
              </w:rPr>
            </w:pPr>
            <w:r w:rsidRPr="00687D25">
              <w:rPr>
                <w:sz w:val="20"/>
                <w:szCs w:val="24"/>
              </w:rPr>
              <w:t>Diplopi</w:t>
            </w:r>
          </w:p>
          <w:p w14:paraId="590FAF58" w14:textId="77777777" w:rsidR="00687D25" w:rsidRPr="00687D25" w:rsidRDefault="00687D25">
            <w:pPr>
              <w:autoSpaceDE w:val="0"/>
              <w:autoSpaceDN w:val="0"/>
              <w:adjustRightInd w:val="0"/>
              <w:rPr>
                <w:sz w:val="20"/>
                <w:szCs w:val="24"/>
              </w:rPr>
            </w:pPr>
            <w:r w:rsidRPr="00687D25">
              <w:rPr>
                <w:sz w:val="20"/>
                <w:szCs w:val="24"/>
              </w:rPr>
              <w:t>Synssvækkelse</w:t>
            </w:r>
          </w:p>
          <w:p w14:paraId="49C6B17D" w14:textId="77777777" w:rsidR="00687D25" w:rsidRPr="00687D25" w:rsidRDefault="00687D25">
            <w:pPr>
              <w:autoSpaceDE w:val="0"/>
              <w:autoSpaceDN w:val="0"/>
              <w:adjustRightInd w:val="0"/>
              <w:rPr>
                <w:szCs w:val="24"/>
              </w:rPr>
            </w:pPr>
            <w:r w:rsidRPr="00687D25">
              <w:rPr>
                <w:sz w:val="20"/>
                <w:szCs w:val="24"/>
              </w:rPr>
              <w:t>Konjunktivitis</w:t>
            </w:r>
          </w:p>
        </w:tc>
        <w:tc>
          <w:tcPr>
            <w:tcW w:w="1505" w:type="dxa"/>
            <w:tcBorders>
              <w:top w:val="single" w:sz="4" w:space="0" w:color="auto"/>
              <w:left w:val="single" w:sz="4" w:space="0" w:color="auto"/>
              <w:bottom w:val="single" w:sz="4" w:space="0" w:color="auto"/>
              <w:right w:val="single" w:sz="4" w:space="0" w:color="auto"/>
            </w:tcBorders>
          </w:tcPr>
          <w:p w14:paraId="6693DF2D" w14:textId="77777777" w:rsidR="00687D25" w:rsidRPr="00687D25" w:rsidRDefault="00687D25">
            <w:pPr>
              <w:autoSpaceDE w:val="0"/>
              <w:autoSpaceDN w:val="0"/>
              <w:adjustRightInd w:val="0"/>
              <w:rPr>
                <w:sz w:val="20"/>
              </w:rPr>
            </w:pPr>
          </w:p>
        </w:tc>
        <w:tc>
          <w:tcPr>
            <w:tcW w:w="1304" w:type="dxa"/>
            <w:tcBorders>
              <w:top w:val="single" w:sz="4" w:space="0" w:color="auto"/>
              <w:left w:val="single" w:sz="4" w:space="0" w:color="auto"/>
              <w:bottom w:val="single" w:sz="4" w:space="0" w:color="auto"/>
              <w:right w:val="single" w:sz="4" w:space="0" w:color="auto"/>
            </w:tcBorders>
          </w:tcPr>
          <w:p w14:paraId="51E5A839" w14:textId="77777777" w:rsidR="00687D25" w:rsidRPr="00687D25" w:rsidRDefault="00687D25">
            <w:pPr>
              <w:autoSpaceDE w:val="0"/>
              <w:autoSpaceDN w:val="0"/>
              <w:adjustRightInd w:val="0"/>
              <w:rPr>
                <w:sz w:val="20"/>
              </w:rPr>
            </w:pPr>
          </w:p>
        </w:tc>
        <w:tc>
          <w:tcPr>
            <w:tcW w:w="1304" w:type="dxa"/>
            <w:tcBorders>
              <w:top w:val="single" w:sz="4" w:space="0" w:color="auto"/>
              <w:left w:val="single" w:sz="4" w:space="0" w:color="auto"/>
              <w:bottom w:val="single" w:sz="4" w:space="0" w:color="auto"/>
              <w:right w:val="single" w:sz="4" w:space="0" w:color="auto"/>
            </w:tcBorders>
          </w:tcPr>
          <w:p w14:paraId="72737B9B" w14:textId="77777777" w:rsidR="00687D25" w:rsidRPr="00687D25" w:rsidRDefault="00687D25">
            <w:pPr>
              <w:autoSpaceDE w:val="0"/>
              <w:autoSpaceDN w:val="0"/>
              <w:adjustRightInd w:val="0"/>
              <w:rPr>
                <w:sz w:val="20"/>
              </w:rPr>
            </w:pPr>
          </w:p>
        </w:tc>
      </w:tr>
      <w:tr w:rsidR="00687D25" w14:paraId="4A94AD84" w14:textId="77777777" w:rsidTr="00687D25">
        <w:tc>
          <w:tcPr>
            <w:tcW w:w="1560" w:type="dxa"/>
            <w:tcBorders>
              <w:top w:val="single" w:sz="4" w:space="0" w:color="auto"/>
              <w:left w:val="single" w:sz="4" w:space="0" w:color="auto"/>
              <w:bottom w:val="single" w:sz="4" w:space="0" w:color="auto"/>
              <w:right w:val="single" w:sz="4" w:space="0" w:color="auto"/>
            </w:tcBorders>
            <w:hideMark/>
          </w:tcPr>
          <w:p w14:paraId="375546E5" w14:textId="77777777" w:rsidR="00687D25" w:rsidRDefault="00687D25">
            <w:pPr>
              <w:autoSpaceDE w:val="0"/>
              <w:autoSpaceDN w:val="0"/>
              <w:adjustRightInd w:val="0"/>
              <w:rPr>
                <w:szCs w:val="24"/>
                <w:lang w:val="en-GB"/>
              </w:rPr>
            </w:pPr>
            <w:r>
              <w:rPr>
                <w:i/>
                <w:sz w:val="20"/>
                <w:szCs w:val="24"/>
                <w:lang w:val="en-GB"/>
              </w:rPr>
              <w:t>Øre og labyrint</w:t>
            </w:r>
          </w:p>
        </w:tc>
        <w:tc>
          <w:tcPr>
            <w:tcW w:w="1587" w:type="dxa"/>
            <w:tcBorders>
              <w:top w:val="single" w:sz="4" w:space="0" w:color="auto"/>
              <w:left w:val="single" w:sz="4" w:space="0" w:color="auto"/>
              <w:bottom w:val="single" w:sz="4" w:space="0" w:color="auto"/>
              <w:right w:val="single" w:sz="4" w:space="0" w:color="auto"/>
            </w:tcBorders>
            <w:hideMark/>
          </w:tcPr>
          <w:p w14:paraId="5D8D92F6" w14:textId="77777777" w:rsidR="00687D25" w:rsidRDefault="00687D25">
            <w:pPr>
              <w:autoSpaceDE w:val="0"/>
              <w:autoSpaceDN w:val="0"/>
              <w:adjustRightInd w:val="0"/>
              <w:rPr>
                <w:szCs w:val="24"/>
                <w:lang w:val="en-GB"/>
              </w:rPr>
            </w:pPr>
            <w:r>
              <w:rPr>
                <w:sz w:val="20"/>
                <w:szCs w:val="24"/>
                <w:lang w:val="en-GB"/>
              </w:rPr>
              <w:t>Vertigo</w:t>
            </w:r>
          </w:p>
        </w:tc>
        <w:tc>
          <w:tcPr>
            <w:tcW w:w="1501" w:type="dxa"/>
            <w:tcBorders>
              <w:top w:val="single" w:sz="4" w:space="0" w:color="auto"/>
              <w:left w:val="single" w:sz="4" w:space="0" w:color="auto"/>
              <w:bottom w:val="single" w:sz="4" w:space="0" w:color="auto"/>
              <w:right w:val="single" w:sz="4" w:space="0" w:color="auto"/>
            </w:tcBorders>
          </w:tcPr>
          <w:p w14:paraId="1B4BC40E" w14:textId="77777777" w:rsidR="00687D25" w:rsidRDefault="00687D25">
            <w:pPr>
              <w:autoSpaceDE w:val="0"/>
              <w:autoSpaceDN w:val="0"/>
              <w:adjustRightInd w:val="0"/>
              <w:rPr>
                <w:sz w:val="20"/>
                <w:lang w:val="en-GB"/>
              </w:rPr>
            </w:pPr>
          </w:p>
        </w:tc>
        <w:tc>
          <w:tcPr>
            <w:tcW w:w="1501" w:type="dxa"/>
            <w:tcBorders>
              <w:top w:val="single" w:sz="4" w:space="0" w:color="auto"/>
              <w:left w:val="single" w:sz="4" w:space="0" w:color="auto"/>
              <w:bottom w:val="single" w:sz="4" w:space="0" w:color="auto"/>
              <w:right w:val="single" w:sz="4" w:space="0" w:color="auto"/>
            </w:tcBorders>
            <w:hideMark/>
          </w:tcPr>
          <w:p w14:paraId="44AD1B03" w14:textId="77777777" w:rsidR="00687D25" w:rsidRDefault="00687D25">
            <w:pPr>
              <w:autoSpaceDE w:val="0"/>
              <w:autoSpaceDN w:val="0"/>
              <w:adjustRightInd w:val="0"/>
              <w:rPr>
                <w:szCs w:val="24"/>
                <w:lang w:val="en-GB"/>
              </w:rPr>
            </w:pPr>
            <w:r>
              <w:rPr>
                <w:sz w:val="20"/>
                <w:szCs w:val="24"/>
                <w:lang w:val="en-GB"/>
              </w:rPr>
              <w:t>Tinnitus</w:t>
            </w:r>
          </w:p>
        </w:tc>
        <w:tc>
          <w:tcPr>
            <w:tcW w:w="1505" w:type="dxa"/>
            <w:tcBorders>
              <w:top w:val="single" w:sz="4" w:space="0" w:color="auto"/>
              <w:left w:val="single" w:sz="4" w:space="0" w:color="auto"/>
              <w:bottom w:val="single" w:sz="4" w:space="0" w:color="auto"/>
              <w:right w:val="single" w:sz="4" w:space="0" w:color="auto"/>
            </w:tcBorders>
          </w:tcPr>
          <w:p w14:paraId="3FF21855" w14:textId="77777777" w:rsidR="00687D25" w:rsidRDefault="00687D25">
            <w:pPr>
              <w:autoSpaceDE w:val="0"/>
              <w:autoSpaceDN w:val="0"/>
              <w:adjustRightInd w:val="0"/>
              <w:rPr>
                <w:sz w:val="20"/>
                <w:lang w:val="en-GB"/>
              </w:rPr>
            </w:pPr>
          </w:p>
        </w:tc>
        <w:tc>
          <w:tcPr>
            <w:tcW w:w="1304" w:type="dxa"/>
            <w:tcBorders>
              <w:top w:val="single" w:sz="4" w:space="0" w:color="auto"/>
              <w:left w:val="single" w:sz="4" w:space="0" w:color="auto"/>
              <w:bottom w:val="single" w:sz="4" w:space="0" w:color="auto"/>
              <w:right w:val="single" w:sz="4" w:space="0" w:color="auto"/>
            </w:tcBorders>
          </w:tcPr>
          <w:p w14:paraId="459C5157" w14:textId="77777777" w:rsidR="00687D25" w:rsidRDefault="00687D25">
            <w:pPr>
              <w:autoSpaceDE w:val="0"/>
              <w:autoSpaceDN w:val="0"/>
              <w:adjustRightInd w:val="0"/>
              <w:rPr>
                <w:sz w:val="20"/>
                <w:lang w:val="en-GB"/>
              </w:rPr>
            </w:pPr>
          </w:p>
        </w:tc>
        <w:tc>
          <w:tcPr>
            <w:tcW w:w="1304" w:type="dxa"/>
            <w:tcBorders>
              <w:top w:val="single" w:sz="4" w:space="0" w:color="auto"/>
              <w:left w:val="single" w:sz="4" w:space="0" w:color="auto"/>
              <w:bottom w:val="single" w:sz="4" w:space="0" w:color="auto"/>
              <w:right w:val="single" w:sz="4" w:space="0" w:color="auto"/>
            </w:tcBorders>
          </w:tcPr>
          <w:p w14:paraId="18E955FE" w14:textId="77777777" w:rsidR="00687D25" w:rsidRDefault="00687D25">
            <w:pPr>
              <w:autoSpaceDE w:val="0"/>
              <w:autoSpaceDN w:val="0"/>
              <w:adjustRightInd w:val="0"/>
              <w:rPr>
                <w:sz w:val="20"/>
                <w:lang w:val="en-GB"/>
              </w:rPr>
            </w:pPr>
          </w:p>
        </w:tc>
      </w:tr>
      <w:tr w:rsidR="00687D25" w14:paraId="6AA74E09" w14:textId="77777777" w:rsidTr="00687D25">
        <w:tc>
          <w:tcPr>
            <w:tcW w:w="1560" w:type="dxa"/>
            <w:tcBorders>
              <w:top w:val="single" w:sz="4" w:space="0" w:color="auto"/>
              <w:left w:val="single" w:sz="4" w:space="0" w:color="auto"/>
              <w:bottom w:val="single" w:sz="4" w:space="0" w:color="auto"/>
              <w:right w:val="single" w:sz="4" w:space="0" w:color="auto"/>
            </w:tcBorders>
            <w:hideMark/>
          </w:tcPr>
          <w:p w14:paraId="44D17C4A" w14:textId="77777777" w:rsidR="00687D25" w:rsidRDefault="00687D25">
            <w:pPr>
              <w:autoSpaceDE w:val="0"/>
              <w:autoSpaceDN w:val="0"/>
              <w:adjustRightInd w:val="0"/>
              <w:rPr>
                <w:szCs w:val="24"/>
                <w:lang w:val="en-GB"/>
              </w:rPr>
            </w:pPr>
            <w:r>
              <w:rPr>
                <w:i/>
                <w:sz w:val="20"/>
                <w:szCs w:val="24"/>
                <w:lang w:val="en-GB"/>
              </w:rPr>
              <w:t>Hjerte</w:t>
            </w:r>
          </w:p>
        </w:tc>
        <w:tc>
          <w:tcPr>
            <w:tcW w:w="1587" w:type="dxa"/>
            <w:tcBorders>
              <w:top w:val="single" w:sz="4" w:space="0" w:color="auto"/>
              <w:left w:val="single" w:sz="4" w:space="0" w:color="auto"/>
              <w:bottom w:val="single" w:sz="4" w:space="0" w:color="auto"/>
              <w:right w:val="single" w:sz="4" w:space="0" w:color="auto"/>
            </w:tcBorders>
          </w:tcPr>
          <w:p w14:paraId="339A0CD5" w14:textId="77777777" w:rsidR="00687D25" w:rsidRDefault="00687D25">
            <w:pPr>
              <w:autoSpaceDE w:val="0"/>
              <w:autoSpaceDN w:val="0"/>
              <w:adjustRightInd w:val="0"/>
              <w:rPr>
                <w:bCs/>
                <w:sz w:val="20"/>
                <w:lang w:val="en-GB"/>
              </w:rPr>
            </w:pPr>
          </w:p>
        </w:tc>
        <w:tc>
          <w:tcPr>
            <w:tcW w:w="1501" w:type="dxa"/>
            <w:tcBorders>
              <w:top w:val="single" w:sz="4" w:space="0" w:color="auto"/>
              <w:left w:val="single" w:sz="4" w:space="0" w:color="auto"/>
              <w:bottom w:val="single" w:sz="4" w:space="0" w:color="auto"/>
              <w:right w:val="single" w:sz="4" w:space="0" w:color="auto"/>
            </w:tcBorders>
          </w:tcPr>
          <w:p w14:paraId="37EB1B13" w14:textId="77777777" w:rsidR="00687D25" w:rsidRDefault="00687D25">
            <w:pPr>
              <w:autoSpaceDE w:val="0"/>
              <w:autoSpaceDN w:val="0"/>
              <w:adjustRightInd w:val="0"/>
              <w:rPr>
                <w:bCs/>
                <w:sz w:val="20"/>
                <w:lang w:val="en-GB"/>
              </w:rPr>
            </w:pPr>
          </w:p>
        </w:tc>
        <w:tc>
          <w:tcPr>
            <w:tcW w:w="1501" w:type="dxa"/>
            <w:tcBorders>
              <w:top w:val="single" w:sz="4" w:space="0" w:color="auto"/>
              <w:left w:val="single" w:sz="4" w:space="0" w:color="auto"/>
              <w:bottom w:val="single" w:sz="4" w:space="0" w:color="auto"/>
              <w:right w:val="single" w:sz="4" w:space="0" w:color="auto"/>
            </w:tcBorders>
            <w:hideMark/>
          </w:tcPr>
          <w:p w14:paraId="517A7D9F" w14:textId="77777777" w:rsidR="00687D25" w:rsidRPr="00687D25" w:rsidRDefault="00687D25">
            <w:pPr>
              <w:autoSpaceDE w:val="0"/>
              <w:autoSpaceDN w:val="0"/>
              <w:adjustRightInd w:val="0"/>
              <w:rPr>
                <w:sz w:val="20"/>
                <w:szCs w:val="24"/>
              </w:rPr>
            </w:pPr>
            <w:r w:rsidRPr="00687D25">
              <w:rPr>
                <w:sz w:val="20"/>
                <w:szCs w:val="24"/>
              </w:rPr>
              <w:t>Takykardi</w:t>
            </w:r>
          </w:p>
          <w:p w14:paraId="63320ECE" w14:textId="77777777" w:rsidR="00687D25" w:rsidRPr="00687D25" w:rsidRDefault="00687D25">
            <w:pPr>
              <w:autoSpaceDE w:val="0"/>
              <w:autoSpaceDN w:val="0"/>
              <w:adjustRightInd w:val="0"/>
              <w:rPr>
                <w:sz w:val="20"/>
                <w:szCs w:val="24"/>
              </w:rPr>
            </w:pPr>
            <w:r w:rsidRPr="00687D25">
              <w:rPr>
                <w:sz w:val="20"/>
                <w:szCs w:val="24"/>
              </w:rPr>
              <w:t>Bradykardi</w:t>
            </w:r>
          </w:p>
          <w:p w14:paraId="126EF112" w14:textId="77777777" w:rsidR="00687D25" w:rsidRPr="00687D25" w:rsidRDefault="00687D25">
            <w:pPr>
              <w:autoSpaceDE w:val="0"/>
              <w:autoSpaceDN w:val="0"/>
              <w:adjustRightInd w:val="0"/>
              <w:rPr>
                <w:sz w:val="20"/>
                <w:szCs w:val="24"/>
              </w:rPr>
            </w:pPr>
            <w:r w:rsidRPr="00687D25">
              <w:rPr>
                <w:sz w:val="20"/>
                <w:szCs w:val="24"/>
              </w:rPr>
              <w:t>Cyanose</w:t>
            </w:r>
          </w:p>
          <w:p w14:paraId="4522F929" w14:textId="77777777" w:rsidR="00687D25" w:rsidRPr="00687D25" w:rsidRDefault="00687D25">
            <w:pPr>
              <w:autoSpaceDE w:val="0"/>
              <w:autoSpaceDN w:val="0"/>
              <w:adjustRightInd w:val="0"/>
              <w:rPr>
                <w:sz w:val="20"/>
                <w:szCs w:val="24"/>
              </w:rPr>
            </w:pPr>
            <w:r w:rsidRPr="00687D25">
              <w:rPr>
                <w:sz w:val="20"/>
                <w:szCs w:val="24"/>
              </w:rPr>
              <w:t>Atrioventriku-lært blok</w:t>
            </w:r>
          </w:p>
          <w:p w14:paraId="69BD6785" w14:textId="77777777" w:rsidR="00687D25" w:rsidRDefault="00687D25">
            <w:pPr>
              <w:autoSpaceDE w:val="0"/>
              <w:autoSpaceDN w:val="0"/>
              <w:adjustRightInd w:val="0"/>
              <w:rPr>
                <w:szCs w:val="24"/>
                <w:lang w:val="en-GB"/>
              </w:rPr>
            </w:pPr>
            <w:r>
              <w:rPr>
                <w:sz w:val="20"/>
                <w:szCs w:val="24"/>
                <w:lang w:val="en-GB"/>
              </w:rPr>
              <w:t>af anden grad</w:t>
            </w:r>
          </w:p>
        </w:tc>
        <w:tc>
          <w:tcPr>
            <w:tcW w:w="1505" w:type="dxa"/>
            <w:tcBorders>
              <w:top w:val="single" w:sz="4" w:space="0" w:color="auto"/>
              <w:left w:val="single" w:sz="4" w:space="0" w:color="auto"/>
              <w:bottom w:val="single" w:sz="4" w:space="0" w:color="auto"/>
              <w:right w:val="single" w:sz="4" w:space="0" w:color="auto"/>
            </w:tcBorders>
          </w:tcPr>
          <w:p w14:paraId="22393A0D" w14:textId="77777777" w:rsidR="00687D25" w:rsidRDefault="00687D25">
            <w:pPr>
              <w:autoSpaceDE w:val="0"/>
              <w:autoSpaceDN w:val="0"/>
              <w:adjustRightInd w:val="0"/>
              <w:rPr>
                <w:sz w:val="20"/>
                <w:lang w:val="en-GB"/>
              </w:rPr>
            </w:pPr>
          </w:p>
        </w:tc>
        <w:tc>
          <w:tcPr>
            <w:tcW w:w="1304" w:type="dxa"/>
            <w:tcBorders>
              <w:top w:val="single" w:sz="4" w:space="0" w:color="auto"/>
              <w:left w:val="single" w:sz="4" w:space="0" w:color="auto"/>
              <w:bottom w:val="single" w:sz="4" w:space="0" w:color="auto"/>
              <w:right w:val="single" w:sz="4" w:space="0" w:color="auto"/>
            </w:tcBorders>
          </w:tcPr>
          <w:p w14:paraId="0874CB4F" w14:textId="77777777" w:rsidR="00687D25" w:rsidRDefault="00687D25">
            <w:pPr>
              <w:autoSpaceDE w:val="0"/>
              <w:autoSpaceDN w:val="0"/>
              <w:adjustRightInd w:val="0"/>
              <w:rPr>
                <w:sz w:val="20"/>
                <w:lang w:val="en-GB"/>
              </w:rPr>
            </w:pPr>
          </w:p>
        </w:tc>
        <w:tc>
          <w:tcPr>
            <w:tcW w:w="1304" w:type="dxa"/>
            <w:tcBorders>
              <w:top w:val="single" w:sz="4" w:space="0" w:color="auto"/>
              <w:left w:val="single" w:sz="4" w:space="0" w:color="auto"/>
              <w:bottom w:val="single" w:sz="4" w:space="0" w:color="auto"/>
              <w:right w:val="single" w:sz="4" w:space="0" w:color="auto"/>
            </w:tcBorders>
          </w:tcPr>
          <w:p w14:paraId="03A84D3A" w14:textId="77777777" w:rsidR="00687D25" w:rsidRDefault="00687D25">
            <w:pPr>
              <w:autoSpaceDE w:val="0"/>
              <w:autoSpaceDN w:val="0"/>
              <w:adjustRightInd w:val="0"/>
              <w:rPr>
                <w:sz w:val="20"/>
                <w:lang w:val="en-GB"/>
              </w:rPr>
            </w:pPr>
          </w:p>
        </w:tc>
      </w:tr>
      <w:tr w:rsidR="00687D25" w14:paraId="45120E88" w14:textId="77777777" w:rsidTr="00687D25">
        <w:tc>
          <w:tcPr>
            <w:tcW w:w="1560" w:type="dxa"/>
            <w:tcBorders>
              <w:top w:val="single" w:sz="4" w:space="0" w:color="auto"/>
              <w:left w:val="single" w:sz="4" w:space="0" w:color="auto"/>
              <w:bottom w:val="single" w:sz="4" w:space="0" w:color="auto"/>
              <w:right w:val="single" w:sz="4" w:space="0" w:color="auto"/>
            </w:tcBorders>
            <w:hideMark/>
          </w:tcPr>
          <w:p w14:paraId="2F69904E" w14:textId="77777777" w:rsidR="00687D25" w:rsidRDefault="00687D25">
            <w:pPr>
              <w:autoSpaceDE w:val="0"/>
              <w:autoSpaceDN w:val="0"/>
              <w:adjustRightInd w:val="0"/>
              <w:rPr>
                <w:szCs w:val="24"/>
                <w:lang w:val="en-GB"/>
              </w:rPr>
            </w:pPr>
            <w:r>
              <w:rPr>
                <w:i/>
                <w:sz w:val="20"/>
                <w:szCs w:val="24"/>
                <w:lang w:val="en-GB"/>
              </w:rPr>
              <w:t>Vaskulære sygdomme</w:t>
            </w:r>
          </w:p>
        </w:tc>
        <w:tc>
          <w:tcPr>
            <w:tcW w:w="1587" w:type="dxa"/>
            <w:tcBorders>
              <w:top w:val="single" w:sz="4" w:space="0" w:color="auto"/>
              <w:left w:val="single" w:sz="4" w:space="0" w:color="auto"/>
              <w:bottom w:val="single" w:sz="4" w:space="0" w:color="auto"/>
              <w:right w:val="single" w:sz="4" w:space="0" w:color="auto"/>
            </w:tcBorders>
          </w:tcPr>
          <w:p w14:paraId="7FD1BC6D" w14:textId="77777777" w:rsidR="00687D25" w:rsidRDefault="00687D25">
            <w:pPr>
              <w:autoSpaceDE w:val="0"/>
              <w:autoSpaceDN w:val="0"/>
              <w:adjustRightInd w:val="0"/>
              <w:rPr>
                <w:bCs/>
                <w:sz w:val="20"/>
                <w:lang w:val="en-GB"/>
              </w:rPr>
            </w:pPr>
          </w:p>
        </w:tc>
        <w:tc>
          <w:tcPr>
            <w:tcW w:w="1501" w:type="dxa"/>
            <w:tcBorders>
              <w:top w:val="single" w:sz="4" w:space="0" w:color="auto"/>
              <w:left w:val="single" w:sz="4" w:space="0" w:color="auto"/>
              <w:bottom w:val="single" w:sz="4" w:space="0" w:color="auto"/>
              <w:right w:val="single" w:sz="4" w:space="0" w:color="auto"/>
            </w:tcBorders>
            <w:hideMark/>
          </w:tcPr>
          <w:p w14:paraId="2C36955D" w14:textId="77777777" w:rsidR="00687D25" w:rsidRDefault="00687D25">
            <w:pPr>
              <w:autoSpaceDE w:val="0"/>
              <w:autoSpaceDN w:val="0"/>
              <w:adjustRightInd w:val="0"/>
              <w:rPr>
                <w:szCs w:val="24"/>
                <w:lang w:val="en-GB"/>
              </w:rPr>
            </w:pPr>
            <w:r>
              <w:rPr>
                <w:sz w:val="20"/>
                <w:szCs w:val="24"/>
                <w:lang w:val="en-GB"/>
              </w:rPr>
              <w:t>Hypotension</w:t>
            </w:r>
          </w:p>
        </w:tc>
        <w:tc>
          <w:tcPr>
            <w:tcW w:w="1501" w:type="dxa"/>
            <w:tcBorders>
              <w:top w:val="single" w:sz="4" w:space="0" w:color="auto"/>
              <w:left w:val="single" w:sz="4" w:space="0" w:color="auto"/>
              <w:bottom w:val="single" w:sz="4" w:space="0" w:color="auto"/>
              <w:right w:val="single" w:sz="4" w:space="0" w:color="auto"/>
            </w:tcBorders>
            <w:hideMark/>
          </w:tcPr>
          <w:p w14:paraId="450CDCB0" w14:textId="77777777" w:rsidR="00687D25" w:rsidRDefault="00687D25">
            <w:pPr>
              <w:autoSpaceDE w:val="0"/>
              <w:autoSpaceDN w:val="0"/>
              <w:adjustRightInd w:val="0"/>
              <w:rPr>
                <w:sz w:val="20"/>
                <w:szCs w:val="24"/>
                <w:lang w:val="en-GB"/>
              </w:rPr>
            </w:pPr>
            <w:r>
              <w:rPr>
                <w:sz w:val="20"/>
                <w:szCs w:val="24"/>
                <w:lang w:val="en-GB"/>
              </w:rPr>
              <w:t>Hypertension</w:t>
            </w:r>
          </w:p>
          <w:p w14:paraId="197B25DB" w14:textId="77777777" w:rsidR="00687D25" w:rsidRDefault="00687D25">
            <w:pPr>
              <w:autoSpaceDE w:val="0"/>
              <w:autoSpaceDN w:val="0"/>
              <w:adjustRightInd w:val="0"/>
              <w:rPr>
                <w:szCs w:val="24"/>
                <w:lang w:val="en-GB"/>
              </w:rPr>
            </w:pPr>
            <w:r>
              <w:rPr>
                <w:sz w:val="20"/>
                <w:szCs w:val="24"/>
                <w:lang w:val="en-GB"/>
              </w:rPr>
              <w:t>Bleghed</w:t>
            </w:r>
          </w:p>
        </w:tc>
        <w:tc>
          <w:tcPr>
            <w:tcW w:w="1505" w:type="dxa"/>
            <w:tcBorders>
              <w:top w:val="single" w:sz="4" w:space="0" w:color="auto"/>
              <w:left w:val="single" w:sz="4" w:space="0" w:color="auto"/>
              <w:bottom w:val="single" w:sz="4" w:space="0" w:color="auto"/>
              <w:right w:val="single" w:sz="4" w:space="0" w:color="auto"/>
            </w:tcBorders>
          </w:tcPr>
          <w:p w14:paraId="2467F4D6" w14:textId="77777777" w:rsidR="00687D25" w:rsidRDefault="00687D25">
            <w:pPr>
              <w:autoSpaceDE w:val="0"/>
              <w:autoSpaceDN w:val="0"/>
              <w:adjustRightInd w:val="0"/>
              <w:rPr>
                <w:sz w:val="20"/>
                <w:lang w:val="en-GB"/>
              </w:rPr>
            </w:pPr>
          </w:p>
        </w:tc>
        <w:tc>
          <w:tcPr>
            <w:tcW w:w="1304" w:type="dxa"/>
            <w:tcBorders>
              <w:top w:val="single" w:sz="4" w:space="0" w:color="auto"/>
              <w:left w:val="single" w:sz="4" w:space="0" w:color="auto"/>
              <w:bottom w:val="single" w:sz="4" w:space="0" w:color="auto"/>
              <w:right w:val="single" w:sz="4" w:space="0" w:color="auto"/>
            </w:tcBorders>
          </w:tcPr>
          <w:p w14:paraId="43288B03" w14:textId="77777777" w:rsidR="00687D25" w:rsidRDefault="00687D25">
            <w:pPr>
              <w:autoSpaceDE w:val="0"/>
              <w:autoSpaceDN w:val="0"/>
              <w:adjustRightInd w:val="0"/>
              <w:rPr>
                <w:sz w:val="20"/>
                <w:lang w:val="en-GB"/>
              </w:rPr>
            </w:pPr>
          </w:p>
        </w:tc>
        <w:tc>
          <w:tcPr>
            <w:tcW w:w="1304" w:type="dxa"/>
            <w:tcBorders>
              <w:top w:val="single" w:sz="4" w:space="0" w:color="auto"/>
              <w:left w:val="single" w:sz="4" w:space="0" w:color="auto"/>
              <w:bottom w:val="single" w:sz="4" w:space="0" w:color="auto"/>
              <w:right w:val="single" w:sz="4" w:space="0" w:color="auto"/>
            </w:tcBorders>
          </w:tcPr>
          <w:p w14:paraId="0569C0B2" w14:textId="77777777" w:rsidR="00687D25" w:rsidRDefault="00687D25">
            <w:pPr>
              <w:autoSpaceDE w:val="0"/>
              <w:autoSpaceDN w:val="0"/>
              <w:adjustRightInd w:val="0"/>
              <w:rPr>
                <w:sz w:val="20"/>
                <w:lang w:val="en-GB"/>
              </w:rPr>
            </w:pPr>
          </w:p>
        </w:tc>
      </w:tr>
      <w:tr w:rsidR="00687D25" w14:paraId="40D4B288" w14:textId="77777777" w:rsidTr="00687D25">
        <w:tc>
          <w:tcPr>
            <w:tcW w:w="1560" w:type="dxa"/>
            <w:tcBorders>
              <w:top w:val="single" w:sz="4" w:space="0" w:color="auto"/>
              <w:left w:val="single" w:sz="4" w:space="0" w:color="auto"/>
              <w:bottom w:val="single" w:sz="4" w:space="0" w:color="auto"/>
              <w:right w:val="single" w:sz="4" w:space="0" w:color="auto"/>
            </w:tcBorders>
            <w:hideMark/>
          </w:tcPr>
          <w:p w14:paraId="60C45524" w14:textId="77777777" w:rsidR="00687D25" w:rsidRDefault="00687D25">
            <w:pPr>
              <w:autoSpaceDE w:val="0"/>
              <w:autoSpaceDN w:val="0"/>
              <w:adjustRightInd w:val="0"/>
              <w:rPr>
                <w:szCs w:val="24"/>
                <w:lang w:val="en-GB"/>
              </w:rPr>
            </w:pPr>
            <w:r>
              <w:rPr>
                <w:i/>
                <w:sz w:val="20"/>
                <w:szCs w:val="24"/>
                <w:lang w:val="en-GB"/>
              </w:rPr>
              <w:t>Luftveje, thorax og mediastinum</w:t>
            </w:r>
          </w:p>
        </w:tc>
        <w:tc>
          <w:tcPr>
            <w:tcW w:w="1587" w:type="dxa"/>
            <w:tcBorders>
              <w:top w:val="single" w:sz="4" w:space="0" w:color="auto"/>
              <w:left w:val="single" w:sz="4" w:space="0" w:color="auto"/>
              <w:bottom w:val="single" w:sz="4" w:space="0" w:color="auto"/>
              <w:right w:val="single" w:sz="4" w:space="0" w:color="auto"/>
            </w:tcBorders>
          </w:tcPr>
          <w:p w14:paraId="670328D5" w14:textId="77777777" w:rsidR="00687D25" w:rsidRDefault="00687D25">
            <w:pPr>
              <w:autoSpaceDE w:val="0"/>
              <w:autoSpaceDN w:val="0"/>
              <w:adjustRightInd w:val="0"/>
              <w:rPr>
                <w:bCs/>
                <w:sz w:val="20"/>
                <w:lang w:val="en-GB"/>
              </w:rPr>
            </w:pPr>
          </w:p>
        </w:tc>
        <w:tc>
          <w:tcPr>
            <w:tcW w:w="1501" w:type="dxa"/>
            <w:tcBorders>
              <w:top w:val="single" w:sz="4" w:space="0" w:color="auto"/>
              <w:left w:val="single" w:sz="4" w:space="0" w:color="auto"/>
              <w:bottom w:val="single" w:sz="4" w:space="0" w:color="auto"/>
              <w:right w:val="single" w:sz="4" w:space="0" w:color="auto"/>
            </w:tcBorders>
            <w:hideMark/>
          </w:tcPr>
          <w:p w14:paraId="7F425CA6" w14:textId="77777777" w:rsidR="00687D25" w:rsidRDefault="00687D25">
            <w:pPr>
              <w:autoSpaceDE w:val="0"/>
              <w:autoSpaceDN w:val="0"/>
              <w:adjustRightInd w:val="0"/>
              <w:rPr>
                <w:szCs w:val="24"/>
                <w:lang w:val="en-GB"/>
              </w:rPr>
            </w:pPr>
            <w:r>
              <w:rPr>
                <w:sz w:val="20"/>
                <w:szCs w:val="24"/>
                <w:lang w:val="en-GB"/>
              </w:rPr>
              <w:t>Hypoventila</w:t>
            </w:r>
            <w:r>
              <w:rPr>
                <w:sz w:val="20"/>
                <w:szCs w:val="24"/>
                <w:lang w:val="en-GB"/>
              </w:rPr>
              <w:softHyphen/>
              <w:t>tion</w:t>
            </w:r>
          </w:p>
        </w:tc>
        <w:tc>
          <w:tcPr>
            <w:tcW w:w="1501" w:type="dxa"/>
            <w:tcBorders>
              <w:top w:val="single" w:sz="4" w:space="0" w:color="auto"/>
              <w:left w:val="single" w:sz="4" w:space="0" w:color="auto"/>
              <w:bottom w:val="single" w:sz="4" w:space="0" w:color="auto"/>
              <w:right w:val="single" w:sz="4" w:space="0" w:color="auto"/>
            </w:tcBorders>
            <w:hideMark/>
          </w:tcPr>
          <w:p w14:paraId="2FE95460" w14:textId="77777777" w:rsidR="00687D25" w:rsidRDefault="00687D25">
            <w:pPr>
              <w:rPr>
                <w:sz w:val="20"/>
                <w:szCs w:val="24"/>
                <w:lang w:val="en-GB"/>
              </w:rPr>
            </w:pPr>
            <w:r>
              <w:rPr>
                <w:sz w:val="20"/>
                <w:szCs w:val="24"/>
                <w:lang w:val="en-GB"/>
              </w:rPr>
              <w:t>Dyspnø (respir-atorisk distress)</w:t>
            </w:r>
          </w:p>
          <w:p w14:paraId="2556BB52" w14:textId="77777777" w:rsidR="00687D25" w:rsidRDefault="00687D25">
            <w:pPr>
              <w:rPr>
                <w:szCs w:val="24"/>
                <w:lang w:val="en-GB"/>
              </w:rPr>
            </w:pPr>
            <w:r>
              <w:rPr>
                <w:sz w:val="20"/>
                <w:szCs w:val="24"/>
                <w:lang w:val="en-GB"/>
              </w:rPr>
              <w:t>Apnø (respira-tionsstop)</w:t>
            </w:r>
          </w:p>
        </w:tc>
        <w:tc>
          <w:tcPr>
            <w:tcW w:w="1505" w:type="dxa"/>
            <w:tcBorders>
              <w:top w:val="single" w:sz="4" w:space="0" w:color="auto"/>
              <w:left w:val="single" w:sz="4" w:space="0" w:color="auto"/>
              <w:bottom w:val="single" w:sz="4" w:space="0" w:color="auto"/>
              <w:right w:val="single" w:sz="4" w:space="0" w:color="auto"/>
            </w:tcBorders>
          </w:tcPr>
          <w:p w14:paraId="0B5D0778" w14:textId="77777777" w:rsidR="00687D25" w:rsidRDefault="00687D25">
            <w:pPr>
              <w:autoSpaceDE w:val="0"/>
              <w:autoSpaceDN w:val="0"/>
              <w:adjustRightInd w:val="0"/>
              <w:rPr>
                <w:sz w:val="20"/>
                <w:lang w:val="en-GB"/>
              </w:rPr>
            </w:pPr>
          </w:p>
        </w:tc>
        <w:tc>
          <w:tcPr>
            <w:tcW w:w="1304" w:type="dxa"/>
            <w:tcBorders>
              <w:top w:val="single" w:sz="4" w:space="0" w:color="auto"/>
              <w:left w:val="single" w:sz="4" w:space="0" w:color="auto"/>
              <w:bottom w:val="single" w:sz="4" w:space="0" w:color="auto"/>
              <w:right w:val="single" w:sz="4" w:space="0" w:color="auto"/>
            </w:tcBorders>
            <w:hideMark/>
          </w:tcPr>
          <w:p w14:paraId="0AF42F6F" w14:textId="77777777" w:rsidR="00687D25" w:rsidRDefault="00687D25">
            <w:pPr>
              <w:autoSpaceDE w:val="0"/>
              <w:autoSpaceDN w:val="0"/>
              <w:adjustRightInd w:val="0"/>
              <w:rPr>
                <w:sz w:val="20"/>
                <w:szCs w:val="24"/>
                <w:lang w:val="en-GB"/>
              </w:rPr>
            </w:pPr>
            <w:r>
              <w:rPr>
                <w:sz w:val="20"/>
                <w:szCs w:val="24"/>
                <w:lang w:val="en-GB"/>
              </w:rPr>
              <w:t>Bronkospas</w:t>
            </w:r>
            <w:r>
              <w:rPr>
                <w:sz w:val="20"/>
                <w:szCs w:val="24"/>
                <w:lang w:val="en-GB"/>
              </w:rPr>
              <w:softHyphen/>
              <w:t>me</w:t>
            </w:r>
          </w:p>
        </w:tc>
        <w:tc>
          <w:tcPr>
            <w:tcW w:w="1304" w:type="dxa"/>
            <w:tcBorders>
              <w:top w:val="single" w:sz="4" w:space="0" w:color="auto"/>
              <w:left w:val="single" w:sz="4" w:space="0" w:color="auto"/>
              <w:bottom w:val="single" w:sz="4" w:space="0" w:color="auto"/>
              <w:right w:val="single" w:sz="4" w:space="0" w:color="auto"/>
            </w:tcBorders>
            <w:hideMark/>
          </w:tcPr>
          <w:p w14:paraId="54CC6893" w14:textId="77777777" w:rsidR="00687D25" w:rsidRDefault="00687D25">
            <w:pPr>
              <w:rPr>
                <w:sz w:val="20"/>
                <w:szCs w:val="24"/>
                <w:lang w:val="en-GB"/>
              </w:rPr>
            </w:pPr>
          </w:p>
        </w:tc>
      </w:tr>
      <w:tr w:rsidR="00687D25" w14:paraId="22EED3C6" w14:textId="77777777" w:rsidTr="00687D25">
        <w:tc>
          <w:tcPr>
            <w:tcW w:w="1560" w:type="dxa"/>
            <w:tcBorders>
              <w:top w:val="single" w:sz="4" w:space="0" w:color="auto"/>
              <w:left w:val="single" w:sz="4" w:space="0" w:color="auto"/>
              <w:bottom w:val="single" w:sz="4" w:space="0" w:color="auto"/>
              <w:right w:val="single" w:sz="4" w:space="0" w:color="auto"/>
            </w:tcBorders>
            <w:hideMark/>
          </w:tcPr>
          <w:p w14:paraId="3AD1F129" w14:textId="77777777" w:rsidR="00687D25" w:rsidRDefault="00687D25">
            <w:pPr>
              <w:autoSpaceDE w:val="0"/>
              <w:autoSpaceDN w:val="0"/>
              <w:adjustRightInd w:val="0"/>
              <w:rPr>
                <w:szCs w:val="24"/>
                <w:lang w:val="en-GB"/>
              </w:rPr>
            </w:pPr>
            <w:r>
              <w:rPr>
                <w:i/>
                <w:sz w:val="20"/>
                <w:szCs w:val="24"/>
                <w:lang w:val="en-GB"/>
              </w:rPr>
              <w:t>Mave-tarm-kanalen</w:t>
            </w:r>
          </w:p>
        </w:tc>
        <w:tc>
          <w:tcPr>
            <w:tcW w:w="1587" w:type="dxa"/>
            <w:tcBorders>
              <w:top w:val="single" w:sz="4" w:space="0" w:color="auto"/>
              <w:left w:val="single" w:sz="4" w:space="0" w:color="auto"/>
              <w:bottom w:val="single" w:sz="4" w:space="0" w:color="auto"/>
              <w:right w:val="single" w:sz="4" w:space="0" w:color="auto"/>
            </w:tcBorders>
            <w:hideMark/>
          </w:tcPr>
          <w:p w14:paraId="231D7EFF" w14:textId="77777777" w:rsidR="00687D25" w:rsidRDefault="00687D25">
            <w:pPr>
              <w:autoSpaceDE w:val="0"/>
              <w:autoSpaceDN w:val="0"/>
              <w:adjustRightInd w:val="0"/>
              <w:rPr>
                <w:szCs w:val="24"/>
                <w:lang w:val="en-GB"/>
              </w:rPr>
            </w:pPr>
            <w:r>
              <w:rPr>
                <w:sz w:val="20"/>
                <w:szCs w:val="24"/>
                <w:lang w:val="en-GB"/>
              </w:rPr>
              <w:t>Kvalme</w:t>
            </w:r>
          </w:p>
        </w:tc>
        <w:tc>
          <w:tcPr>
            <w:tcW w:w="1501" w:type="dxa"/>
            <w:tcBorders>
              <w:top w:val="single" w:sz="4" w:space="0" w:color="auto"/>
              <w:left w:val="single" w:sz="4" w:space="0" w:color="auto"/>
              <w:bottom w:val="single" w:sz="4" w:space="0" w:color="auto"/>
              <w:right w:val="single" w:sz="4" w:space="0" w:color="auto"/>
            </w:tcBorders>
            <w:hideMark/>
          </w:tcPr>
          <w:p w14:paraId="3D9DD2F4" w14:textId="77777777" w:rsidR="00687D25" w:rsidRDefault="00687D25">
            <w:pPr>
              <w:autoSpaceDE w:val="0"/>
              <w:autoSpaceDN w:val="0"/>
              <w:adjustRightInd w:val="0"/>
              <w:rPr>
                <w:szCs w:val="24"/>
                <w:lang w:val="en-GB"/>
              </w:rPr>
            </w:pPr>
            <w:r>
              <w:rPr>
                <w:sz w:val="20"/>
                <w:szCs w:val="24"/>
                <w:lang w:val="en-GB"/>
              </w:rPr>
              <w:t>Opkastning</w:t>
            </w:r>
          </w:p>
        </w:tc>
        <w:tc>
          <w:tcPr>
            <w:tcW w:w="1501" w:type="dxa"/>
            <w:tcBorders>
              <w:top w:val="single" w:sz="4" w:space="0" w:color="auto"/>
              <w:left w:val="single" w:sz="4" w:space="0" w:color="auto"/>
              <w:bottom w:val="single" w:sz="4" w:space="0" w:color="auto"/>
              <w:right w:val="single" w:sz="4" w:space="0" w:color="auto"/>
            </w:tcBorders>
            <w:hideMark/>
          </w:tcPr>
          <w:p w14:paraId="6AB2BE11" w14:textId="77777777" w:rsidR="00687D25" w:rsidRPr="00687D25" w:rsidRDefault="00687D25">
            <w:pPr>
              <w:autoSpaceDE w:val="0"/>
              <w:autoSpaceDN w:val="0"/>
              <w:adjustRightInd w:val="0"/>
              <w:rPr>
                <w:sz w:val="20"/>
                <w:szCs w:val="24"/>
              </w:rPr>
            </w:pPr>
            <w:r w:rsidRPr="00687D25">
              <w:rPr>
                <w:sz w:val="20"/>
                <w:szCs w:val="24"/>
              </w:rPr>
              <w:t>Nedsat appetit</w:t>
            </w:r>
          </w:p>
          <w:p w14:paraId="663293CD" w14:textId="77777777" w:rsidR="00687D25" w:rsidRPr="00687D25" w:rsidRDefault="00687D25">
            <w:pPr>
              <w:autoSpaceDE w:val="0"/>
              <w:autoSpaceDN w:val="0"/>
              <w:adjustRightInd w:val="0"/>
              <w:rPr>
                <w:sz w:val="20"/>
                <w:szCs w:val="24"/>
              </w:rPr>
            </w:pPr>
            <w:r w:rsidRPr="00687D25">
              <w:rPr>
                <w:sz w:val="20"/>
                <w:szCs w:val="24"/>
              </w:rPr>
              <w:t>Forstoppelse</w:t>
            </w:r>
          </w:p>
          <w:p w14:paraId="3D5D0274" w14:textId="77777777" w:rsidR="00687D25" w:rsidRPr="00687D25" w:rsidRDefault="00687D25">
            <w:pPr>
              <w:autoSpaceDE w:val="0"/>
              <w:autoSpaceDN w:val="0"/>
              <w:adjustRightInd w:val="0"/>
              <w:rPr>
                <w:sz w:val="20"/>
                <w:szCs w:val="24"/>
              </w:rPr>
            </w:pPr>
            <w:r w:rsidRPr="00687D25">
              <w:rPr>
                <w:sz w:val="20"/>
                <w:szCs w:val="24"/>
              </w:rPr>
              <w:t>Dyspepsi</w:t>
            </w:r>
          </w:p>
          <w:p w14:paraId="3433F3F5" w14:textId="77777777" w:rsidR="00687D25" w:rsidRPr="00687D25" w:rsidRDefault="00687D25">
            <w:pPr>
              <w:autoSpaceDE w:val="0"/>
              <w:autoSpaceDN w:val="0"/>
              <w:adjustRightInd w:val="0"/>
              <w:rPr>
                <w:szCs w:val="24"/>
              </w:rPr>
            </w:pPr>
            <w:r w:rsidRPr="00687D25">
              <w:rPr>
                <w:sz w:val="20"/>
                <w:szCs w:val="24"/>
              </w:rPr>
              <w:t>Flatulens</w:t>
            </w:r>
          </w:p>
        </w:tc>
        <w:tc>
          <w:tcPr>
            <w:tcW w:w="1505" w:type="dxa"/>
            <w:tcBorders>
              <w:top w:val="single" w:sz="4" w:space="0" w:color="auto"/>
              <w:left w:val="single" w:sz="4" w:space="0" w:color="auto"/>
              <w:bottom w:val="single" w:sz="4" w:space="0" w:color="auto"/>
              <w:right w:val="single" w:sz="4" w:space="0" w:color="auto"/>
            </w:tcBorders>
          </w:tcPr>
          <w:p w14:paraId="4822D359" w14:textId="77777777" w:rsidR="00687D25" w:rsidRDefault="00687D25">
            <w:pPr>
              <w:autoSpaceDE w:val="0"/>
              <w:autoSpaceDN w:val="0"/>
              <w:adjustRightInd w:val="0"/>
              <w:rPr>
                <w:sz w:val="20"/>
                <w:szCs w:val="24"/>
                <w:lang w:val="en-GB"/>
              </w:rPr>
            </w:pPr>
            <w:r>
              <w:rPr>
                <w:sz w:val="20"/>
                <w:szCs w:val="24"/>
                <w:lang w:val="en-GB"/>
              </w:rPr>
              <w:t>Diarré</w:t>
            </w:r>
          </w:p>
          <w:p w14:paraId="7B12D2E6" w14:textId="77777777" w:rsidR="00687D25" w:rsidRDefault="00687D25">
            <w:pPr>
              <w:autoSpaceDE w:val="0"/>
              <w:autoSpaceDN w:val="0"/>
              <w:adjustRightInd w:val="0"/>
              <w:rPr>
                <w:sz w:val="20"/>
                <w:lang w:val="en-GB"/>
              </w:rPr>
            </w:pPr>
          </w:p>
        </w:tc>
        <w:tc>
          <w:tcPr>
            <w:tcW w:w="1304" w:type="dxa"/>
            <w:tcBorders>
              <w:top w:val="single" w:sz="4" w:space="0" w:color="auto"/>
              <w:left w:val="single" w:sz="4" w:space="0" w:color="auto"/>
              <w:bottom w:val="single" w:sz="4" w:space="0" w:color="auto"/>
              <w:right w:val="single" w:sz="4" w:space="0" w:color="auto"/>
            </w:tcBorders>
          </w:tcPr>
          <w:p w14:paraId="1C31AC08" w14:textId="77777777" w:rsidR="00687D25" w:rsidRDefault="00687D25">
            <w:pPr>
              <w:autoSpaceDE w:val="0"/>
              <w:autoSpaceDN w:val="0"/>
              <w:adjustRightInd w:val="0"/>
              <w:rPr>
                <w:sz w:val="20"/>
                <w:lang w:val="en-GB"/>
              </w:rPr>
            </w:pPr>
          </w:p>
        </w:tc>
        <w:tc>
          <w:tcPr>
            <w:tcW w:w="1304" w:type="dxa"/>
            <w:tcBorders>
              <w:top w:val="single" w:sz="4" w:space="0" w:color="auto"/>
              <w:left w:val="single" w:sz="4" w:space="0" w:color="auto"/>
              <w:bottom w:val="single" w:sz="4" w:space="0" w:color="auto"/>
              <w:right w:val="single" w:sz="4" w:space="0" w:color="auto"/>
            </w:tcBorders>
            <w:hideMark/>
          </w:tcPr>
          <w:p w14:paraId="38A166BB" w14:textId="77777777" w:rsidR="00687D25" w:rsidRDefault="00687D25">
            <w:pPr>
              <w:autoSpaceDE w:val="0"/>
              <w:autoSpaceDN w:val="0"/>
              <w:adjustRightInd w:val="0"/>
              <w:rPr>
                <w:sz w:val="20"/>
                <w:lang w:val="en-GB"/>
              </w:rPr>
            </w:pPr>
            <w:r>
              <w:rPr>
                <w:sz w:val="20"/>
                <w:lang w:val="en-GB"/>
              </w:rPr>
              <w:t>Tandkaries</w:t>
            </w:r>
          </w:p>
        </w:tc>
      </w:tr>
      <w:tr w:rsidR="00687D25" w14:paraId="61A3A9C1" w14:textId="77777777" w:rsidTr="00687D25">
        <w:tc>
          <w:tcPr>
            <w:tcW w:w="1560" w:type="dxa"/>
            <w:tcBorders>
              <w:top w:val="single" w:sz="4" w:space="0" w:color="auto"/>
              <w:left w:val="single" w:sz="4" w:space="0" w:color="auto"/>
              <w:bottom w:val="single" w:sz="4" w:space="0" w:color="auto"/>
              <w:right w:val="single" w:sz="4" w:space="0" w:color="auto"/>
            </w:tcBorders>
            <w:hideMark/>
          </w:tcPr>
          <w:p w14:paraId="3F3F237A" w14:textId="77777777" w:rsidR="00687D25" w:rsidRDefault="00687D25">
            <w:pPr>
              <w:autoSpaceDE w:val="0"/>
              <w:autoSpaceDN w:val="0"/>
              <w:adjustRightInd w:val="0"/>
              <w:rPr>
                <w:szCs w:val="24"/>
                <w:lang w:val="en-GB"/>
              </w:rPr>
            </w:pPr>
            <w:r>
              <w:rPr>
                <w:i/>
                <w:sz w:val="20"/>
                <w:szCs w:val="24"/>
                <w:lang w:val="en-GB"/>
              </w:rPr>
              <w:t>Hud og subkutane væv</w:t>
            </w:r>
          </w:p>
        </w:tc>
        <w:tc>
          <w:tcPr>
            <w:tcW w:w="1587" w:type="dxa"/>
            <w:tcBorders>
              <w:top w:val="single" w:sz="4" w:space="0" w:color="auto"/>
              <w:left w:val="single" w:sz="4" w:space="0" w:color="auto"/>
              <w:bottom w:val="single" w:sz="4" w:space="0" w:color="auto"/>
              <w:right w:val="single" w:sz="4" w:space="0" w:color="auto"/>
            </w:tcBorders>
          </w:tcPr>
          <w:p w14:paraId="7440E346" w14:textId="77777777" w:rsidR="00687D25" w:rsidRDefault="00687D25">
            <w:pPr>
              <w:autoSpaceDE w:val="0"/>
              <w:autoSpaceDN w:val="0"/>
              <w:adjustRightInd w:val="0"/>
              <w:rPr>
                <w:b/>
                <w:bCs/>
                <w:sz w:val="20"/>
                <w:lang w:val="en-GB"/>
              </w:rPr>
            </w:pPr>
          </w:p>
        </w:tc>
        <w:tc>
          <w:tcPr>
            <w:tcW w:w="1501" w:type="dxa"/>
            <w:tcBorders>
              <w:top w:val="single" w:sz="4" w:space="0" w:color="auto"/>
              <w:left w:val="single" w:sz="4" w:space="0" w:color="auto"/>
              <w:bottom w:val="single" w:sz="4" w:space="0" w:color="auto"/>
              <w:right w:val="single" w:sz="4" w:space="0" w:color="auto"/>
            </w:tcBorders>
            <w:hideMark/>
          </w:tcPr>
          <w:p w14:paraId="785BDA1B" w14:textId="77777777" w:rsidR="00687D25" w:rsidRDefault="00687D25">
            <w:pPr>
              <w:autoSpaceDE w:val="0"/>
              <w:autoSpaceDN w:val="0"/>
              <w:adjustRightInd w:val="0"/>
              <w:rPr>
                <w:szCs w:val="24"/>
                <w:lang w:val="en-GB"/>
              </w:rPr>
            </w:pPr>
            <w:r>
              <w:rPr>
                <w:sz w:val="20"/>
                <w:szCs w:val="24"/>
                <w:lang w:val="en-GB"/>
              </w:rPr>
              <w:t>Hyperhidrose</w:t>
            </w:r>
          </w:p>
        </w:tc>
        <w:tc>
          <w:tcPr>
            <w:tcW w:w="1501" w:type="dxa"/>
            <w:tcBorders>
              <w:top w:val="single" w:sz="4" w:space="0" w:color="auto"/>
              <w:left w:val="single" w:sz="4" w:space="0" w:color="auto"/>
              <w:bottom w:val="single" w:sz="4" w:space="0" w:color="auto"/>
              <w:right w:val="single" w:sz="4" w:space="0" w:color="auto"/>
            </w:tcBorders>
            <w:hideMark/>
          </w:tcPr>
          <w:p w14:paraId="76CB2A60" w14:textId="77777777" w:rsidR="00687D25" w:rsidRDefault="00687D25">
            <w:pPr>
              <w:autoSpaceDE w:val="0"/>
              <w:autoSpaceDN w:val="0"/>
              <w:adjustRightInd w:val="0"/>
              <w:rPr>
                <w:sz w:val="20"/>
                <w:szCs w:val="24"/>
                <w:lang w:val="en-GB"/>
              </w:rPr>
            </w:pPr>
            <w:r>
              <w:rPr>
                <w:sz w:val="20"/>
                <w:szCs w:val="24"/>
                <w:lang w:val="en-GB"/>
              </w:rPr>
              <w:t>Kløe</w:t>
            </w:r>
          </w:p>
          <w:p w14:paraId="6B25ACB8" w14:textId="77777777" w:rsidR="00687D25" w:rsidRDefault="00687D25">
            <w:pPr>
              <w:autoSpaceDE w:val="0"/>
              <w:autoSpaceDN w:val="0"/>
              <w:adjustRightInd w:val="0"/>
              <w:rPr>
                <w:szCs w:val="24"/>
                <w:lang w:val="en-GB"/>
              </w:rPr>
            </w:pPr>
            <w:r>
              <w:rPr>
                <w:sz w:val="20"/>
                <w:szCs w:val="24"/>
                <w:lang w:val="en-GB"/>
              </w:rPr>
              <w:t>Udslæt</w:t>
            </w:r>
          </w:p>
        </w:tc>
        <w:tc>
          <w:tcPr>
            <w:tcW w:w="1505" w:type="dxa"/>
            <w:tcBorders>
              <w:top w:val="single" w:sz="4" w:space="0" w:color="auto"/>
              <w:left w:val="single" w:sz="4" w:space="0" w:color="auto"/>
              <w:bottom w:val="single" w:sz="4" w:space="0" w:color="auto"/>
              <w:right w:val="single" w:sz="4" w:space="0" w:color="auto"/>
            </w:tcBorders>
            <w:hideMark/>
          </w:tcPr>
          <w:p w14:paraId="1F5FF4D3" w14:textId="77777777" w:rsidR="00687D25" w:rsidRDefault="00687D25">
            <w:pPr>
              <w:autoSpaceDE w:val="0"/>
              <w:autoSpaceDN w:val="0"/>
              <w:adjustRightInd w:val="0"/>
              <w:rPr>
                <w:szCs w:val="24"/>
                <w:lang w:val="en-GB"/>
              </w:rPr>
            </w:pPr>
            <w:r>
              <w:rPr>
                <w:sz w:val="20"/>
                <w:szCs w:val="24"/>
                <w:lang w:val="en-GB"/>
              </w:rPr>
              <w:t>Nældefeber</w:t>
            </w:r>
          </w:p>
        </w:tc>
        <w:tc>
          <w:tcPr>
            <w:tcW w:w="1304" w:type="dxa"/>
            <w:tcBorders>
              <w:top w:val="single" w:sz="4" w:space="0" w:color="auto"/>
              <w:left w:val="single" w:sz="4" w:space="0" w:color="auto"/>
              <w:bottom w:val="single" w:sz="4" w:space="0" w:color="auto"/>
              <w:right w:val="single" w:sz="4" w:space="0" w:color="auto"/>
            </w:tcBorders>
            <w:hideMark/>
          </w:tcPr>
          <w:p w14:paraId="3F3FFE5F" w14:textId="77777777" w:rsidR="00687D25" w:rsidRPr="00687D25" w:rsidRDefault="00687D25">
            <w:pPr>
              <w:autoSpaceDE w:val="0"/>
              <w:autoSpaceDN w:val="0"/>
              <w:adjustRightInd w:val="0"/>
              <w:rPr>
                <w:sz w:val="20"/>
                <w:szCs w:val="24"/>
              </w:rPr>
            </w:pPr>
            <w:r w:rsidRPr="00687D25">
              <w:rPr>
                <w:sz w:val="20"/>
                <w:szCs w:val="24"/>
              </w:rPr>
              <w:t>Angioneuro-tisk ødem (Quincke’s ødem)</w:t>
            </w:r>
          </w:p>
        </w:tc>
        <w:tc>
          <w:tcPr>
            <w:tcW w:w="1304" w:type="dxa"/>
            <w:tcBorders>
              <w:top w:val="single" w:sz="4" w:space="0" w:color="auto"/>
              <w:left w:val="single" w:sz="4" w:space="0" w:color="auto"/>
              <w:bottom w:val="single" w:sz="4" w:space="0" w:color="auto"/>
              <w:right w:val="single" w:sz="4" w:space="0" w:color="auto"/>
            </w:tcBorders>
            <w:hideMark/>
          </w:tcPr>
          <w:p w14:paraId="150E5370" w14:textId="77777777" w:rsidR="00687D25" w:rsidRPr="00687D25" w:rsidRDefault="00687D25">
            <w:pPr>
              <w:rPr>
                <w:sz w:val="20"/>
                <w:szCs w:val="24"/>
              </w:rPr>
            </w:pPr>
          </w:p>
        </w:tc>
      </w:tr>
      <w:tr w:rsidR="00687D25" w14:paraId="1728D00D" w14:textId="77777777" w:rsidTr="00687D25">
        <w:tc>
          <w:tcPr>
            <w:tcW w:w="1560" w:type="dxa"/>
            <w:tcBorders>
              <w:top w:val="single" w:sz="4" w:space="0" w:color="auto"/>
              <w:left w:val="single" w:sz="4" w:space="0" w:color="auto"/>
              <w:bottom w:val="single" w:sz="4" w:space="0" w:color="auto"/>
              <w:right w:val="single" w:sz="4" w:space="0" w:color="auto"/>
            </w:tcBorders>
            <w:hideMark/>
          </w:tcPr>
          <w:p w14:paraId="5EB4488C" w14:textId="77777777" w:rsidR="00687D25" w:rsidRDefault="00687D25">
            <w:pPr>
              <w:autoSpaceDE w:val="0"/>
              <w:autoSpaceDN w:val="0"/>
              <w:adjustRightInd w:val="0"/>
              <w:rPr>
                <w:szCs w:val="24"/>
                <w:lang w:val="en-GB"/>
              </w:rPr>
            </w:pPr>
            <w:r>
              <w:rPr>
                <w:i/>
                <w:sz w:val="20"/>
                <w:szCs w:val="24"/>
                <w:lang w:val="en-GB"/>
              </w:rPr>
              <w:t>Nyrer og urinveje</w:t>
            </w:r>
          </w:p>
        </w:tc>
        <w:tc>
          <w:tcPr>
            <w:tcW w:w="1587" w:type="dxa"/>
            <w:tcBorders>
              <w:top w:val="single" w:sz="4" w:space="0" w:color="auto"/>
              <w:left w:val="single" w:sz="4" w:space="0" w:color="auto"/>
              <w:bottom w:val="single" w:sz="4" w:space="0" w:color="auto"/>
              <w:right w:val="single" w:sz="4" w:space="0" w:color="auto"/>
            </w:tcBorders>
          </w:tcPr>
          <w:p w14:paraId="4550113B" w14:textId="77777777" w:rsidR="00687D25" w:rsidRDefault="00687D25">
            <w:pPr>
              <w:autoSpaceDE w:val="0"/>
              <w:autoSpaceDN w:val="0"/>
              <w:adjustRightInd w:val="0"/>
              <w:rPr>
                <w:sz w:val="20"/>
                <w:lang w:val="en-GB"/>
              </w:rPr>
            </w:pPr>
          </w:p>
        </w:tc>
        <w:tc>
          <w:tcPr>
            <w:tcW w:w="1501" w:type="dxa"/>
            <w:tcBorders>
              <w:top w:val="single" w:sz="4" w:space="0" w:color="auto"/>
              <w:left w:val="single" w:sz="4" w:space="0" w:color="auto"/>
              <w:bottom w:val="single" w:sz="4" w:space="0" w:color="auto"/>
              <w:right w:val="single" w:sz="4" w:space="0" w:color="auto"/>
            </w:tcBorders>
          </w:tcPr>
          <w:p w14:paraId="2BB1CD44" w14:textId="77777777" w:rsidR="00687D25" w:rsidRDefault="00687D25">
            <w:pPr>
              <w:autoSpaceDE w:val="0"/>
              <w:autoSpaceDN w:val="0"/>
              <w:adjustRightInd w:val="0"/>
              <w:rPr>
                <w:sz w:val="20"/>
                <w:lang w:val="en-GB"/>
              </w:rPr>
            </w:pPr>
          </w:p>
        </w:tc>
        <w:tc>
          <w:tcPr>
            <w:tcW w:w="1501" w:type="dxa"/>
            <w:tcBorders>
              <w:top w:val="single" w:sz="4" w:space="0" w:color="auto"/>
              <w:left w:val="single" w:sz="4" w:space="0" w:color="auto"/>
              <w:bottom w:val="single" w:sz="4" w:space="0" w:color="auto"/>
              <w:right w:val="single" w:sz="4" w:space="0" w:color="auto"/>
            </w:tcBorders>
            <w:hideMark/>
          </w:tcPr>
          <w:p w14:paraId="5F1C7275" w14:textId="77777777" w:rsidR="00687D25" w:rsidRDefault="00687D25">
            <w:pPr>
              <w:autoSpaceDE w:val="0"/>
              <w:autoSpaceDN w:val="0"/>
              <w:adjustRightInd w:val="0"/>
              <w:rPr>
                <w:szCs w:val="24"/>
                <w:lang w:val="en-GB"/>
              </w:rPr>
            </w:pPr>
            <w:r>
              <w:rPr>
                <w:sz w:val="20"/>
                <w:szCs w:val="24"/>
                <w:lang w:val="en-GB"/>
              </w:rPr>
              <w:t>Urinretention</w:t>
            </w:r>
          </w:p>
        </w:tc>
        <w:tc>
          <w:tcPr>
            <w:tcW w:w="1505" w:type="dxa"/>
            <w:tcBorders>
              <w:top w:val="single" w:sz="4" w:space="0" w:color="auto"/>
              <w:left w:val="single" w:sz="4" w:space="0" w:color="auto"/>
              <w:bottom w:val="single" w:sz="4" w:space="0" w:color="auto"/>
              <w:right w:val="single" w:sz="4" w:space="0" w:color="auto"/>
            </w:tcBorders>
          </w:tcPr>
          <w:p w14:paraId="615FDAA7" w14:textId="77777777" w:rsidR="00687D25" w:rsidRDefault="00687D25">
            <w:pPr>
              <w:autoSpaceDE w:val="0"/>
              <w:autoSpaceDN w:val="0"/>
              <w:adjustRightInd w:val="0"/>
              <w:rPr>
                <w:sz w:val="20"/>
                <w:lang w:val="en-GB"/>
              </w:rPr>
            </w:pPr>
          </w:p>
        </w:tc>
        <w:tc>
          <w:tcPr>
            <w:tcW w:w="1304" w:type="dxa"/>
            <w:tcBorders>
              <w:top w:val="single" w:sz="4" w:space="0" w:color="auto"/>
              <w:left w:val="single" w:sz="4" w:space="0" w:color="auto"/>
              <w:bottom w:val="single" w:sz="4" w:space="0" w:color="auto"/>
              <w:right w:val="single" w:sz="4" w:space="0" w:color="auto"/>
            </w:tcBorders>
          </w:tcPr>
          <w:p w14:paraId="355424F1" w14:textId="77777777" w:rsidR="00687D25" w:rsidRDefault="00687D25">
            <w:pPr>
              <w:autoSpaceDE w:val="0"/>
              <w:autoSpaceDN w:val="0"/>
              <w:adjustRightInd w:val="0"/>
              <w:rPr>
                <w:sz w:val="20"/>
                <w:lang w:val="en-GB"/>
              </w:rPr>
            </w:pPr>
          </w:p>
        </w:tc>
        <w:tc>
          <w:tcPr>
            <w:tcW w:w="1304" w:type="dxa"/>
            <w:tcBorders>
              <w:top w:val="single" w:sz="4" w:space="0" w:color="auto"/>
              <w:left w:val="single" w:sz="4" w:space="0" w:color="auto"/>
              <w:bottom w:val="single" w:sz="4" w:space="0" w:color="auto"/>
              <w:right w:val="single" w:sz="4" w:space="0" w:color="auto"/>
            </w:tcBorders>
          </w:tcPr>
          <w:p w14:paraId="7819F715" w14:textId="77777777" w:rsidR="00687D25" w:rsidRDefault="00687D25">
            <w:pPr>
              <w:autoSpaceDE w:val="0"/>
              <w:autoSpaceDN w:val="0"/>
              <w:adjustRightInd w:val="0"/>
              <w:rPr>
                <w:sz w:val="20"/>
                <w:lang w:val="en-GB"/>
              </w:rPr>
            </w:pPr>
          </w:p>
        </w:tc>
      </w:tr>
      <w:tr w:rsidR="00687D25" w14:paraId="6A76E2F1" w14:textId="77777777" w:rsidTr="00687D25">
        <w:tc>
          <w:tcPr>
            <w:tcW w:w="1560" w:type="dxa"/>
            <w:tcBorders>
              <w:top w:val="single" w:sz="4" w:space="0" w:color="auto"/>
              <w:left w:val="single" w:sz="4" w:space="0" w:color="auto"/>
              <w:bottom w:val="single" w:sz="4" w:space="0" w:color="auto"/>
              <w:right w:val="single" w:sz="4" w:space="0" w:color="auto"/>
            </w:tcBorders>
            <w:hideMark/>
          </w:tcPr>
          <w:p w14:paraId="13C23A19" w14:textId="77777777" w:rsidR="00687D25" w:rsidRPr="00687D25" w:rsidRDefault="00687D25">
            <w:pPr>
              <w:autoSpaceDE w:val="0"/>
              <w:autoSpaceDN w:val="0"/>
              <w:adjustRightInd w:val="0"/>
              <w:rPr>
                <w:szCs w:val="24"/>
              </w:rPr>
            </w:pPr>
            <w:r w:rsidRPr="00687D25">
              <w:rPr>
                <w:i/>
                <w:sz w:val="20"/>
                <w:szCs w:val="24"/>
              </w:rPr>
              <w:t>Almene symptomer og reaktioner på administrations-stedet</w:t>
            </w:r>
          </w:p>
        </w:tc>
        <w:tc>
          <w:tcPr>
            <w:tcW w:w="1587" w:type="dxa"/>
            <w:tcBorders>
              <w:top w:val="single" w:sz="4" w:space="0" w:color="auto"/>
              <w:left w:val="single" w:sz="4" w:space="0" w:color="auto"/>
              <w:bottom w:val="single" w:sz="4" w:space="0" w:color="auto"/>
              <w:right w:val="single" w:sz="4" w:space="0" w:color="auto"/>
            </w:tcBorders>
          </w:tcPr>
          <w:p w14:paraId="1D3B8D7A" w14:textId="77777777" w:rsidR="00687D25" w:rsidRPr="00687D25" w:rsidRDefault="00687D25">
            <w:pPr>
              <w:autoSpaceDE w:val="0"/>
              <w:autoSpaceDN w:val="0"/>
              <w:adjustRightInd w:val="0"/>
              <w:rPr>
                <w:b/>
                <w:bCs/>
                <w:sz w:val="20"/>
              </w:rPr>
            </w:pPr>
          </w:p>
        </w:tc>
        <w:tc>
          <w:tcPr>
            <w:tcW w:w="1501" w:type="dxa"/>
            <w:tcBorders>
              <w:top w:val="single" w:sz="4" w:space="0" w:color="auto"/>
              <w:left w:val="single" w:sz="4" w:space="0" w:color="auto"/>
              <w:bottom w:val="single" w:sz="4" w:space="0" w:color="auto"/>
              <w:right w:val="single" w:sz="4" w:space="0" w:color="auto"/>
            </w:tcBorders>
          </w:tcPr>
          <w:p w14:paraId="10AF443C" w14:textId="77777777" w:rsidR="00687D25" w:rsidRPr="00687D25" w:rsidRDefault="00687D25">
            <w:pPr>
              <w:autoSpaceDE w:val="0"/>
              <w:autoSpaceDN w:val="0"/>
              <w:adjustRightInd w:val="0"/>
              <w:rPr>
                <w:b/>
                <w:bCs/>
                <w:sz w:val="20"/>
              </w:rPr>
            </w:pPr>
          </w:p>
        </w:tc>
        <w:tc>
          <w:tcPr>
            <w:tcW w:w="1501" w:type="dxa"/>
            <w:tcBorders>
              <w:top w:val="single" w:sz="4" w:space="0" w:color="auto"/>
              <w:left w:val="single" w:sz="4" w:space="0" w:color="auto"/>
              <w:bottom w:val="single" w:sz="4" w:space="0" w:color="auto"/>
              <w:right w:val="single" w:sz="4" w:space="0" w:color="auto"/>
            </w:tcBorders>
          </w:tcPr>
          <w:p w14:paraId="2ED96D24" w14:textId="77777777" w:rsidR="00687D25" w:rsidRDefault="00687D25">
            <w:pPr>
              <w:autoSpaceDE w:val="0"/>
              <w:autoSpaceDN w:val="0"/>
              <w:adjustRightInd w:val="0"/>
              <w:rPr>
                <w:sz w:val="20"/>
                <w:szCs w:val="24"/>
                <w:lang w:val="en-GB"/>
              </w:rPr>
            </w:pPr>
            <w:r>
              <w:rPr>
                <w:sz w:val="20"/>
                <w:szCs w:val="24"/>
                <w:lang w:val="en-GB"/>
              </w:rPr>
              <w:t>Astheni</w:t>
            </w:r>
          </w:p>
          <w:p w14:paraId="663CD285" w14:textId="77777777" w:rsidR="00687D25" w:rsidRDefault="00687D25">
            <w:pPr>
              <w:autoSpaceDE w:val="0"/>
              <w:autoSpaceDN w:val="0"/>
              <w:adjustRightInd w:val="0"/>
              <w:rPr>
                <w:sz w:val="20"/>
                <w:szCs w:val="24"/>
                <w:lang w:val="en-GB"/>
              </w:rPr>
            </w:pPr>
            <w:r>
              <w:rPr>
                <w:sz w:val="20"/>
                <w:szCs w:val="24"/>
                <w:lang w:val="en-GB"/>
              </w:rPr>
              <w:t>Træthed</w:t>
            </w:r>
          </w:p>
          <w:p w14:paraId="46652D5B" w14:textId="77777777" w:rsidR="00687D25" w:rsidRDefault="00687D25">
            <w:pPr>
              <w:autoSpaceDE w:val="0"/>
              <w:autoSpaceDN w:val="0"/>
              <w:adjustRightInd w:val="0"/>
              <w:rPr>
                <w:sz w:val="20"/>
                <w:szCs w:val="24"/>
                <w:lang w:val="en-GB"/>
              </w:rPr>
            </w:pPr>
            <w:r>
              <w:rPr>
                <w:sz w:val="20"/>
                <w:szCs w:val="24"/>
                <w:lang w:val="en-GB"/>
              </w:rPr>
              <w:t>Utilpashed</w:t>
            </w:r>
          </w:p>
          <w:p w14:paraId="3289CB42" w14:textId="77777777" w:rsidR="00687D25" w:rsidRDefault="00687D25">
            <w:pPr>
              <w:autoSpaceDE w:val="0"/>
              <w:autoSpaceDN w:val="0"/>
              <w:adjustRightInd w:val="0"/>
              <w:rPr>
                <w:b/>
                <w:bCs/>
                <w:sz w:val="20"/>
                <w:lang w:val="en-GB"/>
              </w:rPr>
            </w:pPr>
          </w:p>
        </w:tc>
        <w:tc>
          <w:tcPr>
            <w:tcW w:w="1505" w:type="dxa"/>
            <w:tcBorders>
              <w:top w:val="single" w:sz="4" w:space="0" w:color="auto"/>
              <w:left w:val="single" w:sz="4" w:space="0" w:color="auto"/>
              <w:bottom w:val="single" w:sz="4" w:space="0" w:color="auto"/>
              <w:right w:val="single" w:sz="4" w:space="0" w:color="auto"/>
            </w:tcBorders>
          </w:tcPr>
          <w:p w14:paraId="6B477C97" w14:textId="77777777" w:rsidR="00687D25" w:rsidRDefault="00687D25">
            <w:pPr>
              <w:autoSpaceDE w:val="0"/>
              <w:autoSpaceDN w:val="0"/>
              <w:adjustRightInd w:val="0"/>
              <w:rPr>
                <w:sz w:val="20"/>
                <w:lang w:val="en-GB"/>
              </w:rPr>
            </w:pPr>
          </w:p>
        </w:tc>
        <w:tc>
          <w:tcPr>
            <w:tcW w:w="1304" w:type="dxa"/>
            <w:tcBorders>
              <w:top w:val="single" w:sz="4" w:space="0" w:color="auto"/>
              <w:left w:val="single" w:sz="4" w:space="0" w:color="auto"/>
              <w:bottom w:val="single" w:sz="4" w:space="0" w:color="auto"/>
              <w:right w:val="single" w:sz="4" w:space="0" w:color="auto"/>
            </w:tcBorders>
          </w:tcPr>
          <w:p w14:paraId="30838FFD" w14:textId="77777777" w:rsidR="00687D25" w:rsidRDefault="00687D25">
            <w:pPr>
              <w:autoSpaceDE w:val="0"/>
              <w:autoSpaceDN w:val="0"/>
              <w:adjustRightInd w:val="0"/>
              <w:rPr>
                <w:sz w:val="20"/>
                <w:szCs w:val="24"/>
                <w:lang w:val="en-GB"/>
              </w:rPr>
            </w:pPr>
          </w:p>
        </w:tc>
        <w:tc>
          <w:tcPr>
            <w:tcW w:w="1304" w:type="dxa"/>
            <w:tcBorders>
              <w:top w:val="single" w:sz="4" w:space="0" w:color="auto"/>
              <w:left w:val="single" w:sz="4" w:space="0" w:color="auto"/>
              <w:bottom w:val="single" w:sz="4" w:space="0" w:color="auto"/>
              <w:right w:val="single" w:sz="4" w:space="0" w:color="auto"/>
            </w:tcBorders>
            <w:hideMark/>
          </w:tcPr>
          <w:p w14:paraId="42379C60" w14:textId="77777777" w:rsidR="00687D25" w:rsidRDefault="00687D25">
            <w:pPr>
              <w:rPr>
                <w:sz w:val="20"/>
                <w:szCs w:val="24"/>
                <w:lang w:val="en-GB"/>
              </w:rPr>
            </w:pPr>
          </w:p>
        </w:tc>
      </w:tr>
    </w:tbl>
    <w:p w14:paraId="6DED301C" w14:textId="77777777" w:rsidR="00687D25" w:rsidRDefault="00687D25" w:rsidP="00687D25">
      <w:pPr>
        <w:rPr>
          <w:sz w:val="22"/>
          <w:szCs w:val="22"/>
        </w:rPr>
      </w:pPr>
    </w:p>
    <w:p w14:paraId="3F5B85FA" w14:textId="77777777" w:rsidR="00687D25" w:rsidRPr="00687D25" w:rsidRDefault="00687D25" w:rsidP="00687D25">
      <w:pPr>
        <w:ind w:left="851"/>
        <w:rPr>
          <w:sz w:val="24"/>
          <w:szCs w:val="24"/>
          <w:u w:val="single"/>
        </w:rPr>
      </w:pPr>
      <w:r w:rsidRPr="00687D25">
        <w:rPr>
          <w:sz w:val="24"/>
          <w:szCs w:val="24"/>
          <w:u w:val="single"/>
        </w:rPr>
        <w:t xml:space="preserve">Afhængighed </w:t>
      </w:r>
    </w:p>
    <w:p w14:paraId="352F9F90" w14:textId="77777777" w:rsidR="00687D25" w:rsidRPr="00687D25" w:rsidRDefault="00687D25" w:rsidP="00687D25">
      <w:pPr>
        <w:ind w:left="851"/>
        <w:rPr>
          <w:sz w:val="24"/>
          <w:szCs w:val="24"/>
        </w:rPr>
      </w:pPr>
      <w:r w:rsidRPr="00687D25">
        <w:rPr>
          <w:sz w:val="24"/>
          <w:szCs w:val="24"/>
        </w:rPr>
        <w:t xml:space="preserve">Gentagen brug af Buprenorphine "G.L. Pharma" kan føre til afhængighed, selv ved terapeutiske doser. Risikoen for afhængighed kan variere afhængigt af en patients individuelle risikofaktorer, dosis og varighed af opioidbehandling (se pkt. 4.4). </w:t>
      </w:r>
    </w:p>
    <w:p w14:paraId="7F0925AF" w14:textId="77777777" w:rsidR="00687D25" w:rsidRPr="00687D25" w:rsidRDefault="00687D25" w:rsidP="00687D25">
      <w:pPr>
        <w:autoSpaceDE w:val="0"/>
        <w:autoSpaceDN w:val="0"/>
        <w:adjustRightInd w:val="0"/>
        <w:ind w:left="851"/>
        <w:rPr>
          <w:sz w:val="24"/>
          <w:szCs w:val="24"/>
          <w:u w:val="single"/>
        </w:rPr>
      </w:pPr>
    </w:p>
    <w:p w14:paraId="1CF7AAA1" w14:textId="77777777" w:rsidR="00687D25" w:rsidRPr="00687D25" w:rsidRDefault="00687D25" w:rsidP="00687D25">
      <w:pPr>
        <w:autoSpaceDE w:val="0"/>
        <w:autoSpaceDN w:val="0"/>
        <w:adjustRightInd w:val="0"/>
        <w:ind w:left="851"/>
        <w:rPr>
          <w:sz w:val="24"/>
          <w:szCs w:val="24"/>
          <w:u w:val="single"/>
        </w:rPr>
      </w:pPr>
      <w:r w:rsidRPr="00687D25">
        <w:rPr>
          <w:sz w:val="24"/>
          <w:szCs w:val="24"/>
          <w:u w:val="single"/>
        </w:rPr>
        <w:t>Indberetning af formodede bivirkninger</w:t>
      </w:r>
    </w:p>
    <w:p w14:paraId="6459A64C" w14:textId="77777777" w:rsidR="00687D25" w:rsidRPr="00687D25" w:rsidRDefault="00687D25" w:rsidP="00687D25">
      <w:pPr>
        <w:autoSpaceDE w:val="0"/>
        <w:autoSpaceDN w:val="0"/>
        <w:adjustRightInd w:val="0"/>
        <w:ind w:left="851"/>
        <w:rPr>
          <w:sz w:val="24"/>
          <w:szCs w:val="24"/>
        </w:rPr>
      </w:pPr>
      <w:r w:rsidRPr="00687D25">
        <w:rPr>
          <w:sz w:val="24"/>
          <w:szCs w:val="24"/>
        </w:rPr>
        <w:t>Når lægemidlet er godkendt, er indberetning af formodede bivirkninger vigtig. Det muliggør løbende overvågning af benefit/risk-forholdet for lægemidlet. Sundhedspersoner anmodes om at indberette alle formodede bivirkninger via:</w:t>
      </w:r>
    </w:p>
    <w:p w14:paraId="5E4D9A35" w14:textId="77777777" w:rsidR="00687D25" w:rsidRPr="00687D25" w:rsidRDefault="00687D25" w:rsidP="00687D25">
      <w:pPr>
        <w:autoSpaceDE w:val="0"/>
        <w:autoSpaceDN w:val="0"/>
        <w:adjustRightInd w:val="0"/>
        <w:ind w:left="851"/>
        <w:rPr>
          <w:sz w:val="24"/>
          <w:szCs w:val="24"/>
        </w:rPr>
      </w:pPr>
    </w:p>
    <w:p w14:paraId="6221D2F8" w14:textId="77777777" w:rsidR="00687D25" w:rsidRPr="00687D25" w:rsidRDefault="00687D25" w:rsidP="00687D25">
      <w:pPr>
        <w:autoSpaceDE w:val="0"/>
        <w:autoSpaceDN w:val="0"/>
        <w:adjustRightInd w:val="0"/>
        <w:ind w:left="851"/>
        <w:rPr>
          <w:sz w:val="24"/>
          <w:szCs w:val="24"/>
        </w:rPr>
      </w:pPr>
      <w:r w:rsidRPr="00687D25">
        <w:rPr>
          <w:sz w:val="24"/>
          <w:szCs w:val="24"/>
        </w:rPr>
        <w:t>Lægemiddelstyrelsen</w:t>
      </w:r>
    </w:p>
    <w:p w14:paraId="46A76DA1" w14:textId="77777777" w:rsidR="00687D25" w:rsidRPr="00687D25" w:rsidRDefault="00687D25" w:rsidP="00687D25">
      <w:pPr>
        <w:autoSpaceDE w:val="0"/>
        <w:autoSpaceDN w:val="0"/>
        <w:adjustRightInd w:val="0"/>
        <w:ind w:left="851"/>
        <w:rPr>
          <w:sz w:val="24"/>
          <w:szCs w:val="24"/>
        </w:rPr>
      </w:pPr>
      <w:r w:rsidRPr="00687D25">
        <w:rPr>
          <w:sz w:val="24"/>
          <w:szCs w:val="24"/>
        </w:rPr>
        <w:t>Axel Heides Gade 1</w:t>
      </w:r>
    </w:p>
    <w:p w14:paraId="202584CB" w14:textId="77777777" w:rsidR="00687D25" w:rsidRPr="00687D25" w:rsidRDefault="00687D25" w:rsidP="00687D25">
      <w:pPr>
        <w:autoSpaceDE w:val="0"/>
        <w:autoSpaceDN w:val="0"/>
        <w:adjustRightInd w:val="0"/>
        <w:ind w:left="851"/>
        <w:rPr>
          <w:sz w:val="24"/>
          <w:szCs w:val="24"/>
        </w:rPr>
      </w:pPr>
      <w:r w:rsidRPr="00687D25">
        <w:rPr>
          <w:sz w:val="24"/>
          <w:szCs w:val="24"/>
        </w:rPr>
        <w:lastRenderedPageBreak/>
        <w:t>DK-2300 København S</w:t>
      </w:r>
    </w:p>
    <w:p w14:paraId="5A642847" w14:textId="77777777" w:rsidR="00687D25" w:rsidRPr="00687D25" w:rsidRDefault="00687D25" w:rsidP="00687D25">
      <w:pPr>
        <w:autoSpaceDE w:val="0"/>
        <w:autoSpaceDN w:val="0"/>
        <w:adjustRightInd w:val="0"/>
        <w:ind w:left="851"/>
        <w:rPr>
          <w:sz w:val="24"/>
          <w:szCs w:val="24"/>
        </w:rPr>
      </w:pPr>
      <w:r w:rsidRPr="00687D25">
        <w:rPr>
          <w:sz w:val="24"/>
          <w:szCs w:val="24"/>
        </w:rPr>
        <w:t xml:space="preserve">Websted: www.meldenbivirkning.dk </w:t>
      </w:r>
    </w:p>
    <w:p w14:paraId="4F69FF0A" w14:textId="77777777" w:rsidR="00687D25" w:rsidRDefault="00687D25" w:rsidP="00687D25">
      <w:pPr>
        <w:autoSpaceDE w:val="0"/>
        <w:autoSpaceDN w:val="0"/>
        <w:adjustRightInd w:val="0"/>
        <w:rPr>
          <w:szCs w:val="22"/>
        </w:rPr>
      </w:pPr>
    </w:p>
    <w:p w14:paraId="70405642" w14:textId="77777777" w:rsidR="009260DE" w:rsidRPr="00C84483" w:rsidRDefault="009260DE" w:rsidP="009260DE">
      <w:pPr>
        <w:tabs>
          <w:tab w:val="left" w:pos="851"/>
        </w:tabs>
        <w:ind w:left="851" w:hanging="851"/>
        <w:rPr>
          <w:b/>
          <w:sz w:val="24"/>
          <w:szCs w:val="24"/>
        </w:rPr>
      </w:pPr>
      <w:r w:rsidRPr="00C84483">
        <w:rPr>
          <w:b/>
          <w:sz w:val="24"/>
          <w:szCs w:val="24"/>
        </w:rPr>
        <w:t>4.9</w:t>
      </w:r>
      <w:r w:rsidRPr="00C84483">
        <w:rPr>
          <w:b/>
          <w:sz w:val="24"/>
          <w:szCs w:val="24"/>
        </w:rPr>
        <w:tab/>
        <w:t>Overdosering</w:t>
      </w:r>
    </w:p>
    <w:p w14:paraId="6A65B7AF" w14:textId="77777777" w:rsidR="00745C0A" w:rsidRPr="00745C0A" w:rsidRDefault="00745C0A" w:rsidP="00745C0A">
      <w:pPr>
        <w:tabs>
          <w:tab w:val="left" w:pos="851"/>
        </w:tabs>
        <w:ind w:left="851"/>
        <w:rPr>
          <w:sz w:val="24"/>
          <w:szCs w:val="24"/>
        </w:rPr>
      </w:pPr>
      <w:r w:rsidRPr="00745C0A">
        <w:rPr>
          <w:sz w:val="24"/>
          <w:szCs w:val="24"/>
        </w:rPr>
        <w:t xml:space="preserve">Buprenorphin har en høj sikkerhedsmargin på grund af sine egenskaber som partiel opioidagonist/antagonist. Dog kan terapeutiske doser, især hos ikke-tolerante individer (særligt børn), medføre alvorlig forgiftning (intoksikation). </w:t>
      </w:r>
    </w:p>
    <w:p w14:paraId="5B44AE55" w14:textId="77777777" w:rsidR="00745C0A" w:rsidRPr="00745C0A" w:rsidRDefault="00745C0A" w:rsidP="00745C0A">
      <w:pPr>
        <w:tabs>
          <w:tab w:val="left" w:pos="851"/>
        </w:tabs>
        <w:ind w:left="851"/>
        <w:rPr>
          <w:sz w:val="24"/>
          <w:szCs w:val="24"/>
        </w:rPr>
      </w:pPr>
      <w:r w:rsidRPr="00745C0A">
        <w:rPr>
          <w:sz w:val="24"/>
          <w:szCs w:val="24"/>
        </w:rPr>
        <w:t>Selvom buprenorphins antagonistiske aktivitet kan vise sig ved doser, der ligger lidt over det anbefalede terapeutiske område, kan doser inden for dette område under visse tilfælde forårsage klinisk signifikant respirationsdepression (se pkt. 4.4).</w:t>
      </w:r>
    </w:p>
    <w:p w14:paraId="74E0D315" w14:textId="77777777" w:rsidR="00745C0A" w:rsidRPr="00745C0A" w:rsidRDefault="00745C0A" w:rsidP="00745C0A">
      <w:pPr>
        <w:tabs>
          <w:tab w:val="left" w:pos="851"/>
        </w:tabs>
        <w:ind w:left="851"/>
        <w:rPr>
          <w:sz w:val="24"/>
          <w:szCs w:val="24"/>
        </w:rPr>
      </w:pPr>
    </w:p>
    <w:p w14:paraId="700ED585" w14:textId="77777777" w:rsidR="00745C0A" w:rsidRPr="00745C0A" w:rsidRDefault="00745C0A" w:rsidP="00745C0A">
      <w:pPr>
        <w:tabs>
          <w:tab w:val="left" w:pos="851"/>
        </w:tabs>
        <w:ind w:left="851"/>
        <w:rPr>
          <w:sz w:val="24"/>
          <w:szCs w:val="24"/>
          <w:u w:val="single"/>
        </w:rPr>
      </w:pPr>
      <w:r w:rsidRPr="00745C0A">
        <w:rPr>
          <w:sz w:val="24"/>
          <w:szCs w:val="24"/>
          <w:u w:val="single"/>
        </w:rPr>
        <w:t>Symptomer</w:t>
      </w:r>
    </w:p>
    <w:p w14:paraId="32827C60" w14:textId="77777777" w:rsidR="00745C0A" w:rsidRPr="00745C0A" w:rsidRDefault="00745C0A" w:rsidP="00745C0A">
      <w:pPr>
        <w:tabs>
          <w:tab w:val="left" w:pos="851"/>
        </w:tabs>
        <w:ind w:left="851"/>
        <w:rPr>
          <w:sz w:val="24"/>
          <w:szCs w:val="24"/>
        </w:rPr>
      </w:pPr>
      <w:r w:rsidRPr="00745C0A">
        <w:rPr>
          <w:sz w:val="24"/>
          <w:szCs w:val="24"/>
        </w:rPr>
        <w:t>Symptomerne på overdosering af buprenorphin er karakteriseret af tegn såsom "fremmedfølelse", nedsat koncentrationsevne, døsighed og muligvis ortostatisk svimmelhed. Symptomer på en akut overdosering omfatter miosis, sedation, hypotension, respirationsdepression (nedsat vejrtrækningsfrekvens og/eller respirationsvolumen, Cheyne-Stokes’ respiration, cyanose), ekstrem døsighed, bevidsthedsforstyrrelser inklusive koma i alvorlige tilfælde, slaphed i skeletmuskulaturen, fugtig og kold hud og bradykardi. Der kan forekomme kvalme og opkastning. Det alvorligste symptom, som kræver indgreb, er respirationsdepression, som kan føre til respirationsophør og død.</w:t>
      </w:r>
    </w:p>
    <w:p w14:paraId="52EA450B" w14:textId="77777777" w:rsidR="00745C0A" w:rsidRPr="00745C0A" w:rsidRDefault="00745C0A" w:rsidP="00745C0A">
      <w:pPr>
        <w:tabs>
          <w:tab w:val="left" w:pos="851"/>
        </w:tabs>
        <w:ind w:left="851"/>
        <w:rPr>
          <w:sz w:val="24"/>
          <w:szCs w:val="24"/>
        </w:rPr>
      </w:pPr>
    </w:p>
    <w:p w14:paraId="00678C7E" w14:textId="77777777" w:rsidR="00745C0A" w:rsidRPr="00745C0A" w:rsidRDefault="00745C0A" w:rsidP="00745C0A">
      <w:pPr>
        <w:tabs>
          <w:tab w:val="left" w:pos="851"/>
        </w:tabs>
        <w:ind w:left="851"/>
        <w:rPr>
          <w:sz w:val="24"/>
          <w:szCs w:val="24"/>
          <w:u w:val="single"/>
        </w:rPr>
      </w:pPr>
      <w:r w:rsidRPr="00745C0A">
        <w:rPr>
          <w:sz w:val="24"/>
          <w:szCs w:val="24"/>
          <w:u w:val="single"/>
        </w:rPr>
        <w:t>Behandling</w:t>
      </w:r>
    </w:p>
    <w:p w14:paraId="5EC9453D" w14:textId="77777777" w:rsidR="00745C0A" w:rsidRPr="00745C0A" w:rsidRDefault="00745C0A" w:rsidP="00745C0A">
      <w:pPr>
        <w:tabs>
          <w:tab w:val="left" w:pos="851"/>
        </w:tabs>
        <w:ind w:left="851"/>
        <w:rPr>
          <w:sz w:val="24"/>
          <w:szCs w:val="24"/>
        </w:rPr>
      </w:pPr>
      <w:r w:rsidRPr="00745C0A">
        <w:rPr>
          <w:sz w:val="24"/>
          <w:szCs w:val="24"/>
        </w:rPr>
        <w:t>I tilfælde af en overdosis skal der iværksættes almen understøttende behandling, herunder nøje overvågning af patientens respirations- og hjertestatus. Der skal iværksættes symptomatisk behandling af respirationsdepression efter en standardmæssig intensivbehandling. Det skal tilsikres, at der er åbne luftveje samt assisteret eller kontrolleret ventilation. I tilfælde af opkastning, skal der drages omsorg for at forhindre aspiration af opkastet. Patienten bør overføres til faciliteter, hvor der er adgang til komplet genoplivningsudstyr. Det anbefales at anvende en opioidantagonist (dvs. naloxon) til trods for, at den kan have beskeden virkning på de buprenorphinforårsagede respirationssymptomer sammenlignet, med dens virkning på komplette opioidagonister.</w:t>
      </w:r>
    </w:p>
    <w:p w14:paraId="6A722267" w14:textId="77777777" w:rsidR="00745C0A" w:rsidRPr="00745C0A" w:rsidRDefault="00745C0A" w:rsidP="00745C0A">
      <w:pPr>
        <w:tabs>
          <w:tab w:val="left" w:pos="851"/>
        </w:tabs>
        <w:ind w:left="851"/>
        <w:rPr>
          <w:sz w:val="24"/>
          <w:szCs w:val="24"/>
        </w:rPr>
      </w:pPr>
      <w:r w:rsidRPr="00745C0A">
        <w:rPr>
          <w:sz w:val="24"/>
          <w:szCs w:val="24"/>
        </w:rPr>
        <w:t>Naloxon kan muligvis ikke reversere den buprenorphinforårsagede respirationsdepression. Den primære behandling af overdosering bør bestå i genoprettelse af tilstrækkelig vejtrækningsaktivitet, om nødvendigt med mekanisk assisteret respiration. Buprenorphins lange virkningsvarighed bør tages i betragtning når varigheden af behandling og nødvendig medicinsk overvågning fastlægges, for at reversere virkningen af en overdosis. Naloxon kan elimineres hurtigere end buprenorphin, hvorved overdoseringssymptomer, der hidtil har været under kontrol, kan vende tilbage.</w:t>
      </w:r>
    </w:p>
    <w:p w14:paraId="23E7D457" w14:textId="77777777" w:rsidR="009260DE" w:rsidRPr="00C84483" w:rsidRDefault="009260DE" w:rsidP="009260DE">
      <w:pPr>
        <w:tabs>
          <w:tab w:val="left" w:pos="851"/>
        </w:tabs>
        <w:ind w:left="851"/>
        <w:rPr>
          <w:sz w:val="24"/>
          <w:szCs w:val="24"/>
        </w:rPr>
      </w:pPr>
    </w:p>
    <w:p w14:paraId="0FC9D038" w14:textId="77777777" w:rsidR="009260DE" w:rsidRPr="00C84483" w:rsidRDefault="009260DE" w:rsidP="009260DE">
      <w:pPr>
        <w:tabs>
          <w:tab w:val="left" w:pos="851"/>
        </w:tabs>
        <w:ind w:left="851" w:hanging="851"/>
        <w:rPr>
          <w:b/>
          <w:sz w:val="24"/>
          <w:szCs w:val="24"/>
        </w:rPr>
      </w:pPr>
      <w:r w:rsidRPr="00C84483">
        <w:rPr>
          <w:b/>
          <w:sz w:val="24"/>
          <w:szCs w:val="24"/>
        </w:rPr>
        <w:t>4.10</w:t>
      </w:r>
      <w:r w:rsidRPr="00C84483">
        <w:rPr>
          <w:b/>
          <w:sz w:val="24"/>
          <w:szCs w:val="24"/>
        </w:rPr>
        <w:tab/>
        <w:t>Udlevering</w:t>
      </w:r>
    </w:p>
    <w:p w14:paraId="4C45BA2D" w14:textId="6EA40039" w:rsidR="009260DE" w:rsidRPr="00C84483" w:rsidRDefault="00745C0A" w:rsidP="009260DE">
      <w:pPr>
        <w:tabs>
          <w:tab w:val="left" w:pos="851"/>
        </w:tabs>
        <w:ind w:left="851"/>
        <w:rPr>
          <w:sz w:val="24"/>
          <w:szCs w:val="24"/>
        </w:rPr>
      </w:pPr>
      <w:r>
        <w:rPr>
          <w:sz w:val="24"/>
          <w:szCs w:val="24"/>
        </w:rPr>
        <w:t>A§4 (kopieringspligtigt)</w:t>
      </w:r>
    </w:p>
    <w:p w14:paraId="2A043547" w14:textId="77777777" w:rsidR="009260DE" w:rsidRPr="00C84483" w:rsidRDefault="009260DE" w:rsidP="009260DE">
      <w:pPr>
        <w:tabs>
          <w:tab w:val="left" w:pos="851"/>
        </w:tabs>
        <w:ind w:left="851"/>
        <w:rPr>
          <w:sz w:val="24"/>
          <w:szCs w:val="24"/>
        </w:rPr>
      </w:pPr>
    </w:p>
    <w:p w14:paraId="7E7CB1F7" w14:textId="77777777" w:rsidR="009260DE" w:rsidRPr="00C84483" w:rsidRDefault="009260DE" w:rsidP="009260DE">
      <w:pPr>
        <w:tabs>
          <w:tab w:val="left" w:pos="851"/>
        </w:tabs>
        <w:ind w:left="851"/>
        <w:rPr>
          <w:sz w:val="24"/>
          <w:szCs w:val="24"/>
        </w:rPr>
      </w:pPr>
    </w:p>
    <w:p w14:paraId="10C45462" w14:textId="77777777" w:rsidR="009260DE" w:rsidRPr="00C84483" w:rsidRDefault="009260DE" w:rsidP="009260DE">
      <w:pPr>
        <w:tabs>
          <w:tab w:val="left" w:pos="851"/>
        </w:tabs>
        <w:ind w:left="851" w:hanging="851"/>
        <w:rPr>
          <w:b/>
          <w:sz w:val="24"/>
          <w:szCs w:val="24"/>
        </w:rPr>
      </w:pPr>
      <w:r w:rsidRPr="00C84483">
        <w:rPr>
          <w:b/>
          <w:sz w:val="24"/>
          <w:szCs w:val="24"/>
        </w:rPr>
        <w:t>5.</w:t>
      </w:r>
      <w:r w:rsidRPr="00C84483">
        <w:rPr>
          <w:b/>
          <w:sz w:val="24"/>
          <w:szCs w:val="24"/>
        </w:rPr>
        <w:tab/>
        <w:t>FARMAKOLOGISKE EGENSKABER</w:t>
      </w:r>
    </w:p>
    <w:p w14:paraId="56E5EC9F" w14:textId="77777777" w:rsidR="009260DE" w:rsidRPr="00C84483" w:rsidRDefault="009260DE" w:rsidP="009260DE">
      <w:pPr>
        <w:tabs>
          <w:tab w:val="left" w:pos="851"/>
        </w:tabs>
        <w:ind w:left="851"/>
        <w:rPr>
          <w:sz w:val="24"/>
          <w:szCs w:val="24"/>
        </w:rPr>
      </w:pPr>
    </w:p>
    <w:p w14:paraId="4DB3725E" w14:textId="77777777" w:rsidR="009260DE" w:rsidRPr="00C84483" w:rsidRDefault="009260DE" w:rsidP="009260DE">
      <w:pPr>
        <w:tabs>
          <w:tab w:val="num" w:pos="851"/>
        </w:tabs>
        <w:ind w:left="851" w:hanging="851"/>
        <w:rPr>
          <w:b/>
          <w:sz w:val="24"/>
          <w:szCs w:val="24"/>
        </w:rPr>
      </w:pPr>
      <w:r w:rsidRPr="00C84483">
        <w:rPr>
          <w:b/>
          <w:sz w:val="24"/>
          <w:szCs w:val="24"/>
        </w:rPr>
        <w:t>5.1</w:t>
      </w:r>
      <w:r w:rsidRPr="00C84483">
        <w:rPr>
          <w:b/>
          <w:sz w:val="24"/>
          <w:szCs w:val="24"/>
        </w:rPr>
        <w:tab/>
        <w:t>Farmakodynamiske egenskaber</w:t>
      </w:r>
    </w:p>
    <w:p w14:paraId="675EFA6A" w14:textId="7C870F40" w:rsidR="005B2D19" w:rsidRPr="005B2D19" w:rsidRDefault="005B2D19" w:rsidP="005B2D19">
      <w:pPr>
        <w:tabs>
          <w:tab w:val="left" w:pos="851"/>
        </w:tabs>
        <w:ind w:left="851"/>
        <w:rPr>
          <w:sz w:val="24"/>
          <w:szCs w:val="24"/>
        </w:rPr>
      </w:pPr>
      <w:r w:rsidRPr="005B2D19">
        <w:rPr>
          <w:sz w:val="24"/>
          <w:szCs w:val="24"/>
        </w:rPr>
        <w:t>Farmakoterapeutisk klassifikation: Opioider, oripavine-derivater, ATC-kode: N02AE01</w:t>
      </w:r>
      <w:r>
        <w:rPr>
          <w:sz w:val="24"/>
          <w:szCs w:val="24"/>
        </w:rPr>
        <w:t>.</w:t>
      </w:r>
    </w:p>
    <w:p w14:paraId="41B99F48" w14:textId="77777777" w:rsidR="005B2D19" w:rsidRPr="005B2D19" w:rsidRDefault="005B2D19" w:rsidP="005B2D19">
      <w:pPr>
        <w:tabs>
          <w:tab w:val="left" w:pos="851"/>
        </w:tabs>
        <w:ind w:left="851"/>
        <w:rPr>
          <w:sz w:val="24"/>
          <w:szCs w:val="24"/>
        </w:rPr>
      </w:pPr>
    </w:p>
    <w:p w14:paraId="092060C8" w14:textId="77777777" w:rsidR="005B2D19" w:rsidRPr="005B2D19" w:rsidRDefault="005B2D19" w:rsidP="005B2D19">
      <w:pPr>
        <w:tabs>
          <w:tab w:val="left" w:pos="851"/>
        </w:tabs>
        <w:ind w:left="851"/>
        <w:rPr>
          <w:bCs/>
          <w:sz w:val="24"/>
          <w:szCs w:val="24"/>
          <w:u w:val="single"/>
        </w:rPr>
      </w:pPr>
      <w:r w:rsidRPr="005B2D19">
        <w:rPr>
          <w:bCs/>
          <w:sz w:val="24"/>
          <w:szCs w:val="24"/>
          <w:u w:val="single"/>
        </w:rPr>
        <w:t>Virkningsmekanisme</w:t>
      </w:r>
    </w:p>
    <w:p w14:paraId="3A2D810B" w14:textId="77777777" w:rsidR="005B2D19" w:rsidRPr="005B2D19" w:rsidRDefault="005B2D19" w:rsidP="005B2D19">
      <w:pPr>
        <w:tabs>
          <w:tab w:val="left" w:pos="851"/>
        </w:tabs>
        <w:ind w:left="851"/>
        <w:rPr>
          <w:sz w:val="24"/>
          <w:szCs w:val="24"/>
        </w:rPr>
      </w:pPr>
      <w:r w:rsidRPr="005B2D19">
        <w:rPr>
          <w:sz w:val="24"/>
          <w:szCs w:val="24"/>
        </w:rPr>
        <w:t xml:space="preserve">Buprenorphin er et potent og centralt aktivt analgetikum med opioidagonistiske og antagonistiske egenskaber (partiel µ-opioidreceptoragonist og </w:t>
      </w:r>
      <w:r w:rsidRPr="005B2D19">
        <w:rPr>
          <w:sz w:val="24"/>
          <w:szCs w:val="24"/>
        </w:rPr>
        <w:sym w:font="Symbol" w:char="F06B"/>
      </w:r>
      <w:r w:rsidRPr="005B2D19">
        <w:rPr>
          <w:sz w:val="24"/>
          <w:szCs w:val="24"/>
        </w:rPr>
        <w:t xml:space="preserve">-antagonist). Den </w:t>
      </w:r>
      <w:r w:rsidRPr="005B2D19">
        <w:rPr>
          <w:sz w:val="24"/>
          <w:szCs w:val="24"/>
        </w:rPr>
        <w:lastRenderedPageBreak/>
        <w:t>analgetiske effekt kan tilskrives interaktion med specifikke opioidreceptorer (primært µ-receptorer) i centralnervesystemet.</w:t>
      </w:r>
    </w:p>
    <w:p w14:paraId="1AB575C1" w14:textId="77777777" w:rsidR="005B2D19" w:rsidRPr="005B2D19" w:rsidRDefault="005B2D19" w:rsidP="005B2D19">
      <w:pPr>
        <w:tabs>
          <w:tab w:val="left" w:pos="851"/>
        </w:tabs>
        <w:ind w:left="851"/>
        <w:rPr>
          <w:bCs/>
          <w:sz w:val="24"/>
          <w:szCs w:val="24"/>
          <w:u w:val="single"/>
        </w:rPr>
      </w:pPr>
    </w:p>
    <w:p w14:paraId="3E732A55" w14:textId="77777777" w:rsidR="005B2D19" w:rsidRPr="005B2D19" w:rsidRDefault="005B2D19" w:rsidP="005B2D19">
      <w:pPr>
        <w:tabs>
          <w:tab w:val="left" w:pos="851"/>
        </w:tabs>
        <w:ind w:left="851"/>
        <w:rPr>
          <w:bCs/>
          <w:sz w:val="24"/>
          <w:szCs w:val="24"/>
          <w:u w:val="single"/>
        </w:rPr>
      </w:pPr>
      <w:r w:rsidRPr="005B2D19">
        <w:rPr>
          <w:bCs/>
          <w:sz w:val="24"/>
          <w:szCs w:val="24"/>
          <w:u w:val="single"/>
        </w:rPr>
        <w:t>Farmakodynamisk virkning</w:t>
      </w:r>
    </w:p>
    <w:p w14:paraId="632BC1B7" w14:textId="77777777" w:rsidR="005B2D19" w:rsidRPr="005B2D19" w:rsidRDefault="005B2D19" w:rsidP="005B2D19">
      <w:pPr>
        <w:tabs>
          <w:tab w:val="left" w:pos="851"/>
        </w:tabs>
        <w:ind w:left="851"/>
        <w:rPr>
          <w:bCs/>
          <w:sz w:val="24"/>
          <w:szCs w:val="24"/>
        </w:rPr>
      </w:pPr>
      <w:r w:rsidRPr="005B2D19">
        <w:rPr>
          <w:bCs/>
          <w:sz w:val="24"/>
          <w:szCs w:val="24"/>
        </w:rPr>
        <w:t xml:space="preserve">Den analgetiske effekt indtræder efter ca. 30 min. 0,4 mg buprenorphin administreret sublingualt har en analgetisk effekt, der svarer til ca. 10 mg morfin administreret intramuskulært. Den lange virkningsvarighed på 6-8 timer skyldes, at buprenorphin dissocieres langsomt fra receptorerne og at morfinantagonister kun i begrænset omfang modvirker effekterne, idet buprenorphin har høj affinitet for receptoren. </w:t>
      </w:r>
    </w:p>
    <w:p w14:paraId="20B36439" w14:textId="77777777" w:rsidR="005B2D19" w:rsidRPr="005B2D19" w:rsidRDefault="005B2D19" w:rsidP="005B2D19">
      <w:pPr>
        <w:tabs>
          <w:tab w:val="left" w:pos="851"/>
        </w:tabs>
        <w:ind w:left="851"/>
        <w:rPr>
          <w:bCs/>
          <w:sz w:val="24"/>
          <w:szCs w:val="24"/>
        </w:rPr>
      </w:pPr>
    </w:p>
    <w:p w14:paraId="1D1890E9" w14:textId="77777777" w:rsidR="005B2D19" w:rsidRPr="005B2D19" w:rsidRDefault="005B2D19" w:rsidP="005B2D19">
      <w:pPr>
        <w:tabs>
          <w:tab w:val="left" w:pos="851"/>
        </w:tabs>
        <w:ind w:left="851"/>
        <w:rPr>
          <w:bCs/>
          <w:sz w:val="24"/>
          <w:szCs w:val="24"/>
        </w:rPr>
      </w:pPr>
      <w:r w:rsidRPr="005B2D19">
        <w:rPr>
          <w:bCs/>
          <w:sz w:val="24"/>
          <w:szCs w:val="24"/>
        </w:rPr>
        <w:t xml:space="preserve">I terapeutiske doser har buprenorphin respirationsdeprimerende egenskaber, der er sammenlignelige med morfin i lige analgetiske doser. Buprenorphins effekt forstærkes af andre stoffer med centrale dæmpende virkninger, såsom hypnotika, sedativa og alkohol. </w:t>
      </w:r>
    </w:p>
    <w:p w14:paraId="527C08F2" w14:textId="77777777" w:rsidR="005B2D19" w:rsidRPr="005B2D19" w:rsidRDefault="005B2D19" w:rsidP="005B2D19">
      <w:pPr>
        <w:tabs>
          <w:tab w:val="left" w:pos="851"/>
        </w:tabs>
        <w:ind w:left="851"/>
        <w:rPr>
          <w:bCs/>
          <w:sz w:val="24"/>
          <w:szCs w:val="24"/>
        </w:rPr>
      </w:pPr>
    </w:p>
    <w:p w14:paraId="7B6FFEA2" w14:textId="77777777" w:rsidR="005B2D19" w:rsidRPr="005B2D19" w:rsidRDefault="005B2D19" w:rsidP="005B2D19">
      <w:pPr>
        <w:tabs>
          <w:tab w:val="left" w:pos="851"/>
        </w:tabs>
        <w:ind w:left="851"/>
        <w:rPr>
          <w:bCs/>
          <w:sz w:val="24"/>
          <w:szCs w:val="24"/>
        </w:rPr>
      </w:pPr>
      <w:r w:rsidRPr="005B2D19">
        <w:rPr>
          <w:bCs/>
          <w:sz w:val="24"/>
          <w:szCs w:val="24"/>
        </w:rPr>
        <w:t xml:space="preserve">Dyre- og menneskestudier tyder på, at buprenorphin har en lavere vanedannende effekt end morfin. </w:t>
      </w:r>
    </w:p>
    <w:p w14:paraId="7EBD8DFE" w14:textId="77777777" w:rsidR="009260DE" w:rsidRPr="00C84483" w:rsidRDefault="009260DE" w:rsidP="009260DE">
      <w:pPr>
        <w:tabs>
          <w:tab w:val="left" w:pos="851"/>
        </w:tabs>
        <w:ind w:left="851"/>
        <w:rPr>
          <w:sz w:val="24"/>
          <w:szCs w:val="24"/>
        </w:rPr>
      </w:pPr>
    </w:p>
    <w:p w14:paraId="48FD437B" w14:textId="77777777" w:rsidR="009260DE" w:rsidRPr="00C84483" w:rsidRDefault="009260DE" w:rsidP="009260DE">
      <w:pPr>
        <w:tabs>
          <w:tab w:val="left" w:pos="851"/>
        </w:tabs>
        <w:ind w:left="851" w:hanging="851"/>
        <w:rPr>
          <w:b/>
          <w:sz w:val="24"/>
          <w:szCs w:val="24"/>
        </w:rPr>
      </w:pPr>
      <w:r w:rsidRPr="00C84483">
        <w:rPr>
          <w:b/>
          <w:sz w:val="24"/>
          <w:szCs w:val="24"/>
        </w:rPr>
        <w:t>5.2</w:t>
      </w:r>
      <w:r w:rsidRPr="00C84483">
        <w:rPr>
          <w:b/>
          <w:sz w:val="24"/>
          <w:szCs w:val="24"/>
        </w:rPr>
        <w:tab/>
        <w:t>Farmakokinetiske egenskaber</w:t>
      </w:r>
    </w:p>
    <w:p w14:paraId="04023985" w14:textId="77777777" w:rsidR="00A41AF2" w:rsidRPr="00A41AF2" w:rsidRDefault="00A41AF2" w:rsidP="00A41AF2">
      <w:pPr>
        <w:tabs>
          <w:tab w:val="left" w:pos="851"/>
        </w:tabs>
        <w:ind w:left="851"/>
        <w:rPr>
          <w:sz w:val="24"/>
          <w:szCs w:val="24"/>
        </w:rPr>
      </w:pPr>
    </w:p>
    <w:p w14:paraId="6465501F" w14:textId="77777777" w:rsidR="00A41AF2" w:rsidRPr="00A41AF2" w:rsidRDefault="00A41AF2" w:rsidP="00A41AF2">
      <w:pPr>
        <w:tabs>
          <w:tab w:val="left" w:pos="851"/>
        </w:tabs>
        <w:ind w:left="851"/>
        <w:rPr>
          <w:sz w:val="24"/>
          <w:szCs w:val="24"/>
          <w:u w:val="single"/>
        </w:rPr>
      </w:pPr>
      <w:r w:rsidRPr="00A41AF2">
        <w:rPr>
          <w:sz w:val="24"/>
          <w:szCs w:val="24"/>
          <w:u w:val="single"/>
        </w:rPr>
        <w:t>Absorption</w:t>
      </w:r>
    </w:p>
    <w:p w14:paraId="1DBFA6EE" w14:textId="77777777" w:rsidR="00A41AF2" w:rsidRPr="00A41AF2" w:rsidRDefault="00A41AF2" w:rsidP="00A41AF2">
      <w:pPr>
        <w:tabs>
          <w:tab w:val="left" w:pos="851"/>
        </w:tabs>
        <w:ind w:left="851"/>
        <w:rPr>
          <w:sz w:val="24"/>
          <w:szCs w:val="24"/>
        </w:rPr>
      </w:pPr>
      <w:r w:rsidRPr="00A41AF2">
        <w:rPr>
          <w:sz w:val="24"/>
          <w:szCs w:val="24"/>
        </w:rPr>
        <w:t xml:space="preserve">Når buprenorphin indtages oralt, gennemgår det første passage-metabolisme med N-dealkylering og glukuronid-konjugering i tyndtarmen og leveren. Dette lægemiddel er derfor ikke egnet til oral administration. Maksimal plasmakoncentration opnås 90 minutter efter sublingual administration, og det maksimale dosis/koncentrationsforhold er lineært, mellem 2 mg and 16 mg. </w:t>
      </w:r>
    </w:p>
    <w:p w14:paraId="5C73C0FD" w14:textId="77777777" w:rsidR="00A41AF2" w:rsidRPr="00A41AF2" w:rsidRDefault="00A41AF2" w:rsidP="00A41AF2">
      <w:pPr>
        <w:tabs>
          <w:tab w:val="left" w:pos="851"/>
        </w:tabs>
        <w:ind w:left="851"/>
        <w:rPr>
          <w:sz w:val="24"/>
          <w:szCs w:val="24"/>
          <w:u w:val="single"/>
        </w:rPr>
      </w:pPr>
    </w:p>
    <w:p w14:paraId="5FBFA384" w14:textId="77777777" w:rsidR="00A41AF2" w:rsidRPr="00A41AF2" w:rsidRDefault="00A41AF2" w:rsidP="00A41AF2">
      <w:pPr>
        <w:tabs>
          <w:tab w:val="left" w:pos="851"/>
        </w:tabs>
        <w:ind w:left="851"/>
        <w:rPr>
          <w:sz w:val="24"/>
          <w:szCs w:val="24"/>
          <w:u w:val="single"/>
        </w:rPr>
      </w:pPr>
      <w:r w:rsidRPr="00A41AF2">
        <w:rPr>
          <w:sz w:val="24"/>
          <w:szCs w:val="24"/>
          <w:u w:val="single"/>
        </w:rPr>
        <w:t>Fordeling</w:t>
      </w:r>
    </w:p>
    <w:p w14:paraId="55F0F796" w14:textId="77777777" w:rsidR="00A41AF2" w:rsidRPr="00A41AF2" w:rsidRDefault="00A41AF2" w:rsidP="00A41AF2">
      <w:pPr>
        <w:tabs>
          <w:tab w:val="left" w:pos="851"/>
        </w:tabs>
        <w:ind w:left="851"/>
        <w:rPr>
          <w:sz w:val="24"/>
          <w:szCs w:val="24"/>
        </w:rPr>
      </w:pPr>
      <w:r w:rsidRPr="00A41AF2">
        <w:rPr>
          <w:sz w:val="24"/>
          <w:szCs w:val="24"/>
        </w:rPr>
        <w:t>Absorptionen følges af en hurtig fordelingsfase og en halveringstid på 2-5 timer.</w:t>
      </w:r>
    </w:p>
    <w:p w14:paraId="18572045" w14:textId="77777777" w:rsidR="00A41AF2" w:rsidRPr="00A41AF2" w:rsidRDefault="00A41AF2" w:rsidP="00A41AF2">
      <w:pPr>
        <w:tabs>
          <w:tab w:val="left" w:pos="851"/>
        </w:tabs>
        <w:ind w:left="851"/>
        <w:rPr>
          <w:sz w:val="24"/>
          <w:szCs w:val="24"/>
          <w:u w:val="single"/>
        </w:rPr>
      </w:pPr>
    </w:p>
    <w:p w14:paraId="617DA452" w14:textId="77777777" w:rsidR="00A41AF2" w:rsidRPr="00A41AF2" w:rsidRDefault="00A41AF2" w:rsidP="00A41AF2">
      <w:pPr>
        <w:tabs>
          <w:tab w:val="left" w:pos="851"/>
        </w:tabs>
        <w:ind w:left="851"/>
        <w:rPr>
          <w:sz w:val="24"/>
          <w:szCs w:val="24"/>
          <w:u w:val="single"/>
        </w:rPr>
      </w:pPr>
      <w:r w:rsidRPr="00A41AF2">
        <w:rPr>
          <w:sz w:val="24"/>
          <w:szCs w:val="24"/>
          <w:u w:val="single"/>
        </w:rPr>
        <w:t>Biotransformation</w:t>
      </w:r>
    </w:p>
    <w:p w14:paraId="2C15D2E7" w14:textId="77777777" w:rsidR="00A41AF2" w:rsidRPr="00A41AF2" w:rsidRDefault="00A41AF2" w:rsidP="00A41AF2">
      <w:pPr>
        <w:tabs>
          <w:tab w:val="left" w:pos="851"/>
        </w:tabs>
        <w:ind w:left="851"/>
        <w:rPr>
          <w:sz w:val="24"/>
          <w:szCs w:val="24"/>
        </w:rPr>
      </w:pPr>
      <w:r w:rsidRPr="00A41AF2">
        <w:rPr>
          <w:sz w:val="24"/>
          <w:szCs w:val="24"/>
        </w:rPr>
        <w:t>Buprenorphin metaboliseres ved 14-N-dealkylering og glukuronid-konjugering af modermolekylet og den dealkylerede metabolit. Kliniske data bekræfter, at CYP3A4 er ansvarlig for N</w:t>
      </w:r>
      <w:r w:rsidRPr="00A41AF2">
        <w:rPr>
          <w:sz w:val="24"/>
          <w:szCs w:val="24"/>
        </w:rPr>
        <w:noBreakHyphen/>
        <w:t xml:space="preserve">dealkyleringen af buprenorphin. N-dealkyl-buprenorphin er en </w:t>
      </w:r>
      <w:r w:rsidRPr="00A41AF2">
        <w:rPr>
          <w:sz w:val="24"/>
          <w:szCs w:val="24"/>
        </w:rPr>
        <w:sym w:font="Symbol" w:char="F06D"/>
      </w:r>
      <w:r w:rsidRPr="00A41AF2">
        <w:rPr>
          <w:sz w:val="24"/>
          <w:szCs w:val="24"/>
        </w:rPr>
        <w:t xml:space="preserve">-opioidagonist med svag intrinsisk aktivitet. Norbuprenorphin bidrager til den samlede farmakologiske effekt; dog er det ukendt i hvilket omfang. </w:t>
      </w:r>
    </w:p>
    <w:p w14:paraId="5C48BE16" w14:textId="77777777" w:rsidR="00A41AF2" w:rsidRPr="00A41AF2" w:rsidRDefault="00A41AF2" w:rsidP="00A41AF2">
      <w:pPr>
        <w:tabs>
          <w:tab w:val="left" w:pos="851"/>
        </w:tabs>
        <w:ind w:left="851"/>
        <w:rPr>
          <w:sz w:val="24"/>
          <w:szCs w:val="24"/>
          <w:u w:val="single"/>
        </w:rPr>
      </w:pPr>
    </w:p>
    <w:p w14:paraId="6DB1277C" w14:textId="77777777" w:rsidR="00A41AF2" w:rsidRPr="00A41AF2" w:rsidRDefault="00A41AF2" w:rsidP="00A41AF2">
      <w:pPr>
        <w:tabs>
          <w:tab w:val="left" w:pos="851"/>
        </w:tabs>
        <w:ind w:left="851"/>
        <w:rPr>
          <w:sz w:val="24"/>
          <w:szCs w:val="24"/>
          <w:u w:val="single"/>
        </w:rPr>
      </w:pPr>
      <w:r w:rsidRPr="00A41AF2">
        <w:rPr>
          <w:sz w:val="24"/>
          <w:szCs w:val="24"/>
          <w:u w:val="single"/>
        </w:rPr>
        <w:t>Elimination</w:t>
      </w:r>
    </w:p>
    <w:p w14:paraId="4044A38D" w14:textId="77777777" w:rsidR="00A41AF2" w:rsidRPr="00A41AF2" w:rsidRDefault="00A41AF2" w:rsidP="00A41AF2">
      <w:pPr>
        <w:tabs>
          <w:tab w:val="left" w:pos="851"/>
        </w:tabs>
        <w:ind w:left="851"/>
        <w:rPr>
          <w:sz w:val="24"/>
          <w:szCs w:val="24"/>
        </w:rPr>
      </w:pPr>
      <w:r w:rsidRPr="00A41AF2">
        <w:rPr>
          <w:sz w:val="24"/>
          <w:szCs w:val="24"/>
        </w:rPr>
        <w:t>Eliminationen af buprenorphin er bi- eller tri-eksponentiel med en lang terminal eliminationsfase på 32 timer. Dette kan dels tilskrives reabsorption af buprenorphin efter intestinal hydrolyse af det konjugerede derivat og dels molekylets højlipofile natur. Buprenorphin elimineres primært gennem fæces via galdeudskillelse af glukoronid-konjugerede metabolitter (70 %). De resterende 30 % elimineres via urinen.</w:t>
      </w:r>
    </w:p>
    <w:p w14:paraId="24433A75" w14:textId="77777777" w:rsidR="00A41AF2" w:rsidRPr="00A41AF2" w:rsidRDefault="00A41AF2" w:rsidP="00A41AF2">
      <w:pPr>
        <w:tabs>
          <w:tab w:val="left" w:pos="851"/>
        </w:tabs>
        <w:ind w:left="851"/>
        <w:rPr>
          <w:sz w:val="24"/>
          <w:szCs w:val="24"/>
          <w:u w:val="single"/>
        </w:rPr>
      </w:pPr>
    </w:p>
    <w:p w14:paraId="42265300" w14:textId="77777777" w:rsidR="00A41AF2" w:rsidRPr="00A41AF2" w:rsidRDefault="00A41AF2" w:rsidP="00A41AF2">
      <w:pPr>
        <w:tabs>
          <w:tab w:val="left" w:pos="851"/>
        </w:tabs>
        <w:ind w:left="851"/>
        <w:rPr>
          <w:sz w:val="24"/>
          <w:szCs w:val="24"/>
          <w:u w:val="single"/>
        </w:rPr>
      </w:pPr>
      <w:r w:rsidRPr="00A41AF2">
        <w:rPr>
          <w:sz w:val="24"/>
          <w:szCs w:val="24"/>
          <w:u w:val="single"/>
        </w:rPr>
        <w:t>Særlige populationer:</w:t>
      </w:r>
    </w:p>
    <w:p w14:paraId="15C692AA" w14:textId="77777777" w:rsidR="00A41AF2" w:rsidRDefault="00A41AF2" w:rsidP="00A41AF2">
      <w:pPr>
        <w:tabs>
          <w:tab w:val="left" w:pos="851"/>
        </w:tabs>
        <w:ind w:left="851"/>
        <w:rPr>
          <w:sz w:val="24"/>
          <w:szCs w:val="24"/>
        </w:rPr>
      </w:pPr>
    </w:p>
    <w:p w14:paraId="144B4199" w14:textId="77777777" w:rsidR="00A41AF2" w:rsidRPr="00A41AF2" w:rsidRDefault="00A41AF2" w:rsidP="00A41AF2">
      <w:pPr>
        <w:tabs>
          <w:tab w:val="left" w:pos="851"/>
        </w:tabs>
        <w:ind w:left="851"/>
        <w:rPr>
          <w:i/>
          <w:sz w:val="24"/>
          <w:szCs w:val="24"/>
        </w:rPr>
      </w:pPr>
      <w:r w:rsidRPr="00A41AF2">
        <w:rPr>
          <w:i/>
          <w:sz w:val="24"/>
          <w:szCs w:val="24"/>
        </w:rPr>
        <w:t>Ældre</w:t>
      </w:r>
    </w:p>
    <w:p w14:paraId="534AFF31" w14:textId="71CB0351" w:rsidR="00A41AF2" w:rsidRPr="00A41AF2" w:rsidRDefault="00A41AF2" w:rsidP="00A41AF2">
      <w:pPr>
        <w:tabs>
          <w:tab w:val="left" w:pos="851"/>
        </w:tabs>
        <w:ind w:left="851"/>
        <w:rPr>
          <w:sz w:val="24"/>
          <w:szCs w:val="24"/>
        </w:rPr>
      </w:pPr>
      <w:r w:rsidRPr="00A41AF2">
        <w:rPr>
          <w:sz w:val="24"/>
          <w:szCs w:val="24"/>
        </w:rPr>
        <w:t xml:space="preserve">Der foreligger ingen farmakokinetiske data for ældre patienter. </w:t>
      </w:r>
    </w:p>
    <w:p w14:paraId="7F2CCC9E" w14:textId="6DA3C65A" w:rsidR="00A41AF2" w:rsidRDefault="00A41AF2">
      <w:pPr>
        <w:rPr>
          <w:sz w:val="24"/>
          <w:szCs w:val="24"/>
        </w:rPr>
      </w:pPr>
      <w:r>
        <w:rPr>
          <w:sz w:val="24"/>
          <w:szCs w:val="24"/>
        </w:rPr>
        <w:br w:type="page"/>
      </w:r>
    </w:p>
    <w:p w14:paraId="3EFD6055" w14:textId="77777777" w:rsidR="00A41AF2" w:rsidRPr="00A41AF2" w:rsidRDefault="00A41AF2" w:rsidP="00A41AF2">
      <w:pPr>
        <w:tabs>
          <w:tab w:val="left" w:pos="851"/>
        </w:tabs>
        <w:ind w:left="851"/>
        <w:rPr>
          <w:sz w:val="24"/>
          <w:szCs w:val="24"/>
        </w:rPr>
      </w:pPr>
    </w:p>
    <w:p w14:paraId="1B643075" w14:textId="77777777" w:rsidR="00A41AF2" w:rsidRPr="00A41AF2" w:rsidRDefault="00A41AF2" w:rsidP="00A41AF2">
      <w:pPr>
        <w:tabs>
          <w:tab w:val="left" w:pos="851"/>
        </w:tabs>
        <w:ind w:left="851"/>
        <w:rPr>
          <w:i/>
          <w:sz w:val="24"/>
          <w:szCs w:val="24"/>
          <w:u w:val="single"/>
        </w:rPr>
      </w:pPr>
      <w:r w:rsidRPr="00A41AF2">
        <w:rPr>
          <w:i/>
          <w:sz w:val="24"/>
          <w:szCs w:val="24"/>
        </w:rPr>
        <w:t>Nedsat nyrefunktion</w:t>
      </w:r>
    </w:p>
    <w:p w14:paraId="74B2D716" w14:textId="12DF4B9B" w:rsidR="00A41AF2" w:rsidRPr="00A41AF2" w:rsidRDefault="00A41AF2" w:rsidP="00A41AF2">
      <w:pPr>
        <w:tabs>
          <w:tab w:val="left" w:pos="851"/>
        </w:tabs>
        <w:ind w:left="851"/>
        <w:rPr>
          <w:sz w:val="24"/>
          <w:szCs w:val="24"/>
        </w:rPr>
      </w:pPr>
      <w:r w:rsidRPr="00A41AF2">
        <w:rPr>
          <w:sz w:val="24"/>
          <w:szCs w:val="24"/>
        </w:rPr>
        <w:t xml:space="preserve">Renal elimination spiller en relativt lille rolle (~ 30 %) i den samlede </w:t>
      </w:r>
      <w:r w:rsidRPr="00A41AF2">
        <w:rPr>
          <w:i/>
          <w:iCs/>
          <w:sz w:val="24"/>
          <w:szCs w:val="24"/>
        </w:rPr>
        <w:t>clearance</w:t>
      </w:r>
      <w:r w:rsidRPr="00A41AF2">
        <w:rPr>
          <w:sz w:val="24"/>
          <w:szCs w:val="24"/>
        </w:rPr>
        <w:t xml:space="preserve"> af buprenorphin. Dosisjustering baseret på nyrefunktion er ikke nødvendig, men forsigtighed anbefales ved dosering til patienter med svært nedsat nyrefunktion.</w:t>
      </w:r>
    </w:p>
    <w:p w14:paraId="0BF2536B" w14:textId="77777777" w:rsidR="00A41AF2" w:rsidRPr="00A41AF2" w:rsidRDefault="00A41AF2" w:rsidP="00A41AF2">
      <w:pPr>
        <w:tabs>
          <w:tab w:val="left" w:pos="851"/>
        </w:tabs>
        <w:ind w:left="851"/>
        <w:rPr>
          <w:sz w:val="24"/>
          <w:szCs w:val="24"/>
        </w:rPr>
      </w:pPr>
    </w:p>
    <w:p w14:paraId="42FD1FD9" w14:textId="77777777" w:rsidR="00A41AF2" w:rsidRPr="00A41AF2" w:rsidRDefault="00A41AF2" w:rsidP="00A41AF2">
      <w:pPr>
        <w:tabs>
          <w:tab w:val="left" w:pos="851"/>
        </w:tabs>
        <w:ind w:left="851"/>
        <w:rPr>
          <w:i/>
          <w:sz w:val="24"/>
          <w:szCs w:val="24"/>
        </w:rPr>
      </w:pPr>
      <w:r w:rsidRPr="00A41AF2">
        <w:rPr>
          <w:i/>
          <w:sz w:val="24"/>
          <w:szCs w:val="24"/>
        </w:rPr>
        <w:t>Nedsat leverfunktion</w:t>
      </w:r>
    </w:p>
    <w:p w14:paraId="6A76DD0D" w14:textId="7BBAA948" w:rsidR="00A41AF2" w:rsidRPr="00A41AF2" w:rsidRDefault="00A41AF2" w:rsidP="00A41AF2">
      <w:pPr>
        <w:tabs>
          <w:tab w:val="left" w:pos="851"/>
        </w:tabs>
        <w:ind w:left="851"/>
        <w:rPr>
          <w:sz w:val="24"/>
          <w:szCs w:val="24"/>
        </w:rPr>
      </w:pPr>
      <w:r w:rsidRPr="00A41AF2">
        <w:rPr>
          <w:sz w:val="24"/>
          <w:szCs w:val="24"/>
        </w:rPr>
        <w:t xml:space="preserve">Hepatisk elimination spiller en relativt stor rolle (~ 70 %) i den samlede </w:t>
      </w:r>
      <w:r w:rsidRPr="00A41AF2">
        <w:rPr>
          <w:i/>
          <w:iCs/>
          <w:sz w:val="24"/>
          <w:szCs w:val="24"/>
        </w:rPr>
        <w:t>clearance</w:t>
      </w:r>
      <w:r w:rsidRPr="00A41AF2">
        <w:rPr>
          <w:sz w:val="24"/>
          <w:szCs w:val="24"/>
        </w:rPr>
        <w:t xml:space="preserve"> af buprenorphin, og virkningen af buprenorphin kan være forlænget hos patienter med nedsat hepatisk </w:t>
      </w:r>
      <w:r w:rsidRPr="00A41AF2">
        <w:rPr>
          <w:i/>
          <w:iCs/>
          <w:sz w:val="24"/>
          <w:szCs w:val="24"/>
        </w:rPr>
        <w:t>clearance</w:t>
      </w:r>
      <w:r w:rsidRPr="00A41AF2">
        <w:rPr>
          <w:sz w:val="24"/>
          <w:szCs w:val="24"/>
        </w:rPr>
        <w:t xml:space="preserve">. Lavere startdoser af buprenorphin og forsigtig dosisjustering kan være nødvendigt hos patienter med mild til moderat leverdysfunktion. Buprenorphin er kontraindiceret hos patienter med svær leverdysfunktion (se pkt. 4.3). </w:t>
      </w:r>
    </w:p>
    <w:p w14:paraId="61FA1847" w14:textId="77777777" w:rsidR="009260DE" w:rsidRPr="00C84483" w:rsidRDefault="009260DE" w:rsidP="009260DE">
      <w:pPr>
        <w:tabs>
          <w:tab w:val="left" w:pos="851"/>
        </w:tabs>
        <w:ind w:left="851"/>
        <w:rPr>
          <w:sz w:val="24"/>
          <w:szCs w:val="24"/>
        </w:rPr>
      </w:pPr>
    </w:p>
    <w:p w14:paraId="528254A7" w14:textId="77777777" w:rsidR="009260DE" w:rsidRPr="00C84483" w:rsidRDefault="009260DE" w:rsidP="009260DE">
      <w:pPr>
        <w:tabs>
          <w:tab w:val="left" w:pos="851"/>
        </w:tabs>
        <w:ind w:left="851" w:hanging="851"/>
        <w:rPr>
          <w:b/>
          <w:sz w:val="24"/>
          <w:szCs w:val="24"/>
        </w:rPr>
      </w:pPr>
      <w:r w:rsidRPr="00C84483">
        <w:rPr>
          <w:b/>
          <w:sz w:val="24"/>
          <w:szCs w:val="24"/>
        </w:rPr>
        <w:t>5.3</w:t>
      </w:r>
      <w:r w:rsidRPr="00C84483">
        <w:rPr>
          <w:b/>
          <w:sz w:val="24"/>
          <w:szCs w:val="24"/>
        </w:rPr>
        <w:tab/>
      </w:r>
      <w:r w:rsidR="00BD7931">
        <w:rPr>
          <w:b/>
          <w:sz w:val="24"/>
          <w:szCs w:val="24"/>
        </w:rPr>
        <w:t>Non-</w:t>
      </w:r>
      <w:r w:rsidRPr="00C84483">
        <w:rPr>
          <w:b/>
          <w:sz w:val="24"/>
          <w:szCs w:val="24"/>
        </w:rPr>
        <w:t>kliniske sikkerhedsdata</w:t>
      </w:r>
    </w:p>
    <w:p w14:paraId="2A526DB9" w14:textId="77777777" w:rsidR="00A41AF2" w:rsidRPr="00A41AF2" w:rsidRDefault="00A41AF2" w:rsidP="00A41AF2">
      <w:pPr>
        <w:tabs>
          <w:tab w:val="left" w:pos="851"/>
        </w:tabs>
        <w:ind w:left="851"/>
        <w:rPr>
          <w:sz w:val="24"/>
          <w:szCs w:val="24"/>
        </w:rPr>
      </w:pPr>
      <w:r w:rsidRPr="00A41AF2">
        <w:rPr>
          <w:sz w:val="24"/>
          <w:szCs w:val="24"/>
        </w:rPr>
        <w:t>Hos rotter fandtes der ingen utilsigtede virkninger på fertiliteten eller den generelle reproduktionsfunktion. Der er dog rapporteret om evidens for føtotoksiske effekter og øget forekomst af fostertab efter implantation i forsøg med rotter og kaniner.</w:t>
      </w:r>
    </w:p>
    <w:p w14:paraId="37482228" w14:textId="77777777" w:rsidR="00A41AF2" w:rsidRPr="00A41AF2" w:rsidRDefault="00A41AF2" w:rsidP="00A41AF2">
      <w:pPr>
        <w:tabs>
          <w:tab w:val="left" w:pos="851"/>
        </w:tabs>
        <w:ind w:left="851"/>
        <w:rPr>
          <w:sz w:val="24"/>
          <w:szCs w:val="24"/>
        </w:rPr>
      </w:pPr>
    </w:p>
    <w:p w14:paraId="65532B1A" w14:textId="77777777" w:rsidR="00A41AF2" w:rsidRPr="00A41AF2" w:rsidRDefault="00A41AF2" w:rsidP="00A41AF2">
      <w:pPr>
        <w:tabs>
          <w:tab w:val="left" w:pos="851"/>
        </w:tabs>
        <w:ind w:left="851"/>
        <w:rPr>
          <w:sz w:val="24"/>
          <w:szCs w:val="24"/>
        </w:rPr>
      </w:pPr>
      <w:r w:rsidRPr="00A41AF2">
        <w:rPr>
          <w:sz w:val="24"/>
          <w:szCs w:val="24"/>
        </w:rPr>
        <w:t>I forsøg med rotter er der påvist nedsat intrauterin væksthastighed, forsinket udvikling af visse neurologiske funktioner samt høj forekomst af peri- og postnatal mortalitet hos afkommet, når moderdyrene var blevet behandlet i drægtigheds-/dieperioden. Der er evidens for, at problemer med fødslen og nedsat mælkeproduktion var medvirkende til disse effekter. Der blev ikke set tegn på embryotoksicitet eller teratogene effekter hos rotter og kaniner.</w:t>
      </w:r>
    </w:p>
    <w:p w14:paraId="42A964BA" w14:textId="77777777" w:rsidR="00A41AF2" w:rsidRPr="00A41AF2" w:rsidRDefault="00A41AF2" w:rsidP="00A41AF2">
      <w:pPr>
        <w:tabs>
          <w:tab w:val="left" w:pos="851"/>
        </w:tabs>
        <w:ind w:left="851"/>
        <w:rPr>
          <w:sz w:val="24"/>
          <w:szCs w:val="24"/>
        </w:rPr>
      </w:pPr>
    </w:p>
    <w:p w14:paraId="778A1D11" w14:textId="77777777" w:rsidR="00A41AF2" w:rsidRPr="00A41AF2" w:rsidRDefault="00A41AF2" w:rsidP="00A41AF2">
      <w:pPr>
        <w:tabs>
          <w:tab w:val="left" w:pos="851"/>
        </w:tabs>
        <w:ind w:left="851"/>
        <w:rPr>
          <w:sz w:val="24"/>
          <w:szCs w:val="24"/>
        </w:rPr>
      </w:pPr>
      <w:r w:rsidRPr="00A41AF2">
        <w:rPr>
          <w:sz w:val="24"/>
          <w:szCs w:val="24"/>
        </w:rPr>
        <w:t xml:space="preserve">I </w:t>
      </w:r>
      <w:r w:rsidRPr="00A41AF2">
        <w:rPr>
          <w:i/>
          <w:iCs/>
          <w:sz w:val="24"/>
          <w:szCs w:val="24"/>
        </w:rPr>
        <w:t xml:space="preserve">in vitro- </w:t>
      </w:r>
      <w:r w:rsidRPr="00A41AF2">
        <w:rPr>
          <w:sz w:val="24"/>
          <w:szCs w:val="24"/>
        </w:rPr>
        <w:t>og</w:t>
      </w:r>
      <w:r w:rsidRPr="00A41AF2">
        <w:rPr>
          <w:i/>
          <w:iCs/>
          <w:sz w:val="24"/>
          <w:szCs w:val="24"/>
        </w:rPr>
        <w:t xml:space="preserve"> in vivo</w:t>
      </w:r>
      <w:r w:rsidRPr="00A41AF2">
        <w:rPr>
          <w:sz w:val="24"/>
          <w:szCs w:val="24"/>
        </w:rPr>
        <w:t>-forsøg, hvor buprenorphins mutagene potentiale blev undersøgt, blev der ikke observeret nogen klinisk relevante effekter.</w:t>
      </w:r>
    </w:p>
    <w:p w14:paraId="088A0BCA" w14:textId="77777777" w:rsidR="00A41AF2" w:rsidRPr="00A41AF2" w:rsidRDefault="00A41AF2" w:rsidP="00A41AF2">
      <w:pPr>
        <w:tabs>
          <w:tab w:val="left" w:pos="851"/>
        </w:tabs>
        <w:ind w:left="851"/>
        <w:rPr>
          <w:sz w:val="24"/>
          <w:szCs w:val="24"/>
        </w:rPr>
      </w:pPr>
    </w:p>
    <w:p w14:paraId="32F30C8A" w14:textId="77777777" w:rsidR="00A41AF2" w:rsidRPr="00A41AF2" w:rsidRDefault="00A41AF2" w:rsidP="00A41AF2">
      <w:pPr>
        <w:tabs>
          <w:tab w:val="left" w:pos="851"/>
        </w:tabs>
        <w:ind w:left="851"/>
        <w:rPr>
          <w:sz w:val="24"/>
          <w:szCs w:val="24"/>
        </w:rPr>
      </w:pPr>
      <w:r w:rsidRPr="00A41AF2">
        <w:rPr>
          <w:sz w:val="24"/>
          <w:szCs w:val="24"/>
        </w:rPr>
        <w:t>I langvarige forsøg med rotter og mus blev der ikke set evidens for et carcinogent potentiale, der var relevant for mennesker.</w:t>
      </w:r>
    </w:p>
    <w:p w14:paraId="3134E0E7" w14:textId="77777777" w:rsidR="00A41AF2" w:rsidRPr="00A41AF2" w:rsidRDefault="00A41AF2" w:rsidP="00A41AF2">
      <w:pPr>
        <w:tabs>
          <w:tab w:val="left" w:pos="851"/>
        </w:tabs>
        <w:ind w:left="851"/>
        <w:rPr>
          <w:sz w:val="24"/>
          <w:szCs w:val="24"/>
        </w:rPr>
      </w:pPr>
    </w:p>
    <w:p w14:paraId="4E8E8BC9" w14:textId="77777777" w:rsidR="009260DE" w:rsidRPr="00C84483" w:rsidRDefault="009260DE" w:rsidP="009260DE">
      <w:pPr>
        <w:tabs>
          <w:tab w:val="left" w:pos="851"/>
        </w:tabs>
        <w:ind w:left="851"/>
        <w:rPr>
          <w:sz w:val="24"/>
          <w:szCs w:val="24"/>
        </w:rPr>
      </w:pPr>
    </w:p>
    <w:p w14:paraId="4D957097" w14:textId="77777777" w:rsidR="009260DE" w:rsidRPr="00C84483" w:rsidRDefault="009260DE" w:rsidP="009260DE">
      <w:pPr>
        <w:tabs>
          <w:tab w:val="left" w:pos="851"/>
        </w:tabs>
        <w:ind w:left="851" w:hanging="851"/>
        <w:rPr>
          <w:b/>
          <w:sz w:val="24"/>
          <w:szCs w:val="24"/>
        </w:rPr>
      </w:pPr>
      <w:r w:rsidRPr="00C84483">
        <w:rPr>
          <w:b/>
          <w:sz w:val="24"/>
          <w:szCs w:val="24"/>
        </w:rPr>
        <w:t>6.</w:t>
      </w:r>
      <w:r w:rsidRPr="00C84483">
        <w:rPr>
          <w:b/>
          <w:sz w:val="24"/>
          <w:szCs w:val="24"/>
        </w:rPr>
        <w:tab/>
        <w:t>FARMACEUTISKE OPLYSNINGER</w:t>
      </w:r>
    </w:p>
    <w:p w14:paraId="790D3123" w14:textId="77777777" w:rsidR="009260DE" w:rsidRPr="00BA09F1" w:rsidRDefault="009260DE" w:rsidP="009260DE">
      <w:pPr>
        <w:tabs>
          <w:tab w:val="left" w:pos="851"/>
        </w:tabs>
        <w:ind w:left="851"/>
        <w:rPr>
          <w:sz w:val="24"/>
          <w:szCs w:val="24"/>
        </w:rPr>
      </w:pPr>
    </w:p>
    <w:p w14:paraId="0A22F538" w14:textId="77777777" w:rsidR="009260DE" w:rsidRPr="00C84483" w:rsidRDefault="009260DE" w:rsidP="009260DE">
      <w:pPr>
        <w:tabs>
          <w:tab w:val="left" w:pos="851"/>
        </w:tabs>
        <w:ind w:left="851" w:hanging="851"/>
        <w:rPr>
          <w:b/>
          <w:sz w:val="24"/>
          <w:szCs w:val="24"/>
        </w:rPr>
      </w:pPr>
      <w:r w:rsidRPr="00C84483">
        <w:rPr>
          <w:b/>
          <w:sz w:val="24"/>
          <w:szCs w:val="24"/>
        </w:rPr>
        <w:t>6.1</w:t>
      </w:r>
      <w:r w:rsidRPr="00C84483">
        <w:rPr>
          <w:b/>
          <w:sz w:val="24"/>
          <w:szCs w:val="24"/>
        </w:rPr>
        <w:tab/>
        <w:t>Hjælpestoffer</w:t>
      </w:r>
    </w:p>
    <w:p w14:paraId="28215526" w14:textId="77777777" w:rsidR="009F7703" w:rsidRPr="009F7703" w:rsidRDefault="009F7703" w:rsidP="009F7703">
      <w:pPr>
        <w:tabs>
          <w:tab w:val="left" w:pos="851"/>
        </w:tabs>
        <w:ind w:left="851"/>
        <w:rPr>
          <w:sz w:val="24"/>
          <w:szCs w:val="24"/>
        </w:rPr>
      </w:pPr>
      <w:r w:rsidRPr="009F7703">
        <w:rPr>
          <w:sz w:val="24"/>
          <w:szCs w:val="24"/>
        </w:rPr>
        <w:t>Lactosemonohydrat</w:t>
      </w:r>
    </w:p>
    <w:p w14:paraId="21CC69F3" w14:textId="77777777" w:rsidR="009F7703" w:rsidRPr="009F7703" w:rsidRDefault="009F7703" w:rsidP="009F7703">
      <w:pPr>
        <w:tabs>
          <w:tab w:val="left" w:pos="851"/>
        </w:tabs>
        <w:ind w:left="851"/>
        <w:rPr>
          <w:sz w:val="24"/>
          <w:szCs w:val="24"/>
        </w:rPr>
      </w:pPr>
      <w:r w:rsidRPr="009F7703">
        <w:rPr>
          <w:sz w:val="24"/>
          <w:szCs w:val="24"/>
        </w:rPr>
        <w:t>Mannitol (E421)</w:t>
      </w:r>
    </w:p>
    <w:p w14:paraId="3A094C45" w14:textId="77777777" w:rsidR="009F7703" w:rsidRPr="009F7703" w:rsidRDefault="009F7703" w:rsidP="009F7703">
      <w:pPr>
        <w:tabs>
          <w:tab w:val="left" w:pos="851"/>
        </w:tabs>
        <w:ind w:left="851"/>
        <w:rPr>
          <w:sz w:val="24"/>
          <w:szCs w:val="24"/>
        </w:rPr>
      </w:pPr>
      <w:r w:rsidRPr="009F7703">
        <w:rPr>
          <w:sz w:val="24"/>
          <w:szCs w:val="24"/>
        </w:rPr>
        <w:t>Majsstivelse</w:t>
      </w:r>
    </w:p>
    <w:p w14:paraId="11BFC75D" w14:textId="77777777" w:rsidR="009F7703" w:rsidRPr="009F7703" w:rsidRDefault="009F7703" w:rsidP="009F7703">
      <w:pPr>
        <w:tabs>
          <w:tab w:val="left" w:pos="851"/>
        </w:tabs>
        <w:ind w:left="851"/>
        <w:rPr>
          <w:sz w:val="24"/>
          <w:szCs w:val="24"/>
        </w:rPr>
      </w:pPr>
      <w:r w:rsidRPr="009F7703">
        <w:rPr>
          <w:sz w:val="24"/>
          <w:szCs w:val="24"/>
        </w:rPr>
        <w:t>Povidon K30 (E1201)</w:t>
      </w:r>
    </w:p>
    <w:p w14:paraId="054FFB87" w14:textId="77777777" w:rsidR="009F7703" w:rsidRPr="009F7703" w:rsidRDefault="009F7703" w:rsidP="009F7703">
      <w:pPr>
        <w:tabs>
          <w:tab w:val="left" w:pos="851"/>
        </w:tabs>
        <w:ind w:left="851"/>
        <w:rPr>
          <w:sz w:val="24"/>
          <w:szCs w:val="24"/>
        </w:rPr>
      </w:pPr>
      <w:r w:rsidRPr="009F7703">
        <w:rPr>
          <w:sz w:val="24"/>
          <w:szCs w:val="24"/>
        </w:rPr>
        <w:t>Citronsyremonohydrat (E330)</w:t>
      </w:r>
    </w:p>
    <w:p w14:paraId="68711B1E" w14:textId="77777777" w:rsidR="009F7703" w:rsidRPr="009F7703" w:rsidRDefault="009F7703" w:rsidP="009F7703">
      <w:pPr>
        <w:tabs>
          <w:tab w:val="left" w:pos="851"/>
        </w:tabs>
        <w:ind w:left="851"/>
        <w:rPr>
          <w:sz w:val="24"/>
          <w:szCs w:val="24"/>
        </w:rPr>
      </w:pPr>
      <w:r w:rsidRPr="009F7703">
        <w:rPr>
          <w:sz w:val="24"/>
          <w:szCs w:val="24"/>
        </w:rPr>
        <w:t>Natriumcitrat (E331(iii))</w:t>
      </w:r>
    </w:p>
    <w:p w14:paraId="562A4D20" w14:textId="77777777" w:rsidR="009F7703" w:rsidRPr="009F7703" w:rsidRDefault="009F7703" w:rsidP="009F7703">
      <w:pPr>
        <w:tabs>
          <w:tab w:val="left" w:pos="851"/>
        </w:tabs>
        <w:ind w:left="851"/>
        <w:rPr>
          <w:sz w:val="24"/>
          <w:szCs w:val="24"/>
        </w:rPr>
      </w:pPr>
      <w:r w:rsidRPr="009F7703">
        <w:rPr>
          <w:sz w:val="24"/>
          <w:szCs w:val="24"/>
        </w:rPr>
        <w:t>Magnesiumstearat (E470b)</w:t>
      </w:r>
    </w:p>
    <w:p w14:paraId="21231284" w14:textId="77777777" w:rsidR="009260DE" w:rsidRPr="00C84483" w:rsidRDefault="009260DE" w:rsidP="009260DE">
      <w:pPr>
        <w:tabs>
          <w:tab w:val="left" w:pos="851"/>
        </w:tabs>
        <w:ind w:left="851"/>
        <w:rPr>
          <w:sz w:val="24"/>
          <w:szCs w:val="24"/>
        </w:rPr>
      </w:pPr>
    </w:p>
    <w:p w14:paraId="598A21E6" w14:textId="77777777" w:rsidR="009260DE" w:rsidRPr="00C84483" w:rsidRDefault="009260DE" w:rsidP="009260DE">
      <w:pPr>
        <w:tabs>
          <w:tab w:val="left" w:pos="851"/>
        </w:tabs>
        <w:ind w:left="851" w:hanging="851"/>
        <w:rPr>
          <w:b/>
          <w:sz w:val="24"/>
          <w:szCs w:val="24"/>
        </w:rPr>
      </w:pPr>
      <w:r w:rsidRPr="00C84483">
        <w:rPr>
          <w:b/>
          <w:sz w:val="24"/>
          <w:szCs w:val="24"/>
        </w:rPr>
        <w:t>6.2</w:t>
      </w:r>
      <w:r w:rsidRPr="00C84483">
        <w:rPr>
          <w:b/>
          <w:sz w:val="24"/>
          <w:szCs w:val="24"/>
        </w:rPr>
        <w:tab/>
        <w:t>Uforligeligheder</w:t>
      </w:r>
    </w:p>
    <w:p w14:paraId="34371D77" w14:textId="77777777" w:rsidR="009F7703" w:rsidRPr="009F7703" w:rsidRDefault="009F7703" w:rsidP="009F7703">
      <w:pPr>
        <w:tabs>
          <w:tab w:val="left" w:pos="851"/>
        </w:tabs>
        <w:ind w:left="851"/>
        <w:rPr>
          <w:sz w:val="24"/>
          <w:szCs w:val="24"/>
        </w:rPr>
      </w:pPr>
      <w:r w:rsidRPr="009F7703">
        <w:rPr>
          <w:sz w:val="24"/>
          <w:szCs w:val="24"/>
        </w:rPr>
        <w:t>Ikke relevant.</w:t>
      </w:r>
    </w:p>
    <w:p w14:paraId="6CCC34B1" w14:textId="77777777" w:rsidR="009260DE" w:rsidRPr="00C84483" w:rsidRDefault="009260DE" w:rsidP="009260DE">
      <w:pPr>
        <w:tabs>
          <w:tab w:val="left" w:pos="851"/>
        </w:tabs>
        <w:ind w:left="851"/>
        <w:rPr>
          <w:sz w:val="24"/>
          <w:szCs w:val="24"/>
        </w:rPr>
      </w:pPr>
    </w:p>
    <w:p w14:paraId="710E53CC" w14:textId="77777777" w:rsidR="009260DE" w:rsidRPr="00C84483" w:rsidRDefault="009260DE" w:rsidP="009260DE">
      <w:pPr>
        <w:tabs>
          <w:tab w:val="left" w:pos="851"/>
        </w:tabs>
        <w:ind w:left="851" w:hanging="851"/>
        <w:rPr>
          <w:b/>
          <w:sz w:val="24"/>
          <w:szCs w:val="24"/>
        </w:rPr>
      </w:pPr>
      <w:r w:rsidRPr="00C84483">
        <w:rPr>
          <w:b/>
          <w:sz w:val="24"/>
          <w:szCs w:val="24"/>
        </w:rPr>
        <w:t>6.3</w:t>
      </w:r>
      <w:r w:rsidRPr="00C84483">
        <w:rPr>
          <w:b/>
          <w:sz w:val="24"/>
          <w:szCs w:val="24"/>
        </w:rPr>
        <w:tab/>
        <w:t>Opbevaringstid</w:t>
      </w:r>
    </w:p>
    <w:p w14:paraId="4DB1AFB8" w14:textId="6AFE3172" w:rsidR="009260DE" w:rsidRPr="0089346F" w:rsidRDefault="009F7703" w:rsidP="0089346F">
      <w:pPr>
        <w:tabs>
          <w:tab w:val="left" w:pos="851"/>
        </w:tabs>
        <w:ind w:left="851"/>
        <w:rPr>
          <w:rFonts w:eastAsia="MS Mincho" w:hAnsi="MS Mincho"/>
          <w:noProof/>
          <w:sz w:val="24"/>
          <w:szCs w:val="24"/>
        </w:rPr>
      </w:pPr>
      <w:r>
        <w:rPr>
          <w:sz w:val="24"/>
          <w:szCs w:val="24"/>
        </w:rPr>
        <w:t>3 år.</w:t>
      </w:r>
    </w:p>
    <w:p w14:paraId="34AF145D" w14:textId="77777777" w:rsidR="009260DE" w:rsidRPr="00C84483" w:rsidRDefault="009260DE" w:rsidP="009260DE">
      <w:pPr>
        <w:tabs>
          <w:tab w:val="left" w:pos="851"/>
        </w:tabs>
        <w:ind w:left="851"/>
        <w:rPr>
          <w:sz w:val="24"/>
          <w:szCs w:val="24"/>
        </w:rPr>
      </w:pPr>
    </w:p>
    <w:p w14:paraId="3BAD0A8D" w14:textId="77777777" w:rsidR="009260DE" w:rsidRPr="00C84483" w:rsidRDefault="009260DE" w:rsidP="009260DE">
      <w:pPr>
        <w:tabs>
          <w:tab w:val="left" w:pos="851"/>
        </w:tabs>
        <w:ind w:left="851" w:hanging="851"/>
        <w:rPr>
          <w:b/>
          <w:sz w:val="24"/>
          <w:szCs w:val="24"/>
        </w:rPr>
      </w:pPr>
      <w:r w:rsidRPr="00C84483">
        <w:rPr>
          <w:b/>
          <w:sz w:val="24"/>
          <w:szCs w:val="24"/>
        </w:rPr>
        <w:t>6.4</w:t>
      </w:r>
      <w:r w:rsidRPr="00C84483">
        <w:rPr>
          <w:b/>
          <w:sz w:val="24"/>
          <w:szCs w:val="24"/>
        </w:rPr>
        <w:tab/>
        <w:t>Særlige opbevaringsforhold</w:t>
      </w:r>
    </w:p>
    <w:p w14:paraId="3BF352AB" w14:textId="77777777" w:rsidR="009F7703" w:rsidRPr="009F7703" w:rsidRDefault="009F7703" w:rsidP="009F7703">
      <w:pPr>
        <w:tabs>
          <w:tab w:val="left" w:pos="851"/>
        </w:tabs>
        <w:ind w:left="851"/>
        <w:rPr>
          <w:sz w:val="24"/>
          <w:szCs w:val="24"/>
        </w:rPr>
      </w:pPr>
      <w:r w:rsidRPr="009F7703">
        <w:rPr>
          <w:sz w:val="24"/>
          <w:szCs w:val="24"/>
        </w:rPr>
        <w:t>Dette lægemiddel kræver ingen særlige forholdsregler vedrørende opbevaringen.</w:t>
      </w:r>
    </w:p>
    <w:p w14:paraId="14DC69FC" w14:textId="77777777" w:rsidR="009260DE" w:rsidRPr="00C84483" w:rsidRDefault="009260DE" w:rsidP="009260DE">
      <w:pPr>
        <w:tabs>
          <w:tab w:val="left" w:pos="851"/>
        </w:tabs>
        <w:ind w:left="851"/>
        <w:rPr>
          <w:sz w:val="24"/>
          <w:szCs w:val="24"/>
        </w:rPr>
      </w:pPr>
    </w:p>
    <w:p w14:paraId="66DAA769" w14:textId="77777777" w:rsidR="009260DE" w:rsidRPr="00C84483" w:rsidRDefault="009260DE" w:rsidP="009260DE">
      <w:pPr>
        <w:tabs>
          <w:tab w:val="left" w:pos="851"/>
        </w:tabs>
        <w:ind w:left="851" w:hanging="851"/>
        <w:rPr>
          <w:b/>
          <w:sz w:val="24"/>
          <w:szCs w:val="24"/>
        </w:rPr>
      </w:pPr>
      <w:r w:rsidRPr="00C84483">
        <w:rPr>
          <w:b/>
          <w:sz w:val="24"/>
          <w:szCs w:val="24"/>
        </w:rPr>
        <w:t>6.5</w:t>
      </w:r>
      <w:r w:rsidRPr="00C84483">
        <w:rPr>
          <w:b/>
          <w:sz w:val="24"/>
          <w:szCs w:val="24"/>
        </w:rPr>
        <w:tab/>
        <w:t>Emballagetype og pakningsstørrelser</w:t>
      </w:r>
    </w:p>
    <w:p w14:paraId="1E29345A" w14:textId="77777777" w:rsidR="009F7703" w:rsidRDefault="009F7703" w:rsidP="009F7703">
      <w:pPr>
        <w:tabs>
          <w:tab w:val="left" w:pos="851"/>
        </w:tabs>
        <w:ind w:left="851"/>
        <w:rPr>
          <w:sz w:val="24"/>
          <w:szCs w:val="24"/>
        </w:rPr>
      </w:pPr>
      <w:r>
        <w:rPr>
          <w:sz w:val="24"/>
          <w:szCs w:val="24"/>
        </w:rPr>
        <w:t>B</w:t>
      </w:r>
      <w:r w:rsidRPr="009F7703">
        <w:rPr>
          <w:sz w:val="24"/>
          <w:szCs w:val="24"/>
        </w:rPr>
        <w:t>listerpakning bestående af aluminium (basisfolie) lamineret med aluminiumsark</w:t>
      </w:r>
      <w:r>
        <w:rPr>
          <w:sz w:val="24"/>
          <w:szCs w:val="24"/>
        </w:rPr>
        <w:t>.</w:t>
      </w:r>
    </w:p>
    <w:p w14:paraId="416854A0" w14:textId="77777777" w:rsidR="009F7703" w:rsidRDefault="009F7703" w:rsidP="009F7703">
      <w:pPr>
        <w:tabs>
          <w:tab w:val="left" w:pos="851"/>
        </w:tabs>
        <w:ind w:left="851"/>
        <w:rPr>
          <w:sz w:val="24"/>
          <w:szCs w:val="24"/>
        </w:rPr>
      </w:pPr>
    </w:p>
    <w:p w14:paraId="251DED0F" w14:textId="0E5C01EC" w:rsidR="009F7703" w:rsidRPr="009F7703" w:rsidRDefault="009F7703" w:rsidP="009F7703">
      <w:pPr>
        <w:tabs>
          <w:tab w:val="left" w:pos="851"/>
        </w:tabs>
        <w:ind w:left="851"/>
        <w:rPr>
          <w:sz w:val="24"/>
          <w:szCs w:val="24"/>
        </w:rPr>
      </w:pPr>
      <w:r>
        <w:rPr>
          <w:sz w:val="24"/>
          <w:szCs w:val="24"/>
        </w:rPr>
        <w:t>Pakningsstørrelser:</w:t>
      </w:r>
      <w:r w:rsidRPr="009F7703">
        <w:rPr>
          <w:sz w:val="24"/>
          <w:szCs w:val="24"/>
        </w:rPr>
        <w:t xml:space="preserve"> 7, 10, 20, 28, 30, 50, 60, 70 </w:t>
      </w:r>
      <w:r>
        <w:rPr>
          <w:sz w:val="24"/>
          <w:szCs w:val="24"/>
        </w:rPr>
        <w:t>og</w:t>
      </w:r>
      <w:r w:rsidRPr="009F7703">
        <w:rPr>
          <w:sz w:val="24"/>
          <w:szCs w:val="24"/>
        </w:rPr>
        <w:t xml:space="preserve"> 100 resoribletter. </w:t>
      </w:r>
    </w:p>
    <w:p w14:paraId="38DC9F6E" w14:textId="77777777" w:rsidR="009F7703" w:rsidRPr="009F7703" w:rsidRDefault="009F7703" w:rsidP="009F7703">
      <w:pPr>
        <w:tabs>
          <w:tab w:val="left" w:pos="851"/>
        </w:tabs>
        <w:ind w:left="851"/>
        <w:rPr>
          <w:sz w:val="24"/>
          <w:szCs w:val="24"/>
        </w:rPr>
      </w:pPr>
      <w:r w:rsidRPr="009F7703">
        <w:rPr>
          <w:sz w:val="24"/>
          <w:szCs w:val="24"/>
        </w:rPr>
        <w:t>Ikke alle pakningsstørrelser er nødvendigvis markedsført.</w:t>
      </w:r>
    </w:p>
    <w:p w14:paraId="7CF25AF6" w14:textId="77777777" w:rsidR="009260DE" w:rsidRPr="00C84483" w:rsidRDefault="009260DE" w:rsidP="009260DE">
      <w:pPr>
        <w:tabs>
          <w:tab w:val="left" w:pos="851"/>
        </w:tabs>
        <w:ind w:left="851"/>
        <w:rPr>
          <w:sz w:val="24"/>
          <w:szCs w:val="24"/>
        </w:rPr>
      </w:pPr>
    </w:p>
    <w:p w14:paraId="7898969C" w14:textId="77777777" w:rsidR="009260DE" w:rsidRPr="00C84483" w:rsidRDefault="009260DE" w:rsidP="009260DE">
      <w:pPr>
        <w:tabs>
          <w:tab w:val="left" w:pos="851"/>
        </w:tabs>
        <w:ind w:left="851" w:hanging="851"/>
        <w:rPr>
          <w:b/>
          <w:sz w:val="24"/>
          <w:szCs w:val="24"/>
        </w:rPr>
      </w:pPr>
      <w:r w:rsidRPr="00C84483">
        <w:rPr>
          <w:b/>
          <w:sz w:val="24"/>
          <w:szCs w:val="24"/>
        </w:rPr>
        <w:t>6.6</w:t>
      </w:r>
      <w:r w:rsidRPr="00C84483">
        <w:rPr>
          <w:b/>
          <w:sz w:val="24"/>
          <w:szCs w:val="24"/>
        </w:rPr>
        <w:tab/>
        <w:t xml:space="preserve">Regler for </w:t>
      </w:r>
      <w:r w:rsidR="00BD7931">
        <w:rPr>
          <w:b/>
          <w:sz w:val="24"/>
          <w:szCs w:val="24"/>
        </w:rPr>
        <w:t>bortskaffelse</w:t>
      </w:r>
      <w:r w:rsidRPr="00C84483">
        <w:rPr>
          <w:b/>
          <w:sz w:val="24"/>
          <w:szCs w:val="24"/>
        </w:rPr>
        <w:t xml:space="preserve"> og anden håndtering</w:t>
      </w:r>
    </w:p>
    <w:p w14:paraId="10D6D9A2" w14:textId="1E6A2060" w:rsidR="009260DE" w:rsidRPr="00C84483" w:rsidRDefault="00504AE9" w:rsidP="009260DE">
      <w:pPr>
        <w:tabs>
          <w:tab w:val="left" w:pos="851"/>
        </w:tabs>
        <w:ind w:left="851"/>
        <w:rPr>
          <w:sz w:val="24"/>
          <w:szCs w:val="24"/>
        </w:rPr>
      </w:pPr>
      <w:r>
        <w:rPr>
          <w:sz w:val="24"/>
          <w:szCs w:val="24"/>
        </w:rPr>
        <w:t>Ikke relevant.</w:t>
      </w:r>
    </w:p>
    <w:p w14:paraId="1D67D22D" w14:textId="77777777" w:rsidR="009260DE" w:rsidRPr="00C84483" w:rsidRDefault="009260DE" w:rsidP="000730CA">
      <w:pPr>
        <w:tabs>
          <w:tab w:val="left" w:pos="851"/>
        </w:tabs>
        <w:ind w:left="851"/>
        <w:rPr>
          <w:sz w:val="24"/>
          <w:szCs w:val="24"/>
        </w:rPr>
      </w:pPr>
    </w:p>
    <w:p w14:paraId="32F6D646" w14:textId="77777777" w:rsidR="009260DE" w:rsidRPr="00C84483" w:rsidRDefault="009260DE" w:rsidP="009260DE">
      <w:pPr>
        <w:tabs>
          <w:tab w:val="left" w:pos="851"/>
        </w:tabs>
        <w:ind w:left="851" w:hanging="851"/>
        <w:rPr>
          <w:b/>
          <w:sz w:val="24"/>
          <w:szCs w:val="24"/>
        </w:rPr>
      </w:pPr>
      <w:r w:rsidRPr="00C84483">
        <w:rPr>
          <w:b/>
          <w:sz w:val="24"/>
          <w:szCs w:val="24"/>
        </w:rPr>
        <w:t>7.</w:t>
      </w:r>
      <w:r w:rsidRPr="00C84483">
        <w:rPr>
          <w:b/>
          <w:sz w:val="24"/>
          <w:szCs w:val="24"/>
        </w:rPr>
        <w:tab/>
        <w:t>INDEHAVER AF MARKEDSFØRINGSTILLADELSEN</w:t>
      </w:r>
    </w:p>
    <w:p w14:paraId="3DC3F99C" w14:textId="6CFBF72D" w:rsidR="00504AE9" w:rsidRPr="00504AE9" w:rsidRDefault="00504AE9" w:rsidP="00504AE9">
      <w:pPr>
        <w:tabs>
          <w:tab w:val="left" w:pos="851"/>
        </w:tabs>
        <w:ind w:left="851"/>
        <w:rPr>
          <w:sz w:val="24"/>
          <w:szCs w:val="24"/>
        </w:rPr>
      </w:pPr>
      <w:r w:rsidRPr="00504AE9">
        <w:rPr>
          <w:sz w:val="24"/>
          <w:szCs w:val="24"/>
        </w:rPr>
        <w:t>G.L. Pharma GmbH</w:t>
      </w:r>
    </w:p>
    <w:p w14:paraId="224B9836" w14:textId="3CE6283F" w:rsidR="00504AE9" w:rsidRPr="00504AE9" w:rsidRDefault="00504AE9" w:rsidP="00504AE9">
      <w:pPr>
        <w:tabs>
          <w:tab w:val="left" w:pos="851"/>
        </w:tabs>
        <w:ind w:left="851"/>
        <w:rPr>
          <w:sz w:val="24"/>
          <w:szCs w:val="24"/>
        </w:rPr>
      </w:pPr>
      <w:r w:rsidRPr="00504AE9">
        <w:rPr>
          <w:sz w:val="24"/>
          <w:szCs w:val="24"/>
        </w:rPr>
        <w:t>Schlossplatz 1</w:t>
      </w:r>
    </w:p>
    <w:p w14:paraId="491B0E7B" w14:textId="560D94A5" w:rsidR="00504AE9" w:rsidRPr="00504AE9" w:rsidRDefault="00504AE9" w:rsidP="00504AE9">
      <w:pPr>
        <w:tabs>
          <w:tab w:val="left" w:pos="851"/>
        </w:tabs>
        <w:ind w:left="851"/>
        <w:rPr>
          <w:sz w:val="24"/>
          <w:szCs w:val="24"/>
        </w:rPr>
      </w:pPr>
      <w:r w:rsidRPr="00504AE9">
        <w:rPr>
          <w:sz w:val="24"/>
          <w:szCs w:val="24"/>
        </w:rPr>
        <w:t>8502 Lannach</w:t>
      </w:r>
    </w:p>
    <w:p w14:paraId="2E076DBC" w14:textId="77777777" w:rsidR="00504AE9" w:rsidRPr="00504AE9" w:rsidRDefault="00504AE9" w:rsidP="00504AE9">
      <w:pPr>
        <w:tabs>
          <w:tab w:val="left" w:pos="851"/>
        </w:tabs>
        <w:ind w:left="851"/>
        <w:rPr>
          <w:sz w:val="24"/>
          <w:szCs w:val="24"/>
        </w:rPr>
      </w:pPr>
      <w:r w:rsidRPr="00504AE9">
        <w:rPr>
          <w:sz w:val="24"/>
          <w:szCs w:val="24"/>
        </w:rPr>
        <w:t>Østrig</w:t>
      </w:r>
    </w:p>
    <w:p w14:paraId="6E099219" w14:textId="77777777" w:rsidR="00504AE9" w:rsidRPr="00504AE9" w:rsidRDefault="00504AE9" w:rsidP="00504AE9">
      <w:pPr>
        <w:tabs>
          <w:tab w:val="left" w:pos="851"/>
        </w:tabs>
        <w:ind w:left="851"/>
        <w:rPr>
          <w:sz w:val="24"/>
          <w:szCs w:val="24"/>
        </w:rPr>
      </w:pPr>
    </w:p>
    <w:p w14:paraId="0036A9E5" w14:textId="77777777" w:rsidR="00504AE9" w:rsidRPr="00504AE9" w:rsidRDefault="00504AE9" w:rsidP="00504AE9">
      <w:pPr>
        <w:tabs>
          <w:tab w:val="left" w:pos="851"/>
        </w:tabs>
        <w:ind w:left="851"/>
        <w:rPr>
          <w:b/>
          <w:bCs/>
          <w:sz w:val="24"/>
          <w:szCs w:val="24"/>
        </w:rPr>
      </w:pPr>
      <w:r w:rsidRPr="00504AE9">
        <w:rPr>
          <w:b/>
          <w:bCs/>
          <w:sz w:val="24"/>
          <w:szCs w:val="24"/>
        </w:rPr>
        <w:t>Repræsentant</w:t>
      </w:r>
    </w:p>
    <w:p w14:paraId="4C205D61" w14:textId="77777777" w:rsidR="00504AE9" w:rsidRPr="00504AE9" w:rsidRDefault="00504AE9" w:rsidP="00504AE9">
      <w:pPr>
        <w:tabs>
          <w:tab w:val="left" w:pos="851"/>
        </w:tabs>
        <w:ind w:left="851"/>
        <w:rPr>
          <w:sz w:val="24"/>
          <w:szCs w:val="24"/>
        </w:rPr>
      </w:pPr>
      <w:r w:rsidRPr="00504AE9">
        <w:rPr>
          <w:sz w:val="24"/>
          <w:szCs w:val="24"/>
        </w:rPr>
        <w:t>G.L. Pharma Nordic Aktiebolag</w:t>
      </w:r>
    </w:p>
    <w:p w14:paraId="10AB2C02" w14:textId="77777777" w:rsidR="00504AE9" w:rsidRPr="00504AE9" w:rsidRDefault="00504AE9" w:rsidP="00504AE9">
      <w:pPr>
        <w:tabs>
          <w:tab w:val="left" w:pos="851"/>
        </w:tabs>
        <w:ind w:left="851"/>
        <w:rPr>
          <w:sz w:val="24"/>
          <w:szCs w:val="24"/>
        </w:rPr>
      </w:pPr>
      <w:r w:rsidRPr="00504AE9">
        <w:rPr>
          <w:sz w:val="24"/>
          <w:szCs w:val="24"/>
        </w:rPr>
        <w:t>Övägen 1</w:t>
      </w:r>
    </w:p>
    <w:p w14:paraId="11C3FB75" w14:textId="77777777" w:rsidR="00504AE9" w:rsidRPr="00504AE9" w:rsidRDefault="00504AE9" w:rsidP="00504AE9">
      <w:pPr>
        <w:tabs>
          <w:tab w:val="left" w:pos="851"/>
        </w:tabs>
        <w:ind w:left="851"/>
        <w:rPr>
          <w:sz w:val="24"/>
          <w:szCs w:val="24"/>
        </w:rPr>
      </w:pPr>
      <w:r w:rsidRPr="00504AE9">
        <w:rPr>
          <w:sz w:val="24"/>
          <w:szCs w:val="24"/>
        </w:rPr>
        <w:t>21647 Limhamn</w:t>
      </w:r>
    </w:p>
    <w:p w14:paraId="269269DC" w14:textId="77777777" w:rsidR="00504AE9" w:rsidRPr="00504AE9" w:rsidRDefault="00504AE9" w:rsidP="00504AE9">
      <w:pPr>
        <w:tabs>
          <w:tab w:val="left" w:pos="851"/>
        </w:tabs>
        <w:ind w:left="851"/>
        <w:rPr>
          <w:sz w:val="24"/>
          <w:szCs w:val="24"/>
        </w:rPr>
      </w:pPr>
      <w:r w:rsidRPr="00504AE9">
        <w:rPr>
          <w:sz w:val="24"/>
          <w:szCs w:val="24"/>
        </w:rPr>
        <w:t>Sverige</w:t>
      </w:r>
    </w:p>
    <w:p w14:paraId="4F230D51" w14:textId="77777777" w:rsidR="00641C65" w:rsidRPr="00641C65" w:rsidRDefault="00641C65" w:rsidP="009260DE">
      <w:pPr>
        <w:tabs>
          <w:tab w:val="left" w:pos="851"/>
        </w:tabs>
        <w:ind w:left="851"/>
        <w:rPr>
          <w:sz w:val="24"/>
          <w:szCs w:val="24"/>
        </w:rPr>
      </w:pPr>
    </w:p>
    <w:p w14:paraId="0EC2C661" w14:textId="77777777" w:rsidR="009260DE" w:rsidRPr="00C84483" w:rsidRDefault="009260DE" w:rsidP="009260DE">
      <w:pPr>
        <w:tabs>
          <w:tab w:val="left" w:pos="851"/>
        </w:tabs>
        <w:ind w:left="851" w:hanging="851"/>
        <w:rPr>
          <w:b/>
          <w:sz w:val="24"/>
          <w:szCs w:val="24"/>
        </w:rPr>
      </w:pPr>
      <w:r w:rsidRPr="00C84483">
        <w:rPr>
          <w:b/>
          <w:sz w:val="24"/>
          <w:szCs w:val="24"/>
        </w:rPr>
        <w:t>8.</w:t>
      </w:r>
      <w:r w:rsidRPr="00C84483">
        <w:rPr>
          <w:b/>
          <w:sz w:val="24"/>
          <w:szCs w:val="24"/>
        </w:rPr>
        <w:tab/>
        <w:t>MARKEDSFØRINGSTILLADELSESNUMMER (</w:t>
      </w:r>
      <w:r w:rsidR="00BF6243">
        <w:rPr>
          <w:b/>
          <w:sz w:val="24"/>
          <w:szCs w:val="24"/>
        </w:rPr>
        <w:t>-</w:t>
      </w:r>
      <w:r w:rsidRPr="00C84483">
        <w:rPr>
          <w:b/>
          <w:sz w:val="24"/>
          <w:szCs w:val="24"/>
        </w:rPr>
        <w:t>NUMRE)</w:t>
      </w:r>
    </w:p>
    <w:p w14:paraId="61412491" w14:textId="633F389A" w:rsidR="009260DE" w:rsidRDefault="00504AE9" w:rsidP="00504AE9">
      <w:pPr>
        <w:tabs>
          <w:tab w:val="left" w:pos="851"/>
          <w:tab w:val="left" w:pos="1701"/>
        </w:tabs>
        <w:ind w:left="851"/>
        <w:rPr>
          <w:sz w:val="24"/>
          <w:szCs w:val="24"/>
        </w:rPr>
      </w:pPr>
      <w:r>
        <w:rPr>
          <w:sz w:val="24"/>
          <w:szCs w:val="24"/>
        </w:rPr>
        <w:t>0,2 mg:</w:t>
      </w:r>
      <w:r>
        <w:rPr>
          <w:sz w:val="24"/>
          <w:szCs w:val="24"/>
        </w:rPr>
        <w:tab/>
        <w:t>70224</w:t>
      </w:r>
    </w:p>
    <w:p w14:paraId="50F060EC" w14:textId="39852808" w:rsidR="00504AE9" w:rsidRPr="00C84483" w:rsidRDefault="00504AE9" w:rsidP="00504AE9">
      <w:pPr>
        <w:tabs>
          <w:tab w:val="left" w:pos="851"/>
          <w:tab w:val="left" w:pos="1701"/>
        </w:tabs>
        <w:ind w:left="851"/>
        <w:rPr>
          <w:sz w:val="24"/>
          <w:szCs w:val="24"/>
        </w:rPr>
      </w:pPr>
      <w:r>
        <w:rPr>
          <w:sz w:val="24"/>
          <w:szCs w:val="24"/>
        </w:rPr>
        <w:t>0,4 mg:</w:t>
      </w:r>
      <w:r>
        <w:rPr>
          <w:sz w:val="24"/>
          <w:szCs w:val="24"/>
        </w:rPr>
        <w:tab/>
        <w:t>70225</w:t>
      </w:r>
    </w:p>
    <w:p w14:paraId="1B24CAC2" w14:textId="77777777" w:rsidR="009260DE" w:rsidRPr="00C84483" w:rsidRDefault="009260DE" w:rsidP="009260DE">
      <w:pPr>
        <w:tabs>
          <w:tab w:val="left" w:pos="851"/>
        </w:tabs>
        <w:ind w:left="851"/>
        <w:jc w:val="both"/>
        <w:rPr>
          <w:sz w:val="24"/>
          <w:szCs w:val="24"/>
        </w:rPr>
      </w:pPr>
    </w:p>
    <w:p w14:paraId="6D834685" w14:textId="77777777" w:rsidR="009260DE" w:rsidRPr="00C84483" w:rsidRDefault="009260DE" w:rsidP="009260DE">
      <w:pPr>
        <w:tabs>
          <w:tab w:val="left" w:pos="851"/>
        </w:tabs>
        <w:ind w:left="851" w:hanging="851"/>
        <w:rPr>
          <w:b/>
          <w:sz w:val="24"/>
          <w:szCs w:val="24"/>
        </w:rPr>
      </w:pPr>
      <w:r w:rsidRPr="00C84483">
        <w:rPr>
          <w:b/>
          <w:sz w:val="24"/>
          <w:szCs w:val="24"/>
        </w:rPr>
        <w:t>9.</w:t>
      </w:r>
      <w:r w:rsidRPr="00C84483">
        <w:rPr>
          <w:b/>
          <w:sz w:val="24"/>
          <w:szCs w:val="24"/>
        </w:rPr>
        <w:tab/>
        <w:t>DATO FOR FØRSTE MARKEDSFØRINGSTILLADELSE</w:t>
      </w:r>
    </w:p>
    <w:p w14:paraId="6035588C" w14:textId="40CBE81C" w:rsidR="009260DE" w:rsidRPr="00C84483" w:rsidRDefault="005D3095" w:rsidP="009260DE">
      <w:pPr>
        <w:tabs>
          <w:tab w:val="left" w:pos="851"/>
        </w:tabs>
        <w:ind w:left="851"/>
        <w:rPr>
          <w:sz w:val="24"/>
          <w:szCs w:val="24"/>
        </w:rPr>
      </w:pPr>
      <w:r>
        <w:rPr>
          <w:sz w:val="24"/>
          <w:szCs w:val="24"/>
        </w:rPr>
        <w:t>24. april 2025</w:t>
      </w:r>
    </w:p>
    <w:p w14:paraId="7992D2FD" w14:textId="77777777" w:rsidR="009260DE" w:rsidRPr="00C84483" w:rsidRDefault="009260DE" w:rsidP="009260DE">
      <w:pPr>
        <w:tabs>
          <w:tab w:val="left" w:pos="851"/>
        </w:tabs>
        <w:ind w:left="851"/>
        <w:rPr>
          <w:sz w:val="24"/>
          <w:szCs w:val="24"/>
        </w:rPr>
      </w:pPr>
    </w:p>
    <w:p w14:paraId="10B535D7" w14:textId="77777777" w:rsidR="009260DE" w:rsidRPr="00C84483" w:rsidRDefault="009260DE" w:rsidP="009260DE">
      <w:pPr>
        <w:tabs>
          <w:tab w:val="left" w:pos="851"/>
        </w:tabs>
        <w:ind w:left="851" w:hanging="851"/>
        <w:rPr>
          <w:b/>
          <w:sz w:val="24"/>
          <w:szCs w:val="24"/>
        </w:rPr>
      </w:pPr>
      <w:r w:rsidRPr="00C84483">
        <w:rPr>
          <w:b/>
          <w:sz w:val="24"/>
          <w:szCs w:val="24"/>
        </w:rPr>
        <w:t>10.</w:t>
      </w:r>
      <w:r w:rsidRPr="00C84483">
        <w:rPr>
          <w:b/>
          <w:sz w:val="24"/>
          <w:szCs w:val="24"/>
        </w:rPr>
        <w:tab/>
        <w:t>DATO FOR ÆNDRING AF TEKSTEN</w:t>
      </w:r>
    </w:p>
    <w:p w14:paraId="12DF2B63" w14:textId="595F28BF" w:rsidR="009260DE" w:rsidRPr="00C84483" w:rsidRDefault="00504AE9" w:rsidP="009260DE">
      <w:pPr>
        <w:tabs>
          <w:tab w:val="left" w:pos="851"/>
        </w:tabs>
        <w:ind w:left="851"/>
        <w:rPr>
          <w:sz w:val="24"/>
          <w:szCs w:val="24"/>
        </w:rPr>
      </w:pPr>
      <w:r>
        <w:rPr>
          <w:sz w:val="24"/>
          <w:szCs w:val="24"/>
        </w:rPr>
        <w:t>-</w:t>
      </w:r>
      <w:bookmarkStart w:id="4" w:name="_GoBack"/>
      <w:bookmarkEnd w:id="4"/>
    </w:p>
    <w:sectPr w:rsidR="009260DE" w:rsidRPr="00C84483" w:rsidSect="000259B9">
      <w:footerReference w:type="default" r:id="rId8"/>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80FE52" w14:textId="77777777" w:rsidR="002E29E0" w:rsidRDefault="002E29E0">
      <w:r>
        <w:separator/>
      </w:r>
    </w:p>
  </w:endnote>
  <w:endnote w:type="continuationSeparator" w:id="0">
    <w:p w14:paraId="2715E767" w14:textId="77777777" w:rsidR="002E29E0" w:rsidRDefault="002E29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4381D" w14:textId="77777777" w:rsidR="000259B9" w:rsidRDefault="000259B9">
    <w:pPr>
      <w:pStyle w:val="Sidefod"/>
      <w:pBdr>
        <w:bottom w:val="single" w:sz="6" w:space="1" w:color="auto"/>
      </w:pBdr>
    </w:pPr>
  </w:p>
  <w:p w14:paraId="29698581" w14:textId="77777777" w:rsidR="000259B9" w:rsidRDefault="000259B9" w:rsidP="00C42586">
    <w:pPr>
      <w:pStyle w:val="Sidefod"/>
      <w:tabs>
        <w:tab w:val="clear" w:pos="4819"/>
        <w:tab w:val="left" w:pos="8505"/>
      </w:tabs>
      <w:rPr>
        <w:i/>
        <w:sz w:val="18"/>
        <w:szCs w:val="18"/>
      </w:rPr>
    </w:pPr>
  </w:p>
  <w:p w14:paraId="50337EF4" w14:textId="11BBA5E9"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B56C47">
      <w:rPr>
        <w:i/>
        <w:noProof/>
        <w:sz w:val="18"/>
        <w:szCs w:val="18"/>
      </w:rPr>
      <w:t>Buprenorphine G.L. Pharma, sublinguale resoribletter 0,2 mg og 0,4 mg</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C072D9" w14:textId="77777777" w:rsidR="002E29E0" w:rsidRDefault="002E29E0">
      <w:r>
        <w:separator/>
      </w:r>
    </w:p>
  </w:footnote>
  <w:footnote w:type="continuationSeparator" w:id="0">
    <w:p w14:paraId="76905E54" w14:textId="77777777" w:rsidR="002E29E0" w:rsidRDefault="002E29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1B8B5310"/>
    <w:multiLevelType w:val="hybridMultilevel"/>
    <w:tmpl w:val="BD6425B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 w15:restartNumberingAfterBreak="0">
    <w:nsid w:val="314676D2"/>
    <w:multiLevelType w:val="hybridMultilevel"/>
    <w:tmpl w:val="6BF87EF6"/>
    <w:lvl w:ilvl="0" w:tplc="FFFFFFFF">
      <w:start w:val="1"/>
      <w:numFmt w:val="bullet"/>
      <w:lvlText w:val="-"/>
      <w:lvlJc w:val="left"/>
      <w:pPr>
        <w:ind w:left="360" w:hanging="360"/>
      </w:pPr>
    </w:lvl>
    <w:lvl w:ilvl="1" w:tplc="041D0003">
      <w:start w:val="1"/>
      <w:numFmt w:val="bullet"/>
      <w:lvlText w:val="o"/>
      <w:lvlJc w:val="left"/>
      <w:pPr>
        <w:ind w:left="1080" w:hanging="360"/>
      </w:pPr>
      <w:rPr>
        <w:rFonts w:ascii="Courier New" w:hAnsi="Courier New" w:cs="Courier New" w:hint="default"/>
      </w:rPr>
    </w:lvl>
    <w:lvl w:ilvl="2" w:tplc="041D0005">
      <w:start w:val="1"/>
      <w:numFmt w:val="bullet"/>
      <w:lvlText w:val=""/>
      <w:lvlJc w:val="left"/>
      <w:pPr>
        <w:ind w:left="1800" w:hanging="360"/>
      </w:pPr>
      <w:rPr>
        <w:rFonts w:ascii="Wingdings" w:hAnsi="Wingdings" w:hint="default"/>
      </w:rPr>
    </w:lvl>
    <w:lvl w:ilvl="3" w:tplc="041D0001">
      <w:start w:val="1"/>
      <w:numFmt w:val="bullet"/>
      <w:lvlText w:val=""/>
      <w:lvlJc w:val="left"/>
      <w:pPr>
        <w:ind w:left="2520" w:hanging="360"/>
      </w:pPr>
      <w:rPr>
        <w:rFonts w:ascii="Symbol" w:hAnsi="Symbol" w:hint="default"/>
      </w:rPr>
    </w:lvl>
    <w:lvl w:ilvl="4" w:tplc="041D0003">
      <w:start w:val="1"/>
      <w:numFmt w:val="bullet"/>
      <w:lvlText w:val="o"/>
      <w:lvlJc w:val="left"/>
      <w:pPr>
        <w:ind w:left="3240" w:hanging="360"/>
      </w:pPr>
      <w:rPr>
        <w:rFonts w:ascii="Courier New" w:hAnsi="Courier New" w:cs="Courier New" w:hint="default"/>
      </w:rPr>
    </w:lvl>
    <w:lvl w:ilvl="5" w:tplc="041D0005">
      <w:start w:val="1"/>
      <w:numFmt w:val="bullet"/>
      <w:lvlText w:val=""/>
      <w:lvlJc w:val="left"/>
      <w:pPr>
        <w:ind w:left="3960" w:hanging="360"/>
      </w:pPr>
      <w:rPr>
        <w:rFonts w:ascii="Wingdings" w:hAnsi="Wingdings" w:hint="default"/>
      </w:rPr>
    </w:lvl>
    <w:lvl w:ilvl="6" w:tplc="041D0001">
      <w:start w:val="1"/>
      <w:numFmt w:val="bullet"/>
      <w:lvlText w:val=""/>
      <w:lvlJc w:val="left"/>
      <w:pPr>
        <w:ind w:left="4680" w:hanging="360"/>
      </w:pPr>
      <w:rPr>
        <w:rFonts w:ascii="Symbol" w:hAnsi="Symbol" w:hint="default"/>
      </w:rPr>
    </w:lvl>
    <w:lvl w:ilvl="7" w:tplc="041D0003">
      <w:start w:val="1"/>
      <w:numFmt w:val="bullet"/>
      <w:lvlText w:val="o"/>
      <w:lvlJc w:val="left"/>
      <w:pPr>
        <w:ind w:left="5400" w:hanging="360"/>
      </w:pPr>
      <w:rPr>
        <w:rFonts w:ascii="Courier New" w:hAnsi="Courier New" w:cs="Courier New" w:hint="default"/>
      </w:rPr>
    </w:lvl>
    <w:lvl w:ilvl="8" w:tplc="041D0005">
      <w:start w:val="1"/>
      <w:numFmt w:val="bullet"/>
      <w:lvlText w:val=""/>
      <w:lvlJc w:val="left"/>
      <w:pPr>
        <w:ind w:left="6120" w:hanging="360"/>
      </w:pPr>
      <w:rPr>
        <w:rFonts w:ascii="Wingdings" w:hAnsi="Wingdings" w:hint="default"/>
      </w:rPr>
    </w:lvl>
  </w:abstractNum>
  <w:abstractNum w:abstractNumId="3"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5"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6"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15:restartNumberingAfterBreak="0">
    <w:nsid w:val="5B5D389C"/>
    <w:multiLevelType w:val="hybridMultilevel"/>
    <w:tmpl w:val="F5D6A588"/>
    <w:lvl w:ilvl="0" w:tplc="0AD4AB62">
      <w:numFmt w:val="bullet"/>
      <w:lvlText w:val="-"/>
      <w:lvlJc w:val="left"/>
      <w:pPr>
        <w:ind w:left="360" w:hanging="360"/>
      </w:pPr>
      <w:rPr>
        <w:rFonts w:ascii="Times New Roman" w:eastAsia="Times New Roman" w:hAnsi="Times New Roman" w:cs="Times New Roman" w:hint="default"/>
        <w:b w:val="0"/>
        <w:bCs w:val="0"/>
        <w:i w:val="0"/>
        <w:iCs w:val="0"/>
        <w:spacing w:val="0"/>
        <w:w w:val="99"/>
        <w:sz w:val="22"/>
        <w:szCs w:val="22"/>
        <w:lang w:val="en-US" w:eastAsia="en-US" w:bidi="ar-SA"/>
      </w:rPr>
    </w:lvl>
    <w:lvl w:ilvl="1" w:tplc="041D0003">
      <w:start w:val="1"/>
      <w:numFmt w:val="bullet"/>
      <w:lvlText w:val="o"/>
      <w:lvlJc w:val="left"/>
      <w:pPr>
        <w:ind w:left="1080" w:hanging="360"/>
      </w:pPr>
      <w:rPr>
        <w:rFonts w:ascii="Courier New" w:hAnsi="Courier New" w:cs="Courier New" w:hint="default"/>
      </w:rPr>
    </w:lvl>
    <w:lvl w:ilvl="2" w:tplc="041D0005">
      <w:start w:val="1"/>
      <w:numFmt w:val="bullet"/>
      <w:lvlText w:val=""/>
      <w:lvlJc w:val="left"/>
      <w:pPr>
        <w:ind w:left="1800" w:hanging="360"/>
      </w:pPr>
      <w:rPr>
        <w:rFonts w:ascii="Wingdings" w:hAnsi="Wingdings" w:hint="default"/>
      </w:rPr>
    </w:lvl>
    <w:lvl w:ilvl="3" w:tplc="041D0001">
      <w:start w:val="1"/>
      <w:numFmt w:val="bullet"/>
      <w:lvlText w:val=""/>
      <w:lvlJc w:val="left"/>
      <w:pPr>
        <w:ind w:left="2520" w:hanging="360"/>
      </w:pPr>
      <w:rPr>
        <w:rFonts w:ascii="Symbol" w:hAnsi="Symbol" w:hint="default"/>
      </w:rPr>
    </w:lvl>
    <w:lvl w:ilvl="4" w:tplc="041D0003">
      <w:start w:val="1"/>
      <w:numFmt w:val="bullet"/>
      <w:lvlText w:val="o"/>
      <w:lvlJc w:val="left"/>
      <w:pPr>
        <w:ind w:left="3240" w:hanging="360"/>
      </w:pPr>
      <w:rPr>
        <w:rFonts w:ascii="Courier New" w:hAnsi="Courier New" w:cs="Courier New" w:hint="default"/>
      </w:rPr>
    </w:lvl>
    <w:lvl w:ilvl="5" w:tplc="041D0005">
      <w:start w:val="1"/>
      <w:numFmt w:val="bullet"/>
      <w:lvlText w:val=""/>
      <w:lvlJc w:val="left"/>
      <w:pPr>
        <w:ind w:left="3960" w:hanging="360"/>
      </w:pPr>
      <w:rPr>
        <w:rFonts w:ascii="Wingdings" w:hAnsi="Wingdings" w:hint="default"/>
      </w:rPr>
    </w:lvl>
    <w:lvl w:ilvl="6" w:tplc="041D0001">
      <w:start w:val="1"/>
      <w:numFmt w:val="bullet"/>
      <w:lvlText w:val=""/>
      <w:lvlJc w:val="left"/>
      <w:pPr>
        <w:ind w:left="4680" w:hanging="360"/>
      </w:pPr>
      <w:rPr>
        <w:rFonts w:ascii="Symbol" w:hAnsi="Symbol" w:hint="default"/>
      </w:rPr>
    </w:lvl>
    <w:lvl w:ilvl="7" w:tplc="041D0003">
      <w:start w:val="1"/>
      <w:numFmt w:val="bullet"/>
      <w:lvlText w:val="o"/>
      <w:lvlJc w:val="left"/>
      <w:pPr>
        <w:ind w:left="5400" w:hanging="360"/>
      </w:pPr>
      <w:rPr>
        <w:rFonts w:ascii="Courier New" w:hAnsi="Courier New" w:cs="Courier New" w:hint="default"/>
      </w:rPr>
    </w:lvl>
    <w:lvl w:ilvl="8" w:tplc="041D0005">
      <w:start w:val="1"/>
      <w:numFmt w:val="bullet"/>
      <w:lvlText w:val=""/>
      <w:lvlJc w:val="left"/>
      <w:pPr>
        <w:ind w:left="6120" w:hanging="360"/>
      </w:pPr>
      <w:rPr>
        <w:rFonts w:ascii="Wingdings" w:hAnsi="Wingdings" w:hint="default"/>
      </w:r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29E0"/>
    <w:rsid w:val="000259B9"/>
    <w:rsid w:val="00041491"/>
    <w:rsid w:val="00050D16"/>
    <w:rsid w:val="000730CA"/>
    <w:rsid w:val="00074F2A"/>
    <w:rsid w:val="000A1CA8"/>
    <w:rsid w:val="000A466B"/>
    <w:rsid w:val="000B058C"/>
    <w:rsid w:val="000D68B0"/>
    <w:rsid w:val="000E4EE6"/>
    <w:rsid w:val="001454E2"/>
    <w:rsid w:val="0020272D"/>
    <w:rsid w:val="00206CE8"/>
    <w:rsid w:val="0021526C"/>
    <w:rsid w:val="00283A2B"/>
    <w:rsid w:val="002B30AD"/>
    <w:rsid w:val="002C1EC0"/>
    <w:rsid w:val="002C2C01"/>
    <w:rsid w:val="002E29E0"/>
    <w:rsid w:val="003A29AE"/>
    <w:rsid w:val="003A32D7"/>
    <w:rsid w:val="003B4074"/>
    <w:rsid w:val="003C769A"/>
    <w:rsid w:val="003D3A90"/>
    <w:rsid w:val="003F1838"/>
    <w:rsid w:val="003F6416"/>
    <w:rsid w:val="004251C1"/>
    <w:rsid w:val="0045746C"/>
    <w:rsid w:val="0049104B"/>
    <w:rsid w:val="004E3B12"/>
    <w:rsid w:val="004F7777"/>
    <w:rsid w:val="00504AE9"/>
    <w:rsid w:val="00532310"/>
    <w:rsid w:val="00565F0F"/>
    <w:rsid w:val="00594A86"/>
    <w:rsid w:val="00596D86"/>
    <w:rsid w:val="005B2D19"/>
    <w:rsid w:val="005D3095"/>
    <w:rsid w:val="00637F5A"/>
    <w:rsid w:val="00641C65"/>
    <w:rsid w:val="006560B1"/>
    <w:rsid w:val="006756DD"/>
    <w:rsid w:val="00687D25"/>
    <w:rsid w:val="0071241E"/>
    <w:rsid w:val="00737275"/>
    <w:rsid w:val="00740EEC"/>
    <w:rsid w:val="00745C0A"/>
    <w:rsid w:val="0078011A"/>
    <w:rsid w:val="00782AF4"/>
    <w:rsid w:val="00790EE7"/>
    <w:rsid w:val="007B6649"/>
    <w:rsid w:val="0082576E"/>
    <w:rsid w:val="0089346F"/>
    <w:rsid w:val="00907F75"/>
    <w:rsid w:val="009260DE"/>
    <w:rsid w:val="0093258A"/>
    <w:rsid w:val="009C7BA3"/>
    <w:rsid w:val="009D1F5A"/>
    <w:rsid w:val="009F7703"/>
    <w:rsid w:val="00A10294"/>
    <w:rsid w:val="00A41AF2"/>
    <w:rsid w:val="00A870B7"/>
    <w:rsid w:val="00B003BF"/>
    <w:rsid w:val="00B373D7"/>
    <w:rsid w:val="00B55271"/>
    <w:rsid w:val="00B56C47"/>
    <w:rsid w:val="00BD7931"/>
    <w:rsid w:val="00BF6243"/>
    <w:rsid w:val="00C36276"/>
    <w:rsid w:val="00C42586"/>
    <w:rsid w:val="00C45F6B"/>
    <w:rsid w:val="00C60CCD"/>
    <w:rsid w:val="00C84483"/>
    <w:rsid w:val="00C95551"/>
    <w:rsid w:val="00CB20D7"/>
    <w:rsid w:val="00D020B0"/>
    <w:rsid w:val="00D11748"/>
    <w:rsid w:val="00D237F6"/>
    <w:rsid w:val="00D34D98"/>
    <w:rsid w:val="00D366CF"/>
    <w:rsid w:val="00D93992"/>
    <w:rsid w:val="00E108AA"/>
    <w:rsid w:val="00E3749A"/>
    <w:rsid w:val="00E7437F"/>
    <w:rsid w:val="00E865B8"/>
    <w:rsid w:val="00EB54DF"/>
    <w:rsid w:val="00EC0B9B"/>
    <w:rsid w:val="00ED5E9F"/>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20FAA7"/>
  <w15:chartTrackingRefBased/>
  <w15:docId w15:val="{6384ADD7-A443-46C8-B532-66B7098BDB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styleId="Listeafsnit">
    <w:name w:val="List Paragraph"/>
    <w:basedOn w:val="Normal"/>
    <w:uiPriority w:val="34"/>
    <w:qFormat/>
    <w:rsid w:val="00687D25"/>
    <w:pPr>
      <w:ind w:left="720"/>
      <w:contextualSpacing/>
    </w:pPr>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400133">
      <w:bodyDiv w:val="1"/>
      <w:marLeft w:val="0"/>
      <w:marRight w:val="0"/>
      <w:marTop w:val="0"/>
      <w:marBottom w:val="0"/>
      <w:divBdr>
        <w:top w:val="none" w:sz="0" w:space="0" w:color="auto"/>
        <w:left w:val="none" w:sz="0" w:space="0" w:color="auto"/>
        <w:bottom w:val="none" w:sz="0" w:space="0" w:color="auto"/>
        <w:right w:val="none" w:sz="0" w:space="0" w:color="auto"/>
      </w:divBdr>
    </w:div>
    <w:div w:id="57824127">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374736424">
      <w:bodyDiv w:val="1"/>
      <w:marLeft w:val="0"/>
      <w:marRight w:val="0"/>
      <w:marTop w:val="0"/>
      <w:marBottom w:val="0"/>
      <w:divBdr>
        <w:top w:val="none" w:sz="0" w:space="0" w:color="auto"/>
        <w:left w:val="none" w:sz="0" w:space="0" w:color="auto"/>
        <w:bottom w:val="none" w:sz="0" w:space="0" w:color="auto"/>
        <w:right w:val="none" w:sz="0" w:space="0" w:color="auto"/>
      </w:divBdr>
    </w:div>
    <w:div w:id="434176233">
      <w:bodyDiv w:val="1"/>
      <w:marLeft w:val="0"/>
      <w:marRight w:val="0"/>
      <w:marTop w:val="0"/>
      <w:marBottom w:val="0"/>
      <w:divBdr>
        <w:top w:val="none" w:sz="0" w:space="0" w:color="auto"/>
        <w:left w:val="none" w:sz="0" w:space="0" w:color="auto"/>
        <w:bottom w:val="none" w:sz="0" w:space="0" w:color="auto"/>
        <w:right w:val="none" w:sz="0" w:space="0" w:color="auto"/>
      </w:divBdr>
    </w:div>
    <w:div w:id="468330643">
      <w:bodyDiv w:val="1"/>
      <w:marLeft w:val="0"/>
      <w:marRight w:val="0"/>
      <w:marTop w:val="0"/>
      <w:marBottom w:val="0"/>
      <w:divBdr>
        <w:top w:val="none" w:sz="0" w:space="0" w:color="auto"/>
        <w:left w:val="none" w:sz="0" w:space="0" w:color="auto"/>
        <w:bottom w:val="none" w:sz="0" w:space="0" w:color="auto"/>
        <w:right w:val="none" w:sz="0" w:space="0" w:color="auto"/>
      </w:divBdr>
    </w:div>
    <w:div w:id="528837368">
      <w:bodyDiv w:val="1"/>
      <w:marLeft w:val="0"/>
      <w:marRight w:val="0"/>
      <w:marTop w:val="0"/>
      <w:marBottom w:val="0"/>
      <w:divBdr>
        <w:top w:val="none" w:sz="0" w:space="0" w:color="auto"/>
        <w:left w:val="none" w:sz="0" w:space="0" w:color="auto"/>
        <w:bottom w:val="none" w:sz="0" w:space="0" w:color="auto"/>
        <w:right w:val="none" w:sz="0" w:space="0" w:color="auto"/>
      </w:divBdr>
    </w:div>
    <w:div w:id="540871816">
      <w:bodyDiv w:val="1"/>
      <w:marLeft w:val="0"/>
      <w:marRight w:val="0"/>
      <w:marTop w:val="0"/>
      <w:marBottom w:val="0"/>
      <w:divBdr>
        <w:top w:val="none" w:sz="0" w:space="0" w:color="auto"/>
        <w:left w:val="none" w:sz="0" w:space="0" w:color="auto"/>
        <w:bottom w:val="none" w:sz="0" w:space="0" w:color="auto"/>
        <w:right w:val="none" w:sz="0" w:space="0" w:color="auto"/>
      </w:divBdr>
    </w:div>
    <w:div w:id="706681168">
      <w:bodyDiv w:val="1"/>
      <w:marLeft w:val="0"/>
      <w:marRight w:val="0"/>
      <w:marTop w:val="0"/>
      <w:marBottom w:val="0"/>
      <w:divBdr>
        <w:top w:val="none" w:sz="0" w:space="0" w:color="auto"/>
        <w:left w:val="none" w:sz="0" w:space="0" w:color="auto"/>
        <w:bottom w:val="none" w:sz="0" w:space="0" w:color="auto"/>
        <w:right w:val="none" w:sz="0" w:space="0" w:color="auto"/>
      </w:divBdr>
    </w:div>
    <w:div w:id="714736614">
      <w:bodyDiv w:val="1"/>
      <w:marLeft w:val="0"/>
      <w:marRight w:val="0"/>
      <w:marTop w:val="0"/>
      <w:marBottom w:val="0"/>
      <w:divBdr>
        <w:top w:val="none" w:sz="0" w:space="0" w:color="auto"/>
        <w:left w:val="none" w:sz="0" w:space="0" w:color="auto"/>
        <w:bottom w:val="none" w:sz="0" w:space="0" w:color="auto"/>
        <w:right w:val="none" w:sz="0" w:space="0" w:color="auto"/>
      </w:divBdr>
    </w:div>
    <w:div w:id="755705981">
      <w:bodyDiv w:val="1"/>
      <w:marLeft w:val="0"/>
      <w:marRight w:val="0"/>
      <w:marTop w:val="0"/>
      <w:marBottom w:val="0"/>
      <w:divBdr>
        <w:top w:val="none" w:sz="0" w:space="0" w:color="auto"/>
        <w:left w:val="none" w:sz="0" w:space="0" w:color="auto"/>
        <w:bottom w:val="none" w:sz="0" w:space="0" w:color="auto"/>
        <w:right w:val="none" w:sz="0" w:space="0" w:color="auto"/>
      </w:divBdr>
    </w:div>
    <w:div w:id="774522442">
      <w:bodyDiv w:val="1"/>
      <w:marLeft w:val="0"/>
      <w:marRight w:val="0"/>
      <w:marTop w:val="0"/>
      <w:marBottom w:val="0"/>
      <w:divBdr>
        <w:top w:val="none" w:sz="0" w:space="0" w:color="auto"/>
        <w:left w:val="none" w:sz="0" w:space="0" w:color="auto"/>
        <w:bottom w:val="none" w:sz="0" w:space="0" w:color="auto"/>
        <w:right w:val="none" w:sz="0" w:space="0" w:color="auto"/>
      </w:divBdr>
    </w:div>
    <w:div w:id="960765606">
      <w:bodyDiv w:val="1"/>
      <w:marLeft w:val="0"/>
      <w:marRight w:val="0"/>
      <w:marTop w:val="0"/>
      <w:marBottom w:val="0"/>
      <w:divBdr>
        <w:top w:val="none" w:sz="0" w:space="0" w:color="auto"/>
        <w:left w:val="none" w:sz="0" w:space="0" w:color="auto"/>
        <w:bottom w:val="none" w:sz="0" w:space="0" w:color="auto"/>
        <w:right w:val="none" w:sz="0" w:space="0" w:color="auto"/>
      </w:divBdr>
    </w:div>
    <w:div w:id="992368945">
      <w:bodyDiv w:val="1"/>
      <w:marLeft w:val="0"/>
      <w:marRight w:val="0"/>
      <w:marTop w:val="0"/>
      <w:marBottom w:val="0"/>
      <w:divBdr>
        <w:top w:val="none" w:sz="0" w:space="0" w:color="auto"/>
        <w:left w:val="none" w:sz="0" w:space="0" w:color="auto"/>
        <w:bottom w:val="none" w:sz="0" w:space="0" w:color="auto"/>
        <w:right w:val="none" w:sz="0" w:space="0" w:color="auto"/>
      </w:divBdr>
    </w:div>
    <w:div w:id="1025596469">
      <w:bodyDiv w:val="1"/>
      <w:marLeft w:val="0"/>
      <w:marRight w:val="0"/>
      <w:marTop w:val="0"/>
      <w:marBottom w:val="0"/>
      <w:divBdr>
        <w:top w:val="none" w:sz="0" w:space="0" w:color="auto"/>
        <w:left w:val="none" w:sz="0" w:space="0" w:color="auto"/>
        <w:bottom w:val="none" w:sz="0" w:space="0" w:color="auto"/>
        <w:right w:val="none" w:sz="0" w:space="0" w:color="auto"/>
      </w:divBdr>
    </w:div>
    <w:div w:id="1123427210">
      <w:bodyDiv w:val="1"/>
      <w:marLeft w:val="0"/>
      <w:marRight w:val="0"/>
      <w:marTop w:val="0"/>
      <w:marBottom w:val="0"/>
      <w:divBdr>
        <w:top w:val="none" w:sz="0" w:space="0" w:color="auto"/>
        <w:left w:val="none" w:sz="0" w:space="0" w:color="auto"/>
        <w:bottom w:val="none" w:sz="0" w:space="0" w:color="auto"/>
        <w:right w:val="none" w:sz="0" w:space="0" w:color="auto"/>
      </w:divBdr>
    </w:div>
    <w:div w:id="1142818584">
      <w:bodyDiv w:val="1"/>
      <w:marLeft w:val="0"/>
      <w:marRight w:val="0"/>
      <w:marTop w:val="0"/>
      <w:marBottom w:val="0"/>
      <w:divBdr>
        <w:top w:val="none" w:sz="0" w:space="0" w:color="auto"/>
        <w:left w:val="none" w:sz="0" w:space="0" w:color="auto"/>
        <w:bottom w:val="none" w:sz="0" w:space="0" w:color="auto"/>
        <w:right w:val="none" w:sz="0" w:space="0" w:color="auto"/>
      </w:divBdr>
    </w:div>
    <w:div w:id="1177504775">
      <w:bodyDiv w:val="1"/>
      <w:marLeft w:val="0"/>
      <w:marRight w:val="0"/>
      <w:marTop w:val="0"/>
      <w:marBottom w:val="0"/>
      <w:divBdr>
        <w:top w:val="none" w:sz="0" w:space="0" w:color="auto"/>
        <w:left w:val="none" w:sz="0" w:space="0" w:color="auto"/>
        <w:bottom w:val="none" w:sz="0" w:space="0" w:color="auto"/>
        <w:right w:val="none" w:sz="0" w:space="0" w:color="auto"/>
      </w:divBdr>
    </w:div>
    <w:div w:id="1192835789">
      <w:bodyDiv w:val="1"/>
      <w:marLeft w:val="0"/>
      <w:marRight w:val="0"/>
      <w:marTop w:val="0"/>
      <w:marBottom w:val="0"/>
      <w:divBdr>
        <w:top w:val="none" w:sz="0" w:space="0" w:color="auto"/>
        <w:left w:val="none" w:sz="0" w:space="0" w:color="auto"/>
        <w:bottom w:val="none" w:sz="0" w:space="0" w:color="auto"/>
        <w:right w:val="none" w:sz="0" w:space="0" w:color="auto"/>
      </w:divBdr>
    </w:div>
    <w:div w:id="1276255343">
      <w:bodyDiv w:val="1"/>
      <w:marLeft w:val="0"/>
      <w:marRight w:val="0"/>
      <w:marTop w:val="0"/>
      <w:marBottom w:val="0"/>
      <w:divBdr>
        <w:top w:val="none" w:sz="0" w:space="0" w:color="auto"/>
        <w:left w:val="none" w:sz="0" w:space="0" w:color="auto"/>
        <w:bottom w:val="none" w:sz="0" w:space="0" w:color="auto"/>
        <w:right w:val="none" w:sz="0" w:space="0" w:color="auto"/>
      </w:divBdr>
    </w:div>
    <w:div w:id="1339577697">
      <w:bodyDiv w:val="1"/>
      <w:marLeft w:val="0"/>
      <w:marRight w:val="0"/>
      <w:marTop w:val="0"/>
      <w:marBottom w:val="0"/>
      <w:divBdr>
        <w:top w:val="none" w:sz="0" w:space="0" w:color="auto"/>
        <w:left w:val="none" w:sz="0" w:space="0" w:color="auto"/>
        <w:bottom w:val="none" w:sz="0" w:space="0" w:color="auto"/>
        <w:right w:val="none" w:sz="0" w:space="0" w:color="auto"/>
      </w:divBdr>
    </w:div>
    <w:div w:id="1462308352">
      <w:bodyDiv w:val="1"/>
      <w:marLeft w:val="0"/>
      <w:marRight w:val="0"/>
      <w:marTop w:val="0"/>
      <w:marBottom w:val="0"/>
      <w:divBdr>
        <w:top w:val="none" w:sz="0" w:space="0" w:color="auto"/>
        <w:left w:val="none" w:sz="0" w:space="0" w:color="auto"/>
        <w:bottom w:val="none" w:sz="0" w:space="0" w:color="auto"/>
        <w:right w:val="none" w:sz="0" w:space="0" w:color="auto"/>
      </w:divBdr>
    </w:div>
    <w:div w:id="1532107437">
      <w:bodyDiv w:val="1"/>
      <w:marLeft w:val="0"/>
      <w:marRight w:val="0"/>
      <w:marTop w:val="0"/>
      <w:marBottom w:val="0"/>
      <w:divBdr>
        <w:top w:val="none" w:sz="0" w:space="0" w:color="auto"/>
        <w:left w:val="none" w:sz="0" w:space="0" w:color="auto"/>
        <w:bottom w:val="none" w:sz="0" w:space="0" w:color="auto"/>
        <w:right w:val="none" w:sz="0" w:space="0" w:color="auto"/>
      </w:divBdr>
    </w:div>
    <w:div w:id="1583565982">
      <w:bodyDiv w:val="1"/>
      <w:marLeft w:val="0"/>
      <w:marRight w:val="0"/>
      <w:marTop w:val="0"/>
      <w:marBottom w:val="0"/>
      <w:divBdr>
        <w:top w:val="none" w:sz="0" w:space="0" w:color="auto"/>
        <w:left w:val="none" w:sz="0" w:space="0" w:color="auto"/>
        <w:bottom w:val="none" w:sz="0" w:space="0" w:color="auto"/>
        <w:right w:val="none" w:sz="0" w:space="0" w:color="auto"/>
      </w:divBdr>
    </w:div>
    <w:div w:id="1646466683">
      <w:bodyDiv w:val="1"/>
      <w:marLeft w:val="0"/>
      <w:marRight w:val="0"/>
      <w:marTop w:val="0"/>
      <w:marBottom w:val="0"/>
      <w:divBdr>
        <w:top w:val="none" w:sz="0" w:space="0" w:color="auto"/>
        <w:left w:val="none" w:sz="0" w:space="0" w:color="auto"/>
        <w:bottom w:val="none" w:sz="0" w:space="0" w:color="auto"/>
        <w:right w:val="none" w:sz="0" w:space="0" w:color="auto"/>
      </w:divBdr>
    </w:div>
    <w:div w:id="1656492011">
      <w:bodyDiv w:val="1"/>
      <w:marLeft w:val="0"/>
      <w:marRight w:val="0"/>
      <w:marTop w:val="0"/>
      <w:marBottom w:val="0"/>
      <w:divBdr>
        <w:top w:val="none" w:sz="0" w:space="0" w:color="auto"/>
        <w:left w:val="none" w:sz="0" w:space="0" w:color="auto"/>
        <w:bottom w:val="none" w:sz="0" w:space="0" w:color="auto"/>
        <w:right w:val="none" w:sz="0" w:space="0" w:color="auto"/>
      </w:divBdr>
    </w:div>
    <w:div w:id="1719157653">
      <w:bodyDiv w:val="1"/>
      <w:marLeft w:val="0"/>
      <w:marRight w:val="0"/>
      <w:marTop w:val="0"/>
      <w:marBottom w:val="0"/>
      <w:divBdr>
        <w:top w:val="none" w:sz="0" w:space="0" w:color="auto"/>
        <w:left w:val="none" w:sz="0" w:space="0" w:color="auto"/>
        <w:bottom w:val="none" w:sz="0" w:space="0" w:color="auto"/>
        <w:right w:val="none" w:sz="0" w:space="0" w:color="auto"/>
      </w:divBdr>
    </w:div>
    <w:div w:id="1736735377">
      <w:bodyDiv w:val="1"/>
      <w:marLeft w:val="0"/>
      <w:marRight w:val="0"/>
      <w:marTop w:val="0"/>
      <w:marBottom w:val="0"/>
      <w:divBdr>
        <w:top w:val="none" w:sz="0" w:space="0" w:color="auto"/>
        <w:left w:val="none" w:sz="0" w:space="0" w:color="auto"/>
        <w:bottom w:val="none" w:sz="0" w:space="0" w:color="auto"/>
        <w:right w:val="none" w:sz="0" w:space="0" w:color="auto"/>
      </w:divBdr>
    </w:div>
    <w:div w:id="1771777820">
      <w:bodyDiv w:val="1"/>
      <w:marLeft w:val="0"/>
      <w:marRight w:val="0"/>
      <w:marTop w:val="0"/>
      <w:marBottom w:val="0"/>
      <w:divBdr>
        <w:top w:val="none" w:sz="0" w:space="0" w:color="auto"/>
        <w:left w:val="none" w:sz="0" w:space="0" w:color="auto"/>
        <w:bottom w:val="none" w:sz="0" w:space="0" w:color="auto"/>
        <w:right w:val="none" w:sz="0" w:space="0" w:color="auto"/>
      </w:divBdr>
    </w:div>
    <w:div w:id="1795949394">
      <w:bodyDiv w:val="1"/>
      <w:marLeft w:val="0"/>
      <w:marRight w:val="0"/>
      <w:marTop w:val="0"/>
      <w:marBottom w:val="0"/>
      <w:divBdr>
        <w:top w:val="none" w:sz="0" w:space="0" w:color="auto"/>
        <w:left w:val="none" w:sz="0" w:space="0" w:color="auto"/>
        <w:bottom w:val="none" w:sz="0" w:space="0" w:color="auto"/>
        <w:right w:val="none" w:sz="0" w:space="0" w:color="auto"/>
      </w:divBdr>
    </w:div>
    <w:div w:id="1846282430">
      <w:bodyDiv w:val="1"/>
      <w:marLeft w:val="0"/>
      <w:marRight w:val="0"/>
      <w:marTop w:val="0"/>
      <w:marBottom w:val="0"/>
      <w:divBdr>
        <w:top w:val="none" w:sz="0" w:space="0" w:color="auto"/>
        <w:left w:val="none" w:sz="0" w:space="0" w:color="auto"/>
        <w:bottom w:val="none" w:sz="0" w:space="0" w:color="auto"/>
        <w:right w:val="none" w:sz="0" w:space="0" w:color="auto"/>
      </w:divBdr>
    </w:div>
    <w:div w:id="1850677364">
      <w:bodyDiv w:val="1"/>
      <w:marLeft w:val="0"/>
      <w:marRight w:val="0"/>
      <w:marTop w:val="0"/>
      <w:marBottom w:val="0"/>
      <w:divBdr>
        <w:top w:val="none" w:sz="0" w:space="0" w:color="auto"/>
        <w:left w:val="none" w:sz="0" w:space="0" w:color="auto"/>
        <w:bottom w:val="none" w:sz="0" w:space="0" w:color="auto"/>
        <w:right w:val="none" w:sz="0" w:space="0" w:color="auto"/>
      </w:divBdr>
    </w:div>
    <w:div w:id="1923368326">
      <w:bodyDiv w:val="1"/>
      <w:marLeft w:val="0"/>
      <w:marRight w:val="0"/>
      <w:marTop w:val="0"/>
      <w:marBottom w:val="0"/>
      <w:divBdr>
        <w:top w:val="none" w:sz="0" w:space="0" w:color="auto"/>
        <w:left w:val="none" w:sz="0" w:space="0" w:color="auto"/>
        <w:bottom w:val="none" w:sz="0" w:space="0" w:color="auto"/>
        <w:right w:val="none" w:sz="0" w:space="0" w:color="auto"/>
      </w:divBdr>
    </w:div>
    <w:div w:id="1937400380">
      <w:bodyDiv w:val="1"/>
      <w:marLeft w:val="0"/>
      <w:marRight w:val="0"/>
      <w:marTop w:val="0"/>
      <w:marBottom w:val="0"/>
      <w:divBdr>
        <w:top w:val="none" w:sz="0" w:space="0" w:color="auto"/>
        <w:left w:val="none" w:sz="0" w:space="0" w:color="auto"/>
        <w:bottom w:val="none" w:sz="0" w:space="0" w:color="auto"/>
        <w:right w:val="none" w:sz="0" w:space="0" w:color="auto"/>
      </w:divBdr>
    </w:div>
    <w:div w:id="1974560031">
      <w:bodyDiv w:val="1"/>
      <w:marLeft w:val="0"/>
      <w:marRight w:val="0"/>
      <w:marTop w:val="0"/>
      <w:marBottom w:val="0"/>
      <w:divBdr>
        <w:top w:val="none" w:sz="0" w:space="0" w:color="auto"/>
        <w:left w:val="none" w:sz="0" w:space="0" w:color="auto"/>
        <w:bottom w:val="none" w:sz="0" w:space="0" w:color="auto"/>
        <w:right w:val="none" w:sz="0" w:space="0" w:color="auto"/>
      </w:divBdr>
    </w:div>
    <w:div w:id="2068340466">
      <w:bodyDiv w:val="1"/>
      <w:marLeft w:val="0"/>
      <w:marRight w:val="0"/>
      <w:marTop w:val="0"/>
      <w:marBottom w:val="0"/>
      <w:divBdr>
        <w:top w:val="none" w:sz="0" w:space="0" w:color="auto"/>
        <w:left w:val="none" w:sz="0" w:space="0" w:color="auto"/>
        <w:bottom w:val="none" w:sz="0" w:space="0" w:color="auto"/>
        <w:right w:val="none" w:sz="0" w:space="0" w:color="auto"/>
      </w:divBdr>
    </w:div>
    <w:div w:id="2070810884">
      <w:bodyDiv w:val="1"/>
      <w:marLeft w:val="0"/>
      <w:marRight w:val="0"/>
      <w:marTop w:val="0"/>
      <w:marBottom w:val="0"/>
      <w:divBdr>
        <w:top w:val="none" w:sz="0" w:space="0" w:color="auto"/>
        <w:left w:val="none" w:sz="0" w:space="0" w:color="auto"/>
        <w:bottom w:val="none" w:sz="0" w:space="0" w:color="auto"/>
        <w:right w:val="none" w:sz="0" w:space="0" w:color="auto"/>
      </w:divBdr>
    </w:div>
    <w:div w:id="2079016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008-01-SKB%20SPC%20Hum%20skabelon.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008-01-SKB SPC Hum skabelon</Template>
  <TotalTime>40</TotalTime>
  <Pages>13</Pages>
  <Words>3710</Words>
  <Characters>26359</Characters>
  <Application>Microsoft Office Word</Application>
  <DocSecurity>0</DocSecurity>
  <Lines>219</Lines>
  <Paragraphs>60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Hanne Thy Iversen</dc:creator>
  <cp:keywords/>
  <dc:description>2023090342 mt</dc:description>
  <cp:lastModifiedBy>Hanne Thy Iversen</cp:lastModifiedBy>
  <cp:revision>11</cp:revision>
  <cp:lastPrinted>2012-08-22T08:53:00Z</cp:lastPrinted>
  <dcterms:created xsi:type="dcterms:W3CDTF">2025-04-22T14:30:00Z</dcterms:created>
  <dcterms:modified xsi:type="dcterms:W3CDTF">2025-04-24T08:25:00Z</dcterms:modified>
</cp:coreProperties>
</file>