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7FA" w:rsidRPr="008F49E1" w:rsidRDefault="002747FA" w:rsidP="002747FA">
      <w:pPr>
        <w:rPr>
          <w:sz w:val="24"/>
          <w:szCs w:val="24"/>
        </w:rPr>
      </w:pPr>
      <w:r w:rsidRPr="008F49E1">
        <w:rPr>
          <w:noProof/>
          <w:sz w:val="24"/>
          <w:szCs w:val="24"/>
          <w:lang w:eastAsia="da-DK"/>
        </w:rPr>
        <w:drawing>
          <wp:inline distT="0" distB="0" distL="0" distR="0" wp14:anchorId="75910F0B" wp14:editId="58FB07D0">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2747FA" w:rsidRDefault="002747FA" w:rsidP="002747FA">
      <w:pPr>
        <w:pStyle w:val="Titel"/>
        <w:tabs>
          <w:tab w:val="right" w:pos="9356"/>
        </w:tabs>
        <w:jc w:val="left"/>
        <w:rPr>
          <w:b w:val="0"/>
          <w:szCs w:val="24"/>
          <w:lang w:eastAsia="en-US"/>
        </w:rPr>
      </w:pPr>
    </w:p>
    <w:p w:rsidR="002747FA" w:rsidRPr="00C84483" w:rsidRDefault="00C67F32" w:rsidP="002747FA">
      <w:pPr>
        <w:pStyle w:val="Titel"/>
        <w:tabs>
          <w:tab w:val="right" w:pos="9356"/>
        </w:tabs>
        <w:jc w:val="right"/>
        <w:rPr>
          <w:b w:val="0"/>
          <w:szCs w:val="24"/>
          <w:lang w:eastAsia="en-US"/>
        </w:rPr>
      </w:pPr>
      <w:r>
        <w:rPr>
          <w:szCs w:val="24"/>
        </w:rPr>
        <w:t>25. marts 2025</w:t>
      </w:r>
    </w:p>
    <w:p w:rsidR="00A473F9" w:rsidRDefault="00A473F9" w:rsidP="002747FA">
      <w:pPr>
        <w:pStyle w:val="Titel"/>
        <w:jc w:val="left"/>
        <w:rPr>
          <w:b w:val="0"/>
        </w:rPr>
      </w:pPr>
    </w:p>
    <w:p w:rsidR="00F110AE" w:rsidRDefault="00F110AE" w:rsidP="002747FA">
      <w:pPr>
        <w:pStyle w:val="Titel"/>
        <w:jc w:val="left"/>
        <w:rPr>
          <w:b w:val="0"/>
        </w:rPr>
      </w:pPr>
    </w:p>
    <w:p w:rsidR="006369DE" w:rsidRDefault="006369DE" w:rsidP="002747FA">
      <w:pPr>
        <w:pStyle w:val="Titel"/>
        <w:jc w:val="left"/>
        <w:rPr>
          <w:b w:val="0"/>
        </w:rPr>
      </w:pPr>
    </w:p>
    <w:p w:rsidR="002747FA" w:rsidRPr="00EC0B9B" w:rsidRDefault="002747FA" w:rsidP="002747FA">
      <w:pPr>
        <w:jc w:val="center"/>
        <w:rPr>
          <w:b/>
          <w:sz w:val="24"/>
          <w:szCs w:val="24"/>
        </w:rPr>
      </w:pPr>
      <w:r w:rsidRPr="00EC0B9B">
        <w:rPr>
          <w:b/>
          <w:sz w:val="24"/>
          <w:szCs w:val="24"/>
        </w:rPr>
        <w:t>PRODUKTRESUMÉ</w:t>
      </w:r>
    </w:p>
    <w:p w:rsidR="002747FA" w:rsidRPr="00EC0B9B" w:rsidRDefault="002747FA" w:rsidP="002747FA">
      <w:pPr>
        <w:jc w:val="center"/>
        <w:rPr>
          <w:b/>
          <w:sz w:val="24"/>
          <w:szCs w:val="24"/>
        </w:rPr>
      </w:pPr>
    </w:p>
    <w:p w:rsidR="002747FA" w:rsidRPr="00EC0B9B" w:rsidRDefault="002747FA" w:rsidP="002747FA">
      <w:pPr>
        <w:jc w:val="center"/>
        <w:rPr>
          <w:b/>
          <w:sz w:val="24"/>
          <w:szCs w:val="24"/>
        </w:rPr>
      </w:pPr>
      <w:r w:rsidRPr="00EC0B9B">
        <w:rPr>
          <w:b/>
          <w:sz w:val="24"/>
          <w:szCs w:val="24"/>
        </w:rPr>
        <w:t>for</w:t>
      </w:r>
    </w:p>
    <w:p w:rsidR="002747FA" w:rsidRPr="00EC0B9B" w:rsidRDefault="002747FA" w:rsidP="002747FA">
      <w:pPr>
        <w:jc w:val="center"/>
        <w:rPr>
          <w:b/>
          <w:sz w:val="24"/>
          <w:szCs w:val="24"/>
        </w:rPr>
      </w:pPr>
    </w:p>
    <w:p w:rsidR="002747FA" w:rsidRPr="0049104B" w:rsidRDefault="002747FA" w:rsidP="002747FA">
      <w:pPr>
        <w:jc w:val="center"/>
        <w:rPr>
          <w:b/>
          <w:sz w:val="24"/>
          <w:szCs w:val="24"/>
        </w:rPr>
      </w:pPr>
      <w:proofErr w:type="spellStart"/>
      <w:r>
        <w:rPr>
          <w:b/>
          <w:sz w:val="24"/>
          <w:szCs w:val="24"/>
        </w:rPr>
        <w:t>Buprenorphine</w:t>
      </w:r>
      <w:proofErr w:type="spellEnd"/>
      <w:r>
        <w:rPr>
          <w:b/>
          <w:sz w:val="24"/>
          <w:szCs w:val="24"/>
        </w:rPr>
        <w:t xml:space="preserve"> </w:t>
      </w:r>
      <w:r w:rsidR="00CE77F8">
        <w:rPr>
          <w:b/>
          <w:sz w:val="24"/>
          <w:szCs w:val="24"/>
        </w:rPr>
        <w:t>"</w:t>
      </w:r>
      <w:r>
        <w:rPr>
          <w:b/>
          <w:sz w:val="24"/>
          <w:szCs w:val="24"/>
        </w:rPr>
        <w:t>Sandoz</w:t>
      </w:r>
      <w:r w:rsidR="00CE77F8">
        <w:rPr>
          <w:b/>
          <w:sz w:val="24"/>
          <w:szCs w:val="24"/>
        </w:rPr>
        <w:t>"</w:t>
      </w:r>
      <w:r>
        <w:rPr>
          <w:b/>
          <w:sz w:val="24"/>
          <w:szCs w:val="24"/>
        </w:rPr>
        <w:t>, sublinguale resoribletter</w:t>
      </w:r>
    </w:p>
    <w:p w:rsidR="002747FA" w:rsidRPr="00EC0B9B" w:rsidRDefault="002747FA" w:rsidP="002747FA">
      <w:pPr>
        <w:jc w:val="both"/>
        <w:rPr>
          <w:sz w:val="24"/>
          <w:szCs w:val="24"/>
        </w:rPr>
      </w:pPr>
    </w:p>
    <w:p w:rsidR="002747FA" w:rsidRPr="00D8717D" w:rsidRDefault="002747FA" w:rsidP="002747FA">
      <w:pPr>
        <w:ind w:left="851" w:hanging="851"/>
        <w:jc w:val="both"/>
        <w:rPr>
          <w:sz w:val="24"/>
          <w:szCs w:val="24"/>
        </w:rPr>
      </w:pPr>
    </w:p>
    <w:p w:rsidR="00A1374B" w:rsidRPr="00C84483" w:rsidRDefault="00A1374B" w:rsidP="00A1374B">
      <w:pPr>
        <w:tabs>
          <w:tab w:val="left" w:pos="851"/>
        </w:tabs>
        <w:ind w:left="851" w:hanging="851"/>
        <w:rPr>
          <w:b/>
          <w:sz w:val="24"/>
          <w:szCs w:val="24"/>
        </w:rPr>
      </w:pPr>
      <w:r w:rsidRPr="00C84483">
        <w:rPr>
          <w:b/>
          <w:sz w:val="24"/>
          <w:szCs w:val="24"/>
        </w:rPr>
        <w:t>0.</w:t>
      </w:r>
      <w:r w:rsidRPr="00C84483">
        <w:rPr>
          <w:b/>
          <w:sz w:val="24"/>
          <w:szCs w:val="24"/>
        </w:rPr>
        <w:tab/>
        <w:t>D.SP.NR.</w:t>
      </w:r>
    </w:p>
    <w:p w:rsidR="002747FA" w:rsidRPr="00D8717D" w:rsidRDefault="002747FA" w:rsidP="002747FA">
      <w:pPr>
        <w:tabs>
          <w:tab w:val="left" w:pos="851"/>
        </w:tabs>
        <w:ind w:left="851" w:hanging="851"/>
        <w:rPr>
          <w:sz w:val="24"/>
          <w:szCs w:val="24"/>
        </w:rPr>
      </w:pPr>
      <w:r w:rsidRPr="00D8717D">
        <w:rPr>
          <w:sz w:val="24"/>
          <w:szCs w:val="24"/>
        </w:rPr>
        <w:tab/>
        <w:t>2697</w:t>
      </w:r>
      <w:r>
        <w:rPr>
          <w:sz w:val="24"/>
          <w:szCs w:val="24"/>
        </w:rPr>
        <w:t>8</w:t>
      </w:r>
    </w:p>
    <w:p w:rsidR="002747FA" w:rsidRPr="00D8717D" w:rsidRDefault="002747FA" w:rsidP="002747FA">
      <w:pPr>
        <w:tabs>
          <w:tab w:val="left" w:pos="851"/>
        </w:tabs>
        <w:ind w:left="851" w:hanging="851"/>
        <w:rPr>
          <w:sz w:val="24"/>
          <w:szCs w:val="24"/>
        </w:rPr>
      </w:pPr>
    </w:p>
    <w:p w:rsidR="00A1374B" w:rsidRPr="00C84483" w:rsidRDefault="00A1374B" w:rsidP="00A1374B">
      <w:pPr>
        <w:tabs>
          <w:tab w:val="left" w:pos="851"/>
        </w:tabs>
        <w:ind w:left="851" w:hanging="851"/>
        <w:rPr>
          <w:b/>
          <w:sz w:val="24"/>
          <w:szCs w:val="24"/>
        </w:rPr>
      </w:pPr>
      <w:r w:rsidRPr="00C84483">
        <w:rPr>
          <w:b/>
          <w:sz w:val="24"/>
          <w:szCs w:val="24"/>
        </w:rPr>
        <w:t>1.</w:t>
      </w:r>
      <w:r w:rsidRPr="00C84483">
        <w:rPr>
          <w:b/>
          <w:sz w:val="24"/>
          <w:szCs w:val="24"/>
        </w:rPr>
        <w:tab/>
        <w:t>LÆGEMIDLETS NAVN</w:t>
      </w:r>
    </w:p>
    <w:p w:rsidR="002747FA" w:rsidRPr="00D8717D" w:rsidRDefault="002747FA" w:rsidP="002747FA">
      <w:pPr>
        <w:tabs>
          <w:tab w:val="left" w:pos="851"/>
        </w:tabs>
        <w:ind w:left="851" w:hanging="851"/>
        <w:rPr>
          <w:sz w:val="24"/>
          <w:szCs w:val="24"/>
        </w:rPr>
      </w:pPr>
      <w:r>
        <w:rPr>
          <w:sz w:val="24"/>
          <w:szCs w:val="24"/>
        </w:rPr>
        <w:tab/>
      </w:r>
      <w:proofErr w:type="spellStart"/>
      <w:r w:rsidRPr="00D8717D">
        <w:rPr>
          <w:sz w:val="24"/>
          <w:szCs w:val="24"/>
        </w:rPr>
        <w:t>Buprenorphine</w:t>
      </w:r>
      <w:proofErr w:type="spellEnd"/>
      <w:r w:rsidRPr="00D8717D">
        <w:rPr>
          <w:sz w:val="24"/>
          <w:szCs w:val="24"/>
        </w:rPr>
        <w:t xml:space="preserve"> </w:t>
      </w:r>
      <w:r w:rsidR="00CE77F8">
        <w:rPr>
          <w:sz w:val="24"/>
          <w:szCs w:val="24"/>
        </w:rPr>
        <w:t>"</w:t>
      </w:r>
      <w:r w:rsidRPr="00D8717D">
        <w:rPr>
          <w:sz w:val="24"/>
          <w:szCs w:val="24"/>
        </w:rPr>
        <w:t>Sandoz</w:t>
      </w:r>
      <w:r w:rsidR="00CE77F8">
        <w:rPr>
          <w:sz w:val="24"/>
          <w:szCs w:val="24"/>
        </w:rPr>
        <w:t>"</w:t>
      </w:r>
    </w:p>
    <w:p w:rsidR="002747FA" w:rsidRPr="00D8717D" w:rsidRDefault="002747FA" w:rsidP="002747FA">
      <w:pPr>
        <w:tabs>
          <w:tab w:val="left" w:pos="851"/>
        </w:tabs>
        <w:ind w:left="851" w:hanging="851"/>
        <w:rPr>
          <w:sz w:val="24"/>
          <w:szCs w:val="24"/>
        </w:rPr>
      </w:pPr>
      <w:r w:rsidRPr="00D8717D">
        <w:rPr>
          <w:sz w:val="24"/>
          <w:szCs w:val="24"/>
        </w:rPr>
        <w:tab/>
      </w:r>
    </w:p>
    <w:p w:rsidR="00A1374B" w:rsidRPr="00C84483" w:rsidRDefault="00A1374B" w:rsidP="00A1374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2747FA" w:rsidRDefault="002747FA" w:rsidP="002747FA">
      <w:pPr>
        <w:ind w:left="851"/>
        <w:rPr>
          <w:sz w:val="24"/>
          <w:szCs w:val="24"/>
        </w:rPr>
      </w:pPr>
    </w:p>
    <w:p w:rsidR="002747FA" w:rsidRDefault="002747FA" w:rsidP="002747FA">
      <w:pPr>
        <w:ind w:left="851"/>
        <w:rPr>
          <w:sz w:val="24"/>
          <w:szCs w:val="24"/>
        </w:rPr>
      </w:pPr>
      <w:r>
        <w:rPr>
          <w:sz w:val="24"/>
          <w:u w:val="single"/>
        </w:rPr>
        <w:t>2 mg</w:t>
      </w:r>
    </w:p>
    <w:p w:rsidR="002747FA" w:rsidRDefault="002747FA" w:rsidP="002747FA">
      <w:pPr>
        <w:ind w:left="851"/>
        <w:rPr>
          <w:noProof/>
          <w:sz w:val="24"/>
          <w:szCs w:val="24"/>
        </w:rPr>
      </w:pPr>
      <w:r>
        <w:rPr>
          <w:sz w:val="24"/>
          <w:szCs w:val="24"/>
        </w:rPr>
        <w:t xml:space="preserve">Hver </w:t>
      </w:r>
      <w:proofErr w:type="spellStart"/>
      <w:r>
        <w:rPr>
          <w:sz w:val="24"/>
          <w:szCs w:val="24"/>
        </w:rPr>
        <w:t>resoriblet</w:t>
      </w:r>
      <w:proofErr w:type="spellEnd"/>
      <w:r>
        <w:rPr>
          <w:sz w:val="24"/>
          <w:szCs w:val="24"/>
        </w:rPr>
        <w:t xml:space="preserve"> indeholder 2 mg </w:t>
      </w:r>
      <w:proofErr w:type="spellStart"/>
      <w:r>
        <w:rPr>
          <w:sz w:val="24"/>
          <w:szCs w:val="24"/>
        </w:rPr>
        <w:t>buprenorphin</w:t>
      </w:r>
      <w:proofErr w:type="spellEnd"/>
      <w:r>
        <w:rPr>
          <w:sz w:val="24"/>
          <w:szCs w:val="24"/>
        </w:rPr>
        <w:t xml:space="preserve"> (som </w:t>
      </w:r>
      <w:proofErr w:type="spellStart"/>
      <w:r>
        <w:rPr>
          <w:sz w:val="24"/>
          <w:szCs w:val="24"/>
        </w:rPr>
        <w:t>hydrochlorid</w:t>
      </w:r>
      <w:proofErr w:type="spellEnd"/>
      <w:r>
        <w:rPr>
          <w:sz w:val="24"/>
          <w:szCs w:val="24"/>
        </w:rPr>
        <w:t>).</w:t>
      </w:r>
    </w:p>
    <w:p w:rsidR="006369DE" w:rsidRDefault="006369DE" w:rsidP="002747FA">
      <w:pPr>
        <w:ind w:left="851"/>
        <w:rPr>
          <w:sz w:val="24"/>
          <w:szCs w:val="24"/>
        </w:rPr>
      </w:pPr>
    </w:p>
    <w:p w:rsidR="002747FA" w:rsidRPr="006369DE" w:rsidRDefault="002747FA" w:rsidP="002747FA">
      <w:pPr>
        <w:ind w:left="851"/>
        <w:rPr>
          <w:i/>
          <w:sz w:val="24"/>
          <w:szCs w:val="24"/>
        </w:rPr>
      </w:pPr>
      <w:r w:rsidRPr="006369DE">
        <w:rPr>
          <w:i/>
          <w:sz w:val="24"/>
          <w:szCs w:val="24"/>
        </w:rPr>
        <w:t>Hjælpestof, som behandleren skal være opmærksom på</w:t>
      </w:r>
    </w:p>
    <w:p w:rsidR="002747FA" w:rsidRDefault="002747FA" w:rsidP="002747FA">
      <w:pPr>
        <w:ind w:left="851"/>
        <w:rPr>
          <w:noProof/>
          <w:sz w:val="24"/>
          <w:szCs w:val="24"/>
        </w:rPr>
      </w:pPr>
      <w:r>
        <w:rPr>
          <w:sz w:val="24"/>
          <w:szCs w:val="24"/>
        </w:rPr>
        <w:t xml:space="preserve">Hver </w:t>
      </w:r>
      <w:proofErr w:type="spellStart"/>
      <w:r>
        <w:rPr>
          <w:sz w:val="24"/>
          <w:szCs w:val="24"/>
        </w:rPr>
        <w:t>sublingual</w:t>
      </w:r>
      <w:proofErr w:type="spellEnd"/>
      <w:r>
        <w:rPr>
          <w:sz w:val="24"/>
          <w:szCs w:val="24"/>
        </w:rPr>
        <w:t xml:space="preserve"> </w:t>
      </w:r>
      <w:proofErr w:type="spellStart"/>
      <w:r>
        <w:rPr>
          <w:sz w:val="24"/>
          <w:szCs w:val="24"/>
        </w:rPr>
        <w:t>resoriblet</w:t>
      </w:r>
      <w:proofErr w:type="spellEnd"/>
      <w:r>
        <w:rPr>
          <w:sz w:val="24"/>
          <w:szCs w:val="24"/>
        </w:rPr>
        <w:t xml:space="preserve"> à 2 mg indeholder 69,5 mg </w:t>
      </w:r>
      <w:proofErr w:type="spellStart"/>
      <w:r>
        <w:rPr>
          <w:sz w:val="24"/>
          <w:szCs w:val="24"/>
        </w:rPr>
        <w:t>lactose</w:t>
      </w:r>
      <w:proofErr w:type="spellEnd"/>
      <w:r>
        <w:rPr>
          <w:sz w:val="24"/>
          <w:szCs w:val="24"/>
        </w:rPr>
        <w:t xml:space="preserve"> (som monohydrat).</w:t>
      </w:r>
    </w:p>
    <w:p w:rsidR="002747FA" w:rsidRDefault="002747FA" w:rsidP="002747FA">
      <w:pPr>
        <w:ind w:left="851" w:hanging="851"/>
        <w:rPr>
          <w:noProof/>
          <w:sz w:val="24"/>
          <w:szCs w:val="24"/>
        </w:rPr>
      </w:pPr>
    </w:p>
    <w:p w:rsidR="002747FA" w:rsidRDefault="002747FA" w:rsidP="002747FA">
      <w:pPr>
        <w:ind w:left="851"/>
        <w:rPr>
          <w:sz w:val="24"/>
          <w:szCs w:val="24"/>
          <w:u w:val="single"/>
        </w:rPr>
      </w:pPr>
      <w:r>
        <w:rPr>
          <w:sz w:val="24"/>
          <w:u w:val="single"/>
        </w:rPr>
        <w:t>8 mg</w:t>
      </w:r>
    </w:p>
    <w:p w:rsidR="002747FA" w:rsidRDefault="002747FA" w:rsidP="002747FA">
      <w:pPr>
        <w:ind w:left="851"/>
        <w:rPr>
          <w:noProof/>
          <w:sz w:val="24"/>
          <w:szCs w:val="24"/>
        </w:rPr>
      </w:pPr>
      <w:r>
        <w:rPr>
          <w:sz w:val="24"/>
          <w:szCs w:val="24"/>
        </w:rPr>
        <w:t xml:space="preserve">Hver </w:t>
      </w:r>
      <w:proofErr w:type="spellStart"/>
      <w:r>
        <w:rPr>
          <w:sz w:val="24"/>
          <w:szCs w:val="24"/>
        </w:rPr>
        <w:t>resoriblet</w:t>
      </w:r>
      <w:proofErr w:type="spellEnd"/>
      <w:r>
        <w:rPr>
          <w:sz w:val="24"/>
          <w:szCs w:val="24"/>
        </w:rPr>
        <w:t xml:space="preserve"> indeholder 8 mg </w:t>
      </w:r>
      <w:proofErr w:type="spellStart"/>
      <w:r>
        <w:rPr>
          <w:sz w:val="24"/>
          <w:szCs w:val="24"/>
        </w:rPr>
        <w:t>buprenorphin</w:t>
      </w:r>
      <w:proofErr w:type="spellEnd"/>
      <w:r>
        <w:rPr>
          <w:sz w:val="24"/>
          <w:szCs w:val="24"/>
        </w:rPr>
        <w:t xml:space="preserve"> (som </w:t>
      </w:r>
      <w:proofErr w:type="spellStart"/>
      <w:r>
        <w:rPr>
          <w:sz w:val="24"/>
          <w:szCs w:val="24"/>
        </w:rPr>
        <w:t>hydrochlorid</w:t>
      </w:r>
      <w:proofErr w:type="spellEnd"/>
      <w:r>
        <w:rPr>
          <w:sz w:val="24"/>
          <w:szCs w:val="24"/>
        </w:rPr>
        <w:t>).</w:t>
      </w:r>
    </w:p>
    <w:p w:rsidR="006369DE" w:rsidRDefault="006369DE" w:rsidP="002747FA">
      <w:pPr>
        <w:ind w:left="851"/>
        <w:rPr>
          <w:sz w:val="24"/>
          <w:szCs w:val="24"/>
        </w:rPr>
      </w:pPr>
    </w:p>
    <w:p w:rsidR="002747FA" w:rsidRPr="006369DE" w:rsidRDefault="002747FA" w:rsidP="002747FA">
      <w:pPr>
        <w:ind w:left="851"/>
        <w:rPr>
          <w:i/>
          <w:sz w:val="24"/>
          <w:szCs w:val="24"/>
        </w:rPr>
      </w:pPr>
      <w:r w:rsidRPr="006369DE">
        <w:rPr>
          <w:i/>
          <w:sz w:val="24"/>
          <w:szCs w:val="24"/>
        </w:rPr>
        <w:t>Hjælpestof, som behandleren skal være opmærksom på</w:t>
      </w:r>
    </w:p>
    <w:p w:rsidR="002747FA" w:rsidRDefault="002747FA" w:rsidP="002747FA">
      <w:pPr>
        <w:ind w:left="851"/>
        <w:rPr>
          <w:noProof/>
          <w:sz w:val="24"/>
          <w:szCs w:val="24"/>
        </w:rPr>
      </w:pPr>
      <w:r>
        <w:rPr>
          <w:sz w:val="24"/>
          <w:szCs w:val="24"/>
        </w:rPr>
        <w:t xml:space="preserve">Hver </w:t>
      </w:r>
      <w:proofErr w:type="spellStart"/>
      <w:r>
        <w:rPr>
          <w:sz w:val="24"/>
          <w:szCs w:val="24"/>
        </w:rPr>
        <w:t>sublingual</w:t>
      </w:r>
      <w:proofErr w:type="spellEnd"/>
      <w:r>
        <w:rPr>
          <w:sz w:val="24"/>
          <w:szCs w:val="24"/>
        </w:rPr>
        <w:t xml:space="preserve"> </w:t>
      </w:r>
      <w:proofErr w:type="spellStart"/>
      <w:r>
        <w:rPr>
          <w:sz w:val="24"/>
          <w:szCs w:val="24"/>
        </w:rPr>
        <w:t>resoriblet</w:t>
      </w:r>
      <w:proofErr w:type="spellEnd"/>
      <w:r>
        <w:rPr>
          <w:sz w:val="24"/>
          <w:szCs w:val="24"/>
        </w:rPr>
        <w:t xml:space="preserve"> à 8 mg indeholder 278,1 mg </w:t>
      </w:r>
      <w:proofErr w:type="spellStart"/>
      <w:r>
        <w:rPr>
          <w:sz w:val="24"/>
          <w:szCs w:val="24"/>
        </w:rPr>
        <w:t>lactose</w:t>
      </w:r>
      <w:proofErr w:type="spellEnd"/>
      <w:r>
        <w:rPr>
          <w:sz w:val="24"/>
          <w:szCs w:val="24"/>
        </w:rPr>
        <w:t xml:space="preserve"> (som monohydrat).</w:t>
      </w:r>
    </w:p>
    <w:p w:rsidR="002747FA" w:rsidRDefault="002747FA" w:rsidP="002747FA">
      <w:pPr>
        <w:ind w:left="851" w:right="707" w:hanging="851"/>
        <w:rPr>
          <w:noProof/>
          <w:sz w:val="24"/>
          <w:szCs w:val="24"/>
        </w:rPr>
      </w:pPr>
    </w:p>
    <w:p w:rsidR="002747FA" w:rsidRDefault="002747FA" w:rsidP="002747FA">
      <w:pPr>
        <w:ind w:left="851"/>
        <w:rPr>
          <w:noProof/>
          <w:sz w:val="24"/>
          <w:szCs w:val="24"/>
        </w:rPr>
      </w:pPr>
      <w:r>
        <w:rPr>
          <w:sz w:val="24"/>
          <w:szCs w:val="24"/>
        </w:rPr>
        <w:t>Alle hjælpestoffer er anført under pkt. 6.1.</w:t>
      </w:r>
    </w:p>
    <w:p w:rsidR="002747FA" w:rsidRPr="00692B44" w:rsidRDefault="002747FA" w:rsidP="002747FA">
      <w:pPr>
        <w:tabs>
          <w:tab w:val="left" w:pos="851"/>
        </w:tabs>
        <w:ind w:left="851"/>
        <w:rPr>
          <w:sz w:val="24"/>
          <w:szCs w:val="24"/>
        </w:rPr>
      </w:pPr>
    </w:p>
    <w:p w:rsidR="00A1374B" w:rsidRPr="00C84483" w:rsidRDefault="00A1374B" w:rsidP="00A1374B">
      <w:pPr>
        <w:tabs>
          <w:tab w:val="left" w:pos="851"/>
        </w:tabs>
        <w:ind w:left="851" w:hanging="851"/>
        <w:rPr>
          <w:b/>
          <w:sz w:val="24"/>
          <w:szCs w:val="24"/>
        </w:rPr>
      </w:pPr>
      <w:r w:rsidRPr="00C84483">
        <w:rPr>
          <w:b/>
          <w:sz w:val="24"/>
          <w:szCs w:val="24"/>
        </w:rPr>
        <w:t>3.</w:t>
      </w:r>
      <w:r w:rsidRPr="00C84483">
        <w:rPr>
          <w:b/>
          <w:sz w:val="24"/>
          <w:szCs w:val="24"/>
        </w:rPr>
        <w:tab/>
        <w:t>LÆGEMIDDELFORM</w:t>
      </w:r>
    </w:p>
    <w:p w:rsidR="002747FA" w:rsidRPr="00692B44" w:rsidRDefault="002747FA" w:rsidP="002747FA">
      <w:pPr>
        <w:ind w:left="851"/>
        <w:rPr>
          <w:noProof/>
          <w:sz w:val="24"/>
          <w:szCs w:val="24"/>
        </w:rPr>
      </w:pPr>
      <w:r w:rsidRPr="00692B44">
        <w:rPr>
          <w:sz w:val="24"/>
          <w:szCs w:val="24"/>
        </w:rPr>
        <w:t>Sublinguale resoribletter</w:t>
      </w:r>
    </w:p>
    <w:p w:rsidR="002747FA" w:rsidRPr="00692B44" w:rsidRDefault="002747FA" w:rsidP="002747FA">
      <w:pPr>
        <w:ind w:left="851" w:hanging="851"/>
        <w:rPr>
          <w:noProof/>
          <w:sz w:val="24"/>
          <w:szCs w:val="24"/>
        </w:rPr>
      </w:pPr>
    </w:p>
    <w:p w:rsidR="002747FA" w:rsidRPr="0096429A" w:rsidRDefault="002747FA" w:rsidP="002747FA">
      <w:pPr>
        <w:ind w:left="851"/>
        <w:rPr>
          <w:sz w:val="24"/>
          <w:szCs w:val="24"/>
          <w:u w:val="single"/>
        </w:rPr>
      </w:pPr>
      <w:r w:rsidRPr="0096429A">
        <w:rPr>
          <w:sz w:val="24"/>
          <w:szCs w:val="24"/>
          <w:u w:val="single"/>
        </w:rPr>
        <w:t>2 mg</w:t>
      </w:r>
    </w:p>
    <w:p w:rsidR="002747FA" w:rsidRPr="003D2A71" w:rsidRDefault="002747FA" w:rsidP="002747FA">
      <w:pPr>
        <w:ind w:left="851"/>
        <w:rPr>
          <w:sz w:val="24"/>
          <w:szCs w:val="24"/>
        </w:rPr>
      </w:pPr>
      <w:r w:rsidRPr="0010024B">
        <w:rPr>
          <w:sz w:val="24"/>
          <w:szCs w:val="24"/>
        </w:rPr>
        <w:t xml:space="preserve">Hvid til råhvid, oval </w:t>
      </w:r>
      <w:proofErr w:type="spellStart"/>
      <w:r w:rsidRPr="0010024B">
        <w:rPr>
          <w:sz w:val="24"/>
          <w:szCs w:val="24"/>
        </w:rPr>
        <w:t>resoriblet</w:t>
      </w:r>
      <w:proofErr w:type="spellEnd"/>
      <w:r w:rsidRPr="0010024B">
        <w:rPr>
          <w:sz w:val="24"/>
          <w:szCs w:val="24"/>
        </w:rPr>
        <w:t xml:space="preserve"> med delekærv på begge sider (9,4×4,0 mm).</w:t>
      </w:r>
    </w:p>
    <w:p w:rsidR="002747FA" w:rsidRPr="0010024B" w:rsidRDefault="002747FA" w:rsidP="002747FA">
      <w:pPr>
        <w:ind w:left="851"/>
        <w:rPr>
          <w:sz w:val="24"/>
          <w:szCs w:val="24"/>
        </w:rPr>
      </w:pPr>
    </w:p>
    <w:p w:rsidR="002747FA" w:rsidRPr="0096429A" w:rsidRDefault="0096429A" w:rsidP="002747FA">
      <w:pPr>
        <w:ind w:left="851"/>
        <w:rPr>
          <w:sz w:val="24"/>
          <w:szCs w:val="24"/>
          <w:u w:val="single"/>
        </w:rPr>
      </w:pPr>
      <w:r>
        <w:rPr>
          <w:sz w:val="24"/>
          <w:szCs w:val="24"/>
          <w:u w:val="single"/>
        </w:rPr>
        <w:t>8 mg</w:t>
      </w:r>
    </w:p>
    <w:p w:rsidR="002747FA" w:rsidRPr="0010024B" w:rsidRDefault="002747FA" w:rsidP="002747FA">
      <w:pPr>
        <w:ind w:left="851"/>
        <w:rPr>
          <w:sz w:val="24"/>
          <w:szCs w:val="24"/>
        </w:rPr>
      </w:pPr>
      <w:r w:rsidRPr="0010024B">
        <w:rPr>
          <w:sz w:val="24"/>
          <w:szCs w:val="24"/>
        </w:rPr>
        <w:t xml:space="preserve">Hvid til råhvid, oval </w:t>
      </w:r>
      <w:proofErr w:type="spellStart"/>
      <w:r w:rsidRPr="0010024B">
        <w:rPr>
          <w:sz w:val="24"/>
          <w:szCs w:val="24"/>
        </w:rPr>
        <w:t>resoriblet</w:t>
      </w:r>
      <w:proofErr w:type="spellEnd"/>
      <w:r w:rsidRPr="0010024B">
        <w:rPr>
          <w:sz w:val="24"/>
          <w:szCs w:val="24"/>
        </w:rPr>
        <w:t xml:space="preserve"> med delekærv på begge sider (13,5×6,6 mm).</w:t>
      </w:r>
    </w:p>
    <w:p w:rsidR="002747FA" w:rsidRPr="00692B44" w:rsidRDefault="002747FA" w:rsidP="002747FA">
      <w:pPr>
        <w:ind w:left="851" w:hanging="851"/>
        <w:rPr>
          <w:sz w:val="24"/>
          <w:szCs w:val="24"/>
        </w:rPr>
      </w:pPr>
    </w:p>
    <w:p w:rsidR="002747FA" w:rsidRPr="00692B44" w:rsidRDefault="002747FA" w:rsidP="002747FA">
      <w:pPr>
        <w:ind w:left="851"/>
        <w:rPr>
          <w:sz w:val="24"/>
          <w:szCs w:val="24"/>
        </w:rPr>
      </w:pPr>
      <w:proofErr w:type="spellStart"/>
      <w:r w:rsidRPr="00692B44">
        <w:rPr>
          <w:sz w:val="24"/>
          <w:szCs w:val="24"/>
        </w:rPr>
        <w:t>Resoribletterne</w:t>
      </w:r>
      <w:proofErr w:type="spellEnd"/>
      <w:r w:rsidRPr="00692B44">
        <w:rPr>
          <w:sz w:val="24"/>
          <w:szCs w:val="24"/>
        </w:rPr>
        <w:t xml:space="preserve"> (begge styrker) kan deles i to lige store halvdele.</w:t>
      </w:r>
    </w:p>
    <w:p w:rsidR="002747FA" w:rsidRDefault="002747FA" w:rsidP="002747FA">
      <w:pPr>
        <w:rPr>
          <w:sz w:val="24"/>
          <w:szCs w:val="24"/>
        </w:rPr>
      </w:pPr>
    </w:p>
    <w:p w:rsidR="00B76696" w:rsidRDefault="00B76696">
      <w:pPr>
        <w:rPr>
          <w:sz w:val="24"/>
          <w:szCs w:val="24"/>
        </w:rPr>
      </w:pPr>
      <w:r>
        <w:rPr>
          <w:sz w:val="24"/>
          <w:szCs w:val="24"/>
        </w:rPr>
        <w:lastRenderedPageBreak/>
        <w:br w:type="page"/>
      </w:r>
    </w:p>
    <w:p w:rsidR="002747FA" w:rsidRPr="00692B44" w:rsidRDefault="002747FA" w:rsidP="002747FA">
      <w:pPr>
        <w:tabs>
          <w:tab w:val="left" w:pos="851"/>
        </w:tabs>
        <w:ind w:left="851" w:hanging="851"/>
        <w:rPr>
          <w:sz w:val="24"/>
          <w:szCs w:val="24"/>
        </w:rPr>
      </w:pPr>
    </w:p>
    <w:p w:rsidR="00A1374B" w:rsidRPr="00C84483" w:rsidRDefault="00A1374B" w:rsidP="00A1374B">
      <w:pPr>
        <w:tabs>
          <w:tab w:val="left" w:pos="851"/>
        </w:tabs>
        <w:ind w:left="851" w:hanging="851"/>
        <w:rPr>
          <w:b/>
          <w:sz w:val="24"/>
          <w:szCs w:val="24"/>
        </w:rPr>
      </w:pPr>
      <w:r w:rsidRPr="00C84483">
        <w:rPr>
          <w:b/>
          <w:sz w:val="24"/>
          <w:szCs w:val="24"/>
        </w:rPr>
        <w:t>4.</w:t>
      </w:r>
      <w:r w:rsidRPr="00C84483">
        <w:rPr>
          <w:b/>
          <w:sz w:val="24"/>
          <w:szCs w:val="24"/>
        </w:rPr>
        <w:tab/>
        <w:t>KLINISKE OPLYSNINGER</w:t>
      </w:r>
    </w:p>
    <w:p w:rsidR="00A1374B" w:rsidRPr="00C84483" w:rsidRDefault="00A1374B" w:rsidP="00A1374B">
      <w:pPr>
        <w:tabs>
          <w:tab w:val="left" w:pos="851"/>
        </w:tabs>
        <w:ind w:left="851"/>
        <w:rPr>
          <w:b/>
          <w:sz w:val="24"/>
          <w:szCs w:val="24"/>
        </w:rPr>
      </w:pPr>
    </w:p>
    <w:p w:rsidR="00A1374B" w:rsidRPr="00C84483" w:rsidRDefault="00A1374B" w:rsidP="00A1374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747FA" w:rsidRDefault="002747FA" w:rsidP="002747FA">
      <w:pPr>
        <w:ind w:left="851" w:hanging="851"/>
        <w:rPr>
          <w:noProof/>
          <w:sz w:val="24"/>
          <w:szCs w:val="24"/>
        </w:rPr>
      </w:pPr>
      <w:r w:rsidRPr="00692B44">
        <w:rPr>
          <w:sz w:val="24"/>
          <w:szCs w:val="24"/>
        </w:rPr>
        <w:tab/>
      </w:r>
      <w:r>
        <w:rPr>
          <w:sz w:val="24"/>
          <w:szCs w:val="24"/>
        </w:rPr>
        <w:t>Substitutionsbehandling ved opioidafhængighed som en del af et program med medicinsk, social og psykologisk behandling.</w:t>
      </w:r>
    </w:p>
    <w:p w:rsidR="002747FA" w:rsidRDefault="002747FA" w:rsidP="002747FA">
      <w:pPr>
        <w:ind w:left="851" w:hanging="851"/>
        <w:rPr>
          <w:noProof/>
          <w:sz w:val="24"/>
          <w:szCs w:val="24"/>
        </w:rPr>
      </w:pPr>
    </w:p>
    <w:p w:rsidR="002747FA" w:rsidRDefault="002747FA" w:rsidP="002747FA">
      <w:pPr>
        <w:autoSpaceDE w:val="0"/>
        <w:autoSpaceDN w:val="0"/>
        <w:adjustRightInd w:val="0"/>
        <w:ind w:left="851"/>
        <w:rPr>
          <w:sz w:val="24"/>
          <w:szCs w:val="24"/>
        </w:rPr>
      </w:pPr>
      <w:proofErr w:type="spellStart"/>
      <w:r>
        <w:rPr>
          <w:sz w:val="24"/>
          <w:szCs w:val="24"/>
        </w:rPr>
        <w:t>Buprenorphine</w:t>
      </w:r>
      <w:proofErr w:type="spellEnd"/>
      <w:r>
        <w:rPr>
          <w:sz w:val="24"/>
          <w:szCs w:val="24"/>
        </w:rPr>
        <w:t xml:space="preserve"> </w:t>
      </w:r>
      <w:r w:rsidR="00CE77F8">
        <w:rPr>
          <w:sz w:val="24"/>
          <w:szCs w:val="24"/>
        </w:rPr>
        <w:t>"</w:t>
      </w:r>
      <w:r>
        <w:rPr>
          <w:sz w:val="24"/>
          <w:szCs w:val="24"/>
        </w:rPr>
        <w:t>Sandoz</w:t>
      </w:r>
      <w:r w:rsidR="00CE77F8">
        <w:rPr>
          <w:sz w:val="24"/>
          <w:szCs w:val="24"/>
        </w:rPr>
        <w:t>"</w:t>
      </w:r>
      <w:r>
        <w:rPr>
          <w:sz w:val="24"/>
          <w:szCs w:val="24"/>
        </w:rPr>
        <w:t xml:space="preserve"> er indiceret til voksne og unge i alderen 15 år og derover, som har indvilget i at komme i behandling på grund af opioidafhængighed.</w:t>
      </w:r>
    </w:p>
    <w:p w:rsidR="002747FA" w:rsidRPr="00692B44" w:rsidRDefault="002747FA" w:rsidP="002747FA">
      <w:pPr>
        <w:ind w:left="851" w:hanging="851"/>
        <w:rPr>
          <w:sz w:val="24"/>
          <w:szCs w:val="24"/>
        </w:rPr>
      </w:pPr>
    </w:p>
    <w:p w:rsidR="00A1374B" w:rsidRPr="00C84483" w:rsidRDefault="00A1374B" w:rsidP="00A1374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2747FA" w:rsidRDefault="002747FA" w:rsidP="002747FA">
      <w:pPr>
        <w:tabs>
          <w:tab w:val="num" w:pos="1418"/>
        </w:tabs>
        <w:autoSpaceDE w:val="0"/>
        <w:autoSpaceDN w:val="0"/>
        <w:adjustRightInd w:val="0"/>
        <w:ind w:left="851"/>
        <w:rPr>
          <w:b/>
          <w:sz w:val="24"/>
          <w:szCs w:val="24"/>
        </w:rPr>
      </w:pPr>
      <w:r>
        <w:rPr>
          <w:sz w:val="24"/>
          <w:szCs w:val="24"/>
        </w:rPr>
        <w:t>Behandlingen skal overvåges af en læge med erfaring i håndtering af opiatafhængighed.</w:t>
      </w:r>
    </w:p>
    <w:p w:rsidR="002747FA" w:rsidRDefault="002747FA" w:rsidP="002747FA">
      <w:pPr>
        <w:tabs>
          <w:tab w:val="num" w:pos="1418"/>
        </w:tabs>
        <w:ind w:left="851"/>
        <w:rPr>
          <w:noProof/>
          <w:sz w:val="24"/>
          <w:szCs w:val="24"/>
        </w:rPr>
      </w:pPr>
    </w:p>
    <w:p w:rsidR="002747FA" w:rsidRDefault="002747FA" w:rsidP="002747FA">
      <w:pPr>
        <w:ind w:left="851"/>
        <w:rPr>
          <w:noProof/>
          <w:sz w:val="24"/>
          <w:szCs w:val="24"/>
        </w:rPr>
      </w:pPr>
      <w:r>
        <w:rPr>
          <w:noProof/>
          <w:sz w:val="24"/>
          <w:szCs w:val="24"/>
        </w:rPr>
        <w:t>Resultatet af behandlingen er afhængig af den ordinerede dosis samt af de samlede medicinske, psykologiske, sociale og uddannelsesmæssige foranstaltninger der igangsættes for at monitorere patienten.</w:t>
      </w:r>
    </w:p>
    <w:p w:rsidR="002747FA" w:rsidRDefault="002747FA" w:rsidP="002747FA">
      <w:pPr>
        <w:ind w:left="851"/>
        <w:rPr>
          <w:noProof/>
          <w:sz w:val="24"/>
          <w:szCs w:val="24"/>
        </w:rPr>
      </w:pPr>
    </w:p>
    <w:p w:rsidR="002747FA" w:rsidRPr="003D2A71" w:rsidRDefault="002747FA" w:rsidP="002747FA">
      <w:pPr>
        <w:ind w:left="851"/>
        <w:rPr>
          <w:sz w:val="24"/>
          <w:szCs w:val="24"/>
          <w:u w:val="single"/>
        </w:rPr>
      </w:pPr>
      <w:r w:rsidRPr="003D2A71">
        <w:rPr>
          <w:sz w:val="24"/>
          <w:szCs w:val="24"/>
          <w:u w:val="single"/>
        </w:rPr>
        <w:t xml:space="preserve">Sikkerhedsforanstaltninger før administration af lægemidlet </w:t>
      </w:r>
    </w:p>
    <w:p w:rsidR="002747FA" w:rsidRPr="003D2A71" w:rsidRDefault="002747FA" w:rsidP="002747FA">
      <w:pPr>
        <w:ind w:left="851"/>
        <w:rPr>
          <w:sz w:val="24"/>
          <w:szCs w:val="24"/>
        </w:rPr>
      </w:pPr>
      <w:r w:rsidRPr="003D2A71">
        <w:rPr>
          <w:sz w:val="24"/>
          <w:szCs w:val="24"/>
        </w:rPr>
        <w:t xml:space="preserve">Inden der indledes behandling, skal lægen være opmærksom på </w:t>
      </w:r>
      <w:proofErr w:type="spellStart"/>
      <w:r w:rsidRPr="003D2A71">
        <w:rPr>
          <w:sz w:val="24"/>
          <w:szCs w:val="24"/>
        </w:rPr>
        <w:t>buprenorphins</w:t>
      </w:r>
      <w:proofErr w:type="spellEnd"/>
      <w:r w:rsidRPr="003D2A71">
        <w:rPr>
          <w:sz w:val="24"/>
          <w:szCs w:val="24"/>
        </w:rPr>
        <w:t xml:space="preserve"> profil som en partiel agonist af opiatreceptorerne, hvilket kan udløse et abstinenssyndrom hos opioidafhængige patienter. Det anbefales at udføre baselineleverfunktionstest og -dokumentation for viral hepatitis inden opstart af behandlingen. </w:t>
      </w:r>
    </w:p>
    <w:p w:rsidR="002747FA" w:rsidRPr="0010024B" w:rsidRDefault="002747FA" w:rsidP="002747FA">
      <w:pPr>
        <w:ind w:left="851"/>
        <w:rPr>
          <w:sz w:val="24"/>
          <w:szCs w:val="24"/>
        </w:rPr>
      </w:pPr>
      <w:r w:rsidRPr="0010024B">
        <w:rPr>
          <w:sz w:val="24"/>
          <w:szCs w:val="24"/>
        </w:rPr>
        <w:t xml:space="preserve">Der skal tages højde for, hvilken opioidtype patienten er afhængig af (dvs. langtids- eller korttidsvirkende opioid), hvornår patienten sidst har brugt et opioid samt graden af opioidafhængighed. For at undgå at der udløses abstinenser, skal induktion med </w:t>
      </w:r>
      <w:proofErr w:type="spellStart"/>
      <w:r w:rsidRPr="0010024B">
        <w:rPr>
          <w:sz w:val="24"/>
          <w:szCs w:val="24"/>
        </w:rPr>
        <w:t>buprenorp</w:t>
      </w:r>
      <w:r>
        <w:rPr>
          <w:sz w:val="24"/>
          <w:szCs w:val="24"/>
        </w:rPr>
        <w:t>h</w:t>
      </w:r>
      <w:r w:rsidRPr="0010024B">
        <w:rPr>
          <w:sz w:val="24"/>
          <w:szCs w:val="24"/>
        </w:rPr>
        <w:t>in</w:t>
      </w:r>
      <w:proofErr w:type="spellEnd"/>
      <w:r w:rsidRPr="0010024B">
        <w:rPr>
          <w:sz w:val="24"/>
          <w:szCs w:val="24"/>
        </w:rPr>
        <w:t xml:space="preserve"> iværksættes, når der er objektive og tydelige tegn på abstinenser (påvises f.eks. ved en score, der indikerer lette til moderate abstinenser på den validerede COWS (</w:t>
      </w:r>
      <w:proofErr w:type="spellStart"/>
      <w:r w:rsidRPr="0010024B">
        <w:rPr>
          <w:sz w:val="24"/>
          <w:szCs w:val="24"/>
        </w:rPr>
        <w:t>Clinical</w:t>
      </w:r>
      <w:proofErr w:type="spellEnd"/>
      <w:r w:rsidRPr="0010024B">
        <w:rPr>
          <w:sz w:val="24"/>
          <w:szCs w:val="24"/>
        </w:rPr>
        <w:t xml:space="preserve"> Opioid </w:t>
      </w:r>
      <w:proofErr w:type="spellStart"/>
      <w:r w:rsidRPr="0010024B">
        <w:rPr>
          <w:sz w:val="24"/>
          <w:szCs w:val="24"/>
        </w:rPr>
        <w:t>Withdrawal</w:t>
      </w:r>
      <w:proofErr w:type="spellEnd"/>
      <w:r w:rsidRPr="0010024B">
        <w:rPr>
          <w:sz w:val="24"/>
          <w:szCs w:val="24"/>
        </w:rPr>
        <w:t xml:space="preserve"> </w:t>
      </w:r>
      <w:proofErr w:type="spellStart"/>
      <w:r w:rsidRPr="0010024B">
        <w:rPr>
          <w:sz w:val="24"/>
          <w:szCs w:val="24"/>
        </w:rPr>
        <w:t>Scale</w:t>
      </w:r>
      <w:proofErr w:type="spellEnd"/>
      <w:r w:rsidRPr="0010024B">
        <w:rPr>
          <w:sz w:val="24"/>
          <w:szCs w:val="24"/>
        </w:rPr>
        <w:t xml:space="preserve">). </w:t>
      </w:r>
    </w:p>
    <w:p w:rsidR="002747FA" w:rsidRPr="0010024B" w:rsidRDefault="002747FA" w:rsidP="002747FA">
      <w:pPr>
        <w:ind w:left="851"/>
        <w:rPr>
          <w:sz w:val="24"/>
          <w:szCs w:val="24"/>
        </w:rPr>
      </w:pPr>
    </w:p>
    <w:p w:rsidR="002747FA" w:rsidRPr="0010024B" w:rsidRDefault="002747FA" w:rsidP="002747FA">
      <w:pPr>
        <w:ind w:left="851"/>
        <w:rPr>
          <w:sz w:val="24"/>
          <w:szCs w:val="24"/>
          <w:u w:val="single"/>
        </w:rPr>
      </w:pPr>
      <w:r w:rsidRPr="0010024B">
        <w:rPr>
          <w:sz w:val="24"/>
          <w:szCs w:val="24"/>
          <w:u w:val="single"/>
        </w:rPr>
        <w:t>Dosering</w:t>
      </w:r>
    </w:p>
    <w:p w:rsidR="002747FA" w:rsidRPr="003D2A71" w:rsidRDefault="002747FA" w:rsidP="002747FA">
      <w:pPr>
        <w:ind w:left="851"/>
        <w:rPr>
          <w:i/>
          <w:sz w:val="24"/>
          <w:szCs w:val="24"/>
        </w:rPr>
      </w:pPr>
      <w:r w:rsidRPr="0010024B">
        <w:rPr>
          <w:sz w:val="24"/>
          <w:szCs w:val="24"/>
        </w:rPr>
        <w:t>Startdosis er fra 0,8 mg til 4 mg, indgivet som en enkelt daglig dosis.</w:t>
      </w:r>
    </w:p>
    <w:p w:rsidR="002747FA" w:rsidRPr="003D2A71" w:rsidRDefault="002747FA" w:rsidP="002747FA">
      <w:pPr>
        <w:ind w:left="851"/>
        <w:rPr>
          <w:sz w:val="24"/>
          <w:szCs w:val="24"/>
        </w:rPr>
      </w:pPr>
    </w:p>
    <w:p w:rsidR="002747FA" w:rsidRPr="0010024B" w:rsidRDefault="002747FA" w:rsidP="002747FA">
      <w:pPr>
        <w:numPr>
          <w:ilvl w:val="0"/>
          <w:numId w:val="6"/>
        </w:numPr>
        <w:ind w:left="1134" w:hanging="283"/>
        <w:rPr>
          <w:sz w:val="24"/>
        </w:rPr>
      </w:pPr>
      <w:r w:rsidRPr="003D2A71">
        <w:rPr>
          <w:i/>
          <w:iCs/>
          <w:sz w:val="24"/>
        </w:rPr>
        <w:t>Patienter, der</w:t>
      </w:r>
      <w:r>
        <w:rPr>
          <w:i/>
          <w:iCs/>
          <w:sz w:val="24"/>
        </w:rPr>
        <w:t xml:space="preserve"> er</w:t>
      </w:r>
      <w:r w:rsidRPr="003D2A71">
        <w:rPr>
          <w:i/>
          <w:iCs/>
          <w:sz w:val="24"/>
        </w:rPr>
        <w:t xml:space="preserve"> afhængige af heroin eller korttidsvirkende opioider</w:t>
      </w:r>
      <w:r w:rsidR="00CE4186">
        <w:rPr>
          <w:sz w:val="24"/>
        </w:rPr>
        <w:br/>
      </w:r>
      <w:r w:rsidRPr="0010024B">
        <w:rPr>
          <w:sz w:val="24"/>
        </w:rPr>
        <w:t xml:space="preserve">Den første dosis </w:t>
      </w:r>
      <w:proofErr w:type="spellStart"/>
      <w:r w:rsidRPr="0010024B">
        <w:rPr>
          <w:sz w:val="24"/>
        </w:rPr>
        <w:t>buprenorphin</w:t>
      </w:r>
      <w:proofErr w:type="spellEnd"/>
      <w:r w:rsidRPr="0010024B">
        <w:rPr>
          <w:sz w:val="24"/>
        </w:rPr>
        <w:t xml:space="preserve"> skal administreres, når der indtræder objektive tegn på abstinenser, dog mindst 6 timer efter patienten sidst brugte opioider.</w:t>
      </w:r>
    </w:p>
    <w:p w:rsidR="002747FA" w:rsidRPr="0010024B" w:rsidRDefault="002747FA" w:rsidP="002747FA">
      <w:pPr>
        <w:numPr>
          <w:ilvl w:val="0"/>
          <w:numId w:val="6"/>
        </w:numPr>
        <w:ind w:left="1134" w:hanging="283"/>
        <w:rPr>
          <w:sz w:val="24"/>
        </w:rPr>
      </w:pPr>
      <w:r w:rsidRPr="003D2A71">
        <w:rPr>
          <w:i/>
          <w:iCs/>
          <w:sz w:val="24"/>
        </w:rPr>
        <w:t xml:space="preserve">Patienter, der får </w:t>
      </w:r>
      <w:proofErr w:type="spellStart"/>
      <w:r w:rsidRPr="003D2A71">
        <w:rPr>
          <w:i/>
          <w:iCs/>
          <w:sz w:val="24"/>
        </w:rPr>
        <w:t>methadon</w:t>
      </w:r>
      <w:proofErr w:type="spellEnd"/>
      <w:r w:rsidR="00CE4186">
        <w:rPr>
          <w:sz w:val="24"/>
        </w:rPr>
        <w:br/>
      </w:r>
      <w:r w:rsidRPr="0010024B">
        <w:rPr>
          <w:sz w:val="24"/>
        </w:rPr>
        <w:t xml:space="preserve">Før behandlingen med </w:t>
      </w:r>
      <w:proofErr w:type="spellStart"/>
      <w:r w:rsidRPr="0010024B">
        <w:rPr>
          <w:sz w:val="24"/>
        </w:rPr>
        <w:t>buprenorphin</w:t>
      </w:r>
      <w:proofErr w:type="spellEnd"/>
      <w:r w:rsidRPr="0010024B">
        <w:rPr>
          <w:sz w:val="24"/>
        </w:rPr>
        <w:t xml:space="preserve"> påbegyndes, skal dosen af </w:t>
      </w:r>
      <w:proofErr w:type="spellStart"/>
      <w:r w:rsidRPr="0010024B">
        <w:rPr>
          <w:sz w:val="24"/>
        </w:rPr>
        <w:t>methadon</w:t>
      </w:r>
      <w:proofErr w:type="spellEnd"/>
      <w:r w:rsidRPr="0010024B">
        <w:rPr>
          <w:sz w:val="24"/>
        </w:rPr>
        <w:t xml:space="preserve"> reduceres til maksimalt 30 mg/dag. </w:t>
      </w:r>
      <w:proofErr w:type="spellStart"/>
      <w:r w:rsidRPr="0010024B">
        <w:rPr>
          <w:sz w:val="24"/>
        </w:rPr>
        <w:t>Buprenorphin</w:t>
      </w:r>
      <w:proofErr w:type="spellEnd"/>
      <w:r w:rsidRPr="0010024B">
        <w:rPr>
          <w:sz w:val="24"/>
        </w:rPr>
        <w:t xml:space="preserve"> kan udløse abstinenssymptomer hos patienter, der er afhængige af </w:t>
      </w:r>
      <w:proofErr w:type="spellStart"/>
      <w:r w:rsidRPr="0010024B">
        <w:rPr>
          <w:sz w:val="24"/>
        </w:rPr>
        <w:t>methadon</w:t>
      </w:r>
      <w:proofErr w:type="spellEnd"/>
      <w:r w:rsidRPr="0010024B">
        <w:rPr>
          <w:sz w:val="24"/>
        </w:rPr>
        <w:t xml:space="preserve">. Den første dosis </w:t>
      </w:r>
      <w:proofErr w:type="spellStart"/>
      <w:r w:rsidRPr="0010024B">
        <w:rPr>
          <w:sz w:val="24"/>
        </w:rPr>
        <w:t>buprenorphin</w:t>
      </w:r>
      <w:proofErr w:type="spellEnd"/>
      <w:r w:rsidRPr="0010024B">
        <w:rPr>
          <w:sz w:val="24"/>
        </w:rPr>
        <w:t xml:space="preserve"> skal først administreres, når der indtræder objektive tegn på abstinenser, dog generelt mindst 24 timer efter patienten sidst anvendte </w:t>
      </w:r>
      <w:proofErr w:type="spellStart"/>
      <w:r w:rsidRPr="0010024B">
        <w:rPr>
          <w:sz w:val="24"/>
        </w:rPr>
        <w:t>methadon</w:t>
      </w:r>
      <w:proofErr w:type="spellEnd"/>
      <w:r w:rsidRPr="0010024B">
        <w:rPr>
          <w:sz w:val="24"/>
          <w:szCs w:val="24"/>
          <w:lang w:eastAsia="ja-JP"/>
        </w:rPr>
        <w:t xml:space="preserve"> </w:t>
      </w:r>
      <w:r w:rsidRPr="0010024B">
        <w:rPr>
          <w:sz w:val="24"/>
        </w:rPr>
        <w:t xml:space="preserve">pga. den lange halveringstid af </w:t>
      </w:r>
      <w:proofErr w:type="spellStart"/>
      <w:r w:rsidRPr="0010024B">
        <w:rPr>
          <w:sz w:val="24"/>
        </w:rPr>
        <w:t>methadon</w:t>
      </w:r>
      <w:proofErr w:type="spellEnd"/>
      <w:r w:rsidRPr="0010024B">
        <w:rPr>
          <w:sz w:val="24"/>
        </w:rPr>
        <w:t>.</w:t>
      </w:r>
    </w:p>
    <w:p w:rsidR="002747FA" w:rsidRDefault="002747FA" w:rsidP="002747FA">
      <w:pPr>
        <w:ind w:left="851"/>
        <w:rPr>
          <w:noProof/>
          <w:sz w:val="24"/>
          <w:szCs w:val="24"/>
        </w:rPr>
      </w:pPr>
    </w:p>
    <w:p w:rsidR="002747FA" w:rsidRDefault="002747FA" w:rsidP="002747FA">
      <w:pPr>
        <w:ind w:left="851"/>
        <w:rPr>
          <w:i/>
          <w:sz w:val="24"/>
          <w:szCs w:val="24"/>
        </w:rPr>
      </w:pPr>
      <w:r>
        <w:rPr>
          <w:i/>
          <w:sz w:val="24"/>
          <w:szCs w:val="24"/>
        </w:rPr>
        <w:t>Justering og vedligeholdelse af dosis</w:t>
      </w:r>
    </w:p>
    <w:p w:rsidR="002747FA" w:rsidRDefault="002747FA" w:rsidP="002747FA">
      <w:pPr>
        <w:ind w:left="851"/>
        <w:rPr>
          <w:noProof/>
          <w:sz w:val="24"/>
          <w:szCs w:val="24"/>
        </w:rPr>
      </w:pPr>
      <w:r>
        <w:rPr>
          <w:sz w:val="24"/>
          <w:szCs w:val="24"/>
        </w:rPr>
        <w:t xml:space="preserve">Dosen af </w:t>
      </w:r>
      <w:proofErr w:type="spellStart"/>
      <w:r>
        <w:rPr>
          <w:sz w:val="24"/>
          <w:szCs w:val="24"/>
        </w:rPr>
        <w:t>buprenorphin</w:t>
      </w:r>
      <w:proofErr w:type="spellEnd"/>
      <w:r>
        <w:rPr>
          <w:sz w:val="24"/>
          <w:szCs w:val="24"/>
        </w:rPr>
        <w:t xml:space="preserve"> skal gradvist øges i henhold til den kliniske effekt hos den enkelte patient.</w:t>
      </w:r>
      <w:r>
        <w:rPr>
          <w:noProof/>
          <w:sz w:val="24"/>
          <w:szCs w:val="24"/>
        </w:rPr>
        <w:t xml:space="preserve"> </w:t>
      </w:r>
    </w:p>
    <w:p w:rsidR="002747FA" w:rsidRDefault="002747FA" w:rsidP="002747FA">
      <w:pPr>
        <w:ind w:left="851"/>
        <w:rPr>
          <w:sz w:val="24"/>
          <w:szCs w:val="24"/>
        </w:rPr>
      </w:pPr>
    </w:p>
    <w:p w:rsidR="002747FA" w:rsidRDefault="002747FA" w:rsidP="002747FA">
      <w:pPr>
        <w:ind w:left="851"/>
        <w:rPr>
          <w:noProof/>
          <w:sz w:val="24"/>
          <w:szCs w:val="24"/>
        </w:rPr>
      </w:pPr>
      <w:r>
        <w:rPr>
          <w:sz w:val="24"/>
          <w:szCs w:val="24"/>
        </w:rPr>
        <w:t xml:space="preserve">Den gennemsnitlige daglige vedligeholdelsesdosis er 8 mg. De fleste patienter har ikke behov for doser over 16 mg/dag. Der er dog foretaget undersøgelser af effekten og sikkerheden af sublinguale resoribletter indeholdende </w:t>
      </w:r>
      <w:proofErr w:type="spellStart"/>
      <w:r>
        <w:rPr>
          <w:sz w:val="24"/>
          <w:szCs w:val="24"/>
        </w:rPr>
        <w:t>buprenorphin</w:t>
      </w:r>
      <w:proofErr w:type="spellEnd"/>
      <w:r>
        <w:rPr>
          <w:sz w:val="24"/>
          <w:szCs w:val="24"/>
        </w:rPr>
        <w:t xml:space="preserve"> i kliniske forsøg med doser på op til 24 mg dagligt.</w:t>
      </w:r>
    </w:p>
    <w:p w:rsidR="002747FA" w:rsidRDefault="002747FA" w:rsidP="002747FA">
      <w:pPr>
        <w:ind w:left="851"/>
        <w:rPr>
          <w:sz w:val="24"/>
          <w:szCs w:val="24"/>
        </w:rPr>
      </w:pPr>
    </w:p>
    <w:p w:rsidR="002747FA" w:rsidRPr="0010024B" w:rsidRDefault="002747FA" w:rsidP="002747FA">
      <w:pPr>
        <w:ind w:left="851"/>
        <w:rPr>
          <w:sz w:val="24"/>
          <w:szCs w:val="24"/>
        </w:rPr>
      </w:pPr>
      <w:r w:rsidRPr="0010024B">
        <w:rPr>
          <w:sz w:val="24"/>
          <w:szCs w:val="24"/>
        </w:rPr>
        <w:lastRenderedPageBreak/>
        <w:t>Doseringen titreres i henhold til vurderingen af patientens kliniske og mentale status; den maksimale daglige dosis bør ikke overskride 24 mg</w:t>
      </w:r>
      <w:r>
        <w:rPr>
          <w:sz w:val="24"/>
          <w:szCs w:val="24"/>
        </w:rPr>
        <w:t xml:space="preserve"> </w:t>
      </w:r>
      <w:proofErr w:type="spellStart"/>
      <w:r w:rsidRPr="0010024B">
        <w:rPr>
          <w:sz w:val="24"/>
          <w:szCs w:val="24"/>
        </w:rPr>
        <w:t>buprenorphin</w:t>
      </w:r>
      <w:proofErr w:type="spellEnd"/>
      <w:r w:rsidRPr="0010024B">
        <w:rPr>
          <w:sz w:val="24"/>
          <w:szCs w:val="24"/>
        </w:rPr>
        <w:t>.</w:t>
      </w:r>
    </w:p>
    <w:p w:rsidR="002747FA" w:rsidRDefault="002747FA" w:rsidP="002747FA">
      <w:pPr>
        <w:rPr>
          <w:sz w:val="24"/>
          <w:szCs w:val="24"/>
        </w:rPr>
      </w:pPr>
    </w:p>
    <w:p w:rsidR="002747FA" w:rsidRDefault="002747FA" w:rsidP="002747FA">
      <w:pPr>
        <w:autoSpaceDE w:val="0"/>
        <w:autoSpaceDN w:val="0"/>
        <w:adjustRightInd w:val="0"/>
        <w:ind w:left="851"/>
        <w:rPr>
          <w:rFonts w:ascii="TimesNewRoman,Italic" w:hAnsi="TimesNewRoman,Italic" w:cs="TimesNewRoman,Italic"/>
          <w:i/>
          <w:iCs/>
          <w:sz w:val="24"/>
          <w:szCs w:val="24"/>
          <w:lang w:eastAsia="da-DK"/>
        </w:rPr>
      </w:pPr>
      <w:r>
        <w:rPr>
          <w:rFonts w:ascii="TimesNewRoman,Italic" w:hAnsi="TimesNewRoman,Italic" w:cs="TimesNewRoman,Italic"/>
          <w:i/>
          <w:iCs/>
          <w:sz w:val="24"/>
          <w:szCs w:val="24"/>
          <w:lang w:eastAsia="da-DK"/>
        </w:rPr>
        <w:t>Mindre end daglig dosering</w:t>
      </w:r>
    </w:p>
    <w:p w:rsidR="002747FA" w:rsidRDefault="002747FA" w:rsidP="002747FA">
      <w:pPr>
        <w:autoSpaceDE w:val="0"/>
        <w:autoSpaceDN w:val="0"/>
        <w:adjustRightInd w:val="0"/>
        <w:ind w:left="851"/>
        <w:rPr>
          <w:rFonts w:ascii="TimesNewRoman" w:hAnsi="TimesNewRoman" w:cs="TimesNewRoman"/>
          <w:sz w:val="24"/>
          <w:szCs w:val="24"/>
          <w:lang w:eastAsia="da-DK"/>
        </w:rPr>
      </w:pPr>
      <w:r>
        <w:rPr>
          <w:rFonts w:ascii="TimesNewRoman" w:hAnsi="TimesNewRoman" w:cs="TimesNewRoman" w:hint="cs"/>
          <w:sz w:val="24"/>
          <w:szCs w:val="24"/>
          <w:lang w:eastAsia="da-DK"/>
        </w:rPr>
        <w:t>Når der er opnået en tilfredsstillende stabilisering, kan doseringshyppigheden nedsættes til en dobbelt dosis hver anden dag af den individuelt titrerede daglige dosis. For eksempel kan en patient, der er stabiliseret til at modtage en daglig dosis på 8 mg modtage 16 mg hver anden dag, uden nogen dosis på de mellemliggende dage. Hos nogle patienter, kan doseringshyppigheden nedsættes til 3 gange om ugen (for eksempel mandag, onsdag og fredag), når der er opnået stabilisering. Mandag og onsdag skal dosis være det dobbelte af den individuelt titrerede daglige dosis, og fredag skal dosis være det tredobbelte af den individuelt titrerede daglige dosis, uden nogen dosis på de mellemliggende dage. Dog bør den dosis, der gives en enkelt dag, ikke overskride 24 mg. Patienter, der kræver en titreret daglig dosis</w:t>
      </w:r>
      <w:r>
        <w:rPr>
          <w:rFonts w:ascii="TimesNewRoman" w:hAnsi="TimesNewRoman" w:cs="TimesNewRoman"/>
          <w:sz w:val="24"/>
          <w:szCs w:val="24"/>
          <w:lang w:eastAsia="da-DK"/>
        </w:rPr>
        <w:t xml:space="preserve"> over</w:t>
      </w:r>
      <w:r>
        <w:rPr>
          <w:rFonts w:ascii="TimesNewRoman" w:hAnsi="TimesNewRoman" w:cs="TimesNewRoman" w:hint="cs"/>
          <w:sz w:val="24"/>
          <w:szCs w:val="24"/>
          <w:lang w:eastAsia="da-DK"/>
        </w:rPr>
        <w:t xml:space="preserve"> 8 mg, finder muligvis ikke denne dosering tilstrækkelig.</w:t>
      </w:r>
    </w:p>
    <w:p w:rsidR="002747FA" w:rsidRDefault="002747FA" w:rsidP="002747FA">
      <w:pPr>
        <w:autoSpaceDE w:val="0"/>
        <w:autoSpaceDN w:val="0"/>
        <w:adjustRightInd w:val="0"/>
        <w:ind w:left="851"/>
        <w:rPr>
          <w:noProof/>
          <w:sz w:val="24"/>
          <w:szCs w:val="24"/>
        </w:rPr>
      </w:pPr>
    </w:p>
    <w:p w:rsidR="002747FA" w:rsidRDefault="002747FA" w:rsidP="002747FA">
      <w:pPr>
        <w:ind w:left="851"/>
        <w:rPr>
          <w:i/>
          <w:noProof/>
          <w:sz w:val="24"/>
          <w:szCs w:val="24"/>
        </w:rPr>
      </w:pPr>
      <w:r>
        <w:rPr>
          <w:i/>
          <w:sz w:val="24"/>
          <w:szCs w:val="24"/>
        </w:rPr>
        <w:t>Dosisreduktion og behandlingsophør</w:t>
      </w:r>
    </w:p>
    <w:p w:rsidR="002747FA" w:rsidRDefault="002747FA" w:rsidP="002747FA">
      <w:pPr>
        <w:ind w:left="851"/>
        <w:rPr>
          <w:noProof/>
          <w:sz w:val="24"/>
          <w:szCs w:val="24"/>
        </w:rPr>
      </w:pPr>
      <w:r>
        <w:rPr>
          <w:sz w:val="24"/>
          <w:szCs w:val="24"/>
        </w:rPr>
        <w:t>Når der er opnået en tilfredsstillende stabilisering af patienten, kan doseringen gradvist reduceres til en lavere vedligeholdelsesdosis. Når det vurderes at være relevant, kan behandlingen seponeres hos nogle patienter.</w:t>
      </w:r>
      <w:r>
        <w:rPr>
          <w:noProof/>
          <w:sz w:val="24"/>
          <w:szCs w:val="24"/>
        </w:rPr>
        <w:t xml:space="preserve"> </w:t>
      </w:r>
    </w:p>
    <w:p w:rsidR="002747FA" w:rsidRDefault="002747FA" w:rsidP="002747FA">
      <w:pPr>
        <w:ind w:left="851"/>
        <w:rPr>
          <w:noProof/>
          <w:sz w:val="24"/>
          <w:szCs w:val="24"/>
        </w:rPr>
      </w:pPr>
    </w:p>
    <w:p w:rsidR="002747FA" w:rsidRDefault="002747FA" w:rsidP="002747FA">
      <w:pPr>
        <w:ind w:left="851"/>
        <w:rPr>
          <w:noProof/>
          <w:sz w:val="24"/>
          <w:szCs w:val="24"/>
        </w:rPr>
      </w:pPr>
      <w:r>
        <w:rPr>
          <w:sz w:val="24"/>
          <w:szCs w:val="24"/>
        </w:rPr>
        <w:t xml:space="preserve">Da den sublinguale </w:t>
      </w:r>
      <w:proofErr w:type="spellStart"/>
      <w:r>
        <w:rPr>
          <w:sz w:val="24"/>
          <w:szCs w:val="24"/>
        </w:rPr>
        <w:t>resoriblet</w:t>
      </w:r>
      <w:proofErr w:type="spellEnd"/>
      <w:r>
        <w:rPr>
          <w:sz w:val="24"/>
          <w:szCs w:val="24"/>
        </w:rPr>
        <w:t xml:space="preserve"> fås i doser på henholdsvis 2 mg (kan deles i to; 2 x 1 mg) og 8 mg (kan deles i to; 2 x 4 mg), er det muligt at nedtitrere dosen.</w:t>
      </w:r>
      <w:r>
        <w:rPr>
          <w:noProof/>
          <w:sz w:val="24"/>
          <w:szCs w:val="24"/>
        </w:rPr>
        <w:t xml:space="preserve"> </w:t>
      </w:r>
      <w:r>
        <w:rPr>
          <w:sz w:val="24"/>
          <w:szCs w:val="24"/>
        </w:rPr>
        <w:t xml:space="preserve">Patienterne skal monitoreres efter </w:t>
      </w:r>
      <w:proofErr w:type="spellStart"/>
      <w:r>
        <w:rPr>
          <w:sz w:val="24"/>
          <w:szCs w:val="24"/>
        </w:rPr>
        <w:t>seponering</w:t>
      </w:r>
      <w:proofErr w:type="spellEnd"/>
      <w:r>
        <w:rPr>
          <w:sz w:val="24"/>
          <w:szCs w:val="24"/>
        </w:rPr>
        <w:t xml:space="preserve"> af behandlingen med </w:t>
      </w:r>
      <w:proofErr w:type="spellStart"/>
      <w:r>
        <w:rPr>
          <w:sz w:val="24"/>
          <w:szCs w:val="24"/>
        </w:rPr>
        <w:t>buprenorphin</w:t>
      </w:r>
      <w:proofErr w:type="spellEnd"/>
      <w:r>
        <w:rPr>
          <w:sz w:val="24"/>
          <w:szCs w:val="24"/>
        </w:rPr>
        <w:t xml:space="preserve"> på grund af potentialet for tilbagefald.</w:t>
      </w:r>
    </w:p>
    <w:p w:rsidR="002747FA" w:rsidRDefault="002747FA" w:rsidP="002747FA">
      <w:pPr>
        <w:pStyle w:val="Brdtekst"/>
        <w:ind w:left="851"/>
        <w:rPr>
          <w:rFonts w:ascii="Times New Roman" w:hAnsi="Times New Roman"/>
          <w:b w:val="0"/>
          <w:sz w:val="24"/>
          <w:szCs w:val="24"/>
          <w:lang w:val="da-DK"/>
        </w:rPr>
      </w:pPr>
    </w:p>
    <w:p w:rsidR="002747FA" w:rsidRPr="009E2565" w:rsidRDefault="002747FA" w:rsidP="002747FA">
      <w:pPr>
        <w:ind w:left="851"/>
        <w:rPr>
          <w:sz w:val="24"/>
          <w:szCs w:val="24"/>
          <w:u w:val="single"/>
        </w:rPr>
      </w:pPr>
      <w:r w:rsidRPr="009E2565">
        <w:rPr>
          <w:sz w:val="24"/>
          <w:szCs w:val="24"/>
          <w:u w:val="single"/>
        </w:rPr>
        <w:t>Særlige populationer</w:t>
      </w:r>
    </w:p>
    <w:p w:rsidR="00CE4186" w:rsidRDefault="00CE4186" w:rsidP="002747FA">
      <w:pPr>
        <w:pStyle w:val="Brdtekst"/>
        <w:ind w:left="851"/>
        <w:rPr>
          <w:rFonts w:ascii="Times New Roman" w:hAnsi="Times New Roman"/>
          <w:b w:val="0"/>
          <w:bCs/>
          <w:i/>
          <w:noProof/>
          <w:sz w:val="24"/>
          <w:szCs w:val="24"/>
          <w:lang w:val="da-DK"/>
        </w:rPr>
      </w:pPr>
    </w:p>
    <w:p w:rsidR="002747FA" w:rsidRDefault="002747FA" w:rsidP="002747FA">
      <w:pPr>
        <w:pStyle w:val="Brdtekst"/>
        <w:ind w:left="851"/>
        <w:rPr>
          <w:rFonts w:ascii="Times New Roman" w:hAnsi="Times New Roman"/>
          <w:b w:val="0"/>
          <w:bCs/>
          <w:i/>
          <w:noProof/>
          <w:sz w:val="24"/>
          <w:szCs w:val="24"/>
          <w:lang w:val="da-DK"/>
        </w:rPr>
      </w:pPr>
      <w:r>
        <w:rPr>
          <w:rFonts w:ascii="Times New Roman" w:hAnsi="Times New Roman"/>
          <w:b w:val="0"/>
          <w:bCs/>
          <w:i/>
          <w:noProof/>
          <w:sz w:val="24"/>
          <w:szCs w:val="24"/>
          <w:lang w:val="da-DK"/>
        </w:rPr>
        <w:t>Ældre</w:t>
      </w:r>
    </w:p>
    <w:p w:rsidR="002747FA" w:rsidRDefault="002747FA" w:rsidP="002747FA">
      <w:pPr>
        <w:pStyle w:val="Brdtekst"/>
        <w:ind w:left="851"/>
        <w:rPr>
          <w:rFonts w:ascii="Times New Roman" w:hAnsi="Times New Roman"/>
          <w:b w:val="0"/>
          <w:sz w:val="24"/>
          <w:szCs w:val="24"/>
          <w:lang w:val="da-DK"/>
        </w:rPr>
      </w:pPr>
      <w:r>
        <w:rPr>
          <w:rFonts w:ascii="Times New Roman" w:hAnsi="Times New Roman"/>
          <w:b w:val="0"/>
          <w:sz w:val="24"/>
          <w:szCs w:val="24"/>
          <w:lang w:val="da-DK"/>
        </w:rPr>
        <w:t xml:space="preserve">Sikkerhed og virkning af </w:t>
      </w:r>
      <w:proofErr w:type="spellStart"/>
      <w:r>
        <w:rPr>
          <w:rFonts w:ascii="Times New Roman" w:hAnsi="Times New Roman"/>
          <w:b w:val="0"/>
          <w:sz w:val="24"/>
          <w:szCs w:val="24"/>
          <w:lang w:val="da-DK"/>
        </w:rPr>
        <w:t>buprenorphin</w:t>
      </w:r>
      <w:proofErr w:type="spellEnd"/>
      <w:r>
        <w:rPr>
          <w:rFonts w:ascii="Times New Roman" w:hAnsi="Times New Roman"/>
          <w:b w:val="0"/>
          <w:sz w:val="24"/>
          <w:szCs w:val="24"/>
          <w:lang w:val="da-DK"/>
        </w:rPr>
        <w:t xml:space="preserve"> hos ældre patienter over 65 år er ikke klarlagt.</w:t>
      </w:r>
    </w:p>
    <w:p w:rsidR="002747FA" w:rsidRDefault="002747FA" w:rsidP="002747FA">
      <w:pPr>
        <w:pStyle w:val="Brdtekst"/>
        <w:ind w:left="851"/>
        <w:rPr>
          <w:rFonts w:ascii="Times New Roman" w:hAnsi="Times New Roman"/>
          <w:b w:val="0"/>
          <w:sz w:val="24"/>
          <w:szCs w:val="24"/>
          <w:lang w:val="da-DK"/>
        </w:rPr>
      </w:pPr>
    </w:p>
    <w:p w:rsidR="002747FA" w:rsidRPr="0010024B" w:rsidRDefault="002747FA" w:rsidP="002747FA">
      <w:pPr>
        <w:ind w:left="851"/>
        <w:rPr>
          <w:i/>
          <w:sz w:val="24"/>
          <w:szCs w:val="24"/>
        </w:rPr>
      </w:pPr>
      <w:r w:rsidRPr="0010024B">
        <w:rPr>
          <w:i/>
          <w:sz w:val="24"/>
          <w:szCs w:val="24"/>
        </w:rPr>
        <w:t>Nedsat leverfunktion</w:t>
      </w:r>
    </w:p>
    <w:p w:rsidR="002747FA" w:rsidRPr="0010024B" w:rsidRDefault="002747FA" w:rsidP="002747FA">
      <w:pPr>
        <w:ind w:left="851"/>
        <w:rPr>
          <w:sz w:val="24"/>
          <w:szCs w:val="24"/>
        </w:rPr>
      </w:pPr>
      <w:r w:rsidRPr="0010024B">
        <w:rPr>
          <w:sz w:val="24"/>
          <w:szCs w:val="24"/>
        </w:rPr>
        <w:t xml:space="preserve">Patienter, der er positive for viral hepatitis, er i samtidig behandling med andre lægemidler og/eller har nedsat leverfunktion, har større risiko for leverskade. Patienter bør monitoreres for tegn og symptomer på toksicitet eller overdosering som følge af øgede </w:t>
      </w:r>
      <w:proofErr w:type="spellStart"/>
      <w:r w:rsidRPr="0010024B">
        <w:rPr>
          <w:sz w:val="24"/>
          <w:szCs w:val="24"/>
        </w:rPr>
        <w:t>buprenorphin</w:t>
      </w:r>
      <w:r>
        <w:rPr>
          <w:sz w:val="24"/>
          <w:szCs w:val="24"/>
        </w:rPr>
        <w:softHyphen/>
      </w:r>
      <w:r w:rsidRPr="0010024B">
        <w:rPr>
          <w:sz w:val="24"/>
          <w:szCs w:val="24"/>
        </w:rPr>
        <w:t>niveauer</w:t>
      </w:r>
      <w:proofErr w:type="spellEnd"/>
      <w:r w:rsidRPr="0010024B">
        <w:rPr>
          <w:sz w:val="24"/>
          <w:szCs w:val="24"/>
        </w:rPr>
        <w:t xml:space="preserve"> (se pkt. 4.4). </w:t>
      </w:r>
      <w:proofErr w:type="spellStart"/>
      <w:r w:rsidRPr="0010024B">
        <w:rPr>
          <w:sz w:val="24"/>
          <w:szCs w:val="24"/>
        </w:rPr>
        <w:t>Buprenorphin</w:t>
      </w:r>
      <w:proofErr w:type="spellEnd"/>
      <w:r w:rsidRPr="0010024B">
        <w:rPr>
          <w:sz w:val="24"/>
          <w:szCs w:val="24"/>
        </w:rPr>
        <w:t xml:space="preserve"> bør anvendes med forsigtighed hos patienter med nedsat leverfunktion (se pkt. 5.2). </w:t>
      </w:r>
      <w:proofErr w:type="spellStart"/>
      <w:r w:rsidRPr="0010024B">
        <w:rPr>
          <w:sz w:val="24"/>
          <w:szCs w:val="24"/>
        </w:rPr>
        <w:t>Buprenorphin</w:t>
      </w:r>
      <w:proofErr w:type="spellEnd"/>
      <w:r w:rsidRPr="0010024B">
        <w:rPr>
          <w:sz w:val="24"/>
          <w:szCs w:val="24"/>
        </w:rPr>
        <w:t xml:space="preserve"> er kontraindiceret hos patienter med svær leverinsufficiens (se pkt. 4.3).</w:t>
      </w:r>
    </w:p>
    <w:p w:rsidR="002747FA" w:rsidRPr="0010024B" w:rsidRDefault="002747FA" w:rsidP="002747FA">
      <w:pPr>
        <w:ind w:left="851"/>
        <w:rPr>
          <w:sz w:val="24"/>
          <w:szCs w:val="24"/>
        </w:rPr>
      </w:pPr>
    </w:p>
    <w:p w:rsidR="002747FA" w:rsidRPr="0010024B" w:rsidRDefault="002747FA" w:rsidP="002747FA">
      <w:pPr>
        <w:ind w:left="851"/>
        <w:rPr>
          <w:i/>
          <w:sz w:val="24"/>
          <w:szCs w:val="24"/>
        </w:rPr>
      </w:pPr>
      <w:r w:rsidRPr="0010024B">
        <w:rPr>
          <w:i/>
          <w:sz w:val="24"/>
          <w:szCs w:val="24"/>
        </w:rPr>
        <w:t>Nedsat nyrefunktion</w:t>
      </w:r>
    </w:p>
    <w:p w:rsidR="002747FA" w:rsidRPr="0010024B" w:rsidRDefault="002747FA" w:rsidP="002747FA">
      <w:pPr>
        <w:ind w:left="851"/>
        <w:rPr>
          <w:sz w:val="24"/>
          <w:szCs w:val="24"/>
        </w:rPr>
      </w:pPr>
      <w:r w:rsidRPr="0010024B">
        <w:rPr>
          <w:sz w:val="24"/>
          <w:szCs w:val="24"/>
        </w:rPr>
        <w:t xml:space="preserve">Justering af </w:t>
      </w:r>
      <w:proofErr w:type="spellStart"/>
      <w:r w:rsidRPr="0010024B">
        <w:rPr>
          <w:sz w:val="24"/>
          <w:szCs w:val="24"/>
        </w:rPr>
        <w:t>buprenorphin</w:t>
      </w:r>
      <w:proofErr w:type="spellEnd"/>
      <w:r>
        <w:rPr>
          <w:sz w:val="24"/>
          <w:szCs w:val="24"/>
        </w:rPr>
        <w:t>-</w:t>
      </w:r>
      <w:r w:rsidRPr="0010024B">
        <w:rPr>
          <w:sz w:val="24"/>
          <w:szCs w:val="24"/>
        </w:rPr>
        <w:t>dosis er normalt ikke nødvendig hos patienter med nedsat nyrefunktion. Forsigtighed anbefales hos patienter med alvorligt nedsat nyrefunktion (</w:t>
      </w:r>
      <w:proofErr w:type="spellStart"/>
      <w:r w:rsidRPr="0010024B">
        <w:rPr>
          <w:sz w:val="24"/>
          <w:szCs w:val="24"/>
        </w:rPr>
        <w:t>kreatininclearance</w:t>
      </w:r>
      <w:proofErr w:type="spellEnd"/>
      <w:r w:rsidRPr="0010024B">
        <w:rPr>
          <w:sz w:val="24"/>
          <w:szCs w:val="24"/>
        </w:rPr>
        <w:t xml:space="preserve"> &lt; 30 ml/min)</w:t>
      </w:r>
      <w:r>
        <w:rPr>
          <w:sz w:val="24"/>
          <w:szCs w:val="24"/>
        </w:rPr>
        <w:t>, som kan kræve dosisjustering (se pkt. 5.2)</w:t>
      </w:r>
      <w:r w:rsidRPr="0010024B">
        <w:rPr>
          <w:sz w:val="24"/>
          <w:szCs w:val="24"/>
        </w:rPr>
        <w:t>.</w:t>
      </w:r>
    </w:p>
    <w:p w:rsidR="002747FA" w:rsidRPr="0010024B" w:rsidRDefault="002747FA" w:rsidP="002747FA">
      <w:pPr>
        <w:ind w:left="851"/>
        <w:rPr>
          <w:sz w:val="24"/>
          <w:szCs w:val="24"/>
        </w:rPr>
      </w:pPr>
    </w:p>
    <w:p w:rsidR="002747FA" w:rsidRPr="003D2A71" w:rsidRDefault="002747FA" w:rsidP="002747FA">
      <w:pPr>
        <w:ind w:left="851"/>
        <w:rPr>
          <w:i/>
          <w:iCs/>
          <w:sz w:val="24"/>
          <w:szCs w:val="24"/>
        </w:rPr>
      </w:pPr>
      <w:r w:rsidRPr="003D2A71">
        <w:rPr>
          <w:i/>
          <w:iCs/>
          <w:sz w:val="24"/>
          <w:szCs w:val="24"/>
        </w:rPr>
        <w:t>Pædiatrisk population</w:t>
      </w:r>
    </w:p>
    <w:p w:rsidR="002747FA" w:rsidRPr="0010024B" w:rsidRDefault="002747FA" w:rsidP="002747FA">
      <w:pPr>
        <w:ind w:left="851"/>
        <w:rPr>
          <w:sz w:val="24"/>
          <w:szCs w:val="24"/>
        </w:rPr>
      </w:pPr>
      <w:r w:rsidRPr="0010024B">
        <w:rPr>
          <w:sz w:val="24"/>
          <w:szCs w:val="24"/>
        </w:rPr>
        <w:t xml:space="preserve">Der foreligger ingen data fra børn under 15 år. Derfor er </w:t>
      </w:r>
      <w:proofErr w:type="spellStart"/>
      <w:r w:rsidRPr="0010024B">
        <w:rPr>
          <w:sz w:val="24"/>
          <w:szCs w:val="24"/>
        </w:rPr>
        <w:t>buprenorphin</w:t>
      </w:r>
      <w:proofErr w:type="spellEnd"/>
      <w:r w:rsidRPr="0010024B">
        <w:rPr>
          <w:sz w:val="24"/>
          <w:szCs w:val="24"/>
        </w:rPr>
        <w:t xml:space="preserve"> kontraindiceret hos børn under 15 år (se pkt. 4.3).</w:t>
      </w:r>
    </w:p>
    <w:p w:rsidR="002747FA" w:rsidRDefault="002747FA" w:rsidP="002747FA">
      <w:pPr>
        <w:ind w:left="851"/>
        <w:rPr>
          <w:sz w:val="24"/>
          <w:szCs w:val="24"/>
          <w:u w:val="single"/>
        </w:rPr>
      </w:pPr>
    </w:p>
    <w:p w:rsidR="002747FA" w:rsidRDefault="002747FA" w:rsidP="002747FA">
      <w:pPr>
        <w:ind w:left="851"/>
        <w:rPr>
          <w:sz w:val="24"/>
          <w:szCs w:val="24"/>
          <w:u w:val="single"/>
        </w:rPr>
      </w:pPr>
      <w:r>
        <w:rPr>
          <w:sz w:val="24"/>
          <w:szCs w:val="24"/>
          <w:u w:val="single"/>
        </w:rPr>
        <w:t>Administration</w:t>
      </w:r>
    </w:p>
    <w:p w:rsidR="002747FA" w:rsidRDefault="002747FA" w:rsidP="002747FA">
      <w:pPr>
        <w:ind w:left="851"/>
        <w:rPr>
          <w:sz w:val="24"/>
          <w:szCs w:val="24"/>
        </w:rPr>
      </w:pPr>
      <w:proofErr w:type="spellStart"/>
      <w:r>
        <w:rPr>
          <w:sz w:val="24"/>
          <w:szCs w:val="24"/>
        </w:rPr>
        <w:t>Sublingual</w:t>
      </w:r>
      <w:proofErr w:type="spellEnd"/>
      <w:r>
        <w:rPr>
          <w:sz w:val="24"/>
          <w:szCs w:val="24"/>
        </w:rPr>
        <w:t xml:space="preserve"> administration. Læger skal informere patienterne om, at </w:t>
      </w:r>
      <w:proofErr w:type="spellStart"/>
      <w:r>
        <w:rPr>
          <w:sz w:val="24"/>
          <w:szCs w:val="24"/>
        </w:rPr>
        <w:t>sublingual</w:t>
      </w:r>
      <w:proofErr w:type="spellEnd"/>
      <w:r>
        <w:rPr>
          <w:sz w:val="24"/>
          <w:szCs w:val="24"/>
        </w:rPr>
        <w:t xml:space="preserve"> administration er den eneste effektive og sikre administrationsvej for dette lægemiddel. Patienten bør beholde den sublinguale </w:t>
      </w:r>
      <w:proofErr w:type="spellStart"/>
      <w:r>
        <w:rPr>
          <w:sz w:val="24"/>
          <w:szCs w:val="24"/>
        </w:rPr>
        <w:t>resoriblet</w:t>
      </w:r>
      <w:proofErr w:type="spellEnd"/>
      <w:r>
        <w:rPr>
          <w:sz w:val="24"/>
          <w:szCs w:val="24"/>
        </w:rPr>
        <w:t xml:space="preserve"> under tungen, indtil den er opløst, hvilket normalt tager 5 til 10 minutter.</w:t>
      </w:r>
    </w:p>
    <w:p w:rsidR="000206E9" w:rsidRPr="00655C63" w:rsidRDefault="000206E9" w:rsidP="002747FA">
      <w:pPr>
        <w:ind w:left="851"/>
        <w:rPr>
          <w:sz w:val="24"/>
          <w:szCs w:val="24"/>
        </w:rPr>
      </w:pPr>
    </w:p>
    <w:p w:rsidR="000206E9" w:rsidRPr="00655C63" w:rsidRDefault="000206E9" w:rsidP="000206E9">
      <w:pPr>
        <w:ind w:left="851"/>
        <w:rPr>
          <w:i/>
          <w:iCs/>
          <w:sz w:val="24"/>
          <w:szCs w:val="24"/>
        </w:rPr>
      </w:pPr>
      <w:r w:rsidRPr="00655C63">
        <w:rPr>
          <w:i/>
          <w:iCs/>
          <w:sz w:val="24"/>
          <w:szCs w:val="24"/>
        </w:rPr>
        <w:t xml:space="preserve">Behandlingsmål og </w:t>
      </w:r>
      <w:proofErr w:type="spellStart"/>
      <w:r w:rsidRPr="00655C63">
        <w:rPr>
          <w:i/>
          <w:iCs/>
          <w:sz w:val="24"/>
          <w:szCs w:val="24"/>
        </w:rPr>
        <w:t>seponering</w:t>
      </w:r>
      <w:proofErr w:type="spellEnd"/>
      <w:r w:rsidRPr="00655C63">
        <w:rPr>
          <w:i/>
          <w:iCs/>
          <w:sz w:val="24"/>
          <w:szCs w:val="24"/>
        </w:rPr>
        <w:t xml:space="preserve"> </w:t>
      </w:r>
    </w:p>
    <w:p w:rsidR="000206E9" w:rsidRPr="00655C63" w:rsidRDefault="000206E9" w:rsidP="000206E9">
      <w:pPr>
        <w:ind w:left="851"/>
        <w:rPr>
          <w:sz w:val="24"/>
          <w:szCs w:val="24"/>
        </w:rPr>
      </w:pPr>
      <w:r w:rsidRPr="00655C63">
        <w:rPr>
          <w:sz w:val="24"/>
          <w:szCs w:val="24"/>
        </w:rPr>
        <w:t xml:space="preserve">Før behandling med </w:t>
      </w:r>
      <w:proofErr w:type="spellStart"/>
      <w:r w:rsidRPr="00655C63">
        <w:rPr>
          <w:sz w:val="24"/>
          <w:szCs w:val="24"/>
        </w:rPr>
        <w:t>Buprenorpine</w:t>
      </w:r>
      <w:proofErr w:type="spellEnd"/>
      <w:r w:rsidRPr="00655C63">
        <w:rPr>
          <w:sz w:val="24"/>
          <w:szCs w:val="24"/>
        </w:rPr>
        <w:t xml:space="preserve"> </w:t>
      </w:r>
      <w:r w:rsidR="00CE77F8">
        <w:rPr>
          <w:sz w:val="24"/>
          <w:szCs w:val="24"/>
        </w:rPr>
        <w:t>"</w:t>
      </w:r>
      <w:r w:rsidRPr="00655C63">
        <w:rPr>
          <w:sz w:val="24"/>
          <w:szCs w:val="24"/>
        </w:rPr>
        <w:t>Sandoz</w:t>
      </w:r>
      <w:r w:rsidR="00CE77F8">
        <w:rPr>
          <w:sz w:val="24"/>
          <w:szCs w:val="24"/>
        </w:rPr>
        <w:t>"</w:t>
      </w:r>
      <w:r w:rsidRPr="00655C63">
        <w:rPr>
          <w:sz w:val="24"/>
          <w:szCs w:val="24"/>
        </w:rPr>
        <w:t xml:space="preserve"> påbegyndes, bør en behandlingsstrategi, herunder behandlingsvarighed og behandlingsmål, samt en plan for afslutning af behandlingen, aftales med patienten i overensstemmelse med smertebehandlings</w:t>
      </w:r>
      <w:r w:rsidR="00655C63">
        <w:rPr>
          <w:sz w:val="24"/>
          <w:szCs w:val="24"/>
        </w:rPr>
        <w:softHyphen/>
      </w:r>
      <w:r w:rsidRPr="00655C63">
        <w:rPr>
          <w:sz w:val="24"/>
          <w:szCs w:val="24"/>
        </w:rPr>
        <w:t xml:space="preserve">retningslinjerne. Under behandlingen bør der være hyppig kontakt mellem lægen og patienten for at evaluere behovet for fortsat behandling, overvejelse om </w:t>
      </w:r>
      <w:proofErr w:type="spellStart"/>
      <w:r w:rsidRPr="00655C63">
        <w:rPr>
          <w:sz w:val="24"/>
          <w:szCs w:val="24"/>
        </w:rPr>
        <w:t>seponering</w:t>
      </w:r>
      <w:proofErr w:type="spellEnd"/>
      <w:r w:rsidRPr="00655C63">
        <w:rPr>
          <w:sz w:val="24"/>
          <w:szCs w:val="24"/>
        </w:rPr>
        <w:t xml:space="preserve"> og justering af dosis efter behov. Når en patient ikke længere har brug for behandling med </w:t>
      </w:r>
      <w:proofErr w:type="spellStart"/>
      <w:r w:rsidRPr="00655C63">
        <w:rPr>
          <w:sz w:val="24"/>
          <w:szCs w:val="24"/>
        </w:rPr>
        <w:t>Buprenorpine</w:t>
      </w:r>
      <w:proofErr w:type="spellEnd"/>
      <w:r w:rsidRPr="00655C63">
        <w:rPr>
          <w:sz w:val="24"/>
          <w:szCs w:val="24"/>
        </w:rPr>
        <w:t xml:space="preserve"> </w:t>
      </w:r>
      <w:r w:rsidR="00CE77F8">
        <w:rPr>
          <w:sz w:val="24"/>
          <w:szCs w:val="24"/>
        </w:rPr>
        <w:t>"</w:t>
      </w:r>
      <w:r w:rsidRPr="00655C63">
        <w:rPr>
          <w:sz w:val="24"/>
          <w:szCs w:val="24"/>
        </w:rPr>
        <w:t>Sandoz</w:t>
      </w:r>
      <w:r w:rsidR="00CE77F8">
        <w:rPr>
          <w:sz w:val="24"/>
          <w:szCs w:val="24"/>
        </w:rPr>
        <w:t>"</w:t>
      </w:r>
      <w:r w:rsidRPr="00655C63">
        <w:rPr>
          <w:sz w:val="24"/>
          <w:szCs w:val="24"/>
        </w:rPr>
        <w:t xml:space="preserve">, kan det være tilrådeligt at trappe dosen gradvist ned for at forhindre abstinenssymptomer. I tilfælde af utilstrækkelig smertelindring bør muligheden for </w:t>
      </w:r>
      <w:proofErr w:type="spellStart"/>
      <w:r w:rsidRPr="00655C63">
        <w:rPr>
          <w:sz w:val="24"/>
          <w:szCs w:val="24"/>
        </w:rPr>
        <w:t>hyperalgesi</w:t>
      </w:r>
      <w:proofErr w:type="spellEnd"/>
      <w:r w:rsidRPr="00655C63">
        <w:rPr>
          <w:sz w:val="24"/>
          <w:szCs w:val="24"/>
        </w:rPr>
        <w:t xml:space="preserve">, tolerance og progression af den underliggende sygdom overvejes (se </w:t>
      </w:r>
      <w:r w:rsidR="00CE77F8">
        <w:rPr>
          <w:sz w:val="24"/>
          <w:szCs w:val="24"/>
        </w:rPr>
        <w:t>pkt.</w:t>
      </w:r>
      <w:r w:rsidRPr="00655C63">
        <w:rPr>
          <w:sz w:val="24"/>
          <w:szCs w:val="24"/>
        </w:rPr>
        <w:t xml:space="preserve"> 4.4).</w:t>
      </w:r>
    </w:p>
    <w:p w:rsidR="002747FA" w:rsidRPr="00D8717D" w:rsidRDefault="002747FA" w:rsidP="002747FA">
      <w:pPr>
        <w:autoSpaceDE w:val="0"/>
        <w:autoSpaceDN w:val="0"/>
        <w:adjustRightInd w:val="0"/>
        <w:ind w:left="851" w:hanging="851"/>
        <w:rPr>
          <w:sz w:val="24"/>
          <w:szCs w:val="24"/>
        </w:rPr>
      </w:pPr>
    </w:p>
    <w:p w:rsidR="00A1374B" w:rsidRPr="00A1374B" w:rsidRDefault="00A1374B" w:rsidP="00A1374B">
      <w:pPr>
        <w:tabs>
          <w:tab w:val="left" w:pos="851"/>
        </w:tabs>
        <w:ind w:left="851" w:hanging="851"/>
        <w:rPr>
          <w:b/>
          <w:sz w:val="24"/>
          <w:szCs w:val="24"/>
        </w:rPr>
      </w:pPr>
      <w:r w:rsidRPr="00A1374B">
        <w:rPr>
          <w:b/>
          <w:sz w:val="24"/>
          <w:szCs w:val="24"/>
        </w:rPr>
        <w:t>4.3</w:t>
      </w:r>
      <w:r w:rsidRPr="00A1374B">
        <w:rPr>
          <w:b/>
          <w:sz w:val="24"/>
          <w:szCs w:val="24"/>
        </w:rPr>
        <w:tab/>
        <w:t>Kontraindikationer</w:t>
      </w:r>
    </w:p>
    <w:p w:rsidR="002747FA" w:rsidRDefault="002747FA" w:rsidP="002747FA">
      <w:pPr>
        <w:numPr>
          <w:ilvl w:val="0"/>
          <w:numId w:val="6"/>
        </w:numPr>
        <w:tabs>
          <w:tab w:val="clear" w:pos="2992"/>
          <w:tab w:val="num" w:pos="1134"/>
        </w:tabs>
        <w:ind w:left="1134" w:hanging="283"/>
        <w:rPr>
          <w:noProof/>
          <w:sz w:val="24"/>
          <w:szCs w:val="24"/>
        </w:rPr>
      </w:pPr>
      <w:r w:rsidRPr="00145BFF">
        <w:rPr>
          <w:sz w:val="24"/>
          <w:szCs w:val="24"/>
        </w:rPr>
        <w:t>Overfølsomhed over for det aktive stof eller over for et eller flere af hjælpestofferne anført i pkt. 6.1.</w:t>
      </w:r>
    </w:p>
    <w:p w:rsidR="002747FA" w:rsidRDefault="002747FA" w:rsidP="002747FA">
      <w:pPr>
        <w:numPr>
          <w:ilvl w:val="0"/>
          <w:numId w:val="6"/>
        </w:numPr>
        <w:tabs>
          <w:tab w:val="clear" w:pos="2992"/>
          <w:tab w:val="num" w:pos="1134"/>
        </w:tabs>
        <w:ind w:left="1134" w:hanging="283"/>
        <w:rPr>
          <w:noProof/>
          <w:sz w:val="24"/>
          <w:szCs w:val="24"/>
        </w:rPr>
      </w:pPr>
      <w:r w:rsidRPr="00145BFF">
        <w:rPr>
          <w:sz w:val="24"/>
          <w:szCs w:val="24"/>
        </w:rPr>
        <w:t>Børn og unge under 15 år.</w:t>
      </w:r>
    </w:p>
    <w:p w:rsidR="002747FA" w:rsidRDefault="002747FA" w:rsidP="002747FA">
      <w:pPr>
        <w:numPr>
          <w:ilvl w:val="0"/>
          <w:numId w:val="6"/>
        </w:numPr>
        <w:tabs>
          <w:tab w:val="clear" w:pos="2992"/>
          <w:tab w:val="num" w:pos="1134"/>
        </w:tabs>
        <w:ind w:left="1134" w:hanging="283"/>
        <w:rPr>
          <w:noProof/>
          <w:sz w:val="24"/>
          <w:szCs w:val="24"/>
        </w:rPr>
      </w:pPr>
      <w:r w:rsidRPr="00145BFF">
        <w:rPr>
          <w:sz w:val="24"/>
          <w:szCs w:val="24"/>
        </w:rPr>
        <w:t>Svær respirationsinsufficiens.</w:t>
      </w:r>
    </w:p>
    <w:p w:rsidR="002747FA" w:rsidRDefault="002747FA" w:rsidP="002747FA">
      <w:pPr>
        <w:numPr>
          <w:ilvl w:val="0"/>
          <w:numId w:val="6"/>
        </w:numPr>
        <w:tabs>
          <w:tab w:val="clear" w:pos="2992"/>
          <w:tab w:val="num" w:pos="1134"/>
        </w:tabs>
        <w:ind w:left="1134" w:hanging="283"/>
        <w:rPr>
          <w:noProof/>
          <w:sz w:val="24"/>
          <w:szCs w:val="24"/>
        </w:rPr>
      </w:pPr>
      <w:r w:rsidRPr="00145BFF">
        <w:rPr>
          <w:sz w:val="24"/>
          <w:szCs w:val="24"/>
        </w:rPr>
        <w:t>Svær leverinsufficiens.</w:t>
      </w:r>
    </w:p>
    <w:p w:rsidR="002747FA" w:rsidRDefault="002747FA" w:rsidP="002747FA">
      <w:pPr>
        <w:numPr>
          <w:ilvl w:val="0"/>
          <w:numId w:val="6"/>
        </w:numPr>
        <w:tabs>
          <w:tab w:val="clear" w:pos="2992"/>
          <w:tab w:val="num" w:pos="1134"/>
        </w:tabs>
        <w:ind w:left="1134" w:hanging="283"/>
        <w:rPr>
          <w:noProof/>
          <w:sz w:val="24"/>
          <w:szCs w:val="24"/>
        </w:rPr>
      </w:pPr>
      <w:r w:rsidRPr="00145BFF">
        <w:rPr>
          <w:sz w:val="24"/>
          <w:szCs w:val="24"/>
        </w:rPr>
        <w:t>Alkoholforgiftning eller delirium tremens.</w:t>
      </w:r>
    </w:p>
    <w:p w:rsidR="002747FA" w:rsidRPr="00145BFF" w:rsidRDefault="002747FA" w:rsidP="002747FA">
      <w:pPr>
        <w:numPr>
          <w:ilvl w:val="0"/>
          <w:numId w:val="6"/>
        </w:numPr>
        <w:tabs>
          <w:tab w:val="clear" w:pos="2992"/>
          <w:tab w:val="num" w:pos="1134"/>
        </w:tabs>
        <w:ind w:left="1134" w:hanging="283"/>
        <w:rPr>
          <w:noProof/>
          <w:sz w:val="24"/>
          <w:szCs w:val="24"/>
        </w:rPr>
      </w:pPr>
      <w:r w:rsidRPr="00145BFF">
        <w:rPr>
          <w:sz w:val="24"/>
          <w:szCs w:val="24"/>
        </w:rPr>
        <w:t>Amning (se pkt. 4.6).</w:t>
      </w:r>
    </w:p>
    <w:p w:rsidR="002747FA" w:rsidRDefault="002747FA" w:rsidP="002747FA">
      <w:pPr>
        <w:tabs>
          <w:tab w:val="left" w:pos="851"/>
        </w:tabs>
        <w:ind w:left="851" w:hanging="851"/>
        <w:rPr>
          <w:sz w:val="24"/>
          <w:szCs w:val="24"/>
        </w:rPr>
      </w:pPr>
    </w:p>
    <w:p w:rsidR="00A1374B" w:rsidRPr="00C84483" w:rsidRDefault="00A1374B" w:rsidP="00A1374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2747FA" w:rsidRDefault="002747FA" w:rsidP="002747FA">
      <w:pPr>
        <w:autoSpaceDE w:val="0"/>
        <w:autoSpaceDN w:val="0"/>
        <w:adjustRightInd w:val="0"/>
        <w:ind w:left="851"/>
        <w:rPr>
          <w:noProof/>
          <w:sz w:val="24"/>
          <w:szCs w:val="24"/>
        </w:rPr>
      </w:pPr>
      <w:proofErr w:type="spellStart"/>
      <w:r>
        <w:rPr>
          <w:color w:val="000000"/>
          <w:sz w:val="24"/>
          <w:szCs w:val="24"/>
        </w:rPr>
        <w:t>Buprenorphine</w:t>
      </w:r>
      <w:proofErr w:type="spellEnd"/>
      <w:r>
        <w:rPr>
          <w:color w:val="000000"/>
          <w:sz w:val="24"/>
          <w:szCs w:val="24"/>
        </w:rPr>
        <w:t xml:space="preserve"> </w:t>
      </w:r>
      <w:r w:rsidR="00CE77F8">
        <w:rPr>
          <w:color w:val="000000"/>
          <w:sz w:val="24"/>
          <w:szCs w:val="24"/>
        </w:rPr>
        <w:t>"</w:t>
      </w:r>
      <w:r>
        <w:rPr>
          <w:color w:val="000000"/>
          <w:sz w:val="24"/>
          <w:szCs w:val="24"/>
        </w:rPr>
        <w:t>Sandoz</w:t>
      </w:r>
      <w:r w:rsidR="00CE77F8">
        <w:rPr>
          <w:color w:val="000000"/>
          <w:sz w:val="24"/>
          <w:szCs w:val="24"/>
        </w:rPr>
        <w:t>"</w:t>
      </w:r>
      <w:r>
        <w:rPr>
          <w:color w:val="000000"/>
          <w:sz w:val="24"/>
          <w:szCs w:val="24"/>
        </w:rPr>
        <w:t xml:space="preserve"> anbefales kun til behandling af opioidafhængighed.</w:t>
      </w:r>
    </w:p>
    <w:p w:rsidR="002747FA" w:rsidRDefault="002747FA" w:rsidP="002747FA">
      <w:pPr>
        <w:autoSpaceDE w:val="0"/>
        <w:autoSpaceDN w:val="0"/>
        <w:adjustRightInd w:val="0"/>
        <w:ind w:left="851"/>
        <w:rPr>
          <w:sz w:val="24"/>
          <w:szCs w:val="24"/>
        </w:rPr>
      </w:pPr>
    </w:p>
    <w:p w:rsidR="002747FA" w:rsidRPr="00D8717D" w:rsidRDefault="002747FA" w:rsidP="002747FA">
      <w:pPr>
        <w:autoSpaceDE w:val="0"/>
        <w:autoSpaceDN w:val="0"/>
        <w:adjustRightInd w:val="0"/>
        <w:ind w:left="851"/>
        <w:rPr>
          <w:noProof/>
          <w:sz w:val="24"/>
          <w:szCs w:val="24"/>
        </w:rPr>
      </w:pPr>
      <w:r w:rsidRPr="00D8717D">
        <w:rPr>
          <w:sz w:val="24"/>
          <w:szCs w:val="24"/>
        </w:rPr>
        <w:t xml:space="preserve">Det anbefales også, at behandlingen ordineres af en læge, der kan garantere et udførligt behandlingsprogram til </w:t>
      </w:r>
      <w:r w:rsidRPr="0010024B">
        <w:rPr>
          <w:sz w:val="24"/>
          <w:szCs w:val="24"/>
        </w:rPr>
        <w:t>opioidafhængige patienter.</w:t>
      </w:r>
    </w:p>
    <w:p w:rsidR="002747FA" w:rsidRPr="00D8717D" w:rsidRDefault="002747FA" w:rsidP="002747FA">
      <w:pPr>
        <w:autoSpaceDE w:val="0"/>
        <w:autoSpaceDN w:val="0"/>
        <w:adjustRightInd w:val="0"/>
        <w:ind w:left="851" w:hanging="851"/>
        <w:rPr>
          <w:noProof/>
          <w:sz w:val="24"/>
          <w:szCs w:val="24"/>
        </w:rPr>
      </w:pPr>
    </w:p>
    <w:p w:rsidR="002747FA" w:rsidRPr="0010024B" w:rsidRDefault="002747FA" w:rsidP="002747FA">
      <w:pPr>
        <w:autoSpaceDE w:val="0"/>
        <w:autoSpaceDN w:val="0"/>
        <w:adjustRightInd w:val="0"/>
        <w:ind w:left="851"/>
        <w:rPr>
          <w:sz w:val="24"/>
          <w:szCs w:val="24"/>
          <w:u w:val="single"/>
        </w:rPr>
      </w:pPr>
      <w:r w:rsidRPr="0010024B">
        <w:rPr>
          <w:sz w:val="24"/>
          <w:szCs w:val="24"/>
          <w:u w:val="single"/>
        </w:rPr>
        <w:t>Forkert brug, misbrug og ulovlig brug</w:t>
      </w:r>
    </w:p>
    <w:p w:rsidR="002747FA" w:rsidRPr="0010024B" w:rsidRDefault="002747FA" w:rsidP="002747FA">
      <w:pPr>
        <w:autoSpaceDE w:val="0"/>
        <w:autoSpaceDN w:val="0"/>
        <w:adjustRightInd w:val="0"/>
        <w:ind w:left="851"/>
        <w:rPr>
          <w:sz w:val="24"/>
          <w:szCs w:val="24"/>
        </w:rPr>
      </w:pPr>
      <w:proofErr w:type="spellStart"/>
      <w:r w:rsidRPr="0010024B">
        <w:rPr>
          <w:sz w:val="24"/>
          <w:szCs w:val="24"/>
        </w:rPr>
        <w:t>Buprenorphin</w:t>
      </w:r>
      <w:proofErr w:type="spellEnd"/>
      <w:r w:rsidRPr="0010024B">
        <w:rPr>
          <w:sz w:val="24"/>
          <w:szCs w:val="24"/>
        </w:rPr>
        <w:t xml:space="preserve"> kan anvendes forkert eller misbruges på samme måde som andre opioider, enten legalt eller illegalt. Nogle risici ved forkert brug og misbrug er overdosering, spredning af blodbårne virusinfektioner eller lokaliserede infektioner, respirations</w:t>
      </w:r>
      <w:r>
        <w:rPr>
          <w:sz w:val="24"/>
          <w:szCs w:val="24"/>
        </w:rPr>
        <w:softHyphen/>
      </w:r>
      <w:r w:rsidRPr="0010024B">
        <w:rPr>
          <w:sz w:val="24"/>
          <w:szCs w:val="24"/>
        </w:rPr>
        <w:t xml:space="preserve">depression og leverskader. Hvis andre end den tilsigtede patient misbruger </w:t>
      </w:r>
      <w:proofErr w:type="spellStart"/>
      <w:r w:rsidRPr="0010024B">
        <w:rPr>
          <w:sz w:val="24"/>
          <w:szCs w:val="24"/>
        </w:rPr>
        <w:t>buprenorphinen</w:t>
      </w:r>
      <w:proofErr w:type="spellEnd"/>
      <w:r w:rsidRPr="0010024B">
        <w:rPr>
          <w:sz w:val="24"/>
          <w:szCs w:val="24"/>
        </w:rPr>
        <w:t xml:space="preserve">, er der risiko for, at nye stofafhængige anvender </w:t>
      </w:r>
      <w:proofErr w:type="spellStart"/>
      <w:r w:rsidRPr="0010024B">
        <w:rPr>
          <w:sz w:val="24"/>
          <w:szCs w:val="24"/>
        </w:rPr>
        <w:t>buprenorphin</w:t>
      </w:r>
      <w:proofErr w:type="spellEnd"/>
      <w:r w:rsidRPr="0010024B">
        <w:rPr>
          <w:sz w:val="24"/>
          <w:szCs w:val="24"/>
        </w:rPr>
        <w:t xml:space="preserve"> som det primære stof til deres misbrug. Denne risiko kan opstå, hvis den tilsigtede patient ulovligt distribuerer lægemidlet, eller hvis lægemidlet ikke er tilstrækkeligt sikret mod tyveri.</w:t>
      </w:r>
    </w:p>
    <w:p w:rsidR="002747FA" w:rsidRPr="0010024B" w:rsidRDefault="002747FA" w:rsidP="002747FA">
      <w:pPr>
        <w:autoSpaceDE w:val="0"/>
        <w:autoSpaceDN w:val="0"/>
        <w:adjustRightInd w:val="0"/>
        <w:ind w:left="851"/>
        <w:rPr>
          <w:sz w:val="24"/>
          <w:szCs w:val="24"/>
        </w:rPr>
      </w:pPr>
      <w:r w:rsidRPr="0010024B">
        <w:rPr>
          <w:sz w:val="24"/>
          <w:szCs w:val="24"/>
        </w:rPr>
        <w:t xml:space="preserve">Suboptimal behandling med </w:t>
      </w:r>
      <w:proofErr w:type="spellStart"/>
      <w:r w:rsidRPr="0010024B">
        <w:rPr>
          <w:sz w:val="24"/>
          <w:szCs w:val="24"/>
        </w:rPr>
        <w:t>buprenorphin</w:t>
      </w:r>
      <w:proofErr w:type="spellEnd"/>
      <w:r w:rsidRPr="0010024B">
        <w:rPr>
          <w:sz w:val="24"/>
          <w:szCs w:val="24"/>
        </w:rPr>
        <w:t xml:space="preserve"> kan forårsage stofmisbrug hos patienten, hvilket fører til overdosering eller ophør af behandlingen. En patient, der er underdoseret med </w:t>
      </w:r>
      <w:proofErr w:type="spellStart"/>
      <w:r w:rsidRPr="0010024B">
        <w:rPr>
          <w:sz w:val="24"/>
          <w:szCs w:val="24"/>
        </w:rPr>
        <w:t>buprenorphin</w:t>
      </w:r>
      <w:proofErr w:type="spellEnd"/>
      <w:r w:rsidRPr="0010024B">
        <w:rPr>
          <w:sz w:val="24"/>
          <w:szCs w:val="24"/>
        </w:rPr>
        <w:t xml:space="preserve">, kan fortsætte med at reagere på ukontrollerede abstinenssymptomer med selvmedicinering af opioider, alkohol eller andre </w:t>
      </w:r>
      <w:proofErr w:type="spellStart"/>
      <w:r w:rsidRPr="0010024B">
        <w:rPr>
          <w:sz w:val="24"/>
          <w:szCs w:val="24"/>
        </w:rPr>
        <w:t>sedativa</w:t>
      </w:r>
      <w:proofErr w:type="spellEnd"/>
      <w:r w:rsidRPr="0010024B">
        <w:rPr>
          <w:sz w:val="24"/>
          <w:szCs w:val="24"/>
        </w:rPr>
        <w:t>/</w:t>
      </w:r>
      <w:proofErr w:type="spellStart"/>
      <w:r w:rsidRPr="0010024B">
        <w:rPr>
          <w:sz w:val="24"/>
          <w:szCs w:val="24"/>
        </w:rPr>
        <w:t>hypnotika</w:t>
      </w:r>
      <w:proofErr w:type="spellEnd"/>
      <w:r w:rsidRPr="0010024B">
        <w:rPr>
          <w:sz w:val="24"/>
          <w:szCs w:val="24"/>
        </w:rPr>
        <w:t>, som for eksempel benzodiazepiner.</w:t>
      </w:r>
    </w:p>
    <w:p w:rsidR="002747FA" w:rsidRPr="0010024B" w:rsidRDefault="002747FA" w:rsidP="002747FA">
      <w:pPr>
        <w:autoSpaceDE w:val="0"/>
        <w:autoSpaceDN w:val="0"/>
        <w:adjustRightInd w:val="0"/>
        <w:ind w:left="851"/>
        <w:rPr>
          <w:sz w:val="24"/>
          <w:szCs w:val="24"/>
        </w:rPr>
      </w:pPr>
      <w:r w:rsidRPr="0010024B">
        <w:rPr>
          <w:sz w:val="24"/>
          <w:szCs w:val="24"/>
        </w:rPr>
        <w:t xml:space="preserve">For at minimere risikoen for forkert brug, misbrug eller ulovlig brug skal lægen anvende passende forholdsregler i forbindelse med ordinering og udlevering af </w:t>
      </w:r>
      <w:proofErr w:type="spellStart"/>
      <w:r w:rsidRPr="0010024B">
        <w:rPr>
          <w:sz w:val="24"/>
          <w:szCs w:val="24"/>
        </w:rPr>
        <w:t>buprenorphin</w:t>
      </w:r>
      <w:proofErr w:type="spellEnd"/>
      <w:r w:rsidRPr="0010024B">
        <w:rPr>
          <w:sz w:val="24"/>
          <w:szCs w:val="24"/>
        </w:rPr>
        <w:t>, for eksempel ved at undlade at ordinere flere pakninger tidligt i behandlingsforløbet og ved at lade patienten komme til opfølgningskonsultationer med klinisk monitorering i henhold til patientens stabilitetsniveau.</w:t>
      </w:r>
    </w:p>
    <w:p w:rsidR="00CE77F8" w:rsidRDefault="00CE77F8">
      <w:pPr>
        <w:rPr>
          <w:sz w:val="24"/>
          <w:szCs w:val="24"/>
        </w:rPr>
      </w:pPr>
      <w:r>
        <w:rPr>
          <w:sz w:val="24"/>
          <w:szCs w:val="24"/>
        </w:rPr>
        <w:br w:type="page"/>
      </w:r>
    </w:p>
    <w:p w:rsidR="002747FA" w:rsidRPr="003D2A71" w:rsidRDefault="002747FA" w:rsidP="002747FA">
      <w:pPr>
        <w:autoSpaceDE w:val="0"/>
        <w:autoSpaceDN w:val="0"/>
        <w:adjustRightInd w:val="0"/>
        <w:ind w:left="851"/>
        <w:rPr>
          <w:sz w:val="24"/>
          <w:szCs w:val="24"/>
        </w:rPr>
      </w:pPr>
    </w:p>
    <w:p w:rsidR="002747FA" w:rsidRPr="0010024B" w:rsidRDefault="002747FA" w:rsidP="002747FA">
      <w:pPr>
        <w:ind w:left="851"/>
        <w:rPr>
          <w:sz w:val="24"/>
          <w:szCs w:val="24"/>
        </w:rPr>
      </w:pPr>
      <w:r w:rsidRPr="003D2A71">
        <w:rPr>
          <w:sz w:val="24"/>
          <w:szCs w:val="24"/>
          <w:u w:val="single"/>
        </w:rPr>
        <w:t>Respirationsdepression</w:t>
      </w:r>
    </w:p>
    <w:p w:rsidR="002747FA" w:rsidRPr="0010024B" w:rsidRDefault="002747FA" w:rsidP="002747FA">
      <w:pPr>
        <w:ind w:left="851"/>
        <w:rPr>
          <w:bCs/>
          <w:sz w:val="24"/>
          <w:szCs w:val="24"/>
        </w:rPr>
      </w:pPr>
      <w:r w:rsidRPr="0010024B">
        <w:rPr>
          <w:sz w:val="24"/>
          <w:szCs w:val="24"/>
        </w:rPr>
        <w:t xml:space="preserve">Der er indberettet en række tilfælde af dødsfald som følge af respirationsdepression, særligt når </w:t>
      </w:r>
      <w:proofErr w:type="spellStart"/>
      <w:r w:rsidRPr="0010024B">
        <w:rPr>
          <w:sz w:val="24"/>
          <w:szCs w:val="24"/>
        </w:rPr>
        <w:t>buprenorphin</w:t>
      </w:r>
      <w:proofErr w:type="spellEnd"/>
      <w:r w:rsidRPr="0010024B">
        <w:rPr>
          <w:sz w:val="24"/>
          <w:szCs w:val="24"/>
        </w:rPr>
        <w:t xml:space="preserve"> blev brugt i kombination med benzodiazepiner (se nedenfor og pkt. 4.5), eller når </w:t>
      </w:r>
      <w:proofErr w:type="spellStart"/>
      <w:r w:rsidRPr="0010024B">
        <w:rPr>
          <w:sz w:val="24"/>
          <w:szCs w:val="24"/>
        </w:rPr>
        <w:t>buprenorphin</w:t>
      </w:r>
      <w:proofErr w:type="spellEnd"/>
      <w:r w:rsidRPr="0010024B">
        <w:rPr>
          <w:sz w:val="24"/>
          <w:szCs w:val="24"/>
        </w:rPr>
        <w:t xml:space="preserve"> ikke blev brugt i overensstemmelse med lægens anvisninger. Der er også rapporteret dødsfald i forbindelse med samtidig behandling med </w:t>
      </w:r>
      <w:proofErr w:type="spellStart"/>
      <w:r w:rsidRPr="0010024B">
        <w:rPr>
          <w:sz w:val="24"/>
          <w:szCs w:val="24"/>
        </w:rPr>
        <w:t>buprenorphin</w:t>
      </w:r>
      <w:proofErr w:type="spellEnd"/>
      <w:r w:rsidRPr="0010024B">
        <w:rPr>
          <w:sz w:val="24"/>
          <w:szCs w:val="24"/>
        </w:rPr>
        <w:t xml:space="preserve"> og andre CNS-</w:t>
      </w:r>
      <w:proofErr w:type="spellStart"/>
      <w:r w:rsidRPr="0010024B">
        <w:rPr>
          <w:sz w:val="24"/>
          <w:szCs w:val="24"/>
        </w:rPr>
        <w:t>depressiva</w:t>
      </w:r>
      <w:proofErr w:type="spellEnd"/>
      <w:r w:rsidRPr="0010024B">
        <w:rPr>
          <w:sz w:val="24"/>
          <w:szCs w:val="24"/>
        </w:rPr>
        <w:t xml:space="preserve">, såsom </w:t>
      </w:r>
      <w:r w:rsidR="00CE4186">
        <w:rPr>
          <w:sz w:val="24"/>
          <w:szCs w:val="24"/>
        </w:rPr>
        <w:t xml:space="preserve">alkohol, </w:t>
      </w:r>
      <w:proofErr w:type="spellStart"/>
      <w:r w:rsidR="00CE4186">
        <w:rPr>
          <w:sz w:val="24"/>
          <w:szCs w:val="24"/>
        </w:rPr>
        <w:t>gabapentinoider</w:t>
      </w:r>
      <w:proofErr w:type="spellEnd"/>
      <w:r w:rsidR="00CE4186">
        <w:rPr>
          <w:sz w:val="24"/>
          <w:szCs w:val="24"/>
        </w:rPr>
        <w:t xml:space="preserve"> (såsom </w:t>
      </w:r>
      <w:proofErr w:type="spellStart"/>
      <w:r w:rsidR="00CE4186">
        <w:rPr>
          <w:sz w:val="24"/>
          <w:szCs w:val="24"/>
        </w:rPr>
        <w:t>pregabalin</w:t>
      </w:r>
      <w:proofErr w:type="spellEnd"/>
      <w:r w:rsidR="00CE4186">
        <w:rPr>
          <w:sz w:val="24"/>
          <w:szCs w:val="24"/>
        </w:rPr>
        <w:t xml:space="preserve"> og </w:t>
      </w:r>
      <w:proofErr w:type="spellStart"/>
      <w:r w:rsidR="00CE4186">
        <w:rPr>
          <w:sz w:val="24"/>
          <w:szCs w:val="24"/>
        </w:rPr>
        <w:t>gabapentin</w:t>
      </w:r>
      <w:proofErr w:type="spellEnd"/>
      <w:r w:rsidR="00CE4186">
        <w:rPr>
          <w:sz w:val="24"/>
          <w:szCs w:val="24"/>
        </w:rPr>
        <w:t>) (se pkt. 4.5) eller andre</w:t>
      </w:r>
      <w:r w:rsidRPr="0010024B">
        <w:rPr>
          <w:sz w:val="24"/>
          <w:szCs w:val="24"/>
        </w:rPr>
        <w:t xml:space="preserve"> opioider. Der kan forekomme potentielt dødelig respirationsdepression, hvis </w:t>
      </w:r>
      <w:proofErr w:type="spellStart"/>
      <w:r w:rsidRPr="0010024B">
        <w:rPr>
          <w:sz w:val="24"/>
          <w:szCs w:val="24"/>
        </w:rPr>
        <w:t>buprenorphin</w:t>
      </w:r>
      <w:proofErr w:type="spellEnd"/>
      <w:r w:rsidRPr="0010024B">
        <w:rPr>
          <w:sz w:val="24"/>
          <w:szCs w:val="24"/>
        </w:rPr>
        <w:t xml:space="preserve"> administreres til ikke-opioidafhængige personer, som ikke er tolerante over for opioiders virkning. Sublinguale resoribletter med </w:t>
      </w:r>
      <w:proofErr w:type="spellStart"/>
      <w:r w:rsidRPr="0010024B">
        <w:rPr>
          <w:sz w:val="24"/>
          <w:szCs w:val="24"/>
        </w:rPr>
        <w:t>buprenorphin</w:t>
      </w:r>
      <w:proofErr w:type="spellEnd"/>
      <w:r w:rsidRPr="0010024B">
        <w:rPr>
          <w:sz w:val="24"/>
          <w:szCs w:val="24"/>
        </w:rPr>
        <w:t xml:space="preserve"> skal anvendes med forsigtighed hos patienter med respirationsinsufficiens (f.eks. kronisk obstruktiv lungesygdom, astma, </w:t>
      </w:r>
      <w:proofErr w:type="spellStart"/>
      <w:r w:rsidRPr="0010024B">
        <w:rPr>
          <w:sz w:val="24"/>
          <w:szCs w:val="24"/>
        </w:rPr>
        <w:t>cor</w:t>
      </w:r>
      <w:proofErr w:type="spellEnd"/>
      <w:r w:rsidRPr="0010024B">
        <w:rPr>
          <w:sz w:val="24"/>
          <w:szCs w:val="24"/>
        </w:rPr>
        <w:t xml:space="preserve"> </w:t>
      </w:r>
      <w:proofErr w:type="spellStart"/>
      <w:r w:rsidRPr="0010024B">
        <w:rPr>
          <w:sz w:val="24"/>
          <w:szCs w:val="24"/>
        </w:rPr>
        <w:t>pulmonale</w:t>
      </w:r>
      <w:proofErr w:type="spellEnd"/>
      <w:r w:rsidRPr="0010024B">
        <w:rPr>
          <w:sz w:val="24"/>
          <w:szCs w:val="24"/>
        </w:rPr>
        <w:t xml:space="preserve">, nedsat respiratorisk reserve, </w:t>
      </w:r>
      <w:proofErr w:type="spellStart"/>
      <w:r w:rsidRPr="0010024B">
        <w:rPr>
          <w:sz w:val="24"/>
          <w:szCs w:val="24"/>
        </w:rPr>
        <w:t>hypoksi</w:t>
      </w:r>
      <w:proofErr w:type="spellEnd"/>
      <w:r w:rsidRPr="0010024B">
        <w:rPr>
          <w:sz w:val="24"/>
          <w:szCs w:val="24"/>
        </w:rPr>
        <w:t xml:space="preserve">, </w:t>
      </w:r>
      <w:proofErr w:type="spellStart"/>
      <w:r w:rsidRPr="0010024B">
        <w:rPr>
          <w:sz w:val="24"/>
          <w:szCs w:val="24"/>
        </w:rPr>
        <w:t>hyperkapni</w:t>
      </w:r>
      <w:proofErr w:type="spellEnd"/>
      <w:r w:rsidRPr="0010024B">
        <w:rPr>
          <w:sz w:val="24"/>
          <w:szCs w:val="24"/>
        </w:rPr>
        <w:t xml:space="preserve">, allerede eksisterende respirationsdepression eller </w:t>
      </w:r>
      <w:proofErr w:type="spellStart"/>
      <w:r w:rsidRPr="0010024B">
        <w:rPr>
          <w:bCs/>
          <w:sz w:val="24"/>
          <w:szCs w:val="24"/>
        </w:rPr>
        <w:t>kyfoscoliose</w:t>
      </w:r>
      <w:proofErr w:type="spellEnd"/>
      <w:r w:rsidRPr="0010024B">
        <w:rPr>
          <w:bCs/>
          <w:sz w:val="24"/>
          <w:szCs w:val="24"/>
        </w:rPr>
        <w:t>).</w:t>
      </w:r>
    </w:p>
    <w:p w:rsidR="002747FA" w:rsidRPr="0010024B" w:rsidRDefault="002747FA" w:rsidP="002747FA">
      <w:pPr>
        <w:ind w:left="851"/>
        <w:rPr>
          <w:sz w:val="24"/>
          <w:szCs w:val="24"/>
        </w:rPr>
      </w:pPr>
      <w:proofErr w:type="spellStart"/>
      <w:r w:rsidRPr="0010024B">
        <w:rPr>
          <w:bCs/>
          <w:sz w:val="24"/>
          <w:szCs w:val="24"/>
        </w:rPr>
        <w:t>Buprenorphin</w:t>
      </w:r>
      <w:proofErr w:type="spellEnd"/>
      <w:r w:rsidRPr="0010024B">
        <w:rPr>
          <w:bCs/>
          <w:sz w:val="24"/>
          <w:szCs w:val="24"/>
        </w:rPr>
        <w:t xml:space="preserve"> kan medføre alvorlig, muligvis dødelig, respirationsdepression hos børn</w:t>
      </w:r>
      <w:r>
        <w:rPr>
          <w:bCs/>
          <w:sz w:val="24"/>
          <w:szCs w:val="24"/>
        </w:rPr>
        <w:t xml:space="preserve"> og ikke-afhængige, </w:t>
      </w:r>
      <w:r w:rsidRPr="0010024B">
        <w:rPr>
          <w:bCs/>
          <w:sz w:val="24"/>
          <w:szCs w:val="24"/>
        </w:rPr>
        <w:t xml:space="preserve">som utilsigtet </w:t>
      </w:r>
      <w:r>
        <w:rPr>
          <w:bCs/>
          <w:sz w:val="24"/>
          <w:szCs w:val="24"/>
        </w:rPr>
        <w:t xml:space="preserve">eller bevidst </w:t>
      </w:r>
      <w:r w:rsidRPr="0010024B">
        <w:rPr>
          <w:bCs/>
          <w:sz w:val="24"/>
          <w:szCs w:val="24"/>
        </w:rPr>
        <w:t xml:space="preserve">indtager det. Beskyt børn og ikke-afhængige mod eksponering. </w:t>
      </w:r>
      <w:r>
        <w:rPr>
          <w:bCs/>
          <w:sz w:val="24"/>
          <w:szCs w:val="24"/>
        </w:rPr>
        <w:t xml:space="preserve"> </w:t>
      </w:r>
    </w:p>
    <w:p w:rsidR="002747FA" w:rsidRPr="0010024B" w:rsidRDefault="002747FA" w:rsidP="002747FA">
      <w:pPr>
        <w:ind w:left="851"/>
        <w:rPr>
          <w:sz w:val="24"/>
          <w:szCs w:val="24"/>
        </w:rPr>
      </w:pPr>
    </w:p>
    <w:p w:rsidR="002747FA" w:rsidRPr="0010024B" w:rsidRDefault="002747FA" w:rsidP="002747FA">
      <w:pPr>
        <w:ind w:left="851"/>
        <w:rPr>
          <w:sz w:val="24"/>
          <w:szCs w:val="24"/>
          <w:u w:val="single"/>
        </w:rPr>
      </w:pPr>
      <w:r w:rsidRPr="0010024B">
        <w:rPr>
          <w:sz w:val="24"/>
          <w:szCs w:val="24"/>
          <w:u w:val="single"/>
        </w:rPr>
        <w:t>CNS-depression</w:t>
      </w:r>
    </w:p>
    <w:p w:rsidR="002747FA" w:rsidRPr="0010024B" w:rsidRDefault="002747FA" w:rsidP="002747FA">
      <w:pPr>
        <w:ind w:left="851"/>
        <w:rPr>
          <w:sz w:val="24"/>
          <w:szCs w:val="24"/>
        </w:rPr>
      </w:pPr>
      <w:proofErr w:type="spellStart"/>
      <w:r w:rsidRPr="0010024B">
        <w:rPr>
          <w:sz w:val="24"/>
          <w:szCs w:val="24"/>
        </w:rPr>
        <w:t>Buprenorphin</w:t>
      </w:r>
      <w:proofErr w:type="spellEnd"/>
      <w:r w:rsidRPr="0010024B">
        <w:rPr>
          <w:sz w:val="24"/>
          <w:szCs w:val="24"/>
        </w:rPr>
        <w:t xml:space="preserve"> kan forårsage sløvhed, særligt ved samtidig indtagelse af alkohol eller CNS-</w:t>
      </w:r>
      <w:proofErr w:type="spellStart"/>
      <w:r w:rsidRPr="0010024B">
        <w:rPr>
          <w:sz w:val="24"/>
          <w:szCs w:val="24"/>
        </w:rPr>
        <w:t>hæmmere</w:t>
      </w:r>
      <w:proofErr w:type="spellEnd"/>
      <w:r w:rsidRPr="0010024B">
        <w:rPr>
          <w:sz w:val="24"/>
          <w:szCs w:val="24"/>
        </w:rPr>
        <w:t xml:space="preserve"> (såsom benzodiazepiner, beroligende midler, </w:t>
      </w:r>
      <w:proofErr w:type="spellStart"/>
      <w:r w:rsidR="00CE4186">
        <w:rPr>
          <w:sz w:val="24"/>
          <w:szCs w:val="24"/>
        </w:rPr>
        <w:t>sedativa</w:t>
      </w:r>
      <w:proofErr w:type="spellEnd"/>
      <w:r w:rsidR="00CE4186">
        <w:rPr>
          <w:sz w:val="24"/>
          <w:szCs w:val="24"/>
        </w:rPr>
        <w:t xml:space="preserve">, </w:t>
      </w:r>
      <w:proofErr w:type="spellStart"/>
      <w:r w:rsidR="00CE4186">
        <w:rPr>
          <w:sz w:val="24"/>
          <w:szCs w:val="24"/>
        </w:rPr>
        <w:t>gabapentinoider</w:t>
      </w:r>
      <w:proofErr w:type="spellEnd"/>
      <w:r w:rsidR="00CE4186">
        <w:rPr>
          <w:sz w:val="24"/>
          <w:szCs w:val="24"/>
        </w:rPr>
        <w:t xml:space="preserve"> </w:t>
      </w:r>
      <w:r w:rsidRPr="0010024B">
        <w:rPr>
          <w:sz w:val="24"/>
          <w:szCs w:val="24"/>
        </w:rPr>
        <w:t xml:space="preserve">eller </w:t>
      </w:r>
      <w:proofErr w:type="spellStart"/>
      <w:r w:rsidRPr="0010024B">
        <w:rPr>
          <w:sz w:val="24"/>
          <w:szCs w:val="24"/>
        </w:rPr>
        <w:t>hypnotika</w:t>
      </w:r>
      <w:proofErr w:type="spellEnd"/>
      <w:r w:rsidRPr="0010024B">
        <w:rPr>
          <w:sz w:val="24"/>
          <w:szCs w:val="24"/>
        </w:rPr>
        <w:t xml:space="preserve">) (se </w:t>
      </w:r>
      <w:r>
        <w:rPr>
          <w:sz w:val="24"/>
          <w:szCs w:val="24"/>
        </w:rPr>
        <w:t xml:space="preserve">nedenfor og </w:t>
      </w:r>
      <w:r w:rsidRPr="0010024B">
        <w:rPr>
          <w:sz w:val="24"/>
          <w:szCs w:val="24"/>
        </w:rPr>
        <w:t>pkt. 4.5 og 4.7).</w:t>
      </w:r>
    </w:p>
    <w:p w:rsidR="002747FA" w:rsidRPr="0010024B" w:rsidRDefault="002747FA" w:rsidP="002747FA">
      <w:pPr>
        <w:ind w:left="851"/>
        <w:rPr>
          <w:sz w:val="24"/>
          <w:szCs w:val="24"/>
        </w:rPr>
      </w:pPr>
    </w:p>
    <w:p w:rsidR="002747FA" w:rsidRPr="003D2A71" w:rsidRDefault="002747FA" w:rsidP="002747FA">
      <w:pPr>
        <w:ind w:left="851"/>
        <w:rPr>
          <w:sz w:val="24"/>
          <w:szCs w:val="24"/>
        </w:rPr>
      </w:pPr>
      <w:bookmarkStart w:id="0" w:name="_Hlk17718907"/>
      <w:r w:rsidRPr="003D2A71">
        <w:rPr>
          <w:sz w:val="24"/>
          <w:szCs w:val="24"/>
          <w:u w:val="single"/>
        </w:rPr>
        <w:t xml:space="preserve">Risiko ved samtidig anvendelse af </w:t>
      </w:r>
      <w:proofErr w:type="spellStart"/>
      <w:r w:rsidRPr="003D2A71">
        <w:rPr>
          <w:sz w:val="24"/>
          <w:szCs w:val="24"/>
          <w:u w:val="single"/>
        </w:rPr>
        <w:t>sedativa</w:t>
      </w:r>
      <w:proofErr w:type="spellEnd"/>
      <w:r w:rsidRPr="003D2A71">
        <w:rPr>
          <w:sz w:val="24"/>
          <w:szCs w:val="24"/>
          <w:u w:val="single"/>
        </w:rPr>
        <w:t xml:space="preserve"> </w:t>
      </w:r>
      <w:r>
        <w:rPr>
          <w:sz w:val="24"/>
          <w:szCs w:val="24"/>
          <w:u w:val="single"/>
        </w:rPr>
        <w:t>så</w:t>
      </w:r>
      <w:r w:rsidRPr="003D2A71">
        <w:rPr>
          <w:sz w:val="24"/>
          <w:szCs w:val="24"/>
          <w:u w:val="single"/>
        </w:rPr>
        <w:t>som benzodiazepiner eller beslægtede lægemidler</w:t>
      </w:r>
      <w:r w:rsidRPr="003D2A71">
        <w:rPr>
          <w:sz w:val="24"/>
          <w:szCs w:val="24"/>
        </w:rPr>
        <w:t xml:space="preserve"> </w:t>
      </w:r>
      <w:r w:rsidRPr="003D2A71">
        <w:rPr>
          <w:sz w:val="24"/>
          <w:szCs w:val="24"/>
        </w:rPr>
        <w:br/>
        <w:t xml:space="preserve">Samtidig anvendelse af </w:t>
      </w:r>
      <w:proofErr w:type="spellStart"/>
      <w:r w:rsidRPr="003D2A71">
        <w:rPr>
          <w:sz w:val="24"/>
          <w:szCs w:val="24"/>
        </w:rPr>
        <w:t>buprenorphin</w:t>
      </w:r>
      <w:proofErr w:type="spellEnd"/>
      <w:r w:rsidRPr="003D2A71">
        <w:rPr>
          <w:sz w:val="24"/>
          <w:szCs w:val="24"/>
        </w:rPr>
        <w:t xml:space="preserve"> og </w:t>
      </w:r>
      <w:proofErr w:type="spellStart"/>
      <w:r w:rsidRPr="003D2A71">
        <w:rPr>
          <w:sz w:val="24"/>
          <w:szCs w:val="24"/>
        </w:rPr>
        <w:t>sedativa</w:t>
      </w:r>
      <w:proofErr w:type="spellEnd"/>
      <w:r w:rsidRPr="003D2A71">
        <w:rPr>
          <w:sz w:val="24"/>
          <w:szCs w:val="24"/>
        </w:rPr>
        <w:t xml:space="preserve">, såsom benzodiazepiner eller beslægtede lægemidler, kan resultere i sedation, respirationsdepression, koma og død. På grund af disse risici bør samtidig behandling med disse </w:t>
      </w:r>
      <w:proofErr w:type="spellStart"/>
      <w:r w:rsidRPr="003D2A71">
        <w:rPr>
          <w:sz w:val="24"/>
          <w:szCs w:val="24"/>
        </w:rPr>
        <w:t>sedativa</w:t>
      </w:r>
      <w:proofErr w:type="spellEnd"/>
      <w:r w:rsidRPr="003D2A71">
        <w:rPr>
          <w:sz w:val="24"/>
          <w:szCs w:val="24"/>
        </w:rPr>
        <w:t xml:space="preserve"> forbeholdes patienter, for hvem der ikke er alternative behandlingsmuligheder. Hvis der træffes beslutning om at ordinere </w:t>
      </w:r>
      <w:proofErr w:type="spellStart"/>
      <w:r w:rsidRPr="003D2A71">
        <w:rPr>
          <w:sz w:val="24"/>
          <w:szCs w:val="24"/>
        </w:rPr>
        <w:t>buprenorphin</w:t>
      </w:r>
      <w:proofErr w:type="spellEnd"/>
      <w:r w:rsidRPr="003D2A71">
        <w:rPr>
          <w:sz w:val="24"/>
          <w:szCs w:val="24"/>
        </w:rPr>
        <w:t xml:space="preserve"> samtidig med </w:t>
      </w:r>
      <w:proofErr w:type="spellStart"/>
      <w:r w:rsidRPr="003D2A71">
        <w:rPr>
          <w:sz w:val="24"/>
          <w:szCs w:val="24"/>
        </w:rPr>
        <w:t>sedativa</w:t>
      </w:r>
      <w:proofErr w:type="spellEnd"/>
      <w:r w:rsidRPr="003D2A71">
        <w:rPr>
          <w:sz w:val="24"/>
          <w:szCs w:val="24"/>
        </w:rPr>
        <w:t xml:space="preserve">, skal den laveste effektive dosis anvendes, og behandlingens varighed skal være så kort som muligt. </w:t>
      </w:r>
    </w:p>
    <w:p w:rsidR="002747FA" w:rsidRDefault="002747FA" w:rsidP="002747FA">
      <w:pPr>
        <w:ind w:left="851"/>
        <w:rPr>
          <w:sz w:val="24"/>
          <w:szCs w:val="24"/>
        </w:rPr>
      </w:pPr>
      <w:r w:rsidRPr="003D2A71">
        <w:rPr>
          <w:sz w:val="24"/>
          <w:szCs w:val="24"/>
        </w:rPr>
        <w:t>Patienterne skal følges nøje for tegn og symptomer på respirationsdepression og sedation. I den forbindelse anbefales det kraftigt at informere patienter og omsorgspersoner om at være opmærksomme på disse symptomer (se pkt. 4.5).</w:t>
      </w:r>
    </w:p>
    <w:p w:rsidR="00370306" w:rsidRDefault="00370306" w:rsidP="002747FA">
      <w:pPr>
        <w:ind w:left="851"/>
        <w:rPr>
          <w:sz w:val="24"/>
          <w:szCs w:val="24"/>
        </w:rPr>
      </w:pPr>
    </w:p>
    <w:p w:rsidR="00370306" w:rsidRPr="00185900" w:rsidRDefault="00370306" w:rsidP="00370306">
      <w:pPr>
        <w:ind w:left="851"/>
        <w:rPr>
          <w:sz w:val="24"/>
          <w:szCs w:val="24"/>
          <w:u w:val="single"/>
        </w:rPr>
      </w:pPr>
      <w:r w:rsidRPr="00185900">
        <w:rPr>
          <w:sz w:val="24"/>
          <w:szCs w:val="24"/>
          <w:u w:val="single"/>
        </w:rPr>
        <w:t>Serotoninsyndrom</w:t>
      </w:r>
    </w:p>
    <w:p w:rsidR="00370306" w:rsidRPr="006809E7" w:rsidRDefault="00370306" w:rsidP="00370306">
      <w:pPr>
        <w:ind w:left="851"/>
        <w:rPr>
          <w:sz w:val="24"/>
          <w:szCs w:val="24"/>
        </w:rPr>
      </w:pPr>
      <w:r w:rsidRPr="006809E7">
        <w:rPr>
          <w:sz w:val="24"/>
          <w:szCs w:val="24"/>
        </w:rPr>
        <w:t xml:space="preserve">Samtidig administration af </w:t>
      </w:r>
      <w:proofErr w:type="spellStart"/>
      <w:r w:rsidRPr="0010024B">
        <w:rPr>
          <w:sz w:val="24"/>
        </w:rPr>
        <w:t>buprenorphin</w:t>
      </w:r>
      <w:proofErr w:type="spellEnd"/>
      <w:r w:rsidRPr="006809E7">
        <w:rPr>
          <w:sz w:val="24"/>
          <w:szCs w:val="24"/>
        </w:rPr>
        <w:t xml:space="preserve"> og andre </w:t>
      </w:r>
      <w:proofErr w:type="spellStart"/>
      <w:r w:rsidRPr="006809E7">
        <w:rPr>
          <w:sz w:val="24"/>
          <w:szCs w:val="24"/>
        </w:rPr>
        <w:t>serotonerge</w:t>
      </w:r>
      <w:proofErr w:type="spellEnd"/>
      <w:r w:rsidRPr="006809E7">
        <w:rPr>
          <w:sz w:val="24"/>
          <w:szCs w:val="24"/>
        </w:rPr>
        <w:t xml:space="preserve"> midler, f.eks. MAO-</w:t>
      </w:r>
      <w:proofErr w:type="spellStart"/>
      <w:r w:rsidRPr="006809E7">
        <w:rPr>
          <w:sz w:val="24"/>
          <w:szCs w:val="24"/>
        </w:rPr>
        <w:t>hæmmere</w:t>
      </w:r>
      <w:proofErr w:type="spellEnd"/>
      <w:r w:rsidRPr="006809E7">
        <w:rPr>
          <w:sz w:val="24"/>
          <w:szCs w:val="24"/>
        </w:rPr>
        <w:t xml:space="preserve">, selektive </w:t>
      </w:r>
      <w:proofErr w:type="spellStart"/>
      <w:r w:rsidRPr="006809E7">
        <w:rPr>
          <w:sz w:val="24"/>
          <w:szCs w:val="24"/>
        </w:rPr>
        <w:t>serotoningenoptagelseshæmmere</w:t>
      </w:r>
      <w:proofErr w:type="spellEnd"/>
      <w:r w:rsidRPr="006809E7">
        <w:rPr>
          <w:sz w:val="24"/>
          <w:szCs w:val="24"/>
        </w:rPr>
        <w:t xml:space="preserve"> (</w:t>
      </w:r>
      <w:proofErr w:type="spellStart"/>
      <w:r w:rsidRPr="006809E7">
        <w:rPr>
          <w:sz w:val="24"/>
          <w:szCs w:val="24"/>
        </w:rPr>
        <w:t>SSRI'er</w:t>
      </w:r>
      <w:proofErr w:type="spellEnd"/>
      <w:r w:rsidRPr="006809E7">
        <w:rPr>
          <w:sz w:val="24"/>
          <w:szCs w:val="24"/>
        </w:rPr>
        <w:t>), serotonin-noradrenalin-</w:t>
      </w:r>
      <w:proofErr w:type="spellStart"/>
      <w:r w:rsidRPr="006809E7">
        <w:rPr>
          <w:sz w:val="24"/>
          <w:szCs w:val="24"/>
        </w:rPr>
        <w:t>genoptagelseshæmmere</w:t>
      </w:r>
      <w:proofErr w:type="spellEnd"/>
      <w:r w:rsidRPr="006809E7">
        <w:rPr>
          <w:sz w:val="24"/>
          <w:szCs w:val="24"/>
        </w:rPr>
        <w:t xml:space="preserve"> (</w:t>
      </w:r>
      <w:proofErr w:type="spellStart"/>
      <w:r w:rsidRPr="006809E7">
        <w:rPr>
          <w:sz w:val="24"/>
          <w:szCs w:val="24"/>
        </w:rPr>
        <w:t>SNRI'er</w:t>
      </w:r>
      <w:proofErr w:type="spellEnd"/>
      <w:r w:rsidRPr="006809E7">
        <w:rPr>
          <w:sz w:val="24"/>
          <w:szCs w:val="24"/>
        </w:rPr>
        <w:t>) eller tricykliske antidepressive stoffer kan medføre serotoninsyndrom, der er en potentielt livstruende tilstand (se pkt. 4.5).</w:t>
      </w:r>
    </w:p>
    <w:p w:rsidR="00370306" w:rsidRPr="006809E7" w:rsidRDefault="00370306" w:rsidP="00370306">
      <w:pPr>
        <w:ind w:left="851"/>
        <w:rPr>
          <w:sz w:val="24"/>
          <w:szCs w:val="24"/>
        </w:rPr>
      </w:pPr>
      <w:r w:rsidRPr="006809E7">
        <w:rPr>
          <w:sz w:val="24"/>
          <w:szCs w:val="24"/>
        </w:rPr>
        <w:t xml:space="preserve">Hvis samtidig behandling med andre </w:t>
      </w:r>
      <w:proofErr w:type="spellStart"/>
      <w:r w:rsidRPr="006809E7">
        <w:rPr>
          <w:sz w:val="24"/>
          <w:szCs w:val="24"/>
        </w:rPr>
        <w:t>serotonerge</w:t>
      </w:r>
      <w:proofErr w:type="spellEnd"/>
      <w:r w:rsidRPr="006809E7">
        <w:rPr>
          <w:sz w:val="24"/>
          <w:szCs w:val="24"/>
        </w:rPr>
        <w:t xml:space="preserve"> midler er klinisk indiceret, tilrådes det at overvåge patienten grundigt, især ved påbegyndelse af behandlingen og øgning af dosis.</w:t>
      </w:r>
    </w:p>
    <w:p w:rsidR="00370306" w:rsidRPr="006809E7" w:rsidRDefault="00370306" w:rsidP="00370306">
      <w:pPr>
        <w:ind w:left="851"/>
        <w:rPr>
          <w:sz w:val="24"/>
          <w:szCs w:val="24"/>
        </w:rPr>
      </w:pPr>
      <w:r w:rsidRPr="006809E7">
        <w:rPr>
          <w:sz w:val="24"/>
          <w:szCs w:val="24"/>
        </w:rPr>
        <w:t xml:space="preserve">Symptomer på serotoninsyndrom kan omfatte ændret mental status, autonom ustabilitet, </w:t>
      </w:r>
      <w:proofErr w:type="spellStart"/>
      <w:r w:rsidRPr="006809E7">
        <w:rPr>
          <w:sz w:val="24"/>
          <w:szCs w:val="24"/>
        </w:rPr>
        <w:t>neuromuskulære</w:t>
      </w:r>
      <w:proofErr w:type="spellEnd"/>
      <w:r w:rsidRPr="006809E7">
        <w:rPr>
          <w:sz w:val="24"/>
          <w:szCs w:val="24"/>
        </w:rPr>
        <w:t xml:space="preserve"> anomalier og/eller </w:t>
      </w:r>
      <w:proofErr w:type="spellStart"/>
      <w:r w:rsidRPr="006809E7">
        <w:rPr>
          <w:sz w:val="24"/>
          <w:szCs w:val="24"/>
        </w:rPr>
        <w:t>gastrointestinale</w:t>
      </w:r>
      <w:proofErr w:type="spellEnd"/>
      <w:r w:rsidRPr="006809E7">
        <w:rPr>
          <w:sz w:val="24"/>
          <w:szCs w:val="24"/>
        </w:rPr>
        <w:t xml:space="preserve"> symptomer.</w:t>
      </w:r>
    </w:p>
    <w:p w:rsidR="00370306" w:rsidRDefault="00370306" w:rsidP="00370306">
      <w:pPr>
        <w:ind w:left="851"/>
        <w:rPr>
          <w:sz w:val="24"/>
          <w:szCs w:val="24"/>
        </w:rPr>
      </w:pPr>
      <w:r w:rsidRPr="006809E7">
        <w:rPr>
          <w:sz w:val="24"/>
          <w:szCs w:val="24"/>
        </w:rPr>
        <w:t>Hvis der er mistanke om serotoninsyndrom, bør dosisreduktion eller behandlingsophør overvejes, afhængigt af symptomernes sværhedsgrad.</w:t>
      </w:r>
    </w:p>
    <w:bookmarkEnd w:id="0"/>
    <w:p w:rsidR="002747FA" w:rsidRDefault="002747FA" w:rsidP="002747FA">
      <w:pPr>
        <w:ind w:left="851"/>
        <w:rPr>
          <w:sz w:val="24"/>
          <w:szCs w:val="24"/>
        </w:rPr>
      </w:pPr>
    </w:p>
    <w:p w:rsidR="000206E9" w:rsidRDefault="000206E9" w:rsidP="000206E9">
      <w:pPr>
        <w:ind w:left="851"/>
        <w:rPr>
          <w:sz w:val="24"/>
          <w:szCs w:val="24"/>
          <w:u w:val="single"/>
        </w:rPr>
      </w:pPr>
      <w:r>
        <w:rPr>
          <w:sz w:val="24"/>
          <w:szCs w:val="24"/>
          <w:u w:val="single"/>
        </w:rPr>
        <w:t xml:space="preserve">Tolerance og opioidmisbrug (misbrug og afhængighed) </w:t>
      </w:r>
    </w:p>
    <w:p w:rsidR="000206E9" w:rsidRDefault="000206E9" w:rsidP="000206E9">
      <w:pPr>
        <w:ind w:left="851"/>
        <w:rPr>
          <w:sz w:val="24"/>
          <w:szCs w:val="24"/>
        </w:rPr>
      </w:pPr>
      <w:r>
        <w:rPr>
          <w:sz w:val="24"/>
          <w:szCs w:val="24"/>
        </w:rPr>
        <w:t xml:space="preserve">Tolerance, fysisk og psykisk afhængighed, og opioidmisbrug kan udvikles ved gentagen administration af opioider som </w:t>
      </w:r>
      <w:proofErr w:type="spellStart"/>
      <w:r>
        <w:rPr>
          <w:sz w:val="24"/>
          <w:szCs w:val="24"/>
        </w:rPr>
        <w:t>Buprenorphine</w:t>
      </w:r>
      <w:proofErr w:type="spellEnd"/>
      <w:r>
        <w:rPr>
          <w:sz w:val="24"/>
          <w:szCs w:val="24"/>
        </w:rPr>
        <w:t xml:space="preserve"> </w:t>
      </w:r>
      <w:r w:rsidR="00CE77F8">
        <w:rPr>
          <w:sz w:val="24"/>
          <w:szCs w:val="24"/>
        </w:rPr>
        <w:t>"</w:t>
      </w:r>
      <w:r>
        <w:rPr>
          <w:sz w:val="24"/>
          <w:szCs w:val="24"/>
        </w:rPr>
        <w:t>Sandoz</w:t>
      </w:r>
      <w:r w:rsidR="00CE77F8">
        <w:rPr>
          <w:sz w:val="24"/>
          <w:szCs w:val="24"/>
        </w:rPr>
        <w:t>"</w:t>
      </w:r>
      <w:r>
        <w:rPr>
          <w:sz w:val="24"/>
          <w:szCs w:val="24"/>
        </w:rPr>
        <w:t xml:space="preserve">. Gentagen brug af </w:t>
      </w:r>
      <w:proofErr w:type="spellStart"/>
      <w:r>
        <w:rPr>
          <w:sz w:val="24"/>
          <w:szCs w:val="24"/>
        </w:rPr>
        <w:t>Buprenorphine</w:t>
      </w:r>
      <w:proofErr w:type="spellEnd"/>
      <w:r>
        <w:rPr>
          <w:sz w:val="24"/>
          <w:szCs w:val="24"/>
        </w:rPr>
        <w:t xml:space="preserve"> </w:t>
      </w:r>
      <w:r w:rsidR="00CE77F8">
        <w:rPr>
          <w:sz w:val="24"/>
          <w:szCs w:val="24"/>
        </w:rPr>
        <w:t>"</w:t>
      </w:r>
      <w:r>
        <w:rPr>
          <w:sz w:val="24"/>
          <w:szCs w:val="24"/>
        </w:rPr>
        <w:t>Sandoz</w:t>
      </w:r>
      <w:r w:rsidR="00CE77F8">
        <w:rPr>
          <w:sz w:val="24"/>
          <w:szCs w:val="24"/>
        </w:rPr>
        <w:t>"</w:t>
      </w:r>
      <w:r>
        <w:rPr>
          <w:sz w:val="24"/>
          <w:szCs w:val="24"/>
        </w:rPr>
        <w:t xml:space="preserve"> kan føre til opioidmisbrug. En højere dosis og længere varighed af opioidbehandling kan øge risikoen for at udvikle opioidmisbrug. Misbrug eller forsætlig misbrug af </w:t>
      </w:r>
      <w:proofErr w:type="spellStart"/>
      <w:r>
        <w:rPr>
          <w:sz w:val="24"/>
          <w:szCs w:val="24"/>
        </w:rPr>
        <w:t>Buprenorphine</w:t>
      </w:r>
      <w:proofErr w:type="spellEnd"/>
      <w:r>
        <w:rPr>
          <w:sz w:val="24"/>
          <w:szCs w:val="24"/>
        </w:rPr>
        <w:t xml:space="preserve"> </w:t>
      </w:r>
      <w:r w:rsidR="00CE77F8">
        <w:rPr>
          <w:sz w:val="24"/>
          <w:szCs w:val="24"/>
        </w:rPr>
        <w:t>"</w:t>
      </w:r>
      <w:r>
        <w:rPr>
          <w:sz w:val="24"/>
          <w:szCs w:val="24"/>
        </w:rPr>
        <w:t>Sandoz</w:t>
      </w:r>
      <w:r w:rsidR="00CE77F8">
        <w:rPr>
          <w:sz w:val="24"/>
          <w:szCs w:val="24"/>
        </w:rPr>
        <w:t>"</w:t>
      </w:r>
      <w:r>
        <w:rPr>
          <w:sz w:val="24"/>
          <w:szCs w:val="24"/>
        </w:rPr>
        <w:t xml:space="preserve"> kan resultere i overdosering og/eller død. Risikoen for at udvikle </w:t>
      </w:r>
      <w:proofErr w:type="spellStart"/>
      <w:r>
        <w:rPr>
          <w:sz w:val="24"/>
          <w:szCs w:val="24"/>
        </w:rPr>
        <w:t>opioidmisbrugøges</w:t>
      </w:r>
      <w:proofErr w:type="spellEnd"/>
      <w:r>
        <w:rPr>
          <w:sz w:val="24"/>
          <w:szCs w:val="24"/>
        </w:rPr>
        <w:t xml:space="preserve"> hos patienter med en personlig eller slægtsanamnese (forældre eller søskende) af stofmisbrug (herunder alkoholmisbrug), hos nuværende tobaksbrugere eller hos patienter med en personlig anamnese med andre psykiske lidelser (f.eks. svær depression, angst og personlighedsforstyrrelser).</w:t>
      </w:r>
    </w:p>
    <w:p w:rsidR="000206E9" w:rsidRDefault="000206E9" w:rsidP="000206E9">
      <w:pPr>
        <w:ind w:left="851"/>
        <w:rPr>
          <w:sz w:val="24"/>
          <w:szCs w:val="24"/>
        </w:rPr>
      </w:pPr>
    </w:p>
    <w:p w:rsidR="000206E9" w:rsidRDefault="000206E9" w:rsidP="000206E9">
      <w:pPr>
        <w:ind w:left="851"/>
        <w:rPr>
          <w:sz w:val="24"/>
          <w:szCs w:val="24"/>
        </w:rPr>
      </w:pPr>
      <w:r>
        <w:rPr>
          <w:sz w:val="24"/>
          <w:szCs w:val="24"/>
        </w:rPr>
        <w:t xml:space="preserve">Før behandling med </w:t>
      </w:r>
      <w:proofErr w:type="spellStart"/>
      <w:r>
        <w:rPr>
          <w:sz w:val="24"/>
          <w:szCs w:val="24"/>
        </w:rPr>
        <w:t>Buprenorphine</w:t>
      </w:r>
      <w:proofErr w:type="spellEnd"/>
      <w:r>
        <w:rPr>
          <w:sz w:val="24"/>
          <w:szCs w:val="24"/>
        </w:rPr>
        <w:t xml:space="preserve"> </w:t>
      </w:r>
      <w:r w:rsidR="00CE77F8">
        <w:rPr>
          <w:sz w:val="24"/>
          <w:szCs w:val="24"/>
        </w:rPr>
        <w:t>"</w:t>
      </w:r>
      <w:r>
        <w:rPr>
          <w:sz w:val="24"/>
          <w:szCs w:val="24"/>
        </w:rPr>
        <w:t>Sandoz</w:t>
      </w:r>
      <w:r w:rsidR="00CE77F8">
        <w:rPr>
          <w:sz w:val="24"/>
          <w:szCs w:val="24"/>
        </w:rPr>
        <w:t>"</w:t>
      </w:r>
      <w:r>
        <w:rPr>
          <w:sz w:val="24"/>
          <w:szCs w:val="24"/>
        </w:rPr>
        <w:t xml:space="preserve"> påbegyndes og under behandlingen, bør behandlingsmål og en </w:t>
      </w:r>
      <w:proofErr w:type="spellStart"/>
      <w:r>
        <w:rPr>
          <w:sz w:val="24"/>
          <w:szCs w:val="24"/>
        </w:rPr>
        <w:t>seponeringsplan</w:t>
      </w:r>
      <w:proofErr w:type="spellEnd"/>
      <w:r>
        <w:rPr>
          <w:sz w:val="24"/>
          <w:szCs w:val="24"/>
        </w:rPr>
        <w:t xml:space="preserve"> aftales med patienten (se </w:t>
      </w:r>
      <w:r w:rsidR="00CE77F8">
        <w:rPr>
          <w:sz w:val="24"/>
          <w:szCs w:val="24"/>
        </w:rPr>
        <w:t>pkt.</w:t>
      </w:r>
      <w:r>
        <w:rPr>
          <w:sz w:val="24"/>
          <w:szCs w:val="24"/>
        </w:rPr>
        <w:t xml:space="preserve"> 4.2). </w:t>
      </w:r>
    </w:p>
    <w:p w:rsidR="000206E9" w:rsidRDefault="000206E9" w:rsidP="000206E9">
      <w:pPr>
        <w:ind w:left="851"/>
        <w:rPr>
          <w:sz w:val="24"/>
          <w:szCs w:val="24"/>
        </w:rPr>
      </w:pPr>
    </w:p>
    <w:p w:rsidR="000206E9" w:rsidRDefault="000206E9" w:rsidP="000206E9">
      <w:pPr>
        <w:ind w:left="851"/>
        <w:rPr>
          <w:sz w:val="24"/>
          <w:szCs w:val="24"/>
        </w:rPr>
      </w:pPr>
      <w:r>
        <w:rPr>
          <w:sz w:val="24"/>
          <w:szCs w:val="24"/>
        </w:rPr>
        <w:t xml:space="preserve">Patienter skal overvåges for tegn på stofsøgende adfærd (f.eks. for tidlige anmodninger om genopfyldning). Dette inkluderer gennemgang af samtidig brug af opioider og psykoaktive stoffer (som benzodiazepiner). For patienter med tegn og symptomer på </w:t>
      </w:r>
      <w:proofErr w:type="spellStart"/>
      <w:r>
        <w:rPr>
          <w:sz w:val="24"/>
          <w:szCs w:val="24"/>
        </w:rPr>
        <w:t>opioidmisbrugbør</w:t>
      </w:r>
      <w:proofErr w:type="spellEnd"/>
      <w:r>
        <w:rPr>
          <w:sz w:val="24"/>
          <w:szCs w:val="24"/>
        </w:rPr>
        <w:t xml:space="preserve"> konsultation med en afhængighedsspecialist overvejes.</w:t>
      </w:r>
    </w:p>
    <w:p w:rsidR="000206E9" w:rsidRPr="003D2A71" w:rsidRDefault="000206E9" w:rsidP="002747FA">
      <w:pPr>
        <w:ind w:left="851"/>
        <w:rPr>
          <w:sz w:val="24"/>
          <w:szCs w:val="24"/>
        </w:rPr>
      </w:pPr>
    </w:p>
    <w:p w:rsidR="002747FA" w:rsidRPr="003D2A71" w:rsidRDefault="002747FA" w:rsidP="002747FA">
      <w:pPr>
        <w:ind w:left="851"/>
        <w:rPr>
          <w:sz w:val="24"/>
          <w:szCs w:val="24"/>
          <w:u w:val="single"/>
        </w:rPr>
      </w:pPr>
      <w:r w:rsidRPr="003D2A71">
        <w:rPr>
          <w:sz w:val="24"/>
          <w:szCs w:val="24"/>
          <w:u w:val="single"/>
        </w:rPr>
        <w:t>Afhængighed</w:t>
      </w:r>
    </w:p>
    <w:p w:rsidR="002747FA" w:rsidRDefault="002747FA" w:rsidP="002747FA">
      <w:pPr>
        <w:ind w:left="851"/>
        <w:rPr>
          <w:sz w:val="24"/>
          <w:szCs w:val="24"/>
        </w:rPr>
      </w:pPr>
      <w:proofErr w:type="spellStart"/>
      <w:r w:rsidRPr="003D2A71">
        <w:rPr>
          <w:sz w:val="24"/>
          <w:szCs w:val="24"/>
        </w:rPr>
        <w:t>Buprenorphin</w:t>
      </w:r>
      <w:proofErr w:type="spellEnd"/>
      <w:r w:rsidRPr="003D2A71">
        <w:rPr>
          <w:sz w:val="24"/>
          <w:szCs w:val="24"/>
        </w:rPr>
        <w:t xml:space="preserve"> er en partiel agonist på μ-opioidreceptoren, og kronisk administration fremkalder opioidafhængighed. </w:t>
      </w:r>
    </w:p>
    <w:p w:rsidR="002747FA" w:rsidRPr="003D2A71" w:rsidRDefault="002747FA" w:rsidP="002747FA">
      <w:pPr>
        <w:ind w:left="851"/>
        <w:rPr>
          <w:sz w:val="24"/>
          <w:szCs w:val="24"/>
        </w:rPr>
      </w:pPr>
      <w:r w:rsidRPr="003D2A71">
        <w:rPr>
          <w:sz w:val="24"/>
          <w:szCs w:val="24"/>
        </w:rPr>
        <w:t xml:space="preserve">Studier med dyr samt klinisk erfaring har påvist, at </w:t>
      </w:r>
      <w:proofErr w:type="spellStart"/>
      <w:r w:rsidRPr="003D2A71">
        <w:rPr>
          <w:sz w:val="24"/>
          <w:szCs w:val="24"/>
        </w:rPr>
        <w:t>buprenorphin</w:t>
      </w:r>
      <w:proofErr w:type="spellEnd"/>
      <w:r w:rsidRPr="003D2A71">
        <w:rPr>
          <w:sz w:val="24"/>
          <w:szCs w:val="24"/>
        </w:rPr>
        <w:t xml:space="preserve"> kan forårsage afhængighed, men i ringere grad end en ren agonist. </w:t>
      </w:r>
    </w:p>
    <w:p w:rsidR="002747FA" w:rsidRPr="003D2A71" w:rsidRDefault="002747FA" w:rsidP="002747FA">
      <w:pPr>
        <w:ind w:left="851"/>
        <w:rPr>
          <w:sz w:val="24"/>
          <w:szCs w:val="24"/>
        </w:rPr>
      </w:pPr>
    </w:p>
    <w:p w:rsidR="002747FA" w:rsidRPr="003D2A71" w:rsidRDefault="002747FA" w:rsidP="002747FA">
      <w:pPr>
        <w:ind w:left="851"/>
        <w:rPr>
          <w:sz w:val="24"/>
          <w:szCs w:val="24"/>
        </w:rPr>
      </w:pPr>
      <w:r w:rsidRPr="003D2A71">
        <w:rPr>
          <w:sz w:val="24"/>
          <w:szCs w:val="24"/>
        </w:rPr>
        <w:t xml:space="preserve">Pludselig </w:t>
      </w:r>
      <w:proofErr w:type="spellStart"/>
      <w:r w:rsidRPr="003D2A71">
        <w:rPr>
          <w:sz w:val="24"/>
          <w:szCs w:val="24"/>
        </w:rPr>
        <w:t>seponering</w:t>
      </w:r>
      <w:proofErr w:type="spellEnd"/>
      <w:r w:rsidRPr="003D2A71">
        <w:rPr>
          <w:sz w:val="24"/>
          <w:szCs w:val="24"/>
        </w:rPr>
        <w:t xml:space="preserve"> af behandlingen frarådes, da det kan forårsage et forsinket abstinenssyndrom.</w:t>
      </w:r>
    </w:p>
    <w:p w:rsidR="002747FA" w:rsidRPr="003D2A71" w:rsidRDefault="002747FA" w:rsidP="002747FA">
      <w:pPr>
        <w:ind w:left="851"/>
        <w:rPr>
          <w:sz w:val="24"/>
          <w:szCs w:val="24"/>
        </w:rPr>
      </w:pPr>
    </w:p>
    <w:p w:rsidR="002747FA" w:rsidRPr="003D2A71" w:rsidRDefault="002747FA" w:rsidP="002747FA">
      <w:pPr>
        <w:ind w:left="851"/>
        <w:rPr>
          <w:sz w:val="24"/>
          <w:u w:val="single"/>
        </w:rPr>
      </w:pPr>
      <w:r w:rsidRPr="003D2A71">
        <w:rPr>
          <w:sz w:val="24"/>
          <w:u w:val="single"/>
        </w:rPr>
        <w:t>Hepatitis og leverhændelser</w:t>
      </w:r>
    </w:p>
    <w:p w:rsidR="002747FA" w:rsidRPr="0010024B" w:rsidRDefault="002747FA" w:rsidP="002747FA">
      <w:pPr>
        <w:ind w:left="851"/>
        <w:rPr>
          <w:sz w:val="24"/>
        </w:rPr>
      </w:pPr>
      <w:r w:rsidRPr="0010024B">
        <w:rPr>
          <w:sz w:val="24"/>
        </w:rPr>
        <w:t xml:space="preserve">Der er indberettet tilfælde af akut leverskade hos opioidafhængige patienter, både i kliniske forsøg og i bivirkningsrapporter udført efter markedsføring. Spektret af anomalier rækker fra forbigående asymptomatisk forhøjede </w:t>
      </w:r>
      <w:proofErr w:type="spellStart"/>
      <w:r w:rsidRPr="0010024B">
        <w:rPr>
          <w:sz w:val="24"/>
        </w:rPr>
        <w:t>levertransaminaser</w:t>
      </w:r>
      <w:proofErr w:type="spellEnd"/>
      <w:r w:rsidRPr="0010024B">
        <w:rPr>
          <w:sz w:val="24"/>
        </w:rPr>
        <w:t xml:space="preserve"> til rapporter om </w:t>
      </w:r>
      <w:proofErr w:type="spellStart"/>
      <w:r w:rsidRPr="0010024B">
        <w:rPr>
          <w:sz w:val="24"/>
        </w:rPr>
        <w:t>cytolytisk</w:t>
      </w:r>
      <w:proofErr w:type="spellEnd"/>
      <w:r w:rsidRPr="0010024B">
        <w:rPr>
          <w:sz w:val="24"/>
        </w:rPr>
        <w:t xml:space="preserve"> hepatitis, leversvigt, levernekrose, </w:t>
      </w:r>
      <w:proofErr w:type="spellStart"/>
      <w:r w:rsidRPr="0010024B">
        <w:rPr>
          <w:sz w:val="24"/>
        </w:rPr>
        <w:t>hepatorenalt</w:t>
      </w:r>
      <w:proofErr w:type="spellEnd"/>
      <w:r w:rsidRPr="0010024B">
        <w:rPr>
          <w:sz w:val="24"/>
        </w:rPr>
        <w:t xml:space="preserve"> syndrom og </w:t>
      </w:r>
      <w:proofErr w:type="spellStart"/>
      <w:r w:rsidRPr="0010024B">
        <w:rPr>
          <w:sz w:val="24"/>
        </w:rPr>
        <w:t>hepatisk</w:t>
      </w:r>
      <w:proofErr w:type="spellEnd"/>
      <w:r w:rsidRPr="0010024B">
        <w:rPr>
          <w:sz w:val="24"/>
        </w:rPr>
        <w:t xml:space="preserve"> encefalopati samt dødsfald. I mange tilfælde kan eksisterende leverenzymanomalier, genetisk sygdom, infektion med hepatitis B- eller hepatitis C-virus, alkoholmisbrug, anoreksi, samtidig brug af andre potentielt </w:t>
      </w:r>
      <w:proofErr w:type="spellStart"/>
      <w:r w:rsidRPr="0010024B">
        <w:rPr>
          <w:sz w:val="24"/>
        </w:rPr>
        <w:t>hepatotoksiske</w:t>
      </w:r>
      <w:proofErr w:type="spellEnd"/>
      <w:r w:rsidRPr="0010024B">
        <w:rPr>
          <w:sz w:val="24"/>
        </w:rPr>
        <w:t xml:space="preserve"> lægemidler og samtidigt intravenøst stofmisbrug spille en årsagsfremkaldende eller medvirkende rolle. Disse underliggende faktorer</w:t>
      </w:r>
      <w:r w:rsidRPr="0010024B">
        <w:rPr>
          <w:sz w:val="24"/>
          <w:szCs w:val="24"/>
          <w:lang w:eastAsia="ja-JP"/>
        </w:rPr>
        <w:t xml:space="preserve"> </w:t>
      </w:r>
      <w:r w:rsidRPr="0010024B">
        <w:rPr>
          <w:sz w:val="24"/>
        </w:rPr>
        <w:t xml:space="preserve">skal tages i betragtning, inden </w:t>
      </w:r>
      <w:proofErr w:type="spellStart"/>
      <w:r w:rsidRPr="0010024B">
        <w:rPr>
          <w:sz w:val="24"/>
        </w:rPr>
        <w:t>buprenorphin</w:t>
      </w:r>
      <w:proofErr w:type="spellEnd"/>
      <w:r w:rsidRPr="0010024B">
        <w:rPr>
          <w:sz w:val="24"/>
        </w:rPr>
        <w:t xml:space="preserve"> ordineres, og under behandlingen. Hvis der opstår mistanke om en leverhændelse, skal der foretages en yderligere biologisk og ætiologisk udredning. Lægemidlet kan, afhængigt af fundene, seponeres. </w:t>
      </w:r>
      <w:proofErr w:type="spellStart"/>
      <w:r w:rsidRPr="0010024B">
        <w:rPr>
          <w:sz w:val="24"/>
        </w:rPr>
        <w:t>Seponeringen</w:t>
      </w:r>
      <w:proofErr w:type="spellEnd"/>
      <w:r w:rsidRPr="0010024B">
        <w:rPr>
          <w:sz w:val="24"/>
        </w:rPr>
        <w:t xml:space="preserve"> skal foretages med forsigtighed for at forebygge abstinenssymptomer og for at modvirke, at patienten vender tilbage til illegalt stofmisbrug. Hvis behandlingen med lægemidlet fortsættes, skal leverfunktionen monitoreres nøje. </w:t>
      </w:r>
    </w:p>
    <w:p w:rsidR="002747FA" w:rsidRPr="0010024B" w:rsidRDefault="002747FA" w:rsidP="002747FA">
      <w:pPr>
        <w:ind w:left="851"/>
        <w:rPr>
          <w:sz w:val="24"/>
        </w:rPr>
      </w:pPr>
      <w:r w:rsidRPr="0010024B">
        <w:rPr>
          <w:sz w:val="24"/>
        </w:rPr>
        <w:t>Der bør gennemføres regelmæssige leverfunktionsundersøgelser hos alle patienter.</w:t>
      </w:r>
    </w:p>
    <w:p w:rsidR="002747FA" w:rsidRPr="003D2A71" w:rsidRDefault="002747FA" w:rsidP="002747FA">
      <w:pPr>
        <w:ind w:left="851"/>
        <w:rPr>
          <w:sz w:val="24"/>
          <w:szCs w:val="24"/>
        </w:rPr>
      </w:pPr>
      <w:r w:rsidRPr="0010024B">
        <w:rPr>
          <w:sz w:val="24"/>
        </w:rPr>
        <w:t xml:space="preserve"> </w:t>
      </w:r>
    </w:p>
    <w:p w:rsidR="002747FA" w:rsidRPr="003D2A71" w:rsidRDefault="002747FA" w:rsidP="002747FA">
      <w:pPr>
        <w:ind w:left="851"/>
        <w:rPr>
          <w:sz w:val="24"/>
          <w:u w:val="single"/>
        </w:rPr>
      </w:pPr>
      <w:r w:rsidRPr="003D2A71">
        <w:rPr>
          <w:sz w:val="24"/>
          <w:u w:val="single"/>
        </w:rPr>
        <w:t>Fremkaldelse af opioidabstinenssyndrom</w:t>
      </w:r>
    </w:p>
    <w:p w:rsidR="002747FA" w:rsidRPr="0010024B" w:rsidRDefault="002747FA" w:rsidP="002747FA">
      <w:pPr>
        <w:ind w:left="851"/>
        <w:rPr>
          <w:sz w:val="24"/>
        </w:rPr>
      </w:pPr>
      <w:r w:rsidRPr="0010024B">
        <w:rPr>
          <w:sz w:val="24"/>
        </w:rPr>
        <w:t xml:space="preserve">Når behandlingen med sublinguale resoribletter med </w:t>
      </w:r>
      <w:proofErr w:type="spellStart"/>
      <w:r w:rsidRPr="0010024B">
        <w:rPr>
          <w:sz w:val="24"/>
        </w:rPr>
        <w:t>buprenorphin</w:t>
      </w:r>
      <w:proofErr w:type="spellEnd"/>
      <w:r w:rsidRPr="0010024B">
        <w:rPr>
          <w:sz w:val="24"/>
        </w:rPr>
        <w:t xml:space="preserve"> indledes, er det vigtigt at være opmærksom på </w:t>
      </w:r>
      <w:proofErr w:type="spellStart"/>
      <w:r w:rsidRPr="0010024B">
        <w:rPr>
          <w:sz w:val="24"/>
        </w:rPr>
        <w:t>buprenorphins</w:t>
      </w:r>
      <w:proofErr w:type="spellEnd"/>
      <w:r w:rsidRPr="0010024B">
        <w:rPr>
          <w:sz w:val="24"/>
        </w:rPr>
        <w:t xml:space="preserve"> partielle agonistprofil. </w:t>
      </w:r>
      <w:proofErr w:type="spellStart"/>
      <w:r w:rsidRPr="0010024B">
        <w:rPr>
          <w:sz w:val="24"/>
        </w:rPr>
        <w:t>Sublingualt</w:t>
      </w:r>
      <w:proofErr w:type="spellEnd"/>
      <w:r w:rsidRPr="0010024B">
        <w:rPr>
          <w:sz w:val="24"/>
        </w:rPr>
        <w:t xml:space="preserve"> administreret </w:t>
      </w:r>
      <w:proofErr w:type="spellStart"/>
      <w:r w:rsidRPr="0010024B">
        <w:rPr>
          <w:sz w:val="24"/>
        </w:rPr>
        <w:t>buprenorphin</w:t>
      </w:r>
      <w:proofErr w:type="spellEnd"/>
      <w:r w:rsidRPr="0010024B">
        <w:rPr>
          <w:sz w:val="24"/>
        </w:rPr>
        <w:t xml:space="preserve"> kan fremkalde abstinenssymptomer hos opioidafhængige patienter, hvis det administreres før de </w:t>
      </w:r>
      <w:proofErr w:type="spellStart"/>
      <w:r w:rsidRPr="0010024B">
        <w:rPr>
          <w:sz w:val="24"/>
        </w:rPr>
        <w:t>agonistiske</w:t>
      </w:r>
      <w:proofErr w:type="spellEnd"/>
      <w:r w:rsidRPr="0010024B">
        <w:rPr>
          <w:sz w:val="24"/>
        </w:rPr>
        <w:t xml:space="preserve"> virkninger fra nylig anvendelse eller misbrug af opioider er forsvundet. For at forebygge fremkaldelse af abstinenser bør administration af </w:t>
      </w:r>
      <w:proofErr w:type="spellStart"/>
      <w:r w:rsidRPr="0010024B">
        <w:rPr>
          <w:sz w:val="24"/>
        </w:rPr>
        <w:t>buprenorphin</w:t>
      </w:r>
      <w:proofErr w:type="spellEnd"/>
      <w:r w:rsidRPr="0010024B">
        <w:rPr>
          <w:sz w:val="24"/>
        </w:rPr>
        <w:t xml:space="preserve"> først indledes, når der ses objektive tegn og symptomer på moderate abstinenser (se pkt. 4.2).</w:t>
      </w:r>
    </w:p>
    <w:p w:rsidR="00CE77F8" w:rsidRDefault="00CE77F8">
      <w:pPr>
        <w:rPr>
          <w:sz w:val="24"/>
        </w:rPr>
      </w:pPr>
      <w:r>
        <w:rPr>
          <w:sz w:val="24"/>
        </w:rPr>
        <w:br w:type="page"/>
      </w:r>
    </w:p>
    <w:p w:rsidR="002747FA" w:rsidRPr="0010024B" w:rsidRDefault="002747FA" w:rsidP="002747FA">
      <w:pPr>
        <w:ind w:left="851"/>
        <w:rPr>
          <w:sz w:val="24"/>
        </w:rPr>
      </w:pPr>
    </w:p>
    <w:p w:rsidR="002747FA" w:rsidRPr="0010024B" w:rsidRDefault="002747FA" w:rsidP="002747FA">
      <w:pPr>
        <w:ind w:left="851"/>
        <w:rPr>
          <w:sz w:val="24"/>
          <w:u w:val="single"/>
        </w:rPr>
      </w:pPr>
      <w:r w:rsidRPr="0010024B">
        <w:rPr>
          <w:sz w:val="24"/>
          <w:u w:val="single"/>
        </w:rPr>
        <w:t>Nedsat leverfunktion</w:t>
      </w:r>
    </w:p>
    <w:p w:rsidR="002747FA" w:rsidRPr="0010024B" w:rsidRDefault="002747FA" w:rsidP="002747FA">
      <w:pPr>
        <w:ind w:left="851"/>
        <w:rPr>
          <w:sz w:val="24"/>
        </w:rPr>
      </w:pPr>
      <w:r w:rsidRPr="0010024B">
        <w:rPr>
          <w:sz w:val="24"/>
        </w:rPr>
        <w:t xml:space="preserve">Indvirkningen af nedsat leverfunktion på </w:t>
      </w:r>
      <w:proofErr w:type="spellStart"/>
      <w:r w:rsidRPr="0010024B">
        <w:rPr>
          <w:sz w:val="24"/>
        </w:rPr>
        <w:t>buprenorphins</w:t>
      </w:r>
      <w:proofErr w:type="spellEnd"/>
      <w:r w:rsidRPr="0010024B">
        <w:rPr>
          <w:sz w:val="24"/>
        </w:rPr>
        <w:t xml:space="preserve"> farmakokinetik er blevet undersøgt i et postmarketingstudie. Da </w:t>
      </w:r>
      <w:proofErr w:type="spellStart"/>
      <w:r w:rsidRPr="0010024B">
        <w:rPr>
          <w:sz w:val="24"/>
        </w:rPr>
        <w:t>buprenorphin</w:t>
      </w:r>
      <w:proofErr w:type="spellEnd"/>
      <w:r w:rsidRPr="0010024B">
        <w:rPr>
          <w:sz w:val="24"/>
        </w:rPr>
        <w:t xml:space="preserve"> </w:t>
      </w:r>
      <w:proofErr w:type="spellStart"/>
      <w:r w:rsidRPr="0010024B">
        <w:rPr>
          <w:sz w:val="24"/>
        </w:rPr>
        <w:t>metaboliseres</w:t>
      </w:r>
      <w:proofErr w:type="spellEnd"/>
      <w:r w:rsidRPr="0010024B">
        <w:rPr>
          <w:sz w:val="24"/>
        </w:rPr>
        <w:t xml:space="preserve"> i udtalt grad i leveren, var plasmaniveauerne forøget hos patienter med moderat og svært nedsat leverfunktion. Patienter bør monitoreres for tegn og symptomer på opioidabstinenser, toksicitet eller overdosering som følge af øgede </w:t>
      </w:r>
      <w:proofErr w:type="spellStart"/>
      <w:r w:rsidRPr="0010024B">
        <w:rPr>
          <w:sz w:val="24"/>
        </w:rPr>
        <w:t>buprenorphinniveauer</w:t>
      </w:r>
      <w:proofErr w:type="spellEnd"/>
      <w:r w:rsidRPr="0010024B">
        <w:rPr>
          <w:sz w:val="24"/>
        </w:rPr>
        <w:t xml:space="preserve">. Sublinguale tabletter med </w:t>
      </w:r>
      <w:proofErr w:type="spellStart"/>
      <w:r w:rsidRPr="0010024B">
        <w:rPr>
          <w:sz w:val="24"/>
        </w:rPr>
        <w:t>buprenorphin</w:t>
      </w:r>
      <w:proofErr w:type="spellEnd"/>
      <w:r w:rsidRPr="0010024B">
        <w:rPr>
          <w:sz w:val="24"/>
        </w:rPr>
        <w:t xml:space="preserve"> skal anvendes med forsigtighed hos patienter med moderat nedsat leverfunktion (se pkt. 4.3 og 5.2). </w:t>
      </w:r>
      <w:proofErr w:type="spellStart"/>
      <w:r w:rsidRPr="0010024B">
        <w:rPr>
          <w:sz w:val="24"/>
        </w:rPr>
        <w:t>Buprenorphin</w:t>
      </w:r>
      <w:proofErr w:type="spellEnd"/>
      <w:r w:rsidRPr="0010024B">
        <w:rPr>
          <w:sz w:val="24"/>
        </w:rPr>
        <w:t xml:space="preserve"> er kontraindiceret hos patienter med svær leverinsufficiens (se pkt. 4.3).</w:t>
      </w:r>
    </w:p>
    <w:p w:rsidR="002747FA" w:rsidRPr="0010024B" w:rsidRDefault="002747FA" w:rsidP="002747FA">
      <w:pPr>
        <w:ind w:left="851"/>
        <w:rPr>
          <w:sz w:val="24"/>
          <w:u w:val="single"/>
        </w:rPr>
      </w:pPr>
    </w:p>
    <w:p w:rsidR="002747FA" w:rsidRPr="0010024B" w:rsidRDefault="002747FA" w:rsidP="002747FA">
      <w:pPr>
        <w:ind w:left="851"/>
        <w:rPr>
          <w:sz w:val="24"/>
          <w:u w:val="single"/>
        </w:rPr>
      </w:pPr>
      <w:r w:rsidRPr="0010024B">
        <w:rPr>
          <w:sz w:val="24"/>
          <w:u w:val="single"/>
        </w:rPr>
        <w:t>Nedsat nyrefunktion</w:t>
      </w:r>
    </w:p>
    <w:p w:rsidR="002747FA" w:rsidRPr="0010024B" w:rsidRDefault="002747FA" w:rsidP="002747FA">
      <w:pPr>
        <w:ind w:left="851"/>
        <w:rPr>
          <w:sz w:val="24"/>
        </w:rPr>
      </w:pPr>
      <w:proofErr w:type="spellStart"/>
      <w:r w:rsidRPr="0010024B">
        <w:rPr>
          <w:sz w:val="24"/>
        </w:rPr>
        <w:t>Renal</w:t>
      </w:r>
      <w:proofErr w:type="spellEnd"/>
      <w:r w:rsidRPr="0010024B">
        <w:rPr>
          <w:sz w:val="24"/>
        </w:rPr>
        <w:t xml:space="preserve"> udskillelse spiller en relativt lille rolle (ca. 30 %) i den totale udskillelse af </w:t>
      </w:r>
      <w:proofErr w:type="spellStart"/>
      <w:r w:rsidRPr="0010024B">
        <w:rPr>
          <w:sz w:val="24"/>
        </w:rPr>
        <w:t>buprenorphin</w:t>
      </w:r>
      <w:proofErr w:type="spellEnd"/>
      <w:r w:rsidRPr="0010024B">
        <w:rPr>
          <w:sz w:val="24"/>
        </w:rPr>
        <w:t xml:space="preserve">. Derfor er det normalt ikke nødvendigt at ændre dosis ud fra nyrefunktionen. </w:t>
      </w:r>
      <w:proofErr w:type="spellStart"/>
      <w:r w:rsidRPr="0010024B">
        <w:rPr>
          <w:sz w:val="24"/>
        </w:rPr>
        <w:t>Buprenorphins</w:t>
      </w:r>
      <w:proofErr w:type="spellEnd"/>
      <w:r w:rsidRPr="0010024B">
        <w:rPr>
          <w:sz w:val="24"/>
        </w:rPr>
        <w:t xml:space="preserve"> metabolitter akkumuleres hos patienter med nyresvigt. Forsigtighed tilrådes ved dosering til patienter med alvorligt nedsat nyrefunktion (</w:t>
      </w:r>
      <w:proofErr w:type="spellStart"/>
      <w:r w:rsidRPr="0010024B">
        <w:rPr>
          <w:sz w:val="24"/>
        </w:rPr>
        <w:t>kreatininclearance</w:t>
      </w:r>
      <w:proofErr w:type="spellEnd"/>
      <w:r w:rsidRPr="0010024B">
        <w:rPr>
          <w:sz w:val="24"/>
        </w:rPr>
        <w:t xml:space="preserve"> &lt;</w:t>
      </w:r>
      <w:r w:rsidR="00CE77F8">
        <w:rPr>
          <w:sz w:val="24"/>
        </w:rPr>
        <w:t> </w:t>
      </w:r>
      <w:r w:rsidRPr="0010024B">
        <w:rPr>
          <w:sz w:val="24"/>
        </w:rPr>
        <w:t>30</w:t>
      </w:r>
      <w:r w:rsidR="00CE77F8">
        <w:rPr>
          <w:sz w:val="24"/>
        </w:rPr>
        <w:t> </w:t>
      </w:r>
      <w:r w:rsidRPr="0010024B">
        <w:rPr>
          <w:sz w:val="24"/>
        </w:rPr>
        <w:t xml:space="preserve">ml/min) (se pkt. 5.2). </w:t>
      </w:r>
    </w:p>
    <w:p w:rsidR="002747FA" w:rsidRDefault="002747FA" w:rsidP="002747FA">
      <w:pPr>
        <w:ind w:left="851"/>
        <w:rPr>
          <w:sz w:val="24"/>
        </w:rPr>
      </w:pPr>
    </w:p>
    <w:p w:rsidR="006A6480" w:rsidRPr="006A6480" w:rsidRDefault="006A6480" w:rsidP="006A6480">
      <w:pPr>
        <w:ind w:left="851"/>
        <w:rPr>
          <w:sz w:val="24"/>
          <w:u w:val="single"/>
        </w:rPr>
      </w:pPr>
      <w:r w:rsidRPr="006A6480">
        <w:rPr>
          <w:sz w:val="24"/>
          <w:u w:val="single"/>
        </w:rPr>
        <w:t>QT-forlængelse</w:t>
      </w:r>
    </w:p>
    <w:p w:rsidR="006A6480" w:rsidRPr="006A6480" w:rsidRDefault="006A6480" w:rsidP="006A6480">
      <w:pPr>
        <w:ind w:left="851"/>
        <w:rPr>
          <w:sz w:val="24"/>
        </w:rPr>
      </w:pPr>
      <w:r w:rsidRPr="006A6480">
        <w:rPr>
          <w:sz w:val="24"/>
        </w:rPr>
        <w:t xml:space="preserve">Der bør udvises forsigtighed ved samtidig administration af sublinguale resoribletter med </w:t>
      </w:r>
      <w:proofErr w:type="spellStart"/>
      <w:r w:rsidRPr="006A6480">
        <w:rPr>
          <w:sz w:val="24"/>
        </w:rPr>
        <w:t>buprenorphin</w:t>
      </w:r>
      <w:proofErr w:type="spellEnd"/>
      <w:r w:rsidRPr="006A6480">
        <w:rPr>
          <w:sz w:val="24"/>
        </w:rPr>
        <w:t xml:space="preserve"> og andre lægemidler, der forlænger QT-intervallet, og hos patienter med langt QT-syndrom i anamnesen eller andre risikofaktorer for QT-forlængelse.</w:t>
      </w:r>
    </w:p>
    <w:p w:rsidR="006A6480" w:rsidRPr="0010024B" w:rsidRDefault="006A6480" w:rsidP="002747FA">
      <w:pPr>
        <w:ind w:left="851"/>
        <w:rPr>
          <w:sz w:val="24"/>
        </w:rPr>
      </w:pPr>
    </w:p>
    <w:p w:rsidR="002747FA" w:rsidRPr="0010024B" w:rsidRDefault="002747FA" w:rsidP="002747FA">
      <w:pPr>
        <w:ind w:left="851"/>
        <w:rPr>
          <w:sz w:val="24"/>
          <w:u w:val="single"/>
        </w:rPr>
      </w:pPr>
      <w:r w:rsidRPr="0010024B">
        <w:rPr>
          <w:sz w:val="24"/>
          <w:u w:val="single"/>
        </w:rPr>
        <w:t>Anvendelse til unge</w:t>
      </w:r>
    </w:p>
    <w:p w:rsidR="002747FA" w:rsidRPr="0010024B" w:rsidRDefault="002747FA" w:rsidP="002747FA">
      <w:pPr>
        <w:ind w:left="851"/>
        <w:rPr>
          <w:sz w:val="24"/>
        </w:rPr>
      </w:pPr>
      <w:r w:rsidRPr="0010024B">
        <w:rPr>
          <w:sz w:val="24"/>
        </w:rPr>
        <w:t xml:space="preserve">På grund af manglende data for unge (i alderen 15-18 år) skal patienter i denne aldersgruppe monitoreres særligt nøje under behandlingen. </w:t>
      </w:r>
    </w:p>
    <w:p w:rsidR="002747FA" w:rsidRPr="0010024B" w:rsidRDefault="002747FA" w:rsidP="002747FA">
      <w:pPr>
        <w:ind w:left="851"/>
        <w:rPr>
          <w:sz w:val="24"/>
        </w:rPr>
      </w:pPr>
    </w:p>
    <w:p w:rsidR="002747FA" w:rsidRPr="0010024B" w:rsidRDefault="002747FA" w:rsidP="002747FA">
      <w:pPr>
        <w:ind w:left="851"/>
        <w:rPr>
          <w:sz w:val="24"/>
          <w:u w:val="single"/>
        </w:rPr>
      </w:pPr>
      <w:r w:rsidRPr="0010024B">
        <w:rPr>
          <w:sz w:val="24"/>
          <w:u w:val="single"/>
        </w:rPr>
        <w:t>Generelle advarsler, der er relevante for administration af opioider</w:t>
      </w:r>
    </w:p>
    <w:p w:rsidR="002747FA" w:rsidRPr="0010024B" w:rsidRDefault="002747FA" w:rsidP="002747FA">
      <w:pPr>
        <w:ind w:left="851"/>
        <w:rPr>
          <w:sz w:val="24"/>
        </w:rPr>
      </w:pPr>
      <w:r w:rsidRPr="0010024B">
        <w:rPr>
          <w:sz w:val="24"/>
        </w:rPr>
        <w:t xml:space="preserve">Opioider kan fremkalde </w:t>
      </w:r>
      <w:proofErr w:type="spellStart"/>
      <w:r w:rsidRPr="0010024B">
        <w:rPr>
          <w:sz w:val="24"/>
        </w:rPr>
        <w:t>ortostatisk</w:t>
      </w:r>
      <w:proofErr w:type="spellEnd"/>
      <w:r w:rsidRPr="0010024B">
        <w:rPr>
          <w:sz w:val="24"/>
        </w:rPr>
        <w:t xml:space="preserve"> hypotension hos ambulante patienter.</w:t>
      </w:r>
    </w:p>
    <w:p w:rsidR="002747FA" w:rsidRPr="0010024B" w:rsidRDefault="002747FA" w:rsidP="002747FA">
      <w:pPr>
        <w:ind w:left="851"/>
        <w:rPr>
          <w:sz w:val="24"/>
        </w:rPr>
      </w:pPr>
    </w:p>
    <w:p w:rsidR="002747FA" w:rsidRPr="0010024B" w:rsidRDefault="002747FA" w:rsidP="002747FA">
      <w:pPr>
        <w:widowControl w:val="0"/>
        <w:ind w:left="851"/>
        <w:rPr>
          <w:sz w:val="24"/>
          <w:szCs w:val="24"/>
        </w:rPr>
      </w:pPr>
      <w:r w:rsidRPr="0010024B">
        <w:rPr>
          <w:sz w:val="24"/>
        </w:rPr>
        <w:t xml:space="preserve">Opioider kan øge trykket i cerebrospinalvæsken, hvilket kan forårsage krampeanfald. Derfor skal opioider anvendes med forsigtighed hos patienter, som har </w:t>
      </w:r>
      <w:r w:rsidRPr="0010024B">
        <w:rPr>
          <w:sz w:val="24"/>
          <w:szCs w:val="24"/>
        </w:rPr>
        <w:t xml:space="preserve">hovedtraume, </w:t>
      </w:r>
      <w:proofErr w:type="spellStart"/>
      <w:r w:rsidRPr="0010024B">
        <w:rPr>
          <w:sz w:val="24"/>
          <w:szCs w:val="24"/>
        </w:rPr>
        <w:t>intrakranielle</w:t>
      </w:r>
      <w:proofErr w:type="spellEnd"/>
      <w:r w:rsidRPr="0010024B">
        <w:rPr>
          <w:sz w:val="24"/>
          <w:szCs w:val="24"/>
        </w:rPr>
        <w:t xml:space="preserve"> læsioner, andre omstændigheder, hvor </w:t>
      </w:r>
      <w:proofErr w:type="spellStart"/>
      <w:r w:rsidRPr="0010024B">
        <w:rPr>
          <w:sz w:val="24"/>
          <w:szCs w:val="24"/>
        </w:rPr>
        <w:t>cerebrospinaltrykket</w:t>
      </w:r>
      <w:proofErr w:type="spellEnd"/>
      <w:r w:rsidRPr="0010024B">
        <w:rPr>
          <w:sz w:val="24"/>
          <w:szCs w:val="24"/>
        </w:rPr>
        <w:t xml:space="preserve"> kan være øget, eller med krampeanfald i anamnesen.</w:t>
      </w:r>
    </w:p>
    <w:p w:rsidR="002747FA" w:rsidRPr="0010024B" w:rsidRDefault="002747FA" w:rsidP="002747FA">
      <w:pPr>
        <w:widowControl w:val="0"/>
        <w:ind w:left="851"/>
        <w:rPr>
          <w:sz w:val="24"/>
          <w:szCs w:val="24"/>
        </w:rPr>
      </w:pPr>
    </w:p>
    <w:p w:rsidR="002747FA" w:rsidRPr="0010024B" w:rsidRDefault="002747FA" w:rsidP="002747FA">
      <w:pPr>
        <w:widowControl w:val="0"/>
        <w:ind w:left="851"/>
        <w:rPr>
          <w:sz w:val="24"/>
          <w:szCs w:val="24"/>
        </w:rPr>
      </w:pPr>
      <w:r w:rsidRPr="0010024B">
        <w:rPr>
          <w:sz w:val="24"/>
          <w:szCs w:val="24"/>
        </w:rPr>
        <w:t xml:space="preserve">Opioider skal anvendes med forsigtighed hos patienter med hypotension, prostatahypertrofi eller </w:t>
      </w:r>
      <w:proofErr w:type="spellStart"/>
      <w:r w:rsidRPr="0010024B">
        <w:rPr>
          <w:sz w:val="24"/>
          <w:szCs w:val="24"/>
        </w:rPr>
        <w:t>uretral</w:t>
      </w:r>
      <w:proofErr w:type="spellEnd"/>
      <w:r w:rsidRPr="0010024B">
        <w:rPr>
          <w:sz w:val="24"/>
          <w:szCs w:val="24"/>
        </w:rPr>
        <w:t xml:space="preserve"> stenose.</w:t>
      </w:r>
    </w:p>
    <w:p w:rsidR="002747FA" w:rsidRPr="0010024B" w:rsidRDefault="002747FA" w:rsidP="002747FA">
      <w:pPr>
        <w:widowControl w:val="0"/>
        <w:ind w:left="851"/>
        <w:rPr>
          <w:sz w:val="24"/>
          <w:szCs w:val="24"/>
        </w:rPr>
      </w:pPr>
    </w:p>
    <w:p w:rsidR="002747FA" w:rsidRPr="0010024B" w:rsidRDefault="002747FA" w:rsidP="002747FA">
      <w:pPr>
        <w:widowControl w:val="0"/>
        <w:ind w:left="851"/>
        <w:rPr>
          <w:sz w:val="24"/>
          <w:szCs w:val="24"/>
        </w:rPr>
      </w:pPr>
      <w:r w:rsidRPr="0010024B">
        <w:rPr>
          <w:sz w:val="24"/>
          <w:szCs w:val="24"/>
        </w:rPr>
        <w:t xml:space="preserve">Opioid-induceret pupilforsnævring, ændring i bevidsthedsniveauet eller ændringer i smerteoplevelsen som symptom på sygdom kan interferere med evalueringen af patienten eller sløre diagnosen eller det kliniske forløb for samtidig sygdom. </w:t>
      </w:r>
    </w:p>
    <w:p w:rsidR="002747FA" w:rsidRPr="0010024B" w:rsidRDefault="002747FA" w:rsidP="002747FA">
      <w:pPr>
        <w:widowControl w:val="0"/>
        <w:ind w:left="851"/>
        <w:rPr>
          <w:sz w:val="24"/>
          <w:szCs w:val="24"/>
        </w:rPr>
      </w:pPr>
    </w:p>
    <w:p w:rsidR="002747FA" w:rsidRPr="0010024B" w:rsidRDefault="002747FA" w:rsidP="002747FA">
      <w:pPr>
        <w:widowControl w:val="0"/>
        <w:ind w:left="851"/>
        <w:rPr>
          <w:sz w:val="24"/>
          <w:szCs w:val="24"/>
        </w:rPr>
      </w:pPr>
      <w:r w:rsidRPr="0010024B">
        <w:rPr>
          <w:sz w:val="24"/>
          <w:szCs w:val="24"/>
        </w:rPr>
        <w:t xml:space="preserve">Opioider skal anvendes med forsigtighed til patienter med </w:t>
      </w:r>
      <w:proofErr w:type="spellStart"/>
      <w:r w:rsidRPr="0010024B">
        <w:rPr>
          <w:sz w:val="24"/>
          <w:szCs w:val="24"/>
        </w:rPr>
        <w:t>myksødem</w:t>
      </w:r>
      <w:proofErr w:type="spellEnd"/>
      <w:r w:rsidRPr="0010024B">
        <w:rPr>
          <w:sz w:val="24"/>
          <w:szCs w:val="24"/>
        </w:rPr>
        <w:t xml:space="preserve">, </w:t>
      </w:r>
      <w:proofErr w:type="spellStart"/>
      <w:r w:rsidRPr="0010024B">
        <w:rPr>
          <w:sz w:val="24"/>
          <w:szCs w:val="24"/>
        </w:rPr>
        <w:t>hypotyreose</w:t>
      </w:r>
      <w:proofErr w:type="spellEnd"/>
      <w:r w:rsidRPr="0010024B">
        <w:rPr>
          <w:sz w:val="24"/>
          <w:szCs w:val="24"/>
        </w:rPr>
        <w:t xml:space="preserve"> eller binyrebarkinsufficiens (f.eks. Addisons sygdom). </w:t>
      </w:r>
    </w:p>
    <w:p w:rsidR="002747FA" w:rsidRPr="0010024B" w:rsidRDefault="002747FA" w:rsidP="002747FA">
      <w:pPr>
        <w:widowControl w:val="0"/>
        <w:ind w:left="851"/>
        <w:rPr>
          <w:sz w:val="24"/>
          <w:szCs w:val="24"/>
        </w:rPr>
      </w:pPr>
    </w:p>
    <w:p w:rsidR="002747FA" w:rsidRPr="0010024B" w:rsidRDefault="002747FA" w:rsidP="002747FA">
      <w:pPr>
        <w:widowControl w:val="0"/>
        <w:ind w:left="851"/>
        <w:rPr>
          <w:sz w:val="24"/>
          <w:szCs w:val="24"/>
        </w:rPr>
      </w:pPr>
      <w:r w:rsidRPr="0010024B">
        <w:rPr>
          <w:sz w:val="24"/>
          <w:szCs w:val="24"/>
        </w:rPr>
        <w:t xml:space="preserve">Opioider har vist sig at øge trykket i galdegangen og bør anvendes med forsigtighed til patienter med dysfunktion af galdegangen. </w:t>
      </w:r>
    </w:p>
    <w:p w:rsidR="002747FA" w:rsidRPr="0010024B" w:rsidRDefault="002747FA" w:rsidP="002747FA">
      <w:pPr>
        <w:widowControl w:val="0"/>
        <w:ind w:left="851"/>
        <w:rPr>
          <w:sz w:val="24"/>
          <w:szCs w:val="24"/>
        </w:rPr>
      </w:pPr>
    </w:p>
    <w:p w:rsidR="002747FA" w:rsidRDefault="002747FA" w:rsidP="002747FA">
      <w:pPr>
        <w:widowControl w:val="0"/>
        <w:ind w:left="851"/>
        <w:rPr>
          <w:sz w:val="24"/>
          <w:szCs w:val="24"/>
        </w:rPr>
      </w:pPr>
      <w:r w:rsidRPr="0010024B">
        <w:rPr>
          <w:sz w:val="24"/>
          <w:szCs w:val="24"/>
        </w:rPr>
        <w:t>Opioider skal administreres med forsigtighed til ældre eller svagelige patienter</w:t>
      </w:r>
      <w:r>
        <w:rPr>
          <w:sz w:val="24"/>
          <w:szCs w:val="24"/>
        </w:rPr>
        <w:t>.</w:t>
      </w:r>
    </w:p>
    <w:p w:rsidR="00CE77F8" w:rsidRDefault="00CE77F8">
      <w:pPr>
        <w:rPr>
          <w:sz w:val="24"/>
          <w:szCs w:val="24"/>
        </w:rPr>
      </w:pPr>
      <w:r>
        <w:rPr>
          <w:sz w:val="24"/>
          <w:szCs w:val="24"/>
        </w:rPr>
        <w:br w:type="page"/>
      </w:r>
    </w:p>
    <w:p w:rsidR="00D1210B" w:rsidRDefault="00D1210B" w:rsidP="002747FA">
      <w:pPr>
        <w:widowControl w:val="0"/>
        <w:ind w:left="851"/>
        <w:rPr>
          <w:sz w:val="24"/>
          <w:szCs w:val="24"/>
        </w:rPr>
      </w:pPr>
    </w:p>
    <w:p w:rsidR="00D1210B" w:rsidRPr="006267BE" w:rsidRDefault="00D1210B" w:rsidP="00D1210B">
      <w:pPr>
        <w:widowControl w:val="0"/>
        <w:ind w:left="851"/>
        <w:rPr>
          <w:sz w:val="24"/>
          <w:szCs w:val="24"/>
          <w:u w:val="single"/>
        </w:rPr>
      </w:pPr>
      <w:r w:rsidRPr="006267BE">
        <w:rPr>
          <w:bCs/>
          <w:sz w:val="24"/>
          <w:szCs w:val="24"/>
          <w:u w:val="single"/>
        </w:rPr>
        <w:t xml:space="preserve">Søvnrelaterede vejrtrækningsforstyrrelser </w:t>
      </w:r>
    </w:p>
    <w:p w:rsidR="00D1210B" w:rsidRPr="008F2EFA" w:rsidRDefault="00D1210B" w:rsidP="00D1210B">
      <w:pPr>
        <w:widowControl w:val="0"/>
        <w:ind w:left="851"/>
        <w:rPr>
          <w:sz w:val="24"/>
          <w:szCs w:val="24"/>
        </w:rPr>
      </w:pPr>
      <w:r w:rsidRPr="006267BE">
        <w:rPr>
          <w:sz w:val="24"/>
          <w:szCs w:val="24"/>
        </w:rPr>
        <w:t xml:space="preserve">Opioider kan forårsage søvnrelaterede vejrtrækningsforstyrrelser, herunder central søvnapnø (CSA) og søvnrelateret </w:t>
      </w:r>
      <w:proofErr w:type="spellStart"/>
      <w:r w:rsidRPr="006267BE">
        <w:rPr>
          <w:sz w:val="24"/>
          <w:szCs w:val="24"/>
        </w:rPr>
        <w:t>hypoxæmi</w:t>
      </w:r>
      <w:proofErr w:type="spellEnd"/>
      <w:r w:rsidRPr="006267BE">
        <w:rPr>
          <w:sz w:val="24"/>
          <w:szCs w:val="24"/>
        </w:rPr>
        <w:t>. Opioidbrug øger risikoen for CSA på en dosisafhængig måde. Hos patienter, der udviser CSA, skal reduktion af den totale opioiddosis overvejes.</w:t>
      </w:r>
    </w:p>
    <w:p w:rsidR="002747FA" w:rsidRPr="003D2A71" w:rsidRDefault="002747FA" w:rsidP="002747FA">
      <w:pPr>
        <w:rPr>
          <w:sz w:val="24"/>
          <w:szCs w:val="24"/>
        </w:rPr>
      </w:pPr>
    </w:p>
    <w:p w:rsidR="006A6480" w:rsidRPr="00FA494C" w:rsidRDefault="002747FA" w:rsidP="002747FA">
      <w:pPr>
        <w:autoSpaceDE w:val="0"/>
        <w:autoSpaceDN w:val="0"/>
        <w:adjustRightInd w:val="0"/>
        <w:ind w:left="851"/>
        <w:rPr>
          <w:sz w:val="24"/>
          <w:szCs w:val="24"/>
          <w:u w:val="single"/>
        </w:rPr>
      </w:pPr>
      <w:bookmarkStart w:id="1" w:name="_Hlk17718597"/>
      <w:proofErr w:type="spellStart"/>
      <w:r w:rsidRPr="00FA494C">
        <w:rPr>
          <w:sz w:val="24"/>
          <w:szCs w:val="24"/>
          <w:u w:val="single"/>
        </w:rPr>
        <w:t>Buprenorphine</w:t>
      </w:r>
      <w:proofErr w:type="spellEnd"/>
      <w:r w:rsidRPr="00FA494C">
        <w:rPr>
          <w:sz w:val="24"/>
          <w:szCs w:val="24"/>
          <w:u w:val="single"/>
        </w:rPr>
        <w:t xml:space="preserve"> </w:t>
      </w:r>
      <w:r w:rsidR="00CE77F8">
        <w:rPr>
          <w:sz w:val="24"/>
          <w:szCs w:val="24"/>
          <w:u w:val="single"/>
        </w:rPr>
        <w:t>"</w:t>
      </w:r>
      <w:r w:rsidRPr="00FA494C">
        <w:rPr>
          <w:sz w:val="24"/>
          <w:szCs w:val="24"/>
          <w:u w:val="single"/>
        </w:rPr>
        <w:t>Sandoz</w:t>
      </w:r>
      <w:r w:rsidR="00CE77F8">
        <w:rPr>
          <w:sz w:val="24"/>
          <w:szCs w:val="24"/>
          <w:u w:val="single"/>
        </w:rPr>
        <w:t>"</w:t>
      </w:r>
      <w:r w:rsidRPr="00FA494C">
        <w:rPr>
          <w:sz w:val="24"/>
          <w:szCs w:val="24"/>
          <w:u w:val="single"/>
        </w:rPr>
        <w:t xml:space="preserve"> </w:t>
      </w:r>
      <w:bookmarkEnd w:id="1"/>
      <w:r w:rsidRPr="00FA494C">
        <w:rPr>
          <w:sz w:val="24"/>
          <w:szCs w:val="24"/>
          <w:u w:val="single"/>
        </w:rPr>
        <w:t xml:space="preserve">indeholder </w:t>
      </w:r>
      <w:proofErr w:type="spellStart"/>
      <w:r w:rsidR="006A6480" w:rsidRPr="00FA494C">
        <w:rPr>
          <w:sz w:val="24"/>
          <w:szCs w:val="24"/>
          <w:u w:val="single"/>
        </w:rPr>
        <w:t>lactose</w:t>
      </w:r>
      <w:proofErr w:type="spellEnd"/>
      <w:r w:rsidR="006A6480" w:rsidRPr="00FA494C">
        <w:rPr>
          <w:sz w:val="24"/>
          <w:szCs w:val="24"/>
          <w:u w:val="single"/>
        </w:rPr>
        <w:t xml:space="preserve"> og natrium</w:t>
      </w:r>
    </w:p>
    <w:p w:rsidR="002747FA" w:rsidRPr="00FA494C" w:rsidRDefault="002747FA" w:rsidP="00FA494C">
      <w:pPr>
        <w:pStyle w:val="Listeafsnit"/>
        <w:numPr>
          <w:ilvl w:val="0"/>
          <w:numId w:val="9"/>
        </w:numPr>
        <w:autoSpaceDE w:val="0"/>
        <w:autoSpaceDN w:val="0"/>
        <w:adjustRightInd w:val="0"/>
        <w:ind w:left="1134" w:hanging="283"/>
        <w:rPr>
          <w:sz w:val="24"/>
          <w:szCs w:val="24"/>
        </w:rPr>
      </w:pPr>
      <w:r w:rsidRPr="00FA494C">
        <w:rPr>
          <w:sz w:val="24"/>
          <w:szCs w:val="24"/>
        </w:rPr>
        <w:t xml:space="preserve">Bør ikke anvendes til patienter med hereditær </w:t>
      </w:r>
      <w:proofErr w:type="spellStart"/>
      <w:r w:rsidRPr="00FA494C">
        <w:rPr>
          <w:sz w:val="24"/>
          <w:szCs w:val="24"/>
        </w:rPr>
        <w:t>galactoseintolerans</w:t>
      </w:r>
      <w:proofErr w:type="spellEnd"/>
      <w:r w:rsidRPr="00FA494C">
        <w:rPr>
          <w:sz w:val="24"/>
          <w:szCs w:val="24"/>
        </w:rPr>
        <w:t xml:space="preserve">, total </w:t>
      </w:r>
      <w:proofErr w:type="spellStart"/>
      <w:r w:rsidRPr="00FA494C">
        <w:rPr>
          <w:sz w:val="24"/>
          <w:szCs w:val="24"/>
        </w:rPr>
        <w:t>lactasemangel</w:t>
      </w:r>
      <w:proofErr w:type="spellEnd"/>
      <w:r w:rsidRPr="00FA494C">
        <w:rPr>
          <w:sz w:val="24"/>
          <w:szCs w:val="24"/>
        </w:rPr>
        <w:t xml:space="preserve"> eller </w:t>
      </w:r>
      <w:proofErr w:type="spellStart"/>
      <w:r w:rsidRPr="00FA494C">
        <w:rPr>
          <w:sz w:val="24"/>
          <w:szCs w:val="24"/>
        </w:rPr>
        <w:t>glucose</w:t>
      </w:r>
      <w:proofErr w:type="spellEnd"/>
      <w:r w:rsidRPr="00FA494C">
        <w:rPr>
          <w:sz w:val="24"/>
          <w:szCs w:val="24"/>
        </w:rPr>
        <w:t>/</w:t>
      </w:r>
      <w:proofErr w:type="spellStart"/>
      <w:r w:rsidRPr="00FA494C">
        <w:rPr>
          <w:sz w:val="24"/>
          <w:szCs w:val="24"/>
        </w:rPr>
        <w:t>galactosemalabsorption</w:t>
      </w:r>
      <w:proofErr w:type="spellEnd"/>
      <w:r w:rsidRPr="00FA494C">
        <w:rPr>
          <w:sz w:val="24"/>
          <w:szCs w:val="24"/>
        </w:rPr>
        <w:t>.</w:t>
      </w:r>
    </w:p>
    <w:p w:rsidR="002747FA" w:rsidRPr="00FA494C" w:rsidRDefault="00FA494C" w:rsidP="00FA494C">
      <w:pPr>
        <w:pStyle w:val="Listeafsnit"/>
        <w:numPr>
          <w:ilvl w:val="0"/>
          <w:numId w:val="9"/>
        </w:numPr>
        <w:tabs>
          <w:tab w:val="left" w:pos="851"/>
        </w:tabs>
        <w:ind w:left="1134" w:hanging="283"/>
        <w:rPr>
          <w:sz w:val="24"/>
          <w:szCs w:val="24"/>
        </w:rPr>
      </w:pPr>
      <w:r w:rsidRPr="00FA494C">
        <w:rPr>
          <w:sz w:val="24"/>
          <w:szCs w:val="24"/>
        </w:rPr>
        <w:t>Dette lægemiddel</w:t>
      </w:r>
      <w:r w:rsidR="002747FA" w:rsidRPr="00FA494C">
        <w:rPr>
          <w:sz w:val="24"/>
          <w:szCs w:val="24"/>
        </w:rPr>
        <w:t xml:space="preserve"> indeholder mindre end 1 mmol (23 mg) natrium pr. </w:t>
      </w:r>
      <w:proofErr w:type="spellStart"/>
      <w:r w:rsidR="002747FA" w:rsidRPr="00FA494C">
        <w:rPr>
          <w:sz w:val="24"/>
          <w:szCs w:val="24"/>
        </w:rPr>
        <w:t>sublingual</w:t>
      </w:r>
      <w:proofErr w:type="spellEnd"/>
      <w:r w:rsidR="002747FA" w:rsidRPr="00FA494C">
        <w:rPr>
          <w:sz w:val="24"/>
          <w:szCs w:val="24"/>
        </w:rPr>
        <w:t xml:space="preserve"> </w:t>
      </w:r>
      <w:proofErr w:type="spellStart"/>
      <w:r w:rsidR="002747FA" w:rsidRPr="00FA494C">
        <w:rPr>
          <w:sz w:val="24"/>
          <w:szCs w:val="24"/>
        </w:rPr>
        <w:t>resoriblet</w:t>
      </w:r>
      <w:proofErr w:type="spellEnd"/>
      <w:r w:rsidR="002747FA" w:rsidRPr="00FA494C">
        <w:rPr>
          <w:sz w:val="24"/>
          <w:szCs w:val="24"/>
        </w:rPr>
        <w:t>, dvs. det er i det væsentlige natrium-frit.</w:t>
      </w:r>
    </w:p>
    <w:p w:rsidR="002747FA" w:rsidRPr="00D8717D" w:rsidRDefault="002747FA" w:rsidP="002747FA">
      <w:pPr>
        <w:tabs>
          <w:tab w:val="left" w:pos="851"/>
        </w:tabs>
        <w:ind w:left="851" w:hanging="851"/>
        <w:rPr>
          <w:sz w:val="24"/>
          <w:szCs w:val="24"/>
        </w:rPr>
      </w:pPr>
    </w:p>
    <w:p w:rsidR="00A1374B" w:rsidRPr="00C84483" w:rsidRDefault="00A1374B" w:rsidP="00A1374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747FA" w:rsidRDefault="002747FA" w:rsidP="002747FA">
      <w:pPr>
        <w:ind w:left="851"/>
        <w:rPr>
          <w:sz w:val="24"/>
          <w:szCs w:val="24"/>
          <w:u w:val="single"/>
        </w:rPr>
      </w:pPr>
    </w:p>
    <w:p w:rsidR="002747FA" w:rsidRPr="0010024B" w:rsidRDefault="002747FA" w:rsidP="002747FA">
      <w:pPr>
        <w:ind w:left="851"/>
        <w:rPr>
          <w:sz w:val="24"/>
          <w:szCs w:val="24"/>
          <w:u w:val="single"/>
        </w:rPr>
      </w:pPr>
      <w:r w:rsidRPr="0010024B">
        <w:rPr>
          <w:sz w:val="24"/>
          <w:szCs w:val="24"/>
          <w:u w:val="single"/>
        </w:rPr>
        <w:t>Kombinationer, der frarådes</w:t>
      </w:r>
    </w:p>
    <w:p w:rsidR="002747FA" w:rsidRPr="003D2A71" w:rsidRDefault="002747FA" w:rsidP="008E1253">
      <w:pPr>
        <w:pStyle w:val="Listeafsnit"/>
        <w:numPr>
          <w:ilvl w:val="0"/>
          <w:numId w:val="7"/>
        </w:numPr>
        <w:ind w:left="1134" w:hanging="283"/>
      </w:pPr>
      <w:r w:rsidRPr="003D2A71">
        <w:rPr>
          <w:sz w:val="24"/>
          <w:szCs w:val="24"/>
        </w:rPr>
        <w:t xml:space="preserve">Alkoholiske drikke eller lægemidler, der indeholder alkohol, idet alkohol </w:t>
      </w:r>
      <w:r w:rsidRPr="0010024B">
        <w:t xml:space="preserve">øger den sedative effekt af </w:t>
      </w:r>
      <w:proofErr w:type="spellStart"/>
      <w:r w:rsidRPr="0010024B">
        <w:t>buprenorphin</w:t>
      </w:r>
      <w:proofErr w:type="spellEnd"/>
      <w:r w:rsidRPr="0010024B">
        <w:t xml:space="preserve"> (se pkt. 4.7).</w:t>
      </w:r>
    </w:p>
    <w:p w:rsidR="002747FA" w:rsidRPr="003D2A71" w:rsidRDefault="002747FA" w:rsidP="002747FA">
      <w:pPr>
        <w:ind w:left="851" w:hanging="851"/>
        <w:rPr>
          <w:sz w:val="24"/>
          <w:szCs w:val="24"/>
        </w:rPr>
      </w:pPr>
    </w:p>
    <w:p w:rsidR="002747FA" w:rsidRPr="003D2A71" w:rsidRDefault="002747FA" w:rsidP="002747FA">
      <w:pPr>
        <w:ind w:left="851"/>
        <w:rPr>
          <w:sz w:val="24"/>
          <w:szCs w:val="24"/>
          <w:u w:val="single"/>
        </w:rPr>
      </w:pPr>
      <w:r w:rsidRPr="0010024B">
        <w:rPr>
          <w:sz w:val="24"/>
          <w:szCs w:val="24"/>
          <w:u w:val="single"/>
        </w:rPr>
        <w:t>Kombinationer, hvor der kræves ekstra forsigtighed</w:t>
      </w:r>
    </w:p>
    <w:p w:rsidR="000B293F" w:rsidRPr="00A1374B" w:rsidRDefault="002747FA" w:rsidP="00CE77F8">
      <w:pPr>
        <w:pStyle w:val="Listeafsnit"/>
        <w:numPr>
          <w:ilvl w:val="0"/>
          <w:numId w:val="7"/>
        </w:numPr>
        <w:ind w:left="1134" w:hanging="283"/>
        <w:rPr>
          <w:sz w:val="24"/>
          <w:szCs w:val="24"/>
        </w:rPr>
      </w:pPr>
      <w:proofErr w:type="spellStart"/>
      <w:r w:rsidRPr="00A1374B">
        <w:rPr>
          <w:i/>
          <w:iCs/>
          <w:sz w:val="24"/>
          <w:szCs w:val="24"/>
        </w:rPr>
        <w:t>Sedativa</w:t>
      </w:r>
      <w:proofErr w:type="spellEnd"/>
      <w:r w:rsidRPr="00A1374B">
        <w:rPr>
          <w:i/>
          <w:iCs/>
          <w:sz w:val="24"/>
          <w:szCs w:val="24"/>
        </w:rPr>
        <w:t xml:space="preserve"> som benzodiazepiner eller beslægtede lægemidler</w:t>
      </w:r>
    </w:p>
    <w:p w:rsidR="002747FA" w:rsidRPr="00A1374B" w:rsidRDefault="002747FA" w:rsidP="00CE77F8">
      <w:pPr>
        <w:pStyle w:val="Listeafsnit"/>
        <w:ind w:left="1134"/>
        <w:rPr>
          <w:sz w:val="24"/>
          <w:szCs w:val="24"/>
        </w:rPr>
      </w:pPr>
      <w:r w:rsidRPr="00A1374B">
        <w:rPr>
          <w:sz w:val="24"/>
          <w:szCs w:val="24"/>
        </w:rPr>
        <w:t xml:space="preserve">Samtidig anvendelse af opioider og </w:t>
      </w:r>
      <w:proofErr w:type="spellStart"/>
      <w:r w:rsidRPr="00A1374B">
        <w:rPr>
          <w:sz w:val="24"/>
          <w:szCs w:val="24"/>
        </w:rPr>
        <w:t>sedativa</w:t>
      </w:r>
      <w:proofErr w:type="spellEnd"/>
      <w:r w:rsidRPr="00A1374B">
        <w:rPr>
          <w:sz w:val="24"/>
          <w:szCs w:val="24"/>
        </w:rPr>
        <w:t xml:space="preserve">, såsom benzodiazepiner eller beslægtede lægemidler, kan øge risikoen for sedation, respirationsdepression, koma og død som følge af additiv CNS-hæmmende virkning. Dosis og behandlingsvarighed ved samtidig brug skal begrænses (se pkt. 4.4). Sådanne kombinationer skal undgås i tilfælde, hvor der er risiko for misbrug. </w:t>
      </w:r>
    </w:p>
    <w:p w:rsidR="000B293F" w:rsidRPr="00A1374B" w:rsidRDefault="002747FA" w:rsidP="00CE77F8">
      <w:pPr>
        <w:pStyle w:val="Listeafsnit"/>
        <w:numPr>
          <w:ilvl w:val="0"/>
          <w:numId w:val="7"/>
        </w:numPr>
        <w:ind w:left="1134" w:hanging="283"/>
        <w:rPr>
          <w:sz w:val="24"/>
          <w:szCs w:val="24"/>
        </w:rPr>
      </w:pPr>
      <w:r w:rsidRPr="00A1374B">
        <w:rPr>
          <w:i/>
          <w:iCs/>
          <w:sz w:val="24"/>
          <w:szCs w:val="24"/>
        </w:rPr>
        <w:t xml:space="preserve">Andre </w:t>
      </w:r>
      <w:proofErr w:type="spellStart"/>
      <w:r w:rsidRPr="00A1374B">
        <w:rPr>
          <w:i/>
          <w:iCs/>
          <w:sz w:val="24"/>
          <w:szCs w:val="24"/>
        </w:rPr>
        <w:t>hæmmere</w:t>
      </w:r>
      <w:proofErr w:type="spellEnd"/>
      <w:r w:rsidRPr="00A1374B">
        <w:rPr>
          <w:i/>
          <w:iCs/>
          <w:sz w:val="24"/>
          <w:szCs w:val="24"/>
        </w:rPr>
        <w:t xml:space="preserve"> af det centrale nervesystem</w:t>
      </w:r>
    </w:p>
    <w:p w:rsidR="002747FA" w:rsidRPr="00A1374B" w:rsidRDefault="002747FA" w:rsidP="00CE77F8">
      <w:pPr>
        <w:pStyle w:val="Listeafsnit"/>
        <w:ind w:left="1134"/>
        <w:rPr>
          <w:sz w:val="24"/>
          <w:szCs w:val="24"/>
        </w:rPr>
      </w:pPr>
      <w:r w:rsidRPr="00A1374B">
        <w:rPr>
          <w:sz w:val="24"/>
          <w:szCs w:val="24"/>
        </w:rPr>
        <w:t xml:space="preserve">Andre opioidderivater (f.eks. </w:t>
      </w:r>
      <w:proofErr w:type="spellStart"/>
      <w:r w:rsidRPr="00A1374B">
        <w:rPr>
          <w:sz w:val="24"/>
          <w:szCs w:val="24"/>
        </w:rPr>
        <w:t>methadon</w:t>
      </w:r>
      <w:proofErr w:type="spellEnd"/>
      <w:r w:rsidRPr="00A1374B">
        <w:rPr>
          <w:sz w:val="24"/>
          <w:szCs w:val="24"/>
        </w:rPr>
        <w:t xml:space="preserve">, </w:t>
      </w:r>
      <w:proofErr w:type="spellStart"/>
      <w:r w:rsidRPr="00A1374B">
        <w:rPr>
          <w:sz w:val="24"/>
          <w:szCs w:val="24"/>
        </w:rPr>
        <w:t>analgetika</w:t>
      </w:r>
      <w:proofErr w:type="spellEnd"/>
      <w:r w:rsidRPr="00A1374B">
        <w:rPr>
          <w:sz w:val="24"/>
          <w:szCs w:val="24"/>
        </w:rPr>
        <w:t xml:space="preserve"> og hostestillende midler), visse </w:t>
      </w:r>
      <w:proofErr w:type="spellStart"/>
      <w:r w:rsidRPr="00A1374B">
        <w:rPr>
          <w:sz w:val="24"/>
          <w:szCs w:val="24"/>
        </w:rPr>
        <w:t>antidepressiva</w:t>
      </w:r>
      <w:proofErr w:type="spellEnd"/>
      <w:r w:rsidRPr="00A1374B">
        <w:rPr>
          <w:sz w:val="24"/>
          <w:szCs w:val="24"/>
        </w:rPr>
        <w:t>, sederende H</w:t>
      </w:r>
      <w:r w:rsidRPr="00A1374B">
        <w:rPr>
          <w:sz w:val="24"/>
          <w:szCs w:val="24"/>
          <w:vertAlign w:val="subscript"/>
        </w:rPr>
        <w:t>1</w:t>
      </w:r>
      <w:r w:rsidRPr="00A1374B">
        <w:rPr>
          <w:sz w:val="24"/>
          <w:szCs w:val="24"/>
        </w:rPr>
        <w:t>-receptor</w:t>
      </w:r>
      <w:r w:rsidRPr="00A1374B">
        <w:rPr>
          <w:sz w:val="24"/>
          <w:szCs w:val="24"/>
        </w:rPr>
        <w:softHyphen/>
        <w:t xml:space="preserve">antagonister, barbiturater, </w:t>
      </w:r>
      <w:proofErr w:type="spellStart"/>
      <w:r w:rsidRPr="00A1374B">
        <w:rPr>
          <w:sz w:val="24"/>
          <w:szCs w:val="24"/>
        </w:rPr>
        <w:t>anxiolytika</w:t>
      </w:r>
      <w:proofErr w:type="spellEnd"/>
      <w:r w:rsidRPr="00A1374B">
        <w:rPr>
          <w:sz w:val="24"/>
          <w:szCs w:val="24"/>
        </w:rPr>
        <w:t xml:space="preserve"> ud over benzodiazepiner, </w:t>
      </w:r>
      <w:proofErr w:type="spellStart"/>
      <w:r w:rsidRPr="00A1374B">
        <w:rPr>
          <w:sz w:val="24"/>
          <w:szCs w:val="24"/>
        </w:rPr>
        <w:t>neuroleptika</w:t>
      </w:r>
      <w:proofErr w:type="spellEnd"/>
      <w:r w:rsidRPr="00A1374B">
        <w:rPr>
          <w:sz w:val="24"/>
          <w:szCs w:val="24"/>
        </w:rPr>
        <w:t xml:space="preserve">, </w:t>
      </w:r>
      <w:proofErr w:type="spellStart"/>
      <w:r w:rsidRPr="00A1374B">
        <w:rPr>
          <w:sz w:val="24"/>
          <w:szCs w:val="24"/>
        </w:rPr>
        <w:t>clonidin</w:t>
      </w:r>
      <w:proofErr w:type="spellEnd"/>
      <w:r w:rsidRPr="00A1374B">
        <w:rPr>
          <w:sz w:val="24"/>
          <w:szCs w:val="24"/>
        </w:rPr>
        <w:t xml:space="preserve"> og beslægtede stoffer. Sådanne kombinationer øger den hæmmende effekt på det centrale nervesystem. Den nedsatte agtpågivenhed kan gøre det farligt</w:t>
      </w:r>
      <w:r w:rsidRPr="00A1374B" w:rsidDel="00FE3DED">
        <w:rPr>
          <w:sz w:val="24"/>
          <w:szCs w:val="24"/>
        </w:rPr>
        <w:t xml:space="preserve"> </w:t>
      </w:r>
      <w:r w:rsidRPr="00A1374B">
        <w:rPr>
          <w:sz w:val="24"/>
          <w:szCs w:val="24"/>
        </w:rPr>
        <w:t>at føre motorkøretøj eller betjene maskiner.</w:t>
      </w:r>
    </w:p>
    <w:p w:rsidR="000206E9" w:rsidRPr="00A1374B" w:rsidRDefault="000206E9" w:rsidP="00CE77F8">
      <w:pPr>
        <w:numPr>
          <w:ilvl w:val="0"/>
          <w:numId w:val="7"/>
        </w:numPr>
        <w:ind w:left="1134" w:hanging="283"/>
        <w:rPr>
          <w:sz w:val="24"/>
          <w:szCs w:val="24"/>
        </w:rPr>
      </w:pPr>
      <w:proofErr w:type="spellStart"/>
      <w:r w:rsidRPr="00A1374B">
        <w:rPr>
          <w:i/>
          <w:iCs/>
          <w:sz w:val="24"/>
          <w:szCs w:val="24"/>
        </w:rPr>
        <w:t>Gabapentinoider</w:t>
      </w:r>
      <w:proofErr w:type="spellEnd"/>
    </w:p>
    <w:p w:rsidR="000206E9" w:rsidRPr="00A1374B" w:rsidRDefault="000206E9" w:rsidP="00CE77F8">
      <w:pPr>
        <w:ind w:left="1134"/>
        <w:rPr>
          <w:sz w:val="24"/>
          <w:szCs w:val="24"/>
        </w:rPr>
      </w:pPr>
      <w:r w:rsidRPr="00A1374B">
        <w:rPr>
          <w:sz w:val="24"/>
          <w:szCs w:val="24"/>
        </w:rPr>
        <w:t xml:space="preserve">Samtidig brug af </w:t>
      </w:r>
      <w:proofErr w:type="spellStart"/>
      <w:r w:rsidRPr="00A1374B">
        <w:rPr>
          <w:sz w:val="24"/>
          <w:szCs w:val="24"/>
        </w:rPr>
        <w:t>Buprenorphine</w:t>
      </w:r>
      <w:proofErr w:type="spellEnd"/>
      <w:r w:rsidRPr="00A1374B">
        <w:rPr>
          <w:sz w:val="24"/>
          <w:szCs w:val="24"/>
        </w:rPr>
        <w:t xml:space="preserve"> </w:t>
      </w:r>
      <w:r w:rsidR="00CE77F8">
        <w:rPr>
          <w:sz w:val="24"/>
          <w:szCs w:val="24"/>
        </w:rPr>
        <w:t>"</w:t>
      </w:r>
      <w:r w:rsidRPr="00A1374B">
        <w:rPr>
          <w:sz w:val="24"/>
          <w:szCs w:val="24"/>
        </w:rPr>
        <w:t>Sandoz</w:t>
      </w:r>
      <w:r w:rsidR="00CE77F8">
        <w:rPr>
          <w:sz w:val="24"/>
          <w:szCs w:val="24"/>
        </w:rPr>
        <w:t>"</w:t>
      </w:r>
      <w:r w:rsidRPr="00A1374B">
        <w:rPr>
          <w:sz w:val="24"/>
          <w:szCs w:val="24"/>
        </w:rPr>
        <w:t xml:space="preserve"> med </w:t>
      </w:r>
      <w:proofErr w:type="spellStart"/>
      <w:r w:rsidRPr="00A1374B">
        <w:rPr>
          <w:sz w:val="24"/>
          <w:szCs w:val="24"/>
        </w:rPr>
        <w:t>gabapentinoider</w:t>
      </w:r>
      <w:proofErr w:type="spellEnd"/>
      <w:r w:rsidRPr="00A1374B">
        <w:rPr>
          <w:sz w:val="24"/>
          <w:szCs w:val="24"/>
        </w:rPr>
        <w:t xml:space="preserve"> (</w:t>
      </w:r>
      <w:proofErr w:type="spellStart"/>
      <w:r w:rsidRPr="00A1374B">
        <w:rPr>
          <w:sz w:val="24"/>
          <w:szCs w:val="24"/>
        </w:rPr>
        <w:t>gabapentin</w:t>
      </w:r>
      <w:proofErr w:type="spellEnd"/>
      <w:r w:rsidRPr="00A1374B">
        <w:rPr>
          <w:sz w:val="24"/>
          <w:szCs w:val="24"/>
        </w:rPr>
        <w:t xml:space="preserve"> og </w:t>
      </w:r>
      <w:proofErr w:type="spellStart"/>
      <w:r w:rsidRPr="00A1374B">
        <w:rPr>
          <w:sz w:val="24"/>
          <w:szCs w:val="24"/>
        </w:rPr>
        <w:t>pregabalin</w:t>
      </w:r>
      <w:proofErr w:type="spellEnd"/>
      <w:r w:rsidRPr="00A1374B">
        <w:rPr>
          <w:sz w:val="24"/>
          <w:szCs w:val="24"/>
        </w:rPr>
        <w:t xml:space="preserve">) kan resultere i respirationsdepression, hypotension, dyb sedation, koma eller død (se </w:t>
      </w:r>
      <w:r w:rsidR="00CE77F8">
        <w:rPr>
          <w:sz w:val="24"/>
          <w:szCs w:val="24"/>
        </w:rPr>
        <w:t>pkt.</w:t>
      </w:r>
      <w:r w:rsidRPr="00A1374B">
        <w:rPr>
          <w:sz w:val="24"/>
          <w:szCs w:val="24"/>
        </w:rPr>
        <w:t xml:space="preserve"> 4.4).</w:t>
      </w:r>
      <w:r w:rsidRPr="00A1374B">
        <w:rPr>
          <w:b/>
          <w:bCs/>
          <w:sz w:val="24"/>
          <w:szCs w:val="24"/>
        </w:rPr>
        <w:t xml:space="preserve"> </w:t>
      </w:r>
      <w:r w:rsidRPr="00A1374B">
        <w:rPr>
          <w:sz w:val="24"/>
          <w:szCs w:val="24"/>
        </w:rPr>
        <w:t xml:space="preserve">Denne kombination kan medføre død som følge af respirationsdepression af central oprindelse. Derfor skal doserne monitoreres nøje, og denne kombination skal undgås i tilfælde, hvor der er risiko for misbrug. Patienterne bør advares om, at de kun må anvende </w:t>
      </w:r>
      <w:proofErr w:type="spellStart"/>
      <w:r w:rsidRPr="00A1374B">
        <w:rPr>
          <w:sz w:val="24"/>
          <w:szCs w:val="24"/>
        </w:rPr>
        <w:t>gabapentinoider</w:t>
      </w:r>
      <w:proofErr w:type="spellEnd"/>
      <w:r w:rsidRPr="00A1374B">
        <w:rPr>
          <w:sz w:val="24"/>
          <w:szCs w:val="24"/>
        </w:rPr>
        <w:t xml:space="preserve"> (såsom </w:t>
      </w:r>
      <w:proofErr w:type="spellStart"/>
      <w:r w:rsidRPr="00A1374B">
        <w:rPr>
          <w:sz w:val="24"/>
          <w:szCs w:val="24"/>
        </w:rPr>
        <w:t>pregabalin</w:t>
      </w:r>
      <w:proofErr w:type="spellEnd"/>
      <w:r w:rsidRPr="00A1374B">
        <w:rPr>
          <w:sz w:val="24"/>
          <w:szCs w:val="24"/>
        </w:rPr>
        <w:t xml:space="preserve"> og </w:t>
      </w:r>
      <w:proofErr w:type="spellStart"/>
      <w:r w:rsidRPr="00A1374B">
        <w:rPr>
          <w:sz w:val="24"/>
          <w:szCs w:val="24"/>
        </w:rPr>
        <w:t>gabapentin</w:t>
      </w:r>
      <w:proofErr w:type="spellEnd"/>
      <w:r w:rsidRPr="00A1374B">
        <w:rPr>
          <w:sz w:val="24"/>
          <w:szCs w:val="24"/>
        </w:rPr>
        <w:t>) samtidig med dette lægemiddel i henhold til lægens anvisninger (se pkt. 4.4).</w:t>
      </w:r>
    </w:p>
    <w:p w:rsidR="000206E9" w:rsidRPr="00A1374B" w:rsidRDefault="000206E9" w:rsidP="00CE77F8">
      <w:pPr>
        <w:pStyle w:val="Listeafsnit"/>
        <w:numPr>
          <w:ilvl w:val="0"/>
          <w:numId w:val="7"/>
        </w:numPr>
        <w:ind w:left="1134" w:hanging="283"/>
        <w:rPr>
          <w:sz w:val="24"/>
          <w:szCs w:val="24"/>
        </w:rPr>
      </w:pPr>
      <w:proofErr w:type="spellStart"/>
      <w:r w:rsidRPr="00A1374B">
        <w:rPr>
          <w:i/>
          <w:iCs/>
          <w:sz w:val="24"/>
          <w:szCs w:val="24"/>
        </w:rPr>
        <w:t>Opioidanalgetika</w:t>
      </w:r>
      <w:proofErr w:type="spellEnd"/>
    </w:p>
    <w:p w:rsidR="000206E9" w:rsidRPr="00A1374B" w:rsidRDefault="000206E9" w:rsidP="00CE77F8">
      <w:pPr>
        <w:pStyle w:val="Listeafsnit"/>
        <w:ind w:left="1134"/>
        <w:rPr>
          <w:sz w:val="24"/>
          <w:szCs w:val="24"/>
        </w:rPr>
      </w:pPr>
      <w:r w:rsidRPr="00A1374B">
        <w:rPr>
          <w:sz w:val="24"/>
          <w:szCs w:val="24"/>
        </w:rPr>
        <w:t xml:space="preserve">Hos patienter, der får </w:t>
      </w:r>
      <w:proofErr w:type="spellStart"/>
      <w:r w:rsidRPr="00A1374B">
        <w:rPr>
          <w:sz w:val="24"/>
          <w:szCs w:val="24"/>
        </w:rPr>
        <w:t>buprenorphin</w:t>
      </w:r>
      <w:proofErr w:type="spellEnd"/>
      <w:r w:rsidRPr="00A1374B">
        <w:rPr>
          <w:sz w:val="24"/>
          <w:szCs w:val="24"/>
        </w:rPr>
        <w:t xml:space="preserve">, kan administration af en ren opioidagonist gøre det svært at opnå adækvat analgesi. Risikoen for overdosering er også til stede ved rene agonister, især ved forsøg på at overgå </w:t>
      </w:r>
      <w:proofErr w:type="spellStart"/>
      <w:r w:rsidRPr="00A1374B">
        <w:rPr>
          <w:sz w:val="24"/>
          <w:szCs w:val="24"/>
        </w:rPr>
        <w:t>buprenorphins</w:t>
      </w:r>
      <w:proofErr w:type="spellEnd"/>
      <w:r w:rsidRPr="00A1374B">
        <w:rPr>
          <w:sz w:val="24"/>
          <w:szCs w:val="24"/>
        </w:rPr>
        <w:t xml:space="preserve"> partielle agonist-virkninger, eller når </w:t>
      </w:r>
      <w:proofErr w:type="spellStart"/>
      <w:r w:rsidRPr="00A1374B">
        <w:rPr>
          <w:sz w:val="24"/>
          <w:szCs w:val="24"/>
        </w:rPr>
        <w:t>buprenorphins</w:t>
      </w:r>
      <w:proofErr w:type="spellEnd"/>
      <w:r w:rsidRPr="00A1374B">
        <w:rPr>
          <w:sz w:val="24"/>
          <w:szCs w:val="24"/>
        </w:rPr>
        <w:t xml:space="preserve"> plasmakoncentration er faldende.</w:t>
      </w:r>
    </w:p>
    <w:p w:rsidR="000206E9" w:rsidRPr="00A1374B" w:rsidRDefault="000206E9" w:rsidP="00CE77F8">
      <w:pPr>
        <w:pStyle w:val="Listeafsnit"/>
        <w:numPr>
          <w:ilvl w:val="0"/>
          <w:numId w:val="7"/>
        </w:numPr>
        <w:ind w:left="1134" w:hanging="283"/>
        <w:rPr>
          <w:sz w:val="24"/>
          <w:szCs w:val="24"/>
        </w:rPr>
      </w:pPr>
      <w:r w:rsidRPr="00A1374B">
        <w:rPr>
          <w:i/>
          <w:iCs/>
          <w:sz w:val="24"/>
          <w:szCs w:val="24"/>
        </w:rPr>
        <w:t xml:space="preserve">Lægemidler med </w:t>
      </w:r>
      <w:proofErr w:type="spellStart"/>
      <w:r w:rsidRPr="00A1374B">
        <w:rPr>
          <w:i/>
          <w:iCs/>
          <w:sz w:val="24"/>
          <w:szCs w:val="24"/>
        </w:rPr>
        <w:t>antikolinerg</w:t>
      </w:r>
      <w:proofErr w:type="spellEnd"/>
      <w:r w:rsidRPr="00A1374B">
        <w:rPr>
          <w:i/>
          <w:iCs/>
          <w:sz w:val="24"/>
          <w:szCs w:val="24"/>
        </w:rPr>
        <w:t xml:space="preserve"> virkning:</w:t>
      </w:r>
      <w:r w:rsidRPr="00A1374B">
        <w:rPr>
          <w:sz w:val="24"/>
          <w:szCs w:val="24"/>
        </w:rPr>
        <w:t xml:space="preserve"> Samtidig administration af </w:t>
      </w:r>
      <w:proofErr w:type="spellStart"/>
      <w:r w:rsidRPr="00A1374B">
        <w:rPr>
          <w:sz w:val="24"/>
          <w:szCs w:val="24"/>
        </w:rPr>
        <w:t>buprenorphin</w:t>
      </w:r>
      <w:proofErr w:type="spellEnd"/>
      <w:r w:rsidRPr="00A1374B">
        <w:rPr>
          <w:sz w:val="24"/>
          <w:szCs w:val="24"/>
        </w:rPr>
        <w:t xml:space="preserve"> med </w:t>
      </w:r>
      <w:proofErr w:type="spellStart"/>
      <w:r w:rsidRPr="00A1374B">
        <w:rPr>
          <w:sz w:val="24"/>
          <w:szCs w:val="24"/>
        </w:rPr>
        <w:t>antikolinergika</w:t>
      </w:r>
      <w:proofErr w:type="spellEnd"/>
      <w:r w:rsidRPr="00A1374B">
        <w:rPr>
          <w:sz w:val="24"/>
          <w:szCs w:val="24"/>
        </w:rPr>
        <w:t xml:space="preserve"> eller medicin med </w:t>
      </w:r>
      <w:proofErr w:type="spellStart"/>
      <w:r w:rsidRPr="00A1374B">
        <w:rPr>
          <w:sz w:val="24"/>
          <w:szCs w:val="24"/>
        </w:rPr>
        <w:t>antikolinerg</w:t>
      </w:r>
      <w:proofErr w:type="spellEnd"/>
      <w:r w:rsidRPr="00A1374B">
        <w:rPr>
          <w:sz w:val="24"/>
          <w:szCs w:val="24"/>
        </w:rPr>
        <w:t xml:space="preserve"> virkning (f.eks. tricykliske </w:t>
      </w:r>
      <w:proofErr w:type="spellStart"/>
      <w:r w:rsidRPr="00A1374B">
        <w:rPr>
          <w:sz w:val="24"/>
          <w:szCs w:val="24"/>
        </w:rPr>
        <w:t>antidepressiva</w:t>
      </w:r>
      <w:proofErr w:type="spellEnd"/>
      <w:r w:rsidRPr="00A1374B">
        <w:rPr>
          <w:sz w:val="24"/>
          <w:szCs w:val="24"/>
        </w:rPr>
        <w:t xml:space="preserve">, antihistaminer, antipsykotika, muskelafslappende midler, </w:t>
      </w:r>
      <w:proofErr w:type="spellStart"/>
      <w:r w:rsidRPr="00A1374B">
        <w:rPr>
          <w:sz w:val="24"/>
          <w:szCs w:val="24"/>
        </w:rPr>
        <w:t>anti</w:t>
      </w:r>
      <w:proofErr w:type="spellEnd"/>
      <w:r w:rsidRPr="00A1374B">
        <w:rPr>
          <w:sz w:val="24"/>
          <w:szCs w:val="24"/>
        </w:rPr>
        <w:t xml:space="preserve">-Parkinson lægemidler kan resultere i øgede </w:t>
      </w:r>
      <w:proofErr w:type="spellStart"/>
      <w:r w:rsidRPr="00A1374B">
        <w:rPr>
          <w:sz w:val="24"/>
          <w:szCs w:val="24"/>
        </w:rPr>
        <w:t>antikolinerge</w:t>
      </w:r>
      <w:proofErr w:type="spellEnd"/>
      <w:r w:rsidRPr="00A1374B">
        <w:rPr>
          <w:sz w:val="24"/>
          <w:szCs w:val="24"/>
        </w:rPr>
        <w:t xml:space="preserve"> bivirkninger. </w:t>
      </w:r>
    </w:p>
    <w:p w:rsidR="000B293F" w:rsidRPr="00A1374B" w:rsidRDefault="002747FA" w:rsidP="00CE77F8">
      <w:pPr>
        <w:pStyle w:val="Listeafsnit"/>
        <w:numPr>
          <w:ilvl w:val="0"/>
          <w:numId w:val="7"/>
        </w:numPr>
        <w:ind w:left="1134" w:hanging="283"/>
        <w:rPr>
          <w:sz w:val="24"/>
          <w:szCs w:val="24"/>
        </w:rPr>
      </w:pPr>
      <w:proofErr w:type="spellStart"/>
      <w:r w:rsidRPr="00A1374B">
        <w:rPr>
          <w:i/>
          <w:iCs/>
          <w:sz w:val="24"/>
          <w:szCs w:val="24"/>
        </w:rPr>
        <w:t>Naltrexon</w:t>
      </w:r>
      <w:proofErr w:type="spellEnd"/>
    </w:p>
    <w:p w:rsidR="002747FA" w:rsidRPr="00A1374B" w:rsidRDefault="002747FA" w:rsidP="00CE77F8">
      <w:pPr>
        <w:pStyle w:val="Listeafsnit"/>
        <w:ind w:left="1134"/>
        <w:rPr>
          <w:sz w:val="24"/>
          <w:szCs w:val="24"/>
        </w:rPr>
      </w:pPr>
      <w:r w:rsidRPr="00A1374B">
        <w:rPr>
          <w:sz w:val="24"/>
          <w:szCs w:val="24"/>
        </w:rPr>
        <w:t xml:space="preserve">Dette er en opioidantagonist, der kan blokere </w:t>
      </w:r>
      <w:proofErr w:type="spellStart"/>
      <w:r w:rsidRPr="00A1374B">
        <w:rPr>
          <w:sz w:val="24"/>
          <w:szCs w:val="24"/>
        </w:rPr>
        <w:t>buprenorphins</w:t>
      </w:r>
      <w:proofErr w:type="spellEnd"/>
      <w:r w:rsidRPr="00A1374B">
        <w:rPr>
          <w:sz w:val="24"/>
          <w:szCs w:val="24"/>
        </w:rPr>
        <w:t xml:space="preserve"> farmakologiske virkning. </w:t>
      </w:r>
      <w:proofErr w:type="spellStart"/>
      <w:r w:rsidRPr="00A1374B">
        <w:rPr>
          <w:sz w:val="24"/>
          <w:szCs w:val="24"/>
        </w:rPr>
        <w:t>Naltrexon</w:t>
      </w:r>
      <w:proofErr w:type="spellEnd"/>
      <w:r w:rsidRPr="00A1374B">
        <w:rPr>
          <w:sz w:val="24"/>
          <w:szCs w:val="24"/>
        </w:rPr>
        <w:t xml:space="preserve"> kan fremkalde pludselige, forlængede og intense opioidabstinenssymptomer hos opioidafhængige patienter, som aktuelt behandles med </w:t>
      </w:r>
      <w:proofErr w:type="spellStart"/>
      <w:r w:rsidRPr="00A1374B">
        <w:rPr>
          <w:sz w:val="24"/>
          <w:szCs w:val="24"/>
        </w:rPr>
        <w:t>buprenorphin</w:t>
      </w:r>
      <w:proofErr w:type="spellEnd"/>
      <w:r w:rsidRPr="00A1374B">
        <w:rPr>
          <w:sz w:val="24"/>
          <w:szCs w:val="24"/>
        </w:rPr>
        <w:t xml:space="preserve">. Hos patienter i behandling med </w:t>
      </w:r>
      <w:proofErr w:type="spellStart"/>
      <w:r w:rsidRPr="00A1374B">
        <w:rPr>
          <w:sz w:val="24"/>
          <w:szCs w:val="24"/>
        </w:rPr>
        <w:t>naltrexon</w:t>
      </w:r>
      <w:proofErr w:type="spellEnd"/>
      <w:r w:rsidRPr="00A1374B">
        <w:rPr>
          <w:sz w:val="24"/>
          <w:szCs w:val="24"/>
        </w:rPr>
        <w:t xml:space="preserve"> kan de tilsigtede terapeutiske virkninger ved administration af </w:t>
      </w:r>
      <w:proofErr w:type="spellStart"/>
      <w:r w:rsidRPr="00A1374B">
        <w:rPr>
          <w:sz w:val="24"/>
          <w:szCs w:val="24"/>
        </w:rPr>
        <w:t>buprenorphin</w:t>
      </w:r>
      <w:proofErr w:type="spellEnd"/>
      <w:r w:rsidRPr="00A1374B">
        <w:rPr>
          <w:sz w:val="24"/>
          <w:szCs w:val="24"/>
        </w:rPr>
        <w:t xml:space="preserve"> blokeres af </w:t>
      </w:r>
      <w:proofErr w:type="spellStart"/>
      <w:r w:rsidRPr="00A1374B">
        <w:rPr>
          <w:sz w:val="24"/>
          <w:szCs w:val="24"/>
        </w:rPr>
        <w:t>naltrexon</w:t>
      </w:r>
      <w:proofErr w:type="spellEnd"/>
      <w:r w:rsidRPr="00A1374B">
        <w:rPr>
          <w:sz w:val="24"/>
          <w:szCs w:val="24"/>
        </w:rPr>
        <w:t>.</w:t>
      </w:r>
    </w:p>
    <w:p w:rsidR="000B293F" w:rsidRPr="00A1374B" w:rsidRDefault="002747FA" w:rsidP="00CE77F8">
      <w:pPr>
        <w:pStyle w:val="Listeafsnit"/>
        <w:numPr>
          <w:ilvl w:val="0"/>
          <w:numId w:val="7"/>
        </w:numPr>
        <w:ind w:left="1134" w:hanging="283"/>
        <w:rPr>
          <w:i/>
          <w:sz w:val="24"/>
          <w:szCs w:val="24"/>
        </w:rPr>
      </w:pPr>
      <w:r w:rsidRPr="00A1374B">
        <w:rPr>
          <w:i/>
          <w:sz w:val="24"/>
          <w:szCs w:val="24"/>
        </w:rPr>
        <w:t>CYP3A4-hæmmere</w:t>
      </w:r>
    </w:p>
    <w:p w:rsidR="002747FA" w:rsidRPr="00A1374B" w:rsidRDefault="002747FA" w:rsidP="00CE77F8">
      <w:pPr>
        <w:pStyle w:val="Listeafsnit"/>
        <w:ind w:left="1134"/>
        <w:rPr>
          <w:sz w:val="24"/>
          <w:szCs w:val="24"/>
        </w:rPr>
      </w:pPr>
      <w:r w:rsidRPr="00A1374B">
        <w:rPr>
          <w:sz w:val="24"/>
          <w:szCs w:val="24"/>
        </w:rPr>
        <w:t xml:space="preserve">Der blev i et interaktionsstudie af </w:t>
      </w:r>
      <w:proofErr w:type="spellStart"/>
      <w:r w:rsidRPr="00A1374B">
        <w:rPr>
          <w:sz w:val="24"/>
          <w:szCs w:val="24"/>
        </w:rPr>
        <w:t>buprenorphin</w:t>
      </w:r>
      <w:proofErr w:type="spellEnd"/>
      <w:r w:rsidRPr="00A1374B">
        <w:rPr>
          <w:sz w:val="24"/>
          <w:szCs w:val="24"/>
        </w:rPr>
        <w:t xml:space="preserve"> og </w:t>
      </w:r>
      <w:proofErr w:type="spellStart"/>
      <w:r w:rsidRPr="00A1374B">
        <w:rPr>
          <w:sz w:val="24"/>
          <w:szCs w:val="24"/>
        </w:rPr>
        <w:t>ketoconazol</w:t>
      </w:r>
      <w:proofErr w:type="spellEnd"/>
      <w:r w:rsidRPr="00A1374B">
        <w:rPr>
          <w:sz w:val="24"/>
          <w:szCs w:val="24"/>
        </w:rPr>
        <w:t xml:space="preserve"> (en potent hæmmer af CYP3A4) set en øget </w:t>
      </w:r>
      <w:proofErr w:type="spellStart"/>
      <w:r w:rsidRPr="00A1374B">
        <w:rPr>
          <w:sz w:val="24"/>
          <w:szCs w:val="24"/>
        </w:rPr>
        <w:t>C</w:t>
      </w:r>
      <w:r w:rsidRPr="00A1374B">
        <w:rPr>
          <w:sz w:val="24"/>
          <w:szCs w:val="24"/>
          <w:vertAlign w:val="subscript"/>
        </w:rPr>
        <w:t>max</w:t>
      </w:r>
      <w:proofErr w:type="spellEnd"/>
      <w:r w:rsidRPr="00A1374B">
        <w:rPr>
          <w:sz w:val="24"/>
          <w:szCs w:val="24"/>
          <w:vertAlign w:val="subscript"/>
        </w:rPr>
        <w:t xml:space="preserve"> </w:t>
      </w:r>
      <w:r w:rsidRPr="00A1374B">
        <w:rPr>
          <w:sz w:val="24"/>
          <w:szCs w:val="24"/>
        </w:rPr>
        <w:t xml:space="preserve">og et øget AUC af </w:t>
      </w:r>
      <w:proofErr w:type="spellStart"/>
      <w:r w:rsidRPr="00A1374B">
        <w:rPr>
          <w:sz w:val="24"/>
          <w:szCs w:val="24"/>
        </w:rPr>
        <w:t>buprenorphin</w:t>
      </w:r>
      <w:proofErr w:type="spellEnd"/>
      <w:r w:rsidRPr="00A1374B">
        <w:rPr>
          <w:sz w:val="24"/>
          <w:szCs w:val="24"/>
        </w:rPr>
        <w:t xml:space="preserve"> (henholdsvis på ca. 50 % og 70 %) og i mindre grad af metabolitten </w:t>
      </w:r>
      <w:proofErr w:type="spellStart"/>
      <w:r w:rsidRPr="00A1374B">
        <w:rPr>
          <w:sz w:val="24"/>
          <w:szCs w:val="24"/>
        </w:rPr>
        <w:t>norbuprenorphin</w:t>
      </w:r>
      <w:proofErr w:type="spellEnd"/>
      <w:r w:rsidRPr="00A1374B">
        <w:rPr>
          <w:sz w:val="24"/>
          <w:szCs w:val="24"/>
        </w:rPr>
        <w:t xml:space="preserve">. Patienter, der får sublinguale resoribletter med </w:t>
      </w:r>
      <w:proofErr w:type="spellStart"/>
      <w:r w:rsidRPr="00A1374B">
        <w:rPr>
          <w:sz w:val="24"/>
          <w:szCs w:val="24"/>
        </w:rPr>
        <w:t>buprenorphin</w:t>
      </w:r>
      <w:proofErr w:type="spellEnd"/>
      <w:r w:rsidRPr="00A1374B">
        <w:rPr>
          <w:sz w:val="24"/>
          <w:szCs w:val="24"/>
        </w:rPr>
        <w:t xml:space="preserve">, skal monitoreres nøje, og en dosisreduktion kan blive nødvendig ved samtidig behandling med potente CYP3A4-hæmmere (f.eks. </w:t>
      </w:r>
      <w:proofErr w:type="spellStart"/>
      <w:r w:rsidRPr="00A1374B">
        <w:rPr>
          <w:sz w:val="24"/>
          <w:szCs w:val="24"/>
        </w:rPr>
        <w:t>proteasehæmmere</w:t>
      </w:r>
      <w:proofErr w:type="spellEnd"/>
      <w:r w:rsidRPr="00A1374B">
        <w:rPr>
          <w:sz w:val="24"/>
          <w:szCs w:val="24"/>
        </w:rPr>
        <w:t xml:space="preserve"> som </w:t>
      </w:r>
      <w:proofErr w:type="spellStart"/>
      <w:r w:rsidRPr="00A1374B">
        <w:rPr>
          <w:sz w:val="24"/>
          <w:szCs w:val="24"/>
        </w:rPr>
        <w:t>ritonavir</w:t>
      </w:r>
      <w:proofErr w:type="spellEnd"/>
      <w:r w:rsidRPr="00A1374B">
        <w:rPr>
          <w:sz w:val="24"/>
          <w:szCs w:val="24"/>
        </w:rPr>
        <w:t xml:space="preserve">, </w:t>
      </w:r>
      <w:proofErr w:type="spellStart"/>
      <w:r w:rsidRPr="00A1374B">
        <w:rPr>
          <w:sz w:val="24"/>
          <w:szCs w:val="24"/>
        </w:rPr>
        <w:t>nelfinavir</w:t>
      </w:r>
      <w:proofErr w:type="spellEnd"/>
      <w:r w:rsidRPr="00A1374B">
        <w:rPr>
          <w:sz w:val="24"/>
          <w:szCs w:val="24"/>
        </w:rPr>
        <w:t xml:space="preserve"> eller </w:t>
      </w:r>
      <w:proofErr w:type="spellStart"/>
      <w:r w:rsidRPr="00A1374B">
        <w:rPr>
          <w:sz w:val="24"/>
          <w:szCs w:val="24"/>
        </w:rPr>
        <w:t>indinavir</w:t>
      </w:r>
      <w:proofErr w:type="spellEnd"/>
      <w:r w:rsidRPr="00A1374B">
        <w:rPr>
          <w:sz w:val="24"/>
          <w:szCs w:val="24"/>
        </w:rPr>
        <w:t xml:space="preserve">, eller </w:t>
      </w:r>
      <w:proofErr w:type="spellStart"/>
      <w:r w:rsidRPr="00A1374B">
        <w:rPr>
          <w:sz w:val="24"/>
          <w:szCs w:val="24"/>
        </w:rPr>
        <w:t>azolantimykotika</w:t>
      </w:r>
      <w:proofErr w:type="spellEnd"/>
      <w:r w:rsidRPr="00A1374B">
        <w:rPr>
          <w:sz w:val="24"/>
          <w:szCs w:val="24"/>
        </w:rPr>
        <w:t xml:space="preserve"> som </w:t>
      </w:r>
      <w:proofErr w:type="spellStart"/>
      <w:r w:rsidRPr="00A1374B">
        <w:rPr>
          <w:sz w:val="24"/>
          <w:szCs w:val="24"/>
        </w:rPr>
        <w:t>ketoconazol</w:t>
      </w:r>
      <w:proofErr w:type="spellEnd"/>
      <w:r w:rsidRPr="00A1374B">
        <w:rPr>
          <w:sz w:val="24"/>
          <w:szCs w:val="24"/>
        </w:rPr>
        <w:t xml:space="preserve"> og </w:t>
      </w:r>
      <w:proofErr w:type="spellStart"/>
      <w:r w:rsidRPr="00A1374B">
        <w:rPr>
          <w:sz w:val="24"/>
          <w:szCs w:val="24"/>
        </w:rPr>
        <w:t>itraconazol</w:t>
      </w:r>
      <w:proofErr w:type="spellEnd"/>
      <w:r w:rsidRPr="00A1374B">
        <w:rPr>
          <w:sz w:val="24"/>
          <w:szCs w:val="24"/>
        </w:rPr>
        <w:t xml:space="preserve"> eller </w:t>
      </w:r>
      <w:proofErr w:type="spellStart"/>
      <w:r w:rsidRPr="00A1374B">
        <w:rPr>
          <w:sz w:val="24"/>
          <w:szCs w:val="24"/>
        </w:rPr>
        <w:t>makrolidantibiotika</w:t>
      </w:r>
      <w:proofErr w:type="spellEnd"/>
      <w:r w:rsidRPr="00A1374B">
        <w:rPr>
          <w:sz w:val="24"/>
          <w:szCs w:val="24"/>
        </w:rPr>
        <w:t>).</w:t>
      </w:r>
    </w:p>
    <w:p w:rsidR="000B293F" w:rsidRPr="00A1374B" w:rsidRDefault="002747FA" w:rsidP="00CE77F8">
      <w:pPr>
        <w:pStyle w:val="Listeafsnit"/>
        <w:numPr>
          <w:ilvl w:val="0"/>
          <w:numId w:val="7"/>
        </w:numPr>
        <w:ind w:left="1134" w:hanging="283"/>
        <w:rPr>
          <w:i/>
          <w:sz w:val="24"/>
          <w:szCs w:val="24"/>
        </w:rPr>
      </w:pPr>
      <w:r w:rsidRPr="00A1374B">
        <w:rPr>
          <w:i/>
          <w:sz w:val="24"/>
          <w:szCs w:val="24"/>
        </w:rPr>
        <w:t>CYP3A4-induktorer</w:t>
      </w:r>
    </w:p>
    <w:p w:rsidR="002747FA" w:rsidRPr="00A1374B" w:rsidRDefault="002747FA" w:rsidP="00CE77F8">
      <w:pPr>
        <w:pStyle w:val="Listeafsnit"/>
        <w:ind w:left="1134"/>
        <w:rPr>
          <w:sz w:val="24"/>
          <w:szCs w:val="24"/>
        </w:rPr>
      </w:pPr>
      <w:r w:rsidRPr="00A1374B">
        <w:rPr>
          <w:sz w:val="24"/>
          <w:szCs w:val="24"/>
        </w:rPr>
        <w:t>Samtidig anvendelse af CYP3A4-induktorer</w:t>
      </w:r>
      <w:r w:rsidRPr="00A1374B">
        <w:rPr>
          <w:sz w:val="24"/>
          <w:szCs w:val="24"/>
          <w:lang w:eastAsia="ja-JP"/>
        </w:rPr>
        <w:t xml:space="preserve"> </w:t>
      </w:r>
      <w:r w:rsidRPr="00A1374B">
        <w:rPr>
          <w:sz w:val="24"/>
          <w:szCs w:val="24"/>
        </w:rPr>
        <w:t xml:space="preserve">og </w:t>
      </w:r>
      <w:proofErr w:type="spellStart"/>
      <w:r w:rsidRPr="00A1374B">
        <w:rPr>
          <w:sz w:val="24"/>
          <w:szCs w:val="24"/>
        </w:rPr>
        <w:t>buprenorphin</w:t>
      </w:r>
      <w:proofErr w:type="spellEnd"/>
      <w:r w:rsidRPr="00A1374B">
        <w:rPr>
          <w:sz w:val="24"/>
          <w:szCs w:val="24"/>
        </w:rPr>
        <w:t xml:space="preserve"> kan nedsætte </w:t>
      </w:r>
      <w:proofErr w:type="spellStart"/>
      <w:r w:rsidRPr="00A1374B">
        <w:rPr>
          <w:sz w:val="24"/>
          <w:szCs w:val="24"/>
        </w:rPr>
        <w:t>buprenorphins</w:t>
      </w:r>
      <w:proofErr w:type="spellEnd"/>
      <w:r w:rsidRPr="00A1374B">
        <w:rPr>
          <w:sz w:val="24"/>
          <w:szCs w:val="24"/>
        </w:rPr>
        <w:t xml:space="preserve"> plasmakoncentration, hvilket potentielt kan medføre suboptimal behandling af opioidafhængighed med </w:t>
      </w:r>
      <w:proofErr w:type="spellStart"/>
      <w:r w:rsidRPr="00A1374B">
        <w:rPr>
          <w:sz w:val="24"/>
          <w:szCs w:val="24"/>
        </w:rPr>
        <w:t>buprenorphin</w:t>
      </w:r>
      <w:proofErr w:type="spellEnd"/>
      <w:r w:rsidRPr="00A1374B">
        <w:rPr>
          <w:sz w:val="24"/>
          <w:szCs w:val="24"/>
        </w:rPr>
        <w:t xml:space="preserve">. Det anbefales at holde patienter, der får </w:t>
      </w:r>
      <w:proofErr w:type="spellStart"/>
      <w:r w:rsidRPr="00A1374B">
        <w:rPr>
          <w:sz w:val="24"/>
          <w:szCs w:val="24"/>
        </w:rPr>
        <w:t>buprenorphin</w:t>
      </w:r>
      <w:proofErr w:type="spellEnd"/>
      <w:r w:rsidRPr="00A1374B">
        <w:rPr>
          <w:sz w:val="24"/>
          <w:szCs w:val="24"/>
        </w:rPr>
        <w:t xml:space="preserve">, under tæt overvågning, hvis der samtidig administreres enzyminduktorer (f.eks. </w:t>
      </w:r>
      <w:proofErr w:type="spellStart"/>
      <w:r w:rsidRPr="00A1374B">
        <w:rPr>
          <w:sz w:val="24"/>
          <w:szCs w:val="24"/>
        </w:rPr>
        <w:t>phenobarbital</w:t>
      </w:r>
      <w:proofErr w:type="spellEnd"/>
      <w:r w:rsidRPr="00A1374B">
        <w:rPr>
          <w:sz w:val="24"/>
          <w:szCs w:val="24"/>
        </w:rPr>
        <w:t xml:space="preserve">, </w:t>
      </w:r>
      <w:proofErr w:type="spellStart"/>
      <w:r w:rsidRPr="00A1374B">
        <w:rPr>
          <w:sz w:val="24"/>
          <w:szCs w:val="24"/>
        </w:rPr>
        <w:t>carbamazepin</w:t>
      </w:r>
      <w:proofErr w:type="spellEnd"/>
      <w:r w:rsidRPr="00A1374B">
        <w:rPr>
          <w:sz w:val="24"/>
          <w:szCs w:val="24"/>
        </w:rPr>
        <w:t xml:space="preserve">, </w:t>
      </w:r>
      <w:proofErr w:type="spellStart"/>
      <w:r w:rsidRPr="00A1374B">
        <w:rPr>
          <w:sz w:val="24"/>
          <w:szCs w:val="24"/>
        </w:rPr>
        <w:t>phenytoin</w:t>
      </w:r>
      <w:proofErr w:type="spellEnd"/>
      <w:r w:rsidRPr="00A1374B">
        <w:rPr>
          <w:sz w:val="24"/>
          <w:szCs w:val="24"/>
        </w:rPr>
        <w:t xml:space="preserve"> eller </w:t>
      </w:r>
      <w:proofErr w:type="spellStart"/>
      <w:r w:rsidRPr="00A1374B">
        <w:rPr>
          <w:sz w:val="24"/>
          <w:szCs w:val="24"/>
        </w:rPr>
        <w:t>rifampicin</w:t>
      </w:r>
      <w:proofErr w:type="spellEnd"/>
      <w:r w:rsidRPr="00A1374B">
        <w:rPr>
          <w:sz w:val="24"/>
          <w:szCs w:val="24"/>
        </w:rPr>
        <w:t xml:space="preserve">). Dosis af enten </w:t>
      </w:r>
      <w:proofErr w:type="spellStart"/>
      <w:r w:rsidRPr="00A1374B">
        <w:rPr>
          <w:sz w:val="24"/>
          <w:szCs w:val="24"/>
        </w:rPr>
        <w:t>buprenorphin</w:t>
      </w:r>
      <w:proofErr w:type="spellEnd"/>
      <w:r w:rsidRPr="00A1374B">
        <w:rPr>
          <w:sz w:val="24"/>
          <w:szCs w:val="24"/>
        </w:rPr>
        <w:t xml:space="preserve"> eller CYP3A4-induktoren skal muligvis justeres tilsvarende. </w:t>
      </w:r>
    </w:p>
    <w:p w:rsidR="000B293F" w:rsidRPr="00A1374B" w:rsidRDefault="00370306" w:rsidP="00CE77F8">
      <w:pPr>
        <w:pStyle w:val="Listeafsnit"/>
        <w:numPr>
          <w:ilvl w:val="0"/>
          <w:numId w:val="7"/>
        </w:numPr>
        <w:ind w:left="1134" w:hanging="283"/>
        <w:rPr>
          <w:iCs/>
          <w:sz w:val="24"/>
          <w:szCs w:val="24"/>
        </w:rPr>
      </w:pPr>
      <w:r w:rsidRPr="00A1374B">
        <w:rPr>
          <w:i/>
          <w:iCs/>
          <w:sz w:val="24"/>
          <w:szCs w:val="24"/>
        </w:rPr>
        <w:t>MAO-</w:t>
      </w:r>
      <w:proofErr w:type="spellStart"/>
      <w:r w:rsidRPr="00A1374B">
        <w:rPr>
          <w:i/>
          <w:iCs/>
          <w:sz w:val="24"/>
          <w:szCs w:val="24"/>
        </w:rPr>
        <w:t>hæmmere</w:t>
      </w:r>
      <w:proofErr w:type="spellEnd"/>
    </w:p>
    <w:p w:rsidR="00E33ED9" w:rsidRPr="00A1374B" w:rsidRDefault="00370306" w:rsidP="00CE77F8">
      <w:pPr>
        <w:pStyle w:val="Listeafsnit"/>
        <w:ind w:left="1134"/>
        <w:rPr>
          <w:iCs/>
          <w:sz w:val="24"/>
          <w:szCs w:val="24"/>
        </w:rPr>
      </w:pPr>
      <w:r w:rsidRPr="00A1374B">
        <w:rPr>
          <w:sz w:val="24"/>
          <w:szCs w:val="24"/>
        </w:rPr>
        <w:t xml:space="preserve">Mulig </w:t>
      </w:r>
      <w:proofErr w:type="spellStart"/>
      <w:r w:rsidRPr="00A1374B">
        <w:rPr>
          <w:sz w:val="24"/>
          <w:szCs w:val="24"/>
        </w:rPr>
        <w:t>eksacerbation</w:t>
      </w:r>
      <w:proofErr w:type="spellEnd"/>
      <w:r w:rsidRPr="00A1374B">
        <w:rPr>
          <w:sz w:val="24"/>
          <w:szCs w:val="24"/>
        </w:rPr>
        <w:t xml:space="preserve"> af virkningen af opioider, baseret på erfaringen med morfin.</w:t>
      </w:r>
    </w:p>
    <w:p w:rsidR="000B293F" w:rsidRPr="00A1374B" w:rsidRDefault="00370306" w:rsidP="00CE77F8">
      <w:pPr>
        <w:pStyle w:val="Listeafsnit"/>
        <w:numPr>
          <w:ilvl w:val="0"/>
          <w:numId w:val="7"/>
        </w:numPr>
        <w:ind w:left="1134" w:hanging="283"/>
        <w:rPr>
          <w:iCs/>
          <w:sz w:val="24"/>
          <w:szCs w:val="24"/>
        </w:rPr>
      </w:pPr>
      <w:proofErr w:type="spellStart"/>
      <w:r w:rsidRPr="00A1374B">
        <w:rPr>
          <w:i/>
          <w:iCs/>
          <w:sz w:val="24"/>
          <w:szCs w:val="24"/>
        </w:rPr>
        <w:t>Serotonerge</w:t>
      </w:r>
      <w:proofErr w:type="spellEnd"/>
      <w:r w:rsidRPr="00A1374B">
        <w:rPr>
          <w:i/>
          <w:iCs/>
          <w:sz w:val="24"/>
          <w:szCs w:val="24"/>
        </w:rPr>
        <w:t xml:space="preserve"> lægemidler</w:t>
      </w:r>
    </w:p>
    <w:p w:rsidR="002747FA" w:rsidRPr="00A1374B" w:rsidRDefault="00370306" w:rsidP="00CE77F8">
      <w:pPr>
        <w:pStyle w:val="Listeafsnit"/>
        <w:ind w:left="1134"/>
        <w:rPr>
          <w:iCs/>
          <w:sz w:val="24"/>
          <w:szCs w:val="24"/>
        </w:rPr>
      </w:pPr>
      <w:proofErr w:type="spellStart"/>
      <w:r w:rsidRPr="00A1374B">
        <w:rPr>
          <w:iCs/>
          <w:sz w:val="24"/>
          <w:szCs w:val="24"/>
        </w:rPr>
        <w:t>Serotonerge</w:t>
      </w:r>
      <w:proofErr w:type="spellEnd"/>
      <w:r w:rsidRPr="00A1374B">
        <w:rPr>
          <w:iCs/>
          <w:sz w:val="24"/>
          <w:szCs w:val="24"/>
        </w:rPr>
        <w:t xml:space="preserve"> lægemidler, f.eks. MAO-</w:t>
      </w:r>
      <w:proofErr w:type="spellStart"/>
      <w:r w:rsidRPr="00A1374B">
        <w:rPr>
          <w:iCs/>
          <w:sz w:val="24"/>
          <w:szCs w:val="24"/>
        </w:rPr>
        <w:t>hæmmere</w:t>
      </w:r>
      <w:proofErr w:type="spellEnd"/>
      <w:r w:rsidRPr="00A1374B">
        <w:rPr>
          <w:iCs/>
          <w:sz w:val="24"/>
          <w:szCs w:val="24"/>
        </w:rPr>
        <w:t xml:space="preserve">, selektive </w:t>
      </w:r>
      <w:proofErr w:type="spellStart"/>
      <w:r w:rsidRPr="00A1374B">
        <w:rPr>
          <w:iCs/>
          <w:sz w:val="24"/>
          <w:szCs w:val="24"/>
        </w:rPr>
        <w:t>serotoningenoptagelseshæmmere</w:t>
      </w:r>
      <w:proofErr w:type="spellEnd"/>
      <w:r w:rsidRPr="00A1374B">
        <w:rPr>
          <w:iCs/>
          <w:sz w:val="24"/>
          <w:szCs w:val="24"/>
        </w:rPr>
        <w:t xml:space="preserve"> (</w:t>
      </w:r>
      <w:proofErr w:type="spellStart"/>
      <w:r w:rsidRPr="00A1374B">
        <w:rPr>
          <w:iCs/>
          <w:sz w:val="24"/>
          <w:szCs w:val="24"/>
        </w:rPr>
        <w:t>SSRI'er</w:t>
      </w:r>
      <w:proofErr w:type="spellEnd"/>
      <w:r w:rsidRPr="00A1374B">
        <w:rPr>
          <w:iCs/>
          <w:sz w:val="24"/>
          <w:szCs w:val="24"/>
        </w:rPr>
        <w:t xml:space="preserve">), </w:t>
      </w:r>
      <w:proofErr w:type="spellStart"/>
      <w:r w:rsidRPr="00A1374B">
        <w:rPr>
          <w:iCs/>
          <w:sz w:val="24"/>
          <w:szCs w:val="24"/>
        </w:rPr>
        <w:t>serotonin-noradrenalin-genoptagelses</w:t>
      </w:r>
      <w:r w:rsidR="008D6A16" w:rsidRPr="00A1374B">
        <w:rPr>
          <w:iCs/>
          <w:sz w:val="24"/>
          <w:szCs w:val="24"/>
        </w:rPr>
        <w:softHyphen/>
      </w:r>
      <w:r w:rsidRPr="00A1374B">
        <w:rPr>
          <w:iCs/>
          <w:sz w:val="24"/>
          <w:szCs w:val="24"/>
        </w:rPr>
        <w:t>hæmmere</w:t>
      </w:r>
      <w:proofErr w:type="spellEnd"/>
      <w:r w:rsidRPr="00A1374B">
        <w:rPr>
          <w:iCs/>
          <w:sz w:val="24"/>
          <w:szCs w:val="24"/>
        </w:rPr>
        <w:t xml:space="preserve"> (</w:t>
      </w:r>
      <w:proofErr w:type="spellStart"/>
      <w:r w:rsidRPr="00A1374B">
        <w:rPr>
          <w:iCs/>
          <w:sz w:val="24"/>
          <w:szCs w:val="24"/>
        </w:rPr>
        <w:t>SNRI'er</w:t>
      </w:r>
      <w:proofErr w:type="spellEnd"/>
      <w:r w:rsidRPr="00A1374B">
        <w:rPr>
          <w:iCs/>
          <w:sz w:val="24"/>
          <w:szCs w:val="24"/>
        </w:rPr>
        <w:t>) eller tricykliske antidepressive stoffer, da risikoen for serotoninsyndrom, der er en potentielt livstruende tilstand, er øget (se pkt. 4.4).</w:t>
      </w:r>
    </w:p>
    <w:p w:rsidR="008B2883" w:rsidRPr="00D8717D" w:rsidRDefault="008B2883" w:rsidP="00370306">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2747FA" w:rsidRDefault="002747FA" w:rsidP="002747FA">
      <w:pPr>
        <w:tabs>
          <w:tab w:val="num" w:pos="851"/>
        </w:tabs>
        <w:autoSpaceDE w:val="0"/>
        <w:autoSpaceDN w:val="0"/>
        <w:adjustRightInd w:val="0"/>
        <w:ind w:left="851"/>
        <w:rPr>
          <w:sz w:val="24"/>
          <w:szCs w:val="24"/>
          <w:u w:val="single"/>
        </w:rPr>
      </w:pPr>
    </w:p>
    <w:p w:rsidR="002747FA" w:rsidRPr="003D2A71" w:rsidRDefault="002747FA" w:rsidP="002747FA">
      <w:pPr>
        <w:tabs>
          <w:tab w:val="num" w:pos="851"/>
        </w:tabs>
        <w:autoSpaceDE w:val="0"/>
        <w:autoSpaceDN w:val="0"/>
        <w:adjustRightInd w:val="0"/>
        <w:ind w:left="851"/>
        <w:rPr>
          <w:sz w:val="24"/>
          <w:szCs w:val="24"/>
          <w:u w:val="single"/>
        </w:rPr>
      </w:pPr>
      <w:r w:rsidRPr="0010024B">
        <w:rPr>
          <w:sz w:val="24"/>
          <w:szCs w:val="24"/>
          <w:u w:val="single"/>
        </w:rPr>
        <w:t>Graviditet</w:t>
      </w:r>
    </w:p>
    <w:p w:rsidR="002747FA" w:rsidRPr="003D2A71" w:rsidRDefault="002747FA" w:rsidP="002747FA">
      <w:pPr>
        <w:tabs>
          <w:tab w:val="num" w:pos="851"/>
        </w:tabs>
        <w:autoSpaceDE w:val="0"/>
        <w:autoSpaceDN w:val="0"/>
        <w:adjustRightInd w:val="0"/>
        <w:ind w:left="851"/>
        <w:rPr>
          <w:sz w:val="24"/>
          <w:szCs w:val="24"/>
        </w:rPr>
      </w:pPr>
      <w:r w:rsidRPr="0010024B">
        <w:rPr>
          <w:sz w:val="24"/>
          <w:szCs w:val="24"/>
        </w:rPr>
        <w:t xml:space="preserve">Der er utilstrækkelige data fra anvendelse af </w:t>
      </w:r>
      <w:proofErr w:type="spellStart"/>
      <w:r w:rsidRPr="0010024B">
        <w:rPr>
          <w:sz w:val="24"/>
          <w:szCs w:val="24"/>
        </w:rPr>
        <w:t>buprenorphin</w:t>
      </w:r>
      <w:proofErr w:type="spellEnd"/>
      <w:r w:rsidRPr="0010024B">
        <w:rPr>
          <w:sz w:val="24"/>
          <w:szCs w:val="24"/>
        </w:rPr>
        <w:t xml:space="preserve"> til gravide kvinder. </w:t>
      </w:r>
      <w:proofErr w:type="spellStart"/>
      <w:r w:rsidRPr="0010024B">
        <w:rPr>
          <w:sz w:val="24"/>
          <w:szCs w:val="24"/>
        </w:rPr>
        <w:t>Buprenorphin</w:t>
      </w:r>
      <w:proofErr w:type="spellEnd"/>
      <w:r w:rsidRPr="0010024B">
        <w:rPr>
          <w:sz w:val="24"/>
          <w:szCs w:val="24"/>
        </w:rPr>
        <w:t xml:space="preserve"> må kun anvendes under graviditet, hvis den potentielle fordel opvejer den potentielle risiko for fostret.</w:t>
      </w:r>
    </w:p>
    <w:p w:rsidR="002747FA" w:rsidRPr="0010024B" w:rsidRDefault="002747FA" w:rsidP="002747FA">
      <w:pPr>
        <w:tabs>
          <w:tab w:val="num" w:pos="851"/>
        </w:tabs>
        <w:autoSpaceDE w:val="0"/>
        <w:autoSpaceDN w:val="0"/>
        <w:adjustRightInd w:val="0"/>
        <w:ind w:left="851"/>
        <w:rPr>
          <w:sz w:val="24"/>
          <w:szCs w:val="24"/>
        </w:rPr>
      </w:pPr>
      <w:r w:rsidRPr="0010024B">
        <w:rPr>
          <w:sz w:val="24"/>
          <w:szCs w:val="24"/>
        </w:rPr>
        <w:t xml:space="preserve">Mod slutningen af graviditeten kan </w:t>
      </w:r>
      <w:proofErr w:type="spellStart"/>
      <w:r w:rsidRPr="0010024B">
        <w:rPr>
          <w:sz w:val="24"/>
          <w:szCs w:val="24"/>
        </w:rPr>
        <w:t>buprenorphin</w:t>
      </w:r>
      <w:proofErr w:type="spellEnd"/>
      <w:r w:rsidRPr="0010024B">
        <w:rPr>
          <w:sz w:val="24"/>
          <w:szCs w:val="24"/>
        </w:rPr>
        <w:t xml:space="preserve"> fremkalde respirationsdepression hos det nyfødte barn, selv efter en kort behandlingsperiode.</w:t>
      </w:r>
      <w:r w:rsidRPr="003D2A71">
        <w:rPr>
          <w:sz w:val="24"/>
          <w:szCs w:val="24"/>
        </w:rPr>
        <w:t xml:space="preserve"> </w:t>
      </w:r>
      <w:r w:rsidRPr="0010024B">
        <w:rPr>
          <w:sz w:val="24"/>
          <w:szCs w:val="24"/>
        </w:rPr>
        <w:t xml:space="preserve">Længerevarende administration i de sidste 3 måneder af graviditeten kan forårsage et abstinenssyndrom hos det nyfødte barn (f.eks. </w:t>
      </w:r>
      <w:proofErr w:type="spellStart"/>
      <w:r w:rsidRPr="0010024B">
        <w:rPr>
          <w:sz w:val="24"/>
          <w:szCs w:val="24"/>
        </w:rPr>
        <w:t>hypertoni</w:t>
      </w:r>
      <w:proofErr w:type="spellEnd"/>
      <w:r w:rsidRPr="0010024B">
        <w:rPr>
          <w:sz w:val="24"/>
          <w:szCs w:val="24"/>
        </w:rPr>
        <w:t xml:space="preserve">, neonatal </w:t>
      </w:r>
      <w:proofErr w:type="spellStart"/>
      <w:r w:rsidRPr="0010024B">
        <w:rPr>
          <w:sz w:val="24"/>
          <w:szCs w:val="24"/>
        </w:rPr>
        <w:t>tremor</w:t>
      </w:r>
      <w:proofErr w:type="spellEnd"/>
      <w:r w:rsidRPr="0010024B">
        <w:rPr>
          <w:sz w:val="24"/>
          <w:szCs w:val="24"/>
        </w:rPr>
        <w:t xml:space="preserve">, neonatal agitation, </w:t>
      </w:r>
      <w:proofErr w:type="spellStart"/>
      <w:r w:rsidRPr="0010024B">
        <w:rPr>
          <w:sz w:val="24"/>
          <w:szCs w:val="24"/>
        </w:rPr>
        <w:t>myoklonus</w:t>
      </w:r>
      <w:proofErr w:type="spellEnd"/>
      <w:r w:rsidRPr="0010024B">
        <w:rPr>
          <w:sz w:val="24"/>
          <w:szCs w:val="24"/>
        </w:rPr>
        <w:t xml:space="preserve"> eller kramper). Syndromet er generelt forsinket fra adskillige timer til flere dage efter fødslen. </w:t>
      </w:r>
    </w:p>
    <w:p w:rsidR="002747FA" w:rsidRPr="0010024B" w:rsidRDefault="002747FA" w:rsidP="002747FA">
      <w:pPr>
        <w:tabs>
          <w:tab w:val="num" w:pos="851"/>
        </w:tabs>
        <w:autoSpaceDE w:val="0"/>
        <w:autoSpaceDN w:val="0"/>
        <w:adjustRightInd w:val="0"/>
        <w:ind w:left="851"/>
        <w:rPr>
          <w:sz w:val="24"/>
          <w:szCs w:val="24"/>
        </w:rPr>
      </w:pPr>
      <w:r w:rsidRPr="0010024B">
        <w:rPr>
          <w:sz w:val="24"/>
          <w:szCs w:val="24"/>
        </w:rPr>
        <w:t xml:space="preserve">På grund af </w:t>
      </w:r>
      <w:proofErr w:type="spellStart"/>
      <w:r w:rsidRPr="0010024B">
        <w:rPr>
          <w:sz w:val="24"/>
          <w:szCs w:val="24"/>
        </w:rPr>
        <w:t>buprenorphins</w:t>
      </w:r>
      <w:proofErr w:type="spellEnd"/>
      <w:r w:rsidRPr="0010024B">
        <w:rPr>
          <w:sz w:val="24"/>
          <w:szCs w:val="24"/>
        </w:rPr>
        <w:t xml:space="preserve"> lange halveringstid bør neonatal monitorering i adskillige dage overvejes ved slutningen af graviditeten for at forebygge risikoen for respirationsdepression eller abstinenssyndrom hos nyfødte.</w:t>
      </w:r>
    </w:p>
    <w:p w:rsidR="002747FA" w:rsidRDefault="002747FA" w:rsidP="00193CB4">
      <w:pPr>
        <w:autoSpaceDE w:val="0"/>
        <w:autoSpaceDN w:val="0"/>
        <w:adjustRightInd w:val="0"/>
        <w:ind w:left="851"/>
        <w:rPr>
          <w:noProof/>
          <w:sz w:val="24"/>
          <w:szCs w:val="24"/>
        </w:rPr>
      </w:pPr>
    </w:p>
    <w:p w:rsidR="002747FA" w:rsidRPr="00AF7DAE" w:rsidRDefault="002747FA" w:rsidP="002747FA">
      <w:pPr>
        <w:autoSpaceDE w:val="0"/>
        <w:autoSpaceDN w:val="0"/>
        <w:adjustRightInd w:val="0"/>
        <w:ind w:left="851"/>
        <w:rPr>
          <w:noProof/>
          <w:sz w:val="24"/>
          <w:szCs w:val="24"/>
          <w:u w:val="single"/>
        </w:rPr>
      </w:pPr>
      <w:r w:rsidRPr="00AF7DAE">
        <w:rPr>
          <w:sz w:val="24"/>
          <w:szCs w:val="24"/>
          <w:u w:val="single"/>
        </w:rPr>
        <w:t>Amning</w:t>
      </w:r>
    </w:p>
    <w:p w:rsidR="002747FA" w:rsidRDefault="002747FA" w:rsidP="002747FA">
      <w:pPr>
        <w:ind w:left="851"/>
        <w:rPr>
          <w:noProof/>
          <w:sz w:val="24"/>
          <w:szCs w:val="24"/>
        </w:rPr>
      </w:pPr>
      <w:proofErr w:type="spellStart"/>
      <w:r>
        <w:rPr>
          <w:sz w:val="24"/>
          <w:szCs w:val="24"/>
        </w:rPr>
        <w:t>Buprenorphin</w:t>
      </w:r>
      <w:proofErr w:type="spellEnd"/>
      <w:r>
        <w:rPr>
          <w:sz w:val="24"/>
          <w:szCs w:val="24"/>
        </w:rPr>
        <w:t xml:space="preserve"> og dets metabolitter udskilles i human mælk. </w:t>
      </w:r>
      <w:proofErr w:type="spellStart"/>
      <w:r>
        <w:rPr>
          <w:sz w:val="24"/>
          <w:szCs w:val="24"/>
        </w:rPr>
        <w:t>Buprenorphin</w:t>
      </w:r>
      <w:proofErr w:type="spellEnd"/>
      <w:r>
        <w:rPr>
          <w:sz w:val="24"/>
          <w:szCs w:val="24"/>
        </w:rPr>
        <w:t xml:space="preserve"> har vist sig at hæmme mælkeproduktionen hos rotter. Derfor er amning kontraindiceret og skal afbrydes under behandlingen med </w:t>
      </w:r>
      <w:proofErr w:type="spellStart"/>
      <w:r>
        <w:rPr>
          <w:sz w:val="24"/>
          <w:szCs w:val="24"/>
        </w:rPr>
        <w:t>Buprenorphine</w:t>
      </w:r>
      <w:proofErr w:type="spellEnd"/>
      <w:r>
        <w:rPr>
          <w:sz w:val="24"/>
          <w:szCs w:val="24"/>
        </w:rPr>
        <w:t xml:space="preserve"> </w:t>
      </w:r>
      <w:r w:rsidR="00CE77F8">
        <w:rPr>
          <w:sz w:val="24"/>
          <w:szCs w:val="24"/>
        </w:rPr>
        <w:t>"</w:t>
      </w:r>
      <w:r>
        <w:rPr>
          <w:sz w:val="24"/>
          <w:szCs w:val="24"/>
        </w:rPr>
        <w:t>Sandoz</w:t>
      </w:r>
      <w:r w:rsidR="00CE77F8">
        <w:rPr>
          <w:sz w:val="24"/>
          <w:szCs w:val="24"/>
        </w:rPr>
        <w:t>"</w:t>
      </w:r>
      <w:r>
        <w:rPr>
          <w:sz w:val="24"/>
          <w:szCs w:val="24"/>
        </w:rPr>
        <w:t xml:space="preserve"> (se pkt. 4.3).</w:t>
      </w:r>
    </w:p>
    <w:p w:rsidR="002747FA" w:rsidRDefault="002747FA" w:rsidP="002747FA">
      <w:pPr>
        <w:tabs>
          <w:tab w:val="left" w:pos="851"/>
        </w:tabs>
        <w:ind w:left="851" w:hanging="851"/>
        <w:rPr>
          <w:sz w:val="24"/>
          <w:szCs w:val="24"/>
        </w:rPr>
      </w:pPr>
    </w:p>
    <w:p w:rsidR="002747FA" w:rsidRPr="003D2A71" w:rsidRDefault="002747FA" w:rsidP="002747FA">
      <w:pPr>
        <w:ind w:left="851"/>
        <w:rPr>
          <w:sz w:val="24"/>
          <w:szCs w:val="24"/>
          <w:u w:val="single"/>
        </w:rPr>
      </w:pPr>
      <w:r w:rsidRPr="003D2A71">
        <w:rPr>
          <w:sz w:val="24"/>
          <w:szCs w:val="24"/>
          <w:u w:val="single"/>
        </w:rPr>
        <w:t>Fertilitet</w:t>
      </w:r>
    </w:p>
    <w:p w:rsidR="002747FA" w:rsidRPr="003D2A71" w:rsidRDefault="002747FA" w:rsidP="002747FA">
      <w:pPr>
        <w:ind w:left="851"/>
        <w:rPr>
          <w:sz w:val="24"/>
          <w:szCs w:val="24"/>
        </w:rPr>
      </w:pPr>
      <w:r w:rsidRPr="003D2A71">
        <w:rPr>
          <w:sz w:val="24"/>
          <w:szCs w:val="24"/>
        </w:rPr>
        <w:t xml:space="preserve">Der foreligger ingen eller utilstrækkelige data om </w:t>
      </w:r>
      <w:proofErr w:type="spellStart"/>
      <w:r w:rsidRPr="003D2A71">
        <w:rPr>
          <w:sz w:val="24"/>
          <w:szCs w:val="24"/>
        </w:rPr>
        <w:t>buprenorphins</w:t>
      </w:r>
      <w:proofErr w:type="spellEnd"/>
      <w:r w:rsidRPr="003D2A71">
        <w:rPr>
          <w:sz w:val="24"/>
          <w:szCs w:val="24"/>
        </w:rPr>
        <w:t xml:space="preserve"> virkning på fertiliteten hos mennesker. Hos dyr er der ikke set nogen indvirkning på fertiliteten (se pkt. 5.3).</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2747FA" w:rsidRPr="00D8717D" w:rsidRDefault="002747FA" w:rsidP="00D82171">
      <w:pPr>
        <w:ind w:left="851"/>
        <w:rPr>
          <w:noProof/>
          <w:sz w:val="24"/>
          <w:szCs w:val="24"/>
        </w:rPr>
      </w:pPr>
      <w:r>
        <w:rPr>
          <w:noProof/>
          <w:sz w:val="24"/>
          <w:szCs w:val="24"/>
        </w:rPr>
        <w:t>Mærkning</w:t>
      </w:r>
      <w:r w:rsidR="00D82171">
        <w:rPr>
          <w:noProof/>
          <w:sz w:val="24"/>
          <w:szCs w:val="24"/>
        </w:rPr>
        <w:t>.</w:t>
      </w:r>
    </w:p>
    <w:p w:rsidR="002747FA" w:rsidRPr="0010024B" w:rsidRDefault="002747FA" w:rsidP="002747FA">
      <w:pPr>
        <w:ind w:left="851"/>
        <w:rPr>
          <w:sz w:val="24"/>
          <w:szCs w:val="24"/>
        </w:rPr>
      </w:pPr>
      <w:proofErr w:type="spellStart"/>
      <w:r w:rsidRPr="0010024B">
        <w:rPr>
          <w:sz w:val="24"/>
          <w:szCs w:val="24"/>
        </w:rPr>
        <w:t>Buprenorphin</w:t>
      </w:r>
      <w:proofErr w:type="spellEnd"/>
      <w:r w:rsidRPr="0010024B">
        <w:rPr>
          <w:sz w:val="24"/>
          <w:szCs w:val="24"/>
        </w:rPr>
        <w:t xml:space="preserve"> påvirker i moderat grad evnen til at føre motorkøretøj og betjene maskiner, når det administreres til opioidafhængige patienter. </w:t>
      </w:r>
      <w:proofErr w:type="spellStart"/>
      <w:r w:rsidRPr="0010024B">
        <w:rPr>
          <w:sz w:val="24"/>
          <w:szCs w:val="24"/>
        </w:rPr>
        <w:t>Buprenorphin</w:t>
      </w:r>
      <w:proofErr w:type="spellEnd"/>
      <w:r w:rsidRPr="0010024B">
        <w:rPr>
          <w:sz w:val="24"/>
          <w:szCs w:val="24"/>
        </w:rPr>
        <w:t xml:space="preserve"> kan forårsage døsighed, svimmelhed eller nedsat tankevirksomhed, særligt i forbindelse med indledende behandling og dosisjustering. Hvis det indtages sammen med alkohol eller </w:t>
      </w:r>
      <w:proofErr w:type="spellStart"/>
      <w:r w:rsidRPr="0010024B">
        <w:rPr>
          <w:sz w:val="24"/>
          <w:szCs w:val="24"/>
        </w:rPr>
        <w:t>hæmmere</w:t>
      </w:r>
      <w:proofErr w:type="spellEnd"/>
      <w:r w:rsidRPr="0010024B">
        <w:rPr>
          <w:sz w:val="24"/>
          <w:szCs w:val="24"/>
        </w:rPr>
        <w:t xml:space="preserve"> af det centrale nervesystem,</w:t>
      </w:r>
      <w:r w:rsidRPr="0010024B">
        <w:rPr>
          <w:sz w:val="24"/>
          <w:szCs w:val="24"/>
          <w:lang w:eastAsia="ja-JP"/>
        </w:rPr>
        <w:t xml:space="preserve"> </w:t>
      </w:r>
      <w:r w:rsidRPr="0010024B">
        <w:rPr>
          <w:sz w:val="24"/>
          <w:szCs w:val="24"/>
        </w:rPr>
        <w:t>vil virkningen sandsynligvis være mere udtalt (se pkt. 4.4 og 4.5).</w:t>
      </w:r>
    </w:p>
    <w:p w:rsidR="002747FA" w:rsidRPr="003D2A71" w:rsidRDefault="002747FA" w:rsidP="002747FA">
      <w:pPr>
        <w:ind w:left="851"/>
        <w:rPr>
          <w:sz w:val="24"/>
          <w:szCs w:val="24"/>
        </w:rPr>
      </w:pPr>
      <w:r w:rsidRPr="0010024B">
        <w:rPr>
          <w:sz w:val="24"/>
          <w:szCs w:val="24"/>
        </w:rPr>
        <w:t xml:space="preserve">Patienterne skal advares mod at føre motorkøretøj eller betjene farlige maskiner, da der er risiko for, at </w:t>
      </w:r>
      <w:proofErr w:type="spellStart"/>
      <w:r w:rsidRPr="0010024B">
        <w:rPr>
          <w:sz w:val="24"/>
          <w:szCs w:val="24"/>
        </w:rPr>
        <w:t>buprenorphin</w:t>
      </w:r>
      <w:proofErr w:type="spellEnd"/>
      <w:r w:rsidRPr="0010024B">
        <w:rPr>
          <w:sz w:val="24"/>
          <w:szCs w:val="24"/>
        </w:rPr>
        <w:t xml:space="preserve"> påvirker deres evne til at udføre sådanne aktiviteter.</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4.8</w:t>
      </w:r>
      <w:r w:rsidRPr="00C84483">
        <w:rPr>
          <w:b/>
          <w:sz w:val="24"/>
          <w:szCs w:val="24"/>
        </w:rPr>
        <w:tab/>
        <w:t>Bivirkninger</w:t>
      </w:r>
    </w:p>
    <w:p w:rsidR="002747FA" w:rsidRDefault="002747FA" w:rsidP="002747FA">
      <w:pPr>
        <w:autoSpaceDE w:val="0"/>
        <w:autoSpaceDN w:val="0"/>
        <w:adjustRightInd w:val="0"/>
        <w:ind w:left="851"/>
        <w:rPr>
          <w:sz w:val="24"/>
          <w:szCs w:val="24"/>
          <w:u w:val="single"/>
        </w:rPr>
      </w:pPr>
    </w:p>
    <w:p w:rsidR="002747FA" w:rsidRDefault="002747FA" w:rsidP="002747FA">
      <w:pPr>
        <w:autoSpaceDE w:val="0"/>
        <w:autoSpaceDN w:val="0"/>
        <w:adjustRightInd w:val="0"/>
        <w:ind w:left="851"/>
        <w:rPr>
          <w:sz w:val="24"/>
          <w:szCs w:val="24"/>
          <w:u w:val="single"/>
        </w:rPr>
      </w:pPr>
      <w:r>
        <w:rPr>
          <w:sz w:val="24"/>
          <w:szCs w:val="24"/>
          <w:u w:val="single"/>
        </w:rPr>
        <w:t>Resumé af sikkerhedsprofilen</w:t>
      </w:r>
    </w:p>
    <w:p w:rsidR="002747FA" w:rsidRDefault="002747FA" w:rsidP="002747FA">
      <w:pPr>
        <w:autoSpaceDE w:val="0"/>
        <w:autoSpaceDN w:val="0"/>
        <w:adjustRightInd w:val="0"/>
        <w:ind w:left="851"/>
        <w:rPr>
          <w:sz w:val="24"/>
          <w:szCs w:val="24"/>
        </w:rPr>
      </w:pPr>
      <w:r>
        <w:rPr>
          <w:sz w:val="24"/>
          <w:szCs w:val="24"/>
        </w:rPr>
        <w:t xml:space="preserve">De hyppigst indberettede bivirkninger var relateret til abstinenssymptomer (f.eks. </w:t>
      </w:r>
      <w:proofErr w:type="spellStart"/>
      <w:r>
        <w:rPr>
          <w:sz w:val="24"/>
          <w:szCs w:val="24"/>
        </w:rPr>
        <w:t>insomni</w:t>
      </w:r>
      <w:proofErr w:type="spellEnd"/>
      <w:r>
        <w:rPr>
          <w:sz w:val="24"/>
          <w:szCs w:val="24"/>
        </w:rPr>
        <w:t xml:space="preserve">, hovedpine, kvalme og </w:t>
      </w:r>
      <w:proofErr w:type="spellStart"/>
      <w:r>
        <w:rPr>
          <w:sz w:val="24"/>
          <w:szCs w:val="24"/>
        </w:rPr>
        <w:t>hyperhidrose</w:t>
      </w:r>
      <w:proofErr w:type="spellEnd"/>
      <w:r>
        <w:rPr>
          <w:sz w:val="24"/>
          <w:szCs w:val="24"/>
        </w:rPr>
        <w:t>) og smerter.</w:t>
      </w:r>
    </w:p>
    <w:p w:rsidR="002747FA" w:rsidRDefault="002747FA" w:rsidP="002747FA">
      <w:pPr>
        <w:autoSpaceDE w:val="0"/>
        <w:autoSpaceDN w:val="0"/>
        <w:adjustRightInd w:val="0"/>
        <w:ind w:left="851"/>
        <w:rPr>
          <w:sz w:val="24"/>
          <w:szCs w:val="24"/>
        </w:rPr>
      </w:pPr>
    </w:p>
    <w:p w:rsidR="002747FA" w:rsidRPr="0010024B" w:rsidRDefault="002747FA" w:rsidP="002747FA">
      <w:pPr>
        <w:autoSpaceDE w:val="0"/>
        <w:autoSpaceDN w:val="0"/>
        <w:adjustRightInd w:val="0"/>
        <w:ind w:left="851"/>
        <w:rPr>
          <w:sz w:val="24"/>
          <w:szCs w:val="24"/>
          <w:u w:val="single"/>
        </w:rPr>
      </w:pPr>
      <w:r w:rsidRPr="0010024B">
        <w:rPr>
          <w:sz w:val="24"/>
          <w:szCs w:val="24"/>
          <w:u w:val="single"/>
        </w:rPr>
        <w:t>Bivirkningstabel</w:t>
      </w:r>
    </w:p>
    <w:p w:rsidR="002747FA" w:rsidRPr="0010024B" w:rsidRDefault="002747FA" w:rsidP="002747FA">
      <w:pPr>
        <w:autoSpaceDE w:val="0"/>
        <w:autoSpaceDN w:val="0"/>
        <w:adjustRightInd w:val="0"/>
        <w:ind w:left="1134" w:hanging="283"/>
        <w:rPr>
          <w:sz w:val="24"/>
          <w:szCs w:val="24"/>
        </w:rPr>
      </w:pPr>
      <w:r w:rsidRPr="0010024B">
        <w:rPr>
          <w:sz w:val="24"/>
          <w:szCs w:val="24"/>
        </w:rPr>
        <w:t>Tabel 1 viser en sammenfattende oversigt over:</w:t>
      </w:r>
    </w:p>
    <w:p w:rsidR="002747FA" w:rsidRPr="0010024B" w:rsidRDefault="002747FA" w:rsidP="008D6A16">
      <w:pPr>
        <w:pStyle w:val="Listeafsnit"/>
        <w:numPr>
          <w:ilvl w:val="0"/>
          <w:numId w:val="7"/>
        </w:numPr>
        <w:tabs>
          <w:tab w:val="left" w:pos="0"/>
        </w:tabs>
        <w:autoSpaceDE w:val="0"/>
        <w:autoSpaceDN w:val="0"/>
        <w:adjustRightInd w:val="0"/>
        <w:ind w:left="1134" w:hanging="283"/>
        <w:rPr>
          <w:sz w:val="24"/>
          <w:szCs w:val="24"/>
        </w:rPr>
      </w:pPr>
      <w:r w:rsidRPr="0010024B">
        <w:rPr>
          <w:sz w:val="24"/>
          <w:szCs w:val="24"/>
        </w:rPr>
        <w:t>B</w:t>
      </w:r>
      <w:r w:rsidRPr="003D2A71">
        <w:rPr>
          <w:sz w:val="24"/>
          <w:szCs w:val="24"/>
        </w:rPr>
        <w:t xml:space="preserve">ivirkninger, der blev indberettet fra pivotale, kliniske studier. Hyppigheden </w:t>
      </w:r>
      <w:r w:rsidRPr="0010024B">
        <w:rPr>
          <w:sz w:val="24"/>
          <w:szCs w:val="24"/>
        </w:rPr>
        <w:t>af nedenstående mulige</w:t>
      </w:r>
      <w:r w:rsidRPr="003D2A71">
        <w:rPr>
          <w:sz w:val="24"/>
          <w:szCs w:val="24"/>
        </w:rPr>
        <w:t xml:space="preserve"> bivirkninger </w:t>
      </w:r>
      <w:r w:rsidRPr="0010024B">
        <w:rPr>
          <w:sz w:val="24"/>
          <w:szCs w:val="24"/>
        </w:rPr>
        <w:t xml:space="preserve">er </w:t>
      </w:r>
      <w:r w:rsidRPr="003D2A71">
        <w:rPr>
          <w:sz w:val="24"/>
          <w:szCs w:val="24"/>
        </w:rPr>
        <w:t xml:space="preserve">angivet i henhold til </w:t>
      </w:r>
      <w:proofErr w:type="spellStart"/>
      <w:r w:rsidRPr="003D2A71">
        <w:rPr>
          <w:sz w:val="24"/>
          <w:szCs w:val="24"/>
        </w:rPr>
        <w:t>MedDRA</w:t>
      </w:r>
      <w:proofErr w:type="spellEnd"/>
      <w:r w:rsidRPr="003D2A71">
        <w:rPr>
          <w:sz w:val="24"/>
          <w:szCs w:val="24"/>
        </w:rPr>
        <w:t>-konventionen:</w:t>
      </w:r>
      <w:r w:rsidRPr="0010024B">
        <w:rPr>
          <w:sz w:val="24"/>
          <w:szCs w:val="24"/>
        </w:rPr>
        <w:t xml:space="preserve"> </w:t>
      </w:r>
      <w:r w:rsidR="00D82171">
        <w:rPr>
          <w:sz w:val="24"/>
          <w:szCs w:val="24"/>
        </w:rPr>
        <w:t>M</w:t>
      </w:r>
      <w:r w:rsidRPr="0010024B">
        <w:rPr>
          <w:sz w:val="24"/>
          <w:szCs w:val="24"/>
        </w:rPr>
        <w:t>eget almindelig (≥ 1/10); almindelig (≥ 1/100 til &lt; 1/10); ikke almindelig (</w:t>
      </w:r>
      <w:r w:rsidRPr="0010024B">
        <w:rPr>
          <w:i/>
          <w:sz w:val="24"/>
          <w:szCs w:val="24"/>
        </w:rPr>
        <w:t>≥ </w:t>
      </w:r>
      <w:r w:rsidRPr="0010024B">
        <w:rPr>
          <w:sz w:val="24"/>
          <w:szCs w:val="24"/>
        </w:rPr>
        <w:t xml:space="preserve">1/1.000 til &lt; 1/100). </w:t>
      </w:r>
    </w:p>
    <w:p w:rsidR="002747FA" w:rsidRPr="0010024B" w:rsidRDefault="002747FA" w:rsidP="008D6A16">
      <w:pPr>
        <w:pStyle w:val="Listeafsnit"/>
        <w:numPr>
          <w:ilvl w:val="0"/>
          <w:numId w:val="7"/>
        </w:numPr>
        <w:ind w:left="1134" w:hanging="283"/>
        <w:rPr>
          <w:sz w:val="24"/>
          <w:szCs w:val="24"/>
        </w:rPr>
      </w:pPr>
      <w:r w:rsidRPr="0010024B">
        <w:rPr>
          <w:sz w:val="24"/>
          <w:szCs w:val="24"/>
        </w:rPr>
        <w:t xml:space="preserve">De mest almindelige bivirkninger, der blev indberettet efter markedsføring. Hændelser, der forekom i mindst 1 % af indberetningerne fra sundhedspersonale, og som anses som forventelige, er inkluderet. Hyppigheden af hændelser, der ikke blev indberettet i pivotale studier, kan ikke estimeres og er anført som ikke kendt. </w:t>
      </w:r>
    </w:p>
    <w:p w:rsidR="002747FA" w:rsidRPr="0010024B" w:rsidRDefault="002747FA" w:rsidP="002747FA">
      <w:pPr>
        <w:pStyle w:val="Fodnotetekst"/>
        <w:tabs>
          <w:tab w:val="left" w:pos="0"/>
        </w:tabs>
        <w:ind w:left="851"/>
        <w:rPr>
          <w:rFonts w:ascii="Times New Roman" w:hAnsi="Times New Roman"/>
          <w:snapToGrid w:val="0"/>
          <w:sz w:val="24"/>
          <w:szCs w:val="24"/>
          <w:lang w:val="da-DK"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960"/>
        <w:gridCol w:w="1732"/>
        <w:gridCol w:w="1600"/>
        <w:gridCol w:w="1669"/>
      </w:tblGrid>
      <w:tr w:rsidR="002747FA" w:rsidRPr="0010024B" w:rsidTr="00193CB4">
        <w:trPr>
          <w:cantSplit/>
          <w:tblHeader/>
        </w:trPr>
        <w:tc>
          <w:tcPr>
            <w:tcW w:w="5000" w:type="pct"/>
            <w:gridSpan w:val="5"/>
            <w:tcBorders>
              <w:top w:val="single" w:sz="4" w:space="0" w:color="auto"/>
              <w:left w:val="single" w:sz="4" w:space="0" w:color="auto"/>
              <w:bottom w:val="single" w:sz="4" w:space="0" w:color="auto"/>
              <w:right w:val="single" w:sz="4" w:space="0" w:color="auto"/>
            </w:tcBorders>
          </w:tcPr>
          <w:p w:rsidR="002747FA" w:rsidRPr="0010024B" w:rsidRDefault="002747FA" w:rsidP="003B4BCE">
            <w:pPr>
              <w:rPr>
                <w:b/>
                <w:snapToGrid w:val="0"/>
                <w:color w:val="000000"/>
                <w:sz w:val="22"/>
                <w:szCs w:val="22"/>
                <w:lang w:eastAsia="fr-FR"/>
              </w:rPr>
            </w:pPr>
            <w:r w:rsidRPr="0010024B">
              <w:rPr>
                <w:b/>
                <w:snapToGrid w:val="0"/>
                <w:color w:val="000000"/>
                <w:sz w:val="22"/>
                <w:szCs w:val="22"/>
                <w:lang w:eastAsia="fr-FR"/>
              </w:rPr>
              <w:t>Tabel 1: Bivirkninger, der er observeret i pivotale kliniske studier og/eller fra erfaring efter markedsføring, anført efter organsystem</w:t>
            </w:r>
          </w:p>
        </w:tc>
      </w:tr>
      <w:tr w:rsidR="002747FA" w:rsidRPr="0010024B" w:rsidTr="00193CB4">
        <w:trPr>
          <w:cantSplit/>
          <w:tblHeader/>
        </w:trPr>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b/>
                <w:snapToGrid w:val="0"/>
                <w:color w:val="000000"/>
                <w:sz w:val="22"/>
                <w:szCs w:val="22"/>
                <w:lang w:eastAsia="fr-FR"/>
              </w:rPr>
            </w:pPr>
            <w:r w:rsidRPr="0010024B">
              <w:rPr>
                <w:b/>
                <w:snapToGrid w:val="0"/>
                <w:color w:val="000000"/>
                <w:sz w:val="22"/>
                <w:szCs w:val="22"/>
                <w:lang w:eastAsia="fr-FR"/>
              </w:rPr>
              <w:t>Systemorgan-klasse</w:t>
            </w:r>
          </w:p>
        </w:tc>
        <w:tc>
          <w:tcPr>
            <w:tcW w:w="1537"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b/>
                <w:snapToGrid w:val="0"/>
                <w:color w:val="000000"/>
                <w:sz w:val="22"/>
                <w:szCs w:val="22"/>
                <w:lang w:eastAsia="fr-FR"/>
              </w:rPr>
            </w:pPr>
            <w:r w:rsidRPr="0010024B">
              <w:rPr>
                <w:b/>
                <w:snapToGrid w:val="0"/>
                <w:color w:val="000000"/>
                <w:sz w:val="22"/>
                <w:szCs w:val="22"/>
                <w:lang w:eastAsia="fr-FR"/>
              </w:rPr>
              <w:t>Meget almindelig</w:t>
            </w:r>
          </w:p>
        </w:tc>
        <w:tc>
          <w:tcPr>
            <w:tcW w:w="899"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b/>
                <w:snapToGrid w:val="0"/>
                <w:color w:val="000000"/>
                <w:sz w:val="22"/>
                <w:szCs w:val="22"/>
                <w:lang w:eastAsia="fr-FR"/>
              </w:rPr>
            </w:pPr>
            <w:r w:rsidRPr="0010024B">
              <w:rPr>
                <w:b/>
                <w:snapToGrid w:val="0"/>
                <w:color w:val="000000"/>
                <w:sz w:val="22"/>
                <w:szCs w:val="22"/>
                <w:lang w:eastAsia="fr-FR"/>
              </w:rPr>
              <w:t>Almindelig</w:t>
            </w:r>
          </w:p>
        </w:tc>
        <w:tc>
          <w:tcPr>
            <w:tcW w:w="831"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b/>
                <w:snapToGrid w:val="0"/>
                <w:color w:val="000000"/>
                <w:sz w:val="22"/>
                <w:szCs w:val="22"/>
                <w:lang w:eastAsia="fr-FR"/>
              </w:rPr>
            </w:pPr>
            <w:r w:rsidRPr="0010024B">
              <w:rPr>
                <w:b/>
                <w:snapToGrid w:val="0"/>
                <w:color w:val="000000"/>
                <w:sz w:val="22"/>
                <w:szCs w:val="22"/>
                <w:lang w:eastAsia="fr-FR"/>
              </w:rPr>
              <w:t>Ikke almindelig</w:t>
            </w:r>
          </w:p>
        </w:tc>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b/>
                <w:snapToGrid w:val="0"/>
                <w:color w:val="000000"/>
                <w:sz w:val="22"/>
                <w:szCs w:val="22"/>
                <w:lang w:eastAsia="fr-FR"/>
              </w:rPr>
            </w:pPr>
            <w:r w:rsidRPr="0010024B">
              <w:rPr>
                <w:b/>
                <w:snapToGrid w:val="0"/>
                <w:color w:val="000000"/>
                <w:sz w:val="22"/>
                <w:szCs w:val="22"/>
                <w:lang w:eastAsia="fr-FR"/>
              </w:rPr>
              <w:t>Ikke kendt</w:t>
            </w: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Infektioner og parasitære sygdomme</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99" w:type="pct"/>
            <w:tcBorders>
              <w:top w:val="single" w:sz="4" w:space="0" w:color="auto"/>
              <w:left w:val="single" w:sz="4" w:space="0" w:color="auto"/>
              <w:bottom w:val="single" w:sz="4" w:space="0" w:color="auto"/>
              <w:right w:val="single" w:sz="4" w:space="0" w:color="auto"/>
            </w:tcBorders>
          </w:tcPr>
          <w:p w:rsidR="002747FA" w:rsidRPr="003D2A71" w:rsidRDefault="002747FA" w:rsidP="003B4BCE">
            <w:pPr>
              <w:rPr>
                <w:sz w:val="22"/>
                <w:szCs w:val="22"/>
              </w:rPr>
            </w:pPr>
            <w:r w:rsidRPr="003D2A71">
              <w:rPr>
                <w:sz w:val="22"/>
                <w:szCs w:val="22"/>
              </w:rPr>
              <w:t xml:space="preserve">Bronkitis, infektion, influenza, </w:t>
            </w:r>
            <w:proofErr w:type="spellStart"/>
            <w:r w:rsidRPr="003D2A71">
              <w:rPr>
                <w:sz w:val="22"/>
                <w:szCs w:val="22"/>
              </w:rPr>
              <w:t>pharyngitis</w:t>
            </w:r>
            <w:proofErr w:type="spellEnd"/>
            <w:r w:rsidRPr="003D2A71">
              <w:rPr>
                <w:sz w:val="22"/>
                <w:szCs w:val="22"/>
              </w:rPr>
              <w:t xml:space="preserve">, </w:t>
            </w:r>
            <w:proofErr w:type="spellStart"/>
            <w:r w:rsidRPr="003D2A71">
              <w:rPr>
                <w:sz w:val="22"/>
                <w:szCs w:val="22"/>
              </w:rPr>
              <w:t>rhinitis</w:t>
            </w:r>
            <w:proofErr w:type="spellEnd"/>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ind w:left="-47" w:firstLine="12"/>
              <w:rPr>
                <w:snapToGrid w:val="0"/>
                <w:color w:val="000000"/>
                <w:sz w:val="22"/>
                <w:szCs w:val="22"/>
                <w:lang w:eastAsia="fr-FR"/>
              </w:rPr>
            </w:pP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Blod og lymfesystem</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99"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roofErr w:type="spellStart"/>
            <w:r w:rsidRPr="0010024B">
              <w:rPr>
                <w:snapToGrid w:val="0"/>
                <w:color w:val="000000"/>
                <w:sz w:val="22"/>
                <w:szCs w:val="22"/>
                <w:lang w:eastAsia="fr-FR"/>
              </w:rPr>
              <w:t>Lymfadenopati</w:t>
            </w:r>
            <w:proofErr w:type="spellEnd"/>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ind w:left="-47" w:firstLine="12"/>
              <w:rPr>
                <w:snapToGrid w:val="0"/>
                <w:color w:val="000000"/>
                <w:sz w:val="22"/>
                <w:szCs w:val="22"/>
                <w:lang w:eastAsia="fr-FR"/>
              </w:rPr>
            </w:pP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Immunsystemet</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99"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ind w:left="-47" w:firstLine="12"/>
              <w:rPr>
                <w:snapToGrid w:val="0"/>
                <w:color w:val="000000"/>
                <w:sz w:val="22"/>
                <w:szCs w:val="22"/>
                <w:lang w:eastAsia="fr-FR"/>
              </w:rPr>
            </w:pPr>
            <w:proofErr w:type="spellStart"/>
            <w:r w:rsidRPr="0010024B">
              <w:rPr>
                <w:snapToGrid w:val="0"/>
                <w:color w:val="000000"/>
                <w:sz w:val="22"/>
                <w:szCs w:val="22"/>
                <w:lang w:eastAsia="fr-FR"/>
              </w:rPr>
              <w:t>Anafylaktisk</w:t>
            </w:r>
            <w:proofErr w:type="spellEnd"/>
            <w:r w:rsidRPr="0010024B">
              <w:rPr>
                <w:snapToGrid w:val="0"/>
                <w:color w:val="000000"/>
                <w:sz w:val="22"/>
                <w:szCs w:val="22"/>
                <w:lang w:eastAsia="fr-FR"/>
              </w:rPr>
              <w:t xml:space="preserve"> </w:t>
            </w:r>
            <w:proofErr w:type="spellStart"/>
            <w:r w:rsidRPr="0010024B">
              <w:rPr>
                <w:snapToGrid w:val="0"/>
                <w:color w:val="000000"/>
                <w:sz w:val="22"/>
                <w:szCs w:val="22"/>
                <w:lang w:eastAsia="fr-FR"/>
              </w:rPr>
              <w:t>shock</w:t>
            </w:r>
            <w:proofErr w:type="spellEnd"/>
            <w:r w:rsidRPr="0010024B">
              <w:rPr>
                <w:snapToGrid w:val="0"/>
                <w:color w:val="000000"/>
                <w:sz w:val="22"/>
                <w:szCs w:val="22"/>
                <w:lang w:eastAsia="fr-FR"/>
              </w:rPr>
              <w:t xml:space="preserve">, </w:t>
            </w:r>
            <w:proofErr w:type="spellStart"/>
            <w:r w:rsidRPr="0010024B">
              <w:rPr>
                <w:snapToGrid w:val="0"/>
                <w:color w:val="000000"/>
                <w:sz w:val="22"/>
                <w:szCs w:val="22"/>
                <w:lang w:eastAsia="fr-FR"/>
              </w:rPr>
              <w:t>angioødem</w:t>
            </w:r>
            <w:proofErr w:type="spellEnd"/>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Metabolisme og ernæring</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99"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Nedsat appetit</w:t>
            </w:r>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ind w:left="-47" w:firstLine="12"/>
              <w:rPr>
                <w:snapToGrid w:val="0"/>
                <w:color w:val="000000"/>
                <w:sz w:val="22"/>
                <w:szCs w:val="22"/>
                <w:lang w:eastAsia="fr-FR"/>
              </w:rPr>
            </w:pP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Psykiske forstyrrelser</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z w:val="22"/>
                <w:szCs w:val="22"/>
              </w:rPr>
              <w:t>Insomni</w:t>
            </w:r>
          </w:p>
        </w:tc>
        <w:tc>
          <w:tcPr>
            <w:tcW w:w="899"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z w:val="22"/>
                <w:szCs w:val="22"/>
              </w:rPr>
              <w:t>Agitation, angst, depression, fjendtlighed, nervøsitet, paranoia, unormal tankevirksomhed</w:t>
            </w:r>
          </w:p>
        </w:tc>
        <w:tc>
          <w:tcPr>
            <w:tcW w:w="831"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color w:val="000000"/>
                <w:sz w:val="22"/>
                <w:szCs w:val="22"/>
              </w:rPr>
              <w:t>Hallucinationer</w:t>
            </w: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Lægemiddel-afhængighed</w:t>
            </w:r>
          </w:p>
        </w:tc>
      </w:tr>
      <w:tr w:rsidR="002747FA" w:rsidRPr="0010024B" w:rsidTr="00193CB4">
        <w:trPr>
          <w:cantSplit/>
          <w:trHeight w:val="323"/>
        </w:trPr>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Nervesystemet</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 xml:space="preserve">Hovedpine </w:t>
            </w:r>
          </w:p>
        </w:tc>
        <w:tc>
          <w:tcPr>
            <w:tcW w:w="899"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 xml:space="preserve">Svimmelhed, </w:t>
            </w:r>
            <w:proofErr w:type="spellStart"/>
            <w:r w:rsidRPr="0010024B">
              <w:rPr>
                <w:snapToGrid w:val="0"/>
                <w:color w:val="000000"/>
                <w:sz w:val="22"/>
                <w:szCs w:val="22"/>
                <w:lang w:eastAsia="fr-FR"/>
              </w:rPr>
              <w:t>hypertoni</w:t>
            </w:r>
            <w:proofErr w:type="spellEnd"/>
            <w:r w:rsidRPr="0010024B">
              <w:rPr>
                <w:snapToGrid w:val="0"/>
                <w:color w:val="000000"/>
                <w:sz w:val="22"/>
                <w:szCs w:val="22"/>
                <w:lang w:eastAsia="fr-FR"/>
              </w:rPr>
              <w:t xml:space="preserve">, migræne, </w:t>
            </w:r>
            <w:proofErr w:type="spellStart"/>
            <w:r w:rsidRPr="0010024B">
              <w:rPr>
                <w:snapToGrid w:val="0"/>
                <w:color w:val="000000"/>
                <w:sz w:val="22"/>
                <w:szCs w:val="22"/>
                <w:lang w:eastAsia="fr-FR"/>
              </w:rPr>
              <w:t>paræstesi</w:t>
            </w:r>
            <w:proofErr w:type="spellEnd"/>
            <w:r w:rsidRPr="0010024B">
              <w:rPr>
                <w:snapToGrid w:val="0"/>
                <w:color w:val="000000"/>
                <w:sz w:val="22"/>
                <w:szCs w:val="22"/>
                <w:lang w:eastAsia="fr-FR"/>
              </w:rPr>
              <w:t xml:space="preserve">, døsighed, synkope, </w:t>
            </w:r>
            <w:proofErr w:type="spellStart"/>
            <w:r w:rsidRPr="0010024B">
              <w:rPr>
                <w:snapToGrid w:val="0"/>
                <w:color w:val="000000"/>
                <w:sz w:val="22"/>
                <w:szCs w:val="22"/>
                <w:lang w:eastAsia="fr-FR"/>
              </w:rPr>
              <w:t>tremor</w:t>
            </w:r>
            <w:proofErr w:type="spellEnd"/>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roofErr w:type="spellStart"/>
            <w:r w:rsidRPr="0010024B">
              <w:rPr>
                <w:snapToGrid w:val="0"/>
                <w:color w:val="000000"/>
                <w:sz w:val="22"/>
                <w:szCs w:val="22"/>
                <w:lang w:eastAsia="fr-FR"/>
              </w:rPr>
              <w:t>Vertigo</w:t>
            </w:r>
            <w:proofErr w:type="spellEnd"/>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Øjne</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99"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 xml:space="preserve">Tåresekretions-forstyrrelser, </w:t>
            </w:r>
            <w:proofErr w:type="spellStart"/>
            <w:r w:rsidRPr="0010024B">
              <w:rPr>
                <w:snapToGrid w:val="0"/>
                <w:color w:val="000000"/>
                <w:sz w:val="22"/>
                <w:szCs w:val="22"/>
                <w:lang w:eastAsia="fr-FR"/>
              </w:rPr>
              <w:t>mydriasis</w:t>
            </w:r>
            <w:proofErr w:type="spellEnd"/>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3D2A71">
              <w:rPr>
                <w:color w:val="000000"/>
                <w:sz w:val="22"/>
                <w:szCs w:val="22"/>
              </w:rPr>
              <w:t>Hjerte</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99"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proofErr w:type="spellStart"/>
            <w:r w:rsidRPr="0010024B">
              <w:rPr>
                <w:snapToGrid w:val="0"/>
                <w:color w:val="000000"/>
                <w:sz w:val="22"/>
                <w:szCs w:val="22"/>
                <w:lang w:eastAsia="fr-FR"/>
              </w:rPr>
              <w:t>Palpitationer</w:t>
            </w:r>
            <w:proofErr w:type="spellEnd"/>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proofErr w:type="spellStart"/>
            <w:r w:rsidRPr="003D2A71">
              <w:rPr>
                <w:color w:val="000000"/>
                <w:sz w:val="22"/>
                <w:szCs w:val="22"/>
              </w:rPr>
              <w:t>Vaskulære</w:t>
            </w:r>
            <w:proofErr w:type="spellEnd"/>
            <w:r w:rsidRPr="003D2A71">
              <w:rPr>
                <w:color w:val="000000"/>
                <w:sz w:val="22"/>
                <w:szCs w:val="22"/>
              </w:rPr>
              <w:t xml:space="preserve"> sygdomme</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99"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 xml:space="preserve">Vasodilatation, </w:t>
            </w:r>
            <w:proofErr w:type="spellStart"/>
            <w:r w:rsidRPr="0010024B">
              <w:rPr>
                <w:snapToGrid w:val="0"/>
                <w:color w:val="000000"/>
                <w:sz w:val="22"/>
                <w:szCs w:val="22"/>
                <w:lang w:eastAsia="fr-FR"/>
              </w:rPr>
              <w:t>ortostatisk</w:t>
            </w:r>
            <w:proofErr w:type="spellEnd"/>
            <w:r w:rsidRPr="0010024B">
              <w:rPr>
                <w:snapToGrid w:val="0"/>
                <w:color w:val="000000"/>
                <w:sz w:val="22"/>
                <w:szCs w:val="22"/>
                <w:lang w:eastAsia="fr-FR"/>
              </w:rPr>
              <w:t xml:space="preserve"> hypotension</w:t>
            </w:r>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 xml:space="preserve">Luftveje, thorax og </w:t>
            </w:r>
            <w:proofErr w:type="spellStart"/>
            <w:r w:rsidRPr="0010024B">
              <w:rPr>
                <w:snapToGrid w:val="0"/>
                <w:color w:val="000000"/>
                <w:sz w:val="22"/>
                <w:szCs w:val="22"/>
                <w:lang w:eastAsia="fr-FR"/>
              </w:rPr>
              <w:t>mediastinum</w:t>
            </w:r>
            <w:proofErr w:type="spellEnd"/>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ind w:left="89" w:hanging="89"/>
              <w:rPr>
                <w:snapToGrid w:val="0"/>
                <w:color w:val="000000"/>
                <w:sz w:val="22"/>
                <w:szCs w:val="22"/>
                <w:lang w:eastAsia="fr-FR"/>
              </w:rPr>
            </w:pPr>
          </w:p>
        </w:tc>
        <w:tc>
          <w:tcPr>
            <w:tcW w:w="899"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 xml:space="preserve">Hoste, dyspnø, </w:t>
            </w:r>
            <w:proofErr w:type="spellStart"/>
            <w:r w:rsidRPr="0010024B">
              <w:rPr>
                <w:snapToGrid w:val="0"/>
                <w:color w:val="000000"/>
                <w:sz w:val="22"/>
                <w:szCs w:val="22"/>
                <w:lang w:eastAsia="fr-FR"/>
              </w:rPr>
              <w:t>gaben</w:t>
            </w:r>
            <w:proofErr w:type="spellEnd"/>
          </w:p>
        </w:tc>
        <w:tc>
          <w:tcPr>
            <w:tcW w:w="831"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Respirations-depression</w:t>
            </w:r>
          </w:p>
        </w:tc>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proofErr w:type="spellStart"/>
            <w:r w:rsidRPr="0010024B">
              <w:rPr>
                <w:snapToGrid w:val="0"/>
                <w:color w:val="000000"/>
                <w:sz w:val="22"/>
                <w:szCs w:val="22"/>
                <w:lang w:eastAsia="fr-FR"/>
              </w:rPr>
              <w:t>Bronkospasmer</w:t>
            </w:r>
            <w:proofErr w:type="spellEnd"/>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3D2A71">
              <w:rPr>
                <w:color w:val="000000"/>
                <w:sz w:val="22"/>
                <w:szCs w:val="22"/>
              </w:rPr>
              <w:t>Mave-tarm-kanalen</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 xml:space="preserve">Kvalme </w:t>
            </w:r>
          </w:p>
        </w:tc>
        <w:tc>
          <w:tcPr>
            <w:tcW w:w="899"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 xml:space="preserve">Mavesmerter, obstipation, diarré, mundtørhed, dyspepsi, </w:t>
            </w:r>
            <w:proofErr w:type="spellStart"/>
            <w:r w:rsidRPr="0010024B">
              <w:rPr>
                <w:snapToGrid w:val="0"/>
                <w:color w:val="000000"/>
                <w:sz w:val="22"/>
                <w:szCs w:val="22"/>
                <w:lang w:eastAsia="fr-FR"/>
              </w:rPr>
              <w:t>gastrointestinale</w:t>
            </w:r>
            <w:proofErr w:type="spellEnd"/>
            <w:r w:rsidRPr="0010024B">
              <w:rPr>
                <w:snapToGrid w:val="0"/>
                <w:color w:val="000000"/>
                <w:sz w:val="22"/>
                <w:szCs w:val="22"/>
                <w:lang w:eastAsia="fr-FR"/>
              </w:rPr>
              <w:t xml:space="preserve"> forstyrrelser, </w:t>
            </w:r>
            <w:proofErr w:type="spellStart"/>
            <w:r w:rsidRPr="0010024B">
              <w:rPr>
                <w:snapToGrid w:val="0"/>
                <w:color w:val="000000"/>
                <w:sz w:val="22"/>
                <w:szCs w:val="22"/>
                <w:lang w:eastAsia="fr-FR"/>
              </w:rPr>
              <w:t>flatulens</w:t>
            </w:r>
            <w:proofErr w:type="spellEnd"/>
            <w:r w:rsidRPr="0010024B">
              <w:rPr>
                <w:snapToGrid w:val="0"/>
                <w:color w:val="000000"/>
                <w:sz w:val="22"/>
                <w:szCs w:val="22"/>
                <w:lang w:eastAsia="fr-FR"/>
              </w:rPr>
              <w:t>, tandsygdom, opkastning</w:t>
            </w:r>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0206E9" w:rsidP="003B4BCE">
            <w:pPr>
              <w:rPr>
                <w:snapToGrid w:val="0"/>
                <w:color w:val="000000"/>
                <w:sz w:val="22"/>
                <w:szCs w:val="22"/>
                <w:lang w:eastAsia="fr-FR"/>
              </w:rPr>
            </w:pPr>
            <w:r>
              <w:rPr>
                <w:snapToGrid w:val="0"/>
                <w:color w:val="000000"/>
                <w:sz w:val="22"/>
                <w:szCs w:val="22"/>
                <w:lang w:eastAsia="fr-FR"/>
              </w:rPr>
              <w:t>Tandkaries</w:t>
            </w: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hideMark/>
          </w:tcPr>
          <w:p w:rsidR="002747FA" w:rsidRPr="003D2A71" w:rsidRDefault="002747FA" w:rsidP="003B4BCE">
            <w:pPr>
              <w:rPr>
                <w:color w:val="000000"/>
                <w:sz w:val="22"/>
                <w:szCs w:val="22"/>
              </w:rPr>
            </w:pPr>
            <w:r w:rsidRPr="003D2A71">
              <w:rPr>
                <w:color w:val="000000"/>
                <w:sz w:val="22"/>
                <w:szCs w:val="22"/>
              </w:rPr>
              <w:t>Lever og galdeveje</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99"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31"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Levernekrose, hepatitis</w:t>
            </w: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3D2A71">
              <w:rPr>
                <w:color w:val="000000"/>
                <w:sz w:val="22"/>
                <w:szCs w:val="22"/>
              </w:rPr>
              <w:t>Hud og subkutane væv</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roofErr w:type="spellStart"/>
            <w:r w:rsidRPr="0010024B">
              <w:rPr>
                <w:snapToGrid w:val="0"/>
                <w:color w:val="000000"/>
                <w:sz w:val="22"/>
                <w:szCs w:val="22"/>
                <w:lang w:eastAsia="fr-FR"/>
              </w:rPr>
              <w:t>Hyperhidrose</w:t>
            </w:r>
            <w:proofErr w:type="spellEnd"/>
          </w:p>
        </w:tc>
        <w:tc>
          <w:tcPr>
            <w:tcW w:w="899"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color w:val="000000"/>
                <w:sz w:val="22"/>
                <w:szCs w:val="22"/>
              </w:rPr>
              <w:t>Udslæt</w:t>
            </w:r>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Knogler, led, muskler og bindevæv</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color w:val="000000"/>
                <w:sz w:val="22"/>
                <w:szCs w:val="22"/>
              </w:rPr>
            </w:pPr>
            <w:proofErr w:type="spellStart"/>
            <w:r w:rsidRPr="0010024B">
              <w:rPr>
                <w:color w:val="000000"/>
                <w:sz w:val="22"/>
                <w:szCs w:val="22"/>
              </w:rPr>
              <w:t>Artralgi</w:t>
            </w:r>
            <w:proofErr w:type="spellEnd"/>
            <w:r w:rsidRPr="0010024B">
              <w:rPr>
                <w:color w:val="000000"/>
                <w:sz w:val="22"/>
                <w:szCs w:val="22"/>
              </w:rPr>
              <w:t>, rygsmerter, knoglesmerter, muskelspasmer, myalgi, nakkesmerter</w:t>
            </w:r>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Det reproduktive system og mammae</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color w:val="000000"/>
                <w:sz w:val="22"/>
                <w:szCs w:val="22"/>
              </w:rPr>
            </w:pPr>
            <w:proofErr w:type="spellStart"/>
            <w:r w:rsidRPr="0010024B">
              <w:rPr>
                <w:color w:val="000000"/>
                <w:sz w:val="22"/>
                <w:szCs w:val="22"/>
              </w:rPr>
              <w:t>Dysmenoré</w:t>
            </w:r>
            <w:proofErr w:type="spellEnd"/>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Nyrer og urinveje</w:t>
            </w:r>
          </w:p>
        </w:tc>
        <w:tc>
          <w:tcPr>
            <w:tcW w:w="1537" w:type="pct"/>
            <w:tcBorders>
              <w:top w:val="single" w:sz="4" w:space="0" w:color="auto"/>
              <w:left w:val="single" w:sz="4" w:space="0" w:color="auto"/>
              <w:bottom w:val="single" w:sz="4" w:space="0" w:color="auto"/>
              <w:right w:val="single" w:sz="4" w:space="0" w:color="auto"/>
            </w:tcBorders>
          </w:tcPr>
          <w:p w:rsidR="002747FA" w:rsidRPr="0010024B" w:rsidDel="007445D0" w:rsidRDefault="002747FA" w:rsidP="003B4BCE">
            <w:pPr>
              <w:rPr>
                <w:sz w:val="22"/>
                <w:szCs w:val="22"/>
              </w:rPr>
            </w:pPr>
          </w:p>
        </w:tc>
        <w:tc>
          <w:tcPr>
            <w:tcW w:w="899"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color w:val="000000"/>
                <w:sz w:val="22"/>
                <w:szCs w:val="22"/>
              </w:rPr>
            </w:pPr>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Urinretention</w:t>
            </w:r>
          </w:p>
        </w:tc>
      </w:tr>
      <w:tr w:rsidR="002747FA" w:rsidRPr="0010024B" w:rsidTr="00193CB4">
        <w:trPr>
          <w:cantSplit/>
        </w:trPr>
        <w:tc>
          <w:tcPr>
            <w:tcW w:w="866"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Almene symptomer og reaktioner på administrations-stedet</w:t>
            </w:r>
          </w:p>
        </w:tc>
        <w:tc>
          <w:tcPr>
            <w:tcW w:w="1537"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z w:val="22"/>
                <w:szCs w:val="22"/>
              </w:rPr>
              <w:t>Lægemiddelabstinenssyndrom, smerter</w:t>
            </w:r>
          </w:p>
        </w:tc>
        <w:tc>
          <w:tcPr>
            <w:tcW w:w="899" w:type="pct"/>
            <w:tcBorders>
              <w:top w:val="single" w:sz="4" w:space="0" w:color="auto"/>
              <w:left w:val="single" w:sz="4" w:space="0" w:color="auto"/>
              <w:bottom w:val="single" w:sz="4" w:space="0" w:color="auto"/>
              <w:right w:val="single" w:sz="4" w:space="0" w:color="auto"/>
            </w:tcBorders>
            <w:hideMark/>
          </w:tcPr>
          <w:p w:rsidR="002747FA" w:rsidRPr="0010024B" w:rsidRDefault="002747FA" w:rsidP="003B4BCE">
            <w:pPr>
              <w:rPr>
                <w:snapToGrid w:val="0"/>
                <w:color w:val="000000"/>
                <w:sz w:val="22"/>
                <w:szCs w:val="22"/>
                <w:lang w:eastAsia="fr-FR"/>
              </w:rPr>
            </w:pPr>
            <w:r w:rsidRPr="0010024B">
              <w:rPr>
                <w:color w:val="000000"/>
                <w:sz w:val="22"/>
                <w:szCs w:val="22"/>
              </w:rPr>
              <w:t xml:space="preserve">Asteni, brystsmerter, kulderystelser, utilpashed, perifere ødemer, </w:t>
            </w:r>
            <w:proofErr w:type="spellStart"/>
            <w:r w:rsidRPr="0010024B">
              <w:rPr>
                <w:color w:val="000000"/>
                <w:sz w:val="22"/>
                <w:szCs w:val="22"/>
              </w:rPr>
              <w:t>pyreksi</w:t>
            </w:r>
            <w:proofErr w:type="spellEnd"/>
          </w:p>
        </w:tc>
        <w:tc>
          <w:tcPr>
            <w:tcW w:w="831"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p>
        </w:tc>
        <w:tc>
          <w:tcPr>
            <w:tcW w:w="866" w:type="pct"/>
            <w:tcBorders>
              <w:top w:val="single" w:sz="4" w:space="0" w:color="auto"/>
              <w:left w:val="single" w:sz="4" w:space="0" w:color="auto"/>
              <w:bottom w:val="single" w:sz="4" w:space="0" w:color="auto"/>
              <w:right w:val="single" w:sz="4" w:space="0" w:color="auto"/>
            </w:tcBorders>
          </w:tcPr>
          <w:p w:rsidR="002747FA" w:rsidRPr="0010024B" w:rsidRDefault="002747FA" w:rsidP="003B4BCE">
            <w:pPr>
              <w:rPr>
                <w:snapToGrid w:val="0"/>
                <w:color w:val="000000"/>
                <w:sz w:val="22"/>
                <w:szCs w:val="22"/>
                <w:lang w:eastAsia="fr-FR"/>
              </w:rPr>
            </w:pPr>
            <w:r w:rsidRPr="0010024B">
              <w:rPr>
                <w:snapToGrid w:val="0"/>
                <w:color w:val="000000"/>
                <w:sz w:val="22"/>
                <w:szCs w:val="22"/>
                <w:lang w:eastAsia="fr-FR"/>
              </w:rPr>
              <w:t>Neonatalt abstinenssyn</w:t>
            </w:r>
            <w:r>
              <w:rPr>
                <w:snapToGrid w:val="0"/>
                <w:color w:val="000000"/>
                <w:sz w:val="22"/>
                <w:szCs w:val="22"/>
                <w:lang w:eastAsia="fr-FR"/>
              </w:rPr>
              <w:softHyphen/>
            </w:r>
            <w:r w:rsidRPr="0010024B">
              <w:rPr>
                <w:snapToGrid w:val="0"/>
                <w:color w:val="000000"/>
                <w:sz w:val="22"/>
                <w:szCs w:val="22"/>
                <w:lang w:eastAsia="fr-FR"/>
              </w:rPr>
              <w:t>drom</w:t>
            </w:r>
          </w:p>
        </w:tc>
      </w:tr>
    </w:tbl>
    <w:p w:rsidR="002747FA" w:rsidRPr="0010024B" w:rsidRDefault="002747FA" w:rsidP="002747FA">
      <w:pPr>
        <w:pStyle w:val="Fodnotetekst"/>
        <w:ind w:left="851" w:hanging="851"/>
        <w:rPr>
          <w:rFonts w:ascii="Times New Roman" w:hAnsi="Times New Roman"/>
          <w:snapToGrid w:val="0"/>
          <w:sz w:val="24"/>
          <w:szCs w:val="24"/>
          <w:lang w:val="da-DK" w:eastAsia="fr-FR"/>
        </w:rPr>
      </w:pPr>
    </w:p>
    <w:p w:rsidR="002747FA" w:rsidRPr="003D2A71" w:rsidRDefault="002747FA" w:rsidP="002747FA">
      <w:pPr>
        <w:pStyle w:val="Fodnotetekst"/>
        <w:tabs>
          <w:tab w:val="left" w:pos="851"/>
        </w:tabs>
        <w:ind w:left="851"/>
        <w:rPr>
          <w:rFonts w:ascii="Times New Roman" w:hAnsi="Times New Roman"/>
          <w:color w:val="auto"/>
          <w:sz w:val="24"/>
          <w:szCs w:val="24"/>
          <w:u w:val="single"/>
          <w:lang w:val="da-DK"/>
        </w:rPr>
      </w:pPr>
      <w:r w:rsidRPr="003D2A71">
        <w:rPr>
          <w:rFonts w:ascii="Times New Roman" w:hAnsi="Times New Roman"/>
          <w:color w:val="auto"/>
          <w:sz w:val="24"/>
          <w:szCs w:val="24"/>
          <w:u w:val="single"/>
          <w:lang w:val="da-DK"/>
        </w:rPr>
        <w:t>Beskrivelse af udvalgte bivirkninger</w:t>
      </w:r>
    </w:p>
    <w:p w:rsidR="002747FA" w:rsidRPr="003D2A71" w:rsidRDefault="002747FA" w:rsidP="002747FA">
      <w:pPr>
        <w:pStyle w:val="Fodnotetekst"/>
        <w:tabs>
          <w:tab w:val="left" w:pos="851"/>
        </w:tabs>
        <w:ind w:left="851"/>
        <w:rPr>
          <w:rFonts w:ascii="Times New Roman" w:hAnsi="Times New Roman"/>
          <w:color w:val="auto"/>
          <w:sz w:val="24"/>
          <w:szCs w:val="24"/>
          <w:lang w:val="da-DK"/>
        </w:rPr>
      </w:pPr>
      <w:r w:rsidRPr="003D2A71">
        <w:rPr>
          <w:rFonts w:ascii="Times New Roman" w:hAnsi="Times New Roman"/>
          <w:color w:val="auto"/>
          <w:sz w:val="24"/>
          <w:szCs w:val="24"/>
          <w:lang w:val="da-DK"/>
        </w:rPr>
        <w:t>Følgende er et resumé af andre indberettede bivirkninger efter markedsføringen, der betragtes som alvorlige eller på anden måde bemærkelsesværdige:</w:t>
      </w:r>
    </w:p>
    <w:p w:rsidR="002747FA" w:rsidRPr="003D2A71" w:rsidRDefault="002747FA" w:rsidP="00716BB1">
      <w:pPr>
        <w:pStyle w:val="Fodnotetekst"/>
        <w:numPr>
          <w:ilvl w:val="0"/>
          <w:numId w:val="8"/>
        </w:numPr>
        <w:tabs>
          <w:tab w:val="left" w:pos="0"/>
        </w:tabs>
        <w:ind w:left="1134" w:hanging="283"/>
        <w:rPr>
          <w:rFonts w:ascii="Times New Roman" w:hAnsi="Times New Roman"/>
          <w:color w:val="auto"/>
          <w:sz w:val="24"/>
          <w:szCs w:val="24"/>
          <w:lang w:val="da-DK"/>
        </w:rPr>
      </w:pPr>
      <w:r w:rsidRPr="003D2A71">
        <w:rPr>
          <w:rFonts w:ascii="Times New Roman" w:hAnsi="Times New Roman"/>
          <w:color w:val="auto"/>
          <w:sz w:val="24"/>
          <w:szCs w:val="24"/>
          <w:lang w:val="da-DK"/>
        </w:rPr>
        <w:t xml:space="preserve">Der er i tilfælde af intravenøs misbrug indberettet lokale reaktioner, som nogle gange er septiske (absces, cellulitis, og potentielt alvorlig akut hepatitis samt andre infektioner såsom pneumoni, </w:t>
      </w:r>
      <w:proofErr w:type="spellStart"/>
      <w:r w:rsidRPr="003D2A71">
        <w:rPr>
          <w:rFonts w:ascii="Times New Roman" w:hAnsi="Times New Roman"/>
          <w:color w:val="auto"/>
          <w:sz w:val="24"/>
          <w:szCs w:val="24"/>
          <w:lang w:val="da-DK"/>
        </w:rPr>
        <w:t>endokarditis</w:t>
      </w:r>
      <w:proofErr w:type="spellEnd"/>
      <w:r w:rsidRPr="003D2A71">
        <w:rPr>
          <w:rFonts w:ascii="Times New Roman" w:hAnsi="Times New Roman"/>
          <w:color w:val="auto"/>
          <w:sz w:val="24"/>
          <w:szCs w:val="24"/>
          <w:lang w:val="da-DK"/>
        </w:rPr>
        <w:t xml:space="preserve"> (se pkt. 4.4).</w:t>
      </w:r>
    </w:p>
    <w:p w:rsidR="002747FA" w:rsidRPr="003D2A71" w:rsidRDefault="002747FA" w:rsidP="00716BB1">
      <w:pPr>
        <w:pStyle w:val="Fodnotetekst"/>
        <w:numPr>
          <w:ilvl w:val="0"/>
          <w:numId w:val="8"/>
        </w:numPr>
        <w:tabs>
          <w:tab w:val="left" w:pos="851"/>
        </w:tabs>
        <w:ind w:left="1134" w:hanging="283"/>
        <w:rPr>
          <w:rFonts w:ascii="Times New Roman" w:hAnsi="Times New Roman"/>
          <w:color w:val="auto"/>
          <w:sz w:val="24"/>
          <w:szCs w:val="24"/>
          <w:lang w:val="da-DK"/>
        </w:rPr>
      </w:pPr>
      <w:r w:rsidRPr="003D2A71">
        <w:rPr>
          <w:rFonts w:ascii="Times New Roman" w:hAnsi="Times New Roman"/>
          <w:color w:val="auto"/>
          <w:sz w:val="24"/>
          <w:szCs w:val="24"/>
          <w:lang w:val="da-DK"/>
        </w:rPr>
        <w:t xml:space="preserve">Hos patienter med symptomer på udtalt lægemiddelafhængighed kan initial administration af </w:t>
      </w:r>
      <w:proofErr w:type="spellStart"/>
      <w:r w:rsidRPr="003D2A71">
        <w:rPr>
          <w:rFonts w:ascii="Times New Roman" w:hAnsi="Times New Roman"/>
          <w:color w:val="auto"/>
          <w:sz w:val="24"/>
          <w:szCs w:val="24"/>
          <w:lang w:val="da-DK"/>
        </w:rPr>
        <w:t>buprenorphin</w:t>
      </w:r>
      <w:proofErr w:type="spellEnd"/>
      <w:r w:rsidRPr="003D2A71">
        <w:rPr>
          <w:rFonts w:ascii="Times New Roman" w:hAnsi="Times New Roman"/>
          <w:color w:val="auto"/>
          <w:sz w:val="24"/>
          <w:szCs w:val="24"/>
          <w:lang w:val="da-DK"/>
        </w:rPr>
        <w:t xml:space="preserve"> fremkalde abstinenssymptomer svarende til dem, der associeres med </w:t>
      </w:r>
      <w:proofErr w:type="spellStart"/>
      <w:r w:rsidRPr="003D2A71">
        <w:rPr>
          <w:rFonts w:ascii="Times New Roman" w:hAnsi="Times New Roman"/>
          <w:color w:val="auto"/>
          <w:sz w:val="24"/>
          <w:szCs w:val="24"/>
          <w:lang w:val="da-DK"/>
        </w:rPr>
        <w:t>naloxon</w:t>
      </w:r>
      <w:proofErr w:type="spellEnd"/>
      <w:r w:rsidRPr="003D2A71">
        <w:rPr>
          <w:rFonts w:ascii="Times New Roman" w:hAnsi="Times New Roman"/>
          <w:color w:val="auto"/>
          <w:sz w:val="24"/>
          <w:szCs w:val="24"/>
          <w:lang w:val="da-DK"/>
        </w:rPr>
        <w:t xml:space="preserve">. </w:t>
      </w:r>
    </w:p>
    <w:p w:rsidR="002747FA" w:rsidRPr="003D2A71" w:rsidRDefault="002747FA" w:rsidP="00716BB1">
      <w:pPr>
        <w:pStyle w:val="Fodnotetekst"/>
        <w:numPr>
          <w:ilvl w:val="0"/>
          <w:numId w:val="8"/>
        </w:numPr>
        <w:tabs>
          <w:tab w:val="left" w:pos="851"/>
        </w:tabs>
        <w:ind w:left="1134" w:hanging="283"/>
        <w:rPr>
          <w:rFonts w:ascii="Times New Roman" w:hAnsi="Times New Roman"/>
          <w:color w:val="auto"/>
          <w:sz w:val="24"/>
          <w:szCs w:val="24"/>
          <w:lang w:val="da-DK"/>
        </w:rPr>
      </w:pPr>
      <w:r w:rsidRPr="003D2A71">
        <w:rPr>
          <w:rFonts w:ascii="Times New Roman" w:hAnsi="Times New Roman"/>
          <w:color w:val="auto"/>
          <w:sz w:val="24"/>
          <w:szCs w:val="24"/>
          <w:lang w:val="da-DK"/>
        </w:rPr>
        <w:t xml:space="preserve">De mest almindelige tegn og symptomer på overfølsomhed omfatter udslæt, nældefeber og kløe. Tilfælde med </w:t>
      </w:r>
      <w:proofErr w:type="spellStart"/>
      <w:r w:rsidRPr="003D2A71">
        <w:rPr>
          <w:rFonts w:ascii="Times New Roman" w:hAnsi="Times New Roman"/>
          <w:color w:val="auto"/>
          <w:sz w:val="24"/>
          <w:szCs w:val="24"/>
          <w:lang w:val="da-DK"/>
        </w:rPr>
        <w:t>bronkospasme</w:t>
      </w:r>
      <w:proofErr w:type="spellEnd"/>
      <w:r w:rsidRPr="003D2A71">
        <w:rPr>
          <w:rFonts w:ascii="Times New Roman" w:hAnsi="Times New Roman"/>
          <w:color w:val="auto"/>
          <w:sz w:val="24"/>
          <w:szCs w:val="24"/>
          <w:lang w:val="da-DK"/>
        </w:rPr>
        <w:t xml:space="preserve">, </w:t>
      </w:r>
      <w:proofErr w:type="spellStart"/>
      <w:r w:rsidRPr="003D2A71">
        <w:rPr>
          <w:rFonts w:ascii="Times New Roman" w:hAnsi="Times New Roman"/>
          <w:color w:val="auto"/>
          <w:sz w:val="24"/>
          <w:szCs w:val="24"/>
          <w:lang w:val="da-DK"/>
        </w:rPr>
        <w:t>angioødem</w:t>
      </w:r>
      <w:proofErr w:type="spellEnd"/>
      <w:r w:rsidRPr="003D2A71">
        <w:rPr>
          <w:rFonts w:ascii="Times New Roman" w:hAnsi="Times New Roman"/>
          <w:color w:val="auto"/>
          <w:sz w:val="24"/>
          <w:szCs w:val="24"/>
          <w:lang w:val="da-DK"/>
        </w:rPr>
        <w:t xml:space="preserve"> og </w:t>
      </w:r>
      <w:proofErr w:type="spellStart"/>
      <w:r w:rsidRPr="003D2A71">
        <w:rPr>
          <w:rFonts w:ascii="Times New Roman" w:hAnsi="Times New Roman"/>
          <w:color w:val="auto"/>
          <w:sz w:val="24"/>
          <w:szCs w:val="24"/>
          <w:lang w:val="da-DK"/>
        </w:rPr>
        <w:t>anafylaktisk</w:t>
      </w:r>
      <w:proofErr w:type="spellEnd"/>
      <w:r w:rsidRPr="003D2A71">
        <w:rPr>
          <w:rFonts w:ascii="Times New Roman" w:hAnsi="Times New Roman"/>
          <w:color w:val="auto"/>
          <w:sz w:val="24"/>
          <w:szCs w:val="24"/>
          <w:lang w:val="da-DK"/>
        </w:rPr>
        <w:t xml:space="preserve"> </w:t>
      </w:r>
      <w:proofErr w:type="spellStart"/>
      <w:r w:rsidRPr="003D2A71">
        <w:rPr>
          <w:rFonts w:ascii="Times New Roman" w:hAnsi="Times New Roman"/>
          <w:color w:val="auto"/>
          <w:sz w:val="24"/>
          <w:szCs w:val="24"/>
          <w:lang w:val="da-DK"/>
        </w:rPr>
        <w:t>shock</w:t>
      </w:r>
      <w:proofErr w:type="spellEnd"/>
      <w:r w:rsidRPr="003D2A71">
        <w:rPr>
          <w:rFonts w:ascii="Times New Roman" w:hAnsi="Times New Roman"/>
          <w:color w:val="auto"/>
          <w:sz w:val="24"/>
          <w:szCs w:val="24"/>
          <w:lang w:val="da-DK"/>
        </w:rPr>
        <w:t xml:space="preserve"> er indberettet (se pkt. 4.3). </w:t>
      </w:r>
    </w:p>
    <w:p w:rsidR="002747FA" w:rsidRPr="003D2A71" w:rsidRDefault="002747FA" w:rsidP="00716BB1">
      <w:pPr>
        <w:pStyle w:val="Fodnotetekst"/>
        <w:numPr>
          <w:ilvl w:val="0"/>
          <w:numId w:val="8"/>
        </w:numPr>
        <w:tabs>
          <w:tab w:val="left" w:pos="851"/>
        </w:tabs>
        <w:ind w:left="1134" w:hanging="283"/>
        <w:rPr>
          <w:rFonts w:ascii="Times New Roman" w:hAnsi="Times New Roman"/>
          <w:color w:val="auto"/>
          <w:sz w:val="24"/>
          <w:szCs w:val="24"/>
          <w:lang w:val="da-DK"/>
        </w:rPr>
      </w:pPr>
      <w:r w:rsidRPr="003D2A71">
        <w:rPr>
          <w:rFonts w:ascii="Times New Roman" w:hAnsi="Times New Roman"/>
          <w:color w:val="auto"/>
          <w:sz w:val="24"/>
          <w:szCs w:val="24"/>
          <w:lang w:val="da-DK"/>
        </w:rPr>
        <w:t xml:space="preserve">Stigning i </w:t>
      </w:r>
      <w:proofErr w:type="spellStart"/>
      <w:r w:rsidRPr="003D2A71">
        <w:rPr>
          <w:rFonts w:ascii="Times New Roman" w:hAnsi="Times New Roman"/>
          <w:color w:val="auto"/>
          <w:sz w:val="24"/>
          <w:szCs w:val="24"/>
          <w:lang w:val="da-DK"/>
        </w:rPr>
        <w:t>transaminaser</w:t>
      </w:r>
      <w:proofErr w:type="spellEnd"/>
      <w:r w:rsidRPr="003D2A71">
        <w:rPr>
          <w:rFonts w:ascii="Times New Roman" w:hAnsi="Times New Roman"/>
          <w:color w:val="auto"/>
          <w:sz w:val="24"/>
          <w:szCs w:val="24"/>
          <w:lang w:val="da-DK"/>
        </w:rPr>
        <w:t xml:space="preserve">, akut hepatitis, </w:t>
      </w:r>
      <w:proofErr w:type="spellStart"/>
      <w:r w:rsidRPr="003D2A71">
        <w:rPr>
          <w:rFonts w:ascii="Times New Roman" w:hAnsi="Times New Roman"/>
          <w:color w:val="auto"/>
          <w:sz w:val="24"/>
          <w:szCs w:val="24"/>
          <w:lang w:val="da-DK"/>
        </w:rPr>
        <w:t>cytolytisk</w:t>
      </w:r>
      <w:proofErr w:type="spellEnd"/>
      <w:r w:rsidRPr="003D2A71">
        <w:rPr>
          <w:rFonts w:ascii="Times New Roman" w:hAnsi="Times New Roman"/>
          <w:color w:val="auto"/>
          <w:sz w:val="24"/>
          <w:szCs w:val="24"/>
          <w:lang w:val="da-DK"/>
        </w:rPr>
        <w:t xml:space="preserve"> hepatitis, gulsot, </w:t>
      </w:r>
      <w:proofErr w:type="spellStart"/>
      <w:r w:rsidRPr="003D2A71">
        <w:rPr>
          <w:rFonts w:ascii="Times New Roman" w:hAnsi="Times New Roman"/>
          <w:color w:val="auto"/>
          <w:sz w:val="24"/>
          <w:szCs w:val="24"/>
          <w:lang w:val="da-DK"/>
        </w:rPr>
        <w:t>hepatorenalt</w:t>
      </w:r>
      <w:proofErr w:type="spellEnd"/>
      <w:r w:rsidRPr="003D2A71">
        <w:rPr>
          <w:rFonts w:ascii="Times New Roman" w:hAnsi="Times New Roman"/>
          <w:color w:val="auto"/>
          <w:sz w:val="24"/>
          <w:szCs w:val="24"/>
          <w:lang w:val="da-DK"/>
        </w:rPr>
        <w:t xml:space="preserve"> syndrom og </w:t>
      </w:r>
      <w:proofErr w:type="spellStart"/>
      <w:r w:rsidRPr="003D2A71">
        <w:rPr>
          <w:rFonts w:ascii="Times New Roman" w:hAnsi="Times New Roman"/>
          <w:color w:val="auto"/>
          <w:sz w:val="24"/>
          <w:szCs w:val="24"/>
          <w:lang w:val="da-DK"/>
        </w:rPr>
        <w:t>hepatisk</w:t>
      </w:r>
      <w:proofErr w:type="spellEnd"/>
      <w:r w:rsidRPr="003D2A71">
        <w:rPr>
          <w:rFonts w:ascii="Times New Roman" w:hAnsi="Times New Roman"/>
          <w:color w:val="auto"/>
          <w:sz w:val="24"/>
          <w:szCs w:val="24"/>
          <w:lang w:val="da-DK"/>
        </w:rPr>
        <w:t xml:space="preserve"> encefalopati er forekommet (se pkt. 4.4).</w:t>
      </w:r>
    </w:p>
    <w:p w:rsidR="002747FA" w:rsidRPr="003D2A71" w:rsidRDefault="002747FA" w:rsidP="00716BB1">
      <w:pPr>
        <w:pStyle w:val="Fodnotetekst"/>
        <w:numPr>
          <w:ilvl w:val="0"/>
          <w:numId w:val="8"/>
        </w:numPr>
        <w:tabs>
          <w:tab w:val="left" w:pos="851"/>
        </w:tabs>
        <w:ind w:left="1134" w:hanging="283"/>
        <w:rPr>
          <w:rFonts w:ascii="Times New Roman" w:hAnsi="Times New Roman"/>
          <w:color w:val="auto"/>
          <w:sz w:val="24"/>
          <w:szCs w:val="24"/>
          <w:lang w:val="da-DK"/>
        </w:rPr>
      </w:pPr>
      <w:r w:rsidRPr="003D2A71">
        <w:rPr>
          <w:rFonts w:ascii="Times New Roman" w:hAnsi="Times New Roman"/>
          <w:color w:val="auto"/>
          <w:sz w:val="24"/>
          <w:szCs w:val="24"/>
          <w:lang w:val="da-DK"/>
        </w:rPr>
        <w:t xml:space="preserve">Der er indberettet neonatalt abstinenssyndrom blandt nyfødte af kvinder, der har fået </w:t>
      </w:r>
      <w:proofErr w:type="spellStart"/>
      <w:r w:rsidRPr="003D2A71">
        <w:rPr>
          <w:rFonts w:ascii="Times New Roman" w:hAnsi="Times New Roman"/>
          <w:color w:val="auto"/>
          <w:sz w:val="24"/>
          <w:szCs w:val="24"/>
          <w:lang w:val="da-DK"/>
        </w:rPr>
        <w:t>buprenorphin</w:t>
      </w:r>
      <w:proofErr w:type="spellEnd"/>
      <w:r w:rsidRPr="003D2A71">
        <w:rPr>
          <w:rFonts w:ascii="Times New Roman" w:hAnsi="Times New Roman"/>
          <w:color w:val="auto"/>
          <w:sz w:val="24"/>
          <w:szCs w:val="24"/>
          <w:lang w:val="da-DK"/>
        </w:rPr>
        <w:t xml:space="preserve"> under graviditeten. Syndromet kan være mildere end det, der ses med en ren µ-opioidagonist og kan være forsinket. Syndromets natur kan variere afhængigt af moderens brug af lægemidlet (se pkt. 4.6).</w:t>
      </w:r>
    </w:p>
    <w:p w:rsidR="002747FA" w:rsidRDefault="002747FA" w:rsidP="002747FA">
      <w:pPr>
        <w:autoSpaceDE w:val="0"/>
        <w:autoSpaceDN w:val="0"/>
        <w:adjustRightInd w:val="0"/>
        <w:ind w:left="851"/>
        <w:rPr>
          <w:sz w:val="22"/>
          <w:szCs w:val="22"/>
          <w:u w:val="single"/>
        </w:rPr>
      </w:pPr>
    </w:p>
    <w:p w:rsidR="000206E9" w:rsidRDefault="000206E9" w:rsidP="000206E9">
      <w:pPr>
        <w:autoSpaceDE w:val="0"/>
        <w:autoSpaceDN w:val="0"/>
        <w:ind w:left="851"/>
        <w:rPr>
          <w:sz w:val="24"/>
          <w:szCs w:val="24"/>
          <w:u w:val="single"/>
        </w:rPr>
      </w:pPr>
      <w:bookmarkStart w:id="2" w:name="_Hlk173497313"/>
      <w:r>
        <w:rPr>
          <w:sz w:val="24"/>
          <w:szCs w:val="24"/>
          <w:u w:val="single"/>
        </w:rPr>
        <w:t xml:space="preserve">Afhængighed </w:t>
      </w:r>
    </w:p>
    <w:p w:rsidR="000206E9" w:rsidRDefault="000206E9" w:rsidP="000206E9">
      <w:pPr>
        <w:autoSpaceDE w:val="0"/>
        <w:autoSpaceDN w:val="0"/>
        <w:ind w:left="851"/>
        <w:rPr>
          <w:sz w:val="24"/>
          <w:szCs w:val="24"/>
        </w:rPr>
      </w:pPr>
      <w:r>
        <w:rPr>
          <w:sz w:val="24"/>
          <w:szCs w:val="24"/>
        </w:rPr>
        <w:t xml:space="preserve">Gentagen brug af </w:t>
      </w:r>
      <w:proofErr w:type="spellStart"/>
      <w:r>
        <w:rPr>
          <w:sz w:val="24"/>
          <w:szCs w:val="24"/>
        </w:rPr>
        <w:t>Buprenorphine</w:t>
      </w:r>
      <w:proofErr w:type="spellEnd"/>
      <w:r>
        <w:rPr>
          <w:sz w:val="24"/>
          <w:szCs w:val="24"/>
        </w:rPr>
        <w:t xml:space="preserve"> </w:t>
      </w:r>
      <w:r w:rsidR="00CE77F8">
        <w:rPr>
          <w:sz w:val="24"/>
          <w:szCs w:val="24"/>
        </w:rPr>
        <w:t>"</w:t>
      </w:r>
      <w:r>
        <w:rPr>
          <w:sz w:val="24"/>
          <w:szCs w:val="24"/>
        </w:rPr>
        <w:t>Sandoz</w:t>
      </w:r>
      <w:r w:rsidR="00CE77F8">
        <w:rPr>
          <w:sz w:val="24"/>
          <w:szCs w:val="24"/>
        </w:rPr>
        <w:t>"</w:t>
      </w:r>
      <w:r>
        <w:rPr>
          <w:sz w:val="24"/>
          <w:szCs w:val="24"/>
        </w:rPr>
        <w:t xml:space="preserve"> kan føre til afhængighed, selv ved terapeutiske doser. Risikoen for afhængighed kan variere afhængigt af en patients individuelle risikofaktorer, dosis og varighed af opioidbehandling (se </w:t>
      </w:r>
      <w:r w:rsidR="00CE77F8">
        <w:rPr>
          <w:sz w:val="24"/>
          <w:szCs w:val="24"/>
        </w:rPr>
        <w:t>pkt.</w:t>
      </w:r>
      <w:r>
        <w:rPr>
          <w:sz w:val="24"/>
          <w:szCs w:val="24"/>
        </w:rPr>
        <w:t xml:space="preserve"> 4.4). </w:t>
      </w:r>
      <w:bookmarkEnd w:id="2"/>
    </w:p>
    <w:p w:rsidR="000206E9" w:rsidRPr="003D2A71" w:rsidRDefault="000206E9" w:rsidP="002747FA">
      <w:pPr>
        <w:autoSpaceDE w:val="0"/>
        <w:autoSpaceDN w:val="0"/>
        <w:adjustRightInd w:val="0"/>
        <w:ind w:left="851"/>
        <w:rPr>
          <w:sz w:val="22"/>
          <w:szCs w:val="22"/>
          <w:u w:val="single"/>
        </w:rPr>
      </w:pPr>
    </w:p>
    <w:p w:rsidR="00525D4F" w:rsidRPr="003952CE" w:rsidRDefault="00525D4F" w:rsidP="00525D4F">
      <w:pPr>
        <w:autoSpaceDE w:val="0"/>
        <w:autoSpaceDN w:val="0"/>
        <w:ind w:left="851"/>
        <w:rPr>
          <w:sz w:val="24"/>
          <w:szCs w:val="24"/>
          <w:u w:val="single"/>
        </w:rPr>
      </w:pPr>
      <w:r w:rsidRPr="003952CE">
        <w:rPr>
          <w:sz w:val="24"/>
          <w:szCs w:val="24"/>
          <w:u w:val="single"/>
        </w:rPr>
        <w:t>Indberetning af formodede bivirkninger</w:t>
      </w:r>
    </w:p>
    <w:p w:rsidR="00525D4F" w:rsidRPr="003952CE" w:rsidRDefault="00525D4F" w:rsidP="00525D4F">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525D4F" w:rsidRPr="003952CE" w:rsidRDefault="00525D4F" w:rsidP="00525D4F">
      <w:pPr>
        <w:tabs>
          <w:tab w:val="left" w:pos="2440"/>
        </w:tabs>
        <w:ind w:left="851"/>
        <w:rPr>
          <w:sz w:val="24"/>
          <w:szCs w:val="24"/>
        </w:rPr>
      </w:pPr>
    </w:p>
    <w:p w:rsidR="00525D4F" w:rsidRPr="003952CE" w:rsidRDefault="00525D4F" w:rsidP="00525D4F">
      <w:pPr>
        <w:ind w:left="851"/>
        <w:rPr>
          <w:sz w:val="24"/>
          <w:szCs w:val="24"/>
        </w:rPr>
      </w:pPr>
      <w:r w:rsidRPr="003952CE">
        <w:rPr>
          <w:sz w:val="24"/>
          <w:szCs w:val="24"/>
        </w:rPr>
        <w:t>Lægemiddelstyrelsen</w:t>
      </w:r>
    </w:p>
    <w:p w:rsidR="00525D4F" w:rsidRPr="003952CE" w:rsidRDefault="00525D4F" w:rsidP="00525D4F">
      <w:pPr>
        <w:ind w:left="851"/>
        <w:rPr>
          <w:sz w:val="24"/>
          <w:szCs w:val="24"/>
        </w:rPr>
      </w:pPr>
      <w:r w:rsidRPr="003952CE">
        <w:rPr>
          <w:sz w:val="24"/>
          <w:szCs w:val="24"/>
        </w:rPr>
        <w:t>Axel Heides Gade 1</w:t>
      </w:r>
    </w:p>
    <w:p w:rsidR="00525D4F" w:rsidRPr="003952CE" w:rsidRDefault="00525D4F" w:rsidP="00525D4F">
      <w:pPr>
        <w:ind w:left="851"/>
        <w:rPr>
          <w:sz w:val="24"/>
          <w:szCs w:val="24"/>
        </w:rPr>
      </w:pPr>
      <w:r w:rsidRPr="003952CE">
        <w:rPr>
          <w:sz w:val="24"/>
          <w:szCs w:val="24"/>
        </w:rPr>
        <w:t>DK-2300 København S</w:t>
      </w:r>
    </w:p>
    <w:p w:rsidR="00525D4F" w:rsidRPr="000A1DC3" w:rsidRDefault="00525D4F" w:rsidP="00525D4F">
      <w:pPr>
        <w:ind w:left="851"/>
        <w:rPr>
          <w:sz w:val="24"/>
          <w:szCs w:val="24"/>
        </w:rPr>
      </w:pPr>
      <w:r w:rsidRPr="000A1DC3">
        <w:rPr>
          <w:sz w:val="24"/>
          <w:szCs w:val="24"/>
        </w:rPr>
        <w:t xml:space="preserve">Websted: </w:t>
      </w:r>
      <w:r w:rsidRPr="00C83CC2">
        <w:rPr>
          <w:sz w:val="24"/>
          <w:szCs w:val="24"/>
        </w:rPr>
        <w:t>www.meldenbivirkning.dk</w:t>
      </w:r>
    </w:p>
    <w:p w:rsidR="002747FA" w:rsidRPr="00525D4F" w:rsidRDefault="002747FA" w:rsidP="002747FA">
      <w:pPr>
        <w:pStyle w:val="Sidehoved"/>
        <w:tabs>
          <w:tab w:val="left" w:pos="851"/>
        </w:tabs>
        <w:ind w:left="851" w:hanging="851"/>
        <w:rPr>
          <w:szCs w:val="24"/>
        </w:rPr>
      </w:pPr>
    </w:p>
    <w:p w:rsidR="00193CB4" w:rsidRPr="00C84483" w:rsidRDefault="00193CB4" w:rsidP="00193CB4">
      <w:pPr>
        <w:tabs>
          <w:tab w:val="left" w:pos="851"/>
        </w:tabs>
        <w:ind w:left="851" w:hanging="851"/>
        <w:rPr>
          <w:b/>
          <w:sz w:val="24"/>
          <w:szCs w:val="24"/>
        </w:rPr>
      </w:pPr>
      <w:r w:rsidRPr="00C84483">
        <w:rPr>
          <w:b/>
          <w:sz w:val="24"/>
          <w:szCs w:val="24"/>
        </w:rPr>
        <w:t>4.9</w:t>
      </w:r>
      <w:r w:rsidRPr="00C84483">
        <w:rPr>
          <w:b/>
          <w:sz w:val="24"/>
          <w:szCs w:val="24"/>
        </w:rPr>
        <w:tab/>
        <w:t>Overdosering</w:t>
      </w:r>
    </w:p>
    <w:p w:rsidR="002747FA" w:rsidRDefault="002747FA" w:rsidP="002747FA">
      <w:pPr>
        <w:autoSpaceDE w:val="0"/>
        <w:autoSpaceDN w:val="0"/>
        <w:adjustRightInd w:val="0"/>
        <w:ind w:left="851"/>
        <w:rPr>
          <w:sz w:val="24"/>
          <w:szCs w:val="24"/>
          <w:u w:val="single"/>
        </w:rPr>
      </w:pPr>
    </w:p>
    <w:p w:rsidR="002747FA" w:rsidRPr="0010024B" w:rsidRDefault="002747FA" w:rsidP="00193CB4">
      <w:pPr>
        <w:autoSpaceDE w:val="0"/>
        <w:autoSpaceDN w:val="0"/>
        <w:adjustRightInd w:val="0"/>
        <w:ind w:left="851"/>
        <w:rPr>
          <w:sz w:val="24"/>
          <w:szCs w:val="24"/>
          <w:u w:val="single"/>
        </w:rPr>
      </w:pPr>
      <w:r w:rsidRPr="0010024B">
        <w:rPr>
          <w:sz w:val="24"/>
          <w:szCs w:val="24"/>
          <w:u w:val="single"/>
        </w:rPr>
        <w:t>Symptomer</w:t>
      </w:r>
    </w:p>
    <w:p w:rsidR="002747FA" w:rsidRPr="003D2A71" w:rsidRDefault="002747FA" w:rsidP="00193CB4">
      <w:pPr>
        <w:autoSpaceDE w:val="0"/>
        <w:autoSpaceDN w:val="0"/>
        <w:adjustRightInd w:val="0"/>
        <w:ind w:left="851"/>
        <w:rPr>
          <w:sz w:val="24"/>
          <w:szCs w:val="24"/>
        </w:rPr>
      </w:pPr>
      <w:r w:rsidRPr="0010024B">
        <w:rPr>
          <w:sz w:val="24"/>
          <w:szCs w:val="24"/>
        </w:rPr>
        <w:t>Respirationsdepression som følge af depression af centralnervesystemet er det primære symptom, der kræver intervention i tilfælde af overdosering, da det kan forårsage respirationsstop og dødsfald.</w:t>
      </w:r>
      <w:r w:rsidRPr="003D2A71">
        <w:rPr>
          <w:sz w:val="24"/>
          <w:szCs w:val="24"/>
        </w:rPr>
        <w:t xml:space="preserve"> </w:t>
      </w:r>
    </w:p>
    <w:p w:rsidR="002747FA" w:rsidRPr="0010024B" w:rsidRDefault="002747FA" w:rsidP="00193CB4">
      <w:pPr>
        <w:autoSpaceDE w:val="0"/>
        <w:autoSpaceDN w:val="0"/>
        <w:adjustRightInd w:val="0"/>
        <w:ind w:left="851"/>
        <w:rPr>
          <w:sz w:val="24"/>
          <w:szCs w:val="24"/>
        </w:rPr>
      </w:pPr>
      <w:r w:rsidRPr="0010024B">
        <w:rPr>
          <w:sz w:val="24"/>
          <w:szCs w:val="24"/>
        </w:rPr>
        <w:t xml:space="preserve">Tidlige symptomer på overdosering kan også inkludere døsighed, </w:t>
      </w:r>
      <w:proofErr w:type="spellStart"/>
      <w:r w:rsidRPr="0010024B">
        <w:rPr>
          <w:sz w:val="24"/>
          <w:szCs w:val="24"/>
        </w:rPr>
        <w:t>amblyopi</w:t>
      </w:r>
      <w:proofErr w:type="spellEnd"/>
      <w:r w:rsidRPr="0010024B">
        <w:rPr>
          <w:sz w:val="24"/>
          <w:szCs w:val="24"/>
        </w:rPr>
        <w:t xml:space="preserve">, </w:t>
      </w:r>
      <w:proofErr w:type="spellStart"/>
      <w:r w:rsidRPr="0010024B">
        <w:rPr>
          <w:sz w:val="24"/>
          <w:szCs w:val="24"/>
        </w:rPr>
        <w:t>miosis</w:t>
      </w:r>
      <w:proofErr w:type="spellEnd"/>
      <w:r w:rsidRPr="0010024B">
        <w:rPr>
          <w:sz w:val="24"/>
          <w:szCs w:val="24"/>
        </w:rPr>
        <w:t>, hypotension, kvalme, opkastning og/eller taleforstyrrelser.</w:t>
      </w:r>
    </w:p>
    <w:p w:rsidR="002747FA" w:rsidRPr="003D2A71" w:rsidRDefault="002747FA" w:rsidP="00193CB4">
      <w:pPr>
        <w:autoSpaceDE w:val="0"/>
        <w:autoSpaceDN w:val="0"/>
        <w:adjustRightInd w:val="0"/>
        <w:ind w:left="851"/>
        <w:rPr>
          <w:sz w:val="24"/>
          <w:szCs w:val="24"/>
        </w:rPr>
      </w:pPr>
    </w:p>
    <w:p w:rsidR="002747FA" w:rsidRPr="003D2A71" w:rsidRDefault="002747FA" w:rsidP="00193CB4">
      <w:pPr>
        <w:autoSpaceDE w:val="0"/>
        <w:autoSpaceDN w:val="0"/>
        <w:adjustRightInd w:val="0"/>
        <w:ind w:left="851"/>
        <w:rPr>
          <w:sz w:val="24"/>
          <w:szCs w:val="24"/>
        </w:rPr>
      </w:pPr>
      <w:r w:rsidRPr="0010024B">
        <w:rPr>
          <w:sz w:val="24"/>
          <w:szCs w:val="24"/>
          <w:u w:val="single"/>
        </w:rPr>
        <w:t>Behandling</w:t>
      </w:r>
    </w:p>
    <w:p w:rsidR="002747FA" w:rsidRPr="003D2A71" w:rsidRDefault="002747FA" w:rsidP="00193CB4">
      <w:pPr>
        <w:autoSpaceDE w:val="0"/>
        <w:autoSpaceDN w:val="0"/>
        <w:adjustRightInd w:val="0"/>
        <w:ind w:left="851"/>
        <w:rPr>
          <w:sz w:val="24"/>
          <w:szCs w:val="24"/>
        </w:rPr>
      </w:pPr>
      <w:r w:rsidRPr="0010024B">
        <w:rPr>
          <w:sz w:val="24"/>
          <w:szCs w:val="24"/>
        </w:rPr>
        <w:t xml:space="preserve">Der skal iværksættes generelle understøttende tiltag, herunder nøje monitorering af patientens respiratoriske og </w:t>
      </w:r>
      <w:proofErr w:type="spellStart"/>
      <w:r w:rsidRPr="0010024B">
        <w:rPr>
          <w:sz w:val="24"/>
          <w:szCs w:val="24"/>
        </w:rPr>
        <w:t>kardielle</w:t>
      </w:r>
      <w:proofErr w:type="spellEnd"/>
      <w:r w:rsidRPr="0010024B">
        <w:rPr>
          <w:sz w:val="24"/>
          <w:szCs w:val="24"/>
        </w:rPr>
        <w:t xml:space="preserve"> status. Der skal udføres symptomatisk behandling af respirationsdepression, efter at den intensive standardbehandling er iværksat.</w:t>
      </w:r>
      <w:r w:rsidRPr="003D2A71">
        <w:rPr>
          <w:sz w:val="24"/>
          <w:szCs w:val="24"/>
        </w:rPr>
        <w:t xml:space="preserve"> </w:t>
      </w:r>
      <w:r w:rsidRPr="0010024B">
        <w:rPr>
          <w:sz w:val="24"/>
          <w:szCs w:val="24"/>
        </w:rPr>
        <w:t>Det skal sikres, at patienten har frie luftveje, og at der etableres mekanisk eller kontrolleret ventilation.</w:t>
      </w:r>
      <w:r w:rsidRPr="003D2A71">
        <w:rPr>
          <w:sz w:val="24"/>
          <w:szCs w:val="24"/>
        </w:rPr>
        <w:t xml:space="preserve"> </w:t>
      </w:r>
      <w:r w:rsidRPr="0010024B">
        <w:rPr>
          <w:sz w:val="24"/>
          <w:szCs w:val="24"/>
        </w:rPr>
        <w:t>Patienten skal overføres til et sted med komplette genoplivningsfaciliteter.</w:t>
      </w:r>
      <w:r w:rsidRPr="003D2A71">
        <w:rPr>
          <w:sz w:val="24"/>
          <w:szCs w:val="24"/>
        </w:rPr>
        <w:t xml:space="preserve"> </w:t>
      </w:r>
    </w:p>
    <w:p w:rsidR="002747FA" w:rsidRPr="0010024B" w:rsidRDefault="002747FA" w:rsidP="00193CB4">
      <w:pPr>
        <w:autoSpaceDE w:val="0"/>
        <w:autoSpaceDN w:val="0"/>
        <w:adjustRightInd w:val="0"/>
        <w:ind w:left="851"/>
        <w:rPr>
          <w:sz w:val="24"/>
          <w:szCs w:val="24"/>
        </w:rPr>
      </w:pPr>
      <w:r w:rsidRPr="0010024B">
        <w:rPr>
          <w:sz w:val="24"/>
          <w:szCs w:val="24"/>
        </w:rPr>
        <w:t xml:space="preserve">Det anbefales at bruge en opioidantagonist (dvs. </w:t>
      </w:r>
      <w:proofErr w:type="spellStart"/>
      <w:r w:rsidRPr="0010024B">
        <w:rPr>
          <w:sz w:val="24"/>
          <w:szCs w:val="24"/>
        </w:rPr>
        <w:t>naloxon</w:t>
      </w:r>
      <w:proofErr w:type="spellEnd"/>
      <w:r w:rsidRPr="0010024B">
        <w:rPr>
          <w:sz w:val="24"/>
          <w:szCs w:val="24"/>
        </w:rPr>
        <w:t xml:space="preserve">), til trods for den beskedne effekt den måtte have i forbindelse med at modvirke de respiratoriske symptomer fra </w:t>
      </w:r>
      <w:proofErr w:type="spellStart"/>
      <w:r w:rsidRPr="0010024B">
        <w:rPr>
          <w:sz w:val="24"/>
          <w:szCs w:val="24"/>
        </w:rPr>
        <w:t>buprenorphin</w:t>
      </w:r>
      <w:proofErr w:type="spellEnd"/>
      <w:r w:rsidRPr="0010024B">
        <w:rPr>
          <w:sz w:val="24"/>
          <w:szCs w:val="24"/>
        </w:rPr>
        <w:t xml:space="preserve"> sammenlignet med dens effekt på opioider, der er komplette agonister. Den lange varighed af </w:t>
      </w:r>
      <w:proofErr w:type="spellStart"/>
      <w:r w:rsidRPr="0010024B">
        <w:rPr>
          <w:sz w:val="24"/>
          <w:szCs w:val="24"/>
        </w:rPr>
        <w:t>buprenorphins</w:t>
      </w:r>
      <w:proofErr w:type="spellEnd"/>
      <w:r w:rsidRPr="0010024B">
        <w:rPr>
          <w:sz w:val="24"/>
          <w:szCs w:val="24"/>
        </w:rPr>
        <w:t xml:space="preserve"> virkning skal tages i betragtning, når det vurderes, hvor længe der skal behandles for at modvirke effekterne af en overdosering. </w:t>
      </w:r>
      <w:proofErr w:type="spellStart"/>
      <w:r w:rsidRPr="0010024B">
        <w:rPr>
          <w:sz w:val="24"/>
          <w:szCs w:val="24"/>
        </w:rPr>
        <w:t>Naloxon</w:t>
      </w:r>
      <w:proofErr w:type="spellEnd"/>
      <w:r w:rsidRPr="0010024B">
        <w:rPr>
          <w:sz w:val="24"/>
          <w:szCs w:val="24"/>
        </w:rPr>
        <w:t xml:space="preserve"> kan elimineres hurtigere end </w:t>
      </w:r>
      <w:proofErr w:type="spellStart"/>
      <w:r w:rsidRPr="0010024B">
        <w:rPr>
          <w:sz w:val="24"/>
          <w:szCs w:val="24"/>
        </w:rPr>
        <w:t>buprenorphin</w:t>
      </w:r>
      <w:proofErr w:type="spellEnd"/>
      <w:r w:rsidRPr="0010024B">
        <w:rPr>
          <w:sz w:val="24"/>
          <w:szCs w:val="24"/>
        </w:rPr>
        <w:t xml:space="preserve">, hvilket medfører, at tidligere kontrollerede symptomer på en overdosering med </w:t>
      </w:r>
      <w:proofErr w:type="spellStart"/>
      <w:r w:rsidRPr="0010024B">
        <w:rPr>
          <w:sz w:val="24"/>
          <w:szCs w:val="24"/>
        </w:rPr>
        <w:t>buprenorphin</w:t>
      </w:r>
      <w:proofErr w:type="spellEnd"/>
      <w:r w:rsidRPr="0010024B">
        <w:rPr>
          <w:sz w:val="24"/>
          <w:szCs w:val="24"/>
        </w:rPr>
        <w:t xml:space="preserve"> kan vende tilbage. </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4.10</w:t>
      </w:r>
      <w:r w:rsidRPr="00C84483">
        <w:rPr>
          <w:b/>
          <w:sz w:val="24"/>
          <w:szCs w:val="24"/>
        </w:rPr>
        <w:tab/>
        <w:t>Udlevering</w:t>
      </w:r>
    </w:p>
    <w:p w:rsidR="002747FA" w:rsidRPr="00131BE6" w:rsidRDefault="002747FA" w:rsidP="002747FA">
      <w:pPr>
        <w:ind w:left="851"/>
        <w:rPr>
          <w:sz w:val="24"/>
          <w:szCs w:val="24"/>
        </w:rPr>
      </w:pPr>
      <w:r w:rsidRPr="00131BE6">
        <w:rPr>
          <w:sz w:val="24"/>
          <w:szCs w:val="24"/>
        </w:rPr>
        <w:t>A§4 (kopieringspligtigt)</w:t>
      </w:r>
    </w:p>
    <w:p w:rsidR="002747FA" w:rsidRDefault="002747FA" w:rsidP="002747FA">
      <w:pPr>
        <w:tabs>
          <w:tab w:val="left" w:pos="851"/>
        </w:tabs>
        <w:ind w:left="851" w:hanging="851"/>
        <w:rPr>
          <w:sz w:val="24"/>
          <w:szCs w:val="24"/>
        </w:rPr>
      </w:pP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93CB4" w:rsidRPr="00C84483" w:rsidRDefault="00193CB4" w:rsidP="00193CB4">
      <w:pPr>
        <w:tabs>
          <w:tab w:val="left" w:pos="851"/>
        </w:tabs>
        <w:ind w:left="851"/>
        <w:rPr>
          <w:sz w:val="24"/>
          <w:szCs w:val="24"/>
        </w:rPr>
      </w:pPr>
    </w:p>
    <w:p w:rsidR="00193CB4" w:rsidRPr="00C84483" w:rsidRDefault="00193CB4" w:rsidP="00193CB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93CB4" w:rsidRPr="00193CB4" w:rsidRDefault="00193CB4" w:rsidP="00193CB4">
      <w:pPr>
        <w:ind w:left="851"/>
        <w:rPr>
          <w:sz w:val="24"/>
          <w:szCs w:val="24"/>
        </w:rPr>
      </w:pPr>
      <w:proofErr w:type="spellStart"/>
      <w:r w:rsidRPr="00193CB4">
        <w:rPr>
          <w:sz w:val="24"/>
          <w:szCs w:val="24"/>
        </w:rPr>
        <w:t>Farmakoterapeutisk</w:t>
      </w:r>
      <w:proofErr w:type="spellEnd"/>
      <w:r w:rsidRPr="00193CB4">
        <w:rPr>
          <w:sz w:val="24"/>
          <w:szCs w:val="24"/>
        </w:rPr>
        <w:t xml:space="preserve"> klassifikation: Andre midler med virkning på nervesystemet, midler mod opioidafhængighed, ATC-kode: N07BC01. </w:t>
      </w:r>
    </w:p>
    <w:p w:rsidR="00193CB4" w:rsidRDefault="00193CB4" w:rsidP="002747FA">
      <w:pPr>
        <w:autoSpaceDE w:val="0"/>
        <w:autoSpaceDN w:val="0"/>
        <w:adjustRightInd w:val="0"/>
        <w:ind w:left="851"/>
        <w:rPr>
          <w:sz w:val="24"/>
          <w:szCs w:val="24"/>
          <w:u w:val="single"/>
        </w:rPr>
      </w:pPr>
    </w:p>
    <w:p w:rsidR="002747FA" w:rsidRDefault="002747FA" w:rsidP="002747FA">
      <w:pPr>
        <w:autoSpaceDE w:val="0"/>
        <w:autoSpaceDN w:val="0"/>
        <w:adjustRightInd w:val="0"/>
        <w:ind w:left="851"/>
        <w:rPr>
          <w:sz w:val="24"/>
          <w:szCs w:val="24"/>
        </w:rPr>
      </w:pPr>
      <w:r>
        <w:rPr>
          <w:sz w:val="24"/>
          <w:szCs w:val="24"/>
          <w:u w:val="single"/>
        </w:rPr>
        <w:t>Virkningsmekanisme</w:t>
      </w:r>
    </w:p>
    <w:p w:rsidR="002747FA" w:rsidRPr="003D2A71" w:rsidRDefault="002747FA" w:rsidP="002747FA">
      <w:pPr>
        <w:autoSpaceDE w:val="0"/>
        <w:autoSpaceDN w:val="0"/>
        <w:adjustRightInd w:val="0"/>
        <w:ind w:left="851"/>
        <w:rPr>
          <w:sz w:val="24"/>
          <w:szCs w:val="24"/>
        </w:rPr>
      </w:pPr>
      <w:proofErr w:type="spellStart"/>
      <w:r w:rsidRPr="00D8717D">
        <w:rPr>
          <w:sz w:val="24"/>
          <w:szCs w:val="24"/>
        </w:rPr>
        <w:t>Buprenorphin</w:t>
      </w:r>
      <w:proofErr w:type="spellEnd"/>
      <w:r w:rsidRPr="00D8717D">
        <w:rPr>
          <w:sz w:val="24"/>
          <w:szCs w:val="24"/>
        </w:rPr>
        <w:t xml:space="preserve"> er partielt en opioidagonist og partielt en opioidantagonist, der binder sig til µ- og κ-receptorer (my- og kappa-receptorer) i hjernen.</w:t>
      </w:r>
      <w:r w:rsidRPr="00D8717D">
        <w:rPr>
          <w:noProof/>
          <w:sz w:val="24"/>
          <w:szCs w:val="24"/>
        </w:rPr>
        <w:t xml:space="preserve"> </w:t>
      </w:r>
      <w:r w:rsidRPr="00D8717D">
        <w:rPr>
          <w:sz w:val="24"/>
          <w:szCs w:val="24"/>
        </w:rPr>
        <w:t>Dets effekt i opioidvedlige</w:t>
      </w:r>
      <w:r>
        <w:rPr>
          <w:sz w:val="24"/>
          <w:szCs w:val="24"/>
        </w:rPr>
        <w:softHyphen/>
      </w:r>
      <w:r w:rsidRPr="00D8717D">
        <w:rPr>
          <w:sz w:val="24"/>
          <w:szCs w:val="24"/>
        </w:rPr>
        <w:t xml:space="preserve">holdelsesbehandlingen skyldes dets langsomt reversible binding til µ-receptorerne, som </w:t>
      </w:r>
      <w:r w:rsidRPr="0010024B">
        <w:rPr>
          <w:sz w:val="24"/>
          <w:szCs w:val="24"/>
        </w:rPr>
        <w:t>over et længere tidsrum nedsætter den opioidafhængige patients behov.</w:t>
      </w:r>
    </w:p>
    <w:p w:rsidR="002747FA" w:rsidRDefault="002747FA" w:rsidP="002747FA">
      <w:pPr>
        <w:autoSpaceDE w:val="0"/>
        <w:autoSpaceDN w:val="0"/>
        <w:adjustRightInd w:val="0"/>
        <w:ind w:left="851"/>
        <w:rPr>
          <w:noProof/>
          <w:sz w:val="24"/>
          <w:szCs w:val="24"/>
        </w:rPr>
      </w:pPr>
    </w:p>
    <w:p w:rsidR="002747FA" w:rsidRPr="003D2A71" w:rsidRDefault="002747FA" w:rsidP="002747FA">
      <w:pPr>
        <w:autoSpaceDE w:val="0"/>
        <w:autoSpaceDN w:val="0"/>
        <w:adjustRightInd w:val="0"/>
        <w:ind w:left="851"/>
        <w:rPr>
          <w:sz w:val="24"/>
          <w:szCs w:val="24"/>
          <w:u w:val="single"/>
        </w:rPr>
      </w:pPr>
      <w:r w:rsidRPr="003D2A71">
        <w:rPr>
          <w:sz w:val="24"/>
          <w:szCs w:val="24"/>
          <w:u w:val="single"/>
        </w:rPr>
        <w:t>Klinisk virkning og sikkerhed</w:t>
      </w:r>
    </w:p>
    <w:p w:rsidR="002747FA" w:rsidRDefault="002747FA" w:rsidP="00525D4F">
      <w:pPr>
        <w:autoSpaceDE w:val="0"/>
        <w:autoSpaceDN w:val="0"/>
        <w:adjustRightInd w:val="0"/>
        <w:ind w:left="851"/>
        <w:rPr>
          <w:sz w:val="24"/>
          <w:szCs w:val="24"/>
        </w:rPr>
      </w:pPr>
      <w:r w:rsidRPr="00D8717D">
        <w:rPr>
          <w:sz w:val="24"/>
          <w:szCs w:val="24"/>
        </w:rPr>
        <w:t xml:space="preserve">Det er i kliniske farmakologiske studier af opiatafhængige forsøgspersoner påvist, at </w:t>
      </w:r>
      <w:proofErr w:type="spellStart"/>
      <w:r w:rsidRPr="00D8717D">
        <w:rPr>
          <w:sz w:val="24"/>
          <w:szCs w:val="24"/>
        </w:rPr>
        <w:t>buprenorphin</w:t>
      </w:r>
      <w:proofErr w:type="spellEnd"/>
      <w:r w:rsidRPr="00D8717D">
        <w:rPr>
          <w:sz w:val="24"/>
          <w:szCs w:val="24"/>
        </w:rPr>
        <w:t xml:space="preserve"> har en loftseffekt på en række parametre, herunder godt humør, </w:t>
      </w:r>
      <w:r w:rsidR="00CE77F8">
        <w:rPr>
          <w:sz w:val="24"/>
          <w:szCs w:val="24"/>
        </w:rPr>
        <w:t>"</w:t>
      </w:r>
      <w:r w:rsidRPr="00D8717D">
        <w:rPr>
          <w:sz w:val="24"/>
          <w:szCs w:val="24"/>
        </w:rPr>
        <w:t>god effekt</w:t>
      </w:r>
      <w:r w:rsidR="00CE77F8">
        <w:rPr>
          <w:sz w:val="24"/>
          <w:szCs w:val="24"/>
        </w:rPr>
        <w:t>"</w:t>
      </w:r>
      <w:r w:rsidRPr="00D8717D">
        <w:rPr>
          <w:sz w:val="24"/>
          <w:szCs w:val="24"/>
        </w:rPr>
        <w:t xml:space="preserve"> og respirationsdepression.</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747FA" w:rsidRDefault="002747FA" w:rsidP="002747FA">
      <w:pPr>
        <w:autoSpaceDE w:val="0"/>
        <w:autoSpaceDN w:val="0"/>
        <w:adjustRightInd w:val="0"/>
        <w:ind w:left="851"/>
        <w:rPr>
          <w:sz w:val="24"/>
          <w:szCs w:val="24"/>
          <w:u w:val="single"/>
        </w:rPr>
      </w:pPr>
    </w:p>
    <w:p w:rsidR="002747FA" w:rsidRPr="00145BFF" w:rsidRDefault="002747FA" w:rsidP="002747FA">
      <w:pPr>
        <w:autoSpaceDE w:val="0"/>
        <w:autoSpaceDN w:val="0"/>
        <w:adjustRightInd w:val="0"/>
        <w:ind w:left="851"/>
        <w:rPr>
          <w:noProof/>
          <w:sz w:val="24"/>
          <w:szCs w:val="24"/>
          <w:u w:val="single"/>
        </w:rPr>
      </w:pPr>
      <w:r w:rsidRPr="00145BFF">
        <w:rPr>
          <w:sz w:val="24"/>
          <w:szCs w:val="24"/>
          <w:u w:val="single"/>
        </w:rPr>
        <w:t>Absorption</w:t>
      </w:r>
    </w:p>
    <w:p w:rsidR="002747FA" w:rsidRPr="00D8717D" w:rsidRDefault="002747FA" w:rsidP="002747FA">
      <w:pPr>
        <w:autoSpaceDE w:val="0"/>
        <w:autoSpaceDN w:val="0"/>
        <w:adjustRightInd w:val="0"/>
        <w:ind w:left="851"/>
        <w:rPr>
          <w:noProof/>
          <w:sz w:val="24"/>
          <w:szCs w:val="24"/>
        </w:rPr>
      </w:pPr>
      <w:r w:rsidRPr="00D8717D">
        <w:rPr>
          <w:sz w:val="24"/>
          <w:szCs w:val="24"/>
        </w:rPr>
        <w:t xml:space="preserve">Når </w:t>
      </w:r>
      <w:proofErr w:type="spellStart"/>
      <w:r w:rsidRPr="00D8717D">
        <w:rPr>
          <w:sz w:val="24"/>
          <w:szCs w:val="24"/>
        </w:rPr>
        <w:t>buprenorphin</w:t>
      </w:r>
      <w:proofErr w:type="spellEnd"/>
      <w:r w:rsidRPr="00D8717D">
        <w:rPr>
          <w:sz w:val="24"/>
          <w:szCs w:val="24"/>
        </w:rPr>
        <w:t xml:space="preserve"> administreres peroralt, </w:t>
      </w:r>
      <w:proofErr w:type="spellStart"/>
      <w:r w:rsidRPr="00D8717D">
        <w:rPr>
          <w:sz w:val="24"/>
          <w:szCs w:val="24"/>
        </w:rPr>
        <w:t>metaboliseres</w:t>
      </w:r>
      <w:proofErr w:type="spellEnd"/>
      <w:r w:rsidRPr="00D8717D">
        <w:rPr>
          <w:sz w:val="24"/>
          <w:szCs w:val="24"/>
        </w:rPr>
        <w:t xml:space="preserve"> stoffet præsystemisk i leveren med N-</w:t>
      </w:r>
      <w:proofErr w:type="spellStart"/>
      <w:r w:rsidRPr="00D8717D">
        <w:rPr>
          <w:sz w:val="24"/>
          <w:szCs w:val="24"/>
        </w:rPr>
        <w:t>dealkylering</w:t>
      </w:r>
      <w:proofErr w:type="spellEnd"/>
      <w:r w:rsidRPr="00D8717D">
        <w:rPr>
          <w:sz w:val="24"/>
          <w:szCs w:val="24"/>
        </w:rPr>
        <w:t xml:space="preserve"> og </w:t>
      </w:r>
      <w:proofErr w:type="spellStart"/>
      <w:r w:rsidRPr="00D8717D">
        <w:rPr>
          <w:sz w:val="24"/>
          <w:szCs w:val="24"/>
        </w:rPr>
        <w:t>glucurokonjugering</w:t>
      </w:r>
      <w:proofErr w:type="spellEnd"/>
      <w:r w:rsidRPr="00D8717D">
        <w:rPr>
          <w:sz w:val="24"/>
          <w:szCs w:val="24"/>
        </w:rPr>
        <w:t xml:space="preserve"> i tyndtarmen og i leveren.</w:t>
      </w:r>
      <w:r w:rsidRPr="00D8717D">
        <w:rPr>
          <w:noProof/>
          <w:sz w:val="24"/>
          <w:szCs w:val="24"/>
        </w:rPr>
        <w:t xml:space="preserve"> </w:t>
      </w:r>
      <w:r w:rsidRPr="00D8717D">
        <w:rPr>
          <w:sz w:val="24"/>
          <w:szCs w:val="24"/>
        </w:rPr>
        <w:t>Brugen af dette lægemiddel ad oral vej er derfor ikke hensigtsmæssig.</w:t>
      </w:r>
    </w:p>
    <w:p w:rsidR="002747FA" w:rsidRPr="00D8717D" w:rsidRDefault="002747FA" w:rsidP="002747FA">
      <w:pPr>
        <w:autoSpaceDE w:val="0"/>
        <w:autoSpaceDN w:val="0"/>
        <w:adjustRightInd w:val="0"/>
        <w:ind w:left="851" w:hanging="851"/>
        <w:rPr>
          <w:iCs/>
          <w:sz w:val="24"/>
          <w:szCs w:val="24"/>
        </w:rPr>
      </w:pPr>
    </w:p>
    <w:p w:rsidR="002747FA" w:rsidRPr="00D8717D" w:rsidRDefault="002747FA" w:rsidP="002747FA">
      <w:pPr>
        <w:autoSpaceDE w:val="0"/>
        <w:autoSpaceDN w:val="0"/>
        <w:adjustRightInd w:val="0"/>
        <w:ind w:left="851"/>
        <w:rPr>
          <w:noProof/>
          <w:sz w:val="24"/>
          <w:szCs w:val="24"/>
        </w:rPr>
      </w:pPr>
      <w:r w:rsidRPr="00D8717D">
        <w:rPr>
          <w:sz w:val="24"/>
          <w:szCs w:val="24"/>
        </w:rPr>
        <w:t xml:space="preserve">Den maksimale plasmakoncentration opnås 90 minutter efter </w:t>
      </w:r>
      <w:proofErr w:type="spellStart"/>
      <w:r w:rsidRPr="00D8717D">
        <w:rPr>
          <w:sz w:val="24"/>
          <w:szCs w:val="24"/>
        </w:rPr>
        <w:t>sublingual</w:t>
      </w:r>
      <w:proofErr w:type="spellEnd"/>
      <w:r w:rsidRPr="00D8717D">
        <w:rPr>
          <w:sz w:val="24"/>
          <w:szCs w:val="24"/>
        </w:rPr>
        <w:t xml:space="preserve"> administration, og sammenhængen mellem dosis og den maksimale koncentration er lineær ved doser mellem 2 mg og 16 mg.</w:t>
      </w:r>
    </w:p>
    <w:p w:rsidR="002747FA" w:rsidRPr="00D8717D" w:rsidRDefault="002747FA" w:rsidP="002747FA">
      <w:pPr>
        <w:autoSpaceDE w:val="0"/>
        <w:autoSpaceDN w:val="0"/>
        <w:adjustRightInd w:val="0"/>
        <w:ind w:left="851" w:hanging="851"/>
        <w:rPr>
          <w:noProof/>
          <w:sz w:val="24"/>
          <w:szCs w:val="24"/>
        </w:rPr>
      </w:pPr>
    </w:p>
    <w:p w:rsidR="002747FA" w:rsidRPr="00B214EC" w:rsidRDefault="002747FA" w:rsidP="002747FA">
      <w:pPr>
        <w:autoSpaceDE w:val="0"/>
        <w:autoSpaceDN w:val="0"/>
        <w:adjustRightInd w:val="0"/>
        <w:ind w:left="851"/>
        <w:rPr>
          <w:noProof/>
          <w:sz w:val="24"/>
          <w:szCs w:val="24"/>
          <w:u w:val="single"/>
        </w:rPr>
      </w:pPr>
      <w:r w:rsidRPr="00B214EC">
        <w:rPr>
          <w:sz w:val="24"/>
          <w:szCs w:val="24"/>
          <w:u w:val="single"/>
        </w:rPr>
        <w:t>Fordeling</w:t>
      </w:r>
    </w:p>
    <w:p w:rsidR="002747FA" w:rsidRPr="00D8717D" w:rsidRDefault="002747FA" w:rsidP="002747FA">
      <w:pPr>
        <w:autoSpaceDE w:val="0"/>
        <w:autoSpaceDN w:val="0"/>
        <w:adjustRightInd w:val="0"/>
        <w:ind w:left="851"/>
        <w:rPr>
          <w:noProof/>
          <w:sz w:val="24"/>
          <w:szCs w:val="24"/>
        </w:rPr>
      </w:pPr>
      <w:r w:rsidRPr="00D8717D">
        <w:rPr>
          <w:sz w:val="24"/>
          <w:szCs w:val="24"/>
        </w:rPr>
        <w:t xml:space="preserve">Absorptionen af </w:t>
      </w:r>
      <w:proofErr w:type="spellStart"/>
      <w:r w:rsidRPr="00D8717D">
        <w:rPr>
          <w:sz w:val="24"/>
          <w:szCs w:val="24"/>
        </w:rPr>
        <w:t>buprenorphin</w:t>
      </w:r>
      <w:proofErr w:type="spellEnd"/>
      <w:r w:rsidRPr="00D8717D">
        <w:rPr>
          <w:sz w:val="24"/>
          <w:szCs w:val="24"/>
        </w:rPr>
        <w:t xml:space="preserve"> efterfølges af en hurtig fordelingsfase og en halveringstid på 2-5 timer.</w:t>
      </w:r>
    </w:p>
    <w:p w:rsidR="002747FA" w:rsidRPr="00D8717D" w:rsidRDefault="002747FA" w:rsidP="002747FA">
      <w:pPr>
        <w:autoSpaceDE w:val="0"/>
        <w:autoSpaceDN w:val="0"/>
        <w:adjustRightInd w:val="0"/>
        <w:ind w:left="851" w:hanging="851"/>
        <w:rPr>
          <w:noProof/>
          <w:sz w:val="24"/>
          <w:szCs w:val="24"/>
        </w:rPr>
      </w:pPr>
    </w:p>
    <w:p w:rsidR="002747FA" w:rsidRDefault="002747FA" w:rsidP="002747FA">
      <w:pPr>
        <w:autoSpaceDE w:val="0"/>
        <w:autoSpaceDN w:val="0"/>
        <w:adjustRightInd w:val="0"/>
        <w:ind w:left="851"/>
        <w:rPr>
          <w:noProof/>
          <w:sz w:val="24"/>
          <w:szCs w:val="24"/>
          <w:u w:val="single"/>
        </w:rPr>
      </w:pPr>
      <w:r>
        <w:rPr>
          <w:sz w:val="24"/>
          <w:szCs w:val="24"/>
          <w:u w:val="single"/>
        </w:rPr>
        <w:t>Biotransformation og elimination</w:t>
      </w:r>
    </w:p>
    <w:p w:rsidR="002747FA" w:rsidRPr="00D8717D" w:rsidRDefault="002747FA" w:rsidP="002747FA">
      <w:pPr>
        <w:autoSpaceDE w:val="0"/>
        <w:autoSpaceDN w:val="0"/>
        <w:adjustRightInd w:val="0"/>
        <w:ind w:left="851"/>
        <w:rPr>
          <w:noProof/>
          <w:sz w:val="24"/>
          <w:szCs w:val="24"/>
        </w:rPr>
      </w:pPr>
      <w:proofErr w:type="spellStart"/>
      <w:r w:rsidRPr="00D8717D">
        <w:rPr>
          <w:sz w:val="24"/>
          <w:szCs w:val="24"/>
        </w:rPr>
        <w:t>Buprenorphin</w:t>
      </w:r>
      <w:proofErr w:type="spellEnd"/>
      <w:r w:rsidRPr="00D8717D">
        <w:rPr>
          <w:sz w:val="24"/>
          <w:szCs w:val="24"/>
        </w:rPr>
        <w:t xml:space="preserve"> </w:t>
      </w:r>
      <w:proofErr w:type="spellStart"/>
      <w:r w:rsidRPr="00D8717D">
        <w:rPr>
          <w:sz w:val="24"/>
          <w:szCs w:val="24"/>
        </w:rPr>
        <w:t>metaboliseres</w:t>
      </w:r>
      <w:proofErr w:type="spellEnd"/>
      <w:r w:rsidRPr="00D8717D">
        <w:rPr>
          <w:sz w:val="24"/>
          <w:szCs w:val="24"/>
        </w:rPr>
        <w:t xml:space="preserve"> </w:t>
      </w:r>
      <w:proofErr w:type="spellStart"/>
      <w:r w:rsidRPr="00D8717D">
        <w:rPr>
          <w:sz w:val="24"/>
          <w:szCs w:val="24"/>
        </w:rPr>
        <w:t>oxidativt</w:t>
      </w:r>
      <w:proofErr w:type="spellEnd"/>
      <w:r w:rsidRPr="00D8717D">
        <w:rPr>
          <w:sz w:val="24"/>
          <w:szCs w:val="24"/>
        </w:rPr>
        <w:t xml:space="preserve"> ved 14-N-dealkylering til N-</w:t>
      </w:r>
      <w:proofErr w:type="spellStart"/>
      <w:r w:rsidRPr="00D8717D">
        <w:rPr>
          <w:sz w:val="24"/>
          <w:szCs w:val="24"/>
        </w:rPr>
        <w:t>desalkyl</w:t>
      </w:r>
      <w:proofErr w:type="spellEnd"/>
      <w:r w:rsidRPr="00D8717D">
        <w:rPr>
          <w:sz w:val="24"/>
          <w:szCs w:val="24"/>
        </w:rPr>
        <w:t>-</w:t>
      </w:r>
      <w:proofErr w:type="spellStart"/>
      <w:r w:rsidRPr="00D8717D">
        <w:rPr>
          <w:sz w:val="24"/>
          <w:szCs w:val="24"/>
        </w:rPr>
        <w:t>buprenorphin</w:t>
      </w:r>
      <w:proofErr w:type="spellEnd"/>
      <w:r w:rsidRPr="00D8717D">
        <w:rPr>
          <w:sz w:val="24"/>
          <w:szCs w:val="24"/>
        </w:rPr>
        <w:t xml:space="preserve"> (også kendt som </w:t>
      </w:r>
      <w:proofErr w:type="spellStart"/>
      <w:r w:rsidRPr="00D8717D">
        <w:rPr>
          <w:sz w:val="24"/>
          <w:szCs w:val="24"/>
        </w:rPr>
        <w:t>norbuprenorphin</w:t>
      </w:r>
      <w:proofErr w:type="spellEnd"/>
      <w:r w:rsidRPr="00D8717D">
        <w:rPr>
          <w:sz w:val="24"/>
          <w:szCs w:val="24"/>
        </w:rPr>
        <w:t xml:space="preserve">) via </w:t>
      </w:r>
      <w:proofErr w:type="spellStart"/>
      <w:r w:rsidRPr="00D8717D">
        <w:rPr>
          <w:sz w:val="24"/>
          <w:szCs w:val="24"/>
        </w:rPr>
        <w:t>cytochrom</w:t>
      </w:r>
      <w:proofErr w:type="spellEnd"/>
      <w:r w:rsidRPr="00D8717D">
        <w:rPr>
          <w:sz w:val="24"/>
          <w:szCs w:val="24"/>
        </w:rPr>
        <w:t xml:space="preserve"> P450 CYP3A4 og ved </w:t>
      </w:r>
      <w:proofErr w:type="spellStart"/>
      <w:r w:rsidRPr="00D8717D">
        <w:rPr>
          <w:sz w:val="24"/>
          <w:szCs w:val="24"/>
        </w:rPr>
        <w:t>glucurokonjugering</w:t>
      </w:r>
      <w:proofErr w:type="spellEnd"/>
      <w:r w:rsidRPr="00D8717D">
        <w:rPr>
          <w:sz w:val="24"/>
          <w:szCs w:val="24"/>
        </w:rPr>
        <w:t xml:space="preserve"> af modermolekylet og den dealkylerede metabolit.</w:t>
      </w:r>
      <w:r w:rsidRPr="00D8717D">
        <w:rPr>
          <w:noProof/>
          <w:sz w:val="24"/>
          <w:szCs w:val="24"/>
        </w:rPr>
        <w:t xml:space="preserve"> </w:t>
      </w:r>
      <w:proofErr w:type="spellStart"/>
      <w:r w:rsidRPr="00D8717D">
        <w:rPr>
          <w:sz w:val="24"/>
          <w:szCs w:val="24"/>
        </w:rPr>
        <w:t>Norbuprenorphin</w:t>
      </w:r>
      <w:proofErr w:type="spellEnd"/>
      <w:r w:rsidRPr="00D8717D">
        <w:rPr>
          <w:sz w:val="24"/>
          <w:szCs w:val="24"/>
        </w:rPr>
        <w:t xml:space="preserve"> er en µ-agonist (</w:t>
      </w:r>
      <w:proofErr w:type="spellStart"/>
      <w:r w:rsidRPr="00D8717D">
        <w:rPr>
          <w:sz w:val="24"/>
          <w:szCs w:val="24"/>
        </w:rPr>
        <w:t>my</w:t>
      </w:r>
      <w:proofErr w:type="spellEnd"/>
      <w:r w:rsidRPr="00D8717D">
        <w:rPr>
          <w:sz w:val="24"/>
          <w:szCs w:val="24"/>
        </w:rPr>
        <w:t>-agonist) med en svag reel aktivitet.</w:t>
      </w:r>
    </w:p>
    <w:p w:rsidR="002747FA" w:rsidRPr="00D8717D" w:rsidRDefault="002747FA" w:rsidP="002747FA">
      <w:pPr>
        <w:autoSpaceDE w:val="0"/>
        <w:autoSpaceDN w:val="0"/>
        <w:adjustRightInd w:val="0"/>
        <w:ind w:left="851" w:hanging="851"/>
        <w:rPr>
          <w:noProof/>
          <w:sz w:val="24"/>
          <w:szCs w:val="24"/>
        </w:rPr>
      </w:pPr>
    </w:p>
    <w:p w:rsidR="002747FA" w:rsidRPr="00D8717D" w:rsidRDefault="002747FA" w:rsidP="002747FA">
      <w:pPr>
        <w:autoSpaceDE w:val="0"/>
        <w:autoSpaceDN w:val="0"/>
        <w:adjustRightInd w:val="0"/>
        <w:ind w:left="851"/>
        <w:rPr>
          <w:noProof/>
          <w:sz w:val="24"/>
          <w:szCs w:val="24"/>
        </w:rPr>
      </w:pPr>
      <w:r w:rsidRPr="00D8717D">
        <w:rPr>
          <w:sz w:val="24"/>
          <w:szCs w:val="24"/>
        </w:rPr>
        <w:t xml:space="preserve">Elimineringen af </w:t>
      </w:r>
      <w:proofErr w:type="spellStart"/>
      <w:r w:rsidRPr="00D8717D">
        <w:rPr>
          <w:sz w:val="24"/>
          <w:szCs w:val="24"/>
        </w:rPr>
        <w:t>buprenorphin</w:t>
      </w:r>
      <w:proofErr w:type="spellEnd"/>
      <w:r w:rsidRPr="00D8717D">
        <w:rPr>
          <w:sz w:val="24"/>
          <w:szCs w:val="24"/>
        </w:rPr>
        <w:t xml:space="preserve"> er bi- eller trieksponentiel med en lang terminal elimineringsfase på 20-25 timer. Dette kan dels tilskrives </w:t>
      </w:r>
      <w:proofErr w:type="spellStart"/>
      <w:r w:rsidRPr="00D8717D">
        <w:rPr>
          <w:sz w:val="24"/>
          <w:szCs w:val="24"/>
        </w:rPr>
        <w:t>reabsorbering</w:t>
      </w:r>
      <w:proofErr w:type="spellEnd"/>
      <w:r w:rsidRPr="00D8717D">
        <w:rPr>
          <w:sz w:val="24"/>
          <w:szCs w:val="24"/>
        </w:rPr>
        <w:t xml:space="preserve"> af </w:t>
      </w:r>
      <w:proofErr w:type="spellStart"/>
      <w:r w:rsidRPr="00D8717D">
        <w:rPr>
          <w:sz w:val="24"/>
          <w:szCs w:val="24"/>
        </w:rPr>
        <w:t>buprenorphin</w:t>
      </w:r>
      <w:proofErr w:type="spellEnd"/>
      <w:r w:rsidRPr="00D8717D">
        <w:rPr>
          <w:sz w:val="24"/>
          <w:szCs w:val="24"/>
        </w:rPr>
        <w:t xml:space="preserve"> efter hydrolysering i tarmen af det konjugerede derivat og dels molekylets </w:t>
      </w:r>
      <w:proofErr w:type="spellStart"/>
      <w:r w:rsidRPr="00D8717D">
        <w:rPr>
          <w:sz w:val="24"/>
          <w:szCs w:val="24"/>
        </w:rPr>
        <w:t>højlipofile</w:t>
      </w:r>
      <w:proofErr w:type="spellEnd"/>
      <w:r w:rsidRPr="00D8717D">
        <w:rPr>
          <w:sz w:val="24"/>
          <w:szCs w:val="24"/>
        </w:rPr>
        <w:t xml:space="preserve"> natur.</w:t>
      </w:r>
    </w:p>
    <w:p w:rsidR="002747FA" w:rsidRPr="00D8717D" w:rsidRDefault="002747FA" w:rsidP="002747FA">
      <w:pPr>
        <w:autoSpaceDE w:val="0"/>
        <w:autoSpaceDN w:val="0"/>
        <w:adjustRightInd w:val="0"/>
        <w:ind w:left="851" w:hanging="851"/>
        <w:rPr>
          <w:noProof/>
          <w:sz w:val="24"/>
          <w:szCs w:val="24"/>
        </w:rPr>
      </w:pPr>
    </w:p>
    <w:p w:rsidR="002747FA" w:rsidRDefault="002747FA" w:rsidP="002747FA">
      <w:pPr>
        <w:autoSpaceDE w:val="0"/>
        <w:autoSpaceDN w:val="0"/>
        <w:adjustRightInd w:val="0"/>
        <w:ind w:left="851"/>
        <w:rPr>
          <w:sz w:val="24"/>
          <w:szCs w:val="24"/>
        </w:rPr>
      </w:pPr>
      <w:proofErr w:type="spellStart"/>
      <w:r w:rsidRPr="00D8717D">
        <w:rPr>
          <w:sz w:val="24"/>
          <w:szCs w:val="24"/>
        </w:rPr>
        <w:t>Buprenorphin</w:t>
      </w:r>
      <w:proofErr w:type="spellEnd"/>
      <w:r w:rsidRPr="00D8717D">
        <w:rPr>
          <w:sz w:val="24"/>
          <w:szCs w:val="24"/>
        </w:rPr>
        <w:t xml:space="preserve"> elimineres fortrinsvis via fæces ved udskillelse af de </w:t>
      </w:r>
      <w:proofErr w:type="spellStart"/>
      <w:r w:rsidRPr="00D8717D">
        <w:rPr>
          <w:sz w:val="24"/>
          <w:szCs w:val="24"/>
        </w:rPr>
        <w:t>glucurokonjugerede</w:t>
      </w:r>
      <w:proofErr w:type="spellEnd"/>
      <w:r w:rsidRPr="00D8717D">
        <w:rPr>
          <w:sz w:val="24"/>
          <w:szCs w:val="24"/>
        </w:rPr>
        <w:t xml:space="preserve"> metabolitter i galden (70 %). Resten elimineres via urinen.</w:t>
      </w:r>
    </w:p>
    <w:p w:rsidR="002747FA" w:rsidRDefault="002747FA" w:rsidP="002747FA">
      <w:pPr>
        <w:autoSpaceDE w:val="0"/>
        <w:autoSpaceDN w:val="0"/>
        <w:adjustRightInd w:val="0"/>
        <w:ind w:left="851"/>
        <w:rPr>
          <w:sz w:val="24"/>
          <w:szCs w:val="24"/>
        </w:rPr>
      </w:pPr>
    </w:p>
    <w:p w:rsidR="002747FA" w:rsidRPr="0010024B" w:rsidRDefault="002747FA" w:rsidP="002747FA">
      <w:pPr>
        <w:ind w:left="851"/>
        <w:rPr>
          <w:iCs/>
          <w:sz w:val="24"/>
          <w:szCs w:val="24"/>
          <w:u w:val="single"/>
          <w:lang w:eastAsia="ja-JP" w:bidi="da-DK"/>
        </w:rPr>
      </w:pPr>
      <w:r w:rsidRPr="0010024B">
        <w:rPr>
          <w:sz w:val="24"/>
          <w:szCs w:val="24"/>
          <w:u w:val="single"/>
          <w:lang w:eastAsia="ja-JP" w:bidi="da-DK"/>
        </w:rPr>
        <w:t>Nedsat leverfunktion</w:t>
      </w:r>
    </w:p>
    <w:p w:rsidR="002747FA" w:rsidRPr="0010024B" w:rsidRDefault="002747FA" w:rsidP="002747FA">
      <w:pPr>
        <w:ind w:left="851"/>
        <w:rPr>
          <w:sz w:val="24"/>
          <w:szCs w:val="24"/>
          <w:lang w:eastAsia="ja-JP" w:bidi="da-DK"/>
        </w:rPr>
      </w:pPr>
      <w:r w:rsidRPr="0010024B">
        <w:rPr>
          <w:sz w:val="24"/>
          <w:szCs w:val="24"/>
          <w:lang w:eastAsia="ja-JP" w:bidi="da-DK"/>
        </w:rPr>
        <w:t xml:space="preserve">Indvirkningen af nedsat leverfunktion på farmakokinetikken af </w:t>
      </w:r>
      <w:proofErr w:type="spellStart"/>
      <w:r w:rsidRPr="0010024B">
        <w:rPr>
          <w:sz w:val="24"/>
          <w:szCs w:val="24"/>
          <w:lang w:eastAsia="ja-JP" w:bidi="da-DK"/>
        </w:rPr>
        <w:t>buprenorphin</w:t>
      </w:r>
      <w:proofErr w:type="spellEnd"/>
      <w:r w:rsidRPr="0010024B">
        <w:rPr>
          <w:sz w:val="24"/>
          <w:szCs w:val="24"/>
          <w:lang w:eastAsia="ja-JP" w:bidi="da-DK"/>
        </w:rPr>
        <w:t xml:space="preserve"> og </w:t>
      </w:r>
      <w:proofErr w:type="spellStart"/>
      <w:r w:rsidRPr="0010024B">
        <w:rPr>
          <w:sz w:val="24"/>
          <w:szCs w:val="24"/>
          <w:lang w:eastAsia="ja-JP" w:bidi="da-DK"/>
        </w:rPr>
        <w:t>naloxon</w:t>
      </w:r>
      <w:proofErr w:type="spellEnd"/>
      <w:r w:rsidRPr="0010024B">
        <w:rPr>
          <w:sz w:val="24"/>
          <w:szCs w:val="24"/>
          <w:lang w:eastAsia="ja-JP" w:bidi="da-DK"/>
        </w:rPr>
        <w:t xml:space="preserve"> er blevet evalueret i et postmarketingstudie</w:t>
      </w:r>
      <w:r>
        <w:rPr>
          <w:sz w:val="24"/>
          <w:szCs w:val="24"/>
          <w:lang w:eastAsia="ja-JP" w:bidi="da-DK"/>
        </w:rPr>
        <w:t>.</w:t>
      </w:r>
    </w:p>
    <w:p w:rsidR="002747FA" w:rsidRPr="0010024B" w:rsidRDefault="002747FA" w:rsidP="002747FA">
      <w:pPr>
        <w:ind w:left="851"/>
        <w:rPr>
          <w:sz w:val="24"/>
          <w:szCs w:val="24"/>
          <w:lang w:eastAsia="ja-JP" w:bidi="da-DK"/>
        </w:rPr>
      </w:pPr>
    </w:p>
    <w:p w:rsidR="002747FA" w:rsidRPr="0010024B" w:rsidRDefault="002747FA" w:rsidP="002747FA">
      <w:pPr>
        <w:ind w:left="851"/>
        <w:rPr>
          <w:sz w:val="24"/>
          <w:szCs w:val="24"/>
          <w:lang w:eastAsia="ja-JP" w:bidi="da-DK"/>
        </w:rPr>
      </w:pPr>
      <w:r w:rsidRPr="0010024B">
        <w:rPr>
          <w:sz w:val="24"/>
          <w:szCs w:val="24"/>
          <w:lang w:eastAsia="ja-JP" w:bidi="da-DK"/>
        </w:rPr>
        <w:t xml:space="preserve">Tabel 2 opsummerer resultaterne fra et klinisk studie, hvor eksponeringen for </w:t>
      </w:r>
      <w:proofErr w:type="spellStart"/>
      <w:r w:rsidRPr="0010024B">
        <w:rPr>
          <w:sz w:val="24"/>
          <w:szCs w:val="24"/>
          <w:lang w:eastAsia="ja-JP" w:bidi="da-DK"/>
        </w:rPr>
        <w:t>buprenorphin</w:t>
      </w:r>
      <w:proofErr w:type="spellEnd"/>
      <w:r w:rsidRPr="0010024B">
        <w:rPr>
          <w:sz w:val="24"/>
          <w:szCs w:val="24"/>
          <w:lang w:eastAsia="ja-JP" w:bidi="da-DK"/>
        </w:rPr>
        <w:t xml:space="preserve"> blev fastlagt efter administration af en </w:t>
      </w:r>
      <w:proofErr w:type="spellStart"/>
      <w:r w:rsidRPr="0010024B">
        <w:rPr>
          <w:sz w:val="24"/>
          <w:szCs w:val="24"/>
          <w:lang w:eastAsia="ja-JP" w:bidi="da-DK"/>
        </w:rPr>
        <w:t>sublingual</w:t>
      </w:r>
      <w:proofErr w:type="spellEnd"/>
      <w:r w:rsidRPr="0010024B">
        <w:rPr>
          <w:sz w:val="24"/>
          <w:szCs w:val="24"/>
          <w:lang w:eastAsia="ja-JP" w:bidi="da-DK"/>
        </w:rPr>
        <w:t xml:space="preserve"> </w:t>
      </w:r>
      <w:proofErr w:type="spellStart"/>
      <w:r w:rsidRPr="0010024B">
        <w:rPr>
          <w:sz w:val="24"/>
          <w:szCs w:val="24"/>
          <w:lang w:eastAsia="ja-JP" w:bidi="da-DK"/>
        </w:rPr>
        <w:t>resoriblet</w:t>
      </w:r>
      <w:proofErr w:type="spellEnd"/>
      <w:r w:rsidRPr="0010024B">
        <w:rPr>
          <w:sz w:val="24"/>
          <w:szCs w:val="24"/>
          <w:lang w:eastAsia="ja-JP" w:bidi="da-DK"/>
        </w:rPr>
        <w:t xml:space="preserve"> med </w:t>
      </w:r>
      <w:proofErr w:type="spellStart"/>
      <w:r w:rsidRPr="0010024B">
        <w:rPr>
          <w:sz w:val="24"/>
          <w:szCs w:val="24"/>
          <w:lang w:eastAsia="ja-JP" w:bidi="da-DK"/>
        </w:rPr>
        <w:t>buprenorphin</w:t>
      </w:r>
      <w:proofErr w:type="spellEnd"/>
      <w:r w:rsidRPr="0010024B">
        <w:rPr>
          <w:sz w:val="24"/>
          <w:szCs w:val="24"/>
          <w:lang w:eastAsia="ja-JP" w:bidi="da-DK"/>
        </w:rPr>
        <w:t>/</w:t>
      </w:r>
      <w:proofErr w:type="spellStart"/>
      <w:r w:rsidRPr="0010024B">
        <w:rPr>
          <w:sz w:val="24"/>
          <w:szCs w:val="24"/>
          <w:lang w:eastAsia="ja-JP" w:bidi="da-DK"/>
        </w:rPr>
        <w:t>naloxon</w:t>
      </w:r>
      <w:proofErr w:type="spellEnd"/>
      <w:r w:rsidRPr="0010024B">
        <w:rPr>
          <w:sz w:val="24"/>
          <w:szCs w:val="24"/>
          <w:lang w:eastAsia="ja-JP" w:bidi="da-DK"/>
        </w:rPr>
        <w:t xml:space="preserve"> 2,0</w:t>
      </w:r>
      <w:r w:rsidR="00CE77F8">
        <w:rPr>
          <w:sz w:val="24"/>
          <w:szCs w:val="24"/>
          <w:lang w:eastAsia="ja-JP" w:bidi="da-DK"/>
        </w:rPr>
        <w:t> </w:t>
      </w:r>
      <w:r>
        <w:rPr>
          <w:sz w:val="24"/>
          <w:szCs w:val="24"/>
          <w:lang w:eastAsia="ja-JP" w:bidi="da-DK"/>
        </w:rPr>
        <w:t>mg</w:t>
      </w:r>
      <w:r w:rsidRPr="0010024B">
        <w:rPr>
          <w:sz w:val="24"/>
          <w:szCs w:val="24"/>
          <w:lang w:eastAsia="ja-JP" w:bidi="da-DK"/>
        </w:rPr>
        <w:t>/0,5 mg hos raske forsøgsdeltagere og hos forsøgsdeltagere med forskellige grader af leverinsufficiens.</w:t>
      </w:r>
    </w:p>
    <w:p w:rsidR="002747FA" w:rsidRPr="0010024B" w:rsidRDefault="002747FA" w:rsidP="002747FA">
      <w:pPr>
        <w:rPr>
          <w:sz w:val="24"/>
          <w:szCs w:val="24"/>
          <w:lang w:eastAsia="ja-JP" w:bidi="da-DK"/>
        </w:rPr>
      </w:pPr>
    </w:p>
    <w:tbl>
      <w:tblPr>
        <w:tblW w:w="8187"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1E0" w:firstRow="1" w:lastRow="1" w:firstColumn="1" w:lastColumn="1" w:noHBand="0" w:noVBand="0"/>
      </w:tblPr>
      <w:tblGrid>
        <w:gridCol w:w="1482"/>
        <w:gridCol w:w="2418"/>
        <w:gridCol w:w="2336"/>
        <w:gridCol w:w="1951"/>
      </w:tblGrid>
      <w:tr w:rsidR="002747FA" w:rsidRPr="0010024B" w:rsidTr="003B4BCE">
        <w:trPr>
          <w:trHeight w:val="1035"/>
        </w:trPr>
        <w:tc>
          <w:tcPr>
            <w:tcW w:w="8187" w:type="dxa"/>
            <w:gridSpan w:val="4"/>
            <w:vAlign w:val="center"/>
          </w:tcPr>
          <w:p w:rsidR="002747FA" w:rsidRPr="0010024B" w:rsidRDefault="002747FA" w:rsidP="003B4BCE">
            <w:pPr>
              <w:ind w:left="114"/>
              <w:rPr>
                <w:b/>
                <w:sz w:val="24"/>
                <w:szCs w:val="24"/>
                <w:lang w:eastAsia="ja-JP" w:bidi="da-DK"/>
              </w:rPr>
            </w:pPr>
            <w:r w:rsidRPr="0010024B">
              <w:rPr>
                <w:b/>
                <w:sz w:val="24"/>
                <w:szCs w:val="24"/>
                <w:lang w:eastAsia="ja-JP" w:bidi="da-DK"/>
              </w:rPr>
              <w:t xml:space="preserve">Tabel 2: Indvirkning af leverinsufficiens på </w:t>
            </w:r>
            <w:proofErr w:type="spellStart"/>
            <w:r w:rsidRPr="0010024B">
              <w:rPr>
                <w:b/>
                <w:sz w:val="24"/>
                <w:szCs w:val="24"/>
                <w:lang w:eastAsia="ja-JP" w:bidi="da-DK"/>
              </w:rPr>
              <w:t>buprenorphins</w:t>
            </w:r>
            <w:proofErr w:type="spellEnd"/>
            <w:r w:rsidRPr="0010024B">
              <w:rPr>
                <w:b/>
                <w:sz w:val="24"/>
                <w:szCs w:val="24"/>
                <w:lang w:eastAsia="ja-JP" w:bidi="da-DK"/>
              </w:rPr>
              <w:t xml:space="preserve"> </w:t>
            </w:r>
            <w:proofErr w:type="spellStart"/>
            <w:r w:rsidRPr="0010024B">
              <w:rPr>
                <w:b/>
                <w:sz w:val="24"/>
                <w:szCs w:val="24"/>
                <w:lang w:eastAsia="ja-JP" w:bidi="da-DK"/>
              </w:rPr>
              <w:t>farmakokinetiske</w:t>
            </w:r>
            <w:proofErr w:type="spellEnd"/>
            <w:r w:rsidRPr="0010024B">
              <w:rPr>
                <w:b/>
                <w:sz w:val="24"/>
                <w:szCs w:val="24"/>
                <w:lang w:eastAsia="ja-JP" w:bidi="da-DK"/>
              </w:rPr>
              <w:t xml:space="preserve"> parametre efter administration af </w:t>
            </w:r>
            <w:proofErr w:type="spellStart"/>
            <w:r w:rsidRPr="0010024B">
              <w:rPr>
                <w:b/>
                <w:sz w:val="24"/>
                <w:szCs w:val="24"/>
                <w:lang w:eastAsia="ja-JP" w:bidi="da-DK"/>
              </w:rPr>
              <w:t>buprenorphin</w:t>
            </w:r>
            <w:proofErr w:type="spellEnd"/>
            <w:r w:rsidRPr="0010024B">
              <w:rPr>
                <w:b/>
                <w:sz w:val="24"/>
                <w:szCs w:val="24"/>
                <w:lang w:eastAsia="ja-JP" w:bidi="da-DK"/>
              </w:rPr>
              <w:t>/</w:t>
            </w:r>
            <w:proofErr w:type="spellStart"/>
            <w:r w:rsidRPr="0010024B">
              <w:rPr>
                <w:b/>
                <w:sz w:val="24"/>
                <w:szCs w:val="24"/>
                <w:lang w:eastAsia="ja-JP" w:bidi="da-DK"/>
              </w:rPr>
              <w:t>naloxon</w:t>
            </w:r>
            <w:proofErr w:type="spellEnd"/>
            <w:r w:rsidRPr="0010024B">
              <w:rPr>
                <w:b/>
                <w:sz w:val="24"/>
                <w:szCs w:val="24"/>
                <w:lang w:eastAsia="ja-JP" w:bidi="da-DK"/>
              </w:rPr>
              <w:t xml:space="preserve"> (ændring i forhold til raske forsøgsdeltagere)</w:t>
            </w:r>
          </w:p>
        </w:tc>
      </w:tr>
      <w:tr w:rsidR="002747FA" w:rsidRPr="0010024B" w:rsidTr="003B4BCE">
        <w:trPr>
          <w:trHeight w:val="144"/>
        </w:trPr>
        <w:tc>
          <w:tcPr>
            <w:tcW w:w="1482" w:type="dxa"/>
            <w:vAlign w:val="center"/>
          </w:tcPr>
          <w:p w:rsidR="002747FA" w:rsidRPr="0010024B" w:rsidRDefault="002747FA" w:rsidP="003B4BCE">
            <w:pPr>
              <w:ind w:left="114"/>
              <w:rPr>
                <w:b/>
                <w:sz w:val="24"/>
                <w:szCs w:val="24"/>
                <w:lang w:eastAsia="ja-JP" w:bidi="da-DK"/>
              </w:rPr>
            </w:pPr>
            <w:proofErr w:type="spellStart"/>
            <w:r w:rsidRPr="0010024B">
              <w:rPr>
                <w:b/>
                <w:sz w:val="24"/>
                <w:szCs w:val="24"/>
                <w:lang w:eastAsia="ja-JP" w:bidi="da-DK"/>
              </w:rPr>
              <w:t>Farmako</w:t>
            </w:r>
            <w:proofErr w:type="spellEnd"/>
            <w:r w:rsidRPr="0010024B">
              <w:rPr>
                <w:b/>
                <w:sz w:val="24"/>
                <w:szCs w:val="24"/>
                <w:lang w:eastAsia="ja-JP" w:bidi="da-DK"/>
              </w:rPr>
              <w:t xml:space="preserve">-kinetisk </w:t>
            </w:r>
            <w:r w:rsidRPr="0010024B">
              <w:rPr>
                <w:b/>
                <w:sz w:val="24"/>
                <w:szCs w:val="24"/>
                <w:lang w:eastAsia="ja-JP" w:bidi="da-DK"/>
              </w:rPr>
              <w:br/>
              <w:t>parameter</w:t>
            </w:r>
          </w:p>
        </w:tc>
        <w:tc>
          <w:tcPr>
            <w:tcW w:w="2418" w:type="dxa"/>
            <w:vAlign w:val="center"/>
          </w:tcPr>
          <w:p w:rsidR="002747FA" w:rsidRPr="0013073C" w:rsidRDefault="002747FA" w:rsidP="003B4BCE">
            <w:pPr>
              <w:ind w:left="49"/>
              <w:rPr>
                <w:b/>
                <w:sz w:val="24"/>
                <w:szCs w:val="24"/>
                <w:lang w:val="en-US" w:eastAsia="ja-JP" w:bidi="da-DK"/>
              </w:rPr>
            </w:pPr>
            <w:r w:rsidRPr="0013073C">
              <w:rPr>
                <w:b/>
                <w:sz w:val="24"/>
                <w:szCs w:val="24"/>
                <w:lang w:val="en-US" w:eastAsia="ja-JP" w:bidi="da-DK"/>
              </w:rPr>
              <w:t xml:space="preserve">Mild </w:t>
            </w:r>
            <w:proofErr w:type="spellStart"/>
            <w:r w:rsidRPr="0013073C">
              <w:rPr>
                <w:b/>
                <w:sz w:val="24"/>
                <w:szCs w:val="24"/>
                <w:lang w:val="en-US" w:eastAsia="ja-JP" w:bidi="da-DK"/>
              </w:rPr>
              <w:t>leverinsufficiens</w:t>
            </w:r>
            <w:proofErr w:type="spellEnd"/>
          </w:p>
          <w:p w:rsidR="002747FA" w:rsidRPr="00CA3534" w:rsidRDefault="002747FA" w:rsidP="003B4BCE">
            <w:pPr>
              <w:ind w:left="49"/>
              <w:rPr>
                <w:b/>
                <w:sz w:val="24"/>
                <w:szCs w:val="24"/>
                <w:lang w:val="en-US" w:eastAsia="ja-JP" w:bidi="da-DK"/>
              </w:rPr>
            </w:pPr>
            <w:r w:rsidRPr="00CA3534">
              <w:rPr>
                <w:b/>
                <w:sz w:val="24"/>
                <w:szCs w:val="24"/>
                <w:lang w:val="en-US" w:eastAsia="ja-JP" w:bidi="da-DK"/>
              </w:rPr>
              <w:t>(Child-Pugh-</w:t>
            </w:r>
            <w:proofErr w:type="spellStart"/>
            <w:r w:rsidRPr="00CA3534">
              <w:rPr>
                <w:b/>
                <w:sz w:val="24"/>
                <w:szCs w:val="24"/>
                <w:lang w:val="en-US" w:eastAsia="ja-JP" w:bidi="da-DK"/>
              </w:rPr>
              <w:t>klasse</w:t>
            </w:r>
            <w:proofErr w:type="spellEnd"/>
            <w:r w:rsidRPr="00CA3534">
              <w:rPr>
                <w:b/>
                <w:sz w:val="24"/>
                <w:szCs w:val="24"/>
                <w:lang w:val="en-US" w:eastAsia="ja-JP" w:bidi="da-DK"/>
              </w:rPr>
              <w:t xml:space="preserve"> A)</w:t>
            </w:r>
          </w:p>
          <w:p w:rsidR="002747FA" w:rsidRPr="0010024B" w:rsidRDefault="002747FA" w:rsidP="003B4BCE">
            <w:pPr>
              <w:ind w:left="49"/>
              <w:rPr>
                <w:b/>
                <w:sz w:val="24"/>
                <w:szCs w:val="24"/>
                <w:lang w:eastAsia="ja-JP" w:bidi="da-DK"/>
              </w:rPr>
            </w:pPr>
            <w:r w:rsidRPr="0010024B">
              <w:rPr>
                <w:b/>
                <w:sz w:val="24"/>
                <w:szCs w:val="24"/>
                <w:lang w:eastAsia="ja-JP" w:bidi="da-DK"/>
              </w:rPr>
              <w:t>(n=9)</w:t>
            </w:r>
          </w:p>
        </w:tc>
        <w:tc>
          <w:tcPr>
            <w:tcW w:w="2336" w:type="dxa"/>
            <w:vAlign w:val="center"/>
          </w:tcPr>
          <w:p w:rsidR="002747FA" w:rsidRPr="0013073C" w:rsidRDefault="002747FA" w:rsidP="003B4BCE">
            <w:pPr>
              <w:ind w:left="41"/>
              <w:rPr>
                <w:b/>
                <w:sz w:val="24"/>
                <w:szCs w:val="24"/>
                <w:lang w:val="en-US" w:eastAsia="ja-JP" w:bidi="da-DK"/>
              </w:rPr>
            </w:pPr>
            <w:proofErr w:type="spellStart"/>
            <w:r w:rsidRPr="0013073C">
              <w:rPr>
                <w:b/>
                <w:sz w:val="24"/>
                <w:szCs w:val="24"/>
                <w:lang w:val="en-US" w:eastAsia="ja-JP" w:bidi="da-DK"/>
              </w:rPr>
              <w:t>Moderat</w:t>
            </w:r>
            <w:proofErr w:type="spellEnd"/>
            <w:r w:rsidRPr="0013073C">
              <w:rPr>
                <w:b/>
                <w:sz w:val="24"/>
                <w:szCs w:val="24"/>
                <w:lang w:val="en-US" w:eastAsia="ja-JP" w:bidi="da-DK"/>
              </w:rPr>
              <w:t xml:space="preserve"> </w:t>
            </w:r>
            <w:r w:rsidRPr="0013073C">
              <w:rPr>
                <w:b/>
                <w:sz w:val="24"/>
                <w:szCs w:val="24"/>
                <w:lang w:val="en-US" w:eastAsia="ja-JP" w:bidi="da-DK"/>
              </w:rPr>
              <w:br/>
            </w:r>
            <w:proofErr w:type="spellStart"/>
            <w:r w:rsidRPr="0013073C">
              <w:rPr>
                <w:b/>
                <w:sz w:val="24"/>
                <w:szCs w:val="24"/>
                <w:lang w:val="en-US" w:eastAsia="ja-JP" w:bidi="da-DK"/>
              </w:rPr>
              <w:t>leverinsufficiens</w:t>
            </w:r>
            <w:proofErr w:type="spellEnd"/>
          </w:p>
          <w:p w:rsidR="002747FA" w:rsidRPr="00CA3534" w:rsidRDefault="002747FA" w:rsidP="003B4BCE">
            <w:pPr>
              <w:ind w:left="41"/>
              <w:rPr>
                <w:b/>
                <w:sz w:val="24"/>
                <w:szCs w:val="24"/>
                <w:lang w:val="en-US" w:eastAsia="ja-JP" w:bidi="da-DK"/>
              </w:rPr>
            </w:pPr>
            <w:r w:rsidRPr="00CA3534">
              <w:rPr>
                <w:b/>
                <w:sz w:val="24"/>
                <w:szCs w:val="24"/>
                <w:lang w:val="en-US" w:eastAsia="ja-JP" w:bidi="da-DK"/>
              </w:rPr>
              <w:t>(Child-Pugh-</w:t>
            </w:r>
            <w:proofErr w:type="spellStart"/>
            <w:r w:rsidRPr="00CA3534">
              <w:rPr>
                <w:b/>
                <w:sz w:val="24"/>
                <w:szCs w:val="24"/>
                <w:lang w:val="en-US" w:eastAsia="ja-JP" w:bidi="da-DK"/>
              </w:rPr>
              <w:t>klasse</w:t>
            </w:r>
            <w:proofErr w:type="spellEnd"/>
            <w:r w:rsidRPr="00CA3534">
              <w:rPr>
                <w:b/>
                <w:sz w:val="24"/>
                <w:szCs w:val="24"/>
                <w:lang w:val="en-US" w:eastAsia="ja-JP" w:bidi="da-DK"/>
              </w:rPr>
              <w:t xml:space="preserve"> B)</w:t>
            </w:r>
          </w:p>
          <w:p w:rsidR="002747FA" w:rsidRPr="0010024B" w:rsidRDefault="002747FA" w:rsidP="003B4BCE">
            <w:pPr>
              <w:ind w:left="41"/>
              <w:rPr>
                <w:b/>
                <w:sz w:val="24"/>
                <w:szCs w:val="24"/>
                <w:lang w:eastAsia="ja-JP" w:bidi="da-DK"/>
              </w:rPr>
            </w:pPr>
            <w:r w:rsidRPr="0010024B">
              <w:rPr>
                <w:b/>
                <w:sz w:val="24"/>
                <w:szCs w:val="24"/>
                <w:lang w:eastAsia="ja-JP" w:bidi="da-DK"/>
              </w:rPr>
              <w:t>(n=8)</w:t>
            </w:r>
          </w:p>
        </w:tc>
        <w:tc>
          <w:tcPr>
            <w:tcW w:w="1951" w:type="dxa"/>
            <w:vAlign w:val="center"/>
          </w:tcPr>
          <w:p w:rsidR="002747FA" w:rsidRPr="0010024B" w:rsidRDefault="002747FA" w:rsidP="003B4BCE">
            <w:pPr>
              <w:ind w:left="115"/>
              <w:rPr>
                <w:b/>
                <w:sz w:val="24"/>
                <w:szCs w:val="24"/>
                <w:lang w:eastAsia="ja-JP" w:bidi="da-DK"/>
              </w:rPr>
            </w:pPr>
            <w:r w:rsidRPr="0010024B">
              <w:rPr>
                <w:b/>
                <w:sz w:val="24"/>
                <w:szCs w:val="24"/>
                <w:lang w:eastAsia="ja-JP" w:bidi="da-DK"/>
              </w:rPr>
              <w:t xml:space="preserve">Svær </w:t>
            </w:r>
            <w:r w:rsidRPr="0010024B">
              <w:rPr>
                <w:b/>
                <w:sz w:val="24"/>
                <w:szCs w:val="24"/>
                <w:lang w:eastAsia="ja-JP" w:bidi="da-DK"/>
              </w:rPr>
              <w:br/>
              <w:t>leverinsufficiens</w:t>
            </w:r>
          </w:p>
          <w:p w:rsidR="002747FA" w:rsidRPr="0010024B" w:rsidRDefault="002747FA" w:rsidP="003B4BCE">
            <w:pPr>
              <w:ind w:left="115"/>
              <w:rPr>
                <w:b/>
                <w:sz w:val="24"/>
                <w:szCs w:val="24"/>
                <w:lang w:eastAsia="ja-JP" w:bidi="da-DK"/>
              </w:rPr>
            </w:pPr>
            <w:r w:rsidRPr="0010024B">
              <w:rPr>
                <w:b/>
                <w:sz w:val="24"/>
                <w:szCs w:val="24"/>
                <w:lang w:eastAsia="ja-JP" w:bidi="da-DK"/>
              </w:rPr>
              <w:t>(Child-</w:t>
            </w:r>
            <w:proofErr w:type="spellStart"/>
            <w:r w:rsidRPr="0010024B">
              <w:rPr>
                <w:b/>
                <w:sz w:val="24"/>
                <w:szCs w:val="24"/>
                <w:lang w:eastAsia="ja-JP" w:bidi="da-DK"/>
              </w:rPr>
              <w:t>Pugh</w:t>
            </w:r>
            <w:proofErr w:type="spellEnd"/>
            <w:r w:rsidRPr="0010024B">
              <w:rPr>
                <w:b/>
                <w:sz w:val="24"/>
                <w:szCs w:val="24"/>
                <w:lang w:eastAsia="ja-JP" w:bidi="da-DK"/>
              </w:rPr>
              <w:t>-klasse C)</w:t>
            </w:r>
          </w:p>
          <w:p w:rsidR="002747FA" w:rsidRPr="0010024B" w:rsidRDefault="002747FA" w:rsidP="003B4BCE">
            <w:pPr>
              <w:ind w:left="115"/>
              <w:rPr>
                <w:b/>
                <w:sz w:val="24"/>
                <w:szCs w:val="24"/>
                <w:lang w:eastAsia="ja-JP" w:bidi="da-DK"/>
              </w:rPr>
            </w:pPr>
            <w:r w:rsidRPr="0010024B">
              <w:rPr>
                <w:b/>
                <w:sz w:val="24"/>
                <w:szCs w:val="24"/>
                <w:lang w:eastAsia="ja-JP" w:bidi="da-DK"/>
              </w:rPr>
              <w:t>(n=8)</w:t>
            </w:r>
          </w:p>
        </w:tc>
      </w:tr>
      <w:tr w:rsidR="002747FA" w:rsidRPr="0010024B" w:rsidTr="003B4BCE">
        <w:trPr>
          <w:trHeight w:val="144"/>
        </w:trPr>
        <w:tc>
          <w:tcPr>
            <w:tcW w:w="8187" w:type="dxa"/>
            <w:gridSpan w:val="4"/>
          </w:tcPr>
          <w:p w:rsidR="002747FA" w:rsidRPr="0010024B" w:rsidRDefault="002747FA" w:rsidP="003B4BCE">
            <w:pPr>
              <w:ind w:left="851"/>
              <w:rPr>
                <w:b/>
                <w:sz w:val="24"/>
                <w:szCs w:val="24"/>
                <w:lang w:eastAsia="ja-JP" w:bidi="da-DK"/>
              </w:rPr>
            </w:pPr>
            <w:proofErr w:type="spellStart"/>
            <w:r w:rsidRPr="0010024B">
              <w:rPr>
                <w:b/>
                <w:sz w:val="24"/>
                <w:szCs w:val="24"/>
                <w:lang w:eastAsia="ja-JP" w:bidi="da-DK"/>
              </w:rPr>
              <w:t>Buprenorphin</w:t>
            </w:r>
            <w:proofErr w:type="spellEnd"/>
          </w:p>
        </w:tc>
      </w:tr>
      <w:tr w:rsidR="002747FA" w:rsidRPr="0010024B" w:rsidTr="003B4BCE">
        <w:trPr>
          <w:trHeight w:val="144"/>
        </w:trPr>
        <w:tc>
          <w:tcPr>
            <w:tcW w:w="1482" w:type="dxa"/>
            <w:vAlign w:val="center"/>
          </w:tcPr>
          <w:p w:rsidR="002747FA" w:rsidRPr="0010024B" w:rsidRDefault="002747FA" w:rsidP="003B4BCE">
            <w:pPr>
              <w:ind w:left="114"/>
              <w:rPr>
                <w:sz w:val="24"/>
                <w:szCs w:val="24"/>
                <w:lang w:eastAsia="ja-JP" w:bidi="da-DK"/>
              </w:rPr>
            </w:pPr>
            <w:proofErr w:type="spellStart"/>
            <w:r w:rsidRPr="0010024B">
              <w:rPr>
                <w:sz w:val="24"/>
                <w:szCs w:val="24"/>
                <w:lang w:eastAsia="ja-JP" w:bidi="da-DK"/>
              </w:rPr>
              <w:t>C</w:t>
            </w:r>
            <w:r w:rsidRPr="0010024B">
              <w:rPr>
                <w:sz w:val="24"/>
                <w:szCs w:val="24"/>
                <w:vertAlign w:val="subscript"/>
                <w:lang w:eastAsia="ja-JP" w:bidi="da-DK"/>
              </w:rPr>
              <w:t>max</w:t>
            </w:r>
            <w:proofErr w:type="spellEnd"/>
          </w:p>
        </w:tc>
        <w:tc>
          <w:tcPr>
            <w:tcW w:w="2418" w:type="dxa"/>
            <w:vAlign w:val="center"/>
          </w:tcPr>
          <w:p w:rsidR="002747FA" w:rsidRPr="0010024B" w:rsidRDefault="002747FA" w:rsidP="003B4BCE">
            <w:pPr>
              <w:ind w:left="49"/>
              <w:rPr>
                <w:sz w:val="24"/>
                <w:szCs w:val="24"/>
                <w:lang w:eastAsia="ja-JP" w:bidi="da-DK"/>
              </w:rPr>
            </w:pPr>
            <w:r w:rsidRPr="0010024B">
              <w:rPr>
                <w:sz w:val="24"/>
                <w:szCs w:val="24"/>
                <w:lang w:eastAsia="ja-JP" w:bidi="da-DK"/>
              </w:rPr>
              <w:t>1,2-folds stigning</w:t>
            </w:r>
          </w:p>
        </w:tc>
        <w:tc>
          <w:tcPr>
            <w:tcW w:w="2336" w:type="dxa"/>
            <w:vAlign w:val="center"/>
          </w:tcPr>
          <w:p w:rsidR="002747FA" w:rsidRPr="0010024B" w:rsidRDefault="002747FA" w:rsidP="003B4BCE">
            <w:pPr>
              <w:ind w:left="41"/>
              <w:rPr>
                <w:sz w:val="24"/>
                <w:szCs w:val="24"/>
                <w:lang w:eastAsia="ja-JP" w:bidi="da-DK"/>
              </w:rPr>
            </w:pPr>
            <w:r w:rsidRPr="0010024B">
              <w:rPr>
                <w:sz w:val="24"/>
                <w:szCs w:val="24"/>
                <w:lang w:eastAsia="ja-JP" w:bidi="da-DK"/>
              </w:rPr>
              <w:t>1,1-folds stigning</w:t>
            </w:r>
          </w:p>
        </w:tc>
        <w:tc>
          <w:tcPr>
            <w:tcW w:w="1951" w:type="dxa"/>
            <w:vAlign w:val="center"/>
          </w:tcPr>
          <w:p w:rsidR="002747FA" w:rsidRPr="0010024B" w:rsidRDefault="002747FA" w:rsidP="003B4BCE">
            <w:pPr>
              <w:ind w:left="115"/>
              <w:rPr>
                <w:sz w:val="24"/>
                <w:szCs w:val="24"/>
                <w:lang w:eastAsia="ja-JP" w:bidi="da-DK"/>
              </w:rPr>
            </w:pPr>
            <w:r w:rsidRPr="0010024B">
              <w:rPr>
                <w:sz w:val="24"/>
                <w:szCs w:val="24"/>
                <w:lang w:eastAsia="ja-JP" w:bidi="da-DK"/>
              </w:rPr>
              <w:t>1,7-folds stigning</w:t>
            </w:r>
          </w:p>
        </w:tc>
      </w:tr>
      <w:tr w:rsidR="002747FA" w:rsidRPr="0010024B" w:rsidTr="003B4BCE">
        <w:trPr>
          <w:trHeight w:val="144"/>
        </w:trPr>
        <w:tc>
          <w:tcPr>
            <w:tcW w:w="1482" w:type="dxa"/>
            <w:vAlign w:val="center"/>
          </w:tcPr>
          <w:p w:rsidR="002747FA" w:rsidRPr="0010024B" w:rsidRDefault="002747FA" w:rsidP="003B4BCE">
            <w:pPr>
              <w:ind w:left="114"/>
              <w:rPr>
                <w:sz w:val="24"/>
                <w:szCs w:val="24"/>
                <w:lang w:eastAsia="ja-JP" w:bidi="da-DK"/>
              </w:rPr>
            </w:pPr>
            <w:proofErr w:type="spellStart"/>
            <w:r w:rsidRPr="0010024B">
              <w:rPr>
                <w:sz w:val="24"/>
                <w:szCs w:val="24"/>
                <w:lang w:eastAsia="ja-JP" w:bidi="da-DK"/>
              </w:rPr>
              <w:t>AUC</w:t>
            </w:r>
            <w:r w:rsidRPr="0010024B">
              <w:rPr>
                <w:sz w:val="24"/>
                <w:szCs w:val="24"/>
                <w:vertAlign w:val="subscript"/>
                <w:lang w:eastAsia="ja-JP" w:bidi="da-DK"/>
              </w:rPr>
              <w:t>last</w:t>
            </w:r>
            <w:proofErr w:type="spellEnd"/>
          </w:p>
        </w:tc>
        <w:tc>
          <w:tcPr>
            <w:tcW w:w="2418" w:type="dxa"/>
            <w:vAlign w:val="center"/>
          </w:tcPr>
          <w:p w:rsidR="002747FA" w:rsidRPr="0010024B" w:rsidRDefault="002747FA" w:rsidP="003B4BCE">
            <w:pPr>
              <w:ind w:left="49"/>
              <w:rPr>
                <w:sz w:val="24"/>
                <w:szCs w:val="24"/>
                <w:lang w:eastAsia="ja-JP" w:bidi="da-DK"/>
              </w:rPr>
            </w:pPr>
            <w:r w:rsidRPr="0010024B">
              <w:rPr>
                <w:sz w:val="24"/>
                <w:szCs w:val="24"/>
                <w:lang w:eastAsia="ja-JP" w:bidi="da-DK"/>
              </w:rPr>
              <w:t>Som kontrolværdi</w:t>
            </w:r>
          </w:p>
        </w:tc>
        <w:tc>
          <w:tcPr>
            <w:tcW w:w="2336" w:type="dxa"/>
            <w:vAlign w:val="center"/>
          </w:tcPr>
          <w:p w:rsidR="002747FA" w:rsidRPr="0010024B" w:rsidRDefault="002747FA" w:rsidP="003B4BCE">
            <w:pPr>
              <w:ind w:left="41"/>
              <w:rPr>
                <w:sz w:val="24"/>
                <w:szCs w:val="24"/>
                <w:lang w:eastAsia="ja-JP" w:bidi="da-DK"/>
              </w:rPr>
            </w:pPr>
            <w:r w:rsidRPr="0010024B">
              <w:rPr>
                <w:sz w:val="24"/>
                <w:szCs w:val="24"/>
                <w:lang w:eastAsia="ja-JP" w:bidi="da-DK"/>
              </w:rPr>
              <w:t>1,6-folds stigning</w:t>
            </w:r>
          </w:p>
        </w:tc>
        <w:tc>
          <w:tcPr>
            <w:tcW w:w="1951" w:type="dxa"/>
            <w:vAlign w:val="center"/>
          </w:tcPr>
          <w:p w:rsidR="002747FA" w:rsidRPr="0010024B" w:rsidRDefault="002747FA" w:rsidP="003B4BCE">
            <w:pPr>
              <w:ind w:left="115"/>
              <w:rPr>
                <w:sz w:val="24"/>
                <w:szCs w:val="24"/>
                <w:lang w:eastAsia="ja-JP" w:bidi="da-DK"/>
              </w:rPr>
            </w:pPr>
            <w:r w:rsidRPr="0010024B">
              <w:rPr>
                <w:sz w:val="24"/>
                <w:szCs w:val="24"/>
                <w:lang w:eastAsia="ja-JP" w:bidi="da-DK"/>
              </w:rPr>
              <w:t>2,8-folds stigning</w:t>
            </w:r>
          </w:p>
        </w:tc>
      </w:tr>
    </w:tbl>
    <w:p w:rsidR="002747FA" w:rsidRPr="0010024B" w:rsidRDefault="002747FA" w:rsidP="002747FA">
      <w:pPr>
        <w:ind w:left="851"/>
        <w:rPr>
          <w:sz w:val="24"/>
          <w:szCs w:val="24"/>
          <w:lang w:eastAsia="ja-JP" w:bidi="da-DK"/>
        </w:rPr>
      </w:pPr>
    </w:p>
    <w:p w:rsidR="002747FA" w:rsidRPr="0010024B" w:rsidRDefault="002747FA" w:rsidP="002747FA">
      <w:pPr>
        <w:ind w:left="851"/>
        <w:rPr>
          <w:sz w:val="24"/>
          <w:szCs w:val="24"/>
          <w:lang w:eastAsia="ja-JP"/>
        </w:rPr>
      </w:pPr>
      <w:r w:rsidRPr="0010024B">
        <w:rPr>
          <w:sz w:val="24"/>
          <w:szCs w:val="24"/>
          <w:lang w:eastAsia="ja-JP" w:bidi="da-DK"/>
        </w:rPr>
        <w:t xml:space="preserve">Overordnet set var plasmaeksponeringen for </w:t>
      </w:r>
      <w:proofErr w:type="spellStart"/>
      <w:r w:rsidRPr="0010024B">
        <w:rPr>
          <w:sz w:val="24"/>
          <w:szCs w:val="24"/>
          <w:lang w:eastAsia="ja-JP" w:bidi="da-DK"/>
        </w:rPr>
        <w:t>buprenorphin</w:t>
      </w:r>
      <w:proofErr w:type="spellEnd"/>
      <w:r w:rsidRPr="0010024B">
        <w:rPr>
          <w:sz w:val="24"/>
          <w:szCs w:val="24"/>
          <w:lang w:eastAsia="ja-JP" w:bidi="da-DK"/>
        </w:rPr>
        <w:t xml:space="preserve"> cirka 3-foldigt forøget hos patienter med svær leverinsufficiens.</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2747FA" w:rsidRPr="00D8717D" w:rsidRDefault="002747FA" w:rsidP="002747FA">
      <w:pPr>
        <w:autoSpaceDE w:val="0"/>
        <w:autoSpaceDN w:val="0"/>
        <w:adjustRightInd w:val="0"/>
        <w:ind w:left="851" w:hanging="851"/>
        <w:rPr>
          <w:noProof/>
          <w:sz w:val="24"/>
          <w:szCs w:val="24"/>
        </w:rPr>
      </w:pPr>
      <w:r w:rsidRPr="00D8717D">
        <w:rPr>
          <w:sz w:val="24"/>
          <w:szCs w:val="24"/>
        </w:rPr>
        <w:tab/>
      </w:r>
      <w:proofErr w:type="spellStart"/>
      <w:r w:rsidRPr="00D8717D">
        <w:rPr>
          <w:sz w:val="24"/>
          <w:szCs w:val="24"/>
        </w:rPr>
        <w:t>Buprenorphins</w:t>
      </w:r>
      <w:proofErr w:type="spellEnd"/>
      <w:r w:rsidRPr="00D8717D">
        <w:rPr>
          <w:sz w:val="24"/>
          <w:szCs w:val="24"/>
        </w:rPr>
        <w:t xml:space="preserve"> akutte toksicitet blev bestemt hos mus og rotter efter peroral og parenteral administration.</w:t>
      </w:r>
      <w:r w:rsidRPr="00D8717D">
        <w:rPr>
          <w:noProof/>
          <w:sz w:val="24"/>
          <w:szCs w:val="24"/>
        </w:rPr>
        <w:t xml:space="preserve"> </w:t>
      </w:r>
      <w:r w:rsidRPr="00D8717D">
        <w:rPr>
          <w:sz w:val="24"/>
          <w:szCs w:val="24"/>
        </w:rPr>
        <w:t>Medianen af de letale doser (LD</w:t>
      </w:r>
      <w:r w:rsidRPr="00D8717D">
        <w:rPr>
          <w:sz w:val="24"/>
          <w:szCs w:val="24"/>
          <w:vertAlign w:val="subscript"/>
        </w:rPr>
        <w:t>50</w:t>
      </w:r>
      <w:r w:rsidRPr="00D8717D">
        <w:rPr>
          <w:sz w:val="24"/>
          <w:szCs w:val="24"/>
        </w:rPr>
        <w:t xml:space="preserve">) hos mus var 26, 94 og 261 mg/kg ved henholdsvis intravenøs, </w:t>
      </w:r>
      <w:proofErr w:type="spellStart"/>
      <w:r w:rsidRPr="00D8717D">
        <w:rPr>
          <w:sz w:val="24"/>
          <w:szCs w:val="24"/>
        </w:rPr>
        <w:t>intraperitoneal</w:t>
      </w:r>
      <w:proofErr w:type="spellEnd"/>
      <w:r w:rsidRPr="00D8717D">
        <w:rPr>
          <w:sz w:val="24"/>
          <w:szCs w:val="24"/>
        </w:rPr>
        <w:t xml:space="preserve"> og peroral administration.</w:t>
      </w:r>
      <w:r w:rsidRPr="00D8717D">
        <w:rPr>
          <w:noProof/>
          <w:sz w:val="24"/>
          <w:szCs w:val="24"/>
        </w:rPr>
        <w:t xml:space="preserve"> </w:t>
      </w:r>
      <w:r w:rsidRPr="00D8717D">
        <w:rPr>
          <w:sz w:val="24"/>
          <w:szCs w:val="24"/>
        </w:rPr>
        <w:t>LD</w:t>
      </w:r>
      <w:r w:rsidRPr="00D8717D">
        <w:rPr>
          <w:sz w:val="24"/>
          <w:szCs w:val="24"/>
          <w:vertAlign w:val="subscript"/>
        </w:rPr>
        <w:t>50</w:t>
      </w:r>
      <w:r w:rsidRPr="00D8717D">
        <w:rPr>
          <w:sz w:val="24"/>
          <w:szCs w:val="24"/>
        </w:rPr>
        <w:t xml:space="preserve">-værdierne hos rotter var 35, 243 og 600 mg/kg ved henholdsvis intravenøs, </w:t>
      </w:r>
      <w:proofErr w:type="spellStart"/>
      <w:r w:rsidRPr="00D8717D">
        <w:rPr>
          <w:sz w:val="24"/>
          <w:szCs w:val="24"/>
        </w:rPr>
        <w:t>intraperitoneal</w:t>
      </w:r>
      <w:proofErr w:type="spellEnd"/>
      <w:r w:rsidRPr="00D8717D">
        <w:rPr>
          <w:sz w:val="24"/>
          <w:szCs w:val="24"/>
        </w:rPr>
        <w:t xml:space="preserve"> og peroral administration.</w:t>
      </w:r>
    </w:p>
    <w:p w:rsidR="002747FA" w:rsidRPr="00D8717D" w:rsidRDefault="002747FA" w:rsidP="002747FA">
      <w:pPr>
        <w:autoSpaceDE w:val="0"/>
        <w:autoSpaceDN w:val="0"/>
        <w:adjustRightInd w:val="0"/>
        <w:ind w:left="851" w:hanging="851"/>
        <w:rPr>
          <w:noProof/>
          <w:sz w:val="24"/>
          <w:szCs w:val="24"/>
        </w:rPr>
      </w:pPr>
    </w:p>
    <w:p w:rsidR="002747FA" w:rsidRPr="00D8717D" w:rsidRDefault="002747FA" w:rsidP="002747FA">
      <w:pPr>
        <w:autoSpaceDE w:val="0"/>
        <w:autoSpaceDN w:val="0"/>
        <w:adjustRightInd w:val="0"/>
        <w:ind w:left="851"/>
        <w:rPr>
          <w:noProof/>
          <w:sz w:val="24"/>
          <w:szCs w:val="24"/>
        </w:rPr>
      </w:pPr>
      <w:r w:rsidRPr="00D8717D">
        <w:rPr>
          <w:sz w:val="24"/>
          <w:szCs w:val="24"/>
        </w:rPr>
        <w:t xml:space="preserve">Når beagler fik kontinuert subkutan dosering i én måned, rhesusaber peroral dosering i én måned, og rotter og bavianer intramuskulær dosering i 6 måneder, forårsagede </w:t>
      </w:r>
      <w:proofErr w:type="spellStart"/>
      <w:r w:rsidRPr="00D8717D">
        <w:rPr>
          <w:sz w:val="24"/>
          <w:szCs w:val="24"/>
        </w:rPr>
        <w:t>buprenorphin</w:t>
      </w:r>
      <w:proofErr w:type="spellEnd"/>
      <w:r w:rsidRPr="00D8717D">
        <w:rPr>
          <w:sz w:val="24"/>
          <w:szCs w:val="24"/>
        </w:rPr>
        <w:t xml:space="preserve"> bemærkelsesværdigt lave vævs- og biokemiske </w:t>
      </w:r>
      <w:proofErr w:type="spellStart"/>
      <w:r w:rsidRPr="00D8717D">
        <w:rPr>
          <w:sz w:val="24"/>
          <w:szCs w:val="24"/>
        </w:rPr>
        <w:t>toksiciteter</w:t>
      </w:r>
      <w:proofErr w:type="spellEnd"/>
      <w:r w:rsidRPr="00D8717D">
        <w:rPr>
          <w:sz w:val="24"/>
          <w:szCs w:val="24"/>
        </w:rPr>
        <w:t>.</w:t>
      </w:r>
    </w:p>
    <w:p w:rsidR="002747FA" w:rsidRPr="00D8717D" w:rsidRDefault="002747FA" w:rsidP="002747FA">
      <w:pPr>
        <w:autoSpaceDE w:val="0"/>
        <w:autoSpaceDN w:val="0"/>
        <w:adjustRightInd w:val="0"/>
        <w:ind w:left="851" w:hanging="851"/>
        <w:rPr>
          <w:noProof/>
          <w:sz w:val="24"/>
          <w:szCs w:val="24"/>
        </w:rPr>
      </w:pPr>
    </w:p>
    <w:p w:rsidR="002747FA" w:rsidRDefault="002747FA" w:rsidP="002747FA">
      <w:pPr>
        <w:autoSpaceDE w:val="0"/>
        <w:autoSpaceDN w:val="0"/>
        <w:adjustRightInd w:val="0"/>
        <w:ind w:left="851"/>
        <w:rPr>
          <w:noProof/>
          <w:sz w:val="24"/>
          <w:szCs w:val="24"/>
        </w:rPr>
      </w:pPr>
      <w:r>
        <w:rPr>
          <w:sz w:val="24"/>
          <w:szCs w:val="24"/>
        </w:rPr>
        <w:t xml:space="preserve">Det blev ud fra </w:t>
      </w:r>
      <w:proofErr w:type="spellStart"/>
      <w:r>
        <w:rPr>
          <w:sz w:val="24"/>
          <w:szCs w:val="24"/>
        </w:rPr>
        <w:t>teratologistudier</w:t>
      </w:r>
      <w:proofErr w:type="spellEnd"/>
      <w:r>
        <w:rPr>
          <w:sz w:val="24"/>
          <w:szCs w:val="24"/>
        </w:rPr>
        <w:t xml:space="preserve"> hos rotter og kaniner konkluderet, at </w:t>
      </w:r>
      <w:proofErr w:type="spellStart"/>
      <w:r>
        <w:rPr>
          <w:sz w:val="24"/>
          <w:szCs w:val="24"/>
        </w:rPr>
        <w:t>buprenorphin</w:t>
      </w:r>
      <w:proofErr w:type="spellEnd"/>
      <w:r>
        <w:rPr>
          <w:sz w:val="24"/>
          <w:szCs w:val="24"/>
        </w:rPr>
        <w:t xml:space="preserve"> ikke er embryotoksisk eller </w:t>
      </w:r>
      <w:proofErr w:type="spellStart"/>
      <w:r>
        <w:rPr>
          <w:sz w:val="24"/>
          <w:szCs w:val="24"/>
        </w:rPr>
        <w:t>teratogent</w:t>
      </w:r>
      <w:proofErr w:type="spellEnd"/>
      <w:r>
        <w:rPr>
          <w:sz w:val="24"/>
          <w:szCs w:val="24"/>
        </w:rPr>
        <w:t>, og det har ikke nogen udtalte effekter på fravænnings</w:t>
      </w:r>
      <w:r w:rsidR="00867CA2">
        <w:rPr>
          <w:sz w:val="24"/>
          <w:szCs w:val="24"/>
        </w:rPr>
        <w:softHyphen/>
      </w:r>
      <w:r>
        <w:rPr>
          <w:sz w:val="24"/>
          <w:szCs w:val="24"/>
        </w:rPr>
        <w:t>potentialet.</w:t>
      </w:r>
      <w:r>
        <w:rPr>
          <w:noProof/>
          <w:sz w:val="24"/>
          <w:szCs w:val="24"/>
        </w:rPr>
        <w:t xml:space="preserve"> </w:t>
      </w:r>
      <w:r>
        <w:rPr>
          <w:sz w:val="24"/>
          <w:szCs w:val="24"/>
        </w:rPr>
        <w:t>Der var ingen skadelige effekter på rotters fertilitet eller generelle reproduktionsfunktion. Ved den højeste intramuskulære dosis (5 mg/kg/dag) havde mødrene dog noget besvær med fødslen, og der var en høj neonatal mortalitet.</w:t>
      </w:r>
    </w:p>
    <w:p w:rsidR="002747FA" w:rsidRDefault="002747FA" w:rsidP="002747FA">
      <w:pPr>
        <w:autoSpaceDE w:val="0"/>
        <w:autoSpaceDN w:val="0"/>
        <w:adjustRightInd w:val="0"/>
        <w:ind w:left="851" w:hanging="851"/>
        <w:rPr>
          <w:noProof/>
          <w:sz w:val="24"/>
          <w:szCs w:val="24"/>
        </w:rPr>
      </w:pPr>
    </w:p>
    <w:p w:rsidR="002747FA" w:rsidRDefault="002747FA" w:rsidP="002747FA">
      <w:pPr>
        <w:autoSpaceDE w:val="0"/>
        <w:autoSpaceDN w:val="0"/>
        <w:adjustRightInd w:val="0"/>
        <w:ind w:left="851"/>
        <w:rPr>
          <w:noProof/>
          <w:sz w:val="24"/>
          <w:szCs w:val="24"/>
        </w:rPr>
      </w:pPr>
      <w:r>
        <w:rPr>
          <w:sz w:val="24"/>
          <w:szCs w:val="24"/>
        </w:rPr>
        <w:t xml:space="preserve">Hos hunde opstod der minimal til moderat </w:t>
      </w:r>
      <w:proofErr w:type="spellStart"/>
      <w:r>
        <w:rPr>
          <w:sz w:val="24"/>
          <w:szCs w:val="24"/>
        </w:rPr>
        <w:t>galdegangshyperplasi</w:t>
      </w:r>
      <w:proofErr w:type="spellEnd"/>
      <w:r>
        <w:rPr>
          <w:sz w:val="24"/>
          <w:szCs w:val="24"/>
        </w:rPr>
        <w:t xml:space="preserve"> med ledsagende peribiliær fibrose efter peroral administration af en dosis på 75 mg/kg/dag i 52 uger.</w:t>
      </w:r>
    </w:p>
    <w:p w:rsidR="002747FA" w:rsidRPr="00D8717D" w:rsidRDefault="002747FA" w:rsidP="002747FA">
      <w:pPr>
        <w:tabs>
          <w:tab w:val="left" w:pos="851"/>
        </w:tabs>
        <w:ind w:left="851" w:hanging="851"/>
        <w:rPr>
          <w:sz w:val="24"/>
          <w:szCs w:val="24"/>
        </w:rPr>
      </w:pPr>
    </w:p>
    <w:p w:rsidR="00CE77F8" w:rsidRDefault="00CE77F8">
      <w:pPr>
        <w:rPr>
          <w:sz w:val="24"/>
          <w:szCs w:val="24"/>
        </w:rPr>
      </w:pPr>
      <w:r>
        <w:rPr>
          <w:sz w:val="24"/>
          <w:szCs w:val="24"/>
        </w:rPr>
        <w:br w:type="page"/>
      </w:r>
    </w:p>
    <w:p w:rsidR="002747FA" w:rsidRPr="00D8717D" w:rsidRDefault="002747FA" w:rsidP="002747FA">
      <w:pPr>
        <w:tabs>
          <w:tab w:val="left" w:pos="851"/>
        </w:tabs>
        <w:ind w:left="851" w:hanging="851"/>
        <w:rPr>
          <w:sz w:val="24"/>
          <w:szCs w:val="24"/>
        </w:rPr>
      </w:pPr>
      <w:bookmarkStart w:id="3" w:name="_GoBack"/>
      <w:bookmarkEnd w:id="3"/>
    </w:p>
    <w:p w:rsidR="00193CB4" w:rsidRPr="00C84483" w:rsidRDefault="00193CB4" w:rsidP="00193CB4">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193CB4" w:rsidRPr="00BA09F1" w:rsidRDefault="00193CB4" w:rsidP="00193CB4">
      <w:pPr>
        <w:tabs>
          <w:tab w:val="left" w:pos="851"/>
        </w:tabs>
        <w:ind w:left="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6.1</w:t>
      </w:r>
      <w:r w:rsidRPr="00C84483">
        <w:rPr>
          <w:b/>
          <w:sz w:val="24"/>
          <w:szCs w:val="24"/>
        </w:rPr>
        <w:tab/>
        <w:t>Hjælpestoffer</w:t>
      </w:r>
    </w:p>
    <w:p w:rsidR="002747FA" w:rsidRPr="00D8717D" w:rsidRDefault="002747FA" w:rsidP="002747FA">
      <w:pPr>
        <w:ind w:left="851" w:hanging="851"/>
        <w:rPr>
          <w:noProof/>
          <w:sz w:val="24"/>
          <w:szCs w:val="24"/>
        </w:rPr>
      </w:pPr>
      <w:r w:rsidRPr="00D8717D">
        <w:rPr>
          <w:sz w:val="24"/>
          <w:szCs w:val="24"/>
        </w:rPr>
        <w:tab/>
        <w:t>Citronsyre, vandfri</w:t>
      </w:r>
    </w:p>
    <w:p w:rsidR="002747FA" w:rsidRPr="00D8717D" w:rsidRDefault="002747FA" w:rsidP="002747FA">
      <w:pPr>
        <w:ind w:left="851"/>
        <w:rPr>
          <w:noProof/>
          <w:sz w:val="24"/>
          <w:szCs w:val="24"/>
        </w:rPr>
      </w:pPr>
      <w:proofErr w:type="spellStart"/>
      <w:r w:rsidRPr="00D8717D">
        <w:rPr>
          <w:sz w:val="24"/>
          <w:szCs w:val="24"/>
        </w:rPr>
        <w:t>Lactosemonohydrat</w:t>
      </w:r>
      <w:proofErr w:type="spellEnd"/>
    </w:p>
    <w:p w:rsidR="002747FA" w:rsidRPr="00D8717D" w:rsidRDefault="002747FA" w:rsidP="002747FA">
      <w:pPr>
        <w:ind w:left="851"/>
        <w:rPr>
          <w:noProof/>
          <w:sz w:val="24"/>
          <w:szCs w:val="24"/>
        </w:rPr>
      </w:pPr>
      <w:proofErr w:type="spellStart"/>
      <w:r w:rsidRPr="00D8717D">
        <w:rPr>
          <w:sz w:val="24"/>
          <w:szCs w:val="24"/>
        </w:rPr>
        <w:t>Mannitol</w:t>
      </w:r>
      <w:proofErr w:type="spellEnd"/>
    </w:p>
    <w:p w:rsidR="002747FA" w:rsidRPr="00D8717D" w:rsidRDefault="002747FA" w:rsidP="002747FA">
      <w:pPr>
        <w:ind w:left="851"/>
        <w:rPr>
          <w:noProof/>
          <w:sz w:val="24"/>
          <w:szCs w:val="24"/>
        </w:rPr>
      </w:pPr>
      <w:r w:rsidRPr="00D8717D">
        <w:rPr>
          <w:sz w:val="24"/>
          <w:szCs w:val="24"/>
        </w:rPr>
        <w:t>Natriumcitrat</w:t>
      </w:r>
    </w:p>
    <w:p w:rsidR="002747FA" w:rsidRPr="00D8717D" w:rsidRDefault="002747FA" w:rsidP="002747FA">
      <w:pPr>
        <w:ind w:left="851"/>
        <w:rPr>
          <w:noProof/>
          <w:sz w:val="24"/>
          <w:szCs w:val="24"/>
        </w:rPr>
      </w:pPr>
      <w:proofErr w:type="spellStart"/>
      <w:r w:rsidRPr="00D8717D">
        <w:rPr>
          <w:sz w:val="24"/>
          <w:szCs w:val="24"/>
        </w:rPr>
        <w:t>Natriumstearylfumarat</w:t>
      </w:r>
      <w:proofErr w:type="spellEnd"/>
    </w:p>
    <w:p w:rsidR="002747FA" w:rsidRPr="00D8717D" w:rsidRDefault="002747FA" w:rsidP="002747FA">
      <w:pPr>
        <w:ind w:left="851"/>
        <w:rPr>
          <w:noProof/>
          <w:sz w:val="24"/>
          <w:szCs w:val="24"/>
        </w:rPr>
      </w:pPr>
      <w:r w:rsidRPr="00D8717D">
        <w:rPr>
          <w:sz w:val="24"/>
          <w:szCs w:val="24"/>
        </w:rPr>
        <w:t>Prægelatineret stivelse (majs)</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6.2</w:t>
      </w:r>
      <w:r w:rsidRPr="00C84483">
        <w:rPr>
          <w:b/>
          <w:sz w:val="24"/>
          <w:szCs w:val="24"/>
        </w:rPr>
        <w:tab/>
        <w:t>Uforligeligheder</w:t>
      </w:r>
    </w:p>
    <w:p w:rsidR="002747FA" w:rsidRPr="00D8717D" w:rsidRDefault="002747FA" w:rsidP="002747FA">
      <w:pPr>
        <w:ind w:left="851" w:hanging="851"/>
        <w:rPr>
          <w:noProof/>
          <w:sz w:val="24"/>
          <w:szCs w:val="24"/>
        </w:rPr>
      </w:pPr>
      <w:r w:rsidRPr="00D8717D">
        <w:rPr>
          <w:sz w:val="24"/>
          <w:szCs w:val="24"/>
        </w:rPr>
        <w:tab/>
        <w:t>Ikke relevant.</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6.3</w:t>
      </w:r>
      <w:r w:rsidRPr="00C84483">
        <w:rPr>
          <w:b/>
          <w:sz w:val="24"/>
          <w:szCs w:val="24"/>
        </w:rPr>
        <w:tab/>
        <w:t>Opbevaringstid</w:t>
      </w:r>
    </w:p>
    <w:p w:rsidR="002747FA" w:rsidRPr="00D8717D" w:rsidRDefault="002747FA" w:rsidP="002747FA">
      <w:pPr>
        <w:ind w:left="851" w:hanging="851"/>
        <w:rPr>
          <w:noProof/>
          <w:sz w:val="24"/>
          <w:szCs w:val="24"/>
        </w:rPr>
      </w:pPr>
      <w:r w:rsidRPr="00D8717D">
        <w:rPr>
          <w:sz w:val="24"/>
          <w:szCs w:val="24"/>
        </w:rPr>
        <w:tab/>
        <w:t>18 måneder.</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2747FA" w:rsidRPr="00D8717D" w:rsidRDefault="002747FA" w:rsidP="002747FA">
      <w:pPr>
        <w:autoSpaceDE w:val="0"/>
        <w:autoSpaceDN w:val="0"/>
        <w:adjustRightInd w:val="0"/>
        <w:ind w:left="851" w:hanging="851"/>
        <w:rPr>
          <w:noProof/>
          <w:sz w:val="24"/>
          <w:szCs w:val="24"/>
        </w:rPr>
      </w:pPr>
      <w:r w:rsidRPr="00D8717D">
        <w:rPr>
          <w:sz w:val="24"/>
          <w:szCs w:val="24"/>
        </w:rPr>
        <w:tab/>
        <w:t>Dette lægemiddel kræver ingen særlige forholdsregler vedrørende opbevaringen.</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2747FA" w:rsidRPr="00D8717D" w:rsidRDefault="002747FA" w:rsidP="002747FA">
      <w:pPr>
        <w:autoSpaceDE w:val="0"/>
        <w:autoSpaceDN w:val="0"/>
        <w:adjustRightInd w:val="0"/>
        <w:ind w:left="851" w:hanging="851"/>
        <w:rPr>
          <w:noProof/>
          <w:sz w:val="24"/>
          <w:szCs w:val="24"/>
        </w:rPr>
      </w:pPr>
      <w:r>
        <w:rPr>
          <w:sz w:val="24"/>
          <w:szCs w:val="24"/>
        </w:rPr>
        <w:tab/>
        <w:t>Blisterpakning</w:t>
      </w:r>
      <w:r w:rsidRPr="00D8717D">
        <w:rPr>
          <w:sz w:val="24"/>
          <w:szCs w:val="24"/>
        </w:rPr>
        <w:t xml:space="preserve"> af PVC/PVDC-aluminium.</w:t>
      </w:r>
    </w:p>
    <w:p w:rsidR="002747FA" w:rsidRPr="00D8717D" w:rsidRDefault="002747FA" w:rsidP="002747FA">
      <w:pPr>
        <w:autoSpaceDE w:val="0"/>
        <w:autoSpaceDN w:val="0"/>
        <w:adjustRightInd w:val="0"/>
        <w:ind w:left="851" w:hanging="851"/>
        <w:rPr>
          <w:noProof/>
          <w:sz w:val="24"/>
          <w:szCs w:val="24"/>
        </w:rPr>
      </w:pPr>
    </w:p>
    <w:p w:rsidR="002747FA" w:rsidRPr="00D8717D" w:rsidRDefault="002747FA" w:rsidP="002747FA">
      <w:pPr>
        <w:autoSpaceDE w:val="0"/>
        <w:autoSpaceDN w:val="0"/>
        <w:adjustRightInd w:val="0"/>
        <w:ind w:left="851"/>
        <w:rPr>
          <w:noProof/>
          <w:sz w:val="24"/>
          <w:szCs w:val="24"/>
          <w:lang w:val="nb-NO"/>
        </w:rPr>
      </w:pPr>
      <w:r w:rsidRPr="00D8717D">
        <w:rPr>
          <w:sz w:val="24"/>
          <w:szCs w:val="24"/>
          <w:lang w:val="nb-NO"/>
        </w:rPr>
        <w:t xml:space="preserve">Pakningsstørrelser: 7, 10, 20, 24, 28, 30, 48 </w:t>
      </w:r>
      <w:r>
        <w:rPr>
          <w:sz w:val="24"/>
          <w:szCs w:val="24"/>
          <w:lang w:val="nb-NO"/>
        </w:rPr>
        <w:t>og</w:t>
      </w:r>
      <w:r w:rsidRPr="00D8717D">
        <w:rPr>
          <w:sz w:val="24"/>
          <w:szCs w:val="24"/>
          <w:lang w:val="nb-NO"/>
        </w:rPr>
        <w:t xml:space="preserve"> 50 </w:t>
      </w:r>
      <w:r>
        <w:rPr>
          <w:sz w:val="24"/>
          <w:szCs w:val="24"/>
          <w:lang w:val="nb-NO"/>
        </w:rPr>
        <w:t>stk</w:t>
      </w:r>
      <w:r w:rsidRPr="00D8717D">
        <w:rPr>
          <w:sz w:val="24"/>
          <w:szCs w:val="24"/>
          <w:lang w:val="nb-NO"/>
        </w:rPr>
        <w:t>.</w:t>
      </w:r>
    </w:p>
    <w:p w:rsidR="002747FA" w:rsidRPr="00D8717D" w:rsidRDefault="002747FA" w:rsidP="002747FA">
      <w:pPr>
        <w:autoSpaceDE w:val="0"/>
        <w:autoSpaceDN w:val="0"/>
        <w:adjustRightInd w:val="0"/>
        <w:ind w:left="851"/>
        <w:rPr>
          <w:noProof/>
          <w:sz w:val="24"/>
          <w:szCs w:val="24"/>
        </w:rPr>
      </w:pPr>
      <w:r w:rsidRPr="00D8717D">
        <w:rPr>
          <w:sz w:val="24"/>
          <w:szCs w:val="24"/>
        </w:rPr>
        <w:t>Ikke alle pakningsstørrelser er nødvendigvis markedsført.</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2747FA" w:rsidRPr="00D8717D" w:rsidRDefault="002747FA" w:rsidP="002747FA">
      <w:pPr>
        <w:autoSpaceDE w:val="0"/>
        <w:autoSpaceDN w:val="0"/>
        <w:adjustRightInd w:val="0"/>
        <w:ind w:left="851" w:hanging="851"/>
        <w:rPr>
          <w:noProof/>
          <w:sz w:val="24"/>
          <w:szCs w:val="24"/>
        </w:rPr>
      </w:pPr>
      <w:r w:rsidRPr="00D8717D">
        <w:rPr>
          <w:sz w:val="24"/>
          <w:szCs w:val="24"/>
        </w:rPr>
        <w:tab/>
        <w:t>Ingen særlige forholdsregler.</w:t>
      </w:r>
    </w:p>
    <w:p w:rsidR="002747FA" w:rsidRPr="00D8717D" w:rsidRDefault="002747FA" w:rsidP="002747FA">
      <w:pPr>
        <w:tabs>
          <w:tab w:val="left" w:pos="851"/>
        </w:tabs>
        <w:ind w:left="851" w:hanging="851"/>
        <w:jc w:val="both"/>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2747FA" w:rsidRPr="005E23BA" w:rsidRDefault="002747FA" w:rsidP="002747FA">
      <w:pPr>
        <w:ind w:left="851" w:hanging="851"/>
        <w:rPr>
          <w:noProof/>
          <w:sz w:val="24"/>
          <w:szCs w:val="24"/>
          <w:lang w:val="en-US"/>
        </w:rPr>
      </w:pPr>
      <w:r w:rsidRPr="00D8717D">
        <w:rPr>
          <w:sz w:val="24"/>
          <w:szCs w:val="24"/>
        </w:rPr>
        <w:tab/>
      </w:r>
      <w:r w:rsidRPr="005E23BA">
        <w:rPr>
          <w:noProof/>
          <w:sz w:val="24"/>
          <w:szCs w:val="24"/>
          <w:lang w:val="en-US"/>
        </w:rPr>
        <w:t>Sandoz A/S</w:t>
      </w:r>
    </w:p>
    <w:p w:rsidR="002747FA" w:rsidRPr="005E23BA" w:rsidRDefault="002747FA" w:rsidP="002747FA">
      <w:pPr>
        <w:ind w:left="851"/>
        <w:rPr>
          <w:noProof/>
          <w:sz w:val="24"/>
          <w:szCs w:val="24"/>
          <w:lang w:val="en-US"/>
        </w:rPr>
      </w:pPr>
      <w:r w:rsidRPr="005E23BA">
        <w:rPr>
          <w:noProof/>
          <w:sz w:val="24"/>
          <w:szCs w:val="24"/>
          <w:lang w:val="en-US"/>
        </w:rPr>
        <w:t>Edvard Thomsens Vej 14</w:t>
      </w:r>
    </w:p>
    <w:p w:rsidR="002747FA" w:rsidRDefault="002747FA" w:rsidP="002747FA">
      <w:pPr>
        <w:ind w:left="851"/>
        <w:rPr>
          <w:noProof/>
          <w:sz w:val="24"/>
          <w:szCs w:val="24"/>
        </w:rPr>
      </w:pPr>
      <w:r w:rsidRPr="00D8717D">
        <w:rPr>
          <w:noProof/>
          <w:sz w:val="24"/>
          <w:szCs w:val="24"/>
        </w:rPr>
        <w:t>2300 København S</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2747FA" w:rsidRPr="00D8717D" w:rsidRDefault="002747FA" w:rsidP="002747FA">
      <w:pPr>
        <w:tabs>
          <w:tab w:val="left" w:pos="851"/>
          <w:tab w:val="left" w:pos="1560"/>
        </w:tabs>
        <w:ind w:left="851" w:hanging="851"/>
        <w:rPr>
          <w:sz w:val="24"/>
          <w:szCs w:val="24"/>
        </w:rPr>
      </w:pPr>
      <w:r w:rsidRPr="00D8717D">
        <w:rPr>
          <w:sz w:val="24"/>
          <w:szCs w:val="24"/>
        </w:rPr>
        <w:tab/>
        <w:t>2 mg</w:t>
      </w:r>
      <w:r>
        <w:rPr>
          <w:sz w:val="24"/>
          <w:szCs w:val="24"/>
        </w:rPr>
        <w:t>:</w:t>
      </w:r>
      <w:r>
        <w:rPr>
          <w:sz w:val="24"/>
          <w:szCs w:val="24"/>
        </w:rPr>
        <w:tab/>
        <w:t>46122</w:t>
      </w:r>
    </w:p>
    <w:p w:rsidR="002747FA" w:rsidRPr="00D8717D" w:rsidRDefault="002747FA" w:rsidP="002747FA">
      <w:pPr>
        <w:tabs>
          <w:tab w:val="left" w:pos="851"/>
          <w:tab w:val="left" w:pos="1560"/>
        </w:tabs>
        <w:ind w:left="851" w:hanging="851"/>
        <w:rPr>
          <w:sz w:val="24"/>
          <w:szCs w:val="24"/>
        </w:rPr>
      </w:pPr>
      <w:r>
        <w:rPr>
          <w:sz w:val="24"/>
          <w:szCs w:val="24"/>
        </w:rPr>
        <w:tab/>
      </w:r>
      <w:r w:rsidRPr="00D8717D">
        <w:rPr>
          <w:sz w:val="24"/>
          <w:szCs w:val="24"/>
        </w:rPr>
        <w:t>8 mg</w:t>
      </w:r>
      <w:r>
        <w:rPr>
          <w:sz w:val="24"/>
          <w:szCs w:val="24"/>
        </w:rPr>
        <w:t>:</w:t>
      </w:r>
      <w:r>
        <w:rPr>
          <w:sz w:val="24"/>
          <w:szCs w:val="24"/>
        </w:rPr>
        <w:tab/>
        <w:t>46123</w:t>
      </w:r>
    </w:p>
    <w:p w:rsidR="002747FA" w:rsidRPr="00D8717D" w:rsidRDefault="002747FA" w:rsidP="002747FA">
      <w:pPr>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2747FA" w:rsidRPr="00D8717D" w:rsidRDefault="002747FA" w:rsidP="002747FA">
      <w:pPr>
        <w:tabs>
          <w:tab w:val="left" w:pos="851"/>
        </w:tabs>
        <w:ind w:left="851" w:hanging="851"/>
        <w:rPr>
          <w:sz w:val="24"/>
          <w:szCs w:val="24"/>
        </w:rPr>
      </w:pPr>
      <w:r w:rsidRPr="00D8717D">
        <w:rPr>
          <w:sz w:val="24"/>
          <w:szCs w:val="24"/>
        </w:rPr>
        <w:tab/>
        <w:t>31. august 2011</w:t>
      </w:r>
    </w:p>
    <w:p w:rsidR="002747FA" w:rsidRPr="00D8717D" w:rsidRDefault="002747FA" w:rsidP="002747FA">
      <w:pPr>
        <w:tabs>
          <w:tab w:val="left" w:pos="851"/>
        </w:tabs>
        <w:ind w:left="851" w:hanging="851"/>
        <w:rPr>
          <w:sz w:val="24"/>
          <w:szCs w:val="24"/>
        </w:rPr>
      </w:pPr>
    </w:p>
    <w:p w:rsidR="00193CB4" w:rsidRPr="00C84483" w:rsidRDefault="00193CB4" w:rsidP="00193CB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2747FA" w:rsidRPr="00D8717D" w:rsidRDefault="002747FA" w:rsidP="002747FA">
      <w:pPr>
        <w:tabs>
          <w:tab w:val="left" w:pos="851"/>
        </w:tabs>
        <w:ind w:left="851" w:hanging="851"/>
        <w:rPr>
          <w:sz w:val="24"/>
          <w:szCs w:val="24"/>
        </w:rPr>
      </w:pPr>
      <w:r w:rsidRPr="00D8717D">
        <w:rPr>
          <w:sz w:val="24"/>
          <w:szCs w:val="24"/>
        </w:rPr>
        <w:tab/>
      </w:r>
      <w:r w:rsidR="00193CB4">
        <w:rPr>
          <w:sz w:val="24"/>
          <w:szCs w:val="24"/>
        </w:rPr>
        <w:t>25. marts 2025</w:t>
      </w:r>
    </w:p>
    <w:sectPr w:rsidR="002747FA" w:rsidRPr="00D8717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7FA" w:rsidRDefault="002747FA">
      <w:r>
        <w:separator/>
      </w:r>
    </w:p>
  </w:endnote>
  <w:endnote w:type="continuationSeparator" w:id="0">
    <w:p w:rsidR="002747FA" w:rsidRDefault="0027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4D"/>
    <w:family w:val="roman"/>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E5D1D">
      <w:rPr>
        <w:i/>
        <w:noProof/>
        <w:sz w:val="18"/>
        <w:szCs w:val="18"/>
      </w:rPr>
      <w:t>Buprenorphine Sandoz, sublinguale resoribletter 2 mg og 8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7FA" w:rsidRDefault="002747FA">
      <w:r>
        <w:separator/>
      </w:r>
    </w:p>
  </w:footnote>
  <w:footnote w:type="continuationSeparator" w:id="0">
    <w:p w:rsidR="002747FA" w:rsidRDefault="00274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C54F4E"/>
    <w:multiLevelType w:val="hybridMultilevel"/>
    <w:tmpl w:val="B57CFF86"/>
    <w:lvl w:ilvl="0" w:tplc="24B81722">
      <w:start w:val="4"/>
      <w:numFmt w:val="bullet"/>
      <w:lvlText w:val="-"/>
      <w:lvlJc w:val="left"/>
      <w:pPr>
        <w:ind w:left="4188"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 w15:restartNumberingAfterBreak="0">
    <w:nsid w:val="1D725FAD"/>
    <w:multiLevelType w:val="hybridMultilevel"/>
    <w:tmpl w:val="8C4CD9AC"/>
    <w:lvl w:ilvl="0" w:tplc="04090001">
      <w:start w:val="1"/>
      <w:numFmt w:val="bullet"/>
      <w:lvlText w:val=""/>
      <w:lvlJc w:val="left"/>
      <w:pPr>
        <w:tabs>
          <w:tab w:val="num" w:pos="2992"/>
        </w:tabs>
        <w:ind w:left="2992" w:hanging="360"/>
      </w:pPr>
      <w:rPr>
        <w:rFonts w:ascii="Symbol" w:hAnsi="Symbol" w:hint="default"/>
      </w:rPr>
    </w:lvl>
    <w:lvl w:ilvl="1" w:tplc="04090003">
      <w:start w:val="1"/>
      <w:numFmt w:val="bullet"/>
      <w:lvlText w:val="o"/>
      <w:lvlJc w:val="left"/>
      <w:pPr>
        <w:tabs>
          <w:tab w:val="num" w:pos="3712"/>
        </w:tabs>
        <w:ind w:left="3712"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EDC695B"/>
    <w:multiLevelType w:val="hybridMultilevel"/>
    <w:tmpl w:val="0706B314"/>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1E3BF7"/>
    <w:multiLevelType w:val="hybridMultilevel"/>
    <w:tmpl w:val="6FF2F2E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num>
  <w:num w:numId="9">
    <w:abstractNumId w:val="7"/>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FA"/>
    <w:rsid w:val="000206E9"/>
    <w:rsid w:val="000259B9"/>
    <w:rsid w:val="00041491"/>
    <w:rsid w:val="00050D16"/>
    <w:rsid w:val="00074F2A"/>
    <w:rsid w:val="000A1CA8"/>
    <w:rsid w:val="000A466B"/>
    <w:rsid w:val="000B058C"/>
    <w:rsid w:val="000B293F"/>
    <w:rsid w:val="000E4EE6"/>
    <w:rsid w:val="001454E2"/>
    <w:rsid w:val="00193CB4"/>
    <w:rsid w:val="00206CE8"/>
    <w:rsid w:val="0021526C"/>
    <w:rsid w:val="0026235E"/>
    <w:rsid w:val="002747FA"/>
    <w:rsid w:val="00283A2B"/>
    <w:rsid w:val="002B30AD"/>
    <w:rsid w:val="002C2C01"/>
    <w:rsid w:val="002D312C"/>
    <w:rsid w:val="00370306"/>
    <w:rsid w:val="003A29AE"/>
    <w:rsid w:val="003A32D7"/>
    <w:rsid w:val="003B1AF8"/>
    <w:rsid w:val="003B4074"/>
    <w:rsid w:val="003C769A"/>
    <w:rsid w:val="003F1838"/>
    <w:rsid w:val="003F6BCA"/>
    <w:rsid w:val="00420694"/>
    <w:rsid w:val="0045746C"/>
    <w:rsid w:val="0049104B"/>
    <w:rsid w:val="004E3B12"/>
    <w:rsid w:val="00525D4F"/>
    <w:rsid w:val="00532310"/>
    <w:rsid w:val="00560ECC"/>
    <w:rsid w:val="00565F0F"/>
    <w:rsid w:val="00594A86"/>
    <w:rsid w:val="00596D86"/>
    <w:rsid w:val="005B798F"/>
    <w:rsid w:val="006369DE"/>
    <w:rsid w:val="00637F5A"/>
    <w:rsid w:val="00655C63"/>
    <w:rsid w:val="006560B1"/>
    <w:rsid w:val="006756DD"/>
    <w:rsid w:val="006A6480"/>
    <w:rsid w:val="00705AAB"/>
    <w:rsid w:val="007072F0"/>
    <w:rsid w:val="00716BB1"/>
    <w:rsid w:val="00737275"/>
    <w:rsid w:val="00740EEC"/>
    <w:rsid w:val="0078011A"/>
    <w:rsid w:val="00782AF4"/>
    <w:rsid w:val="00790EE7"/>
    <w:rsid w:val="007B6649"/>
    <w:rsid w:val="0081546F"/>
    <w:rsid w:val="0082576E"/>
    <w:rsid w:val="008274A1"/>
    <w:rsid w:val="00867CA2"/>
    <w:rsid w:val="008B2883"/>
    <w:rsid w:val="008D6A16"/>
    <w:rsid w:val="008E1253"/>
    <w:rsid w:val="00907F75"/>
    <w:rsid w:val="009260DE"/>
    <w:rsid w:val="0093258A"/>
    <w:rsid w:val="00957A3E"/>
    <w:rsid w:val="0096429A"/>
    <w:rsid w:val="009C7BA3"/>
    <w:rsid w:val="009D1F5A"/>
    <w:rsid w:val="009E3807"/>
    <w:rsid w:val="00A1374B"/>
    <w:rsid w:val="00A473F9"/>
    <w:rsid w:val="00AF652D"/>
    <w:rsid w:val="00B003BF"/>
    <w:rsid w:val="00B373D7"/>
    <w:rsid w:val="00B76696"/>
    <w:rsid w:val="00C36276"/>
    <w:rsid w:val="00C42586"/>
    <w:rsid w:val="00C60CCD"/>
    <w:rsid w:val="00C67F32"/>
    <w:rsid w:val="00C83CC2"/>
    <w:rsid w:val="00C84483"/>
    <w:rsid w:val="00C95551"/>
    <w:rsid w:val="00CB20D7"/>
    <w:rsid w:val="00CE4186"/>
    <w:rsid w:val="00CE77F8"/>
    <w:rsid w:val="00D020B0"/>
    <w:rsid w:val="00D11748"/>
    <w:rsid w:val="00D1210B"/>
    <w:rsid w:val="00D366CF"/>
    <w:rsid w:val="00D5027B"/>
    <w:rsid w:val="00D82171"/>
    <w:rsid w:val="00DB350F"/>
    <w:rsid w:val="00DE439F"/>
    <w:rsid w:val="00E108AA"/>
    <w:rsid w:val="00E31812"/>
    <w:rsid w:val="00E33ED9"/>
    <w:rsid w:val="00E3749A"/>
    <w:rsid w:val="00E56FB3"/>
    <w:rsid w:val="00E7437F"/>
    <w:rsid w:val="00E865B8"/>
    <w:rsid w:val="00EC0B9B"/>
    <w:rsid w:val="00ED5E9F"/>
    <w:rsid w:val="00EE5D1D"/>
    <w:rsid w:val="00EF0EED"/>
    <w:rsid w:val="00F110AE"/>
    <w:rsid w:val="00F4691B"/>
    <w:rsid w:val="00F66D4F"/>
    <w:rsid w:val="00FA494C"/>
    <w:rsid w:val="00FB6D01"/>
    <w:rsid w:val="00FE39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837C7"/>
  <w15:chartTrackingRefBased/>
  <w15:docId w15:val="{A6E4BF61-0F13-4A6E-8C38-D9D32180E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nhideWhenUsed/>
    <w:rsid w:val="002747FA"/>
    <w:rPr>
      <w:rFonts w:ascii="Arial" w:hAnsi="Arial"/>
      <w:b/>
      <w:sz w:val="20"/>
      <w:lang w:val="en-GB"/>
    </w:rPr>
  </w:style>
  <w:style w:type="character" w:customStyle="1" w:styleId="BrdtekstTegn">
    <w:name w:val="Brødtekst Tegn"/>
    <w:basedOn w:val="Standardskrifttypeiafsnit"/>
    <w:link w:val="Brdtekst"/>
    <w:rsid w:val="002747FA"/>
    <w:rPr>
      <w:rFonts w:ascii="Arial" w:hAnsi="Arial"/>
      <w:b/>
      <w:lang w:val="en-GB" w:eastAsia="en-US"/>
    </w:rPr>
  </w:style>
  <w:style w:type="paragraph" w:styleId="Fodnotetekst">
    <w:name w:val="footnote text"/>
    <w:basedOn w:val="Normal"/>
    <w:link w:val="FodnotetekstTegn"/>
    <w:semiHidden/>
    <w:unhideWhenUsed/>
    <w:rsid w:val="002747FA"/>
    <w:pPr>
      <w:ind w:left="-284"/>
    </w:pPr>
    <w:rPr>
      <w:rFonts w:ascii="Arial" w:hAnsi="Arial"/>
      <w:color w:val="000000"/>
      <w:sz w:val="20"/>
      <w:lang w:val="en-GB"/>
    </w:rPr>
  </w:style>
  <w:style w:type="character" w:customStyle="1" w:styleId="FodnotetekstTegn">
    <w:name w:val="Fodnotetekst Tegn"/>
    <w:basedOn w:val="Standardskrifttypeiafsnit"/>
    <w:link w:val="Fodnotetekst"/>
    <w:semiHidden/>
    <w:rsid w:val="002747FA"/>
    <w:rPr>
      <w:rFonts w:ascii="Arial" w:hAnsi="Arial"/>
      <w:color w:val="000000"/>
      <w:lang w:val="en-GB" w:eastAsia="en-US"/>
    </w:rPr>
  </w:style>
  <w:style w:type="paragraph" w:styleId="Listeafsnit">
    <w:name w:val="List Paragraph"/>
    <w:basedOn w:val="Normal"/>
    <w:qFormat/>
    <w:rsid w:val="002747FA"/>
    <w:pPr>
      <w:ind w:left="720"/>
      <w:contextualSpacing/>
    </w:pPr>
  </w:style>
  <w:style w:type="character" w:styleId="Hyperlink">
    <w:name w:val="Hyperlink"/>
    <w:basedOn w:val="Standardskrifttypeiafsnit"/>
    <w:uiPriority w:val="99"/>
    <w:unhideWhenUsed/>
    <w:rsid w:val="00525D4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2688386">
      <w:bodyDiv w:val="1"/>
      <w:marLeft w:val="0"/>
      <w:marRight w:val="0"/>
      <w:marTop w:val="0"/>
      <w:marBottom w:val="0"/>
      <w:divBdr>
        <w:top w:val="none" w:sz="0" w:space="0" w:color="auto"/>
        <w:left w:val="none" w:sz="0" w:space="0" w:color="auto"/>
        <w:bottom w:val="none" w:sz="0" w:space="0" w:color="auto"/>
        <w:right w:val="none" w:sz="0" w:space="0" w:color="auto"/>
      </w:divBdr>
    </w:div>
    <w:div w:id="830296926">
      <w:bodyDiv w:val="1"/>
      <w:marLeft w:val="0"/>
      <w:marRight w:val="0"/>
      <w:marTop w:val="0"/>
      <w:marBottom w:val="0"/>
      <w:divBdr>
        <w:top w:val="none" w:sz="0" w:space="0" w:color="auto"/>
        <w:left w:val="none" w:sz="0" w:space="0" w:color="auto"/>
        <w:bottom w:val="none" w:sz="0" w:space="0" w:color="auto"/>
        <w:right w:val="none" w:sz="0" w:space="0" w:color="auto"/>
      </w:divBdr>
    </w:div>
    <w:div w:id="1159417552">
      <w:bodyDiv w:val="1"/>
      <w:marLeft w:val="0"/>
      <w:marRight w:val="0"/>
      <w:marTop w:val="0"/>
      <w:marBottom w:val="0"/>
      <w:divBdr>
        <w:top w:val="none" w:sz="0" w:space="0" w:color="auto"/>
        <w:left w:val="none" w:sz="0" w:space="0" w:color="auto"/>
        <w:bottom w:val="none" w:sz="0" w:space="0" w:color="auto"/>
        <w:right w:val="none" w:sz="0" w:space="0" w:color="auto"/>
      </w:divBdr>
    </w:div>
    <w:div w:id="140294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15</Pages>
  <Words>4609</Words>
  <Characters>31696</Characters>
  <Application>Microsoft Office Word</Application>
  <DocSecurity>0</DocSecurity>
  <Lines>264</Lines>
  <Paragraphs>72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2024081093, var. 20, pkt. 4.2, 4.4, 4.5, 4.8 </dc:description>
  <cp:lastModifiedBy>Gitte Jørgensen</cp:lastModifiedBy>
  <cp:revision>10</cp:revision>
  <cp:lastPrinted>2020-09-03T06:28:00Z</cp:lastPrinted>
  <dcterms:created xsi:type="dcterms:W3CDTF">2025-03-25T12:24:00Z</dcterms:created>
  <dcterms:modified xsi:type="dcterms:W3CDTF">2025-03-25T12:41:00Z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