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04" w:rsidRPr="008F49E1" w:rsidRDefault="00895B04" w:rsidP="00895B04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805C7C6" wp14:editId="40CDF44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95B04" w:rsidRPr="00C84483" w:rsidRDefault="00895B04" w:rsidP="00895B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95B04" w:rsidRPr="00C84483" w:rsidRDefault="00895B04" w:rsidP="00895B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876CD">
        <w:rPr>
          <w:szCs w:val="24"/>
        </w:rPr>
        <w:t>24</w:t>
      </w:r>
      <w:r w:rsidR="00222E67">
        <w:rPr>
          <w:szCs w:val="24"/>
        </w:rPr>
        <w:t>. februar 202</w:t>
      </w:r>
      <w:r w:rsidR="008876CD">
        <w:rPr>
          <w:szCs w:val="24"/>
        </w:rPr>
        <w:t>2</w:t>
      </w:r>
    </w:p>
    <w:p w:rsidR="00895B04" w:rsidRPr="00C84483" w:rsidRDefault="00895B04" w:rsidP="00895B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95B04" w:rsidRPr="00C84483" w:rsidRDefault="00895B04" w:rsidP="00895B04">
      <w:pPr>
        <w:pStyle w:val="Titel"/>
        <w:jc w:val="left"/>
        <w:rPr>
          <w:b w:val="0"/>
          <w:szCs w:val="24"/>
        </w:rPr>
      </w:pPr>
    </w:p>
    <w:p w:rsidR="00895B04" w:rsidRPr="00C84483" w:rsidRDefault="00895B04" w:rsidP="00895B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95B04" w:rsidRPr="00C84483" w:rsidRDefault="00895B04" w:rsidP="00895B04">
      <w:pPr>
        <w:jc w:val="center"/>
        <w:rPr>
          <w:b/>
          <w:sz w:val="24"/>
          <w:szCs w:val="24"/>
        </w:rPr>
      </w:pPr>
    </w:p>
    <w:p w:rsidR="00895B04" w:rsidRDefault="00895B04" w:rsidP="00895B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95B04" w:rsidRPr="00C84483" w:rsidRDefault="00895B04" w:rsidP="00895B04">
      <w:pPr>
        <w:jc w:val="center"/>
        <w:rPr>
          <w:b/>
          <w:sz w:val="24"/>
          <w:szCs w:val="24"/>
        </w:rPr>
      </w:pPr>
    </w:p>
    <w:p w:rsidR="00895B04" w:rsidRPr="00C84483" w:rsidRDefault="00895B04" w:rsidP="00895B0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Buronil</w:t>
      </w:r>
      <w:proofErr w:type="spellEnd"/>
      <w:r>
        <w:rPr>
          <w:b/>
          <w:sz w:val="24"/>
          <w:szCs w:val="24"/>
        </w:rPr>
        <w:t>, filmovertrukne tabletter</w:t>
      </w:r>
    </w:p>
    <w:p w:rsidR="00895B04" w:rsidRPr="00C84483" w:rsidRDefault="00895B04" w:rsidP="00895B04">
      <w:pPr>
        <w:jc w:val="both"/>
        <w:rPr>
          <w:sz w:val="24"/>
          <w:szCs w:val="24"/>
        </w:rPr>
      </w:pPr>
    </w:p>
    <w:p w:rsidR="00895B04" w:rsidRPr="00C84483" w:rsidRDefault="00895B04" w:rsidP="00895B04">
      <w:pPr>
        <w:jc w:val="both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02818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Buronil</w:t>
      </w:r>
      <w:proofErr w:type="spellEnd"/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895B04" w:rsidRPr="008E6B05" w:rsidRDefault="00895B04" w:rsidP="00895B04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  <w:lang w:eastAsia="da-DK"/>
        </w:rPr>
        <w:t xml:space="preserve">En tablet indeholder 25 mg </w:t>
      </w:r>
      <w:proofErr w:type="spellStart"/>
      <w:r>
        <w:rPr>
          <w:spacing w:val="-3"/>
          <w:sz w:val="24"/>
          <w:szCs w:val="24"/>
          <w:lang w:eastAsia="da-DK"/>
        </w:rPr>
        <w:t>melperonhydrochlorid</w:t>
      </w:r>
      <w:proofErr w:type="spellEnd"/>
      <w:r>
        <w:rPr>
          <w:spacing w:val="-3"/>
          <w:sz w:val="24"/>
          <w:szCs w:val="24"/>
          <w:lang w:eastAsia="da-DK"/>
        </w:rPr>
        <w:t>.</w:t>
      </w:r>
    </w:p>
    <w:p w:rsidR="00895B04" w:rsidRPr="008E6B05" w:rsidRDefault="00895B04" w:rsidP="00895B04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</w:p>
    <w:p w:rsidR="00895B04" w:rsidRPr="008E6B05" w:rsidRDefault="00895B04" w:rsidP="00895B04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  <w:r w:rsidRPr="008E6B05">
        <w:rPr>
          <w:spacing w:val="-3"/>
          <w:sz w:val="24"/>
          <w:szCs w:val="24"/>
          <w:lang w:eastAsia="da-DK"/>
        </w:rPr>
        <w:t>Hjælpestof:</w:t>
      </w:r>
      <w:r>
        <w:rPr>
          <w:spacing w:val="-3"/>
          <w:sz w:val="24"/>
          <w:szCs w:val="24"/>
          <w:lang w:eastAsia="da-DK"/>
        </w:rPr>
        <w:t xml:space="preserve"> En tablet indeholder </w:t>
      </w:r>
      <w:r w:rsidRPr="008E6B05">
        <w:rPr>
          <w:spacing w:val="-3"/>
          <w:sz w:val="24"/>
          <w:szCs w:val="24"/>
          <w:lang w:eastAsia="da-DK"/>
        </w:rPr>
        <w:t xml:space="preserve">98,26 mg </w:t>
      </w:r>
      <w:proofErr w:type="spellStart"/>
      <w:r w:rsidRPr="008E6B05">
        <w:rPr>
          <w:spacing w:val="-3"/>
          <w:sz w:val="24"/>
          <w:szCs w:val="24"/>
          <w:lang w:eastAsia="da-DK"/>
        </w:rPr>
        <w:t>lactosemonohydrat</w:t>
      </w:r>
      <w:proofErr w:type="spellEnd"/>
      <w:r>
        <w:rPr>
          <w:spacing w:val="-3"/>
          <w:sz w:val="24"/>
          <w:szCs w:val="24"/>
          <w:lang w:eastAsia="da-DK"/>
        </w:rPr>
        <w:t>.</w:t>
      </w:r>
    </w:p>
    <w:p w:rsidR="00895B04" w:rsidRPr="008E6B05" w:rsidRDefault="00895B04" w:rsidP="00895B04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</w:p>
    <w:p w:rsidR="00895B04" w:rsidRPr="008E6B05" w:rsidRDefault="00895B04" w:rsidP="00895B04">
      <w:pPr>
        <w:tabs>
          <w:tab w:val="left" w:pos="0"/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  <w:r w:rsidRPr="008E6B05">
        <w:rPr>
          <w:spacing w:val="-3"/>
          <w:sz w:val="24"/>
          <w:szCs w:val="24"/>
          <w:lang w:eastAsia="da-DK"/>
        </w:rPr>
        <w:t>Alle hjælpestoffer er anført under pkt. 6.1.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95B04" w:rsidRDefault="00895B04" w:rsidP="00895B04">
      <w:pPr>
        <w:tabs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  <w:r w:rsidRPr="00413A49">
        <w:rPr>
          <w:spacing w:val="-3"/>
          <w:sz w:val="24"/>
          <w:szCs w:val="24"/>
          <w:lang w:eastAsia="da-DK"/>
        </w:rPr>
        <w:t>Filmovertrukne tabletter</w:t>
      </w:r>
    </w:p>
    <w:p w:rsidR="00895B04" w:rsidRPr="00413A49" w:rsidRDefault="00895B04" w:rsidP="00895B04">
      <w:pPr>
        <w:tabs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</w:p>
    <w:p w:rsidR="00895B04" w:rsidRPr="0025186A" w:rsidRDefault="00895B04" w:rsidP="00895B04">
      <w:pPr>
        <w:tabs>
          <w:tab w:val="left" w:pos="851"/>
        </w:tabs>
        <w:ind w:left="851"/>
        <w:jc w:val="both"/>
        <w:rPr>
          <w:spacing w:val="-3"/>
          <w:sz w:val="24"/>
          <w:szCs w:val="24"/>
          <w:lang w:eastAsia="da-DK"/>
        </w:rPr>
      </w:pPr>
      <w:r w:rsidRPr="00413A49">
        <w:rPr>
          <w:sz w:val="24"/>
          <w:szCs w:val="24"/>
          <w:lang w:eastAsia="da-DK"/>
        </w:rPr>
        <w:t xml:space="preserve">Runde, </w:t>
      </w:r>
      <w:proofErr w:type="spellStart"/>
      <w:r w:rsidRPr="00413A49">
        <w:rPr>
          <w:sz w:val="24"/>
          <w:szCs w:val="24"/>
          <w:lang w:eastAsia="da-DK"/>
        </w:rPr>
        <w:t>bikonvekse</w:t>
      </w:r>
      <w:proofErr w:type="spellEnd"/>
      <w:r w:rsidRPr="00413A49">
        <w:rPr>
          <w:sz w:val="24"/>
          <w:szCs w:val="24"/>
          <w:lang w:eastAsia="da-DK"/>
        </w:rPr>
        <w:t>, lysegule, filmovertrukne tabletter.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>Psykotiske tilstande bortset fra depressioner.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42DC6" w:rsidRDefault="00895B04" w:rsidP="00642DC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55C4D">
        <w:rPr>
          <w:sz w:val="24"/>
          <w:szCs w:val="24"/>
          <w:u w:val="single"/>
        </w:rPr>
        <w:t>Dosering</w:t>
      </w:r>
    </w:p>
    <w:p w:rsidR="00895B04" w:rsidRDefault="00895B04" w:rsidP="00895B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95B04" w:rsidRPr="00AD79B4" w:rsidRDefault="00895B04" w:rsidP="00895B04">
      <w:pPr>
        <w:tabs>
          <w:tab w:val="left" w:pos="851"/>
        </w:tabs>
        <w:ind w:left="851"/>
        <w:rPr>
          <w:i/>
          <w:sz w:val="24"/>
          <w:szCs w:val="24"/>
        </w:rPr>
      </w:pPr>
      <w:r w:rsidRPr="00AD79B4">
        <w:rPr>
          <w:i/>
          <w:sz w:val="24"/>
          <w:szCs w:val="24"/>
        </w:rPr>
        <w:t>Voksne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>Individuel</w:t>
      </w:r>
      <w:r>
        <w:rPr>
          <w:sz w:val="24"/>
          <w:szCs w:val="24"/>
        </w:rPr>
        <w:t>,</w:t>
      </w:r>
      <w:r w:rsidRPr="00655C4D">
        <w:rPr>
          <w:sz w:val="24"/>
          <w:szCs w:val="24"/>
        </w:rPr>
        <w:t xml:space="preserve"> 25-400 mg daglig, evt. op til 600 mg daglig fordelt på flere doser.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AD79B4" w:rsidRDefault="00895B04" w:rsidP="00895B04">
      <w:pPr>
        <w:tabs>
          <w:tab w:val="left" w:pos="851"/>
        </w:tabs>
        <w:ind w:left="851"/>
        <w:rPr>
          <w:i/>
          <w:sz w:val="24"/>
          <w:szCs w:val="24"/>
        </w:rPr>
      </w:pPr>
      <w:r w:rsidRPr="00AD79B4">
        <w:rPr>
          <w:i/>
          <w:sz w:val="24"/>
          <w:szCs w:val="24"/>
        </w:rPr>
        <w:t>Pædiatrisk population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>Der foreligger ingen</w:t>
      </w:r>
      <w:r>
        <w:rPr>
          <w:sz w:val="24"/>
          <w:szCs w:val="24"/>
        </w:rPr>
        <w:t xml:space="preserve"> data.</w:t>
      </w:r>
    </w:p>
    <w:p w:rsidR="00895B04" w:rsidRDefault="00895B04" w:rsidP="00895B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Overfølsomhed over for det aktive stof eller over for et eller flere af hjælpestofferne anført i pkt. 6.1.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Kredsløbskollaps.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proofErr w:type="gramStart"/>
      <w:r w:rsidRPr="00655C4D">
        <w:rPr>
          <w:sz w:val="24"/>
          <w:szCs w:val="24"/>
        </w:rPr>
        <w:t>CNS depression</w:t>
      </w:r>
      <w:proofErr w:type="gramEnd"/>
      <w:r w:rsidRPr="00655C4D">
        <w:rPr>
          <w:sz w:val="24"/>
          <w:szCs w:val="24"/>
        </w:rPr>
        <w:t xml:space="preserve">, som skyldes alkohol eller andet stof med CNS depressiv effekt. 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Komatøs tilstand.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 xml:space="preserve">Hæmatologisk </w:t>
      </w:r>
      <w:proofErr w:type="spellStart"/>
      <w:r w:rsidRPr="00655C4D">
        <w:rPr>
          <w:sz w:val="24"/>
          <w:szCs w:val="24"/>
        </w:rPr>
        <w:t>dyskrasi</w:t>
      </w:r>
      <w:proofErr w:type="spellEnd"/>
      <w:r w:rsidRPr="00655C4D">
        <w:rPr>
          <w:sz w:val="24"/>
          <w:szCs w:val="24"/>
        </w:rPr>
        <w:t>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i/>
          <w:sz w:val="24"/>
          <w:szCs w:val="24"/>
        </w:rPr>
      </w:pPr>
      <w:proofErr w:type="spellStart"/>
      <w:r w:rsidRPr="00655C4D">
        <w:rPr>
          <w:sz w:val="24"/>
          <w:szCs w:val="24"/>
        </w:rPr>
        <w:t>Fæokromocytom</w:t>
      </w:r>
      <w:proofErr w:type="spellEnd"/>
      <w:r w:rsidRPr="00655C4D">
        <w:rPr>
          <w:sz w:val="24"/>
          <w:szCs w:val="24"/>
        </w:rPr>
        <w:t>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i/>
          <w:sz w:val="24"/>
          <w:szCs w:val="24"/>
        </w:rPr>
      </w:pPr>
      <w:r w:rsidRPr="00655C4D">
        <w:rPr>
          <w:sz w:val="24"/>
          <w:szCs w:val="24"/>
        </w:rPr>
        <w:t>Svær leverinsufficiens.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Ekstrapyramidale sygdomstilstande.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Første trimester graviditet.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95B04" w:rsidRPr="00655C4D" w:rsidRDefault="00895B04" w:rsidP="00895B04">
      <w:pPr>
        <w:tabs>
          <w:tab w:val="left" w:pos="851"/>
        </w:tabs>
        <w:ind w:left="851"/>
        <w:rPr>
          <w:b/>
          <w:sz w:val="24"/>
          <w:szCs w:val="24"/>
        </w:rPr>
      </w:pPr>
      <w:r w:rsidRPr="00655C4D">
        <w:rPr>
          <w:sz w:val="24"/>
          <w:szCs w:val="24"/>
        </w:rPr>
        <w:t xml:space="preserve">Tilfælde af venøs </w:t>
      </w:r>
      <w:proofErr w:type="spellStart"/>
      <w:r w:rsidRPr="00655C4D">
        <w:rPr>
          <w:sz w:val="24"/>
          <w:szCs w:val="24"/>
        </w:rPr>
        <w:t>tromboemboli</w:t>
      </w:r>
      <w:proofErr w:type="spellEnd"/>
      <w:r w:rsidRPr="00655C4D">
        <w:rPr>
          <w:sz w:val="24"/>
          <w:szCs w:val="24"/>
        </w:rPr>
        <w:t xml:space="preserve"> (VTE) er blevet rapporteret hos patienter i behandling med antipsykotika. Patienter i behandling med antipsykotika har ofte erhvervede risikofaktorer for VTE. Derfor bør alle mulige risikofaktorer for VTE klarlægges før og under behandling med </w:t>
      </w:r>
      <w:proofErr w:type="spellStart"/>
      <w:r w:rsidRPr="00655C4D">
        <w:rPr>
          <w:sz w:val="24"/>
          <w:szCs w:val="24"/>
        </w:rPr>
        <w:t>Buronil</w:t>
      </w:r>
      <w:proofErr w:type="spellEnd"/>
      <w:r w:rsidRPr="00655C4D">
        <w:rPr>
          <w:sz w:val="24"/>
          <w:szCs w:val="24"/>
        </w:rPr>
        <w:t>, og der bør tages forebyggende forholdsregler.</w:t>
      </w:r>
    </w:p>
    <w:p w:rsidR="00895B04" w:rsidRPr="00655C4D" w:rsidRDefault="00895B04" w:rsidP="00895B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>Patienter med følgende sygdomme/lidelser bør følges nøje under behandlingen: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kardiovaskulære</w:t>
      </w:r>
      <w:proofErr w:type="spellEnd"/>
      <w:r w:rsidRPr="00655C4D">
        <w:rPr>
          <w:sz w:val="24"/>
          <w:szCs w:val="24"/>
        </w:rPr>
        <w:t xml:space="preserve"> lidelser, bradykardi, </w:t>
      </w:r>
      <w:proofErr w:type="spellStart"/>
      <w:r w:rsidRPr="00655C4D">
        <w:rPr>
          <w:sz w:val="24"/>
          <w:szCs w:val="24"/>
        </w:rPr>
        <w:t>hypokaliæmi</w:t>
      </w:r>
      <w:proofErr w:type="spellEnd"/>
      <w:r w:rsidRPr="00655C4D">
        <w:rPr>
          <w:sz w:val="24"/>
          <w:szCs w:val="24"/>
        </w:rPr>
        <w:t xml:space="preserve"> eller familiær historie af QT-forlængelse, på grund af risiko for forværring af langt QT-syndrom.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organisk hjernesyndrom.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mental retardering.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 xml:space="preserve">snævervinklet </w:t>
      </w:r>
      <w:proofErr w:type="spellStart"/>
      <w:r w:rsidRPr="00655C4D">
        <w:rPr>
          <w:sz w:val="24"/>
          <w:szCs w:val="24"/>
        </w:rPr>
        <w:t>glaukom</w:t>
      </w:r>
      <w:proofErr w:type="spellEnd"/>
      <w:r w:rsidRPr="00655C4D">
        <w:rPr>
          <w:sz w:val="24"/>
          <w:szCs w:val="24"/>
        </w:rPr>
        <w:t>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 xml:space="preserve">prostatahypertrofi. 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myasthenia</w:t>
      </w:r>
      <w:proofErr w:type="spellEnd"/>
      <w:r w:rsidRPr="00655C4D">
        <w:rPr>
          <w:sz w:val="24"/>
          <w:szCs w:val="24"/>
        </w:rPr>
        <w:t xml:space="preserve"> </w:t>
      </w:r>
      <w:proofErr w:type="spellStart"/>
      <w:r w:rsidRPr="00655C4D">
        <w:rPr>
          <w:sz w:val="24"/>
          <w:szCs w:val="24"/>
        </w:rPr>
        <w:t>gravis</w:t>
      </w:r>
      <w:proofErr w:type="spellEnd"/>
      <w:r w:rsidRPr="00655C4D">
        <w:rPr>
          <w:sz w:val="24"/>
          <w:szCs w:val="24"/>
        </w:rPr>
        <w:t>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 xml:space="preserve">svært nedsat lever-og nyrefunktion.  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epilepsi og ved tilstande, som er prædisponerede for kramper (f.eks. alkoholafvænning og hjerneskade). På grund af risiko for nedsat krampetærskel og udløsning af kramper.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 xml:space="preserve">ved samtidig behandling med andre antipsykotika og stoffer, som virker depressivt på centralnervesystemet, specielt alkohol, </w:t>
      </w:r>
      <w:proofErr w:type="spellStart"/>
      <w:r w:rsidRPr="00655C4D">
        <w:rPr>
          <w:sz w:val="24"/>
          <w:szCs w:val="24"/>
        </w:rPr>
        <w:t>hypnotika</w:t>
      </w:r>
      <w:proofErr w:type="spellEnd"/>
      <w:r w:rsidRPr="00655C4D">
        <w:rPr>
          <w:sz w:val="24"/>
          <w:szCs w:val="24"/>
        </w:rPr>
        <w:t xml:space="preserve"> (sovemedicin), </w:t>
      </w:r>
      <w:proofErr w:type="spellStart"/>
      <w:r w:rsidRPr="00655C4D">
        <w:rPr>
          <w:sz w:val="24"/>
          <w:szCs w:val="24"/>
        </w:rPr>
        <w:t>phenobarbital</w:t>
      </w:r>
      <w:proofErr w:type="spellEnd"/>
      <w:r w:rsidRPr="00655C4D">
        <w:rPr>
          <w:sz w:val="24"/>
          <w:szCs w:val="24"/>
        </w:rPr>
        <w:t xml:space="preserve"> og benzodiazepiner. Kombinationen bør undgås (se pkt. 4.5). </w:t>
      </w:r>
    </w:p>
    <w:p w:rsidR="00895B04" w:rsidRPr="00655C4D" w:rsidRDefault="00895B04" w:rsidP="00895B04">
      <w:pPr>
        <w:numPr>
          <w:ilvl w:val="0"/>
          <w:numId w:val="4"/>
        </w:numPr>
        <w:tabs>
          <w:tab w:val="left" w:pos="851"/>
        </w:tabs>
        <w:rPr>
          <w:sz w:val="24"/>
          <w:szCs w:val="24"/>
        </w:rPr>
      </w:pPr>
      <w:r w:rsidRPr="00655C4D">
        <w:rPr>
          <w:sz w:val="24"/>
          <w:szCs w:val="24"/>
        </w:rPr>
        <w:t>ældre patienter med demensrelateret psykose, på grund af risiko for højere dødelighed.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bCs/>
          <w:sz w:val="24"/>
          <w:szCs w:val="24"/>
          <w:u w:val="single"/>
        </w:rPr>
        <w:t xml:space="preserve">Malignt </w:t>
      </w:r>
      <w:proofErr w:type="spellStart"/>
      <w:r w:rsidRPr="00655C4D">
        <w:rPr>
          <w:bCs/>
          <w:sz w:val="24"/>
          <w:szCs w:val="24"/>
          <w:u w:val="single"/>
        </w:rPr>
        <w:t>neuroleptikasyndrom</w:t>
      </w:r>
      <w:proofErr w:type="spellEnd"/>
      <w:r w:rsidRPr="00655C4D">
        <w:rPr>
          <w:sz w:val="24"/>
          <w:szCs w:val="24"/>
          <w:u w:val="single"/>
        </w:rPr>
        <w:t xml:space="preserve"> 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Malignt </w:t>
      </w:r>
      <w:proofErr w:type="spellStart"/>
      <w:r w:rsidRPr="00655C4D">
        <w:rPr>
          <w:sz w:val="24"/>
          <w:szCs w:val="24"/>
        </w:rPr>
        <w:t>neuroleptikasyndrom</w:t>
      </w:r>
      <w:proofErr w:type="spellEnd"/>
      <w:r w:rsidRPr="00655C4D">
        <w:rPr>
          <w:sz w:val="24"/>
          <w:szCs w:val="24"/>
        </w:rPr>
        <w:t xml:space="preserve"> karakteriseret ved </w:t>
      </w:r>
      <w:proofErr w:type="spellStart"/>
      <w:r w:rsidRPr="00655C4D">
        <w:rPr>
          <w:sz w:val="24"/>
          <w:szCs w:val="24"/>
        </w:rPr>
        <w:t>hypertermi</w:t>
      </w:r>
      <w:proofErr w:type="spellEnd"/>
      <w:r w:rsidRPr="00655C4D">
        <w:rPr>
          <w:sz w:val="24"/>
          <w:szCs w:val="24"/>
        </w:rPr>
        <w:t xml:space="preserve">, muskelrigiditet, autonom inhabilitet, påvirket bevidsthedsniveau og forhøjet serum </w:t>
      </w:r>
      <w:proofErr w:type="spellStart"/>
      <w:r w:rsidRPr="00655C4D">
        <w:rPr>
          <w:sz w:val="24"/>
          <w:szCs w:val="24"/>
        </w:rPr>
        <w:t>kreatin</w:t>
      </w:r>
      <w:proofErr w:type="spellEnd"/>
      <w:r w:rsidRPr="00655C4D">
        <w:rPr>
          <w:sz w:val="24"/>
          <w:szCs w:val="24"/>
        </w:rPr>
        <w:t xml:space="preserve"> </w:t>
      </w:r>
      <w:proofErr w:type="spellStart"/>
      <w:r w:rsidRPr="00655C4D">
        <w:rPr>
          <w:sz w:val="24"/>
          <w:szCs w:val="24"/>
        </w:rPr>
        <w:t>phosphokinase</w:t>
      </w:r>
      <w:proofErr w:type="spellEnd"/>
      <w:r w:rsidRPr="00655C4D">
        <w:rPr>
          <w:sz w:val="24"/>
          <w:szCs w:val="24"/>
        </w:rPr>
        <w:t xml:space="preserve"> er rapporteret for antipsykotika.  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Hvis de nævnte symptomer opstår skal </w:t>
      </w:r>
      <w:proofErr w:type="spellStart"/>
      <w:r w:rsidRPr="00655C4D">
        <w:rPr>
          <w:sz w:val="24"/>
          <w:szCs w:val="24"/>
        </w:rPr>
        <w:t>Buronil</w:t>
      </w:r>
      <w:proofErr w:type="spellEnd"/>
      <w:r w:rsidRPr="00655C4D">
        <w:rPr>
          <w:sz w:val="24"/>
          <w:szCs w:val="24"/>
        </w:rPr>
        <w:t xml:space="preserve"> afbrydes.  Symptomatisk behandling og brug af almindelige støtteforanstaltninger bør igangsættes.  </w:t>
      </w:r>
      <w:proofErr w:type="spellStart"/>
      <w:r w:rsidRPr="00655C4D">
        <w:rPr>
          <w:sz w:val="24"/>
          <w:szCs w:val="24"/>
        </w:rPr>
        <w:t>Dantrolen</w:t>
      </w:r>
      <w:proofErr w:type="spellEnd"/>
      <w:r w:rsidRPr="00655C4D">
        <w:rPr>
          <w:sz w:val="24"/>
          <w:szCs w:val="24"/>
        </w:rPr>
        <w:t xml:space="preserve">- og </w:t>
      </w:r>
      <w:proofErr w:type="spellStart"/>
      <w:r w:rsidRPr="00655C4D">
        <w:rPr>
          <w:sz w:val="24"/>
          <w:szCs w:val="24"/>
        </w:rPr>
        <w:t>bromocriptin</w:t>
      </w:r>
      <w:proofErr w:type="spellEnd"/>
      <w:r w:rsidRPr="00655C4D">
        <w:rPr>
          <w:sz w:val="24"/>
          <w:szCs w:val="24"/>
        </w:rPr>
        <w:t>-behandling kan være en fordel.  Symptomer kan vare i mere end en uge.</w:t>
      </w:r>
    </w:p>
    <w:p w:rsidR="00895B04" w:rsidRPr="00655C4D" w:rsidRDefault="00895B04" w:rsidP="00895B04">
      <w:pPr>
        <w:tabs>
          <w:tab w:val="left" w:pos="851"/>
        </w:tabs>
        <w:ind w:left="851"/>
        <w:rPr>
          <w:i/>
          <w:sz w:val="24"/>
          <w:szCs w:val="24"/>
        </w:rPr>
      </w:pPr>
      <w:r w:rsidRPr="00655C4D">
        <w:rPr>
          <w:i/>
          <w:sz w:val="24"/>
          <w:szCs w:val="24"/>
        </w:rPr>
        <w:tab/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Buronil</w:t>
      </w:r>
      <w:proofErr w:type="spellEnd"/>
      <w:r w:rsidRPr="00655C4D">
        <w:rPr>
          <w:sz w:val="24"/>
          <w:szCs w:val="24"/>
        </w:rPr>
        <w:t xml:space="preserve"> bør anvendes med forsigtighed til patienter med </w:t>
      </w:r>
      <w:r w:rsidRPr="00655C4D">
        <w:rPr>
          <w:bCs/>
          <w:sz w:val="24"/>
          <w:szCs w:val="24"/>
        </w:rPr>
        <w:t>risiko</w:t>
      </w:r>
      <w:r w:rsidRPr="00655C4D">
        <w:rPr>
          <w:sz w:val="24"/>
          <w:szCs w:val="24"/>
        </w:rPr>
        <w:t xml:space="preserve"> for </w:t>
      </w:r>
      <w:proofErr w:type="spellStart"/>
      <w:r w:rsidRPr="00655C4D">
        <w:rPr>
          <w:sz w:val="24"/>
          <w:szCs w:val="24"/>
        </w:rPr>
        <w:t>apoplexi</w:t>
      </w:r>
      <w:proofErr w:type="spellEnd"/>
      <w:r w:rsidRPr="00655C4D">
        <w:rPr>
          <w:sz w:val="24"/>
          <w:szCs w:val="24"/>
        </w:rPr>
        <w:t xml:space="preserve">. 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Der er set ca. 3 gange så stor risiko for </w:t>
      </w:r>
      <w:proofErr w:type="spellStart"/>
      <w:r w:rsidRPr="00655C4D">
        <w:rPr>
          <w:sz w:val="24"/>
          <w:szCs w:val="24"/>
        </w:rPr>
        <w:t>cerebrovaskulære</w:t>
      </w:r>
      <w:proofErr w:type="spellEnd"/>
      <w:r w:rsidRPr="00655C4D">
        <w:rPr>
          <w:sz w:val="24"/>
          <w:szCs w:val="24"/>
        </w:rPr>
        <w:t xml:space="preserve"> bivirkninger med visse atypiske antipsykotika i randomiserede placebo-kontrollerede kliniske studier hos patienter med demens. Mekanismen bag den øgede risiko er ikke kendt. En øget risiko kan ikke udelukkes for andre antipsykotika eller i andre patientpopulationer.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Ældre patienter er især udsatte over for </w:t>
      </w:r>
      <w:proofErr w:type="spellStart"/>
      <w:r w:rsidRPr="00655C4D">
        <w:rPr>
          <w:sz w:val="24"/>
          <w:szCs w:val="24"/>
        </w:rPr>
        <w:t>ortostatisk</w:t>
      </w:r>
      <w:proofErr w:type="spellEnd"/>
      <w:r w:rsidRPr="00655C4D">
        <w:rPr>
          <w:sz w:val="24"/>
          <w:szCs w:val="24"/>
        </w:rPr>
        <w:t xml:space="preserve"> hypotension.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lastRenderedPageBreak/>
        <w:t>Patienter i langvarig behandling, især ved høje doser, bør følges omhyggeligt og evalueres regelmæssigt til bestemmelse af, hvorvidt vedligeholdelsesdosis kan nedsættes.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Buronil</w:t>
      </w:r>
      <w:proofErr w:type="spellEnd"/>
      <w:r w:rsidRPr="00655C4D">
        <w:rPr>
          <w:sz w:val="24"/>
          <w:szCs w:val="24"/>
        </w:rPr>
        <w:t xml:space="preserve"> indeholder </w:t>
      </w:r>
      <w:proofErr w:type="spellStart"/>
      <w:r w:rsidRPr="00655C4D">
        <w:rPr>
          <w:sz w:val="24"/>
          <w:szCs w:val="24"/>
        </w:rPr>
        <w:t>lactose</w:t>
      </w:r>
      <w:proofErr w:type="spellEnd"/>
      <w:r w:rsidRPr="00655C4D">
        <w:rPr>
          <w:sz w:val="24"/>
          <w:szCs w:val="24"/>
        </w:rPr>
        <w:t xml:space="preserve"> og bør ikke anvendes til patienter med arvelig </w:t>
      </w:r>
      <w:proofErr w:type="spellStart"/>
      <w:r w:rsidRPr="00655C4D">
        <w:rPr>
          <w:sz w:val="24"/>
          <w:szCs w:val="24"/>
        </w:rPr>
        <w:t>galactoseintolerans</w:t>
      </w:r>
      <w:proofErr w:type="spellEnd"/>
      <w:r w:rsidRPr="00655C4D">
        <w:rPr>
          <w:sz w:val="24"/>
          <w:szCs w:val="24"/>
        </w:rPr>
        <w:t xml:space="preserve">, en særlig form af hereditær </w:t>
      </w:r>
      <w:proofErr w:type="spellStart"/>
      <w:r w:rsidRPr="00655C4D">
        <w:rPr>
          <w:sz w:val="24"/>
          <w:szCs w:val="24"/>
        </w:rPr>
        <w:t>lactasemangel</w:t>
      </w:r>
      <w:proofErr w:type="spellEnd"/>
      <w:r w:rsidRPr="00655C4D">
        <w:rPr>
          <w:sz w:val="24"/>
          <w:szCs w:val="24"/>
        </w:rPr>
        <w:t xml:space="preserve"> (Lapp </w:t>
      </w:r>
      <w:proofErr w:type="spellStart"/>
      <w:r w:rsidRPr="00655C4D">
        <w:rPr>
          <w:sz w:val="24"/>
          <w:szCs w:val="24"/>
        </w:rPr>
        <w:t>Lactase</w:t>
      </w:r>
      <w:proofErr w:type="spellEnd"/>
      <w:r w:rsidRPr="00655C4D">
        <w:rPr>
          <w:sz w:val="24"/>
          <w:szCs w:val="24"/>
        </w:rPr>
        <w:t xml:space="preserve"> </w:t>
      </w:r>
      <w:proofErr w:type="spellStart"/>
      <w:r w:rsidRPr="00655C4D">
        <w:rPr>
          <w:sz w:val="24"/>
          <w:szCs w:val="24"/>
        </w:rPr>
        <w:t>deficiency</w:t>
      </w:r>
      <w:proofErr w:type="spellEnd"/>
      <w:r w:rsidRPr="00655C4D">
        <w:rPr>
          <w:sz w:val="24"/>
          <w:szCs w:val="24"/>
        </w:rPr>
        <w:t xml:space="preserve">) eller </w:t>
      </w:r>
      <w:proofErr w:type="spellStart"/>
      <w:r w:rsidRPr="00655C4D">
        <w:rPr>
          <w:sz w:val="24"/>
          <w:szCs w:val="24"/>
        </w:rPr>
        <w:t>glucose</w:t>
      </w:r>
      <w:proofErr w:type="spellEnd"/>
      <w:r w:rsidRPr="00655C4D">
        <w:rPr>
          <w:sz w:val="24"/>
          <w:szCs w:val="24"/>
        </w:rPr>
        <w:t>/</w:t>
      </w:r>
      <w:proofErr w:type="spellStart"/>
      <w:r w:rsidRPr="00655C4D">
        <w:rPr>
          <w:sz w:val="24"/>
          <w:szCs w:val="24"/>
        </w:rPr>
        <w:t>galactosemalabsorption</w:t>
      </w:r>
      <w:proofErr w:type="spellEnd"/>
      <w:r w:rsidRPr="00655C4D">
        <w:rPr>
          <w:sz w:val="24"/>
          <w:szCs w:val="24"/>
        </w:rPr>
        <w:t>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Atypiske antipsykotika kan forøge eller nedsætte virkningen af </w:t>
      </w:r>
      <w:proofErr w:type="spellStart"/>
      <w:r w:rsidRPr="00655C4D">
        <w:rPr>
          <w:sz w:val="24"/>
          <w:szCs w:val="24"/>
        </w:rPr>
        <w:t>antihypertensive</w:t>
      </w:r>
      <w:proofErr w:type="spellEnd"/>
      <w:r w:rsidRPr="00655C4D">
        <w:rPr>
          <w:sz w:val="24"/>
          <w:szCs w:val="24"/>
        </w:rPr>
        <w:t xml:space="preserve"> midler; den </w:t>
      </w:r>
      <w:proofErr w:type="spellStart"/>
      <w:r w:rsidRPr="00655C4D">
        <w:rPr>
          <w:sz w:val="24"/>
          <w:szCs w:val="24"/>
        </w:rPr>
        <w:t>antihypertensive</w:t>
      </w:r>
      <w:proofErr w:type="spellEnd"/>
      <w:r w:rsidRPr="00655C4D">
        <w:rPr>
          <w:sz w:val="24"/>
          <w:szCs w:val="24"/>
        </w:rPr>
        <w:t xml:space="preserve"> virkning af </w:t>
      </w:r>
      <w:proofErr w:type="spellStart"/>
      <w:r w:rsidRPr="00655C4D">
        <w:rPr>
          <w:sz w:val="24"/>
          <w:szCs w:val="24"/>
        </w:rPr>
        <w:t>guanethidin</w:t>
      </w:r>
      <w:proofErr w:type="spellEnd"/>
      <w:r w:rsidRPr="00655C4D">
        <w:rPr>
          <w:sz w:val="24"/>
          <w:szCs w:val="24"/>
        </w:rPr>
        <w:t xml:space="preserve"> og stoffer med lignende virkning reduceres.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Samtidig brug af atypiske antipsykotika og litium forhøjer risikoen for </w:t>
      </w:r>
      <w:proofErr w:type="spellStart"/>
      <w:r w:rsidRPr="00655C4D">
        <w:rPr>
          <w:sz w:val="24"/>
          <w:szCs w:val="24"/>
        </w:rPr>
        <w:t>neurotoksicitet</w:t>
      </w:r>
      <w:proofErr w:type="spellEnd"/>
      <w:r w:rsidRPr="00655C4D">
        <w:rPr>
          <w:sz w:val="24"/>
          <w:szCs w:val="24"/>
        </w:rPr>
        <w:t xml:space="preserve">.  Tricykliske </w:t>
      </w:r>
      <w:proofErr w:type="spellStart"/>
      <w:r w:rsidRPr="00655C4D">
        <w:rPr>
          <w:sz w:val="24"/>
          <w:szCs w:val="24"/>
        </w:rPr>
        <w:t>antidepressiver</w:t>
      </w:r>
      <w:proofErr w:type="spellEnd"/>
      <w:r w:rsidRPr="00655C4D">
        <w:rPr>
          <w:sz w:val="24"/>
          <w:szCs w:val="24"/>
        </w:rPr>
        <w:t xml:space="preserve"> og atypiske antipsykotika hæmmer gensidigt hinandens metabolisme.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Melperon</w:t>
      </w:r>
      <w:proofErr w:type="spellEnd"/>
      <w:r w:rsidRPr="00655C4D">
        <w:rPr>
          <w:sz w:val="24"/>
          <w:szCs w:val="24"/>
        </w:rPr>
        <w:t xml:space="preserve"> kan modvirke virkningen af </w:t>
      </w:r>
      <w:proofErr w:type="spellStart"/>
      <w:r w:rsidRPr="00655C4D">
        <w:rPr>
          <w:sz w:val="24"/>
          <w:szCs w:val="24"/>
        </w:rPr>
        <w:t>levodopa</w:t>
      </w:r>
      <w:proofErr w:type="spellEnd"/>
      <w:r w:rsidRPr="00655C4D">
        <w:rPr>
          <w:sz w:val="24"/>
          <w:szCs w:val="24"/>
        </w:rPr>
        <w:t xml:space="preserve"> på grund af blokeringen af dopamin-receptorer i hjernen.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Studier har vist at </w:t>
      </w:r>
      <w:proofErr w:type="spellStart"/>
      <w:r w:rsidRPr="00655C4D">
        <w:rPr>
          <w:sz w:val="24"/>
          <w:szCs w:val="24"/>
        </w:rPr>
        <w:t>melperon</w:t>
      </w:r>
      <w:proofErr w:type="spellEnd"/>
      <w:r w:rsidRPr="00655C4D">
        <w:rPr>
          <w:sz w:val="24"/>
          <w:szCs w:val="24"/>
        </w:rPr>
        <w:t xml:space="preserve"> kan have en CYP2D6 inhiberende effekt og beslægtede lægemidler er vist at hæmme CYP3A4, hvilket kan påvirke metabolismen af alle lægemidler, som er substrat for disse enzymer. 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Der tilrådes forsigtighed ved samtidig behandling med andre lægemidler, som kan forlænge QT-intervallet, såsom atypiske antipsykotika klasse 1A og III </w:t>
      </w:r>
      <w:proofErr w:type="spellStart"/>
      <w:r w:rsidRPr="00655C4D">
        <w:rPr>
          <w:sz w:val="24"/>
          <w:szCs w:val="24"/>
        </w:rPr>
        <w:t>antiarytmika</w:t>
      </w:r>
      <w:proofErr w:type="spellEnd"/>
      <w:r w:rsidRPr="00655C4D">
        <w:rPr>
          <w:sz w:val="24"/>
          <w:szCs w:val="24"/>
        </w:rPr>
        <w:t xml:space="preserve">, </w:t>
      </w:r>
      <w:proofErr w:type="spellStart"/>
      <w:r w:rsidRPr="00655C4D">
        <w:rPr>
          <w:sz w:val="24"/>
          <w:szCs w:val="24"/>
        </w:rPr>
        <w:t>moxifloxacin</w:t>
      </w:r>
      <w:proofErr w:type="spellEnd"/>
      <w:r w:rsidRPr="00655C4D">
        <w:rPr>
          <w:sz w:val="24"/>
          <w:szCs w:val="24"/>
        </w:rPr>
        <w:t xml:space="preserve">, </w:t>
      </w:r>
      <w:proofErr w:type="spellStart"/>
      <w:r w:rsidRPr="00655C4D">
        <w:rPr>
          <w:sz w:val="24"/>
          <w:szCs w:val="24"/>
        </w:rPr>
        <w:t>erythromycin</w:t>
      </w:r>
      <w:proofErr w:type="spellEnd"/>
      <w:r w:rsidRPr="00655C4D">
        <w:rPr>
          <w:sz w:val="24"/>
          <w:szCs w:val="24"/>
        </w:rPr>
        <w:t xml:space="preserve">, </w:t>
      </w:r>
      <w:proofErr w:type="spellStart"/>
      <w:r w:rsidRPr="00655C4D">
        <w:rPr>
          <w:sz w:val="24"/>
          <w:szCs w:val="24"/>
        </w:rPr>
        <w:t>methadon</w:t>
      </w:r>
      <w:proofErr w:type="spellEnd"/>
      <w:r w:rsidRPr="00655C4D">
        <w:rPr>
          <w:sz w:val="24"/>
          <w:szCs w:val="24"/>
        </w:rPr>
        <w:t xml:space="preserve">, </w:t>
      </w:r>
      <w:proofErr w:type="spellStart"/>
      <w:r w:rsidRPr="00655C4D">
        <w:rPr>
          <w:sz w:val="24"/>
          <w:szCs w:val="24"/>
        </w:rPr>
        <w:t>mefloquin</w:t>
      </w:r>
      <w:proofErr w:type="spellEnd"/>
      <w:r w:rsidRPr="00655C4D">
        <w:rPr>
          <w:sz w:val="24"/>
          <w:szCs w:val="24"/>
        </w:rPr>
        <w:t xml:space="preserve">, tricykliske </w:t>
      </w:r>
      <w:proofErr w:type="spellStart"/>
      <w:r w:rsidRPr="00655C4D">
        <w:rPr>
          <w:sz w:val="24"/>
          <w:szCs w:val="24"/>
        </w:rPr>
        <w:t>antidepressiva</w:t>
      </w:r>
      <w:proofErr w:type="spellEnd"/>
      <w:r w:rsidRPr="00655C4D">
        <w:rPr>
          <w:sz w:val="24"/>
          <w:szCs w:val="24"/>
        </w:rPr>
        <w:t xml:space="preserve"> og </w:t>
      </w:r>
      <w:proofErr w:type="spellStart"/>
      <w:r w:rsidRPr="00655C4D">
        <w:rPr>
          <w:sz w:val="24"/>
          <w:szCs w:val="24"/>
        </w:rPr>
        <w:t>lithium</w:t>
      </w:r>
      <w:proofErr w:type="spellEnd"/>
      <w:r w:rsidRPr="00655C4D">
        <w:rPr>
          <w:sz w:val="24"/>
          <w:szCs w:val="24"/>
        </w:rPr>
        <w:t>.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>Samtidig medicinering med lægemidler, som kan forårsage øget elektrolytisk ubalance (</w:t>
      </w:r>
      <w:proofErr w:type="spellStart"/>
      <w:r w:rsidRPr="00655C4D">
        <w:rPr>
          <w:sz w:val="24"/>
          <w:szCs w:val="24"/>
        </w:rPr>
        <w:t>hypokaliæmi</w:t>
      </w:r>
      <w:proofErr w:type="spellEnd"/>
      <w:r w:rsidRPr="00655C4D">
        <w:rPr>
          <w:sz w:val="24"/>
          <w:szCs w:val="24"/>
        </w:rPr>
        <w:t xml:space="preserve">) så som </w:t>
      </w:r>
      <w:proofErr w:type="spellStart"/>
      <w:r w:rsidRPr="00655C4D">
        <w:rPr>
          <w:sz w:val="24"/>
          <w:szCs w:val="24"/>
        </w:rPr>
        <w:t>thiazide</w:t>
      </w:r>
      <w:proofErr w:type="spellEnd"/>
      <w:r w:rsidRPr="00655C4D">
        <w:rPr>
          <w:sz w:val="24"/>
          <w:szCs w:val="24"/>
        </w:rPr>
        <w:t xml:space="preserve"> </w:t>
      </w:r>
      <w:proofErr w:type="spellStart"/>
      <w:r w:rsidRPr="00655C4D">
        <w:rPr>
          <w:sz w:val="24"/>
          <w:szCs w:val="24"/>
        </w:rPr>
        <w:t>diuretika</w:t>
      </w:r>
      <w:proofErr w:type="spellEnd"/>
      <w:r w:rsidRPr="00655C4D">
        <w:rPr>
          <w:sz w:val="24"/>
          <w:szCs w:val="24"/>
        </w:rPr>
        <w:t xml:space="preserve"> (</w:t>
      </w:r>
      <w:proofErr w:type="spellStart"/>
      <w:r w:rsidRPr="00655C4D">
        <w:rPr>
          <w:sz w:val="24"/>
          <w:szCs w:val="24"/>
        </w:rPr>
        <w:t>hypokalemia</w:t>
      </w:r>
      <w:proofErr w:type="spellEnd"/>
      <w:r w:rsidRPr="00655C4D">
        <w:rPr>
          <w:sz w:val="24"/>
          <w:szCs w:val="24"/>
        </w:rPr>
        <w:t xml:space="preserve">), bør overvejes nøje, da disse øger risiko for maligne </w:t>
      </w:r>
      <w:proofErr w:type="spellStart"/>
      <w:r w:rsidRPr="00655C4D">
        <w:rPr>
          <w:sz w:val="24"/>
          <w:szCs w:val="24"/>
        </w:rPr>
        <w:t>arytmier</w:t>
      </w:r>
      <w:proofErr w:type="spellEnd"/>
      <w:r w:rsidRPr="00655C4D">
        <w:rPr>
          <w:sz w:val="24"/>
          <w:szCs w:val="24"/>
        </w:rPr>
        <w:t xml:space="preserve"> (se pkt.4.4). </w:t>
      </w: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655C4D">
        <w:rPr>
          <w:sz w:val="24"/>
          <w:szCs w:val="24"/>
        </w:rPr>
        <w:t xml:space="preserve">Samtidig behandling med lægemidler, der kan øge koncentrationen af </w:t>
      </w:r>
      <w:proofErr w:type="spellStart"/>
      <w:r w:rsidRPr="00655C4D">
        <w:rPr>
          <w:sz w:val="24"/>
          <w:szCs w:val="24"/>
        </w:rPr>
        <w:t>melperon</w:t>
      </w:r>
      <w:proofErr w:type="spellEnd"/>
      <w:r w:rsidRPr="00655C4D">
        <w:rPr>
          <w:sz w:val="24"/>
          <w:szCs w:val="24"/>
        </w:rPr>
        <w:t xml:space="preserve"> i blodet, skal undgås.</w:t>
      </w:r>
    </w:p>
    <w:p w:rsidR="00895B04" w:rsidRPr="00655C4D" w:rsidRDefault="00895B04" w:rsidP="00895B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95B04" w:rsidRPr="00655C4D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55C4D">
        <w:rPr>
          <w:sz w:val="24"/>
          <w:szCs w:val="24"/>
        </w:rPr>
        <w:t>Buronil</w:t>
      </w:r>
      <w:proofErr w:type="spellEnd"/>
      <w:r w:rsidRPr="00655C4D">
        <w:rPr>
          <w:sz w:val="24"/>
          <w:szCs w:val="24"/>
        </w:rPr>
        <w:t xml:space="preserve"> kan forøge den supprimerende effekt på CNS, fremkaldt af andre CNS supprimerende midler som alkohol, </w:t>
      </w:r>
      <w:proofErr w:type="spellStart"/>
      <w:r w:rsidRPr="00655C4D">
        <w:rPr>
          <w:sz w:val="24"/>
          <w:szCs w:val="24"/>
        </w:rPr>
        <w:t>hypnotika</w:t>
      </w:r>
      <w:proofErr w:type="spellEnd"/>
      <w:r w:rsidRPr="00655C4D">
        <w:rPr>
          <w:sz w:val="24"/>
          <w:szCs w:val="24"/>
        </w:rPr>
        <w:t xml:space="preserve">, sedativer eller stærke </w:t>
      </w:r>
      <w:proofErr w:type="spellStart"/>
      <w:r w:rsidRPr="00655C4D">
        <w:rPr>
          <w:sz w:val="24"/>
          <w:szCs w:val="24"/>
        </w:rPr>
        <w:t>analgetika</w:t>
      </w:r>
      <w:proofErr w:type="spellEnd"/>
      <w:r w:rsidRPr="00655C4D">
        <w:rPr>
          <w:sz w:val="24"/>
          <w:szCs w:val="24"/>
        </w:rPr>
        <w:t xml:space="preserve"> (se pkt. 4.4). 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42DC6" w:rsidRDefault="00895B04" w:rsidP="00642DC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895B04" w:rsidRPr="00AD79B4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Graviditet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47B24">
        <w:rPr>
          <w:sz w:val="24"/>
          <w:szCs w:val="24"/>
        </w:rPr>
        <w:t>Buronil</w:t>
      </w:r>
      <w:proofErr w:type="spellEnd"/>
      <w:r w:rsidRPr="00547B24">
        <w:rPr>
          <w:sz w:val="24"/>
          <w:szCs w:val="24"/>
        </w:rPr>
        <w:t xml:space="preserve"> er kontraindiceret i første trimester og bør i øvrigt kun anvendes på klar indikation i resten af graviditeten.</w:t>
      </w:r>
    </w:p>
    <w:p w:rsidR="00895B04" w:rsidRPr="00547B24" w:rsidRDefault="00895B04" w:rsidP="00895B04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547B24">
        <w:rPr>
          <w:sz w:val="24"/>
          <w:szCs w:val="24"/>
        </w:rPr>
        <w:t xml:space="preserve">Klinisk erfaring med brug til gravide kvinder er begrænset.  Reproduktionsforsøg med dyr har ikke bevist en forøgelse af forekomster af fosterskader eller andre skadelige effekter på forplantningsprocessen.  </w:t>
      </w:r>
      <w:proofErr w:type="spellStart"/>
      <w:r w:rsidRPr="00547B24">
        <w:rPr>
          <w:sz w:val="24"/>
          <w:szCs w:val="24"/>
        </w:rPr>
        <w:t>Melperon</w:t>
      </w:r>
      <w:proofErr w:type="spellEnd"/>
      <w:r w:rsidRPr="00547B24">
        <w:rPr>
          <w:sz w:val="24"/>
          <w:szCs w:val="24"/>
        </w:rPr>
        <w:t xml:space="preserve"> bør kun gives under graviditet, hvis fordelen for patienten skønnes at opveje den teoretiske risiko for fostret.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547B24">
        <w:rPr>
          <w:sz w:val="24"/>
          <w:szCs w:val="24"/>
        </w:rPr>
        <w:t xml:space="preserve">Nyfødte, der har været udsat for antipsykotika (inklusive </w:t>
      </w:r>
      <w:proofErr w:type="spellStart"/>
      <w:r w:rsidRPr="00547B24">
        <w:rPr>
          <w:sz w:val="24"/>
          <w:szCs w:val="24"/>
        </w:rPr>
        <w:t>melperon</w:t>
      </w:r>
      <w:proofErr w:type="spellEnd"/>
      <w:r w:rsidRPr="00547B24">
        <w:rPr>
          <w:sz w:val="24"/>
          <w:szCs w:val="24"/>
        </w:rPr>
        <w:t xml:space="preserve">) under tredje trimester af graviditeten, har risiko for at få bivirkninger inkluderende </w:t>
      </w:r>
      <w:proofErr w:type="spellStart"/>
      <w:r w:rsidRPr="00547B24">
        <w:rPr>
          <w:sz w:val="24"/>
          <w:szCs w:val="24"/>
        </w:rPr>
        <w:t>ekstrapyrimidale</w:t>
      </w:r>
      <w:proofErr w:type="spellEnd"/>
      <w:r w:rsidRPr="00547B24">
        <w:rPr>
          <w:sz w:val="24"/>
          <w:szCs w:val="24"/>
        </w:rPr>
        <w:t xml:space="preserve"> og/eller abstinenssymptomer i varierende sværhedsgrad og varighed efter fødslen. Der har været </w:t>
      </w:r>
      <w:r w:rsidRPr="00547B24">
        <w:rPr>
          <w:sz w:val="24"/>
          <w:szCs w:val="24"/>
        </w:rPr>
        <w:lastRenderedPageBreak/>
        <w:t xml:space="preserve">rapporteret om agitation, </w:t>
      </w:r>
      <w:proofErr w:type="spellStart"/>
      <w:r w:rsidRPr="00547B24">
        <w:rPr>
          <w:sz w:val="24"/>
          <w:szCs w:val="24"/>
        </w:rPr>
        <w:t>hypertoni</w:t>
      </w:r>
      <w:proofErr w:type="spellEnd"/>
      <w:r w:rsidRPr="00547B24">
        <w:rPr>
          <w:sz w:val="24"/>
          <w:szCs w:val="24"/>
        </w:rPr>
        <w:t xml:space="preserve">, </w:t>
      </w:r>
      <w:proofErr w:type="spellStart"/>
      <w:r w:rsidRPr="00547B24">
        <w:rPr>
          <w:sz w:val="24"/>
          <w:szCs w:val="24"/>
        </w:rPr>
        <w:t>hypotoni</w:t>
      </w:r>
      <w:proofErr w:type="spellEnd"/>
      <w:r w:rsidRPr="00547B24">
        <w:rPr>
          <w:sz w:val="24"/>
          <w:szCs w:val="24"/>
        </w:rPr>
        <w:t xml:space="preserve">, </w:t>
      </w:r>
      <w:proofErr w:type="spellStart"/>
      <w:r w:rsidRPr="00547B24">
        <w:rPr>
          <w:sz w:val="24"/>
          <w:szCs w:val="24"/>
        </w:rPr>
        <w:t>tremor</w:t>
      </w:r>
      <w:proofErr w:type="spellEnd"/>
      <w:r w:rsidRPr="00547B24">
        <w:rPr>
          <w:sz w:val="24"/>
          <w:szCs w:val="24"/>
        </w:rPr>
        <w:t xml:space="preserve">, </w:t>
      </w:r>
      <w:proofErr w:type="spellStart"/>
      <w:r w:rsidRPr="00547B24">
        <w:rPr>
          <w:sz w:val="24"/>
          <w:szCs w:val="24"/>
        </w:rPr>
        <w:t>somnolens</w:t>
      </w:r>
      <w:proofErr w:type="spellEnd"/>
      <w:r w:rsidRPr="00547B24">
        <w:rPr>
          <w:sz w:val="24"/>
          <w:szCs w:val="24"/>
        </w:rPr>
        <w:t>, respirationsforstyrrelser eller spiseforstyrrelser. Derfor skal nyfødte monitoreres omhyggeligt.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AD79B4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547B24">
        <w:rPr>
          <w:sz w:val="24"/>
          <w:szCs w:val="24"/>
        </w:rPr>
        <w:t>Der foreligger ingen data</w:t>
      </w:r>
      <w:r>
        <w:rPr>
          <w:sz w:val="24"/>
          <w:szCs w:val="24"/>
        </w:rPr>
        <w:t>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547B24">
        <w:rPr>
          <w:sz w:val="24"/>
          <w:szCs w:val="24"/>
        </w:rPr>
        <w:t xml:space="preserve">Ikke mærkning. </w:t>
      </w:r>
    </w:p>
    <w:p w:rsidR="00895B04" w:rsidRPr="00547B24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547B24">
        <w:rPr>
          <w:sz w:val="24"/>
          <w:szCs w:val="24"/>
        </w:rPr>
        <w:t>Buronil</w:t>
      </w:r>
      <w:proofErr w:type="spellEnd"/>
      <w:r w:rsidRPr="00547B24">
        <w:rPr>
          <w:sz w:val="24"/>
          <w:szCs w:val="24"/>
        </w:rPr>
        <w:t xml:space="preserve"> kan især ved starten af behandlingen og ved øgning af dosis påvirke evnen til at føre motorkøretøj </w:t>
      </w:r>
      <w:r>
        <w:rPr>
          <w:sz w:val="24"/>
          <w:szCs w:val="24"/>
        </w:rPr>
        <w:t>eller</w:t>
      </w:r>
      <w:r w:rsidRPr="00547B24">
        <w:rPr>
          <w:sz w:val="24"/>
          <w:szCs w:val="24"/>
        </w:rPr>
        <w:t xml:space="preserve"> betjene maskiner i mindre eller moderat grad.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895B04" w:rsidRPr="00547B24" w:rsidRDefault="00895B04" w:rsidP="00895B04">
      <w:pPr>
        <w:pStyle w:val="Sidehoved"/>
        <w:ind w:left="851"/>
        <w:rPr>
          <w:szCs w:val="24"/>
        </w:rPr>
      </w:pPr>
      <w:r w:rsidRPr="00547B24">
        <w:rPr>
          <w:szCs w:val="24"/>
        </w:rPr>
        <w:t>Omkring 10 % af de behandlede patienter kan forvente at få bivirkninger. Den hyppigst forekommende bivirkning er initial sedation.</w:t>
      </w:r>
    </w:p>
    <w:p w:rsidR="00895B04" w:rsidRPr="00547B24" w:rsidRDefault="00895B04" w:rsidP="00895B04">
      <w:pPr>
        <w:pStyle w:val="Sidehoved"/>
        <w:ind w:left="851"/>
        <w:rPr>
          <w:szCs w:val="24"/>
        </w:rPr>
      </w:pP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4404"/>
      </w:tblGrid>
      <w:tr w:rsidR="00895B04" w:rsidRPr="00547B24" w:rsidTr="00A309ED">
        <w:trPr>
          <w:trHeight w:val="519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b/>
                <w:bCs/>
                <w:szCs w:val="24"/>
              </w:rPr>
              <w:t xml:space="preserve">Undersøgelser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  <w:lang w:val="de-DE"/>
              </w:rPr>
            </w:pPr>
            <w:proofErr w:type="spellStart"/>
            <w:r w:rsidRPr="00547B24">
              <w:rPr>
                <w:szCs w:val="24"/>
                <w:lang w:val="de-DE"/>
              </w:rPr>
              <w:t>Ikke</w:t>
            </w:r>
            <w:proofErr w:type="spellEnd"/>
            <w:r w:rsidRPr="00547B24">
              <w:rPr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szCs w:val="24"/>
                <w:lang w:val="de-DE"/>
              </w:rPr>
              <w:t>almindelig</w:t>
            </w:r>
            <w:proofErr w:type="spellEnd"/>
            <w:r w:rsidRPr="00547B24">
              <w:rPr>
                <w:szCs w:val="24"/>
                <w:lang w:val="de-DE"/>
              </w:rPr>
              <w:t xml:space="preserve"> (</w:t>
            </w:r>
            <w:r>
              <w:rPr>
                <w:szCs w:val="24"/>
              </w:rPr>
              <w:t>≥</w:t>
            </w:r>
            <w:r w:rsidRPr="00547B24">
              <w:rPr>
                <w:szCs w:val="24"/>
                <w:lang w:val="de-DE"/>
              </w:rPr>
              <w:t>1/1.000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>&lt;</w:t>
            </w:r>
            <w:r w:rsidRPr="00547B24">
              <w:rPr>
                <w:szCs w:val="24"/>
                <w:lang w:val="de-DE"/>
              </w:rPr>
              <w:t>1/100)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b/>
                <w:i/>
                <w:szCs w:val="24"/>
              </w:rPr>
            </w:pPr>
            <w:r w:rsidRPr="00547B24">
              <w:rPr>
                <w:szCs w:val="24"/>
              </w:rPr>
              <w:t>Meget sjælden (</w:t>
            </w:r>
            <w:r>
              <w:rPr>
                <w:szCs w:val="24"/>
              </w:rPr>
              <w:t>&lt;</w:t>
            </w:r>
            <w:r w:rsidRPr="00547B24">
              <w:rPr>
                <w:szCs w:val="24"/>
              </w:rPr>
              <w:t xml:space="preserve">1/10.000)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  <w:r w:rsidRPr="00547B24">
              <w:rPr>
                <w:szCs w:val="24"/>
              </w:rPr>
              <w:t>Frekvens ikke kendt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r w:rsidRPr="00547B24">
              <w:rPr>
                <w:bCs/>
                <w:szCs w:val="24"/>
              </w:rPr>
              <w:t xml:space="preserve">Forhøjede </w:t>
            </w:r>
            <w:proofErr w:type="spellStart"/>
            <w:r w:rsidRPr="00547B24">
              <w:rPr>
                <w:bCs/>
                <w:szCs w:val="24"/>
              </w:rPr>
              <w:t>transaminase</w:t>
            </w:r>
            <w:proofErr w:type="spellEnd"/>
            <w:r w:rsidRPr="00547B24">
              <w:rPr>
                <w:bCs/>
                <w:i/>
                <w:szCs w:val="24"/>
              </w:rPr>
              <w:t xml:space="preserve"> </w:t>
            </w:r>
            <w:r w:rsidRPr="00547B24">
              <w:rPr>
                <w:bCs/>
                <w:szCs w:val="24"/>
              </w:rPr>
              <w:t>værdier.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  <w:u w:val="single"/>
              </w:rPr>
            </w:pPr>
            <w:r w:rsidRPr="00547B24">
              <w:rPr>
                <w:bCs/>
                <w:szCs w:val="24"/>
              </w:rPr>
              <w:t>Vægtøgning.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r w:rsidRPr="00547B24">
              <w:rPr>
                <w:bCs/>
                <w:szCs w:val="24"/>
              </w:rPr>
              <w:t xml:space="preserve">Forlænget QT-interval. </w:t>
            </w: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b/>
                <w:bCs/>
                <w:szCs w:val="24"/>
              </w:rPr>
              <w:t>Hjerte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  <w:r w:rsidRPr="00547B24">
              <w:rPr>
                <w:szCs w:val="24"/>
              </w:rPr>
              <w:t>Sj</w:t>
            </w:r>
            <w:r w:rsidRPr="00547B24">
              <w:rPr>
                <w:szCs w:val="24"/>
                <w:lang w:val="el-GR"/>
              </w:rPr>
              <w:t>æ</w:t>
            </w:r>
            <w:proofErr w:type="spellStart"/>
            <w:r w:rsidRPr="00547B24">
              <w:rPr>
                <w:szCs w:val="24"/>
              </w:rPr>
              <w:t>lden</w:t>
            </w:r>
            <w:proofErr w:type="spellEnd"/>
            <w:r w:rsidRPr="00547B24">
              <w:rPr>
                <w:szCs w:val="24"/>
                <w:lang w:val="el-GR"/>
              </w:rPr>
              <w:t xml:space="preserve"> (</w:t>
            </w:r>
            <w:r>
              <w:rPr>
                <w:szCs w:val="24"/>
                <w:lang w:val="el-GR"/>
              </w:rPr>
              <w:t>≥</w:t>
            </w:r>
            <w:r w:rsidRPr="00547B24">
              <w:rPr>
                <w:szCs w:val="24"/>
                <w:lang w:val="el-GR"/>
              </w:rPr>
              <w:t>1/10</w:t>
            </w:r>
            <w:r w:rsidRPr="00547B24">
              <w:rPr>
                <w:szCs w:val="24"/>
              </w:rPr>
              <w:t>.</w:t>
            </w:r>
            <w:r w:rsidRPr="00547B24">
              <w:rPr>
                <w:szCs w:val="24"/>
                <w:lang w:val="el-GR"/>
              </w:rPr>
              <w:t>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el-GR"/>
              </w:rPr>
              <w:t xml:space="preserve"> </w:t>
            </w:r>
            <w:r>
              <w:rPr>
                <w:szCs w:val="24"/>
                <w:lang w:val="el-GR"/>
              </w:rPr>
              <w:t>&lt;</w:t>
            </w:r>
            <w:r w:rsidRPr="00547B24">
              <w:rPr>
                <w:szCs w:val="24"/>
                <w:lang w:val="el-GR"/>
              </w:rPr>
              <w:t>1/1</w:t>
            </w:r>
            <w:r w:rsidRPr="00547B24">
              <w:rPr>
                <w:szCs w:val="24"/>
              </w:rPr>
              <w:t>.</w:t>
            </w:r>
            <w:r w:rsidRPr="00547B24">
              <w:rPr>
                <w:szCs w:val="24"/>
                <w:lang w:val="el-GR"/>
              </w:rPr>
              <w:t>000)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szCs w:val="24"/>
              </w:rPr>
              <w:t>Frekvens ikke kendt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  <w:proofErr w:type="spellStart"/>
            <w:r w:rsidRPr="00547B24">
              <w:rPr>
                <w:bCs/>
                <w:szCs w:val="24"/>
              </w:rPr>
              <w:t>Ventrikulære</w:t>
            </w:r>
            <w:proofErr w:type="spellEnd"/>
            <w:r w:rsidRPr="00547B24">
              <w:rPr>
                <w:bCs/>
                <w:szCs w:val="24"/>
              </w:rPr>
              <w:t xml:space="preserve"> </w:t>
            </w:r>
            <w:proofErr w:type="spellStart"/>
            <w:r w:rsidRPr="00547B24">
              <w:rPr>
                <w:bCs/>
                <w:szCs w:val="24"/>
              </w:rPr>
              <w:t>arytmier</w:t>
            </w:r>
            <w:proofErr w:type="spellEnd"/>
            <w:r w:rsidRPr="00547B24">
              <w:rPr>
                <w:bCs/>
                <w:szCs w:val="24"/>
              </w:rPr>
              <w:t xml:space="preserve"> –ventrikelflimmer, </w:t>
            </w:r>
            <w:proofErr w:type="spellStart"/>
            <w:r w:rsidRPr="00547B24">
              <w:rPr>
                <w:bCs/>
                <w:szCs w:val="24"/>
              </w:rPr>
              <w:t>ventrikeltakykardi</w:t>
            </w:r>
            <w:proofErr w:type="spellEnd"/>
            <w:r w:rsidRPr="00547B24">
              <w:rPr>
                <w:bCs/>
                <w:szCs w:val="24"/>
              </w:rPr>
              <w:t>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r w:rsidRPr="00547B24">
              <w:rPr>
                <w:bCs/>
                <w:i/>
                <w:szCs w:val="24"/>
              </w:rPr>
              <w:t xml:space="preserve"> 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  <w:r w:rsidRPr="00547B24">
              <w:rPr>
                <w:bCs/>
                <w:szCs w:val="24"/>
              </w:rPr>
              <w:t xml:space="preserve">Hjertestop, </w:t>
            </w:r>
            <w:proofErr w:type="spellStart"/>
            <w:r w:rsidRPr="00547B24">
              <w:rPr>
                <w:bCs/>
                <w:szCs w:val="24"/>
              </w:rPr>
              <w:t>torsade</w:t>
            </w:r>
            <w:proofErr w:type="spellEnd"/>
            <w:r w:rsidRPr="00547B24">
              <w:rPr>
                <w:bCs/>
                <w:szCs w:val="24"/>
              </w:rPr>
              <w:t xml:space="preserve"> de pointes.</w:t>
            </w: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  <w:r w:rsidRPr="00547B24">
              <w:rPr>
                <w:b/>
                <w:bCs/>
                <w:szCs w:val="24"/>
              </w:rPr>
              <w:t xml:space="preserve">Blod og lymfesystem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  <w:lang w:val="de-DE"/>
              </w:rPr>
            </w:pPr>
            <w:proofErr w:type="spellStart"/>
            <w:r w:rsidRPr="00547B24">
              <w:rPr>
                <w:szCs w:val="24"/>
                <w:lang w:val="de-DE"/>
              </w:rPr>
              <w:t>Ikke</w:t>
            </w:r>
            <w:proofErr w:type="spellEnd"/>
            <w:r w:rsidRPr="00547B24">
              <w:rPr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szCs w:val="24"/>
                <w:lang w:val="de-DE"/>
              </w:rPr>
              <w:t>almindelig</w:t>
            </w:r>
            <w:proofErr w:type="spellEnd"/>
            <w:r w:rsidRPr="00547B24">
              <w:rPr>
                <w:szCs w:val="24"/>
                <w:lang w:val="de-DE"/>
              </w:rPr>
              <w:t xml:space="preserve"> (</w:t>
            </w:r>
            <w:r>
              <w:rPr>
                <w:szCs w:val="24"/>
                <w:lang w:val="de-DE"/>
              </w:rPr>
              <w:t>≥</w:t>
            </w:r>
            <w:r w:rsidRPr="00547B24">
              <w:rPr>
                <w:szCs w:val="24"/>
                <w:lang w:val="de-DE"/>
              </w:rPr>
              <w:t>1/1.000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>&lt;</w:t>
            </w:r>
            <w:r w:rsidRPr="00547B24">
              <w:rPr>
                <w:szCs w:val="24"/>
                <w:lang w:val="de-DE"/>
              </w:rPr>
              <w:t>1/100)</w:t>
            </w:r>
          </w:p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  <w:lang w:val="en-GB"/>
              </w:rPr>
            </w:pPr>
            <w:proofErr w:type="spellStart"/>
            <w:r w:rsidRPr="00547B24">
              <w:rPr>
                <w:bCs/>
                <w:szCs w:val="24"/>
              </w:rPr>
              <w:t>Pancytopeni</w:t>
            </w:r>
            <w:proofErr w:type="spellEnd"/>
            <w:r w:rsidRPr="00547B24">
              <w:rPr>
                <w:bCs/>
                <w:szCs w:val="24"/>
              </w:rPr>
              <w:t xml:space="preserve">, </w:t>
            </w:r>
            <w:proofErr w:type="spellStart"/>
            <w:r w:rsidRPr="00547B24">
              <w:rPr>
                <w:bCs/>
                <w:szCs w:val="24"/>
              </w:rPr>
              <w:t>agranulocytose</w:t>
            </w:r>
            <w:proofErr w:type="spellEnd"/>
            <w:r w:rsidRPr="00547B24">
              <w:rPr>
                <w:bCs/>
                <w:szCs w:val="24"/>
              </w:rPr>
              <w:t xml:space="preserve">, </w:t>
            </w:r>
            <w:proofErr w:type="spellStart"/>
            <w:r w:rsidRPr="00547B24">
              <w:rPr>
                <w:bCs/>
                <w:szCs w:val="24"/>
              </w:rPr>
              <w:t>trombocytopeni</w:t>
            </w:r>
            <w:proofErr w:type="spellEnd"/>
            <w:r w:rsidRPr="00547B24">
              <w:rPr>
                <w:bCs/>
                <w:szCs w:val="24"/>
                <w:lang w:val="en-GB"/>
              </w:rPr>
              <w:t xml:space="preserve">, </w:t>
            </w:r>
            <w:proofErr w:type="spellStart"/>
            <w:r w:rsidRPr="00547B24">
              <w:rPr>
                <w:bCs/>
                <w:szCs w:val="24"/>
                <w:lang w:val="en-GB"/>
              </w:rPr>
              <w:t>leukopeni</w:t>
            </w:r>
            <w:proofErr w:type="spellEnd"/>
            <w:r w:rsidRPr="00547B24">
              <w:rPr>
                <w:bCs/>
                <w:szCs w:val="24"/>
                <w:lang w:val="en-GB"/>
              </w:rPr>
              <w:t xml:space="preserve">. 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  <w:lang w:val="en-GB"/>
              </w:rPr>
            </w:pP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b/>
                <w:bCs/>
                <w:szCs w:val="24"/>
              </w:rPr>
              <w:t xml:space="preserve">Nervesystemet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  <w:r w:rsidRPr="00547B24">
              <w:rPr>
                <w:szCs w:val="24"/>
              </w:rPr>
              <w:t>Meget almindelig (</w:t>
            </w:r>
            <w:r>
              <w:rPr>
                <w:szCs w:val="24"/>
              </w:rPr>
              <w:t>≥</w:t>
            </w:r>
            <w:r w:rsidRPr="00547B24">
              <w:rPr>
                <w:szCs w:val="24"/>
              </w:rPr>
              <w:t>1/10)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szCs w:val="24"/>
              </w:rPr>
              <w:t>Almindelig (</w:t>
            </w:r>
            <w:r>
              <w:rPr>
                <w:szCs w:val="24"/>
              </w:rPr>
              <w:t>≥</w:t>
            </w:r>
            <w:r w:rsidRPr="00547B24">
              <w:rPr>
                <w:szCs w:val="24"/>
              </w:rPr>
              <w:t>1/100 til &lt;1/10)</w:t>
            </w:r>
          </w:p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szCs w:val="24"/>
                <w:lang w:val="de-DE"/>
              </w:rPr>
            </w:pPr>
            <w:proofErr w:type="spellStart"/>
            <w:r w:rsidRPr="00547B24">
              <w:rPr>
                <w:szCs w:val="24"/>
                <w:lang w:val="de-DE"/>
              </w:rPr>
              <w:t>Ikke</w:t>
            </w:r>
            <w:proofErr w:type="spellEnd"/>
            <w:r w:rsidRPr="00547B24">
              <w:rPr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szCs w:val="24"/>
                <w:lang w:val="de-DE"/>
              </w:rPr>
              <w:t>almindelig</w:t>
            </w:r>
            <w:proofErr w:type="spellEnd"/>
            <w:r w:rsidRPr="00547B24">
              <w:rPr>
                <w:szCs w:val="24"/>
                <w:lang w:val="de-DE"/>
              </w:rPr>
              <w:t xml:space="preserve"> (</w:t>
            </w:r>
            <w:r>
              <w:rPr>
                <w:szCs w:val="24"/>
                <w:lang w:val="de-DE"/>
              </w:rPr>
              <w:t>≥</w:t>
            </w:r>
            <w:r w:rsidRPr="00547B24">
              <w:rPr>
                <w:szCs w:val="24"/>
                <w:lang w:val="de-DE"/>
              </w:rPr>
              <w:t>1/1.000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</w:rPr>
              <w:t>&lt;</w:t>
            </w:r>
            <w:r w:rsidRPr="00547B24">
              <w:rPr>
                <w:szCs w:val="24"/>
                <w:lang w:val="de-DE"/>
              </w:rPr>
              <w:t>1/100)</w:t>
            </w:r>
          </w:p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rPr>
                <w:b/>
                <w:i/>
                <w:szCs w:val="24"/>
              </w:rPr>
            </w:pPr>
            <w:r w:rsidRPr="00547B24">
              <w:rPr>
                <w:szCs w:val="24"/>
              </w:rPr>
              <w:t>Meget sjælden (</w:t>
            </w:r>
            <w:r>
              <w:rPr>
                <w:szCs w:val="24"/>
              </w:rPr>
              <w:t>&lt;</w:t>
            </w:r>
            <w:r w:rsidRPr="00547B24">
              <w:rPr>
                <w:szCs w:val="24"/>
              </w:rPr>
              <w:t xml:space="preserve">1/10.000) </w:t>
            </w:r>
          </w:p>
          <w:p w:rsidR="00895B04" w:rsidRPr="00547B24" w:rsidRDefault="00895B04" w:rsidP="00A309ED">
            <w:pPr>
              <w:pStyle w:val="Sidehoved"/>
              <w:rPr>
                <w:bCs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r w:rsidRPr="00547B24">
              <w:rPr>
                <w:bCs/>
                <w:szCs w:val="24"/>
              </w:rPr>
              <w:t>Initialt sederende, svimmelhed.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  <w:u w:val="single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  <w:u w:val="single"/>
              </w:rPr>
            </w:pPr>
            <w:r w:rsidRPr="00547B24">
              <w:rPr>
                <w:bCs/>
                <w:szCs w:val="24"/>
              </w:rPr>
              <w:t xml:space="preserve">Parkinsonisme. 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proofErr w:type="spellStart"/>
            <w:r w:rsidRPr="00547B24">
              <w:rPr>
                <w:bCs/>
                <w:szCs w:val="24"/>
              </w:rPr>
              <w:t>Dystoni</w:t>
            </w:r>
            <w:proofErr w:type="spellEnd"/>
            <w:r w:rsidRPr="00547B24">
              <w:rPr>
                <w:bCs/>
                <w:szCs w:val="24"/>
              </w:rPr>
              <w:t xml:space="preserve">, </w:t>
            </w:r>
            <w:proofErr w:type="spellStart"/>
            <w:r w:rsidRPr="00547B24">
              <w:rPr>
                <w:bCs/>
                <w:szCs w:val="24"/>
              </w:rPr>
              <w:t>dyskinesi</w:t>
            </w:r>
            <w:proofErr w:type="spellEnd"/>
            <w:r w:rsidRPr="00547B24">
              <w:rPr>
                <w:bCs/>
                <w:szCs w:val="24"/>
              </w:rPr>
              <w:t xml:space="preserve">, hovedpine, 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  <w:proofErr w:type="spellStart"/>
            <w:r w:rsidRPr="00547B24">
              <w:rPr>
                <w:szCs w:val="24"/>
              </w:rPr>
              <w:t>antikolinerg</w:t>
            </w:r>
            <w:proofErr w:type="spellEnd"/>
            <w:r w:rsidRPr="00547B24">
              <w:rPr>
                <w:szCs w:val="24"/>
              </w:rPr>
              <w:t xml:space="preserve"> syndrom.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i/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  <w:proofErr w:type="spellStart"/>
            <w:r w:rsidRPr="00547B24">
              <w:rPr>
                <w:bCs/>
                <w:szCs w:val="24"/>
              </w:rPr>
              <w:t>Tardiv</w:t>
            </w:r>
            <w:proofErr w:type="spellEnd"/>
            <w:r w:rsidRPr="00547B24">
              <w:rPr>
                <w:bCs/>
                <w:szCs w:val="24"/>
              </w:rPr>
              <w:t xml:space="preserve"> </w:t>
            </w:r>
            <w:proofErr w:type="spellStart"/>
            <w:r w:rsidRPr="00547B24">
              <w:rPr>
                <w:bCs/>
                <w:szCs w:val="24"/>
              </w:rPr>
              <w:t>dyskinesi</w:t>
            </w:r>
            <w:proofErr w:type="spellEnd"/>
            <w:r w:rsidRPr="00547B24">
              <w:rPr>
                <w:bCs/>
                <w:szCs w:val="24"/>
              </w:rPr>
              <w:t xml:space="preserve"> (ved langtidsbehandling eller efter </w:t>
            </w:r>
            <w:proofErr w:type="spellStart"/>
            <w:r w:rsidRPr="00547B24">
              <w:rPr>
                <w:bCs/>
                <w:szCs w:val="24"/>
              </w:rPr>
              <w:t>seponering</w:t>
            </w:r>
            <w:proofErr w:type="spellEnd"/>
            <w:r w:rsidRPr="00547B24">
              <w:rPr>
                <w:bCs/>
                <w:szCs w:val="24"/>
              </w:rPr>
              <w:t>) som kan være irreversibelt.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bCs/>
                <w:szCs w:val="24"/>
              </w:rPr>
            </w:pPr>
            <w:r w:rsidRPr="00547B24">
              <w:rPr>
                <w:bCs/>
                <w:szCs w:val="24"/>
              </w:rPr>
              <w:t xml:space="preserve">Malignt </w:t>
            </w:r>
            <w:proofErr w:type="spellStart"/>
            <w:r w:rsidRPr="00547B24">
              <w:rPr>
                <w:bCs/>
                <w:szCs w:val="24"/>
              </w:rPr>
              <w:t>neuroleptikasyndrom</w:t>
            </w:r>
            <w:proofErr w:type="spellEnd"/>
            <w:r w:rsidRPr="00547B24">
              <w:rPr>
                <w:bCs/>
                <w:szCs w:val="24"/>
              </w:rPr>
              <w:t xml:space="preserve">. </w:t>
            </w: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t>Øjne</w:t>
            </w:r>
          </w:p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szCs w:val="24"/>
              </w:rPr>
              <w:t>Frekvens ikke kendt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r w:rsidRPr="00547B24">
              <w:rPr>
                <w:szCs w:val="24"/>
              </w:rPr>
              <w:t>Lysfølsomhed.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r w:rsidRPr="00547B24">
              <w:rPr>
                <w:szCs w:val="24"/>
              </w:rPr>
              <w:t xml:space="preserve"> </w:t>
            </w: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t>Mave-tarm</w:t>
            </w:r>
            <w:r>
              <w:rPr>
                <w:b/>
                <w:szCs w:val="24"/>
              </w:rPr>
              <w:t>-</w:t>
            </w:r>
            <w:r w:rsidRPr="00547B24">
              <w:rPr>
                <w:b/>
                <w:szCs w:val="24"/>
              </w:rPr>
              <w:t xml:space="preserve">kanalen  </w:t>
            </w:r>
          </w:p>
          <w:p w:rsidR="00895B04" w:rsidRPr="00547B24" w:rsidRDefault="00895B04" w:rsidP="00A309ED">
            <w:pPr>
              <w:pStyle w:val="Sidehoved"/>
              <w:rPr>
                <w:b/>
                <w:bCs/>
                <w:szCs w:val="24"/>
              </w:rPr>
            </w:pPr>
            <w:r w:rsidRPr="00547B24">
              <w:rPr>
                <w:szCs w:val="24"/>
              </w:rPr>
              <w:t>Almindelig (</w:t>
            </w:r>
            <w:r>
              <w:rPr>
                <w:szCs w:val="24"/>
              </w:rPr>
              <w:t>≥</w:t>
            </w:r>
            <w:r w:rsidRPr="00547B24">
              <w:rPr>
                <w:szCs w:val="24"/>
              </w:rPr>
              <w:t>1/100 til &lt;1/10)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r w:rsidRPr="00547B24">
              <w:rPr>
                <w:szCs w:val="24"/>
              </w:rPr>
              <w:t>Mundtørhed, oftest forbigående.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</w:tc>
      </w:tr>
      <w:tr w:rsidR="00895B04" w:rsidRPr="00547B24" w:rsidTr="00A309ED">
        <w:trPr>
          <w:trHeight w:val="53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642DC6">
            <w:pPr>
              <w:pStyle w:val="Sidehoved"/>
              <w:keepNext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lastRenderedPageBreak/>
              <w:t>Hud og subkutan</w:t>
            </w:r>
            <w:r>
              <w:rPr>
                <w:b/>
                <w:szCs w:val="24"/>
              </w:rPr>
              <w:t>e</w:t>
            </w:r>
            <w:r w:rsidRPr="00547B24">
              <w:rPr>
                <w:b/>
                <w:szCs w:val="24"/>
              </w:rPr>
              <w:t xml:space="preserve"> væv </w:t>
            </w:r>
          </w:p>
          <w:p w:rsidR="00895B04" w:rsidRPr="00547B24" w:rsidRDefault="00895B04" w:rsidP="00642DC6">
            <w:pPr>
              <w:pStyle w:val="Sidehoved"/>
              <w:keepNext/>
              <w:rPr>
                <w:b/>
                <w:i/>
                <w:szCs w:val="24"/>
              </w:rPr>
            </w:pPr>
            <w:r w:rsidRPr="00547B24">
              <w:rPr>
                <w:szCs w:val="24"/>
              </w:rPr>
              <w:t>Meget sjælden (</w:t>
            </w:r>
            <w:r>
              <w:rPr>
                <w:szCs w:val="24"/>
              </w:rPr>
              <w:t>&lt;</w:t>
            </w:r>
            <w:r w:rsidRPr="00547B24">
              <w:rPr>
                <w:szCs w:val="24"/>
              </w:rPr>
              <w:t xml:space="preserve">1/10.000)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i/>
                <w:szCs w:val="24"/>
              </w:rPr>
            </w:pPr>
            <w:r w:rsidRPr="00547B24">
              <w:rPr>
                <w:szCs w:val="24"/>
              </w:rPr>
              <w:t>Stevens-</w:t>
            </w:r>
            <w:proofErr w:type="spellStart"/>
            <w:r w:rsidRPr="00547B24">
              <w:rPr>
                <w:szCs w:val="24"/>
              </w:rPr>
              <w:t>Johnson</w:t>
            </w:r>
            <w:r>
              <w:rPr>
                <w:szCs w:val="24"/>
              </w:rPr>
              <w:t>'s</w:t>
            </w:r>
            <w:proofErr w:type="spellEnd"/>
            <w:r w:rsidRPr="00547B24">
              <w:rPr>
                <w:szCs w:val="24"/>
              </w:rPr>
              <w:t xml:space="preserve"> syndrom.</w:t>
            </w:r>
          </w:p>
        </w:tc>
      </w:tr>
      <w:tr w:rsidR="00895B04" w:rsidRPr="00547B24" w:rsidTr="00A309ED">
        <w:trPr>
          <w:trHeight w:val="273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proofErr w:type="spellStart"/>
            <w:r w:rsidRPr="00547B24">
              <w:rPr>
                <w:b/>
                <w:szCs w:val="24"/>
              </w:rPr>
              <w:t>Vaskulære</w:t>
            </w:r>
            <w:proofErr w:type="spellEnd"/>
            <w:r w:rsidRPr="00547B24">
              <w:rPr>
                <w:b/>
                <w:szCs w:val="24"/>
              </w:rPr>
              <w:t xml:space="preserve"> sygdomme 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  <w:lang w:val="de-DE"/>
              </w:rPr>
            </w:pPr>
            <w:proofErr w:type="spellStart"/>
            <w:r w:rsidRPr="00547B24">
              <w:rPr>
                <w:szCs w:val="24"/>
                <w:lang w:val="de-DE"/>
              </w:rPr>
              <w:t>Ikke</w:t>
            </w:r>
            <w:proofErr w:type="spellEnd"/>
            <w:r w:rsidRPr="00547B24">
              <w:rPr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szCs w:val="24"/>
                <w:lang w:val="de-DE"/>
              </w:rPr>
              <w:t>almindelig</w:t>
            </w:r>
            <w:proofErr w:type="spellEnd"/>
            <w:r w:rsidRPr="00547B24">
              <w:rPr>
                <w:szCs w:val="24"/>
                <w:lang w:val="de-DE"/>
              </w:rPr>
              <w:t xml:space="preserve"> (</w:t>
            </w:r>
            <w:r>
              <w:rPr>
                <w:szCs w:val="24"/>
              </w:rPr>
              <w:t>≥</w:t>
            </w:r>
            <w:r w:rsidRPr="00547B24">
              <w:rPr>
                <w:szCs w:val="24"/>
                <w:lang w:val="de-DE"/>
              </w:rPr>
              <w:t>1/1.000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>&lt;</w:t>
            </w:r>
            <w:r w:rsidRPr="00547B24">
              <w:rPr>
                <w:szCs w:val="24"/>
                <w:lang w:val="de-DE"/>
              </w:rPr>
              <w:t>1/100)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i/>
                <w:szCs w:val="24"/>
              </w:rPr>
            </w:pPr>
            <w:proofErr w:type="spellStart"/>
            <w:r w:rsidRPr="00547B24">
              <w:rPr>
                <w:szCs w:val="24"/>
              </w:rPr>
              <w:t>Ortostatisk</w:t>
            </w:r>
            <w:proofErr w:type="spellEnd"/>
            <w:r w:rsidRPr="00547B24">
              <w:rPr>
                <w:szCs w:val="24"/>
              </w:rPr>
              <w:t xml:space="preserve"> hypotension.</w:t>
            </w:r>
          </w:p>
        </w:tc>
      </w:tr>
      <w:tr w:rsidR="00895B04" w:rsidRPr="00547B24" w:rsidTr="00A309ED">
        <w:trPr>
          <w:trHeight w:val="14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t xml:space="preserve">Almene symptomer og reaktioner på administrationsstedet 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  <w:r w:rsidRPr="00547B24">
              <w:rPr>
                <w:szCs w:val="24"/>
              </w:rPr>
              <w:t>Frekvens ikke kendt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r w:rsidRPr="00547B24">
              <w:rPr>
                <w:szCs w:val="24"/>
              </w:rPr>
              <w:t>Pludselig uforklarlig død, u</w:t>
            </w:r>
            <w:r w:rsidRPr="00547B24">
              <w:rPr>
                <w:bCs/>
                <w:szCs w:val="24"/>
              </w:rPr>
              <w:t>behag i brystet.</w:t>
            </w:r>
            <w:r w:rsidRPr="00547B24">
              <w:rPr>
                <w:i/>
                <w:szCs w:val="24"/>
              </w:rPr>
              <w:t xml:space="preserve"> </w:t>
            </w: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</w:tc>
      </w:tr>
      <w:tr w:rsidR="00895B04" w:rsidRPr="00547B24" w:rsidTr="00A309ED">
        <w:trPr>
          <w:trHeight w:val="14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t xml:space="preserve">Lever og galdeveje  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  <w:lang w:val="de-DE"/>
              </w:rPr>
            </w:pPr>
            <w:proofErr w:type="spellStart"/>
            <w:r w:rsidRPr="00547B24">
              <w:rPr>
                <w:szCs w:val="24"/>
                <w:lang w:val="de-DE"/>
              </w:rPr>
              <w:t>Ikke</w:t>
            </w:r>
            <w:proofErr w:type="spellEnd"/>
            <w:r w:rsidRPr="00547B24">
              <w:rPr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szCs w:val="24"/>
                <w:lang w:val="de-DE"/>
              </w:rPr>
              <w:t>almindelig</w:t>
            </w:r>
            <w:proofErr w:type="spellEnd"/>
            <w:r w:rsidRPr="00547B24">
              <w:rPr>
                <w:szCs w:val="24"/>
                <w:lang w:val="de-DE"/>
              </w:rPr>
              <w:t xml:space="preserve"> (</w:t>
            </w:r>
            <w:r>
              <w:rPr>
                <w:szCs w:val="24"/>
                <w:lang w:val="de-DE"/>
              </w:rPr>
              <w:t>≥</w:t>
            </w:r>
            <w:r w:rsidRPr="00547B24">
              <w:rPr>
                <w:szCs w:val="24"/>
                <w:lang w:val="de-DE"/>
              </w:rPr>
              <w:t>1/1.000</w:t>
            </w:r>
            <w:r w:rsidRPr="00547B24">
              <w:rPr>
                <w:szCs w:val="24"/>
              </w:rPr>
              <w:t xml:space="preserve"> til</w:t>
            </w:r>
            <w:r w:rsidRPr="00547B24">
              <w:rPr>
                <w:szCs w:val="24"/>
                <w:lang w:val="de-DE"/>
              </w:rPr>
              <w:t xml:space="preserve"> </w:t>
            </w:r>
            <w:r>
              <w:rPr>
                <w:szCs w:val="24"/>
                <w:lang w:val="de-DE"/>
              </w:rPr>
              <w:t>&lt;</w:t>
            </w:r>
            <w:r w:rsidRPr="00547B24">
              <w:rPr>
                <w:szCs w:val="24"/>
                <w:lang w:val="de-DE"/>
              </w:rPr>
              <w:t>1/100)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i/>
                <w:szCs w:val="24"/>
              </w:rPr>
            </w:pPr>
            <w:proofErr w:type="spellStart"/>
            <w:r w:rsidRPr="00547B24">
              <w:rPr>
                <w:szCs w:val="24"/>
              </w:rPr>
              <w:t>Ikterus</w:t>
            </w:r>
            <w:proofErr w:type="spellEnd"/>
            <w:r w:rsidRPr="00547B24">
              <w:rPr>
                <w:szCs w:val="24"/>
              </w:rPr>
              <w:t xml:space="preserve">, </w:t>
            </w:r>
            <w:proofErr w:type="spellStart"/>
            <w:r w:rsidRPr="00547B24">
              <w:rPr>
                <w:szCs w:val="24"/>
              </w:rPr>
              <w:t>intrahepatisk</w:t>
            </w:r>
            <w:proofErr w:type="spellEnd"/>
            <w:r w:rsidRPr="00547B24">
              <w:rPr>
                <w:szCs w:val="24"/>
              </w:rPr>
              <w:t xml:space="preserve"> galdestase.</w:t>
            </w:r>
            <w:r w:rsidRPr="00547B24">
              <w:rPr>
                <w:i/>
                <w:szCs w:val="24"/>
              </w:rPr>
              <w:t xml:space="preserve"> </w:t>
            </w:r>
          </w:p>
        </w:tc>
      </w:tr>
      <w:tr w:rsidR="00895B04" w:rsidRPr="00547B24" w:rsidTr="00A309ED">
        <w:trPr>
          <w:trHeight w:val="14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  <w:lang w:val="de-DE"/>
              </w:rPr>
            </w:pPr>
            <w:proofErr w:type="spellStart"/>
            <w:r w:rsidRPr="00547B24">
              <w:rPr>
                <w:b/>
                <w:szCs w:val="24"/>
                <w:lang w:val="de-DE"/>
              </w:rPr>
              <w:t>Graviditet</w:t>
            </w:r>
            <w:proofErr w:type="spellEnd"/>
            <w:r w:rsidRPr="00547B24">
              <w:rPr>
                <w:b/>
                <w:szCs w:val="24"/>
                <w:lang w:val="de-DE"/>
              </w:rPr>
              <w:t xml:space="preserve">, </w:t>
            </w:r>
            <w:proofErr w:type="spellStart"/>
            <w:r w:rsidRPr="00547B24">
              <w:rPr>
                <w:b/>
                <w:szCs w:val="24"/>
                <w:lang w:val="de-DE"/>
              </w:rPr>
              <w:t>puerperium</w:t>
            </w:r>
            <w:proofErr w:type="spellEnd"/>
            <w:r w:rsidRPr="00547B24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547B24">
              <w:rPr>
                <w:b/>
                <w:szCs w:val="24"/>
                <w:lang w:val="de-DE"/>
              </w:rPr>
              <w:t>og</w:t>
            </w:r>
            <w:proofErr w:type="spellEnd"/>
            <w:r w:rsidRPr="00547B24">
              <w:rPr>
                <w:b/>
                <w:szCs w:val="24"/>
                <w:lang w:val="de-DE"/>
              </w:rPr>
              <w:t xml:space="preserve"> den perinatale </w:t>
            </w:r>
            <w:proofErr w:type="spellStart"/>
            <w:r w:rsidRPr="00547B24">
              <w:rPr>
                <w:b/>
                <w:szCs w:val="24"/>
                <w:lang w:val="de-DE"/>
              </w:rPr>
              <w:t>periode</w:t>
            </w:r>
            <w:proofErr w:type="spellEnd"/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  <w:r w:rsidRPr="00547B24">
              <w:rPr>
                <w:szCs w:val="24"/>
              </w:rPr>
              <w:t>Frekvens ikke kendt</w:t>
            </w:r>
          </w:p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  <w:lang w:val="sv-SE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r w:rsidRPr="00547B24">
              <w:rPr>
                <w:szCs w:val="24"/>
                <w:lang w:val="sv-SE"/>
              </w:rPr>
              <w:t>Neonatalt abstinenssyndrom (se pkt. 4.6).</w:t>
            </w:r>
          </w:p>
        </w:tc>
      </w:tr>
      <w:tr w:rsidR="00895B04" w:rsidRPr="00547B24" w:rsidTr="00A309ED">
        <w:trPr>
          <w:trHeight w:val="146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rPr>
                <w:b/>
                <w:szCs w:val="24"/>
              </w:rPr>
            </w:pPr>
            <w:r w:rsidRPr="00547B24">
              <w:rPr>
                <w:b/>
                <w:szCs w:val="24"/>
              </w:rPr>
              <w:t xml:space="preserve">Det reproduktive system og mammae   </w:t>
            </w:r>
          </w:p>
          <w:p w:rsidR="00895B04" w:rsidRPr="00547B24" w:rsidRDefault="00895B04" w:rsidP="00A309ED">
            <w:pPr>
              <w:pStyle w:val="Sidehoved"/>
              <w:rPr>
                <w:b/>
                <w:i/>
                <w:szCs w:val="24"/>
              </w:rPr>
            </w:pPr>
            <w:r w:rsidRPr="00547B24">
              <w:rPr>
                <w:szCs w:val="24"/>
              </w:rPr>
              <w:t>Meget sjælden (</w:t>
            </w:r>
            <w:r>
              <w:rPr>
                <w:szCs w:val="24"/>
              </w:rPr>
              <w:t>&lt;</w:t>
            </w:r>
            <w:r w:rsidRPr="00547B24">
              <w:rPr>
                <w:szCs w:val="24"/>
              </w:rPr>
              <w:t xml:space="preserve">1/10.000) </w:t>
            </w:r>
          </w:p>
          <w:p w:rsidR="00895B04" w:rsidRPr="00547B24" w:rsidRDefault="00895B04" w:rsidP="00A309ED">
            <w:pPr>
              <w:pStyle w:val="Sidehoved"/>
              <w:rPr>
                <w:szCs w:val="24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</w:p>
          <w:p w:rsidR="00895B04" w:rsidRPr="00547B24" w:rsidRDefault="00895B04" w:rsidP="00A309ED">
            <w:pPr>
              <w:pStyle w:val="Sidehoved"/>
              <w:ind w:left="53"/>
              <w:rPr>
                <w:szCs w:val="24"/>
              </w:rPr>
            </w:pPr>
            <w:proofErr w:type="spellStart"/>
            <w:r w:rsidRPr="00547B24">
              <w:rPr>
                <w:szCs w:val="24"/>
              </w:rPr>
              <w:t>Galaktoré</w:t>
            </w:r>
            <w:proofErr w:type="spellEnd"/>
            <w:r w:rsidRPr="00547B24">
              <w:rPr>
                <w:szCs w:val="24"/>
              </w:rPr>
              <w:t xml:space="preserve">, </w:t>
            </w:r>
            <w:proofErr w:type="spellStart"/>
            <w:r w:rsidRPr="00547B24">
              <w:rPr>
                <w:szCs w:val="24"/>
              </w:rPr>
              <w:t>gynækomasti</w:t>
            </w:r>
            <w:proofErr w:type="spellEnd"/>
            <w:r w:rsidRPr="00547B24">
              <w:rPr>
                <w:szCs w:val="24"/>
              </w:rPr>
              <w:t xml:space="preserve">, </w:t>
            </w:r>
            <w:proofErr w:type="spellStart"/>
            <w:r w:rsidRPr="00547B24">
              <w:rPr>
                <w:szCs w:val="24"/>
              </w:rPr>
              <w:t>oligomenoré</w:t>
            </w:r>
            <w:proofErr w:type="spellEnd"/>
            <w:r w:rsidRPr="00547B24">
              <w:rPr>
                <w:szCs w:val="24"/>
              </w:rPr>
              <w:t xml:space="preserve">, </w:t>
            </w:r>
            <w:proofErr w:type="spellStart"/>
            <w:r w:rsidRPr="00547B24">
              <w:rPr>
                <w:szCs w:val="24"/>
              </w:rPr>
              <w:t>amenoré</w:t>
            </w:r>
            <w:proofErr w:type="spellEnd"/>
            <w:r w:rsidRPr="00547B24">
              <w:rPr>
                <w:szCs w:val="24"/>
              </w:rPr>
              <w:t xml:space="preserve">, </w:t>
            </w:r>
            <w:proofErr w:type="spellStart"/>
            <w:r w:rsidRPr="00547B24">
              <w:rPr>
                <w:szCs w:val="24"/>
              </w:rPr>
              <w:t>erektil</w:t>
            </w:r>
            <w:proofErr w:type="spellEnd"/>
            <w:r w:rsidRPr="00547B24">
              <w:rPr>
                <w:szCs w:val="24"/>
              </w:rPr>
              <w:t xml:space="preserve"> dysfunktion. </w:t>
            </w:r>
          </w:p>
        </w:tc>
      </w:tr>
    </w:tbl>
    <w:p w:rsidR="00895B04" w:rsidRPr="00547B24" w:rsidRDefault="00895B04" w:rsidP="00895B04">
      <w:pPr>
        <w:pStyle w:val="Sidehoved"/>
        <w:ind w:left="851"/>
        <w:rPr>
          <w:b/>
          <w:szCs w:val="24"/>
        </w:rPr>
      </w:pPr>
    </w:p>
    <w:p w:rsidR="00895B04" w:rsidRPr="00547B24" w:rsidRDefault="00895B04" w:rsidP="00895B04">
      <w:pPr>
        <w:pStyle w:val="Sidehoved"/>
        <w:tabs>
          <w:tab w:val="left" w:pos="851"/>
        </w:tabs>
        <w:ind w:left="851"/>
        <w:rPr>
          <w:szCs w:val="24"/>
        </w:rPr>
      </w:pPr>
      <w:r w:rsidRPr="00547B24">
        <w:rPr>
          <w:szCs w:val="24"/>
        </w:rPr>
        <w:t xml:space="preserve">Tilfælde af venøs </w:t>
      </w:r>
      <w:proofErr w:type="spellStart"/>
      <w:r w:rsidRPr="00547B24">
        <w:rPr>
          <w:szCs w:val="24"/>
        </w:rPr>
        <w:t>tromboemboli</w:t>
      </w:r>
      <w:proofErr w:type="spellEnd"/>
      <w:r w:rsidRPr="00547B24">
        <w:rPr>
          <w:szCs w:val="24"/>
        </w:rPr>
        <w:t xml:space="preserve">, herunder tilfælde af </w:t>
      </w:r>
      <w:proofErr w:type="spellStart"/>
      <w:r w:rsidRPr="00547B24">
        <w:rPr>
          <w:szCs w:val="24"/>
        </w:rPr>
        <w:t>pulmonær</w:t>
      </w:r>
      <w:proofErr w:type="spellEnd"/>
      <w:r w:rsidRPr="00547B24">
        <w:rPr>
          <w:szCs w:val="24"/>
        </w:rPr>
        <w:t xml:space="preserve"> </w:t>
      </w:r>
      <w:proofErr w:type="spellStart"/>
      <w:r w:rsidRPr="00547B24">
        <w:rPr>
          <w:szCs w:val="24"/>
        </w:rPr>
        <w:t>emboli</w:t>
      </w:r>
      <w:proofErr w:type="spellEnd"/>
      <w:r w:rsidRPr="00547B24">
        <w:rPr>
          <w:szCs w:val="24"/>
        </w:rPr>
        <w:t xml:space="preserve"> og tilfælde af dyb venøs trombose, har været rapporteret under behandling med antipsykotika, inklusive </w:t>
      </w:r>
      <w:proofErr w:type="spellStart"/>
      <w:r w:rsidRPr="00547B24">
        <w:rPr>
          <w:szCs w:val="24"/>
        </w:rPr>
        <w:t>Buronil</w:t>
      </w:r>
      <w:proofErr w:type="spellEnd"/>
      <w:r w:rsidRPr="00547B24">
        <w:rPr>
          <w:szCs w:val="24"/>
        </w:rPr>
        <w:t>.</w:t>
      </w:r>
    </w:p>
    <w:p w:rsidR="00895B04" w:rsidRPr="00547B24" w:rsidRDefault="00895B04" w:rsidP="00895B04">
      <w:pPr>
        <w:pStyle w:val="Sidehoved"/>
        <w:tabs>
          <w:tab w:val="left" w:pos="851"/>
        </w:tabs>
        <w:ind w:left="851"/>
        <w:rPr>
          <w:szCs w:val="24"/>
        </w:rPr>
      </w:pPr>
    </w:p>
    <w:p w:rsidR="00895B04" w:rsidRDefault="00895B04" w:rsidP="00895B04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895B04" w:rsidRDefault="00895B04" w:rsidP="00895B0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 xml:space="preserve">-forholdet for lægemidlet. </w:t>
      </w:r>
      <w:r w:rsidR="008876CD">
        <w:rPr>
          <w:sz w:val="24"/>
          <w:szCs w:val="24"/>
          <w:lang w:eastAsia="da-DK"/>
        </w:rPr>
        <w:t>S</w:t>
      </w:r>
      <w:r>
        <w:rPr>
          <w:sz w:val="24"/>
          <w:szCs w:val="24"/>
          <w:lang w:eastAsia="da-DK"/>
        </w:rPr>
        <w:t>undhedsperson</w:t>
      </w:r>
      <w:r w:rsidR="008876CD">
        <w:rPr>
          <w:sz w:val="24"/>
          <w:szCs w:val="24"/>
          <w:lang w:eastAsia="da-DK"/>
        </w:rPr>
        <w:t>er</w:t>
      </w:r>
      <w:r>
        <w:rPr>
          <w:sz w:val="24"/>
          <w:szCs w:val="24"/>
          <w:lang w:eastAsia="da-DK"/>
        </w:rPr>
        <w:t xml:space="preserve"> anmodes om at indberette alle formodede bivirkninger via:</w:t>
      </w:r>
    </w:p>
    <w:p w:rsidR="00895B04" w:rsidRDefault="00895B04" w:rsidP="00895B04">
      <w:pPr>
        <w:ind w:left="851"/>
        <w:rPr>
          <w:sz w:val="24"/>
          <w:szCs w:val="24"/>
          <w:lang w:eastAsia="da-DK"/>
        </w:rPr>
      </w:pPr>
    </w:p>
    <w:p w:rsidR="00895B04" w:rsidRDefault="00895B04" w:rsidP="00895B0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895B04" w:rsidRDefault="00895B04" w:rsidP="00895B0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895B04" w:rsidRDefault="00895B04" w:rsidP="00895B0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895B04" w:rsidRDefault="00895B04" w:rsidP="00895B04">
      <w:pPr>
        <w:ind w:left="851"/>
        <w:rPr>
          <w:sz w:val="24"/>
          <w:szCs w:val="24"/>
          <w:lang w:val="en-US" w:eastAsia="da-DK"/>
        </w:rPr>
      </w:pPr>
      <w:proofErr w:type="spellStart"/>
      <w:r>
        <w:rPr>
          <w:sz w:val="24"/>
          <w:szCs w:val="24"/>
          <w:lang w:val="en-US" w:eastAsia="da-DK"/>
        </w:rPr>
        <w:t>Websted</w:t>
      </w:r>
      <w:proofErr w:type="spellEnd"/>
      <w:r>
        <w:rPr>
          <w:sz w:val="24"/>
          <w:szCs w:val="24"/>
          <w:lang w:val="en-US" w:eastAsia="da-DK"/>
        </w:rPr>
        <w:t xml:space="preserve">: </w:t>
      </w:r>
      <w:hyperlink r:id="rId8" w:history="1">
        <w:r w:rsidR="008876CD" w:rsidRPr="00CE01C5">
          <w:rPr>
            <w:rStyle w:val="Hyperlink"/>
            <w:sz w:val="24"/>
            <w:lang w:val="en-US" w:eastAsia="da-DK"/>
          </w:rPr>
          <w:t>www.meldenbivirkning.dk</w:t>
        </w:r>
      </w:hyperlink>
      <w:r w:rsidR="008876CD">
        <w:rPr>
          <w:sz w:val="24"/>
          <w:lang w:val="en-US" w:eastAsia="da-DK"/>
        </w:rPr>
        <w:t xml:space="preserve"> </w:t>
      </w:r>
    </w:p>
    <w:p w:rsidR="00895B04" w:rsidRPr="00547B24" w:rsidRDefault="00895B04" w:rsidP="00895B04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895B04" w:rsidRPr="009567F2" w:rsidRDefault="00895B04" w:rsidP="00642DC6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9567F2">
        <w:rPr>
          <w:b/>
          <w:sz w:val="24"/>
          <w:szCs w:val="24"/>
          <w:lang w:val="en-US"/>
        </w:rPr>
        <w:t>4.9</w:t>
      </w:r>
      <w:r w:rsidRPr="009567F2">
        <w:rPr>
          <w:b/>
          <w:sz w:val="24"/>
          <w:szCs w:val="24"/>
          <w:lang w:val="en-US"/>
        </w:rPr>
        <w:tab/>
      </w:r>
      <w:proofErr w:type="spellStart"/>
      <w:r w:rsidRPr="009567F2">
        <w:rPr>
          <w:b/>
          <w:sz w:val="24"/>
          <w:szCs w:val="24"/>
          <w:lang w:val="en-US"/>
        </w:rPr>
        <w:t>Overdosering</w:t>
      </w:r>
      <w:proofErr w:type="spellEnd"/>
    </w:p>
    <w:p w:rsidR="00895B04" w:rsidRPr="009567F2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  <w:lang w:val="en-US"/>
        </w:rPr>
      </w:pPr>
      <w:proofErr w:type="spellStart"/>
      <w:r w:rsidRPr="009567F2">
        <w:rPr>
          <w:iCs/>
          <w:sz w:val="24"/>
          <w:szCs w:val="24"/>
          <w:u w:val="single"/>
          <w:lang w:val="en-US"/>
        </w:rPr>
        <w:t>Symptomer</w:t>
      </w:r>
      <w:proofErr w:type="spellEnd"/>
    </w:p>
    <w:p w:rsidR="00895B04" w:rsidRPr="00E57D2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iCs/>
          <w:sz w:val="24"/>
          <w:szCs w:val="24"/>
        </w:rPr>
        <w:t>M</w:t>
      </w:r>
      <w:r w:rsidRPr="00E57D21">
        <w:rPr>
          <w:sz w:val="24"/>
          <w:szCs w:val="24"/>
        </w:rPr>
        <w:t xml:space="preserve">uskelrigiditet, </w:t>
      </w:r>
      <w:proofErr w:type="spellStart"/>
      <w:r w:rsidRPr="00E57D21">
        <w:rPr>
          <w:sz w:val="24"/>
          <w:szCs w:val="24"/>
        </w:rPr>
        <w:t>tremor</w:t>
      </w:r>
      <w:proofErr w:type="spellEnd"/>
      <w:r w:rsidRPr="00E57D21">
        <w:rPr>
          <w:sz w:val="24"/>
          <w:szCs w:val="24"/>
        </w:rPr>
        <w:t xml:space="preserve">, </w:t>
      </w:r>
      <w:proofErr w:type="spellStart"/>
      <w:r w:rsidRPr="00E57D21">
        <w:rPr>
          <w:sz w:val="24"/>
          <w:szCs w:val="24"/>
        </w:rPr>
        <w:t>dystoni</w:t>
      </w:r>
      <w:proofErr w:type="spellEnd"/>
      <w:r w:rsidRPr="00E57D21">
        <w:rPr>
          <w:sz w:val="24"/>
          <w:szCs w:val="24"/>
        </w:rPr>
        <w:t xml:space="preserve">, opistotonus, kloniske og toniske bevægelser, </w:t>
      </w:r>
      <w:proofErr w:type="spellStart"/>
      <w:r w:rsidRPr="00E57D21">
        <w:rPr>
          <w:sz w:val="24"/>
          <w:szCs w:val="24"/>
        </w:rPr>
        <w:t>hypotoni</w:t>
      </w:r>
      <w:proofErr w:type="spellEnd"/>
      <w:r w:rsidRPr="00E57D21">
        <w:rPr>
          <w:sz w:val="24"/>
          <w:szCs w:val="24"/>
        </w:rPr>
        <w:t xml:space="preserve">, </w:t>
      </w:r>
      <w:proofErr w:type="spellStart"/>
      <w:r w:rsidRPr="00E57D21">
        <w:rPr>
          <w:sz w:val="24"/>
          <w:szCs w:val="24"/>
        </w:rPr>
        <w:t>spythyperafsondring</w:t>
      </w:r>
      <w:proofErr w:type="spellEnd"/>
      <w:r w:rsidRPr="00E57D21">
        <w:rPr>
          <w:sz w:val="24"/>
          <w:szCs w:val="24"/>
        </w:rPr>
        <w:t xml:space="preserve">, </w:t>
      </w:r>
      <w:proofErr w:type="spellStart"/>
      <w:r w:rsidRPr="00E57D21">
        <w:rPr>
          <w:sz w:val="24"/>
          <w:szCs w:val="24"/>
        </w:rPr>
        <w:t>miose</w:t>
      </w:r>
      <w:proofErr w:type="spellEnd"/>
      <w:r w:rsidRPr="00E57D21">
        <w:rPr>
          <w:sz w:val="24"/>
          <w:szCs w:val="24"/>
        </w:rPr>
        <w:t xml:space="preserve">, </w:t>
      </w:r>
      <w:proofErr w:type="spellStart"/>
      <w:r w:rsidRPr="00E57D21">
        <w:rPr>
          <w:sz w:val="24"/>
          <w:szCs w:val="24"/>
        </w:rPr>
        <w:t>akatisi</w:t>
      </w:r>
      <w:proofErr w:type="spellEnd"/>
      <w:r w:rsidRPr="00E57D21">
        <w:rPr>
          <w:sz w:val="24"/>
          <w:szCs w:val="24"/>
        </w:rPr>
        <w:t xml:space="preserve">, </w:t>
      </w:r>
      <w:proofErr w:type="spellStart"/>
      <w:r w:rsidRPr="00E57D21">
        <w:rPr>
          <w:sz w:val="24"/>
          <w:szCs w:val="24"/>
        </w:rPr>
        <w:t>somnolens</w:t>
      </w:r>
      <w:proofErr w:type="spellEnd"/>
      <w:r w:rsidRPr="00E57D21">
        <w:rPr>
          <w:sz w:val="24"/>
          <w:szCs w:val="24"/>
        </w:rPr>
        <w:t xml:space="preserve">, tab af bevidsthed, bradykardi og </w:t>
      </w:r>
      <w:proofErr w:type="spellStart"/>
      <w:r w:rsidRPr="00E57D21">
        <w:rPr>
          <w:sz w:val="24"/>
          <w:szCs w:val="24"/>
        </w:rPr>
        <w:t>shock</w:t>
      </w:r>
      <w:proofErr w:type="spellEnd"/>
      <w:r w:rsidRPr="00E57D21">
        <w:rPr>
          <w:sz w:val="24"/>
          <w:szCs w:val="24"/>
        </w:rPr>
        <w:t xml:space="preserve"> er blevet observeret efter overdosering med </w:t>
      </w:r>
      <w:proofErr w:type="spellStart"/>
      <w:r w:rsidRPr="00E57D21">
        <w:rPr>
          <w:sz w:val="24"/>
          <w:szCs w:val="24"/>
        </w:rPr>
        <w:t>butyrofenoner</w:t>
      </w:r>
      <w:proofErr w:type="spellEnd"/>
      <w:r w:rsidRPr="00E57D21">
        <w:rPr>
          <w:sz w:val="24"/>
          <w:szCs w:val="24"/>
        </w:rPr>
        <w:t xml:space="preserve">.  Forlænget QT-interval og tilfælde af svær </w:t>
      </w:r>
      <w:proofErr w:type="spellStart"/>
      <w:r w:rsidRPr="00E57D21">
        <w:rPr>
          <w:sz w:val="24"/>
          <w:szCs w:val="24"/>
        </w:rPr>
        <w:t>arytmi</w:t>
      </w:r>
      <w:proofErr w:type="spellEnd"/>
      <w:r w:rsidRPr="00E57D21">
        <w:rPr>
          <w:sz w:val="24"/>
          <w:szCs w:val="24"/>
        </w:rPr>
        <w:t xml:space="preserve">, som har været fatale, er blevet rapporteret i forbindelse med overdosis med atypiske antipsykotiske midler. Et ikke-fatalt tilfælde af </w:t>
      </w:r>
      <w:proofErr w:type="spellStart"/>
      <w:r w:rsidRPr="00E57D21">
        <w:rPr>
          <w:sz w:val="24"/>
          <w:szCs w:val="24"/>
        </w:rPr>
        <w:t>Torsades</w:t>
      </w:r>
      <w:proofErr w:type="spellEnd"/>
      <w:r w:rsidRPr="00E57D21">
        <w:rPr>
          <w:sz w:val="24"/>
          <w:szCs w:val="24"/>
        </w:rPr>
        <w:t xml:space="preserve"> de pointes er blevet rapporteret, sekundært til en overdosis på 1750 mg </w:t>
      </w:r>
      <w:proofErr w:type="spellStart"/>
      <w:r w:rsidRPr="00E57D21">
        <w:rPr>
          <w:sz w:val="24"/>
          <w:szCs w:val="24"/>
        </w:rPr>
        <w:t>melperon</w:t>
      </w:r>
      <w:proofErr w:type="spellEnd"/>
      <w:r w:rsidRPr="00E57D21">
        <w:rPr>
          <w:sz w:val="24"/>
          <w:szCs w:val="24"/>
        </w:rPr>
        <w:t xml:space="preserve">.  Enkelte fatale tilfælde efter massive overdoseringer af </w:t>
      </w:r>
      <w:proofErr w:type="spellStart"/>
      <w:r w:rsidRPr="00E57D21">
        <w:rPr>
          <w:sz w:val="24"/>
          <w:szCs w:val="24"/>
        </w:rPr>
        <w:t>melperon</w:t>
      </w:r>
      <w:proofErr w:type="spellEnd"/>
      <w:r w:rsidRPr="00E57D21">
        <w:rPr>
          <w:sz w:val="24"/>
          <w:szCs w:val="24"/>
        </w:rPr>
        <w:t xml:space="preserve"> er ligeledes blevet rapporteret efter markedsføring, men generelt har symptomerne været milde til moderate.</w:t>
      </w:r>
    </w:p>
    <w:p w:rsidR="00895B04" w:rsidRPr="00E57D2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5A0B2B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5A0B2B">
        <w:rPr>
          <w:iCs/>
          <w:sz w:val="24"/>
          <w:szCs w:val="24"/>
          <w:u w:val="single"/>
        </w:rPr>
        <w:t>Behandling</w:t>
      </w:r>
    </w:p>
    <w:p w:rsidR="00895B04" w:rsidRPr="00E57D2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E57D21">
        <w:rPr>
          <w:sz w:val="24"/>
          <w:szCs w:val="24"/>
        </w:rPr>
        <w:t>Behandling er symptomatisk og støttende. Ventrikeltømning bør udføres så snart som muligt efter oral indtagelse, og aktivt kul kan administreres.</w:t>
      </w:r>
    </w:p>
    <w:p w:rsidR="00895B04" w:rsidRPr="00E57D2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E57D2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E57D21">
        <w:rPr>
          <w:sz w:val="24"/>
          <w:szCs w:val="24"/>
        </w:rPr>
        <w:lastRenderedPageBreak/>
        <w:t xml:space="preserve">Foranstaltninger til at støtte det respiratoriske og det </w:t>
      </w:r>
      <w:proofErr w:type="spellStart"/>
      <w:r w:rsidRPr="00E57D21">
        <w:rPr>
          <w:sz w:val="24"/>
          <w:szCs w:val="24"/>
        </w:rPr>
        <w:t>kardiovaskulære</w:t>
      </w:r>
      <w:proofErr w:type="spellEnd"/>
      <w:r w:rsidRPr="00E57D21">
        <w:rPr>
          <w:sz w:val="24"/>
          <w:szCs w:val="24"/>
        </w:rPr>
        <w:t xml:space="preserve"> system bør iværksættes. </w:t>
      </w:r>
      <w:proofErr w:type="spellStart"/>
      <w:r w:rsidRPr="00E57D21">
        <w:rPr>
          <w:sz w:val="24"/>
          <w:szCs w:val="24"/>
        </w:rPr>
        <w:t>Epinephrin</w:t>
      </w:r>
      <w:proofErr w:type="spellEnd"/>
      <w:r w:rsidRPr="00E57D21">
        <w:rPr>
          <w:sz w:val="24"/>
          <w:szCs w:val="24"/>
        </w:rPr>
        <w:t xml:space="preserve"> (</w:t>
      </w:r>
      <w:proofErr w:type="spellStart"/>
      <w:r w:rsidRPr="00E57D21">
        <w:rPr>
          <w:sz w:val="24"/>
          <w:szCs w:val="24"/>
        </w:rPr>
        <w:t>adrenal</w:t>
      </w:r>
      <w:proofErr w:type="spellEnd"/>
      <w:r w:rsidRPr="00E57D21">
        <w:rPr>
          <w:sz w:val="24"/>
          <w:szCs w:val="24"/>
        </w:rPr>
        <w:t xml:space="preserve">) bør ikke anvendes, da yderligere sænkning af blodtrykket kan være resultatet. Kramper kan behandles med </w:t>
      </w:r>
      <w:proofErr w:type="spellStart"/>
      <w:r w:rsidRPr="00E57D21">
        <w:rPr>
          <w:sz w:val="24"/>
          <w:szCs w:val="24"/>
        </w:rPr>
        <w:t>diazepam</w:t>
      </w:r>
      <w:proofErr w:type="spellEnd"/>
      <w:r w:rsidRPr="00E57D21">
        <w:rPr>
          <w:sz w:val="24"/>
          <w:szCs w:val="24"/>
        </w:rPr>
        <w:t xml:space="preserve"> og ekstrapyramidale symptomer med </w:t>
      </w:r>
      <w:proofErr w:type="spellStart"/>
      <w:r w:rsidRPr="00E57D21">
        <w:rPr>
          <w:sz w:val="24"/>
          <w:szCs w:val="24"/>
        </w:rPr>
        <w:t>biperiden</w:t>
      </w:r>
      <w:proofErr w:type="spellEnd"/>
      <w:r w:rsidRPr="00E57D21">
        <w:rPr>
          <w:sz w:val="24"/>
          <w:szCs w:val="24"/>
        </w:rPr>
        <w:t>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ATC-kode: </w:t>
      </w:r>
      <w:r w:rsidRPr="00C53B63">
        <w:rPr>
          <w:sz w:val="24"/>
          <w:szCs w:val="24"/>
        </w:rPr>
        <w:t>N 05 AD 03</w:t>
      </w:r>
      <w:r>
        <w:rPr>
          <w:sz w:val="24"/>
          <w:szCs w:val="24"/>
        </w:rPr>
        <w:t xml:space="preserve">. </w:t>
      </w:r>
      <w:proofErr w:type="spellStart"/>
      <w:r w:rsidRPr="00C53B63">
        <w:rPr>
          <w:sz w:val="24"/>
          <w:szCs w:val="24"/>
        </w:rPr>
        <w:t>Psykoleptika</w:t>
      </w:r>
      <w:proofErr w:type="spellEnd"/>
      <w:r w:rsidRPr="00C53B63">
        <w:rPr>
          <w:sz w:val="24"/>
          <w:szCs w:val="24"/>
        </w:rPr>
        <w:t xml:space="preserve">, atypiske antipsykotika, </w:t>
      </w:r>
      <w:proofErr w:type="spellStart"/>
      <w:r w:rsidRPr="00C53B63">
        <w:rPr>
          <w:sz w:val="24"/>
          <w:szCs w:val="24"/>
        </w:rPr>
        <w:t>butyrophenon</w:t>
      </w:r>
      <w:proofErr w:type="spellEnd"/>
      <w:r>
        <w:rPr>
          <w:sz w:val="24"/>
          <w:szCs w:val="24"/>
        </w:rPr>
        <w:t>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42DC6" w:rsidRDefault="00895B04" w:rsidP="00642DC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95B04" w:rsidRPr="003E1415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Virkningsmekanisme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er et atypisk antipsykotikum i </w:t>
      </w:r>
      <w:proofErr w:type="spellStart"/>
      <w:r w:rsidRPr="00C53B63">
        <w:rPr>
          <w:sz w:val="24"/>
          <w:szCs w:val="24"/>
        </w:rPr>
        <w:t>butyrofenon</w:t>
      </w:r>
      <w:proofErr w:type="spellEnd"/>
      <w:r w:rsidRPr="00C53B63">
        <w:rPr>
          <w:sz w:val="24"/>
          <w:szCs w:val="24"/>
        </w:rPr>
        <w:t>-gruppen.  Den antipsykotiske effekt af atypiske antipsykotika er relateret til deres dopamin-receptorers blokerende virkning, men der er muligvis ligeledes bidrag fra 5-HT (5-hydroxytryptamin) receptorblokade.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har en svag dopamin-receptorblokerende virkning i </w:t>
      </w:r>
      <w:proofErr w:type="spellStart"/>
      <w:r w:rsidRPr="00C53B63">
        <w:rPr>
          <w:sz w:val="24"/>
          <w:szCs w:val="24"/>
        </w:rPr>
        <w:t>striatale</w:t>
      </w:r>
      <w:proofErr w:type="spellEnd"/>
      <w:r w:rsidRPr="00C53B63">
        <w:rPr>
          <w:sz w:val="24"/>
          <w:szCs w:val="24"/>
        </w:rPr>
        <w:t xml:space="preserve"> dele. Modsat den lave bindingsaffinitet i corpus </w:t>
      </w:r>
      <w:proofErr w:type="spellStart"/>
      <w:r w:rsidRPr="00C53B63">
        <w:rPr>
          <w:sz w:val="24"/>
          <w:szCs w:val="24"/>
        </w:rPr>
        <w:t>striatum</w:t>
      </w:r>
      <w:proofErr w:type="spellEnd"/>
      <w:r w:rsidRPr="00C53B63">
        <w:rPr>
          <w:sz w:val="24"/>
          <w:szCs w:val="24"/>
        </w:rPr>
        <w:t xml:space="preserve">, har </w:t>
      </w:r>
      <w:proofErr w:type="spellStart"/>
      <w:r w:rsidRPr="00C53B63">
        <w:rPr>
          <w:sz w:val="24"/>
          <w:szCs w:val="24"/>
        </w:rPr>
        <w:t>melperone</w:t>
      </w:r>
      <w:proofErr w:type="spellEnd"/>
      <w:r w:rsidRPr="00C53B63">
        <w:rPr>
          <w:sz w:val="24"/>
          <w:szCs w:val="24"/>
        </w:rPr>
        <w:t xml:space="preserve"> en høj affinitet til dopamin-receptorer i den limbiske pandelap. Dyreforsøg har ligeledes vist at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udøver sin virkning på 5-HT-systemet.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blokerer </w:t>
      </w:r>
      <w:proofErr w:type="spellStart"/>
      <w:r w:rsidRPr="00C53B63">
        <w:rPr>
          <w:sz w:val="24"/>
          <w:szCs w:val="24"/>
        </w:rPr>
        <w:t>kompetitivt</w:t>
      </w:r>
      <w:proofErr w:type="spellEnd"/>
      <w:r w:rsidRPr="00C53B63">
        <w:rPr>
          <w:sz w:val="24"/>
          <w:szCs w:val="24"/>
        </w:rPr>
        <w:t xml:space="preserve"> centrale </w:t>
      </w:r>
      <w:proofErr w:type="spellStart"/>
      <w:r w:rsidRPr="00C53B63">
        <w:rPr>
          <w:sz w:val="24"/>
          <w:szCs w:val="24"/>
        </w:rPr>
        <w:t>adrenerge</w:t>
      </w:r>
      <w:proofErr w:type="spellEnd"/>
      <w:r w:rsidRPr="00C53B63">
        <w:rPr>
          <w:sz w:val="24"/>
          <w:szCs w:val="24"/>
        </w:rPr>
        <w:t xml:space="preserve"> alfareceptorer. Hæmningen er af kort varighed.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har en lav </w:t>
      </w:r>
      <w:proofErr w:type="gramStart"/>
      <w:r w:rsidRPr="00C53B63">
        <w:rPr>
          <w:sz w:val="24"/>
          <w:szCs w:val="24"/>
        </w:rPr>
        <w:t>antihistamin aktivitet</w:t>
      </w:r>
      <w:proofErr w:type="gramEnd"/>
      <w:r w:rsidRPr="00C53B63">
        <w:rPr>
          <w:sz w:val="24"/>
          <w:szCs w:val="24"/>
        </w:rPr>
        <w:t xml:space="preserve"> og har næsten ingen affinitet for </w:t>
      </w:r>
      <w:proofErr w:type="spellStart"/>
      <w:r w:rsidRPr="00C53B63">
        <w:rPr>
          <w:sz w:val="24"/>
          <w:szCs w:val="24"/>
        </w:rPr>
        <w:t>kolinerge</w:t>
      </w:r>
      <w:proofErr w:type="spellEnd"/>
      <w:r w:rsidRPr="00C53B63">
        <w:rPr>
          <w:sz w:val="24"/>
          <w:szCs w:val="24"/>
        </w:rPr>
        <w:t xml:space="preserve"> </w:t>
      </w:r>
      <w:proofErr w:type="spellStart"/>
      <w:r w:rsidRPr="00C53B63">
        <w:rPr>
          <w:sz w:val="24"/>
          <w:szCs w:val="24"/>
        </w:rPr>
        <w:t>muskarinreceptorer</w:t>
      </w:r>
      <w:proofErr w:type="spellEnd"/>
      <w:r w:rsidRPr="00C53B63">
        <w:rPr>
          <w:sz w:val="24"/>
          <w:szCs w:val="24"/>
        </w:rPr>
        <w:t>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642DC6" w:rsidRDefault="00895B04" w:rsidP="00642DC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95B04" w:rsidRPr="003E1415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Absorption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Oral administration resulterer i maksimale serumniveauer i løbet af 1-3 timer.  Den gennemsnitlige orale biotilgængelighed er cirka 60 %, upåvirket af fødeindtagelse.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Fordeling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Det åbenlyse distributionsvolumen (</w:t>
      </w:r>
      <w:proofErr w:type="spellStart"/>
      <w:r w:rsidRPr="00C53B63">
        <w:rPr>
          <w:sz w:val="24"/>
          <w:szCs w:val="24"/>
        </w:rPr>
        <w:t>Vd</w:t>
      </w:r>
      <w:proofErr w:type="spellEnd"/>
      <w:r w:rsidRPr="00C53B63">
        <w:rPr>
          <w:sz w:val="24"/>
          <w:szCs w:val="24"/>
        </w:rPr>
        <w:t>) er cirka. 7-10 l/kg. Plasmaproteinbindingen er cirka 32 %.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Biotransformation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 xml:space="preserve">Kun en lille procentdel af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udskilles uændret; størstedelen </w:t>
      </w:r>
      <w:proofErr w:type="spellStart"/>
      <w:r w:rsidRPr="00C53B63">
        <w:rPr>
          <w:sz w:val="24"/>
          <w:szCs w:val="24"/>
        </w:rPr>
        <w:t>metaboliseres</w:t>
      </w:r>
      <w:proofErr w:type="spellEnd"/>
      <w:r w:rsidRPr="00C53B63">
        <w:rPr>
          <w:sz w:val="24"/>
          <w:szCs w:val="24"/>
        </w:rPr>
        <w:t xml:space="preserve">, primært til inaktive metabolitter. Metabolismen af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kan mættes. Med høje doser hos raske forsøgspersoner blev der målt højere plasmakoncentrationer end forventet.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Elimination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Elimineringshalveringstiden (t</w:t>
      </w:r>
      <w:r w:rsidRPr="00C53B63">
        <w:rPr>
          <w:sz w:val="24"/>
          <w:szCs w:val="24"/>
          <w:vertAlign w:val="subscript"/>
        </w:rPr>
        <w:t>½</w:t>
      </w:r>
      <w:r w:rsidRPr="00C53B63">
        <w:rPr>
          <w:sz w:val="24"/>
          <w:szCs w:val="24"/>
        </w:rPr>
        <w:t xml:space="preserve">) er omtrent 8 timer. </w:t>
      </w:r>
      <w:proofErr w:type="spellStart"/>
      <w:r w:rsidRPr="00C53B63">
        <w:rPr>
          <w:sz w:val="24"/>
          <w:szCs w:val="24"/>
        </w:rPr>
        <w:t>Melperon</w:t>
      </w:r>
      <w:proofErr w:type="spellEnd"/>
      <w:r w:rsidRPr="00C53B63">
        <w:rPr>
          <w:sz w:val="24"/>
          <w:szCs w:val="24"/>
        </w:rPr>
        <w:t xml:space="preserve"> udskilles primært gennem nyrerne.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Ældre patienter</w:t>
      </w:r>
    </w:p>
    <w:p w:rsidR="00895B04" w:rsidRPr="00C53B63" w:rsidRDefault="00895B04" w:rsidP="00895B04">
      <w:pPr>
        <w:tabs>
          <w:tab w:val="left" w:pos="851"/>
        </w:tabs>
        <w:ind w:left="851"/>
        <w:rPr>
          <w:iCs/>
          <w:sz w:val="24"/>
          <w:szCs w:val="24"/>
        </w:rPr>
      </w:pPr>
      <w:r w:rsidRPr="00C53B63">
        <w:rPr>
          <w:iCs/>
          <w:sz w:val="24"/>
          <w:szCs w:val="24"/>
        </w:rPr>
        <w:t xml:space="preserve">Et forsøg, der sammenligner den </w:t>
      </w:r>
      <w:proofErr w:type="spellStart"/>
      <w:r w:rsidRPr="00C53B63">
        <w:rPr>
          <w:iCs/>
          <w:sz w:val="24"/>
          <w:szCs w:val="24"/>
        </w:rPr>
        <w:t>farmakokinetiske</w:t>
      </w:r>
      <w:proofErr w:type="spellEnd"/>
      <w:r w:rsidRPr="00C53B63">
        <w:rPr>
          <w:iCs/>
          <w:sz w:val="24"/>
          <w:szCs w:val="24"/>
        </w:rPr>
        <w:t xml:space="preserve"> profil hos ældre forsøgspersoner (73 – 74 år) sammenlignet med unge (&lt; 40 år) forsøgspersoner, viste at de to grupper havde lignende </w:t>
      </w:r>
      <w:proofErr w:type="spellStart"/>
      <w:r w:rsidRPr="00C53B63">
        <w:rPr>
          <w:iCs/>
          <w:sz w:val="24"/>
          <w:szCs w:val="24"/>
        </w:rPr>
        <w:t>C</w:t>
      </w:r>
      <w:r w:rsidRPr="00C53B63">
        <w:rPr>
          <w:iCs/>
          <w:sz w:val="24"/>
          <w:szCs w:val="24"/>
          <w:vertAlign w:val="subscript"/>
        </w:rPr>
        <w:t>max</w:t>
      </w:r>
      <w:proofErr w:type="spellEnd"/>
      <w:r w:rsidRPr="00C53B63">
        <w:rPr>
          <w:iCs/>
          <w:sz w:val="24"/>
          <w:szCs w:val="24"/>
        </w:rPr>
        <w:t xml:space="preserve">, </w:t>
      </w:r>
      <w:proofErr w:type="spellStart"/>
      <w:r w:rsidRPr="00C53B63">
        <w:rPr>
          <w:iCs/>
          <w:sz w:val="24"/>
          <w:szCs w:val="24"/>
        </w:rPr>
        <w:t>T</w:t>
      </w:r>
      <w:r w:rsidRPr="00C53B63">
        <w:rPr>
          <w:iCs/>
          <w:sz w:val="24"/>
          <w:szCs w:val="24"/>
          <w:vertAlign w:val="subscript"/>
        </w:rPr>
        <w:t>max</w:t>
      </w:r>
      <w:proofErr w:type="spellEnd"/>
      <w:r w:rsidRPr="00C53B63">
        <w:rPr>
          <w:iCs/>
          <w:sz w:val="24"/>
          <w:szCs w:val="24"/>
        </w:rPr>
        <w:t xml:space="preserve"> and T</w:t>
      </w:r>
      <w:r w:rsidRPr="00C53B63">
        <w:rPr>
          <w:iCs/>
          <w:sz w:val="24"/>
          <w:szCs w:val="24"/>
          <w:vertAlign w:val="subscript"/>
        </w:rPr>
        <w:t>1/2</w:t>
      </w:r>
      <w:r w:rsidRPr="00C53B63">
        <w:rPr>
          <w:iCs/>
          <w:sz w:val="24"/>
          <w:szCs w:val="24"/>
        </w:rPr>
        <w:t>-værdier, men en 37 % lavere AUC</w:t>
      </w:r>
      <w:r w:rsidRPr="00C53B63">
        <w:rPr>
          <w:iCs/>
          <w:sz w:val="24"/>
          <w:szCs w:val="24"/>
          <w:vertAlign w:val="subscript"/>
        </w:rPr>
        <w:t>0-12</w:t>
      </w:r>
      <w:r w:rsidRPr="00C53B63">
        <w:rPr>
          <w:iCs/>
          <w:sz w:val="24"/>
          <w:szCs w:val="24"/>
        </w:rPr>
        <w:t xml:space="preserve"> -værdi i gruppen af ældre deltagere.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E1415">
        <w:rPr>
          <w:sz w:val="24"/>
          <w:szCs w:val="24"/>
          <w:u w:val="single"/>
        </w:rPr>
        <w:lastRenderedPageBreak/>
        <w:t>Pædiatrisk population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Der foreligger ingen data.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Nedsat leverfunktion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Der foreligger ingen data.</w:t>
      </w:r>
    </w:p>
    <w:p w:rsidR="00895B04" w:rsidRPr="00C53B63" w:rsidRDefault="00895B04" w:rsidP="00895B04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895B04" w:rsidRDefault="00895B04" w:rsidP="00895B04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E1415">
        <w:rPr>
          <w:iCs/>
          <w:sz w:val="24"/>
          <w:szCs w:val="24"/>
          <w:u w:val="single"/>
        </w:rPr>
        <w:t>Nedsat nyrefunktion</w:t>
      </w:r>
    </w:p>
    <w:p w:rsidR="00895B04" w:rsidRPr="00C53B6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C53B63">
        <w:rPr>
          <w:sz w:val="24"/>
          <w:szCs w:val="24"/>
        </w:rPr>
        <w:t>Der foreligger ingen data.</w:t>
      </w:r>
    </w:p>
    <w:p w:rsidR="00895B04" w:rsidRPr="00C53B63" w:rsidRDefault="00895B04" w:rsidP="00895B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Der foreligger ingen data.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95B04" w:rsidRPr="00BA09F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1652C">
        <w:rPr>
          <w:sz w:val="24"/>
          <w:szCs w:val="24"/>
        </w:rPr>
        <w:t>Lactosemonohydrat</w:t>
      </w:r>
      <w:proofErr w:type="spellEnd"/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Cellulose, mikrokrystallinsk</w:t>
      </w:r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Talcum</w:t>
      </w:r>
      <w:proofErr w:type="spellEnd"/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Stearinsyre</w:t>
      </w:r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1652C">
        <w:rPr>
          <w:sz w:val="24"/>
          <w:szCs w:val="24"/>
        </w:rPr>
        <w:t>Silica</w:t>
      </w:r>
      <w:proofErr w:type="spellEnd"/>
      <w:r w:rsidRPr="0071652C">
        <w:rPr>
          <w:sz w:val="24"/>
          <w:szCs w:val="24"/>
        </w:rPr>
        <w:t>, kolloid vandfri</w:t>
      </w:r>
    </w:p>
    <w:p w:rsidR="00895B04" w:rsidRPr="00184752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84752">
        <w:rPr>
          <w:sz w:val="24"/>
          <w:szCs w:val="24"/>
        </w:rPr>
        <w:t>Povidon</w:t>
      </w:r>
      <w:proofErr w:type="spellEnd"/>
    </w:p>
    <w:p w:rsidR="00895B04" w:rsidRPr="00184752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84752">
        <w:rPr>
          <w:sz w:val="24"/>
          <w:szCs w:val="24"/>
        </w:rPr>
        <w:t>Magnesiumstearat</w:t>
      </w:r>
      <w:proofErr w:type="spellEnd"/>
    </w:p>
    <w:p w:rsidR="00895B04" w:rsidRPr="00184752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184752">
        <w:rPr>
          <w:sz w:val="24"/>
          <w:szCs w:val="24"/>
        </w:rPr>
        <w:t>Titandioxid (E171)</w:t>
      </w:r>
    </w:p>
    <w:p w:rsidR="00895B04" w:rsidRPr="00184752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184752">
        <w:rPr>
          <w:sz w:val="24"/>
          <w:szCs w:val="24"/>
        </w:rPr>
        <w:t>Jernoxid, gul (E172)</w:t>
      </w:r>
    </w:p>
    <w:p w:rsidR="00895B04" w:rsidRPr="000461E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61E1">
        <w:rPr>
          <w:sz w:val="24"/>
          <w:szCs w:val="24"/>
        </w:rPr>
        <w:t>Hypromellose</w:t>
      </w:r>
      <w:proofErr w:type="spellEnd"/>
    </w:p>
    <w:p w:rsidR="00895B04" w:rsidRPr="000461E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61E1">
        <w:rPr>
          <w:sz w:val="24"/>
          <w:szCs w:val="24"/>
        </w:rPr>
        <w:t>Macrogol</w:t>
      </w:r>
      <w:proofErr w:type="spellEnd"/>
      <w:r w:rsidRPr="000461E1">
        <w:rPr>
          <w:sz w:val="24"/>
          <w:szCs w:val="24"/>
        </w:rPr>
        <w:t xml:space="preserve"> 6000</w:t>
      </w:r>
    </w:p>
    <w:p w:rsidR="00895B04" w:rsidRPr="000461E1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Ikke relevant.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5 år.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Efter anbrud: 6 måneder.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Dette lægemiddel kræver ingen særlige forholdsregler vedrørende opbevaringen.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895B04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 w:rsidRPr="0071652C">
        <w:rPr>
          <w:sz w:val="24"/>
          <w:szCs w:val="24"/>
        </w:rPr>
        <w:t>High-</w:t>
      </w:r>
      <w:proofErr w:type="spellStart"/>
      <w:r w:rsidRPr="0071652C">
        <w:rPr>
          <w:sz w:val="24"/>
          <w:szCs w:val="24"/>
        </w:rPr>
        <w:t>density</w:t>
      </w:r>
      <w:proofErr w:type="spellEnd"/>
      <w:r w:rsidRPr="0071652C">
        <w:rPr>
          <w:sz w:val="24"/>
          <w:szCs w:val="24"/>
        </w:rPr>
        <w:t xml:space="preserve"> </w:t>
      </w:r>
      <w:proofErr w:type="spellStart"/>
      <w:r w:rsidRPr="0071652C">
        <w:rPr>
          <w:sz w:val="24"/>
          <w:szCs w:val="24"/>
        </w:rPr>
        <w:t>polyethylen</w:t>
      </w:r>
      <w:proofErr w:type="spellEnd"/>
      <w:r w:rsidRPr="0071652C">
        <w:rPr>
          <w:sz w:val="24"/>
          <w:szCs w:val="24"/>
        </w:rPr>
        <w:t xml:space="preserve"> plastbeholder </w:t>
      </w:r>
      <w:r>
        <w:rPr>
          <w:sz w:val="24"/>
          <w:szCs w:val="24"/>
        </w:rPr>
        <w:t>med</w:t>
      </w:r>
      <w:r w:rsidRPr="0071652C">
        <w:rPr>
          <w:sz w:val="24"/>
          <w:szCs w:val="24"/>
        </w:rPr>
        <w:t xml:space="preserve"> skruelåg</w:t>
      </w:r>
      <w:r>
        <w:rPr>
          <w:sz w:val="24"/>
          <w:szCs w:val="24"/>
        </w:rPr>
        <w:t>.</w:t>
      </w:r>
    </w:p>
    <w:p w:rsidR="00895B04" w:rsidRPr="0071652C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895B04" w:rsidRPr="0071652C" w:rsidRDefault="00895B04" w:rsidP="00895B04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71652C">
        <w:rPr>
          <w:sz w:val="24"/>
          <w:szCs w:val="24"/>
        </w:rPr>
        <w:t>Ingen særlige forholdsregler.</w:t>
      </w:r>
    </w:p>
    <w:p w:rsidR="00895B04" w:rsidRDefault="00895B04" w:rsidP="00895B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95B04" w:rsidRPr="0071652C" w:rsidRDefault="00895B04" w:rsidP="00895B04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71652C">
        <w:rPr>
          <w:sz w:val="24"/>
          <w:szCs w:val="24"/>
        </w:rPr>
        <w:t>Ikke anvendt lægemiddel samt affald heraf skal bortskaffes i henhold til lokale retningslinjer.</w:t>
      </w:r>
    </w:p>
    <w:p w:rsidR="00895B04" w:rsidRPr="00C84483" w:rsidRDefault="00895B04" w:rsidP="00895B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876CD" w:rsidRPr="008876CD" w:rsidRDefault="008876CD" w:rsidP="008876C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8876CD">
        <w:rPr>
          <w:sz w:val="24"/>
          <w:szCs w:val="24"/>
          <w:lang w:val="en-US"/>
        </w:rPr>
        <w:t>Medilink</w:t>
      </w:r>
      <w:proofErr w:type="spellEnd"/>
      <w:r w:rsidRPr="008876CD">
        <w:rPr>
          <w:sz w:val="24"/>
          <w:szCs w:val="24"/>
          <w:lang w:val="en-US"/>
        </w:rPr>
        <w:t xml:space="preserve"> A/S </w:t>
      </w:r>
    </w:p>
    <w:p w:rsidR="008876CD" w:rsidRPr="008876CD" w:rsidRDefault="008876CD" w:rsidP="008876C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8876CD">
        <w:rPr>
          <w:sz w:val="24"/>
          <w:szCs w:val="24"/>
          <w:lang w:val="en-US"/>
        </w:rPr>
        <w:t>Klintehøj</w:t>
      </w:r>
      <w:proofErr w:type="spellEnd"/>
      <w:r w:rsidRPr="008876CD">
        <w:rPr>
          <w:sz w:val="24"/>
          <w:szCs w:val="24"/>
          <w:lang w:val="en-US"/>
        </w:rPr>
        <w:t xml:space="preserve"> </w:t>
      </w:r>
      <w:proofErr w:type="spellStart"/>
      <w:r w:rsidRPr="008876CD">
        <w:rPr>
          <w:sz w:val="24"/>
          <w:szCs w:val="24"/>
          <w:lang w:val="en-US"/>
        </w:rPr>
        <w:t>Vænge</w:t>
      </w:r>
      <w:proofErr w:type="spellEnd"/>
      <w:r w:rsidRPr="008876CD">
        <w:rPr>
          <w:sz w:val="24"/>
          <w:szCs w:val="24"/>
          <w:lang w:val="en-US"/>
        </w:rPr>
        <w:t xml:space="preserve"> 6 </w:t>
      </w:r>
    </w:p>
    <w:p w:rsidR="00895B04" w:rsidRPr="0071652C" w:rsidRDefault="008876CD" w:rsidP="008876CD">
      <w:pPr>
        <w:tabs>
          <w:tab w:val="left" w:pos="851"/>
        </w:tabs>
        <w:ind w:left="851"/>
        <w:rPr>
          <w:sz w:val="24"/>
          <w:szCs w:val="24"/>
        </w:rPr>
      </w:pPr>
      <w:r w:rsidRPr="008876CD">
        <w:rPr>
          <w:sz w:val="24"/>
          <w:szCs w:val="24"/>
        </w:rPr>
        <w:t>3460 Birkerød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57131</w:t>
      </w:r>
    </w:p>
    <w:p w:rsidR="00895B04" w:rsidRPr="00C84483" w:rsidRDefault="00895B04" w:rsidP="00895B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oktober 1967 (overtrukne tabletter 25 mg)</w:t>
      </w:r>
    </w:p>
    <w:p w:rsidR="00895B04" w:rsidRPr="00C84483" w:rsidRDefault="00895B04" w:rsidP="00895B04">
      <w:pPr>
        <w:tabs>
          <w:tab w:val="left" w:pos="851"/>
        </w:tabs>
        <w:ind w:left="851"/>
        <w:rPr>
          <w:sz w:val="24"/>
          <w:szCs w:val="24"/>
        </w:rPr>
      </w:pPr>
    </w:p>
    <w:p w:rsidR="00895B04" w:rsidRPr="00C84483" w:rsidRDefault="00895B04" w:rsidP="00895B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95B04" w:rsidRPr="00C84483" w:rsidRDefault="008876CD" w:rsidP="00895B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</w:t>
      </w:r>
      <w:r w:rsidR="00222E67">
        <w:rPr>
          <w:sz w:val="24"/>
          <w:szCs w:val="24"/>
        </w:rPr>
        <w:t>. februar 202</w:t>
      </w:r>
      <w:r>
        <w:rPr>
          <w:sz w:val="24"/>
          <w:szCs w:val="24"/>
        </w:rPr>
        <w:t>2</w:t>
      </w:r>
    </w:p>
    <w:p w:rsidR="00895B04" w:rsidRPr="0054578D" w:rsidRDefault="00895B04" w:rsidP="00895B04"/>
    <w:p w:rsidR="0003527F" w:rsidRPr="00895B04" w:rsidRDefault="0003527F" w:rsidP="00895B04"/>
    <w:sectPr w:rsidR="0003527F" w:rsidRPr="00895B04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04" w:rsidRDefault="00895B04">
      <w:r>
        <w:separator/>
      </w:r>
    </w:p>
  </w:endnote>
  <w:endnote w:type="continuationSeparator" w:id="0">
    <w:p w:rsidR="00895B04" w:rsidRDefault="008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5A" w:rsidRDefault="008C575A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8C575A" w:rsidRDefault="008C575A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8C575A" w:rsidRDefault="008C575A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567F2">
      <w:rPr>
        <w:i/>
        <w:noProof/>
        <w:snapToGrid w:val="0"/>
        <w:sz w:val="18"/>
      </w:rPr>
      <w:t>Buronil, filmovertrukne tabletter 25 mg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5A" w:rsidRDefault="008C575A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8C575A" w:rsidRDefault="008C575A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8C575A" w:rsidRDefault="008C575A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567F2">
      <w:rPr>
        <w:i/>
        <w:noProof/>
        <w:snapToGrid w:val="0"/>
        <w:sz w:val="18"/>
      </w:rPr>
      <w:t>Buronil, filmovertrukne tabletter 25 mg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04" w:rsidRDefault="00895B04">
      <w:r>
        <w:separator/>
      </w:r>
    </w:p>
  </w:footnote>
  <w:footnote w:type="continuationSeparator" w:id="0">
    <w:p w:rsidR="00895B04" w:rsidRDefault="0089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5A" w:rsidRDefault="008C57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75A" w:rsidRDefault="008C575A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4B09"/>
    <w:multiLevelType w:val="hybridMultilevel"/>
    <w:tmpl w:val="C7EC457C"/>
    <w:lvl w:ilvl="0" w:tplc="91FE5302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strike w:val="0"/>
        <w:dstrike w:val="0"/>
        <w:sz w:val="22"/>
        <w:szCs w:val="22"/>
        <w:u w:val="none"/>
        <w:effect w:val="none"/>
      </w:rPr>
    </w:lvl>
    <w:lvl w:ilvl="1" w:tplc="0406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04"/>
    <w:rsid w:val="00031F27"/>
    <w:rsid w:val="0003527F"/>
    <w:rsid w:val="000607B8"/>
    <w:rsid w:val="00065C7D"/>
    <w:rsid w:val="00083C60"/>
    <w:rsid w:val="00090F32"/>
    <w:rsid w:val="000C6CD4"/>
    <w:rsid w:val="001458BB"/>
    <w:rsid w:val="00145ECF"/>
    <w:rsid w:val="001577E4"/>
    <w:rsid w:val="001858CA"/>
    <w:rsid w:val="001A7631"/>
    <w:rsid w:val="001C4AEF"/>
    <w:rsid w:val="001D3CC5"/>
    <w:rsid w:val="00222E67"/>
    <w:rsid w:val="0023582A"/>
    <w:rsid w:val="00255A0B"/>
    <w:rsid w:val="002D22D8"/>
    <w:rsid w:val="00322BDE"/>
    <w:rsid w:val="00331A74"/>
    <w:rsid w:val="003718A9"/>
    <w:rsid w:val="003C5AEB"/>
    <w:rsid w:val="003F0FBB"/>
    <w:rsid w:val="003F4F73"/>
    <w:rsid w:val="00404760"/>
    <w:rsid w:val="00406EE7"/>
    <w:rsid w:val="00407013"/>
    <w:rsid w:val="00424434"/>
    <w:rsid w:val="00454C52"/>
    <w:rsid w:val="00472DBB"/>
    <w:rsid w:val="004A62CC"/>
    <w:rsid w:val="004F3E1A"/>
    <w:rsid w:val="004F5D17"/>
    <w:rsid w:val="004F74AA"/>
    <w:rsid w:val="0054382B"/>
    <w:rsid w:val="00565A74"/>
    <w:rsid w:val="00570CA6"/>
    <w:rsid w:val="005B0036"/>
    <w:rsid w:val="005F5831"/>
    <w:rsid w:val="00642DC6"/>
    <w:rsid w:val="006545E4"/>
    <w:rsid w:val="00662012"/>
    <w:rsid w:val="00666B01"/>
    <w:rsid w:val="006B1539"/>
    <w:rsid w:val="006B669C"/>
    <w:rsid w:val="006F5621"/>
    <w:rsid w:val="0072489B"/>
    <w:rsid w:val="00785822"/>
    <w:rsid w:val="007B17FB"/>
    <w:rsid w:val="007E2A00"/>
    <w:rsid w:val="008010F2"/>
    <w:rsid w:val="0088674B"/>
    <w:rsid w:val="008876CD"/>
    <w:rsid w:val="00895B04"/>
    <w:rsid w:val="008C575A"/>
    <w:rsid w:val="008F6A14"/>
    <w:rsid w:val="009202AE"/>
    <w:rsid w:val="009567F2"/>
    <w:rsid w:val="0097783B"/>
    <w:rsid w:val="00991594"/>
    <w:rsid w:val="009D66C6"/>
    <w:rsid w:val="00A075E0"/>
    <w:rsid w:val="00A33254"/>
    <w:rsid w:val="00A33BC7"/>
    <w:rsid w:val="00A96525"/>
    <w:rsid w:val="00AB5B72"/>
    <w:rsid w:val="00AE29E5"/>
    <w:rsid w:val="00AE5757"/>
    <w:rsid w:val="00B25EB8"/>
    <w:rsid w:val="00B4582D"/>
    <w:rsid w:val="00B83183"/>
    <w:rsid w:val="00BB1239"/>
    <w:rsid w:val="00BC634B"/>
    <w:rsid w:val="00BC7A0B"/>
    <w:rsid w:val="00BF2AE0"/>
    <w:rsid w:val="00C4149B"/>
    <w:rsid w:val="00C41819"/>
    <w:rsid w:val="00C479BF"/>
    <w:rsid w:val="00C84C5B"/>
    <w:rsid w:val="00D8602C"/>
    <w:rsid w:val="00DA4B7C"/>
    <w:rsid w:val="00DD5980"/>
    <w:rsid w:val="00DD6D71"/>
    <w:rsid w:val="00DF32BE"/>
    <w:rsid w:val="00E14F0A"/>
    <w:rsid w:val="00E16F08"/>
    <w:rsid w:val="00E879C5"/>
    <w:rsid w:val="00EB5778"/>
    <w:rsid w:val="00EE5253"/>
    <w:rsid w:val="00F37237"/>
    <w:rsid w:val="00F510C1"/>
    <w:rsid w:val="00F9444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0F287"/>
  <w15:chartTrackingRefBased/>
  <w15:docId w15:val="{8F9714A4-AA63-46F1-9976-7286B48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styleId="Pladsholdertekst">
    <w:name w:val="Placeholder Text"/>
    <w:basedOn w:val="Standardskrifttypeiafsnit"/>
    <w:uiPriority w:val="99"/>
    <w:semiHidden/>
    <w:rsid w:val="00090F32"/>
    <w:rPr>
      <w:color w:val="808080"/>
    </w:rPr>
  </w:style>
  <w:style w:type="paragraph" w:styleId="Titel">
    <w:name w:val="Title"/>
    <w:basedOn w:val="Normal"/>
    <w:link w:val="TitelTegn"/>
    <w:qFormat/>
    <w:rsid w:val="00895B04"/>
    <w:pPr>
      <w:jc w:val="center"/>
    </w:pPr>
    <w:rPr>
      <w:b/>
      <w:sz w:val="24"/>
      <w:lang w:eastAsia="da-DK"/>
    </w:rPr>
  </w:style>
  <w:style w:type="character" w:customStyle="1" w:styleId="TitelTegn">
    <w:name w:val="Titel Tegn"/>
    <w:basedOn w:val="Standardskrifttypeiafsnit"/>
    <w:link w:val="Titel"/>
    <w:rsid w:val="00895B04"/>
    <w:rPr>
      <w:b/>
      <w:sz w:val="24"/>
    </w:rPr>
  </w:style>
  <w:style w:type="character" w:styleId="Hyperlink">
    <w:name w:val="Hyperlink"/>
    <w:basedOn w:val="Standardskrifttypeiafsnit"/>
    <w:uiPriority w:val="99"/>
    <w:unhideWhenUsed/>
    <w:rsid w:val="008876C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8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_Tools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SPC_Tools</Template>
  <TotalTime>3</TotalTime>
  <Pages>8</Pages>
  <Words>1588</Words>
  <Characters>11384</Characters>
  <Application>Microsoft Office Word</Application>
  <DocSecurity>0</DocSecurity>
  <Lines>94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OPTION</Company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2022023009_x000d_
Ænbdring af MAH navn og adresse fra MediLink A/S (med stort L)_x000d_
_x000d_
2015121267 mt</dc:description>
  <cp:lastModifiedBy>Marianne Ott Jensen</cp:lastModifiedBy>
  <cp:revision>3</cp:revision>
  <dcterms:created xsi:type="dcterms:W3CDTF">2022-02-24T10:13:00Z</dcterms:created>
  <dcterms:modified xsi:type="dcterms:W3CDTF">2022-02-24T10:15:00Z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">
    <vt:lpwstr>0</vt:lpwstr>
  </property>
  <property fmtid="{D5CDD505-2E9C-101B-9397-08002B2CF9AE}" pid="3" name="NewTemplateConverted">
    <vt:lpwstr>SPC_Tools.dotm</vt:lpwstr>
  </property>
  <property fmtid="{D5CDD505-2E9C-101B-9397-08002B2CF9AE}" pid="4" name="ConvertedFromMacroDocument">
    <vt:lpwstr>True</vt:lpwstr>
  </property>
</Properties>
</file>