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9A705" w14:textId="2B6E3D27" w:rsidR="009260DE" w:rsidRPr="008B475B" w:rsidRDefault="0021526C" w:rsidP="009F7CAC">
      <w:pPr>
        <w:rPr>
          <w:b/>
          <w:szCs w:val="24"/>
        </w:rPr>
      </w:pPr>
      <w:r w:rsidRPr="008B475B">
        <w:rPr>
          <w:noProof/>
          <w:sz w:val="24"/>
          <w:szCs w:val="24"/>
          <w:lang w:eastAsia="da-DK"/>
        </w:rPr>
        <w:drawing>
          <wp:anchor distT="0" distB="0" distL="114300" distR="114300" simplePos="0" relativeHeight="251658240" behindDoc="0" locked="0" layoutInCell="1" allowOverlap="1" wp14:anchorId="668A0E03" wp14:editId="59486DC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B475B">
        <w:rPr>
          <w:sz w:val="24"/>
          <w:szCs w:val="24"/>
        </w:rPr>
        <w:br w:type="textWrapping" w:clear="all"/>
      </w:r>
    </w:p>
    <w:p w14:paraId="2F3C0A97" w14:textId="77777777" w:rsidR="0044481D" w:rsidRPr="008B475B" w:rsidRDefault="0044481D" w:rsidP="0044481D">
      <w:pPr>
        <w:pStyle w:val="Titel"/>
        <w:tabs>
          <w:tab w:val="right" w:pos="9356"/>
        </w:tabs>
        <w:jc w:val="left"/>
        <w:rPr>
          <w:b w:val="0"/>
          <w:szCs w:val="24"/>
          <w:lang w:eastAsia="en-US"/>
        </w:rPr>
      </w:pPr>
      <w:r w:rsidRPr="008B475B">
        <w:rPr>
          <w:b w:val="0"/>
          <w:szCs w:val="24"/>
          <w:lang w:eastAsia="en-US"/>
        </w:rPr>
        <w:tab/>
      </w:r>
      <w:r>
        <w:rPr>
          <w:szCs w:val="24"/>
        </w:rPr>
        <w:t>29. november 2023</w:t>
      </w:r>
    </w:p>
    <w:p w14:paraId="2D6F144E" w14:textId="77777777" w:rsidR="0044481D" w:rsidRPr="008B475B" w:rsidRDefault="0044481D" w:rsidP="0044481D">
      <w:pPr>
        <w:pStyle w:val="Titel"/>
        <w:jc w:val="left"/>
        <w:rPr>
          <w:b w:val="0"/>
          <w:szCs w:val="24"/>
        </w:rPr>
      </w:pPr>
    </w:p>
    <w:p w14:paraId="196AB8D3" w14:textId="77777777" w:rsidR="0044481D" w:rsidRDefault="0044481D" w:rsidP="0044481D">
      <w:pPr>
        <w:pStyle w:val="Titel"/>
        <w:jc w:val="left"/>
        <w:rPr>
          <w:b w:val="0"/>
          <w:szCs w:val="24"/>
        </w:rPr>
      </w:pPr>
    </w:p>
    <w:p w14:paraId="2E412AE1" w14:textId="77777777" w:rsidR="0044481D" w:rsidRPr="008B475B" w:rsidRDefault="0044481D" w:rsidP="0044481D">
      <w:pPr>
        <w:pStyle w:val="Titel"/>
        <w:jc w:val="left"/>
        <w:rPr>
          <w:b w:val="0"/>
          <w:szCs w:val="24"/>
        </w:rPr>
      </w:pPr>
    </w:p>
    <w:p w14:paraId="1516C45F" w14:textId="77777777" w:rsidR="0044481D" w:rsidRPr="008B475B" w:rsidRDefault="0044481D" w:rsidP="0044481D">
      <w:pPr>
        <w:jc w:val="center"/>
        <w:rPr>
          <w:b/>
          <w:sz w:val="24"/>
          <w:szCs w:val="24"/>
        </w:rPr>
      </w:pPr>
      <w:r w:rsidRPr="008B475B">
        <w:rPr>
          <w:b/>
          <w:sz w:val="24"/>
          <w:szCs w:val="24"/>
        </w:rPr>
        <w:t>PRODUKTRESUMÉ</w:t>
      </w:r>
    </w:p>
    <w:p w14:paraId="257820B1" w14:textId="77777777" w:rsidR="0044481D" w:rsidRPr="008B475B" w:rsidRDefault="0044481D" w:rsidP="0044481D">
      <w:pPr>
        <w:jc w:val="center"/>
        <w:rPr>
          <w:b/>
          <w:sz w:val="24"/>
          <w:szCs w:val="24"/>
        </w:rPr>
      </w:pPr>
    </w:p>
    <w:p w14:paraId="0C8AF847" w14:textId="77777777" w:rsidR="0044481D" w:rsidRPr="008B475B" w:rsidRDefault="0044481D" w:rsidP="0044481D">
      <w:pPr>
        <w:jc w:val="center"/>
        <w:rPr>
          <w:b/>
          <w:sz w:val="24"/>
          <w:szCs w:val="24"/>
        </w:rPr>
      </w:pPr>
      <w:r w:rsidRPr="008B475B">
        <w:rPr>
          <w:b/>
          <w:sz w:val="24"/>
          <w:szCs w:val="24"/>
        </w:rPr>
        <w:t>for</w:t>
      </w:r>
    </w:p>
    <w:p w14:paraId="4A636454" w14:textId="77777777" w:rsidR="0044481D" w:rsidRPr="008B475B" w:rsidRDefault="0044481D" w:rsidP="0044481D">
      <w:pPr>
        <w:jc w:val="center"/>
        <w:rPr>
          <w:b/>
          <w:sz w:val="24"/>
          <w:szCs w:val="24"/>
        </w:rPr>
      </w:pPr>
    </w:p>
    <w:p w14:paraId="620CCE9E" w14:textId="77777777" w:rsidR="0044481D" w:rsidRPr="008B475B" w:rsidRDefault="0044481D" w:rsidP="0044481D">
      <w:pPr>
        <w:jc w:val="center"/>
        <w:rPr>
          <w:b/>
          <w:sz w:val="24"/>
          <w:szCs w:val="24"/>
        </w:rPr>
      </w:pPr>
      <w:proofErr w:type="spellStart"/>
      <w:r w:rsidRPr="008B475B">
        <w:rPr>
          <w:b/>
          <w:sz w:val="24"/>
          <w:szCs w:val="24"/>
        </w:rPr>
        <w:t>Busulfan</w:t>
      </w:r>
      <w:proofErr w:type="spellEnd"/>
      <w:r w:rsidRPr="008B475B">
        <w:rPr>
          <w:b/>
          <w:sz w:val="24"/>
          <w:szCs w:val="24"/>
        </w:rPr>
        <w:t xml:space="preserve"> "</w:t>
      </w:r>
      <w:proofErr w:type="spellStart"/>
      <w:r>
        <w:rPr>
          <w:b/>
          <w:sz w:val="24"/>
          <w:szCs w:val="24"/>
        </w:rPr>
        <w:t>Zentiva</w:t>
      </w:r>
      <w:proofErr w:type="spellEnd"/>
      <w:r w:rsidRPr="008B475B">
        <w:rPr>
          <w:b/>
          <w:sz w:val="24"/>
          <w:szCs w:val="24"/>
        </w:rPr>
        <w:t>", koncentrat til infusionsvæske, opløsning</w:t>
      </w:r>
    </w:p>
    <w:p w14:paraId="205F7704" w14:textId="77777777" w:rsidR="0044481D" w:rsidRPr="008B475B" w:rsidRDefault="0044481D" w:rsidP="0044481D">
      <w:pPr>
        <w:jc w:val="both"/>
        <w:rPr>
          <w:sz w:val="24"/>
          <w:szCs w:val="24"/>
        </w:rPr>
      </w:pPr>
    </w:p>
    <w:p w14:paraId="09659259" w14:textId="77777777" w:rsidR="0044481D" w:rsidRPr="008B475B" w:rsidRDefault="0044481D" w:rsidP="0044481D">
      <w:pPr>
        <w:jc w:val="both"/>
        <w:rPr>
          <w:sz w:val="24"/>
          <w:szCs w:val="24"/>
        </w:rPr>
      </w:pPr>
    </w:p>
    <w:p w14:paraId="18AC1529" w14:textId="77777777" w:rsidR="0044481D" w:rsidRPr="008B475B" w:rsidRDefault="0044481D" w:rsidP="0044481D">
      <w:pPr>
        <w:ind w:left="851" w:hanging="851"/>
        <w:rPr>
          <w:b/>
          <w:sz w:val="24"/>
          <w:szCs w:val="24"/>
        </w:rPr>
      </w:pPr>
      <w:r w:rsidRPr="008B475B">
        <w:rPr>
          <w:b/>
          <w:sz w:val="24"/>
          <w:szCs w:val="24"/>
        </w:rPr>
        <w:t>0.</w:t>
      </w:r>
      <w:r w:rsidRPr="008B475B">
        <w:rPr>
          <w:b/>
          <w:sz w:val="24"/>
          <w:szCs w:val="24"/>
        </w:rPr>
        <w:tab/>
        <w:t>D.SP.NR.</w:t>
      </w:r>
    </w:p>
    <w:p w14:paraId="1CB47B8C" w14:textId="77777777" w:rsidR="0044481D" w:rsidRPr="008B475B" w:rsidRDefault="0044481D" w:rsidP="0044481D">
      <w:pPr>
        <w:ind w:left="851"/>
        <w:rPr>
          <w:sz w:val="24"/>
          <w:szCs w:val="24"/>
        </w:rPr>
      </w:pPr>
      <w:r w:rsidRPr="008B475B">
        <w:rPr>
          <w:sz w:val="24"/>
          <w:szCs w:val="24"/>
        </w:rPr>
        <w:t>31058</w:t>
      </w:r>
    </w:p>
    <w:p w14:paraId="52F45F6F" w14:textId="77777777" w:rsidR="0044481D" w:rsidRPr="008B475B" w:rsidRDefault="0044481D" w:rsidP="0044481D">
      <w:pPr>
        <w:ind w:left="851"/>
        <w:rPr>
          <w:sz w:val="24"/>
          <w:szCs w:val="24"/>
        </w:rPr>
      </w:pPr>
    </w:p>
    <w:p w14:paraId="03FDFA4C" w14:textId="77777777" w:rsidR="0044481D" w:rsidRPr="008B475B" w:rsidRDefault="0044481D" w:rsidP="0044481D">
      <w:pPr>
        <w:ind w:left="851" w:hanging="851"/>
        <w:rPr>
          <w:b/>
          <w:sz w:val="24"/>
          <w:szCs w:val="24"/>
        </w:rPr>
      </w:pPr>
      <w:r w:rsidRPr="008B475B">
        <w:rPr>
          <w:b/>
          <w:sz w:val="24"/>
          <w:szCs w:val="24"/>
        </w:rPr>
        <w:t>1.</w:t>
      </w:r>
      <w:r w:rsidRPr="008B475B">
        <w:rPr>
          <w:b/>
          <w:sz w:val="24"/>
          <w:szCs w:val="24"/>
        </w:rPr>
        <w:tab/>
        <w:t>LÆGEMIDLETS NAVN</w:t>
      </w:r>
    </w:p>
    <w:p w14:paraId="4177E856" w14:textId="77777777" w:rsidR="0044481D" w:rsidRPr="008B475B" w:rsidRDefault="0044481D" w:rsidP="0044481D">
      <w:pPr>
        <w:ind w:left="851"/>
        <w:rPr>
          <w:sz w:val="24"/>
          <w:szCs w:val="24"/>
        </w:rPr>
      </w:pPr>
      <w:proofErr w:type="spellStart"/>
      <w:r w:rsidRPr="008B475B">
        <w:rPr>
          <w:sz w:val="24"/>
          <w:szCs w:val="24"/>
        </w:rPr>
        <w:t>Busulfan</w:t>
      </w:r>
      <w:proofErr w:type="spellEnd"/>
      <w:r w:rsidRPr="008B475B">
        <w:rPr>
          <w:sz w:val="24"/>
          <w:szCs w:val="24"/>
        </w:rPr>
        <w:t xml:space="preserve"> "</w:t>
      </w:r>
      <w:proofErr w:type="spellStart"/>
      <w:r>
        <w:rPr>
          <w:sz w:val="24"/>
          <w:szCs w:val="24"/>
        </w:rPr>
        <w:t>Zentiva</w:t>
      </w:r>
      <w:proofErr w:type="spellEnd"/>
      <w:r w:rsidRPr="008B475B">
        <w:rPr>
          <w:sz w:val="24"/>
          <w:szCs w:val="24"/>
        </w:rPr>
        <w:t>"</w:t>
      </w:r>
    </w:p>
    <w:p w14:paraId="301903F5" w14:textId="77777777" w:rsidR="0044481D" w:rsidRPr="008B475B" w:rsidRDefault="0044481D" w:rsidP="0044481D">
      <w:pPr>
        <w:ind w:left="851"/>
        <w:rPr>
          <w:sz w:val="24"/>
          <w:szCs w:val="24"/>
        </w:rPr>
      </w:pPr>
    </w:p>
    <w:p w14:paraId="4AB9AA3E" w14:textId="77777777" w:rsidR="0044481D" w:rsidRPr="008B475B" w:rsidRDefault="0044481D" w:rsidP="0044481D">
      <w:pPr>
        <w:ind w:left="851" w:hanging="851"/>
        <w:rPr>
          <w:b/>
          <w:sz w:val="24"/>
          <w:szCs w:val="24"/>
        </w:rPr>
      </w:pPr>
      <w:r w:rsidRPr="008B475B">
        <w:rPr>
          <w:b/>
          <w:sz w:val="24"/>
          <w:szCs w:val="24"/>
        </w:rPr>
        <w:t>2.</w:t>
      </w:r>
      <w:r w:rsidRPr="008B475B">
        <w:rPr>
          <w:b/>
          <w:sz w:val="24"/>
          <w:szCs w:val="24"/>
        </w:rPr>
        <w:tab/>
        <w:t>KVALITATIV OG KVANTITATIV SAMMENSÆTNING</w:t>
      </w:r>
    </w:p>
    <w:p w14:paraId="4FC4D700" w14:textId="77777777" w:rsidR="0044481D" w:rsidRPr="008B475B" w:rsidRDefault="0044481D" w:rsidP="0044481D">
      <w:pPr>
        <w:suppressAutoHyphens/>
        <w:ind w:left="851"/>
        <w:rPr>
          <w:sz w:val="24"/>
          <w:szCs w:val="24"/>
        </w:rPr>
      </w:pPr>
      <w:r w:rsidRPr="008B475B">
        <w:rPr>
          <w:sz w:val="24"/>
          <w:szCs w:val="24"/>
        </w:rPr>
        <w:t xml:space="preserve">Én ml koncentrat indeholder 6 mg </w:t>
      </w:r>
      <w:proofErr w:type="spellStart"/>
      <w:r w:rsidRPr="008B475B">
        <w:rPr>
          <w:sz w:val="24"/>
          <w:szCs w:val="24"/>
        </w:rPr>
        <w:t>busulfan</w:t>
      </w:r>
      <w:proofErr w:type="spellEnd"/>
      <w:r w:rsidRPr="008B475B">
        <w:rPr>
          <w:sz w:val="24"/>
          <w:szCs w:val="24"/>
        </w:rPr>
        <w:t xml:space="preserve"> (60 mg i 10 ml). </w:t>
      </w:r>
    </w:p>
    <w:p w14:paraId="4D7909F8" w14:textId="77777777" w:rsidR="0044481D" w:rsidRPr="008B475B" w:rsidRDefault="0044481D" w:rsidP="0044481D">
      <w:pPr>
        <w:suppressAutoHyphens/>
        <w:ind w:left="851"/>
        <w:rPr>
          <w:sz w:val="24"/>
          <w:szCs w:val="24"/>
        </w:rPr>
      </w:pPr>
      <w:r w:rsidRPr="008B475B">
        <w:rPr>
          <w:sz w:val="24"/>
          <w:szCs w:val="24"/>
        </w:rPr>
        <w:t xml:space="preserve">Efter fortynding: 1 ml opløsning indeholder 0,5 mg </w:t>
      </w:r>
      <w:proofErr w:type="spellStart"/>
      <w:r w:rsidRPr="008B475B">
        <w:rPr>
          <w:sz w:val="24"/>
          <w:szCs w:val="24"/>
        </w:rPr>
        <w:t>busulfan</w:t>
      </w:r>
      <w:proofErr w:type="spellEnd"/>
      <w:r w:rsidRPr="008B475B">
        <w:rPr>
          <w:sz w:val="24"/>
          <w:szCs w:val="24"/>
        </w:rPr>
        <w:t>.</w:t>
      </w:r>
    </w:p>
    <w:p w14:paraId="3780494F" w14:textId="77777777" w:rsidR="0044481D" w:rsidRPr="008B475B" w:rsidRDefault="0044481D" w:rsidP="0044481D">
      <w:pPr>
        <w:suppressAutoHyphens/>
        <w:ind w:left="851"/>
        <w:rPr>
          <w:sz w:val="24"/>
          <w:szCs w:val="24"/>
        </w:rPr>
      </w:pPr>
    </w:p>
    <w:p w14:paraId="4F8929D9" w14:textId="77777777" w:rsidR="0044481D" w:rsidRPr="008B475B" w:rsidRDefault="0044481D" w:rsidP="0044481D">
      <w:pPr>
        <w:suppressAutoHyphens/>
        <w:ind w:left="851"/>
        <w:rPr>
          <w:sz w:val="24"/>
          <w:szCs w:val="24"/>
        </w:rPr>
      </w:pPr>
      <w:r w:rsidRPr="008B475B">
        <w:rPr>
          <w:sz w:val="24"/>
          <w:szCs w:val="24"/>
        </w:rPr>
        <w:t>Alle hjælpestoffer er anført under pkt. 6.1.</w:t>
      </w:r>
    </w:p>
    <w:p w14:paraId="5C1754FA" w14:textId="77777777" w:rsidR="0044481D" w:rsidRPr="008B475B" w:rsidRDefault="0044481D" w:rsidP="0044481D">
      <w:pPr>
        <w:ind w:left="851"/>
        <w:rPr>
          <w:sz w:val="24"/>
          <w:szCs w:val="24"/>
        </w:rPr>
      </w:pPr>
    </w:p>
    <w:p w14:paraId="0623F149" w14:textId="77777777" w:rsidR="0044481D" w:rsidRPr="008B475B" w:rsidRDefault="0044481D" w:rsidP="0044481D">
      <w:pPr>
        <w:ind w:left="851" w:hanging="851"/>
        <w:rPr>
          <w:b/>
          <w:sz w:val="24"/>
          <w:szCs w:val="24"/>
        </w:rPr>
      </w:pPr>
      <w:r w:rsidRPr="008B475B">
        <w:rPr>
          <w:b/>
          <w:sz w:val="24"/>
          <w:szCs w:val="24"/>
        </w:rPr>
        <w:t>3.</w:t>
      </w:r>
      <w:r w:rsidRPr="008B475B">
        <w:rPr>
          <w:b/>
          <w:sz w:val="24"/>
          <w:szCs w:val="24"/>
        </w:rPr>
        <w:tab/>
        <w:t>LÆGEMIDDELFORM</w:t>
      </w:r>
    </w:p>
    <w:p w14:paraId="2BEC37AA" w14:textId="77777777" w:rsidR="0044481D" w:rsidRPr="008B475B" w:rsidRDefault="0044481D" w:rsidP="0044481D">
      <w:pPr>
        <w:suppressAutoHyphens/>
        <w:ind w:left="851"/>
        <w:rPr>
          <w:spacing w:val="-3"/>
          <w:sz w:val="24"/>
          <w:szCs w:val="24"/>
        </w:rPr>
      </w:pPr>
      <w:r w:rsidRPr="008B475B">
        <w:rPr>
          <w:spacing w:val="-3"/>
          <w:sz w:val="24"/>
          <w:szCs w:val="24"/>
        </w:rPr>
        <w:t>Koncentrat til infusionsvæske, opløsning</w:t>
      </w:r>
    </w:p>
    <w:p w14:paraId="20204CCD" w14:textId="77777777" w:rsidR="0044481D" w:rsidRPr="008B475B" w:rsidRDefault="0044481D" w:rsidP="0044481D">
      <w:pPr>
        <w:suppressAutoHyphens/>
        <w:ind w:left="851"/>
        <w:rPr>
          <w:spacing w:val="-3"/>
          <w:sz w:val="24"/>
          <w:szCs w:val="24"/>
        </w:rPr>
      </w:pPr>
    </w:p>
    <w:p w14:paraId="122F185C" w14:textId="77777777" w:rsidR="0044481D" w:rsidRPr="008B475B" w:rsidRDefault="0044481D" w:rsidP="0044481D">
      <w:pPr>
        <w:suppressAutoHyphens/>
        <w:ind w:left="851"/>
        <w:rPr>
          <w:sz w:val="24"/>
          <w:szCs w:val="24"/>
        </w:rPr>
      </w:pPr>
      <w:r w:rsidRPr="008B475B">
        <w:rPr>
          <w:spacing w:val="-3"/>
          <w:sz w:val="24"/>
          <w:szCs w:val="24"/>
        </w:rPr>
        <w:t>Klar, farveløs opløsning.</w:t>
      </w:r>
    </w:p>
    <w:p w14:paraId="33C64AA1" w14:textId="77777777" w:rsidR="0044481D" w:rsidRPr="008B475B" w:rsidRDefault="0044481D" w:rsidP="0044481D">
      <w:pPr>
        <w:ind w:left="851"/>
        <w:rPr>
          <w:sz w:val="24"/>
          <w:szCs w:val="24"/>
        </w:rPr>
      </w:pPr>
    </w:p>
    <w:p w14:paraId="5929C7B9" w14:textId="77777777" w:rsidR="0044481D" w:rsidRPr="008B475B" w:rsidRDefault="0044481D" w:rsidP="0044481D">
      <w:pPr>
        <w:ind w:left="851"/>
        <w:rPr>
          <w:sz w:val="24"/>
          <w:szCs w:val="24"/>
        </w:rPr>
      </w:pPr>
    </w:p>
    <w:p w14:paraId="32DFD7C1" w14:textId="77777777" w:rsidR="0044481D" w:rsidRPr="008B475B" w:rsidRDefault="0044481D" w:rsidP="0044481D">
      <w:pPr>
        <w:ind w:left="851" w:hanging="851"/>
        <w:rPr>
          <w:b/>
          <w:sz w:val="24"/>
          <w:szCs w:val="24"/>
        </w:rPr>
      </w:pPr>
      <w:r w:rsidRPr="008B475B">
        <w:rPr>
          <w:b/>
          <w:sz w:val="24"/>
          <w:szCs w:val="24"/>
        </w:rPr>
        <w:t>4.</w:t>
      </w:r>
      <w:r w:rsidRPr="008B475B">
        <w:rPr>
          <w:b/>
          <w:sz w:val="24"/>
          <w:szCs w:val="24"/>
        </w:rPr>
        <w:tab/>
        <w:t>KLINISKE OPLYSNINGER</w:t>
      </w:r>
    </w:p>
    <w:p w14:paraId="5064CEE5" w14:textId="77777777" w:rsidR="0044481D" w:rsidRPr="008B475B" w:rsidRDefault="0044481D" w:rsidP="0044481D">
      <w:pPr>
        <w:ind w:left="851"/>
        <w:rPr>
          <w:b/>
          <w:sz w:val="24"/>
          <w:szCs w:val="24"/>
        </w:rPr>
      </w:pPr>
    </w:p>
    <w:p w14:paraId="4662017B" w14:textId="77777777" w:rsidR="0044481D" w:rsidRPr="008B475B" w:rsidRDefault="0044481D" w:rsidP="0044481D">
      <w:pPr>
        <w:ind w:left="851" w:hanging="851"/>
        <w:rPr>
          <w:b/>
          <w:sz w:val="24"/>
          <w:szCs w:val="24"/>
          <w:u w:val="single"/>
        </w:rPr>
      </w:pPr>
      <w:r w:rsidRPr="008B475B">
        <w:rPr>
          <w:b/>
          <w:sz w:val="24"/>
          <w:szCs w:val="24"/>
        </w:rPr>
        <w:t>4.1</w:t>
      </w:r>
      <w:r w:rsidRPr="008B475B">
        <w:rPr>
          <w:b/>
          <w:sz w:val="24"/>
          <w:szCs w:val="24"/>
        </w:rPr>
        <w:tab/>
        <w:t>Terapeutiske indikationer</w:t>
      </w:r>
    </w:p>
    <w:p w14:paraId="38DFA0CE" w14:textId="77777777" w:rsidR="0044481D" w:rsidRPr="008B475B" w:rsidRDefault="0044481D" w:rsidP="0044481D">
      <w:pPr>
        <w:suppressAutoHyphens/>
        <w:ind w:left="851"/>
        <w:rPr>
          <w:sz w:val="24"/>
          <w:szCs w:val="24"/>
        </w:rPr>
      </w:pPr>
      <w:proofErr w:type="spellStart"/>
      <w:r w:rsidRPr="008B475B">
        <w:rPr>
          <w:sz w:val="24"/>
          <w:szCs w:val="24"/>
        </w:rPr>
        <w:t>Busulfan</w:t>
      </w:r>
      <w:proofErr w:type="spellEnd"/>
      <w:r w:rsidRPr="008B475B">
        <w:rPr>
          <w:sz w:val="24"/>
          <w:szCs w:val="24"/>
        </w:rPr>
        <w:t xml:space="preserve"> efterfulgt af </w:t>
      </w:r>
      <w:proofErr w:type="spellStart"/>
      <w:r w:rsidRPr="008B475B">
        <w:rPr>
          <w:sz w:val="24"/>
          <w:szCs w:val="24"/>
        </w:rPr>
        <w:t>cyclophosphamid</w:t>
      </w:r>
      <w:proofErr w:type="spellEnd"/>
      <w:r w:rsidRPr="008B475B">
        <w:rPr>
          <w:sz w:val="24"/>
          <w:szCs w:val="24"/>
        </w:rPr>
        <w:t xml:space="preserve"> (BuCy2) er indiceret som konditionerende behandling før konventionel transplantation af </w:t>
      </w:r>
      <w:proofErr w:type="spellStart"/>
      <w:r w:rsidRPr="008B475B">
        <w:rPr>
          <w:sz w:val="24"/>
          <w:szCs w:val="24"/>
        </w:rPr>
        <w:t>hæmatopoietiske</w:t>
      </w:r>
      <w:proofErr w:type="spellEnd"/>
      <w:r w:rsidRPr="008B475B">
        <w:rPr>
          <w:sz w:val="24"/>
          <w:szCs w:val="24"/>
        </w:rPr>
        <w:t xml:space="preserve"> </w:t>
      </w:r>
      <w:proofErr w:type="spellStart"/>
      <w:r w:rsidRPr="008B475B">
        <w:rPr>
          <w:sz w:val="24"/>
          <w:szCs w:val="24"/>
        </w:rPr>
        <w:t>progenitorceller</w:t>
      </w:r>
      <w:proofErr w:type="spellEnd"/>
      <w:r w:rsidRPr="008B475B">
        <w:rPr>
          <w:sz w:val="24"/>
          <w:szCs w:val="24"/>
        </w:rPr>
        <w:t xml:space="preserve"> (HPCT) til voksne patienter, når kombinationen anses for at være det bedste behandlingsvalg.</w:t>
      </w:r>
    </w:p>
    <w:p w14:paraId="7628BF7F" w14:textId="77777777" w:rsidR="0044481D" w:rsidRPr="008B475B" w:rsidRDefault="0044481D" w:rsidP="0044481D">
      <w:pPr>
        <w:rPr>
          <w:sz w:val="24"/>
          <w:szCs w:val="24"/>
        </w:rPr>
      </w:pPr>
    </w:p>
    <w:p w14:paraId="144761FA" w14:textId="77777777" w:rsidR="0044481D" w:rsidRPr="008B475B" w:rsidRDefault="0044481D" w:rsidP="0044481D">
      <w:pPr>
        <w:ind w:left="851"/>
        <w:rPr>
          <w:sz w:val="24"/>
          <w:szCs w:val="24"/>
        </w:rPr>
      </w:pPr>
      <w:proofErr w:type="spellStart"/>
      <w:r w:rsidRPr="008B475B">
        <w:rPr>
          <w:sz w:val="24"/>
          <w:szCs w:val="24"/>
        </w:rPr>
        <w:t>Busulfan</w:t>
      </w:r>
      <w:proofErr w:type="spellEnd"/>
      <w:r w:rsidRPr="008B475B">
        <w:rPr>
          <w:sz w:val="24"/>
          <w:szCs w:val="24"/>
        </w:rPr>
        <w:t xml:space="preserve"> efterfulgt af </w:t>
      </w:r>
      <w:proofErr w:type="spellStart"/>
      <w:r w:rsidRPr="008B475B">
        <w:rPr>
          <w:sz w:val="24"/>
          <w:szCs w:val="24"/>
        </w:rPr>
        <w:t>cyclophosphamid</w:t>
      </w:r>
      <w:proofErr w:type="spellEnd"/>
      <w:r w:rsidRPr="008B475B">
        <w:rPr>
          <w:sz w:val="24"/>
          <w:szCs w:val="24"/>
        </w:rPr>
        <w:t xml:space="preserve"> (BuCy4) eller </w:t>
      </w:r>
      <w:proofErr w:type="spellStart"/>
      <w:r w:rsidRPr="008B475B">
        <w:rPr>
          <w:sz w:val="24"/>
          <w:szCs w:val="24"/>
        </w:rPr>
        <w:t>melphalan</w:t>
      </w:r>
      <w:proofErr w:type="spellEnd"/>
      <w:r w:rsidRPr="008B475B">
        <w:rPr>
          <w:sz w:val="24"/>
          <w:szCs w:val="24"/>
        </w:rPr>
        <w:t xml:space="preserve"> (</w:t>
      </w:r>
      <w:proofErr w:type="spellStart"/>
      <w:r w:rsidRPr="008B475B">
        <w:rPr>
          <w:sz w:val="24"/>
          <w:szCs w:val="24"/>
        </w:rPr>
        <w:t>BuMel</w:t>
      </w:r>
      <w:proofErr w:type="spellEnd"/>
      <w:r w:rsidRPr="008B475B">
        <w:rPr>
          <w:sz w:val="24"/>
          <w:szCs w:val="24"/>
        </w:rPr>
        <w:t xml:space="preserve">) er indiceret som konditionerende behandling før konventionel transplantation af </w:t>
      </w:r>
      <w:proofErr w:type="spellStart"/>
      <w:r w:rsidRPr="008B475B">
        <w:rPr>
          <w:sz w:val="24"/>
          <w:szCs w:val="24"/>
        </w:rPr>
        <w:t>hæmatopoietiske</w:t>
      </w:r>
      <w:proofErr w:type="spellEnd"/>
      <w:r w:rsidRPr="008B475B">
        <w:rPr>
          <w:sz w:val="24"/>
          <w:szCs w:val="24"/>
        </w:rPr>
        <w:t xml:space="preserve"> </w:t>
      </w:r>
      <w:proofErr w:type="spellStart"/>
      <w:r w:rsidRPr="008B475B">
        <w:rPr>
          <w:sz w:val="24"/>
          <w:szCs w:val="24"/>
        </w:rPr>
        <w:t>progenitorceller</w:t>
      </w:r>
      <w:proofErr w:type="spellEnd"/>
      <w:r w:rsidRPr="008B475B">
        <w:rPr>
          <w:sz w:val="24"/>
          <w:szCs w:val="24"/>
        </w:rPr>
        <w:t xml:space="preserve"> til pædiatriske patienter.</w:t>
      </w:r>
      <w:bookmarkStart w:id="0" w:name="_GoBack"/>
      <w:bookmarkEnd w:id="0"/>
    </w:p>
    <w:p w14:paraId="11866A99" w14:textId="77777777" w:rsidR="0044481D" w:rsidRPr="008B475B" w:rsidRDefault="0044481D" w:rsidP="0044481D">
      <w:pPr>
        <w:rPr>
          <w:sz w:val="24"/>
          <w:szCs w:val="24"/>
        </w:rPr>
      </w:pPr>
    </w:p>
    <w:p w14:paraId="6CB41A97" w14:textId="77777777" w:rsidR="0044481D" w:rsidRPr="008B475B" w:rsidRDefault="0044481D" w:rsidP="0044481D">
      <w:pPr>
        <w:ind w:left="851"/>
        <w:rPr>
          <w:sz w:val="24"/>
          <w:szCs w:val="24"/>
        </w:rPr>
      </w:pPr>
    </w:p>
    <w:p w14:paraId="546CF6BC" w14:textId="77777777" w:rsidR="0044481D" w:rsidRPr="00C84483" w:rsidRDefault="0044481D" w:rsidP="0044481D">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73426914" w14:textId="77777777" w:rsidR="0044481D" w:rsidRPr="008B475B" w:rsidRDefault="0044481D" w:rsidP="0044481D">
      <w:pPr>
        <w:ind w:left="851"/>
        <w:rPr>
          <w:noProof/>
          <w:sz w:val="24"/>
          <w:szCs w:val="24"/>
        </w:rPr>
      </w:pPr>
      <w:r w:rsidRPr="008B475B">
        <w:rPr>
          <w:noProof/>
          <w:sz w:val="24"/>
          <w:szCs w:val="24"/>
        </w:rPr>
        <w:t xml:space="preserve">Administration af </w:t>
      </w:r>
      <w:r>
        <w:rPr>
          <w:noProof/>
          <w:sz w:val="24"/>
          <w:szCs w:val="24"/>
        </w:rPr>
        <w:t>b</w:t>
      </w:r>
      <w:r w:rsidRPr="008B475B">
        <w:rPr>
          <w:noProof/>
          <w:sz w:val="24"/>
          <w:szCs w:val="24"/>
        </w:rPr>
        <w:t>usulfan skal superviseres af en læge med erfaring i konditionerende behandling før transplantation af hæmatopoietiske progenitorceller.</w:t>
      </w:r>
    </w:p>
    <w:p w14:paraId="55C61BDA" w14:textId="77777777" w:rsidR="0044481D" w:rsidRPr="008B475B" w:rsidRDefault="0044481D" w:rsidP="0044481D">
      <w:pPr>
        <w:ind w:left="851"/>
        <w:rPr>
          <w:noProof/>
          <w:sz w:val="24"/>
          <w:szCs w:val="24"/>
        </w:rPr>
      </w:pPr>
    </w:p>
    <w:p w14:paraId="2C275024" w14:textId="77777777" w:rsidR="0044481D" w:rsidRPr="008B475B" w:rsidRDefault="0044481D" w:rsidP="0044481D">
      <w:pPr>
        <w:ind w:left="851"/>
        <w:rPr>
          <w:noProof/>
          <w:sz w:val="24"/>
          <w:szCs w:val="24"/>
        </w:rPr>
      </w:pPr>
      <w:r w:rsidRPr="008B475B">
        <w:rPr>
          <w:noProof/>
          <w:sz w:val="24"/>
          <w:szCs w:val="24"/>
        </w:rPr>
        <w:t>Busulfan administreres før transplantation af hæmatopoietiske progenitorceller (HPCT).</w:t>
      </w:r>
    </w:p>
    <w:p w14:paraId="7B3A35AA" w14:textId="77777777" w:rsidR="0044481D" w:rsidRPr="008B475B" w:rsidRDefault="0044481D" w:rsidP="0044481D">
      <w:pPr>
        <w:ind w:left="851"/>
        <w:rPr>
          <w:noProof/>
          <w:sz w:val="24"/>
          <w:szCs w:val="24"/>
        </w:rPr>
      </w:pPr>
    </w:p>
    <w:p w14:paraId="0329AAA1" w14:textId="77777777" w:rsidR="0044481D" w:rsidRPr="008B475B" w:rsidRDefault="0044481D" w:rsidP="0044481D">
      <w:pPr>
        <w:ind w:left="851"/>
        <w:rPr>
          <w:noProof/>
          <w:sz w:val="24"/>
          <w:szCs w:val="24"/>
          <w:u w:val="single"/>
        </w:rPr>
      </w:pPr>
      <w:r w:rsidRPr="008B475B">
        <w:rPr>
          <w:noProof/>
          <w:sz w:val="24"/>
          <w:szCs w:val="24"/>
          <w:u w:val="single"/>
        </w:rPr>
        <w:t>Dosering</w:t>
      </w:r>
    </w:p>
    <w:p w14:paraId="70839D4E" w14:textId="77777777" w:rsidR="0044481D" w:rsidRPr="008B475B" w:rsidRDefault="0044481D" w:rsidP="0044481D">
      <w:pPr>
        <w:ind w:left="851"/>
        <w:rPr>
          <w:i/>
          <w:noProof/>
          <w:sz w:val="24"/>
          <w:szCs w:val="24"/>
          <w:u w:val="single"/>
        </w:rPr>
      </w:pPr>
      <w:r w:rsidRPr="008B475B">
        <w:rPr>
          <w:i/>
          <w:noProof/>
          <w:sz w:val="24"/>
          <w:szCs w:val="24"/>
          <w:u w:val="single"/>
        </w:rPr>
        <w:t>Busulfan i kombination med cyclophosphamid eller melphalan</w:t>
      </w:r>
    </w:p>
    <w:p w14:paraId="0436A9BC" w14:textId="77777777" w:rsidR="0044481D" w:rsidRPr="008B475B" w:rsidRDefault="0044481D" w:rsidP="0044481D">
      <w:pPr>
        <w:ind w:left="851"/>
        <w:rPr>
          <w:i/>
          <w:noProof/>
          <w:sz w:val="24"/>
          <w:szCs w:val="24"/>
        </w:rPr>
      </w:pPr>
    </w:p>
    <w:p w14:paraId="401A472C" w14:textId="77777777" w:rsidR="0044481D" w:rsidRPr="008B475B" w:rsidRDefault="0044481D" w:rsidP="0044481D">
      <w:pPr>
        <w:ind w:left="851"/>
        <w:rPr>
          <w:i/>
          <w:noProof/>
          <w:sz w:val="24"/>
          <w:szCs w:val="24"/>
        </w:rPr>
      </w:pPr>
      <w:r w:rsidRPr="008B475B">
        <w:rPr>
          <w:i/>
          <w:noProof/>
          <w:sz w:val="24"/>
          <w:szCs w:val="24"/>
        </w:rPr>
        <w:t>Voksne</w:t>
      </w:r>
    </w:p>
    <w:p w14:paraId="4B292D76" w14:textId="77777777" w:rsidR="0044481D" w:rsidRPr="008B475B" w:rsidRDefault="0044481D" w:rsidP="0044481D">
      <w:pPr>
        <w:ind w:left="851"/>
        <w:rPr>
          <w:noProof/>
          <w:sz w:val="24"/>
          <w:szCs w:val="24"/>
        </w:rPr>
      </w:pPr>
      <w:r w:rsidRPr="008B475B">
        <w:rPr>
          <w:noProof/>
          <w:sz w:val="24"/>
          <w:szCs w:val="24"/>
        </w:rPr>
        <w:t>Den anbefalede dosis og behandlingsplan er:</w:t>
      </w:r>
    </w:p>
    <w:p w14:paraId="05C1F6D7" w14:textId="77777777" w:rsidR="0044481D" w:rsidRPr="008B475B" w:rsidRDefault="0044481D" w:rsidP="0044481D">
      <w:pPr>
        <w:pStyle w:val="Listeafsnit"/>
        <w:numPr>
          <w:ilvl w:val="0"/>
          <w:numId w:val="6"/>
        </w:numPr>
        <w:ind w:left="1276" w:hanging="425"/>
        <w:rPr>
          <w:noProof/>
          <w:sz w:val="24"/>
          <w:szCs w:val="24"/>
        </w:rPr>
      </w:pPr>
      <w:r w:rsidRPr="008B475B">
        <w:rPr>
          <w:noProof/>
          <w:sz w:val="24"/>
          <w:szCs w:val="24"/>
        </w:rPr>
        <w:t>0,8 mg/kg legemsvægt (BW) busulfan som 2 timers infusion hver 6. time 4 dage i træk, dvs. i alt 16 doser</w:t>
      </w:r>
    </w:p>
    <w:p w14:paraId="7D2749F4" w14:textId="77777777" w:rsidR="0044481D" w:rsidRPr="008B475B" w:rsidRDefault="0044481D" w:rsidP="0044481D">
      <w:pPr>
        <w:pStyle w:val="Listeafsnit"/>
        <w:numPr>
          <w:ilvl w:val="0"/>
          <w:numId w:val="6"/>
        </w:numPr>
        <w:ind w:left="1276" w:hanging="425"/>
        <w:rPr>
          <w:noProof/>
          <w:sz w:val="24"/>
          <w:szCs w:val="24"/>
        </w:rPr>
      </w:pPr>
      <w:r w:rsidRPr="008B475B">
        <w:rPr>
          <w:noProof/>
          <w:sz w:val="24"/>
          <w:szCs w:val="24"/>
        </w:rPr>
        <w:t>efterfulgt af cyclophosphamid 60 mg/kg/dag i to dage, som først indledes, når der er forløbet mindst 24 timer efter den 16. dosis busulfan (se pkt. 4.5).</w:t>
      </w:r>
    </w:p>
    <w:p w14:paraId="674D0A27" w14:textId="77777777" w:rsidR="0044481D" w:rsidRPr="008B475B" w:rsidRDefault="0044481D" w:rsidP="0044481D">
      <w:pPr>
        <w:rPr>
          <w:i/>
          <w:noProof/>
          <w:sz w:val="24"/>
          <w:szCs w:val="24"/>
        </w:rPr>
      </w:pPr>
    </w:p>
    <w:p w14:paraId="118B6565" w14:textId="77777777" w:rsidR="0044481D" w:rsidRPr="008B475B" w:rsidRDefault="0044481D" w:rsidP="0044481D">
      <w:pPr>
        <w:ind w:left="851"/>
        <w:rPr>
          <w:i/>
          <w:noProof/>
          <w:sz w:val="24"/>
          <w:szCs w:val="24"/>
        </w:rPr>
      </w:pPr>
      <w:r w:rsidRPr="008B475B">
        <w:rPr>
          <w:i/>
          <w:noProof/>
          <w:sz w:val="24"/>
          <w:szCs w:val="24"/>
        </w:rPr>
        <w:t>Pædiatrisk population (0 til 17 år)</w:t>
      </w:r>
    </w:p>
    <w:p w14:paraId="2BBD8465" w14:textId="77777777" w:rsidR="0044481D" w:rsidRPr="008B475B" w:rsidRDefault="0044481D" w:rsidP="0044481D">
      <w:pPr>
        <w:ind w:left="851"/>
        <w:rPr>
          <w:noProof/>
          <w:sz w:val="24"/>
          <w:szCs w:val="24"/>
        </w:rPr>
      </w:pPr>
      <w:r w:rsidRPr="008B475B">
        <w:rPr>
          <w:noProof/>
          <w:sz w:val="24"/>
          <w:szCs w:val="24"/>
        </w:rPr>
        <w:t>Den anbefalede dosis busulfan er følgende:</w:t>
      </w:r>
    </w:p>
    <w:p w14:paraId="208CF315" w14:textId="77777777" w:rsidR="0044481D" w:rsidRPr="008B475B" w:rsidRDefault="0044481D" w:rsidP="0044481D">
      <w:pPr>
        <w:rPr>
          <w:noProof/>
          <w:sz w:val="24"/>
          <w:szCs w:val="24"/>
        </w:rPr>
      </w:pPr>
    </w:p>
    <w:tbl>
      <w:tblPr>
        <w:tblStyle w:val="Tabel-Gitter"/>
        <w:tblW w:w="3018" w:type="pct"/>
        <w:tblInd w:w="846" w:type="dxa"/>
        <w:tblLook w:val="04A0" w:firstRow="1" w:lastRow="0" w:firstColumn="1" w:lastColumn="0" w:noHBand="0" w:noVBand="1"/>
      </w:tblPr>
      <w:tblGrid>
        <w:gridCol w:w="2833"/>
        <w:gridCol w:w="2978"/>
      </w:tblGrid>
      <w:tr w:rsidR="0044481D" w:rsidRPr="008B475B" w14:paraId="2512D527" w14:textId="77777777" w:rsidTr="00DD1CFE">
        <w:trPr>
          <w:trHeight w:val="262"/>
        </w:trPr>
        <w:tc>
          <w:tcPr>
            <w:tcW w:w="2438" w:type="pct"/>
            <w:tcBorders>
              <w:top w:val="single" w:sz="4" w:space="0" w:color="auto"/>
              <w:left w:val="single" w:sz="4" w:space="0" w:color="auto"/>
              <w:bottom w:val="single" w:sz="4" w:space="0" w:color="auto"/>
              <w:right w:val="single" w:sz="4" w:space="0" w:color="auto"/>
            </w:tcBorders>
            <w:vAlign w:val="center"/>
            <w:hideMark/>
          </w:tcPr>
          <w:p w14:paraId="5A561EAE" w14:textId="77777777" w:rsidR="0044481D" w:rsidRPr="008B475B" w:rsidRDefault="0044481D" w:rsidP="00DD1CFE">
            <w:pPr>
              <w:ind w:left="142"/>
              <w:rPr>
                <w:noProof/>
                <w:sz w:val="24"/>
                <w:szCs w:val="24"/>
                <w:lang w:val="da-DK"/>
              </w:rPr>
            </w:pPr>
            <w:r w:rsidRPr="008B475B">
              <w:rPr>
                <w:noProof/>
                <w:sz w:val="24"/>
                <w:szCs w:val="24"/>
                <w:lang w:val="da-DK"/>
              </w:rPr>
              <w:t>Faktisk legemsvægt (kg)</w:t>
            </w:r>
          </w:p>
        </w:tc>
        <w:tc>
          <w:tcPr>
            <w:tcW w:w="2562" w:type="pct"/>
            <w:tcBorders>
              <w:top w:val="single" w:sz="4" w:space="0" w:color="auto"/>
              <w:left w:val="single" w:sz="4" w:space="0" w:color="auto"/>
              <w:bottom w:val="single" w:sz="4" w:space="0" w:color="auto"/>
              <w:right w:val="single" w:sz="4" w:space="0" w:color="auto"/>
            </w:tcBorders>
            <w:vAlign w:val="center"/>
            <w:hideMark/>
          </w:tcPr>
          <w:p w14:paraId="34E3DFF0" w14:textId="77777777" w:rsidR="0044481D" w:rsidRPr="008B475B" w:rsidRDefault="0044481D" w:rsidP="00DD1CFE">
            <w:pPr>
              <w:ind w:left="142"/>
              <w:rPr>
                <w:noProof/>
                <w:sz w:val="24"/>
                <w:szCs w:val="24"/>
                <w:lang w:val="da-DK"/>
              </w:rPr>
            </w:pPr>
            <w:r w:rsidRPr="008B475B">
              <w:rPr>
                <w:noProof/>
                <w:sz w:val="24"/>
                <w:szCs w:val="24"/>
                <w:lang w:val="da-DK"/>
              </w:rPr>
              <w:t>Busulfan-dosis (mg/kg)</w:t>
            </w:r>
          </w:p>
        </w:tc>
      </w:tr>
      <w:tr w:rsidR="0044481D" w:rsidRPr="008B475B" w14:paraId="0C6E8AC8" w14:textId="77777777" w:rsidTr="00DD1CFE">
        <w:trPr>
          <w:trHeight w:val="247"/>
        </w:trPr>
        <w:tc>
          <w:tcPr>
            <w:tcW w:w="2438" w:type="pct"/>
            <w:tcBorders>
              <w:top w:val="single" w:sz="4" w:space="0" w:color="auto"/>
              <w:left w:val="single" w:sz="4" w:space="0" w:color="auto"/>
              <w:bottom w:val="single" w:sz="4" w:space="0" w:color="auto"/>
              <w:right w:val="single" w:sz="4" w:space="0" w:color="auto"/>
            </w:tcBorders>
            <w:vAlign w:val="center"/>
            <w:hideMark/>
          </w:tcPr>
          <w:p w14:paraId="5E880046" w14:textId="77777777" w:rsidR="0044481D" w:rsidRPr="008B475B" w:rsidRDefault="0044481D" w:rsidP="00DD1CFE">
            <w:pPr>
              <w:ind w:left="142"/>
              <w:rPr>
                <w:sz w:val="24"/>
                <w:szCs w:val="24"/>
                <w:lang w:val="da-DK"/>
              </w:rPr>
            </w:pPr>
            <w:r w:rsidRPr="008B475B">
              <w:rPr>
                <w:sz w:val="24"/>
                <w:szCs w:val="24"/>
                <w:lang w:val="da-DK"/>
              </w:rPr>
              <w:t>&lt; 9</w:t>
            </w:r>
          </w:p>
        </w:tc>
        <w:tc>
          <w:tcPr>
            <w:tcW w:w="2562" w:type="pct"/>
            <w:tcBorders>
              <w:top w:val="single" w:sz="4" w:space="0" w:color="auto"/>
              <w:left w:val="single" w:sz="4" w:space="0" w:color="auto"/>
              <w:bottom w:val="single" w:sz="4" w:space="0" w:color="auto"/>
              <w:right w:val="single" w:sz="4" w:space="0" w:color="auto"/>
            </w:tcBorders>
            <w:vAlign w:val="center"/>
            <w:hideMark/>
          </w:tcPr>
          <w:p w14:paraId="227F65BB" w14:textId="77777777" w:rsidR="0044481D" w:rsidRPr="008B475B" w:rsidRDefault="0044481D" w:rsidP="00DD1CFE">
            <w:pPr>
              <w:ind w:left="142"/>
              <w:rPr>
                <w:sz w:val="24"/>
                <w:szCs w:val="24"/>
                <w:lang w:val="da-DK"/>
              </w:rPr>
            </w:pPr>
            <w:r w:rsidRPr="008B475B">
              <w:rPr>
                <w:sz w:val="24"/>
                <w:szCs w:val="24"/>
                <w:lang w:val="da-DK"/>
              </w:rPr>
              <w:t>1,0</w:t>
            </w:r>
          </w:p>
        </w:tc>
      </w:tr>
      <w:tr w:rsidR="0044481D" w:rsidRPr="008B475B" w14:paraId="08C9AF40" w14:textId="77777777" w:rsidTr="00DD1CFE">
        <w:trPr>
          <w:trHeight w:val="262"/>
        </w:trPr>
        <w:tc>
          <w:tcPr>
            <w:tcW w:w="2438" w:type="pct"/>
            <w:tcBorders>
              <w:top w:val="single" w:sz="4" w:space="0" w:color="auto"/>
              <w:left w:val="single" w:sz="4" w:space="0" w:color="auto"/>
              <w:bottom w:val="single" w:sz="4" w:space="0" w:color="auto"/>
              <w:right w:val="single" w:sz="4" w:space="0" w:color="auto"/>
            </w:tcBorders>
            <w:vAlign w:val="center"/>
            <w:hideMark/>
          </w:tcPr>
          <w:p w14:paraId="07CED7F4" w14:textId="77777777" w:rsidR="0044481D" w:rsidRPr="008B475B" w:rsidRDefault="0044481D" w:rsidP="00DD1CFE">
            <w:pPr>
              <w:ind w:left="142"/>
              <w:rPr>
                <w:sz w:val="24"/>
                <w:szCs w:val="24"/>
                <w:lang w:val="da-DK"/>
              </w:rPr>
            </w:pPr>
            <w:r w:rsidRPr="008B475B">
              <w:rPr>
                <w:sz w:val="24"/>
                <w:szCs w:val="24"/>
                <w:lang w:val="da-DK"/>
              </w:rPr>
              <w:t>9 til &lt; 16</w:t>
            </w:r>
          </w:p>
        </w:tc>
        <w:tc>
          <w:tcPr>
            <w:tcW w:w="2562" w:type="pct"/>
            <w:tcBorders>
              <w:top w:val="single" w:sz="4" w:space="0" w:color="auto"/>
              <w:left w:val="single" w:sz="4" w:space="0" w:color="auto"/>
              <w:bottom w:val="single" w:sz="4" w:space="0" w:color="auto"/>
              <w:right w:val="single" w:sz="4" w:space="0" w:color="auto"/>
            </w:tcBorders>
            <w:vAlign w:val="center"/>
            <w:hideMark/>
          </w:tcPr>
          <w:p w14:paraId="253F4F15" w14:textId="77777777" w:rsidR="0044481D" w:rsidRPr="008B475B" w:rsidRDefault="0044481D" w:rsidP="00DD1CFE">
            <w:pPr>
              <w:ind w:left="142"/>
              <w:rPr>
                <w:sz w:val="24"/>
                <w:szCs w:val="24"/>
                <w:lang w:val="da-DK"/>
              </w:rPr>
            </w:pPr>
            <w:r w:rsidRPr="008B475B">
              <w:rPr>
                <w:sz w:val="24"/>
                <w:szCs w:val="24"/>
                <w:lang w:val="da-DK"/>
              </w:rPr>
              <w:t>1,2</w:t>
            </w:r>
          </w:p>
        </w:tc>
      </w:tr>
      <w:tr w:rsidR="0044481D" w:rsidRPr="008B475B" w14:paraId="40A1FF3A" w14:textId="77777777" w:rsidTr="00DD1CFE">
        <w:trPr>
          <w:trHeight w:val="247"/>
        </w:trPr>
        <w:tc>
          <w:tcPr>
            <w:tcW w:w="2438" w:type="pct"/>
            <w:tcBorders>
              <w:top w:val="single" w:sz="4" w:space="0" w:color="auto"/>
              <w:left w:val="single" w:sz="4" w:space="0" w:color="auto"/>
              <w:bottom w:val="single" w:sz="4" w:space="0" w:color="auto"/>
              <w:right w:val="single" w:sz="4" w:space="0" w:color="auto"/>
            </w:tcBorders>
            <w:vAlign w:val="center"/>
            <w:hideMark/>
          </w:tcPr>
          <w:p w14:paraId="3C54DCD4" w14:textId="77777777" w:rsidR="0044481D" w:rsidRPr="008B475B" w:rsidRDefault="0044481D" w:rsidP="00DD1CFE">
            <w:pPr>
              <w:ind w:left="142"/>
              <w:rPr>
                <w:sz w:val="24"/>
                <w:szCs w:val="24"/>
                <w:lang w:val="da-DK"/>
              </w:rPr>
            </w:pPr>
            <w:r w:rsidRPr="008B475B">
              <w:rPr>
                <w:sz w:val="24"/>
                <w:szCs w:val="24"/>
                <w:lang w:val="da-DK"/>
              </w:rPr>
              <w:t>16 til 23</w:t>
            </w:r>
          </w:p>
        </w:tc>
        <w:tc>
          <w:tcPr>
            <w:tcW w:w="2562" w:type="pct"/>
            <w:tcBorders>
              <w:top w:val="single" w:sz="4" w:space="0" w:color="auto"/>
              <w:left w:val="single" w:sz="4" w:space="0" w:color="auto"/>
              <w:bottom w:val="single" w:sz="4" w:space="0" w:color="auto"/>
              <w:right w:val="single" w:sz="4" w:space="0" w:color="auto"/>
            </w:tcBorders>
            <w:vAlign w:val="center"/>
            <w:hideMark/>
          </w:tcPr>
          <w:p w14:paraId="1EA87BCC" w14:textId="77777777" w:rsidR="0044481D" w:rsidRPr="008B475B" w:rsidRDefault="0044481D" w:rsidP="00DD1CFE">
            <w:pPr>
              <w:ind w:left="142"/>
              <w:rPr>
                <w:sz w:val="24"/>
                <w:szCs w:val="24"/>
                <w:lang w:val="da-DK"/>
              </w:rPr>
            </w:pPr>
            <w:r w:rsidRPr="008B475B">
              <w:rPr>
                <w:sz w:val="24"/>
                <w:szCs w:val="24"/>
                <w:lang w:val="da-DK"/>
              </w:rPr>
              <w:t>1,1</w:t>
            </w:r>
          </w:p>
        </w:tc>
      </w:tr>
      <w:tr w:rsidR="0044481D" w:rsidRPr="008B475B" w14:paraId="1462AF53" w14:textId="77777777" w:rsidTr="00DD1CFE">
        <w:trPr>
          <w:trHeight w:val="262"/>
        </w:trPr>
        <w:tc>
          <w:tcPr>
            <w:tcW w:w="2438" w:type="pct"/>
            <w:tcBorders>
              <w:top w:val="single" w:sz="4" w:space="0" w:color="auto"/>
              <w:left w:val="single" w:sz="4" w:space="0" w:color="auto"/>
              <w:bottom w:val="single" w:sz="4" w:space="0" w:color="auto"/>
              <w:right w:val="single" w:sz="4" w:space="0" w:color="auto"/>
            </w:tcBorders>
            <w:vAlign w:val="center"/>
            <w:hideMark/>
          </w:tcPr>
          <w:p w14:paraId="21C91DCD" w14:textId="77777777" w:rsidR="0044481D" w:rsidRPr="008B475B" w:rsidRDefault="0044481D" w:rsidP="00DD1CFE">
            <w:pPr>
              <w:ind w:left="142"/>
              <w:rPr>
                <w:sz w:val="24"/>
                <w:szCs w:val="24"/>
                <w:lang w:val="da-DK"/>
              </w:rPr>
            </w:pPr>
            <w:r w:rsidRPr="008B475B">
              <w:rPr>
                <w:sz w:val="24"/>
                <w:szCs w:val="24"/>
                <w:lang w:val="da-DK"/>
              </w:rPr>
              <w:t>&gt; 23 til 34</w:t>
            </w:r>
          </w:p>
        </w:tc>
        <w:tc>
          <w:tcPr>
            <w:tcW w:w="2562" w:type="pct"/>
            <w:tcBorders>
              <w:top w:val="single" w:sz="4" w:space="0" w:color="auto"/>
              <w:left w:val="single" w:sz="4" w:space="0" w:color="auto"/>
              <w:bottom w:val="single" w:sz="4" w:space="0" w:color="auto"/>
              <w:right w:val="single" w:sz="4" w:space="0" w:color="auto"/>
            </w:tcBorders>
            <w:vAlign w:val="center"/>
            <w:hideMark/>
          </w:tcPr>
          <w:p w14:paraId="3B89111F" w14:textId="77777777" w:rsidR="0044481D" w:rsidRPr="008B475B" w:rsidRDefault="0044481D" w:rsidP="00DD1CFE">
            <w:pPr>
              <w:ind w:left="142"/>
              <w:rPr>
                <w:sz w:val="24"/>
                <w:szCs w:val="24"/>
                <w:lang w:val="da-DK"/>
              </w:rPr>
            </w:pPr>
            <w:r w:rsidRPr="008B475B">
              <w:rPr>
                <w:sz w:val="24"/>
                <w:szCs w:val="24"/>
                <w:lang w:val="da-DK"/>
              </w:rPr>
              <w:t>0,95</w:t>
            </w:r>
          </w:p>
        </w:tc>
      </w:tr>
      <w:tr w:rsidR="0044481D" w:rsidRPr="008B475B" w14:paraId="71CE60D3" w14:textId="77777777" w:rsidTr="00DD1CFE">
        <w:trPr>
          <w:trHeight w:val="262"/>
        </w:trPr>
        <w:tc>
          <w:tcPr>
            <w:tcW w:w="2438" w:type="pct"/>
            <w:tcBorders>
              <w:top w:val="single" w:sz="4" w:space="0" w:color="auto"/>
              <w:left w:val="single" w:sz="4" w:space="0" w:color="auto"/>
              <w:bottom w:val="single" w:sz="4" w:space="0" w:color="auto"/>
              <w:right w:val="single" w:sz="4" w:space="0" w:color="auto"/>
            </w:tcBorders>
            <w:vAlign w:val="center"/>
            <w:hideMark/>
          </w:tcPr>
          <w:p w14:paraId="28ECCD8F" w14:textId="77777777" w:rsidR="0044481D" w:rsidRPr="008B475B" w:rsidRDefault="0044481D" w:rsidP="00DD1CFE">
            <w:pPr>
              <w:ind w:left="142"/>
              <w:rPr>
                <w:sz w:val="24"/>
                <w:szCs w:val="24"/>
                <w:lang w:val="da-DK"/>
              </w:rPr>
            </w:pPr>
            <w:r w:rsidRPr="008B475B">
              <w:rPr>
                <w:sz w:val="24"/>
                <w:szCs w:val="24"/>
                <w:lang w:val="da-DK"/>
              </w:rPr>
              <w:t>&gt; 34</w:t>
            </w:r>
          </w:p>
        </w:tc>
        <w:tc>
          <w:tcPr>
            <w:tcW w:w="2562" w:type="pct"/>
            <w:tcBorders>
              <w:top w:val="single" w:sz="4" w:space="0" w:color="auto"/>
              <w:left w:val="single" w:sz="4" w:space="0" w:color="auto"/>
              <w:bottom w:val="single" w:sz="4" w:space="0" w:color="auto"/>
              <w:right w:val="single" w:sz="4" w:space="0" w:color="auto"/>
            </w:tcBorders>
            <w:vAlign w:val="center"/>
            <w:hideMark/>
          </w:tcPr>
          <w:p w14:paraId="1F96A897" w14:textId="77777777" w:rsidR="0044481D" w:rsidRPr="008B475B" w:rsidRDefault="0044481D" w:rsidP="00DD1CFE">
            <w:pPr>
              <w:ind w:left="142"/>
              <w:rPr>
                <w:sz w:val="24"/>
                <w:szCs w:val="24"/>
                <w:lang w:val="da-DK"/>
              </w:rPr>
            </w:pPr>
            <w:r w:rsidRPr="008B475B">
              <w:rPr>
                <w:sz w:val="24"/>
                <w:szCs w:val="24"/>
                <w:lang w:val="da-DK"/>
              </w:rPr>
              <w:t>0,8</w:t>
            </w:r>
          </w:p>
        </w:tc>
      </w:tr>
    </w:tbl>
    <w:p w14:paraId="156572CB" w14:textId="77777777" w:rsidR="0044481D" w:rsidRPr="008B475B" w:rsidRDefault="0044481D" w:rsidP="0044481D">
      <w:pPr>
        <w:rPr>
          <w:noProof/>
          <w:sz w:val="24"/>
          <w:szCs w:val="24"/>
        </w:rPr>
      </w:pPr>
    </w:p>
    <w:p w14:paraId="6FF19E33" w14:textId="77777777" w:rsidR="0044481D" w:rsidRPr="008B475B" w:rsidRDefault="0044481D" w:rsidP="0044481D">
      <w:pPr>
        <w:ind w:left="851"/>
        <w:rPr>
          <w:noProof/>
          <w:sz w:val="24"/>
          <w:szCs w:val="24"/>
        </w:rPr>
      </w:pPr>
      <w:r w:rsidRPr="008B475B">
        <w:rPr>
          <w:noProof/>
          <w:sz w:val="24"/>
          <w:szCs w:val="24"/>
        </w:rPr>
        <w:t>efterfulgt af:</w:t>
      </w:r>
    </w:p>
    <w:p w14:paraId="234EFD2B" w14:textId="77777777" w:rsidR="0044481D" w:rsidRPr="008B475B" w:rsidRDefault="0044481D" w:rsidP="0044481D">
      <w:pPr>
        <w:pStyle w:val="Listeafsnit"/>
        <w:numPr>
          <w:ilvl w:val="0"/>
          <w:numId w:val="6"/>
        </w:numPr>
        <w:ind w:left="1276" w:hanging="425"/>
        <w:rPr>
          <w:noProof/>
          <w:sz w:val="24"/>
          <w:szCs w:val="24"/>
        </w:rPr>
      </w:pPr>
      <w:r w:rsidRPr="008B475B">
        <w:rPr>
          <w:noProof/>
          <w:sz w:val="24"/>
          <w:szCs w:val="24"/>
        </w:rPr>
        <w:t>4 cykler a 50 mg/kg legemsvægt (BW) cyclophosphamid (BuCy4) eller</w:t>
      </w:r>
    </w:p>
    <w:p w14:paraId="2853312A" w14:textId="77777777" w:rsidR="0044481D" w:rsidRPr="008B475B" w:rsidRDefault="0044481D" w:rsidP="0044481D">
      <w:pPr>
        <w:pStyle w:val="Listeafsnit"/>
        <w:numPr>
          <w:ilvl w:val="0"/>
          <w:numId w:val="6"/>
        </w:numPr>
        <w:ind w:left="1276" w:hanging="425"/>
        <w:rPr>
          <w:noProof/>
          <w:sz w:val="24"/>
          <w:szCs w:val="24"/>
        </w:rPr>
      </w:pPr>
      <w:r w:rsidRPr="008B475B">
        <w:rPr>
          <w:noProof/>
          <w:sz w:val="24"/>
          <w:szCs w:val="24"/>
        </w:rPr>
        <w:t>en enkelt administration af 140 mg/m² melphalan (BuMel) der først indledes 24 timer efter den 16. dosis busulfan (se pkt. 4.5).</w:t>
      </w:r>
    </w:p>
    <w:p w14:paraId="1A91EA3B" w14:textId="77777777" w:rsidR="0044481D" w:rsidRPr="008B475B" w:rsidRDefault="0044481D" w:rsidP="0044481D">
      <w:pPr>
        <w:rPr>
          <w:noProof/>
          <w:sz w:val="24"/>
          <w:szCs w:val="24"/>
        </w:rPr>
      </w:pPr>
    </w:p>
    <w:p w14:paraId="6AD3A855" w14:textId="77777777" w:rsidR="0044481D" w:rsidRPr="008B475B" w:rsidRDefault="0044481D" w:rsidP="0044481D">
      <w:pPr>
        <w:ind w:left="851"/>
        <w:rPr>
          <w:noProof/>
          <w:sz w:val="24"/>
          <w:szCs w:val="24"/>
        </w:rPr>
      </w:pPr>
      <w:r w:rsidRPr="008B475B">
        <w:rPr>
          <w:noProof/>
          <w:sz w:val="24"/>
          <w:szCs w:val="24"/>
        </w:rPr>
        <w:t>Busulfan administreres som 2 timers infusion hver 6. time 4 dage i træk, så der opnås i alt 16 doser før cyclophosphamid eller melphalan og transplantation af hæmatopoietiske progenitorceller (HPCT).</w:t>
      </w:r>
    </w:p>
    <w:p w14:paraId="54EDA8FB" w14:textId="77777777" w:rsidR="0044481D" w:rsidRPr="008B475B" w:rsidRDefault="0044481D" w:rsidP="0044481D">
      <w:pPr>
        <w:ind w:left="851"/>
        <w:rPr>
          <w:noProof/>
          <w:sz w:val="24"/>
          <w:szCs w:val="24"/>
        </w:rPr>
      </w:pPr>
    </w:p>
    <w:p w14:paraId="3C7898CC" w14:textId="77777777" w:rsidR="0044481D" w:rsidRPr="008B475B" w:rsidRDefault="0044481D" w:rsidP="0044481D">
      <w:pPr>
        <w:ind w:left="851"/>
        <w:rPr>
          <w:i/>
          <w:noProof/>
          <w:sz w:val="24"/>
          <w:szCs w:val="24"/>
        </w:rPr>
      </w:pPr>
      <w:r w:rsidRPr="008B475B">
        <w:rPr>
          <w:i/>
          <w:noProof/>
          <w:sz w:val="24"/>
          <w:szCs w:val="24"/>
        </w:rPr>
        <w:t>Ældre patienter</w:t>
      </w:r>
    </w:p>
    <w:p w14:paraId="798AAE5C" w14:textId="77777777" w:rsidR="0044481D" w:rsidRPr="008B475B" w:rsidRDefault="0044481D" w:rsidP="0044481D">
      <w:pPr>
        <w:ind w:left="851"/>
        <w:rPr>
          <w:noProof/>
          <w:sz w:val="24"/>
          <w:szCs w:val="24"/>
        </w:rPr>
      </w:pPr>
      <w:r w:rsidRPr="008B475B">
        <w:rPr>
          <w:noProof/>
          <w:sz w:val="24"/>
          <w:szCs w:val="24"/>
        </w:rPr>
        <w:t>Patienter over 50 år (n=23) er blevet behandlet med succes med busulfan uden dosisjustering. Der er dog kun begrænset information om sikkerheden ved anvendelse af busulfan til patienter over 60 år. Der skal anvendes samme dosis (se pkt. 5.2) til ældre som til voksne (&lt; 50 år).</w:t>
      </w:r>
    </w:p>
    <w:p w14:paraId="585000F9" w14:textId="77777777" w:rsidR="0044481D" w:rsidRPr="008B475B" w:rsidRDefault="0044481D" w:rsidP="0044481D">
      <w:pPr>
        <w:rPr>
          <w:noProof/>
          <w:sz w:val="24"/>
          <w:szCs w:val="24"/>
        </w:rPr>
      </w:pPr>
    </w:p>
    <w:p w14:paraId="10422C8C" w14:textId="77777777" w:rsidR="0044481D" w:rsidRPr="008B475B" w:rsidRDefault="0044481D" w:rsidP="0044481D">
      <w:pPr>
        <w:ind w:left="851"/>
        <w:rPr>
          <w:i/>
          <w:noProof/>
          <w:sz w:val="24"/>
          <w:szCs w:val="24"/>
          <w:u w:val="single"/>
        </w:rPr>
      </w:pPr>
      <w:r w:rsidRPr="008B475B">
        <w:rPr>
          <w:i/>
          <w:noProof/>
          <w:sz w:val="24"/>
          <w:szCs w:val="24"/>
          <w:u w:val="single"/>
        </w:rPr>
        <w:t xml:space="preserve">Adipøse patienter </w:t>
      </w:r>
    </w:p>
    <w:p w14:paraId="55B3B367" w14:textId="77777777" w:rsidR="0044481D" w:rsidRPr="008B475B" w:rsidRDefault="0044481D" w:rsidP="0044481D">
      <w:pPr>
        <w:ind w:left="851"/>
        <w:rPr>
          <w:i/>
          <w:noProof/>
          <w:sz w:val="24"/>
          <w:szCs w:val="24"/>
        </w:rPr>
      </w:pPr>
      <w:r w:rsidRPr="008B475B">
        <w:rPr>
          <w:i/>
          <w:noProof/>
          <w:sz w:val="24"/>
          <w:szCs w:val="24"/>
        </w:rPr>
        <w:t>Voksne</w:t>
      </w:r>
    </w:p>
    <w:p w14:paraId="69F64743" w14:textId="77777777" w:rsidR="0044481D" w:rsidRPr="008B475B" w:rsidRDefault="0044481D" w:rsidP="0044481D">
      <w:pPr>
        <w:ind w:left="851"/>
        <w:rPr>
          <w:noProof/>
          <w:sz w:val="24"/>
          <w:szCs w:val="24"/>
        </w:rPr>
      </w:pPr>
      <w:r w:rsidRPr="008B475B">
        <w:rPr>
          <w:noProof/>
          <w:sz w:val="24"/>
          <w:szCs w:val="24"/>
        </w:rPr>
        <w:t>For adipøse patienter skal det overvejes, om doseringen bør baseres på en justeret idealvægt (AIBW).</w:t>
      </w:r>
    </w:p>
    <w:p w14:paraId="2818D52B" w14:textId="77777777" w:rsidR="0044481D" w:rsidRPr="008B475B" w:rsidRDefault="0044481D" w:rsidP="0044481D">
      <w:pPr>
        <w:ind w:left="851"/>
        <w:rPr>
          <w:noProof/>
          <w:sz w:val="24"/>
          <w:szCs w:val="24"/>
        </w:rPr>
      </w:pPr>
    </w:p>
    <w:p w14:paraId="5BB6A7D0" w14:textId="77777777" w:rsidR="0044481D" w:rsidRPr="008B475B" w:rsidRDefault="0044481D" w:rsidP="0044481D">
      <w:pPr>
        <w:ind w:left="851"/>
        <w:rPr>
          <w:noProof/>
          <w:sz w:val="24"/>
          <w:szCs w:val="24"/>
        </w:rPr>
      </w:pPr>
      <w:r w:rsidRPr="008B475B">
        <w:rPr>
          <w:noProof/>
          <w:sz w:val="24"/>
          <w:szCs w:val="24"/>
        </w:rPr>
        <w:t xml:space="preserve">Idealvægten (IBW) beregnes som følger: </w:t>
      </w:r>
    </w:p>
    <w:p w14:paraId="0950C490" w14:textId="77777777" w:rsidR="0044481D" w:rsidRPr="008B475B" w:rsidRDefault="0044481D" w:rsidP="0044481D">
      <w:pPr>
        <w:ind w:left="851"/>
        <w:rPr>
          <w:noProof/>
          <w:sz w:val="24"/>
          <w:szCs w:val="24"/>
        </w:rPr>
      </w:pPr>
      <w:r w:rsidRPr="008B475B">
        <w:rPr>
          <w:noProof/>
          <w:sz w:val="24"/>
          <w:szCs w:val="24"/>
        </w:rPr>
        <w:t>IBW mænd (kg) =50+0,91×(højde i cm-152).</w:t>
      </w:r>
    </w:p>
    <w:p w14:paraId="7A916E4C" w14:textId="77777777" w:rsidR="0044481D" w:rsidRPr="008B475B" w:rsidRDefault="0044481D" w:rsidP="0044481D">
      <w:pPr>
        <w:ind w:left="851"/>
        <w:rPr>
          <w:noProof/>
          <w:sz w:val="24"/>
          <w:szCs w:val="24"/>
        </w:rPr>
      </w:pPr>
      <w:r w:rsidRPr="008B475B">
        <w:rPr>
          <w:noProof/>
          <w:sz w:val="24"/>
          <w:szCs w:val="24"/>
        </w:rPr>
        <w:t>IBW kvinder (kg) =45+0,91×(højde i cm-152).</w:t>
      </w:r>
    </w:p>
    <w:p w14:paraId="38415D56" w14:textId="77777777" w:rsidR="0044481D" w:rsidRPr="008B475B" w:rsidRDefault="0044481D" w:rsidP="0044481D">
      <w:pPr>
        <w:ind w:left="851"/>
        <w:rPr>
          <w:noProof/>
          <w:sz w:val="24"/>
          <w:szCs w:val="24"/>
        </w:rPr>
      </w:pPr>
    </w:p>
    <w:p w14:paraId="3EA66C4E" w14:textId="77777777" w:rsidR="0044481D" w:rsidRPr="008B475B" w:rsidRDefault="0044481D" w:rsidP="0044481D">
      <w:pPr>
        <w:ind w:left="851"/>
        <w:rPr>
          <w:noProof/>
          <w:sz w:val="24"/>
          <w:szCs w:val="24"/>
        </w:rPr>
      </w:pPr>
      <w:r w:rsidRPr="008B475B">
        <w:rPr>
          <w:noProof/>
          <w:sz w:val="24"/>
          <w:szCs w:val="24"/>
        </w:rPr>
        <w:t xml:space="preserve">Justeret idealvægt (AIBW) beregnes som følger: </w:t>
      </w:r>
    </w:p>
    <w:p w14:paraId="1195D1CB" w14:textId="77777777" w:rsidR="0044481D" w:rsidRPr="008B475B" w:rsidRDefault="0044481D" w:rsidP="0044481D">
      <w:pPr>
        <w:ind w:left="851"/>
        <w:rPr>
          <w:noProof/>
          <w:sz w:val="24"/>
          <w:szCs w:val="24"/>
        </w:rPr>
      </w:pPr>
      <w:r w:rsidRPr="008B475B">
        <w:rPr>
          <w:noProof/>
          <w:sz w:val="24"/>
          <w:szCs w:val="24"/>
        </w:rPr>
        <w:t>AIBW = IBW+0,25×(faktisk legemsvægt - IBW).</w:t>
      </w:r>
    </w:p>
    <w:p w14:paraId="3B9E09F9" w14:textId="77777777" w:rsidR="0044481D" w:rsidRPr="008B475B" w:rsidRDefault="0044481D" w:rsidP="0044481D">
      <w:pPr>
        <w:ind w:left="851"/>
        <w:rPr>
          <w:noProof/>
          <w:sz w:val="24"/>
          <w:szCs w:val="24"/>
        </w:rPr>
      </w:pPr>
    </w:p>
    <w:p w14:paraId="38F17C42" w14:textId="77777777" w:rsidR="0044481D" w:rsidRPr="008B475B" w:rsidRDefault="0044481D" w:rsidP="0044481D">
      <w:pPr>
        <w:ind w:left="851"/>
        <w:rPr>
          <w:i/>
          <w:noProof/>
          <w:sz w:val="24"/>
          <w:szCs w:val="24"/>
        </w:rPr>
      </w:pPr>
      <w:r w:rsidRPr="008B475B">
        <w:rPr>
          <w:i/>
          <w:noProof/>
          <w:sz w:val="24"/>
          <w:szCs w:val="24"/>
        </w:rPr>
        <w:t>Pædiatrisk population</w:t>
      </w:r>
    </w:p>
    <w:p w14:paraId="2338D1E9" w14:textId="77777777" w:rsidR="0044481D" w:rsidRPr="008B475B" w:rsidRDefault="0044481D" w:rsidP="0044481D">
      <w:pPr>
        <w:ind w:left="851"/>
        <w:rPr>
          <w:noProof/>
          <w:sz w:val="24"/>
          <w:szCs w:val="24"/>
        </w:rPr>
      </w:pPr>
      <w:r w:rsidRPr="008B475B">
        <w:rPr>
          <w:noProof/>
          <w:sz w:val="24"/>
          <w:szCs w:val="24"/>
        </w:rPr>
        <w:t>Lægemidlet bør ikke anvendes til adipøse børn og unge med en BMI (kg/m²) &gt; 30 kg/m², før yderligere data foreligger.</w:t>
      </w:r>
    </w:p>
    <w:p w14:paraId="55D99AA1" w14:textId="77777777" w:rsidR="0044481D" w:rsidRPr="008B475B" w:rsidRDefault="0044481D" w:rsidP="0044481D">
      <w:pPr>
        <w:ind w:left="851"/>
        <w:rPr>
          <w:noProof/>
          <w:sz w:val="24"/>
          <w:szCs w:val="24"/>
        </w:rPr>
      </w:pPr>
    </w:p>
    <w:p w14:paraId="180DFB2A" w14:textId="77777777" w:rsidR="0044481D" w:rsidRPr="008B475B" w:rsidRDefault="0044481D" w:rsidP="0044481D">
      <w:pPr>
        <w:ind w:left="851"/>
        <w:rPr>
          <w:i/>
          <w:noProof/>
          <w:sz w:val="24"/>
          <w:szCs w:val="24"/>
          <w:u w:val="single"/>
        </w:rPr>
      </w:pPr>
      <w:r w:rsidRPr="008B475B">
        <w:rPr>
          <w:i/>
          <w:noProof/>
          <w:sz w:val="24"/>
          <w:szCs w:val="24"/>
          <w:u w:val="single"/>
        </w:rPr>
        <w:t>Patienter med nedsat nyrefunktion</w:t>
      </w:r>
    </w:p>
    <w:p w14:paraId="6B694A94" w14:textId="77777777" w:rsidR="0044481D" w:rsidRPr="008B475B" w:rsidRDefault="0044481D" w:rsidP="0044481D">
      <w:pPr>
        <w:ind w:left="851"/>
        <w:rPr>
          <w:noProof/>
          <w:sz w:val="24"/>
          <w:szCs w:val="24"/>
        </w:rPr>
      </w:pPr>
      <w:r w:rsidRPr="008B475B">
        <w:rPr>
          <w:noProof/>
          <w:sz w:val="24"/>
          <w:szCs w:val="24"/>
        </w:rPr>
        <w:t>Der er ikke udført studier omfattende patienter med nedsat nyrefunktion, men da busulfan udskilles i moderat omfang med urinen, anbefales dosisjustering ikke hos disse patienter. Det anbefales dog at udvise forsigtighed (se pkt 4.8 og 5.2).</w:t>
      </w:r>
    </w:p>
    <w:p w14:paraId="415F052E" w14:textId="77777777" w:rsidR="0044481D" w:rsidRPr="008B475B" w:rsidRDefault="0044481D" w:rsidP="0044481D">
      <w:pPr>
        <w:ind w:left="851"/>
        <w:rPr>
          <w:noProof/>
          <w:sz w:val="24"/>
          <w:szCs w:val="24"/>
        </w:rPr>
      </w:pPr>
    </w:p>
    <w:p w14:paraId="75568176" w14:textId="77777777" w:rsidR="0044481D" w:rsidRPr="008B475B" w:rsidRDefault="0044481D" w:rsidP="0044481D">
      <w:pPr>
        <w:ind w:left="851"/>
        <w:rPr>
          <w:i/>
          <w:noProof/>
          <w:sz w:val="24"/>
          <w:szCs w:val="24"/>
          <w:u w:val="single"/>
        </w:rPr>
      </w:pPr>
      <w:r w:rsidRPr="008B475B">
        <w:rPr>
          <w:i/>
          <w:noProof/>
          <w:sz w:val="24"/>
          <w:szCs w:val="24"/>
          <w:u w:val="single"/>
        </w:rPr>
        <w:t>Patienter med nedsat leverfunktion</w:t>
      </w:r>
    </w:p>
    <w:p w14:paraId="12B17E36" w14:textId="77777777" w:rsidR="0044481D" w:rsidRPr="008B475B" w:rsidRDefault="0044481D" w:rsidP="0044481D">
      <w:pPr>
        <w:ind w:left="851"/>
        <w:rPr>
          <w:noProof/>
          <w:sz w:val="24"/>
          <w:szCs w:val="24"/>
        </w:rPr>
      </w:pPr>
      <w:r w:rsidRPr="008B475B">
        <w:rPr>
          <w:noProof/>
          <w:sz w:val="24"/>
          <w:szCs w:val="24"/>
        </w:rPr>
        <w:t>Busulfan og busulfan er ikke undersøgt hos patienter med nedsat leverfunktion. Det anbefales at udvise forsigtighed, specielt hos patienter med svær leverinsufficiens (se pkt. 4.4).</w:t>
      </w:r>
    </w:p>
    <w:p w14:paraId="3E439849" w14:textId="77777777" w:rsidR="0044481D" w:rsidRPr="008B475B" w:rsidRDefault="0044481D" w:rsidP="0044481D">
      <w:pPr>
        <w:ind w:left="851"/>
        <w:rPr>
          <w:noProof/>
          <w:sz w:val="24"/>
          <w:szCs w:val="24"/>
        </w:rPr>
      </w:pPr>
    </w:p>
    <w:p w14:paraId="42360AFA" w14:textId="77777777" w:rsidR="0044481D" w:rsidRPr="008B475B" w:rsidRDefault="0044481D" w:rsidP="0044481D">
      <w:pPr>
        <w:ind w:left="851"/>
        <w:rPr>
          <w:noProof/>
          <w:sz w:val="24"/>
          <w:szCs w:val="24"/>
          <w:u w:val="single"/>
        </w:rPr>
      </w:pPr>
      <w:r w:rsidRPr="008B475B">
        <w:rPr>
          <w:noProof/>
          <w:sz w:val="24"/>
          <w:szCs w:val="24"/>
          <w:u w:val="single"/>
        </w:rPr>
        <w:t>Administration</w:t>
      </w:r>
    </w:p>
    <w:p w14:paraId="2E4FE639" w14:textId="77777777" w:rsidR="0044481D" w:rsidRPr="008B475B" w:rsidRDefault="0044481D" w:rsidP="0044481D">
      <w:pPr>
        <w:ind w:left="851"/>
        <w:rPr>
          <w:i/>
          <w:noProof/>
          <w:sz w:val="24"/>
          <w:szCs w:val="24"/>
        </w:rPr>
      </w:pPr>
      <w:r w:rsidRPr="008B475B">
        <w:rPr>
          <w:i/>
          <w:noProof/>
          <w:sz w:val="24"/>
          <w:szCs w:val="24"/>
        </w:rPr>
        <w:t xml:space="preserve">Sikkerhedsforanstaltninger, der skal tages før håndtering eller administration af lægemidlet </w:t>
      </w:r>
    </w:p>
    <w:p w14:paraId="4A3FE489" w14:textId="77777777" w:rsidR="0044481D" w:rsidRPr="008B475B" w:rsidRDefault="0044481D" w:rsidP="0044481D">
      <w:pPr>
        <w:ind w:left="851"/>
        <w:rPr>
          <w:noProof/>
          <w:sz w:val="24"/>
          <w:szCs w:val="24"/>
        </w:rPr>
      </w:pPr>
      <w:r w:rsidRPr="008B475B">
        <w:rPr>
          <w:noProof/>
          <w:sz w:val="24"/>
          <w:szCs w:val="24"/>
        </w:rPr>
        <w:t>Busulfan</w:t>
      </w:r>
      <w:r w:rsidRPr="008B475B">
        <w:rPr>
          <w:i/>
          <w:noProof/>
          <w:sz w:val="24"/>
          <w:szCs w:val="24"/>
        </w:rPr>
        <w:t xml:space="preserve"> </w:t>
      </w:r>
      <w:r w:rsidRPr="008B475B">
        <w:rPr>
          <w:noProof/>
          <w:sz w:val="24"/>
          <w:szCs w:val="24"/>
        </w:rPr>
        <w:t>skal fortyndes før indgift. Slutkoncentrationen skal være ca. 0,5 mg busulfan/ml. Busulfan skal gives som intravenøs infusion via centralt venekateter.</w:t>
      </w:r>
    </w:p>
    <w:p w14:paraId="102F2EB8" w14:textId="77777777" w:rsidR="0044481D" w:rsidRPr="008B475B" w:rsidRDefault="0044481D" w:rsidP="0044481D">
      <w:pPr>
        <w:ind w:left="851"/>
        <w:rPr>
          <w:noProof/>
          <w:sz w:val="24"/>
          <w:szCs w:val="24"/>
        </w:rPr>
      </w:pPr>
    </w:p>
    <w:p w14:paraId="7D1FFF3D" w14:textId="77777777" w:rsidR="0044481D" w:rsidRPr="008B475B" w:rsidRDefault="0044481D" w:rsidP="0044481D">
      <w:pPr>
        <w:ind w:left="851"/>
        <w:rPr>
          <w:noProof/>
          <w:sz w:val="24"/>
          <w:szCs w:val="24"/>
        </w:rPr>
      </w:pPr>
      <w:r w:rsidRPr="008B475B">
        <w:rPr>
          <w:noProof/>
          <w:sz w:val="24"/>
          <w:szCs w:val="24"/>
        </w:rPr>
        <w:t>For instruktioner om fortynding af lægemidlet før administration, se pkt. 6.6.</w:t>
      </w:r>
    </w:p>
    <w:p w14:paraId="4F8FC26B" w14:textId="77777777" w:rsidR="0044481D" w:rsidRPr="008B475B" w:rsidRDefault="0044481D" w:rsidP="0044481D">
      <w:pPr>
        <w:ind w:left="851"/>
        <w:rPr>
          <w:noProof/>
          <w:sz w:val="24"/>
          <w:szCs w:val="24"/>
        </w:rPr>
      </w:pPr>
    </w:p>
    <w:p w14:paraId="59225511" w14:textId="77777777" w:rsidR="0044481D" w:rsidRPr="008B475B" w:rsidRDefault="0044481D" w:rsidP="0044481D">
      <w:pPr>
        <w:ind w:left="851"/>
        <w:rPr>
          <w:noProof/>
          <w:sz w:val="24"/>
          <w:szCs w:val="24"/>
        </w:rPr>
      </w:pPr>
      <w:r w:rsidRPr="008B475B">
        <w:rPr>
          <w:noProof/>
          <w:sz w:val="24"/>
          <w:szCs w:val="24"/>
        </w:rPr>
        <w:t>Busulfan må ikke gives som hurtig intravenøs injektion, bolus eller perifer injektion.</w:t>
      </w:r>
    </w:p>
    <w:p w14:paraId="152650FC" w14:textId="77777777" w:rsidR="0044481D" w:rsidRPr="008B475B" w:rsidRDefault="0044481D" w:rsidP="0044481D">
      <w:pPr>
        <w:ind w:left="851"/>
        <w:rPr>
          <w:noProof/>
          <w:sz w:val="24"/>
          <w:szCs w:val="24"/>
        </w:rPr>
      </w:pPr>
    </w:p>
    <w:p w14:paraId="79FD84EC" w14:textId="77777777" w:rsidR="0044481D" w:rsidRPr="008B475B" w:rsidRDefault="0044481D" w:rsidP="0044481D">
      <w:pPr>
        <w:ind w:left="851"/>
        <w:rPr>
          <w:noProof/>
          <w:sz w:val="24"/>
          <w:szCs w:val="24"/>
        </w:rPr>
      </w:pPr>
      <w:r w:rsidRPr="008B475B">
        <w:rPr>
          <w:noProof/>
          <w:sz w:val="24"/>
          <w:szCs w:val="24"/>
        </w:rPr>
        <w:t xml:space="preserve">Alle patienter bør præmedicineres med antikonvulsiva for at forhindre kramper, som er indberettet efter busulfan i høje doser. </w:t>
      </w:r>
    </w:p>
    <w:p w14:paraId="0DE1467A" w14:textId="77777777" w:rsidR="0044481D" w:rsidRPr="008B475B" w:rsidRDefault="0044481D" w:rsidP="0044481D">
      <w:pPr>
        <w:ind w:left="851"/>
        <w:rPr>
          <w:noProof/>
          <w:sz w:val="24"/>
          <w:szCs w:val="24"/>
        </w:rPr>
      </w:pPr>
    </w:p>
    <w:p w14:paraId="165969CD" w14:textId="77777777" w:rsidR="0044481D" w:rsidRPr="008B475B" w:rsidRDefault="0044481D" w:rsidP="0044481D">
      <w:pPr>
        <w:ind w:left="851"/>
        <w:rPr>
          <w:noProof/>
          <w:sz w:val="24"/>
          <w:szCs w:val="24"/>
        </w:rPr>
      </w:pPr>
      <w:r w:rsidRPr="008B475B">
        <w:rPr>
          <w:noProof/>
          <w:sz w:val="24"/>
          <w:szCs w:val="24"/>
        </w:rPr>
        <w:t>Det anbefales at administrere antikonvulsiva fra 12 timer før busulfan til 24 timer efter sidste busulfan-dosis.</w:t>
      </w:r>
    </w:p>
    <w:p w14:paraId="7F3C88C7" w14:textId="77777777" w:rsidR="0044481D" w:rsidRPr="008B475B" w:rsidRDefault="0044481D" w:rsidP="0044481D">
      <w:pPr>
        <w:ind w:left="851"/>
        <w:rPr>
          <w:noProof/>
          <w:sz w:val="24"/>
          <w:szCs w:val="24"/>
        </w:rPr>
      </w:pPr>
    </w:p>
    <w:p w14:paraId="50583A0C" w14:textId="77777777" w:rsidR="0044481D" w:rsidRPr="008B475B" w:rsidRDefault="0044481D" w:rsidP="0044481D">
      <w:pPr>
        <w:ind w:left="851"/>
        <w:rPr>
          <w:noProof/>
          <w:sz w:val="24"/>
          <w:szCs w:val="24"/>
        </w:rPr>
      </w:pPr>
      <w:r w:rsidRPr="008B475B">
        <w:rPr>
          <w:noProof/>
          <w:sz w:val="24"/>
          <w:szCs w:val="24"/>
        </w:rPr>
        <w:t>I studierne fik voksne og pædiatriske patienter enten phenytoin eller benzodiazepiner profylaktisk mod kramper (se pkt. 4.4 og 4.5).</w:t>
      </w:r>
    </w:p>
    <w:p w14:paraId="63B7ACA8" w14:textId="77777777" w:rsidR="0044481D" w:rsidRPr="008B475B" w:rsidRDefault="0044481D" w:rsidP="0044481D">
      <w:pPr>
        <w:ind w:left="851"/>
        <w:rPr>
          <w:noProof/>
          <w:sz w:val="24"/>
          <w:szCs w:val="24"/>
        </w:rPr>
      </w:pPr>
    </w:p>
    <w:p w14:paraId="1867A21E" w14:textId="77777777" w:rsidR="0044481D" w:rsidRPr="008B475B" w:rsidRDefault="0044481D" w:rsidP="0044481D">
      <w:pPr>
        <w:ind w:left="851"/>
        <w:rPr>
          <w:noProof/>
          <w:sz w:val="24"/>
          <w:szCs w:val="24"/>
        </w:rPr>
      </w:pPr>
      <w:r w:rsidRPr="008B475B">
        <w:rPr>
          <w:noProof/>
          <w:sz w:val="24"/>
          <w:szCs w:val="24"/>
        </w:rPr>
        <w:t>Der bør gives antiemetika før første busulfan-dosis og fortsættes hermed efter et fast skema under behandlingen i overensstemmelse med almindelig praksis.</w:t>
      </w:r>
    </w:p>
    <w:p w14:paraId="5AC320C1" w14:textId="77777777" w:rsidR="0044481D" w:rsidRPr="008B475B" w:rsidRDefault="0044481D" w:rsidP="0044481D">
      <w:pPr>
        <w:ind w:left="851"/>
        <w:rPr>
          <w:sz w:val="24"/>
          <w:szCs w:val="24"/>
        </w:rPr>
      </w:pPr>
    </w:p>
    <w:p w14:paraId="0ACC6D60" w14:textId="77777777" w:rsidR="0044481D" w:rsidRPr="008B475B" w:rsidRDefault="0044481D" w:rsidP="0044481D">
      <w:pPr>
        <w:ind w:left="851" w:hanging="851"/>
        <w:rPr>
          <w:b/>
          <w:sz w:val="24"/>
          <w:szCs w:val="24"/>
        </w:rPr>
      </w:pPr>
      <w:r w:rsidRPr="008B475B">
        <w:rPr>
          <w:b/>
          <w:sz w:val="24"/>
          <w:szCs w:val="24"/>
        </w:rPr>
        <w:t>4.3</w:t>
      </w:r>
      <w:r w:rsidRPr="008B475B">
        <w:rPr>
          <w:b/>
          <w:sz w:val="24"/>
          <w:szCs w:val="24"/>
        </w:rPr>
        <w:tab/>
        <w:t>Kontraindikationer</w:t>
      </w:r>
    </w:p>
    <w:p w14:paraId="5F8CA682" w14:textId="77777777" w:rsidR="0044481D" w:rsidRPr="008B475B" w:rsidRDefault="0044481D" w:rsidP="0044481D">
      <w:pPr>
        <w:ind w:left="851"/>
        <w:rPr>
          <w:sz w:val="24"/>
          <w:szCs w:val="24"/>
        </w:rPr>
      </w:pPr>
      <w:r w:rsidRPr="008B475B">
        <w:rPr>
          <w:sz w:val="24"/>
          <w:szCs w:val="24"/>
        </w:rPr>
        <w:t>Overfølsomhed over for det aktive stof eller over for et eller flere af hjælpestofferne anført i pkt. 6.1.</w:t>
      </w:r>
    </w:p>
    <w:p w14:paraId="31DCB0A1" w14:textId="77777777" w:rsidR="0044481D" w:rsidRPr="008B475B" w:rsidRDefault="0044481D" w:rsidP="0044481D">
      <w:pPr>
        <w:ind w:left="851"/>
        <w:rPr>
          <w:sz w:val="24"/>
          <w:szCs w:val="24"/>
        </w:rPr>
      </w:pPr>
      <w:r w:rsidRPr="008B475B">
        <w:rPr>
          <w:sz w:val="24"/>
          <w:szCs w:val="24"/>
        </w:rPr>
        <w:t>Graviditet (se pkt. 4.6).</w:t>
      </w:r>
    </w:p>
    <w:p w14:paraId="7A70DD70" w14:textId="77777777" w:rsidR="0044481D" w:rsidRPr="008B475B" w:rsidRDefault="0044481D" w:rsidP="0044481D">
      <w:pPr>
        <w:ind w:left="851"/>
        <w:rPr>
          <w:sz w:val="24"/>
          <w:szCs w:val="24"/>
        </w:rPr>
      </w:pPr>
    </w:p>
    <w:p w14:paraId="56EC006E" w14:textId="77777777" w:rsidR="0044481D" w:rsidRPr="008B475B" w:rsidRDefault="0044481D" w:rsidP="0044481D">
      <w:pPr>
        <w:ind w:left="851" w:hanging="851"/>
        <w:rPr>
          <w:b/>
          <w:sz w:val="24"/>
          <w:szCs w:val="24"/>
        </w:rPr>
      </w:pPr>
      <w:r w:rsidRPr="008B475B">
        <w:rPr>
          <w:b/>
          <w:sz w:val="24"/>
          <w:szCs w:val="24"/>
        </w:rPr>
        <w:t>4.4</w:t>
      </w:r>
      <w:r w:rsidRPr="008B475B">
        <w:rPr>
          <w:b/>
          <w:sz w:val="24"/>
          <w:szCs w:val="24"/>
        </w:rPr>
        <w:tab/>
        <w:t>Særlige advarsler og forsigtighedsregler vedrørende brugen</w:t>
      </w:r>
    </w:p>
    <w:p w14:paraId="36D967C9" w14:textId="77777777" w:rsidR="0044481D" w:rsidRPr="008B475B" w:rsidRDefault="0044481D" w:rsidP="0044481D">
      <w:pPr>
        <w:suppressAutoHyphens/>
        <w:ind w:left="851"/>
        <w:rPr>
          <w:sz w:val="24"/>
          <w:szCs w:val="24"/>
        </w:rPr>
      </w:pPr>
      <w:r w:rsidRPr="008B475B">
        <w:rPr>
          <w:sz w:val="24"/>
          <w:szCs w:val="24"/>
        </w:rPr>
        <w:t xml:space="preserve">Behandlingen med </w:t>
      </w:r>
      <w:proofErr w:type="spellStart"/>
      <w:r w:rsidRPr="008B475B">
        <w:rPr>
          <w:sz w:val="24"/>
          <w:szCs w:val="24"/>
        </w:rPr>
        <w:t>busulfan</w:t>
      </w:r>
      <w:proofErr w:type="spellEnd"/>
      <w:r w:rsidRPr="008B475B">
        <w:rPr>
          <w:sz w:val="24"/>
          <w:szCs w:val="24"/>
        </w:rPr>
        <w:t xml:space="preserve"> i den anbefalede dosis og ifølge behandlingsplanen bevirker omfattende </w:t>
      </w:r>
      <w:proofErr w:type="spellStart"/>
      <w:r w:rsidRPr="008B475B">
        <w:rPr>
          <w:sz w:val="24"/>
          <w:szCs w:val="24"/>
        </w:rPr>
        <w:t>myelosuppression</w:t>
      </w:r>
      <w:proofErr w:type="spellEnd"/>
      <w:r w:rsidRPr="008B475B">
        <w:rPr>
          <w:sz w:val="24"/>
          <w:szCs w:val="24"/>
        </w:rPr>
        <w:t xml:space="preserve"> hos alle patienter. Patienten kan udvikle svær </w:t>
      </w:r>
      <w:proofErr w:type="spellStart"/>
      <w:r w:rsidRPr="008B475B">
        <w:rPr>
          <w:sz w:val="24"/>
          <w:szCs w:val="24"/>
        </w:rPr>
        <w:t>granulocytopeni</w:t>
      </w:r>
      <w:proofErr w:type="spellEnd"/>
      <w:r w:rsidRPr="008B475B">
        <w:rPr>
          <w:sz w:val="24"/>
          <w:szCs w:val="24"/>
        </w:rPr>
        <w:t xml:space="preserve">, </w:t>
      </w:r>
      <w:proofErr w:type="spellStart"/>
      <w:r w:rsidRPr="008B475B">
        <w:rPr>
          <w:sz w:val="24"/>
          <w:szCs w:val="24"/>
        </w:rPr>
        <w:t>trombocytopeni</w:t>
      </w:r>
      <w:proofErr w:type="spellEnd"/>
      <w:r w:rsidRPr="008B475B">
        <w:rPr>
          <w:sz w:val="24"/>
          <w:szCs w:val="24"/>
        </w:rPr>
        <w:t xml:space="preserve">, anæmi eller en kombination deraf. Der skal monitoreres med hyppig måling af komplet blodstatus inklusive </w:t>
      </w:r>
      <w:proofErr w:type="spellStart"/>
      <w:r w:rsidRPr="008B475B">
        <w:rPr>
          <w:sz w:val="24"/>
          <w:szCs w:val="24"/>
        </w:rPr>
        <w:t>differentialtælling</w:t>
      </w:r>
      <w:proofErr w:type="spellEnd"/>
      <w:r w:rsidRPr="008B475B">
        <w:rPr>
          <w:sz w:val="24"/>
          <w:szCs w:val="24"/>
        </w:rPr>
        <w:t xml:space="preserve"> af leukocytter og </w:t>
      </w:r>
      <w:proofErr w:type="spellStart"/>
      <w:r w:rsidRPr="008B475B">
        <w:rPr>
          <w:sz w:val="24"/>
          <w:szCs w:val="24"/>
        </w:rPr>
        <w:t>trombocyttal</w:t>
      </w:r>
      <w:proofErr w:type="spellEnd"/>
      <w:r w:rsidRPr="008B475B">
        <w:rPr>
          <w:sz w:val="24"/>
          <w:szCs w:val="24"/>
        </w:rPr>
        <w:t xml:space="preserve"> under behandlingen og indtil helbredelse er indtrådt.</w:t>
      </w:r>
    </w:p>
    <w:p w14:paraId="4D6F4C1B" w14:textId="77777777" w:rsidR="0044481D" w:rsidRPr="008B475B" w:rsidRDefault="0044481D" w:rsidP="0044481D">
      <w:pPr>
        <w:suppressAutoHyphens/>
        <w:ind w:left="851"/>
        <w:rPr>
          <w:sz w:val="24"/>
          <w:szCs w:val="24"/>
        </w:rPr>
      </w:pPr>
      <w:r w:rsidRPr="008B475B">
        <w:rPr>
          <w:sz w:val="24"/>
          <w:szCs w:val="24"/>
        </w:rPr>
        <w:t xml:space="preserve">Profylaktisk eller empirisk brug af midler mod infektionssygdomme (antibiotika, </w:t>
      </w:r>
      <w:proofErr w:type="spellStart"/>
      <w:r w:rsidRPr="008B475B">
        <w:rPr>
          <w:sz w:val="24"/>
          <w:szCs w:val="24"/>
        </w:rPr>
        <w:t>antimykotika</w:t>
      </w:r>
      <w:proofErr w:type="spellEnd"/>
      <w:r w:rsidRPr="008B475B">
        <w:rPr>
          <w:sz w:val="24"/>
          <w:szCs w:val="24"/>
        </w:rPr>
        <w:t xml:space="preserve">, antivirale midler) bør overvejes til profylakse og behandling af infektioner i løbet af perioden med </w:t>
      </w:r>
      <w:proofErr w:type="spellStart"/>
      <w:r w:rsidRPr="008B475B">
        <w:rPr>
          <w:sz w:val="24"/>
          <w:szCs w:val="24"/>
        </w:rPr>
        <w:t>neutropeni</w:t>
      </w:r>
      <w:proofErr w:type="spellEnd"/>
      <w:r w:rsidRPr="008B475B">
        <w:rPr>
          <w:sz w:val="24"/>
          <w:szCs w:val="24"/>
        </w:rPr>
        <w:t xml:space="preserve">. Der bør anvendes midler til understøttelse af </w:t>
      </w:r>
      <w:proofErr w:type="spellStart"/>
      <w:r w:rsidRPr="008B475B">
        <w:rPr>
          <w:sz w:val="24"/>
          <w:szCs w:val="24"/>
        </w:rPr>
        <w:t>trombocyt</w:t>
      </w:r>
      <w:proofErr w:type="spellEnd"/>
      <w:r w:rsidRPr="008B475B">
        <w:rPr>
          <w:sz w:val="24"/>
          <w:szCs w:val="24"/>
        </w:rPr>
        <w:t>- og erytrocyttallet samt vækstfaktorer såsom granulocytkolonistimulerende middel (G-CSF) efter medicinsk behov.</w:t>
      </w:r>
    </w:p>
    <w:p w14:paraId="41C78997" w14:textId="77777777" w:rsidR="0044481D" w:rsidRPr="008B475B" w:rsidRDefault="0044481D" w:rsidP="0044481D">
      <w:pPr>
        <w:suppressAutoHyphens/>
        <w:ind w:left="851"/>
        <w:rPr>
          <w:sz w:val="24"/>
          <w:szCs w:val="24"/>
        </w:rPr>
      </w:pPr>
    </w:p>
    <w:p w14:paraId="1EF64145" w14:textId="77777777" w:rsidR="0044481D" w:rsidRPr="008B475B" w:rsidRDefault="0044481D" w:rsidP="0044481D">
      <w:pPr>
        <w:suppressAutoHyphens/>
        <w:ind w:left="851"/>
        <w:rPr>
          <w:sz w:val="24"/>
          <w:szCs w:val="24"/>
        </w:rPr>
      </w:pPr>
      <w:r w:rsidRPr="008B475B">
        <w:rPr>
          <w:sz w:val="24"/>
          <w:szCs w:val="24"/>
        </w:rPr>
        <w:lastRenderedPageBreak/>
        <w:t xml:space="preserve">Absolut </w:t>
      </w:r>
      <w:proofErr w:type="spellStart"/>
      <w:r w:rsidRPr="008B475B">
        <w:rPr>
          <w:sz w:val="24"/>
          <w:szCs w:val="24"/>
        </w:rPr>
        <w:t>neutrofiltal</w:t>
      </w:r>
      <w:proofErr w:type="spellEnd"/>
      <w:r w:rsidRPr="008B475B">
        <w:rPr>
          <w:sz w:val="24"/>
          <w:szCs w:val="24"/>
        </w:rPr>
        <w:t xml:space="preserve"> &lt; 0,5x10</w:t>
      </w:r>
      <w:r w:rsidRPr="008B475B">
        <w:rPr>
          <w:sz w:val="24"/>
          <w:szCs w:val="24"/>
          <w:vertAlign w:val="superscript"/>
        </w:rPr>
        <w:t>9</w:t>
      </w:r>
      <w:r w:rsidRPr="008B475B">
        <w:rPr>
          <w:sz w:val="24"/>
          <w:szCs w:val="24"/>
        </w:rPr>
        <w:t xml:space="preserve">/l ved en median på 4 dage efter transplantationen optrådte hos 100 % af de voksne patienter og var normaliseret ved en median på 10 og 13 dage efter henholdsvis autolog og </w:t>
      </w:r>
      <w:proofErr w:type="spellStart"/>
      <w:r w:rsidRPr="008B475B">
        <w:rPr>
          <w:sz w:val="24"/>
          <w:szCs w:val="24"/>
        </w:rPr>
        <w:t>allogen</w:t>
      </w:r>
      <w:proofErr w:type="spellEnd"/>
      <w:r w:rsidRPr="008B475B">
        <w:rPr>
          <w:sz w:val="24"/>
          <w:szCs w:val="24"/>
        </w:rPr>
        <w:t xml:space="preserve"> transplantation (median for </w:t>
      </w:r>
      <w:proofErr w:type="spellStart"/>
      <w:r w:rsidRPr="008B475B">
        <w:rPr>
          <w:sz w:val="24"/>
          <w:szCs w:val="24"/>
        </w:rPr>
        <w:t>neutropeniperiode</w:t>
      </w:r>
      <w:proofErr w:type="spellEnd"/>
      <w:r w:rsidRPr="008B475B">
        <w:rPr>
          <w:sz w:val="24"/>
          <w:szCs w:val="24"/>
        </w:rPr>
        <w:t xml:space="preserve"> henholdsvis 6 og 9 dage). </w:t>
      </w:r>
      <w:proofErr w:type="spellStart"/>
      <w:r w:rsidRPr="008B475B">
        <w:rPr>
          <w:sz w:val="24"/>
          <w:szCs w:val="24"/>
        </w:rPr>
        <w:t>Trombocytopeni</w:t>
      </w:r>
      <w:proofErr w:type="spellEnd"/>
      <w:r w:rsidRPr="008B475B">
        <w:rPr>
          <w:sz w:val="24"/>
          <w:szCs w:val="24"/>
        </w:rPr>
        <w:t xml:space="preserve"> (&lt; 25x10</w:t>
      </w:r>
      <w:r w:rsidRPr="008B475B">
        <w:rPr>
          <w:sz w:val="24"/>
          <w:szCs w:val="24"/>
          <w:vertAlign w:val="superscript"/>
        </w:rPr>
        <w:t>9</w:t>
      </w:r>
      <w:r w:rsidRPr="008B475B">
        <w:rPr>
          <w:sz w:val="24"/>
          <w:szCs w:val="24"/>
        </w:rPr>
        <w:t xml:space="preserve">/l eller behov for </w:t>
      </w:r>
      <w:proofErr w:type="spellStart"/>
      <w:r w:rsidRPr="008B475B">
        <w:rPr>
          <w:sz w:val="24"/>
          <w:szCs w:val="24"/>
        </w:rPr>
        <w:t>trombocyttransfusion</w:t>
      </w:r>
      <w:proofErr w:type="spellEnd"/>
      <w:r w:rsidRPr="008B475B">
        <w:rPr>
          <w:sz w:val="24"/>
          <w:szCs w:val="24"/>
        </w:rPr>
        <w:t>) forekom ved median 5-6 dage hos 98 % af patienterne. Anæmi (hæmoglobin &lt; 8,0 g/dl) forekom hos 69 % af patienterne.</w:t>
      </w:r>
    </w:p>
    <w:p w14:paraId="6832BE9E" w14:textId="77777777" w:rsidR="0044481D" w:rsidRPr="008B475B" w:rsidRDefault="0044481D" w:rsidP="0044481D">
      <w:pPr>
        <w:suppressAutoHyphens/>
        <w:ind w:left="851"/>
        <w:rPr>
          <w:sz w:val="24"/>
          <w:szCs w:val="24"/>
        </w:rPr>
      </w:pPr>
    </w:p>
    <w:p w14:paraId="7DC7A955" w14:textId="77777777" w:rsidR="0044481D" w:rsidRPr="008B475B" w:rsidRDefault="0044481D" w:rsidP="0044481D">
      <w:pPr>
        <w:suppressAutoHyphens/>
        <w:ind w:left="851"/>
        <w:rPr>
          <w:sz w:val="24"/>
          <w:szCs w:val="24"/>
        </w:rPr>
      </w:pPr>
      <w:r w:rsidRPr="008B475B">
        <w:rPr>
          <w:sz w:val="24"/>
          <w:szCs w:val="24"/>
        </w:rPr>
        <w:t xml:space="preserve">Absolut </w:t>
      </w:r>
      <w:proofErr w:type="spellStart"/>
      <w:r w:rsidRPr="008B475B">
        <w:rPr>
          <w:sz w:val="24"/>
          <w:szCs w:val="24"/>
        </w:rPr>
        <w:t>neutrofiltal</w:t>
      </w:r>
      <w:proofErr w:type="spellEnd"/>
      <w:r w:rsidRPr="008B475B">
        <w:rPr>
          <w:sz w:val="24"/>
          <w:szCs w:val="24"/>
        </w:rPr>
        <w:t xml:space="preserve"> &lt; 0,5x10</w:t>
      </w:r>
      <w:r w:rsidRPr="008B475B">
        <w:rPr>
          <w:sz w:val="24"/>
          <w:szCs w:val="24"/>
          <w:vertAlign w:val="superscript"/>
        </w:rPr>
        <w:t>9</w:t>
      </w:r>
      <w:r w:rsidRPr="008B475B">
        <w:rPr>
          <w:sz w:val="24"/>
          <w:szCs w:val="24"/>
        </w:rPr>
        <w:t xml:space="preserve">/l ved en median på 3 dage efter transplantationen optrådte hos 100 % af de pædiatriske patienter og varede 5 og 18,5 dage efter henholdsvis autolog og </w:t>
      </w:r>
      <w:proofErr w:type="spellStart"/>
      <w:r w:rsidRPr="008B475B">
        <w:rPr>
          <w:sz w:val="24"/>
          <w:szCs w:val="24"/>
        </w:rPr>
        <w:t>allogen</w:t>
      </w:r>
      <w:proofErr w:type="spellEnd"/>
      <w:r w:rsidRPr="008B475B">
        <w:rPr>
          <w:sz w:val="24"/>
          <w:szCs w:val="24"/>
        </w:rPr>
        <w:t xml:space="preserve"> transplantation. </w:t>
      </w:r>
      <w:proofErr w:type="spellStart"/>
      <w:r w:rsidRPr="008B475B">
        <w:rPr>
          <w:sz w:val="24"/>
          <w:szCs w:val="24"/>
        </w:rPr>
        <w:t>Trombocytopeni</w:t>
      </w:r>
      <w:proofErr w:type="spellEnd"/>
      <w:r w:rsidRPr="008B475B">
        <w:rPr>
          <w:sz w:val="24"/>
          <w:szCs w:val="24"/>
        </w:rPr>
        <w:t xml:space="preserve"> (&lt; 25x10</w:t>
      </w:r>
      <w:r w:rsidRPr="008B475B">
        <w:rPr>
          <w:sz w:val="24"/>
          <w:szCs w:val="24"/>
          <w:vertAlign w:val="superscript"/>
        </w:rPr>
        <w:t>9</w:t>
      </w:r>
      <w:r w:rsidRPr="008B475B">
        <w:rPr>
          <w:sz w:val="24"/>
          <w:szCs w:val="24"/>
        </w:rPr>
        <w:t xml:space="preserve">/l eller behov for </w:t>
      </w:r>
      <w:proofErr w:type="spellStart"/>
      <w:r w:rsidRPr="008B475B">
        <w:rPr>
          <w:sz w:val="24"/>
          <w:szCs w:val="24"/>
        </w:rPr>
        <w:t>trombocyt</w:t>
      </w:r>
      <w:r>
        <w:rPr>
          <w:sz w:val="24"/>
          <w:szCs w:val="24"/>
        </w:rPr>
        <w:softHyphen/>
      </w:r>
      <w:r w:rsidRPr="008B475B">
        <w:rPr>
          <w:sz w:val="24"/>
          <w:szCs w:val="24"/>
        </w:rPr>
        <w:t>transfusion</w:t>
      </w:r>
      <w:proofErr w:type="spellEnd"/>
      <w:r w:rsidRPr="008B475B">
        <w:rPr>
          <w:sz w:val="24"/>
          <w:szCs w:val="24"/>
        </w:rPr>
        <w:t>) forekom hos 100 % af de pædiatriske patienter. Anæmi (hæmoglobin &lt;</w:t>
      </w:r>
      <w:r>
        <w:rPr>
          <w:sz w:val="24"/>
          <w:szCs w:val="24"/>
        </w:rPr>
        <w:t> </w:t>
      </w:r>
      <w:r w:rsidRPr="008B475B">
        <w:rPr>
          <w:sz w:val="24"/>
          <w:szCs w:val="24"/>
        </w:rPr>
        <w:t>8,0</w:t>
      </w:r>
      <w:r>
        <w:rPr>
          <w:sz w:val="24"/>
          <w:szCs w:val="24"/>
        </w:rPr>
        <w:t> </w:t>
      </w:r>
      <w:r w:rsidRPr="008B475B">
        <w:rPr>
          <w:sz w:val="24"/>
          <w:szCs w:val="24"/>
        </w:rPr>
        <w:t>g/dl) forekom hos 100 % af patienterne.</w:t>
      </w:r>
    </w:p>
    <w:p w14:paraId="6FB81E55" w14:textId="77777777" w:rsidR="0044481D" w:rsidRPr="008B475B" w:rsidRDefault="0044481D" w:rsidP="0044481D">
      <w:pPr>
        <w:suppressAutoHyphens/>
        <w:ind w:left="851"/>
        <w:rPr>
          <w:sz w:val="24"/>
          <w:szCs w:val="24"/>
        </w:rPr>
      </w:pPr>
    </w:p>
    <w:p w14:paraId="057097D9" w14:textId="77777777" w:rsidR="0044481D" w:rsidRPr="008B475B" w:rsidRDefault="0044481D" w:rsidP="0044481D">
      <w:pPr>
        <w:suppressAutoHyphens/>
        <w:ind w:left="851"/>
        <w:rPr>
          <w:sz w:val="24"/>
          <w:szCs w:val="24"/>
        </w:rPr>
      </w:pPr>
      <w:r w:rsidRPr="008B475B">
        <w:rPr>
          <w:sz w:val="24"/>
          <w:szCs w:val="24"/>
        </w:rPr>
        <w:t>Hos børn &lt; 9 kg kan monitorering af det terapeutiske lægemiddel være berettiget, særligt hos meget små børn og nyfødte; bør vurderes fra sag til sag (se pkt. 5.2).</w:t>
      </w:r>
    </w:p>
    <w:p w14:paraId="4B7E01C6" w14:textId="77777777" w:rsidR="0044481D" w:rsidRPr="008B475B" w:rsidRDefault="0044481D" w:rsidP="0044481D">
      <w:pPr>
        <w:suppressAutoHyphens/>
        <w:ind w:left="851"/>
        <w:rPr>
          <w:sz w:val="24"/>
          <w:szCs w:val="24"/>
        </w:rPr>
      </w:pPr>
    </w:p>
    <w:p w14:paraId="3C16EDA2" w14:textId="77777777" w:rsidR="0044481D" w:rsidRPr="008B475B" w:rsidRDefault="0044481D" w:rsidP="0044481D">
      <w:pPr>
        <w:suppressAutoHyphens/>
        <w:ind w:left="851"/>
        <w:rPr>
          <w:sz w:val="24"/>
          <w:szCs w:val="24"/>
        </w:rPr>
      </w:pPr>
      <w:proofErr w:type="spellStart"/>
      <w:r w:rsidRPr="008B475B">
        <w:rPr>
          <w:sz w:val="24"/>
          <w:szCs w:val="24"/>
        </w:rPr>
        <w:t>Fanconis</w:t>
      </w:r>
      <w:proofErr w:type="spellEnd"/>
      <w:r w:rsidRPr="008B475B">
        <w:rPr>
          <w:sz w:val="24"/>
          <w:szCs w:val="24"/>
        </w:rPr>
        <w:t xml:space="preserve"> anæmiceller er overfølsomme over for krydsbindende midler. Der er kun begrænset klinisk erfaring med anvendelse af </w:t>
      </w:r>
      <w:proofErr w:type="spellStart"/>
      <w:r w:rsidRPr="008B475B">
        <w:rPr>
          <w:sz w:val="24"/>
          <w:szCs w:val="24"/>
        </w:rPr>
        <w:t>busulfan</w:t>
      </w:r>
      <w:proofErr w:type="spellEnd"/>
      <w:r w:rsidRPr="008B475B">
        <w:rPr>
          <w:sz w:val="24"/>
          <w:szCs w:val="24"/>
        </w:rPr>
        <w:t xml:space="preserve"> som en del af et konditionerende </w:t>
      </w:r>
      <w:proofErr w:type="spellStart"/>
      <w:r w:rsidRPr="008B475B">
        <w:rPr>
          <w:sz w:val="24"/>
          <w:szCs w:val="24"/>
        </w:rPr>
        <w:t>regimen</w:t>
      </w:r>
      <w:proofErr w:type="spellEnd"/>
      <w:r w:rsidRPr="008B475B">
        <w:rPr>
          <w:sz w:val="24"/>
          <w:szCs w:val="24"/>
        </w:rPr>
        <w:t xml:space="preserve"> inden HPCT hos børn med </w:t>
      </w:r>
      <w:proofErr w:type="spellStart"/>
      <w:r w:rsidRPr="008B475B">
        <w:rPr>
          <w:sz w:val="24"/>
          <w:szCs w:val="24"/>
        </w:rPr>
        <w:t>Fanconis</w:t>
      </w:r>
      <w:proofErr w:type="spellEnd"/>
      <w:r w:rsidRPr="008B475B">
        <w:rPr>
          <w:sz w:val="24"/>
          <w:szCs w:val="24"/>
        </w:rPr>
        <w:t xml:space="preserve"> anæmi. </w:t>
      </w:r>
      <w:proofErr w:type="spellStart"/>
      <w:r w:rsidRPr="008B475B">
        <w:rPr>
          <w:sz w:val="24"/>
          <w:szCs w:val="24"/>
        </w:rPr>
        <w:t>Busulfan</w:t>
      </w:r>
      <w:proofErr w:type="spellEnd"/>
      <w:r w:rsidRPr="008B475B">
        <w:rPr>
          <w:sz w:val="24"/>
          <w:szCs w:val="24"/>
        </w:rPr>
        <w:t xml:space="preserve"> skal derfor anvendes med forsigtighed til denne type patienter.</w:t>
      </w:r>
    </w:p>
    <w:p w14:paraId="56A73E7C" w14:textId="77777777" w:rsidR="0044481D" w:rsidRPr="008B475B" w:rsidRDefault="0044481D" w:rsidP="0044481D">
      <w:pPr>
        <w:suppressAutoHyphens/>
        <w:ind w:left="851"/>
        <w:rPr>
          <w:sz w:val="24"/>
          <w:szCs w:val="24"/>
        </w:rPr>
      </w:pPr>
    </w:p>
    <w:p w14:paraId="691504B2" w14:textId="77777777" w:rsidR="0044481D" w:rsidRPr="008B475B" w:rsidRDefault="0044481D" w:rsidP="0044481D">
      <w:pPr>
        <w:suppressAutoHyphens/>
        <w:ind w:left="851"/>
        <w:rPr>
          <w:sz w:val="24"/>
          <w:szCs w:val="24"/>
          <w:u w:val="single"/>
        </w:rPr>
      </w:pPr>
      <w:r w:rsidRPr="008B475B">
        <w:rPr>
          <w:sz w:val="24"/>
          <w:szCs w:val="24"/>
          <w:u w:val="single"/>
        </w:rPr>
        <w:t>Nedsat leverfunktion</w:t>
      </w:r>
    </w:p>
    <w:p w14:paraId="6661FED9" w14:textId="77777777" w:rsidR="0044481D" w:rsidRPr="008B475B" w:rsidRDefault="0044481D" w:rsidP="0044481D">
      <w:pPr>
        <w:suppressAutoHyphens/>
        <w:ind w:left="851"/>
        <w:rPr>
          <w:sz w:val="24"/>
          <w:szCs w:val="24"/>
        </w:rPr>
      </w:pPr>
      <w:proofErr w:type="spellStart"/>
      <w:r w:rsidRPr="008B475B">
        <w:rPr>
          <w:sz w:val="24"/>
          <w:szCs w:val="24"/>
        </w:rPr>
        <w:t>Busulfan</w:t>
      </w:r>
      <w:proofErr w:type="spellEnd"/>
      <w:r w:rsidRPr="008B475B">
        <w:rPr>
          <w:sz w:val="24"/>
          <w:szCs w:val="24"/>
        </w:rPr>
        <w:t xml:space="preserve"> og </w:t>
      </w:r>
      <w:proofErr w:type="spellStart"/>
      <w:r w:rsidRPr="008B475B">
        <w:rPr>
          <w:sz w:val="24"/>
          <w:szCs w:val="24"/>
        </w:rPr>
        <w:t>busulfan</w:t>
      </w:r>
      <w:proofErr w:type="spellEnd"/>
      <w:r w:rsidRPr="008B475B">
        <w:rPr>
          <w:sz w:val="24"/>
          <w:szCs w:val="24"/>
        </w:rPr>
        <w:t xml:space="preserve"> er ikke undersøgt hos patienter med nedsat leverfunktion. </w:t>
      </w:r>
      <w:proofErr w:type="spellStart"/>
      <w:r w:rsidRPr="008B475B">
        <w:rPr>
          <w:sz w:val="24"/>
          <w:szCs w:val="24"/>
        </w:rPr>
        <w:t>Busulfan</w:t>
      </w:r>
      <w:proofErr w:type="spellEnd"/>
      <w:r w:rsidRPr="008B475B">
        <w:rPr>
          <w:sz w:val="24"/>
          <w:szCs w:val="24"/>
        </w:rPr>
        <w:t xml:space="preserve"> </w:t>
      </w:r>
      <w:proofErr w:type="spellStart"/>
      <w:r w:rsidRPr="008B475B">
        <w:rPr>
          <w:sz w:val="24"/>
          <w:szCs w:val="24"/>
        </w:rPr>
        <w:t>metaboliseres</w:t>
      </w:r>
      <w:proofErr w:type="spellEnd"/>
      <w:r w:rsidRPr="008B475B">
        <w:rPr>
          <w:sz w:val="24"/>
          <w:szCs w:val="24"/>
        </w:rPr>
        <w:t xml:space="preserve"> hovedsageligt via leveren, og der skal derfor udvises forsigtighed, når </w:t>
      </w:r>
      <w:proofErr w:type="spellStart"/>
      <w:r w:rsidRPr="008B475B">
        <w:rPr>
          <w:sz w:val="24"/>
          <w:szCs w:val="24"/>
        </w:rPr>
        <w:t>busulfan</w:t>
      </w:r>
      <w:proofErr w:type="spellEnd"/>
      <w:r w:rsidRPr="008B475B">
        <w:rPr>
          <w:sz w:val="24"/>
          <w:szCs w:val="24"/>
        </w:rPr>
        <w:t xml:space="preserve"> anvendes til patienter med nedsat leverfunktion, specielt patienter med svær nedsættelse. Det anbefales at monitorere </w:t>
      </w:r>
      <w:proofErr w:type="spellStart"/>
      <w:r w:rsidRPr="008B475B">
        <w:rPr>
          <w:sz w:val="24"/>
          <w:szCs w:val="24"/>
        </w:rPr>
        <w:t>aminotransferase</w:t>
      </w:r>
      <w:proofErr w:type="spellEnd"/>
      <w:r w:rsidRPr="008B475B">
        <w:rPr>
          <w:sz w:val="24"/>
          <w:szCs w:val="24"/>
        </w:rPr>
        <w:t xml:space="preserve">, alkalisk fosfatase og bilirubin i serum regelmæssigt hos denne patientgruppe i 28 dage efter transplantationen med henblik på tidlig påvisning af eventuel </w:t>
      </w:r>
      <w:proofErr w:type="spellStart"/>
      <w:r w:rsidRPr="008B475B">
        <w:rPr>
          <w:sz w:val="24"/>
          <w:szCs w:val="24"/>
        </w:rPr>
        <w:t>hepatotoksicitet</w:t>
      </w:r>
      <w:proofErr w:type="spellEnd"/>
      <w:r w:rsidRPr="008B475B">
        <w:rPr>
          <w:sz w:val="24"/>
          <w:szCs w:val="24"/>
        </w:rPr>
        <w:t>.</w:t>
      </w:r>
    </w:p>
    <w:p w14:paraId="587AB108" w14:textId="77777777" w:rsidR="0044481D" w:rsidRPr="008B475B" w:rsidRDefault="0044481D" w:rsidP="0044481D">
      <w:pPr>
        <w:suppressAutoHyphens/>
        <w:ind w:left="851"/>
        <w:rPr>
          <w:sz w:val="24"/>
          <w:szCs w:val="24"/>
        </w:rPr>
      </w:pPr>
    </w:p>
    <w:p w14:paraId="75E676D1" w14:textId="77777777" w:rsidR="0044481D" w:rsidRPr="008B475B" w:rsidRDefault="0044481D" w:rsidP="0044481D">
      <w:pPr>
        <w:suppressAutoHyphens/>
        <w:ind w:left="851"/>
        <w:rPr>
          <w:sz w:val="24"/>
          <w:szCs w:val="24"/>
        </w:rPr>
      </w:pPr>
      <w:r w:rsidRPr="008B475B">
        <w:rPr>
          <w:sz w:val="24"/>
          <w:szCs w:val="24"/>
        </w:rPr>
        <w:t xml:space="preserve">Leversygdom med </w:t>
      </w:r>
      <w:proofErr w:type="spellStart"/>
      <w:r w:rsidRPr="008B475B">
        <w:rPr>
          <w:sz w:val="24"/>
          <w:szCs w:val="24"/>
        </w:rPr>
        <w:t>veneokklusion</w:t>
      </w:r>
      <w:proofErr w:type="spellEnd"/>
      <w:r w:rsidRPr="008B475B">
        <w:rPr>
          <w:sz w:val="24"/>
          <w:szCs w:val="24"/>
        </w:rPr>
        <w:t xml:space="preserve"> er en alvorlig komplikation, som kan forekomme under behandling med </w:t>
      </w:r>
      <w:proofErr w:type="spellStart"/>
      <w:r w:rsidRPr="008B475B">
        <w:rPr>
          <w:sz w:val="24"/>
          <w:szCs w:val="24"/>
        </w:rPr>
        <w:t>busulfan</w:t>
      </w:r>
      <w:proofErr w:type="spellEnd"/>
      <w:r w:rsidRPr="008B475B">
        <w:rPr>
          <w:sz w:val="24"/>
          <w:szCs w:val="24"/>
        </w:rPr>
        <w:t xml:space="preserve">. Patienter, som tidligere har fået stråleterapi i et omfang, som var større end eller svarede til 3 behandlingsforløb med kemoterapi, eller som tidligere har fået transplantation af </w:t>
      </w:r>
      <w:proofErr w:type="spellStart"/>
      <w:r w:rsidRPr="008B475B">
        <w:rPr>
          <w:sz w:val="24"/>
          <w:szCs w:val="24"/>
        </w:rPr>
        <w:t>progenitorceller</w:t>
      </w:r>
      <w:proofErr w:type="spellEnd"/>
      <w:r w:rsidRPr="008B475B">
        <w:rPr>
          <w:sz w:val="24"/>
          <w:szCs w:val="24"/>
        </w:rPr>
        <w:t>, kan være i højrisikogruppen (se pkt. 4.8).</w:t>
      </w:r>
    </w:p>
    <w:p w14:paraId="256913E2" w14:textId="77777777" w:rsidR="0044481D" w:rsidRPr="008B475B" w:rsidRDefault="0044481D" w:rsidP="0044481D">
      <w:pPr>
        <w:suppressAutoHyphens/>
        <w:ind w:left="851"/>
        <w:rPr>
          <w:sz w:val="24"/>
          <w:szCs w:val="24"/>
        </w:rPr>
      </w:pPr>
    </w:p>
    <w:p w14:paraId="4B2C8491" w14:textId="77777777" w:rsidR="0044481D" w:rsidRPr="008B475B" w:rsidRDefault="0044481D" w:rsidP="0044481D">
      <w:pPr>
        <w:suppressAutoHyphens/>
        <w:ind w:left="851"/>
        <w:rPr>
          <w:sz w:val="24"/>
          <w:szCs w:val="24"/>
        </w:rPr>
      </w:pPr>
      <w:r w:rsidRPr="008B475B">
        <w:rPr>
          <w:sz w:val="24"/>
          <w:szCs w:val="24"/>
        </w:rPr>
        <w:t xml:space="preserve">Der bør udvises forsigtighed ved anvendelse af paracetamol før (under 72 timer) eller samtidig med </w:t>
      </w:r>
      <w:proofErr w:type="spellStart"/>
      <w:r w:rsidRPr="008B475B">
        <w:rPr>
          <w:sz w:val="24"/>
          <w:szCs w:val="24"/>
        </w:rPr>
        <w:t>busulfan</w:t>
      </w:r>
      <w:proofErr w:type="spellEnd"/>
      <w:r w:rsidRPr="008B475B">
        <w:rPr>
          <w:sz w:val="24"/>
          <w:szCs w:val="24"/>
        </w:rPr>
        <w:t xml:space="preserve">, da dette muligvis vil nedsætte </w:t>
      </w:r>
      <w:proofErr w:type="spellStart"/>
      <w:r w:rsidRPr="008B475B">
        <w:rPr>
          <w:sz w:val="24"/>
          <w:szCs w:val="24"/>
        </w:rPr>
        <w:t>metaboliseringen</w:t>
      </w:r>
      <w:proofErr w:type="spellEnd"/>
      <w:r w:rsidRPr="008B475B">
        <w:rPr>
          <w:sz w:val="24"/>
          <w:szCs w:val="24"/>
        </w:rPr>
        <w:t xml:space="preserve"> af </w:t>
      </w:r>
      <w:proofErr w:type="spellStart"/>
      <w:r w:rsidRPr="008B475B">
        <w:rPr>
          <w:sz w:val="24"/>
          <w:szCs w:val="24"/>
        </w:rPr>
        <w:t>busulfan</w:t>
      </w:r>
      <w:proofErr w:type="spellEnd"/>
      <w:r w:rsidRPr="008B475B">
        <w:rPr>
          <w:sz w:val="24"/>
          <w:szCs w:val="24"/>
        </w:rPr>
        <w:t xml:space="preserve"> (se pkt. 4.5).</w:t>
      </w:r>
    </w:p>
    <w:p w14:paraId="05E682C0" w14:textId="77777777" w:rsidR="0044481D" w:rsidRPr="008B475B" w:rsidRDefault="0044481D" w:rsidP="0044481D">
      <w:pPr>
        <w:suppressAutoHyphens/>
        <w:ind w:left="851"/>
        <w:rPr>
          <w:sz w:val="24"/>
          <w:szCs w:val="24"/>
        </w:rPr>
      </w:pPr>
    </w:p>
    <w:p w14:paraId="7732AB94" w14:textId="77777777" w:rsidR="0044481D" w:rsidRPr="008B475B" w:rsidRDefault="0044481D" w:rsidP="0044481D">
      <w:pPr>
        <w:suppressAutoHyphens/>
        <w:ind w:left="851"/>
        <w:rPr>
          <w:sz w:val="24"/>
          <w:szCs w:val="24"/>
        </w:rPr>
      </w:pPr>
      <w:r w:rsidRPr="008B475B">
        <w:rPr>
          <w:sz w:val="24"/>
          <w:szCs w:val="24"/>
        </w:rPr>
        <w:t xml:space="preserve">Som dokumenteret i kliniske studier oplevede ingen af de behandlede patienter hjertetamponade eller anden specifik </w:t>
      </w:r>
      <w:proofErr w:type="spellStart"/>
      <w:r w:rsidRPr="008B475B">
        <w:rPr>
          <w:sz w:val="24"/>
          <w:szCs w:val="24"/>
        </w:rPr>
        <w:t>kardiotoksicitet</w:t>
      </w:r>
      <w:proofErr w:type="spellEnd"/>
      <w:r w:rsidRPr="008B475B">
        <w:rPr>
          <w:sz w:val="24"/>
          <w:szCs w:val="24"/>
        </w:rPr>
        <w:t xml:space="preserve"> med forbindelse til </w:t>
      </w:r>
      <w:proofErr w:type="spellStart"/>
      <w:r w:rsidRPr="008B475B">
        <w:rPr>
          <w:sz w:val="24"/>
          <w:szCs w:val="24"/>
        </w:rPr>
        <w:t>busulfan</w:t>
      </w:r>
      <w:proofErr w:type="spellEnd"/>
      <w:r w:rsidRPr="008B475B">
        <w:rPr>
          <w:sz w:val="24"/>
          <w:szCs w:val="24"/>
        </w:rPr>
        <w:t xml:space="preserve">. Hjertefunktionen skal dog kontrolleres regelmæssigt hos patienter, der får </w:t>
      </w:r>
      <w:proofErr w:type="spellStart"/>
      <w:r w:rsidRPr="008B475B">
        <w:rPr>
          <w:sz w:val="24"/>
          <w:szCs w:val="24"/>
        </w:rPr>
        <w:t>busulfan</w:t>
      </w:r>
      <w:proofErr w:type="spellEnd"/>
      <w:r w:rsidRPr="008B475B">
        <w:rPr>
          <w:sz w:val="24"/>
          <w:szCs w:val="24"/>
        </w:rPr>
        <w:t xml:space="preserve"> (se pkt. 4.8).</w:t>
      </w:r>
    </w:p>
    <w:p w14:paraId="6DED56EE" w14:textId="77777777" w:rsidR="0044481D" w:rsidRPr="008B475B" w:rsidRDefault="0044481D" w:rsidP="0044481D">
      <w:pPr>
        <w:suppressAutoHyphens/>
        <w:ind w:left="851"/>
        <w:rPr>
          <w:sz w:val="24"/>
          <w:szCs w:val="24"/>
        </w:rPr>
      </w:pPr>
    </w:p>
    <w:p w14:paraId="452CE691" w14:textId="77777777" w:rsidR="0044481D" w:rsidRPr="008B475B" w:rsidRDefault="0044481D" w:rsidP="0044481D">
      <w:pPr>
        <w:suppressAutoHyphens/>
        <w:ind w:left="851"/>
        <w:rPr>
          <w:sz w:val="24"/>
          <w:szCs w:val="24"/>
        </w:rPr>
      </w:pPr>
      <w:r w:rsidRPr="008B475B">
        <w:rPr>
          <w:sz w:val="24"/>
          <w:szCs w:val="24"/>
        </w:rPr>
        <w:t xml:space="preserve">I </w:t>
      </w:r>
      <w:proofErr w:type="spellStart"/>
      <w:r w:rsidRPr="008B475B">
        <w:rPr>
          <w:sz w:val="24"/>
          <w:szCs w:val="24"/>
        </w:rPr>
        <w:t>busulfan</w:t>
      </w:r>
      <w:proofErr w:type="spellEnd"/>
      <w:r w:rsidRPr="008B475B">
        <w:rPr>
          <w:sz w:val="24"/>
          <w:szCs w:val="24"/>
        </w:rPr>
        <w:t xml:space="preserve">-studier er der forekommet </w:t>
      </w:r>
      <w:proofErr w:type="spellStart"/>
      <w:r w:rsidRPr="008B475B">
        <w:rPr>
          <w:sz w:val="24"/>
          <w:szCs w:val="24"/>
        </w:rPr>
        <w:t>shocklunge</w:t>
      </w:r>
      <w:proofErr w:type="spellEnd"/>
      <w:r w:rsidRPr="008B475B">
        <w:rPr>
          <w:sz w:val="24"/>
          <w:szCs w:val="24"/>
        </w:rPr>
        <w:t xml:space="preserve"> - </w:t>
      </w:r>
      <w:proofErr w:type="spellStart"/>
      <w:r w:rsidRPr="008B475B">
        <w:rPr>
          <w:sz w:val="24"/>
          <w:szCs w:val="24"/>
        </w:rPr>
        <w:t>acute</w:t>
      </w:r>
      <w:proofErr w:type="spellEnd"/>
      <w:r w:rsidRPr="008B475B">
        <w:rPr>
          <w:sz w:val="24"/>
          <w:szCs w:val="24"/>
        </w:rPr>
        <w:t xml:space="preserve"> </w:t>
      </w:r>
      <w:proofErr w:type="spellStart"/>
      <w:r w:rsidRPr="008B475B">
        <w:rPr>
          <w:sz w:val="24"/>
          <w:szCs w:val="24"/>
        </w:rPr>
        <w:t>respiratory</w:t>
      </w:r>
      <w:proofErr w:type="spellEnd"/>
      <w:r w:rsidRPr="008B475B">
        <w:rPr>
          <w:sz w:val="24"/>
          <w:szCs w:val="24"/>
        </w:rPr>
        <w:t xml:space="preserve"> </w:t>
      </w:r>
      <w:proofErr w:type="spellStart"/>
      <w:r w:rsidRPr="008B475B">
        <w:rPr>
          <w:sz w:val="24"/>
          <w:szCs w:val="24"/>
        </w:rPr>
        <w:t>distress</w:t>
      </w:r>
      <w:proofErr w:type="spellEnd"/>
      <w:r w:rsidRPr="008B475B">
        <w:rPr>
          <w:sz w:val="24"/>
          <w:szCs w:val="24"/>
        </w:rPr>
        <w:t xml:space="preserve"> </w:t>
      </w:r>
      <w:proofErr w:type="spellStart"/>
      <w:r w:rsidRPr="008B475B">
        <w:rPr>
          <w:sz w:val="24"/>
          <w:szCs w:val="24"/>
        </w:rPr>
        <w:t>syndrome</w:t>
      </w:r>
      <w:proofErr w:type="spellEnd"/>
      <w:r w:rsidRPr="008B475B">
        <w:rPr>
          <w:sz w:val="24"/>
          <w:szCs w:val="24"/>
        </w:rPr>
        <w:t xml:space="preserve"> med efterfølgende respirationssvigt forbundet med </w:t>
      </w:r>
      <w:proofErr w:type="spellStart"/>
      <w:r w:rsidRPr="008B475B">
        <w:rPr>
          <w:sz w:val="24"/>
          <w:szCs w:val="24"/>
        </w:rPr>
        <w:t>interstitiel</w:t>
      </w:r>
      <w:proofErr w:type="spellEnd"/>
      <w:r w:rsidRPr="008B475B">
        <w:rPr>
          <w:sz w:val="24"/>
          <w:szCs w:val="24"/>
        </w:rPr>
        <w:t xml:space="preserve"> lungefibrose hos en patient, som afgik ved døden, om end det ikke var muligt at påvise en klar ætiologi. Endvidere kan </w:t>
      </w:r>
      <w:proofErr w:type="spellStart"/>
      <w:r w:rsidRPr="008B475B">
        <w:rPr>
          <w:sz w:val="24"/>
          <w:szCs w:val="24"/>
        </w:rPr>
        <w:t>busulfan</w:t>
      </w:r>
      <w:proofErr w:type="spellEnd"/>
      <w:r w:rsidRPr="008B475B">
        <w:rPr>
          <w:sz w:val="24"/>
          <w:szCs w:val="24"/>
        </w:rPr>
        <w:t xml:space="preserve"> muligvis inducere lungetoksicitet i tilgift til påvirkningen fra andre </w:t>
      </w:r>
      <w:proofErr w:type="spellStart"/>
      <w:r w:rsidRPr="008B475B">
        <w:rPr>
          <w:sz w:val="24"/>
          <w:szCs w:val="24"/>
        </w:rPr>
        <w:t>cytostatiske</w:t>
      </w:r>
      <w:proofErr w:type="spellEnd"/>
      <w:r w:rsidRPr="008B475B">
        <w:rPr>
          <w:sz w:val="24"/>
          <w:szCs w:val="24"/>
        </w:rPr>
        <w:t xml:space="preserve"> midler. Opmærksomheden bør derfor rettes mod dette </w:t>
      </w:r>
      <w:proofErr w:type="spellStart"/>
      <w:r w:rsidRPr="008B475B">
        <w:rPr>
          <w:sz w:val="24"/>
          <w:szCs w:val="24"/>
        </w:rPr>
        <w:t>pulmonale</w:t>
      </w:r>
      <w:proofErr w:type="spellEnd"/>
      <w:r w:rsidRPr="008B475B">
        <w:rPr>
          <w:sz w:val="24"/>
          <w:szCs w:val="24"/>
        </w:rPr>
        <w:t xml:space="preserve"> problem hos patienter, der tidligere har fået </w:t>
      </w:r>
      <w:proofErr w:type="spellStart"/>
      <w:r w:rsidRPr="008B475B">
        <w:rPr>
          <w:sz w:val="24"/>
          <w:szCs w:val="24"/>
        </w:rPr>
        <w:t>mediastinal</w:t>
      </w:r>
      <w:proofErr w:type="spellEnd"/>
      <w:r w:rsidRPr="008B475B">
        <w:rPr>
          <w:sz w:val="24"/>
          <w:szCs w:val="24"/>
        </w:rPr>
        <w:t xml:space="preserve"> eller </w:t>
      </w:r>
      <w:proofErr w:type="spellStart"/>
      <w:r w:rsidRPr="008B475B">
        <w:rPr>
          <w:sz w:val="24"/>
          <w:szCs w:val="24"/>
        </w:rPr>
        <w:t>pulmonal</w:t>
      </w:r>
      <w:proofErr w:type="spellEnd"/>
      <w:r w:rsidRPr="008B475B">
        <w:rPr>
          <w:sz w:val="24"/>
          <w:szCs w:val="24"/>
        </w:rPr>
        <w:t xml:space="preserve"> stråleterapi (se pkt. 4.8).</w:t>
      </w:r>
    </w:p>
    <w:p w14:paraId="66961720" w14:textId="77777777" w:rsidR="0044481D" w:rsidRPr="008B475B" w:rsidRDefault="0044481D" w:rsidP="0044481D">
      <w:pPr>
        <w:suppressAutoHyphens/>
        <w:ind w:left="851"/>
        <w:rPr>
          <w:sz w:val="24"/>
          <w:szCs w:val="24"/>
        </w:rPr>
      </w:pPr>
    </w:p>
    <w:p w14:paraId="27020749" w14:textId="77777777" w:rsidR="0044481D" w:rsidRPr="008B475B" w:rsidRDefault="0044481D" w:rsidP="0044481D">
      <w:pPr>
        <w:suppressAutoHyphens/>
        <w:ind w:left="851"/>
        <w:rPr>
          <w:sz w:val="24"/>
          <w:szCs w:val="24"/>
        </w:rPr>
      </w:pPr>
      <w:r w:rsidRPr="008B475B">
        <w:rPr>
          <w:sz w:val="24"/>
          <w:szCs w:val="24"/>
        </w:rPr>
        <w:lastRenderedPageBreak/>
        <w:t xml:space="preserve">Regelmæssig overvågning af nyrefunktionen bør overvejes under behandling med </w:t>
      </w:r>
      <w:proofErr w:type="spellStart"/>
      <w:r w:rsidRPr="008B475B">
        <w:rPr>
          <w:sz w:val="24"/>
          <w:szCs w:val="24"/>
        </w:rPr>
        <w:t>busulfan</w:t>
      </w:r>
      <w:proofErr w:type="spellEnd"/>
      <w:r w:rsidRPr="008B475B">
        <w:rPr>
          <w:sz w:val="24"/>
          <w:szCs w:val="24"/>
        </w:rPr>
        <w:t xml:space="preserve"> (se pkt. 4.8).</w:t>
      </w:r>
    </w:p>
    <w:p w14:paraId="13DE3B23" w14:textId="77777777" w:rsidR="0044481D" w:rsidRPr="008B475B" w:rsidRDefault="0044481D" w:rsidP="0044481D">
      <w:pPr>
        <w:suppressAutoHyphens/>
        <w:ind w:left="851"/>
        <w:rPr>
          <w:sz w:val="24"/>
          <w:szCs w:val="24"/>
        </w:rPr>
      </w:pPr>
    </w:p>
    <w:p w14:paraId="4F8F695B" w14:textId="77777777" w:rsidR="0044481D" w:rsidRPr="008B475B" w:rsidRDefault="0044481D" w:rsidP="0044481D">
      <w:pPr>
        <w:suppressAutoHyphens/>
        <w:ind w:left="851"/>
        <w:rPr>
          <w:sz w:val="24"/>
          <w:szCs w:val="24"/>
        </w:rPr>
      </w:pPr>
      <w:r w:rsidRPr="008B475B">
        <w:rPr>
          <w:sz w:val="24"/>
          <w:szCs w:val="24"/>
        </w:rPr>
        <w:t xml:space="preserve">Der er indberettet krampeanfald ved behandling med høje doser </w:t>
      </w:r>
      <w:proofErr w:type="spellStart"/>
      <w:r w:rsidRPr="008B475B">
        <w:rPr>
          <w:sz w:val="24"/>
          <w:szCs w:val="24"/>
        </w:rPr>
        <w:t>busulfan</w:t>
      </w:r>
      <w:proofErr w:type="spellEnd"/>
      <w:r w:rsidRPr="008B475B">
        <w:rPr>
          <w:sz w:val="24"/>
          <w:szCs w:val="24"/>
        </w:rPr>
        <w:t xml:space="preserve">. Der skal udvises særlig forsigtighed, når den anbefalede </w:t>
      </w:r>
      <w:proofErr w:type="spellStart"/>
      <w:r w:rsidRPr="008B475B">
        <w:rPr>
          <w:sz w:val="24"/>
          <w:szCs w:val="24"/>
        </w:rPr>
        <w:t>busulfan</w:t>
      </w:r>
      <w:proofErr w:type="spellEnd"/>
      <w:r w:rsidRPr="008B475B">
        <w:rPr>
          <w:sz w:val="24"/>
          <w:szCs w:val="24"/>
        </w:rPr>
        <w:t xml:space="preserve">-dosis gives til patienter, som tidligere har haft krampeanfald. Patienterne skal have passende </w:t>
      </w:r>
      <w:proofErr w:type="spellStart"/>
      <w:r w:rsidRPr="008B475B">
        <w:rPr>
          <w:sz w:val="24"/>
          <w:szCs w:val="24"/>
        </w:rPr>
        <w:t>antikonvulsiv</w:t>
      </w:r>
      <w:proofErr w:type="spellEnd"/>
      <w:r w:rsidRPr="008B475B">
        <w:rPr>
          <w:sz w:val="24"/>
          <w:szCs w:val="24"/>
        </w:rPr>
        <w:t xml:space="preserve"> profylakse. Data fra </w:t>
      </w:r>
      <w:proofErr w:type="spellStart"/>
      <w:r w:rsidRPr="008B475B">
        <w:rPr>
          <w:sz w:val="24"/>
          <w:szCs w:val="24"/>
        </w:rPr>
        <w:t>busulfan</w:t>
      </w:r>
      <w:proofErr w:type="spellEnd"/>
      <w:r w:rsidRPr="008B475B">
        <w:rPr>
          <w:sz w:val="24"/>
          <w:szCs w:val="24"/>
        </w:rPr>
        <w:t xml:space="preserve">-studier med voksne og børn blev indhentet under samtidig anvendelse af enten </w:t>
      </w:r>
      <w:proofErr w:type="spellStart"/>
      <w:r w:rsidRPr="008B475B">
        <w:rPr>
          <w:sz w:val="24"/>
          <w:szCs w:val="24"/>
        </w:rPr>
        <w:t>phenytoin</w:t>
      </w:r>
      <w:proofErr w:type="spellEnd"/>
      <w:r w:rsidRPr="008B475B">
        <w:rPr>
          <w:sz w:val="24"/>
          <w:szCs w:val="24"/>
        </w:rPr>
        <w:t xml:space="preserve"> eller benzodiazepiner som profylakse mod kramper. Disse </w:t>
      </w:r>
      <w:proofErr w:type="spellStart"/>
      <w:r w:rsidRPr="008B475B">
        <w:rPr>
          <w:sz w:val="24"/>
          <w:szCs w:val="24"/>
        </w:rPr>
        <w:t>antikonvulsivas</w:t>
      </w:r>
      <w:proofErr w:type="spellEnd"/>
      <w:r w:rsidRPr="008B475B">
        <w:rPr>
          <w:sz w:val="24"/>
          <w:szCs w:val="24"/>
        </w:rPr>
        <w:t xml:space="preserve"> virkning på </w:t>
      </w:r>
      <w:proofErr w:type="spellStart"/>
      <w:r w:rsidRPr="008B475B">
        <w:rPr>
          <w:sz w:val="24"/>
          <w:szCs w:val="24"/>
        </w:rPr>
        <w:t>busulfans</w:t>
      </w:r>
      <w:proofErr w:type="spellEnd"/>
      <w:r w:rsidRPr="008B475B">
        <w:rPr>
          <w:sz w:val="24"/>
          <w:szCs w:val="24"/>
        </w:rPr>
        <w:t xml:space="preserve"> farmakokinetik blev undersøgt i et fase II-studie (se pkt. 4.5).</w:t>
      </w:r>
    </w:p>
    <w:p w14:paraId="4BC9B860" w14:textId="77777777" w:rsidR="0044481D" w:rsidRPr="008B475B" w:rsidRDefault="0044481D" w:rsidP="0044481D">
      <w:pPr>
        <w:suppressAutoHyphens/>
        <w:ind w:left="851"/>
        <w:rPr>
          <w:sz w:val="24"/>
          <w:szCs w:val="24"/>
        </w:rPr>
      </w:pPr>
    </w:p>
    <w:p w14:paraId="14B31F6F" w14:textId="77777777" w:rsidR="0044481D" w:rsidRPr="008B475B" w:rsidRDefault="0044481D" w:rsidP="0044481D">
      <w:pPr>
        <w:suppressAutoHyphens/>
        <w:ind w:left="851"/>
        <w:rPr>
          <w:sz w:val="24"/>
          <w:szCs w:val="24"/>
        </w:rPr>
      </w:pPr>
      <w:r w:rsidRPr="008B475B">
        <w:rPr>
          <w:sz w:val="24"/>
          <w:szCs w:val="24"/>
        </w:rPr>
        <w:t xml:space="preserve">Patienten bør oplyses om, at der foreligger en øget risiko for yderligere </w:t>
      </w:r>
      <w:proofErr w:type="spellStart"/>
      <w:r w:rsidRPr="008B475B">
        <w:rPr>
          <w:sz w:val="24"/>
          <w:szCs w:val="24"/>
        </w:rPr>
        <w:t>malignitet</w:t>
      </w:r>
      <w:proofErr w:type="spellEnd"/>
      <w:r w:rsidRPr="008B475B">
        <w:rPr>
          <w:sz w:val="24"/>
          <w:szCs w:val="24"/>
        </w:rPr>
        <w:t xml:space="preserve">. På grundlag af humane data er </w:t>
      </w:r>
      <w:proofErr w:type="spellStart"/>
      <w:r w:rsidRPr="008B475B">
        <w:rPr>
          <w:sz w:val="24"/>
          <w:szCs w:val="24"/>
        </w:rPr>
        <w:t>busulfan</w:t>
      </w:r>
      <w:proofErr w:type="spellEnd"/>
      <w:r w:rsidRPr="008B475B">
        <w:rPr>
          <w:sz w:val="24"/>
          <w:szCs w:val="24"/>
        </w:rPr>
        <w:t xml:space="preserve"> klassificeret af International Agency for Research on Cancer (IARC) som et humant karcinogen. Verdenssundhedsorganisationen (WHO) har konkluderet, at der er en kausal sammenhæng mellem eksponering for </w:t>
      </w:r>
      <w:proofErr w:type="spellStart"/>
      <w:r w:rsidRPr="008B475B">
        <w:rPr>
          <w:sz w:val="24"/>
          <w:szCs w:val="24"/>
        </w:rPr>
        <w:t>busulfan</w:t>
      </w:r>
      <w:proofErr w:type="spellEnd"/>
      <w:r w:rsidRPr="008B475B">
        <w:rPr>
          <w:sz w:val="24"/>
          <w:szCs w:val="24"/>
        </w:rPr>
        <w:t xml:space="preserve"> og cancer. Leukæmipatienter, der fik </w:t>
      </w:r>
      <w:proofErr w:type="spellStart"/>
      <w:r w:rsidRPr="008B475B">
        <w:rPr>
          <w:sz w:val="24"/>
          <w:szCs w:val="24"/>
        </w:rPr>
        <w:t>busulfan</w:t>
      </w:r>
      <w:proofErr w:type="spellEnd"/>
      <w:r w:rsidRPr="008B475B">
        <w:rPr>
          <w:sz w:val="24"/>
          <w:szCs w:val="24"/>
        </w:rPr>
        <w:t xml:space="preserve">, udviklede mange forskellige cytologiske anomalier, og nogle fik karcinomer. </w:t>
      </w:r>
      <w:proofErr w:type="spellStart"/>
      <w:r w:rsidRPr="008B475B">
        <w:rPr>
          <w:sz w:val="24"/>
          <w:szCs w:val="24"/>
        </w:rPr>
        <w:t>Busulfan</w:t>
      </w:r>
      <w:proofErr w:type="spellEnd"/>
      <w:r w:rsidRPr="008B475B">
        <w:rPr>
          <w:sz w:val="24"/>
          <w:szCs w:val="24"/>
        </w:rPr>
        <w:t xml:space="preserve"> anses for at være </w:t>
      </w:r>
      <w:proofErr w:type="spellStart"/>
      <w:r w:rsidRPr="008B475B">
        <w:rPr>
          <w:sz w:val="24"/>
          <w:szCs w:val="24"/>
        </w:rPr>
        <w:t>leukæmogent</w:t>
      </w:r>
      <w:proofErr w:type="spellEnd"/>
      <w:r w:rsidRPr="008B475B">
        <w:rPr>
          <w:sz w:val="24"/>
          <w:szCs w:val="24"/>
        </w:rPr>
        <w:t>.</w:t>
      </w:r>
    </w:p>
    <w:p w14:paraId="36C98FA9" w14:textId="77777777" w:rsidR="0044481D" w:rsidRPr="008B475B" w:rsidRDefault="0044481D" w:rsidP="0044481D">
      <w:pPr>
        <w:suppressAutoHyphens/>
        <w:ind w:left="851"/>
        <w:rPr>
          <w:sz w:val="24"/>
          <w:szCs w:val="24"/>
        </w:rPr>
      </w:pPr>
    </w:p>
    <w:p w14:paraId="6D9911EB" w14:textId="77777777" w:rsidR="0044481D" w:rsidRPr="008B475B" w:rsidRDefault="0044481D" w:rsidP="0044481D">
      <w:pPr>
        <w:suppressAutoHyphens/>
        <w:ind w:left="851"/>
        <w:rPr>
          <w:sz w:val="24"/>
          <w:szCs w:val="24"/>
          <w:u w:val="single"/>
        </w:rPr>
      </w:pPr>
      <w:r w:rsidRPr="008B475B">
        <w:rPr>
          <w:sz w:val="24"/>
          <w:szCs w:val="24"/>
          <w:u w:val="single"/>
        </w:rPr>
        <w:t>Fertilitet</w:t>
      </w:r>
    </w:p>
    <w:p w14:paraId="2451682C" w14:textId="77777777" w:rsidR="0044481D" w:rsidRPr="008B475B" w:rsidRDefault="0044481D" w:rsidP="0044481D">
      <w:pPr>
        <w:suppressAutoHyphens/>
        <w:ind w:left="851"/>
        <w:rPr>
          <w:sz w:val="24"/>
          <w:szCs w:val="24"/>
        </w:rPr>
      </w:pPr>
    </w:p>
    <w:p w14:paraId="621626F1" w14:textId="77777777" w:rsidR="0044481D" w:rsidRPr="008B475B" w:rsidRDefault="0044481D" w:rsidP="0044481D">
      <w:pPr>
        <w:suppressAutoHyphens/>
        <w:ind w:left="851"/>
        <w:rPr>
          <w:sz w:val="24"/>
          <w:szCs w:val="24"/>
        </w:rPr>
      </w:pPr>
      <w:r w:rsidRPr="008B475B">
        <w:rPr>
          <w:sz w:val="24"/>
          <w:szCs w:val="24"/>
        </w:rPr>
        <w:t xml:space="preserve">Det anbefales, at mænd behandlet med </w:t>
      </w:r>
      <w:proofErr w:type="spellStart"/>
      <w:r w:rsidRPr="008B475B">
        <w:rPr>
          <w:sz w:val="24"/>
          <w:szCs w:val="24"/>
        </w:rPr>
        <w:t>busulfan</w:t>
      </w:r>
      <w:proofErr w:type="spellEnd"/>
      <w:r w:rsidRPr="008B475B">
        <w:rPr>
          <w:sz w:val="24"/>
          <w:szCs w:val="24"/>
        </w:rPr>
        <w:t xml:space="preserve"> undgår at avle børn under og i op til 6 måneder efter behandlingen. </w:t>
      </w:r>
      <w:proofErr w:type="spellStart"/>
      <w:r w:rsidRPr="008B475B">
        <w:rPr>
          <w:sz w:val="24"/>
          <w:szCs w:val="24"/>
        </w:rPr>
        <w:t>Busulfan</w:t>
      </w:r>
      <w:proofErr w:type="spellEnd"/>
      <w:r w:rsidRPr="008B475B">
        <w:rPr>
          <w:sz w:val="24"/>
          <w:szCs w:val="24"/>
        </w:rPr>
        <w:t xml:space="preserve"> kan nedsætte fertiliteten, og det anbefales derfor, at mænd rådgives om nedfrysning af sæd før behandlingen på grund af muligheden for irreversibel </w:t>
      </w:r>
      <w:proofErr w:type="spellStart"/>
      <w:r w:rsidRPr="008B475B">
        <w:rPr>
          <w:sz w:val="24"/>
          <w:szCs w:val="24"/>
        </w:rPr>
        <w:t>infertilitet</w:t>
      </w:r>
      <w:proofErr w:type="spellEnd"/>
      <w:r w:rsidRPr="008B475B">
        <w:rPr>
          <w:sz w:val="24"/>
          <w:szCs w:val="24"/>
        </w:rPr>
        <w:t xml:space="preserve"> forårsaget af </w:t>
      </w:r>
      <w:proofErr w:type="spellStart"/>
      <w:r w:rsidRPr="008B475B">
        <w:rPr>
          <w:sz w:val="24"/>
          <w:szCs w:val="24"/>
        </w:rPr>
        <w:t>busulfan</w:t>
      </w:r>
      <w:proofErr w:type="spellEnd"/>
      <w:r w:rsidRPr="008B475B">
        <w:rPr>
          <w:sz w:val="24"/>
          <w:szCs w:val="24"/>
        </w:rPr>
        <w:t xml:space="preserve">. Impotens, sterilitet, </w:t>
      </w:r>
      <w:proofErr w:type="spellStart"/>
      <w:r w:rsidRPr="008B475B">
        <w:rPr>
          <w:sz w:val="24"/>
          <w:szCs w:val="24"/>
        </w:rPr>
        <w:t>azoospermi</w:t>
      </w:r>
      <w:proofErr w:type="spellEnd"/>
      <w:r w:rsidRPr="008B475B">
        <w:rPr>
          <w:sz w:val="24"/>
          <w:szCs w:val="24"/>
        </w:rPr>
        <w:t xml:space="preserve"> og </w:t>
      </w:r>
      <w:proofErr w:type="spellStart"/>
      <w:r w:rsidRPr="008B475B">
        <w:rPr>
          <w:sz w:val="24"/>
          <w:szCs w:val="24"/>
        </w:rPr>
        <w:t>testikulær</w:t>
      </w:r>
      <w:proofErr w:type="spellEnd"/>
      <w:r w:rsidRPr="008B475B">
        <w:rPr>
          <w:sz w:val="24"/>
          <w:szCs w:val="24"/>
        </w:rPr>
        <w:t xml:space="preserve"> atrofi er indberettet hos mandlige patienter. Ovariesuppression og </w:t>
      </w:r>
      <w:proofErr w:type="spellStart"/>
      <w:r w:rsidRPr="008B475B">
        <w:rPr>
          <w:sz w:val="24"/>
          <w:szCs w:val="24"/>
        </w:rPr>
        <w:t>amenoré</w:t>
      </w:r>
      <w:proofErr w:type="spellEnd"/>
      <w:r w:rsidRPr="008B475B">
        <w:rPr>
          <w:sz w:val="24"/>
          <w:szCs w:val="24"/>
        </w:rPr>
        <w:t xml:space="preserve"> med </w:t>
      </w:r>
      <w:proofErr w:type="spellStart"/>
      <w:r w:rsidRPr="008B475B">
        <w:rPr>
          <w:sz w:val="24"/>
          <w:szCs w:val="24"/>
        </w:rPr>
        <w:t>menopausale</w:t>
      </w:r>
      <w:proofErr w:type="spellEnd"/>
      <w:r w:rsidRPr="008B475B">
        <w:rPr>
          <w:sz w:val="24"/>
          <w:szCs w:val="24"/>
        </w:rPr>
        <w:t xml:space="preserve"> symptomer forekommer hyppigt hos </w:t>
      </w:r>
      <w:proofErr w:type="spellStart"/>
      <w:r w:rsidRPr="008B475B">
        <w:rPr>
          <w:sz w:val="24"/>
          <w:szCs w:val="24"/>
        </w:rPr>
        <w:t>præmenopausale</w:t>
      </w:r>
      <w:proofErr w:type="spellEnd"/>
      <w:r w:rsidRPr="008B475B">
        <w:rPr>
          <w:sz w:val="24"/>
          <w:szCs w:val="24"/>
        </w:rPr>
        <w:t xml:space="preserve"> patienter. </w:t>
      </w:r>
      <w:proofErr w:type="spellStart"/>
      <w:r w:rsidRPr="008B475B">
        <w:rPr>
          <w:sz w:val="24"/>
          <w:szCs w:val="24"/>
        </w:rPr>
        <w:t>Busulfan</w:t>
      </w:r>
      <w:proofErr w:type="spellEnd"/>
      <w:r w:rsidRPr="008B475B">
        <w:rPr>
          <w:sz w:val="24"/>
          <w:szCs w:val="24"/>
        </w:rPr>
        <w:t xml:space="preserve">-behandling hos en præpubertær pige forhindrede pubertetsstart på grund af ovariesvigt. Solvensen </w:t>
      </w:r>
      <w:proofErr w:type="spellStart"/>
      <w:r w:rsidRPr="008B475B">
        <w:rPr>
          <w:sz w:val="24"/>
          <w:szCs w:val="24"/>
        </w:rPr>
        <w:t>dimethylacetamid</w:t>
      </w:r>
      <w:proofErr w:type="spellEnd"/>
      <w:r w:rsidRPr="008B475B">
        <w:rPr>
          <w:sz w:val="24"/>
          <w:szCs w:val="24"/>
        </w:rPr>
        <w:t xml:space="preserve"> (DMA) kan også nedsætte fertiliteten. DMA nedsætter fertiliteten hos gnavere af begge køn (se pkt. 4.6 og 5.3).</w:t>
      </w:r>
    </w:p>
    <w:p w14:paraId="06E0C5EB" w14:textId="77777777" w:rsidR="0044481D" w:rsidRPr="008B475B" w:rsidRDefault="0044481D" w:rsidP="0044481D">
      <w:pPr>
        <w:suppressAutoHyphens/>
        <w:ind w:left="851"/>
        <w:rPr>
          <w:sz w:val="24"/>
          <w:szCs w:val="24"/>
        </w:rPr>
      </w:pPr>
    </w:p>
    <w:p w14:paraId="78157E17" w14:textId="77777777" w:rsidR="0044481D" w:rsidRPr="008B475B" w:rsidRDefault="0044481D" w:rsidP="0044481D">
      <w:pPr>
        <w:suppressAutoHyphens/>
        <w:ind w:left="851"/>
        <w:rPr>
          <w:sz w:val="24"/>
          <w:szCs w:val="24"/>
        </w:rPr>
      </w:pPr>
      <w:r w:rsidRPr="008B475B">
        <w:rPr>
          <w:sz w:val="24"/>
          <w:szCs w:val="24"/>
        </w:rPr>
        <w:t xml:space="preserve">Der er rapporteret om tilfælde af </w:t>
      </w:r>
      <w:proofErr w:type="spellStart"/>
      <w:r w:rsidRPr="008B475B">
        <w:rPr>
          <w:sz w:val="24"/>
          <w:szCs w:val="24"/>
        </w:rPr>
        <w:t>trombotisk</w:t>
      </w:r>
      <w:proofErr w:type="spellEnd"/>
      <w:r w:rsidRPr="008B475B">
        <w:rPr>
          <w:sz w:val="24"/>
          <w:szCs w:val="24"/>
        </w:rPr>
        <w:t xml:space="preserve"> </w:t>
      </w:r>
      <w:proofErr w:type="spellStart"/>
      <w:r w:rsidRPr="008B475B">
        <w:rPr>
          <w:sz w:val="24"/>
          <w:szCs w:val="24"/>
        </w:rPr>
        <w:t>mikroangiopati</w:t>
      </w:r>
      <w:proofErr w:type="spellEnd"/>
      <w:r w:rsidRPr="008B475B">
        <w:rPr>
          <w:sz w:val="24"/>
          <w:szCs w:val="24"/>
        </w:rPr>
        <w:t xml:space="preserve"> efter </w:t>
      </w:r>
      <w:proofErr w:type="spellStart"/>
      <w:r w:rsidRPr="008B475B">
        <w:rPr>
          <w:sz w:val="24"/>
          <w:szCs w:val="24"/>
        </w:rPr>
        <w:t>hæmatopoietisk</w:t>
      </w:r>
      <w:proofErr w:type="spellEnd"/>
      <w:r w:rsidRPr="008B475B">
        <w:rPr>
          <w:sz w:val="24"/>
          <w:szCs w:val="24"/>
        </w:rPr>
        <w:t xml:space="preserve"> celletransplantation (HCT), inklusive dødelige tilfælde, ved højdosis-konditionerings</w:t>
      </w:r>
      <w:r w:rsidRPr="008B475B">
        <w:rPr>
          <w:sz w:val="24"/>
          <w:szCs w:val="24"/>
        </w:rPr>
        <w:softHyphen/>
        <w:t xml:space="preserve">regimer, hvor </w:t>
      </w:r>
      <w:proofErr w:type="spellStart"/>
      <w:r w:rsidRPr="008B475B">
        <w:rPr>
          <w:sz w:val="24"/>
          <w:szCs w:val="24"/>
        </w:rPr>
        <w:t>busulfan</w:t>
      </w:r>
      <w:proofErr w:type="spellEnd"/>
      <w:r w:rsidRPr="008B475B">
        <w:rPr>
          <w:sz w:val="24"/>
          <w:szCs w:val="24"/>
        </w:rPr>
        <w:t xml:space="preserve"> blev administreret i kombination med en anden konditioneringsbehandling.</w:t>
      </w:r>
    </w:p>
    <w:p w14:paraId="6B93419F" w14:textId="77777777" w:rsidR="0044481D" w:rsidRPr="008B475B" w:rsidRDefault="0044481D" w:rsidP="0044481D">
      <w:pPr>
        <w:ind w:left="851"/>
        <w:rPr>
          <w:sz w:val="24"/>
          <w:szCs w:val="24"/>
        </w:rPr>
      </w:pPr>
    </w:p>
    <w:p w14:paraId="0B4967FA" w14:textId="77777777" w:rsidR="0044481D" w:rsidRPr="008B475B" w:rsidRDefault="0044481D" w:rsidP="0044481D">
      <w:pPr>
        <w:ind w:left="851" w:hanging="851"/>
        <w:rPr>
          <w:b/>
          <w:sz w:val="24"/>
          <w:szCs w:val="24"/>
        </w:rPr>
      </w:pPr>
      <w:r w:rsidRPr="008B475B">
        <w:rPr>
          <w:b/>
          <w:sz w:val="24"/>
          <w:szCs w:val="24"/>
        </w:rPr>
        <w:t>4.5</w:t>
      </w:r>
      <w:r w:rsidRPr="008B475B">
        <w:rPr>
          <w:b/>
          <w:sz w:val="24"/>
          <w:szCs w:val="24"/>
        </w:rPr>
        <w:tab/>
        <w:t>Interaktion med andre lægemidler og andre former for interaktion</w:t>
      </w:r>
    </w:p>
    <w:p w14:paraId="1A269500" w14:textId="77777777" w:rsidR="0044481D" w:rsidRPr="008B475B" w:rsidRDefault="0044481D" w:rsidP="0044481D">
      <w:pPr>
        <w:ind w:left="851"/>
        <w:rPr>
          <w:sz w:val="24"/>
          <w:szCs w:val="24"/>
        </w:rPr>
      </w:pPr>
      <w:r w:rsidRPr="008B475B">
        <w:rPr>
          <w:sz w:val="24"/>
          <w:szCs w:val="24"/>
        </w:rPr>
        <w:t>Der er ikke udført specifikke kliniske studier med henblik på at vurdere lægemiddel</w:t>
      </w:r>
      <w:r>
        <w:rPr>
          <w:sz w:val="24"/>
          <w:szCs w:val="24"/>
        </w:rPr>
        <w:softHyphen/>
      </w:r>
      <w:r w:rsidRPr="008B475B">
        <w:rPr>
          <w:sz w:val="24"/>
          <w:szCs w:val="24"/>
        </w:rPr>
        <w:t xml:space="preserve">interaktion mellem intravenøs </w:t>
      </w:r>
      <w:proofErr w:type="spellStart"/>
      <w:r w:rsidRPr="008B475B">
        <w:rPr>
          <w:sz w:val="24"/>
          <w:szCs w:val="24"/>
        </w:rPr>
        <w:t>busulfan</w:t>
      </w:r>
      <w:proofErr w:type="spellEnd"/>
      <w:r w:rsidRPr="008B475B">
        <w:rPr>
          <w:sz w:val="24"/>
          <w:szCs w:val="24"/>
        </w:rPr>
        <w:t xml:space="preserve"> og </w:t>
      </w:r>
      <w:proofErr w:type="spellStart"/>
      <w:r w:rsidRPr="008B475B">
        <w:rPr>
          <w:sz w:val="24"/>
          <w:szCs w:val="24"/>
        </w:rPr>
        <w:t>itraconazol</w:t>
      </w:r>
      <w:proofErr w:type="spellEnd"/>
      <w:r w:rsidRPr="008B475B">
        <w:rPr>
          <w:sz w:val="24"/>
          <w:szCs w:val="24"/>
        </w:rPr>
        <w:t xml:space="preserve"> eller </w:t>
      </w:r>
      <w:proofErr w:type="spellStart"/>
      <w:r w:rsidRPr="008B475B">
        <w:rPr>
          <w:sz w:val="24"/>
          <w:szCs w:val="24"/>
        </w:rPr>
        <w:t>metronidazol</w:t>
      </w:r>
      <w:proofErr w:type="spellEnd"/>
      <w:r w:rsidRPr="008B475B">
        <w:rPr>
          <w:sz w:val="24"/>
          <w:szCs w:val="24"/>
        </w:rPr>
        <w:t xml:space="preserve">. Ifølge publicerede studier med voksne forsøgspersoner kan administration af </w:t>
      </w:r>
      <w:proofErr w:type="spellStart"/>
      <w:r w:rsidRPr="008B475B">
        <w:rPr>
          <w:sz w:val="24"/>
          <w:szCs w:val="24"/>
        </w:rPr>
        <w:t>itraconazol</w:t>
      </w:r>
      <w:proofErr w:type="spellEnd"/>
      <w:r w:rsidRPr="008B475B">
        <w:rPr>
          <w:sz w:val="24"/>
          <w:szCs w:val="24"/>
        </w:rPr>
        <w:t xml:space="preserve"> til patienter, der får højdosis </w:t>
      </w:r>
      <w:proofErr w:type="spellStart"/>
      <w:r w:rsidRPr="008B475B">
        <w:rPr>
          <w:sz w:val="24"/>
          <w:szCs w:val="24"/>
        </w:rPr>
        <w:t>busulfan</w:t>
      </w:r>
      <w:proofErr w:type="spellEnd"/>
      <w:r w:rsidRPr="008B475B">
        <w:rPr>
          <w:sz w:val="24"/>
          <w:szCs w:val="24"/>
        </w:rPr>
        <w:t xml:space="preserve"> nedsætte </w:t>
      </w:r>
      <w:proofErr w:type="spellStart"/>
      <w:r w:rsidRPr="008B475B">
        <w:rPr>
          <w:sz w:val="24"/>
          <w:szCs w:val="24"/>
        </w:rPr>
        <w:t>clearance</w:t>
      </w:r>
      <w:proofErr w:type="spellEnd"/>
      <w:r w:rsidRPr="008B475B">
        <w:rPr>
          <w:sz w:val="24"/>
          <w:szCs w:val="24"/>
        </w:rPr>
        <w:t xml:space="preserve"> af </w:t>
      </w:r>
      <w:proofErr w:type="spellStart"/>
      <w:r w:rsidRPr="008B475B">
        <w:rPr>
          <w:sz w:val="24"/>
          <w:szCs w:val="24"/>
        </w:rPr>
        <w:t>busulfan</w:t>
      </w:r>
      <w:proofErr w:type="spellEnd"/>
      <w:r w:rsidRPr="008B475B">
        <w:rPr>
          <w:sz w:val="24"/>
          <w:szCs w:val="24"/>
        </w:rPr>
        <w:t xml:space="preserve">. Der er desuden rapporteret om tilfælde af øgede plasmaniveauer af </w:t>
      </w:r>
      <w:proofErr w:type="spellStart"/>
      <w:r w:rsidRPr="008B475B">
        <w:rPr>
          <w:sz w:val="24"/>
          <w:szCs w:val="24"/>
        </w:rPr>
        <w:t>busulfan</w:t>
      </w:r>
      <w:proofErr w:type="spellEnd"/>
      <w:r w:rsidRPr="008B475B">
        <w:rPr>
          <w:sz w:val="24"/>
          <w:szCs w:val="24"/>
        </w:rPr>
        <w:t xml:space="preserve"> efter administration af </w:t>
      </w:r>
      <w:proofErr w:type="spellStart"/>
      <w:r w:rsidRPr="008B475B">
        <w:rPr>
          <w:sz w:val="24"/>
          <w:szCs w:val="24"/>
        </w:rPr>
        <w:t>metronidazol</w:t>
      </w:r>
      <w:proofErr w:type="spellEnd"/>
      <w:r w:rsidRPr="008B475B">
        <w:rPr>
          <w:sz w:val="24"/>
          <w:szCs w:val="24"/>
        </w:rPr>
        <w:t xml:space="preserve">. Patienter, der får samtidig behandling med </w:t>
      </w:r>
      <w:proofErr w:type="spellStart"/>
      <w:r w:rsidRPr="008B475B">
        <w:rPr>
          <w:sz w:val="24"/>
          <w:szCs w:val="24"/>
        </w:rPr>
        <w:t>busulfan</w:t>
      </w:r>
      <w:proofErr w:type="spellEnd"/>
      <w:r w:rsidRPr="008B475B">
        <w:rPr>
          <w:sz w:val="24"/>
          <w:szCs w:val="24"/>
        </w:rPr>
        <w:t xml:space="preserve"> og </w:t>
      </w:r>
      <w:proofErr w:type="spellStart"/>
      <w:r w:rsidRPr="008B475B">
        <w:rPr>
          <w:sz w:val="24"/>
          <w:szCs w:val="24"/>
        </w:rPr>
        <w:t>itraconazol</w:t>
      </w:r>
      <w:proofErr w:type="spellEnd"/>
      <w:r w:rsidRPr="008B475B">
        <w:rPr>
          <w:sz w:val="24"/>
          <w:szCs w:val="24"/>
        </w:rPr>
        <w:t xml:space="preserve"> eller </w:t>
      </w:r>
      <w:proofErr w:type="spellStart"/>
      <w:r w:rsidRPr="008B475B">
        <w:rPr>
          <w:sz w:val="24"/>
          <w:szCs w:val="24"/>
        </w:rPr>
        <w:t>metronidazol</w:t>
      </w:r>
      <w:proofErr w:type="spellEnd"/>
      <w:r w:rsidRPr="008B475B">
        <w:rPr>
          <w:sz w:val="24"/>
          <w:szCs w:val="24"/>
        </w:rPr>
        <w:t xml:space="preserve">, bør monitoreres tæt for tegn på </w:t>
      </w:r>
      <w:proofErr w:type="spellStart"/>
      <w:r w:rsidRPr="008B475B">
        <w:rPr>
          <w:sz w:val="24"/>
          <w:szCs w:val="24"/>
        </w:rPr>
        <w:t>busulfantoksicitet</w:t>
      </w:r>
      <w:proofErr w:type="spellEnd"/>
      <w:r w:rsidRPr="008B475B">
        <w:rPr>
          <w:sz w:val="24"/>
          <w:szCs w:val="24"/>
        </w:rPr>
        <w:t xml:space="preserve">. </w:t>
      </w:r>
    </w:p>
    <w:p w14:paraId="552ED6CC" w14:textId="77777777" w:rsidR="0044481D" w:rsidRPr="008B475B" w:rsidRDefault="0044481D" w:rsidP="0044481D">
      <w:pPr>
        <w:ind w:left="851"/>
        <w:rPr>
          <w:sz w:val="24"/>
          <w:szCs w:val="24"/>
        </w:rPr>
      </w:pPr>
    </w:p>
    <w:p w14:paraId="00F339FD" w14:textId="77777777" w:rsidR="0044481D" w:rsidRPr="008B475B" w:rsidRDefault="0044481D" w:rsidP="0044481D">
      <w:pPr>
        <w:ind w:left="851"/>
        <w:rPr>
          <w:sz w:val="24"/>
          <w:szCs w:val="24"/>
        </w:rPr>
      </w:pPr>
      <w:r w:rsidRPr="008B475B">
        <w:rPr>
          <w:sz w:val="24"/>
          <w:szCs w:val="24"/>
        </w:rPr>
        <w:t xml:space="preserve">Der er ikke set nogen interaktion ved samtidig brug af </w:t>
      </w:r>
      <w:proofErr w:type="spellStart"/>
      <w:r w:rsidRPr="008B475B">
        <w:rPr>
          <w:sz w:val="24"/>
          <w:szCs w:val="24"/>
        </w:rPr>
        <w:t>busulfan</w:t>
      </w:r>
      <w:proofErr w:type="spellEnd"/>
      <w:r w:rsidRPr="008B475B">
        <w:rPr>
          <w:sz w:val="24"/>
          <w:szCs w:val="24"/>
        </w:rPr>
        <w:t xml:space="preserve"> og </w:t>
      </w:r>
      <w:proofErr w:type="spellStart"/>
      <w:r w:rsidRPr="008B475B">
        <w:rPr>
          <w:sz w:val="24"/>
          <w:szCs w:val="24"/>
        </w:rPr>
        <w:t>fluconazol</w:t>
      </w:r>
      <w:proofErr w:type="spellEnd"/>
      <w:r w:rsidRPr="008B475B">
        <w:rPr>
          <w:sz w:val="24"/>
          <w:szCs w:val="24"/>
        </w:rPr>
        <w:t xml:space="preserve"> (svampemiddel). Ifølge publicerede studier med deltagelse af voksne kan </w:t>
      </w:r>
      <w:proofErr w:type="spellStart"/>
      <w:r w:rsidRPr="008B475B">
        <w:rPr>
          <w:sz w:val="24"/>
          <w:szCs w:val="24"/>
        </w:rPr>
        <w:t>ketobemidon</w:t>
      </w:r>
      <w:proofErr w:type="spellEnd"/>
      <w:r w:rsidRPr="008B475B">
        <w:rPr>
          <w:sz w:val="24"/>
          <w:szCs w:val="24"/>
        </w:rPr>
        <w:t xml:space="preserve"> (</w:t>
      </w:r>
      <w:proofErr w:type="spellStart"/>
      <w:r w:rsidRPr="008B475B">
        <w:rPr>
          <w:sz w:val="24"/>
          <w:szCs w:val="24"/>
        </w:rPr>
        <w:t>analgetikum</w:t>
      </w:r>
      <w:proofErr w:type="spellEnd"/>
      <w:r w:rsidRPr="008B475B">
        <w:rPr>
          <w:sz w:val="24"/>
          <w:szCs w:val="24"/>
        </w:rPr>
        <w:t xml:space="preserve">) muligvis sættes i forbindelse med høje plasmaniveauer af </w:t>
      </w:r>
      <w:proofErr w:type="spellStart"/>
      <w:r w:rsidRPr="008B475B">
        <w:rPr>
          <w:sz w:val="24"/>
          <w:szCs w:val="24"/>
        </w:rPr>
        <w:t>busulfan</w:t>
      </w:r>
      <w:proofErr w:type="spellEnd"/>
      <w:r w:rsidRPr="008B475B">
        <w:rPr>
          <w:sz w:val="24"/>
          <w:szCs w:val="24"/>
        </w:rPr>
        <w:t>. Derfor anbefales det at udvise særlige omhu ved kombination af de to forbindelser.</w:t>
      </w:r>
    </w:p>
    <w:p w14:paraId="0E044547" w14:textId="77777777" w:rsidR="0044481D" w:rsidRPr="008B475B" w:rsidRDefault="0044481D" w:rsidP="0044481D">
      <w:pPr>
        <w:ind w:left="851"/>
        <w:rPr>
          <w:sz w:val="24"/>
          <w:szCs w:val="24"/>
        </w:rPr>
      </w:pPr>
    </w:p>
    <w:p w14:paraId="54E26845" w14:textId="77777777" w:rsidR="0044481D" w:rsidRPr="008B475B" w:rsidRDefault="0044481D" w:rsidP="0044481D">
      <w:pPr>
        <w:ind w:left="851"/>
        <w:rPr>
          <w:sz w:val="24"/>
          <w:szCs w:val="24"/>
        </w:rPr>
      </w:pPr>
      <w:r w:rsidRPr="008B475B">
        <w:rPr>
          <w:sz w:val="24"/>
          <w:szCs w:val="24"/>
        </w:rPr>
        <w:t xml:space="preserve">For et behandlingsregime med BuCy2 til voksne er der indberettet, at tidsintervallet mellem sidste orale administration af </w:t>
      </w:r>
      <w:proofErr w:type="spellStart"/>
      <w:r w:rsidRPr="008B475B">
        <w:rPr>
          <w:sz w:val="24"/>
          <w:szCs w:val="24"/>
        </w:rPr>
        <w:t>busulfan</w:t>
      </w:r>
      <w:proofErr w:type="spellEnd"/>
      <w:r w:rsidRPr="008B475B">
        <w:rPr>
          <w:sz w:val="24"/>
          <w:szCs w:val="24"/>
        </w:rPr>
        <w:t xml:space="preserve"> og første administration af </w:t>
      </w:r>
      <w:proofErr w:type="spellStart"/>
      <w:r w:rsidRPr="008B475B">
        <w:rPr>
          <w:sz w:val="24"/>
          <w:szCs w:val="24"/>
        </w:rPr>
        <w:t>cyclophosphamid</w:t>
      </w:r>
      <w:proofErr w:type="spellEnd"/>
      <w:r w:rsidRPr="008B475B">
        <w:rPr>
          <w:sz w:val="24"/>
          <w:szCs w:val="24"/>
        </w:rPr>
        <w:t xml:space="preserve"> kan påvirke udvikling af toksicitet. Der er observeret nedsat forekomst af </w:t>
      </w:r>
      <w:proofErr w:type="spellStart"/>
      <w:r w:rsidRPr="008B475B">
        <w:rPr>
          <w:sz w:val="24"/>
          <w:szCs w:val="24"/>
        </w:rPr>
        <w:lastRenderedPageBreak/>
        <w:t>hepatisk</w:t>
      </w:r>
      <w:proofErr w:type="spellEnd"/>
      <w:r w:rsidRPr="008B475B">
        <w:rPr>
          <w:sz w:val="24"/>
          <w:szCs w:val="24"/>
        </w:rPr>
        <w:t xml:space="preserve"> </w:t>
      </w:r>
      <w:proofErr w:type="spellStart"/>
      <w:r w:rsidRPr="008B475B">
        <w:rPr>
          <w:sz w:val="24"/>
          <w:szCs w:val="24"/>
        </w:rPr>
        <w:t>veneoklussion</w:t>
      </w:r>
      <w:proofErr w:type="spellEnd"/>
      <w:r w:rsidRPr="008B475B">
        <w:rPr>
          <w:sz w:val="24"/>
          <w:szCs w:val="24"/>
        </w:rPr>
        <w:t xml:space="preserve"> (HVOD) og anden behandlingsrelateret toksicitet hos patienter, hvor tidsrummet mellem sidste dosis oral </w:t>
      </w:r>
      <w:proofErr w:type="spellStart"/>
      <w:r w:rsidRPr="008B475B">
        <w:rPr>
          <w:sz w:val="24"/>
          <w:szCs w:val="24"/>
        </w:rPr>
        <w:t>busulfan</w:t>
      </w:r>
      <w:proofErr w:type="spellEnd"/>
      <w:r w:rsidRPr="008B475B">
        <w:rPr>
          <w:sz w:val="24"/>
          <w:szCs w:val="24"/>
        </w:rPr>
        <w:t xml:space="preserve"> og første dosis </w:t>
      </w:r>
      <w:proofErr w:type="spellStart"/>
      <w:r w:rsidRPr="008B475B">
        <w:rPr>
          <w:sz w:val="24"/>
          <w:szCs w:val="24"/>
        </w:rPr>
        <w:t>cyclophosphamid</w:t>
      </w:r>
      <w:proofErr w:type="spellEnd"/>
      <w:r w:rsidRPr="008B475B">
        <w:rPr>
          <w:sz w:val="24"/>
          <w:szCs w:val="24"/>
        </w:rPr>
        <w:t xml:space="preserve"> er &gt;</w:t>
      </w:r>
      <w:r>
        <w:rPr>
          <w:sz w:val="24"/>
          <w:szCs w:val="24"/>
        </w:rPr>
        <w:t> </w:t>
      </w:r>
      <w:r w:rsidRPr="008B475B">
        <w:rPr>
          <w:sz w:val="24"/>
          <w:szCs w:val="24"/>
        </w:rPr>
        <w:t>24 timer.</w:t>
      </w:r>
    </w:p>
    <w:p w14:paraId="0CC6FC3E" w14:textId="77777777" w:rsidR="0044481D" w:rsidRPr="008B475B" w:rsidRDefault="0044481D" w:rsidP="0044481D">
      <w:pPr>
        <w:rPr>
          <w:sz w:val="24"/>
          <w:szCs w:val="24"/>
        </w:rPr>
      </w:pPr>
    </w:p>
    <w:p w14:paraId="48C79829" w14:textId="77777777" w:rsidR="0044481D" w:rsidRPr="008B475B" w:rsidRDefault="0044481D" w:rsidP="0044481D">
      <w:pPr>
        <w:ind w:left="851"/>
        <w:rPr>
          <w:sz w:val="24"/>
          <w:szCs w:val="24"/>
        </w:rPr>
      </w:pPr>
      <w:r w:rsidRPr="008B475B">
        <w:rPr>
          <w:sz w:val="24"/>
          <w:szCs w:val="24"/>
        </w:rPr>
        <w:t xml:space="preserve">For behandlingsregimet med </w:t>
      </w:r>
      <w:proofErr w:type="spellStart"/>
      <w:r w:rsidRPr="008B475B">
        <w:rPr>
          <w:sz w:val="24"/>
          <w:szCs w:val="24"/>
        </w:rPr>
        <w:t>BuMel</w:t>
      </w:r>
      <w:proofErr w:type="spellEnd"/>
      <w:r w:rsidRPr="008B475B">
        <w:rPr>
          <w:sz w:val="24"/>
          <w:szCs w:val="24"/>
        </w:rPr>
        <w:t xml:space="preserve"> er det hos den pædiatriske patientpopulation blevet indberettet, at administration af </w:t>
      </w:r>
      <w:proofErr w:type="spellStart"/>
      <w:r w:rsidRPr="008B475B">
        <w:rPr>
          <w:sz w:val="24"/>
          <w:szCs w:val="24"/>
        </w:rPr>
        <w:t>melphalan</w:t>
      </w:r>
      <w:proofErr w:type="spellEnd"/>
      <w:r w:rsidRPr="008B475B">
        <w:rPr>
          <w:sz w:val="24"/>
          <w:szCs w:val="24"/>
        </w:rPr>
        <w:t xml:space="preserve"> mindre end 24 timer efter den sidste orale administration af </w:t>
      </w:r>
      <w:proofErr w:type="spellStart"/>
      <w:r w:rsidRPr="008B475B">
        <w:rPr>
          <w:sz w:val="24"/>
          <w:szCs w:val="24"/>
        </w:rPr>
        <w:t>busulfan</w:t>
      </w:r>
      <w:proofErr w:type="spellEnd"/>
      <w:r w:rsidRPr="008B475B">
        <w:rPr>
          <w:sz w:val="24"/>
          <w:szCs w:val="24"/>
        </w:rPr>
        <w:t xml:space="preserve"> kan påvirke udviklingen af toksicitet.</w:t>
      </w:r>
    </w:p>
    <w:p w14:paraId="2C253B3B" w14:textId="77777777" w:rsidR="0044481D" w:rsidRPr="008B475B" w:rsidRDefault="0044481D" w:rsidP="0044481D">
      <w:pPr>
        <w:ind w:left="851"/>
        <w:rPr>
          <w:sz w:val="24"/>
          <w:szCs w:val="24"/>
        </w:rPr>
      </w:pPr>
    </w:p>
    <w:p w14:paraId="2B5E1436" w14:textId="77777777" w:rsidR="0044481D" w:rsidRPr="008B475B" w:rsidRDefault="0044481D" w:rsidP="0044481D">
      <w:pPr>
        <w:ind w:left="851"/>
        <w:rPr>
          <w:sz w:val="24"/>
          <w:szCs w:val="24"/>
        </w:rPr>
      </w:pPr>
      <w:r w:rsidRPr="008B475B">
        <w:rPr>
          <w:sz w:val="24"/>
          <w:szCs w:val="24"/>
        </w:rPr>
        <w:t xml:space="preserve">Det beskrives, at paracetamol nedsætter </w:t>
      </w:r>
      <w:proofErr w:type="spellStart"/>
      <w:r w:rsidRPr="008B475B">
        <w:rPr>
          <w:sz w:val="24"/>
          <w:szCs w:val="24"/>
        </w:rPr>
        <w:t>gluthation</w:t>
      </w:r>
      <w:proofErr w:type="spellEnd"/>
      <w:r w:rsidRPr="008B475B">
        <w:rPr>
          <w:sz w:val="24"/>
          <w:szCs w:val="24"/>
        </w:rPr>
        <w:t xml:space="preserve">-niveauet i blod og væv og derfor måske nedsætter </w:t>
      </w:r>
      <w:proofErr w:type="spellStart"/>
      <w:r w:rsidRPr="008B475B">
        <w:rPr>
          <w:sz w:val="24"/>
          <w:szCs w:val="24"/>
        </w:rPr>
        <w:t>clearance</w:t>
      </w:r>
      <w:proofErr w:type="spellEnd"/>
      <w:r w:rsidRPr="008B475B">
        <w:rPr>
          <w:sz w:val="24"/>
          <w:szCs w:val="24"/>
        </w:rPr>
        <w:t xml:space="preserve"> af </w:t>
      </w:r>
      <w:proofErr w:type="spellStart"/>
      <w:r w:rsidRPr="008B475B">
        <w:rPr>
          <w:sz w:val="24"/>
          <w:szCs w:val="24"/>
        </w:rPr>
        <w:t>busulfan</w:t>
      </w:r>
      <w:proofErr w:type="spellEnd"/>
      <w:r w:rsidRPr="008B475B">
        <w:rPr>
          <w:sz w:val="24"/>
          <w:szCs w:val="24"/>
        </w:rPr>
        <w:t xml:space="preserve"> ved kombination dermed (se pkt. 4.4).</w:t>
      </w:r>
    </w:p>
    <w:p w14:paraId="533A23EC" w14:textId="77777777" w:rsidR="0044481D" w:rsidRPr="008B475B" w:rsidRDefault="0044481D" w:rsidP="0044481D">
      <w:pPr>
        <w:ind w:left="851"/>
        <w:rPr>
          <w:sz w:val="24"/>
          <w:szCs w:val="24"/>
        </w:rPr>
      </w:pPr>
    </w:p>
    <w:p w14:paraId="7880F96F" w14:textId="77777777" w:rsidR="0044481D" w:rsidRPr="008B475B" w:rsidRDefault="0044481D" w:rsidP="0044481D">
      <w:pPr>
        <w:ind w:left="851"/>
        <w:rPr>
          <w:sz w:val="24"/>
          <w:szCs w:val="24"/>
        </w:rPr>
      </w:pPr>
      <w:r w:rsidRPr="008B475B">
        <w:rPr>
          <w:sz w:val="24"/>
          <w:szCs w:val="24"/>
        </w:rPr>
        <w:t xml:space="preserve">Der blev givet enten </w:t>
      </w:r>
      <w:proofErr w:type="spellStart"/>
      <w:r w:rsidRPr="008B475B">
        <w:rPr>
          <w:sz w:val="24"/>
          <w:szCs w:val="24"/>
        </w:rPr>
        <w:t>phenytoin</w:t>
      </w:r>
      <w:proofErr w:type="spellEnd"/>
      <w:r w:rsidRPr="008B475B">
        <w:rPr>
          <w:sz w:val="24"/>
          <w:szCs w:val="24"/>
        </w:rPr>
        <w:t xml:space="preserve"> eller benzodiazepiner som profylakse mod krampeanfald hos patienter, der deltog i de kliniske studier med intravenøs </w:t>
      </w:r>
      <w:proofErr w:type="spellStart"/>
      <w:r w:rsidRPr="008B475B">
        <w:rPr>
          <w:sz w:val="24"/>
          <w:szCs w:val="24"/>
        </w:rPr>
        <w:t>busulfan</w:t>
      </w:r>
      <w:proofErr w:type="spellEnd"/>
      <w:r w:rsidRPr="008B475B">
        <w:rPr>
          <w:sz w:val="24"/>
          <w:szCs w:val="24"/>
        </w:rPr>
        <w:t xml:space="preserve"> (se pkt. 4.2 og 4.4). Samtidig systemisk administration af </w:t>
      </w:r>
      <w:proofErr w:type="spellStart"/>
      <w:r w:rsidRPr="008B475B">
        <w:rPr>
          <w:sz w:val="24"/>
          <w:szCs w:val="24"/>
        </w:rPr>
        <w:t>phenytoin</w:t>
      </w:r>
      <w:proofErr w:type="spellEnd"/>
      <w:r w:rsidRPr="008B475B">
        <w:rPr>
          <w:sz w:val="24"/>
          <w:szCs w:val="24"/>
        </w:rPr>
        <w:t xml:space="preserve"> til patienter, der får højdosis oral </w:t>
      </w:r>
      <w:proofErr w:type="spellStart"/>
      <w:r w:rsidRPr="008B475B">
        <w:rPr>
          <w:sz w:val="24"/>
          <w:szCs w:val="24"/>
        </w:rPr>
        <w:t>busulfan</w:t>
      </w:r>
      <w:proofErr w:type="spellEnd"/>
      <w:r w:rsidRPr="008B475B">
        <w:rPr>
          <w:sz w:val="24"/>
          <w:szCs w:val="24"/>
        </w:rPr>
        <w:t xml:space="preserve"> er blevet rapporteret at øge </w:t>
      </w:r>
      <w:proofErr w:type="spellStart"/>
      <w:r w:rsidRPr="008B475B">
        <w:rPr>
          <w:sz w:val="24"/>
          <w:szCs w:val="24"/>
        </w:rPr>
        <w:t>busulfan-clearance</w:t>
      </w:r>
      <w:proofErr w:type="spellEnd"/>
      <w:r w:rsidRPr="008B475B">
        <w:rPr>
          <w:sz w:val="24"/>
          <w:szCs w:val="24"/>
        </w:rPr>
        <w:t xml:space="preserve"> på grund af induktion af </w:t>
      </w:r>
      <w:proofErr w:type="spellStart"/>
      <w:r w:rsidRPr="008B475B">
        <w:rPr>
          <w:sz w:val="24"/>
          <w:szCs w:val="24"/>
        </w:rPr>
        <w:t>glutathion</w:t>
      </w:r>
      <w:proofErr w:type="spellEnd"/>
      <w:r w:rsidRPr="008B475B">
        <w:rPr>
          <w:sz w:val="24"/>
          <w:szCs w:val="24"/>
        </w:rPr>
        <w:t xml:space="preserve">-S-transferase, mens der ikke er rapporteret interaktion, når benzodiazepiner såsom </w:t>
      </w:r>
      <w:proofErr w:type="spellStart"/>
      <w:r w:rsidRPr="008B475B">
        <w:rPr>
          <w:sz w:val="24"/>
          <w:szCs w:val="24"/>
        </w:rPr>
        <w:t>diazepam</w:t>
      </w:r>
      <w:proofErr w:type="spellEnd"/>
      <w:r w:rsidRPr="008B475B">
        <w:rPr>
          <w:sz w:val="24"/>
          <w:szCs w:val="24"/>
        </w:rPr>
        <w:t xml:space="preserve">, </w:t>
      </w:r>
      <w:proofErr w:type="spellStart"/>
      <w:r w:rsidRPr="008B475B">
        <w:rPr>
          <w:sz w:val="24"/>
          <w:szCs w:val="24"/>
        </w:rPr>
        <w:t>clonazepam</w:t>
      </w:r>
      <w:proofErr w:type="spellEnd"/>
      <w:r w:rsidRPr="008B475B">
        <w:rPr>
          <w:sz w:val="24"/>
          <w:szCs w:val="24"/>
        </w:rPr>
        <w:t xml:space="preserve"> eller </w:t>
      </w:r>
      <w:proofErr w:type="spellStart"/>
      <w:r w:rsidRPr="008B475B">
        <w:rPr>
          <w:sz w:val="24"/>
          <w:szCs w:val="24"/>
        </w:rPr>
        <w:t>lorazepam</w:t>
      </w:r>
      <w:proofErr w:type="spellEnd"/>
      <w:r w:rsidRPr="008B475B">
        <w:rPr>
          <w:sz w:val="24"/>
          <w:szCs w:val="24"/>
        </w:rPr>
        <w:t xml:space="preserve"> har været anvendt krampeprofylaktisk med højdosis </w:t>
      </w:r>
      <w:proofErr w:type="spellStart"/>
      <w:r w:rsidRPr="008B475B">
        <w:rPr>
          <w:sz w:val="24"/>
          <w:szCs w:val="24"/>
        </w:rPr>
        <w:t>busulfan</w:t>
      </w:r>
      <w:proofErr w:type="spellEnd"/>
      <w:r w:rsidRPr="008B475B">
        <w:rPr>
          <w:sz w:val="24"/>
          <w:szCs w:val="24"/>
        </w:rPr>
        <w:t>.</w:t>
      </w:r>
    </w:p>
    <w:p w14:paraId="06EE1C53" w14:textId="77777777" w:rsidR="0044481D" w:rsidRPr="008B475B" w:rsidRDefault="0044481D" w:rsidP="0044481D">
      <w:pPr>
        <w:ind w:left="851"/>
        <w:rPr>
          <w:sz w:val="24"/>
          <w:szCs w:val="24"/>
        </w:rPr>
      </w:pPr>
    </w:p>
    <w:p w14:paraId="77C15F83" w14:textId="77777777" w:rsidR="0044481D" w:rsidRPr="008B475B" w:rsidRDefault="0044481D" w:rsidP="0044481D">
      <w:pPr>
        <w:ind w:left="851"/>
        <w:rPr>
          <w:sz w:val="24"/>
          <w:szCs w:val="24"/>
        </w:rPr>
      </w:pPr>
      <w:r w:rsidRPr="008B475B">
        <w:rPr>
          <w:sz w:val="24"/>
          <w:szCs w:val="24"/>
        </w:rPr>
        <w:t xml:space="preserve">Der ikke fundet evidens for en induktiv effekt af </w:t>
      </w:r>
      <w:proofErr w:type="spellStart"/>
      <w:r w:rsidRPr="008B475B">
        <w:rPr>
          <w:sz w:val="24"/>
          <w:szCs w:val="24"/>
        </w:rPr>
        <w:t>phenytoin</w:t>
      </w:r>
      <w:proofErr w:type="spellEnd"/>
      <w:r w:rsidRPr="008B475B">
        <w:rPr>
          <w:sz w:val="24"/>
          <w:szCs w:val="24"/>
        </w:rPr>
        <w:t xml:space="preserve"> på </w:t>
      </w:r>
      <w:proofErr w:type="spellStart"/>
      <w:r w:rsidRPr="008B475B">
        <w:rPr>
          <w:sz w:val="24"/>
          <w:szCs w:val="24"/>
        </w:rPr>
        <w:t>busulfan</w:t>
      </w:r>
      <w:proofErr w:type="spellEnd"/>
      <w:r w:rsidRPr="008B475B">
        <w:rPr>
          <w:sz w:val="24"/>
          <w:szCs w:val="24"/>
        </w:rPr>
        <w:t xml:space="preserve">. Et klinisk fase II-studie blev udført for at vurdere indflydelsen af krampeprofylakse på farmakokinetikken af intravenøs </w:t>
      </w:r>
      <w:proofErr w:type="spellStart"/>
      <w:r w:rsidRPr="008B475B">
        <w:rPr>
          <w:sz w:val="24"/>
          <w:szCs w:val="24"/>
        </w:rPr>
        <w:t>busulfan</w:t>
      </w:r>
      <w:proofErr w:type="spellEnd"/>
      <w:r w:rsidRPr="008B475B">
        <w:rPr>
          <w:sz w:val="24"/>
          <w:szCs w:val="24"/>
        </w:rPr>
        <w:t xml:space="preserve">. I dette studie fik 24 voksne patienter </w:t>
      </w:r>
      <w:proofErr w:type="spellStart"/>
      <w:r w:rsidRPr="008B475B">
        <w:rPr>
          <w:sz w:val="24"/>
          <w:szCs w:val="24"/>
        </w:rPr>
        <w:t>clonazepam</w:t>
      </w:r>
      <w:proofErr w:type="spellEnd"/>
      <w:r w:rsidRPr="008B475B">
        <w:rPr>
          <w:sz w:val="24"/>
          <w:szCs w:val="24"/>
        </w:rPr>
        <w:t xml:space="preserve"> (0,025-0,03 mg/kg/dag som kontinuerlig intravenøs infusion) som </w:t>
      </w:r>
      <w:proofErr w:type="spellStart"/>
      <w:r w:rsidRPr="008B475B">
        <w:rPr>
          <w:sz w:val="24"/>
          <w:szCs w:val="24"/>
        </w:rPr>
        <w:t>antikonvulsiv</w:t>
      </w:r>
      <w:proofErr w:type="spellEnd"/>
      <w:r w:rsidRPr="008B475B">
        <w:rPr>
          <w:sz w:val="24"/>
          <w:szCs w:val="24"/>
        </w:rPr>
        <w:t xml:space="preserve"> behandling, og </w:t>
      </w:r>
      <w:proofErr w:type="spellStart"/>
      <w:r w:rsidRPr="008B475B">
        <w:rPr>
          <w:sz w:val="24"/>
          <w:szCs w:val="24"/>
        </w:rPr>
        <w:t>farmakokinetiske</w:t>
      </w:r>
      <w:proofErr w:type="spellEnd"/>
      <w:r w:rsidRPr="008B475B">
        <w:rPr>
          <w:sz w:val="24"/>
          <w:szCs w:val="24"/>
        </w:rPr>
        <w:t xml:space="preserve"> data for disse patienter blev sammenlignet med historiske data indsamlet hos patienter behandlet med </w:t>
      </w:r>
      <w:proofErr w:type="spellStart"/>
      <w:r w:rsidRPr="008B475B">
        <w:rPr>
          <w:sz w:val="24"/>
          <w:szCs w:val="24"/>
        </w:rPr>
        <w:t>phenytoin</w:t>
      </w:r>
      <w:proofErr w:type="spellEnd"/>
      <w:r w:rsidRPr="008B475B">
        <w:rPr>
          <w:sz w:val="24"/>
          <w:szCs w:val="24"/>
        </w:rPr>
        <w:t xml:space="preserve">. Analysen af data ved en </w:t>
      </w:r>
      <w:proofErr w:type="spellStart"/>
      <w:r w:rsidRPr="008B475B">
        <w:rPr>
          <w:sz w:val="24"/>
          <w:szCs w:val="24"/>
        </w:rPr>
        <w:t>populations</w:t>
      </w:r>
      <w:r>
        <w:rPr>
          <w:sz w:val="24"/>
          <w:szCs w:val="24"/>
        </w:rPr>
        <w:softHyphen/>
      </w:r>
      <w:r w:rsidRPr="008B475B">
        <w:rPr>
          <w:sz w:val="24"/>
          <w:szCs w:val="24"/>
        </w:rPr>
        <w:t>farmakokinetisk</w:t>
      </w:r>
      <w:proofErr w:type="spellEnd"/>
      <w:r w:rsidRPr="008B475B">
        <w:rPr>
          <w:sz w:val="24"/>
          <w:szCs w:val="24"/>
        </w:rPr>
        <w:t xml:space="preserve"> metode viste ingen forskel på intravenøs </w:t>
      </w:r>
      <w:proofErr w:type="spellStart"/>
      <w:r w:rsidRPr="008B475B">
        <w:rPr>
          <w:sz w:val="24"/>
          <w:szCs w:val="24"/>
        </w:rPr>
        <w:t>busulfan-clearance</w:t>
      </w:r>
      <w:proofErr w:type="spellEnd"/>
      <w:r w:rsidRPr="008B475B">
        <w:rPr>
          <w:sz w:val="24"/>
          <w:szCs w:val="24"/>
        </w:rPr>
        <w:t xml:space="preserve"> mellem </w:t>
      </w:r>
      <w:proofErr w:type="spellStart"/>
      <w:r w:rsidRPr="008B475B">
        <w:rPr>
          <w:sz w:val="24"/>
          <w:szCs w:val="24"/>
        </w:rPr>
        <w:t>phenytoin</w:t>
      </w:r>
      <w:proofErr w:type="spellEnd"/>
      <w:r w:rsidRPr="008B475B">
        <w:rPr>
          <w:sz w:val="24"/>
          <w:szCs w:val="24"/>
        </w:rPr>
        <w:t xml:space="preserve">- og </w:t>
      </w:r>
      <w:proofErr w:type="spellStart"/>
      <w:r w:rsidRPr="008B475B">
        <w:rPr>
          <w:sz w:val="24"/>
          <w:szCs w:val="24"/>
        </w:rPr>
        <w:t>clonazepambaseret</w:t>
      </w:r>
      <w:proofErr w:type="spellEnd"/>
      <w:r w:rsidRPr="008B475B">
        <w:rPr>
          <w:sz w:val="24"/>
          <w:szCs w:val="24"/>
        </w:rPr>
        <w:t xml:space="preserve"> behandling og derfor blev sammenlignelige </w:t>
      </w:r>
      <w:proofErr w:type="spellStart"/>
      <w:r w:rsidRPr="008B475B">
        <w:rPr>
          <w:sz w:val="24"/>
          <w:szCs w:val="24"/>
        </w:rPr>
        <w:t>busulfan</w:t>
      </w:r>
      <w:proofErr w:type="spellEnd"/>
      <w:r w:rsidRPr="008B475B">
        <w:rPr>
          <w:sz w:val="24"/>
          <w:szCs w:val="24"/>
        </w:rPr>
        <w:t>- plasmaeksponeringer opnået uanset typen af krampeprofylakse.</w:t>
      </w:r>
    </w:p>
    <w:p w14:paraId="507A09BE" w14:textId="77777777" w:rsidR="0044481D" w:rsidRPr="008B475B" w:rsidRDefault="0044481D" w:rsidP="0044481D">
      <w:pPr>
        <w:ind w:left="851"/>
        <w:rPr>
          <w:sz w:val="24"/>
          <w:szCs w:val="24"/>
        </w:rPr>
      </w:pPr>
    </w:p>
    <w:p w14:paraId="74D4A040" w14:textId="77777777" w:rsidR="0044481D" w:rsidRPr="002F7A21" w:rsidRDefault="0044481D" w:rsidP="0044481D">
      <w:pPr>
        <w:ind w:left="851"/>
        <w:rPr>
          <w:sz w:val="24"/>
          <w:szCs w:val="24"/>
        </w:rPr>
      </w:pPr>
      <w:r w:rsidRPr="002F7A21">
        <w:rPr>
          <w:sz w:val="24"/>
          <w:szCs w:val="24"/>
        </w:rPr>
        <w:t xml:space="preserve">Interaktion blev ikke observeret ved kombination af </w:t>
      </w:r>
      <w:proofErr w:type="spellStart"/>
      <w:r w:rsidRPr="002F7A21">
        <w:rPr>
          <w:sz w:val="24"/>
          <w:szCs w:val="24"/>
        </w:rPr>
        <w:t>busulfan</w:t>
      </w:r>
      <w:proofErr w:type="spellEnd"/>
      <w:r w:rsidRPr="002F7A21">
        <w:rPr>
          <w:sz w:val="24"/>
          <w:szCs w:val="24"/>
        </w:rPr>
        <w:t xml:space="preserve"> og 5-HT3-antiemetika såsom </w:t>
      </w:r>
      <w:proofErr w:type="spellStart"/>
      <w:r w:rsidRPr="002F7A21">
        <w:rPr>
          <w:sz w:val="24"/>
          <w:szCs w:val="24"/>
        </w:rPr>
        <w:t>ondansetron</w:t>
      </w:r>
      <w:proofErr w:type="spellEnd"/>
      <w:r w:rsidRPr="002F7A21">
        <w:rPr>
          <w:sz w:val="24"/>
          <w:szCs w:val="24"/>
        </w:rPr>
        <w:t xml:space="preserve"> og </w:t>
      </w:r>
      <w:proofErr w:type="spellStart"/>
      <w:r w:rsidRPr="002F7A21">
        <w:rPr>
          <w:sz w:val="24"/>
          <w:szCs w:val="24"/>
        </w:rPr>
        <w:t>granisetron</w:t>
      </w:r>
      <w:proofErr w:type="spellEnd"/>
      <w:r w:rsidRPr="002F7A21">
        <w:rPr>
          <w:sz w:val="24"/>
          <w:szCs w:val="24"/>
        </w:rPr>
        <w:t>.</w:t>
      </w:r>
    </w:p>
    <w:p w14:paraId="1C14BC7A" w14:textId="77777777" w:rsidR="0044481D" w:rsidRPr="002F7A21" w:rsidRDefault="0044481D" w:rsidP="0044481D">
      <w:pPr>
        <w:ind w:left="851"/>
        <w:rPr>
          <w:sz w:val="24"/>
          <w:szCs w:val="24"/>
        </w:rPr>
      </w:pPr>
    </w:p>
    <w:p w14:paraId="628F464C" w14:textId="77777777" w:rsidR="0044481D" w:rsidRDefault="0044481D" w:rsidP="0044481D">
      <w:pPr>
        <w:ind w:left="851"/>
        <w:rPr>
          <w:sz w:val="24"/>
          <w:szCs w:val="24"/>
        </w:rPr>
      </w:pPr>
      <w:r w:rsidRPr="002F7A21">
        <w:rPr>
          <w:sz w:val="24"/>
          <w:szCs w:val="24"/>
        </w:rPr>
        <w:t xml:space="preserve">Der er blevet observeret øgninger i eksponeringen for </w:t>
      </w:r>
      <w:proofErr w:type="spellStart"/>
      <w:r w:rsidRPr="002F7A21">
        <w:rPr>
          <w:sz w:val="24"/>
          <w:szCs w:val="24"/>
        </w:rPr>
        <w:t>busulfan</w:t>
      </w:r>
      <w:proofErr w:type="spellEnd"/>
      <w:r w:rsidRPr="002F7A21">
        <w:rPr>
          <w:sz w:val="24"/>
          <w:szCs w:val="24"/>
        </w:rPr>
        <w:t xml:space="preserve"> ved samtidig administration af </w:t>
      </w:r>
      <w:proofErr w:type="spellStart"/>
      <w:r w:rsidRPr="002F7A21">
        <w:rPr>
          <w:sz w:val="24"/>
          <w:szCs w:val="24"/>
        </w:rPr>
        <w:t>busulfan</w:t>
      </w:r>
      <w:proofErr w:type="spellEnd"/>
      <w:r w:rsidRPr="002F7A21">
        <w:rPr>
          <w:sz w:val="24"/>
          <w:szCs w:val="24"/>
        </w:rPr>
        <w:t xml:space="preserve"> og </w:t>
      </w:r>
      <w:proofErr w:type="spellStart"/>
      <w:r w:rsidRPr="002F7A21">
        <w:rPr>
          <w:sz w:val="24"/>
          <w:szCs w:val="24"/>
        </w:rPr>
        <w:t>deferasirox</w:t>
      </w:r>
      <w:proofErr w:type="spellEnd"/>
      <w:r w:rsidRPr="002F7A21">
        <w:rPr>
          <w:sz w:val="24"/>
          <w:szCs w:val="24"/>
        </w:rPr>
        <w:t xml:space="preserve">. Mekanismen bag interaktionen er ikke fuldt belyst. Det anbefales, at plasmakoncentrationerne af </w:t>
      </w:r>
      <w:proofErr w:type="spellStart"/>
      <w:r w:rsidRPr="002F7A21">
        <w:rPr>
          <w:sz w:val="24"/>
          <w:szCs w:val="24"/>
        </w:rPr>
        <w:t>busulfan</w:t>
      </w:r>
      <w:proofErr w:type="spellEnd"/>
      <w:r w:rsidRPr="002F7A21">
        <w:rPr>
          <w:sz w:val="24"/>
          <w:szCs w:val="24"/>
        </w:rPr>
        <w:t xml:space="preserve"> overvåges regelmæssigt, og hvis det er nødvendigt skal </w:t>
      </w:r>
      <w:proofErr w:type="spellStart"/>
      <w:r w:rsidRPr="002F7A21">
        <w:rPr>
          <w:sz w:val="24"/>
          <w:szCs w:val="24"/>
        </w:rPr>
        <w:t>busulfandosis</w:t>
      </w:r>
      <w:proofErr w:type="spellEnd"/>
      <w:r w:rsidRPr="002F7A21">
        <w:rPr>
          <w:sz w:val="24"/>
          <w:szCs w:val="24"/>
        </w:rPr>
        <w:t xml:space="preserve"> justeres hos patienter, som er eller for nylig har været i behandling med </w:t>
      </w:r>
      <w:proofErr w:type="spellStart"/>
      <w:r w:rsidRPr="002F7A21">
        <w:rPr>
          <w:sz w:val="24"/>
          <w:szCs w:val="24"/>
        </w:rPr>
        <w:t>deferasirox</w:t>
      </w:r>
      <w:proofErr w:type="spellEnd"/>
      <w:r w:rsidRPr="002F7A21">
        <w:rPr>
          <w:sz w:val="24"/>
          <w:szCs w:val="24"/>
        </w:rPr>
        <w:t>.</w:t>
      </w:r>
    </w:p>
    <w:p w14:paraId="2D88B15F" w14:textId="77777777" w:rsidR="0044481D" w:rsidRPr="008B475B" w:rsidRDefault="0044481D" w:rsidP="0044481D">
      <w:pPr>
        <w:ind w:left="851"/>
        <w:rPr>
          <w:sz w:val="24"/>
          <w:szCs w:val="24"/>
        </w:rPr>
      </w:pPr>
    </w:p>
    <w:p w14:paraId="7009423B" w14:textId="77777777" w:rsidR="0044481D" w:rsidRPr="00C84483" w:rsidRDefault="0044481D" w:rsidP="0044481D">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2E3EBE88" w14:textId="77777777" w:rsidR="0044481D" w:rsidRPr="008B475B" w:rsidRDefault="0044481D" w:rsidP="0044481D">
      <w:pPr>
        <w:ind w:left="851"/>
        <w:rPr>
          <w:noProof/>
          <w:sz w:val="24"/>
          <w:szCs w:val="24"/>
          <w:u w:val="single"/>
        </w:rPr>
      </w:pPr>
    </w:p>
    <w:p w14:paraId="38202CDE" w14:textId="77777777" w:rsidR="0044481D" w:rsidRPr="008B475B" w:rsidRDefault="0044481D" w:rsidP="0044481D">
      <w:pPr>
        <w:ind w:left="851"/>
        <w:rPr>
          <w:noProof/>
          <w:sz w:val="24"/>
          <w:szCs w:val="24"/>
          <w:u w:val="single"/>
        </w:rPr>
      </w:pPr>
      <w:r w:rsidRPr="008B475B">
        <w:rPr>
          <w:noProof/>
          <w:sz w:val="24"/>
          <w:szCs w:val="24"/>
          <w:u w:val="single"/>
        </w:rPr>
        <w:t>Graviditet</w:t>
      </w:r>
    </w:p>
    <w:p w14:paraId="456602BC" w14:textId="77777777" w:rsidR="0044481D" w:rsidRPr="008B475B" w:rsidRDefault="0044481D" w:rsidP="0044481D">
      <w:pPr>
        <w:ind w:left="851"/>
        <w:rPr>
          <w:noProof/>
          <w:sz w:val="24"/>
          <w:szCs w:val="24"/>
        </w:rPr>
      </w:pPr>
      <w:r w:rsidRPr="008B475B">
        <w:rPr>
          <w:noProof/>
          <w:sz w:val="24"/>
          <w:szCs w:val="24"/>
        </w:rPr>
        <w:t>HPCT er kontraindiceret hos gravide kvinder, hvorfor busulfan er kontraindiceret under graviditet. Dyreforsøg har vist reproduktionstoksicitet (embryoføtale dødsfald og misdannelser) (se pkt 5.3).</w:t>
      </w:r>
    </w:p>
    <w:p w14:paraId="7583C813" w14:textId="77777777" w:rsidR="0044481D" w:rsidRPr="008B475B" w:rsidRDefault="0044481D" w:rsidP="0044481D">
      <w:pPr>
        <w:ind w:left="851"/>
        <w:rPr>
          <w:noProof/>
          <w:sz w:val="24"/>
          <w:szCs w:val="24"/>
        </w:rPr>
      </w:pPr>
      <w:r w:rsidRPr="008B475B">
        <w:rPr>
          <w:noProof/>
          <w:sz w:val="24"/>
          <w:szCs w:val="24"/>
        </w:rPr>
        <w:t>Der er ingen eller utilstrækkelige data fra anvendelse af busulfan eller DMA til gravide kvinder. Der er indberettet enkelte tilfælde af medfødte anomalier med lavdosis oralt busulfan, men disse var ikke nødvendigvis relateret til den aktive substans, og eksponering i 3. trimester kan være forbundet med intrauterin væksthæmning.</w:t>
      </w:r>
    </w:p>
    <w:p w14:paraId="5B9F82AD" w14:textId="77777777" w:rsidR="0044481D" w:rsidRPr="008B475B" w:rsidRDefault="0044481D" w:rsidP="0044481D">
      <w:pPr>
        <w:ind w:left="851"/>
        <w:rPr>
          <w:noProof/>
          <w:sz w:val="24"/>
          <w:szCs w:val="24"/>
        </w:rPr>
      </w:pPr>
    </w:p>
    <w:p w14:paraId="116517C5" w14:textId="77777777" w:rsidR="0044481D" w:rsidRPr="008B475B" w:rsidRDefault="0044481D" w:rsidP="0044481D">
      <w:pPr>
        <w:ind w:left="851"/>
        <w:rPr>
          <w:noProof/>
          <w:sz w:val="24"/>
          <w:szCs w:val="24"/>
          <w:u w:val="single"/>
        </w:rPr>
      </w:pPr>
      <w:r w:rsidRPr="008B475B">
        <w:rPr>
          <w:noProof/>
          <w:sz w:val="24"/>
          <w:szCs w:val="24"/>
          <w:u w:val="single"/>
        </w:rPr>
        <w:t>Kvinder i den fertile alder</w:t>
      </w:r>
    </w:p>
    <w:p w14:paraId="6E4D89C6" w14:textId="77777777" w:rsidR="0044481D" w:rsidRPr="008B475B" w:rsidRDefault="0044481D" w:rsidP="0044481D">
      <w:pPr>
        <w:ind w:left="851"/>
        <w:rPr>
          <w:noProof/>
          <w:sz w:val="24"/>
          <w:szCs w:val="24"/>
        </w:rPr>
      </w:pPr>
      <w:r w:rsidRPr="008B475B">
        <w:rPr>
          <w:noProof/>
          <w:sz w:val="24"/>
          <w:szCs w:val="24"/>
        </w:rPr>
        <w:t>Kvinder i den fertile alder skal anvende sikker kontraception under behandlingen og i op til 6 måneder efter behandlingen.</w:t>
      </w:r>
    </w:p>
    <w:p w14:paraId="2FAB6D63" w14:textId="77777777" w:rsidR="0044481D" w:rsidRPr="008B475B" w:rsidRDefault="0044481D" w:rsidP="0044481D">
      <w:pPr>
        <w:ind w:left="851"/>
        <w:rPr>
          <w:noProof/>
          <w:sz w:val="24"/>
          <w:szCs w:val="24"/>
        </w:rPr>
      </w:pPr>
    </w:p>
    <w:p w14:paraId="5E903D90" w14:textId="77777777" w:rsidR="0044481D" w:rsidRPr="008B475B" w:rsidRDefault="0044481D" w:rsidP="0044481D">
      <w:pPr>
        <w:ind w:left="851"/>
        <w:rPr>
          <w:noProof/>
          <w:sz w:val="24"/>
          <w:szCs w:val="24"/>
          <w:u w:val="single"/>
        </w:rPr>
      </w:pPr>
      <w:r w:rsidRPr="008B475B">
        <w:rPr>
          <w:noProof/>
          <w:sz w:val="24"/>
          <w:szCs w:val="24"/>
          <w:u w:val="single"/>
        </w:rPr>
        <w:t>Amning</w:t>
      </w:r>
    </w:p>
    <w:p w14:paraId="5E96ABE8" w14:textId="77777777" w:rsidR="0044481D" w:rsidRPr="008B475B" w:rsidRDefault="0044481D" w:rsidP="0044481D">
      <w:pPr>
        <w:ind w:left="851"/>
        <w:rPr>
          <w:noProof/>
          <w:sz w:val="24"/>
          <w:szCs w:val="24"/>
        </w:rPr>
      </w:pPr>
      <w:r w:rsidRPr="008B475B">
        <w:rPr>
          <w:noProof/>
          <w:sz w:val="24"/>
          <w:szCs w:val="24"/>
        </w:rPr>
        <w:t>Det er ukendt, om busulfan og DMA udskilles i human mælk. Da studier med busulfan hos mennesker og dyr har vist risiko for tumorgenicitet, skal amning ophøre under busulfan-behandling.</w:t>
      </w:r>
    </w:p>
    <w:p w14:paraId="554DC104" w14:textId="77777777" w:rsidR="0044481D" w:rsidRPr="008B475B" w:rsidRDefault="0044481D" w:rsidP="0044481D">
      <w:pPr>
        <w:ind w:left="851"/>
        <w:rPr>
          <w:noProof/>
          <w:sz w:val="24"/>
          <w:szCs w:val="24"/>
        </w:rPr>
      </w:pPr>
    </w:p>
    <w:p w14:paraId="22F29936" w14:textId="77777777" w:rsidR="0044481D" w:rsidRPr="008B475B" w:rsidRDefault="0044481D" w:rsidP="0044481D">
      <w:pPr>
        <w:ind w:left="851"/>
        <w:rPr>
          <w:noProof/>
          <w:sz w:val="24"/>
          <w:szCs w:val="24"/>
          <w:u w:val="single"/>
        </w:rPr>
      </w:pPr>
      <w:r w:rsidRPr="008B475B">
        <w:rPr>
          <w:noProof/>
          <w:sz w:val="24"/>
          <w:szCs w:val="24"/>
          <w:u w:val="single"/>
        </w:rPr>
        <w:t>Fertilitet</w:t>
      </w:r>
    </w:p>
    <w:p w14:paraId="4FEC6F87" w14:textId="77777777" w:rsidR="0044481D" w:rsidRPr="008B475B" w:rsidRDefault="0044481D" w:rsidP="0044481D">
      <w:pPr>
        <w:ind w:left="851"/>
        <w:rPr>
          <w:noProof/>
          <w:sz w:val="24"/>
          <w:szCs w:val="24"/>
        </w:rPr>
      </w:pPr>
      <w:r w:rsidRPr="008B475B">
        <w:rPr>
          <w:noProof/>
          <w:sz w:val="24"/>
          <w:szCs w:val="24"/>
        </w:rPr>
        <w:t>Mandlige patienter frarådes at avle børn under behandlingen og i op til 6 måneder efter behandlingen. Busulfan og DMA kan nedsætte fertiliteten hos mænd og kvinder. På grund af risiko for irreversibel infertilitet tilrådes mænd endvidere at søge rådgivning vedrørende kryo-konservering af sperm forud for behandling (se pkt. 4.4).</w:t>
      </w:r>
    </w:p>
    <w:p w14:paraId="3C7F6FC0" w14:textId="77777777" w:rsidR="0044481D" w:rsidRPr="008B475B" w:rsidRDefault="0044481D" w:rsidP="0044481D">
      <w:pPr>
        <w:ind w:left="851"/>
        <w:rPr>
          <w:sz w:val="24"/>
          <w:szCs w:val="24"/>
        </w:rPr>
      </w:pPr>
    </w:p>
    <w:p w14:paraId="7FEEED31" w14:textId="77777777" w:rsidR="0044481D" w:rsidRPr="00C84483" w:rsidRDefault="0044481D" w:rsidP="0044481D">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0C0E65D8" w14:textId="77777777" w:rsidR="0044481D" w:rsidRPr="008B475B" w:rsidRDefault="0044481D" w:rsidP="0044481D">
      <w:pPr>
        <w:ind w:left="851"/>
        <w:rPr>
          <w:sz w:val="24"/>
          <w:szCs w:val="24"/>
        </w:rPr>
      </w:pPr>
      <w:r w:rsidRPr="008B475B">
        <w:rPr>
          <w:sz w:val="24"/>
          <w:szCs w:val="24"/>
        </w:rPr>
        <w:t>Ikke mærkning.</w:t>
      </w:r>
    </w:p>
    <w:p w14:paraId="1F65B875" w14:textId="77777777" w:rsidR="0044481D" w:rsidRPr="008B475B" w:rsidRDefault="0044481D" w:rsidP="0044481D">
      <w:pPr>
        <w:ind w:left="851"/>
        <w:rPr>
          <w:sz w:val="24"/>
          <w:szCs w:val="24"/>
        </w:rPr>
      </w:pPr>
      <w:r w:rsidRPr="008B475B">
        <w:rPr>
          <w:sz w:val="24"/>
          <w:szCs w:val="24"/>
        </w:rPr>
        <w:t>Ikke relevant.</w:t>
      </w:r>
    </w:p>
    <w:p w14:paraId="1C6221B2" w14:textId="77777777" w:rsidR="0044481D" w:rsidRPr="008B475B" w:rsidRDefault="0044481D" w:rsidP="0044481D">
      <w:pPr>
        <w:ind w:left="851"/>
        <w:rPr>
          <w:sz w:val="24"/>
          <w:szCs w:val="24"/>
        </w:rPr>
      </w:pPr>
    </w:p>
    <w:p w14:paraId="7BB35E2F" w14:textId="77777777" w:rsidR="0044481D" w:rsidRPr="008B475B" w:rsidRDefault="0044481D" w:rsidP="0044481D">
      <w:pPr>
        <w:ind w:left="851" w:hanging="851"/>
        <w:rPr>
          <w:b/>
          <w:sz w:val="24"/>
          <w:szCs w:val="24"/>
        </w:rPr>
      </w:pPr>
      <w:r w:rsidRPr="008B475B">
        <w:rPr>
          <w:b/>
          <w:sz w:val="24"/>
          <w:szCs w:val="24"/>
        </w:rPr>
        <w:t>4.8</w:t>
      </w:r>
      <w:r w:rsidRPr="008B475B">
        <w:rPr>
          <w:b/>
          <w:sz w:val="24"/>
          <w:szCs w:val="24"/>
        </w:rPr>
        <w:tab/>
        <w:t>Bivirkninger</w:t>
      </w:r>
    </w:p>
    <w:p w14:paraId="2B313DF1" w14:textId="77777777" w:rsidR="0044481D" w:rsidRPr="008B475B" w:rsidRDefault="0044481D" w:rsidP="0044481D">
      <w:pPr>
        <w:ind w:left="851"/>
        <w:rPr>
          <w:sz w:val="24"/>
          <w:szCs w:val="24"/>
        </w:rPr>
      </w:pPr>
    </w:p>
    <w:p w14:paraId="1B220C9C" w14:textId="77777777" w:rsidR="0044481D" w:rsidRPr="008B475B" w:rsidRDefault="0044481D" w:rsidP="0044481D">
      <w:pPr>
        <w:ind w:left="851"/>
        <w:rPr>
          <w:sz w:val="24"/>
          <w:szCs w:val="24"/>
          <w:u w:val="single"/>
        </w:rPr>
      </w:pPr>
      <w:r w:rsidRPr="008B475B">
        <w:rPr>
          <w:sz w:val="24"/>
          <w:szCs w:val="24"/>
          <w:u w:val="single"/>
        </w:rPr>
        <w:t>Sammendrag af sikkerhedsprofilen</w:t>
      </w:r>
    </w:p>
    <w:p w14:paraId="044A9025" w14:textId="77777777" w:rsidR="0044481D" w:rsidRPr="008B475B" w:rsidRDefault="0044481D" w:rsidP="0044481D">
      <w:pPr>
        <w:ind w:left="851"/>
        <w:rPr>
          <w:sz w:val="24"/>
          <w:szCs w:val="24"/>
        </w:rPr>
      </w:pPr>
    </w:p>
    <w:p w14:paraId="3B889C41" w14:textId="77777777" w:rsidR="0044481D" w:rsidRPr="008B475B" w:rsidRDefault="0044481D" w:rsidP="0044481D">
      <w:pPr>
        <w:ind w:left="851"/>
        <w:rPr>
          <w:i/>
          <w:sz w:val="24"/>
          <w:szCs w:val="24"/>
          <w:u w:val="single"/>
        </w:rPr>
      </w:pPr>
      <w:proofErr w:type="spellStart"/>
      <w:r w:rsidRPr="008B475B">
        <w:rPr>
          <w:i/>
          <w:sz w:val="24"/>
          <w:szCs w:val="24"/>
          <w:u w:val="single"/>
        </w:rPr>
        <w:t>Busulfan</w:t>
      </w:r>
      <w:proofErr w:type="spellEnd"/>
      <w:r w:rsidRPr="008B475B">
        <w:rPr>
          <w:i/>
          <w:sz w:val="24"/>
          <w:szCs w:val="24"/>
          <w:u w:val="single"/>
        </w:rPr>
        <w:t xml:space="preserve"> i kombination med </w:t>
      </w:r>
      <w:proofErr w:type="spellStart"/>
      <w:r w:rsidRPr="008B475B">
        <w:rPr>
          <w:i/>
          <w:sz w:val="24"/>
          <w:szCs w:val="24"/>
          <w:u w:val="single"/>
        </w:rPr>
        <w:t>cyclophosphamid</w:t>
      </w:r>
      <w:proofErr w:type="spellEnd"/>
      <w:r w:rsidRPr="008B475B">
        <w:rPr>
          <w:i/>
          <w:sz w:val="24"/>
          <w:szCs w:val="24"/>
          <w:u w:val="single"/>
        </w:rPr>
        <w:t xml:space="preserve"> eller </w:t>
      </w:r>
      <w:proofErr w:type="spellStart"/>
      <w:r w:rsidRPr="008B475B">
        <w:rPr>
          <w:i/>
          <w:sz w:val="24"/>
          <w:szCs w:val="24"/>
          <w:u w:val="single"/>
        </w:rPr>
        <w:t>melphalan</w:t>
      </w:r>
      <w:proofErr w:type="spellEnd"/>
      <w:r w:rsidRPr="008B475B">
        <w:rPr>
          <w:i/>
          <w:sz w:val="24"/>
          <w:szCs w:val="24"/>
          <w:u w:val="single"/>
        </w:rPr>
        <w:t xml:space="preserve"> </w:t>
      </w:r>
    </w:p>
    <w:p w14:paraId="02DF4807" w14:textId="77777777" w:rsidR="0044481D" w:rsidRPr="008B475B" w:rsidRDefault="0044481D" w:rsidP="0044481D">
      <w:pPr>
        <w:ind w:left="851"/>
        <w:rPr>
          <w:i/>
          <w:sz w:val="24"/>
          <w:szCs w:val="24"/>
        </w:rPr>
      </w:pPr>
      <w:r w:rsidRPr="008B475B">
        <w:rPr>
          <w:i/>
          <w:sz w:val="24"/>
          <w:szCs w:val="24"/>
        </w:rPr>
        <w:t>Hos voksne</w:t>
      </w:r>
    </w:p>
    <w:p w14:paraId="4ADAE2EC" w14:textId="77777777" w:rsidR="0044481D" w:rsidRPr="008B475B" w:rsidRDefault="0044481D" w:rsidP="0044481D">
      <w:pPr>
        <w:ind w:left="851"/>
        <w:rPr>
          <w:sz w:val="24"/>
          <w:szCs w:val="24"/>
        </w:rPr>
      </w:pPr>
      <w:r w:rsidRPr="008B475B">
        <w:rPr>
          <w:sz w:val="24"/>
          <w:szCs w:val="24"/>
        </w:rPr>
        <w:t xml:space="preserve">Informationerne om bivirkninger stammer fra to kliniske studier (n=103) med </w:t>
      </w:r>
      <w:proofErr w:type="spellStart"/>
      <w:r w:rsidRPr="008B475B">
        <w:rPr>
          <w:sz w:val="24"/>
          <w:szCs w:val="24"/>
        </w:rPr>
        <w:t>busulfan</w:t>
      </w:r>
      <w:proofErr w:type="spellEnd"/>
      <w:r w:rsidRPr="008B475B">
        <w:rPr>
          <w:sz w:val="24"/>
          <w:szCs w:val="24"/>
        </w:rPr>
        <w:t>.</w:t>
      </w:r>
    </w:p>
    <w:p w14:paraId="4A406249" w14:textId="77777777" w:rsidR="0044481D" w:rsidRDefault="0044481D" w:rsidP="0044481D">
      <w:pPr>
        <w:ind w:left="851"/>
        <w:rPr>
          <w:sz w:val="24"/>
          <w:szCs w:val="24"/>
        </w:rPr>
      </w:pPr>
      <w:r w:rsidRPr="008B475B">
        <w:rPr>
          <w:sz w:val="24"/>
          <w:szCs w:val="24"/>
        </w:rPr>
        <w:t>Alvorlig toksicitet, der omfatter hæmatologi, lever og åndedrætsorganer, blev anset for forventelige konsekvenser af konditioneringen og selve transplantationen. De omfattede infektion og graft-versus- host-</w:t>
      </w:r>
      <w:proofErr w:type="spellStart"/>
      <w:r w:rsidRPr="008B475B">
        <w:rPr>
          <w:sz w:val="24"/>
          <w:szCs w:val="24"/>
        </w:rPr>
        <w:t>disease</w:t>
      </w:r>
      <w:proofErr w:type="spellEnd"/>
      <w:r w:rsidRPr="008B475B">
        <w:rPr>
          <w:sz w:val="24"/>
          <w:szCs w:val="24"/>
        </w:rPr>
        <w:t xml:space="preserve"> (GVHD), som, også selv om der ikke var en direkte årsagssammenhæng, var hovedårsagerne til morbiditet og mortalitet, især ved </w:t>
      </w:r>
      <w:proofErr w:type="spellStart"/>
      <w:r w:rsidRPr="008B475B">
        <w:rPr>
          <w:sz w:val="24"/>
          <w:szCs w:val="24"/>
        </w:rPr>
        <w:t>allogen</w:t>
      </w:r>
      <w:proofErr w:type="spellEnd"/>
      <w:r w:rsidRPr="008B475B">
        <w:rPr>
          <w:sz w:val="24"/>
          <w:szCs w:val="24"/>
        </w:rPr>
        <w:t xml:space="preserve"> HPCT.</w:t>
      </w:r>
    </w:p>
    <w:p w14:paraId="2307603D" w14:textId="77777777" w:rsidR="0044481D" w:rsidRPr="008B475B" w:rsidRDefault="0044481D" w:rsidP="0044481D">
      <w:pPr>
        <w:ind w:left="851"/>
        <w:rPr>
          <w:sz w:val="24"/>
          <w:szCs w:val="24"/>
        </w:rPr>
      </w:pPr>
    </w:p>
    <w:p w14:paraId="6D03D634" w14:textId="77777777" w:rsidR="0044481D" w:rsidRPr="008B475B" w:rsidRDefault="0044481D" w:rsidP="0044481D">
      <w:pPr>
        <w:ind w:left="851"/>
        <w:rPr>
          <w:i/>
          <w:sz w:val="24"/>
          <w:szCs w:val="24"/>
        </w:rPr>
      </w:pPr>
      <w:r w:rsidRPr="008B475B">
        <w:rPr>
          <w:i/>
          <w:sz w:val="24"/>
          <w:szCs w:val="24"/>
        </w:rPr>
        <w:t>Blod og lymfesystem:</w:t>
      </w:r>
    </w:p>
    <w:p w14:paraId="473D851F" w14:textId="77777777" w:rsidR="0044481D" w:rsidRPr="008B475B" w:rsidRDefault="0044481D" w:rsidP="0044481D">
      <w:pPr>
        <w:ind w:left="851"/>
        <w:rPr>
          <w:sz w:val="24"/>
          <w:szCs w:val="24"/>
        </w:rPr>
      </w:pPr>
      <w:proofErr w:type="spellStart"/>
      <w:r w:rsidRPr="008B475B">
        <w:rPr>
          <w:sz w:val="24"/>
          <w:szCs w:val="24"/>
        </w:rPr>
        <w:t>Myelosuppression</w:t>
      </w:r>
      <w:proofErr w:type="spellEnd"/>
      <w:r w:rsidRPr="008B475B">
        <w:rPr>
          <w:sz w:val="24"/>
          <w:szCs w:val="24"/>
        </w:rPr>
        <w:t xml:space="preserve"> og </w:t>
      </w:r>
      <w:proofErr w:type="spellStart"/>
      <w:r w:rsidRPr="008B475B">
        <w:rPr>
          <w:sz w:val="24"/>
          <w:szCs w:val="24"/>
        </w:rPr>
        <w:t>immunosuppression</w:t>
      </w:r>
      <w:proofErr w:type="spellEnd"/>
      <w:r w:rsidRPr="008B475B">
        <w:rPr>
          <w:sz w:val="24"/>
          <w:szCs w:val="24"/>
        </w:rPr>
        <w:t xml:space="preserve"> var den ønskede terapeutiske effekt af den konditionerende behandling. Derfor fik alle patienter omfattende </w:t>
      </w:r>
      <w:proofErr w:type="spellStart"/>
      <w:r w:rsidRPr="008B475B">
        <w:rPr>
          <w:sz w:val="24"/>
          <w:szCs w:val="24"/>
        </w:rPr>
        <w:t>cytopeni</w:t>
      </w:r>
      <w:proofErr w:type="spellEnd"/>
      <w:r w:rsidRPr="008B475B">
        <w:rPr>
          <w:sz w:val="24"/>
          <w:szCs w:val="24"/>
        </w:rPr>
        <w:t xml:space="preserve">: </w:t>
      </w:r>
      <w:proofErr w:type="spellStart"/>
      <w:r w:rsidRPr="008B475B">
        <w:rPr>
          <w:sz w:val="24"/>
          <w:szCs w:val="24"/>
        </w:rPr>
        <w:t>leukopeni</w:t>
      </w:r>
      <w:proofErr w:type="spellEnd"/>
      <w:r w:rsidRPr="008B475B">
        <w:rPr>
          <w:sz w:val="24"/>
          <w:szCs w:val="24"/>
        </w:rPr>
        <w:t xml:space="preserve"> 96 %, </w:t>
      </w:r>
      <w:proofErr w:type="spellStart"/>
      <w:r w:rsidRPr="008B475B">
        <w:rPr>
          <w:sz w:val="24"/>
          <w:szCs w:val="24"/>
        </w:rPr>
        <w:t>trombocytopeni</w:t>
      </w:r>
      <w:proofErr w:type="spellEnd"/>
      <w:r w:rsidRPr="008B475B">
        <w:rPr>
          <w:sz w:val="24"/>
          <w:szCs w:val="24"/>
        </w:rPr>
        <w:t xml:space="preserve"> 94 % og anæmi 88 %. Middeltid frem til </w:t>
      </w:r>
      <w:proofErr w:type="spellStart"/>
      <w:r w:rsidRPr="008B475B">
        <w:rPr>
          <w:sz w:val="24"/>
          <w:szCs w:val="24"/>
        </w:rPr>
        <w:t>neutropeni</w:t>
      </w:r>
      <w:proofErr w:type="spellEnd"/>
      <w:r w:rsidRPr="008B475B">
        <w:rPr>
          <w:sz w:val="24"/>
          <w:szCs w:val="24"/>
        </w:rPr>
        <w:t xml:space="preserve"> var 4 dage for såvel autologe og </w:t>
      </w:r>
      <w:proofErr w:type="spellStart"/>
      <w:r w:rsidRPr="008B475B">
        <w:rPr>
          <w:sz w:val="24"/>
          <w:szCs w:val="24"/>
        </w:rPr>
        <w:t>allogene</w:t>
      </w:r>
      <w:proofErr w:type="spellEnd"/>
      <w:r w:rsidRPr="008B475B">
        <w:rPr>
          <w:sz w:val="24"/>
          <w:szCs w:val="24"/>
        </w:rPr>
        <w:t xml:space="preserve"> patienter. Middelvarighed af </w:t>
      </w:r>
      <w:proofErr w:type="spellStart"/>
      <w:r w:rsidRPr="008B475B">
        <w:rPr>
          <w:sz w:val="24"/>
          <w:szCs w:val="24"/>
        </w:rPr>
        <w:t>neutropeni</w:t>
      </w:r>
      <w:proofErr w:type="spellEnd"/>
      <w:r w:rsidRPr="008B475B">
        <w:rPr>
          <w:sz w:val="24"/>
          <w:szCs w:val="24"/>
        </w:rPr>
        <w:t xml:space="preserve"> var 6 dage og 9 dage for henholdsvis autologe og </w:t>
      </w:r>
      <w:proofErr w:type="spellStart"/>
      <w:r w:rsidRPr="008B475B">
        <w:rPr>
          <w:sz w:val="24"/>
          <w:szCs w:val="24"/>
        </w:rPr>
        <w:t>allogene</w:t>
      </w:r>
      <w:proofErr w:type="spellEnd"/>
      <w:r w:rsidRPr="008B475B">
        <w:rPr>
          <w:sz w:val="24"/>
          <w:szCs w:val="24"/>
        </w:rPr>
        <w:t xml:space="preserve"> patienter.</w:t>
      </w:r>
    </w:p>
    <w:p w14:paraId="1E28D666" w14:textId="77777777" w:rsidR="0044481D" w:rsidRPr="008B475B" w:rsidRDefault="0044481D" w:rsidP="0044481D">
      <w:pPr>
        <w:ind w:left="851"/>
        <w:rPr>
          <w:sz w:val="24"/>
          <w:szCs w:val="24"/>
        </w:rPr>
      </w:pPr>
    </w:p>
    <w:p w14:paraId="1FB5BC42" w14:textId="77777777" w:rsidR="0044481D" w:rsidRPr="008B475B" w:rsidRDefault="0044481D" w:rsidP="0044481D">
      <w:pPr>
        <w:ind w:left="851"/>
        <w:rPr>
          <w:i/>
          <w:sz w:val="24"/>
          <w:szCs w:val="24"/>
        </w:rPr>
      </w:pPr>
      <w:r w:rsidRPr="008B475B">
        <w:rPr>
          <w:i/>
          <w:sz w:val="24"/>
          <w:szCs w:val="24"/>
        </w:rPr>
        <w:t>Immunsystemet:</w:t>
      </w:r>
    </w:p>
    <w:p w14:paraId="1A03E21B" w14:textId="77777777" w:rsidR="0044481D" w:rsidRPr="008B475B" w:rsidRDefault="0044481D" w:rsidP="0044481D">
      <w:pPr>
        <w:ind w:left="851"/>
        <w:rPr>
          <w:sz w:val="24"/>
          <w:szCs w:val="24"/>
        </w:rPr>
      </w:pPr>
      <w:r w:rsidRPr="008B475B">
        <w:rPr>
          <w:sz w:val="24"/>
          <w:szCs w:val="24"/>
        </w:rPr>
        <w:t>Data vedrørende forekomsten af akut graft-versus-host-</w:t>
      </w:r>
      <w:proofErr w:type="spellStart"/>
      <w:r w:rsidRPr="008B475B">
        <w:rPr>
          <w:sz w:val="24"/>
          <w:szCs w:val="24"/>
        </w:rPr>
        <w:t>disease</w:t>
      </w:r>
      <w:proofErr w:type="spellEnd"/>
      <w:r w:rsidRPr="008B475B">
        <w:rPr>
          <w:sz w:val="24"/>
          <w:szCs w:val="24"/>
        </w:rPr>
        <w:t xml:space="preserve"> (a-GVHD) blev indsamlet fra OMC- BUS-4 studiet (under </w:t>
      </w:r>
      <w:proofErr w:type="spellStart"/>
      <w:r w:rsidRPr="008B475B">
        <w:rPr>
          <w:sz w:val="24"/>
          <w:szCs w:val="24"/>
        </w:rPr>
        <w:t>allogeneic</w:t>
      </w:r>
      <w:proofErr w:type="spellEnd"/>
      <w:r w:rsidRPr="008B475B">
        <w:rPr>
          <w:sz w:val="24"/>
          <w:szCs w:val="24"/>
        </w:rPr>
        <w:t>) (n=61). 11 patienter i alt (18 %) fik a-GVHD. Forekomsten af a- GVHD grad I-II var 13 % (8/61), mens forekomsten af grad III-IV var 5 % (3/61). Akut GVHD blev anset for alvorlig hos 3 patienter. Kronisk GVHD (c-GVHD) blev indberettet, hvis sygdommen var alvorlig eller førte til dødsfald, og blev angivet som dødsårsag hos 3 patienter.</w:t>
      </w:r>
    </w:p>
    <w:p w14:paraId="2205ED24" w14:textId="77777777" w:rsidR="0044481D" w:rsidRPr="008B475B" w:rsidRDefault="0044481D" w:rsidP="0044481D">
      <w:pPr>
        <w:ind w:left="851"/>
        <w:rPr>
          <w:sz w:val="24"/>
          <w:szCs w:val="24"/>
        </w:rPr>
      </w:pPr>
    </w:p>
    <w:p w14:paraId="586754EB" w14:textId="77777777" w:rsidR="0044481D" w:rsidRPr="008B475B" w:rsidRDefault="0044481D" w:rsidP="0044481D">
      <w:pPr>
        <w:ind w:left="851"/>
        <w:rPr>
          <w:sz w:val="24"/>
          <w:szCs w:val="24"/>
        </w:rPr>
      </w:pPr>
      <w:r w:rsidRPr="008B475B">
        <w:rPr>
          <w:i/>
          <w:sz w:val="24"/>
          <w:szCs w:val="24"/>
        </w:rPr>
        <w:t>Infektioner og parasitære sygdomme</w:t>
      </w:r>
      <w:r w:rsidRPr="008B475B">
        <w:rPr>
          <w:sz w:val="24"/>
          <w:szCs w:val="24"/>
        </w:rPr>
        <w:t>:</w:t>
      </w:r>
    </w:p>
    <w:p w14:paraId="0F31A938" w14:textId="77777777" w:rsidR="0044481D" w:rsidRPr="008B475B" w:rsidRDefault="0044481D" w:rsidP="0044481D">
      <w:pPr>
        <w:ind w:left="851"/>
        <w:rPr>
          <w:sz w:val="24"/>
          <w:szCs w:val="24"/>
        </w:rPr>
      </w:pPr>
      <w:r w:rsidRPr="008B475B">
        <w:rPr>
          <w:sz w:val="24"/>
          <w:szCs w:val="24"/>
        </w:rPr>
        <w:t>39 % af patienterne (40/103) oplevede en eller flere episoder med infektion, hvoraf 83 % (33/40) blev klassificeret som mild eller moderat. Pneumoni var dødelig hos 1 % (1/103) og livstruende hos 3 % af patienterne. Andre infektioner blev anset for alvorlige hos 3 % af patienterne. Feber blev indberettet for 87 % af patienterne og klassificeret som mild til moderat hos 84 % og alvorlig hos 3 %. 47 % af patienterne fik kuldegysninger, som var milde til moderate hos 46 % og svære hos 1 %.</w:t>
      </w:r>
    </w:p>
    <w:p w14:paraId="7F3587C1" w14:textId="77777777" w:rsidR="0044481D" w:rsidRPr="008B475B" w:rsidRDefault="0044481D" w:rsidP="0044481D">
      <w:pPr>
        <w:ind w:left="851"/>
        <w:rPr>
          <w:sz w:val="24"/>
          <w:szCs w:val="24"/>
        </w:rPr>
      </w:pPr>
    </w:p>
    <w:p w14:paraId="43A60314" w14:textId="77777777" w:rsidR="0044481D" w:rsidRPr="008B475B" w:rsidRDefault="0044481D" w:rsidP="0044481D">
      <w:pPr>
        <w:ind w:left="851"/>
        <w:rPr>
          <w:i/>
          <w:sz w:val="24"/>
          <w:szCs w:val="24"/>
        </w:rPr>
      </w:pPr>
      <w:r w:rsidRPr="008B475B">
        <w:rPr>
          <w:i/>
          <w:sz w:val="24"/>
          <w:szCs w:val="24"/>
        </w:rPr>
        <w:t>Lever og galdeveje:</w:t>
      </w:r>
    </w:p>
    <w:p w14:paraId="52D0FBCB" w14:textId="77777777" w:rsidR="0044481D" w:rsidRPr="008B475B" w:rsidRDefault="0044481D" w:rsidP="0044481D">
      <w:pPr>
        <w:ind w:left="851"/>
        <w:rPr>
          <w:sz w:val="24"/>
          <w:szCs w:val="24"/>
        </w:rPr>
      </w:pPr>
      <w:r w:rsidRPr="008B475B">
        <w:rPr>
          <w:sz w:val="24"/>
          <w:szCs w:val="24"/>
        </w:rPr>
        <w:t>15 % af de alvorlige uønskede hændelser (</w:t>
      </w:r>
      <w:proofErr w:type="spellStart"/>
      <w:r w:rsidRPr="008B475B">
        <w:rPr>
          <w:sz w:val="24"/>
          <w:szCs w:val="24"/>
        </w:rPr>
        <w:t>SAEs</w:t>
      </w:r>
      <w:proofErr w:type="spellEnd"/>
      <w:r w:rsidRPr="008B475B">
        <w:rPr>
          <w:sz w:val="24"/>
          <w:szCs w:val="24"/>
        </w:rPr>
        <w:t xml:space="preserve">) omfattede levertoksicitet. HVOD er en kendt potentiel komplikation til konditionerende behandling efter transplantation. Seks af 103 patienter fik HVOD. HVOD indtraf hos: 8,2 % (5/61) af de </w:t>
      </w:r>
      <w:proofErr w:type="spellStart"/>
      <w:r w:rsidRPr="008B475B">
        <w:rPr>
          <w:sz w:val="24"/>
          <w:szCs w:val="24"/>
        </w:rPr>
        <w:t>allogene</w:t>
      </w:r>
      <w:proofErr w:type="spellEnd"/>
      <w:r w:rsidRPr="008B475B">
        <w:rPr>
          <w:sz w:val="24"/>
          <w:szCs w:val="24"/>
        </w:rPr>
        <w:t xml:space="preserve"> patienter (fatal hos 2 patienter) og 2,5 % (1/42) af de autologe patienter. Der blev også set forhøjet bilirubin (n=3) og forhøjet ASAT (n=1). To af de ovenfor nævnte fire patienter med alvorlig serum-</w:t>
      </w:r>
      <w:proofErr w:type="spellStart"/>
      <w:r w:rsidRPr="008B475B">
        <w:rPr>
          <w:sz w:val="24"/>
          <w:szCs w:val="24"/>
        </w:rPr>
        <w:t>hepatotoksicitet</w:t>
      </w:r>
      <w:proofErr w:type="spellEnd"/>
      <w:r w:rsidRPr="008B475B">
        <w:rPr>
          <w:sz w:val="24"/>
          <w:szCs w:val="24"/>
        </w:rPr>
        <w:t xml:space="preserve"> var blandt patienterne med diagnosticeret HVOD.</w:t>
      </w:r>
    </w:p>
    <w:p w14:paraId="3658794E" w14:textId="77777777" w:rsidR="0044481D" w:rsidRPr="008B475B" w:rsidRDefault="0044481D" w:rsidP="0044481D">
      <w:pPr>
        <w:ind w:left="851"/>
        <w:rPr>
          <w:sz w:val="24"/>
          <w:szCs w:val="24"/>
        </w:rPr>
      </w:pPr>
    </w:p>
    <w:p w14:paraId="7B328803" w14:textId="77777777" w:rsidR="0044481D" w:rsidRPr="008B475B" w:rsidRDefault="0044481D" w:rsidP="0044481D">
      <w:pPr>
        <w:ind w:left="851"/>
        <w:rPr>
          <w:i/>
          <w:sz w:val="24"/>
          <w:szCs w:val="24"/>
        </w:rPr>
      </w:pPr>
      <w:r w:rsidRPr="008B475B">
        <w:rPr>
          <w:i/>
          <w:sz w:val="24"/>
          <w:szCs w:val="24"/>
        </w:rPr>
        <w:t xml:space="preserve">Luftveje, thorax og </w:t>
      </w:r>
      <w:proofErr w:type="spellStart"/>
      <w:r w:rsidRPr="008B475B">
        <w:rPr>
          <w:i/>
          <w:sz w:val="24"/>
          <w:szCs w:val="24"/>
        </w:rPr>
        <w:t>mediastinum</w:t>
      </w:r>
      <w:proofErr w:type="spellEnd"/>
      <w:r w:rsidRPr="008B475B">
        <w:rPr>
          <w:i/>
          <w:sz w:val="24"/>
          <w:szCs w:val="24"/>
        </w:rPr>
        <w:t>:</w:t>
      </w:r>
    </w:p>
    <w:p w14:paraId="5C98E3C2" w14:textId="77777777" w:rsidR="0044481D" w:rsidRPr="008B475B" w:rsidRDefault="0044481D" w:rsidP="0044481D">
      <w:pPr>
        <w:ind w:left="851"/>
        <w:rPr>
          <w:sz w:val="24"/>
          <w:szCs w:val="24"/>
        </w:rPr>
      </w:pPr>
      <w:r w:rsidRPr="008B475B">
        <w:rPr>
          <w:sz w:val="24"/>
          <w:szCs w:val="24"/>
        </w:rPr>
        <w:t xml:space="preserve">I </w:t>
      </w:r>
      <w:proofErr w:type="spellStart"/>
      <w:r w:rsidRPr="008B475B">
        <w:rPr>
          <w:sz w:val="24"/>
          <w:szCs w:val="24"/>
        </w:rPr>
        <w:t>busulfan</w:t>
      </w:r>
      <w:proofErr w:type="spellEnd"/>
      <w:r w:rsidRPr="008B475B">
        <w:rPr>
          <w:sz w:val="24"/>
          <w:szCs w:val="24"/>
        </w:rPr>
        <w:t xml:space="preserve">-studierne døde en patient på grund af </w:t>
      </w:r>
      <w:proofErr w:type="spellStart"/>
      <w:r w:rsidRPr="008B475B">
        <w:rPr>
          <w:sz w:val="24"/>
          <w:szCs w:val="24"/>
        </w:rPr>
        <w:t>shocklunge</w:t>
      </w:r>
      <w:proofErr w:type="spellEnd"/>
      <w:r w:rsidRPr="008B475B">
        <w:rPr>
          <w:sz w:val="24"/>
          <w:szCs w:val="24"/>
        </w:rPr>
        <w:t xml:space="preserve"> - </w:t>
      </w:r>
      <w:proofErr w:type="spellStart"/>
      <w:r w:rsidRPr="008B475B">
        <w:rPr>
          <w:sz w:val="24"/>
          <w:szCs w:val="24"/>
        </w:rPr>
        <w:t>acute</w:t>
      </w:r>
      <w:proofErr w:type="spellEnd"/>
      <w:r w:rsidRPr="008B475B">
        <w:rPr>
          <w:sz w:val="24"/>
          <w:szCs w:val="24"/>
        </w:rPr>
        <w:t xml:space="preserve"> </w:t>
      </w:r>
      <w:proofErr w:type="spellStart"/>
      <w:r w:rsidRPr="008B475B">
        <w:rPr>
          <w:sz w:val="24"/>
          <w:szCs w:val="24"/>
        </w:rPr>
        <w:t>respiratory</w:t>
      </w:r>
      <w:proofErr w:type="spellEnd"/>
      <w:r w:rsidRPr="008B475B">
        <w:rPr>
          <w:sz w:val="24"/>
          <w:szCs w:val="24"/>
        </w:rPr>
        <w:t xml:space="preserve"> </w:t>
      </w:r>
      <w:proofErr w:type="spellStart"/>
      <w:r w:rsidRPr="008B475B">
        <w:rPr>
          <w:sz w:val="24"/>
          <w:szCs w:val="24"/>
        </w:rPr>
        <w:t>distress</w:t>
      </w:r>
      <w:proofErr w:type="spellEnd"/>
      <w:r w:rsidRPr="008B475B">
        <w:rPr>
          <w:sz w:val="24"/>
          <w:szCs w:val="24"/>
        </w:rPr>
        <w:t xml:space="preserve"> </w:t>
      </w:r>
      <w:proofErr w:type="spellStart"/>
      <w:r w:rsidRPr="008B475B">
        <w:rPr>
          <w:sz w:val="24"/>
          <w:szCs w:val="24"/>
        </w:rPr>
        <w:t>syndrome</w:t>
      </w:r>
      <w:proofErr w:type="spellEnd"/>
      <w:r w:rsidRPr="008B475B">
        <w:rPr>
          <w:sz w:val="24"/>
          <w:szCs w:val="24"/>
        </w:rPr>
        <w:t xml:space="preserve"> - efterfulgt af respirationssvigt forbundet med </w:t>
      </w:r>
      <w:proofErr w:type="spellStart"/>
      <w:r w:rsidRPr="008B475B">
        <w:rPr>
          <w:sz w:val="24"/>
          <w:szCs w:val="24"/>
        </w:rPr>
        <w:t>interstitiel</w:t>
      </w:r>
      <w:proofErr w:type="spellEnd"/>
      <w:r w:rsidRPr="008B475B">
        <w:rPr>
          <w:sz w:val="24"/>
          <w:szCs w:val="24"/>
        </w:rPr>
        <w:t xml:space="preserve"> lungefibrose.</w:t>
      </w:r>
    </w:p>
    <w:p w14:paraId="70666F4D" w14:textId="77777777" w:rsidR="0044481D" w:rsidRPr="008B475B" w:rsidRDefault="0044481D" w:rsidP="0044481D">
      <w:pPr>
        <w:ind w:left="851"/>
        <w:rPr>
          <w:sz w:val="24"/>
          <w:szCs w:val="24"/>
        </w:rPr>
      </w:pPr>
    </w:p>
    <w:p w14:paraId="24C8D768" w14:textId="77777777" w:rsidR="0044481D" w:rsidRPr="008B475B" w:rsidRDefault="0044481D" w:rsidP="0044481D">
      <w:pPr>
        <w:ind w:left="851"/>
        <w:rPr>
          <w:i/>
          <w:sz w:val="24"/>
          <w:szCs w:val="24"/>
        </w:rPr>
      </w:pPr>
      <w:r w:rsidRPr="008B475B">
        <w:rPr>
          <w:i/>
          <w:sz w:val="24"/>
          <w:szCs w:val="24"/>
        </w:rPr>
        <w:t>Pædiatrisk population</w:t>
      </w:r>
    </w:p>
    <w:p w14:paraId="47FC8321" w14:textId="77777777" w:rsidR="0044481D" w:rsidRPr="008B475B" w:rsidRDefault="0044481D" w:rsidP="0044481D">
      <w:pPr>
        <w:ind w:left="851"/>
        <w:rPr>
          <w:sz w:val="24"/>
          <w:szCs w:val="24"/>
        </w:rPr>
      </w:pPr>
      <w:r w:rsidRPr="008B475B">
        <w:rPr>
          <w:sz w:val="24"/>
          <w:szCs w:val="24"/>
        </w:rPr>
        <w:t>Informationerne om uønskede hændelser stammer fra det kliniske studie på børn (n=55). Alvorlig toksicitet, der omfatter lever og åndedrætsorganer, blev anset for forventelige konsekvenser af konditioneringen og selve transplantationen.</w:t>
      </w:r>
    </w:p>
    <w:p w14:paraId="3D3F545E" w14:textId="77777777" w:rsidR="0044481D" w:rsidRPr="008B475B" w:rsidRDefault="0044481D" w:rsidP="0044481D">
      <w:pPr>
        <w:ind w:left="851"/>
        <w:rPr>
          <w:sz w:val="24"/>
          <w:szCs w:val="24"/>
        </w:rPr>
      </w:pPr>
    </w:p>
    <w:p w14:paraId="419469A6" w14:textId="77777777" w:rsidR="0044481D" w:rsidRPr="008B475B" w:rsidRDefault="0044481D" w:rsidP="0044481D">
      <w:pPr>
        <w:ind w:left="851"/>
        <w:rPr>
          <w:i/>
          <w:sz w:val="24"/>
          <w:szCs w:val="24"/>
        </w:rPr>
      </w:pPr>
      <w:r w:rsidRPr="008B475B">
        <w:rPr>
          <w:i/>
          <w:sz w:val="24"/>
          <w:szCs w:val="24"/>
        </w:rPr>
        <w:t>Immunsystemet:</w:t>
      </w:r>
    </w:p>
    <w:p w14:paraId="75A5D46D" w14:textId="77777777" w:rsidR="0044481D" w:rsidRPr="008B475B" w:rsidRDefault="0044481D" w:rsidP="0044481D">
      <w:pPr>
        <w:ind w:left="851"/>
        <w:rPr>
          <w:sz w:val="24"/>
          <w:szCs w:val="24"/>
        </w:rPr>
      </w:pPr>
      <w:r w:rsidRPr="008B475B">
        <w:rPr>
          <w:sz w:val="24"/>
          <w:szCs w:val="24"/>
        </w:rPr>
        <w:t>Data vedrørende forekomsten af akut graft-versus-host-</w:t>
      </w:r>
      <w:proofErr w:type="spellStart"/>
      <w:r w:rsidRPr="008B475B">
        <w:rPr>
          <w:sz w:val="24"/>
          <w:szCs w:val="24"/>
        </w:rPr>
        <w:t>disease</w:t>
      </w:r>
      <w:proofErr w:type="spellEnd"/>
      <w:r w:rsidRPr="008B475B">
        <w:rPr>
          <w:sz w:val="24"/>
          <w:szCs w:val="24"/>
        </w:rPr>
        <w:t xml:space="preserve"> (a-GVHD) blev indsamlet for </w:t>
      </w:r>
      <w:proofErr w:type="spellStart"/>
      <w:r w:rsidRPr="008B475B">
        <w:rPr>
          <w:sz w:val="24"/>
          <w:szCs w:val="24"/>
        </w:rPr>
        <w:t>allogene</w:t>
      </w:r>
      <w:proofErr w:type="spellEnd"/>
      <w:r w:rsidRPr="008B475B">
        <w:rPr>
          <w:sz w:val="24"/>
          <w:szCs w:val="24"/>
        </w:rPr>
        <w:t xml:space="preserve"> patienter (n=28). 14 patienter i alt (50 %) fik a-GVHD. Forekomsten af a-GVHD grad I-II var 46,4 % (13/28), mens forekomsten af grad III-IV var 3,6 % (1/28). Kronisk GVHD blev kun indberettet, hvis sygdommen førte til dødsfald: En patient døde 13 måneder efter transplantation.</w:t>
      </w:r>
    </w:p>
    <w:p w14:paraId="75D3529B" w14:textId="77777777" w:rsidR="0044481D" w:rsidRPr="008B475B" w:rsidRDefault="0044481D" w:rsidP="0044481D">
      <w:pPr>
        <w:ind w:left="851"/>
        <w:rPr>
          <w:noProof/>
          <w:sz w:val="24"/>
          <w:szCs w:val="24"/>
        </w:rPr>
      </w:pPr>
    </w:p>
    <w:p w14:paraId="4714EBA2" w14:textId="77777777" w:rsidR="0044481D" w:rsidRPr="008B475B" w:rsidRDefault="0044481D" w:rsidP="0044481D">
      <w:pPr>
        <w:ind w:left="851"/>
        <w:rPr>
          <w:i/>
          <w:noProof/>
          <w:sz w:val="24"/>
          <w:szCs w:val="24"/>
        </w:rPr>
      </w:pPr>
      <w:r w:rsidRPr="008B475B">
        <w:rPr>
          <w:i/>
          <w:noProof/>
          <w:sz w:val="24"/>
          <w:szCs w:val="24"/>
        </w:rPr>
        <w:t>Infektioner og parasitære sygdomme:</w:t>
      </w:r>
    </w:p>
    <w:p w14:paraId="08A09247" w14:textId="77777777" w:rsidR="0044481D" w:rsidRPr="008B475B" w:rsidRDefault="0044481D" w:rsidP="0044481D">
      <w:pPr>
        <w:ind w:left="851"/>
        <w:rPr>
          <w:noProof/>
          <w:sz w:val="24"/>
          <w:szCs w:val="24"/>
        </w:rPr>
      </w:pPr>
      <w:r w:rsidRPr="008B475B">
        <w:rPr>
          <w:noProof/>
          <w:sz w:val="24"/>
          <w:szCs w:val="24"/>
        </w:rPr>
        <w:t>89 % af patienterne (49/55) oplevede infektioner (dokumenteret og udokumenteret febril neutropeni). Mild/moderat feber blev indberettet for 76 % af patienterne.</w:t>
      </w:r>
    </w:p>
    <w:p w14:paraId="13185AE7" w14:textId="77777777" w:rsidR="0044481D" w:rsidRPr="008B475B" w:rsidRDefault="0044481D" w:rsidP="0044481D">
      <w:pPr>
        <w:ind w:left="851"/>
        <w:rPr>
          <w:noProof/>
          <w:sz w:val="24"/>
          <w:szCs w:val="24"/>
        </w:rPr>
      </w:pPr>
    </w:p>
    <w:p w14:paraId="286410BC" w14:textId="77777777" w:rsidR="0044481D" w:rsidRPr="008B475B" w:rsidRDefault="0044481D" w:rsidP="0044481D">
      <w:pPr>
        <w:ind w:left="851"/>
        <w:rPr>
          <w:i/>
          <w:noProof/>
          <w:sz w:val="24"/>
          <w:szCs w:val="24"/>
        </w:rPr>
      </w:pPr>
      <w:r w:rsidRPr="008B475B">
        <w:rPr>
          <w:i/>
          <w:noProof/>
          <w:sz w:val="24"/>
          <w:szCs w:val="24"/>
        </w:rPr>
        <w:t>Lever og galdeveje:</w:t>
      </w:r>
    </w:p>
    <w:p w14:paraId="21E2B458" w14:textId="77777777" w:rsidR="0044481D" w:rsidRPr="008B475B" w:rsidRDefault="0044481D" w:rsidP="0044481D">
      <w:pPr>
        <w:ind w:left="851"/>
        <w:rPr>
          <w:noProof/>
          <w:sz w:val="24"/>
          <w:szCs w:val="24"/>
        </w:rPr>
      </w:pPr>
      <w:r w:rsidRPr="008B475B">
        <w:rPr>
          <w:noProof/>
          <w:sz w:val="24"/>
          <w:szCs w:val="24"/>
        </w:rPr>
        <w:t>Forhøjede aminotransferaser grad 3 blev indberettet for 24 % af patienterne.</w:t>
      </w:r>
    </w:p>
    <w:p w14:paraId="112D68B7" w14:textId="77777777" w:rsidR="0044481D" w:rsidRPr="008B475B" w:rsidRDefault="0044481D" w:rsidP="0044481D">
      <w:pPr>
        <w:ind w:left="851"/>
        <w:rPr>
          <w:noProof/>
          <w:sz w:val="24"/>
          <w:szCs w:val="24"/>
        </w:rPr>
      </w:pPr>
      <w:r w:rsidRPr="008B475B">
        <w:rPr>
          <w:noProof/>
          <w:sz w:val="24"/>
          <w:szCs w:val="24"/>
        </w:rPr>
        <w:t>Veneokklusiv sygdom (VOD) blev indberettet for 15 % (4/27) og 7 % (2/28) efter henholdsvis autolog og allogen transplantation. Den observerede VOD var hverken fatal eller alvorlig og svandt i alle tilfælde.</w:t>
      </w:r>
    </w:p>
    <w:p w14:paraId="1616F8AB" w14:textId="77777777" w:rsidR="0044481D" w:rsidRPr="008B475B" w:rsidRDefault="0044481D" w:rsidP="0044481D">
      <w:pPr>
        <w:ind w:left="851"/>
        <w:rPr>
          <w:noProof/>
          <w:sz w:val="24"/>
          <w:szCs w:val="24"/>
        </w:rPr>
      </w:pPr>
    </w:p>
    <w:p w14:paraId="0A4E76D7" w14:textId="77777777" w:rsidR="0044481D" w:rsidRPr="008B475B" w:rsidRDefault="0044481D" w:rsidP="0044481D">
      <w:pPr>
        <w:ind w:left="851"/>
        <w:rPr>
          <w:noProof/>
          <w:sz w:val="24"/>
          <w:szCs w:val="24"/>
        </w:rPr>
      </w:pPr>
    </w:p>
    <w:p w14:paraId="7F31CADA" w14:textId="77777777" w:rsidR="0044481D" w:rsidRPr="008B475B" w:rsidRDefault="0044481D" w:rsidP="0044481D">
      <w:pPr>
        <w:ind w:left="851"/>
        <w:rPr>
          <w:noProof/>
          <w:sz w:val="24"/>
          <w:szCs w:val="24"/>
          <w:u w:val="single"/>
        </w:rPr>
      </w:pPr>
      <w:r w:rsidRPr="008B475B">
        <w:rPr>
          <w:noProof/>
          <w:sz w:val="24"/>
          <w:szCs w:val="24"/>
          <w:u w:val="single"/>
        </w:rPr>
        <w:t>Sammendrag af bivirkninger i tabelform</w:t>
      </w:r>
    </w:p>
    <w:p w14:paraId="3440089A" w14:textId="77777777" w:rsidR="0044481D" w:rsidRPr="008B475B" w:rsidRDefault="0044481D" w:rsidP="0044481D">
      <w:pPr>
        <w:ind w:left="851"/>
        <w:rPr>
          <w:noProof/>
          <w:sz w:val="24"/>
          <w:szCs w:val="24"/>
        </w:rPr>
      </w:pPr>
      <w:r w:rsidRPr="008B475B">
        <w:rPr>
          <w:noProof/>
          <w:sz w:val="24"/>
          <w:szCs w:val="24"/>
        </w:rPr>
        <w:t>Hyppigheder er defineret som: Meget almindelig (≥ 1/10), almindelig (≥ 1/100 til &lt; 1/10), ikke almindelig (≥ 1/1.000 til &lt; 1/100) eller ikke kendt (kan ikke estimeres ud fra forhåndenværende data). Bivirkninger, der er indrapporteret i forbindelse med overvågningen efter markedsføring, er indført i tabellerne med hyppigheden "ikke kendt".</w:t>
      </w:r>
    </w:p>
    <w:p w14:paraId="1796DC15" w14:textId="77777777" w:rsidR="0044481D" w:rsidRPr="008B475B" w:rsidRDefault="0044481D" w:rsidP="0044481D">
      <w:pPr>
        <w:ind w:left="851"/>
        <w:rPr>
          <w:noProof/>
          <w:sz w:val="24"/>
          <w:szCs w:val="24"/>
        </w:rPr>
      </w:pPr>
    </w:p>
    <w:p w14:paraId="1185C6D5" w14:textId="77777777" w:rsidR="0044481D" w:rsidRPr="008B475B" w:rsidRDefault="0044481D" w:rsidP="0044481D">
      <w:pPr>
        <w:ind w:left="851"/>
        <w:rPr>
          <w:i/>
          <w:noProof/>
          <w:sz w:val="24"/>
          <w:szCs w:val="24"/>
          <w:u w:val="single"/>
        </w:rPr>
      </w:pPr>
      <w:r w:rsidRPr="008B475B">
        <w:rPr>
          <w:i/>
          <w:noProof/>
          <w:sz w:val="24"/>
          <w:szCs w:val="24"/>
          <w:u w:val="single"/>
        </w:rPr>
        <w:t>Busulfan i kombination med cyclophosphamid eller melphalan</w:t>
      </w:r>
    </w:p>
    <w:p w14:paraId="54298B81" w14:textId="77777777" w:rsidR="0044481D" w:rsidRDefault="0044481D" w:rsidP="0044481D">
      <w:pPr>
        <w:ind w:left="851"/>
        <w:rPr>
          <w:noProof/>
          <w:sz w:val="24"/>
          <w:szCs w:val="24"/>
        </w:rPr>
      </w:pPr>
      <w:r w:rsidRPr="008B475B">
        <w:rPr>
          <w:noProof/>
          <w:sz w:val="24"/>
          <w:szCs w:val="24"/>
        </w:rPr>
        <w:t>Bivirkninger, der er indberettet hos både voksne og pædiatriske patienter i mere end et enkeltstående tilfælde, er angivet nedenfor efter systemorganklasse og hyppighed. Inden for hver hyppighedsgruppe er bivirkningerne angivet efter faldende alvorlighedsgrad.</w:t>
      </w:r>
    </w:p>
    <w:p w14:paraId="58D9C18F" w14:textId="77777777" w:rsidR="0044481D" w:rsidRDefault="0044481D" w:rsidP="0044481D">
      <w:pPr>
        <w:ind w:left="851"/>
        <w:rPr>
          <w:noProof/>
          <w:sz w:val="24"/>
          <w:szCs w:val="24"/>
        </w:rPr>
      </w:pPr>
    </w:p>
    <w:p w14:paraId="34E361CB" w14:textId="77777777" w:rsidR="0044481D" w:rsidRDefault="0044481D" w:rsidP="0044481D">
      <w:pPr>
        <w:ind w:left="851"/>
        <w:rPr>
          <w:noProof/>
          <w:sz w:val="24"/>
          <w:szCs w:val="24"/>
        </w:rPr>
      </w:pPr>
    </w:p>
    <w:p w14:paraId="122B703B" w14:textId="77777777" w:rsidR="0044481D" w:rsidRDefault="0044481D" w:rsidP="0044481D">
      <w:pPr>
        <w:ind w:left="851"/>
        <w:rPr>
          <w:noProof/>
          <w:sz w:val="24"/>
          <w:szCs w:val="24"/>
        </w:rPr>
      </w:pPr>
    </w:p>
    <w:p w14:paraId="277D45DA" w14:textId="77777777" w:rsidR="0044481D" w:rsidRPr="008B475B" w:rsidRDefault="0044481D" w:rsidP="0044481D">
      <w:pPr>
        <w:ind w:left="851"/>
        <w:rPr>
          <w:noProof/>
          <w:sz w:val="24"/>
          <w:szCs w:val="24"/>
        </w:rPr>
      </w:pPr>
    </w:p>
    <w:p w14:paraId="0BED7B70" w14:textId="77777777" w:rsidR="0044481D" w:rsidRPr="008B475B" w:rsidRDefault="0044481D" w:rsidP="0044481D">
      <w:pPr>
        <w:autoSpaceDE w:val="0"/>
        <w:autoSpaceDN w:val="0"/>
        <w:adjustRightInd w:val="0"/>
        <w:rPr>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1872"/>
        <w:gridCol w:w="2127"/>
        <w:gridCol w:w="1701"/>
        <w:gridCol w:w="1842"/>
      </w:tblGrid>
      <w:tr w:rsidR="0044481D" w:rsidRPr="008B475B" w14:paraId="50D4884B" w14:textId="77777777" w:rsidTr="00DD1CFE">
        <w:trPr>
          <w:trHeight w:val="150"/>
        </w:trPr>
        <w:tc>
          <w:tcPr>
            <w:tcW w:w="1073" w:type="pct"/>
            <w:tcBorders>
              <w:top w:val="single" w:sz="4" w:space="0" w:color="auto"/>
              <w:left w:val="single" w:sz="4" w:space="0" w:color="auto"/>
              <w:bottom w:val="single" w:sz="4" w:space="0" w:color="auto"/>
              <w:right w:val="single" w:sz="4" w:space="0" w:color="auto"/>
            </w:tcBorders>
            <w:hideMark/>
          </w:tcPr>
          <w:p w14:paraId="30A536DA" w14:textId="77777777" w:rsidR="0044481D" w:rsidRPr="008B475B" w:rsidRDefault="0044481D" w:rsidP="00DD1CFE">
            <w:pPr>
              <w:rPr>
                <w:b/>
                <w:sz w:val="22"/>
                <w:szCs w:val="22"/>
              </w:rPr>
            </w:pPr>
            <w:r w:rsidRPr="008B475B">
              <w:rPr>
                <w:b/>
                <w:sz w:val="22"/>
                <w:szCs w:val="22"/>
              </w:rPr>
              <w:lastRenderedPageBreak/>
              <w:t>Systemorganklasse</w:t>
            </w:r>
          </w:p>
        </w:tc>
        <w:tc>
          <w:tcPr>
            <w:tcW w:w="975" w:type="pct"/>
            <w:tcBorders>
              <w:top w:val="single" w:sz="4" w:space="0" w:color="auto"/>
              <w:left w:val="single" w:sz="4" w:space="0" w:color="auto"/>
              <w:bottom w:val="single" w:sz="4" w:space="0" w:color="auto"/>
              <w:right w:val="single" w:sz="4" w:space="0" w:color="auto"/>
            </w:tcBorders>
            <w:hideMark/>
          </w:tcPr>
          <w:p w14:paraId="4D3627C1" w14:textId="77777777" w:rsidR="0044481D" w:rsidRPr="008B475B" w:rsidRDefault="0044481D" w:rsidP="00DD1CFE">
            <w:pPr>
              <w:rPr>
                <w:b/>
                <w:sz w:val="22"/>
                <w:szCs w:val="22"/>
              </w:rPr>
            </w:pPr>
            <w:r w:rsidRPr="008B475B">
              <w:rPr>
                <w:b/>
                <w:sz w:val="22"/>
                <w:szCs w:val="22"/>
              </w:rPr>
              <w:t>Meget almindelig</w:t>
            </w:r>
          </w:p>
        </w:tc>
        <w:tc>
          <w:tcPr>
            <w:tcW w:w="1107" w:type="pct"/>
            <w:tcBorders>
              <w:top w:val="single" w:sz="4" w:space="0" w:color="auto"/>
              <w:left w:val="single" w:sz="4" w:space="0" w:color="auto"/>
              <w:bottom w:val="single" w:sz="4" w:space="0" w:color="auto"/>
              <w:right w:val="single" w:sz="4" w:space="0" w:color="auto"/>
            </w:tcBorders>
            <w:hideMark/>
          </w:tcPr>
          <w:p w14:paraId="319FF9CC" w14:textId="77777777" w:rsidR="0044481D" w:rsidRPr="008B475B" w:rsidRDefault="0044481D" w:rsidP="00DD1CFE">
            <w:pPr>
              <w:rPr>
                <w:b/>
                <w:sz w:val="22"/>
                <w:szCs w:val="22"/>
              </w:rPr>
            </w:pPr>
            <w:r w:rsidRPr="008B475B">
              <w:rPr>
                <w:b/>
                <w:sz w:val="22"/>
                <w:szCs w:val="22"/>
              </w:rPr>
              <w:t>Almindelig</w:t>
            </w:r>
          </w:p>
        </w:tc>
        <w:tc>
          <w:tcPr>
            <w:tcW w:w="886" w:type="pct"/>
            <w:tcBorders>
              <w:top w:val="single" w:sz="4" w:space="0" w:color="auto"/>
              <w:left w:val="single" w:sz="4" w:space="0" w:color="auto"/>
              <w:bottom w:val="single" w:sz="4" w:space="0" w:color="auto"/>
              <w:right w:val="single" w:sz="4" w:space="0" w:color="auto"/>
            </w:tcBorders>
            <w:hideMark/>
          </w:tcPr>
          <w:p w14:paraId="613EC30D" w14:textId="77777777" w:rsidR="0044481D" w:rsidRPr="008B475B" w:rsidRDefault="0044481D" w:rsidP="00DD1CFE">
            <w:pPr>
              <w:rPr>
                <w:b/>
                <w:sz w:val="22"/>
                <w:szCs w:val="22"/>
              </w:rPr>
            </w:pPr>
            <w:r w:rsidRPr="008B475B">
              <w:rPr>
                <w:b/>
                <w:sz w:val="22"/>
                <w:szCs w:val="22"/>
              </w:rPr>
              <w:t>Ikke almindelig</w:t>
            </w:r>
          </w:p>
        </w:tc>
        <w:tc>
          <w:tcPr>
            <w:tcW w:w="959" w:type="pct"/>
            <w:tcBorders>
              <w:top w:val="single" w:sz="4" w:space="0" w:color="auto"/>
              <w:left w:val="single" w:sz="4" w:space="0" w:color="auto"/>
              <w:bottom w:val="single" w:sz="4" w:space="0" w:color="auto"/>
              <w:right w:val="single" w:sz="4" w:space="0" w:color="auto"/>
            </w:tcBorders>
            <w:hideMark/>
          </w:tcPr>
          <w:p w14:paraId="3FCDAF8D" w14:textId="77777777" w:rsidR="0044481D" w:rsidRPr="008B475B" w:rsidRDefault="0044481D" w:rsidP="00DD1CFE">
            <w:pPr>
              <w:rPr>
                <w:b/>
                <w:sz w:val="22"/>
                <w:szCs w:val="22"/>
              </w:rPr>
            </w:pPr>
            <w:r w:rsidRPr="008B475B">
              <w:rPr>
                <w:b/>
                <w:sz w:val="22"/>
                <w:szCs w:val="22"/>
              </w:rPr>
              <w:t>Ikke kendt</w:t>
            </w:r>
          </w:p>
        </w:tc>
      </w:tr>
      <w:tr w:rsidR="0044481D" w:rsidRPr="008B475B" w14:paraId="1782A183" w14:textId="77777777" w:rsidTr="00DD1CFE">
        <w:trPr>
          <w:trHeight w:val="90"/>
        </w:trPr>
        <w:tc>
          <w:tcPr>
            <w:tcW w:w="1073" w:type="pct"/>
            <w:tcBorders>
              <w:top w:val="single" w:sz="4" w:space="0" w:color="auto"/>
              <w:left w:val="single" w:sz="4" w:space="0" w:color="auto"/>
              <w:bottom w:val="single" w:sz="4" w:space="0" w:color="auto"/>
              <w:right w:val="single" w:sz="4" w:space="0" w:color="auto"/>
            </w:tcBorders>
            <w:hideMark/>
          </w:tcPr>
          <w:p w14:paraId="047D7772" w14:textId="77777777" w:rsidR="0044481D" w:rsidRPr="008B475B" w:rsidRDefault="0044481D" w:rsidP="00DD1CFE">
            <w:pPr>
              <w:rPr>
                <w:sz w:val="22"/>
                <w:szCs w:val="22"/>
              </w:rPr>
            </w:pPr>
            <w:r w:rsidRPr="008B475B">
              <w:rPr>
                <w:sz w:val="22"/>
                <w:szCs w:val="22"/>
              </w:rPr>
              <w:t>Infektioner og parasitære sygdomme</w:t>
            </w:r>
          </w:p>
        </w:tc>
        <w:tc>
          <w:tcPr>
            <w:tcW w:w="975" w:type="pct"/>
            <w:tcBorders>
              <w:top w:val="single" w:sz="4" w:space="0" w:color="auto"/>
              <w:left w:val="single" w:sz="4" w:space="0" w:color="auto"/>
              <w:bottom w:val="single" w:sz="4" w:space="0" w:color="auto"/>
              <w:right w:val="single" w:sz="4" w:space="0" w:color="auto"/>
            </w:tcBorders>
            <w:hideMark/>
          </w:tcPr>
          <w:p w14:paraId="5C5C0DDB" w14:textId="77777777" w:rsidR="0044481D" w:rsidRDefault="0044481D" w:rsidP="00DD1CFE">
            <w:pPr>
              <w:rPr>
                <w:sz w:val="22"/>
                <w:szCs w:val="22"/>
              </w:rPr>
            </w:pPr>
            <w:proofErr w:type="spellStart"/>
            <w:r w:rsidRPr="008B475B">
              <w:rPr>
                <w:sz w:val="22"/>
                <w:szCs w:val="22"/>
              </w:rPr>
              <w:t>Rhinit</w:t>
            </w:r>
            <w:proofErr w:type="spellEnd"/>
          </w:p>
          <w:p w14:paraId="528C624C" w14:textId="77777777" w:rsidR="0044481D" w:rsidRPr="008B475B" w:rsidRDefault="0044481D" w:rsidP="00DD1CFE">
            <w:pPr>
              <w:rPr>
                <w:sz w:val="22"/>
                <w:szCs w:val="22"/>
              </w:rPr>
            </w:pPr>
            <w:proofErr w:type="spellStart"/>
            <w:r w:rsidRPr="008B475B">
              <w:rPr>
                <w:sz w:val="22"/>
                <w:szCs w:val="22"/>
              </w:rPr>
              <w:t>Pharyngit</w:t>
            </w:r>
            <w:proofErr w:type="spellEnd"/>
          </w:p>
        </w:tc>
        <w:tc>
          <w:tcPr>
            <w:tcW w:w="1107" w:type="pct"/>
            <w:tcBorders>
              <w:top w:val="single" w:sz="4" w:space="0" w:color="auto"/>
              <w:left w:val="single" w:sz="4" w:space="0" w:color="auto"/>
              <w:bottom w:val="single" w:sz="4" w:space="0" w:color="auto"/>
              <w:right w:val="single" w:sz="4" w:space="0" w:color="auto"/>
            </w:tcBorders>
          </w:tcPr>
          <w:p w14:paraId="6EA3F258" w14:textId="77777777" w:rsidR="0044481D" w:rsidRPr="008B475B" w:rsidRDefault="0044481D" w:rsidP="00DD1CFE">
            <w:pPr>
              <w:rPr>
                <w:sz w:val="22"/>
                <w:szCs w:val="22"/>
              </w:rPr>
            </w:pPr>
          </w:p>
        </w:tc>
        <w:tc>
          <w:tcPr>
            <w:tcW w:w="886" w:type="pct"/>
            <w:tcBorders>
              <w:top w:val="single" w:sz="4" w:space="0" w:color="auto"/>
              <w:left w:val="single" w:sz="4" w:space="0" w:color="auto"/>
              <w:bottom w:val="single" w:sz="4" w:space="0" w:color="auto"/>
              <w:right w:val="single" w:sz="4" w:space="0" w:color="auto"/>
            </w:tcBorders>
          </w:tcPr>
          <w:p w14:paraId="22951A06" w14:textId="77777777" w:rsidR="0044481D" w:rsidRPr="008B475B" w:rsidRDefault="0044481D" w:rsidP="00DD1CFE">
            <w:pPr>
              <w:rPr>
                <w:sz w:val="22"/>
                <w:szCs w:val="22"/>
              </w:rPr>
            </w:pPr>
          </w:p>
        </w:tc>
        <w:tc>
          <w:tcPr>
            <w:tcW w:w="959" w:type="pct"/>
            <w:tcBorders>
              <w:top w:val="single" w:sz="4" w:space="0" w:color="auto"/>
              <w:left w:val="single" w:sz="4" w:space="0" w:color="auto"/>
              <w:bottom w:val="single" w:sz="4" w:space="0" w:color="auto"/>
              <w:right w:val="single" w:sz="4" w:space="0" w:color="auto"/>
            </w:tcBorders>
          </w:tcPr>
          <w:p w14:paraId="4D141BFD" w14:textId="77777777" w:rsidR="0044481D" w:rsidRPr="008B475B" w:rsidRDefault="0044481D" w:rsidP="00DD1CFE">
            <w:pPr>
              <w:rPr>
                <w:sz w:val="22"/>
                <w:szCs w:val="22"/>
              </w:rPr>
            </w:pPr>
          </w:p>
        </w:tc>
      </w:tr>
      <w:tr w:rsidR="0044481D" w:rsidRPr="002F7A21" w14:paraId="66665614" w14:textId="77777777" w:rsidTr="00DD1CFE">
        <w:trPr>
          <w:trHeight w:val="135"/>
        </w:trPr>
        <w:tc>
          <w:tcPr>
            <w:tcW w:w="1073" w:type="pct"/>
            <w:tcBorders>
              <w:top w:val="single" w:sz="4" w:space="0" w:color="auto"/>
              <w:left w:val="single" w:sz="4" w:space="0" w:color="auto"/>
              <w:bottom w:val="single" w:sz="4" w:space="0" w:color="auto"/>
              <w:right w:val="single" w:sz="4" w:space="0" w:color="auto"/>
            </w:tcBorders>
            <w:hideMark/>
          </w:tcPr>
          <w:p w14:paraId="097AE7F3" w14:textId="77777777" w:rsidR="0044481D" w:rsidRPr="008B475B" w:rsidRDefault="0044481D" w:rsidP="00DD1CFE">
            <w:pPr>
              <w:rPr>
                <w:sz w:val="22"/>
                <w:szCs w:val="22"/>
              </w:rPr>
            </w:pPr>
            <w:r w:rsidRPr="008B475B">
              <w:rPr>
                <w:sz w:val="22"/>
                <w:szCs w:val="22"/>
              </w:rPr>
              <w:t>Blod og lymfesystem</w:t>
            </w:r>
          </w:p>
        </w:tc>
        <w:tc>
          <w:tcPr>
            <w:tcW w:w="975" w:type="pct"/>
            <w:tcBorders>
              <w:top w:val="single" w:sz="4" w:space="0" w:color="auto"/>
              <w:left w:val="single" w:sz="4" w:space="0" w:color="auto"/>
              <w:bottom w:val="single" w:sz="4" w:space="0" w:color="auto"/>
              <w:right w:val="single" w:sz="4" w:space="0" w:color="auto"/>
            </w:tcBorders>
            <w:hideMark/>
          </w:tcPr>
          <w:p w14:paraId="4B210216" w14:textId="77777777" w:rsidR="0044481D" w:rsidRPr="005A20CF" w:rsidRDefault="0044481D" w:rsidP="00DD1CFE">
            <w:pPr>
              <w:rPr>
                <w:sz w:val="22"/>
                <w:szCs w:val="22"/>
                <w:lang w:val="en-US"/>
              </w:rPr>
            </w:pPr>
            <w:proofErr w:type="spellStart"/>
            <w:r w:rsidRPr="005A20CF">
              <w:rPr>
                <w:sz w:val="22"/>
                <w:szCs w:val="22"/>
                <w:lang w:val="en-US"/>
              </w:rPr>
              <w:t>Neutropeni</w:t>
            </w:r>
            <w:proofErr w:type="spellEnd"/>
            <w:r w:rsidRPr="005A20CF">
              <w:rPr>
                <w:sz w:val="22"/>
                <w:szCs w:val="22"/>
                <w:lang w:val="en-US"/>
              </w:rPr>
              <w:t xml:space="preserve"> </w:t>
            </w:r>
          </w:p>
          <w:p w14:paraId="4C59D14B" w14:textId="77777777" w:rsidR="0044481D" w:rsidRPr="005A20CF" w:rsidRDefault="0044481D" w:rsidP="00DD1CFE">
            <w:pPr>
              <w:rPr>
                <w:sz w:val="22"/>
                <w:szCs w:val="22"/>
                <w:lang w:val="en-US"/>
              </w:rPr>
            </w:pPr>
            <w:proofErr w:type="spellStart"/>
            <w:r w:rsidRPr="005A20CF">
              <w:rPr>
                <w:sz w:val="22"/>
                <w:szCs w:val="22"/>
                <w:lang w:val="en-US"/>
              </w:rPr>
              <w:t>Trombocytopeni</w:t>
            </w:r>
            <w:proofErr w:type="spellEnd"/>
            <w:r w:rsidRPr="005A20CF">
              <w:rPr>
                <w:sz w:val="22"/>
                <w:szCs w:val="22"/>
                <w:lang w:val="en-US"/>
              </w:rPr>
              <w:t xml:space="preserve"> </w:t>
            </w:r>
          </w:p>
          <w:p w14:paraId="2CBF1924" w14:textId="77777777" w:rsidR="0044481D" w:rsidRPr="005A20CF" w:rsidRDefault="0044481D" w:rsidP="00DD1CFE">
            <w:pPr>
              <w:rPr>
                <w:sz w:val="22"/>
                <w:szCs w:val="22"/>
                <w:lang w:val="en-US"/>
              </w:rPr>
            </w:pPr>
            <w:proofErr w:type="spellStart"/>
            <w:r w:rsidRPr="005A20CF">
              <w:rPr>
                <w:sz w:val="22"/>
                <w:szCs w:val="22"/>
                <w:lang w:val="en-US"/>
              </w:rPr>
              <w:t>Febril</w:t>
            </w:r>
            <w:proofErr w:type="spellEnd"/>
            <w:r w:rsidRPr="005A20CF">
              <w:rPr>
                <w:sz w:val="22"/>
                <w:szCs w:val="22"/>
                <w:lang w:val="en-US"/>
              </w:rPr>
              <w:t xml:space="preserve"> </w:t>
            </w:r>
            <w:proofErr w:type="spellStart"/>
            <w:r w:rsidRPr="005A20CF">
              <w:rPr>
                <w:sz w:val="22"/>
                <w:szCs w:val="22"/>
                <w:lang w:val="en-US"/>
              </w:rPr>
              <w:t>neutropeni</w:t>
            </w:r>
            <w:proofErr w:type="spellEnd"/>
            <w:r w:rsidRPr="005A20CF">
              <w:rPr>
                <w:sz w:val="22"/>
                <w:szCs w:val="22"/>
                <w:lang w:val="en-US"/>
              </w:rPr>
              <w:t xml:space="preserve"> </w:t>
            </w:r>
          </w:p>
          <w:p w14:paraId="3A344D53" w14:textId="77777777" w:rsidR="0044481D" w:rsidRPr="005A20CF" w:rsidRDefault="0044481D" w:rsidP="00DD1CFE">
            <w:pPr>
              <w:rPr>
                <w:sz w:val="22"/>
                <w:szCs w:val="22"/>
                <w:lang w:val="en-US"/>
              </w:rPr>
            </w:pPr>
            <w:proofErr w:type="spellStart"/>
            <w:r w:rsidRPr="005A20CF">
              <w:rPr>
                <w:sz w:val="22"/>
                <w:szCs w:val="22"/>
                <w:lang w:val="en-US"/>
              </w:rPr>
              <w:t>Anæmi</w:t>
            </w:r>
            <w:proofErr w:type="spellEnd"/>
            <w:r w:rsidRPr="005A20CF">
              <w:rPr>
                <w:sz w:val="22"/>
                <w:szCs w:val="22"/>
                <w:lang w:val="en-US"/>
              </w:rPr>
              <w:t xml:space="preserve"> </w:t>
            </w:r>
            <w:proofErr w:type="spellStart"/>
            <w:r w:rsidRPr="005A20CF">
              <w:rPr>
                <w:sz w:val="22"/>
                <w:szCs w:val="22"/>
                <w:lang w:val="en-US"/>
              </w:rPr>
              <w:t>Pancytopeni</w:t>
            </w:r>
            <w:proofErr w:type="spellEnd"/>
          </w:p>
        </w:tc>
        <w:tc>
          <w:tcPr>
            <w:tcW w:w="1107" w:type="pct"/>
            <w:tcBorders>
              <w:top w:val="single" w:sz="4" w:space="0" w:color="auto"/>
              <w:left w:val="single" w:sz="4" w:space="0" w:color="auto"/>
              <w:bottom w:val="single" w:sz="4" w:space="0" w:color="auto"/>
              <w:right w:val="single" w:sz="4" w:space="0" w:color="auto"/>
            </w:tcBorders>
          </w:tcPr>
          <w:p w14:paraId="03873B6D" w14:textId="77777777" w:rsidR="0044481D" w:rsidRPr="005A20CF" w:rsidRDefault="0044481D" w:rsidP="00DD1CFE">
            <w:pPr>
              <w:rPr>
                <w:sz w:val="22"/>
                <w:szCs w:val="22"/>
                <w:lang w:val="en-US"/>
              </w:rPr>
            </w:pPr>
          </w:p>
        </w:tc>
        <w:tc>
          <w:tcPr>
            <w:tcW w:w="886" w:type="pct"/>
            <w:tcBorders>
              <w:top w:val="single" w:sz="4" w:space="0" w:color="auto"/>
              <w:left w:val="single" w:sz="4" w:space="0" w:color="auto"/>
              <w:bottom w:val="single" w:sz="4" w:space="0" w:color="auto"/>
              <w:right w:val="single" w:sz="4" w:space="0" w:color="auto"/>
            </w:tcBorders>
          </w:tcPr>
          <w:p w14:paraId="75FF8901" w14:textId="77777777" w:rsidR="0044481D" w:rsidRPr="005A20CF" w:rsidRDefault="0044481D" w:rsidP="00DD1CFE">
            <w:pPr>
              <w:rPr>
                <w:sz w:val="22"/>
                <w:szCs w:val="22"/>
                <w:lang w:val="en-US"/>
              </w:rPr>
            </w:pPr>
          </w:p>
        </w:tc>
        <w:tc>
          <w:tcPr>
            <w:tcW w:w="959" w:type="pct"/>
            <w:tcBorders>
              <w:top w:val="single" w:sz="4" w:space="0" w:color="auto"/>
              <w:left w:val="single" w:sz="4" w:space="0" w:color="auto"/>
              <w:bottom w:val="single" w:sz="4" w:space="0" w:color="auto"/>
              <w:right w:val="single" w:sz="4" w:space="0" w:color="auto"/>
            </w:tcBorders>
          </w:tcPr>
          <w:p w14:paraId="6737E558" w14:textId="77777777" w:rsidR="0044481D" w:rsidRPr="005A20CF" w:rsidRDefault="0044481D" w:rsidP="00DD1CFE">
            <w:pPr>
              <w:rPr>
                <w:sz w:val="22"/>
                <w:szCs w:val="22"/>
                <w:lang w:val="en-US"/>
              </w:rPr>
            </w:pPr>
          </w:p>
        </w:tc>
      </w:tr>
      <w:tr w:rsidR="0044481D" w:rsidRPr="008B475B" w14:paraId="3035E8C7" w14:textId="77777777" w:rsidTr="00DD1CFE">
        <w:trPr>
          <w:trHeight w:val="105"/>
        </w:trPr>
        <w:tc>
          <w:tcPr>
            <w:tcW w:w="1073" w:type="pct"/>
            <w:tcBorders>
              <w:top w:val="single" w:sz="4" w:space="0" w:color="auto"/>
              <w:left w:val="single" w:sz="4" w:space="0" w:color="auto"/>
              <w:bottom w:val="single" w:sz="4" w:space="0" w:color="auto"/>
              <w:right w:val="single" w:sz="4" w:space="0" w:color="auto"/>
            </w:tcBorders>
            <w:hideMark/>
          </w:tcPr>
          <w:p w14:paraId="7F0139CB" w14:textId="77777777" w:rsidR="0044481D" w:rsidRPr="008B475B" w:rsidRDefault="0044481D" w:rsidP="00DD1CFE">
            <w:pPr>
              <w:rPr>
                <w:sz w:val="22"/>
                <w:szCs w:val="22"/>
              </w:rPr>
            </w:pPr>
            <w:r w:rsidRPr="008B475B">
              <w:rPr>
                <w:sz w:val="22"/>
                <w:szCs w:val="22"/>
              </w:rPr>
              <w:t>Immunsystemet</w:t>
            </w:r>
          </w:p>
        </w:tc>
        <w:tc>
          <w:tcPr>
            <w:tcW w:w="975" w:type="pct"/>
            <w:tcBorders>
              <w:top w:val="single" w:sz="4" w:space="0" w:color="auto"/>
              <w:left w:val="single" w:sz="4" w:space="0" w:color="auto"/>
              <w:bottom w:val="single" w:sz="4" w:space="0" w:color="auto"/>
              <w:right w:val="single" w:sz="4" w:space="0" w:color="auto"/>
            </w:tcBorders>
            <w:hideMark/>
          </w:tcPr>
          <w:p w14:paraId="6D131C9A" w14:textId="77777777" w:rsidR="0044481D" w:rsidRPr="008B475B" w:rsidRDefault="0044481D" w:rsidP="00DD1CFE">
            <w:pPr>
              <w:rPr>
                <w:sz w:val="22"/>
                <w:szCs w:val="22"/>
              </w:rPr>
            </w:pPr>
            <w:r w:rsidRPr="008B475B">
              <w:rPr>
                <w:sz w:val="22"/>
                <w:szCs w:val="22"/>
              </w:rPr>
              <w:t>Allergisk reaktion</w:t>
            </w:r>
          </w:p>
        </w:tc>
        <w:tc>
          <w:tcPr>
            <w:tcW w:w="1107" w:type="pct"/>
            <w:tcBorders>
              <w:top w:val="single" w:sz="4" w:space="0" w:color="auto"/>
              <w:left w:val="single" w:sz="4" w:space="0" w:color="auto"/>
              <w:bottom w:val="single" w:sz="4" w:space="0" w:color="auto"/>
              <w:right w:val="single" w:sz="4" w:space="0" w:color="auto"/>
            </w:tcBorders>
          </w:tcPr>
          <w:p w14:paraId="113D2387" w14:textId="77777777" w:rsidR="0044481D" w:rsidRPr="008B475B" w:rsidRDefault="0044481D" w:rsidP="00DD1CFE">
            <w:pPr>
              <w:rPr>
                <w:sz w:val="22"/>
                <w:szCs w:val="22"/>
              </w:rPr>
            </w:pPr>
          </w:p>
        </w:tc>
        <w:tc>
          <w:tcPr>
            <w:tcW w:w="886" w:type="pct"/>
            <w:tcBorders>
              <w:top w:val="single" w:sz="4" w:space="0" w:color="auto"/>
              <w:left w:val="single" w:sz="4" w:space="0" w:color="auto"/>
              <w:bottom w:val="single" w:sz="4" w:space="0" w:color="auto"/>
              <w:right w:val="single" w:sz="4" w:space="0" w:color="auto"/>
            </w:tcBorders>
          </w:tcPr>
          <w:p w14:paraId="7188B4F4" w14:textId="77777777" w:rsidR="0044481D" w:rsidRPr="008B475B" w:rsidRDefault="0044481D" w:rsidP="00DD1CFE">
            <w:pPr>
              <w:rPr>
                <w:sz w:val="22"/>
                <w:szCs w:val="22"/>
              </w:rPr>
            </w:pPr>
          </w:p>
        </w:tc>
        <w:tc>
          <w:tcPr>
            <w:tcW w:w="959" w:type="pct"/>
            <w:tcBorders>
              <w:top w:val="single" w:sz="4" w:space="0" w:color="auto"/>
              <w:left w:val="single" w:sz="4" w:space="0" w:color="auto"/>
              <w:bottom w:val="single" w:sz="4" w:space="0" w:color="auto"/>
              <w:right w:val="single" w:sz="4" w:space="0" w:color="auto"/>
            </w:tcBorders>
          </w:tcPr>
          <w:p w14:paraId="2492D659" w14:textId="77777777" w:rsidR="0044481D" w:rsidRPr="008B475B" w:rsidRDefault="0044481D" w:rsidP="00DD1CFE">
            <w:pPr>
              <w:rPr>
                <w:sz w:val="22"/>
                <w:szCs w:val="22"/>
              </w:rPr>
            </w:pPr>
          </w:p>
        </w:tc>
      </w:tr>
      <w:tr w:rsidR="0044481D" w:rsidRPr="008B475B" w14:paraId="61A0FF6B" w14:textId="77777777" w:rsidTr="00DD1CFE">
        <w:trPr>
          <w:trHeight w:val="105"/>
        </w:trPr>
        <w:tc>
          <w:tcPr>
            <w:tcW w:w="1073" w:type="pct"/>
            <w:tcBorders>
              <w:top w:val="single" w:sz="4" w:space="0" w:color="auto"/>
              <w:left w:val="single" w:sz="4" w:space="0" w:color="auto"/>
              <w:bottom w:val="single" w:sz="4" w:space="0" w:color="auto"/>
              <w:right w:val="single" w:sz="4" w:space="0" w:color="auto"/>
            </w:tcBorders>
            <w:hideMark/>
          </w:tcPr>
          <w:p w14:paraId="1F2FE8F8" w14:textId="77777777" w:rsidR="0044481D" w:rsidRPr="008B475B" w:rsidRDefault="0044481D" w:rsidP="00DD1CFE">
            <w:pPr>
              <w:rPr>
                <w:sz w:val="22"/>
                <w:szCs w:val="22"/>
              </w:rPr>
            </w:pPr>
            <w:r w:rsidRPr="008B475B">
              <w:rPr>
                <w:sz w:val="22"/>
                <w:szCs w:val="22"/>
              </w:rPr>
              <w:t>Det endokrine system</w:t>
            </w:r>
          </w:p>
        </w:tc>
        <w:tc>
          <w:tcPr>
            <w:tcW w:w="975" w:type="pct"/>
            <w:tcBorders>
              <w:top w:val="single" w:sz="4" w:space="0" w:color="auto"/>
              <w:left w:val="single" w:sz="4" w:space="0" w:color="auto"/>
              <w:bottom w:val="single" w:sz="4" w:space="0" w:color="auto"/>
              <w:right w:val="single" w:sz="4" w:space="0" w:color="auto"/>
            </w:tcBorders>
          </w:tcPr>
          <w:p w14:paraId="0C09414C" w14:textId="77777777" w:rsidR="0044481D" w:rsidRPr="008B475B" w:rsidRDefault="0044481D" w:rsidP="00DD1CFE">
            <w:pPr>
              <w:rPr>
                <w:sz w:val="22"/>
                <w:szCs w:val="22"/>
              </w:rPr>
            </w:pPr>
          </w:p>
        </w:tc>
        <w:tc>
          <w:tcPr>
            <w:tcW w:w="1107" w:type="pct"/>
            <w:tcBorders>
              <w:top w:val="single" w:sz="4" w:space="0" w:color="auto"/>
              <w:left w:val="single" w:sz="4" w:space="0" w:color="auto"/>
              <w:bottom w:val="single" w:sz="4" w:space="0" w:color="auto"/>
              <w:right w:val="single" w:sz="4" w:space="0" w:color="auto"/>
            </w:tcBorders>
          </w:tcPr>
          <w:p w14:paraId="5A1AB3DC" w14:textId="77777777" w:rsidR="0044481D" w:rsidRPr="008B475B" w:rsidRDefault="0044481D" w:rsidP="00DD1CFE">
            <w:pPr>
              <w:rPr>
                <w:sz w:val="22"/>
                <w:szCs w:val="22"/>
              </w:rPr>
            </w:pPr>
          </w:p>
        </w:tc>
        <w:tc>
          <w:tcPr>
            <w:tcW w:w="886" w:type="pct"/>
            <w:tcBorders>
              <w:top w:val="single" w:sz="4" w:space="0" w:color="auto"/>
              <w:left w:val="single" w:sz="4" w:space="0" w:color="auto"/>
              <w:bottom w:val="single" w:sz="4" w:space="0" w:color="auto"/>
              <w:right w:val="single" w:sz="4" w:space="0" w:color="auto"/>
            </w:tcBorders>
          </w:tcPr>
          <w:p w14:paraId="4D72E20D" w14:textId="77777777" w:rsidR="0044481D" w:rsidRPr="008B475B" w:rsidRDefault="0044481D" w:rsidP="00DD1CFE">
            <w:pPr>
              <w:rPr>
                <w:sz w:val="22"/>
                <w:szCs w:val="22"/>
              </w:rPr>
            </w:pPr>
          </w:p>
        </w:tc>
        <w:tc>
          <w:tcPr>
            <w:tcW w:w="959" w:type="pct"/>
            <w:tcBorders>
              <w:top w:val="single" w:sz="4" w:space="0" w:color="auto"/>
              <w:left w:val="single" w:sz="4" w:space="0" w:color="auto"/>
              <w:bottom w:val="single" w:sz="4" w:space="0" w:color="auto"/>
              <w:right w:val="single" w:sz="4" w:space="0" w:color="auto"/>
            </w:tcBorders>
            <w:hideMark/>
          </w:tcPr>
          <w:p w14:paraId="4B56F27A" w14:textId="77777777" w:rsidR="0044481D" w:rsidRPr="008B475B" w:rsidRDefault="0044481D" w:rsidP="00DD1CFE">
            <w:pPr>
              <w:rPr>
                <w:sz w:val="22"/>
                <w:szCs w:val="22"/>
              </w:rPr>
            </w:pPr>
            <w:proofErr w:type="spellStart"/>
            <w:r w:rsidRPr="008B475B">
              <w:rPr>
                <w:sz w:val="22"/>
                <w:szCs w:val="22"/>
              </w:rPr>
              <w:t>Hypogonadisme</w:t>
            </w:r>
            <w:proofErr w:type="spellEnd"/>
            <w:r w:rsidRPr="008B475B">
              <w:rPr>
                <w:sz w:val="22"/>
                <w:szCs w:val="22"/>
                <w:vertAlign w:val="superscript"/>
              </w:rPr>
              <w:t>**</w:t>
            </w:r>
          </w:p>
        </w:tc>
      </w:tr>
      <w:tr w:rsidR="0044481D" w:rsidRPr="008B475B" w14:paraId="028CAB7D" w14:textId="77777777" w:rsidTr="00DD1CFE">
        <w:trPr>
          <w:trHeight w:val="135"/>
        </w:trPr>
        <w:tc>
          <w:tcPr>
            <w:tcW w:w="1073" w:type="pct"/>
            <w:tcBorders>
              <w:top w:val="single" w:sz="4" w:space="0" w:color="auto"/>
              <w:left w:val="single" w:sz="4" w:space="0" w:color="auto"/>
              <w:bottom w:val="single" w:sz="4" w:space="0" w:color="auto"/>
              <w:right w:val="single" w:sz="4" w:space="0" w:color="auto"/>
            </w:tcBorders>
            <w:hideMark/>
          </w:tcPr>
          <w:p w14:paraId="7873A88C" w14:textId="77777777" w:rsidR="0044481D" w:rsidRPr="008B475B" w:rsidRDefault="0044481D" w:rsidP="00DD1CFE">
            <w:pPr>
              <w:rPr>
                <w:sz w:val="22"/>
                <w:szCs w:val="22"/>
              </w:rPr>
            </w:pPr>
            <w:r w:rsidRPr="008B475B">
              <w:rPr>
                <w:sz w:val="22"/>
                <w:szCs w:val="22"/>
              </w:rPr>
              <w:t>Metabolisme og ernæring</w:t>
            </w:r>
          </w:p>
        </w:tc>
        <w:tc>
          <w:tcPr>
            <w:tcW w:w="975" w:type="pct"/>
            <w:tcBorders>
              <w:top w:val="single" w:sz="4" w:space="0" w:color="auto"/>
              <w:left w:val="single" w:sz="4" w:space="0" w:color="auto"/>
              <w:bottom w:val="single" w:sz="4" w:space="0" w:color="auto"/>
              <w:right w:val="single" w:sz="4" w:space="0" w:color="auto"/>
            </w:tcBorders>
            <w:hideMark/>
          </w:tcPr>
          <w:p w14:paraId="08160CA8" w14:textId="77777777" w:rsidR="0044481D" w:rsidRPr="008B475B" w:rsidRDefault="0044481D" w:rsidP="00DD1CFE">
            <w:pPr>
              <w:rPr>
                <w:sz w:val="22"/>
                <w:szCs w:val="22"/>
              </w:rPr>
            </w:pPr>
            <w:r w:rsidRPr="008B475B">
              <w:rPr>
                <w:sz w:val="22"/>
                <w:szCs w:val="22"/>
              </w:rPr>
              <w:t>Anoreksi</w:t>
            </w:r>
          </w:p>
          <w:p w14:paraId="50F03E01" w14:textId="77777777" w:rsidR="0044481D" w:rsidRPr="008B475B" w:rsidRDefault="0044481D" w:rsidP="00DD1CFE">
            <w:pPr>
              <w:rPr>
                <w:sz w:val="22"/>
                <w:szCs w:val="22"/>
              </w:rPr>
            </w:pPr>
            <w:proofErr w:type="spellStart"/>
            <w:r w:rsidRPr="008B475B">
              <w:rPr>
                <w:sz w:val="22"/>
                <w:szCs w:val="22"/>
              </w:rPr>
              <w:t>Hyperglykæmi</w:t>
            </w:r>
            <w:proofErr w:type="spellEnd"/>
          </w:p>
          <w:p w14:paraId="2B879650" w14:textId="77777777" w:rsidR="0044481D" w:rsidRPr="008B475B" w:rsidRDefault="0044481D" w:rsidP="00DD1CFE">
            <w:pPr>
              <w:rPr>
                <w:sz w:val="22"/>
                <w:szCs w:val="22"/>
              </w:rPr>
            </w:pPr>
            <w:proofErr w:type="spellStart"/>
            <w:r w:rsidRPr="008B475B">
              <w:rPr>
                <w:sz w:val="22"/>
                <w:szCs w:val="22"/>
              </w:rPr>
              <w:t>Hypokalcæmi</w:t>
            </w:r>
            <w:proofErr w:type="spellEnd"/>
            <w:r w:rsidRPr="008B475B">
              <w:rPr>
                <w:sz w:val="22"/>
                <w:szCs w:val="22"/>
              </w:rPr>
              <w:t xml:space="preserve"> </w:t>
            </w:r>
            <w:proofErr w:type="spellStart"/>
            <w:r w:rsidRPr="008B475B">
              <w:rPr>
                <w:sz w:val="22"/>
                <w:szCs w:val="22"/>
              </w:rPr>
              <w:t>Hypokaliæmi</w:t>
            </w:r>
            <w:proofErr w:type="spellEnd"/>
            <w:r w:rsidRPr="008B475B">
              <w:rPr>
                <w:sz w:val="22"/>
                <w:szCs w:val="22"/>
              </w:rPr>
              <w:t xml:space="preserve"> </w:t>
            </w:r>
            <w:proofErr w:type="spellStart"/>
            <w:r w:rsidRPr="008B475B">
              <w:rPr>
                <w:sz w:val="22"/>
                <w:szCs w:val="22"/>
              </w:rPr>
              <w:t>Hypomagnesiæmi</w:t>
            </w:r>
            <w:proofErr w:type="spellEnd"/>
            <w:r w:rsidRPr="008B475B">
              <w:rPr>
                <w:sz w:val="22"/>
                <w:szCs w:val="22"/>
              </w:rPr>
              <w:t xml:space="preserve"> </w:t>
            </w:r>
            <w:proofErr w:type="spellStart"/>
            <w:r w:rsidRPr="008B475B">
              <w:rPr>
                <w:sz w:val="22"/>
                <w:szCs w:val="22"/>
              </w:rPr>
              <w:t>Hypofosfatæmi</w:t>
            </w:r>
            <w:proofErr w:type="spellEnd"/>
          </w:p>
        </w:tc>
        <w:tc>
          <w:tcPr>
            <w:tcW w:w="1107" w:type="pct"/>
            <w:tcBorders>
              <w:top w:val="single" w:sz="4" w:space="0" w:color="auto"/>
              <w:left w:val="single" w:sz="4" w:space="0" w:color="auto"/>
              <w:bottom w:val="single" w:sz="4" w:space="0" w:color="auto"/>
              <w:right w:val="single" w:sz="4" w:space="0" w:color="auto"/>
            </w:tcBorders>
            <w:hideMark/>
          </w:tcPr>
          <w:p w14:paraId="0B9E4EC3" w14:textId="77777777" w:rsidR="0044481D" w:rsidRPr="008B475B" w:rsidRDefault="0044481D" w:rsidP="00DD1CFE">
            <w:pPr>
              <w:rPr>
                <w:sz w:val="22"/>
                <w:szCs w:val="22"/>
              </w:rPr>
            </w:pPr>
            <w:proofErr w:type="spellStart"/>
            <w:r w:rsidRPr="008B475B">
              <w:rPr>
                <w:sz w:val="22"/>
                <w:szCs w:val="22"/>
              </w:rPr>
              <w:t>Hyponatriæmi</w:t>
            </w:r>
            <w:proofErr w:type="spellEnd"/>
          </w:p>
        </w:tc>
        <w:tc>
          <w:tcPr>
            <w:tcW w:w="886" w:type="pct"/>
            <w:tcBorders>
              <w:top w:val="single" w:sz="4" w:space="0" w:color="auto"/>
              <w:left w:val="single" w:sz="4" w:space="0" w:color="auto"/>
              <w:bottom w:val="single" w:sz="4" w:space="0" w:color="auto"/>
              <w:right w:val="single" w:sz="4" w:space="0" w:color="auto"/>
            </w:tcBorders>
          </w:tcPr>
          <w:p w14:paraId="53403E32" w14:textId="77777777" w:rsidR="0044481D" w:rsidRPr="008B475B" w:rsidRDefault="0044481D" w:rsidP="00DD1CFE">
            <w:pPr>
              <w:rPr>
                <w:sz w:val="22"/>
                <w:szCs w:val="22"/>
              </w:rPr>
            </w:pPr>
          </w:p>
        </w:tc>
        <w:tc>
          <w:tcPr>
            <w:tcW w:w="959" w:type="pct"/>
            <w:tcBorders>
              <w:top w:val="single" w:sz="4" w:space="0" w:color="auto"/>
              <w:left w:val="single" w:sz="4" w:space="0" w:color="auto"/>
              <w:bottom w:val="single" w:sz="4" w:space="0" w:color="auto"/>
              <w:right w:val="single" w:sz="4" w:space="0" w:color="auto"/>
            </w:tcBorders>
          </w:tcPr>
          <w:p w14:paraId="629ED635" w14:textId="77777777" w:rsidR="0044481D" w:rsidRPr="008B475B" w:rsidRDefault="0044481D" w:rsidP="00DD1CFE">
            <w:pPr>
              <w:rPr>
                <w:sz w:val="22"/>
                <w:szCs w:val="22"/>
              </w:rPr>
            </w:pPr>
          </w:p>
        </w:tc>
      </w:tr>
      <w:tr w:rsidR="0044481D" w:rsidRPr="008B475B" w14:paraId="2EA37E00" w14:textId="77777777" w:rsidTr="00DD1CFE">
        <w:trPr>
          <w:trHeight w:val="90"/>
        </w:trPr>
        <w:tc>
          <w:tcPr>
            <w:tcW w:w="1073" w:type="pct"/>
            <w:tcBorders>
              <w:top w:val="single" w:sz="4" w:space="0" w:color="auto"/>
              <w:left w:val="single" w:sz="4" w:space="0" w:color="auto"/>
              <w:bottom w:val="single" w:sz="4" w:space="0" w:color="auto"/>
              <w:right w:val="single" w:sz="4" w:space="0" w:color="auto"/>
            </w:tcBorders>
            <w:hideMark/>
          </w:tcPr>
          <w:p w14:paraId="699B9407" w14:textId="77777777" w:rsidR="0044481D" w:rsidRPr="008B475B" w:rsidRDefault="0044481D" w:rsidP="00DD1CFE">
            <w:pPr>
              <w:rPr>
                <w:sz w:val="22"/>
                <w:szCs w:val="22"/>
              </w:rPr>
            </w:pPr>
            <w:r w:rsidRPr="008B475B">
              <w:rPr>
                <w:sz w:val="22"/>
                <w:szCs w:val="22"/>
              </w:rPr>
              <w:t>Psykiske forstyrrelser</w:t>
            </w:r>
          </w:p>
        </w:tc>
        <w:tc>
          <w:tcPr>
            <w:tcW w:w="975" w:type="pct"/>
            <w:tcBorders>
              <w:top w:val="single" w:sz="4" w:space="0" w:color="auto"/>
              <w:left w:val="single" w:sz="4" w:space="0" w:color="auto"/>
              <w:bottom w:val="single" w:sz="4" w:space="0" w:color="auto"/>
              <w:right w:val="single" w:sz="4" w:space="0" w:color="auto"/>
            </w:tcBorders>
            <w:hideMark/>
          </w:tcPr>
          <w:p w14:paraId="108AC48A" w14:textId="77777777" w:rsidR="0044481D" w:rsidRPr="008B475B" w:rsidRDefault="0044481D" w:rsidP="00DD1CFE">
            <w:pPr>
              <w:rPr>
                <w:sz w:val="22"/>
                <w:szCs w:val="22"/>
              </w:rPr>
            </w:pPr>
            <w:r w:rsidRPr="008B475B">
              <w:rPr>
                <w:sz w:val="22"/>
                <w:szCs w:val="22"/>
              </w:rPr>
              <w:t xml:space="preserve">Angst </w:t>
            </w:r>
          </w:p>
          <w:p w14:paraId="36A28D24" w14:textId="77777777" w:rsidR="0044481D" w:rsidRPr="008B475B" w:rsidRDefault="0044481D" w:rsidP="00DD1CFE">
            <w:pPr>
              <w:rPr>
                <w:sz w:val="22"/>
                <w:szCs w:val="22"/>
              </w:rPr>
            </w:pPr>
            <w:r w:rsidRPr="008B475B">
              <w:rPr>
                <w:sz w:val="22"/>
                <w:szCs w:val="22"/>
              </w:rPr>
              <w:t xml:space="preserve">Depression </w:t>
            </w:r>
          </w:p>
          <w:p w14:paraId="150D81F6" w14:textId="77777777" w:rsidR="0044481D" w:rsidRPr="008B475B" w:rsidRDefault="0044481D" w:rsidP="00DD1CFE">
            <w:pPr>
              <w:rPr>
                <w:sz w:val="22"/>
                <w:szCs w:val="22"/>
              </w:rPr>
            </w:pPr>
            <w:proofErr w:type="spellStart"/>
            <w:r w:rsidRPr="008B475B">
              <w:rPr>
                <w:sz w:val="22"/>
                <w:szCs w:val="22"/>
              </w:rPr>
              <w:t>Insomni</w:t>
            </w:r>
            <w:proofErr w:type="spellEnd"/>
          </w:p>
        </w:tc>
        <w:tc>
          <w:tcPr>
            <w:tcW w:w="1107" w:type="pct"/>
            <w:tcBorders>
              <w:top w:val="single" w:sz="4" w:space="0" w:color="auto"/>
              <w:left w:val="single" w:sz="4" w:space="0" w:color="auto"/>
              <w:bottom w:val="single" w:sz="4" w:space="0" w:color="auto"/>
              <w:right w:val="single" w:sz="4" w:space="0" w:color="auto"/>
            </w:tcBorders>
            <w:hideMark/>
          </w:tcPr>
          <w:p w14:paraId="423F72B7" w14:textId="77777777" w:rsidR="0044481D" w:rsidRPr="008B475B" w:rsidRDefault="0044481D" w:rsidP="00DD1CFE">
            <w:pPr>
              <w:rPr>
                <w:sz w:val="22"/>
                <w:szCs w:val="22"/>
              </w:rPr>
            </w:pPr>
            <w:r w:rsidRPr="008B475B">
              <w:rPr>
                <w:sz w:val="22"/>
                <w:szCs w:val="22"/>
              </w:rPr>
              <w:t>Konfusion</w:t>
            </w:r>
          </w:p>
        </w:tc>
        <w:tc>
          <w:tcPr>
            <w:tcW w:w="886" w:type="pct"/>
            <w:tcBorders>
              <w:top w:val="single" w:sz="4" w:space="0" w:color="auto"/>
              <w:left w:val="single" w:sz="4" w:space="0" w:color="auto"/>
              <w:bottom w:val="single" w:sz="4" w:space="0" w:color="auto"/>
              <w:right w:val="single" w:sz="4" w:space="0" w:color="auto"/>
            </w:tcBorders>
            <w:hideMark/>
          </w:tcPr>
          <w:p w14:paraId="1720A0BD" w14:textId="77777777" w:rsidR="0044481D" w:rsidRPr="008B475B" w:rsidRDefault="0044481D" w:rsidP="00DD1CFE">
            <w:pPr>
              <w:rPr>
                <w:sz w:val="22"/>
                <w:szCs w:val="22"/>
              </w:rPr>
            </w:pPr>
            <w:r w:rsidRPr="008B475B">
              <w:rPr>
                <w:sz w:val="22"/>
                <w:szCs w:val="22"/>
              </w:rPr>
              <w:t>Delirium Nervøsitet Hallucination Uro</w:t>
            </w:r>
          </w:p>
        </w:tc>
        <w:tc>
          <w:tcPr>
            <w:tcW w:w="959" w:type="pct"/>
            <w:tcBorders>
              <w:top w:val="single" w:sz="4" w:space="0" w:color="auto"/>
              <w:left w:val="single" w:sz="4" w:space="0" w:color="auto"/>
              <w:bottom w:val="single" w:sz="4" w:space="0" w:color="auto"/>
              <w:right w:val="single" w:sz="4" w:space="0" w:color="auto"/>
            </w:tcBorders>
          </w:tcPr>
          <w:p w14:paraId="59C3265C" w14:textId="77777777" w:rsidR="0044481D" w:rsidRPr="008B475B" w:rsidRDefault="0044481D" w:rsidP="00DD1CFE">
            <w:pPr>
              <w:rPr>
                <w:sz w:val="22"/>
                <w:szCs w:val="22"/>
              </w:rPr>
            </w:pPr>
          </w:p>
        </w:tc>
      </w:tr>
      <w:tr w:rsidR="0044481D" w:rsidRPr="008B475B" w14:paraId="7D66220B" w14:textId="77777777" w:rsidTr="00DD1CFE">
        <w:trPr>
          <w:trHeight w:val="120"/>
        </w:trPr>
        <w:tc>
          <w:tcPr>
            <w:tcW w:w="1073" w:type="pct"/>
            <w:tcBorders>
              <w:top w:val="single" w:sz="4" w:space="0" w:color="auto"/>
              <w:left w:val="single" w:sz="4" w:space="0" w:color="auto"/>
              <w:bottom w:val="single" w:sz="4" w:space="0" w:color="auto"/>
              <w:right w:val="single" w:sz="4" w:space="0" w:color="auto"/>
            </w:tcBorders>
            <w:hideMark/>
          </w:tcPr>
          <w:p w14:paraId="51259307" w14:textId="77777777" w:rsidR="0044481D" w:rsidRPr="008B475B" w:rsidRDefault="0044481D" w:rsidP="00DD1CFE">
            <w:pPr>
              <w:rPr>
                <w:sz w:val="22"/>
                <w:szCs w:val="22"/>
              </w:rPr>
            </w:pPr>
            <w:r w:rsidRPr="008B475B">
              <w:rPr>
                <w:sz w:val="22"/>
                <w:szCs w:val="22"/>
              </w:rPr>
              <w:t>Nervesystemet</w:t>
            </w:r>
          </w:p>
        </w:tc>
        <w:tc>
          <w:tcPr>
            <w:tcW w:w="975" w:type="pct"/>
            <w:tcBorders>
              <w:top w:val="single" w:sz="4" w:space="0" w:color="auto"/>
              <w:left w:val="single" w:sz="4" w:space="0" w:color="auto"/>
              <w:bottom w:val="single" w:sz="4" w:space="0" w:color="auto"/>
              <w:right w:val="single" w:sz="4" w:space="0" w:color="auto"/>
            </w:tcBorders>
            <w:hideMark/>
          </w:tcPr>
          <w:p w14:paraId="298642E5" w14:textId="77777777" w:rsidR="0044481D" w:rsidRPr="008B475B" w:rsidRDefault="0044481D" w:rsidP="00DD1CFE">
            <w:pPr>
              <w:rPr>
                <w:sz w:val="22"/>
                <w:szCs w:val="22"/>
              </w:rPr>
            </w:pPr>
            <w:r w:rsidRPr="008B475B">
              <w:rPr>
                <w:sz w:val="22"/>
                <w:szCs w:val="22"/>
              </w:rPr>
              <w:t>Hovedpine Svimmelhed</w:t>
            </w:r>
          </w:p>
        </w:tc>
        <w:tc>
          <w:tcPr>
            <w:tcW w:w="1107" w:type="pct"/>
            <w:tcBorders>
              <w:top w:val="single" w:sz="4" w:space="0" w:color="auto"/>
              <w:left w:val="single" w:sz="4" w:space="0" w:color="auto"/>
              <w:bottom w:val="single" w:sz="4" w:space="0" w:color="auto"/>
              <w:right w:val="single" w:sz="4" w:space="0" w:color="auto"/>
            </w:tcBorders>
          </w:tcPr>
          <w:p w14:paraId="1EC10C62" w14:textId="77777777" w:rsidR="0044481D" w:rsidRPr="008B475B" w:rsidRDefault="0044481D" w:rsidP="00DD1CFE">
            <w:pPr>
              <w:rPr>
                <w:sz w:val="22"/>
                <w:szCs w:val="22"/>
              </w:rPr>
            </w:pPr>
          </w:p>
        </w:tc>
        <w:tc>
          <w:tcPr>
            <w:tcW w:w="886" w:type="pct"/>
            <w:tcBorders>
              <w:top w:val="single" w:sz="4" w:space="0" w:color="auto"/>
              <w:left w:val="single" w:sz="4" w:space="0" w:color="auto"/>
              <w:bottom w:val="single" w:sz="4" w:space="0" w:color="auto"/>
              <w:right w:val="single" w:sz="4" w:space="0" w:color="auto"/>
            </w:tcBorders>
            <w:hideMark/>
          </w:tcPr>
          <w:p w14:paraId="6F04C020" w14:textId="77777777" w:rsidR="0044481D" w:rsidRPr="008B475B" w:rsidRDefault="0044481D" w:rsidP="00DD1CFE">
            <w:pPr>
              <w:rPr>
                <w:sz w:val="22"/>
                <w:szCs w:val="22"/>
              </w:rPr>
            </w:pPr>
            <w:r w:rsidRPr="008B475B">
              <w:rPr>
                <w:sz w:val="22"/>
                <w:szCs w:val="22"/>
              </w:rPr>
              <w:t>Krampeanfald Encefalopati Hjerneblødning</w:t>
            </w:r>
          </w:p>
        </w:tc>
        <w:tc>
          <w:tcPr>
            <w:tcW w:w="959" w:type="pct"/>
            <w:tcBorders>
              <w:top w:val="single" w:sz="4" w:space="0" w:color="auto"/>
              <w:left w:val="single" w:sz="4" w:space="0" w:color="auto"/>
              <w:bottom w:val="single" w:sz="4" w:space="0" w:color="auto"/>
              <w:right w:val="single" w:sz="4" w:space="0" w:color="auto"/>
            </w:tcBorders>
          </w:tcPr>
          <w:p w14:paraId="244B7221" w14:textId="77777777" w:rsidR="0044481D" w:rsidRPr="008B475B" w:rsidRDefault="0044481D" w:rsidP="00DD1CFE">
            <w:pPr>
              <w:rPr>
                <w:sz w:val="22"/>
                <w:szCs w:val="22"/>
              </w:rPr>
            </w:pPr>
          </w:p>
        </w:tc>
      </w:tr>
      <w:tr w:rsidR="0044481D" w:rsidRPr="008B475B" w14:paraId="349135E9" w14:textId="77777777" w:rsidTr="00DD1CFE">
        <w:trPr>
          <w:trHeight w:val="105"/>
        </w:trPr>
        <w:tc>
          <w:tcPr>
            <w:tcW w:w="1073" w:type="pct"/>
            <w:tcBorders>
              <w:top w:val="single" w:sz="4" w:space="0" w:color="auto"/>
              <w:left w:val="single" w:sz="4" w:space="0" w:color="auto"/>
              <w:bottom w:val="single" w:sz="4" w:space="0" w:color="auto"/>
              <w:right w:val="single" w:sz="4" w:space="0" w:color="auto"/>
            </w:tcBorders>
            <w:hideMark/>
          </w:tcPr>
          <w:p w14:paraId="5234F9D4" w14:textId="77777777" w:rsidR="0044481D" w:rsidRPr="008B475B" w:rsidRDefault="0044481D" w:rsidP="00DD1CFE">
            <w:pPr>
              <w:rPr>
                <w:sz w:val="22"/>
                <w:szCs w:val="22"/>
              </w:rPr>
            </w:pPr>
            <w:r w:rsidRPr="008B475B">
              <w:rPr>
                <w:sz w:val="22"/>
                <w:szCs w:val="22"/>
              </w:rPr>
              <w:t>Øjne</w:t>
            </w:r>
          </w:p>
        </w:tc>
        <w:tc>
          <w:tcPr>
            <w:tcW w:w="975" w:type="pct"/>
            <w:tcBorders>
              <w:top w:val="single" w:sz="4" w:space="0" w:color="auto"/>
              <w:left w:val="single" w:sz="4" w:space="0" w:color="auto"/>
              <w:bottom w:val="single" w:sz="4" w:space="0" w:color="auto"/>
              <w:right w:val="single" w:sz="4" w:space="0" w:color="auto"/>
            </w:tcBorders>
          </w:tcPr>
          <w:p w14:paraId="55612157" w14:textId="77777777" w:rsidR="0044481D" w:rsidRPr="008B475B" w:rsidRDefault="0044481D" w:rsidP="00DD1CFE">
            <w:pPr>
              <w:rPr>
                <w:sz w:val="22"/>
                <w:szCs w:val="22"/>
              </w:rPr>
            </w:pPr>
          </w:p>
        </w:tc>
        <w:tc>
          <w:tcPr>
            <w:tcW w:w="1107" w:type="pct"/>
            <w:tcBorders>
              <w:top w:val="single" w:sz="4" w:space="0" w:color="auto"/>
              <w:left w:val="single" w:sz="4" w:space="0" w:color="auto"/>
              <w:bottom w:val="single" w:sz="4" w:space="0" w:color="auto"/>
              <w:right w:val="single" w:sz="4" w:space="0" w:color="auto"/>
            </w:tcBorders>
          </w:tcPr>
          <w:p w14:paraId="0A48F2F5" w14:textId="77777777" w:rsidR="0044481D" w:rsidRPr="008B475B" w:rsidRDefault="0044481D" w:rsidP="00DD1CFE">
            <w:pPr>
              <w:rPr>
                <w:sz w:val="22"/>
                <w:szCs w:val="22"/>
              </w:rPr>
            </w:pPr>
          </w:p>
        </w:tc>
        <w:tc>
          <w:tcPr>
            <w:tcW w:w="886" w:type="pct"/>
            <w:tcBorders>
              <w:top w:val="single" w:sz="4" w:space="0" w:color="auto"/>
              <w:left w:val="single" w:sz="4" w:space="0" w:color="auto"/>
              <w:bottom w:val="single" w:sz="4" w:space="0" w:color="auto"/>
              <w:right w:val="single" w:sz="4" w:space="0" w:color="auto"/>
            </w:tcBorders>
          </w:tcPr>
          <w:p w14:paraId="2B9D4725" w14:textId="77777777" w:rsidR="0044481D" w:rsidRPr="008B475B" w:rsidRDefault="0044481D" w:rsidP="00DD1CFE">
            <w:pPr>
              <w:rPr>
                <w:sz w:val="22"/>
                <w:szCs w:val="22"/>
              </w:rPr>
            </w:pPr>
          </w:p>
        </w:tc>
        <w:tc>
          <w:tcPr>
            <w:tcW w:w="959" w:type="pct"/>
            <w:tcBorders>
              <w:top w:val="single" w:sz="4" w:space="0" w:color="auto"/>
              <w:left w:val="single" w:sz="4" w:space="0" w:color="auto"/>
              <w:bottom w:val="single" w:sz="4" w:space="0" w:color="auto"/>
              <w:right w:val="single" w:sz="4" w:space="0" w:color="auto"/>
            </w:tcBorders>
            <w:hideMark/>
          </w:tcPr>
          <w:p w14:paraId="4BBF1B60" w14:textId="77777777" w:rsidR="0044481D" w:rsidRPr="008B475B" w:rsidRDefault="0044481D" w:rsidP="00DD1CFE">
            <w:pPr>
              <w:rPr>
                <w:sz w:val="22"/>
                <w:szCs w:val="22"/>
              </w:rPr>
            </w:pPr>
            <w:r w:rsidRPr="008B475B">
              <w:rPr>
                <w:sz w:val="22"/>
                <w:szCs w:val="22"/>
              </w:rPr>
              <w:t xml:space="preserve">Katarakt </w:t>
            </w:r>
          </w:p>
          <w:p w14:paraId="7D8A0FE8" w14:textId="77777777" w:rsidR="0044481D" w:rsidRPr="008B475B" w:rsidRDefault="0044481D" w:rsidP="00DD1CFE">
            <w:pPr>
              <w:rPr>
                <w:sz w:val="22"/>
                <w:szCs w:val="22"/>
              </w:rPr>
            </w:pPr>
            <w:r w:rsidRPr="008B475B">
              <w:rPr>
                <w:sz w:val="22"/>
                <w:szCs w:val="22"/>
              </w:rPr>
              <w:t xml:space="preserve">Tyndere </w:t>
            </w:r>
            <w:proofErr w:type="spellStart"/>
            <w:r w:rsidRPr="008B475B">
              <w:rPr>
                <w:sz w:val="22"/>
                <w:szCs w:val="22"/>
              </w:rPr>
              <w:t>cornea</w:t>
            </w:r>
            <w:proofErr w:type="spellEnd"/>
            <w:r w:rsidRPr="008B475B">
              <w:rPr>
                <w:sz w:val="22"/>
                <w:szCs w:val="22"/>
              </w:rPr>
              <w:t xml:space="preserve"> Sygdom i øjets linse***</w:t>
            </w:r>
          </w:p>
        </w:tc>
      </w:tr>
      <w:tr w:rsidR="0044481D" w:rsidRPr="008B475B" w14:paraId="68D1893D" w14:textId="77777777" w:rsidTr="00DD1CFE">
        <w:trPr>
          <w:trHeight w:val="150"/>
        </w:trPr>
        <w:tc>
          <w:tcPr>
            <w:tcW w:w="1073" w:type="pct"/>
            <w:tcBorders>
              <w:top w:val="single" w:sz="4" w:space="0" w:color="auto"/>
              <w:left w:val="single" w:sz="4" w:space="0" w:color="auto"/>
              <w:bottom w:val="single" w:sz="4" w:space="0" w:color="auto"/>
              <w:right w:val="single" w:sz="4" w:space="0" w:color="auto"/>
            </w:tcBorders>
            <w:hideMark/>
          </w:tcPr>
          <w:p w14:paraId="41CE0496" w14:textId="77777777" w:rsidR="0044481D" w:rsidRPr="008B475B" w:rsidRDefault="0044481D" w:rsidP="00DD1CFE">
            <w:pPr>
              <w:rPr>
                <w:sz w:val="22"/>
                <w:szCs w:val="22"/>
              </w:rPr>
            </w:pPr>
            <w:r w:rsidRPr="008B475B">
              <w:rPr>
                <w:sz w:val="22"/>
                <w:szCs w:val="22"/>
              </w:rPr>
              <w:t>Hjerte</w:t>
            </w:r>
          </w:p>
        </w:tc>
        <w:tc>
          <w:tcPr>
            <w:tcW w:w="975" w:type="pct"/>
            <w:tcBorders>
              <w:top w:val="single" w:sz="4" w:space="0" w:color="auto"/>
              <w:left w:val="single" w:sz="4" w:space="0" w:color="auto"/>
              <w:bottom w:val="single" w:sz="4" w:space="0" w:color="auto"/>
              <w:right w:val="single" w:sz="4" w:space="0" w:color="auto"/>
            </w:tcBorders>
            <w:hideMark/>
          </w:tcPr>
          <w:p w14:paraId="1792B946" w14:textId="77777777" w:rsidR="0044481D" w:rsidRPr="008B475B" w:rsidRDefault="0044481D" w:rsidP="00DD1CFE">
            <w:pPr>
              <w:rPr>
                <w:sz w:val="22"/>
                <w:szCs w:val="22"/>
              </w:rPr>
            </w:pPr>
            <w:proofErr w:type="spellStart"/>
            <w:r w:rsidRPr="008B475B">
              <w:rPr>
                <w:sz w:val="22"/>
                <w:szCs w:val="22"/>
              </w:rPr>
              <w:t>Takykardi</w:t>
            </w:r>
            <w:proofErr w:type="spellEnd"/>
          </w:p>
        </w:tc>
        <w:tc>
          <w:tcPr>
            <w:tcW w:w="1107" w:type="pct"/>
            <w:tcBorders>
              <w:top w:val="single" w:sz="4" w:space="0" w:color="auto"/>
              <w:left w:val="single" w:sz="4" w:space="0" w:color="auto"/>
              <w:bottom w:val="single" w:sz="4" w:space="0" w:color="auto"/>
              <w:right w:val="single" w:sz="4" w:space="0" w:color="auto"/>
            </w:tcBorders>
            <w:hideMark/>
          </w:tcPr>
          <w:p w14:paraId="72DA708B" w14:textId="77777777" w:rsidR="0044481D" w:rsidRDefault="0044481D" w:rsidP="00DD1CFE">
            <w:pPr>
              <w:rPr>
                <w:sz w:val="22"/>
                <w:szCs w:val="22"/>
              </w:rPr>
            </w:pPr>
            <w:proofErr w:type="spellStart"/>
            <w:r w:rsidRPr="008B475B">
              <w:rPr>
                <w:sz w:val="22"/>
                <w:szCs w:val="22"/>
              </w:rPr>
              <w:t>Arytmi</w:t>
            </w:r>
            <w:proofErr w:type="spellEnd"/>
            <w:r w:rsidRPr="008B475B">
              <w:rPr>
                <w:sz w:val="22"/>
                <w:szCs w:val="22"/>
              </w:rPr>
              <w:t xml:space="preserve"> </w:t>
            </w:r>
          </w:p>
          <w:p w14:paraId="411C7497" w14:textId="77777777" w:rsidR="0044481D" w:rsidRPr="008B475B" w:rsidRDefault="0044481D" w:rsidP="00DD1CFE">
            <w:pPr>
              <w:rPr>
                <w:sz w:val="22"/>
                <w:szCs w:val="22"/>
              </w:rPr>
            </w:pPr>
            <w:r w:rsidRPr="008B475B">
              <w:rPr>
                <w:sz w:val="22"/>
                <w:szCs w:val="22"/>
              </w:rPr>
              <w:t xml:space="preserve">Atrieflimren </w:t>
            </w:r>
            <w:proofErr w:type="spellStart"/>
            <w:r w:rsidRPr="008B475B">
              <w:rPr>
                <w:sz w:val="22"/>
                <w:szCs w:val="22"/>
              </w:rPr>
              <w:t>Kardiomegali</w:t>
            </w:r>
            <w:proofErr w:type="spellEnd"/>
            <w:r w:rsidRPr="008B475B">
              <w:rPr>
                <w:sz w:val="22"/>
                <w:szCs w:val="22"/>
              </w:rPr>
              <w:t xml:space="preserve"> </w:t>
            </w:r>
          </w:p>
          <w:p w14:paraId="7BB19480" w14:textId="77777777" w:rsidR="0044481D" w:rsidRPr="008B475B" w:rsidRDefault="0044481D" w:rsidP="00DD1CFE">
            <w:pPr>
              <w:rPr>
                <w:sz w:val="22"/>
                <w:szCs w:val="22"/>
              </w:rPr>
            </w:pPr>
            <w:proofErr w:type="spellStart"/>
            <w:r w:rsidRPr="008B475B">
              <w:rPr>
                <w:sz w:val="22"/>
                <w:szCs w:val="22"/>
              </w:rPr>
              <w:t>Perikardie-effusion</w:t>
            </w:r>
            <w:proofErr w:type="spellEnd"/>
            <w:r w:rsidRPr="008B475B">
              <w:rPr>
                <w:sz w:val="22"/>
                <w:szCs w:val="22"/>
              </w:rPr>
              <w:t xml:space="preserve"> </w:t>
            </w:r>
            <w:proofErr w:type="spellStart"/>
            <w:r w:rsidRPr="008B475B">
              <w:rPr>
                <w:sz w:val="22"/>
                <w:szCs w:val="22"/>
              </w:rPr>
              <w:t>Perikardit</w:t>
            </w:r>
            <w:proofErr w:type="spellEnd"/>
          </w:p>
        </w:tc>
        <w:tc>
          <w:tcPr>
            <w:tcW w:w="886" w:type="pct"/>
            <w:tcBorders>
              <w:top w:val="single" w:sz="4" w:space="0" w:color="auto"/>
              <w:left w:val="single" w:sz="4" w:space="0" w:color="auto"/>
              <w:bottom w:val="single" w:sz="4" w:space="0" w:color="auto"/>
              <w:right w:val="single" w:sz="4" w:space="0" w:color="auto"/>
            </w:tcBorders>
            <w:hideMark/>
          </w:tcPr>
          <w:p w14:paraId="669AF5EC" w14:textId="77777777" w:rsidR="0044481D" w:rsidRPr="008B475B" w:rsidRDefault="0044481D" w:rsidP="00DD1CFE">
            <w:pPr>
              <w:rPr>
                <w:sz w:val="22"/>
                <w:szCs w:val="22"/>
              </w:rPr>
            </w:pPr>
            <w:proofErr w:type="spellStart"/>
            <w:r w:rsidRPr="008B475B">
              <w:rPr>
                <w:sz w:val="22"/>
                <w:szCs w:val="22"/>
              </w:rPr>
              <w:t>Ventrikulære</w:t>
            </w:r>
            <w:proofErr w:type="spellEnd"/>
            <w:r w:rsidRPr="008B475B">
              <w:rPr>
                <w:sz w:val="22"/>
                <w:szCs w:val="22"/>
              </w:rPr>
              <w:t xml:space="preserve"> </w:t>
            </w:r>
            <w:proofErr w:type="spellStart"/>
            <w:r w:rsidRPr="008B475B">
              <w:rPr>
                <w:sz w:val="22"/>
                <w:szCs w:val="22"/>
              </w:rPr>
              <w:t>ekstrasystoler</w:t>
            </w:r>
            <w:proofErr w:type="spellEnd"/>
            <w:r w:rsidRPr="008B475B">
              <w:rPr>
                <w:sz w:val="22"/>
                <w:szCs w:val="22"/>
              </w:rPr>
              <w:t xml:space="preserve"> Bradykardi</w:t>
            </w:r>
          </w:p>
        </w:tc>
        <w:tc>
          <w:tcPr>
            <w:tcW w:w="959" w:type="pct"/>
            <w:tcBorders>
              <w:top w:val="single" w:sz="4" w:space="0" w:color="auto"/>
              <w:left w:val="single" w:sz="4" w:space="0" w:color="auto"/>
              <w:bottom w:val="single" w:sz="4" w:space="0" w:color="auto"/>
              <w:right w:val="single" w:sz="4" w:space="0" w:color="auto"/>
            </w:tcBorders>
          </w:tcPr>
          <w:p w14:paraId="61D94FA6" w14:textId="77777777" w:rsidR="0044481D" w:rsidRPr="008B475B" w:rsidRDefault="0044481D" w:rsidP="00DD1CFE">
            <w:pPr>
              <w:rPr>
                <w:sz w:val="22"/>
                <w:szCs w:val="22"/>
              </w:rPr>
            </w:pPr>
          </w:p>
        </w:tc>
      </w:tr>
      <w:tr w:rsidR="0044481D" w:rsidRPr="008B475B" w14:paraId="7AD9A4AB" w14:textId="77777777" w:rsidTr="00DD1CFE">
        <w:trPr>
          <w:trHeight w:val="240"/>
        </w:trPr>
        <w:tc>
          <w:tcPr>
            <w:tcW w:w="1073" w:type="pct"/>
            <w:tcBorders>
              <w:top w:val="single" w:sz="4" w:space="0" w:color="auto"/>
              <w:left w:val="single" w:sz="4" w:space="0" w:color="auto"/>
              <w:bottom w:val="single" w:sz="4" w:space="0" w:color="auto"/>
              <w:right w:val="single" w:sz="4" w:space="0" w:color="auto"/>
            </w:tcBorders>
            <w:hideMark/>
          </w:tcPr>
          <w:p w14:paraId="498AE59E" w14:textId="77777777" w:rsidR="0044481D" w:rsidRPr="008B475B" w:rsidRDefault="0044481D" w:rsidP="00DD1CFE">
            <w:pPr>
              <w:rPr>
                <w:sz w:val="22"/>
                <w:szCs w:val="22"/>
              </w:rPr>
            </w:pPr>
            <w:proofErr w:type="spellStart"/>
            <w:r w:rsidRPr="008B475B">
              <w:rPr>
                <w:sz w:val="22"/>
                <w:szCs w:val="22"/>
              </w:rPr>
              <w:t>Vaskulære</w:t>
            </w:r>
            <w:proofErr w:type="spellEnd"/>
            <w:r w:rsidRPr="008B475B">
              <w:rPr>
                <w:sz w:val="22"/>
                <w:szCs w:val="22"/>
              </w:rPr>
              <w:t xml:space="preserve"> sygdomme</w:t>
            </w:r>
          </w:p>
        </w:tc>
        <w:tc>
          <w:tcPr>
            <w:tcW w:w="975" w:type="pct"/>
            <w:tcBorders>
              <w:top w:val="single" w:sz="4" w:space="0" w:color="auto"/>
              <w:left w:val="single" w:sz="4" w:space="0" w:color="auto"/>
              <w:bottom w:val="single" w:sz="4" w:space="0" w:color="auto"/>
              <w:right w:val="single" w:sz="4" w:space="0" w:color="auto"/>
            </w:tcBorders>
            <w:hideMark/>
          </w:tcPr>
          <w:p w14:paraId="7097ACEC" w14:textId="77777777" w:rsidR="0044481D" w:rsidRPr="008B475B" w:rsidRDefault="0044481D" w:rsidP="00DD1CFE">
            <w:pPr>
              <w:rPr>
                <w:sz w:val="22"/>
                <w:szCs w:val="22"/>
              </w:rPr>
            </w:pPr>
            <w:r w:rsidRPr="008B475B">
              <w:rPr>
                <w:sz w:val="22"/>
                <w:szCs w:val="22"/>
              </w:rPr>
              <w:t>Hypertension Hypotension Trombose Vasodilatation</w:t>
            </w:r>
          </w:p>
        </w:tc>
        <w:tc>
          <w:tcPr>
            <w:tcW w:w="1107" w:type="pct"/>
            <w:tcBorders>
              <w:top w:val="single" w:sz="4" w:space="0" w:color="auto"/>
              <w:left w:val="single" w:sz="4" w:space="0" w:color="auto"/>
              <w:bottom w:val="single" w:sz="4" w:space="0" w:color="auto"/>
              <w:right w:val="single" w:sz="4" w:space="0" w:color="auto"/>
            </w:tcBorders>
          </w:tcPr>
          <w:p w14:paraId="05D1C15D" w14:textId="77777777" w:rsidR="0044481D" w:rsidRPr="008B475B" w:rsidRDefault="0044481D" w:rsidP="00DD1CFE">
            <w:pPr>
              <w:rPr>
                <w:sz w:val="22"/>
                <w:szCs w:val="22"/>
              </w:rPr>
            </w:pPr>
          </w:p>
        </w:tc>
        <w:tc>
          <w:tcPr>
            <w:tcW w:w="886" w:type="pct"/>
            <w:tcBorders>
              <w:top w:val="single" w:sz="4" w:space="0" w:color="auto"/>
              <w:left w:val="single" w:sz="4" w:space="0" w:color="auto"/>
              <w:bottom w:val="single" w:sz="4" w:space="0" w:color="auto"/>
              <w:right w:val="single" w:sz="4" w:space="0" w:color="auto"/>
            </w:tcBorders>
            <w:hideMark/>
          </w:tcPr>
          <w:p w14:paraId="5AF3C85A" w14:textId="77777777" w:rsidR="0044481D" w:rsidRPr="008B475B" w:rsidRDefault="0044481D" w:rsidP="00DD1CFE">
            <w:pPr>
              <w:rPr>
                <w:sz w:val="22"/>
                <w:szCs w:val="22"/>
              </w:rPr>
            </w:pPr>
            <w:r w:rsidRPr="008B475B">
              <w:rPr>
                <w:sz w:val="22"/>
                <w:szCs w:val="22"/>
              </w:rPr>
              <w:t xml:space="preserve">Trombose i a. </w:t>
            </w:r>
            <w:proofErr w:type="spellStart"/>
            <w:r w:rsidRPr="008B475B">
              <w:rPr>
                <w:sz w:val="22"/>
                <w:szCs w:val="22"/>
              </w:rPr>
              <w:t>femoralis</w:t>
            </w:r>
            <w:proofErr w:type="spellEnd"/>
            <w:r w:rsidRPr="008B475B">
              <w:rPr>
                <w:sz w:val="22"/>
                <w:szCs w:val="22"/>
              </w:rPr>
              <w:t xml:space="preserve"> Systemisk </w:t>
            </w:r>
            <w:proofErr w:type="spellStart"/>
            <w:r w:rsidRPr="008B475B">
              <w:rPr>
                <w:sz w:val="22"/>
                <w:szCs w:val="22"/>
              </w:rPr>
              <w:t>vaskulært</w:t>
            </w:r>
            <w:proofErr w:type="spellEnd"/>
            <w:r w:rsidRPr="008B475B">
              <w:rPr>
                <w:sz w:val="22"/>
                <w:szCs w:val="22"/>
              </w:rPr>
              <w:t xml:space="preserve"> lækage- syndrom</w:t>
            </w:r>
          </w:p>
        </w:tc>
        <w:tc>
          <w:tcPr>
            <w:tcW w:w="959" w:type="pct"/>
            <w:tcBorders>
              <w:top w:val="single" w:sz="4" w:space="0" w:color="auto"/>
              <w:left w:val="single" w:sz="4" w:space="0" w:color="auto"/>
              <w:bottom w:val="single" w:sz="4" w:space="0" w:color="auto"/>
              <w:right w:val="single" w:sz="4" w:space="0" w:color="auto"/>
            </w:tcBorders>
          </w:tcPr>
          <w:p w14:paraId="555A0E0B" w14:textId="77777777" w:rsidR="0044481D" w:rsidRPr="008B475B" w:rsidRDefault="0044481D" w:rsidP="00DD1CFE">
            <w:pPr>
              <w:rPr>
                <w:sz w:val="22"/>
                <w:szCs w:val="22"/>
              </w:rPr>
            </w:pPr>
          </w:p>
        </w:tc>
      </w:tr>
      <w:tr w:rsidR="0044481D" w:rsidRPr="008B475B" w14:paraId="0BE2B8D4" w14:textId="77777777" w:rsidTr="00DD1CFE">
        <w:trPr>
          <w:trHeight w:val="270"/>
        </w:trPr>
        <w:tc>
          <w:tcPr>
            <w:tcW w:w="1073" w:type="pct"/>
            <w:tcBorders>
              <w:top w:val="single" w:sz="4" w:space="0" w:color="auto"/>
              <w:left w:val="single" w:sz="4" w:space="0" w:color="auto"/>
              <w:bottom w:val="single" w:sz="4" w:space="0" w:color="auto"/>
              <w:right w:val="single" w:sz="4" w:space="0" w:color="auto"/>
            </w:tcBorders>
            <w:hideMark/>
          </w:tcPr>
          <w:p w14:paraId="0A8F2AD0" w14:textId="77777777" w:rsidR="0044481D" w:rsidRPr="008B475B" w:rsidRDefault="0044481D" w:rsidP="00DD1CFE">
            <w:pPr>
              <w:rPr>
                <w:sz w:val="22"/>
                <w:szCs w:val="22"/>
              </w:rPr>
            </w:pPr>
            <w:r w:rsidRPr="008B475B">
              <w:rPr>
                <w:sz w:val="22"/>
                <w:szCs w:val="22"/>
              </w:rPr>
              <w:t xml:space="preserve">Luftveje, thorax og </w:t>
            </w:r>
            <w:proofErr w:type="spellStart"/>
            <w:r w:rsidRPr="008B475B">
              <w:rPr>
                <w:sz w:val="22"/>
                <w:szCs w:val="22"/>
              </w:rPr>
              <w:t>mediastinum</w:t>
            </w:r>
            <w:proofErr w:type="spellEnd"/>
          </w:p>
        </w:tc>
        <w:tc>
          <w:tcPr>
            <w:tcW w:w="975" w:type="pct"/>
            <w:tcBorders>
              <w:top w:val="single" w:sz="4" w:space="0" w:color="auto"/>
              <w:left w:val="single" w:sz="4" w:space="0" w:color="auto"/>
              <w:bottom w:val="single" w:sz="4" w:space="0" w:color="auto"/>
              <w:right w:val="single" w:sz="4" w:space="0" w:color="auto"/>
            </w:tcBorders>
            <w:hideMark/>
          </w:tcPr>
          <w:p w14:paraId="316A1640" w14:textId="77777777" w:rsidR="0044481D" w:rsidRPr="008B475B" w:rsidRDefault="0044481D" w:rsidP="00DD1CFE">
            <w:pPr>
              <w:rPr>
                <w:sz w:val="22"/>
                <w:szCs w:val="22"/>
              </w:rPr>
            </w:pPr>
            <w:r w:rsidRPr="008B475B">
              <w:rPr>
                <w:sz w:val="22"/>
                <w:szCs w:val="22"/>
              </w:rPr>
              <w:t xml:space="preserve">Dyspnø </w:t>
            </w:r>
          </w:p>
          <w:p w14:paraId="4DE460ED" w14:textId="77777777" w:rsidR="0044481D" w:rsidRPr="008B475B" w:rsidRDefault="0044481D" w:rsidP="00DD1CFE">
            <w:pPr>
              <w:rPr>
                <w:sz w:val="22"/>
                <w:szCs w:val="22"/>
              </w:rPr>
            </w:pPr>
            <w:proofErr w:type="spellStart"/>
            <w:r w:rsidRPr="008B475B">
              <w:rPr>
                <w:sz w:val="22"/>
                <w:szCs w:val="22"/>
              </w:rPr>
              <w:t>Epistaxis</w:t>
            </w:r>
            <w:proofErr w:type="spellEnd"/>
            <w:r w:rsidRPr="008B475B">
              <w:rPr>
                <w:sz w:val="22"/>
                <w:szCs w:val="22"/>
              </w:rPr>
              <w:t xml:space="preserve"> </w:t>
            </w:r>
          </w:p>
          <w:p w14:paraId="4D674F78" w14:textId="77777777" w:rsidR="0044481D" w:rsidRPr="008B475B" w:rsidRDefault="0044481D" w:rsidP="00DD1CFE">
            <w:pPr>
              <w:rPr>
                <w:sz w:val="22"/>
                <w:szCs w:val="22"/>
              </w:rPr>
            </w:pPr>
            <w:r w:rsidRPr="008B475B">
              <w:rPr>
                <w:sz w:val="22"/>
                <w:szCs w:val="22"/>
              </w:rPr>
              <w:t xml:space="preserve">Hoste </w:t>
            </w:r>
          </w:p>
          <w:p w14:paraId="0F60939A" w14:textId="77777777" w:rsidR="0044481D" w:rsidRPr="008B475B" w:rsidRDefault="0044481D" w:rsidP="00DD1CFE">
            <w:pPr>
              <w:rPr>
                <w:sz w:val="22"/>
                <w:szCs w:val="22"/>
              </w:rPr>
            </w:pPr>
            <w:r w:rsidRPr="008B475B">
              <w:rPr>
                <w:sz w:val="22"/>
                <w:szCs w:val="22"/>
              </w:rPr>
              <w:t>Hikke</w:t>
            </w:r>
          </w:p>
        </w:tc>
        <w:tc>
          <w:tcPr>
            <w:tcW w:w="1107" w:type="pct"/>
            <w:tcBorders>
              <w:top w:val="single" w:sz="4" w:space="0" w:color="auto"/>
              <w:left w:val="single" w:sz="4" w:space="0" w:color="auto"/>
              <w:bottom w:val="single" w:sz="4" w:space="0" w:color="auto"/>
              <w:right w:val="single" w:sz="4" w:space="0" w:color="auto"/>
            </w:tcBorders>
            <w:hideMark/>
          </w:tcPr>
          <w:p w14:paraId="070B28BB" w14:textId="77777777" w:rsidR="0044481D" w:rsidRPr="008B475B" w:rsidRDefault="0044481D" w:rsidP="00DD1CFE">
            <w:pPr>
              <w:rPr>
                <w:sz w:val="22"/>
                <w:szCs w:val="22"/>
              </w:rPr>
            </w:pPr>
            <w:r w:rsidRPr="008B475B">
              <w:rPr>
                <w:sz w:val="22"/>
                <w:szCs w:val="22"/>
              </w:rPr>
              <w:t xml:space="preserve">Hyperventilation Respirationssvigt Alveolær </w:t>
            </w:r>
            <w:proofErr w:type="spellStart"/>
            <w:r w:rsidRPr="008B475B">
              <w:rPr>
                <w:sz w:val="22"/>
                <w:szCs w:val="22"/>
              </w:rPr>
              <w:t>hæmoragi</w:t>
            </w:r>
            <w:proofErr w:type="spellEnd"/>
            <w:r w:rsidRPr="008B475B">
              <w:rPr>
                <w:sz w:val="22"/>
                <w:szCs w:val="22"/>
              </w:rPr>
              <w:t xml:space="preserve"> Astma</w:t>
            </w:r>
          </w:p>
          <w:p w14:paraId="522640BC" w14:textId="77777777" w:rsidR="0044481D" w:rsidRPr="008B475B" w:rsidRDefault="0044481D" w:rsidP="00DD1CFE">
            <w:pPr>
              <w:rPr>
                <w:sz w:val="22"/>
                <w:szCs w:val="22"/>
              </w:rPr>
            </w:pPr>
            <w:r w:rsidRPr="008B475B">
              <w:rPr>
                <w:sz w:val="22"/>
                <w:szCs w:val="22"/>
              </w:rPr>
              <w:t xml:space="preserve">Atelektase </w:t>
            </w:r>
            <w:proofErr w:type="spellStart"/>
            <w:r w:rsidRPr="008B475B">
              <w:rPr>
                <w:sz w:val="22"/>
                <w:szCs w:val="22"/>
              </w:rPr>
              <w:t>Pleuraeffusion</w:t>
            </w:r>
            <w:proofErr w:type="spellEnd"/>
          </w:p>
        </w:tc>
        <w:tc>
          <w:tcPr>
            <w:tcW w:w="886" w:type="pct"/>
            <w:tcBorders>
              <w:top w:val="single" w:sz="4" w:space="0" w:color="auto"/>
              <w:left w:val="single" w:sz="4" w:space="0" w:color="auto"/>
              <w:bottom w:val="single" w:sz="4" w:space="0" w:color="auto"/>
              <w:right w:val="single" w:sz="4" w:space="0" w:color="auto"/>
            </w:tcBorders>
            <w:hideMark/>
          </w:tcPr>
          <w:p w14:paraId="208E4BFC" w14:textId="77777777" w:rsidR="0044481D" w:rsidRPr="008B475B" w:rsidRDefault="0044481D" w:rsidP="00DD1CFE">
            <w:pPr>
              <w:rPr>
                <w:sz w:val="22"/>
                <w:szCs w:val="22"/>
              </w:rPr>
            </w:pPr>
            <w:proofErr w:type="spellStart"/>
            <w:r w:rsidRPr="008B475B">
              <w:rPr>
                <w:sz w:val="22"/>
                <w:szCs w:val="22"/>
              </w:rPr>
              <w:t>Hypoksi</w:t>
            </w:r>
            <w:proofErr w:type="spellEnd"/>
          </w:p>
        </w:tc>
        <w:tc>
          <w:tcPr>
            <w:tcW w:w="959" w:type="pct"/>
            <w:tcBorders>
              <w:top w:val="single" w:sz="4" w:space="0" w:color="auto"/>
              <w:left w:val="single" w:sz="4" w:space="0" w:color="auto"/>
              <w:bottom w:val="single" w:sz="4" w:space="0" w:color="auto"/>
              <w:right w:val="single" w:sz="4" w:space="0" w:color="auto"/>
            </w:tcBorders>
            <w:hideMark/>
          </w:tcPr>
          <w:p w14:paraId="0E05B44D" w14:textId="77777777" w:rsidR="0044481D" w:rsidRPr="008B475B" w:rsidRDefault="0044481D" w:rsidP="00DD1CFE">
            <w:pPr>
              <w:rPr>
                <w:sz w:val="22"/>
                <w:szCs w:val="22"/>
              </w:rPr>
            </w:pPr>
            <w:proofErr w:type="spellStart"/>
            <w:r w:rsidRPr="008B475B">
              <w:rPr>
                <w:sz w:val="22"/>
                <w:szCs w:val="22"/>
              </w:rPr>
              <w:t>Interstitiel</w:t>
            </w:r>
            <w:proofErr w:type="spellEnd"/>
            <w:r w:rsidRPr="008B475B">
              <w:rPr>
                <w:sz w:val="22"/>
                <w:szCs w:val="22"/>
              </w:rPr>
              <w:t xml:space="preserve"> lungesygdom**</w:t>
            </w:r>
          </w:p>
        </w:tc>
      </w:tr>
      <w:tr w:rsidR="0044481D" w:rsidRPr="008B475B" w14:paraId="2B0CC488" w14:textId="77777777" w:rsidTr="00DD1CFE">
        <w:trPr>
          <w:trHeight w:val="195"/>
        </w:trPr>
        <w:tc>
          <w:tcPr>
            <w:tcW w:w="1073" w:type="pct"/>
            <w:tcBorders>
              <w:top w:val="single" w:sz="4" w:space="0" w:color="auto"/>
              <w:left w:val="single" w:sz="4" w:space="0" w:color="auto"/>
              <w:bottom w:val="single" w:sz="4" w:space="0" w:color="auto"/>
              <w:right w:val="single" w:sz="4" w:space="0" w:color="auto"/>
            </w:tcBorders>
            <w:hideMark/>
          </w:tcPr>
          <w:p w14:paraId="13D9621A" w14:textId="77777777" w:rsidR="0044481D" w:rsidRPr="008B475B" w:rsidRDefault="0044481D" w:rsidP="00DD1CFE">
            <w:pPr>
              <w:pStyle w:val="TableParagraph"/>
              <w:spacing w:before="2"/>
              <w:rPr>
                <w:rFonts w:ascii="Times New Roman" w:eastAsia="Times New Roman" w:hAnsi="Times New Roman" w:cs="Times New Roman"/>
                <w:lang w:val="da-DK"/>
              </w:rPr>
            </w:pPr>
            <w:r w:rsidRPr="008B475B">
              <w:rPr>
                <w:rFonts w:ascii="Times New Roman" w:eastAsia="Times New Roman" w:hAnsi="Times New Roman" w:cs="Times New Roman"/>
                <w:lang w:val="da-DK"/>
              </w:rPr>
              <w:t>Mave-tarm-kanalen</w:t>
            </w:r>
          </w:p>
        </w:tc>
        <w:tc>
          <w:tcPr>
            <w:tcW w:w="975" w:type="pct"/>
            <w:tcBorders>
              <w:top w:val="single" w:sz="4" w:space="0" w:color="auto"/>
              <w:left w:val="single" w:sz="4" w:space="0" w:color="auto"/>
              <w:bottom w:val="single" w:sz="4" w:space="0" w:color="auto"/>
              <w:right w:val="single" w:sz="4" w:space="0" w:color="auto"/>
            </w:tcBorders>
            <w:hideMark/>
          </w:tcPr>
          <w:p w14:paraId="1595450E" w14:textId="77777777" w:rsidR="0044481D" w:rsidRDefault="0044481D" w:rsidP="00DD1CFE">
            <w:pPr>
              <w:pStyle w:val="TableParagraph"/>
              <w:spacing w:line="244" w:lineRule="auto"/>
              <w:rPr>
                <w:rFonts w:ascii="Times New Roman" w:eastAsia="Times New Roman" w:hAnsi="Times New Roman" w:cs="Times New Roman"/>
                <w:lang w:val="da-DK"/>
              </w:rPr>
            </w:pPr>
            <w:proofErr w:type="spellStart"/>
            <w:r w:rsidRPr="008B475B">
              <w:rPr>
                <w:rFonts w:ascii="Times New Roman" w:eastAsia="Times New Roman" w:hAnsi="Times New Roman" w:cs="Times New Roman"/>
                <w:lang w:val="da-DK"/>
              </w:rPr>
              <w:t>Stomatit</w:t>
            </w:r>
            <w:proofErr w:type="spellEnd"/>
            <w:r w:rsidRPr="008B475B">
              <w:rPr>
                <w:rFonts w:ascii="Times New Roman" w:eastAsia="Times New Roman" w:hAnsi="Times New Roman" w:cs="Times New Roman"/>
                <w:lang w:val="da-DK"/>
              </w:rPr>
              <w:t xml:space="preserve"> </w:t>
            </w:r>
          </w:p>
          <w:p w14:paraId="1A86FA1D" w14:textId="77777777" w:rsidR="0044481D" w:rsidRPr="008B475B" w:rsidRDefault="0044481D" w:rsidP="00DD1CFE">
            <w:pPr>
              <w:pStyle w:val="TableParagraph"/>
              <w:spacing w:line="244" w:lineRule="auto"/>
              <w:rPr>
                <w:rFonts w:ascii="Times New Roman" w:eastAsia="Times New Roman" w:hAnsi="Times New Roman" w:cs="Times New Roman"/>
                <w:lang w:val="da-DK"/>
              </w:rPr>
            </w:pPr>
            <w:r w:rsidRPr="008B475B">
              <w:rPr>
                <w:rFonts w:ascii="Times New Roman" w:eastAsia="Times New Roman" w:hAnsi="Times New Roman" w:cs="Times New Roman"/>
                <w:lang w:val="da-DK"/>
              </w:rPr>
              <w:t>Diarré</w:t>
            </w:r>
          </w:p>
          <w:p w14:paraId="4735DDB6" w14:textId="77777777" w:rsidR="0044481D" w:rsidRPr="008B475B" w:rsidRDefault="0044481D" w:rsidP="00DD1CFE">
            <w:pPr>
              <w:pStyle w:val="TableParagraph"/>
              <w:spacing w:line="244" w:lineRule="auto"/>
              <w:rPr>
                <w:rFonts w:ascii="Times New Roman" w:eastAsia="Times New Roman" w:hAnsi="Times New Roman" w:cs="Times New Roman"/>
                <w:lang w:val="da-DK"/>
              </w:rPr>
            </w:pPr>
            <w:proofErr w:type="spellStart"/>
            <w:r w:rsidRPr="008B475B">
              <w:rPr>
                <w:rFonts w:ascii="Times New Roman" w:eastAsia="Times New Roman" w:hAnsi="Times New Roman" w:cs="Times New Roman"/>
                <w:lang w:val="da-DK"/>
              </w:rPr>
              <w:t>Abdominalsmerter</w:t>
            </w:r>
            <w:proofErr w:type="spellEnd"/>
            <w:r w:rsidRPr="008B475B">
              <w:rPr>
                <w:rFonts w:ascii="Times New Roman" w:eastAsia="Times New Roman" w:hAnsi="Times New Roman" w:cs="Times New Roman"/>
                <w:lang w:val="da-DK"/>
              </w:rPr>
              <w:t xml:space="preserve"> Kvalme Opkastning Dyspepsi</w:t>
            </w:r>
          </w:p>
          <w:p w14:paraId="78876B47" w14:textId="77777777" w:rsidR="0044481D" w:rsidRPr="008B475B" w:rsidRDefault="0044481D" w:rsidP="00DD1CFE">
            <w:pPr>
              <w:pStyle w:val="TableParagraph"/>
              <w:spacing w:line="244" w:lineRule="auto"/>
              <w:rPr>
                <w:rFonts w:ascii="Times New Roman" w:eastAsia="Times New Roman" w:hAnsi="Times New Roman" w:cs="Times New Roman"/>
                <w:lang w:val="da-DK"/>
              </w:rPr>
            </w:pPr>
            <w:proofErr w:type="spellStart"/>
            <w:r w:rsidRPr="008B475B">
              <w:rPr>
                <w:rFonts w:ascii="Times New Roman" w:eastAsia="Times New Roman" w:hAnsi="Times New Roman" w:cs="Times New Roman"/>
                <w:lang w:val="da-DK"/>
              </w:rPr>
              <w:t>Ascites</w:t>
            </w:r>
            <w:proofErr w:type="spellEnd"/>
            <w:r w:rsidRPr="008B475B">
              <w:rPr>
                <w:rFonts w:ascii="Times New Roman" w:eastAsia="Times New Roman" w:hAnsi="Times New Roman" w:cs="Times New Roman"/>
                <w:lang w:val="da-DK"/>
              </w:rPr>
              <w:t xml:space="preserve"> Forstoppelse Anale gener</w:t>
            </w:r>
          </w:p>
        </w:tc>
        <w:tc>
          <w:tcPr>
            <w:tcW w:w="1107" w:type="pct"/>
            <w:tcBorders>
              <w:top w:val="single" w:sz="4" w:space="0" w:color="auto"/>
              <w:left w:val="single" w:sz="4" w:space="0" w:color="auto"/>
              <w:bottom w:val="single" w:sz="4" w:space="0" w:color="auto"/>
              <w:right w:val="single" w:sz="4" w:space="0" w:color="auto"/>
            </w:tcBorders>
            <w:hideMark/>
          </w:tcPr>
          <w:p w14:paraId="7E2B6CAA" w14:textId="77777777" w:rsidR="0044481D" w:rsidRDefault="0044481D" w:rsidP="00DD1CFE">
            <w:pPr>
              <w:pStyle w:val="TableParagraph"/>
              <w:spacing w:before="2" w:line="244" w:lineRule="auto"/>
              <w:rPr>
                <w:rFonts w:ascii="Times New Roman" w:eastAsia="Times New Roman" w:hAnsi="Times New Roman" w:cs="Times New Roman"/>
                <w:lang w:val="da-DK"/>
              </w:rPr>
            </w:pPr>
            <w:proofErr w:type="spellStart"/>
            <w:r w:rsidRPr="008B475B">
              <w:rPr>
                <w:rFonts w:ascii="Times New Roman" w:eastAsia="Times New Roman" w:hAnsi="Times New Roman" w:cs="Times New Roman"/>
                <w:lang w:val="da-DK"/>
              </w:rPr>
              <w:t>Hæmatemes</w:t>
            </w:r>
            <w:proofErr w:type="spellEnd"/>
            <w:r w:rsidRPr="008B475B">
              <w:rPr>
                <w:rFonts w:ascii="Times New Roman" w:eastAsia="Times New Roman" w:hAnsi="Times New Roman" w:cs="Times New Roman"/>
                <w:lang w:val="da-DK"/>
              </w:rPr>
              <w:t xml:space="preserve"> </w:t>
            </w:r>
          </w:p>
          <w:p w14:paraId="62F4A8EC" w14:textId="77777777" w:rsidR="0044481D" w:rsidRDefault="0044481D" w:rsidP="00DD1CFE">
            <w:pPr>
              <w:pStyle w:val="TableParagraph"/>
              <w:spacing w:before="2" w:line="244" w:lineRule="auto"/>
              <w:rPr>
                <w:rFonts w:ascii="Times New Roman" w:eastAsia="Times New Roman" w:hAnsi="Times New Roman" w:cs="Times New Roman"/>
                <w:lang w:val="da-DK"/>
              </w:rPr>
            </w:pPr>
            <w:proofErr w:type="spellStart"/>
            <w:r w:rsidRPr="008B475B">
              <w:rPr>
                <w:rFonts w:ascii="Times New Roman" w:eastAsia="Times New Roman" w:hAnsi="Times New Roman" w:cs="Times New Roman"/>
                <w:lang w:val="da-DK"/>
              </w:rPr>
              <w:t>Ileus</w:t>
            </w:r>
            <w:proofErr w:type="spellEnd"/>
            <w:r w:rsidRPr="008B475B">
              <w:rPr>
                <w:rFonts w:ascii="Times New Roman" w:eastAsia="Times New Roman" w:hAnsi="Times New Roman" w:cs="Times New Roman"/>
                <w:lang w:val="da-DK"/>
              </w:rPr>
              <w:t xml:space="preserve"> </w:t>
            </w:r>
          </w:p>
          <w:p w14:paraId="5F01469D" w14:textId="77777777" w:rsidR="0044481D" w:rsidRPr="008B475B" w:rsidRDefault="0044481D" w:rsidP="00DD1CFE">
            <w:pPr>
              <w:pStyle w:val="TableParagraph"/>
              <w:spacing w:before="2" w:line="244" w:lineRule="auto"/>
              <w:rPr>
                <w:rFonts w:ascii="Times New Roman" w:eastAsia="Times New Roman" w:hAnsi="Times New Roman" w:cs="Times New Roman"/>
                <w:lang w:val="da-DK"/>
              </w:rPr>
            </w:pPr>
            <w:proofErr w:type="spellStart"/>
            <w:r w:rsidRPr="008B475B">
              <w:rPr>
                <w:rFonts w:ascii="Times New Roman" w:eastAsia="Times New Roman" w:hAnsi="Times New Roman" w:cs="Times New Roman"/>
                <w:lang w:val="da-DK"/>
              </w:rPr>
              <w:t>Øsofagit</w:t>
            </w:r>
            <w:proofErr w:type="spellEnd"/>
          </w:p>
        </w:tc>
        <w:tc>
          <w:tcPr>
            <w:tcW w:w="886" w:type="pct"/>
            <w:tcBorders>
              <w:top w:val="single" w:sz="4" w:space="0" w:color="auto"/>
              <w:left w:val="single" w:sz="4" w:space="0" w:color="auto"/>
              <w:bottom w:val="single" w:sz="4" w:space="0" w:color="auto"/>
              <w:right w:val="single" w:sz="4" w:space="0" w:color="auto"/>
            </w:tcBorders>
            <w:hideMark/>
          </w:tcPr>
          <w:p w14:paraId="4EFEEFEB" w14:textId="77777777" w:rsidR="0044481D" w:rsidRPr="008B475B" w:rsidRDefault="0044481D" w:rsidP="00DD1CFE">
            <w:pPr>
              <w:rPr>
                <w:sz w:val="22"/>
                <w:szCs w:val="22"/>
              </w:rPr>
            </w:pPr>
            <w:proofErr w:type="spellStart"/>
            <w:r w:rsidRPr="008B475B">
              <w:rPr>
                <w:sz w:val="22"/>
                <w:szCs w:val="22"/>
              </w:rPr>
              <w:t>Gastrointestinal</w:t>
            </w:r>
            <w:proofErr w:type="spellEnd"/>
            <w:r w:rsidRPr="008B475B">
              <w:rPr>
                <w:sz w:val="22"/>
                <w:szCs w:val="22"/>
              </w:rPr>
              <w:t xml:space="preserve"> </w:t>
            </w:r>
            <w:proofErr w:type="spellStart"/>
            <w:r w:rsidRPr="008B475B">
              <w:rPr>
                <w:sz w:val="22"/>
                <w:szCs w:val="22"/>
              </w:rPr>
              <w:t>hæmoragi</w:t>
            </w:r>
            <w:proofErr w:type="spellEnd"/>
          </w:p>
        </w:tc>
        <w:tc>
          <w:tcPr>
            <w:tcW w:w="959" w:type="pct"/>
            <w:tcBorders>
              <w:top w:val="single" w:sz="4" w:space="0" w:color="auto"/>
              <w:left w:val="single" w:sz="4" w:space="0" w:color="auto"/>
              <w:bottom w:val="single" w:sz="4" w:space="0" w:color="auto"/>
              <w:right w:val="single" w:sz="4" w:space="0" w:color="auto"/>
            </w:tcBorders>
            <w:hideMark/>
          </w:tcPr>
          <w:p w14:paraId="2546E004" w14:textId="77777777" w:rsidR="0044481D" w:rsidRPr="008B475B" w:rsidRDefault="0044481D" w:rsidP="00DD1CFE">
            <w:pPr>
              <w:rPr>
                <w:sz w:val="22"/>
                <w:szCs w:val="22"/>
              </w:rPr>
            </w:pPr>
            <w:proofErr w:type="spellStart"/>
            <w:r w:rsidRPr="008B475B">
              <w:rPr>
                <w:sz w:val="22"/>
                <w:szCs w:val="22"/>
              </w:rPr>
              <w:t>Tandhypoplasi</w:t>
            </w:r>
            <w:proofErr w:type="spellEnd"/>
            <w:r w:rsidRPr="008B475B">
              <w:rPr>
                <w:sz w:val="22"/>
                <w:szCs w:val="22"/>
              </w:rPr>
              <w:t>**</w:t>
            </w:r>
          </w:p>
        </w:tc>
      </w:tr>
      <w:tr w:rsidR="0044481D" w:rsidRPr="008B475B" w14:paraId="1EBFBC38" w14:textId="77777777" w:rsidTr="00DD1CFE">
        <w:trPr>
          <w:trHeight w:val="90"/>
        </w:trPr>
        <w:tc>
          <w:tcPr>
            <w:tcW w:w="1073" w:type="pct"/>
            <w:tcBorders>
              <w:top w:val="single" w:sz="4" w:space="0" w:color="auto"/>
              <w:left w:val="single" w:sz="4" w:space="0" w:color="auto"/>
              <w:bottom w:val="single" w:sz="4" w:space="0" w:color="auto"/>
              <w:right w:val="single" w:sz="4" w:space="0" w:color="auto"/>
            </w:tcBorders>
            <w:hideMark/>
          </w:tcPr>
          <w:p w14:paraId="23DC6F66" w14:textId="77777777" w:rsidR="0044481D" w:rsidRPr="008B475B" w:rsidRDefault="0044481D" w:rsidP="00DD1CFE">
            <w:pPr>
              <w:rPr>
                <w:sz w:val="22"/>
                <w:szCs w:val="22"/>
              </w:rPr>
            </w:pPr>
            <w:r w:rsidRPr="008B475B">
              <w:rPr>
                <w:sz w:val="22"/>
                <w:szCs w:val="22"/>
              </w:rPr>
              <w:lastRenderedPageBreak/>
              <w:t>Lever og galdeveje</w:t>
            </w:r>
          </w:p>
        </w:tc>
        <w:tc>
          <w:tcPr>
            <w:tcW w:w="975" w:type="pct"/>
            <w:tcBorders>
              <w:top w:val="single" w:sz="4" w:space="0" w:color="auto"/>
              <w:left w:val="single" w:sz="4" w:space="0" w:color="auto"/>
              <w:bottom w:val="single" w:sz="4" w:space="0" w:color="auto"/>
              <w:right w:val="single" w:sz="4" w:space="0" w:color="auto"/>
            </w:tcBorders>
            <w:hideMark/>
          </w:tcPr>
          <w:p w14:paraId="5AAA554C" w14:textId="77777777" w:rsidR="0044481D" w:rsidRPr="008B475B" w:rsidRDefault="0044481D" w:rsidP="00DD1CFE">
            <w:pPr>
              <w:rPr>
                <w:sz w:val="22"/>
                <w:szCs w:val="22"/>
              </w:rPr>
            </w:pPr>
            <w:proofErr w:type="spellStart"/>
            <w:r w:rsidRPr="008B475B">
              <w:rPr>
                <w:sz w:val="22"/>
                <w:szCs w:val="22"/>
              </w:rPr>
              <w:t>Hepatomegali</w:t>
            </w:r>
            <w:proofErr w:type="spellEnd"/>
            <w:r w:rsidRPr="008B475B">
              <w:rPr>
                <w:sz w:val="22"/>
                <w:szCs w:val="22"/>
              </w:rPr>
              <w:t xml:space="preserve"> </w:t>
            </w:r>
            <w:proofErr w:type="spellStart"/>
            <w:r w:rsidRPr="008B475B">
              <w:rPr>
                <w:sz w:val="22"/>
                <w:szCs w:val="22"/>
              </w:rPr>
              <w:t>Icterus</w:t>
            </w:r>
            <w:proofErr w:type="spellEnd"/>
          </w:p>
        </w:tc>
        <w:tc>
          <w:tcPr>
            <w:tcW w:w="1107" w:type="pct"/>
            <w:tcBorders>
              <w:top w:val="single" w:sz="4" w:space="0" w:color="auto"/>
              <w:left w:val="single" w:sz="4" w:space="0" w:color="auto"/>
              <w:bottom w:val="single" w:sz="4" w:space="0" w:color="auto"/>
              <w:right w:val="single" w:sz="4" w:space="0" w:color="auto"/>
            </w:tcBorders>
            <w:hideMark/>
          </w:tcPr>
          <w:p w14:paraId="53973C1E" w14:textId="77777777" w:rsidR="0044481D" w:rsidRPr="008B475B" w:rsidRDefault="0044481D" w:rsidP="00DD1CFE">
            <w:pPr>
              <w:rPr>
                <w:sz w:val="22"/>
                <w:szCs w:val="22"/>
              </w:rPr>
            </w:pPr>
            <w:proofErr w:type="spellStart"/>
            <w:r w:rsidRPr="008B475B">
              <w:rPr>
                <w:sz w:val="22"/>
                <w:szCs w:val="22"/>
              </w:rPr>
              <w:t>Hepatisk</w:t>
            </w:r>
            <w:proofErr w:type="spellEnd"/>
            <w:r w:rsidRPr="008B475B">
              <w:rPr>
                <w:sz w:val="22"/>
                <w:szCs w:val="22"/>
              </w:rPr>
              <w:t xml:space="preserve"> </w:t>
            </w:r>
            <w:proofErr w:type="spellStart"/>
            <w:r w:rsidRPr="008B475B">
              <w:rPr>
                <w:sz w:val="22"/>
                <w:szCs w:val="22"/>
              </w:rPr>
              <w:t>venookklusiv</w:t>
            </w:r>
            <w:proofErr w:type="spellEnd"/>
            <w:r w:rsidRPr="008B475B">
              <w:rPr>
                <w:sz w:val="22"/>
                <w:szCs w:val="22"/>
              </w:rPr>
              <w:t xml:space="preserve"> sygdom*</w:t>
            </w:r>
          </w:p>
        </w:tc>
        <w:tc>
          <w:tcPr>
            <w:tcW w:w="886" w:type="pct"/>
            <w:tcBorders>
              <w:top w:val="single" w:sz="4" w:space="0" w:color="auto"/>
              <w:left w:val="single" w:sz="4" w:space="0" w:color="auto"/>
              <w:bottom w:val="single" w:sz="4" w:space="0" w:color="auto"/>
              <w:right w:val="single" w:sz="4" w:space="0" w:color="auto"/>
            </w:tcBorders>
          </w:tcPr>
          <w:p w14:paraId="6BEA403C" w14:textId="77777777" w:rsidR="0044481D" w:rsidRPr="008B475B" w:rsidRDefault="0044481D" w:rsidP="00DD1CFE">
            <w:pPr>
              <w:rPr>
                <w:sz w:val="22"/>
                <w:szCs w:val="22"/>
              </w:rPr>
            </w:pPr>
          </w:p>
        </w:tc>
        <w:tc>
          <w:tcPr>
            <w:tcW w:w="959" w:type="pct"/>
            <w:tcBorders>
              <w:top w:val="single" w:sz="4" w:space="0" w:color="auto"/>
              <w:left w:val="single" w:sz="4" w:space="0" w:color="auto"/>
              <w:bottom w:val="single" w:sz="4" w:space="0" w:color="auto"/>
              <w:right w:val="single" w:sz="4" w:space="0" w:color="auto"/>
            </w:tcBorders>
          </w:tcPr>
          <w:p w14:paraId="14AF28DF" w14:textId="77777777" w:rsidR="0044481D" w:rsidRPr="008B475B" w:rsidRDefault="0044481D" w:rsidP="00DD1CFE">
            <w:pPr>
              <w:rPr>
                <w:sz w:val="22"/>
                <w:szCs w:val="22"/>
              </w:rPr>
            </w:pPr>
          </w:p>
        </w:tc>
      </w:tr>
      <w:tr w:rsidR="0044481D" w:rsidRPr="008B475B" w14:paraId="1A0992B0" w14:textId="77777777" w:rsidTr="00DD1CFE">
        <w:trPr>
          <w:trHeight w:val="150"/>
        </w:trPr>
        <w:tc>
          <w:tcPr>
            <w:tcW w:w="1073" w:type="pct"/>
            <w:tcBorders>
              <w:top w:val="single" w:sz="4" w:space="0" w:color="auto"/>
              <w:left w:val="single" w:sz="4" w:space="0" w:color="auto"/>
              <w:bottom w:val="single" w:sz="4" w:space="0" w:color="auto"/>
              <w:right w:val="single" w:sz="4" w:space="0" w:color="auto"/>
            </w:tcBorders>
            <w:hideMark/>
          </w:tcPr>
          <w:p w14:paraId="3CA47594" w14:textId="77777777" w:rsidR="0044481D" w:rsidRPr="008B475B" w:rsidRDefault="0044481D" w:rsidP="00DD1CFE">
            <w:pPr>
              <w:rPr>
                <w:sz w:val="22"/>
                <w:szCs w:val="22"/>
              </w:rPr>
            </w:pPr>
            <w:r w:rsidRPr="008B475B">
              <w:rPr>
                <w:sz w:val="22"/>
                <w:szCs w:val="22"/>
              </w:rPr>
              <w:t>Hud og subkutane væv</w:t>
            </w:r>
          </w:p>
        </w:tc>
        <w:tc>
          <w:tcPr>
            <w:tcW w:w="975" w:type="pct"/>
            <w:tcBorders>
              <w:top w:val="single" w:sz="4" w:space="0" w:color="auto"/>
              <w:left w:val="single" w:sz="4" w:space="0" w:color="auto"/>
              <w:bottom w:val="single" w:sz="4" w:space="0" w:color="auto"/>
              <w:right w:val="single" w:sz="4" w:space="0" w:color="auto"/>
            </w:tcBorders>
            <w:hideMark/>
          </w:tcPr>
          <w:p w14:paraId="0C3F8250" w14:textId="77777777" w:rsidR="0044481D" w:rsidRPr="008B475B" w:rsidRDefault="0044481D" w:rsidP="00DD1CFE">
            <w:pPr>
              <w:rPr>
                <w:sz w:val="22"/>
                <w:szCs w:val="22"/>
              </w:rPr>
            </w:pPr>
            <w:r w:rsidRPr="008B475B">
              <w:rPr>
                <w:sz w:val="22"/>
                <w:szCs w:val="22"/>
              </w:rPr>
              <w:t xml:space="preserve">Udslæt </w:t>
            </w:r>
          </w:p>
          <w:p w14:paraId="7B76FED7" w14:textId="77777777" w:rsidR="0044481D" w:rsidRPr="008B475B" w:rsidRDefault="0044481D" w:rsidP="00DD1CFE">
            <w:pPr>
              <w:rPr>
                <w:sz w:val="22"/>
                <w:szCs w:val="22"/>
              </w:rPr>
            </w:pPr>
            <w:proofErr w:type="spellStart"/>
            <w:r w:rsidRPr="008B475B">
              <w:rPr>
                <w:sz w:val="22"/>
                <w:szCs w:val="22"/>
              </w:rPr>
              <w:t>Pruritus</w:t>
            </w:r>
            <w:proofErr w:type="spellEnd"/>
            <w:r w:rsidRPr="008B475B">
              <w:rPr>
                <w:sz w:val="22"/>
                <w:szCs w:val="22"/>
              </w:rPr>
              <w:t xml:space="preserve"> </w:t>
            </w:r>
          </w:p>
          <w:p w14:paraId="1F1B7EC2" w14:textId="77777777" w:rsidR="0044481D" w:rsidRPr="008B475B" w:rsidRDefault="0044481D" w:rsidP="00DD1CFE">
            <w:pPr>
              <w:rPr>
                <w:sz w:val="22"/>
                <w:szCs w:val="22"/>
              </w:rPr>
            </w:pPr>
            <w:proofErr w:type="spellStart"/>
            <w:r w:rsidRPr="008B475B">
              <w:rPr>
                <w:sz w:val="22"/>
                <w:szCs w:val="22"/>
              </w:rPr>
              <w:t>Alopeci</w:t>
            </w:r>
            <w:proofErr w:type="spellEnd"/>
          </w:p>
        </w:tc>
        <w:tc>
          <w:tcPr>
            <w:tcW w:w="1107" w:type="pct"/>
            <w:tcBorders>
              <w:top w:val="single" w:sz="4" w:space="0" w:color="auto"/>
              <w:left w:val="single" w:sz="4" w:space="0" w:color="auto"/>
              <w:bottom w:val="single" w:sz="4" w:space="0" w:color="auto"/>
              <w:right w:val="single" w:sz="4" w:space="0" w:color="auto"/>
            </w:tcBorders>
            <w:hideMark/>
          </w:tcPr>
          <w:p w14:paraId="7CDAADAB" w14:textId="77777777" w:rsidR="0044481D" w:rsidRPr="008B475B" w:rsidRDefault="0044481D" w:rsidP="00DD1CFE">
            <w:pPr>
              <w:rPr>
                <w:sz w:val="22"/>
                <w:szCs w:val="22"/>
              </w:rPr>
            </w:pPr>
            <w:r w:rsidRPr="008B475B">
              <w:rPr>
                <w:sz w:val="22"/>
                <w:szCs w:val="22"/>
              </w:rPr>
              <w:t xml:space="preserve">Hudafskalning </w:t>
            </w:r>
            <w:proofErr w:type="spellStart"/>
            <w:r w:rsidRPr="008B475B">
              <w:rPr>
                <w:sz w:val="22"/>
                <w:szCs w:val="22"/>
              </w:rPr>
              <w:t>Erytem</w:t>
            </w:r>
            <w:proofErr w:type="spellEnd"/>
            <w:r w:rsidRPr="008B475B">
              <w:rPr>
                <w:sz w:val="22"/>
                <w:szCs w:val="22"/>
              </w:rPr>
              <w:t xml:space="preserve"> Pigmenteringsdefekt</w:t>
            </w:r>
          </w:p>
        </w:tc>
        <w:tc>
          <w:tcPr>
            <w:tcW w:w="886" w:type="pct"/>
            <w:tcBorders>
              <w:top w:val="single" w:sz="4" w:space="0" w:color="auto"/>
              <w:left w:val="single" w:sz="4" w:space="0" w:color="auto"/>
              <w:bottom w:val="single" w:sz="4" w:space="0" w:color="auto"/>
              <w:right w:val="single" w:sz="4" w:space="0" w:color="auto"/>
            </w:tcBorders>
          </w:tcPr>
          <w:p w14:paraId="6C45671D" w14:textId="77777777" w:rsidR="0044481D" w:rsidRPr="008B475B" w:rsidRDefault="0044481D" w:rsidP="00DD1CFE">
            <w:pPr>
              <w:rPr>
                <w:sz w:val="22"/>
                <w:szCs w:val="22"/>
              </w:rPr>
            </w:pPr>
          </w:p>
        </w:tc>
        <w:tc>
          <w:tcPr>
            <w:tcW w:w="959" w:type="pct"/>
            <w:tcBorders>
              <w:top w:val="single" w:sz="4" w:space="0" w:color="auto"/>
              <w:left w:val="single" w:sz="4" w:space="0" w:color="auto"/>
              <w:bottom w:val="single" w:sz="4" w:space="0" w:color="auto"/>
              <w:right w:val="single" w:sz="4" w:space="0" w:color="auto"/>
            </w:tcBorders>
          </w:tcPr>
          <w:p w14:paraId="3D91B640" w14:textId="77777777" w:rsidR="0044481D" w:rsidRPr="008B475B" w:rsidRDefault="0044481D" w:rsidP="00DD1CFE">
            <w:pPr>
              <w:rPr>
                <w:sz w:val="22"/>
                <w:szCs w:val="22"/>
              </w:rPr>
            </w:pPr>
          </w:p>
        </w:tc>
      </w:tr>
      <w:tr w:rsidR="0044481D" w:rsidRPr="008B475B" w14:paraId="3D28091C" w14:textId="77777777" w:rsidTr="00DD1CFE">
        <w:trPr>
          <w:trHeight w:val="150"/>
        </w:trPr>
        <w:tc>
          <w:tcPr>
            <w:tcW w:w="1073" w:type="pct"/>
            <w:tcBorders>
              <w:top w:val="single" w:sz="4" w:space="0" w:color="auto"/>
              <w:left w:val="single" w:sz="4" w:space="0" w:color="auto"/>
              <w:bottom w:val="single" w:sz="4" w:space="0" w:color="auto"/>
              <w:right w:val="single" w:sz="4" w:space="0" w:color="auto"/>
            </w:tcBorders>
            <w:hideMark/>
          </w:tcPr>
          <w:p w14:paraId="7C4D30D1" w14:textId="77777777" w:rsidR="0044481D" w:rsidRPr="008B475B" w:rsidRDefault="0044481D" w:rsidP="00DD1CFE">
            <w:pPr>
              <w:rPr>
                <w:sz w:val="22"/>
                <w:szCs w:val="22"/>
              </w:rPr>
            </w:pPr>
            <w:r w:rsidRPr="008B475B">
              <w:rPr>
                <w:sz w:val="22"/>
                <w:szCs w:val="22"/>
              </w:rPr>
              <w:t>Knogler, led, muskler og bindevæv</w:t>
            </w:r>
          </w:p>
        </w:tc>
        <w:tc>
          <w:tcPr>
            <w:tcW w:w="975" w:type="pct"/>
            <w:tcBorders>
              <w:top w:val="single" w:sz="4" w:space="0" w:color="auto"/>
              <w:left w:val="single" w:sz="4" w:space="0" w:color="auto"/>
              <w:bottom w:val="single" w:sz="4" w:space="0" w:color="auto"/>
              <w:right w:val="single" w:sz="4" w:space="0" w:color="auto"/>
            </w:tcBorders>
            <w:hideMark/>
          </w:tcPr>
          <w:p w14:paraId="3856BBAF" w14:textId="77777777" w:rsidR="0044481D" w:rsidRPr="008B475B" w:rsidRDefault="0044481D" w:rsidP="00DD1CFE">
            <w:pPr>
              <w:rPr>
                <w:sz w:val="22"/>
                <w:szCs w:val="22"/>
              </w:rPr>
            </w:pPr>
            <w:r w:rsidRPr="008B475B">
              <w:rPr>
                <w:sz w:val="22"/>
                <w:szCs w:val="22"/>
              </w:rPr>
              <w:t xml:space="preserve">Myalgi Rygsmerter </w:t>
            </w:r>
            <w:proofErr w:type="spellStart"/>
            <w:r w:rsidRPr="008B475B">
              <w:rPr>
                <w:sz w:val="22"/>
                <w:szCs w:val="22"/>
              </w:rPr>
              <w:t>Artralgi</w:t>
            </w:r>
            <w:proofErr w:type="spellEnd"/>
          </w:p>
        </w:tc>
        <w:tc>
          <w:tcPr>
            <w:tcW w:w="1107" w:type="pct"/>
            <w:tcBorders>
              <w:top w:val="single" w:sz="4" w:space="0" w:color="auto"/>
              <w:left w:val="single" w:sz="4" w:space="0" w:color="auto"/>
              <w:bottom w:val="single" w:sz="4" w:space="0" w:color="auto"/>
              <w:right w:val="single" w:sz="4" w:space="0" w:color="auto"/>
            </w:tcBorders>
          </w:tcPr>
          <w:p w14:paraId="726B08DB" w14:textId="77777777" w:rsidR="0044481D" w:rsidRPr="008B475B" w:rsidRDefault="0044481D" w:rsidP="00DD1CFE">
            <w:pPr>
              <w:rPr>
                <w:sz w:val="22"/>
                <w:szCs w:val="22"/>
              </w:rPr>
            </w:pPr>
          </w:p>
        </w:tc>
        <w:tc>
          <w:tcPr>
            <w:tcW w:w="886" w:type="pct"/>
            <w:tcBorders>
              <w:top w:val="single" w:sz="4" w:space="0" w:color="auto"/>
              <w:left w:val="single" w:sz="4" w:space="0" w:color="auto"/>
              <w:bottom w:val="single" w:sz="4" w:space="0" w:color="auto"/>
              <w:right w:val="single" w:sz="4" w:space="0" w:color="auto"/>
            </w:tcBorders>
          </w:tcPr>
          <w:p w14:paraId="0F3FA310" w14:textId="77777777" w:rsidR="0044481D" w:rsidRPr="008B475B" w:rsidRDefault="0044481D" w:rsidP="00DD1CFE">
            <w:pPr>
              <w:rPr>
                <w:sz w:val="22"/>
                <w:szCs w:val="22"/>
              </w:rPr>
            </w:pPr>
          </w:p>
        </w:tc>
        <w:tc>
          <w:tcPr>
            <w:tcW w:w="959" w:type="pct"/>
            <w:tcBorders>
              <w:top w:val="single" w:sz="4" w:space="0" w:color="auto"/>
              <w:left w:val="single" w:sz="4" w:space="0" w:color="auto"/>
              <w:bottom w:val="single" w:sz="4" w:space="0" w:color="auto"/>
              <w:right w:val="single" w:sz="4" w:space="0" w:color="auto"/>
            </w:tcBorders>
          </w:tcPr>
          <w:p w14:paraId="175F46B3" w14:textId="77777777" w:rsidR="0044481D" w:rsidRPr="008B475B" w:rsidRDefault="0044481D" w:rsidP="00DD1CFE">
            <w:pPr>
              <w:rPr>
                <w:sz w:val="22"/>
                <w:szCs w:val="22"/>
              </w:rPr>
            </w:pPr>
          </w:p>
        </w:tc>
      </w:tr>
      <w:tr w:rsidR="0044481D" w:rsidRPr="008B475B" w14:paraId="661C3BF4" w14:textId="77777777" w:rsidTr="00DD1CFE">
        <w:trPr>
          <w:trHeight w:val="150"/>
        </w:trPr>
        <w:tc>
          <w:tcPr>
            <w:tcW w:w="1073" w:type="pct"/>
            <w:tcBorders>
              <w:top w:val="single" w:sz="4" w:space="0" w:color="auto"/>
              <w:left w:val="single" w:sz="4" w:space="0" w:color="auto"/>
              <w:bottom w:val="single" w:sz="4" w:space="0" w:color="auto"/>
              <w:right w:val="single" w:sz="4" w:space="0" w:color="auto"/>
            </w:tcBorders>
            <w:hideMark/>
          </w:tcPr>
          <w:p w14:paraId="43F246F8" w14:textId="77777777" w:rsidR="0044481D" w:rsidRPr="008B475B" w:rsidRDefault="0044481D" w:rsidP="00DD1CFE">
            <w:pPr>
              <w:rPr>
                <w:sz w:val="22"/>
                <w:szCs w:val="22"/>
              </w:rPr>
            </w:pPr>
            <w:r w:rsidRPr="008B475B">
              <w:rPr>
                <w:sz w:val="22"/>
                <w:szCs w:val="22"/>
              </w:rPr>
              <w:t>Nyrer og urinveje</w:t>
            </w:r>
          </w:p>
        </w:tc>
        <w:tc>
          <w:tcPr>
            <w:tcW w:w="975" w:type="pct"/>
            <w:tcBorders>
              <w:top w:val="single" w:sz="4" w:space="0" w:color="auto"/>
              <w:left w:val="single" w:sz="4" w:space="0" w:color="auto"/>
              <w:bottom w:val="single" w:sz="4" w:space="0" w:color="auto"/>
              <w:right w:val="single" w:sz="4" w:space="0" w:color="auto"/>
            </w:tcBorders>
            <w:hideMark/>
          </w:tcPr>
          <w:p w14:paraId="40998317" w14:textId="77777777" w:rsidR="0044481D" w:rsidRPr="008B475B" w:rsidRDefault="0044481D" w:rsidP="00DD1CFE">
            <w:pPr>
              <w:rPr>
                <w:sz w:val="22"/>
                <w:szCs w:val="22"/>
              </w:rPr>
            </w:pPr>
            <w:proofErr w:type="spellStart"/>
            <w:r w:rsidRPr="008B475B">
              <w:rPr>
                <w:sz w:val="22"/>
                <w:szCs w:val="22"/>
              </w:rPr>
              <w:t>Dysuri</w:t>
            </w:r>
            <w:proofErr w:type="spellEnd"/>
          </w:p>
          <w:p w14:paraId="5C46F1E1" w14:textId="77777777" w:rsidR="0044481D" w:rsidRPr="008B475B" w:rsidRDefault="0044481D" w:rsidP="00DD1CFE">
            <w:pPr>
              <w:rPr>
                <w:sz w:val="22"/>
                <w:szCs w:val="22"/>
              </w:rPr>
            </w:pPr>
            <w:proofErr w:type="spellStart"/>
            <w:r w:rsidRPr="008B475B">
              <w:rPr>
                <w:sz w:val="22"/>
                <w:szCs w:val="22"/>
              </w:rPr>
              <w:t>Oliguri</w:t>
            </w:r>
            <w:proofErr w:type="spellEnd"/>
          </w:p>
        </w:tc>
        <w:tc>
          <w:tcPr>
            <w:tcW w:w="1107" w:type="pct"/>
            <w:tcBorders>
              <w:top w:val="single" w:sz="4" w:space="0" w:color="auto"/>
              <w:left w:val="single" w:sz="4" w:space="0" w:color="auto"/>
              <w:bottom w:val="single" w:sz="4" w:space="0" w:color="auto"/>
              <w:right w:val="single" w:sz="4" w:space="0" w:color="auto"/>
            </w:tcBorders>
            <w:hideMark/>
          </w:tcPr>
          <w:p w14:paraId="28BA2D7D" w14:textId="77777777" w:rsidR="0044481D" w:rsidRPr="008B475B" w:rsidRDefault="0044481D" w:rsidP="00DD1CFE">
            <w:pPr>
              <w:rPr>
                <w:sz w:val="22"/>
                <w:szCs w:val="22"/>
              </w:rPr>
            </w:pPr>
            <w:r w:rsidRPr="008B475B">
              <w:rPr>
                <w:sz w:val="22"/>
                <w:szCs w:val="22"/>
              </w:rPr>
              <w:t xml:space="preserve">Hæmaturi </w:t>
            </w:r>
          </w:p>
          <w:p w14:paraId="096FEBB5" w14:textId="77777777" w:rsidR="0044481D" w:rsidRPr="008B475B" w:rsidRDefault="0044481D" w:rsidP="00DD1CFE">
            <w:pPr>
              <w:rPr>
                <w:sz w:val="22"/>
                <w:szCs w:val="22"/>
              </w:rPr>
            </w:pPr>
            <w:r w:rsidRPr="008B475B">
              <w:rPr>
                <w:sz w:val="22"/>
                <w:szCs w:val="22"/>
              </w:rPr>
              <w:t>Moderat nyreinsufficiens</w:t>
            </w:r>
          </w:p>
        </w:tc>
        <w:tc>
          <w:tcPr>
            <w:tcW w:w="886" w:type="pct"/>
            <w:tcBorders>
              <w:top w:val="single" w:sz="4" w:space="0" w:color="auto"/>
              <w:left w:val="single" w:sz="4" w:space="0" w:color="auto"/>
              <w:bottom w:val="single" w:sz="4" w:space="0" w:color="auto"/>
              <w:right w:val="single" w:sz="4" w:space="0" w:color="auto"/>
            </w:tcBorders>
          </w:tcPr>
          <w:p w14:paraId="25B22352" w14:textId="77777777" w:rsidR="0044481D" w:rsidRPr="008B475B" w:rsidRDefault="0044481D" w:rsidP="00DD1CFE">
            <w:pPr>
              <w:rPr>
                <w:sz w:val="22"/>
                <w:szCs w:val="22"/>
              </w:rPr>
            </w:pPr>
          </w:p>
        </w:tc>
        <w:tc>
          <w:tcPr>
            <w:tcW w:w="959" w:type="pct"/>
            <w:tcBorders>
              <w:top w:val="single" w:sz="4" w:space="0" w:color="auto"/>
              <w:left w:val="single" w:sz="4" w:space="0" w:color="auto"/>
              <w:bottom w:val="single" w:sz="4" w:space="0" w:color="auto"/>
              <w:right w:val="single" w:sz="4" w:space="0" w:color="auto"/>
            </w:tcBorders>
          </w:tcPr>
          <w:p w14:paraId="3E01CCD7" w14:textId="77777777" w:rsidR="0044481D" w:rsidRPr="008B475B" w:rsidRDefault="0044481D" w:rsidP="00DD1CFE">
            <w:pPr>
              <w:rPr>
                <w:sz w:val="22"/>
                <w:szCs w:val="22"/>
              </w:rPr>
            </w:pPr>
          </w:p>
        </w:tc>
      </w:tr>
      <w:tr w:rsidR="0044481D" w:rsidRPr="008B475B" w14:paraId="28D04181" w14:textId="77777777" w:rsidTr="00DD1CFE">
        <w:trPr>
          <w:trHeight w:val="150"/>
        </w:trPr>
        <w:tc>
          <w:tcPr>
            <w:tcW w:w="1073" w:type="pct"/>
            <w:tcBorders>
              <w:top w:val="single" w:sz="4" w:space="0" w:color="auto"/>
              <w:left w:val="single" w:sz="4" w:space="0" w:color="auto"/>
              <w:bottom w:val="single" w:sz="4" w:space="0" w:color="auto"/>
              <w:right w:val="single" w:sz="4" w:space="0" w:color="auto"/>
            </w:tcBorders>
            <w:hideMark/>
          </w:tcPr>
          <w:p w14:paraId="6434F666" w14:textId="77777777" w:rsidR="0044481D" w:rsidRPr="008B475B" w:rsidRDefault="0044481D" w:rsidP="00DD1CFE">
            <w:pPr>
              <w:rPr>
                <w:sz w:val="22"/>
                <w:szCs w:val="22"/>
              </w:rPr>
            </w:pPr>
            <w:r w:rsidRPr="008B475B">
              <w:rPr>
                <w:sz w:val="22"/>
                <w:szCs w:val="22"/>
              </w:rPr>
              <w:t>Det reproduktive system og mammae</w:t>
            </w:r>
          </w:p>
        </w:tc>
        <w:tc>
          <w:tcPr>
            <w:tcW w:w="975" w:type="pct"/>
            <w:tcBorders>
              <w:top w:val="single" w:sz="4" w:space="0" w:color="auto"/>
              <w:left w:val="single" w:sz="4" w:space="0" w:color="auto"/>
              <w:bottom w:val="single" w:sz="4" w:space="0" w:color="auto"/>
              <w:right w:val="single" w:sz="4" w:space="0" w:color="auto"/>
            </w:tcBorders>
          </w:tcPr>
          <w:p w14:paraId="5EDDA36F" w14:textId="77777777" w:rsidR="0044481D" w:rsidRPr="008B475B" w:rsidRDefault="0044481D" w:rsidP="00DD1CFE">
            <w:pPr>
              <w:rPr>
                <w:sz w:val="22"/>
                <w:szCs w:val="22"/>
              </w:rPr>
            </w:pPr>
          </w:p>
        </w:tc>
        <w:tc>
          <w:tcPr>
            <w:tcW w:w="1107" w:type="pct"/>
            <w:tcBorders>
              <w:top w:val="single" w:sz="4" w:space="0" w:color="auto"/>
              <w:left w:val="single" w:sz="4" w:space="0" w:color="auto"/>
              <w:bottom w:val="single" w:sz="4" w:space="0" w:color="auto"/>
              <w:right w:val="single" w:sz="4" w:space="0" w:color="auto"/>
            </w:tcBorders>
          </w:tcPr>
          <w:p w14:paraId="77D3C73E" w14:textId="77777777" w:rsidR="0044481D" w:rsidRPr="008B475B" w:rsidRDefault="0044481D" w:rsidP="00DD1CFE">
            <w:pPr>
              <w:rPr>
                <w:sz w:val="22"/>
                <w:szCs w:val="22"/>
              </w:rPr>
            </w:pPr>
          </w:p>
        </w:tc>
        <w:tc>
          <w:tcPr>
            <w:tcW w:w="886" w:type="pct"/>
            <w:tcBorders>
              <w:top w:val="single" w:sz="4" w:space="0" w:color="auto"/>
              <w:left w:val="single" w:sz="4" w:space="0" w:color="auto"/>
              <w:bottom w:val="single" w:sz="4" w:space="0" w:color="auto"/>
              <w:right w:val="single" w:sz="4" w:space="0" w:color="auto"/>
            </w:tcBorders>
          </w:tcPr>
          <w:p w14:paraId="128F8146" w14:textId="77777777" w:rsidR="0044481D" w:rsidRPr="008B475B" w:rsidRDefault="0044481D" w:rsidP="00DD1CFE">
            <w:pPr>
              <w:rPr>
                <w:sz w:val="22"/>
                <w:szCs w:val="22"/>
              </w:rPr>
            </w:pPr>
          </w:p>
        </w:tc>
        <w:tc>
          <w:tcPr>
            <w:tcW w:w="959" w:type="pct"/>
            <w:tcBorders>
              <w:top w:val="single" w:sz="4" w:space="0" w:color="auto"/>
              <w:left w:val="single" w:sz="4" w:space="0" w:color="auto"/>
              <w:bottom w:val="single" w:sz="4" w:space="0" w:color="auto"/>
              <w:right w:val="single" w:sz="4" w:space="0" w:color="auto"/>
            </w:tcBorders>
            <w:hideMark/>
          </w:tcPr>
          <w:p w14:paraId="265F15B3" w14:textId="77777777" w:rsidR="0044481D" w:rsidRPr="008B475B" w:rsidRDefault="0044481D" w:rsidP="00DD1CFE">
            <w:pPr>
              <w:rPr>
                <w:sz w:val="22"/>
                <w:szCs w:val="22"/>
              </w:rPr>
            </w:pPr>
            <w:r w:rsidRPr="008B475B">
              <w:rPr>
                <w:sz w:val="22"/>
                <w:szCs w:val="22"/>
              </w:rPr>
              <w:t>Præmatur menopause Ovariesvigt**</w:t>
            </w:r>
          </w:p>
        </w:tc>
      </w:tr>
      <w:tr w:rsidR="0044481D" w:rsidRPr="008B475B" w14:paraId="09535A4B" w14:textId="77777777" w:rsidTr="00DD1CFE">
        <w:trPr>
          <w:trHeight w:val="150"/>
        </w:trPr>
        <w:tc>
          <w:tcPr>
            <w:tcW w:w="1073" w:type="pct"/>
            <w:tcBorders>
              <w:top w:val="single" w:sz="4" w:space="0" w:color="auto"/>
              <w:left w:val="single" w:sz="4" w:space="0" w:color="auto"/>
              <w:bottom w:val="single" w:sz="4" w:space="0" w:color="auto"/>
              <w:right w:val="single" w:sz="4" w:space="0" w:color="auto"/>
            </w:tcBorders>
            <w:hideMark/>
          </w:tcPr>
          <w:p w14:paraId="586DC4A8" w14:textId="77777777" w:rsidR="0044481D" w:rsidRPr="008B475B" w:rsidRDefault="0044481D" w:rsidP="00DD1CFE">
            <w:pPr>
              <w:pStyle w:val="TableParagraph"/>
              <w:spacing w:before="2" w:line="244" w:lineRule="auto"/>
              <w:rPr>
                <w:rFonts w:ascii="Times New Roman" w:eastAsia="Times New Roman" w:hAnsi="Times New Roman" w:cs="Times New Roman"/>
                <w:lang w:val="da-DK"/>
              </w:rPr>
            </w:pPr>
            <w:r w:rsidRPr="008B475B">
              <w:rPr>
                <w:rFonts w:ascii="Times New Roman" w:eastAsia="Times New Roman" w:hAnsi="Times New Roman" w:cs="Times New Roman"/>
                <w:lang w:val="da-DK"/>
              </w:rPr>
              <w:t>Almene symptomer og reaktioner på administrationsstedet</w:t>
            </w:r>
          </w:p>
        </w:tc>
        <w:tc>
          <w:tcPr>
            <w:tcW w:w="975" w:type="pct"/>
            <w:tcBorders>
              <w:top w:val="single" w:sz="4" w:space="0" w:color="auto"/>
              <w:left w:val="single" w:sz="4" w:space="0" w:color="auto"/>
              <w:bottom w:val="single" w:sz="4" w:space="0" w:color="auto"/>
              <w:right w:val="single" w:sz="4" w:space="0" w:color="auto"/>
            </w:tcBorders>
            <w:hideMark/>
          </w:tcPr>
          <w:p w14:paraId="061E5639" w14:textId="77777777" w:rsidR="0044481D" w:rsidRPr="008B475B" w:rsidRDefault="0044481D" w:rsidP="00DD1CFE">
            <w:pPr>
              <w:pStyle w:val="TableParagraph"/>
              <w:spacing w:line="244" w:lineRule="auto"/>
              <w:rPr>
                <w:rFonts w:ascii="Times New Roman" w:eastAsia="Times New Roman" w:hAnsi="Times New Roman" w:cs="Times New Roman"/>
                <w:lang w:val="da-DK"/>
              </w:rPr>
            </w:pPr>
            <w:r w:rsidRPr="008B475B">
              <w:rPr>
                <w:rFonts w:ascii="Times New Roman" w:eastAsia="Times New Roman" w:hAnsi="Times New Roman" w:cs="Times New Roman"/>
                <w:lang w:val="da-DK"/>
              </w:rPr>
              <w:t>Asteni Kuldegysninger Feber Brystsmerter Ødem</w:t>
            </w:r>
          </w:p>
          <w:p w14:paraId="54DE7F7B" w14:textId="77777777" w:rsidR="0044481D" w:rsidRPr="008B475B" w:rsidRDefault="0044481D" w:rsidP="00DD1CFE">
            <w:pPr>
              <w:pStyle w:val="TableParagraph"/>
              <w:spacing w:line="244" w:lineRule="auto"/>
              <w:rPr>
                <w:rFonts w:ascii="Times New Roman" w:eastAsia="Times New Roman" w:hAnsi="Times New Roman" w:cs="Times New Roman"/>
                <w:lang w:val="da-DK"/>
              </w:rPr>
            </w:pPr>
            <w:r w:rsidRPr="008B475B">
              <w:rPr>
                <w:rFonts w:ascii="Times New Roman" w:eastAsia="Times New Roman" w:hAnsi="Times New Roman" w:cs="Times New Roman"/>
                <w:lang w:val="da-DK"/>
              </w:rPr>
              <w:t>Generelle ødemer Smerter</w:t>
            </w:r>
          </w:p>
          <w:p w14:paraId="76CD630D" w14:textId="77777777" w:rsidR="0044481D" w:rsidRPr="008B475B" w:rsidRDefault="0044481D" w:rsidP="00DD1CFE">
            <w:pPr>
              <w:pStyle w:val="TableParagraph"/>
              <w:spacing w:line="244" w:lineRule="auto"/>
              <w:rPr>
                <w:rFonts w:ascii="Times New Roman" w:eastAsia="Times New Roman" w:hAnsi="Times New Roman" w:cs="Times New Roman"/>
                <w:lang w:val="da-DK"/>
              </w:rPr>
            </w:pPr>
            <w:r w:rsidRPr="008B475B">
              <w:rPr>
                <w:rFonts w:ascii="Times New Roman" w:eastAsia="Times New Roman" w:hAnsi="Times New Roman" w:cs="Times New Roman"/>
                <w:lang w:val="da-DK"/>
              </w:rPr>
              <w:t xml:space="preserve">Smerter eller betændelse ved injektionsstedet </w:t>
            </w:r>
            <w:proofErr w:type="spellStart"/>
            <w:r w:rsidRPr="008B475B">
              <w:rPr>
                <w:rFonts w:ascii="Times New Roman" w:eastAsia="Times New Roman" w:hAnsi="Times New Roman" w:cs="Times New Roman"/>
                <w:lang w:val="da-DK"/>
              </w:rPr>
              <w:t>Mucosit</w:t>
            </w:r>
            <w:proofErr w:type="spellEnd"/>
          </w:p>
        </w:tc>
        <w:tc>
          <w:tcPr>
            <w:tcW w:w="1107" w:type="pct"/>
            <w:tcBorders>
              <w:top w:val="single" w:sz="4" w:space="0" w:color="auto"/>
              <w:left w:val="single" w:sz="4" w:space="0" w:color="auto"/>
              <w:bottom w:val="single" w:sz="4" w:space="0" w:color="auto"/>
              <w:right w:val="single" w:sz="4" w:space="0" w:color="auto"/>
            </w:tcBorders>
          </w:tcPr>
          <w:p w14:paraId="405DF3F7" w14:textId="77777777" w:rsidR="0044481D" w:rsidRPr="008B475B" w:rsidRDefault="0044481D" w:rsidP="00DD1CFE">
            <w:pPr>
              <w:rPr>
                <w:sz w:val="22"/>
                <w:szCs w:val="22"/>
              </w:rPr>
            </w:pPr>
          </w:p>
        </w:tc>
        <w:tc>
          <w:tcPr>
            <w:tcW w:w="886" w:type="pct"/>
            <w:tcBorders>
              <w:top w:val="single" w:sz="4" w:space="0" w:color="auto"/>
              <w:left w:val="single" w:sz="4" w:space="0" w:color="auto"/>
              <w:bottom w:val="single" w:sz="4" w:space="0" w:color="auto"/>
              <w:right w:val="single" w:sz="4" w:space="0" w:color="auto"/>
            </w:tcBorders>
          </w:tcPr>
          <w:p w14:paraId="6F652983" w14:textId="77777777" w:rsidR="0044481D" w:rsidRPr="008B475B" w:rsidRDefault="0044481D" w:rsidP="00DD1CFE">
            <w:pPr>
              <w:rPr>
                <w:sz w:val="22"/>
                <w:szCs w:val="22"/>
              </w:rPr>
            </w:pPr>
          </w:p>
        </w:tc>
        <w:tc>
          <w:tcPr>
            <w:tcW w:w="959" w:type="pct"/>
            <w:tcBorders>
              <w:top w:val="single" w:sz="4" w:space="0" w:color="auto"/>
              <w:left w:val="single" w:sz="4" w:space="0" w:color="auto"/>
              <w:bottom w:val="single" w:sz="4" w:space="0" w:color="auto"/>
              <w:right w:val="single" w:sz="4" w:space="0" w:color="auto"/>
            </w:tcBorders>
          </w:tcPr>
          <w:p w14:paraId="16F67E2E" w14:textId="77777777" w:rsidR="0044481D" w:rsidRPr="008B475B" w:rsidRDefault="0044481D" w:rsidP="00DD1CFE">
            <w:pPr>
              <w:rPr>
                <w:sz w:val="22"/>
                <w:szCs w:val="22"/>
              </w:rPr>
            </w:pPr>
          </w:p>
        </w:tc>
      </w:tr>
      <w:tr w:rsidR="0044481D" w:rsidRPr="008B475B" w14:paraId="60A89757" w14:textId="77777777" w:rsidTr="00DD1CFE">
        <w:trPr>
          <w:trHeight w:val="150"/>
        </w:trPr>
        <w:tc>
          <w:tcPr>
            <w:tcW w:w="1073" w:type="pct"/>
            <w:tcBorders>
              <w:top w:val="single" w:sz="4" w:space="0" w:color="auto"/>
              <w:left w:val="single" w:sz="4" w:space="0" w:color="auto"/>
              <w:bottom w:val="single" w:sz="4" w:space="0" w:color="auto"/>
              <w:right w:val="single" w:sz="4" w:space="0" w:color="auto"/>
            </w:tcBorders>
            <w:hideMark/>
          </w:tcPr>
          <w:p w14:paraId="5DBBAFD5" w14:textId="77777777" w:rsidR="0044481D" w:rsidRPr="008B475B" w:rsidRDefault="0044481D" w:rsidP="00DD1CFE">
            <w:pPr>
              <w:pStyle w:val="TableParagraph"/>
              <w:spacing w:before="2" w:line="244" w:lineRule="auto"/>
              <w:rPr>
                <w:rFonts w:ascii="Times New Roman" w:eastAsia="Times New Roman" w:hAnsi="Times New Roman" w:cs="Times New Roman"/>
                <w:lang w:val="da-DK"/>
              </w:rPr>
            </w:pPr>
            <w:r w:rsidRPr="008B475B">
              <w:rPr>
                <w:rFonts w:ascii="Times New Roman" w:eastAsia="Times New Roman" w:hAnsi="Times New Roman" w:cs="Times New Roman"/>
                <w:lang w:val="da-DK"/>
              </w:rPr>
              <w:t>Undersøgelser</w:t>
            </w:r>
          </w:p>
        </w:tc>
        <w:tc>
          <w:tcPr>
            <w:tcW w:w="975" w:type="pct"/>
            <w:tcBorders>
              <w:top w:val="single" w:sz="4" w:space="0" w:color="auto"/>
              <w:left w:val="single" w:sz="4" w:space="0" w:color="auto"/>
              <w:bottom w:val="single" w:sz="4" w:space="0" w:color="auto"/>
              <w:right w:val="single" w:sz="4" w:space="0" w:color="auto"/>
            </w:tcBorders>
            <w:hideMark/>
          </w:tcPr>
          <w:p w14:paraId="04556E40" w14:textId="77777777" w:rsidR="0044481D" w:rsidRPr="008B475B" w:rsidRDefault="0044481D" w:rsidP="00DD1CFE">
            <w:pPr>
              <w:pStyle w:val="TableParagraph"/>
              <w:spacing w:line="244" w:lineRule="auto"/>
              <w:rPr>
                <w:rFonts w:ascii="Times New Roman" w:eastAsia="Times New Roman" w:hAnsi="Times New Roman" w:cs="Times New Roman"/>
                <w:lang w:val="da-DK"/>
              </w:rPr>
            </w:pPr>
            <w:r w:rsidRPr="008B475B">
              <w:rPr>
                <w:rFonts w:ascii="Times New Roman" w:eastAsia="Times New Roman" w:hAnsi="Times New Roman" w:cs="Times New Roman"/>
                <w:lang w:val="da-DK"/>
              </w:rPr>
              <w:t xml:space="preserve">Forhøjede </w:t>
            </w:r>
            <w:proofErr w:type="spellStart"/>
            <w:r w:rsidRPr="008B475B">
              <w:rPr>
                <w:rFonts w:ascii="Times New Roman" w:eastAsia="Times New Roman" w:hAnsi="Times New Roman" w:cs="Times New Roman"/>
                <w:lang w:val="da-DK"/>
              </w:rPr>
              <w:t>aminotransferaser</w:t>
            </w:r>
            <w:proofErr w:type="spellEnd"/>
            <w:r w:rsidRPr="008B475B">
              <w:rPr>
                <w:rFonts w:ascii="Times New Roman" w:eastAsia="Times New Roman" w:hAnsi="Times New Roman" w:cs="Times New Roman"/>
                <w:lang w:val="da-DK"/>
              </w:rPr>
              <w:t xml:space="preserve">, Forhøjet bilirubin, Forhøjet GGT, Forhøjet alkalisk fosfatase, Vægtstigning Anormale, vejrtrækningslyde Forhøjet </w:t>
            </w:r>
            <w:proofErr w:type="spellStart"/>
            <w:r w:rsidRPr="008B475B">
              <w:rPr>
                <w:rFonts w:ascii="Times New Roman" w:eastAsia="Times New Roman" w:hAnsi="Times New Roman" w:cs="Times New Roman"/>
                <w:lang w:val="da-DK"/>
              </w:rPr>
              <w:t>kreatinin</w:t>
            </w:r>
            <w:proofErr w:type="spellEnd"/>
          </w:p>
        </w:tc>
        <w:tc>
          <w:tcPr>
            <w:tcW w:w="1107" w:type="pct"/>
            <w:tcBorders>
              <w:top w:val="single" w:sz="4" w:space="0" w:color="auto"/>
              <w:left w:val="single" w:sz="4" w:space="0" w:color="auto"/>
              <w:bottom w:val="single" w:sz="4" w:space="0" w:color="auto"/>
              <w:right w:val="single" w:sz="4" w:space="0" w:color="auto"/>
            </w:tcBorders>
            <w:hideMark/>
          </w:tcPr>
          <w:p w14:paraId="5C7347FE" w14:textId="77777777" w:rsidR="0044481D" w:rsidRPr="008B475B" w:rsidRDefault="0044481D" w:rsidP="00DD1CFE">
            <w:pPr>
              <w:rPr>
                <w:sz w:val="22"/>
                <w:szCs w:val="22"/>
              </w:rPr>
            </w:pPr>
            <w:r w:rsidRPr="008B475B">
              <w:rPr>
                <w:sz w:val="22"/>
                <w:szCs w:val="22"/>
              </w:rPr>
              <w:t xml:space="preserve">Forhøjet </w:t>
            </w:r>
            <w:proofErr w:type="spellStart"/>
            <w:r w:rsidRPr="008B475B">
              <w:rPr>
                <w:sz w:val="22"/>
                <w:szCs w:val="22"/>
              </w:rPr>
              <w:t>carbamid</w:t>
            </w:r>
            <w:proofErr w:type="spellEnd"/>
            <w:r w:rsidRPr="008B475B">
              <w:rPr>
                <w:sz w:val="22"/>
                <w:szCs w:val="22"/>
              </w:rPr>
              <w:t xml:space="preserve"> (BUN)</w:t>
            </w:r>
          </w:p>
          <w:p w14:paraId="4D9DC4B2" w14:textId="77777777" w:rsidR="0044481D" w:rsidRPr="008B475B" w:rsidRDefault="0044481D" w:rsidP="00DD1CFE">
            <w:pPr>
              <w:rPr>
                <w:sz w:val="22"/>
                <w:szCs w:val="22"/>
              </w:rPr>
            </w:pPr>
            <w:r w:rsidRPr="008B475B">
              <w:rPr>
                <w:sz w:val="22"/>
                <w:szCs w:val="22"/>
              </w:rPr>
              <w:t>Nedsat uddrivningsfraktion</w:t>
            </w:r>
          </w:p>
        </w:tc>
        <w:tc>
          <w:tcPr>
            <w:tcW w:w="886" w:type="pct"/>
            <w:tcBorders>
              <w:top w:val="single" w:sz="4" w:space="0" w:color="auto"/>
              <w:left w:val="single" w:sz="4" w:space="0" w:color="auto"/>
              <w:bottom w:val="single" w:sz="4" w:space="0" w:color="auto"/>
              <w:right w:val="single" w:sz="4" w:space="0" w:color="auto"/>
            </w:tcBorders>
          </w:tcPr>
          <w:p w14:paraId="388FD04F" w14:textId="77777777" w:rsidR="0044481D" w:rsidRPr="008B475B" w:rsidRDefault="0044481D" w:rsidP="00DD1CFE">
            <w:pPr>
              <w:rPr>
                <w:sz w:val="22"/>
                <w:szCs w:val="22"/>
              </w:rPr>
            </w:pPr>
          </w:p>
        </w:tc>
        <w:tc>
          <w:tcPr>
            <w:tcW w:w="959" w:type="pct"/>
            <w:tcBorders>
              <w:top w:val="single" w:sz="4" w:space="0" w:color="auto"/>
              <w:left w:val="single" w:sz="4" w:space="0" w:color="auto"/>
              <w:bottom w:val="single" w:sz="4" w:space="0" w:color="auto"/>
              <w:right w:val="single" w:sz="4" w:space="0" w:color="auto"/>
            </w:tcBorders>
          </w:tcPr>
          <w:p w14:paraId="003732E8" w14:textId="77777777" w:rsidR="0044481D" w:rsidRPr="008B475B" w:rsidRDefault="0044481D" w:rsidP="00DD1CFE">
            <w:pPr>
              <w:rPr>
                <w:sz w:val="22"/>
                <w:szCs w:val="22"/>
              </w:rPr>
            </w:pPr>
          </w:p>
        </w:tc>
      </w:tr>
    </w:tbl>
    <w:p w14:paraId="3EC2D320" w14:textId="77777777" w:rsidR="0044481D" w:rsidRPr="008B475B" w:rsidRDefault="0044481D" w:rsidP="0044481D">
      <w:pPr>
        <w:autoSpaceDE w:val="0"/>
        <w:autoSpaceDN w:val="0"/>
        <w:adjustRightInd w:val="0"/>
        <w:rPr>
          <w:noProof/>
          <w:sz w:val="24"/>
          <w:szCs w:val="24"/>
        </w:rPr>
      </w:pPr>
      <w:r w:rsidRPr="008B475B">
        <w:rPr>
          <w:noProof/>
          <w:sz w:val="24"/>
          <w:szCs w:val="24"/>
        </w:rPr>
        <w:t>*Hepatisk venookklusiv sygdom er hyppigere forekommende i den pædiatriske population.</w:t>
      </w:r>
    </w:p>
    <w:p w14:paraId="532A57C7" w14:textId="77777777" w:rsidR="0044481D" w:rsidRPr="008B475B" w:rsidRDefault="0044481D" w:rsidP="0044481D">
      <w:pPr>
        <w:autoSpaceDE w:val="0"/>
        <w:autoSpaceDN w:val="0"/>
        <w:adjustRightInd w:val="0"/>
        <w:rPr>
          <w:noProof/>
          <w:sz w:val="24"/>
          <w:szCs w:val="24"/>
        </w:rPr>
      </w:pPr>
      <w:r w:rsidRPr="008B475B">
        <w:rPr>
          <w:noProof/>
          <w:sz w:val="24"/>
          <w:szCs w:val="24"/>
        </w:rPr>
        <w:t>**rapporteret post-marketing med i.v.-busulfan</w:t>
      </w:r>
    </w:p>
    <w:p w14:paraId="1A764F60" w14:textId="77777777" w:rsidR="0044481D" w:rsidRPr="008B475B" w:rsidRDefault="0044481D" w:rsidP="0044481D">
      <w:pPr>
        <w:autoSpaceDE w:val="0"/>
        <w:autoSpaceDN w:val="0"/>
        <w:adjustRightInd w:val="0"/>
        <w:rPr>
          <w:noProof/>
          <w:sz w:val="24"/>
          <w:szCs w:val="24"/>
        </w:rPr>
      </w:pPr>
      <w:r w:rsidRPr="008B475B">
        <w:rPr>
          <w:noProof/>
          <w:sz w:val="24"/>
          <w:szCs w:val="24"/>
        </w:rPr>
        <w:t>***rapporteret post-marketing med oral busulfan</w:t>
      </w:r>
    </w:p>
    <w:p w14:paraId="47CFE6CC" w14:textId="77777777" w:rsidR="0044481D" w:rsidRPr="008B475B" w:rsidRDefault="0044481D" w:rsidP="0044481D">
      <w:pPr>
        <w:autoSpaceDE w:val="0"/>
        <w:autoSpaceDN w:val="0"/>
        <w:adjustRightInd w:val="0"/>
        <w:rPr>
          <w:noProof/>
          <w:sz w:val="24"/>
          <w:szCs w:val="24"/>
        </w:rPr>
      </w:pPr>
    </w:p>
    <w:p w14:paraId="0DD6008C" w14:textId="77777777" w:rsidR="0044481D" w:rsidRPr="0044481D" w:rsidRDefault="0044481D" w:rsidP="0044481D">
      <w:pPr>
        <w:autoSpaceDE w:val="0"/>
        <w:autoSpaceDN w:val="0"/>
        <w:adjustRightInd w:val="0"/>
        <w:rPr>
          <w:u w:val="single"/>
        </w:rPr>
      </w:pPr>
    </w:p>
    <w:p w14:paraId="65DFA591" w14:textId="77777777" w:rsidR="0044481D" w:rsidRPr="002F7A21" w:rsidRDefault="0044481D" w:rsidP="0044481D">
      <w:pPr>
        <w:autoSpaceDE w:val="0"/>
        <w:autoSpaceDN w:val="0"/>
        <w:adjustRightInd w:val="0"/>
        <w:rPr>
          <w:u w:val="single"/>
        </w:rPr>
      </w:pPr>
      <w:r w:rsidRPr="002F7A21">
        <w:rPr>
          <w:u w:val="single"/>
        </w:rPr>
        <w:t>Indberetning af formodede bivirkninger</w:t>
      </w:r>
    </w:p>
    <w:p w14:paraId="4FDF9A0B" w14:textId="77777777" w:rsidR="0044481D" w:rsidRDefault="0044481D" w:rsidP="0044481D">
      <w:pPr>
        <w:autoSpaceDE w:val="0"/>
        <w:autoSpaceDN w:val="0"/>
        <w:adjustRightInd w:val="0"/>
        <w:rPr>
          <w:noProof/>
          <w:szCs w:val="22"/>
        </w:rPr>
      </w:pPr>
      <w:r>
        <w:rPr>
          <w:noProof/>
          <w:szCs w:val="22"/>
        </w:rPr>
        <w:t>Når lægemidlet er godkendt, er indberetning af formodede bivirkninger vigtig.</w:t>
      </w:r>
      <w:r>
        <w:rPr>
          <w:szCs w:val="22"/>
        </w:rPr>
        <w:t xml:space="preserve"> </w:t>
      </w:r>
      <w:r>
        <w:rPr>
          <w:noProof/>
          <w:szCs w:val="22"/>
        </w:rPr>
        <w:t>Det muliggør løbende overvågning af benefit/risk-forholdet for lægemidlet.</w:t>
      </w:r>
      <w:r>
        <w:rPr>
          <w:szCs w:val="22"/>
        </w:rPr>
        <w:t xml:space="preserve"> </w:t>
      </w:r>
      <w:r>
        <w:rPr>
          <w:noProof/>
          <w:szCs w:val="22"/>
        </w:rPr>
        <w:t>Sundhedspersoner anmodes om at indberette alle formodede bivirkninger via</w:t>
      </w:r>
    </w:p>
    <w:p w14:paraId="50258730" w14:textId="77777777" w:rsidR="0044481D" w:rsidRDefault="0044481D" w:rsidP="0044481D">
      <w:pPr>
        <w:autoSpaceDE w:val="0"/>
        <w:autoSpaceDN w:val="0"/>
        <w:adjustRightInd w:val="0"/>
        <w:rPr>
          <w:noProof/>
          <w:szCs w:val="22"/>
        </w:rPr>
      </w:pPr>
    </w:p>
    <w:p w14:paraId="4AC02B8E" w14:textId="77777777" w:rsidR="0044481D" w:rsidRPr="00324EB4" w:rsidRDefault="0044481D" w:rsidP="0044481D">
      <w:pPr>
        <w:autoSpaceDE w:val="0"/>
        <w:autoSpaceDN w:val="0"/>
        <w:adjustRightInd w:val="0"/>
        <w:rPr>
          <w:noProof/>
          <w:szCs w:val="22"/>
        </w:rPr>
      </w:pPr>
      <w:r w:rsidRPr="00324EB4">
        <w:rPr>
          <w:noProof/>
          <w:szCs w:val="22"/>
        </w:rPr>
        <w:t>Lægemiddelstyrelsen</w:t>
      </w:r>
    </w:p>
    <w:p w14:paraId="4953CEBC" w14:textId="77777777" w:rsidR="0044481D" w:rsidRPr="00324EB4" w:rsidRDefault="0044481D" w:rsidP="0044481D">
      <w:pPr>
        <w:autoSpaceDE w:val="0"/>
        <w:autoSpaceDN w:val="0"/>
        <w:adjustRightInd w:val="0"/>
        <w:rPr>
          <w:noProof/>
          <w:szCs w:val="22"/>
        </w:rPr>
      </w:pPr>
      <w:r w:rsidRPr="00324EB4">
        <w:rPr>
          <w:noProof/>
          <w:szCs w:val="22"/>
        </w:rPr>
        <w:t>Axel Heides Gade 1</w:t>
      </w:r>
    </w:p>
    <w:p w14:paraId="2F2EEE92" w14:textId="77777777" w:rsidR="0044481D" w:rsidRPr="00324EB4" w:rsidRDefault="0044481D" w:rsidP="0044481D">
      <w:pPr>
        <w:autoSpaceDE w:val="0"/>
        <w:autoSpaceDN w:val="0"/>
        <w:adjustRightInd w:val="0"/>
        <w:rPr>
          <w:noProof/>
          <w:szCs w:val="22"/>
        </w:rPr>
      </w:pPr>
      <w:r w:rsidRPr="00324EB4">
        <w:rPr>
          <w:noProof/>
          <w:szCs w:val="22"/>
        </w:rPr>
        <w:t>DK-2300 København S</w:t>
      </w:r>
    </w:p>
    <w:p w14:paraId="36831C93" w14:textId="77777777" w:rsidR="0044481D" w:rsidRDefault="0044481D" w:rsidP="0044481D">
      <w:pPr>
        <w:autoSpaceDE w:val="0"/>
        <w:autoSpaceDN w:val="0"/>
        <w:adjustRightInd w:val="0"/>
        <w:rPr>
          <w:noProof/>
          <w:szCs w:val="22"/>
        </w:rPr>
      </w:pPr>
      <w:r w:rsidRPr="00324EB4">
        <w:rPr>
          <w:noProof/>
          <w:szCs w:val="22"/>
        </w:rPr>
        <w:t xml:space="preserve">Websted: </w:t>
      </w:r>
      <w:hyperlink r:id="rId8" w:history="1">
        <w:r w:rsidRPr="004542EA">
          <w:rPr>
            <w:rStyle w:val="Hyperlink"/>
            <w:noProof/>
            <w:szCs w:val="22"/>
          </w:rPr>
          <w:t>www.meldenbivirkning.dk</w:t>
        </w:r>
      </w:hyperlink>
      <w:r>
        <w:rPr>
          <w:noProof/>
          <w:szCs w:val="22"/>
        </w:rPr>
        <w:t xml:space="preserve"> </w:t>
      </w:r>
    </w:p>
    <w:p w14:paraId="5EEBFC75" w14:textId="77777777" w:rsidR="0044481D" w:rsidRDefault="0044481D" w:rsidP="0044481D">
      <w:pPr>
        <w:autoSpaceDE w:val="0"/>
        <w:autoSpaceDN w:val="0"/>
        <w:adjustRightInd w:val="0"/>
        <w:rPr>
          <w:sz w:val="24"/>
          <w:szCs w:val="24"/>
          <w:lang w:eastAsia="da-DK"/>
        </w:rPr>
      </w:pPr>
      <w:r>
        <w:rPr>
          <w:szCs w:val="24"/>
        </w:rPr>
        <w:br w:type="page"/>
      </w:r>
    </w:p>
    <w:p w14:paraId="1E40F22B" w14:textId="77777777" w:rsidR="0044481D" w:rsidRPr="008B475B" w:rsidRDefault="0044481D" w:rsidP="0044481D">
      <w:pPr>
        <w:pStyle w:val="Sidehoved"/>
        <w:tabs>
          <w:tab w:val="clear" w:pos="4819"/>
          <w:tab w:val="clear" w:pos="9638"/>
        </w:tabs>
        <w:ind w:left="851"/>
        <w:rPr>
          <w:szCs w:val="24"/>
        </w:rPr>
      </w:pPr>
    </w:p>
    <w:p w14:paraId="3C97110C" w14:textId="77777777" w:rsidR="0044481D" w:rsidRPr="008B475B" w:rsidRDefault="0044481D" w:rsidP="0044481D">
      <w:pPr>
        <w:ind w:left="851" w:hanging="851"/>
        <w:rPr>
          <w:b/>
          <w:sz w:val="24"/>
          <w:szCs w:val="24"/>
        </w:rPr>
      </w:pPr>
      <w:r w:rsidRPr="008B475B">
        <w:rPr>
          <w:b/>
          <w:sz w:val="24"/>
          <w:szCs w:val="24"/>
        </w:rPr>
        <w:t>4.9</w:t>
      </w:r>
      <w:r w:rsidRPr="008B475B">
        <w:rPr>
          <w:b/>
          <w:sz w:val="24"/>
          <w:szCs w:val="24"/>
        </w:rPr>
        <w:tab/>
        <w:t>Overdosering</w:t>
      </w:r>
    </w:p>
    <w:p w14:paraId="0A75C065" w14:textId="77777777" w:rsidR="0044481D" w:rsidRPr="008B475B" w:rsidRDefault="0044481D" w:rsidP="0044481D">
      <w:pPr>
        <w:ind w:left="851"/>
        <w:rPr>
          <w:noProof/>
          <w:sz w:val="24"/>
          <w:szCs w:val="24"/>
        </w:rPr>
      </w:pPr>
      <w:r w:rsidRPr="008B475B">
        <w:rPr>
          <w:noProof/>
          <w:sz w:val="24"/>
          <w:szCs w:val="24"/>
        </w:rPr>
        <w:t>Den væsentligste toksiske virkning er omfattende myeloablation og pancytopeni, men centralnervesystemet, lever, lunger og gastrointestinalkanalen kan også blive påvirket.</w:t>
      </w:r>
    </w:p>
    <w:p w14:paraId="62629DA8" w14:textId="77777777" w:rsidR="0044481D" w:rsidRPr="008B475B" w:rsidRDefault="0044481D" w:rsidP="0044481D">
      <w:pPr>
        <w:ind w:left="851"/>
        <w:rPr>
          <w:noProof/>
          <w:sz w:val="24"/>
          <w:szCs w:val="24"/>
        </w:rPr>
      </w:pPr>
    </w:p>
    <w:p w14:paraId="7C47345B" w14:textId="77777777" w:rsidR="0044481D" w:rsidRPr="008B475B" w:rsidRDefault="0044481D" w:rsidP="0044481D">
      <w:pPr>
        <w:suppressAutoHyphens/>
        <w:ind w:left="851"/>
        <w:rPr>
          <w:noProof/>
          <w:sz w:val="24"/>
          <w:szCs w:val="24"/>
        </w:rPr>
      </w:pPr>
      <w:r w:rsidRPr="008B475B">
        <w:rPr>
          <w:noProof/>
          <w:sz w:val="24"/>
          <w:szCs w:val="24"/>
        </w:rPr>
        <w:t>Der kendes ingen antidot til busulfan bortset fra transplantation af hæmatopoietiske progenitorceller. Uden sammenhæng med transplantation af hæmatopoietiske progenitorceller vil den anbefalede dosis af busulfan udgøre en overdosis af busulfan. Blodstatus skal overvåges nøje, og intensiv understøttende behandling iværksættes efter medicinsk behov.</w:t>
      </w:r>
    </w:p>
    <w:p w14:paraId="52B090B3" w14:textId="77777777" w:rsidR="0044481D" w:rsidRPr="008B475B" w:rsidRDefault="0044481D" w:rsidP="0044481D">
      <w:pPr>
        <w:suppressAutoHyphens/>
        <w:ind w:left="851"/>
        <w:rPr>
          <w:noProof/>
          <w:sz w:val="24"/>
          <w:szCs w:val="24"/>
        </w:rPr>
      </w:pPr>
    </w:p>
    <w:p w14:paraId="5AAC16CA" w14:textId="77777777" w:rsidR="0044481D" w:rsidRPr="008B475B" w:rsidRDefault="0044481D" w:rsidP="0044481D">
      <w:pPr>
        <w:suppressAutoHyphens/>
        <w:ind w:left="851"/>
        <w:rPr>
          <w:noProof/>
          <w:sz w:val="24"/>
          <w:szCs w:val="24"/>
        </w:rPr>
      </w:pPr>
      <w:r w:rsidRPr="008B475B">
        <w:rPr>
          <w:noProof/>
          <w:sz w:val="24"/>
          <w:szCs w:val="24"/>
        </w:rPr>
        <w:t>Ifølge to rapporter kan busulfan fjernes ved dialyse, og det bør derfor overvejes at sætte patienten I dialyse i tilfælde af en overdosis. Da busulfan metaboliseres gennem konjugation med glutathion, kan det overvejes at give glutathion.</w:t>
      </w:r>
    </w:p>
    <w:p w14:paraId="16F33594" w14:textId="77777777" w:rsidR="0044481D" w:rsidRPr="008B475B" w:rsidRDefault="0044481D" w:rsidP="0044481D">
      <w:pPr>
        <w:suppressAutoHyphens/>
        <w:ind w:left="851"/>
        <w:rPr>
          <w:noProof/>
          <w:sz w:val="24"/>
          <w:szCs w:val="24"/>
        </w:rPr>
      </w:pPr>
    </w:p>
    <w:p w14:paraId="0B5B1B5A" w14:textId="77777777" w:rsidR="0044481D" w:rsidRPr="008B475B" w:rsidRDefault="0044481D" w:rsidP="0044481D">
      <w:pPr>
        <w:suppressAutoHyphens/>
        <w:ind w:left="851"/>
        <w:rPr>
          <w:noProof/>
          <w:sz w:val="24"/>
          <w:szCs w:val="24"/>
        </w:rPr>
      </w:pPr>
      <w:r w:rsidRPr="008B475B">
        <w:rPr>
          <w:noProof/>
          <w:sz w:val="24"/>
          <w:szCs w:val="24"/>
        </w:rPr>
        <w:t>Det skal tages i betragtning, at en overdosis af busulfan også øger eksponeringen for DMA. Hos mennesker var de vigtigste toksiske virkninger hepatotoksicitet og virkninger på centralnervesystemet. Symptomer fra centralnervesystemet forudgår alle sværere bivirkninger. Der kendes ingen antidot for overdosering af DMA. I tilfælde af overdosering skal behandlingen omfatte almindelige støttende foranstaltninger.</w:t>
      </w:r>
    </w:p>
    <w:p w14:paraId="41350218" w14:textId="77777777" w:rsidR="0044481D" w:rsidRPr="008B475B" w:rsidRDefault="0044481D" w:rsidP="0044481D">
      <w:pPr>
        <w:ind w:left="851"/>
        <w:rPr>
          <w:sz w:val="24"/>
          <w:szCs w:val="24"/>
        </w:rPr>
      </w:pPr>
    </w:p>
    <w:p w14:paraId="299E279D" w14:textId="77777777" w:rsidR="0044481D" w:rsidRPr="008B475B" w:rsidRDefault="0044481D" w:rsidP="0044481D">
      <w:pPr>
        <w:ind w:left="851" w:hanging="851"/>
        <w:rPr>
          <w:b/>
          <w:sz w:val="24"/>
          <w:szCs w:val="24"/>
        </w:rPr>
      </w:pPr>
      <w:r w:rsidRPr="008B475B">
        <w:rPr>
          <w:b/>
          <w:sz w:val="24"/>
          <w:szCs w:val="24"/>
        </w:rPr>
        <w:t>4.10</w:t>
      </w:r>
      <w:r w:rsidRPr="008B475B">
        <w:rPr>
          <w:b/>
          <w:sz w:val="24"/>
          <w:szCs w:val="24"/>
        </w:rPr>
        <w:tab/>
        <w:t>Udlevering</w:t>
      </w:r>
    </w:p>
    <w:p w14:paraId="33628428" w14:textId="77777777" w:rsidR="0044481D" w:rsidRPr="008B475B" w:rsidRDefault="0044481D" w:rsidP="0044481D">
      <w:pPr>
        <w:ind w:left="851"/>
        <w:rPr>
          <w:sz w:val="24"/>
          <w:szCs w:val="24"/>
          <w:lang w:eastAsia="da-DK"/>
        </w:rPr>
      </w:pPr>
      <w:r w:rsidRPr="008B475B">
        <w:rPr>
          <w:sz w:val="24"/>
          <w:szCs w:val="24"/>
        </w:rPr>
        <w:t>BEGR – Kun til sygehuse</w:t>
      </w:r>
    </w:p>
    <w:p w14:paraId="6574CF5E" w14:textId="77777777" w:rsidR="0044481D" w:rsidRPr="008B475B" w:rsidRDefault="0044481D" w:rsidP="0044481D">
      <w:pPr>
        <w:ind w:left="851"/>
        <w:rPr>
          <w:sz w:val="24"/>
          <w:szCs w:val="24"/>
        </w:rPr>
      </w:pPr>
    </w:p>
    <w:p w14:paraId="4D442503" w14:textId="77777777" w:rsidR="0044481D" w:rsidRPr="008B475B" w:rsidRDefault="0044481D" w:rsidP="0044481D">
      <w:pPr>
        <w:ind w:left="851"/>
        <w:rPr>
          <w:sz w:val="24"/>
          <w:szCs w:val="24"/>
        </w:rPr>
      </w:pPr>
    </w:p>
    <w:p w14:paraId="4A4CB217" w14:textId="77777777" w:rsidR="0044481D" w:rsidRPr="00C84483" w:rsidRDefault="0044481D" w:rsidP="0044481D">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7B58F990" w14:textId="77777777" w:rsidR="0044481D" w:rsidRPr="00C84483" w:rsidRDefault="0044481D" w:rsidP="0044481D">
      <w:pPr>
        <w:tabs>
          <w:tab w:val="left" w:pos="851"/>
        </w:tabs>
        <w:ind w:left="851"/>
        <w:rPr>
          <w:sz w:val="24"/>
          <w:szCs w:val="24"/>
        </w:rPr>
      </w:pPr>
    </w:p>
    <w:p w14:paraId="1F6B0805" w14:textId="77777777" w:rsidR="0044481D" w:rsidRPr="00C84483" w:rsidRDefault="0044481D" w:rsidP="0044481D">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681F6149" w14:textId="77777777" w:rsidR="0044481D" w:rsidRPr="00462C3F" w:rsidRDefault="0044481D" w:rsidP="0044481D">
      <w:pPr>
        <w:ind w:left="851"/>
        <w:rPr>
          <w:sz w:val="24"/>
          <w:szCs w:val="24"/>
        </w:rPr>
      </w:pPr>
      <w:proofErr w:type="spellStart"/>
      <w:r w:rsidRPr="00462C3F">
        <w:rPr>
          <w:sz w:val="24"/>
          <w:szCs w:val="24"/>
        </w:rPr>
        <w:t>Farmakoterapeutisk</w:t>
      </w:r>
      <w:proofErr w:type="spellEnd"/>
      <w:r w:rsidRPr="00462C3F">
        <w:rPr>
          <w:sz w:val="24"/>
          <w:szCs w:val="24"/>
        </w:rPr>
        <w:t xml:space="preserve"> klassifikation: </w:t>
      </w:r>
      <w:proofErr w:type="spellStart"/>
      <w:r w:rsidRPr="00462C3F">
        <w:rPr>
          <w:sz w:val="24"/>
          <w:szCs w:val="24"/>
        </w:rPr>
        <w:t>Alkylsulfonater</w:t>
      </w:r>
      <w:proofErr w:type="spellEnd"/>
      <w:r w:rsidRPr="00462C3F">
        <w:rPr>
          <w:sz w:val="24"/>
          <w:szCs w:val="24"/>
        </w:rPr>
        <w:t>, ATC-kode: L01AB01.</w:t>
      </w:r>
    </w:p>
    <w:p w14:paraId="16E41393" w14:textId="77777777" w:rsidR="0044481D" w:rsidRPr="008B475B" w:rsidRDefault="0044481D" w:rsidP="0044481D">
      <w:pPr>
        <w:suppressAutoHyphens/>
        <w:ind w:left="851"/>
        <w:rPr>
          <w:bCs/>
          <w:noProof/>
          <w:sz w:val="24"/>
          <w:szCs w:val="24"/>
          <w:u w:val="single"/>
        </w:rPr>
      </w:pPr>
    </w:p>
    <w:p w14:paraId="46CFB103" w14:textId="77777777" w:rsidR="0044481D" w:rsidRPr="008B475B" w:rsidRDefault="0044481D" w:rsidP="0044481D">
      <w:pPr>
        <w:suppressAutoHyphens/>
        <w:ind w:left="851"/>
        <w:rPr>
          <w:bCs/>
          <w:noProof/>
          <w:sz w:val="24"/>
          <w:szCs w:val="24"/>
          <w:u w:val="single"/>
        </w:rPr>
      </w:pPr>
      <w:r w:rsidRPr="008B475B">
        <w:rPr>
          <w:bCs/>
          <w:noProof/>
          <w:sz w:val="24"/>
          <w:szCs w:val="24"/>
          <w:u w:val="single"/>
        </w:rPr>
        <w:t>Virkningsmekanisme</w:t>
      </w:r>
    </w:p>
    <w:p w14:paraId="28C6AC4A" w14:textId="77777777" w:rsidR="0044481D" w:rsidRPr="008B475B" w:rsidRDefault="0044481D" w:rsidP="0044481D">
      <w:pPr>
        <w:suppressAutoHyphens/>
        <w:ind w:left="851"/>
        <w:rPr>
          <w:bCs/>
          <w:noProof/>
          <w:sz w:val="24"/>
          <w:szCs w:val="24"/>
        </w:rPr>
      </w:pPr>
      <w:r w:rsidRPr="008B475B">
        <w:rPr>
          <w:bCs/>
          <w:noProof/>
          <w:sz w:val="24"/>
          <w:szCs w:val="24"/>
        </w:rPr>
        <w:t>Busulfan er et potent cytostatikum og et bifunktionelt alkylerende middel. I vandige medier bevirker frigørelse af methansulphonatgrupperne produktion af carbonioner, som kan alkylere DNA, hvilket menes at være en vigtig biologisk mekanisme bag den cytotoksiske effekt.</w:t>
      </w:r>
    </w:p>
    <w:p w14:paraId="68CC5172" w14:textId="77777777" w:rsidR="0044481D" w:rsidRPr="008B475B" w:rsidRDefault="0044481D" w:rsidP="0044481D">
      <w:pPr>
        <w:suppressAutoHyphens/>
        <w:ind w:left="851"/>
        <w:rPr>
          <w:bCs/>
          <w:noProof/>
          <w:sz w:val="24"/>
          <w:szCs w:val="24"/>
          <w:u w:val="single"/>
        </w:rPr>
      </w:pPr>
    </w:p>
    <w:p w14:paraId="015D75F5" w14:textId="77777777" w:rsidR="0044481D" w:rsidRPr="008B475B" w:rsidRDefault="0044481D" w:rsidP="0044481D">
      <w:pPr>
        <w:suppressAutoHyphens/>
        <w:ind w:left="851"/>
        <w:rPr>
          <w:bCs/>
          <w:noProof/>
          <w:sz w:val="24"/>
          <w:szCs w:val="24"/>
          <w:u w:val="single"/>
        </w:rPr>
      </w:pPr>
      <w:r w:rsidRPr="008B475B">
        <w:rPr>
          <w:bCs/>
          <w:noProof/>
          <w:sz w:val="24"/>
          <w:szCs w:val="24"/>
          <w:u w:val="single"/>
        </w:rPr>
        <w:t>Klinisk virkning og sikkerhed</w:t>
      </w:r>
    </w:p>
    <w:p w14:paraId="7982EEEC" w14:textId="77777777" w:rsidR="0044481D" w:rsidRPr="008B475B" w:rsidRDefault="0044481D" w:rsidP="0044481D">
      <w:pPr>
        <w:suppressAutoHyphens/>
        <w:ind w:left="851"/>
        <w:rPr>
          <w:bCs/>
          <w:i/>
          <w:noProof/>
          <w:sz w:val="24"/>
          <w:szCs w:val="24"/>
        </w:rPr>
      </w:pPr>
    </w:p>
    <w:p w14:paraId="2F14D969" w14:textId="77777777" w:rsidR="0044481D" w:rsidRPr="008B475B" w:rsidRDefault="0044481D" w:rsidP="0044481D">
      <w:pPr>
        <w:suppressAutoHyphens/>
        <w:ind w:left="851"/>
        <w:rPr>
          <w:bCs/>
          <w:i/>
          <w:noProof/>
          <w:sz w:val="24"/>
          <w:szCs w:val="24"/>
          <w:u w:val="single"/>
        </w:rPr>
      </w:pPr>
      <w:r w:rsidRPr="008B475B">
        <w:rPr>
          <w:bCs/>
          <w:i/>
          <w:noProof/>
          <w:sz w:val="24"/>
          <w:szCs w:val="24"/>
          <w:u w:val="single"/>
        </w:rPr>
        <w:t>Busulfan i kombination med cyclophosphamid</w:t>
      </w:r>
    </w:p>
    <w:p w14:paraId="4DE551F5" w14:textId="77777777" w:rsidR="0044481D" w:rsidRPr="008B475B" w:rsidRDefault="0044481D" w:rsidP="0044481D">
      <w:pPr>
        <w:suppressAutoHyphens/>
        <w:ind w:left="851"/>
        <w:rPr>
          <w:bCs/>
          <w:i/>
          <w:noProof/>
          <w:sz w:val="24"/>
          <w:szCs w:val="24"/>
        </w:rPr>
      </w:pPr>
      <w:r w:rsidRPr="008B475B">
        <w:rPr>
          <w:bCs/>
          <w:i/>
          <w:noProof/>
          <w:sz w:val="24"/>
          <w:szCs w:val="24"/>
        </w:rPr>
        <w:t>Hos voksne</w:t>
      </w:r>
    </w:p>
    <w:p w14:paraId="71860269" w14:textId="77777777" w:rsidR="0044481D" w:rsidRPr="008B475B" w:rsidRDefault="0044481D" w:rsidP="0044481D">
      <w:pPr>
        <w:suppressAutoHyphens/>
        <w:ind w:left="851"/>
        <w:rPr>
          <w:bCs/>
          <w:noProof/>
          <w:sz w:val="24"/>
          <w:szCs w:val="24"/>
        </w:rPr>
      </w:pPr>
      <w:r w:rsidRPr="008B475B">
        <w:rPr>
          <w:bCs/>
          <w:noProof/>
          <w:sz w:val="24"/>
          <w:szCs w:val="24"/>
        </w:rPr>
        <w:t>Dokumentation for sikkerhed og effekt af busulfan i kombination med cyclophosphamid i et BuCy2- behandlingsregime før konventionel allogen og/eller autolog HPCT stammer fra to kliniske studier (OMC-BUS-4 og OMC-BUS-3).</w:t>
      </w:r>
    </w:p>
    <w:p w14:paraId="3D177141" w14:textId="77777777" w:rsidR="0044481D" w:rsidRPr="008B475B" w:rsidRDefault="0044481D" w:rsidP="0044481D">
      <w:pPr>
        <w:suppressAutoHyphens/>
        <w:ind w:left="851"/>
        <w:rPr>
          <w:bCs/>
          <w:noProof/>
          <w:sz w:val="24"/>
          <w:szCs w:val="24"/>
        </w:rPr>
      </w:pPr>
    </w:p>
    <w:p w14:paraId="47608EDF" w14:textId="77777777" w:rsidR="0044481D" w:rsidRPr="008B475B" w:rsidRDefault="0044481D" w:rsidP="0044481D">
      <w:pPr>
        <w:suppressAutoHyphens/>
        <w:ind w:left="851"/>
        <w:rPr>
          <w:bCs/>
          <w:noProof/>
          <w:sz w:val="24"/>
          <w:szCs w:val="24"/>
        </w:rPr>
      </w:pPr>
      <w:r w:rsidRPr="008B475B">
        <w:rPr>
          <w:bCs/>
          <w:noProof/>
          <w:sz w:val="24"/>
          <w:szCs w:val="24"/>
        </w:rPr>
        <w:t>2 prospektive, single arm, åbne, ukontrollerede fase II-studier blev gennemført hos patienter med hæmatologisk sygdom, hvoraf de fleste havde sygdommen i fremskreden grad.</w:t>
      </w:r>
    </w:p>
    <w:p w14:paraId="5E55ED0F" w14:textId="77777777" w:rsidR="0044481D" w:rsidRPr="008B475B" w:rsidRDefault="0044481D" w:rsidP="0044481D">
      <w:pPr>
        <w:suppressAutoHyphens/>
        <w:ind w:left="851"/>
        <w:rPr>
          <w:bCs/>
          <w:noProof/>
          <w:sz w:val="24"/>
          <w:szCs w:val="24"/>
        </w:rPr>
      </w:pPr>
    </w:p>
    <w:p w14:paraId="21742F71" w14:textId="77777777" w:rsidR="0044481D" w:rsidRPr="008B475B" w:rsidRDefault="0044481D" w:rsidP="0044481D">
      <w:pPr>
        <w:suppressAutoHyphens/>
        <w:ind w:left="851"/>
        <w:rPr>
          <w:bCs/>
          <w:noProof/>
          <w:sz w:val="24"/>
          <w:szCs w:val="24"/>
        </w:rPr>
      </w:pPr>
      <w:r w:rsidRPr="008B475B">
        <w:rPr>
          <w:bCs/>
          <w:noProof/>
          <w:sz w:val="24"/>
          <w:szCs w:val="24"/>
        </w:rPr>
        <w:t xml:space="preserve">De omfattede sygdomme var akut leukæmi efter første remission, under første eller senere recidiv, under første remission (højrisiko) eller ved induktionssvigt; kronisk myeloid leukæmi i den kroniske eller fremskredne fase; primær refraktær eller resistent </w:t>
      </w:r>
      <w:r w:rsidRPr="008B475B">
        <w:rPr>
          <w:bCs/>
          <w:noProof/>
          <w:sz w:val="24"/>
          <w:szCs w:val="24"/>
        </w:rPr>
        <w:lastRenderedPageBreak/>
        <w:t>recidiverende Hodgkins sygdom eller non-Hodgkin lymfom samt myelodysplastisk syndrom.</w:t>
      </w:r>
    </w:p>
    <w:p w14:paraId="014CD779" w14:textId="77777777" w:rsidR="0044481D" w:rsidRPr="008B475B" w:rsidRDefault="0044481D" w:rsidP="0044481D">
      <w:pPr>
        <w:suppressAutoHyphens/>
        <w:ind w:left="851"/>
        <w:rPr>
          <w:bCs/>
          <w:noProof/>
          <w:sz w:val="24"/>
          <w:szCs w:val="24"/>
        </w:rPr>
      </w:pPr>
    </w:p>
    <w:p w14:paraId="7BF2F320" w14:textId="77777777" w:rsidR="0044481D" w:rsidRPr="008B475B" w:rsidRDefault="0044481D" w:rsidP="0044481D">
      <w:pPr>
        <w:suppressAutoHyphens/>
        <w:ind w:left="851"/>
        <w:rPr>
          <w:bCs/>
          <w:noProof/>
          <w:sz w:val="24"/>
          <w:szCs w:val="24"/>
        </w:rPr>
      </w:pPr>
      <w:r w:rsidRPr="008B475B">
        <w:rPr>
          <w:bCs/>
          <w:noProof/>
          <w:sz w:val="24"/>
          <w:szCs w:val="24"/>
        </w:rPr>
        <w:t>Patienterne fik doser a 0,8 mg/kg busulfan som infusion hver 6. time - 16 doser i alt - efterfulgt af cyclophosphamid i doser på 60 mg/kg en gang daglig i 2 dage (BuCy2-regime). Forsøgenes primære effektparametre var myeloablation, optagelse af cellerne, recidiv og overlevelse. I begge studier fik alle patienter 16 ud af 16 doser busulfan. Ingen af patienterne afbrød behandlingen på grund af bivirkninger relateret til busulfan.</w:t>
      </w:r>
    </w:p>
    <w:p w14:paraId="32661F58" w14:textId="77777777" w:rsidR="0044481D" w:rsidRPr="008B475B" w:rsidRDefault="0044481D" w:rsidP="0044481D">
      <w:pPr>
        <w:suppressAutoHyphens/>
        <w:rPr>
          <w:bCs/>
          <w:noProof/>
          <w:sz w:val="24"/>
          <w:szCs w:val="24"/>
        </w:rPr>
      </w:pPr>
    </w:p>
    <w:p w14:paraId="12CD36A2" w14:textId="77777777" w:rsidR="0044481D" w:rsidRPr="008B475B" w:rsidRDefault="0044481D" w:rsidP="0044481D">
      <w:pPr>
        <w:suppressAutoHyphens/>
        <w:ind w:left="851"/>
        <w:rPr>
          <w:bCs/>
          <w:noProof/>
          <w:sz w:val="24"/>
          <w:szCs w:val="24"/>
        </w:rPr>
      </w:pPr>
      <w:r w:rsidRPr="008B475B">
        <w:rPr>
          <w:bCs/>
          <w:noProof/>
          <w:sz w:val="24"/>
          <w:szCs w:val="24"/>
        </w:rPr>
        <w:t>Alle patienter fik omfattende myelosuppression. Tidsrummet frem til absolut neutrofiltal (ANC) &gt; 0,5x109/l var 13 dage (interval 9-29 dage) hos allogene patienter (OMC-BUS 4) og 10 dage (interval 8-19 dage) hos autologe patienter (OMC-BUS 3). Alle patienter, der kunne evalueres, fik transplantation. Der var ingen primær eller sekundær transplantationsafstødning. Generel mortalitet og mortalitet uden recidiv mere end 100 dage efter transplantationen var henholdsvis (8/61) 13 % og (6/61) 10 % hos allotransplanterede patienter. Der forekom ingen dødsfald hos autologe recipienter i denne periode.</w:t>
      </w:r>
    </w:p>
    <w:p w14:paraId="65B59926" w14:textId="77777777" w:rsidR="0044481D" w:rsidRPr="008B475B" w:rsidRDefault="0044481D" w:rsidP="0044481D">
      <w:pPr>
        <w:suppressAutoHyphens/>
        <w:ind w:left="851"/>
        <w:rPr>
          <w:bCs/>
          <w:noProof/>
          <w:sz w:val="24"/>
          <w:szCs w:val="24"/>
          <w:u w:val="single"/>
        </w:rPr>
      </w:pPr>
    </w:p>
    <w:p w14:paraId="02C13EC5" w14:textId="77777777" w:rsidR="0044481D" w:rsidRPr="008B475B" w:rsidRDefault="0044481D" w:rsidP="0044481D">
      <w:pPr>
        <w:suppressAutoHyphens/>
        <w:ind w:left="851"/>
        <w:rPr>
          <w:bCs/>
          <w:noProof/>
          <w:sz w:val="24"/>
          <w:szCs w:val="24"/>
          <w:u w:val="single"/>
        </w:rPr>
      </w:pPr>
      <w:r w:rsidRPr="008B475B">
        <w:rPr>
          <w:bCs/>
          <w:noProof/>
          <w:sz w:val="24"/>
          <w:szCs w:val="24"/>
          <w:u w:val="single"/>
        </w:rPr>
        <w:t>Pædiatrisk population</w:t>
      </w:r>
    </w:p>
    <w:p w14:paraId="4A91B7A0" w14:textId="77777777" w:rsidR="0044481D" w:rsidRPr="008B475B" w:rsidRDefault="0044481D" w:rsidP="0044481D">
      <w:pPr>
        <w:suppressAutoHyphens/>
        <w:ind w:left="851"/>
        <w:rPr>
          <w:noProof/>
          <w:sz w:val="24"/>
          <w:szCs w:val="24"/>
        </w:rPr>
      </w:pPr>
      <w:r w:rsidRPr="008B475B">
        <w:rPr>
          <w:noProof/>
          <w:sz w:val="24"/>
          <w:szCs w:val="24"/>
        </w:rPr>
        <w:t>Dokumentation af sikkerhed og effekt af busulfan i kombination med cyclophosphamid i et BuCy4-behandlingsregimen eller med melphalan i BuMel-regimenet før konventionel allogen og/eller autolog HPCT stammer fra det kliniske studie F60002 IN 101 G0.</w:t>
      </w:r>
    </w:p>
    <w:p w14:paraId="533E4779" w14:textId="77777777" w:rsidR="0044481D" w:rsidRPr="008B475B" w:rsidRDefault="0044481D" w:rsidP="0044481D">
      <w:pPr>
        <w:suppressAutoHyphens/>
        <w:ind w:left="851"/>
        <w:rPr>
          <w:noProof/>
          <w:sz w:val="24"/>
          <w:szCs w:val="24"/>
        </w:rPr>
      </w:pPr>
      <w:r w:rsidRPr="008B475B">
        <w:rPr>
          <w:noProof/>
          <w:sz w:val="24"/>
          <w:szCs w:val="24"/>
        </w:rPr>
        <w:t>Patienterne blev behandlet med den dosering, der fremgår af pkt. 4.2.</w:t>
      </w:r>
    </w:p>
    <w:p w14:paraId="1748CF57" w14:textId="77777777" w:rsidR="0044481D" w:rsidRPr="008B475B" w:rsidRDefault="0044481D" w:rsidP="0044481D">
      <w:pPr>
        <w:suppressAutoHyphens/>
        <w:ind w:left="851"/>
        <w:rPr>
          <w:noProof/>
          <w:sz w:val="24"/>
          <w:szCs w:val="24"/>
        </w:rPr>
      </w:pPr>
    </w:p>
    <w:p w14:paraId="5F470309" w14:textId="77777777" w:rsidR="0044481D" w:rsidRPr="008B475B" w:rsidRDefault="0044481D" w:rsidP="0044481D">
      <w:pPr>
        <w:suppressAutoHyphens/>
        <w:ind w:left="851"/>
        <w:rPr>
          <w:noProof/>
          <w:sz w:val="24"/>
          <w:szCs w:val="24"/>
        </w:rPr>
      </w:pPr>
      <w:r w:rsidRPr="008B475B">
        <w:rPr>
          <w:noProof/>
          <w:sz w:val="24"/>
          <w:szCs w:val="24"/>
        </w:rPr>
        <w:t>Alle patienter fik omfattende myelosuppression. Tidsrummet frem til absolut neutrofiltal (ANC) &gt; 0,5x109/l var 21 dage (interval 12-47 dage) hos allogene patienter og 11 dage (interval 10-15 dage) hos autologe patienter. Alle pædiatriske patienter fik transplantation. Der var ingen primær eller sekundær transplantationsafstødning. 93 % af de allogene patienter udviste fuldstændig kimærisme. Der var ingen regimenrelaterede dødsfald i de første 100 dage efter transplantation og op til 1 år efter transplantation.</w:t>
      </w:r>
    </w:p>
    <w:p w14:paraId="424C6695" w14:textId="77777777" w:rsidR="0044481D" w:rsidRPr="008B475B" w:rsidRDefault="0044481D" w:rsidP="0044481D">
      <w:pPr>
        <w:suppressAutoHyphens/>
        <w:ind w:left="851"/>
        <w:rPr>
          <w:noProof/>
          <w:sz w:val="24"/>
          <w:szCs w:val="24"/>
        </w:rPr>
      </w:pPr>
    </w:p>
    <w:p w14:paraId="080834B4" w14:textId="77777777" w:rsidR="0044481D" w:rsidRPr="008B475B" w:rsidRDefault="0044481D" w:rsidP="0044481D">
      <w:pPr>
        <w:rPr>
          <w:sz w:val="24"/>
          <w:szCs w:val="24"/>
        </w:rPr>
      </w:pPr>
    </w:p>
    <w:p w14:paraId="3DDA9750" w14:textId="77777777" w:rsidR="0044481D" w:rsidRPr="008B475B" w:rsidRDefault="0044481D" w:rsidP="0044481D">
      <w:pPr>
        <w:ind w:left="851" w:hanging="851"/>
        <w:rPr>
          <w:b/>
          <w:sz w:val="24"/>
          <w:szCs w:val="24"/>
        </w:rPr>
      </w:pPr>
      <w:r w:rsidRPr="008B475B">
        <w:rPr>
          <w:b/>
          <w:sz w:val="24"/>
          <w:szCs w:val="24"/>
        </w:rPr>
        <w:t>5.2</w:t>
      </w:r>
      <w:r w:rsidRPr="008B475B">
        <w:rPr>
          <w:b/>
          <w:sz w:val="24"/>
          <w:szCs w:val="24"/>
        </w:rPr>
        <w:tab/>
      </w:r>
      <w:proofErr w:type="spellStart"/>
      <w:r w:rsidRPr="008B475B">
        <w:rPr>
          <w:b/>
          <w:sz w:val="24"/>
          <w:szCs w:val="24"/>
        </w:rPr>
        <w:t>Farmakokinetiske</w:t>
      </w:r>
      <w:proofErr w:type="spellEnd"/>
      <w:r w:rsidRPr="008B475B">
        <w:rPr>
          <w:b/>
          <w:sz w:val="24"/>
          <w:szCs w:val="24"/>
        </w:rPr>
        <w:t xml:space="preserve"> egenskaber</w:t>
      </w:r>
    </w:p>
    <w:p w14:paraId="05EB9B34" w14:textId="77777777" w:rsidR="0044481D" w:rsidRPr="008B475B" w:rsidRDefault="0044481D" w:rsidP="0044481D">
      <w:pPr>
        <w:suppressAutoHyphens/>
        <w:ind w:left="851"/>
        <w:rPr>
          <w:sz w:val="24"/>
          <w:szCs w:val="24"/>
        </w:rPr>
      </w:pPr>
      <w:proofErr w:type="spellStart"/>
      <w:r w:rsidRPr="008B475B">
        <w:rPr>
          <w:sz w:val="24"/>
          <w:szCs w:val="24"/>
        </w:rPr>
        <w:t>Busulfans</w:t>
      </w:r>
      <w:proofErr w:type="spellEnd"/>
      <w:r w:rsidRPr="008B475B">
        <w:rPr>
          <w:sz w:val="24"/>
          <w:szCs w:val="24"/>
        </w:rPr>
        <w:t xml:space="preserve"> farmakokinetik er undersøgt. Informationerne om biotransformation og elimination baserer sig på oral </w:t>
      </w:r>
      <w:proofErr w:type="spellStart"/>
      <w:r w:rsidRPr="008B475B">
        <w:rPr>
          <w:sz w:val="24"/>
          <w:szCs w:val="24"/>
        </w:rPr>
        <w:t>busulfan</w:t>
      </w:r>
      <w:proofErr w:type="spellEnd"/>
      <w:r w:rsidRPr="008B475B">
        <w:rPr>
          <w:sz w:val="24"/>
          <w:szCs w:val="24"/>
        </w:rPr>
        <w:t>.</w:t>
      </w:r>
    </w:p>
    <w:p w14:paraId="3AADC3C7" w14:textId="77777777" w:rsidR="0044481D" w:rsidRPr="008B475B" w:rsidRDefault="0044481D" w:rsidP="0044481D">
      <w:pPr>
        <w:suppressAutoHyphens/>
        <w:ind w:left="851"/>
        <w:rPr>
          <w:sz w:val="24"/>
          <w:szCs w:val="24"/>
        </w:rPr>
      </w:pPr>
    </w:p>
    <w:p w14:paraId="373C7160" w14:textId="77777777" w:rsidR="0044481D" w:rsidRPr="008B475B" w:rsidRDefault="0044481D" w:rsidP="0044481D">
      <w:pPr>
        <w:suppressAutoHyphens/>
        <w:ind w:left="851"/>
        <w:rPr>
          <w:i/>
          <w:sz w:val="24"/>
          <w:szCs w:val="24"/>
          <w:u w:val="single"/>
        </w:rPr>
      </w:pPr>
      <w:r w:rsidRPr="008B475B">
        <w:rPr>
          <w:i/>
          <w:sz w:val="24"/>
          <w:szCs w:val="24"/>
          <w:u w:val="single"/>
        </w:rPr>
        <w:t>Farmakokinetik hos voksne</w:t>
      </w:r>
    </w:p>
    <w:p w14:paraId="24D63FAD" w14:textId="77777777" w:rsidR="0044481D" w:rsidRPr="008B475B" w:rsidRDefault="0044481D" w:rsidP="0044481D">
      <w:pPr>
        <w:suppressAutoHyphens/>
        <w:ind w:left="851"/>
        <w:rPr>
          <w:i/>
          <w:sz w:val="24"/>
          <w:szCs w:val="24"/>
          <w:u w:val="single"/>
        </w:rPr>
      </w:pPr>
    </w:p>
    <w:p w14:paraId="4A55947B" w14:textId="77777777" w:rsidR="0044481D" w:rsidRPr="008B475B" w:rsidRDefault="0044481D" w:rsidP="0044481D">
      <w:pPr>
        <w:suppressAutoHyphens/>
        <w:ind w:left="851"/>
        <w:rPr>
          <w:i/>
          <w:sz w:val="24"/>
          <w:szCs w:val="24"/>
          <w:u w:val="single"/>
        </w:rPr>
      </w:pPr>
      <w:r w:rsidRPr="008B475B">
        <w:rPr>
          <w:i/>
          <w:sz w:val="24"/>
          <w:szCs w:val="24"/>
          <w:u w:val="single"/>
        </w:rPr>
        <w:t>Absorption</w:t>
      </w:r>
    </w:p>
    <w:p w14:paraId="502E1B35" w14:textId="77777777" w:rsidR="0044481D" w:rsidRPr="008B475B" w:rsidRDefault="0044481D" w:rsidP="0044481D">
      <w:pPr>
        <w:suppressAutoHyphens/>
        <w:ind w:left="851"/>
        <w:rPr>
          <w:sz w:val="24"/>
          <w:szCs w:val="24"/>
        </w:rPr>
      </w:pPr>
      <w:r w:rsidRPr="008B475B">
        <w:rPr>
          <w:sz w:val="24"/>
          <w:szCs w:val="24"/>
        </w:rPr>
        <w:t xml:space="preserve">Farmakokinetikken for intravenøst </w:t>
      </w:r>
      <w:proofErr w:type="spellStart"/>
      <w:r w:rsidRPr="008B475B">
        <w:rPr>
          <w:sz w:val="24"/>
          <w:szCs w:val="24"/>
        </w:rPr>
        <w:t>busulfan</w:t>
      </w:r>
      <w:proofErr w:type="spellEnd"/>
      <w:r w:rsidRPr="008B475B">
        <w:rPr>
          <w:sz w:val="24"/>
          <w:szCs w:val="24"/>
        </w:rPr>
        <w:t xml:space="preserve"> blev undersøgt hos 124 </w:t>
      </w:r>
      <w:proofErr w:type="spellStart"/>
      <w:r w:rsidRPr="008B475B">
        <w:rPr>
          <w:sz w:val="24"/>
          <w:szCs w:val="24"/>
        </w:rPr>
        <w:t>evaluerbare</w:t>
      </w:r>
      <w:proofErr w:type="spellEnd"/>
      <w:r w:rsidRPr="008B475B">
        <w:rPr>
          <w:sz w:val="24"/>
          <w:szCs w:val="24"/>
        </w:rPr>
        <w:t xml:space="preserve"> patienter efter 2 timers intravenøs infusion af i alt 16 doser i løbet af 4 dage. Der opnås omgående og fuldstændig tilgængelighed af dosis efter intravenøs infusion af </w:t>
      </w:r>
      <w:proofErr w:type="spellStart"/>
      <w:r w:rsidRPr="008B475B">
        <w:rPr>
          <w:sz w:val="24"/>
          <w:szCs w:val="24"/>
        </w:rPr>
        <w:t>busulfan</w:t>
      </w:r>
      <w:proofErr w:type="spellEnd"/>
      <w:r w:rsidRPr="008B475B">
        <w:rPr>
          <w:sz w:val="24"/>
          <w:szCs w:val="24"/>
        </w:rPr>
        <w:t xml:space="preserve">. Der opnåedes samstemmende blodeksponering ved sammenligning af plasmakoncentrationer hos voksne patienter, der fik </w:t>
      </w:r>
      <w:proofErr w:type="spellStart"/>
      <w:r w:rsidRPr="008B475B">
        <w:rPr>
          <w:sz w:val="24"/>
          <w:szCs w:val="24"/>
        </w:rPr>
        <w:t>busulfan</w:t>
      </w:r>
      <w:proofErr w:type="spellEnd"/>
      <w:r w:rsidRPr="008B475B">
        <w:rPr>
          <w:sz w:val="24"/>
          <w:szCs w:val="24"/>
        </w:rPr>
        <w:t xml:space="preserve"> oralt og intravenøst i doser på hhv. 1 mg/kg og 0,8 mg/kg. En </w:t>
      </w:r>
      <w:proofErr w:type="spellStart"/>
      <w:r w:rsidRPr="008B475B">
        <w:rPr>
          <w:sz w:val="24"/>
          <w:szCs w:val="24"/>
        </w:rPr>
        <w:t>populationsfarmakokinetisk</w:t>
      </w:r>
      <w:proofErr w:type="spellEnd"/>
      <w:r w:rsidRPr="008B475B">
        <w:rPr>
          <w:sz w:val="24"/>
          <w:szCs w:val="24"/>
        </w:rPr>
        <w:t xml:space="preserve"> analyse omfattende 102 patienter påviste lav </w:t>
      </w:r>
      <w:proofErr w:type="spellStart"/>
      <w:r w:rsidRPr="008B475B">
        <w:rPr>
          <w:sz w:val="24"/>
          <w:szCs w:val="24"/>
        </w:rPr>
        <w:t>interpersonlig</w:t>
      </w:r>
      <w:proofErr w:type="spellEnd"/>
      <w:r w:rsidRPr="008B475B">
        <w:rPr>
          <w:sz w:val="24"/>
          <w:szCs w:val="24"/>
        </w:rPr>
        <w:t xml:space="preserve"> (CV=21 %) og intrapersonlig (CV=12 %) variabilitet i </w:t>
      </w:r>
      <w:proofErr w:type="spellStart"/>
      <w:r w:rsidRPr="008B475B">
        <w:rPr>
          <w:sz w:val="24"/>
          <w:szCs w:val="24"/>
        </w:rPr>
        <w:t>busulfan</w:t>
      </w:r>
      <w:proofErr w:type="spellEnd"/>
      <w:r w:rsidRPr="008B475B">
        <w:rPr>
          <w:sz w:val="24"/>
          <w:szCs w:val="24"/>
        </w:rPr>
        <w:t xml:space="preserve"> efter lægemiddel</w:t>
      </w:r>
      <w:r w:rsidRPr="008B475B">
        <w:rPr>
          <w:sz w:val="24"/>
          <w:szCs w:val="24"/>
        </w:rPr>
        <w:softHyphen/>
        <w:t>eksponering</w:t>
      </w:r>
    </w:p>
    <w:p w14:paraId="13D6A902" w14:textId="77777777" w:rsidR="0044481D" w:rsidRPr="008B475B" w:rsidRDefault="0044481D" w:rsidP="0044481D">
      <w:pPr>
        <w:suppressAutoHyphens/>
        <w:ind w:left="851"/>
        <w:rPr>
          <w:sz w:val="24"/>
          <w:szCs w:val="24"/>
        </w:rPr>
      </w:pPr>
    </w:p>
    <w:p w14:paraId="2D1E62A8" w14:textId="77777777" w:rsidR="0044481D" w:rsidRPr="008B475B" w:rsidRDefault="0044481D" w:rsidP="0044481D">
      <w:pPr>
        <w:suppressAutoHyphens/>
        <w:ind w:left="851"/>
        <w:rPr>
          <w:sz w:val="24"/>
          <w:szCs w:val="24"/>
          <w:u w:val="single"/>
        </w:rPr>
      </w:pPr>
      <w:r w:rsidRPr="008B475B">
        <w:rPr>
          <w:sz w:val="24"/>
          <w:szCs w:val="24"/>
          <w:u w:val="single"/>
        </w:rPr>
        <w:t>Fordeling</w:t>
      </w:r>
    </w:p>
    <w:p w14:paraId="01BB91F7" w14:textId="77777777" w:rsidR="0044481D" w:rsidRPr="008B475B" w:rsidRDefault="0044481D" w:rsidP="0044481D">
      <w:pPr>
        <w:suppressAutoHyphens/>
        <w:ind w:left="851"/>
        <w:rPr>
          <w:sz w:val="24"/>
          <w:szCs w:val="24"/>
        </w:rPr>
      </w:pPr>
      <w:r w:rsidRPr="008B475B">
        <w:rPr>
          <w:sz w:val="24"/>
          <w:szCs w:val="24"/>
        </w:rPr>
        <w:t xml:space="preserve">Terminalt fordelingsvolumen </w:t>
      </w:r>
      <w:proofErr w:type="spellStart"/>
      <w:r w:rsidRPr="008B475B">
        <w:rPr>
          <w:sz w:val="24"/>
          <w:szCs w:val="24"/>
        </w:rPr>
        <w:t>Vz</w:t>
      </w:r>
      <w:proofErr w:type="spellEnd"/>
      <w:r w:rsidRPr="008B475B">
        <w:rPr>
          <w:sz w:val="24"/>
          <w:szCs w:val="24"/>
        </w:rPr>
        <w:t xml:space="preserve"> lå i intervallet 0,62-0,85 l/kg.</w:t>
      </w:r>
    </w:p>
    <w:p w14:paraId="13DB566C" w14:textId="77777777" w:rsidR="0044481D" w:rsidRPr="008B475B" w:rsidRDefault="0044481D" w:rsidP="0044481D">
      <w:pPr>
        <w:suppressAutoHyphens/>
        <w:ind w:left="851"/>
        <w:rPr>
          <w:sz w:val="24"/>
          <w:szCs w:val="24"/>
        </w:rPr>
      </w:pPr>
      <w:r w:rsidRPr="008B475B">
        <w:rPr>
          <w:sz w:val="24"/>
          <w:szCs w:val="24"/>
        </w:rPr>
        <w:lastRenderedPageBreak/>
        <w:t xml:space="preserve">Der blev opnået </w:t>
      </w:r>
      <w:proofErr w:type="spellStart"/>
      <w:r w:rsidRPr="008B475B">
        <w:rPr>
          <w:sz w:val="24"/>
          <w:szCs w:val="24"/>
        </w:rPr>
        <w:t>busulfankoncentrationer</w:t>
      </w:r>
      <w:proofErr w:type="spellEnd"/>
      <w:r w:rsidRPr="008B475B">
        <w:rPr>
          <w:sz w:val="24"/>
          <w:szCs w:val="24"/>
        </w:rPr>
        <w:t xml:space="preserve"> i cerebrospinalvæske, som var sammenlignelige med koncentrationerne i plasma, om end disse koncentrationer formentlig er utilstrækkelige til at udvirke </w:t>
      </w:r>
      <w:proofErr w:type="spellStart"/>
      <w:r w:rsidRPr="008B475B">
        <w:rPr>
          <w:sz w:val="24"/>
          <w:szCs w:val="24"/>
        </w:rPr>
        <w:t>antineoplastisk</w:t>
      </w:r>
      <w:proofErr w:type="spellEnd"/>
      <w:r w:rsidRPr="008B475B">
        <w:rPr>
          <w:sz w:val="24"/>
          <w:szCs w:val="24"/>
        </w:rPr>
        <w:t xml:space="preserve"> aktivitet.</w:t>
      </w:r>
    </w:p>
    <w:p w14:paraId="608F2EB9" w14:textId="77777777" w:rsidR="0044481D" w:rsidRPr="008B475B" w:rsidRDefault="0044481D" w:rsidP="0044481D">
      <w:pPr>
        <w:suppressAutoHyphens/>
        <w:ind w:left="851"/>
        <w:rPr>
          <w:sz w:val="24"/>
          <w:szCs w:val="24"/>
        </w:rPr>
      </w:pPr>
      <w:r w:rsidRPr="008B475B">
        <w:rPr>
          <w:sz w:val="24"/>
          <w:szCs w:val="24"/>
        </w:rPr>
        <w:t>Reversibel binding til plasmaproteiner var på ca. 7 %, mens irreversibel binding primært til albumin var ca. 32 %.</w:t>
      </w:r>
    </w:p>
    <w:p w14:paraId="7000569B" w14:textId="77777777" w:rsidR="0044481D" w:rsidRPr="008B475B" w:rsidRDefault="0044481D" w:rsidP="0044481D">
      <w:pPr>
        <w:ind w:left="851"/>
        <w:rPr>
          <w:sz w:val="24"/>
          <w:szCs w:val="24"/>
        </w:rPr>
      </w:pPr>
    </w:p>
    <w:p w14:paraId="58076B9F" w14:textId="77777777" w:rsidR="0044481D" w:rsidRPr="008B475B" w:rsidRDefault="0044481D" w:rsidP="0044481D">
      <w:pPr>
        <w:ind w:left="851"/>
        <w:rPr>
          <w:sz w:val="24"/>
          <w:szCs w:val="24"/>
          <w:u w:val="single"/>
        </w:rPr>
      </w:pPr>
      <w:r w:rsidRPr="008B475B">
        <w:rPr>
          <w:sz w:val="24"/>
          <w:szCs w:val="24"/>
          <w:u w:val="single"/>
        </w:rPr>
        <w:t>Biotransformation</w:t>
      </w:r>
    </w:p>
    <w:p w14:paraId="2FB8A195" w14:textId="77777777" w:rsidR="0044481D" w:rsidRPr="008B475B" w:rsidRDefault="0044481D" w:rsidP="0044481D">
      <w:pPr>
        <w:ind w:left="851"/>
        <w:rPr>
          <w:sz w:val="24"/>
          <w:szCs w:val="24"/>
        </w:rPr>
      </w:pPr>
      <w:proofErr w:type="spellStart"/>
      <w:r w:rsidRPr="008B475B">
        <w:rPr>
          <w:sz w:val="24"/>
          <w:szCs w:val="24"/>
        </w:rPr>
        <w:t>Busulfan</w:t>
      </w:r>
      <w:proofErr w:type="spellEnd"/>
      <w:r w:rsidRPr="008B475B">
        <w:rPr>
          <w:sz w:val="24"/>
          <w:szCs w:val="24"/>
        </w:rPr>
        <w:t xml:space="preserve"> </w:t>
      </w:r>
      <w:proofErr w:type="spellStart"/>
      <w:r w:rsidRPr="008B475B">
        <w:rPr>
          <w:sz w:val="24"/>
          <w:szCs w:val="24"/>
        </w:rPr>
        <w:t>metaboliseres</w:t>
      </w:r>
      <w:proofErr w:type="spellEnd"/>
      <w:r w:rsidRPr="008B475B">
        <w:rPr>
          <w:sz w:val="24"/>
          <w:szCs w:val="24"/>
        </w:rPr>
        <w:t xml:space="preserve"> hovedsageligt gennem konjugation med </w:t>
      </w:r>
      <w:proofErr w:type="spellStart"/>
      <w:r w:rsidRPr="008B475B">
        <w:rPr>
          <w:sz w:val="24"/>
          <w:szCs w:val="24"/>
        </w:rPr>
        <w:t>glutathion</w:t>
      </w:r>
      <w:proofErr w:type="spellEnd"/>
      <w:r w:rsidRPr="008B475B">
        <w:rPr>
          <w:sz w:val="24"/>
          <w:szCs w:val="24"/>
        </w:rPr>
        <w:t xml:space="preserve"> (spontant og gennem </w:t>
      </w:r>
      <w:proofErr w:type="spellStart"/>
      <w:r w:rsidRPr="008B475B">
        <w:rPr>
          <w:sz w:val="24"/>
          <w:szCs w:val="24"/>
        </w:rPr>
        <w:t>glutathion</w:t>
      </w:r>
      <w:proofErr w:type="spellEnd"/>
      <w:r w:rsidRPr="008B475B">
        <w:rPr>
          <w:sz w:val="24"/>
          <w:szCs w:val="24"/>
        </w:rPr>
        <w:t xml:space="preserve">-S-transferase). Dernæst </w:t>
      </w:r>
      <w:proofErr w:type="spellStart"/>
      <w:r w:rsidRPr="008B475B">
        <w:rPr>
          <w:sz w:val="24"/>
          <w:szCs w:val="24"/>
        </w:rPr>
        <w:t>metaboliseres</w:t>
      </w:r>
      <w:proofErr w:type="spellEnd"/>
      <w:r w:rsidRPr="008B475B">
        <w:rPr>
          <w:sz w:val="24"/>
          <w:szCs w:val="24"/>
        </w:rPr>
        <w:t xml:space="preserve"> </w:t>
      </w:r>
      <w:proofErr w:type="spellStart"/>
      <w:r w:rsidRPr="008B475B">
        <w:rPr>
          <w:sz w:val="24"/>
          <w:szCs w:val="24"/>
        </w:rPr>
        <w:t>glutathion-konjugatet</w:t>
      </w:r>
      <w:proofErr w:type="spellEnd"/>
      <w:r w:rsidRPr="008B475B">
        <w:rPr>
          <w:sz w:val="24"/>
          <w:szCs w:val="24"/>
        </w:rPr>
        <w:t xml:space="preserve"> yderligere i leveren ved oxidation. Ingen af metabolitterne menes at bidrage i væsentlig grad til effekt eller toksicitet.</w:t>
      </w:r>
    </w:p>
    <w:p w14:paraId="591B9D68" w14:textId="77777777" w:rsidR="0044481D" w:rsidRPr="008B475B" w:rsidRDefault="0044481D" w:rsidP="0044481D">
      <w:pPr>
        <w:ind w:left="851"/>
        <w:rPr>
          <w:sz w:val="24"/>
          <w:szCs w:val="24"/>
        </w:rPr>
      </w:pPr>
    </w:p>
    <w:p w14:paraId="1372752D" w14:textId="77777777" w:rsidR="0044481D" w:rsidRPr="008B475B" w:rsidRDefault="0044481D" w:rsidP="0044481D">
      <w:pPr>
        <w:ind w:left="851"/>
        <w:rPr>
          <w:sz w:val="24"/>
          <w:szCs w:val="24"/>
          <w:u w:val="single"/>
        </w:rPr>
      </w:pPr>
      <w:r w:rsidRPr="008B475B">
        <w:rPr>
          <w:sz w:val="24"/>
          <w:szCs w:val="24"/>
          <w:u w:val="single"/>
        </w:rPr>
        <w:t>Elimination</w:t>
      </w:r>
    </w:p>
    <w:p w14:paraId="29060362" w14:textId="77777777" w:rsidR="0044481D" w:rsidRPr="008B475B" w:rsidRDefault="0044481D" w:rsidP="0044481D">
      <w:pPr>
        <w:ind w:left="851"/>
        <w:rPr>
          <w:sz w:val="24"/>
          <w:szCs w:val="24"/>
        </w:rPr>
      </w:pPr>
      <w:r w:rsidRPr="008B475B">
        <w:rPr>
          <w:sz w:val="24"/>
          <w:szCs w:val="24"/>
        </w:rPr>
        <w:t xml:space="preserve">Total </w:t>
      </w:r>
      <w:proofErr w:type="spellStart"/>
      <w:r w:rsidRPr="008B475B">
        <w:rPr>
          <w:sz w:val="24"/>
          <w:szCs w:val="24"/>
        </w:rPr>
        <w:t>plasmaclearance</w:t>
      </w:r>
      <w:proofErr w:type="spellEnd"/>
      <w:r w:rsidRPr="008B475B">
        <w:rPr>
          <w:sz w:val="24"/>
          <w:szCs w:val="24"/>
        </w:rPr>
        <w:t xml:space="preserve"> lå i intervallet 2,25-2,74 ml/min/kg. Terminalhalveringstiden lå i intervallet 2,8 til 3,9 timer.</w:t>
      </w:r>
    </w:p>
    <w:p w14:paraId="66BC9DBE" w14:textId="77777777" w:rsidR="0044481D" w:rsidRPr="008B475B" w:rsidRDefault="0044481D" w:rsidP="0044481D">
      <w:pPr>
        <w:ind w:left="851"/>
        <w:rPr>
          <w:sz w:val="24"/>
          <w:szCs w:val="24"/>
        </w:rPr>
      </w:pPr>
      <w:r w:rsidRPr="008B475B">
        <w:rPr>
          <w:sz w:val="24"/>
          <w:szCs w:val="24"/>
        </w:rPr>
        <w:t xml:space="preserve">Omtrent 30 % af den indgivne dosis udskilles med urinen i løbet af 48 timer med 1 % som </w:t>
      </w:r>
      <w:proofErr w:type="spellStart"/>
      <w:r w:rsidRPr="008B475B">
        <w:rPr>
          <w:sz w:val="24"/>
          <w:szCs w:val="24"/>
        </w:rPr>
        <w:t>uomdannet</w:t>
      </w:r>
      <w:proofErr w:type="spellEnd"/>
      <w:r w:rsidRPr="008B475B">
        <w:rPr>
          <w:sz w:val="24"/>
          <w:szCs w:val="24"/>
        </w:rPr>
        <w:t xml:space="preserve"> </w:t>
      </w:r>
      <w:proofErr w:type="spellStart"/>
      <w:r w:rsidRPr="008B475B">
        <w:rPr>
          <w:sz w:val="24"/>
          <w:szCs w:val="24"/>
        </w:rPr>
        <w:t>busulfan</w:t>
      </w:r>
      <w:proofErr w:type="spellEnd"/>
      <w:r w:rsidRPr="008B475B">
        <w:rPr>
          <w:sz w:val="24"/>
          <w:szCs w:val="24"/>
        </w:rPr>
        <w:t>. Elimination med fæces er ubetydelig. Når ikke alt stoffet blev genfundet, kan det skyldes irreversibel proteinbinding. Langtidsholdbare metabolitter kan heller ikke udelukkes.</w:t>
      </w:r>
    </w:p>
    <w:p w14:paraId="6CFC6560" w14:textId="77777777" w:rsidR="0044481D" w:rsidRPr="008B475B" w:rsidRDefault="0044481D" w:rsidP="0044481D">
      <w:pPr>
        <w:ind w:left="851"/>
        <w:rPr>
          <w:sz w:val="24"/>
          <w:szCs w:val="24"/>
        </w:rPr>
      </w:pPr>
    </w:p>
    <w:p w14:paraId="29CA0E89" w14:textId="77777777" w:rsidR="0044481D" w:rsidRPr="008B475B" w:rsidRDefault="0044481D" w:rsidP="0044481D">
      <w:pPr>
        <w:ind w:left="851"/>
        <w:rPr>
          <w:sz w:val="24"/>
          <w:szCs w:val="24"/>
          <w:u w:val="single"/>
        </w:rPr>
      </w:pPr>
      <w:r w:rsidRPr="008B475B">
        <w:rPr>
          <w:sz w:val="24"/>
          <w:szCs w:val="24"/>
          <w:u w:val="single"/>
        </w:rPr>
        <w:t>Linearitet</w:t>
      </w:r>
    </w:p>
    <w:p w14:paraId="479C5E95" w14:textId="77777777" w:rsidR="0044481D" w:rsidRPr="008B475B" w:rsidRDefault="0044481D" w:rsidP="0044481D">
      <w:pPr>
        <w:ind w:left="851"/>
        <w:rPr>
          <w:sz w:val="24"/>
          <w:szCs w:val="24"/>
        </w:rPr>
      </w:pPr>
      <w:r w:rsidRPr="008B475B">
        <w:rPr>
          <w:sz w:val="24"/>
          <w:szCs w:val="24"/>
        </w:rPr>
        <w:t xml:space="preserve">Der blev påvist stigende </w:t>
      </w:r>
      <w:proofErr w:type="spellStart"/>
      <w:r w:rsidRPr="008B475B">
        <w:rPr>
          <w:sz w:val="24"/>
          <w:szCs w:val="24"/>
        </w:rPr>
        <w:t>busulfaneksponering</w:t>
      </w:r>
      <w:proofErr w:type="spellEnd"/>
      <w:r w:rsidRPr="008B475B">
        <w:rPr>
          <w:sz w:val="24"/>
          <w:szCs w:val="24"/>
        </w:rPr>
        <w:t xml:space="preserve"> proportionelt med dosis efter intravenøs </w:t>
      </w:r>
      <w:proofErr w:type="spellStart"/>
      <w:r w:rsidRPr="008B475B">
        <w:rPr>
          <w:sz w:val="24"/>
          <w:szCs w:val="24"/>
        </w:rPr>
        <w:t>busulfan</w:t>
      </w:r>
      <w:proofErr w:type="spellEnd"/>
      <w:r w:rsidRPr="008B475B">
        <w:rPr>
          <w:sz w:val="24"/>
          <w:szCs w:val="24"/>
        </w:rPr>
        <w:t xml:space="preserve"> op til 1 mg/kg.</w:t>
      </w:r>
    </w:p>
    <w:p w14:paraId="54E5588A" w14:textId="77777777" w:rsidR="0044481D" w:rsidRPr="008B475B" w:rsidRDefault="0044481D" w:rsidP="0044481D">
      <w:pPr>
        <w:ind w:left="851"/>
        <w:rPr>
          <w:sz w:val="24"/>
          <w:szCs w:val="24"/>
        </w:rPr>
      </w:pPr>
    </w:p>
    <w:p w14:paraId="7D827AE0" w14:textId="77777777" w:rsidR="0044481D" w:rsidRPr="008B475B" w:rsidRDefault="0044481D" w:rsidP="0044481D">
      <w:pPr>
        <w:ind w:left="851"/>
        <w:rPr>
          <w:sz w:val="24"/>
          <w:szCs w:val="24"/>
        </w:rPr>
      </w:pPr>
      <w:r w:rsidRPr="008B475B">
        <w:rPr>
          <w:sz w:val="24"/>
          <w:szCs w:val="24"/>
        </w:rPr>
        <w:t>Sammenlignet med regimet med fire daglige administrationer er regimet med én daglig administration karakteriseret af en højere maksimal koncentration, ingen lægemiddel</w:t>
      </w:r>
      <w:r>
        <w:rPr>
          <w:sz w:val="24"/>
          <w:szCs w:val="24"/>
        </w:rPr>
        <w:softHyphen/>
      </w:r>
      <w:r w:rsidRPr="008B475B">
        <w:rPr>
          <w:sz w:val="24"/>
          <w:szCs w:val="24"/>
        </w:rPr>
        <w:t xml:space="preserve">akkumulation og en udvaskningsperiode (uden cirkulerende </w:t>
      </w:r>
      <w:proofErr w:type="spellStart"/>
      <w:r w:rsidRPr="008B475B">
        <w:rPr>
          <w:sz w:val="24"/>
          <w:szCs w:val="24"/>
        </w:rPr>
        <w:t>busulfan</w:t>
      </w:r>
      <w:proofErr w:type="spellEnd"/>
      <w:r w:rsidRPr="008B475B">
        <w:rPr>
          <w:sz w:val="24"/>
          <w:szCs w:val="24"/>
        </w:rPr>
        <w:t xml:space="preserve">) mellem administrationerne. Gennemgang af litteraturen muliggør en sammenligning af </w:t>
      </w:r>
      <w:proofErr w:type="spellStart"/>
      <w:r w:rsidRPr="008B475B">
        <w:rPr>
          <w:sz w:val="24"/>
          <w:szCs w:val="24"/>
        </w:rPr>
        <w:t>farmakokinetiske</w:t>
      </w:r>
      <w:proofErr w:type="spellEnd"/>
      <w:r w:rsidRPr="008B475B">
        <w:rPr>
          <w:sz w:val="24"/>
          <w:szCs w:val="24"/>
        </w:rPr>
        <w:t xml:space="preserve"> serier udført enten inden for samme studie eller mellem studier og viste uændrede, dosisuafhængige </w:t>
      </w:r>
      <w:proofErr w:type="spellStart"/>
      <w:r w:rsidRPr="008B475B">
        <w:rPr>
          <w:sz w:val="24"/>
          <w:szCs w:val="24"/>
        </w:rPr>
        <w:t>farmakokinetiske</w:t>
      </w:r>
      <w:proofErr w:type="spellEnd"/>
      <w:r w:rsidRPr="008B475B">
        <w:rPr>
          <w:sz w:val="24"/>
          <w:szCs w:val="24"/>
        </w:rPr>
        <w:t xml:space="preserve"> parametre uanset dosering og behandlingsplan. Den anbefalede intravenøse </w:t>
      </w:r>
      <w:proofErr w:type="spellStart"/>
      <w:r w:rsidRPr="008B475B">
        <w:rPr>
          <w:sz w:val="24"/>
          <w:szCs w:val="24"/>
        </w:rPr>
        <w:t>busulfandosis</w:t>
      </w:r>
      <w:proofErr w:type="spellEnd"/>
      <w:r w:rsidRPr="008B475B">
        <w:rPr>
          <w:sz w:val="24"/>
          <w:szCs w:val="24"/>
        </w:rPr>
        <w:t xml:space="preserve"> synes at give samme daglige plasmaeksponering med samme inter- og intraindividuelle variation, uanset om den administreres som en enkelt infusion (3,2 mg/kg) eller fordelt på 4 infusioner (0,8 mg/kg). Heraf følger, at kontrollen af AUC efter intravenøs </w:t>
      </w:r>
      <w:proofErr w:type="spellStart"/>
      <w:r w:rsidRPr="008B475B">
        <w:rPr>
          <w:sz w:val="24"/>
          <w:szCs w:val="24"/>
        </w:rPr>
        <w:t>busulfan</w:t>
      </w:r>
      <w:proofErr w:type="spellEnd"/>
      <w:r w:rsidRPr="008B475B">
        <w:rPr>
          <w:sz w:val="24"/>
          <w:szCs w:val="24"/>
        </w:rPr>
        <w:t xml:space="preserve"> inden for det terapeutiske vindue ikke ændres, og der blev påvist samme target-performance med de to behandlingsplaner.</w:t>
      </w:r>
    </w:p>
    <w:p w14:paraId="11B0CDED" w14:textId="77777777" w:rsidR="0044481D" w:rsidRPr="008B475B" w:rsidRDefault="0044481D" w:rsidP="0044481D">
      <w:pPr>
        <w:ind w:left="851"/>
        <w:rPr>
          <w:sz w:val="24"/>
          <w:szCs w:val="24"/>
        </w:rPr>
      </w:pPr>
    </w:p>
    <w:p w14:paraId="46D8BBF6" w14:textId="77777777" w:rsidR="0044481D" w:rsidRPr="008B475B" w:rsidRDefault="0044481D" w:rsidP="0044481D">
      <w:pPr>
        <w:ind w:left="851"/>
        <w:rPr>
          <w:sz w:val="24"/>
          <w:szCs w:val="24"/>
          <w:u w:val="single"/>
        </w:rPr>
      </w:pPr>
      <w:proofErr w:type="spellStart"/>
      <w:r w:rsidRPr="008B475B">
        <w:rPr>
          <w:sz w:val="24"/>
          <w:szCs w:val="24"/>
          <w:u w:val="single"/>
        </w:rPr>
        <w:t>Farmakokinetiske</w:t>
      </w:r>
      <w:proofErr w:type="spellEnd"/>
      <w:r w:rsidRPr="008B475B">
        <w:rPr>
          <w:sz w:val="24"/>
          <w:szCs w:val="24"/>
          <w:u w:val="single"/>
        </w:rPr>
        <w:t>/</w:t>
      </w:r>
      <w:proofErr w:type="spellStart"/>
      <w:r w:rsidRPr="008B475B">
        <w:rPr>
          <w:sz w:val="24"/>
          <w:szCs w:val="24"/>
          <w:u w:val="single"/>
        </w:rPr>
        <w:t>farmakodynamiske</w:t>
      </w:r>
      <w:proofErr w:type="spellEnd"/>
      <w:r w:rsidRPr="008B475B">
        <w:rPr>
          <w:sz w:val="24"/>
          <w:szCs w:val="24"/>
          <w:u w:val="single"/>
        </w:rPr>
        <w:t xml:space="preserve"> forhold</w:t>
      </w:r>
    </w:p>
    <w:p w14:paraId="03AFB56C" w14:textId="77777777" w:rsidR="0044481D" w:rsidRPr="008B475B" w:rsidRDefault="0044481D" w:rsidP="0044481D">
      <w:pPr>
        <w:ind w:left="851"/>
        <w:rPr>
          <w:sz w:val="24"/>
          <w:szCs w:val="24"/>
        </w:rPr>
      </w:pPr>
      <w:r w:rsidRPr="008B475B">
        <w:rPr>
          <w:sz w:val="24"/>
          <w:szCs w:val="24"/>
        </w:rPr>
        <w:t xml:space="preserve">Litteraturen om </w:t>
      </w:r>
      <w:proofErr w:type="spellStart"/>
      <w:r w:rsidRPr="008B475B">
        <w:rPr>
          <w:sz w:val="24"/>
          <w:szCs w:val="24"/>
        </w:rPr>
        <w:t>busulfan</w:t>
      </w:r>
      <w:proofErr w:type="spellEnd"/>
      <w:r w:rsidRPr="008B475B">
        <w:rPr>
          <w:sz w:val="24"/>
          <w:szCs w:val="24"/>
        </w:rPr>
        <w:t xml:space="preserve"> peger på et terapeutisk AUC-vindue mellem 900 og 1.500 </w:t>
      </w:r>
      <w:r w:rsidRPr="008B475B">
        <w:rPr>
          <w:rFonts w:eastAsia="Symbol"/>
          <w:spacing w:val="-1"/>
          <w:sz w:val="24"/>
          <w:szCs w:val="24"/>
        </w:rPr>
        <w:t>µ</w:t>
      </w:r>
      <w:r w:rsidRPr="008B475B">
        <w:rPr>
          <w:sz w:val="24"/>
          <w:szCs w:val="24"/>
        </w:rPr>
        <w:t>mol/</w:t>
      </w:r>
      <w:proofErr w:type="spellStart"/>
      <w:r w:rsidRPr="008B475B">
        <w:rPr>
          <w:sz w:val="24"/>
          <w:szCs w:val="24"/>
        </w:rPr>
        <w:t>l.min</w:t>
      </w:r>
      <w:proofErr w:type="spellEnd"/>
      <w:r w:rsidRPr="008B475B">
        <w:rPr>
          <w:sz w:val="24"/>
          <w:szCs w:val="24"/>
        </w:rPr>
        <w:t xml:space="preserve"> pr. administration (svarende til en daglig eksponering mellem 3.600 og 6.000 </w:t>
      </w:r>
      <w:r w:rsidRPr="008B475B">
        <w:rPr>
          <w:rFonts w:eastAsia="Symbol"/>
          <w:spacing w:val="-1"/>
          <w:sz w:val="24"/>
          <w:szCs w:val="24"/>
        </w:rPr>
        <w:t>µ</w:t>
      </w:r>
      <w:r w:rsidRPr="008B475B">
        <w:rPr>
          <w:sz w:val="24"/>
          <w:szCs w:val="24"/>
        </w:rPr>
        <w:t>mol/</w:t>
      </w:r>
      <w:proofErr w:type="spellStart"/>
      <w:r w:rsidRPr="008B475B">
        <w:rPr>
          <w:sz w:val="24"/>
          <w:szCs w:val="24"/>
        </w:rPr>
        <w:t>l.min</w:t>
      </w:r>
      <w:proofErr w:type="spellEnd"/>
      <w:r w:rsidRPr="008B475B">
        <w:rPr>
          <w:sz w:val="24"/>
          <w:szCs w:val="24"/>
        </w:rPr>
        <w:t xml:space="preserve">). I kliniske studier med intravenøst </w:t>
      </w:r>
      <w:proofErr w:type="spellStart"/>
      <w:r w:rsidRPr="008B475B">
        <w:rPr>
          <w:sz w:val="24"/>
          <w:szCs w:val="24"/>
        </w:rPr>
        <w:t>busulfan</w:t>
      </w:r>
      <w:proofErr w:type="spellEnd"/>
      <w:r w:rsidRPr="008B475B">
        <w:rPr>
          <w:sz w:val="24"/>
          <w:szCs w:val="24"/>
        </w:rPr>
        <w:t xml:space="preserve">, administreret som 0,80 mg/kg fire gange dagligt, lå 90 % af patienternes AUC under den øvre AUC-grænse (1.500 </w:t>
      </w:r>
      <w:r w:rsidRPr="008B475B">
        <w:rPr>
          <w:rFonts w:eastAsia="Symbol"/>
          <w:spacing w:val="-1"/>
          <w:sz w:val="24"/>
          <w:szCs w:val="24"/>
        </w:rPr>
        <w:t>µ</w:t>
      </w:r>
      <w:r w:rsidRPr="008B475B">
        <w:rPr>
          <w:sz w:val="24"/>
          <w:szCs w:val="24"/>
        </w:rPr>
        <w:t>mol/</w:t>
      </w:r>
      <w:proofErr w:type="spellStart"/>
      <w:r w:rsidRPr="008B475B">
        <w:rPr>
          <w:sz w:val="24"/>
          <w:szCs w:val="24"/>
        </w:rPr>
        <w:t>l.min</w:t>
      </w:r>
      <w:proofErr w:type="spellEnd"/>
      <w:r w:rsidRPr="008B475B">
        <w:rPr>
          <w:sz w:val="24"/>
          <w:szCs w:val="24"/>
        </w:rPr>
        <w:t xml:space="preserve">), og mindst 80 % lå inden for det tilsigtede terapeutiske vindue (900 – 1500 </w:t>
      </w:r>
      <w:r w:rsidRPr="008B475B">
        <w:rPr>
          <w:rFonts w:eastAsia="Symbol"/>
          <w:spacing w:val="-1"/>
          <w:sz w:val="24"/>
          <w:szCs w:val="24"/>
        </w:rPr>
        <w:t>µ</w:t>
      </w:r>
      <w:r w:rsidRPr="008B475B">
        <w:rPr>
          <w:sz w:val="24"/>
          <w:szCs w:val="24"/>
        </w:rPr>
        <w:t>mol/</w:t>
      </w:r>
      <w:proofErr w:type="spellStart"/>
      <w:r w:rsidRPr="008B475B">
        <w:rPr>
          <w:sz w:val="24"/>
          <w:szCs w:val="24"/>
        </w:rPr>
        <w:t>l.min</w:t>
      </w:r>
      <w:proofErr w:type="spellEnd"/>
      <w:r w:rsidRPr="008B475B">
        <w:rPr>
          <w:sz w:val="24"/>
          <w:szCs w:val="24"/>
        </w:rPr>
        <w:t xml:space="preserve">). Der opnås omtrent samme </w:t>
      </w:r>
      <w:proofErr w:type="spellStart"/>
      <w:r w:rsidRPr="008B475B">
        <w:rPr>
          <w:sz w:val="24"/>
          <w:szCs w:val="24"/>
        </w:rPr>
        <w:t>targetrate</w:t>
      </w:r>
      <w:proofErr w:type="spellEnd"/>
      <w:r w:rsidRPr="008B475B">
        <w:rPr>
          <w:sz w:val="24"/>
          <w:szCs w:val="24"/>
        </w:rPr>
        <w:t xml:space="preserve"> inden for den daglige eksponering på 3.600-6.000 µmol/l minut efter intravenøs administration af </w:t>
      </w:r>
      <w:proofErr w:type="spellStart"/>
      <w:r w:rsidRPr="008B475B">
        <w:rPr>
          <w:sz w:val="24"/>
          <w:szCs w:val="24"/>
        </w:rPr>
        <w:t>busulfan</w:t>
      </w:r>
      <w:proofErr w:type="spellEnd"/>
      <w:r w:rsidRPr="008B475B">
        <w:rPr>
          <w:sz w:val="24"/>
          <w:szCs w:val="24"/>
        </w:rPr>
        <w:t xml:space="preserve"> 3,2 mg/kg én gang dagligt.</w:t>
      </w:r>
    </w:p>
    <w:p w14:paraId="06CF96AD" w14:textId="77777777" w:rsidR="0044481D" w:rsidRPr="008B475B" w:rsidRDefault="0044481D" w:rsidP="0044481D">
      <w:pPr>
        <w:ind w:left="851"/>
        <w:rPr>
          <w:sz w:val="24"/>
          <w:szCs w:val="24"/>
        </w:rPr>
      </w:pPr>
    </w:p>
    <w:p w14:paraId="64D4254A" w14:textId="77777777" w:rsidR="0044481D" w:rsidRPr="008B475B" w:rsidRDefault="0044481D" w:rsidP="0044481D">
      <w:pPr>
        <w:ind w:left="851"/>
        <w:rPr>
          <w:sz w:val="24"/>
          <w:szCs w:val="24"/>
          <w:u w:val="single"/>
        </w:rPr>
      </w:pPr>
      <w:r w:rsidRPr="008B475B">
        <w:rPr>
          <w:sz w:val="24"/>
          <w:szCs w:val="24"/>
          <w:u w:val="single"/>
        </w:rPr>
        <w:t>Særlige populationer</w:t>
      </w:r>
    </w:p>
    <w:p w14:paraId="39A77BCC" w14:textId="77777777" w:rsidR="0044481D" w:rsidRPr="008B475B" w:rsidRDefault="0044481D" w:rsidP="0044481D">
      <w:pPr>
        <w:ind w:left="851"/>
        <w:rPr>
          <w:i/>
          <w:sz w:val="24"/>
          <w:szCs w:val="24"/>
        </w:rPr>
      </w:pPr>
      <w:r w:rsidRPr="008B475B">
        <w:rPr>
          <w:i/>
          <w:sz w:val="24"/>
          <w:szCs w:val="24"/>
        </w:rPr>
        <w:t>Nedsat lever- eller nyrefunktion</w:t>
      </w:r>
    </w:p>
    <w:p w14:paraId="69451ADF" w14:textId="77777777" w:rsidR="0044481D" w:rsidRPr="008B475B" w:rsidRDefault="0044481D" w:rsidP="0044481D">
      <w:pPr>
        <w:ind w:left="851"/>
        <w:rPr>
          <w:sz w:val="24"/>
          <w:szCs w:val="24"/>
        </w:rPr>
      </w:pPr>
      <w:r w:rsidRPr="008B475B">
        <w:rPr>
          <w:sz w:val="24"/>
          <w:szCs w:val="24"/>
        </w:rPr>
        <w:t xml:space="preserve">Virkningen af nyredysfunktion på fordelingen af intravenøst </w:t>
      </w:r>
      <w:proofErr w:type="spellStart"/>
      <w:r w:rsidRPr="008B475B">
        <w:rPr>
          <w:sz w:val="24"/>
          <w:szCs w:val="24"/>
        </w:rPr>
        <w:t>busulfan</w:t>
      </w:r>
      <w:proofErr w:type="spellEnd"/>
      <w:r w:rsidRPr="008B475B">
        <w:rPr>
          <w:sz w:val="24"/>
          <w:szCs w:val="24"/>
        </w:rPr>
        <w:t xml:space="preserve"> er ikke vurderet. Virkningen af leverdysfunktion på fordelingen af intravenøst </w:t>
      </w:r>
      <w:proofErr w:type="spellStart"/>
      <w:r w:rsidRPr="008B475B">
        <w:rPr>
          <w:sz w:val="24"/>
          <w:szCs w:val="24"/>
        </w:rPr>
        <w:t>busulfan</w:t>
      </w:r>
      <w:proofErr w:type="spellEnd"/>
      <w:r w:rsidRPr="008B475B">
        <w:rPr>
          <w:sz w:val="24"/>
          <w:szCs w:val="24"/>
        </w:rPr>
        <w:t xml:space="preserve"> er ikke vurderet. Det </w:t>
      </w:r>
      <w:r w:rsidRPr="008B475B">
        <w:rPr>
          <w:sz w:val="24"/>
          <w:szCs w:val="24"/>
        </w:rPr>
        <w:lastRenderedPageBreak/>
        <w:t xml:space="preserve">antages dog, at risikoen for levertoksicitet kan være øget hos denne population. Alder påvirkede tilsyneladende ikke </w:t>
      </w:r>
      <w:proofErr w:type="spellStart"/>
      <w:r w:rsidRPr="008B475B">
        <w:rPr>
          <w:sz w:val="24"/>
          <w:szCs w:val="24"/>
        </w:rPr>
        <w:t>clearance</w:t>
      </w:r>
      <w:proofErr w:type="spellEnd"/>
      <w:r w:rsidRPr="008B475B">
        <w:rPr>
          <w:sz w:val="24"/>
          <w:szCs w:val="24"/>
        </w:rPr>
        <w:t xml:space="preserve"> af </w:t>
      </w:r>
      <w:proofErr w:type="spellStart"/>
      <w:r w:rsidRPr="008B475B">
        <w:rPr>
          <w:sz w:val="24"/>
          <w:szCs w:val="24"/>
        </w:rPr>
        <w:t>busulfan</w:t>
      </w:r>
      <w:proofErr w:type="spellEnd"/>
      <w:r w:rsidRPr="008B475B">
        <w:rPr>
          <w:sz w:val="24"/>
          <w:szCs w:val="24"/>
        </w:rPr>
        <w:t xml:space="preserve"> ifølge de tilgængelige oplysninger om intravenøst </w:t>
      </w:r>
      <w:proofErr w:type="spellStart"/>
      <w:r w:rsidRPr="008B475B">
        <w:rPr>
          <w:sz w:val="24"/>
          <w:szCs w:val="24"/>
        </w:rPr>
        <w:t>busulfan</w:t>
      </w:r>
      <w:proofErr w:type="spellEnd"/>
      <w:r w:rsidRPr="008B475B">
        <w:rPr>
          <w:sz w:val="24"/>
          <w:szCs w:val="24"/>
        </w:rPr>
        <w:t xml:space="preserve"> hos patienter over 60 år.</w:t>
      </w:r>
    </w:p>
    <w:p w14:paraId="1B24CE15" w14:textId="77777777" w:rsidR="0044481D" w:rsidRPr="008B475B" w:rsidRDefault="0044481D" w:rsidP="0044481D">
      <w:pPr>
        <w:ind w:left="851"/>
        <w:rPr>
          <w:sz w:val="24"/>
          <w:szCs w:val="24"/>
        </w:rPr>
      </w:pPr>
    </w:p>
    <w:p w14:paraId="6E02B2C6" w14:textId="77777777" w:rsidR="0044481D" w:rsidRPr="002F7A21" w:rsidRDefault="0044481D" w:rsidP="0044481D">
      <w:pPr>
        <w:ind w:firstLine="851"/>
        <w:rPr>
          <w:i/>
          <w:sz w:val="24"/>
        </w:rPr>
      </w:pPr>
      <w:r w:rsidRPr="002F7A21">
        <w:rPr>
          <w:i/>
          <w:sz w:val="24"/>
        </w:rPr>
        <w:t>Pædiatrisk population</w:t>
      </w:r>
    </w:p>
    <w:p w14:paraId="78914A24" w14:textId="77777777" w:rsidR="0044481D" w:rsidRPr="002F7A21" w:rsidRDefault="0044481D" w:rsidP="0044481D">
      <w:pPr>
        <w:ind w:left="851"/>
        <w:rPr>
          <w:sz w:val="24"/>
        </w:rPr>
      </w:pPr>
      <w:r w:rsidRPr="002F7A21">
        <w:rPr>
          <w:sz w:val="24"/>
        </w:rPr>
        <w:t xml:space="preserve">En kontinuerlig variation i </w:t>
      </w:r>
      <w:proofErr w:type="spellStart"/>
      <w:r w:rsidRPr="002F7A21">
        <w:rPr>
          <w:sz w:val="24"/>
        </w:rPr>
        <w:t>clearance</w:t>
      </w:r>
      <w:proofErr w:type="spellEnd"/>
      <w:r w:rsidRPr="002F7A21">
        <w:rPr>
          <w:sz w:val="24"/>
        </w:rPr>
        <w:t xml:space="preserve"> inden for området 2,52 til 3,97 ml/min/kg er fastlagt hos børn i alderen &lt; 6 måneder og op til 17 år. Den terminale halveringstid var fra 2,24 til 2,5 timer.  De inter- og </w:t>
      </w:r>
      <w:proofErr w:type="spellStart"/>
      <w:r w:rsidRPr="002F7A21">
        <w:rPr>
          <w:sz w:val="24"/>
        </w:rPr>
        <w:t>intra</w:t>
      </w:r>
      <w:proofErr w:type="spellEnd"/>
      <w:r w:rsidRPr="002F7A21">
        <w:rPr>
          <w:sz w:val="24"/>
        </w:rPr>
        <w:t xml:space="preserve">-individuelle variationer i plasmaeksponering var lavere end henholdsvis 20 % og 10 %. En </w:t>
      </w:r>
      <w:proofErr w:type="spellStart"/>
      <w:r w:rsidRPr="002F7A21">
        <w:rPr>
          <w:sz w:val="24"/>
        </w:rPr>
        <w:t>farmakokinetisk</w:t>
      </w:r>
      <w:proofErr w:type="spellEnd"/>
      <w:r w:rsidRPr="002F7A21">
        <w:rPr>
          <w:sz w:val="24"/>
        </w:rPr>
        <w:t xml:space="preserve"> populationsanalyse er blevet udført i en kohorte af 205 børn fordelt på passende vis med hensyn til legemsvægt (3,5 til 62,5 kg) samt biologiske og sygdomsrelaterede (maligne og non-maligne) karakteristika, således at de var repræsentative for den høje grad af heterogenitet blandt børn, der gennemgår HPCT. Dette studie viste, at legemsvægt var den fremherskende </w:t>
      </w:r>
      <w:proofErr w:type="spellStart"/>
      <w:r w:rsidRPr="002F7A21">
        <w:rPr>
          <w:sz w:val="24"/>
        </w:rPr>
        <w:t>covariat</w:t>
      </w:r>
      <w:proofErr w:type="spellEnd"/>
      <w:r w:rsidRPr="002F7A21">
        <w:rPr>
          <w:sz w:val="24"/>
        </w:rPr>
        <w:t xml:space="preserve"> til at forklare </w:t>
      </w:r>
      <w:proofErr w:type="spellStart"/>
      <w:r w:rsidRPr="002F7A21">
        <w:rPr>
          <w:sz w:val="24"/>
        </w:rPr>
        <w:t>busulfans</w:t>
      </w:r>
      <w:proofErr w:type="spellEnd"/>
      <w:r w:rsidRPr="002F7A21">
        <w:rPr>
          <w:sz w:val="24"/>
        </w:rPr>
        <w:t xml:space="preserve"> </w:t>
      </w:r>
      <w:proofErr w:type="spellStart"/>
      <w:r w:rsidRPr="002F7A21">
        <w:rPr>
          <w:sz w:val="24"/>
        </w:rPr>
        <w:t>farmakokinetiske</w:t>
      </w:r>
      <w:proofErr w:type="spellEnd"/>
      <w:r w:rsidRPr="002F7A21">
        <w:rPr>
          <w:sz w:val="24"/>
        </w:rPr>
        <w:t xml:space="preserve"> variabilitet hos børn versus legemsoverflade eller alder.</w:t>
      </w:r>
    </w:p>
    <w:p w14:paraId="78D63CCA" w14:textId="77777777" w:rsidR="0044481D" w:rsidRPr="008B475B" w:rsidRDefault="0044481D" w:rsidP="0044481D">
      <w:pPr>
        <w:ind w:left="851"/>
        <w:rPr>
          <w:sz w:val="24"/>
          <w:szCs w:val="24"/>
        </w:rPr>
      </w:pPr>
    </w:p>
    <w:p w14:paraId="4DE6F902" w14:textId="77777777" w:rsidR="0044481D" w:rsidRPr="008B475B" w:rsidRDefault="0044481D" w:rsidP="0044481D">
      <w:pPr>
        <w:ind w:left="851"/>
        <w:rPr>
          <w:sz w:val="24"/>
          <w:szCs w:val="24"/>
        </w:rPr>
      </w:pPr>
      <w:r w:rsidRPr="008B475B">
        <w:rPr>
          <w:sz w:val="24"/>
          <w:szCs w:val="24"/>
        </w:rPr>
        <w:t>Den anbefalede dosering til børn, som beskrevet i pkt. 4.2, resulterede i, at over 70 % og op til 90 % af alle børn ≥ 9 kg nåede det terapeutiske vindue (fra 900 til 1.500 mikromol/</w:t>
      </w:r>
      <w:proofErr w:type="spellStart"/>
      <w:r w:rsidRPr="008B475B">
        <w:rPr>
          <w:sz w:val="24"/>
          <w:szCs w:val="24"/>
        </w:rPr>
        <w:t>l.minut</w:t>
      </w:r>
      <w:proofErr w:type="spellEnd"/>
      <w:r w:rsidRPr="008B475B">
        <w:rPr>
          <w:sz w:val="24"/>
          <w:szCs w:val="24"/>
        </w:rPr>
        <w:t>). Imidlertid blev en højere variabilitet observeret hos børn under 9 kg førende til, at 60 % af børnene nåede det terapeutiske vindue (900 til 1.500 mikromol/</w:t>
      </w:r>
      <w:proofErr w:type="spellStart"/>
      <w:r w:rsidRPr="008B475B">
        <w:rPr>
          <w:sz w:val="24"/>
          <w:szCs w:val="24"/>
        </w:rPr>
        <w:t>l.minut</w:t>
      </w:r>
      <w:proofErr w:type="spellEnd"/>
      <w:r w:rsidRPr="008B475B">
        <w:rPr>
          <w:sz w:val="24"/>
          <w:szCs w:val="24"/>
        </w:rPr>
        <w:t>). For de 40 % af børnene &lt;9 kg, der ikke nåede målet, var AUC jævnt fordelt enten under eller over målgrænserne, dvs. 20 % henholdsvis &lt; 900 og &gt; 1.500 mikromol/</w:t>
      </w:r>
      <w:proofErr w:type="spellStart"/>
      <w:r w:rsidRPr="008B475B">
        <w:rPr>
          <w:sz w:val="24"/>
          <w:szCs w:val="24"/>
        </w:rPr>
        <w:t>l.min</w:t>
      </w:r>
      <w:proofErr w:type="spellEnd"/>
      <w:r w:rsidRPr="008B475B">
        <w:rPr>
          <w:sz w:val="24"/>
          <w:szCs w:val="24"/>
        </w:rPr>
        <w:t xml:space="preserve"> efter 1 mg/kg. I denne henseende kan monitorering af </w:t>
      </w:r>
      <w:proofErr w:type="spellStart"/>
      <w:r w:rsidRPr="008B475B">
        <w:rPr>
          <w:sz w:val="24"/>
          <w:szCs w:val="24"/>
        </w:rPr>
        <w:t>busulfans</w:t>
      </w:r>
      <w:proofErr w:type="spellEnd"/>
      <w:r w:rsidRPr="008B475B">
        <w:rPr>
          <w:sz w:val="24"/>
          <w:szCs w:val="24"/>
        </w:rPr>
        <w:t xml:space="preserve"> plasmakoncentration (terapeutisk lægemiddelmonitorering) med henblik på dosisjustering forbedre </w:t>
      </w:r>
      <w:proofErr w:type="spellStart"/>
      <w:r w:rsidRPr="008B475B">
        <w:rPr>
          <w:sz w:val="24"/>
          <w:szCs w:val="24"/>
        </w:rPr>
        <w:t>busulfans</w:t>
      </w:r>
      <w:proofErr w:type="spellEnd"/>
      <w:r w:rsidRPr="008B475B">
        <w:rPr>
          <w:sz w:val="24"/>
          <w:szCs w:val="24"/>
        </w:rPr>
        <w:t xml:space="preserve"> målrettede virkning hos børn &lt; 9 kg, især hos meget små børn og nyfødte.</w:t>
      </w:r>
    </w:p>
    <w:p w14:paraId="30EBA3A9" w14:textId="77777777" w:rsidR="0044481D" w:rsidRPr="008B475B" w:rsidRDefault="0044481D" w:rsidP="0044481D">
      <w:pPr>
        <w:ind w:left="851"/>
        <w:rPr>
          <w:sz w:val="24"/>
          <w:szCs w:val="24"/>
        </w:rPr>
      </w:pPr>
    </w:p>
    <w:p w14:paraId="5AF24D61" w14:textId="77777777" w:rsidR="0044481D" w:rsidRPr="008B475B" w:rsidRDefault="0044481D" w:rsidP="0044481D">
      <w:pPr>
        <w:ind w:left="851"/>
        <w:rPr>
          <w:sz w:val="24"/>
          <w:szCs w:val="24"/>
          <w:u w:val="single"/>
        </w:rPr>
      </w:pPr>
      <w:proofErr w:type="spellStart"/>
      <w:r w:rsidRPr="008B475B">
        <w:rPr>
          <w:sz w:val="24"/>
          <w:szCs w:val="24"/>
          <w:u w:val="single"/>
        </w:rPr>
        <w:t>Farmakokinetiske</w:t>
      </w:r>
      <w:proofErr w:type="spellEnd"/>
      <w:r w:rsidRPr="008B475B">
        <w:rPr>
          <w:sz w:val="24"/>
          <w:szCs w:val="24"/>
          <w:u w:val="single"/>
        </w:rPr>
        <w:t>/</w:t>
      </w:r>
      <w:proofErr w:type="spellStart"/>
      <w:r w:rsidRPr="008B475B">
        <w:rPr>
          <w:sz w:val="24"/>
          <w:szCs w:val="24"/>
          <w:u w:val="single"/>
        </w:rPr>
        <w:t>farmakodynamiske</w:t>
      </w:r>
      <w:proofErr w:type="spellEnd"/>
      <w:r w:rsidRPr="008B475B">
        <w:rPr>
          <w:sz w:val="24"/>
          <w:szCs w:val="24"/>
          <w:u w:val="single"/>
        </w:rPr>
        <w:t xml:space="preserve"> forhold:</w:t>
      </w:r>
    </w:p>
    <w:p w14:paraId="1C8F6AEA" w14:textId="77777777" w:rsidR="0044481D" w:rsidRPr="008B475B" w:rsidRDefault="0044481D" w:rsidP="0044481D">
      <w:pPr>
        <w:ind w:left="851"/>
        <w:rPr>
          <w:sz w:val="24"/>
          <w:szCs w:val="24"/>
        </w:rPr>
      </w:pPr>
      <w:r w:rsidRPr="008B475B">
        <w:rPr>
          <w:sz w:val="24"/>
          <w:szCs w:val="24"/>
        </w:rPr>
        <w:t>Den vellykkede optagelse af cellerne hos alle patienter i fase II-studier indikerede, at mål-</w:t>
      </w:r>
      <w:proofErr w:type="spellStart"/>
      <w:r w:rsidRPr="008B475B">
        <w:rPr>
          <w:sz w:val="24"/>
          <w:szCs w:val="24"/>
        </w:rPr>
        <w:t>AUC’erne</w:t>
      </w:r>
      <w:proofErr w:type="spellEnd"/>
      <w:r w:rsidRPr="008B475B">
        <w:rPr>
          <w:sz w:val="24"/>
          <w:szCs w:val="24"/>
        </w:rPr>
        <w:t xml:space="preserve"> var korrekte. Forekomsten af VOD var ikke forbundet med overeksponering. En </w:t>
      </w:r>
      <w:proofErr w:type="spellStart"/>
      <w:r w:rsidRPr="008B475B">
        <w:rPr>
          <w:sz w:val="24"/>
          <w:szCs w:val="24"/>
        </w:rPr>
        <w:t>farmakokinetisk</w:t>
      </w:r>
      <w:proofErr w:type="spellEnd"/>
      <w:r w:rsidRPr="008B475B">
        <w:rPr>
          <w:sz w:val="24"/>
          <w:szCs w:val="24"/>
        </w:rPr>
        <w:t>/</w:t>
      </w:r>
      <w:proofErr w:type="spellStart"/>
      <w:r w:rsidRPr="008B475B">
        <w:rPr>
          <w:sz w:val="24"/>
          <w:szCs w:val="24"/>
        </w:rPr>
        <w:t>farmakodynamisk</w:t>
      </w:r>
      <w:proofErr w:type="spellEnd"/>
      <w:r w:rsidRPr="008B475B">
        <w:rPr>
          <w:sz w:val="24"/>
          <w:szCs w:val="24"/>
        </w:rPr>
        <w:t xml:space="preserve"> forbindelse blev observeret mellem </w:t>
      </w:r>
      <w:proofErr w:type="spellStart"/>
      <w:r w:rsidRPr="008B475B">
        <w:rPr>
          <w:sz w:val="24"/>
          <w:szCs w:val="24"/>
        </w:rPr>
        <w:t>stomatitis</w:t>
      </w:r>
      <w:proofErr w:type="spellEnd"/>
      <w:r w:rsidRPr="008B475B">
        <w:rPr>
          <w:sz w:val="24"/>
          <w:szCs w:val="24"/>
        </w:rPr>
        <w:t xml:space="preserve"> og </w:t>
      </w:r>
      <w:proofErr w:type="spellStart"/>
      <w:r w:rsidRPr="008B475B">
        <w:rPr>
          <w:sz w:val="24"/>
          <w:szCs w:val="24"/>
        </w:rPr>
        <w:t>AUC’er</w:t>
      </w:r>
      <w:proofErr w:type="spellEnd"/>
      <w:r w:rsidRPr="008B475B">
        <w:rPr>
          <w:sz w:val="24"/>
          <w:szCs w:val="24"/>
        </w:rPr>
        <w:t xml:space="preserve"> hos autologe patienter og mellem en stigning i bilirubin og </w:t>
      </w:r>
      <w:proofErr w:type="spellStart"/>
      <w:r w:rsidRPr="008B475B">
        <w:rPr>
          <w:sz w:val="24"/>
          <w:szCs w:val="24"/>
        </w:rPr>
        <w:t>AUC’er</w:t>
      </w:r>
      <w:proofErr w:type="spellEnd"/>
      <w:r w:rsidRPr="008B475B">
        <w:rPr>
          <w:sz w:val="24"/>
          <w:szCs w:val="24"/>
        </w:rPr>
        <w:t xml:space="preserve"> i en kombineret analyse af autologe og </w:t>
      </w:r>
      <w:proofErr w:type="spellStart"/>
      <w:r w:rsidRPr="008B475B">
        <w:rPr>
          <w:sz w:val="24"/>
          <w:szCs w:val="24"/>
        </w:rPr>
        <w:t>allogene</w:t>
      </w:r>
      <w:proofErr w:type="spellEnd"/>
      <w:r w:rsidRPr="008B475B">
        <w:rPr>
          <w:sz w:val="24"/>
          <w:szCs w:val="24"/>
        </w:rPr>
        <w:t xml:space="preserve"> patienter.</w:t>
      </w:r>
    </w:p>
    <w:p w14:paraId="45056355" w14:textId="77777777" w:rsidR="0044481D" w:rsidRPr="008B475B" w:rsidRDefault="0044481D" w:rsidP="0044481D">
      <w:pPr>
        <w:ind w:left="851"/>
        <w:rPr>
          <w:sz w:val="24"/>
          <w:szCs w:val="24"/>
        </w:rPr>
      </w:pPr>
    </w:p>
    <w:p w14:paraId="7AC082ED" w14:textId="77777777" w:rsidR="0044481D" w:rsidRPr="00C84483" w:rsidRDefault="0044481D" w:rsidP="0044481D">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466BB023" w14:textId="77777777" w:rsidR="0044481D" w:rsidRPr="008B475B" w:rsidRDefault="0044481D" w:rsidP="0044481D">
      <w:pPr>
        <w:numPr>
          <w:ilvl w:val="12"/>
          <w:numId w:val="0"/>
        </w:numPr>
        <w:ind w:left="851" w:right="11"/>
        <w:rPr>
          <w:sz w:val="24"/>
          <w:szCs w:val="24"/>
        </w:rPr>
      </w:pPr>
      <w:proofErr w:type="spellStart"/>
      <w:r w:rsidRPr="008B475B">
        <w:rPr>
          <w:sz w:val="24"/>
          <w:szCs w:val="24"/>
        </w:rPr>
        <w:t>Busulfan</w:t>
      </w:r>
      <w:proofErr w:type="spellEnd"/>
      <w:r w:rsidRPr="008B475B">
        <w:rPr>
          <w:sz w:val="24"/>
          <w:szCs w:val="24"/>
        </w:rPr>
        <w:t xml:space="preserve"> er mutagent og </w:t>
      </w:r>
      <w:proofErr w:type="spellStart"/>
      <w:r w:rsidRPr="008B475B">
        <w:rPr>
          <w:sz w:val="24"/>
          <w:szCs w:val="24"/>
        </w:rPr>
        <w:t>klastogent</w:t>
      </w:r>
      <w:proofErr w:type="spellEnd"/>
      <w:r w:rsidRPr="008B475B">
        <w:rPr>
          <w:sz w:val="24"/>
          <w:szCs w:val="24"/>
        </w:rPr>
        <w:t xml:space="preserve">. </w:t>
      </w:r>
      <w:proofErr w:type="spellStart"/>
      <w:r w:rsidRPr="008B475B">
        <w:rPr>
          <w:sz w:val="24"/>
          <w:szCs w:val="24"/>
        </w:rPr>
        <w:t>Busulfan</w:t>
      </w:r>
      <w:proofErr w:type="spellEnd"/>
      <w:r w:rsidRPr="008B475B">
        <w:rPr>
          <w:sz w:val="24"/>
          <w:szCs w:val="24"/>
        </w:rPr>
        <w:t xml:space="preserve"> var mutagent i </w:t>
      </w:r>
      <w:r w:rsidRPr="008B475B">
        <w:rPr>
          <w:i/>
          <w:sz w:val="24"/>
          <w:szCs w:val="24"/>
        </w:rPr>
        <w:t xml:space="preserve">Salmonella </w:t>
      </w:r>
      <w:proofErr w:type="spellStart"/>
      <w:r w:rsidRPr="008B475B">
        <w:rPr>
          <w:i/>
          <w:sz w:val="24"/>
          <w:szCs w:val="24"/>
        </w:rPr>
        <w:t>typhimurium</w:t>
      </w:r>
      <w:proofErr w:type="spellEnd"/>
      <w:r w:rsidRPr="008B475B">
        <w:rPr>
          <w:sz w:val="24"/>
          <w:szCs w:val="24"/>
        </w:rPr>
        <w:t xml:space="preserve">, </w:t>
      </w:r>
      <w:proofErr w:type="spellStart"/>
      <w:r w:rsidRPr="008B475B">
        <w:rPr>
          <w:i/>
          <w:sz w:val="24"/>
          <w:szCs w:val="24"/>
        </w:rPr>
        <w:t>Drosophila</w:t>
      </w:r>
      <w:proofErr w:type="spellEnd"/>
      <w:r w:rsidRPr="008B475B">
        <w:rPr>
          <w:i/>
          <w:sz w:val="24"/>
          <w:szCs w:val="24"/>
        </w:rPr>
        <w:t xml:space="preserve"> </w:t>
      </w:r>
      <w:proofErr w:type="spellStart"/>
      <w:r w:rsidRPr="008B475B">
        <w:rPr>
          <w:i/>
          <w:sz w:val="24"/>
          <w:szCs w:val="24"/>
        </w:rPr>
        <w:t>melanogaster</w:t>
      </w:r>
      <w:proofErr w:type="spellEnd"/>
      <w:r w:rsidRPr="008B475B">
        <w:rPr>
          <w:sz w:val="24"/>
          <w:szCs w:val="24"/>
        </w:rPr>
        <w:t xml:space="preserve"> og byg. </w:t>
      </w:r>
      <w:proofErr w:type="spellStart"/>
      <w:r w:rsidRPr="008B475B">
        <w:rPr>
          <w:sz w:val="24"/>
          <w:szCs w:val="24"/>
        </w:rPr>
        <w:t>Busulfan</w:t>
      </w:r>
      <w:proofErr w:type="spellEnd"/>
      <w:r w:rsidRPr="008B475B">
        <w:rPr>
          <w:sz w:val="24"/>
          <w:szCs w:val="24"/>
        </w:rPr>
        <w:t xml:space="preserve"> inducerede kromosomafvigelser in </w:t>
      </w:r>
      <w:proofErr w:type="spellStart"/>
      <w:r w:rsidRPr="008B475B">
        <w:rPr>
          <w:sz w:val="24"/>
          <w:szCs w:val="24"/>
        </w:rPr>
        <w:t>vitro</w:t>
      </w:r>
      <w:proofErr w:type="spellEnd"/>
      <w:r w:rsidRPr="008B475B">
        <w:rPr>
          <w:sz w:val="24"/>
          <w:szCs w:val="24"/>
        </w:rPr>
        <w:t xml:space="preserve"> (gnaver- og humane celler) og in </w:t>
      </w:r>
      <w:proofErr w:type="spellStart"/>
      <w:r w:rsidRPr="008B475B">
        <w:rPr>
          <w:sz w:val="24"/>
          <w:szCs w:val="24"/>
        </w:rPr>
        <w:t>vivo</w:t>
      </w:r>
      <w:proofErr w:type="spellEnd"/>
      <w:r w:rsidRPr="008B475B">
        <w:rPr>
          <w:sz w:val="24"/>
          <w:szCs w:val="24"/>
        </w:rPr>
        <w:t xml:space="preserve"> (gnavere og mennesker). Der er observeret forskellige kromosomafvigelser i celler fra patienter, der fik oralt </w:t>
      </w:r>
      <w:proofErr w:type="spellStart"/>
      <w:r w:rsidRPr="008B475B">
        <w:rPr>
          <w:sz w:val="24"/>
          <w:szCs w:val="24"/>
        </w:rPr>
        <w:t>busulfan</w:t>
      </w:r>
      <w:proofErr w:type="spellEnd"/>
      <w:r w:rsidRPr="008B475B">
        <w:rPr>
          <w:sz w:val="24"/>
          <w:szCs w:val="24"/>
        </w:rPr>
        <w:t>.</w:t>
      </w:r>
    </w:p>
    <w:p w14:paraId="2C511A3D" w14:textId="77777777" w:rsidR="0044481D" w:rsidRPr="008B475B" w:rsidRDefault="0044481D" w:rsidP="0044481D">
      <w:pPr>
        <w:numPr>
          <w:ilvl w:val="12"/>
          <w:numId w:val="0"/>
        </w:numPr>
        <w:ind w:left="851" w:right="11"/>
        <w:rPr>
          <w:sz w:val="24"/>
          <w:szCs w:val="24"/>
        </w:rPr>
      </w:pPr>
    </w:p>
    <w:p w14:paraId="3E6862BD" w14:textId="77777777" w:rsidR="0044481D" w:rsidRPr="008B475B" w:rsidRDefault="0044481D" w:rsidP="0044481D">
      <w:pPr>
        <w:numPr>
          <w:ilvl w:val="12"/>
          <w:numId w:val="0"/>
        </w:numPr>
        <w:ind w:left="851" w:right="11"/>
        <w:rPr>
          <w:sz w:val="24"/>
          <w:szCs w:val="24"/>
        </w:rPr>
      </w:pPr>
      <w:proofErr w:type="spellStart"/>
      <w:r w:rsidRPr="008B475B">
        <w:rPr>
          <w:sz w:val="24"/>
          <w:szCs w:val="24"/>
        </w:rPr>
        <w:t>Busulfan</w:t>
      </w:r>
      <w:proofErr w:type="spellEnd"/>
      <w:r w:rsidRPr="008B475B">
        <w:rPr>
          <w:sz w:val="24"/>
          <w:szCs w:val="24"/>
        </w:rPr>
        <w:t xml:space="preserve"> hører til en gruppe substanser, som er potentielt </w:t>
      </w:r>
      <w:proofErr w:type="spellStart"/>
      <w:r w:rsidRPr="008B475B">
        <w:rPr>
          <w:sz w:val="24"/>
          <w:szCs w:val="24"/>
        </w:rPr>
        <w:t>karcinogene</w:t>
      </w:r>
      <w:proofErr w:type="spellEnd"/>
      <w:r w:rsidRPr="008B475B">
        <w:rPr>
          <w:sz w:val="24"/>
          <w:szCs w:val="24"/>
        </w:rPr>
        <w:t xml:space="preserve"> på grund af deres virkemåde. På grundlag af humane data er </w:t>
      </w:r>
      <w:proofErr w:type="spellStart"/>
      <w:r w:rsidRPr="008B475B">
        <w:rPr>
          <w:sz w:val="24"/>
          <w:szCs w:val="24"/>
        </w:rPr>
        <w:t>busulfan</w:t>
      </w:r>
      <w:proofErr w:type="spellEnd"/>
      <w:r w:rsidRPr="008B475B">
        <w:rPr>
          <w:sz w:val="24"/>
          <w:szCs w:val="24"/>
        </w:rPr>
        <w:t xml:space="preserve"> klassificeret af IARC som et humant karcinogen. WHO har konkluderet, at der er en kausal sammenhæng mellem eksponering for </w:t>
      </w:r>
      <w:proofErr w:type="spellStart"/>
      <w:r w:rsidRPr="008B475B">
        <w:rPr>
          <w:sz w:val="24"/>
          <w:szCs w:val="24"/>
        </w:rPr>
        <w:t>busulfan</w:t>
      </w:r>
      <w:proofErr w:type="spellEnd"/>
      <w:r w:rsidRPr="008B475B">
        <w:rPr>
          <w:sz w:val="24"/>
          <w:szCs w:val="24"/>
        </w:rPr>
        <w:t xml:space="preserve"> og cancer. Data fra dyreforsøg bekræfter </w:t>
      </w:r>
      <w:proofErr w:type="spellStart"/>
      <w:r w:rsidRPr="008B475B">
        <w:rPr>
          <w:sz w:val="24"/>
          <w:szCs w:val="24"/>
        </w:rPr>
        <w:t>busulfans</w:t>
      </w:r>
      <w:proofErr w:type="spellEnd"/>
      <w:r w:rsidRPr="008B475B">
        <w:rPr>
          <w:sz w:val="24"/>
          <w:szCs w:val="24"/>
        </w:rPr>
        <w:t xml:space="preserve"> </w:t>
      </w:r>
      <w:proofErr w:type="spellStart"/>
      <w:r w:rsidRPr="008B475B">
        <w:rPr>
          <w:sz w:val="24"/>
          <w:szCs w:val="24"/>
        </w:rPr>
        <w:t>karcinogene</w:t>
      </w:r>
      <w:proofErr w:type="spellEnd"/>
      <w:r w:rsidRPr="008B475B">
        <w:rPr>
          <w:sz w:val="24"/>
          <w:szCs w:val="24"/>
        </w:rPr>
        <w:t xml:space="preserve"> potentiale. Intravenøs administration af </w:t>
      </w:r>
      <w:proofErr w:type="spellStart"/>
      <w:r w:rsidRPr="008B475B">
        <w:rPr>
          <w:sz w:val="24"/>
          <w:szCs w:val="24"/>
        </w:rPr>
        <w:t>busulfan</w:t>
      </w:r>
      <w:proofErr w:type="spellEnd"/>
      <w:r w:rsidRPr="008B475B">
        <w:rPr>
          <w:sz w:val="24"/>
          <w:szCs w:val="24"/>
        </w:rPr>
        <w:t xml:space="preserve"> hos mus medførte signifikant øgning af </w:t>
      </w:r>
      <w:proofErr w:type="spellStart"/>
      <w:r w:rsidRPr="008B475B">
        <w:rPr>
          <w:sz w:val="24"/>
          <w:szCs w:val="24"/>
        </w:rPr>
        <w:t>incidensen</w:t>
      </w:r>
      <w:proofErr w:type="spellEnd"/>
      <w:r w:rsidRPr="008B475B">
        <w:rPr>
          <w:sz w:val="24"/>
          <w:szCs w:val="24"/>
        </w:rPr>
        <w:t xml:space="preserve"> af tumorer i </w:t>
      </w:r>
      <w:proofErr w:type="spellStart"/>
      <w:r w:rsidRPr="008B475B">
        <w:rPr>
          <w:sz w:val="24"/>
          <w:szCs w:val="24"/>
        </w:rPr>
        <w:t>thymus</w:t>
      </w:r>
      <w:proofErr w:type="spellEnd"/>
      <w:r w:rsidRPr="008B475B">
        <w:rPr>
          <w:sz w:val="24"/>
          <w:szCs w:val="24"/>
        </w:rPr>
        <w:t xml:space="preserve"> og ovarier.</w:t>
      </w:r>
    </w:p>
    <w:p w14:paraId="45A0B890" w14:textId="77777777" w:rsidR="0044481D" w:rsidRPr="008B475B" w:rsidRDefault="0044481D" w:rsidP="0044481D">
      <w:pPr>
        <w:numPr>
          <w:ilvl w:val="12"/>
          <w:numId w:val="0"/>
        </w:numPr>
        <w:ind w:left="851" w:right="11"/>
        <w:rPr>
          <w:sz w:val="24"/>
          <w:szCs w:val="24"/>
        </w:rPr>
      </w:pPr>
    </w:p>
    <w:p w14:paraId="41D5463A" w14:textId="77777777" w:rsidR="0044481D" w:rsidRPr="008B475B" w:rsidRDefault="0044481D" w:rsidP="0044481D">
      <w:pPr>
        <w:numPr>
          <w:ilvl w:val="12"/>
          <w:numId w:val="0"/>
        </w:numPr>
        <w:ind w:left="851" w:right="11"/>
        <w:rPr>
          <w:sz w:val="24"/>
          <w:szCs w:val="24"/>
        </w:rPr>
      </w:pPr>
      <w:proofErr w:type="spellStart"/>
      <w:r w:rsidRPr="008B475B">
        <w:rPr>
          <w:sz w:val="24"/>
          <w:szCs w:val="24"/>
        </w:rPr>
        <w:t>Busulfan</w:t>
      </w:r>
      <w:proofErr w:type="spellEnd"/>
      <w:r w:rsidRPr="008B475B">
        <w:rPr>
          <w:sz w:val="24"/>
          <w:szCs w:val="24"/>
        </w:rPr>
        <w:t xml:space="preserve"> er </w:t>
      </w:r>
      <w:proofErr w:type="spellStart"/>
      <w:r w:rsidRPr="008B475B">
        <w:rPr>
          <w:sz w:val="24"/>
          <w:szCs w:val="24"/>
        </w:rPr>
        <w:t>teratogent</w:t>
      </w:r>
      <w:proofErr w:type="spellEnd"/>
      <w:r w:rsidRPr="008B475B">
        <w:rPr>
          <w:sz w:val="24"/>
          <w:szCs w:val="24"/>
        </w:rPr>
        <w:t xml:space="preserve"> hos rotter, mus og kaniner. Misdannelser og anomalier omfattede signifikante ændringer i skeletmuskulaturen, vægtstigning og størrelse. Hos drægtige rotter har </w:t>
      </w:r>
      <w:proofErr w:type="spellStart"/>
      <w:r w:rsidRPr="008B475B">
        <w:rPr>
          <w:sz w:val="24"/>
          <w:szCs w:val="24"/>
        </w:rPr>
        <w:t>busulfan</w:t>
      </w:r>
      <w:proofErr w:type="spellEnd"/>
      <w:r w:rsidRPr="008B475B">
        <w:rPr>
          <w:sz w:val="24"/>
          <w:szCs w:val="24"/>
        </w:rPr>
        <w:t xml:space="preserve"> medført sterilitet hos afkom af begge køn på grund af manglende </w:t>
      </w:r>
      <w:proofErr w:type="spellStart"/>
      <w:r w:rsidRPr="008B475B">
        <w:rPr>
          <w:sz w:val="24"/>
          <w:szCs w:val="24"/>
        </w:rPr>
        <w:t>germinalceller</w:t>
      </w:r>
      <w:proofErr w:type="spellEnd"/>
      <w:r w:rsidRPr="008B475B">
        <w:rPr>
          <w:sz w:val="24"/>
          <w:szCs w:val="24"/>
        </w:rPr>
        <w:t xml:space="preserve"> i testikler og ovarier. </w:t>
      </w:r>
      <w:proofErr w:type="spellStart"/>
      <w:r w:rsidRPr="008B475B">
        <w:rPr>
          <w:sz w:val="24"/>
          <w:szCs w:val="24"/>
        </w:rPr>
        <w:t>Busulfan</w:t>
      </w:r>
      <w:proofErr w:type="spellEnd"/>
      <w:r w:rsidRPr="008B475B">
        <w:rPr>
          <w:sz w:val="24"/>
          <w:szCs w:val="24"/>
        </w:rPr>
        <w:t xml:space="preserve"> kan forårsage sterilitet hos gnavere. </w:t>
      </w:r>
      <w:proofErr w:type="spellStart"/>
      <w:r w:rsidRPr="008B475B">
        <w:rPr>
          <w:sz w:val="24"/>
          <w:szCs w:val="24"/>
        </w:rPr>
        <w:lastRenderedPageBreak/>
        <w:t>Busulfan</w:t>
      </w:r>
      <w:proofErr w:type="spellEnd"/>
      <w:r w:rsidRPr="008B475B">
        <w:rPr>
          <w:sz w:val="24"/>
          <w:szCs w:val="24"/>
        </w:rPr>
        <w:t xml:space="preserve"> </w:t>
      </w:r>
      <w:proofErr w:type="spellStart"/>
      <w:r w:rsidRPr="008B475B">
        <w:rPr>
          <w:sz w:val="24"/>
          <w:szCs w:val="24"/>
        </w:rPr>
        <w:t>depleterede</w:t>
      </w:r>
      <w:proofErr w:type="spellEnd"/>
      <w:r w:rsidRPr="008B475B">
        <w:rPr>
          <w:sz w:val="24"/>
          <w:szCs w:val="24"/>
        </w:rPr>
        <w:t xml:space="preserve"> </w:t>
      </w:r>
      <w:proofErr w:type="spellStart"/>
      <w:r w:rsidRPr="008B475B">
        <w:rPr>
          <w:sz w:val="24"/>
          <w:szCs w:val="24"/>
        </w:rPr>
        <w:t>oocytter</w:t>
      </w:r>
      <w:proofErr w:type="spellEnd"/>
      <w:r w:rsidRPr="008B475B">
        <w:rPr>
          <w:sz w:val="24"/>
          <w:szCs w:val="24"/>
        </w:rPr>
        <w:t xml:space="preserve"> hos hunrotter og inducerede sterilitet hos hanrotter og -hamstere.</w:t>
      </w:r>
    </w:p>
    <w:p w14:paraId="2DF3F7B6" w14:textId="77777777" w:rsidR="0044481D" w:rsidRPr="008B475B" w:rsidRDefault="0044481D" w:rsidP="0044481D">
      <w:pPr>
        <w:numPr>
          <w:ilvl w:val="12"/>
          <w:numId w:val="0"/>
        </w:numPr>
        <w:ind w:left="851" w:right="11"/>
        <w:rPr>
          <w:sz w:val="24"/>
          <w:szCs w:val="24"/>
        </w:rPr>
      </w:pPr>
    </w:p>
    <w:p w14:paraId="0372D664" w14:textId="77777777" w:rsidR="0044481D" w:rsidRPr="008B475B" w:rsidRDefault="0044481D" w:rsidP="0044481D">
      <w:pPr>
        <w:numPr>
          <w:ilvl w:val="12"/>
          <w:numId w:val="0"/>
        </w:numPr>
        <w:ind w:left="851" w:right="11"/>
        <w:rPr>
          <w:sz w:val="24"/>
          <w:szCs w:val="24"/>
        </w:rPr>
      </w:pPr>
      <w:r w:rsidRPr="008B475B">
        <w:rPr>
          <w:sz w:val="24"/>
          <w:szCs w:val="24"/>
        </w:rPr>
        <w:t xml:space="preserve">Gentagne doser af DMA medførte tegn på levertoksicitet, hvoraf det første var stigninger i enzymer i klinisk-kemiske serumprøver efterfulgt af </w:t>
      </w:r>
      <w:proofErr w:type="spellStart"/>
      <w:r w:rsidRPr="008B475B">
        <w:rPr>
          <w:sz w:val="24"/>
          <w:szCs w:val="24"/>
        </w:rPr>
        <w:t>histopatologiske</w:t>
      </w:r>
      <w:proofErr w:type="spellEnd"/>
      <w:r w:rsidRPr="008B475B">
        <w:rPr>
          <w:sz w:val="24"/>
          <w:szCs w:val="24"/>
        </w:rPr>
        <w:t xml:space="preserve"> forandringer i </w:t>
      </w:r>
      <w:proofErr w:type="spellStart"/>
      <w:r w:rsidRPr="008B475B">
        <w:rPr>
          <w:sz w:val="24"/>
          <w:szCs w:val="24"/>
        </w:rPr>
        <w:t>hepatocytterne</w:t>
      </w:r>
      <w:proofErr w:type="spellEnd"/>
      <w:r w:rsidRPr="008B475B">
        <w:rPr>
          <w:sz w:val="24"/>
          <w:szCs w:val="24"/>
        </w:rPr>
        <w:t xml:space="preserve">. Højere doser kan give </w:t>
      </w:r>
      <w:proofErr w:type="spellStart"/>
      <w:r w:rsidRPr="008B475B">
        <w:rPr>
          <w:sz w:val="24"/>
          <w:szCs w:val="24"/>
        </w:rPr>
        <w:t>levernekroser</w:t>
      </w:r>
      <w:proofErr w:type="spellEnd"/>
      <w:r w:rsidRPr="008B475B">
        <w:rPr>
          <w:sz w:val="24"/>
          <w:szCs w:val="24"/>
        </w:rPr>
        <w:t>, og leverskader kan forekomme efter enkelt højdosis eksponering.</w:t>
      </w:r>
    </w:p>
    <w:p w14:paraId="67976290" w14:textId="77777777" w:rsidR="0044481D" w:rsidRPr="008B475B" w:rsidRDefault="0044481D" w:rsidP="0044481D">
      <w:pPr>
        <w:numPr>
          <w:ilvl w:val="12"/>
          <w:numId w:val="0"/>
        </w:numPr>
        <w:ind w:left="851" w:right="11"/>
        <w:rPr>
          <w:sz w:val="24"/>
          <w:szCs w:val="24"/>
        </w:rPr>
      </w:pPr>
    </w:p>
    <w:p w14:paraId="63FE5235" w14:textId="21BF2E5A" w:rsidR="0044481D" w:rsidRDefault="0044481D" w:rsidP="0044481D">
      <w:pPr>
        <w:numPr>
          <w:ilvl w:val="12"/>
          <w:numId w:val="0"/>
        </w:numPr>
        <w:ind w:left="851" w:right="11"/>
        <w:rPr>
          <w:sz w:val="24"/>
          <w:szCs w:val="24"/>
        </w:rPr>
      </w:pPr>
      <w:r w:rsidRPr="008B475B">
        <w:rPr>
          <w:sz w:val="24"/>
          <w:szCs w:val="24"/>
        </w:rPr>
        <w:t xml:space="preserve">DMA er </w:t>
      </w:r>
      <w:proofErr w:type="spellStart"/>
      <w:r w:rsidRPr="008B475B">
        <w:rPr>
          <w:sz w:val="24"/>
          <w:szCs w:val="24"/>
        </w:rPr>
        <w:t>teratogent</w:t>
      </w:r>
      <w:proofErr w:type="spellEnd"/>
      <w:r w:rsidRPr="008B475B">
        <w:rPr>
          <w:sz w:val="24"/>
          <w:szCs w:val="24"/>
        </w:rPr>
        <w:t xml:space="preserve"> hos rotter. En dosis DMA på 400 mg/kg/dag administreret under </w:t>
      </w:r>
      <w:proofErr w:type="spellStart"/>
      <w:r w:rsidRPr="008B475B">
        <w:rPr>
          <w:sz w:val="24"/>
          <w:szCs w:val="24"/>
        </w:rPr>
        <w:t>organogenese</w:t>
      </w:r>
      <w:proofErr w:type="spellEnd"/>
      <w:r w:rsidRPr="008B475B">
        <w:rPr>
          <w:sz w:val="24"/>
          <w:szCs w:val="24"/>
        </w:rPr>
        <w:t xml:space="preserve"> gav signifikante udviklingsmæssige anomalier. Misdannelserne omfattede alvorlige anomalier i hjerte og/eller større kar: en fælles </w:t>
      </w:r>
      <w:proofErr w:type="spellStart"/>
      <w:r w:rsidRPr="008B475B">
        <w:rPr>
          <w:sz w:val="24"/>
          <w:szCs w:val="24"/>
        </w:rPr>
        <w:t>truncus</w:t>
      </w:r>
      <w:proofErr w:type="spellEnd"/>
      <w:r w:rsidRPr="008B475B">
        <w:rPr>
          <w:sz w:val="24"/>
          <w:szCs w:val="24"/>
        </w:rPr>
        <w:t xml:space="preserve"> </w:t>
      </w:r>
      <w:proofErr w:type="spellStart"/>
      <w:r w:rsidRPr="008B475B">
        <w:rPr>
          <w:sz w:val="24"/>
          <w:szCs w:val="24"/>
        </w:rPr>
        <w:t>arteriosis</w:t>
      </w:r>
      <w:proofErr w:type="spellEnd"/>
      <w:r w:rsidRPr="008B475B">
        <w:rPr>
          <w:sz w:val="24"/>
          <w:szCs w:val="24"/>
        </w:rPr>
        <w:t xml:space="preserve"> og ingen </w:t>
      </w:r>
      <w:proofErr w:type="spellStart"/>
      <w:r w:rsidRPr="008B475B">
        <w:rPr>
          <w:sz w:val="24"/>
          <w:szCs w:val="24"/>
        </w:rPr>
        <w:t>ductus</w:t>
      </w:r>
      <w:proofErr w:type="spellEnd"/>
      <w:r w:rsidRPr="008B475B">
        <w:rPr>
          <w:sz w:val="24"/>
          <w:szCs w:val="24"/>
        </w:rPr>
        <w:t xml:space="preserve"> </w:t>
      </w:r>
      <w:proofErr w:type="spellStart"/>
      <w:r w:rsidRPr="008B475B">
        <w:rPr>
          <w:sz w:val="24"/>
          <w:szCs w:val="24"/>
        </w:rPr>
        <w:t>arteriosis</w:t>
      </w:r>
      <w:proofErr w:type="spellEnd"/>
      <w:r w:rsidRPr="008B475B">
        <w:rPr>
          <w:sz w:val="24"/>
          <w:szCs w:val="24"/>
        </w:rPr>
        <w:t xml:space="preserve">, </w:t>
      </w:r>
      <w:proofErr w:type="spellStart"/>
      <w:r w:rsidRPr="008B475B">
        <w:rPr>
          <w:sz w:val="24"/>
          <w:szCs w:val="24"/>
        </w:rPr>
        <w:t>coarctatio</w:t>
      </w:r>
      <w:proofErr w:type="spellEnd"/>
      <w:r w:rsidRPr="008B475B">
        <w:rPr>
          <w:sz w:val="24"/>
          <w:szCs w:val="24"/>
        </w:rPr>
        <w:t xml:space="preserve"> af </w:t>
      </w:r>
      <w:proofErr w:type="spellStart"/>
      <w:r w:rsidRPr="008B475B">
        <w:rPr>
          <w:sz w:val="24"/>
          <w:szCs w:val="24"/>
        </w:rPr>
        <w:t>truncus</w:t>
      </w:r>
      <w:proofErr w:type="spellEnd"/>
      <w:r w:rsidRPr="008B475B">
        <w:rPr>
          <w:sz w:val="24"/>
          <w:szCs w:val="24"/>
        </w:rPr>
        <w:t xml:space="preserve"> </w:t>
      </w:r>
      <w:proofErr w:type="spellStart"/>
      <w:r w:rsidRPr="008B475B">
        <w:rPr>
          <w:sz w:val="24"/>
          <w:szCs w:val="24"/>
        </w:rPr>
        <w:t>pulmonalis</w:t>
      </w:r>
      <w:proofErr w:type="spellEnd"/>
      <w:r w:rsidRPr="008B475B">
        <w:rPr>
          <w:sz w:val="24"/>
          <w:szCs w:val="24"/>
        </w:rPr>
        <w:t xml:space="preserve"> og a. </w:t>
      </w:r>
      <w:proofErr w:type="spellStart"/>
      <w:r w:rsidRPr="008B475B">
        <w:rPr>
          <w:sz w:val="24"/>
          <w:szCs w:val="24"/>
        </w:rPr>
        <w:t>pulmonalis</w:t>
      </w:r>
      <w:proofErr w:type="spellEnd"/>
      <w:r w:rsidRPr="008B475B">
        <w:rPr>
          <w:sz w:val="24"/>
          <w:szCs w:val="24"/>
        </w:rPr>
        <w:t xml:space="preserve">, </w:t>
      </w:r>
      <w:proofErr w:type="spellStart"/>
      <w:r w:rsidRPr="008B475B">
        <w:rPr>
          <w:sz w:val="24"/>
          <w:szCs w:val="24"/>
        </w:rPr>
        <w:t>intraventrikulære</w:t>
      </w:r>
      <w:proofErr w:type="spellEnd"/>
      <w:r w:rsidRPr="008B475B">
        <w:rPr>
          <w:sz w:val="24"/>
          <w:szCs w:val="24"/>
        </w:rPr>
        <w:t xml:space="preserve"> hjertedefekter. Andre hyppige anomalier omfattede ganespalte, </w:t>
      </w:r>
      <w:proofErr w:type="spellStart"/>
      <w:r w:rsidRPr="008B475B">
        <w:rPr>
          <w:sz w:val="24"/>
          <w:szCs w:val="24"/>
        </w:rPr>
        <w:t>anasarca</w:t>
      </w:r>
      <w:proofErr w:type="spellEnd"/>
      <w:r w:rsidRPr="008B475B">
        <w:rPr>
          <w:sz w:val="24"/>
          <w:szCs w:val="24"/>
        </w:rPr>
        <w:t xml:space="preserve"> og anormal udvikling af skelettet i </w:t>
      </w:r>
      <w:proofErr w:type="spellStart"/>
      <w:r w:rsidRPr="008B475B">
        <w:rPr>
          <w:sz w:val="24"/>
          <w:szCs w:val="24"/>
        </w:rPr>
        <w:t>vertebrae</w:t>
      </w:r>
      <w:proofErr w:type="spellEnd"/>
      <w:r w:rsidRPr="008B475B">
        <w:rPr>
          <w:sz w:val="24"/>
          <w:szCs w:val="24"/>
        </w:rPr>
        <w:t xml:space="preserve"> og ribben. DMA nedsætter fertiliteten hos han- og hungnavere. En enkelt subkutan dosis på 2,2 g/kg administreret på 4. drægtighedsdag afsluttede drægtigheden hos 100 % af forsøgshamsterne. Hos rotter medførte en døgndosis DMA på 450 mg/kg hos rotter i 9 dage inaktiv </w:t>
      </w:r>
      <w:proofErr w:type="spellStart"/>
      <w:r w:rsidRPr="008B475B">
        <w:rPr>
          <w:sz w:val="24"/>
          <w:szCs w:val="24"/>
        </w:rPr>
        <w:t>spermatogenese</w:t>
      </w:r>
      <w:proofErr w:type="spellEnd"/>
      <w:r>
        <w:rPr>
          <w:sz w:val="24"/>
          <w:szCs w:val="24"/>
        </w:rPr>
        <w:t>.</w:t>
      </w:r>
    </w:p>
    <w:p w14:paraId="2EA4A488" w14:textId="77777777" w:rsidR="0044481D" w:rsidRPr="008B475B" w:rsidRDefault="0044481D" w:rsidP="0044481D">
      <w:pPr>
        <w:ind w:left="851"/>
        <w:rPr>
          <w:sz w:val="24"/>
          <w:szCs w:val="24"/>
        </w:rPr>
      </w:pPr>
    </w:p>
    <w:p w14:paraId="7D48B0BF" w14:textId="77777777" w:rsidR="0044481D" w:rsidRPr="008B475B" w:rsidRDefault="0044481D" w:rsidP="0044481D">
      <w:pPr>
        <w:ind w:left="851" w:hanging="851"/>
        <w:rPr>
          <w:b/>
          <w:sz w:val="24"/>
          <w:szCs w:val="24"/>
        </w:rPr>
      </w:pPr>
      <w:r w:rsidRPr="008B475B">
        <w:rPr>
          <w:b/>
          <w:sz w:val="24"/>
          <w:szCs w:val="24"/>
        </w:rPr>
        <w:t>6.</w:t>
      </w:r>
      <w:r w:rsidRPr="008B475B">
        <w:rPr>
          <w:b/>
          <w:sz w:val="24"/>
          <w:szCs w:val="24"/>
        </w:rPr>
        <w:tab/>
        <w:t>FARMACEUTISKE OPLYSNINGER</w:t>
      </w:r>
    </w:p>
    <w:p w14:paraId="68B18A31" w14:textId="77777777" w:rsidR="0044481D" w:rsidRPr="008B475B" w:rsidRDefault="0044481D" w:rsidP="0044481D">
      <w:pPr>
        <w:ind w:left="851"/>
        <w:rPr>
          <w:sz w:val="24"/>
          <w:szCs w:val="24"/>
        </w:rPr>
      </w:pPr>
    </w:p>
    <w:p w14:paraId="7E0F6EE9" w14:textId="77777777" w:rsidR="0044481D" w:rsidRPr="008B475B" w:rsidRDefault="0044481D" w:rsidP="0044481D">
      <w:pPr>
        <w:ind w:left="851" w:hanging="851"/>
        <w:rPr>
          <w:b/>
          <w:sz w:val="24"/>
          <w:szCs w:val="24"/>
        </w:rPr>
      </w:pPr>
      <w:r w:rsidRPr="008B475B">
        <w:rPr>
          <w:b/>
          <w:sz w:val="24"/>
          <w:szCs w:val="24"/>
        </w:rPr>
        <w:t>6.1</w:t>
      </w:r>
      <w:r w:rsidRPr="008B475B">
        <w:rPr>
          <w:b/>
          <w:sz w:val="24"/>
          <w:szCs w:val="24"/>
        </w:rPr>
        <w:tab/>
        <w:t>Hjælpestoffer</w:t>
      </w:r>
    </w:p>
    <w:p w14:paraId="311EDD2D" w14:textId="77777777" w:rsidR="0044481D" w:rsidRPr="008B475B" w:rsidRDefault="0044481D" w:rsidP="0044481D">
      <w:pPr>
        <w:ind w:left="851"/>
        <w:rPr>
          <w:sz w:val="24"/>
          <w:szCs w:val="24"/>
        </w:rPr>
      </w:pPr>
      <w:proofErr w:type="spellStart"/>
      <w:r w:rsidRPr="008B475B">
        <w:rPr>
          <w:sz w:val="24"/>
          <w:szCs w:val="24"/>
        </w:rPr>
        <w:t>Dimethylacetamid</w:t>
      </w:r>
      <w:proofErr w:type="spellEnd"/>
    </w:p>
    <w:p w14:paraId="0817DCFF" w14:textId="77777777" w:rsidR="0044481D" w:rsidRPr="008B475B" w:rsidRDefault="0044481D" w:rsidP="0044481D">
      <w:pPr>
        <w:ind w:left="851"/>
        <w:rPr>
          <w:sz w:val="24"/>
          <w:szCs w:val="24"/>
        </w:rPr>
      </w:pPr>
      <w:proofErr w:type="spellStart"/>
      <w:r w:rsidRPr="008B475B">
        <w:rPr>
          <w:sz w:val="24"/>
          <w:szCs w:val="24"/>
        </w:rPr>
        <w:t>Macrogol</w:t>
      </w:r>
      <w:proofErr w:type="spellEnd"/>
      <w:r w:rsidRPr="008B475B">
        <w:rPr>
          <w:sz w:val="24"/>
          <w:szCs w:val="24"/>
        </w:rPr>
        <w:t xml:space="preserve"> 400.</w:t>
      </w:r>
    </w:p>
    <w:p w14:paraId="1685C75B" w14:textId="77777777" w:rsidR="0044481D" w:rsidRPr="008B475B" w:rsidRDefault="0044481D" w:rsidP="0044481D">
      <w:pPr>
        <w:ind w:left="851"/>
        <w:rPr>
          <w:sz w:val="24"/>
          <w:szCs w:val="24"/>
        </w:rPr>
      </w:pPr>
    </w:p>
    <w:p w14:paraId="253DA1B0" w14:textId="77777777" w:rsidR="0044481D" w:rsidRPr="008B475B" w:rsidRDefault="0044481D" w:rsidP="0044481D">
      <w:pPr>
        <w:ind w:left="851" w:hanging="851"/>
        <w:rPr>
          <w:b/>
          <w:sz w:val="24"/>
          <w:szCs w:val="24"/>
        </w:rPr>
      </w:pPr>
      <w:r w:rsidRPr="008B475B">
        <w:rPr>
          <w:b/>
          <w:sz w:val="24"/>
          <w:szCs w:val="24"/>
        </w:rPr>
        <w:t>6.2</w:t>
      </w:r>
      <w:r w:rsidRPr="008B475B">
        <w:rPr>
          <w:b/>
          <w:sz w:val="24"/>
          <w:szCs w:val="24"/>
        </w:rPr>
        <w:tab/>
        <w:t>Uforligeligheder</w:t>
      </w:r>
    </w:p>
    <w:p w14:paraId="4870962F" w14:textId="77777777" w:rsidR="0044481D" w:rsidRPr="008B475B" w:rsidRDefault="0044481D" w:rsidP="0044481D">
      <w:pPr>
        <w:suppressAutoHyphens/>
        <w:ind w:left="851"/>
        <w:rPr>
          <w:sz w:val="24"/>
          <w:szCs w:val="24"/>
        </w:rPr>
      </w:pPr>
      <w:r w:rsidRPr="008B475B">
        <w:rPr>
          <w:sz w:val="24"/>
          <w:szCs w:val="24"/>
        </w:rPr>
        <w:t>Da der ikke foreligger studier over eventuelle uforligeligheder, må dette lægemiddel ikke blandes med andre lægemidler end dem, der er anført under pkt. 6.6.</w:t>
      </w:r>
    </w:p>
    <w:p w14:paraId="223E5A39" w14:textId="77777777" w:rsidR="0044481D" w:rsidRPr="008B475B" w:rsidRDefault="0044481D" w:rsidP="0044481D">
      <w:pPr>
        <w:suppressAutoHyphens/>
        <w:ind w:left="851"/>
        <w:rPr>
          <w:sz w:val="24"/>
          <w:szCs w:val="24"/>
        </w:rPr>
      </w:pPr>
    </w:p>
    <w:p w14:paraId="4D180BAE" w14:textId="77777777" w:rsidR="0044481D" w:rsidRPr="008B475B" w:rsidRDefault="0044481D" w:rsidP="0044481D">
      <w:pPr>
        <w:suppressAutoHyphens/>
        <w:ind w:left="851"/>
        <w:rPr>
          <w:b/>
          <w:sz w:val="24"/>
          <w:szCs w:val="24"/>
        </w:rPr>
      </w:pPr>
      <w:r w:rsidRPr="008B475B">
        <w:rPr>
          <w:sz w:val="24"/>
          <w:szCs w:val="24"/>
        </w:rPr>
        <w:t xml:space="preserve">Injektionssprøjter af </w:t>
      </w:r>
      <w:proofErr w:type="spellStart"/>
      <w:r w:rsidRPr="008B475B">
        <w:rPr>
          <w:sz w:val="24"/>
          <w:szCs w:val="24"/>
        </w:rPr>
        <w:t>polycarbonat</w:t>
      </w:r>
      <w:proofErr w:type="spellEnd"/>
      <w:r w:rsidRPr="008B475B">
        <w:rPr>
          <w:sz w:val="24"/>
          <w:szCs w:val="24"/>
        </w:rPr>
        <w:t xml:space="preserve"> må ikke anvendes til </w:t>
      </w:r>
      <w:proofErr w:type="spellStart"/>
      <w:r w:rsidRPr="008B475B">
        <w:rPr>
          <w:sz w:val="24"/>
          <w:szCs w:val="24"/>
        </w:rPr>
        <w:t>busulfan</w:t>
      </w:r>
      <w:proofErr w:type="spellEnd"/>
      <w:r w:rsidRPr="008B475B">
        <w:rPr>
          <w:sz w:val="24"/>
          <w:szCs w:val="24"/>
        </w:rPr>
        <w:t>.</w:t>
      </w:r>
      <w:r w:rsidRPr="008B475B">
        <w:rPr>
          <w:b/>
          <w:sz w:val="24"/>
          <w:szCs w:val="24"/>
        </w:rPr>
        <w:t xml:space="preserve"> </w:t>
      </w:r>
    </w:p>
    <w:p w14:paraId="2E84FD49" w14:textId="77777777" w:rsidR="0044481D" w:rsidRPr="008B475B" w:rsidRDefault="0044481D" w:rsidP="0044481D">
      <w:pPr>
        <w:ind w:left="851"/>
        <w:rPr>
          <w:sz w:val="24"/>
          <w:szCs w:val="24"/>
        </w:rPr>
      </w:pPr>
    </w:p>
    <w:p w14:paraId="3EF5A2A6" w14:textId="77777777" w:rsidR="0044481D" w:rsidRPr="008B475B" w:rsidRDefault="0044481D" w:rsidP="0044481D">
      <w:pPr>
        <w:ind w:left="851" w:hanging="851"/>
        <w:rPr>
          <w:b/>
          <w:sz w:val="24"/>
          <w:szCs w:val="24"/>
        </w:rPr>
      </w:pPr>
      <w:r w:rsidRPr="008B475B">
        <w:rPr>
          <w:b/>
          <w:sz w:val="24"/>
          <w:szCs w:val="24"/>
        </w:rPr>
        <w:t>6.3</w:t>
      </w:r>
      <w:r w:rsidRPr="008B475B">
        <w:rPr>
          <w:b/>
          <w:sz w:val="24"/>
          <w:szCs w:val="24"/>
        </w:rPr>
        <w:tab/>
        <w:t>Opbevaringstid</w:t>
      </w:r>
    </w:p>
    <w:p w14:paraId="706D9EEE" w14:textId="77777777" w:rsidR="0044481D" w:rsidRPr="008B475B" w:rsidRDefault="0044481D" w:rsidP="0044481D">
      <w:pPr>
        <w:ind w:left="851"/>
        <w:rPr>
          <w:sz w:val="24"/>
          <w:szCs w:val="24"/>
        </w:rPr>
      </w:pPr>
      <w:r w:rsidRPr="008B475B">
        <w:rPr>
          <w:sz w:val="24"/>
          <w:szCs w:val="24"/>
        </w:rPr>
        <w:t>Hætteglas: 2 år</w:t>
      </w:r>
    </w:p>
    <w:p w14:paraId="38770E7E" w14:textId="77777777" w:rsidR="0044481D" w:rsidRPr="008B475B" w:rsidRDefault="0044481D" w:rsidP="0044481D">
      <w:pPr>
        <w:ind w:left="851"/>
        <w:rPr>
          <w:sz w:val="24"/>
          <w:szCs w:val="24"/>
        </w:rPr>
      </w:pPr>
    </w:p>
    <w:p w14:paraId="4A73BF54" w14:textId="77777777" w:rsidR="0044481D" w:rsidRPr="008B475B" w:rsidRDefault="0044481D" w:rsidP="0044481D">
      <w:pPr>
        <w:ind w:left="851"/>
        <w:rPr>
          <w:sz w:val="24"/>
          <w:szCs w:val="24"/>
          <w:u w:val="single"/>
        </w:rPr>
      </w:pPr>
      <w:r w:rsidRPr="008B475B">
        <w:rPr>
          <w:sz w:val="24"/>
          <w:szCs w:val="24"/>
          <w:u w:val="single"/>
        </w:rPr>
        <w:t>Fortyndet opløsning:</w:t>
      </w:r>
    </w:p>
    <w:p w14:paraId="557FE543" w14:textId="77777777" w:rsidR="0044481D" w:rsidRPr="008B475B" w:rsidRDefault="0044481D" w:rsidP="0044481D">
      <w:pPr>
        <w:ind w:left="851"/>
        <w:rPr>
          <w:sz w:val="24"/>
          <w:szCs w:val="24"/>
        </w:rPr>
      </w:pPr>
      <w:r w:rsidRPr="008B475B">
        <w:rPr>
          <w:sz w:val="24"/>
          <w:szCs w:val="24"/>
        </w:rPr>
        <w:t xml:space="preserve">Kemisk og fysisk holdbarhed efter fortynding med 5 % isotonisk </w:t>
      </w:r>
      <w:proofErr w:type="spellStart"/>
      <w:r w:rsidRPr="008B475B">
        <w:rPr>
          <w:sz w:val="24"/>
          <w:szCs w:val="24"/>
        </w:rPr>
        <w:t>glucoseinjektionsvæske</w:t>
      </w:r>
      <w:proofErr w:type="spellEnd"/>
      <w:r w:rsidRPr="008B475B">
        <w:rPr>
          <w:sz w:val="24"/>
          <w:szCs w:val="24"/>
        </w:rPr>
        <w:t xml:space="preserve"> eller 9 mg/ml (0,9 %) isotonisk </w:t>
      </w:r>
      <w:proofErr w:type="spellStart"/>
      <w:r w:rsidRPr="008B475B">
        <w:rPr>
          <w:sz w:val="24"/>
          <w:szCs w:val="24"/>
        </w:rPr>
        <w:t>natriumchloridinjektionsvæske</w:t>
      </w:r>
      <w:proofErr w:type="spellEnd"/>
      <w:r w:rsidRPr="008B475B">
        <w:rPr>
          <w:sz w:val="24"/>
          <w:szCs w:val="24"/>
        </w:rPr>
        <w:t xml:space="preserve"> er påvist som følger:</w:t>
      </w:r>
    </w:p>
    <w:p w14:paraId="268B1CD3" w14:textId="77777777" w:rsidR="0044481D" w:rsidRPr="008B475B" w:rsidRDefault="0044481D" w:rsidP="0044481D">
      <w:pPr>
        <w:pStyle w:val="Listeafsnit"/>
        <w:numPr>
          <w:ilvl w:val="0"/>
          <w:numId w:val="7"/>
        </w:numPr>
        <w:ind w:left="1276" w:hanging="425"/>
        <w:rPr>
          <w:spacing w:val="-3"/>
          <w:sz w:val="24"/>
          <w:szCs w:val="24"/>
        </w:rPr>
      </w:pPr>
      <w:r w:rsidRPr="008B475B">
        <w:rPr>
          <w:spacing w:val="-3"/>
          <w:sz w:val="24"/>
          <w:szCs w:val="24"/>
        </w:rPr>
        <w:t>8 timer (inklusive infusionstid) efter fortynding, hvis opbevaring sker ved 20 °C ± 5 °C.</w:t>
      </w:r>
    </w:p>
    <w:p w14:paraId="41DD8A31" w14:textId="77777777" w:rsidR="0044481D" w:rsidRPr="008B475B" w:rsidRDefault="0044481D" w:rsidP="0044481D">
      <w:pPr>
        <w:pStyle w:val="Listeafsnit"/>
        <w:numPr>
          <w:ilvl w:val="0"/>
          <w:numId w:val="7"/>
        </w:numPr>
        <w:ind w:left="1276" w:hanging="425"/>
        <w:rPr>
          <w:spacing w:val="-3"/>
          <w:sz w:val="24"/>
          <w:szCs w:val="24"/>
        </w:rPr>
      </w:pPr>
      <w:r w:rsidRPr="008B475B">
        <w:rPr>
          <w:spacing w:val="-3"/>
          <w:sz w:val="24"/>
          <w:szCs w:val="24"/>
        </w:rPr>
        <w:t>12 timer efter fortynding, hvis opbevaring sker ved 2 °C - 8 °C efterfulgt af 3 timers opbevaring ved 20 °C ± 5 °C (inklusive infusionstid).</w:t>
      </w:r>
    </w:p>
    <w:p w14:paraId="6B0B54D6" w14:textId="77777777" w:rsidR="0044481D" w:rsidRPr="008B475B" w:rsidRDefault="0044481D" w:rsidP="0044481D">
      <w:pPr>
        <w:rPr>
          <w:spacing w:val="-3"/>
          <w:sz w:val="24"/>
          <w:szCs w:val="24"/>
        </w:rPr>
      </w:pPr>
    </w:p>
    <w:p w14:paraId="2CC28A2F" w14:textId="77777777" w:rsidR="0044481D" w:rsidRPr="008B475B" w:rsidRDefault="0044481D" w:rsidP="0044481D">
      <w:pPr>
        <w:ind w:left="851"/>
        <w:rPr>
          <w:spacing w:val="-3"/>
          <w:sz w:val="24"/>
          <w:szCs w:val="24"/>
        </w:rPr>
      </w:pPr>
      <w:r w:rsidRPr="008B475B">
        <w:rPr>
          <w:spacing w:val="-3"/>
          <w:sz w:val="24"/>
          <w:szCs w:val="24"/>
        </w:rPr>
        <w:t>Ud fra et mikrobiologisk synspunkt bør produktet anvendes umiddelbart efter fortynding. Hvis det ikke anvendes umiddelbart, er brugeren ansvarlig for opbevaringstid og -betingelser før brug, som normalt ikke overstiger de ovenfor angivne betingelser, når fortynding har fundet sted under kontrollerede og validerede aseptiske betingelser.</w:t>
      </w:r>
    </w:p>
    <w:p w14:paraId="3E3BEB0A" w14:textId="77777777" w:rsidR="0044481D" w:rsidRPr="008B475B" w:rsidRDefault="0044481D" w:rsidP="0044481D">
      <w:pPr>
        <w:ind w:left="851"/>
        <w:rPr>
          <w:sz w:val="24"/>
          <w:szCs w:val="24"/>
        </w:rPr>
      </w:pPr>
    </w:p>
    <w:p w14:paraId="1BB4C0CB" w14:textId="77777777" w:rsidR="0044481D" w:rsidRPr="008B475B" w:rsidRDefault="0044481D" w:rsidP="0044481D">
      <w:pPr>
        <w:ind w:left="851" w:hanging="851"/>
        <w:rPr>
          <w:b/>
          <w:sz w:val="24"/>
          <w:szCs w:val="24"/>
        </w:rPr>
      </w:pPr>
      <w:r w:rsidRPr="008B475B">
        <w:rPr>
          <w:b/>
          <w:sz w:val="24"/>
          <w:szCs w:val="24"/>
        </w:rPr>
        <w:t>6.4</w:t>
      </w:r>
      <w:r w:rsidRPr="008B475B">
        <w:rPr>
          <w:b/>
          <w:sz w:val="24"/>
          <w:szCs w:val="24"/>
        </w:rPr>
        <w:tab/>
        <w:t>Særlige opbevaringsforhold</w:t>
      </w:r>
    </w:p>
    <w:p w14:paraId="0054DD47" w14:textId="77777777" w:rsidR="0044481D" w:rsidRPr="008B475B" w:rsidRDefault="0044481D" w:rsidP="0044481D">
      <w:pPr>
        <w:ind w:left="851"/>
        <w:rPr>
          <w:noProof/>
          <w:sz w:val="24"/>
          <w:szCs w:val="24"/>
        </w:rPr>
      </w:pPr>
      <w:r w:rsidRPr="008B475B">
        <w:rPr>
          <w:noProof/>
          <w:sz w:val="24"/>
          <w:szCs w:val="24"/>
        </w:rPr>
        <w:t>Opbevares i køleskab (2 °C – 8 °C), Opbevar hætteglas i den ydre karton for at beskytte mod lys.</w:t>
      </w:r>
    </w:p>
    <w:p w14:paraId="52B9A2BE" w14:textId="77777777" w:rsidR="0044481D" w:rsidRPr="008B475B" w:rsidRDefault="0044481D" w:rsidP="0044481D">
      <w:pPr>
        <w:ind w:left="851"/>
        <w:rPr>
          <w:noProof/>
          <w:sz w:val="24"/>
          <w:szCs w:val="24"/>
        </w:rPr>
      </w:pPr>
      <w:r w:rsidRPr="008B475B">
        <w:rPr>
          <w:noProof/>
          <w:sz w:val="24"/>
          <w:szCs w:val="24"/>
        </w:rPr>
        <w:t>Den fortyndede opløsning må ikke nedfryses.</w:t>
      </w:r>
    </w:p>
    <w:p w14:paraId="36A52479" w14:textId="77777777" w:rsidR="0044481D" w:rsidRPr="008B475B" w:rsidRDefault="0044481D" w:rsidP="0044481D">
      <w:pPr>
        <w:ind w:left="851"/>
        <w:rPr>
          <w:noProof/>
          <w:sz w:val="24"/>
          <w:szCs w:val="24"/>
        </w:rPr>
      </w:pPr>
    </w:p>
    <w:p w14:paraId="787508D3" w14:textId="77777777" w:rsidR="0044481D" w:rsidRPr="008B475B" w:rsidRDefault="0044481D" w:rsidP="0044481D">
      <w:pPr>
        <w:ind w:left="851"/>
        <w:rPr>
          <w:noProof/>
          <w:sz w:val="24"/>
          <w:szCs w:val="24"/>
        </w:rPr>
      </w:pPr>
      <w:r w:rsidRPr="008B475B">
        <w:rPr>
          <w:noProof/>
          <w:sz w:val="24"/>
          <w:szCs w:val="24"/>
        </w:rPr>
        <w:t>Opbevaringsforhold efter fortynding af lægemidlet, se pkt. 6.3.</w:t>
      </w:r>
    </w:p>
    <w:p w14:paraId="3CE082CF" w14:textId="77777777" w:rsidR="0044481D" w:rsidRPr="008B475B" w:rsidRDefault="0044481D" w:rsidP="0044481D">
      <w:pPr>
        <w:ind w:left="851"/>
        <w:rPr>
          <w:sz w:val="24"/>
          <w:szCs w:val="24"/>
        </w:rPr>
      </w:pPr>
    </w:p>
    <w:p w14:paraId="0C07184B" w14:textId="77777777" w:rsidR="0044481D" w:rsidRPr="00C84483" w:rsidRDefault="0044481D" w:rsidP="0044481D">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073BA79A" w14:textId="77777777" w:rsidR="0044481D" w:rsidRPr="008B475B" w:rsidRDefault="0044481D" w:rsidP="0044481D">
      <w:pPr>
        <w:suppressAutoHyphens/>
        <w:ind w:left="851"/>
        <w:rPr>
          <w:sz w:val="24"/>
          <w:szCs w:val="24"/>
        </w:rPr>
      </w:pPr>
      <w:r w:rsidRPr="008B475B">
        <w:rPr>
          <w:sz w:val="24"/>
          <w:szCs w:val="24"/>
        </w:rPr>
        <w:t xml:space="preserve">10 ml koncentrat til infusionsopløsning i klart hætteglas (type I-glas) med </w:t>
      </w:r>
      <w:proofErr w:type="spellStart"/>
      <w:r w:rsidRPr="008B475B">
        <w:rPr>
          <w:sz w:val="24"/>
          <w:szCs w:val="24"/>
        </w:rPr>
        <w:t>chlorbutyl</w:t>
      </w:r>
      <w:proofErr w:type="spellEnd"/>
      <w:r w:rsidRPr="008B475B">
        <w:rPr>
          <w:sz w:val="24"/>
          <w:szCs w:val="24"/>
        </w:rPr>
        <w:t xml:space="preserve"> </w:t>
      </w:r>
      <w:proofErr w:type="spellStart"/>
      <w:r w:rsidRPr="008B475B">
        <w:rPr>
          <w:sz w:val="24"/>
          <w:szCs w:val="24"/>
        </w:rPr>
        <w:t>flurotec</w:t>
      </w:r>
      <w:proofErr w:type="spellEnd"/>
      <w:r w:rsidRPr="008B475B">
        <w:rPr>
          <w:sz w:val="24"/>
          <w:szCs w:val="24"/>
        </w:rPr>
        <w:t>-belagt gummiprop, der er dækket af et orange flip-</w:t>
      </w:r>
      <w:proofErr w:type="spellStart"/>
      <w:r w:rsidRPr="008B475B">
        <w:rPr>
          <w:sz w:val="24"/>
          <w:szCs w:val="24"/>
        </w:rPr>
        <w:t>off</w:t>
      </w:r>
      <w:proofErr w:type="spellEnd"/>
      <w:r w:rsidRPr="008B475B">
        <w:rPr>
          <w:sz w:val="24"/>
          <w:szCs w:val="24"/>
        </w:rPr>
        <w:t>-låg af aluminium.</w:t>
      </w:r>
    </w:p>
    <w:p w14:paraId="169974D2" w14:textId="77777777" w:rsidR="0044481D" w:rsidRPr="008B475B" w:rsidRDefault="0044481D" w:rsidP="0044481D">
      <w:pPr>
        <w:suppressAutoHyphens/>
        <w:ind w:left="851"/>
        <w:rPr>
          <w:sz w:val="24"/>
          <w:szCs w:val="24"/>
        </w:rPr>
      </w:pPr>
    </w:p>
    <w:p w14:paraId="182366C5" w14:textId="77777777" w:rsidR="0044481D" w:rsidRPr="008B475B" w:rsidRDefault="0044481D" w:rsidP="0044481D">
      <w:pPr>
        <w:suppressAutoHyphens/>
        <w:ind w:left="851"/>
        <w:rPr>
          <w:sz w:val="24"/>
          <w:szCs w:val="24"/>
        </w:rPr>
      </w:pPr>
      <w:r w:rsidRPr="008B475B">
        <w:rPr>
          <w:sz w:val="24"/>
          <w:szCs w:val="24"/>
        </w:rPr>
        <w:t>Pakningsstørrelser: 1 hætteglas eller 8 hætteglas (multipakning)</w:t>
      </w:r>
    </w:p>
    <w:p w14:paraId="212A5C2D" w14:textId="77777777" w:rsidR="0044481D" w:rsidRPr="008B475B" w:rsidRDefault="0044481D" w:rsidP="0044481D">
      <w:pPr>
        <w:suppressAutoHyphens/>
        <w:ind w:left="851"/>
        <w:rPr>
          <w:sz w:val="24"/>
          <w:szCs w:val="24"/>
        </w:rPr>
      </w:pPr>
    </w:p>
    <w:p w14:paraId="711EDE32" w14:textId="77777777" w:rsidR="0044481D" w:rsidRPr="008B475B" w:rsidRDefault="0044481D" w:rsidP="0044481D">
      <w:pPr>
        <w:suppressAutoHyphens/>
        <w:ind w:left="851"/>
        <w:rPr>
          <w:sz w:val="24"/>
          <w:szCs w:val="24"/>
        </w:rPr>
      </w:pPr>
      <w:r w:rsidRPr="008B475B">
        <w:rPr>
          <w:sz w:val="24"/>
          <w:szCs w:val="24"/>
        </w:rPr>
        <w:t>Ikke alle pakningsstørrelser er nødvendigvis markedsført.</w:t>
      </w:r>
    </w:p>
    <w:p w14:paraId="483F18AD" w14:textId="77777777" w:rsidR="0044481D" w:rsidRPr="008B475B" w:rsidRDefault="0044481D" w:rsidP="0044481D">
      <w:pPr>
        <w:ind w:left="851"/>
        <w:rPr>
          <w:sz w:val="24"/>
          <w:szCs w:val="24"/>
        </w:rPr>
      </w:pPr>
    </w:p>
    <w:p w14:paraId="37A29012" w14:textId="77777777" w:rsidR="0044481D" w:rsidRPr="00C84483" w:rsidRDefault="0044481D" w:rsidP="0044481D">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727DD99A" w14:textId="77777777" w:rsidR="0044481D" w:rsidRPr="008B475B" w:rsidRDefault="0044481D" w:rsidP="0044481D">
      <w:pPr>
        <w:ind w:left="851"/>
        <w:rPr>
          <w:sz w:val="24"/>
          <w:szCs w:val="24"/>
          <w:u w:val="single"/>
        </w:rPr>
      </w:pPr>
    </w:p>
    <w:p w14:paraId="6111EBB2" w14:textId="77777777" w:rsidR="0044481D" w:rsidRPr="008B475B" w:rsidRDefault="0044481D" w:rsidP="0044481D">
      <w:pPr>
        <w:ind w:left="851"/>
        <w:rPr>
          <w:sz w:val="24"/>
          <w:szCs w:val="24"/>
          <w:u w:val="single"/>
        </w:rPr>
      </w:pPr>
      <w:r w:rsidRPr="008B475B">
        <w:rPr>
          <w:sz w:val="24"/>
          <w:szCs w:val="24"/>
          <w:u w:val="single"/>
        </w:rPr>
        <w:t xml:space="preserve">Tilberedning af </w:t>
      </w:r>
      <w:proofErr w:type="spellStart"/>
      <w:r w:rsidRPr="008B475B">
        <w:rPr>
          <w:sz w:val="24"/>
          <w:szCs w:val="24"/>
          <w:u w:val="single"/>
        </w:rPr>
        <w:t>busulfan</w:t>
      </w:r>
      <w:proofErr w:type="spellEnd"/>
    </w:p>
    <w:p w14:paraId="078BE428" w14:textId="77777777" w:rsidR="0044481D" w:rsidRPr="008B475B" w:rsidRDefault="0044481D" w:rsidP="0044481D">
      <w:pPr>
        <w:ind w:left="851"/>
        <w:rPr>
          <w:sz w:val="24"/>
          <w:szCs w:val="24"/>
        </w:rPr>
      </w:pPr>
      <w:r w:rsidRPr="008B475B">
        <w:rPr>
          <w:sz w:val="24"/>
          <w:szCs w:val="24"/>
        </w:rPr>
        <w:t xml:space="preserve">Der bør fastlægges procedurer for korrekt håndtering og bortskaffelse af </w:t>
      </w:r>
      <w:proofErr w:type="spellStart"/>
      <w:r w:rsidRPr="008B475B">
        <w:rPr>
          <w:sz w:val="24"/>
          <w:szCs w:val="24"/>
        </w:rPr>
        <w:t>cytotoksiske</w:t>
      </w:r>
      <w:proofErr w:type="spellEnd"/>
      <w:r w:rsidRPr="008B475B">
        <w:rPr>
          <w:sz w:val="24"/>
          <w:szCs w:val="24"/>
        </w:rPr>
        <w:t xml:space="preserve"> lægemidler.</w:t>
      </w:r>
    </w:p>
    <w:p w14:paraId="1CBC99DE" w14:textId="77777777" w:rsidR="0044481D" w:rsidRPr="008B475B" w:rsidRDefault="0044481D" w:rsidP="0044481D">
      <w:pPr>
        <w:ind w:left="851"/>
        <w:rPr>
          <w:sz w:val="24"/>
          <w:szCs w:val="24"/>
        </w:rPr>
      </w:pPr>
    </w:p>
    <w:p w14:paraId="0A678A21" w14:textId="77777777" w:rsidR="0044481D" w:rsidRPr="008B475B" w:rsidRDefault="0044481D" w:rsidP="0044481D">
      <w:pPr>
        <w:ind w:left="851"/>
        <w:rPr>
          <w:sz w:val="24"/>
          <w:szCs w:val="24"/>
        </w:rPr>
      </w:pPr>
      <w:r w:rsidRPr="008B475B">
        <w:rPr>
          <w:sz w:val="24"/>
          <w:szCs w:val="24"/>
        </w:rPr>
        <w:t>Alle procedurer for overførsel kræver nøje overholdelse af aseptiske forhold, idet overførsel fortrinsvis skal udføres i en vertikal LAF-bænk.</w:t>
      </w:r>
    </w:p>
    <w:p w14:paraId="412ADB78" w14:textId="77777777" w:rsidR="0044481D" w:rsidRPr="008B475B" w:rsidRDefault="0044481D" w:rsidP="0044481D">
      <w:pPr>
        <w:ind w:left="851"/>
        <w:rPr>
          <w:sz w:val="24"/>
          <w:szCs w:val="24"/>
          <w:u w:val="single"/>
        </w:rPr>
      </w:pPr>
    </w:p>
    <w:p w14:paraId="24326F60" w14:textId="77777777" w:rsidR="0044481D" w:rsidRPr="008B475B" w:rsidRDefault="0044481D" w:rsidP="0044481D">
      <w:pPr>
        <w:ind w:left="851"/>
        <w:rPr>
          <w:sz w:val="24"/>
          <w:szCs w:val="24"/>
        </w:rPr>
      </w:pPr>
      <w:r w:rsidRPr="008B475B">
        <w:rPr>
          <w:sz w:val="24"/>
          <w:szCs w:val="24"/>
        </w:rPr>
        <w:t xml:space="preserve">Som for andre </w:t>
      </w:r>
      <w:proofErr w:type="spellStart"/>
      <w:r w:rsidRPr="008B475B">
        <w:rPr>
          <w:sz w:val="24"/>
          <w:szCs w:val="24"/>
        </w:rPr>
        <w:t>cytostatika</w:t>
      </w:r>
      <w:proofErr w:type="spellEnd"/>
      <w:r w:rsidRPr="008B475B">
        <w:rPr>
          <w:sz w:val="24"/>
          <w:szCs w:val="24"/>
        </w:rPr>
        <w:t xml:space="preserve"> skal der udvises forsigtighed ved håndtering og tilberedning af </w:t>
      </w:r>
      <w:proofErr w:type="spellStart"/>
      <w:r w:rsidRPr="008B475B">
        <w:rPr>
          <w:sz w:val="24"/>
          <w:szCs w:val="24"/>
        </w:rPr>
        <w:t>busulfanopløsningen</w:t>
      </w:r>
      <w:proofErr w:type="spellEnd"/>
      <w:r w:rsidRPr="008B475B">
        <w:rPr>
          <w:sz w:val="24"/>
          <w:szCs w:val="24"/>
        </w:rPr>
        <w:t>:</w:t>
      </w:r>
    </w:p>
    <w:p w14:paraId="3DE7751D" w14:textId="77777777" w:rsidR="0044481D" w:rsidRPr="008B475B" w:rsidRDefault="0044481D" w:rsidP="0044481D">
      <w:pPr>
        <w:pStyle w:val="Listeafsnit"/>
        <w:numPr>
          <w:ilvl w:val="0"/>
          <w:numId w:val="6"/>
        </w:numPr>
        <w:ind w:left="1276" w:hanging="425"/>
        <w:rPr>
          <w:sz w:val="24"/>
          <w:szCs w:val="24"/>
        </w:rPr>
      </w:pPr>
      <w:r w:rsidRPr="008B475B">
        <w:rPr>
          <w:sz w:val="24"/>
          <w:szCs w:val="24"/>
        </w:rPr>
        <w:t>Det anbefales at anvende beskyttelseshandsker og -tøj.</w:t>
      </w:r>
    </w:p>
    <w:p w14:paraId="7384BF0F" w14:textId="77777777" w:rsidR="0044481D" w:rsidRPr="008B475B" w:rsidRDefault="0044481D" w:rsidP="0044481D">
      <w:pPr>
        <w:pStyle w:val="Listeafsnit"/>
        <w:numPr>
          <w:ilvl w:val="0"/>
          <w:numId w:val="6"/>
        </w:numPr>
        <w:ind w:left="1276" w:hanging="425"/>
        <w:rPr>
          <w:sz w:val="24"/>
          <w:szCs w:val="24"/>
        </w:rPr>
      </w:pPr>
      <w:r w:rsidRPr="008B475B">
        <w:rPr>
          <w:sz w:val="24"/>
          <w:szCs w:val="24"/>
        </w:rPr>
        <w:t xml:space="preserve">Hvis </w:t>
      </w:r>
      <w:proofErr w:type="spellStart"/>
      <w:r w:rsidRPr="008B475B">
        <w:rPr>
          <w:sz w:val="24"/>
          <w:szCs w:val="24"/>
        </w:rPr>
        <w:t>busulfan</w:t>
      </w:r>
      <w:proofErr w:type="spellEnd"/>
      <w:r w:rsidRPr="008B475B">
        <w:rPr>
          <w:sz w:val="24"/>
          <w:szCs w:val="24"/>
        </w:rPr>
        <w:t xml:space="preserve"> eller den fortyndede </w:t>
      </w:r>
      <w:proofErr w:type="spellStart"/>
      <w:r w:rsidRPr="008B475B">
        <w:rPr>
          <w:sz w:val="24"/>
          <w:szCs w:val="24"/>
        </w:rPr>
        <w:t>busulfan</w:t>
      </w:r>
      <w:proofErr w:type="spellEnd"/>
      <w:r w:rsidRPr="008B475B">
        <w:rPr>
          <w:sz w:val="24"/>
          <w:szCs w:val="24"/>
        </w:rPr>
        <w:t>-opløsning kommer i kontakt med hud eller slimhinder, skal de berørte områder omgående skylles med rigeligt vand.</w:t>
      </w:r>
    </w:p>
    <w:p w14:paraId="46A2A75F" w14:textId="77777777" w:rsidR="0044481D" w:rsidRPr="008B475B" w:rsidRDefault="0044481D" w:rsidP="0044481D">
      <w:pPr>
        <w:ind w:firstLine="720"/>
        <w:rPr>
          <w:sz w:val="24"/>
          <w:szCs w:val="24"/>
        </w:rPr>
      </w:pPr>
    </w:p>
    <w:p w14:paraId="68FBCA57" w14:textId="77777777" w:rsidR="0044481D" w:rsidRPr="008B475B" w:rsidRDefault="0044481D" w:rsidP="0044481D">
      <w:pPr>
        <w:ind w:left="851"/>
        <w:rPr>
          <w:sz w:val="24"/>
          <w:szCs w:val="24"/>
          <w:u w:val="single"/>
        </w:rPr>
      </w:pPr>
      <w:r w:rsidRPr="008B475B">
        <w:rPr>
          <w:sz w:val="24"/>
          <w:szCs w:val="24"/>
          <w:u w:val="single"/>
        </w:rPr>
        <w:t xml:space="preserve">Beregning af mængden af </w:t>
      </w:r>
      <w:proofErr w:type="spellStart"/>
      <w:r w:rsidRPr="008B475B">
        <w:rPr>
          <w:sz w:val="24"/>
          <w:szCs w:val="24"/>
          <w:u w:val="single"/>
        </w:rPr>
        <w:t>busulfan</w:t>
      </w:r>
      <w:proofErr w:type="spellEnd"/>
      <w:r w:rsidRPr="008B475B">
        <w:rPr>
          <w:sz w:val="24"/>
          <w:szCs w:val="24"/>
          <w:u w:val="single"/>
        </w:rPr>
        <w:t>, der skal fortyndes, og af infusionsvæsken</w:t>
      </w:r>
    </w:p>
    <w:p w14:paraId="1E8E5BDA" w14:textId="77777777" w:rsidR="0044481D" w:rsidRPr="008B475B" w:rsidRDefault="0044481D" w:rsidP="0044481D">
      <w:pPr>
        <w:ind w:left="851"/>
        <w:rPr>
          <w:sz w:val="24"/>
          <w:szCs w:val="24"/>
          <w:u w:val="single"/>
        </w:rPr>
      </w:pPr>
    </w:p>
    <w:p w14:paraId="5666716B" w14:textId="77777777" w:rsidR="0044481D" w:rsidRPr="008B475B" w:rsidRDefault="0044481D" w:rsidP="0044481D">
      <w:pPr>
        <w:ind w:left="851"/>
        <w:rPr>
          <w:sz w:val="24"/>
          <w:szCs w:val="24"/>
        </w:rPr>
      </w:pPr>
      <w:proofErr w:type="spellStart"/>
      <w:r w:rsidRPr="008B475B">
        <w:rPr>
          <w:sz w:val="24"/>
          <w:szCs w:val="24"/>
        </w:rPr>
        <w:t>Busulfan</w:t>
      </w:r>
      <w:proofErr w:type="spellEnd"/>
      <w:r w:rsidRPr="008B475B">
        <w:rPr>
          <w:sz w:val="24"/>
          <w:szCs w:val="24"/>
        </w:rPr>
        <w:t xml:space="preserve"> skal fortyndes før brug med enten 9 mg/ml (0,9 %) isotonisk </w:t>
      </w:r>
      <w:proofErr w:type="spellStart"/>
      <w:r w:rsidRPr="008B475B">
        <w:rPr>
          <w:sz w:val="24"/>
          <w:szCs w:val="24"/>
        </w:rPr>
        <w:t>natriumchloridinjektionsvæske</w:t>
      </w:r>
      <w:proofErr w:type="spellEnd"/>
      <w:r w:rsidRPr="008B475B">
        <w:rPr>
          <w:sz w:val="24"/>
          <w:szCs w:val="24"/>
        </w:rPr>
        <w:t xml:space="preserve"> eller 5 % isotonisk </w:t>
      </w:r>
      <w:proofErr w:type="spellStart"/>
      <w:r w:rsidRPr="008B475B">
        <w:rPr>
          <w:sz w:val="24"/>
          <w:szCs w:val="24"/>
        </w:rPr>
        <w:t>glucoseinjektionsvæske</w:t>
      </w:r>
      <w:proofErr w:type="spellEnd"/>
      <w:r w:rsidRPr="008B475B">
        <w:rPr>
          <w:sz w:val="24"/>
          <w:szCs w:val="24"/>
        </w:rPr>
        <w:t>.</w:t>
      </w:r>
    </w:p>
    <w:p w14:paraId="3319EAB1" w14:textId="77777777" w:rsidR="0044481D" w:rsidRPr="008B475B" w:rsidRDefault="0044481D" w:rsidP="0044481D">
      <w:pPr>
        <w:ind w:left="851"/>
        <w:rPr>
          <w:sz w:val="24"/>
          <w:szCs w:val="24"/>
        </w:rPr>
      </w:pPr>
    </w:p>
    <w:p w14:paraId="044D5375" w14:textId="77777777" w:rsidR="0044481D" w:rsidRPr="008B475B" w:rsidRDefault="0044481D" w:rsidP="0044481D">
      <w:pPr>
        <w:ind w:left="851"/>
        <w:rPr>
          <w:sz w:val="24"/>
          <w:szCs w:val="24"/>
        </w:rPr>
      </w:pPr>
      <w:r w:rsidRPr="008B475B">
        <w:rPr>
          <w:sz w:val="24"/>
          <w:szCs w:val="24"/>
        </w:rPr>
        <w:t xml:space="preserve">For at sikre, at den endelige koncentration af </w:t>
      </w:r>
      <w:proofErr w:type="spellStart"/>
      <w:r w:rsidRPr="008B475B">
        <w:rPr>
          <w:sz w:val="24"/>
          <w:szCs w:val="24"/>
        </w:rPr>
        <w:t>busulfan</w:t>
      </w:r>
      <w:proofErr w:type="spellEnd"/>
      <w:r w:rsidRPr="008B475B">
        <w:rPr>
          <w:sz w:val="24"/>
          <w:szCs w:val="24"/>
        </w:rPr>
        <w:t xml:space="preserve"> er ca. 0,5 mg/ml, skal mængden af infusionsvæske være 10 gange volumenet af </w:t>
      </w:r>
      <w:proofErr w:type="spellStart"/>
      <w:r w:rsidRPr="008B475B">
        <w:rPr>
          <w:sz w:val="24"/>
          <w:szCs w:val="24"/>
        </w:rPr>
        <w:t>busulfan</w:t>
      </w:r>
      <w:proofErr w:type="spellEnd"/>
      <w:r w:rsidRPr="008B475B">
        <w:rPr>
          <w:sz w:val="24"/>
          <w:szCs w:val="24"/>
        </w:rPr>
        <w:t>. For eksempel:</w:t>
      </w:r>
    </w:p>
    <w:p w14:paraId="25876A1A" w14:textId="77777777" w:rsidR="0044481D" w:rsidRPr="008B475B" w:rsidRDefault="0044481D" w:rsidP="0044481D">
      <w:pPr>
        <w:ind w:left="851"/>
        <w:rPr>
          <w:sz w:val="24"/>
          <w:szCs w:val="24"/>
        </w:rPr>
      </w:pPr>
    </w:p>
    <w:p w14:paraId="56FE1C92" w14:textId="77777777" w:rsidR="0044481D" w:rsidRPr="008B475B" w:rsidRDefault="0044481D" w:rsidP="0044481D">
      <w:pPr>
        <w:ind w:left="851"/>
        <w:rPr>
          <w:sz w:val="24"/>
          <w:szCs w:val="24"/>
        </w:rPr>
      </w:pPr>
      <w:r w:rsidRPr="008B475B">
        <w:rPr>
          <w:sz w:val="24"/>
          <w:szCs w:val="24"/>
        </w:rPr>
        <w:t xml:space="preserve">Mængden af </w:t>
      </w:r>
      <w:proofErr w:type="spellStart"/>
      <w:r w:rsidRPr="008B475B">
        <w:rPr>
          <w:sz w:val="24"/>
          <w:szCs w:val="24"/>
        </w:rPr>
        <w:t>busulfan</w:t>
      </w:r>
      <w:proofErr w:type="spellEnd"/>
      <w:r w:rsidRPr="008B475B">
        <w:rPr>
          <w:sz w:val="24"/>
          <w:szCs w:val="24"/>
        </w:rPr>
        <w:t xml:space="preserve"> og infusionsvæske til administration beregnes som følger:</w:t>
      </w:r>
    </w:p>
    <w:p w14:paraId="6D9ADE8F" w14:textId="77777777" w:rsidR="0044481D" w:rsidRPr="008B475B" w:rsidRDefault="0044481D" w:rsidP="0044481D">
      <w:pPr>
        <w:ind w:left="851"/>
        <w:rPr>
          <w:sz w:val="24"/>
          <w:szCs w:val="24"/>
        </w:rPr>
      </w:pPr>
      <w:r w:rsidRPr="008B475B">
        <w:rPr>
          <w:sz w:val="24"/>
          <w:szCs w:val="24"/>
        </w:rPr>
        <w:t>Til en patient, der vejer Y kg:</w:t>
      </w:r>
    </w:p>
    <w:p w14:paraId="695905C3" w14:textId="77777777" w:rsidR="0044481D" w:rsidRPr="008B475B" w:rsidRDefault="0044481D" w:rsidP="0044481D">
      <w:pPr>
        <w:ind w:left="851"/>
        <w:rPr>
          <w:sz w:val="24"/>
          <w:szCs w:val="24"/>
        </w:rPr>
      </w:pPr>
    </w:p>
    <w:p w14:paraId="173F06C0" w14:textId="77777777" w:rsidR="0044481D" w:rsidRPr="008B475B" w:rsidRDefault="0044481D" w:rsidP="0044481D">
      <w:pPr>
        <w:pStyle w:val="Listeafsnit"/>
        <w:numPr>
          <w:ilvl w:val="0"/>
          <w:numId w:val="8"/>
        </w:numPr>
        <w:ind w:left="851" w:firstLine="0"/>
        <w:rPr>
          <w:sz w:val="24"/>
          <w:szCs w:val="24"/>
        </w:rPr>
      </w:pPr>
      <w:r w:rsidRPr="008B475B">
        <w:rPr>
          <w:sz w:val="24"/>
          <w:szCs w:val="24"/>
        </w:rPr>
        <w:t xml:space="preserve">Mængde </w:t>
      </w:r>
      <w:proofErr w:type="spellStart"/>
      <w:r w:rsidRPr="008B475B">
        <w:rPr>
          <w:sz w:val="24"/>
          <w:szCs w:val="24"/>
        </w:rPr>
        <w:t>busulfan</w:t>
      </w:r>
      <w:proofErr w:type="spellEnd"/>
      <w:r w:rsidRPr="008B475B">
        <w:rPr>
          <w:sz w:val="24"/>
          <w:szCs w:val="24"/>
        </w:rPr>
        <w:t xml:space="preserve"> </w:t>
      </w:r>
    </w:p>
    <w:p w14:paraId="67F29F5B" w14:textId="77777777" w:rsidR="0044481D" w:rsidRPr="008B475B" w:rsidRDefault="0044481D" w:rsidP="0044481D">
      <w:pPr>
        <w:ind w:left="851"/>
        <w:rPr>
          <w:sz w:val="24"/>
          <w:szCs w:val="24"/>
        </w:rPr>
      </w:pPr>
    </w:p>
    <w:tbl>
      <w:tblPr>
        <w:tblStyle w:val="Tabel-Gitter"/>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32"/>
        <w:gridCol w:w="3733"/>
      </w:tblGrid>
      <w:tr w:rsidR="0044481D" w:rsidRPr="008B475B" w14:paraId="2310EA72" w14:textId="77777777" w:rsidTr="00DD1CFE">
        <w:trPr>
          <w:trHeight w:val="257"/>
        </w:trPr>
        <w:tc>
          <w:tcPr>
            <w:tcW w:w="0" w:type="auto"/>
            <w:tcBorders>
              <w:top w:val="nil"/>
              <w:left w:val="nil"/>
              <w:bottom w:val="single" w:sz="4" w:space="0" w:color="auto"/>
              <w:right w:val="nil"/>
            </w:tcBorders>
            <w:vAlign w:val="center"/>
            <w:hideMark/>
          </w:tcPr>
          <w:p w14:paraId="61D85B52" w14:textId="77777777" w:rsidR="0044481D" w:rsidRPr="008B475B" w:rsidRDefault="0044481D" w:rsidP="00DD1CFE">
            <w:pPr>
              <w:ind w:left="36"/>
              <w:jc w:val="center"/>
              <w:rPr>
                <w:sz w:val="24"/>
                <w:szCs w:val="24"/>
                <w:lang w:val="da-DK"/>
              </w:rPr>
            </w:pPr>
            <w:r w:rsidRPr="008B475B">
              <w:rPr>
                <w:sz w:val="24"/>
                <w:szCs w:val="24"/>
                <w:lang w:val="da-DK" w:eastAsia="en-GB"/>
              </w:rPr>
              <w:t>Y (kg) x D (mg/kg)</w:t>
            </w:r>
          </w:p>
        </w:tc>
        <w:tc>
          <w:tcPr>
            <w:tcW w:w="0" w:type="auto"/>
            <w:vMerge w:val="restart"/>
            <w:vAlign w:val="center"/>
            <w:hideMark/>
          </w:tcPr>
          <w:p w14:paraId="44343CE5" w14:textId="77777777" w:rsidR="0044481D" w:rsidRPr="008B475B" w:rsidRDefault="0044481D" w:rsidP="00DD1CFE">
            <w:pPr>
              <w:ind w:left="108"/>
              <w:jc w:val="center"/>
              <w:rPr>
                <w:sz w:val="24"/>
                <w:szCs w:val="24"/>
                <w:lang w:val="da-DK"/>
              </w:rPr>
            </w:pPr>
            <w:r w:rsidRPr="008B475B">
              <w:rPr>
                <w:sz w:val="24"/>
                <w:szCs w:val="24"/>
                <w:lang w:val="da-DK"/>
              </w:rPr>
              <w:t xml:space="preserve">= A ml </w:t>
            </w:r>
            <w:proofErr w:type="spellStart"/>
            <w:r w:rsidRPr="008B475B">
              <w:rPr>
                <w:sz w:val="24"/>
                <w:szCs w:val="24"/>
                <w:lang w:val="da-DK"/>
              </w:rPr>
              <w:t>busulfan</w:t>
            </w:r>
            <w:proofErr w:type="spellEnd"/>
            <w:r w:rsidRPr="008B475B">
              <w:rPr>
                <w:sz w:val="24"/>
                <w:szCs w:val="24"/>
                <w:lang w:val="da-DK"/>
              </w:rPr>
              <w:t>, der skal fortyndes</w:t>
            </w:r>
          </w:p>
        </w:tc>
      </w:tr>
      <w:tr w:rsidR="0044481D" w:rsidRPr="008B475B" w14:paraId="1803ACB2" w14:textId="77777777" w:rsidTr="00DD1CFE">
        <w:trPr>
          <w:trHeight w:val="257"/>
        </w:trPr>
        <w:tc>
          <w:tcPr>
            <w:tcW w:w="0" w:type="auto"/>
            <w:tcBorders>
              <w:top w:val="single" w:sz="4" w:space="0" w:color="auto"/>
              <w:left w:val="nil"/>
              <w:bottom w:val="nil"/>
              <w:right w:val="nil"/>
            </w:tcBorders>
            <w:vAlign w:val="center"/>
            <w:hideMark/>
          </w:tcPr>
          <w:p w14:paraId="5AFED54E" w14:textId="77777777" w:rsidR="0044481D" w:rsidRPr="008B475B" w:rsidRDefault="0044481D" w:rsidP="00DD1CFE">
            <w:pPr>
              <w:ind w:left="36"/>
              <w:jc w:val="center"/>
              <w:rPr>
                <w:sz w:val="24"/>
                <w:szCs w:val="24"/>
                <w:lang w:val="da-DK"/>
              </w:rPr>
            </w:pPr>
            <w:r w:rsidRPr="008B475B">
              <w:rPr>
                <w:sz w:val="24"/>
                <w:szCs w:val="24"/>
                <w:lang w:val="da-DK" w:eastAsia="en-GB"/>
              </w:rPr>
              <w:t>6 (mg/ml)</w:t>
            </w:r>
          </w:p>
        </w:tc>
        <w:tc>
          <w:tcPr>
            <w:tcW w:w="0" w:type="auto"/>
            <w:vMerge/>
            <w:vAlign w:val="center"/>
            <w:hideMark/>
          </w:tcPr>
          <w:p w14:paraId="7D49EC85" w14:textId="77777777" w:rsidR="0044481D" w:rsidRPr="008B475B" w:rsidRDefault="0044481D" w:rsidP="00DD1CFE">
            <w:pPr>
              <w:ind w:left="851"/>
              <w:rPr>
                <w:sz w:val="24"/>
                <w:szCs w:val="24"/>
                <w:lang w:val="da-DK"/>
              </w:rPr>
            </w:pPr>
          </w:p>
        </w:tc>
      </w:tr>
    </w:tbl>
    <w:p w14:paraId="6004DE3C" w14:textId="77777777" w:rsidR="0044481D" w:rsidRPr="008B475B" w:rsidRDefault="0044481D" w:rsidP="0044481D">
      <w:pPr>
        <w:ind w:left="851"/>
        <w:rPr>
          <w:sz w:val="24"/>
          <w:szCs w:val="24"/>
        </w:rPr>
      </w:pPr>
    </w:p>
    <w:p w14:paraId="35CE9F21" w14:textId="77777777" w:rsidR="0044481D" w:rsidRPr="008B475B" w:rsidRDefault="0044481D" w:rsidP="0044481D">
      <w:pPr>
        <w:ind w:left="851"/>
        <w:rPr>
          <w:sz w:val="24"/>
          <w:szCs w:val="24"/>
        </w:rPr>
      </w:pPr>
      <w:r w:rsidRPr="008B475B">
        <w:rPr>
          <w:sz w:val="24"/>
          <w:szCs w:val="24"/>
        </w:rPr>
        <w:t>Y: patientens legemsvægt i kg</w:t>
      </w:r>
    </w:p>
    <w:p w14:paraId="52BB8E14" w14:textId="77777777" w:rsidR="0044481D" w:rsidRPr="008B475B" w:rsidRDefault="0044481D" w:rsidP="0044481D">
      <w:pPr>
        <w:ind w:left="851"/>
        <w:rPr>
          <w:sz w:val="24"/>
          <w:szCs w:val="24"/>
        </w:rPr>
      </w:pPr>
      <w:r w:rsidRPr="008B475B">
        <w:rPr>
          <w:sz w:val="24"/>
          <w:szCs w:val="24"/>
        </w:rPr>
        <w:t xml:space="preserve">D: </w:t>
      </w:r>
      <w:proofErr w:type="spellStart"/>
      <w:r w:rsidRPr="008B475B">
        <w:rPr>
          <w:sz w:val="24"/>
          <w:szCs w:val="24"/>
        </w:rPr>
        <w:t>Busulfan</w:t>
      </w:r>
      <w:proofErr w:type="spellEnd"/>
      <w:r w:rsidRPr="008B475B">
        <w:rPr>
          <w:sz w:val="24"/>
          <w:szCs w:val="24"/>
        </w:rPr>
        <w:t>-dosis (se pkt.4.2)</w:t>
      </w:r>
    </w:p>
    <w:p w14:paraId="00466DFC" w14:textId="77777777" w:rsidR="0044481D" w:rsidRPr="008B475B" w:rsidRDefault="0044481D" w:rsidP="0044481D">
      <w:pPr>
        <w:ind w:left="851"/>
        <w:rPr>
          <w:sz w:val="24"/>
          <w:szCs w:val="24"/>
        </w:rPr>
      </w:pPr>
    </w:p>
    <w:p w14:paraId="28F6126C" w14:textId="77777777" w:rsidR="0044481D" w:rsidRPr="008B475B" w:rsidRDefault="0044481D" w:rsidP="0044481D">
      <w:pPr>
        <w:pStyle w:val="Listeafsnit"/>
        <w:numPr>
          <w:ilvl w:val="0"/>
          <w:numId w:val="8"/>
        </w:numPr>
        <w:ind w:left="851" w:firstLine="0"/>
        <w:rPr>
          <w:sz w:val="24"/>
          <w:szCs w:val="24"/>
        </w:rPr>
      </w:pPr>
      <w:r w:rsidRPr="008B475B">
        <w:rPr>
          <w:sz w:val="24"/>
          <w:szCs w:val="24"/>
        </w:rPr>
        <w:t>Mængde infusionsvæske:</w:t>
      </w:r>
    </w:p>
    <w:p w14:paraId="032D83B8" w14:textId="77777777" w:rsidR="0044481D" w:rsidRPr="008B475B" w:rsidRDefault="0044481D" w:rsidP="0044481D">
      <w:pPr>
        <w:ind w:left="851"/>
        <w:rPr>
          <w:sz w:val="24"/>
          <w:szCs w:val="24"/>
        </w:rPr>
      </w:pPr>
    </w:p>
    <w:p w14:paraId="0422DA7A" w14:textId="77777777" w:rsidR="0044481D" w:rsidRPr="005A20CF" w:rsidRDefault="0044481D" w:rsidP="0044481D">
      <w:pPr>
        <w:ind w:left="851"/>
        <w:rPr>
          <w:sz w:val="24"/>
          <w:szCs w:val="24"/>
          <w:lang w:val="en-US"/>
        </w:rPr>
      </w:pPr>
      <w:r w:rsidRPr="005A20CF">
        <w:rPr>
          <w:sz w:val="24"/>
          <w:szCs w:val="24"/>
          <w:lang w:val="en-US"/>
        </w:rPr>
        <w:t xml:space="preserve">(A ml busulfan) x (10) = B ml </w:t>
      </w:r>
      <w:proofErr w:type="spellStart"/>
      <w:r w:rsidRPr="005A20CF">
        <w:rPr>
          <w:sz w:val="24"/>
          <w:szCs w:val="24"/>
          <w:lang w:val="en-US"/>
        </w:rPr>
        <w:t>infusionsvæske</w:t>
      </w:r>
      <w:proofErr w:type="spellEnd"/>
    </w:p>
    <w:p w14:paraId="48242961" w14:textId="77777777" w:rsidR="0044481D" w:rsidRPr="005A20CF" w:rsidRDefault="0044481D" w:rsidP="0044481D">
      <w:pPr>
        <w:ind w:left="851"/>
        <w:rPr>
          <w:sz w:val="24"/>
          <w:szCs w:val="24"/>
          <w:lang w:val="en-US"/>
        </w:rPr>
      </w:pPr>
    </w:p>
    <w:p w14:paraId="2E543B68" w14:textId="77777777" w:rsidR="0044481D" w:rsidRPr="008B475B" w:rsidRDefault="0044481D" w:rsidP="0044481D">
      <w:pPr>
        <w:ind w:left="851"/>
        <w:rPr>
          <w:sz w:val="24"/>
          <w:szCs w:val="24"/>
        </w:rPr>
      </w:pPr>
      <w:r w:rsidRPr="008B475B">
        <w:rPr>
          <w:sz w:val="24"/>
          <w:szCs w:val="24"/>
        </w:rPr>
        <w:t xml:space="preserve">Til tilberedning af den endelige infusionsopløsning tilsættes (A) ml </w:t>
      </w:r>
      <w:proofErr w:type="spellStart"/>
      <w:r w:rsidRPr="008B475B">
        <w:rPr>
          <w:sz w:val="24"/>
          <w:szCs w:val="24"/>
        </w:rPr>
        <w:t>busulfan</w:t>
      </w:r>
      <w:proofErr w:type="spellEnd"/>
      <w:r w:rsidRPr="008B475B">
        <w:rPr>
          <w:sz w:val="24"/>
          <w:szCs w:val="24"/>
        </w:rPr>
        <w:t xml:space="preserve"> til (B) ml infusionsvæske (9 mg/ml (0,9 %) isotonisk </w:t>
      </w:r>
      <w:proofErr w:type="spellStart"/>
      <w:r w:rsidRPr="008B475B">
        <w:rPr>
          <w:sz w:val="24"/>
          <w:szCs w:val="24"/>
        </w:rPr>
        <w:t>natriumchloridinjektionsvæske</w:t>
      </w:r>
      <w:proofErr w:type="spellEnd"/>
      <w:r w:rsidRPr="008B475B">
        <w:rPr>
          <w:sz w:val="24"/>
          <w:szCs w:val="24"/>
        </w:rPr>
        <w:t xml:space="preserve"> eller 5 % isotonisk </w:t>
      </w:r>
      <w:proofErr w:type="spellStart"/>
      <w:r w:rsidRPr="008B475B">
        <w:rPr>
          <w:sz w:val="24"/>
          <w:szCs w:val="24"/>
        </w:rPr>
        <w:t>glucoseinjektionsvæske</w:t>
      </w:r>
      <w:proofErr w:type="spellEnd"/>
      <w:r w:rsidRPr="008B475B">
        <w:rPr>
          <w:sz w:val="24"/>
          <w:szCs w:val="24"/>
        </w:rPr>
        <w:t>).</w:t>
      </w:r>
    </w:p>
    <w:p w14:paraId="7077D2C7" w14:textId="77777777" w:rsidR="0044481D" w:rsidRPr="008B475B" w:rsidRDefault="0044481D" w:rsidP="0044481D">
      <w:pPr>
        <w:ind w:left="851"/>
        <w:rPr>
          <w:sz w:val="24"/>
          <w:szCs w:val="24"/>
        </w:rPr>
      </w:pPr>
    </w:p>
    <w:p w14:paraId="3FDE1FDE" w14:textId="77777777" w:rsidR="0044481D" w:rsidRPr="008B475B" w:rsidRDefault="0044481D" w:rsidP="0044481D">
      <w:pPr>
        <w:ind w:left="851"/>
        <w:rPr>
          <w:sz w:val="24"/>
          <w:szCs w:val="24"/>
          <w:u w:val="single"/>
        </w:rPr>
      </w:pPr>
      <w:r w:rsidRPr="008B475B">
        <w:rPr>
          <w:sz w:val="24"/>
          <w:szCs w:val="24"/>
          <w:u w:val="single"/>
        </w:rPr>
        <w:lastRenderedPageBreak/>
        <w:t>Fremstilling af infusionsopløsningen</w:t>
      </w:r>
    </w:p>
    <w:p w14:paraId="47795FFD" w14:textId="77777777" w:rsidR="0044481D" w:rsidRPr="008B475B" w:rsidRDefault="0044481D" w:rsidP="0044481D">
      <w:pPr>
        <w:ind w:left="851"/>
        <w:rPr>
          <w:sz w:val="24"/>
          <w:szCs w:val="24"/>
        </w:rPr>
      </w:pPr>
      <w:proofErr w:type="spellStart"/>
      <w:r w:rsidRPr="008B475B">
        <w:rPr>
          <w:sz w:val="24"/>
          <w:szCs w:val="24"/>
        </w:rPr>
        <w:t>Busulfan</w:t>
      </w:r>
      <w:proofErr w:type="spellEnd"/>
      <w:r w:rsidRPr="008B475B">
        <w:rPr>
          <w:sz w:val="24"/>
          <w:szCs w:val="24"/>
        </w:rPr>
        <w:t xml:space="preserve"> skal tilberedes af sundhedspersonale under anvendelse af steril overførselsmetode. </w:t>
      </w:r>
    </w:p>
    <w:p w14:paraId="16644CAC" w14:textId="77777777" w:rsidR="0044481D" w:rsidRPr="008B475B" w:rsidRDefault="0044481D" w:rsidP="0044481D">
      <w:pPr>
        <w:pStyle w:val="Listeafsnit"/>
        <w:numPr>
          <w:ilvl w:val="0"/>
          <w:numId w:val="8"/>
        </w:numPr>
        <w:ind w:left="1276" w:hanging="425"/>
        <w:rPr>
          <w:sz w:val="24"/>
          <w:szCs w:val="24"/>
        </w:rPr>
      </w:pPr>
      <w:r w:rsidRPr="008B475B">
        <w:rPr>
          <w:sz w:val="24"/>
          <w:szCs w:val="24"/>
        </w:rPr>
        <w:t xml:space="preserve">Der anvendes en sprøjte, der ikke er af </w:t>
      </w:r>
      <w:proofErr w:type="spellStart"/>
      <w:r w:rsidRPr="008B475B">
        <w:rPr>
          <w:sz w:val="24"/>
          <w:szCs w:val="24"/>
        </w:rPr>
        <w:t>polycarbonat</w:t>
      </w:r>
      <w:proofErr w:type="spellEnd"/>
      <w:r w:rsidRPr="008B475B">
        <w:rPr>
          <w:sz w:val="24"/>
          <w:szCs w:val="24"/>
        </w:rPr>
        <w:t>, isat kanyle:</w:t>
      </w:r>
    </w:p>
    <w:p w14:paraId="20DE1B35" w14:textId="77777777" w:rsidR="0044481D" w:rsidRPr="008B475B" w:rsidRDefault="0044481D" w:rsidP="0044481D">
      <w:pPr>
        <w:pStyle w:val="Listeafsnit"/>
        <w:numPr>
          <w:ilvl w:val="0"/>
          <w:numId w:val="9"/>
        </w:numPr>
        <w:ind w:left="1560" w:hanging="284"/>
        <w:rPr>
          <w:sz w:val="24"/>
          <w:szCs w:val="24"/>
        </w:rPr>
      </w:pPr>
      <w:r w:rsidRPr="008B475B">
        <w:rPr>
          <w:sz w:val="24"/>
          <w:szCs w:val="24"/>
        </w:rPr>
        <w:t xml:space="preserve">den beregnede mængde </w:t>
      </w:r>
      <w:proofErr w:type="spellStart"/>
      <w:r w:rsidRPr="008B475B">
        <w:rPr>
          <w:sz w:val="24"/>
          <w:szCs w:val="24"/>
        </w:rPr>
        <w:t>busulfan</w:t>
      </w:r>
      <w:proofErr w:type="spellEnd"/>
      <w:r w:rsidRPr="008B475B">
        <w:rPr>
          <w:sz w:val="24"/>
          <w:szCs w:val="24"/>
        </w:rPr>
        <w:t xml:space="preserve"> tages ud af hætteglasset.</w:t>
      </w:r>
    </w:p>
    <w:p w14:paraId="03C686FD" w14:textId="77777777" w:rsidR="0044481D" w:rsidRPr="008B475B" w:rsidRDefault="0044481D" w:rsidP="0044481D">
      <w:pPr>
        <w:pStyle w:val="Listeafsnit"/>
        <w:numPr>
          <w:ilvl w:val="0"/>
          <w:numId w:val="9"/>
        </w:numPr>
        <w:ind w:left="1560" w:hanging="284"/>
        <w:rPr>
          <w:sz w:val="24"/>
          <w:szCs w:val="24"/>
        </w:rPr>
      </w:pPr>
      <w:r w:rsidRPr="008B475B">
        <w:rPr>
          <w:sz w:val="24"/>
          <w:szCs w:val="24"/>
        </w:rPr>
        <w:t xml:space="preserve">sprøjtens indhold skal overføres til en infusionspose (eller -sprøjte), som allerede indeholder den beregnede mængde af den valgte infusionsvæske. </w:t>
      </w:r>
      <w:proofErr w:type="spellStart"/>
      <w:r w:rsidRPr="008B475B">
        <w:rPr>
          <w:sz w:val="24"/>
          <w:szCs w:val="24"/>
        </w:rPr>
        <w:t>Busulfan</w:t>
      </w:r>
      <w:proofErr w:type="spellEnd"/>
      <w:r w:rsidRPr="008B475B">
        <w:rPr>
          <w:sz w:val="24"/>
          <w:szCs w:val="24"/>
        </w:rPr>
        <w:t xml:space="preserve"> tilsættes altid til infusionsvæsken, ikke infusionsvæsken til </w:t>
      </w:r>
      <w:proofErr w:type="spellStart"/>
      <w:r w:rsidRPr="008B475B">
        <w:rPr>
          <w:sz w:val="24"/>
          <w:szCs w:val="24"/>
        </w:rPr>
        <w:t>busulfan</w:t>
      </w:r>
      <w:proofErr w:type="spellEnd"/>
      <w:r w:rsidRPr="008B475B">
        <w:rPr>
          <w:sz w:val="24"/>
          <w:szCs w:val="24"/>
        </w:rPr>
        <w:t xml:space="preserve">. </w:t>
      </w:r>
      <w:proofErr w:type="spellStart"/>
      <w:r w:rsidRPr="008B475B">
        <w:rPr>
          <w:sz w:val="24"/>
          <w:szCs w:val="24"/>
        </w:rPr>
        <w:t>Busulfan</w:t>
      </w:r>
      <w:proofErr w:type="spellEnd"/>
      <w:r w:rsidRPr="008B475B">
        <w:rPr>
          <w:sz w:val="24"/>
          <w:szCs w:val="24"/>
        </w:rPr>
        <w:t xml:space="preserve"> må ikke overføres til en infusionspose, som ikke indeholder 9 mg/ml (0,9 %) isotonisk </w:t>
      </w:r>
      <w:proofErr w:type="spellStart"/>
      <w:r w:rsidRPr="008B475B">
        <w:rPr>
          <w:sz w:val="24"/>
          <w:szCs w:val="24"/>
        </w:rPr>
        <w:t>atriumchloridinjektionsvæske</w:t>
      </w:r>
      <w:proofErr w:type="spellEnd"/>
      <w:r w:rsidRPr="008B475B">
        <w:rPr>
          <w:sz w:val="24"/>
          <w:szCs w:val="24"/>
        </w:rPr>
        <w:t xml:space="preserve"> eller 5 % isotonisk </w:t>
      </w:r>
      <w:proofErr w:type="spellStart"/>
      <w:r w:rsidRPr="008B475B">
        <w:rPr>
          <w:sz w:val="24"/>
          <w:szCs w:val="24"/>
        </w:rPr>
        <w:t>glucoseinjektionsvæske</w:t>
      </w:r>
      <w:proofErr w:type="spellEnd"/>
      <w:r w:rsidRPr="008B475B">
        <w:rPr>
          <w:sz w:val="24"/>
          <w:szCs w:val="24"/>
        </w:rPr>
        <w:t>.</w:t>
      </w:r>
    </w:p>
    <w:p w14:paraId="72355D5E" w14:textId="77777777" w:rsidR="0044481D" w:rsidRPr="008B475B" w:rsidRDefault="0044481D" w:rsidP="0044481D">
      <w:pPr>
        <w:pStyle w:val="Listeafsnit"/>
        <w:numPr>
          <w:ilvl w:val="0"/>
          <w:numId w:val="8"/>
        </w:numPr>
        <w:ind w:left="1276" w:hanging="425"/>
        <w:rPr>
          <w:sz w:val="24"/>
          <w:szCs w:val="24"/>
        </w:rPr>
      </w:pPr>
      <w:r w:rsidRPr="008B475B">
        <w:rPr>
          <w:sz w:val="24"/>
          <w:szCs w:val="24"/>
        </w:rPr>
        <w:t>Den fortyndede opløsning skal blandes grundigt ved at vende op og ned på posen flere gange.</w:t>
      </w:r>
    </w:p>
    <w:p w14:paraId="044BC79A" w14:textId="77777777" w:rsidR="0044481D" w:rsidRPr="008B475B" w:rsidRDefault="0044481D" w:rsidP="0044481D">
      <w:pPr>
        <w:rPr>
          <w:sz w:val="24"/>
          <w:szCs w:val="24"/>
        </w:rPr>
      </w:pPr>
    </w:p>
    <w:p w14:paraId="6A351A83" w14:textId="77777777" w:rsidR="0044481D" w:rsidRPr="008B475B" w:rsidRDefault="0044481D" w:rsidP="0044481D">
      <w:pPr>
        <w:ind w:left="851"/>
        <w:rPr>
          <w:sz w:val="24"/>
          <w:szCs w:val="24"/>
        </w:rPr>
      </w:pPr>
      <w:r w:rsidRPr="008B475B">
        <w:rPr>
          <w:sz w:val="24"/>
          <w:szCs w:val="24"/>
        </w:rPr>
        <w:t xml:space="preserve">Efter fortynding: 1 ml infusionsopløsning indeholder 0,5 mg </w:t>
      </w:r>
      <w:proofErr w:type="spellStart"/>
      <w:r w:rsidRPr="008B475B">
        <w:rPr>
          <w:sz w:val="24"/>
          <w:szCs w:val="24"/>
        </w:rPr>
        <w:t>busulfan</w:t>
      </w:r>
      <w:proofErr w:type="spellEnd"/>
      <w:r w:rsidRPr="008B475B">
        <w:rPr>
          <w:sz w:val="24"/>
          <w:szCs w:val="24"/>
        </w:rPr>
        <w:t>.</w:t>
      </w:r>
    </w:p>
    <w:p w14:paraId="1246FCF1" w14:textId="77777777" w:rsidR="0044481D" w:rsidRPr="008B475B" w:rsidRDefault="0044481D" w:rsidP="0044481D">
      <w:pPr>
        <w:ind w:left="851"/>
        <w:rPr>
          <w:sz w:val="24"/>
          <w:szCs w:val="24"/>
        </w:rPr>
      </w:pPr>
    </w:p>
    <w:p w14:paraId="48626BDD" w14:textId="77777777" w:rsidR="0044481D" w:rsidRPr="008B475B" w:rsidRDefault="0044481D" w:rsidP="0044481D">
      <w:pPr>
        <w:ind w:left="851"/>
        <w:rPr>
          <w:sz w:val="24"/>
          <w:szCs w:val="24"/>
        </w:rPr>
      </w:pPr>
      <w:r w:rsidRPr="008B475B">
        <w:rPr>
          <w:sz w:val="24"/>
          <w:szCs w:val="24"/>
        </w:rPr>
        <w:t xml:space="preserve">Efter fortynding udgør </w:t>
      </w:r>
      <w:proofErr w:type="spellStart"/>
      <w:r w:rsidRPr="008B475B">
        <w:rPr>
          <w:sz w:val="24"/>
          <w:szCs w:val="24"/>
        </w:rPr>
        <w:t>busulfan</w:t>
      </w:r>
      <w:proofErr w:type="spellEnd"/>
      <w:r w:rsidRPr="008B475B">
        <w:rPr>
          <w:sz w:val="24"/>
          <w:szCs w:val="24"/>
        </w:rPr>
        <w:t xml:space="preserve"> en klar, farveløs opløsning.</w:t>
      </w:r>
    </w:p>
    <w:p w14:paraId="02D0CD9D" w14:textId="77777777" w:rsidR="0044481D" w:rsidRPr="008B475B" w:rsidRDefault="0044481D" w:rsidP="0044481D">
      <w:pPr>
        <w:ind w:left="851"/>
        <w:rPr>
          <w:sz w:val="24"/>
          <w:szCs w:val="24"/>
        </w:rPr>
      </w:pPr>
    </w:p>
    <w:p w14:paraId="1F6CA8B9" w14:textId="77777777" w:rsidR="0044481D" w:rsidRPr="008B475B" w:rsidRDefault="0044481D" w:rsidP="0044481D">
      <w:pPr>
        <w:ind w:left="851"/>
        <w:rPr>
          <w:i/>
          <w:sz w:val="24"/>
          <w:szCs w:val="24"/>
          <w:u w:val="single"/>
        </w:rPr>
      </w:pPr>
      <w:r w:rsidRPr="008B475B">
        <w:rPr>
          <w:i/>
          <w:sz w:val="24"/>
          <w:szCs w:val="24"/>
          <w:u w:val="single"/>
        </w:rPr>
        <w:t>Vejledning i brug</w:t>
      </w:r>
    </w:p>
    <w:p w14:paraId="26918CE4" w14:textId="77777777" w:rsidR="0044481D" w:rsidRPr="008B475B" w:rsidRDefault="0044481D" w:rsidP="0044481D">
      <w:pPr>
        <w:ind w:left="851"/>
        <w:rPr>
          <w:sz w:val="24"/>
          <w:szCs w:val="24"/>
        </w:rPr>
      </w:pPr>
      <w:r w:rsidRPr="008B475B">
        <w:rPr>
          <w:sz w:val="24"/>
          <w:szCs w:val="24"/>
        </w:rPr>
        <w:t xml:space="preserve">Før og efter hver infusion gennemskylles det indlagte kateter og slange med ca. 5 ml 9 mg/ml (0,9 %) isotonisk </w:t>
      </w:r>
      <w:proofErr w:type="spellStart"/>
      <w:r w:rsidRPr="008B475B">
        <w:rPr>
          <w:sz w:val="24"/>
          <w:szCs w:val="24"/>
        </w:rPr>
        <w:t>natriumchloridinjektionsvæske</w:t>
      </w:r>
      <w:proofErr w:type="spellEnd"/>
      <w:r w:rsidRPr="008B475B">
        <w:rPr>
          <w:sz w:val="24"/>
          <w:szCs w:val="24"/>
        </w:rPr>
        <w:t xml:space="preserve"> eller 5 % isotonisk </w:t>
      </w:r>
      <w:proofErr w:type="spellStart"/>
      <w:r w:rsidRPr="008B475B">
        <w:rPr>
          <w:sz w:val="24"/>
          <w:szCs w:val="24"/>
        </w:rPr>
        <w:t>glucoseinjektionsvæske</w:t>
      </w:r>
      <w:proofErr w:type="spellEnd"/>
      <w:r w:rsidRPr="008B475B">
        <w:rPr>
          <w:sz w:val="24"/>
          <w:szCs w:val="24"/>
        </w:rPr>
        <w:t>.</w:t>
      </w:r>
    </w:p>
    <w:p w14:paraId="38D6BC7A" w14:textId="77777777" w:rsidR="0044481D" w:rsidRPr="008B475B" w:rsidRDefault="0044481D" w:rsidP="0044481D">
      <w:pPr>
        <w:ind w:left="851"/>
        <w:rPr>
          <w:sz w:val="24"/>
          <w:szCs w:val="24"/>
        </w:rPr>
      </w:pPr>
    </w:p>
    <w:p w14:paraId="21097042" w14:textId="77777777" w:rsidR="0044481D" w:rsidRPr="008B475B" w:rsidRDefault="0044481D" w:rsidP="0044481D">
      <w:pPr>
        <w:ind w:left="851"/>
        <w:rPr>
          <w:sz w:val="24"/>
          <w:szCs w:val="24"/>
        </w:rPr>
      </w:pPr>
      <w:r w:rsidRPr="008B475B">
        <w:rPr>
          <w:sz w:val="24"/>
          <w:szCs w:val="24"/>
        </w:rPr>
        <w:t xml:space="preserve">Evt. lægemiddelrest i droppet må ikke skylles ind i venen, da hurtig infusion af </w:t>
      </w:r>
      <w:proofErr w:type="spellStart"/>
      <w:r w:rsidRPr="008B475B">
        <w:rPr>
          <w:sz w:val="24"/>
          <w:szCs w:val="24"/>
        </w:rPr>
        <w:t>busulfan</w:t>
      </w:r>
      <w:proofErr w:type="spellEnd"/>
      <w:r w:rsidRPr="008B475B">
        <w:rPr>
          <w:sz w:val="24"/>
          <w:szCs w:val="24"/>
        </w:rPr>
        <w:t xml:space="preserve"> ikke er afprøvet og derfor ikke anbefales.</w:t>
      </w:r>
    </w:p>
    <w:p w14:paraId="022468F3" w14:textId="77777777" w:rsidR="0044481D" w:rsidRPr="008B475B" w:rsidRDefault="0044481D" w:rsidP="0044481D">
      <w:pPr>
        <w:ind w:left="851"/>
        <w:rPr>
          <w:sz w:val="24"/>
          <w:szCs w:val="24"/>
        </w:rPr>
      </w:pPr>
    </w:p>
    <w:p w14:paraId="49DAE501" w14:textId="77777777" w:rsidR="0044481D" w:rsidRPr="008B475B" w:rsidRDefault="0044481D" w:rsidP="0044481D">
      <w:pPr>
        <w:ind w:left="851"/>
        <w:rPr>
          <w:sz w:val="24"/>
          <w:szCs w:val="24"/>
        </w:rPr>
      </w:pPr>
      <w:r w:rsidRPr="008B475B">
        <w:rPr>
          <w:sz w:val="24"/>
          <w:szCs w:val="24"/>
        </w:rPr>
        <w:t xml:space="preserve">Hele den ordinerede </w:t>
      </w:r>
      <w:proofErr w:type="spellStart"/>
      <w:r w:rsidRPr="008B475B">
        <w:rPr>
          <w:sz w:val="24"/>
          <w:szCs w:val="24"/>
        </w:rPr>
        <w:t>busulfan</w:t>
      </w:r>
      <w:proofErr w:type="spellEnd"/>
      <w:r w:rsidRPr="008B475B">
        <w:rPr>
          <w:sz w:val="24"/>
          <w:szCs w:val="24"/>
        </w:rPr>
        <w:t>-dosis skal indgives i løbet af 2 eller 3 timer, afhængigt af det konditionerende regime.</w:t>
      </w:r>
    </w:p>
    <w:p w14:paraId="6D903014" w14:textId="77777777" w:rsidR="0044481D" w:rsidRPr="008B475B" w:rsidRDefault="0044481D" w:rsidP="0044481D">
      <w:pPr>
        <w:ind w:left="851"/>
        <w:rPr>
          <w:sz w:val="24"/>
          <w:szCs w:val="24"/>
        </w:rPr>
      </w:pPr>
    </w:p>
    <w:p w14:paraId="4F916281" w14:textId="77777777" w:rsidR="0044481D" w:rsidRPr="008B475B" w:rsidRDefault="0044481D" w:rsidP="0044481D">
      <w:pPr>
        <w:ind w:left="851"/>
        <w:rPr>
          <w:sz w:val="24"/>
          <w:szCs w:val="24"/>
        </w:rPr>
      </w:pPr>
      <w:r w:rsidRPr="008B475B">
        <w:rPr>
          <w:sz w:val="24"/>
          <w:szCs w:val="24"/>
        </w:rPr>
        <w:t xml:space="preserve">Små mængder kan administreres i løbet af 2 timer med anvendelse af elektriske sprøjter. I det tilfælde skal der anvendes infusionssæt med minimal volumen (dvs. 0,3-0,6 ml), som primes med lægemiddelopløsningen, inden den egentlige infusion med </w:t>
      </w:r>
      <w:proofErr w:type="spellStart"/>
      <w:r w:rsidRPr="008B475B">
        <w:rPr>
          <w:sz w:val="24"/>
          <w:szCs w:val="24"/>
        </w:rPr>
        <w:t>busulfan</w:t>
      </w:r>
      <w:proofErr w:type="spellEnd"/>
      <w:r w:rsidRPr="008B475B">
        <w:rPr>
          <w:sz w:val="24"/>
          <w:szCs w:val="24"/>
        </w:rPr>
        <w:t xml:space="preserve"> iværksættes, og derefter skylles med 9 mg/ml (0,9 %) isotonisk </w:t>
      </w:r>
      <w:proofErr w:type="spellStart"/>
      <w:r w:rsidRPr="008B475B">
        <w:rPr>
          <w:sz w:val="24"/>
          <w:szCs w:val="24"/>
        </w:rPr>
        <w:t>natriumchlorid</w:t>
      </w:r>
      <w:r w:rsidRPr="008B475B">
        <w:rPr>
          <w:sz w:val="24"/>
          <w:szCs w:val="24"/>
        </w:rPr>
        <w:softHyphen/>
        <w:t>injektionsvæske</w:t>
      </w:r>
      <w:proofErr w:type="spellEnd"/>
      <w:r w:rsidRPr="008B475B">
        <w:rPr>
          <w:sz w:val="24"/>
          <w:szCs w:val="24"/>
        </w:rPr>
        <w:t xml:space="preserve"> eller 5 % isotonisk </w:t>
      </w:r>
      <w:proofErr w:type="spellStart"/>
      <w:r w:rsidRPr="008B475B">
        <w:rPr>
          <w:sz w:val="24"/>
          <w:szCs w:val="24"/>
        </w:rPr>
        <w:t>glucoseinjektionsvæske</w:t>
      </w:r>
      <w:proofErr w:type="spellEnd"/>
      <w:r w:rsidRPr="008B475B">
        <w:rPr>
          <w:sz w:val="24"/>
          <w:szCs w:val="24"/>
        </w:rPr>
        <w:t>.</w:t>
      </w:r>
    </w:p>
    <w:p w14:paraId="177CD6CB" w14:textId="77777777" w:rsidR="0044481D" w:rsidRPr="008B475B" w:rsidRDefault="0044481D" w:rsidP="0044481D">
      <w:pPr>
        <w:ind w:left="851"/>
        <w:rPr>
          <w:sz w:val="24"/>
          <w:szCs w:val="24"/>
        </w:rPr>
      </w:pPr>
    </w:p>
    <w:p w14:paraId="2B48DAC0" w14:textId="77777777" w:rsidR="0044481D" w:rsidRPr="008B475B" w:rsidRDefault="0044481D" w:rsidP="0044481D">
      <w:pPr>
        <w:ind w:left="851"/>
        <w:rPr>
          <w:sz w:val="24"/>
          <w:szCs w:val="24"/>
        </w:rPr>
      </w:pPr>
      <w:proofErr w:type="spellStart"/>
      <w:r w:rsidRPr="008B475B">
        <w:rPr>
          <w:sz w:val="24"/>
          <w:szCs w:val="24"/>
        </w:rPr>
        <w:t>Busulfan</w:t>
      </w:r>
      <w:proofErr w:type="spellEnd"/>
      <w:r w:rsidRPr="008B475B">
        <w:rPr>
          <w:sz w:val="24"/>
          <w:szCs w:val="24"/>
        </w:rPr>
        <w:t xml:space="preserve"> må ikke </w:t>
      </w:r>
      <w:proofErr w:type="spellStart"/>
      <w:r w:rsidRPr="008B475B">
        <w:rPr>
          <w:sz w:val="24"/>
          <w:szCs w:val="24"/>
        </w:rPr>
        <w:t>infunderes</w:t>
      </w:r>
      <w:proofErr w:type="spellEnd"/>
      <w:r w:rsidRPr="008B475B">
        <w:rPr>
          <w:sz w:val="24"/>
          <w:szCs w:val="24"/>
        </w:rPr>
        <w:t xml:space="preserve"> samtidig med en anden intravenøs opløsning.</w:t>
      </w:r>
    </w:p>
    <w:p w14:paraId="24FCC9A6" w14:textId="77777777" w:rsidR="0044481D" w:rsidRPr="008B475B" w:rsidRDefault="0044481D" w:rsidP="0044481D">
      <w:pPr>
        <w:ind w:left="851"/>
        <w:rPr>
          <w:sz w:val="24"/>
          <w:szCs w:val="24"/>
        </w:rPr>
      </w:pPr>
      <w:r w:rsidRPr="008B475B">
        <w:rPr>
          <w:sz w:val="24"/>
          <w:szCs w:val="24"/>
        </w:rPr>
        <w:t xml:space="preserve">Injektionssprøjter af </w:t>
      </w:r>
      <w:proofErr w:type="spellStart"/>
      <w:r w:rsidRPr="008B475B">
        <w:rPr>
          <w:sz w:val="24"/>
          <w:szCs w:val="24"/>
        </w:rPr>
        <w:t>polycarbonat</w:t>
      </w:r>
      <w:proofErr w:type="spellEnd"/>
      <w:r w:rsidRPr="008B475B">
        <w:rPr>
          <w:sz w:val="24"/>
          <w:szCs w:val="24"/>
        </w:rPr>
        <w:t xml:space="preserve"> må ikke anvendes til </w:t>
      </w:r>
      <w:proofErr w:type="spellStart"/>
      <w:r w:rsidRPr="008B475B">
        <w:rPr>
          <w:sz w:val="24"/>
          <w:szCs w:val="24"/>
        </w:rPr>
        <w:t>busulfan</w:t>
      </w:r>
      <w:proofErr w:type="spellEnd"/>
      <w:r w:rsidRPr="008B475B">
        <w:rPr>
          <w:sz w:val="24"/>
          <w:szCs w:val="24"/>
        </w:rPr>
        <w:t>.</w:t>
      </w:r>
    </w:p>
    <w:p w14:paraId="10D0AD3D" w14:textId="77777777" w:rsidR="0044481D" w:rsidRPr="008B475B" w:rsidRDefault="0044481D" w:rsidP="0044481D">
      <w:pPr>
        <w:ind w:left="851"/>
        <w:rPr>
          <w:sz w:val="24"/>
          <w:szCs w:val="24"/>
        </w:rPr>
      </w:pPr>
    </w:p>
    <w:p w14:paraId="3092BF06" w14:textId="77777777" w:rsidR="0044481D" w:rsidRPr="008B475B" w:rsidRDefault="0044481D" w:rsidP="0044481D">
      <w:pPr>
        <w:ind w:left="851"/>
        <w:rPr>
          <w:sz w:val="24"/>
          <w:szCs w:val="24"/>
        </w:rPr>
      </w:pPr>
      <w:r w:rsidRPr="008B475B">
        <w:rPr>
          <w:sz w:val="24"/>
          <w:szCs w:val="24"/>
        </w:rPr>
        <w:t>Kun til engangsbrug. Opløsningen skal være klar og uden partikelindhold.</w:t>
      </w:r>
    </w:p>
    <w:p w14:paraId="08B7160F" w14:textId="77777777" w:rsidR="0044481D" w:rsidRPr="008B475B" w:rsidRDefault="0044481D" w:rsidP="0044481D">
      <w:pPr>
        <w:ind w:left="851"/>
        <w:rPr>
          <w:sz w:val="24"/>
          <w:szCs w:val="24"/>
        </w:rPr>
      </w:pPr>
    </w:p>
    <w:p w14:paraId="72D5FEDC" w14:textId="77777777" w:rsidR="0044481D" w:rsidRPr="008B475B" w:rsidRDefault="0044481D" w:rsidP="0044481D">
      <w:pPr>
        <w:ind w:left="851"/>
        <w:rPr>
          <w:sz w:val="24"/>
          <w:szCs w:val="24"/>
        </w:rPr>
      </w:pPr>
      <w:r w:rsidRPr="008B475B">
        <w:rPr>
          <w:sz w:val="24"/>
          <w:szCs w:val="24"/>
        </w:rPr>
        <w:t xml:space="preserve">Ikke anvendt lægemiddel samt affald heraf skal bortskaffes i henhold til lokale retningslinjer for </w:t>
      </w:r>
      <w:proofErr w:type="spellStart"/>
      <w:r w:rsidRPr="008B475B">
        <w:rPr>
          <w:sz w:val="24"/>
          <w:szCs w:val="24"/>
        </w:rPr>
        <w:t>cytotoksiske</w:t>
      </w:r>
      <w:proofErr w:type="spellEnd"/>
      <w:r w:rsidRPr="008B475B">
        <w:rPr>
          <w:sz w:val="24"/>
          <w:szCs w:val="24"/>
        </w:rPr>
        <w:t xml:space="preserve"> lægemidler.</w:t>
      </w:r>
    </w:p>
    <w:p w14:paraId="169F2DB8" w14:textId="77777777" w:rsidR="0044481D" w:rsidRPr="008B475B" w:rsidRDefault="0044481D" w:rsidP="0044481D">
      <w:pPr>
        <w:ind w:left="851"/>
        <w:jc w:val="both"/>
        <w:rPr>
          <w:sz w:val="24"/>
          <w:szCs w:val="24"/>
        </w:rPr>
      </w:pPr>
    </w:p>
    <w:p w14:paraId="73A99F9E" w14:textId="77777777" w:rsidR="0044481D" w:rsidRPr="008B475B" w:rsidRDefault="0044481D" w:rsidP="0044481D">
      <w:pPr>
        <w:ind w:left="851" w:hanging="851"/>
        <w:rPr>
          <w:b/>
          <w:sz w:val="24"/>
          <w:szCs w:val="24"/>
        </w:rPr>
      </w:pPr>
      <w:r w:rsidRPr="008B475B">
        <w:rPr>
          <w:b/>
          <w:sz w:val="24"/>
          <w:szCs w:val="24"/>
        </w:rPr>
        <w:t>7.</w:t>
      </w:r>
      <w:r w:rsidRPr="008B475B">
        <w:rPr>
          <w:b/>
          <w:sz w:val="24"/>
          <w:szCs w:val="24"/>
        </w:rPr>
        <w:tab/>
        <w:t>INDEHAVER AF MARKEDSFØRINGSTILLADELSEN</w:t>
      </w:r>
    </w:p>
    <w:p w14:paraId="4D5D5DF1" w14:textId="77777777" w:rsidR="0044481D" w:rsidRPr="00D33BAE" w:rsidRDefault="0044481D" w:rsidP="0044481D">
      <w:pPr>
        <w:numPr>
          <w:ilvl w:val="12"/>
          <w:numId w:val="0"/>
        </w:numPr>
        <w:ind w:left="851" w:right="-2"/>
        <w:rPr>
          <w:sz w:val="24"/>
          <w:szCs w:val="24"/>
        </w:rPr>
      </w:pPr>
      <w:proofErr w:type="spellStart"/>
      <w:r w:rsidRPr="00D33BAE">
        <w:rPr>
          <w:sz w:val="24"/>
          <w:szCs w:val="24"/>
        </w:rPr>
        <w:t>Zentiva</w:t>
      </w:r>
      <w:proofErr w:type="spellEnd"/>
      <w:r w:rsidRPr="00D33BAE">
        <w:rPr>
          <w:sz w:val="24"/>
          <w:szCs w:val="24"/>
        </w:rPr>
        <w:t xml:space="preserve">, </w:t>
      </w:r>
      <w:proofErr w:type="spellStart"/>
      <w:r w:rsidRPr="00D33BAE">
        <w:rPr>
          <w:sz w:val="24"/>
          <w:szCs w:val="24"/>
        </w:rPr>
        <w:t>k.s</w:t>
      </w:r>
      <w:proofErr w:type="spellEnd"/>
      <w:r w:rsidRPr="00D33BAE">
        <w:rPr>
          <w:sz w:val="24"/>
          <w:szCs w:val="24"/>
        </w:rPr>
        <w:t>.</w:t>
      </w:r>
    </w:p>
    <w:p w14:paraId="11E9D5F9" w14:textId="77777777" w:rsidR="0044481D" w:rsidRPr="002F7A21" w:rsidRDefault="0044481D" w:rsidP="0044481D">
      <w:pPr>
        <w:numPr>
          <w:ilvl w:val="12"/>
          <w:numId w:val="0"/>
        </w:numPr>
        <w:ind w:left="851" w:right="-2"/>
        <w:rPr>
          <w:sz w:val="24"/>
          <w:szCs w:val="24"/>
          <w:lang w:val="en-US"/>
        </w:rPr>
      </w:pPr>
      <w:r w:rsidRPr="002F7A21">
        <w:rPr>
          <w:sz w:val="24"/>
          <w:szCs w:val="24"/>
          <w:lang w:val="en-US"/>
        </w:rPr>
        <w:t xml:space="preserve">U </w:t>
      </w:r>
      <w:proofErr w:type="spellStart"/>
      <w:r w:rsidRPr="002F7A21">
        <w:rPr>
          <w:sz w:val="24"/>
          <w:szCs w:val="24"/>
          <w:lang w:val="en-US"/>
        </w:rPr>
        <w:t>kabelovny</w:t>
      </w:r>
      <w:proofErr w:type="spellEnd"/>
      <w:r w:rsidRPr="002F7A21">
        <w:rPr>
          <w:sz w:val="24"/>
          <w:szCs w:val="24"/>
          <w:lang w:val="en-US"/>
        </w:rPr>
        <w:t xml:space="preserve"> 130</w:t>
      </w:r>
    </w:p>
    <w:p w14:paraId="52C268C1" w14:textId="77777777" w:rsidR="0044481D" w:rsidRPr="002F7A21" w:rsidRDefault="0044481D" w:rsidP="0044481D">
      <w:pPr>
        <w:numPr>
          <w:ilvl w:val="12"/>
          <w:numId w:val="0"/>
        </w:numPr>
        <w:ind w:left="851" w:right="-2"/>
        <w:rPr>
          <w:sz w:val="24"/>
          <w:szCs w:val="24"/>
          <w:lang w:val="en-US"/>
        </w:rPr>
      </w:pPr>
      <w:proofErr w:type="spellStart"/>
      <w:r w:rsidRPr="002F7A21">
        <w:rPr>
          <w:sz w:val="24"/>
          <w:szCs w:val="24"/>
          <w:lang w:val="en-US"/>
        </w:rPr>
        <w:t>Dolní</w:t>
      </w:r>
      <w:proofErr w:type="spellEnd"/>
      <w:r w:rsidRPr="002F7A21">
        <w:rPr>
          <w:sz w:val="24"/>
          <w:szCs w:val="24"/>
          <w:lang w:val="en-US"/>
        </w:rPr>
        <w:t xml:space="preserve"> </w:t>
      </w:r>
      <w:proofErr w:type="spellStart"/>
      <w:r w:rsidRPr="002F7A21">
        <w:rPr>
          <w:sz w:val="24"/>
          <w:szCs w:val="24"/>
          <w:lang w:val="en-US"/>
        </w:rPr>
        <w:t>Měcholupy</w:t>
      </w:r>
      <w:proofErr w:type="spellEnd"/>
    </w:p>
    <w:p w14:paraId="07398FE7" w14:textId="77777777" w:rsidR="0044481D" w:rsidRPr="00D33BAE" w:rsidRDefault="0044481D" w:rsidP="0044481D">
      <w:pPr>
        <w:numPr>
          <w:ilvl w:val="12"/>
          <w:numId w:val="0"/>
        </w:numPr>
        <w:ind w:left="851" w:right="-2"/>
        <w:rPr>
          <w:sz w:val="24"/>
          <w:szCs w:val="24"/>
          <w:lang w:val="pl-PL"/>
        </w:rPr>
      </w:pPr>
      <w:r w:rsidRPr="00D33BAE">
        <w:rPr>
          <w:sz w:val="24"/>
          <w:szCs w:val="24"/>
          <w:lang w:val="pl-PL"/>
        </w:rPr>
        <w:t>102 37 Prague 10</w:t>
      </w:r>
    </w:p>
    <w:p w14:paraId="465257F3" w14:textId="77777777" w:rsidR="0044481D" w:rsidRPr="00D33BAE" w:rsidRDefault="0044481D" w:rsidP="0044481D">
      <w:pPr>
        <w:numPr>
          <w:ilvl w:val="12"/>
          <w:numId w:val="0"/>
        </w:numPr>
        <w:ind w:left="851" w:right="-2"/>
        <w:rPr>
          <w:sz w:val="24"/>
          <w:szCs w:val="24"/>
          <w:lang w:val="pl-PL"/>
        </w:rPr>
      </w:pPr>
      <w:r w:rsidRPr="00D33BAE">
        <w:rPr>
          <w:sz w:val="24"/>
          <w:szCs w:val="24"/>
          <w:lang w:val="pl-PL"/>
        </w:rPr>
        <w:t>Tjekkiet</w:t>
      </w:r>
    </w:p>
    <w:p w14:paraId="6004E69C" w14:textId="77777777" w:rsidR="0044481D" w:rsidRPr="008B475B" w:rsidRDefault="0044481D" w:rsidP="0044481D">
      <w:pPr>
        <w:ind w:left="851"/>
        <w:rPr>
          <w:sz w:val="24"/>
          <w:szCs w:val="24"/>
        </w:rPr>
      </w:pPr>
    </w:p>
    <w:p w14:paraId="370FC6A3" w14:textId="77777777" w:rsidR="0044481D" w:rsidRPr="00C84483" w:rsidRDefault="0044481D" w:rsidP="0044481D">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73443E7E" w14:textId="77777777" w:rsidR="0044481D" w:rsidRPr="008B475B" w:rsidRDefault="0044481D" w:rsidP="0044481D">
      <w:pPr>
        <w:ind w:left="851"/>
        <w:rPr>
          <w:sz w:val="24"/>
          <w:szCs w:val="24"/>
        </w:rPr>
      </w:pPr>
      <w:r w:rsidRPr="008B475B">
        <w:rPr>
          <w:sz w:val="24"/>
          <w:szCs w:val="24"/>
        </w:rPr>
        <w:t>60691</w:t>
      </w:r>
    </w:p>
    <w:p w14:paraId="1C1E5B77" w14:textId="77777777" w:rsidR="0044481D" w:rsidRPr="008B475B" w:rsidRDefault="0044481D" w:rsidP="0044481D">
      <w:pPr>
        <w:ind w:left="851"/>
        <w:jc w:val="both"/>
        <w:rPr>
          <w:sz w:val="24"/>
          <w:szCs w:val="24"/>
        </w:rPr>
      </w:pPr>
    </w:p>
    <w:p w14:paraId="53A7A917" w14:textId="77777777" w:rsidR="0044481D" w:rsidRPr="008B475B" w:rsidRDefault="0044481D" w:rsidP="0044481D">
      <w:pPr>
        <w:ind w:left="851" w:hanging="851"/>
        <w:rPr>
          <w:b/>
          <w:sz w:val="24"/>
          <w:szCs w:val="24"/>
        </w:rPr>
      </w:pPr>
      <w:r w:rsidRPr="008B475B">
        <w:rPr>
          <w:b/>
          <w:sz w:val="24"/>
          <w:szCs w:val="24"/>
        </w:rPr>
        <w:t>9.</w:t>
      </w:r>
      <w:r w:rsidRPr="008B475B">
        <w:rPr>
          <w:b/>
          <w:sz w:val="24"/>
          <w:szCs w:val="24"/>
        </w:rPr>
        <w:tab/>
        <w:t>DATO FOR FØRSTE MARKEDSFØRINGSTILLADELSE</w:t>
      </w:r>
    </w:p>
    <w:p w14:paraId="620EAE6C" w14:textId="77777777" w:rsidR="0044481D" w:rsidRPr="008B475B" w:rsidRDefault="0044481D" w:rsidP="0044481D">
      <w:pPr>
        <w:ind w:left="851"/>
        <w:rPr>
          <w:sz w:val="24"/>
          <w:szCs w:val="24"/>
        </w:rPr>
      </w:pPr>
      <w:r>
        <w:rPr>
          <w:sz w:val="24"/>
          <w:szCs w:val="24"/>
        </w:rPr>
        <w:t>7. januar 2021</w:t>
      </w:r>
    </w:p>
    <w:p w14:paraId="6846419E" w14:textId="77777777" w:rsidR="0044481D" w:rsidRPr="008B475B" w:rsidRDefault="0044481D" w:rsidP="0044481D">
      <w:pPr>
        <w:ind w:left="851"/>
        <w:rPr>
          <w:sz w:val="24"/>
          <w:szCs w:val="24"/>
        </w:rPr>
      </w:pPr>
    </w:p>
    <w:p w14:paraId="6A50492D" w14:textId="77777777" w:rsidR="0044481D" w:rsidRPr="008B475B" w:rsidRDefault="0044481D" w:rsidP="0044481D">
      <w:pPr>
        <w:ind w:left="851" w:hanging="851"/>
        <w:rPr>
          <w:b/>
          <w:sz w:val="24"/>
          <w:szCs w:val="24"/>
        </w:rPr>
      </w:pPr>
      <w:r w:rsidRPr="008B475B">
        <w:rPr>
          <w:b/>
          <w:sz w:val="24"/>
          <w:szCs w:val="24"/>
        </w:rPr>
        <w:t>10.</w:t>
      </w:r>
      <w:r w:rsidRPr="008B475B">
        <w:rPr>
          <w:b/>
          <w:sz w:val="24"/>
          <w:szCs w:val="24"/>
        </w:rPr>
        <w:tab/>
        <w:t>DATO FOR ÆNDRING AF TEKSTEN</w:t>
      </w:r>
    </w:p>
    <w:p w14:paraId="25142A14" w14:textId="77777777" w:rsidR="0044481D" w:rsidRPr="008B475B" w:rsidRDefault="0044481D" w:rsidP="0044481D">
      <w:pPr>
        <w:ind w:left="851"/>
        <w:rPr>
          <w:sz w:val="24"/>
          <w:szCs w:val="24"/>
        </w:rPr>
      </w:pPr>
      <w:r>
        <w:rPr>
          <w:sz w:val="24"/>
          <w:szCs w:val="24"/>
        </w:rPr>
        <w:t>29. november 2023</w:t>
      </w:r>
    </w:p>
    <w:p w14:paraId="5725F738" w14:textId="3D8194F3" w:rsidR="009260DE" w:rsidRPr="008B475B" w:rsidRDefault="009260DE" w:rsidP="0044481D">
      <w:pPr>
        <w:pStyle w:val="Titel"/>
        <w:tabs>
          <w:tab w:val="right" w:pos="9356"/>
        </w:tabs>
        <w:jc w:val="left"/>
        <w:rPr>
          <w:szCs w:val="24"/>
        </w:rPr>
      </w:pPr>
    </w:p>
    <w:sectPr w:rsidR="009260DE" w:rsidRPr="008B475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79C3C" w14:textId="77777777" w:rsidR="005A20CF" w:rsidRDefault="005A20CF">
      <w:r>
        <w:separator/>
      </w:r>
    </w:p>
  </w:endnote>
  <w:endnote w:type="continuationSeparator" w:id="0">
    <w:p w14:paraId="0ACFF836" w14:textId="77777777" w:rsidR="005A20CF" w:rsidRDefault="005A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3235" w14:textId="77777777" w:rsidR="005A20CF" w:rsidRDefault="005A20CF">
    <w:pPr>
      <w:pStyle w:val="Sidefod"/>
      <w:pBdr>
        <w:bottom w:val="single" w:sz="6" w:space="1" w:color="auto"/>
      </w:pBdr>
    </w:pPr>
  </w:p>
  <w:p w14:paraId="0A0ECCEF" w14:textId="77777777" w:rsidR="005A20CF" w:rsidRDefault="005A20CF" w:rsidP="00C42586">
    <w:pPr>
      <w:pStyle w:val="Sidefod"/>
      <w:tabs>
        <w:tab w:val="clear" w:pos="4819"/>
        <w:tab w:val="left" w:pos="8505"/>
      </w:tabs>
      <w:rPr>
        <w:i/>
        <w:sz w:val="18"/>
        <w:szCs w:val="18"/>
      </w:rPr>
    </w:pPr>
  </w:p>
  <w:p w14:paraId="74D8B0B5" w14:textId="0FD267B5" w:rsidR="005A20CF" w:rsidRPr="00B373D7" w:rsidRDefault="005A20C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462C3F">
      <w:rPr>
        <w:i/>
        <w:noProof/>
        <w:sz w:val="18"/>
        <w:szCs w:val="18"/>
      </w:rPr>
      <w:t>Busulfan Zentiva, koncentrat til infusionsvæske, opløsning 6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CE7E2" w14:textId="77777777" w:rsidR="005A20CF" w:rsidRDefault="005A20CF">
      <w:r>
        <w:separator/>
      </w:r>
    </w:p>
  </w:footnote>
  <w:footnote w:type="continuationSeparator" w:id="0">
    <w:p w14:paraId="2B65F4DE" w14:textId="77777777" w:rsidR="005A20CF" w:rsidRDefault="005A2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1147AE5"/>
    <w:multiLevelType w:val="hybridMultilevel"/>
    <w:tmpl w:val="5D588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6E91D89"/>
    <w:multiLevelType w:val="hybridMultilevel"/>
    <w:tmpl w:val="31B2CB46"/>
    <w:lvl w:ilvl="0" w:tplc="4EBCD23E">
      <w:start w:val="4"/>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52BF3905"/>
    <w:multiLevelType w:val="hybridMultilevel"/>
    <w:tmpl w:val="839A2D40"/>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cs="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cs="Courier New" w:hint="default"/>
      </w:rPr>
    </w:lvl>
    <w:lvl w:ilvl="8" w:tplc="04090005">
      <w:start w:val="1"/>
      <w:numFmt w:val="bullet"/>
      <w:lvlText w:val=""/>
      <w:lvlJc w:val="left"/>
      <w:pPr>
        <w:ind w:left="6837"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9523852"/>
    <w:multiLevelType w:val="hybridMultilevel"/>
    <w:tmpl w:val="26CCDED8"/>
    <w:lvl w:ilvl="0" w:tplc="4EBCD23E">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0CF"/>
    <w:rsid w:val="000259B9"/>
    <w:rsid w:val="00041491"/>
    <w:rsid w:val="00050D16"/>
    <w:rsid w:val="00066C2C"/>
    <w:rsid w:val="00074F2A"/>
    <w:rsid w:val="00082778"/>
    <w:rsid w:val="000A1CA8"/>
    <w:rsid w:val="000A466B"/>
    <w:rsid w:val="000B058C"/>
    <w:rsid w:val="000B5268"/>
    <w:rsid w:val="000E4EE6"/>
    <w:rsid w:val="0012351E"/>
    <w:rsid w:val="00141B47"/>
    <w:rsid w:val="001454E2"/>
    <w:rsid w:val="00195AD3"/>
    <w:rsid w:val="00206CE8"/>
    <w:rsid w:val="0021526C"/>
    <w:rsid w:val="00260653"/>
    <w:rsid w:val="00283A2B"/>
    <w:rsid w:val="002B30AD"/>
    <w:rsid w:val="002C2C01"/>
    <w:rsid w:val="002E0A2C"/>
    <w:rsid w:val="002F7A21"/>
    <w:rsid w:val="003A29AE"/>
    <w:rsid w:val="003A32D7"/>
    <w:rsid w:val="003B4074"/>
    <w:rsid w:val="003B701B"/>
    <w:rsid w:val="003C769A"/>
    <w:rsid w:val="003D7D07"/>
    <w:rsid w:val="003F1838"/>
    <w:rsid w:val="00400228"/>
    <w:rsid w:val="0044481D"/>
    <w:rsid w:val="0045746C"/>
    <w:rsid w:val="00462C3F"/>
    <w:rsid w:val="0049104B"/>
    <w:rsid w:val="004D249C"/>
    <w:rsid w:val="004E3B12"/>
    <w:rsid w:val="00532310"/>
    <w:rsid w:val="00565F0F"/>
    <w:rsid w:val="00594A86"/>
    <w:rsid w:val="00596D86"/>
    <w:rsid w:val="005A20CF"/>
    <w:rsid w:val="00637F5A"/>
    <w:rsid w:val="00644C55"/>
    <w:rsid w:val="006560B1"/>
    <w:rsid w:val="006756DD"/>
    <w:rsid w:val="006A3C78"/>
    <w:rsid w:val="006B16AB"/>
    <w:rsid w:val="006F233D"/>
    <w:rsid w:val="00737275"/>
    <w:rsid w:val="00740EEC"/>
    <w:rsid w:val="00776D14"/>
    <w:rsid w:val="0078011A"/>
    <w:rsid w:val="00782AF4"/>
    <w:rsid w:val="00790EE7"/>
    <w:rsid w:val="007B6649"/>
    <w:rsid w:val="007F1B6C"/>
    <w:rsid w:val="0082576E"/>
    <w:rsid w:val="008B475B"/>
    <w:rsid w:val="00907F75"/>
    <w:rsid w:val="009260DE"/>
    <w:rsid w:val="0093258A"/>
    <w:rsid w:val="00972EB1"/>
    <w:rsid w:val="009C7BA3"/>
    <w:rsid w:val="009D1F5A"/>
    <w:rsid w:val="009D4452"/>
    <w:rsid w:val="009F7CAC"/>
    <w:rsid w:val="00A6028B"/>
    <w:rsid w:val="00AA2413"/>
    <w:rsid w:val="00B003BF"/>
    <w:rsid w:val="00B23BD2"/>
    <w:rsid w:val="00B26DAE"/>
    <w:rsid w:val="00B373D7"/>
    <w:rsid w:val="00B843E1"/>
    <w:rsid w:val="00B8692C"/>
    <w:rsid w:val="00BD2EC5"/>
    <w:rsid w:val="00C35E82"/>
    <w:rsid w:val="00C36276"/>
    <w:rsid w:val="00C42586"/>
    <w:rsid w:val="00C60CCD"/>
    <w:rsid w:val="00C84483"/>
    <w:rsid w:val="00C95551"/>
    <w:rsid w:val="00CB20D7"/>
    <w:rsid w:val="00CC2BD6"/>
    <w:rsid w:val="00CD772F"/>
    <w:rsid w:val="00D020B0"/>
    <w:rsid w:val="00D11748"/>
    <w:rsid w:val="00D33BAE"/>
    <w:rsid w:val="00D366CF"/>
    <w:rsid w:val="00D4060E"/>
    <w:rsid w:val="00D7647C"/>
    <w:rsid w:val="00DA1538"/>
    <w:rsid w:val="00DC7F33"/>
    <w:rsid w:val="00E070CF"/>
    <w:rsid w:val="00E108AA"/>
    <w:rsid w:val="00E3749A"/>
    <w:rsid w:val="00E7437F"/>
    <w:rsid w:val="00E865B8"/>
    <w:rsid w:val="00E9355A"/>
    <w:rsid w:val="00EC0B9B"/>
    <w:rsid w:val="00ED5E9F"/>
    <w:rsid w:val="00F35793"/>
    <w:rsid w:val="00F66D4F"/>
    <w:rsid w:val="00F8395C"/>
    <w:rsid w:val="00F87B88"/>
    <w:rsid w:val="00F94AAD"/>
    <w:rsid w:val="00FB6D01"/>
    <w:rsid w:val="00FC01F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CD043"/>
  <w15:chartTrackingRefBased/>
  <w15:docId w15:val="{B8E3617F-F4DB-4951-8CDA-1DECC520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3B701B"/>
    <w:pPr>
      <w:ind w:left="720"/>
      <w:contextualSpacing/>
    </w:pPr>
    <w:rPr>
      <w:sz w:val="22"/>
    </w:rPr>
  </w:style>
  <w:style w:type="table" w:styleId="Tabel-Gitter">
    <w:name w:val="Table Grid"/>
    <w:basedOn w:val="Tabel-Normal"/>
    <w:rsid w:val="003B701B"/>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B701B"/>
    <w:rPr>
      <w:color w:val="0000FF"/>
      <w:u w:val="single"/>
    </w:rPr>
  </w:style>
  <w:style w:type="paragraph" w:customStyle="1" w:styleId="TableParagraph">
    <w:name w:val="Table Paragraph"/>
    <w:basedOn w:val="Normal"/>
    <w:uiPriority w:val="1"/>
    <w:qFormat/>
    <w:rsid w:val="003B701B"/>
    <w:pPr>
      <w:widowControl w:val="0"/>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87091">
      <w:bodyDiv w:val="1"/>
      <w:marLeft w:val="0"/>
      <w:marRight w:val="0"/>
      <w:marTop w:val="0"/>
      <w:marBottom w:val="0"/>
      <w:divBdr>
        <w:top w:val="none" w:sz="0" w:space="0" w:color="auto"/>
        <w:left w:val="none" w:sz="0" w:space="0" w:color="auto"/>
        <w:bottom w:val="none" w:sz="0" w:space="0" w:color="auto"/>
        <w:right w:val="none" w:sz="0" w:space="0" w:color="auto"/>
      </w:divBdr>
    </w:div>
    <w:div w:id="10624121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4424031">
      <w:bodyDiv w:val="1"/>
      <w:marLeft w:val="0"/>
      <w:marRight w:val="0"/>
      <w:marTop w:val="0"/>
      <w:marBottom w:val="0"/>
      <w:divBdr>
        <w:top w:val="none" w:sz="0" w:space="0" w:color="auto"/>
        <w:left w:val="none" w:sz="0" w:space="0" w:color="auto"/>
        <w:bottom w:val="none" w:sz="0" w:space="0" w:color="auto"/>
        <w:right w:val="none" w:sz="0" w:space="0" w:color="auto"/>
      </w:divBdr>
    </w:div>
    <w:div w:id="230041604">
      <w:bodyDiv w:val="1"/>
      <w:marLeft w:val="0"/>
      <w:marRight w:val="0"/>
      <w:marTop w:val="0"/>
      <w:marBottom w:val="0"/>
      <w:divBdr>
        <w:top w:val="none" w:sz="0" w:space="0" w:color="auto"/>
        <w:left w:val="none" w:sz="0" w:space="0" w:color="auto"/>
        <w:bottom w:val="none" w:sz="0" w:space="0" w:color="auto"/>
        <w:right w:val="none" w:sz="0" w:space="0" w:color="auto"/>
      </w:divBdr>
    </w:div>
    <w:div w:id="252711396">
      <w:bodyDiv w:val="1"/>
      <w:marLeft w:val="0"/>
      <w:marRight w:val="0"/>
      <w:marTop w:val="0"/>
      <w:marBottom w:val="0"/>
      <w:divBdr>
        <w:top w:val="none" w:sz="0" w:space="0" w:color="auto"/>
        <w:left w:val="none" w:sz="0" w:space="0" w:color="auto"/>
        <w:bottom w:val="none" w:sz="0" w:space="0" w:color="auto"/>
        <w:right w:val="none" w:sz="0" w:space="0" w:color="auto"/>
      </w:divBdr>
    </w:div>
    <w:div w:id="281152498">
      <w:bodyDiv w:val="1"/>
      <w:marLeft w:val="0"/>
      <w:marRight w:val="0"/>
      <w:marTop w:val="0"/>
      <w:marBottom w:val="0"/>
      <w:divBdr>
        <w:top w:val="none" w:sz="0" w:space="0" w:color="auto"/>
        <w:left w:val="none" w:sz="0" w:space="0" w:color="auto"/>
        <w:bottom w:val="none" w:sz="0" w:space="0" w:color="auto"/>
        <w:right w:val="none" w:sz="0" w:space="0" w:color="auto"/>
      </w:divBdr>
    </w:div>
    <w:div w:id="536968669">
      <w:bodyDiv w:val="1"/>
      <w:marLeft w:val="0"/>
      <w:marRight w:val="0"/>
      <w:marTop w:val="0"/>
      <w:marBottom w:val="0"/>
      <w:divBdr>
        <w:top w:val="none" w:sz="0" w:space="0" w:color="auto"/>
        <w:left w:val="none" w:sz="0" w:space="0" w:color="auto"/>
        <w:bottom w:val="none" w:sz="0" w:space="0" w:color="auto"/>
        <w:right w:val="none" w:sz="0" w:space="0" w:color="auto"/>
      </w:divBdr>
    </w:div>
    <w:div w:id="669023193">
      <w:bodyDiv w:val="1"/>
      <w:marLeft w:val="0"/>
      <w:marRight w:val="0"/>
      <w:marTop w:val="0"/>
      <w:marBottom w:val="0"/>
      <w:divBdr>
        <w:top w:val="none" w:sz="0" w:space="0" w:color="auto"/>
        <w:left w:val="none" w:sz="0" w:space="0" w:color="auto"/>
        <w:bottom w:val="none" w:sz="0" w:space="0" w:color="auto"/>
        <w:right w:val="none" w:sz="0" w:space="0" w:color="auto"/>
      </w:divBdr>
    </w:div>
    <w:div w:id="679435612">
      <w:bodyDiv w:val="1"/>
      <w:marLeft w:val="0"/>
      <w:marRight w:val="0"/>
      <w:marTop w:val="0"/>
      <w:marBottom w:val="0"/>
      <w:divBdr>
        <w:top w:val="none" w:sz="0" w:space="0" w:color="auto"/>
        <w:left w:val="none" w:sz="0" w:space="0" w:color="auto"/>
        <w:bottom w:val="none" w:sz="0" w:space="0" w:color="auto"/>
        <w:right w:val="none" w:sz="0" w:space="0" w:color="auto"/>
      </w:divBdr>
    </w:div>
    <w:div w:id="788013373">
      <w:bodyDiv w:val="1"/>
      <w:marLeft w:val="0"/>
      <w:marRight w:val="0"/>
      <w:marTop w:val="0"/>
      <w:marBottom w:val="0"/>
      <w:divBdr>
        <w:top w:val="none" w:sz="0" w:space="0" w:color="auto"/>
        <w:left w:val="none" w:sz="0" w:space="0" w:color="auto"/>
        <w:bottom w:val="none" w:sz="0" w:space="0" w:color="auto"/>
        <w:right w:val="none" w:sz="0" w:space="0" w:color="auto"/>
      </w:divBdr>
    </w:div>
    <w:div w:id="826282095">
      <w:bodyDiv w:val="1"/>
      <w:marLeft w:val="0"/>
      <w:marRight w:val="0"/>
      <w:marTop w:val="0"/>
      <w:marBottom w:val="0"/>
      <w:divBdr>
        <w:top w:val="none" w:sz="0" w:space="0" w:color="auto"/>
        <w:left w:val="none" w:sz="0" w:space="0" w:color="auto"/>
        <w:bottom w:val="none" w:sz="0" w:space="0" w:color="auto"/>
        <w:right w:val="none" w:sz="0" w:space="0" w:color="auto"/>
      </w:divBdr>
    </w:div>
    <w:div w:id="840243444">
      <w:bodyDiv w:val="1"/>
      <w:marLeft w:val="0"/>
      <w:marRight w:val="0"/>
      <w:marTop w:val="0"/>
      <w:marBottom w:val="0"/>
      <w:divBdr>
        <w:top w:val="none" w:sz="0" w:space="0" w:color="auto"/>
        <w:left w:val="none" w:sz="0" w:space="0" w:color="auto"/>
        <w:bottom w:val="none" w:sz="0" w:space="0" w:color="auto"/>
        <w:right w:val="none" w:sz="0" w:space="0" w:color="auto"/>
      </w:divBdr>
    </w:div>
    <w:div w:id="880167597">
      <w:bodyDiv w:val="1"/>
      <w:marLeft w:val="0"/>
      <w:marRight w:val="0"/>
      <w:marTop w:val="0"/>
      <w:marBottom w:val="0"/>
      <w:divBdr>
        <w:top w:val="none" w:sz="0" w:space="0" w:color="auto"/>
        <w:left w:val="none" w:sz="0" w:space="0" w:color="auto"/>
        <w:bottom w:val="none" w:sz="0" w:space="0" w:color="auto"/>
        <w:right w:val="none" w:sz="0" w:space="0" w:color="auto"/>
      </w:divBdr>
    </w:div>
    <w:div w:id="932934998">
      <w:bodyDiv w:val="1"/>
      <w:marLeft w:val="0"/>
      <w:marRight w:val="0"/>
      <w:marTop w:val="0"/>
      <w:marBottom w:val="0"/>
      <w:divBdr>
        <w:top w:val="none" w:sz="0" w:space="0" w:color="auto"/>
        <w:left w:val="none" w:sz="0" w:space="0" w:color="auto"/>
        <w:bottom w:val="none" w:sz="0" w:space="0" w:color="auto"/>
        <w:right w:val="none" w:sz="0" w:space="0" w:color="auto"/>
      </w:divBdr>
    </w:div>
    <w:div w:id="1018047004">
      <w:bodyDiv w:val="1"/>
      <w:marLeft w:val="0"/>
      <w:marRight w:val="0"/>
      <w:marTop w:val="0"/>
      <w:marBottom w:val="0"/>
      <w:divBdr>
        <w:top w:val="none" w:sz="0" w:space="0" w:color="auto"/>
        <w:left w:val="none" w:sz="0" w:space="0" w:color="auto"/>
        <w:bottom w:val="none" w:sz="0" w:space="0" w:color="auto"/>
        <w:right w:val="none" w:sz="0" w:space="0" w:color="auto"/>
      </w:divBdr>
    </w:div>
    <w:div w:id="1034959415">
      <w:bodyDiv w:val="1"/>
      <w:marLeft w:val="0"/>
      <w:marRight w:val="0"/>
      <w:marTop w:val="0"/>
      <w:marBottom w:val="0"/>
      <w:divBdr>
        <w:top w:val="none" w:sz="0" w:space="0" w:color="auto"/>
        <w:left w:val="none" w:sz="0" w:space="0" w:color="auto"/>
        <w:bottom w:val="none" w:sz="0" w:space="0" w:color="auto"/>
        <w:right w:val="none" w:sz="0" w:space="0" w:color="auto"/>
      </w:divBdr>
    </w:div>
    <w:div w:id="1090127406">
      <w:bodyDiv w:val="1"/>
      <w:marLeft w:val="0"/>
      <w:marRight w:val="0"/>
      <w:marTop w:val="0"/>
      <w:marBottom w:val="0"/>
      <w:divBdr>
        <w:top w:val="none" w:sz="0" w:space="0" w:color="auto"/>
        <w:left w:val="none" w:sz="0" w:space="0" w:color="auto"/>
        <w:bottom w:val="none" w:sz="0" w:space="0" w:color="auto"/>
        <w:right w:val="none" w:sz="0" w:space="0" w:color="auto"/>
      </w:divBdr>
    </w:div>
    <w:div w:id="1104157678">
      <w:bodyDiv w:val="1"/>
      <w:marLeft w:val="0"/>
      <w:marRight w:val="0"/>
      <w:marTop w:val="0"/>
      <w:marBottom w:val="0"/>
      <w:divBdr>
        <w:top w:val="none" w:sz="0" w:space="0" w:color="auto"/>
        <w:left w:val="none" w:sz="0" w:space="0" w:color="auto"/>
        <w:bottom w:val="none" w:sz="0" w:space="0" w:color="auto"/>
        <w:right w:val="none" w:sz="0" w:space="0" w:color="auto"/>
      </w:divBdr>
    </w:div>
    <w:div w:id="1498762051">
      <w:bodyDiv w:val="1"/>
      <w:marLeft w:val="0"/>
      <w:marRight w:val="0"/>
      <w:marTop w:val="0"/>
      <w:marBottom w:val="0"/>
      <w:divBdr>
        <w:top w:val="none" w:sz="0" w:space="0" w:color="auto"/>
        <w:left w:val="none" w:sz="0" w:space="0" w:color="auto"/>
        <w:bottom w:val="none" w:sz="0" w:space="0" w:color="auto"/>
        <w:right w:val="none" w:sz="0" w:space="0" w:color="auto"/>
      </w:divBdr>
    </w:div>
    <w:div w:id="1507863479">
      <w:bodyDiv w:val="1"/>
      <w:marLeft w:val="0"/>
      <w:marRight w:val="0"/>
      <w:marTop w:val="0"/>
      <w:marBottom w:val="0"/>
      <w:divBdr>
        <w:top w:val="none" w:sz="0" w:space="0" w:color="auto"/>
        <w:left w:val="none" w:sz="0" w:space="0" w:color="auto"/>
        <w:bottom w:val="none" w:sz="0" w:space="0" w:color="auto"/>
        <w:right w:val="none" w:sz="0" w:space="0" w:color="auto"/>
      </w:divBdr>
    </w:div>
    <w:div w:id="1507935141">
      <w:bodyDiv w:val="1"/>
      <w:marLeft w:val="0"/>
      <w:marRight w:val="0"/>
      <w:marTop w:val="0"/>
      <w:marBottom w:val="0"/>
      <w:divBdr>
        <w:top w:val="none" w:sz="0" w:space="0" w:color="auto"/>
        <w:left w:val="none" w:sz="0" w:space="0" w:color="auto"/>
        <w:bottom w:val="none" w:sz="0" w:space="0" w:color="auto"/>
        <w:right w:val="none" w:sz="0" w:space="0" w:color="auto"/>
      </w:divBdr>
    </w:div>
    <w:div w:id="1682927946">
      <w:bodyDiv w:val="1"/>
      <w:marLeft w:val="0"/>
      <w:marRight w:val="0"/>
      <w:marTop w:val="0"/>
      <w:marBottom w:val="0"/>
      <w:divBdr>
        <w:top w:val="none" w:sz="0" w:space="0" w:color="auto"/>
        <w:left w:val="none" w:sz="0" w:space="0" w:color="auto"/>
        <w:bottom w:val="none" w:sz="0" w:space="0" w:color="auto"/>
        <w:right w:val="none" w:sz="0" w:space="0" w:color="auto"/>
      </w:divBdr>
    </w:div>
    <w:div w:id="189277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5557</Words>
  <Characters>35770</Characters>
  <Application>Microsoft Office Word</Application>
  <DocSecurity>0</DocSecurity>
  <Lines>298</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2022024213 _x000d_
SPC pkt. 4.1, 4.2, 4.5, 4.8, 5.1, 5.2</dc:description>
  <cp:lastModifiedBy>Iman El Kadiri</cp:lastModifiedBy>
  <cp:revision>3</cp:revision>
  <cp:lastPrinted>2012-08-22T08:53:00Z</cp:lastPrinted>
  <dcterms:created xsi:type="dcterms:W3CDTF">2023-11-23T11:53:00Z</dcterms:created>
  <dcterms:modified xsi:type="dcterms:W3CDTF">2023-11-23T11:54:00Z</dcterms:modified>
</cp:coreProperties>
</file>