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0A4685">
        <w:rPr>
          <w:szCs w:val="24"/>
        </w:rPr>
        <w:t>6. september 2024</w:t>
      </w:r>
    </w:p>
    <w:p w:rsidR="00EE4A85" w:rsidRPr="00C84483" w:rsidRDefault="00EE4A85" w:rsidP="009260DE">
      <w:pPr>
        <w:pStyle w:val="Titel"/>
        <w:tabs>
          <w:tab w:val="left" w:pos="8222"/>
        </w:tabs>
        <w:jc w:val="left"/>
        <w:rPr>
          <w:b w:val="0"/>
          <w:szCs w:val="24"/>
        </w:rPr>
      </w:pPr>
    </w:p>
    <w:p w:rsidR="00845ADF" w:rsidRDefault="00845ADF" w:rsidP="009260DE">
      <w:pPr>
        <w:pStyle w:val="Titel"/>
        <w:jc w:val="left"/>
        <w:rPr>
          <w:b w:val="0"/>
          <w:szCs w:val="24"/>
        </w:rPr>
      </w:pPr>
    </w:p>
    <w:p w:rsidR="00FA7171" w:rsidRPr="00C84483" w:rsidRDefault="00FA7171"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D048AE" w:rsidP="009260DE">
      <w:pPr>
        <w:jc w:val="center"/>
        <w:rPr>
          <w:b/>
          <w:sz w:val="24"/>
          <w:szCs w:val="24"/>
        </w:rPr>
      </w:pPr>
      <w:proofErr w:type="spellStart"/>
      <w:r>
        <w:rPr>
          <w:b/>
          <w:sz w:val="24"/>
          <w:szCs w:val="24"/>
        </w:rPr>
        <w:t>Cabazitaxel</w:t>
      </w:r>
      <w:proofErr w:type="spellEnd"/>
      <w:r>
        <w:rPr>
          <w:b/>
          <w:sz w:val="24"/>
          <w:szCs w:val="24"/>
        </w:rPr>
        <w:t xml:space="preserve"> "</w:t>
      </w:r>
      <w:proofErr w:type="spellStart"/>
      <w:r>
        <w:rPr>
          <w:b/>
          <w:sz w:val="24"/>
          <w:szCs w:val="24"/>
        </w:rPr>
        <w:t>Stada</w:t>
      </w:r>
      <w:proofErr w:type="spellEnd"/>
      <w:r>
        <w:rPr>
          <w:b/>
          <w:sz w:val="24"/>
          <w:szCs w:val="24"/>
        </w:rPr>
        <w:t>", koncentrat til infusionsvæske,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D573DE" w:rsidP="009260DE">
      <w:pPr>
        <w:tabs>
          <w:tab w:val="left" w:pos="851"/>
        </w:tabs>
        <w:ind w:left="851"/>
        <w:rPr>
          <w:sz w:val="24"/>
          <w:szCs w:val="24"/>
        </w:rPr>
      </w:pPr>
      <w:r>
        <w:rPr>
          <w:sz w:val="24"/>
          <w:szCs w:val="24"/>
        </w:rPr>
        <w:t>31873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D573DE" w:rsidP="009260DE">
      <w:pPr>
        <w:tabs>
          <w:tab w:val="left" w:pos="851"/>
        </w:tabs>
        <w:ind w:left="851"/>
        <w:rPr>
          <w:sz w:val="24"/>
          <w:szCs w:val="24"/>
        </w:rPr>
      </w:pPr>
      <w:proofErr w:type="spellStart"/>
      <w:r>
        <w:rPr>
          <w:sz w:val="24"/>
          <w:szCs w:val="24"/>
        </w:rPr>
        <w:t>Cabazitaxel</w:t>
      </w:r>
      <w:proofErr w:type="spellEnd"/>
      <w:r>
        <w:rPr>
          <w:sz w:val="24"/>
          <w:szCs w:val="24"/>
        </w:rPr>
        <w:t xml:space="preserve"> "</w:t>
      </w:r>
      <w:proofErr w:type="spellStart"/>
      <w:r>
        <w:rPr>
          <w:sz w:val="24"/>
          <w:szCs w:val="24"/>
        </w:rPr>
        <w:t>Stada</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E0290" w:rsidRPr="001E0290" w:rsidRDefault="001E0290" w:rsidP="001E0290">
      <w:pPr>
        <w:tabs>
          <w:tab w:val="left" w:pos="851"/>
        </w:tabs>
        <w:ind w:left="851"/>
        <w:rPr>
          <w:sz w:val="24"/>
          <w:szCs w:val="24"/>
        </w:rPr>
      </w:pPr>
      <w:r w:rsidRPr="001E0290">
        <w:rPr>
          <w:sz w:val="24"/>
          <w:szCs w:val="24"/>
        </w:rPr>
        <w:t xml:space="preserve">En ml koncentrat indeholder 20 mg </w:t>
      </w:r>
      <w:proofErr w:type="spellStart"/>
      <w:r w:rsidRPr="001E0290">
        <w:rPr>
          <w:sz w:val="24"/>
          <w:szCs w:val="24"/>
        </w:rPr>
        <w:t>cabazitaxel</w:t>
      </w:r>
      <w:proofErr w:type="spellEnd"/>
      <w:r w:rsidRPr="001E0290">
        <w:rPr>
          <w:sz w:val="24"/>
          <w:szCs w:val="24"/>
        </w:rPr>
        <w:t xml:space="preserve">. </w:t>
      </w:r>
    </w:p>
    <w:p w:rsidR="001E0290" w:rsidRPr="001E0290" w:rsidRDefault="001E0290" w:rsidP="001E0290">
      <w:pPr>
        <w:tabs>
          <w:tab w:val="left" w:pos="851"/>
        </w:tabs>
        <w:ind w:left="851"/>
        <w:rPr>
          <w:sz w:val="24"/>
          <w:szCs w:val="24"/>
        </w:rPr>
      </w:pPr>
      <w:r w:rsidRPr="001E0290">
        <w:rPr>
          <w:sz w:val="24"/>
          <w:szCs w:val="24"/>
        </w:rPr>
        <w:t xml:space="preserve">Et hætteglas med 3 ml koncentrat indeholder 60 mg </w:t>
      </w:r>
      <w:proofErr w:type="spellStart"/>
      <w:r w:rsidRPr="001E0290">
        <w:rPr>
          <w:sz w:val="24"/>
          <w:szCs w:val="24"/>
        </w:rPr>
        <w:t>cabazitaxel</w:t>
      </w:r>
      <w:proofErr w:type="spellEnd"/>
      <w:r w:rsidRPr="001E0290">
        <w:rPr>
          <w:sz w:val="24"/>
          <w:szCs w:val="24"/>
        </w:rPr>
        <w:t>.</w:t>
      </w:r>
    </w:p>
    <w:p w:rsidR="001E0290" w:rsidRPr="001E0290" w:rsidRDefault="001E0290" w:rsidP="001E0290">
      <w:pPr>
        <w:tabs>
          <w:tab w:val="left" w:pos="851"/>
        </w:tabs>
        <w:ind w:left="851"/>
        <w:rPr>
          <w:b/>
          <w:sz w:val="24"/>
          <w:szCs w:val="24"/>
        </w:rPr>
      </w:pPr>
    </w:p>
    <w:p w:rsidR="001E0290" w:rsidRPr="001E0290" w:rsidRDefault="001E0290" w:rsidP="001E0290">
      <w:pPr>
        <w:tabs>
          <w:tab w:val="left" w:pos="851"/>
        </w:tabs>
        <w:ind w:left="851"/>
        <w:rPr>
          <w:sz w:val="24"/>
          <w:szCs w:val="24"/>
        </w:rPr>
      </w:pPr>
      <w:r w:rsidRPr="001E0290">
        <w:rPr>
          <w:sz w:val="24"/>
          <w:szCs w:val="24"/>
          <w:u w:val="single"/>
        </w:rPr>
        <w:t>Hjælpestof, som behandleren skal være opmærksom på</w:t>
      </w:r>
    </w:p>
    <w:p w:rsidR="001E0290" w:rsidRPr="001E0290" w:rsidRDefault="001E0290" w:rsidP="001E0290">
      <w:pPr>
        <w:tabs>
          <w:tab w:val="left" w:pos="851"/>
        </w:tabs>
        <w:ind w:left="851"/>
        <w:rPr>
          <w:sz w:val="24"/>
          <w:szCs w:val="24"/>
        </w:rPr>
      </w:pPr>
      <w:r w:rsidRPr="001E0290">
        <w:rPr>
          <w:sz w:val="24"/>
          <w:szCs w:val="24"/>
        </w:rPr>
        <w:t xml:space="preserve">Hvert hætteglas med 3 ml koncentrat indeholder 1,5 ml </w:t>
      </w:r>
      <w:proofErr w:type="spellStart"/>
      <w:r w:rsidRPr="001E0290">
        <w:rPr>
          <w:sz w:val="24"/>
          <w:szCs w:val="24"/>
        </w:rPr>
        <w:t>ethanol</w:t>
      </w:r>
      <w:proofErr w:type="spellEnd"/>
      <w:r w:rsidRPr="001E0290">
        <w:rPr>
          <w:sz w:val="24"/>
          <w:szCs w:val="24"/>
        </w:rPr>
        <w:t xml:space="preserve"> (1185 mg)</w:t>
      </w:r>
      <w:r w:rsidR="00495018">
        <w:rPr>
          <w:sz w:val="24"/>
          <w:szCs w:val="24"/>
        </w:rPr>
        <w:t>.</w:t>
      </w:r>
    </w:p>
    <w:p w:rsidR="001E0290" w:rsidRPr="001E0290" w:rsidRDefault="001E0290" w:rsidP="001E0290">
      <w:pPr>
        <w:tabs>
          <w:tab w:val="left" w:pos="851"/>
        </w:tabs>
        <w:ind w:left="851"/>
        <w:rPr>
          <w:sz w:val="24"/>
          <w:szCs w:val="24"/>
        </w:rPr>
      </w:pPr>
    </w:p>
    <w:p w:rsidR="001E0290" w:rsidRPr="001E0290" w:rsidRDefault="001E0290" w:rsidP="001E0290">
      <w:pPr>
        <w:tabs>
          <w:tab w:val="left" w:pos="851"/>
        </w:tabs>
        <w:ind w:left="851"/>
        <w:rPr>
          <w:sz w:val="24"/>
          <w:szCs w:val="24"/>
        </w:rPr>
      </w:pPr>
      <w:r w:rsidRPr="001E0290">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BE4739" w:rsidRDefault="00C70EB4" w:rsidP="00C70EB4">
      <w:pPr>
        <w:tabs>
          <w:tab w:val="left" w:pos="851"/>
        </w:tabs>
        <w:ind w:left="851"/>
        <w:rPr>
          <w:sz w:val="24"/>
          <w:szCs w:val="24"/>
        </w:rPr>
      </w:pPr>
      <w:r w:rsidRPr="00C70EB4">
        <w:rPr>
          <w:sz w:val="24"/>
          <w:szCs w:val="24"/>
        </w:rPr>
        <w:t>Koncentrat til infusionsvæske, opløsning</w:t>
      </w:r>
      <w:r w:rsidR="00F90BB5">
        <w:rPr>
          <w:sz w:val="24"/>
          <w:szCs w:val="24"/>
        </w:rPr>
        <w:t xml:space="preserve"> (sterilt koncentrat)</w:t>
      </w:r>
    </w:p>
    <w:p w:rsidR="00F90BB5" w:rsidRPr="00C70EB4" w:rsidRDefault="00F90BB5" w:rsidP="00C70EB4">
      <w:pPr>
        <w:tabs>
          <w:tab w:val="left" w:pos="851"/>
        </w:tabs>
        <w:ind w:left="851"/>
        <w:rPr>
          <w:sz w:val="24"/>
          <w:szCs w:val="24"/>
        </w:rPr>
      </w:pPr>
    </w:p>
    <w:p w:rsidR="00C70EB4" w:rsidRPr="00C70EB4" w:rsidRDefault="00F90BB5" w:rsidP="00C70EB4">
      <w:pPr>
        <w:tabs>
          <w:tab w:val="left" w:pos="851"/>
        </w:tabs>
        <w:ind w:left="851"/>
        <w:rPr>
          <w:sz w:val="24"/>
          <w:szCs w:val="24"/>
        </w:rPr>
      </w:pPr>
      <w:r>
        <w:rPr>
          <w:sz w:val="24"/>
          <w:szCs w:val="24"/>
        </w:rPr>
        <w:t>K</w:t>
      </w:r>
      <w:r w:rsidR="00C70EB4" w:rsidRPr="00C70EB4">
        <w:rPr>
          <w:sz w:val="24"/>
          <w:szCs w:val="24"/>
        </w:rPr>
        <w:t>lar gul til brun-gul</w:t>
      </w:r>
      <w:r w:rsidR="00BE4739">
        <w:rPr>
          <w:sz w:val="24"/>
          <w:szCs w:val="24"/>
        </w:rPr>
        <w:t>,</w:t>
      </w:r>
      <w:r w:rsidR="00C70EB4" w:rsidRPr="00C70EB4">
        <w:rPr>
          <w:sz w:val="24"/>
          <w:szCs w:val="24"/>
        </w:rPr>
        <w:t xml:space="preserve"> olieagtig opløsning</w:t>
      </w:r>
      <w:r w:rsidR="00BE4739">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C2500" w:rsidRPr="00DC2500" w:rsidRDefault="00DC2500" w:rsidP="00DC2500">
      <w:pPr>
        <w:tabs>
          <w:tab w:val="left" w:pos="851"/>
        </w:tabs>
        <w:ind w:left="851"/>
        <w:rPr>
          <w:sz w:val="24"/>
          <w:szCs w:val="24"/>
        </w:rPr>
      </w:pPr>
      <w:proofErr w:type="spellStart"/>
      <w:r w:rsidRPr="00DC2500">
        <w:rPr>
          <w:sz w:val="24"/>
          <w:szCs w:val="24"/>
        </w:rPr>
        <w:t>Cabazitaxel</w:t>
      </w:r>
      <w:proofErr w:type="spellEnd"/>
      <w:r w:rsidRPr="00DC2500">
        <w:rPr>
          <w:sz w:val="24"/>
          <w:szCs w:val="24"/>
        </w:rPr>
        <w:t xml:space="preserve"> "</w:t>
      </w:r>
      <w:proofErr w:type="spellStart"/>
      <w:r w:rsidRPr="00DC2500">
        <w:rPr>
          <w:sz w:val="24"/>
          <w:szCs w:val="24"/>
        </w:rPr>
        <w:t>Stada</w:t>
      </w:r>
      <w:proofErr w:type="spellEnd"/>
      <w:r w:rsidRPr="00DC2500">
        <w:rPr>
          <w:sz w:val="24"/>
          <w:szCs w:val="24"/>
        </w:rPr>
        <w:t xml:space="preserve">" i kombination med </w:t>
      </w:r>
      <w:proofErr w:type="spellStart"/>
      <w:r w:rsidRPr="00DC2500">
        <w:rPr>
          <w:sz w:val="24"/>
          <w:szCs w:val="24"/>
        </w:rPr>
        <w:t>prednison</w:t>
      </w:r>
      <w:proofErr w:type="spellEnd"/>
      <w:r w:rsidRPr="00DC2500">
        <w:rPr>
          <w:sz w:val="24"/>
          <w:szCs w:val="24"/>
        </w:rPr>
        <w:t xml:space="preserve"> eller </w:t>
      </w:r>
      <w:proofErr w:type="spellStart"/>
      <w:r w:rsidRPr="00DC2500">
        <w:rPr>
          <w:sz w:val="24"/>
          <w:szCs w:val="24"/>
        </w:rPr>
        <w:t>prednisolon</w:t>
      </w:r>
      <w:proofErr w:type="spellEnd"/>
      <w:r w:rsidRPr="00DC2500">
        <w:rPr>
          <w:sz w:val="24"/>
          <w:szCs w:val="24"/>
        </w:rPr>
        <w:t xml:space="preserve"> er indiceret til behandling af voksne patienter med metastatisk kastrationsresistent prostatacancer, der tidligere er blevet behandlet med et regime indeholdende </w:t>
      </w:r>
      <w:proofErr w:type="spellStart"/>
      <w:r w:rsidRPr="00DC2500">
        <w:rPr>
          <w:sz w:val="24"/>
          <w:szCs w:val="24"/>
        </w:rPr>
        <w:t>docetaxel</w:t>
      </w:r>
      <w:proofErr w:type="spellEnd"/>
      <w:r w:rsidRPr="00DC2500">
        <w:rPr>
          <w:sz w:val="24"/>
          <w:szCs w:val="24"/>
        </w:rPr>
        <w:t xml:space="preserve"> (se pkt. 5.1).</w:t>
      </w:r>
    </w:p>
    <w:p w:rsidR="00DC2500" w:rsidRPr="00DC2500" w:rsidRDefault="00DC2500" w:rsidP="00DC2500">
      <w:pPr>
        <w:tabs>
          <w:tab w:val="left" w:pos="851"/>
        </w:tabs>
        <w:ind w:left="851"/>
        <w:rPr>
          <w:sz w:val="24"/>
          <w:szCs w:val="24"/>
        </w:rPr>
      </w:pPr>
    </w:p>
    <w:p w:rsidR="00962E14" w:rsidRPr="00C84483" w:rsidRDefault="00962E14" w:rsidP="00962E1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56508E" w:rsidRPr="0056508E" w:rsidRDefault="0056508E" w:rsidP="0056508E">
      <w:pPr>
        <w:tabs>
          <w:tab w:val="left" w:pos="851"/>
        </w:tabs>
        <w:ind w:left="851"/>
        <w:rPr>
          <w:sz w:val="24"/>
          <w:szCs w:val="24"/>
        </w:rPr>
      </w:pPr>
      <w:r w:rsidRPr="0056508E">
        <w:rPr>
          <w:sz w:val="24"/>
          <w:szCs w:val="24"/>
        </w:rPr>
        <w:t xml:space="preserve">Brugen af </w:t>
      </w:r>
      <w:proofErr w:type="spellStart"/>
      <w:r w:rsidRPr="0056508E">
        <w:rPr>
          <w:sz w:val="24"/>
          <w:szCs w:val="24"/>
        </w:rPr>
        <w:t>cabazitaxel</w:t>
      </w:r>
      <w:proofErr w:type="spellEnd"/>
      <w:r w:rsidRPr="0056508E">
        <w:rPr>
          <w:sz w:val="24"/>
          <w:szCs w:val="24"/>
        </w:rPr>
        <w:t xml:space="preserve"> skal begrænses til sygehusafdelinger, der er specialiseret i administration af </w:t>
      </w:r>
      <w:proofErr w:type="spellStart"/>
      <w:r w:rsidRPr="0056508E">
        <w:rPr>
          <w:sz w:val="24"/>
          <w:szCs w:val="24"/>
        </w:rPr>
        <w:t>cytotoksiske</w:t>
      </w:r>
      <w:proofErr w:type="spellEnd"/>
      <w:r w:rsidRPr="0056508E">
        <w:rPr>
          <w:sz w:val="24"/>
          <w:szCs w:val="24"/>
        </w:rPr>
        <w:t xml:space="preserve"> stoffer, og det må kun administreres under supervision af en læge med erfaring i kemoterapi mod cancer. Faciliteter og udstyr til behandling af alvorlige allergiske reaktioner såsom hypotension og </w:t>
      </w:r>
      <w:proofErr w:type="spellStart"/>
      <w:r w:rsidRPr="0056508E">
        <w:rPr>
          <w:sz w:val="24"/>
          <w:szCs w:val="24"/>
        </w:rPr>
        <w:t>bronkospasme</w:t>
      </w:r>
      <w:proofErr w:type="spellEnd"/>
      <w:r w:rsidRPr="0056508E">
        <w:rPr>
          <w:sz w:val="24"/>
          <w:szCs w:val="24"/>
        </w:rPr>
        <w:t xml:space="preserve"> skal være til rådighed (se pkt. 4.4)</w:t>
      </w:r>
      <w:r w:rsidR="004849B7">
        <w:rPr>
          <w:sz w:val="24"/>
          <w:szCs w:val="24"/>
        </w:rPr>
        <w:t>.</w:t>
      </w:r>
    </w:p>
    <w:p w:rsidR="0056508E" w:rsidRPr="0056508E" w:rsidRDefault="0056508E" w:rsidP="0056508E">
      <w:pPr>
        <w:tabs>
          <w:tab w:val="left" w:pos="851"/>
        </w:tabs>
        <w:ind w:left="851"/>
        <w:rPr>
          <w:sz w:val="24"/>
          <w:szCs w:val="24"/>
          <w:u w:val="single"/>
        </w:rPr>
      </w:pPr>
    </w:p>
    <w:p w:rsidR="0056508E" w:rsidRPr="0056508E" w:rsidRDefault="0056508E" w:rsidP="0056508E">
      <w:pPr>
        <w:tabs>
          <w:tab w:val="left" w:pos="851"/>
        </w:tabs>
        <w:ind w:left="851"/>
        <w:rPr>
          <w:sz w:val="24"/>
          <w:szCs w:val="24"/>
          <w:u w:val="single"/>
        </w:rPr>
      </w:pPr>
      <w:r w:rsidRPr="0056508E">
        <w:rPr>
          <w:sz w:val="24"/>
          <w:szCs w:val="24"/>
          <w:u w:val="single"/>
        </w:rPr>
        <w:t>Præmedicinering</w:t>
      </w:r>
    </w:p>
    <w:p w:rsidR="0056508E" w:rsidRPr="0056508E" w:rsidRDefault="0056508E" w:rsidP="0056508E">
      <w:pPr>
        <w:tabs>
          <w:tab w:val="left" w:pos="851"/>
        </w:tabs>
        <w:ind w:left="851"/>
        <w:rPr>
          <w:sz w:val="24"/>
          <w:szCs w:val="24"/>
        </w:rPr>
      </w:pPr>
      <w:r w:rsidRPr="0056508E">
        <w:rPr>
          <w:sz w:val="24"/>
          <w:szCs w:val="24"/>
        </w:rPr>
        <w:t xml:space="preserve">Det anbefalede præmedicineringsregime skal gives mindst 30 minutter før hver administration af </w:t>
      </w:r>
      <w:proofErr w:type="spellStart"/>
      <w:r w:rsidRPr="0056508E">
        <w:rPr>
          <w:sz w:val="24"/>
          <w:szCs w:val="24"/>
        </w:rPr>
        <w:t>Cabazitaxel</w:t>
      </w:r>
      <w:proofErr w:type="spellEnd"/>
      <w:r w:rsidRPr="0056508E">
        <w:rPr>
          <w:sz w:val="24"/>
          <w:szCs w:val="24"/>
        </w:rPr>
        <w:t xml:space="preserve"> "</w:t>
      </w:r>
      <w:proofErr w:type="spellStart"/>
      <w:r w:rsidRPr="0056508E">
        <w:rPr>
          <w:sz w:val="24"/>
          <w:szCs w:val="24"/>
        </w:rPr>
        <w:t>Stada</w:t>
      </w:r>
      <w:proofErr w:type="spellEnd"/>
      <w:r w:rsidRPr="0056508E">
        <w:rPr>
          <w:sz w:val="24"/>
          <w:szCs w:val="24"/>
        </w:rPr>
        <w:t xml:space="preserve">" med følgende intravenøse lægemidler for at mindske risikoen for og </w:t>
      </w:r>
      <w:proofErr w:type="spellStart"/>
      <w:r w:rsidRPr="0056508E">
        <w:rPr>
          <w:sz w:val="24"/>
          <w:szCs w:val="24"/>
        </w:rPr>
        <w:t>sværheden</w:t>
      </w:r>
      <w:proofErr w:type="spellEnd"/>
      <w:r w:rsidRPr="0056508E">
        <w:rPr>
          <w:sz w:val="24"/>
          <w:szCs w:val="24"/>
        </w:rPr>
        <w:t xml:space="preserve"> af overfølsomhed:</w:t>
      </w:r>
    </w:p>
    <w:p w:rsidR="0056508E" w:rsidRPr="0056508E" w:rsidRDefault="0056508E" w:rsidP="004849B7">
      <w:pPr>
        <w:numPr>
          <w:ilvl w:val="0"/>
          <w:numId w:val="6"/>
        </w:numPr>
        <w:tabs>
          <w:tab w:val="left" w:pos="851"/>
        </w:tabs>
        <w:ind w:left="1134" w:hanging="283"/>
        <w:rPr>
          <w:sz w:val="24"/>
          <w:szCs w:val="24"/>
        </w:rPr>
      </w:pPr>
      <w:r w:rsidRPr="0056508E">
        <w:rPr>
          <w:sz w:val="24"/>
          <w:szCs w:val="24"/>
        </w:rPr>
        <w:t>antihistamin (</w:t>
      </w:r>
      <w:proofErr w:type="spellStart"/>
      <w:r w:rsidRPr="0056508E">
        <w:rPr>
          <w:sz w:val="24"/>
          <w:szCs w:val="24"/>
        </w:rPr>
        <w:t>dexchlorpheniramin</w:t>
      </w:r>
      <w:proofErr w:type="spellEnd"/>
      <w:r w:rsidRPr="0056508E">
        <w:rPr>
          <w:sz w:val="24"/>
          <w:szCs w:val="24"/>
        </w:rPr>
        <w:t xml:space="preserve"> 5 mg eller </w:t>
      </w:r>
      <w:proofErr w:type="spellStart"/>
      <w:r w:rsidRPr="0056508E">
        <w:rPr>
          <w:sz w:val="24"/>
          <w:szCs w:val="24"/>
        </w:rPr>
        <w:t>diphenhydramin</w:t>
      </w:r>
      <w:proofErr w:type="spellEnd"/>
      <w:r w:rsidRPr="0056508E">
        <w:rPr>
          <w:sz w:val="24"/>
          <w:szCs w:val="24"/>
        </w:rPr>
        <w:t xml:space="preserve"> 25 mg eller tilsvarende) </w:t>
      </w:r>
    </w:p>
    <w:p w:rsidR="0056508E" w:rsidRPr="0056508E" w:rsidRDefault="0056508E" w:rsidP="004849B7">
      <w:pPr>
        <w:numPr>
          <w:ilvl w:val="0"/>
          <w:numId w:val="6"/>
        </w:numPr>
        <w:tabs>
          <w:tab w:val="left" w:pos="851"/>
        </w:tabs>
        <w:ind w:left="1134" w:hanging="283"/>
        <w:rPr>
          <w:sz w:val="24"/>
          <w:szCs w:val="24"/>
        </w:rPr>
      </w:pPr>
      <w:proofErr w:type="spellStart"/>
      <w:r w:rsidRPr="0056508E">
        <w:rPr>
          <w:sz w:val="24"/>
          <w:szCs w:val="24"/>
        </w:rPr>
        <w:t>kortikosteroid</w:t>
      </w:r>
      <w:proofErr w:type="spellEnd"/>
      <w:r w:rsidRPr="0056508E">
        <w:rPr>
          <w:sz w:val="24"/>
          <w:szCs w:val="24"/>
        </w:rPr>
        <w:t xml:space="preserve"> (</w:t>
      </w:r>
      <w:proofErr w:type="spellStart"/>
      <w:r w:rsidRPr="0056508E">
        <w:rPr>
          <w:sz w:val="24"/>
          <w:szCs w:val="24"/>
        </w:rPr>
        <w:t>dexamethason</w:t>
      </w:r>
      <w:proofErr w:type="spellEnd"/>
      <w:r w:rsidRPr="0056508E">
        <w:rPr>
          <w:sz w:val="24"/>
          <w:szCs w:val="24"/>
        </w:rPr>
        <w:t xml:space="preserve"> 8 mg eller tilsvarende) og</w:t>
      </w:r>
    </w:p>
    <w:p w:rsidR="0056508E" w:rsidRPr="0056508E" w:rsidRDefault="0056508E" w:rsidP="004849B7">
      <w:pPr>
        <w:numPr>
          <w:ilvl w:val="0"/>
          <w:numId w:val="6"/>
        </w:numPr>
        <w:tabs>
          <w:tab w:val="left" w:pos="851"/>
        </w:tabs>
        <w:ind w:left="1134" w:hanging="283"/>
        <w:rPr>
          <w:sz w:val="24"/>
          <w:szCs w:val="24"/>
        </w:rPr>
      </w:pPr>
      <w:r w:rsidRPr="0056508E">
        <w:rPr>
          <w:sz w:val="24"/>
          <w:szCs w:val="24"/>
        </w:rPr>
        <w:t>H2-antagonist (</w:t>
      </w:r>
      <w:proofErr w:type="spellStart"/>
      <w:r w:rsidRPr="0056508E">
        <w:rPr>
          <w:sz w:val="24"/>
          <w:szCs w:val="24"/>
        </w:rPr>
        <w:t>ranitidin</w:t>
      </w:r>
      <w:proofErr w:type="spellEnd"/>
      <w:r w:rsidRPr="0056508E">
        <w:rPr>
          <w:sz w:val="24"/>
          <w:szCs w:val="24"/>
        </w:rPr>
        <w:t xml:space="preserve"> eller tilsvarende) (se pkt. 4.4). </w:t>
      </w:r>
    </w:p>
    <w:p w:rsidR="0056508E" w:rsidRPr="0056508E" w:rsidRDefault="0056508E" w:rsidP="0056508E">
      <w:pPr>
        <w:tabs>
          <w:tab w:val="left" w:pos="851"/>
        </w:tabs>
        <w:ind w:left="851"/>
        <w:rPr>
          <w:sz w:val="24"/>
          <w:szCs w:val="24"/>
        </w:rPr>
      </w:pPr>
    </w:p>
    <w:p w:rsidR="0056508E" w:rsidRPr="0056508E" w:rsidRDefault="0056508E" w:rsidP="0056508E">
      <w:pPr>
        <w:tabs>
          <w:tab w:val="left" w:pos="851"/>
        </w:tabs>
        <w:ind w:left="851"/>
        <w:rPr>
          <w:sz w:val="24"/>
          <w:szCs w:val="24"/>
        </w:rPr>
      </w:pPr>
      <w:proofErr w:type="spellStart"/>
      <w:r w:rsidRPr="0056508E">
        <w:rPr>
          <w:sz w:val="24"/>
          <w:szCs w:val="24"/>
        </w:rPr>
        <w:t>Antiemetisk</w:t>
      </w:r>
      <w:proofErr w:type="spellEnd"/>
      <w:r w:rsidRPr="0056508E">
        <w:rPr>
          <w:sz w:val="24"/>
          <w:szCs w:val="24"/>
        </w:rPr>
        <w:t xml:space="preserve"> profylakse anbefales og kan gives oralt eller intravenøst efter behov.</w:t>
      </w:r>
    </w:p>
    <w:p w:rsidR="0056508E" w:rsidRPr="0056508E" w:rsidRDefault="0056508E" w:rsidP="0056508E">
      <w:pPr>
        <w:tabs>
          <w:tab w:val="left" w:pos="851"/>
        </w:tabs>
        <w:ind w:left="851"/>
        <w:rPr>
          <w:sz w:val="24"/>
          <w:szCs w:val="24"/>
        </w:rPr>
      </w:pPr>
    </w:p>
    <w:p w:rsidR="0056508E" w:rsidRPr="0056508E" w:rsidRDefault="0056508E" w:rsidP="0056508E">
      <w:pPr>
        <w:tabs>
          <w:tab w:val="left" w:pos="851"/>
        </w:tabs>
        <w:ind w:left="851"/>
        <w:rPr>
          <w:sz w:val="24"/>
          <w:szCs w:val="24"/>
        </w:rPr>
      </w:pPr>
      <w:r w:rsidRPr="0056508E">
        <w:rPr>
          <w:sz w:val="24"/>
          <w:szCs w:val="24"/>
        </w:rPr>
        <w:t xml:space="preserve">Under behandlingen skal det sikres, at patienten hydreres tilstrækkeligt for at forebygge </w:t>
      </w:r>
    </w:p>
    <w:p w:rsidR="0056508E" w:rsidRPr="0056508E" w:rsidRDefault="0056508E" w:rsidP="0056508E">
      <w:pPr>
        <w:tabs>
          <w:tab w:val="left" w:pos="851"/>
        </w:tabs>
        <w:ind w:left="851"/>
        <w:rPr>
          <w:sz w:val="24"/>
          <w:szCs w:val="24"/>
        </w:rPr>
      </w:pPr>
      <w:r w:rsidRPr="0056508E">
        <w:rPr>
          <w:sz w:val="24"/>
          <w:szCs w:val="24"/>
        </w:rPr>
        <w:t>komplikationer, såsom nyresvigt.</w:t>
      </w:r>
    </w:p>
    <w:p w:rsidR="0056508E" w:rsidRPr="0056508E" w:rsidRDefault="0056508E" w:rsidP="0056508E">
      <w:pPr>
        <w:tabs>
          <w:tab w:val="left" w:pos="851"/>
        </w:tabs>
        <w:ind w:left="851"/>
        <w:rPr>
          <w:sz w:val="24"/>
          <w:szCs w:val="24"/>
          <w:u w:val="single"/>
        </w:rPr>
      </w:pPr>
    </w:p>
    <w:p w:rsidR="0056508E" w:rsidRPr="00227A12" w:rsidRDefault="0056508E" w:rsidP="0056508E">
      <w:pPr>
        <w:tabs>
          <w:tab w:val="left" w:pos="851"/>
        </w:tabs>
        <w:ind w:left="851"/>
        <w:rPr>
          <w:b/>
          <w:sz w:val="24"/>
          <w:szCs w:val="24"/>
        </w:rPr>
      </w:pPr>
      <w:r w:rsidRPr="00227A12">
        <w:rPr>
          <w:b/>
          <w:sz w:val="24"/>
          <w:szCs w:val="24"/>
        </w:rPr>
        <w:t>Dosering</w:t>
      </w:r>
    </w:p>
    <w:p w:rsidR="0056508E" w:rsidRPr="0056508E" w:rsidRDefault="0056508E" w:rsidP="0056508E">
      <w:pPr>
        <w:tabs>
          <w:tab w:val="left" w:pos="851"/>
        </w:tabs>
        <w:ind w:left="851"/>
        <w:rPr>
          <w:sz w:val="24"/>
          <w:szCs w:val="24"/>
        </w:rPr>
      </w:pPr>
      <w:r w:rsidRPr="0056508E">
        <w:rPr>
          <w:sz w:val="24"/>
          <w:szCs w:val="24"/>
        </w:rPr>
        <w:t xml:space="preserve">Den anbefalede dosis af </w:t>
      </w:r>
      <w:proofErr w:type="spellStart"/>
      <w:r w:rsidRPr="0056508E">
        <w:rPr>
          <w:sz w:val="24"/>
          <w:szCs w:val="24"/>
        </w:rPr>
        <w:t>cabazitaxel</w:t>
      </w:r>
      <w:proofErr w:type="spellEnd"/>
      <w:r w:rsidRPr="0056508E">
        <w:rPr>
          <w:sz w:val="24"/>
          <w:szCs w:val="24"/>
        </w:rPr>
        <w:t xml:space="preserve"> er 25 mg/m</w:t>
      </w:r>
      <w:r w:rsidRPr="0056508E">
        <w:rPr>
          <w:sz w:val="24"/>
          <w:szCs w:val="24"/>
          <w:vertAlign w:val="superscript"/>
        </w:rPr>
        <w:t>2</w:t>
      </w:r>
      <w:r w:rsidRPr="0056508E">
        <w:rPr>
          <w:sz w:val="24"/>
          <w:szCs w:val="24"/>
        </w:rPr>
        <w:t xml:space="preserve"> administreret som 1 times intravenøs infusion hver 3. uge i kombination med oral administration af </w:t>
      </w:r>
      <w:proofErr w:type="spellStart"/>
      <w:r w:rsidRPr="0056508E">
        <w:rPr>
          <w:sz w:val="24"/>
          <w:szCs w:val="24"/>
        </w:rPr>
        <w:t>prednison</w:t>
      </w:r>
      <w:proofErr w:type="spellEnd"/>
      <w:r w:rsidRPr="0056508E">
        <w:rPr>
          <w:sz w:val="24"/>
          <w:szCs w:val="24"/>
        </w:rPr>
        <w:t xml:space="preserve"> eller </w:t>
      </w:r>
      <w:proofErr w:type="spellStart"/>
      <w:r w:rsidRPr="0056508E">
        <w:rPr>
          <w:sz w:val="24"/>
          <w:szCs w:val="24"/>
        </w:rPr>
        <w:t>prednisolon</w:t>
      </w:r>
      <w:proofErr w:type="spellEnd"/>
      <w:r w:rsidRPr="0056508E">
        <w:rPr>
          <w:sz w:val="24"/>
          <w:szCs w:val="24"/>
        </w:rPr>
        <w:t xml:space="preserve"> 10 mg </w:t>
      </w:r>
      <w:r w:rsidR="00C75944">
        <w:rPr>
          <w:sz w:val="24"/>
          <w:szCs w:val="24"/>
        </w:rPr>
        <w:t>daglig</w:t>
      </w:r>
      <w:r w:rsidRPr="0056508E">
        <w:rPr>
          <w:sz w:val="24"/>
          <w:szCs w:val="24"/>
        </w:rPr>
        <w:t xml:space="preserve"> under hele behandlingen.</w:t>
      </w:r>
    </w:p>
    <w:p w:rsidR="0056508E" w:rsidRPr="0056508E" w:rsidRDefault="0056508E" w:rsidP="0056508E">
      <w:pPr>
        <w:tabs>
          <w:tab w:val="left" w:pos="851"/>
        </w:tabs>
        <w:ind w:left="851"/>
        <w:rPr>
          <w:i/>
          <w:sz w:val="24"/>
          <w:szCs w:val="24"/>
        </w:rPr>
      </w:pPr>
    </w:p>
    <w:p w:rsidR="0056508E" w:rsidRPr="0056508E" w:rsidRDefault="0056508E" w:rsidP="0056508E">
      <w:pPr>
        <w:tabs>
          <w:tab w:val="left" w:pos="851"/>
        </w:tabs>
        <w:ind w:left="851"/>
        <w:rPr>
          <w:i/>
          <w:sz w:val="24"/>
          <w:szCs w:val="24"/>
        </w:rPr>
      </w:pPr>
      <w:r w:rsidRPr="0056508E">
        <w:rPr>
          <w:i/>
          <w:sz w:val="24"/>
          <w:szCs w:val="24"/>
        </w:rPr>
        <w:t>Dosisjusteringer</w:t>
      </w:r>
    </w:p>
    <w:p w:rsidR="0056508E" w:rsidRPr="0056508E" w:rsidRDefault="0056508E" w:rsidP="0056508E">
      <w:pPr>
        <w:tabs>
          <w:tab w:val="left" w:pos="851"/>
        </w:tabs>
        <w:ind w:left="851"/>
        <w:rPr>
          <w:iCs/>
          <w:sz w:val="24"/>
          <w:szCs w:val="24"/>
        </w:rPr>
      </w:pPr>
      <w:r w:rsidRPr="0056508E">
        <w:rPr>
          <w:iCs/>
          <w:sz w:val="24"/>
          <w:szCs w:val="24"/>
        </w:rPr>
        <w:t xml:space="preserve">Der bør foretages dosisændringer, hvis patienterne oplever følgende bivirkninger (grader </w:t>
      </w:r>
    </w:p>
    <w:p w:rsidR="0056508E" w:rsidRPr="0056508E" w:rsidRDefault="0056508E" w:rsidP="0056508E">
      <w:pPr>
        <w:tabs>
          <w:tab w:val="left" w:pos="851"/>
        </w:tabs>
        <w:ind w:left="851"/>
        <w:rPr>
          <w:iCs/>
          <w:sz w:val="24"/>
          <w:szCs w:val="24"/>
        </w:rPr>
      </w:pPr>
      <w:r w:rsidRPr="0056508E">
        <w:rPr>
          <w:iCs/>
          <w:sz w:val="24"/>
          <w:szCs w:val="24"/>
        </w:rPr>
        <w:t>refererer til fælles terminologiske kriterier for bivirkninger [CTCAE v4.0]):</w:t>
      </w:r>
    </w:p>
    <w:p w:rsidR="0056508E" w:rsidRPr="0056508E" w:rsidRDefault="0056508E" w:rsidP="0056508E">
      <w:pPr>
        <w:tabs>
          <w:tab w:val="left" w:pos="851"/>
        </w:tabs>
        <w:ind w:left="851"/>
        <w:rPr>
          <w:iCs/>
          <w:sz w:val="24"/>
          <w:szCs w:val="24"/>
        </w:rPr>
      </w:pPr>
    </w:p>
    <w:p w:rsidR="0056508E" w:rsidRPr="0056508E" w:rsidRDefault="0056508E" w:rsidP="0056508E">
      <w:pPr>
        <w:tabs>
          <w:tab w:val="left" w:pos="851"/>
        </w:tabs>
        <w:ind w:left="851"/>
        <w:rPr>
          <w:i/>
          <w:sz w:val="24"/>
          <w:szCs w:val="24"/>
        </w:rPr>
      </w:pPr>
      <w:r w:rsidRPr="0056508E">
        <w:rPr>
          <w:i/>
          <w:sz w:val="24"/>
          <w:szCs w:val="24"/>
        </w:rPr>
        <w:t xml:space="preserve">Tabel 1 - Anbefalede dosisændringer som følge af bivirkninger hos patienter, som behandles med </w:t>
      </w:r>
      <w:proofErr w:type="spellStart"/>
      <w:r w:rsidRPr="0056508E">
        <w:rPr>
          <w:i/>
          <w:sz w:val="24"/>
          <w:szCs w:val="24"/>
        </w:rPr>
        <w:t>Cabazitaxel</w:t>
      </w:r>
      <w:proofErr w:type="spellEnd"/>
    </w:p>
    <w:tbl>
      <w:tblPr>
        <w:tblStyle w:val="Tabel-Gitter"/>
        <w:tblW w:w="9061" w:type="dxa"/>
        <w:tblInd w:w="846" w:type="dxa"/>
        <w:tblLook w:val="04A0" w:firstRow="1" w:lastRow="0" w:firstColumn="1" w:lastColumn="0" w:noHBand="0" w:noVBand="1"/>
      </w:tblPr>
      <w:tblGrid>
        <w:gridCol w:w="4530"/>
        <w:gridCol w:w="4531"/>
      </w:tblGrid>
      <w:tr w:rsidR="0056508E" w:rsidRPr="00D67678" w:rsidTr="004849B7">
        <w:tc>
          <w:tcPr>
            <w:tcW w:w="4530" w:type="dxa"/>
            <w:tcBorders>
              <w:top w:val="single" w:sz="4" w:space="0" w:color="auto"/>
              <w:left w:val="single" w:sz="4" w:space="0" w:color="auto"/>
              <w:bottom w:val="single" w:sz="4" w:space="0" w:color="auto"/>
              <w:right w:val="single" w:sz="4" w:space="0" w:color="auto"/>
            </w:tcBorders>
            <w:hideMark/>
          </w:tcPr>
          <w:p w:rsidR="0056508E" w:rsidRPr="00D67678" w:rsidRDefault="0056508E" w:rsidP="004849B7">
            <w:pPr>
              <w:ind w:left="33"/>
              <w:rPr>
                <w:b/>
                <w:bCs/>
                <w:iCs/>
                <w:sz w:val="22"/>
                <w:szCs w:val="22"/>
              </w:rPr>
            </w:pPr>
            <w:proofErr w:type="spellStart"/>
            <w:r w:rsidRPr="00D67678">
              <w:rPr>
                <w:b/>
                <w:bCs/>
                <w:iCs/>
                <w:sz w:val="22"/>
                <w:szCs w:val="22"/>
              </w:rPr>
              <w:t>Bivirkninger</w:t>
            </w:r>
            <w:proofErr w:type="spellEnd"/>
          </w:p>
        </w:tc>
        <w:tc>
          <w:tcPr>
            <w:tcW w:w="4531" w:type="dxa"/>
            <w:tcBorders>
              <w:top w:val="single" w:sz="4" w:space="0" w:color="auto"/>
              <w:left w:val="single" w:sz="4" w:space="0" w:color="auto"/>
              <w:bottom w:val="single" w:sz="4" w:space="0" w:color="auto"/>
              <w:right w:val="single" w:sz="4" w:space="0" w:color="auto"/>
            </w:tcBorders>
            <w:hideMark/>
          </w:tcPr>
          <w:p w:rsidR="0056508E" w:rsidRPr="00D67678" w:rsidRDefault="0056508E" w:rsidP="007C38BB">
            <w:pPr>
              <w:rPr>
                <w:b/>
                <w:bCs/>
                <w:iCs/>
                <w:sz w:val="22"/>
                <w:szCs w:val="22"/>
              </w:rPr>
            </w:pPr>
            <w:proofErr w:type="spellStart"/>
            <w:r w:rsidRPr="00D67678">
              <w:rPr>
                <w:b/>
                <w:bCs/>
                <w:iCs/>
                <w:sz w:val="22"/>
                <w:szCs w:val="22"/>
              </w:rPr>
              <w:t>Dosisændring</w:t>
            </w:r>
            <w:proofErr w:type="spellEnd"/>
          </w:p>
        </w:tc>
      </w:tr>
      <w:tr w:rsidR="0056508E" w:rsidRPr="00D67678" w:rsidTr="004849B7">
        <w:tc>
          <w:tcPr>
            <w:tcW w:w="4530" w:type="dxa"/>
            <w:tcBorders>
              <w:top w:val="single" w:sz="4" w:space="0" w:color="auto"/>
              <w:left w:val="single" w:sz="4" w:space="0" w:color="auto"/>
              <w:bottom w:val="single" w:sz="4" w:space="0" w:color="auto"/>
              <w:right w:val="single" w:sz="4" w:space="0" w:color="auto"/>
            </w:tcBorders>
            <w:hideMark/>
          </w:tcPr>
          <w:p w:rsidR="0056508E" w:rsidRPr="00D67678" w:rsidRDefault="0056508E" w:rsidP="004849B7">
            <w:pPr>
              <w:ind w:left="33"/>
              <w:rPr>
                <w:iCs/>
                <w:sz w:val="22"/>
                <w:szCs w:val="22"/>
                <w:lang w:val="da-DK"/>
              </w:rPr>
            </w:pPr>
            <w:r w:rsidRPr="00D67678">
              <w:rPr>
                <w:iCs/>
                <w:sz w:val="22"/>
                <w:szCs w:val="22"/>
                <w:lang w:val="da-DK"/>
              </w:rPr>
              <w:t xml:space="preserve">Langvarig grad ≥ 3 </w:t>
            </w:r>
            <w:proofErr w:type="spellStart"/>
            <w:r w:rsidRPr="00D67678">
              <w:rPr>
                <w:iCs/>
                <w:sz w:val="22"/>
                <w:szCs w:val="22"/>
                <w:lang w:val="da-DK"/>
              </w:rPr>
              <w:t>neutropeni</w:t>
            </w:r>
            <w:proofErr w:type="spellEnd"/>
            <w:r w:rsidRPr="00D67678">
              <w:rPr>
                <w:iCs/>
                <w:sz w:val="22"/>
                <w:szCs w:val="22"/>
                <w:lang w:val="da-DK"/>
              </w:rPr>
              <w:t xml:space="preserve"> (længere end</w:t>
            </w:r>
          </w:p>
          <w:p w:rsidR="0056508E" w:rsidRPr="00D67678" w:rsidRDefault="0056508E" w:rsidP="004849B7">
            <w:pPr>
              <w:ind w:left="33"/>
              <w:rPr>
                <w:iCs/>
                <w:sz w:val="22"/>
                <w:szCs w:val="22"/>
                <w:lang w:val="da-DK"/>
              </w:rPr>
            </w:pPr>
            <w:r w:rsidRPr="00D67678">
              <w:rPr>
                <w:iCs/>
                <w:sz w:val="22"/>
                <w:szCs w:val="22"/>
                <w:lang w:val="da-DK"/>
              </w:rPr>
              <w:t xml:space="preserve">1 uge) på trods af passende behandling, </w:t>
            </w:r>
          </w:p>
          <w:p w:rsidR="0056508E" w:rsidRPr="00D67678" w:rsidRDefault="0056508E" w:rsidP="004849B7">
            <w:pPr>
              <w:ind w:left="33"/>
              <w:rPr>
                <w:iCs/>
                <w:sz w:val="22"/>
                <w:szCs w:val="22"/>
              </w:rPr>
            </w:pPr>
            <w:proofErr w:type="spellStart"/>
            <w:r w:rsidRPr="00D67678">
              <w:rPr>
                <w:iCs/>
                <w:sz w:val="22"/>
                <w:szCs w:val="22"/>
              </w:rPr>
              <w:t>inklusive</w:t>
            </w:r>
            <w:proofErr w:type="spellEnd"/>
            <w:r w:rsidRPr="00D67678">
              <w:rPr>
                <w:iCs/>
                <w:sz w:val="22"/>
                <w:szCs w:val="22"/>
              </w:rPr>
              <w:t xml:space="preserve"> G-CSF</w:t>
            </w:r>
          </w:p>
        </w:tc>
        <w:tc>
          <w:tcPr>
            <w:tcW w:w="4531" w:type="dxa"/>
            <w:tcBorders>
              <w:top w:val="single" w:sz="4" w:space="0" w:color="auto"/>
              <w:left w:val="single" w:sz="4" w:space="0" w:color="auto"/>
              <w:bottom w:val="single" w:sz="4" w:space="0" w:color="auto"/>
              <w:right w:val="single" w:sz="4" w:space="0" w:color="auto"/>
            </w:tcBorders>
            <w:hideMark/>
          </w:tcPr>
          <w:p w:rsidR="0056508E" w:rsidRPr="00D67678" w:rsidRDefault="0056508E" w:rsidP="007C38BB">
            <w:pPr>
              <w:rPr>
                <w:iCs/>
                <w:sz w:val="22"/>
                <w:szCs w:val="22"/>
                <w:lang w:val="da-DK"/>
              </w:rPr>
            </w:pPr>
            <w:r w:rsidRPr="00D67678">
              <w:rPr>
                <w:iCs/>
                <w:sz w:val="22"/>
                <w:szCs w:val="22"/>
                <w:lang w:val="da-DK"/>
              </w:rPr>
              <w:t xml:space="preserve">Udsæt behandlingen, indtil </w:t>
            </w:r>
            <w:proofErr w:type="spellStart"/>
            <w:r w:rsidRPr="00D67678">
              <w:rPr>
                <w:iCs/>
                <w:sz w:val="22"/>
                <w:szCs w:val="22"/>
                <w:lang w:val="da-DK"/>
              </w:rPr>
              <w:t>neutrofiltallet</w:t>
            </w:r>
            <w:proofErr w:type="spellEnd"/>
            <w:r w:rsidRPr="00D67678">
              <w:rPr>
                <w:iCs/>
                <w:sz w:val="22"/>
                <w:szCs w:val="22"/>
                <w:lang w:val="da-DK"/>
              </w:rPr>
              <w:t xml:space="preserve"> er</w:t>
            </w:r>
          </w:p>
          <w:p w:rsidR="0056508E" w:rsidRPr="00D67678" w:rsidRDefault="0056508E" w:rsidP="007C38BB">
            <w:pPr>
              <w:rPr>
                <w:iCs/>
                <w:sz w:val="22"/>
                <w:szCs w:val="22"/>
                <w:lang w:val="da-DK"/>
              </w:rPr>
            </w:pPr>
            <w:r w:rsidRPr="00D67678">
              <w:rPr>
                <w:iCs/>
                <w:sz w:val="22"/>
                <w:szCs w:val="22"/>
                <w:lang w:val="da-DK"/>
              </w:rPr>
              <w:t>&gt; 1.500 celler/mm</w:t>
            </w:r>
            <w:r w:rsidRPr="00D67678">
              <w:rPr>
                <w:iCs/>
                <w:sz w:val="22"/>
                <w:szCs w:val="22"/>
                <w:vertAlign w:val="superscript"/>
                <w:lang w:val="da-DK"/>
              </w:rPr>
              <w:t>3</w:t>
            </w:r>
            <w:r w:rsidRPr="00D67678">
              <w:rPr>
                <w:iCs/>
                <w:sz w:val="22"/>
                <w:szCs w:val="22"/>
                <w:lang w:val="da-DK"/>
              </w:rPr>
              <w:t xml:space="preserve">, reducer derpå dosis af </w:t>
            </w:r>
          </w:p>
          <w:p w:rsidR="0056508E" w:rsidRPr="00D67678" w:rsidRDefault="0056508E" w:rsidP="007C38BB">
            <w:pPr>
              <w:rPr>
                <w:iCs/>
                <w:sz w:val="22"/>
                <w:szCs w:val="22"/>
                <w:lang w:val="da-DK"/>
              </w:rPr>
            </w:pPr>
            <w:proofErr w:type="spellStart"/>
            <w:r w:rsidRPr="00D67678">
              <w:rPr>
                <w:iCs/>
                <w:sz w:val="22"/>
                <w:szCs w:val="22"/>
                <w:lang w:val="da-DK"/>
              </w:rPr>
              <w:t>cabazitaxel</w:t>
            </w:r>
            <w:proofErr w:type="spellEnd"/>
            <w:r w:rsidRPr="00D67678">
              <w:rPr>
                <w:iCs/>
                <w:sz w:val="22"/>
                <w:szCs w:val="22"/>
                <w:lang w:val="da-DK"/>
              </w:rPr>
              <w:t xml:space="preserve"> fra 25 mg/m</w:t>
            </w:r>
            <w:r w:rsidRPr="00D67678">
              <w:rPr>
                <w:iCs/>
                <w:sz w:val="22"/>
                <w:szCs w:val="22"/>
                <w:vertAlign w:val="superscript"/>
                <w:lang w:val="da-DK"/>
              </w:rPr>
              <w:t>2</w:t>
            </w:r>
            <w:r w:rsidRPr="00D67678">
              <w:rPr>
                <w:iCs/>
                <w:sz w:val="22"/>
                <w:szCs w:val="22"/>
                <w:lang w:val="da-DK"/>
              </w:rPr>
              <w:t xml:space="preserve"> til 20 mg/m</w:t>
            </w:r>
            <w:r w:rsidRPr="00D67678">
              <w:rPr>
                <w:iCs/>
                <w:sz w:val="22"/>
                <w:szCs w:val="22"/>
                <w:vertAlign w:val="superscript"/>
                <w:lang w:val="da-DK"/>
              </w:rPr>
              <w:t>2</w:t>
            </w:r>
            <w:r w:rsidRPr="00D67678">
              <w:rPr>
                <w:iCs/>
                <w:sz w:val="22"/>
                <w:szCs w:val="22"/>
                <w:lang w:val="da-DK"/>
              </w:rPr>
              <w:t>.</w:t>
            </w:r>
          </w:p>
        </w:tc>
      </w:tr>
      <w:tr w:rsidR="0056508E" w:rsidRPr="00D67678" w:rsidTr="004849B7">
        <w:tc>
          <w:tcPr>
            <w:tcW w:w="4530" w:type="dxa"/>
            <w:tcBorders>
              <w:top w:val="single" w:sz="4" w:space="0" w:color="auto"/>
              <w:left w:val="single" w:sz="4" w:space="0" w:color="auto"/>
              <w:bottom w:val="single" w:sz="4" w:space="0" w:color="auto"/>
              <w:right w:val="single" w:sz="4" w:space="0" w:color="auto"/>
            </w:tcBorders>
            <w:hideMark/>
          </w:tcPr>
          <w:p w:rsidR="0056508E" w:rsidRPr="00D67678" w:rsidRDefault="0056508E" w:rsidP="004849B7">
            <w:pPr>
              <w:ind w:left="33"/>
              <w:rPr>
                <w:iCs/>
                <w:sz w:val="22"/>
                <w:szCs w:val="22"/>
              </w:rPr>
            </w:pPr>
            <w:proofErr w:type="spellStart"/>
            <w:r w:rsidRPr="00D67678">
              <w:rPr>
                <w:iCs/>
                <w:sz w:val="22"/>
                <w:szCs w:val="22"/>
              </w:rPr>
              <w:t>Febril</w:t>
            </w:r>
            <w:proofErr w:type="spellEnd"/>
            <w:r w:rsidRPr="00D67678">
              <w:rPr>
                <w:iCs/>
                <w:sz w:val="22"/>
                <w:szCs w:val="22"/>
              </w:rPr>
              <w:t xml:space="preserve"> </w:t>
            </w:r>
            <w:proofErr w:type="spellStart"/>
            <w:r w:rsidRPr="00D67678">
              <w:rPr>
                <w:iCs/>
                <w:sz w:val="22"/>
                <w:szCs w:val="22"/>
              </w:rPr>
              <w:t>neutropeni</w:t>
            </w:r>
            <w:proofErr w:type="spellEnd"/>
            <w:r w:rsidRPr="00D67678">
              <w:rPr>
                <w:iCs/>
                <w:sz w:val="22"/>
                <w:szCs w:val="22"/>
              </w:rPr>
              <w:t xml:space="preserve"> </w:t>
            </w:r>
            <w:proofErr w:type="spellStart"/>
            <w:r w:rsidRPr="00D67678">
              <w:rPr>
                <w:iCs/>
                <w:sz w:val="22"/>
                <w:szCs w:val="22"/>
              </w:rPr>
              <w:t>eller</w:t>
            </w:r>
            <w:proofErr w:type="spellEnd"/>
            <w:r w:rsidRPr="00D67678">
              <w:rPr>
                <w:iCs/>
                <w:sz w:val="22"/>
                <w:szCs w:val="22"/>
              </w:rPr>
              <w:t xml:space="preserve"> </w:t>
            </w:r>
            <w:proofErr w:type="spellStart"/>
            <w:r w:rsidRPr="00D67678">
              <w:rPr>
                <w:iCs/>
                <w:sz w:val="22"/>
                <w:szCs w:val="22"/>
              </w:rPr>
              <w:t>neutropenisk</w:t>
            </w:r>
            <w:proofErr w:type="spellEnd"/>
            <w:r w:rsidRPr="00D67678">
              <w:rPr>
                <w:iCs/>
                <w:sz w:val="22"/>
                <w:szCs w:val="22"/>
              </w:rPr>
              <w:t xml:space="preserve"> </w:t>
            </w:r>
            <w:proofErr w:type="spellStart"/>
            <w:r w:rsidRPr="00D67678">
              <w:rPr>
                <w:iCs/>
                <w:sz w:val="22"/>
                <w:szCs w:val="22"/>
              </w:rPr>
              <w:t>infektion</w:t>
            </w:r>
            <w:proofErr w:type="spellEnd"/>
          </w:p>
        </w:tc>
        <w:tc>
          <w:tcPr>
            <w:tcW w:w="4531" w:type="dxa"/>
            <w:tcBorders>
              <w:top w:val="single" w:sz="4" w:space="0" w:color="auto"/>
              <w:left w:val="single" w:sz="4" w:space="0" w:color="auto"/>
              <w:bottom w:val="single" w:sz="4" w:space="0" w:color="auto"/>
              <w:right w:val="single" w:sz="4" w:space="0" w:color="auto"/>
            </w:tcBorders>
            <w:hideMark/>
          </w:tcPr>
          <w:p w:rsidR="0056508E" w:rsidRPr="00D67678" w:rsidRDefault="0056508E" w:rsidP="007C38BB">
            <w:pPr>
              <w:rPr>
                <w:sz w:val="22"/>
                <w:szCs w:val="22"/>
                <w:lang w:val="da-DK"/>
              </w:rPr>
            </w:pPr>
            <w:r w:rsidRPr="00D67678">
              <w:rPr>
                <w:sz w:val="22"/>
                <w:szCs w:val="22"/>
                <w:lang w:val="da-DK"/>
              </w:rPr>
              <w:t xml:space="preserve">Udsæt behandlingen indtil bedring eller ophør og indtil </w:t>
            </w:r>
            <w:proofErr w:type="spellStart"/>
            <w:r w:rsidRPr="00D67678">
              <w:rPr>
                <w:sz w:val="22"/>
                <w:szCs w:val="22"/>
                <w:lang w:val="da-DK"/>
              </w:rPr>
              <w:t>neutrofiltallet</w:t>
            </w:r>
            <w:proofErr w:type="spellEnd"/>
            <w:r w:rsidRPr="00D67678">
              <w:rPr>
                <w:sz w:val="22"/>
                <w:szCs w:val="22"/>
                <w:lang w:val="da-DK"/>
              </w:rPr>
              <w:t xml:space="preserve"> er &gt;1.500 celler/mm</w:t>
            </w:r>
            <w:r w:rsidRPr="00D67678">
              <w:rPr>
                <w:sz w:val="22"/>
                <w:szCs w:val="22"/>
                <w:vertAlign w:val="superscript"/>
                <w:lang w:val="da-DK"/>
              </w:rPr>
              <w:t>3</w:t>
            </w:r>
            <w:r w:rsidRPr="00D67678">
              <w:rPr>
                <w:sz w:val="22"/>
                <w:szCs w:val="22"/>
                <w:lang w:val="da-DK"/>
              </w:rPr>
              <w:t xml:space="preserve">. </w:t>
            </w:r>
          </w:p>
          <w:p w:rsidR="0056508E" w:rsidRPr="00D67678" w:rsidRDefault="0056508E" w:rsidP="007C38BB">
            <w:pPr>
              <w:rPr>
                <w:iCs/>
                <w:sz w:val="22"/>
                <w:szCs w:val="22"/>
                <w:lang w:val="da-DK"/>
              </w:rPr>
            </w:pPr>
            <w:r w:rsidRPr="00D67678">
              <w:rPr>
                <w:sz w:val="22"/>
                <w:szCs w:val="22"/>
                <w:lang w:val="fr-LU"/>
              </w:rPr>
              <w:t>Reducer derpå dosis af cabazitaxel fra 25 mg/m</w:t>
            </w:r>
            <w:r w:rsidRPr="00D67678">
              <w:rPr>
                <w:sz w:val="22"/>
                <w:szCs w:val="22"/>
                <w:vertAlign w:val="superscript"/>
                <w:lang w:val="fr-LU"/>
              </w:rPr>
              <w:t>2</w:t>
            </w:r>
            <w:r w:rsidRPr="00D67678">
              <w:rPr>
                <w:sz w:val="22"/>
                <w:szCs w:val="22"/>
                <w:lang w:val="fr-LU"/>
              </w:rPr>
              <w:t xml:space="preserve"> til 20 mg/m</w:t>
            </w:r>
            <w:r w:rsidRPr="00D67678">
              <w:rPr>
                <w:sz w:val="22"/>
                <w:szCs w:val="22"/>
                <w:vertAlign w:val="superscript"/>
                <w:lang w:val="fr-LU"/>
              </w:rPr>
              <w:t>2</w:t>
            </w:r>
            <w:r w:rsidRPr="00D67678">
              <w:rPr>
                <w:sz w:val="22"/>
                <w:szCs w:val="22"/>
                <w:lang w:val="fr-LU"/>
              </w:rPr>
              <w:t xml:space="preserve">. </w:t>
            </w:r>
          </w:p>
        </w:tc>
      </w:tr>
      <w:tr w:rsidR="0056508E" w:rsidRPr="00D67678" w:rsidTr="004849B7">
        <w:tc>
          <w:tcPr>
            <w:tcW w:w="4530" w:type="dxa"/>
            <w:tcBorders>
              <w:top w:val="single" w:sz="4" w:space="0" w:color="auto"/>
              <w:left w:val="single" w:sz="4" w:space="0" w:color="auto"/>
              <w:bottom w:val="single" w:sz="4" w:space="0" w:color="auto"/>
              <w:right w:val="single" w:sz="4" w:space="0" w:color="auto"/>
            </w:tcBorders>
            <w:hideMark/>
          </w:tcPr>
          <w:p w:rsidR="0056508E" w:rsidRPr="00D67678" w:rsidRDefault="0056508E" w:rsidP="004849B7">
            <w:pPr>
              <w:ind w:left="33"/>
              <w:rPr>
                <w:sz w:val="22"/>
                <w:szCs w:val="22"/>
                <w:lang w:val="da-DK"/>
              </w:rPr>
            </w:pPr>
            <w:r w:rsidRPr="00D67678">
              <w:rPr>
                <w:sz w:val="22"/>
                <w:szCs w:val="22"/>
                <w:lang w:val="da-DK"/>
              </w:rPr>
              <w:t xml:space="preserve">Grad ≥3 diarré eller vedvarende diarré </w:t>
            </w:r>
          </w:p>
          <w:p w:rsidR="0056508E" w:rsidRPr="00D67678" w:rsidRDefault="0056508E" w:rsidP="004849B7">
            <w:pPr>
              <w:ind w:left="33"/>
              <w:rPr>
                <w:iCs/>
                <w:sz w:val="22"/>
                <w:szCs w:val="22"/>
                <w:lang w:val="da-DK"/>
              </w:rPr>
            </w:pPr>
            <w:r w:rsidRPr="00D67678">
              <w:rPr>
                <w:sz w:val="22"/>
                <w:szCs w:val="22"/>
                <w:lang w:val="fr-LU"/>
              </w:rPr>
              <w:t xml:space="preserve">på trods af hensigtsmæssig medicinering, inklusive væske og elektrolyterstatning </w:t>
            </w:r>
          </w:p>
        </w:tc>
        <w:tc>
          <w:tcPr>
            <w:tcW w:w="4531" w:type="dxa"/>
            <w:tcBorders>
              <w:top w:val="single" w:sz="4" w:space="0" w:color="auto"/>
              <w:left w:val="single" w:sz="4" w:space="0" w:color="auto"/>
              <w:bottom w:val="single" w:sz="4" w:space="0" w:color="auto"/>
              <w:right w:val="single" w:sz="4" w:space="0" w:color="auto"/>
            </w:tcBorders>
            <w:hideMark/>
          </w:tcPr>
          <w:p w:rsidR="0056508E" w:rsidRPr="00D67678" w:rsidRDefault="0056508E" w:rsidP="007C38BB">
            <w:pPr>
              <w:rPr>
                <w:sz w:val="22"/>
                <w:szCs w:val="22"/>
                <w:lang w:val="da-DK"/>
              </w:rPr>
            </w:pPr>
            <w:r w:rsidRPr="00D67678">
              <w:rPr>
                <w:sz w:val="22"/>
                <w:szCs w:val="22"/>
                <w:lang w:val="da-DK"/>
              </w:rPr>
              <w:t xml:space="preserve">Udsæt behandlingen indtil bedring eller ophør og reducer derpå dosis af </w:t>
            </w:r>
            <w:proofErr w:type="spellStart"/>
            <w:r w:rsidRPr="00D67678">
              <w:rPr>
                <w:sz w:val="22"/>
                <w:szCs w:val="22"/>
                <w:lang w:val="da-DK"/>
              </w:rPr>
              <w:t>cabazitaxel</w:t>
            </w:r>
            <w:proofErr w:type="spellEnd"/>
            <w:r w:rsidRPr="00D67678">
              <w:rPr>
                <w:sz w:val="22"/>
                <w:szCs w:val="22"/>
                <w:lang w:val="da-DK"/>
              </w:rPr>
              <w:t xml:space="preserve"> fra 25 mg/m</w:t>
            </w:r>
            <w:r w:rsidRPr="000A4685">
              <w:rPr>
                <w:sz w:val="22"/>
                <w:szCs w:val="22"/>
                <w:vertAlign w:val="superscript"/>
                <w:lang w:val="da-DK"/>
              </w:rPr>
              <w:t>2</w:t>
            </w:r>
            <w:r w:rsidRPr="00D67678">
              <w:rPr>
                <w:sz w:val="22"/>
                <w:szCs w:val="22"/>
                <w:lang w:val="da-DK"/>
              </w:rPr>
              <w:t xml:space="preserve"> til 20 mg/m</w:t>
            </w:r>
            <w:r w:rsidRPr="00D67678">
              <w:rPr>
                <w:sz w:val="22"/>
                <w:szCs w:val="22"/>
                <w:vertAlign w:val="superscript"/>
                <w:lang w:val="da-DK"/>
              </w:rPr>
              <w:t>2</w:t>
            </w:r>
            <w:r w:rsidRPr="00D67678">
              <w:rPr>
                <w:sz w:val="22"/>
                <w:szCs w:val="22"/>
                <w:lang w:val="da-DK"/>
              </w:rPr>
              <w:t xml:space="preserve">. </w:t>
            </w:r>
          </w:p>
        </w:tc>
      </w:tr>
      <w:tr w:rsidR="0056508E" w:rsidRPr="00D67678" w:rsidTr="004849B7">
        <w:tc>
          <w:tcPr>
            <w:tcW w:w="4530" w:type="dxa"/>
            <w:tcBorders>
              <w:top w:val="single" w:sz="4" w:space="0" w:color="auto"/>
              <w:left w:val="single" w:sz="4" w:space="0" w:color="auto"/>
              <w:bottom w:val="single" w:sz="4" w:space="0" w:color="auto"/>
              <w:right w:val="single" w:sz="4" w:space="0" w:color="auto"/>
            </w:tcBorders>
          </w:tcPr>
          <w:p w:rsidR="0056508E" w:rsidRPr="00D67678" w:rsidRDefault="0056508E" w:rsidP="004849B7">
            <w:pPr>
              <w:ind w:left="33"/>
              <w:rPr>
                <w:sz w:val="22"/>
                <w:szCs w:val="22"/>
              </w:rPr>
            </w:pPr>
            <w:r w:rsidRPr="00D67678">
              <w:rPr>
                <w:sz w:val="22"/>
                <w:szCs w:val="22"/>
              </w:rPr>
              <w:t xml:space="preserve">Grad &gt;2 </w:t>
            </w:r>
            <w:proofErr w:type="spellStart"/>
            <w:r w:rsidRPr="00D67678">
              <w:rPr>
                <w:sz w:val="22"/>
                <w:szCs w:val="22"/>
              </w:rPr>
              <w:t>perifer</w:t>
            </w:r>
            <w:proofErr w:type="spellEnd"/>
            <w:r w:rsidRPr="00D67678">
              <w:rPr>
                <w:sz w:val="22"/>
                <w:szCs w:val="22"/>
              </w:rPr>
              <w:t xml:space="preserve"> </w:t>
            </w:r>
            <w:proofErr w:type="spellStart"/>
            <w:r w:rsidRPr="00D67678">
              <w:rPr>
                <w:sz w:val="22"/>
                <w:szCs w:val="22"/>
              </w:rPr>
              <w:t>neuropati</w:t>
            </w:r>
            <w:proofErr w:type="spellEnd"/>
            <w:r w:rsidRPr="00D67678">
              <w:rPr>
                <w:sz w:val="22"/>
                <w:szCs w:val="22"/>
              </w:rPr>
              <w:t xml:space="preserve"> </w:t>
            </w:r>
          </w:p>
          <w:p w:rsidR="0056508E" w:rsidRPr="00D67678" w:rsidRDefault="0056508E" w:rsidP="004849B7">
            <w:pPr>
              <w:ind w:left="33"/>
              <w:rPr>
                <w:iCs/>
                <w:sz w:val="22"/>
                <w:szCs w:val="22"/>
              </w:rPr>
            </w:pPr>
          </w:p>
        </w:tc>
        <w:tc>
          <w:tcPr>
            <w:tcW w:w="4531" w:type="dxa"/>
            <w:tcBorders>
              <w:top w:val="single" w:sz="4" w:space="0" w:color="auto"/>
              <w:left w:val="single" w:sz="4" w:space="0" w:color="auto"/>
              <w:bottom w:val="single" w:sz="4" w:space="0" w:color="auto"/>
              <w:right w:val="single" w:sz="4" w:space="0" w:color="auto"/>
            </w:tcBorders>
          </w:tcPr>
          <w:p w:rsidR="0056508E" w:rsidRPr="00D67678" w:rsidRDefault="0056508E" w:rsidP="007C38BB">
            <w:pPr>
              <w:rPr>
                <w:sz w:val="22"/>
                <w:szCs w:val="22"/>
                <w:lang w:val="da-DK"/>
              </w:rPr>
            </w:pPr>
            <w:r w:rsidRPr="00D67678">
              <w:rPr>
                <w:sz w:val="22"/>
                <w:szCs w:val="22"/>
                <w:lang w:val="da-DK"/>
              </w:rPr>
              <w:t xml:space="preserve">Udsæt behandling indtil der ses bedring, reducér derefter dosis af </w:t>
            </w:r>
            <w:proofErr w:type="spellStart"/>
            <w:r w:rsidRPr="00D67678">
              <w:rPr>
                <w:sz w:val="22"/>
                <w:szCs w:val="22"/>
                <w:lang w:val="da-DK"/>
              </w:rPr>
              <w:t>cabazitaxel</w:t>
            </w:r>
            <w:proofErr w:type="spellEnd"/>
            <w:r w:rsidRPr="00D67678">
              <w:rPr>
                <w:sz w:val="22"/>
                <w:szCs w:val="22"/>
                <w:lang w:val="da-DK"/>
              </w:rPr>
              <w:t xml:space="preserve"> fra 25 mg/m</w:t>
            </w:r>
            <w:r w:rsidRPr="00D67678">
              <w:rPr>
                <w:sz w:val="22"/>
                <w:szCs w:val="22"/>
                <w:vertAlign w:val="superscript"/>
                <w:lang w:val="da-DK"/>
              </w:rPr>
              <w:t>2</w:t>
            </w:r>
            <w:r w:rsidRPr="00D67678">
              <w:rPr>
                <w:sz w:val="22"/>
                <w:szCs w:val="22"/>
                <w:lang w:val="da-DK"/>
              </w:rPr>
              <w:t xml:space="preserve"> til 20 mg/m</w:t>
            </w:r>
            <w:r w:rsidRPr="00D67678">
              <w:rPr>
                <w:sz w:val="22"/>
                <w:szCs w:val="22"/>
                <w:vertAlign w:val="superscript"/>
                <w:lang w:val="da-DK"/>
              </w:rPr>
              <w:t xml:space="preserve">2 </w:t>
            </w:r>
          </w:p>
          <w:p w:rsidR="0056508E" w:rsidRPr="00D67678" w:rsidRDefault="0056508E" w:rsidP="007C38BB">
            <w:pPr>
              <w:rPr>
                <w:iCs/>
                <w:sz w:val="22"/>
                <w:szCs w:val="22"/>
                <w:lang w:val="da-DK"/>
              </w:rPr>
            </w:pPr>
          </w:p>
        </w:tc>
      </w:tr>
    </w:tbl>
    <w:p w:rsidR="0056508E" w:rsidRPr="0056508E" w:rsidRDefault="0056508E" w:rsidP="0056508E">
      <w:pPr>
        <w:tabs>
          <w:tab w:val="left" w:pos="851"/>
        </w:tabs>
        <w:ind w:left="851"/>
        <w:rPr>
          <w:iCs/>
          <w:sz w:val="24"/>
          <w:szCs w:val="24"/>
        </w:rPr>
      </w:pPr>
    </w:p>
    <w:p w:rsidR="0056508E" w:rsidRPr="0056508E" w:rsidRDefault="0056508E" w:rsidP="0056508E">
      <w:pPr>
        <w:tabs>
          <w:tab w:val="left" w:pos="851"/>
        </w:tabs>
        <w:ind w:left="851"/>
        <w:rPr>
          <w:iCs/>
          <w:sz w:val="24"/>
          <w:szCs w:val="24"/>
        </w:rPr>
      </w:pPr>
      <w:r w:rsidRPr="0056508E">
        <w:rPr>
          <w:iCs/>
          <w:sz w:val="24"/>
          <w:szCs w:val="24"/>
        </w:rPr>
        <w:t>Hvis patienten fortsat oplever nogen af disse reaktioner ved 20 mg/m</w:t>
      </w:r>
      <w:r w:rsidRPr="0056508E">
        <w:rPr>
          <w:iCs/>
          <w:sz w:val="24"/>
          <w:szCs w:val="24"/>
          <w:vertAlign w:val="superscript"/>
        </w:rPr>
        <w:t>2</w:t>
      </w:r>
      <w:r w:rsidRPr="0056508E">
        <w:rPr>
          <w:iCs/>
          <w:sz w:val="24"/>
          <w:szCs w:val="24"/>
        </w:rPr>
        <w:t>, bør yderligere dosisreduktion til 15 mg/m</w:t>
      </w:r>
      <w:r w:rsidRPr="0056508E">
        <w:rPr>
          <w:iCs/>
          <w:sz w:val="24"/>
          <w:szCs w:val="24"/>
          <w:vertAlign w:val="superscript"/>
        </w:rPr>
        <w:t>2</w:t>
      </w:r>
      <w:r w:rsidRPr="0056508E">
        <w:rPr>
          <w:iCs/>
          <w:sz w:val="24"/>
          <w:szCs w:val="24"/>
        </w:rPr>
        <w:t xml:space="preserve"> eller </w:t>
      </w:r>
      <w:proofErr w:type="spellStart"/>
      <w:r w:rsidRPr="0056508E">
        <w:rPr>
          <w:iCs/>
          <w:sz w:val="24"/>
          <w:szCs w:val="24"/>
        </w:rPr>
        <w:t>seponering</w:t>
      </w:r>
      <w:proofErr w:type="spellEnd"/>
      <w:r w:rsidRPr="0056508E">
        <w:rPr>
          <w:iCs/>
          <w:sz w:val="24"/>
          <w:szCs w:val="24"/>
        </w:rPr>
        <w:t xml:space="preserve"> af </w:t>
      </w:r>
      <w:proofErr w:type="spellStart"/>
      <w:r w:rsidRPr="0056508E">
        <w:rPr>
          <w:iCs/>
          <w:sz w:val="24"/>
          <w:szCs w:val="24"/>
        </w:rPr>
        <w:t>cabazitaxel</w:t>
      </w:r>
      <w:proofErr w:type="spellEnd"/>
      <w:r w:rsidRPr="0056508E">
        <w:rPr>
          <w:iCs/>
          <w:sz w:val="24"/>
          <w:szCs w:val="24"/>
        </w:rPr>
        <w:t xml:space="preserve"> overvejes. Data for patienter, der får en dosis under 20 mg/m</w:t>
      </w:r>
      <w:r w:rsidRPr="0056508E">
        <w:rPr>
          <w:iCs/>
          <w:sz w:val="24"/>
          <w:szCs w:val="24"/>
          <w:vertAlign w:val="superscript"/>
        </w:rPr>
        <w:t>2</w:t>
      </w:r>
      <w:r w:rsidRPr="0056508E">
        <w:rPr>
          <w:iCs/>
          <w:sz w:val="24"/>
          <w:szCs w:val="24"/>
        </w:rPr>
        <w:t>, er begrænsede.</w:t>
      </w:r>
    </w:p>
    <w:p w:rsidR="0056508E" w:rsidRPr="0056508E" w:rsidRDefault="0056508E" w:rsidP="0056508E">
      <w:pPr>
        <w:tabs>
          <w:tab w:val="left" w:pos="851"/>
        </w:tabs>
        <w:ind w:left="851"/>
        <w:rPr>
          <w:iCs/>
          <w:sz w:val="24"/>
          <w:szCs w:val="24"/>
        </w:rPr>
      </w:pPr>
    </w:p>
    <w:p w:rsidR="0056508E" w:rsidRPr="007C38BB" w:rsidRDefault="0056508E" w:rsidP="0056508E">
      <w:pPr>
        <w:tabs>
          <w:tab w:val="left" w:pos="851"/>
        </w:tabs>
        <w:ind w:left="851"/>
        <w:rPr>
          <w:sz w:val="24"/>
          <w:szCs w:val="24"/>
          <w:u w:val="single"/>
        </w:rPr>
      </w:pPr>
      <w:r w:rsidRPr="007C38BB">
        <w:rPr>
          <w:sz w:val="24"/>
          <w:szCs w:val="24"/>
          <w:u w:val="single"/>
        </w:rPr>
        <w:t>Særlige populationer</w:t>
      </w:r>
    </w:p>
    <w:p w:rsidR="0056508E" w:rsidRPr="0056508E" w:rsidRDefault="0056508E" w:rsidP="0056508E">
      <w:pPr>
        <w:tabs>
          <w:tab w:val="left" w:pos="851"/>
        </w:tabs>
        <w:ind w:left="851"/>
        <w:rPr>
          <w:i/>
          <w:sz w:val="24"/>
          <w:szCs w:val="24"/>
          <w:u w:val="single"/>
        </w:rPr>
      </w:pPr>
    </w:p>
    <w:p w:rsidR="0056508E" w:rsidRPr="0056508E" w:rsidRDefault="0056508E" w:rsidP="0056508E">
      <w:pPr>
        <w:tabs>
          <w:tab w:val="left" w:pos="851"/>
        </w:tabs>
        <w:ind w:left="851"/>
        <w:rPr>
          <w:i/>
          <w:sz w:val="24"/>
          <w:szCs w:val="24"/>
        </w:rPr>
      </w:pPr>
      <w:r w:rsidRPr="0056508E">
        <w:rPr>
          <w:i/>
          <w:sz w:val="24"/>
          <w:szCs w:val="24"/>
        </w:rPr>
        <w:t>Nedsat leverfunktion</w:t>
      </w:r>
    </w:p>
    <w:p w:rsidR="0056508E" w:rsidRPr="0056508E" w:rsidRDefault="0056508E" w:rsidP="0056508E">
      <w:pPr>
        <w:tabs>
          <w:tab w:val="left" w:pos="851"/>
        </w:tabs>
        <w:ind w:left="851"/>
        <w:rPr>
          <w:iCs/>
          <w:sz w:val="24"/>
          <w:szCs w:val="24"/>
        </w:rPr>
      </w:pPr>
      <w:proofErr w:type="spellStart"/>
      <w:r w:rsidRPr="0056508E">
        <w:rPr>
          <w:iCs/>
          <w:sz w:val="24"/>
          <w:szCs w:val="24"/>
        </w:rPr>
        <w:t>Cabazitaxel</w:t>
      </w:r>
      <w:proofErr w:type="spellEnd"/>
      <w:r w:rsidRPr="0056508E">
        <w:rPr>
          <w:iCs/>
          <w:sz w:val="24"/>
          <w:szCs w:val="24"/>
        </w:rPr>
        <w:t xml:space="preserve"> </w:t>
      </w:r>
      <w:proofErr w:type="spellStart"/>
      <w:r w:rsidRPr="0056508E">
        <w:rPr>
          <w:iCs/>
          <w:sz w:val="24"/>
          <w:szCs w:val="24"/>
        </w:rPr>
        <w:t>metaboliseres</w:t>
      </w:r>
      <w:proofErr w:type="spellEnd"/>
      <w:r w:rsidRPr="0056508E">
        <w:rPr>
          <w:iCs/>
          <w:sz w:val="24"/>
          <w:szCs w:val="24"/>
        </w:rPr>
        <w:t xml:space="preserve"> i udtalt grad i leveren. Patienter med let nedsat leverfunktion (total-bilirubin &gt; 1 til ≤ 1,5 x øvre normalgrænse (ULN) eller </w:t>
      </w:r>
      <w:proofErr w:type="spellStart"/>
      <w:r w:rsidRPr="0056508E">
        <w:rPr>
          <w:iCs/>
          <w:sz w:val="24"/>
          <w:szCs w:val="24"/>
        </w:rPr>
        <w:t>aspartat-aminotransferase</w:t>
      </w:r>
      <w:proofErr w:type="spellEnd"/>
      <w:r w:rsidRPr="0056508E">
        <w:rPr>
          <w:iCs/>
          <w:sz w:val="24"/>
          <w:szCs w:val="24"/>
        </w:rPr>
        <w:t xml:space="preserve"> (ASAT) &gt; 1,5 x ULN) skal have reduceret dosis af </w:t>
      </w:r>
      <w:proofErr w:type="spellStart"/>
      <w:r w:rsidRPr="0056508E">
        <w:rPr>
          <w:iCs/>
          <w:sz w:val="24"/>
          <w:szCs w:val="24"/>
        </w:rPr>
        <w:t>cabazitaxel</w:t>
      </w:r>
      <w:proofErr w:type="spellEnd"/>
      <w:r w:rsidRPr="0056508E">
        <w:rPr>
          <w:iCs/>
          <w:sz w:val="24"/>
          <w:szCs w:val="24"/>
        </w:rPr>
        <w:t xml:space="preserve"> til 20 mg/m</w:t>
      </w:r>
      <w:r w:rsidRPr="0056508E">
        <w:rPr>
          <w:iCs/>
          <w:sz w:val="24"/>
          <w:szCs w:val="24"/>
          <w:vertAlign w:val="superscript"/>
        </w:rPr>
        <w:t>2</w:t>
      </w:r>
      <w:r w:rsidRPr="0056508E">
        <w:rPr>
          <w:iCs/>
          <w:sz w:val="24"/>
          <w:szCs w:val="24"/>
        </w:rPr>
        <w:t xml:space="preserve">. </w:t>
      </w:r>
      <w:r w:rsidRPr="0056508E">
        <w:rPr>
          <w:iCs/>
          <w:sz w:val="24"/>
          <w:szCs w:val="24"/>
        </w:rPr>
        <w:lastRenderedPageBreak/>
        <w:t xml:space="preserve">Administration af </w:t>
      </w:r>
      <w:proofErr w:type="spellStart"/>
      <w:r w:rsidRPr="0056508E">
        <w:rPr>
          <w:iCs/>
          <w:sz w:val="24"/>
          <w:szCs w:val="24"/>
        </w:rPr>
        <w:t>cabazitaxel</w:t>
      </w:r>
      <w:proofErr w:type="spellEnd"/>
      <w:r w:rsidRPr="0056508E">
        <w:rPr>
          <w:iCs/>
          <w:sz w:val="24"/>
          <w:szCs w:val="24"/>
        </w:rPr>
        <w:t xml:space="preserve"> til patienter med let nedsat leverfunktion skal foretages med forsigtighed og under tæt monitorering af sikkerheden.</w:t>
      </w:r>
    </w:p>
    <w:p w:rsidR="0056508E" w:rsidRPr="0056508E" w:rsidRDefault="0056508E" w:rsidP="0056508E">
      <w:pPr>
        <w:tabs>
          <w:tab w:val="left" w:pos="851"/>
        </w:tabs>
        <w:ind w:left="851"/>
        <w:rPr>
          <w:iCs/>
          <w:sz w:val="24"/>
          <w:szCs w:val="24"/>
        </w:rPr>
      </w:pPr>
      <w:r w:rsidRPr="0056508E">
        <w:rPr>
          <w:iCs/>
          <w:sz w:val="24"/>
          <w:szCs w:val="24"/>
        </w:rPr>
        <w:t>Hos patienter med moderat nedsat leverfunktion (total-bilirubin &gt;1,5 til ≤3,0 x ULN) var den maksimale tolererede dosis (MTD) 15 mg/m</w:t>
      </w:r>
      <w:r w:rsidRPr="00156AA6">
        <w:rPr>
          <w:iCs/>
          <w:sz w:val="24"/>
          <w:szCs w:val="24"/>
          <w:vertAlign w:val="superscript"/>
        </w:rPr>
        <w:t>2</w:t>
      </w:r>
      <w:r w:rsidRPr="0056508E">
        <w:rPr>
          <w:iCs/>
          <w:sz w:val="24"/>
          <w:szCs w:val="24"/>
        </w:rPr>
        <w:t xml:space="preserve">. Hvis behandling af patienter med moderat nedsat leverfunktion planlægges, bør dosis af </w:t>
      </w:r>
      <w:proofErr w:type="spellStart"/>
      <w:r w:rsidRPr="0056508E">
        <w:rPr>
          <w:iCs/>
          <w:sz w:val="24"/>
          <w:szCs w:val="24"/>
        </w:rPr>
        <w:t>cabazitaxel</w:t>
      </w:r>
      <w:proofErr w:type="spellEnd"/>
      <w:r w:rsidRPr="0056508E">
        <w:rPr>
          <w:iCs/>
          <w:sz w:val="24"/>
          <w:szCs w:val="24"/>
        </w:rPr>
        <w:t xml:space="preserve"> ikke overstige 15</w:t>
      </w:r>
      <w:r w:rsidR="000A4685">
        <w:rPr>
          <w:iCs/>
          <w:sz w:val="24"/>
          <w:szCs w:val="24"/>
        </w:rPr>
        <w:t> </w:t>
      </w:r>
      <w:r w:rsidRPr="0056508E">
        <w:rPr>
          <w:iCs/>
          <w:sz w:val="24"/>
          <w:szCs w:val="24"/>
        </w:rPr>
        <w:t>mg/m</w:t>
      </w:r>
      <w:r w:rsidRPr="00F61926">
        <w:rPr>
          <w:iCs/>
          <w:sz w:val="24"/>
          <w:szCs w:val="24"/>
          <w:vertAlign w:val="superscript"/>
        </w:rPr>
        <w:t>2</w:t>
      </w:r>
      <w:r w:rsidR="00F61926">
        <w:rPr>
          <w:iCs/>
          <w:sz w:val="24"/>
          <w:szCs w:val="24"/>
        </w:rPr>
        <w:t xml:space="preserve">. </w:t>
      </w:r>
      <w:r w:rsidRPr="0056508E">
        <w:rPr>
          <w:iCs/>
          <w:sz w:val="24"/>
          <w:szCs w:val="24"/>
        </w:rPr>
        <w:t>Der findes dog kun begrænsede data om effekten ved denne dosis.</w:t>
      </w:r>
    </w:p>
    <w:p w:rsidR="0056508E" w:rsidRPr="0056508E" w:rsidRDefault="0056508E" w:rsidP="0056508E">
      <w:pPr>
        <w:tabs>
          <w:tab w:val="left" w:pos="851"/>
        </w:tabs>
        <w:ind w:left="851"/>
        <w:rPr>
          <w:iCs/>
          <w:sz w:val="24"/>
          <w:szCs w:val="24"/>
        </w:rPr>
      </w:pPr>
      <w:proofErr w:type="spellStart"/>
      <w:r w:rsidRPr="0056508E">
        <w:rPr>
          <w:iCs/>
          <w:sz w:val="24"/>
          <w:szCs w:val="24"/>
        </w:rPr>
        <w:t>Cabazitaxel</w:t>
      </w:r>
      <w:proofErr w:type="spellEnd"/>
      <w:r w:rsidRPr="0056508E">
        <w:rPr>
          <w:iCs/>
          <w:sz w:val="24"/>
          <w:szCs w:val="24"/>
        </w:rPr>
        <w:t xml:space="preserve"> "</w:t>
      </w:r>
      <w:proofErr w:type="spellStart"/>
      <w:r w:rsidRPr="0056508E">
        <w:rPr>
          <w:iCs/>
          <w:sz w:val="24"/>
          <w:szCs w:val="24"/>
        </w:rPr>
        <w:t>Stada</w:t>
      </w:r>
      <w:proofErr w:type="spellEnd"/>
      <w:r w:rsidRPr="0056508E">
        <w:rPr>
          <w:iCs/>
          <w:sz w:val="24"/>
          <w:szCs w:val="24"/>
        </w:rPr>
        <w:t>"</w:t>
      </w:r>
      <w:r w:rsidR="00F61926">
        <w:rPr>
          <w:iCs/>
          <w:sz w:val="24"/>
          <w:szCs w:val="24"/>
        </w:rPr>
        <w:t xml:space="preserve"> </w:t>
      </w:r>
      <w:r w:rsidRPr="0056508E">
        <w:rPr>
          <w:iCs/>
          <w:sz w:val="24"/>
          <w:szCs w:val="24"/>
        </w:rPr>
        <w:t>bør ikke gives til patienter med svært nedsat leverfunktion (total-bilirubin &gt; 3 x ULN) (se pkt. 4.3, 4.4 og 5.2).</w:t>
      </w:r>
    </w:p>
    <w:p w:rsidR="0056508E" w:rsidRPr="0056508E" w:rsidRDefault="0056508E" w:rsidP="0056508E">
      <w:pPr>
        <w:tabs>
          <w:tab w:val="left" w:pos="851"/>
        </w:tabs>
        <w:ind w:left="851"/>
        <w:rPr>
          <w:iCs/>
          <w:sz w:val="24"/>
          <w:szCs w:val="24"/>
        </w:rPr>
      </w:pPr>
    </w:p>
    <w:p w:rsidR="0056508E" w:rsidRPr="0056508E" w:rsidRDefault="0056508E" w:rsidP="0056508E">
      <w:pPr>
        <w:tabs>
          <w:tab w:val="left" w:pos="851"/>
        </w:tabs>
        <w:ind w:left="851"/>
        <w:rPr>
          <w:i/>
          <w:sz w:val="24"/>
          <w:szCs w:val="24"/>
        </w:rPr>
      </w:pPr>
      <w:r w:rsidRPr="0056508E">
        <w:rPr>
          <w:i/>
          <w:sz w:val="24"/>
          <w:szCs w:val="24"/>
        </w:rPr>
        <w:t>Nedsat nyrefunktion</w:t>
      </w:r>
    </w:p>
    <w:p w:rsidR="0056508E" w:rsidRPr="0056508E" w:rsidRDefault="0056508E" w:rsidP="0056508E">
      <w:pPr>
        <w:tabs>
          <w:tab w:val="left" w:pos="851"/>
        </w:tabs>
        <w:ind w:left="851"/>
        <w:rPr>
          <w:iCs/>
          <w:sz w:val="24"/>
          <w:szCs w:val="24"/>
        </w:rPr>
      </w:pPr>
      <w:proofErr w:type="spellStart"/>
      <w:r w:rsidRPr="0056508E">
        <w:rPr>
          <w:iCs/>
          <w:sz w:val="24"/>
          <w:szCs w:val="24"/>
        </w:rPr>
        <w:t>Cabazitaxels</w:t>
      </w:r>
      <w:proofErr w:type="spellEnd"/>
      <w:r w:rsidRPr="0056508E">
        <w:rPr>
          <w:iCs/>
          <w:sz w:val="24"/>
          <w:szCs w:val="24"/>
        </w:rPr>
        <w:t xml:space="preserve"> udskillelse gennem nyrerne er minimal. Dosisjustering er ikke nødvendig hos patienter med nedsat nyrefunktion, der ikke kræver hæmodialyse. Patienter med nyresygdom i terminalstadie (</w:t>
      </w:r>
      <w:proofErr w:type="spellStart"/>
      <w:r w:rsidRPr="0056508E">
        <w:rPr>
          <w:iCs/>
          <w:sz w:val="24"/>
          <w:szCs w:val="24"/>
        </w:rPr>
        <w:t>kreatinin</w:t>
      </w:r>
      <w:proofErr w:type="spellEnd"/>
      <w:r w:rsidRPr="0056508E">
        <w:rPr>
          <w:iCs/>
          <w:sz w:val="24"/>
          <w:szCs w:val="24"/>
        </w:rPr>
        <w:t xml:space="preserve"> </w:t>
      </w:r>
      <w:proofErr w:type="spellStart"/>
      <w:r w:rsidRPr="0056508E">
        <w:rPr>
          <w:iCs/>
          <w:sz w:val="24"/>
          <w:szCs w:val="24"/>
        </w:rPr>
        <w:t>clearance</w:t>
      </w:r>
      <w:proofErr w:type="spellEnd"/>
      <w:r w:rsidRPr="0056508E">
        <w:rPr>
          <w:iCs/>
          <w:sz w:val="24"/>
          <w:szCs w:val="24"/>
        </w:rPr>
        <w:t xml:space="preserve"> (CLCR)&lt; 15 ml/min/1.73 m</w:t>
      </w:r>
      <w:r w:rsidRPr="0056508E">
        <w:rPr>
          <w:iCs/>
          <w:sz w:val="24"/>
          <w:szCs w:val="24"/>
          <w:vertAlign w:val="superscript"/>
        </w:rPr>
        <w:t>2</w:t>
      </w:r>
      <w:r w:rsidRPr="0056508E">
        <w:rPr>
          <w:iCs/>
          <w:sz w:val="24"/>
          <w:szCs w:val="24"/>
        </w:rPr>
        <w:t>) skal på baggrund af deres tilstand og de begrænsede tilgængelige data behandles med forsigtighed og monitoreres omhyggeligt under behandlingen (se pkt. 4.4 og 5.2).</w:t>
      </w:r>
    </w:p>
    <w:p w:rsidR="0056508E" w:rsidRPr="0056508E" w:rsidRDefault="0056508E" w:rsidP="0056508E">
      <w:pPr>
        <w:tabs>
          <w:tab w:val="left" w:pos="851"/>
        </w:tabs>
        <w:ind w:left="851"/>
        <w:rPr>
          <w:iCs/>
          <w:sz w:val="24"/>
          <w:szCs w:val="24"/>
        </w:rPr>
      </w:pPr>
    </w:p>
    <w:p w:rsidR="0056508E" w:rsidRPr="0056508E" w:rsidRDefault="0056508E" w:rsidP="0056508E">
      <w:pPr>
        <w:tabs>
          <w:tab w:val="left" w:pos="851"/>
        </w:tabs>
        <w:ind w:left="851"/>
        <w:rPr>
          <w:i/>
          <w:sz w:val="24"/>
          <w:szCs w:val="24"/>
        </w:rPr>
      </w:pPr>
      <w:r w:rsidRPr="0056508E">
        <w:rPr>
          <w:i/>
          <w:sz w:val="24"/>
          <w:szCs w:val="24"/>
        </w:rPr>
        <w:t>Ældre</w:t>
      </w:r>
    </w:p>
    <w:p w:rsidR="0056508E" w:rsidRPr="0056508E" w:rsidRDefault="0056508E" w:rsidP="0056508E">
      <w:pPr>
        <w:tabs>
          <w:tab w:val="left" w:pos="851"/>
        </w:tabs>
        <w:ind w:left="851"/>
        <w:rPr>
          <w:iCs/>
          <w:sz w:val="24"/>
          <w:szCs w:val="24"/>
        </w:rPr>
      </w:pPr>
      <w:r w:rsidRPr="0056508E">
        <w:rPr>
          <w:iCs/>
          <w:sz w:val="24"/>
          <w:szCs w:val="24"/>
        </w:rPr>
        <w:t xml:space="preserve">Der anbefales ingen specifikke dosisjusteringer for anvendelse af </w:t>
      </w:r>
      <w:proofErr w:type="spellStart"/>
      <w:r w:rsidRPr="0056508E">
        <w:rPr>
          <w:iCs/>
          <w:sz w:val="24"/>
          <w:szCs w:val="24"/>
        </w:rPr>
        <w:t>cabazitaxel</w:t>
      </w:r>
      <w:proofErr w:type="spellEnd"/>
      <w:r w:rsidRPr="0056508E">
        <w:rPr>
          <w:iCs/>
          <w:sz w:val="24"/>
          <w:szCs w:val="24"/>
        </w:rPr>
        <w:t xml:space="preserve"> hos ældre patienter (se også pkt. 4.4, 4.8 og 5.2).</w:t>
      </w:r>
    </w:p>
    <w:p w:rsidR="0056508E" w:rsidRPr="0056508E" w:rsidRDefault="0056508E" w:rsidP="0056508E">
      <w:pPr>
        <w:tabs>
          <w:tab w:val="left" w:pos="851"/>
        </w:tabs>
        <w:ind w:left="851"/>
        <w:rPr>
          <w:iCs/>
          <w:sz w:val="24"/>
          <w:szCs w:val="24"/>
        </w:rPr>
      </w:pPr>
    </w:p>
    <w:p w:rsidR="0056508E" w:rsidRPr="0056508E" w:rsidRDefault="0056508E" w:rsidP="0056508E">
      <w:pPr>
        <w:tabs>
          <w:tab w:val="left" w:pos="851"/>
        </w:tabs>
        <w:ind w:left="851"/>
        <w:rPr>
          <w:sz w:val="24"/>
          <w:szCs w:val="24"/>
        </w:rPr>
      </w:pPr>
      <w:r w:rsidRPr="0056508E">
        <w:rPr>
          <w:i/>
          <w:iCs/>
          <w:sz w:val="24"/>
          <w:szCs w:val="24"/>
        </w:rPr>
        <w:t xml:space="preserve">Samtidig anvendelse af andre lægemidler </w:t>
      </w:r>
    </w:p>
    <w:p w:rsidR="0056508E" w:rsidRPr="0056508E" w:rsidRDefault="0056508E" w:rsidP="0056508E">
      <w:pPr>
        <w:tabs>
          <w:tab w:val="left" w:pos="851"/>
        </w:tabs>
        <w:ind w:left="851"/>
        <w:rPr>
          <w:sz w:val="24"/>
          <w:szCs w:val="24"/>
          <w:lang w:val="fr-LU"/>
        </w:rPr>
      </w:pPr>
      <w:r w:rsidRPr="0056508E">
        <w:rPr>
          <w:sz w:val="24"/>
          <w:szCs w:val="24"/>
          <w:lang w:val="fr-LU"/>
        </w:rPr>
        <w:t>Samtidig behandling med lægemidler, der er potente induktorer eller potente hæmmere af CYP3A, bør undgås. Såfremt patienter har behov for samtidig administration af en potent CYP3A-hæmmer, skal 25</w:t>
      </w:r>
      <w:r w:rsidR="008A63AB">
        <w:rPr>
          <w:sz w:val="24"/>
          <w:szCs w:val="24"/>
          <w:lang w:val="fr-LU"/>
        </w:rPr>
        <w:t xml:space="preserve"> %</w:t>
      </w:r>
      <w:r w:rsidRPr="0056508E">
        <w:rPr>
          <w:sz w:val="24"/>
          <w:szCs w:val="24"/>
          <w:lang w:val="fr-LU"/>
        </w:rPr>
        <w:t xml:space="preserve"> reduktion af cabazitaxeldosis overvejes (se pkt. 4.4 og 4.5).</w:t>
      </w:r>
    </w:p>
    <w:p w:rsidR="0056508E" w:rsidRPr="0056508E" w:rsidRDefault="0056508E" w:rsidP="0056508E">
      <w:pPr>
        <w:tabs>
          <w:tab w:val="left" w:pos="851"/>
        </w:tabs>
        <w:ind w:left="851"/>
        <w:rPr>
          <w:iCs/>
          <w:sz w:val="24"/>
          <w:szCs w:val="24"/>
        </w:rPr>
      </w:pPr>
    </w:p>
    <w:p w:rsidR="0056508E" w:rsidRPr="0056508E" w:rsidRDefault="0056508E" w:rsidP="0056508E">
      <w:pPr>
        <w:tabs>
          <w:tab w:val="left" w:pos="851"/>
        </w:tabs>
        <w:ind w:left="851"/>
        <w:rPr>
          <w:i/>
          <w:sz w:val="24"/>
          <w:szCs w:val="24"/>
        </w:rPr>
      </w:pPr>
      <w:r w:rsidRPr="0056508E">
        <w:rPr>
          <w:i/>
          <w:sz w:val="24"/>
          <w:szCs w:val="24"/>
        </w:rPr>
        <w:t>Pædiatrisk population</w:t>
      </w:r>
    </w:p>
    <w:p w:rsidR="0056508E" w:rsidRPr="0056508E" w:rsidRDefault="0056508E" w:rsidP="0056508E">
      <w:pPr>
        <w:tabs>
          <w:tab w:val="left" w:pos="851"/>
        </w:tabs>
        <w:ind w:left="851"/>
        <w:rPr>
          <w:iCs/>
          <w:sz w:val="24"/>
          <w:szCs w:val="24"/>
        </w:rPr>
      </w:pPr>
      <w:r w:rsidRPr="0056508E">
        <w:rPr>
          <w:iCs/>
          <w:sz w:val="24"/>
          <w:szCs w:val="24"/>
        </w:rPr>
        <w:t xml:space="preserve">Der er ingen relevant anvendelse af </w:t>
      </w:r>
      <w:proofErr w:type="spellStart"/>
      <w:r w:rsidRPr="0056508E">
        <w:rPr>
          <w:iCs/>
          <w:sz w:val="24"/>
          <w:szCs w:val="24"/>
        </w:rPr>
        <w:t>cabazitaxel</w:t>
      </w:r>
      <w:proofErr w:type="spellEnd"/>
      <w:r w:rsidRPr="0056508E">
        <w:rPr>
          <w:iCs/>
          <w:sz w:val="24"/>
          <w:szCs w:val="24"/>
        </w:rPr>
        <w:t xml:space="preserve"> i den pædiatriske population.</w:t>
      </w:r>
    </w:p>
    <w:p w:rsidR="0056508E" w:rsidRPr="0056508E" w:rsidRDefault="0056508E" w:rsidP="0056508E">
      <w:pPr>
        <w:tabs>
          <w:tab w:val="left" w:pos="851"/>
        </w:tabs>
        <w:ind w:left="851"/>
        <w:rPr>
          <w:iCs/>
          <w:sz w:val="24"/>
          <w:szCs w:val="24"/>
        </w:rPr>
      </w:pPr>
      <w:proofErr w:type="spellStart"/>
      <w:r w:rsidRPr="0056508E">
        <w:rPr>
          <w:iCs/>
          <w:sz w:val="24"/>
          <w:szCs w:val="24"/>
        </w:rPr>
        <w:t>Cabazitaxels</w:t>
      </w:r>
      <w:proofErr w:type="spellEnd"/>
      <w:r w:rsidRPr="0056508E">
        <w:rPr>
          <w:iCs/>
          <w:sz w:val="24"/>
          <w:szCs w:val="24"/>
        </w:rPr>
        <w:t xml:space="preserve"> sikkerhed og virkning hos børn og unge under 18 år er ikke klarlagt. Der foreligger ingen data (se pkt. 5.1).</w:t>
      </w:r>
    </w:p>
    <w:p w:rsidR="0056508E" w:rsidRPr="0056508E" w:rsidRDefault="0056508E" w:rsidP="0056508E">
      <w:pPr>
        <w:tabs>
          <w:tab w:val="left" w:pos="851"/>
        </w:tabs>
        <w:ind w:left="851"/>
        <w:rPr>
          <w:iCs/>
          <w:sz w:val="24"/>
          <w:szCs w:val="24"/>
        </w:rPr>
      </w:pPr>
    </w:p>
    <w:p w:rsidR="0056508E" w:rsidRPr="00227A12" w:rsidRDefault="0056508E" w:rsidP="0056508E">
      <w:pPr>
        <w:tabs>
          <w:tab w:val="left" w:pos="851"/>
        </w:tabs>
        <w:ind w:left="851"/>
        <w:rPr>
          <w:b/>
          <w:iCs/>
          <w:sz w:val="24"/>
          <w:szCs w:val="24"/>
        </w:rPr>
      </w:pPr>
      <w:r w:rsidRPr="00227A12">
        <w:rPr>
          <w:b/>
          <w:iCs/>
          <w:sz w:val="24"/>
          <w:szCs w:val="24"/>
        </w:rPr>
        <w:t>Administration</w:t>
      </w:r>
    </w:p>
    <w:p w:rsidR="0056508E" w:rsidRPr="0056508E" w:rsidRDefault="0056508E" w:rsidP="0056508E">
      <w:pPr>
        <w:tabs>
          <w:tab w:val="left" w:pos="851"/>
        </w:tabs>
        <w:ind w:left="851"/>
        <w:rPr>
          <w:iCs/>
          <w:sz w:val="24"/>
          <w:szCs w:val="24"/>
        </w:rPr>
      </w:pPr>
      <w:r w:rsidRPr="0056508E">
        <w:rPr>
          <w:iCs/>
          <w:sz w:val="24"/>
          <w:szCs w:val="24"/>
        </w:rPr>
        <w:t xml:space="preserve">For instruktioner i klargøring og administration af </w:t>
      </w:r>
      <w:r w:rsidR="00BD22E0">
        <w:rPr>
          <w:iCs/>
          <w:sz w:val="24"/>
          <w:szCs w:val="24"/>
        </w:rPr>
        <w:t>lægemidlet,</w:t>
      </w:r>
      <w:r w:rsidRPr="0056508E">
        <w:rPr>
          <w:iCs/>
          <w:sz w:val="24"/>
          <w:szCs w:val="24"/>
        </w:rPr>
        <w:t xml:space="preserve"> se pkt. 6.6</w:t>
      </w:r>
      <w:r w:rsidR="00BD22E0">
        <w:rPr>
          <w:iCs/>
          <w:sz w:val="24"/>
          <w:szCs w:val="24"/>
        </w:rPr>
        <w:t>.</w:t>
      </w:r>
    </w:p>
    <w:p w:rsidR="0056508E" w:rsidRPr="0056508E" w:rsidRDefault="0056508E" w:rsidP="0056508E">
      <w:pPr>
        <w:tabs>
          <w:tab w:val="left" w:pos="851"/>
        </w:tabs>
        <w:ind w:left="851"/>
        <w:rPr>
          <w:iCs/>
          <w:sz w:val="24"/>
          <w:szCs w:val="24"/>
        </w:rPr>
      </w:pPr>
      <w:r w:rsidRPr="0056508E">
        <w:rPr>
          <w:iCs/>
          <w:sz w:val="24"/>
          <w:szCs w:val="24"/>
        </w:rPr>
        <w:t xml:space="preserve">Brug ikke PVC infusionsbeholdere og infusionssæt i </w:t>
      </w:r>
      <w:proofErr w:type="spellStart"/>
      <w:r w:rsidRPr="0056508E">
        <w:rPr>
          <w:iCs/>
          <w:sz w:val="24"/>
          <w:szCs w:val="24"/>
        </w:rPr>
        <w:t>polyurethan</w:t>
      </w:r>
      <w:proofErr w:type="spellEnd"/>
      <w:r w:rsidRPr="0056508E">
        <w:rPr>
          <w:iCs/>
          <w:sz w:val="24"/>
          <w:szCs w:val="24"/>
        </w:rPr>
        <w:t>.</w:t>
      </w:r>
    </w:p>
    <w:p w:rsidR="0056508E" w:rsidRPr="0056508E" w:rsidRDefault="0056508E" w:rsidP="0056508E">
      <w:pPr>
        <w:tabs>
          <w:tab w:val="left" w:pos="851"/>
        </w:tabs>
        <w:ind w:left="851"/>
        <w:rPr>
          <w:iCs/>
          <w:sz w:val="24"/>
          <w:szCs w:val="24"/>
        </w:rPr>
      </w:pPr>
      <w:proofErr w:type="spellStart"/>
      <w:r w:rsidRPr="0056508E">
        <w:rPr>
          <w:iCs/>
          <w:sz w:val="24"/>
          <w:szCs w:val="24"/>
        </w:rPr>
        <w:t>Cabazitaxel</w:t>
      </w:r>
      <w:proofErr w:type="spellEnd"/>
      <w:r w:rsidRPr="0056508E">
        <w:rPr>
          <w:iCs/>
          <w:sz w:val="24"/>
          <w:szCs w:val="24"/>
        </w:rPr>
        <w:t xml:space="preserve"> må ikke blandes med andre lægemidler end dem, der er nævnt i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9D4081" w:rsidRPr="009D4081" w:rsidRDefault="009D4081" w:rsidP="009D4081">
      <w:pPr>
        <w:numPr>
          <w:ilvl w:val="0"/>
          <w:numId w:val="6"/>
        </w:numPr>
        <w:tabs>
          <w:tab w:val="left" w:pos="851"/>
        </w:tabs>
        <w:ind w:left="1134" w:hanging="283"/>
        <w:rPr>
          <w:sz w:val="24"/>
          <w:szCs w:val="24"/>
        </w:rPr>
      </w:pPr>
      <w:r w:rsidRPr="009D4081">
        <w:rPr>
          <w:sz w:val="24"/>
          <w:szCs w:val="24"/>
        </w:rPr>
        <w:t xml:space="preserve">Overfølsomhed over for </w:t>
      </w:r>
      <w:proofErr w:type="spellStart"/>
      <w:r w:rsidRPr="009D4081">
        <w:rPr>
          <w:sz w:val="24"/>
          <w:szCs w:val="24"/>
        </w:rPr>
        <w:t>cabazitaxel</w:t>
      </w:r>
      <w:proofErr w:type="spellEnd"/>
      <w:r w:rsidRPr="009D4081">
        <w:rPr>
          <w:sz w:val="24"/>
          <w:szCs w:val="24"/>
        </w:rPr>
        <w:t xml:space="preserve">, andre </w:t>
      </w:r>
      <w:proofErr w:type="spellStart"/>
      <w:r w:rsidRPr="009D4081">
        <w:rPr>
          <w:sz w:val="24"/>
          <w:szCs w:val="24"/>
        </w:rPr>
        <w:t>taxaner</w:t>
      </w:r>
      <w:proofErr w:type="spellEnd"/>
      <w:r w:rsidRPr="009D4081">
        <w:rPr>
          <w:sz w:val="24"/>
          <w:szCs w:val="24"/>
        </w:rPr>
        <w:t xml:space="preserve"> eller overfor et eller flere af hjælpestofferne anført i pkt. 6.1.</w:t>
      </w:r>
    </w:p>
    <w:p w:rsidR="009D4081" w:rsidRPr="009D4081" w:rsidRDefault="009D4081" w:rsidP="009D4081">
      <w:pPr>
        <w:numPr>
          <w:ilvl w:val="0"/>
          <w:numId w:val="6"/>
        </w:numPr>
        <w:tabs>
          <w:tab w:val="left" w:pos="851"/>
        </w:tabs>
        <w:ind w:left="1134" w:hanging="283"/>
        <w:rPr>
          <w:sz w:val="24"/>
          <w:szCs w:val="24"/>
        </w:rPr>
      </w:pPr>
      <w:proofErr w:type="spellStart"/>
      <w:r w:rsidRPr="009D4081">
        <w:rPr>
          <w:sz w:val="24"/>
          <w:szCs w:val="24"/>
        </w:rPr>
        <w:t>Neutrofiltal</w:t>
      </w:r>
      <w:proofErr w:type="spellEnd"/>
      <w:r w:rsidRPr="009D4081">
        <w:rPr>
          <w:sz w:val="24"/>
          <w:szCs w:val="24"/>
        </w:rPr>
        <w:t xml:space="preserve"> på under 1.500/mm</w:t>
      </w:r>
      <w:r w:rsidRPr="009D4081">
        <w:rPr>
          <w:sz w:val="24"/>
          <w:szCs w:val="24"/>
          <w:vertAlign w:val="superscript"/>
        </w:rPr>
        <w:t>3</w:t>
      </w:r>
      <w:r w:rsidRPr="009D4081">
        <w:rPr>
          <w:sz w:val="24"/>
          <w:szCs w:val="24"/>
        </w:rPr>
        <w:t>.</w:t>
      </w:r>
    </w:p>
    <w:p w:rsidR="009D4081" w:rsidRPr="009D4081" w:rsidRDefault="009D4081" w:rsidP="009D4081">
      <w:pPr>
        <w:numPr>
          <w:ilvl w:val="0"/>
          <w:numId w:val="6"/>
        </w:numPr>
        <w:tabs>
          <w:tab w:val="left" w:pos="851"/>
        </w:tabs>
        <w:ind w:left="1134" w:hanging="283"/>
        <w:rPr>
          <w:sz w:val="24"/>
          <w:szCs w:val="24"/>
        </w:rPr>
      </w:pPr>
      <w:r w:rsidRPr="009D4081">
        <w:rPr>
          <w:sz w:val="24"/>
          <w:szCs w:val="24"/>
        </w:rPr>
        <w:t>Svært nedsat leverfunktion (total-bilirubin &gt; 3 x ULN).</w:t>
      </w:r>
    </w:p>
    <w:p w:rsidR="009D4081" w:rsidRPr="009D4081" w:rsidRDefault="009D4081" w:rsidP="009D4081">
      <w:pPr>
        <w:numPr>
          <w:ilvl w:val="0"/>
          <w:numId w:val="6"/>
        </w:numPr>
        <w:tabs>
          <w:tab w:val="left" w:pos="851"/>
        </w:tabs>
        <w:ind w:left="1134" w:hanging="283"/>
        <w:rPr>
          <w:sz w:val="24"/>
          <w:szCs w:val="24"/>
        </w:rPr>
      </w:pPr>
      <w:r w:rsidRPr="009D4081">
        <w:rPr>
          <w:sz w:val="24"/>
          <w:szCs w:val="24"/>
        </w:rPr>
        <w:t>Samtidig vaccination med vaccine mod gul feber (se pkt. 4.5).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D4081" w:rsidRPr="009D4081" w:rsidRDefault="009D4081" w:rsidP="009D4081">
      <w:pPr>
        <w:tabs>
          <w:tab w:val="left" w:pos="851"/>
        </w:tabs>
        <w:ind w:left="851"/>
        <w:rPr>
          <w:sz w:val="24"/>
          <w:szCs w:val="24"/>
        </w:rPr>
      </w:pPr>
    </w:p>
    <w:p w:rsidR="009D4081" w:rsidRPr="009D4081" w:rsidRDefault="009D4081" w:rsidP="009D4081">
      <w:pPr>
        <w:tabs>
          <w:tab w:val="left" w:pos="851"/>
        </w:tabs>
        <w:ind w:left="851"/>
        <w:rPr>
          <w:sz w:val="24"/>
          <w:szCs w:val="24"/>
          <w:u w:val="single"/>
        </w:rPr>
      </w:pPr>
      <w:r w:rsidRPr="009D4081">
        <w:rPr>
          <w:sz w:val="24"/>
          <w:szCs w:val="24"/>
          <w:u w:val="single"/>
        </w:rPr>
        <w:t>Overfølsomhedsreaktioner</w:t>
      </w:r>
    </w:p>
    <w:p w:rsidR="009D4081" w:rsidRPr="009D4081" w:rsidRDefault="009D4081" w:rsidP="009D4081">
      <w:pPr>
        <w:tabs>
          <w:tab w:val="left" w:pos="851"/>
        </w:tabs>
        <w:ind w:left="851"/>
        <w:rPr>
          <w:sz w:val="24"/>
          <w:szCs w:val="24"/>
        </w:rPr>
      </w:pPr>
      <w:r w:rsidRPr="009D4081">
        <w:rPr>
          <w:sz w:val="24"/>
          <w:szCs w:val="24"/>
        </w:rPr>
        <w:t xml:space="preserve">Alle patienter skal præmedicineres, inden infusionen af </w:t>
      </w:r>
      <w:proofErr w:type="spellStart"/>
      <w:r w:rsidRPr="009D4081">
        <w:rPr>
          <w:sz w:val="24"/>
          <w:szCs w:val="24"/>
        </w:rPr>
        <w:t>cabazitaxel</w:t>
      </w:r>
      <w:proofErr w:type="spellEnd"/>
      <w:r w:rsidRPr="009D4081">
        <w:rPr>
          <w:sz w:val="24"/>
          <w:szCs w:val="24"/>
        </w:rPr>
        <w:t xml:space="preserve"> påbegyndes (se pkt. 4.2).</w:t>
      </w:r>
    </w:p>
    <w:p w:rsidR="009D4081" w:rsidRPr="009D4081" w:rsidRDefault="009D4081" w:rsidP="009D4081">
      <w:pPr>
        <w:tabs>
          <w:tab w:val="left" w:pos="851"/>
        </w:tabs>
        <w:ind w:left="851"/>
        <w:rPr>
          <w:sz w:val="24"/>
          <w:szCs w:val="24"/>
        </w:rPr>
      </w:pPr>
      <w:r w:rsidRPr="009D4081">
        <w:rPr>
          <w:sz w:val="24"/>
          <w:szCs w:val="24"/>
        </w:rPr>
        <w:t xml:space="preserve">Patienter skal observeres nøje for overfølsomhedsreaktioner, især under første og anden infusion. Overfølsomhedsreaktioner kan forekomme inden for nogle få minutter efter, at infusionen af </w:t>
      </w:r>
      <w:proofErr w:type="spellStart"/>
      <w:r w:rsidRPr="009D4081">
        <w:rPr>
          <w:sz w:val="24"/>
          <w:szCs w:val="24"/>
        </w:rPr>
        <w:t>cabazitaxel</w:t>
      </w:r>
      <w:proofErr w:type="spellEnd"/>
      <w:r w:rsidRPr="009D4081">
        <w:rPr>
          <w:sz w:val="24"/>
          <w:szCs w:val="24"/>
        </w:rPr>
        <w:t xml:space="preserve"> er påbegyndt, så faciliteter og udstyr til behandling af hypotension og </w:t>
      </w:r>
      <w:proofErr w:type="spellStart"/>
      <w:r w:rsidRPr="009D4081">
        <w:rPr>
          <w:sz w:val="24"/>
          <w:szCs w:val="24"/>
        </w:rPr>
        <w:t>bronkospasme</w:t>
      </w:r>
      <w:proofErr w:type="spellEnd"/>
      <w:r w:rsidRPr="009D4081">
        <w:rPr>
          <w:sz w:val="24"/>
          <w:szCs w:val="24"/>
        </w:rPr>
        <w:t xml:space="preserve"> bør være tilgængelige. Svære reaktioner kan forekomme og kan omfatte generaliseret udslæt/</w:t>
      </w:r>
      <w:proofErr w:type="spellStart"/>
      <w:r w:rsidRPr="009D4081">
        <w:rPr>
          <w:sz w:val="24"/>
          <w:szCs w:val="24"/>
        </w:rPr>
        <w:t>erytem</w:t>
      </w:r>
      <w:proofErr w:type="spellEnd"/>
      <w:r w:rsidRPr="009D4081">
        <w:rPr>
          <w:sz w:val="24"/>
          <w:szCs w:val="24"/>
        </w:rPr>
        <w:t xml:space="preserve">, hypotension og </w:t>
      </w:r>
      <w:proofErr w:type="spellStart"/>
      <w:r w:rsidRPr="009D4081">
        <w:rPr>
          <w:sz w:val="24"/>
          <w:szCs w:val="24"/>
        </w:rPr>
        <w:t>bronkospasme</w:t>
      </w:r>
      <w:proofErr w:type="spellEnd"/>
      <w:r w:rsidRPr="009D4081">
        <w:rPr>
          <w:sz w:val="24"/>
          <w:szCs w:val="24"/>
        </w:rPr>
        <w:t xml:space="preserve">. I tilfælde af svære overfølsomhedsreaktioner skal </w:t>
      </w:r>
      <w:proofErr w:type="spellStart"/>
      <w:r w:rsidRPr="009D4081">
        <w:rPr>
          <w:sz w:val="24"/>
          <w:szCs w:val="24"/>
        </w:rPr>
        <w:t>cabazitaxel</w:t>
      </w:r>
      <w:proofErr w:type="spellEnd"/>
      <w:r w:rsidRPr="009D4081">
        <w:rPr>
          <w:sz w:val="24"/>
          <w:szCs w:val="24"/>
        </w:rPr>
        <w:t xml:space="preserve"> seponeres med det samme, og der skal gives passende behandling. Hos patienter med overfølsomhedsreaktioner skal behandling med </w:t>
      </w:r>
      <w:proofErr w:type="spellStart"/>
      <w:r w:rsidRPr="009D4081">
        <w:rPr>
          <w:sz w:val="24"/>
          <w:szCs w:val="24"/>
        </w:rPr>
        <w:t>cabazitaxel</w:t>
      </w:r>
      <w:proofErr w:type="spellEnd"/>
      <w:r w:rsidRPr="009D4081">
        <w:rPr>
          <w:sz w:val="24"/>
          <w:szCs w:val="24"/>
        </w:rPr>
        <w:t xml:space="preserve"> seponeres (se pkt. 4.3).</w:t>
      </w:r>
    </w:p>
    <w:p w:rsidR="009D4081" w:rsidRPr="009D4081" w:rsidRDefault="009D4081" w:rsidP="009D4081">
      <w:pPr>
        <w:tabs>
          <w:tab w:val="left" w:pos="851"/>
        </w:tabs>
        <w:ind w:left="851"/>
        <w:rPr>
          <w:sz w:val="24"/>
          <w:szCs w:val="24"/>
        </w:rPr>
      </w:pPr>
    </w:p>
    <w:p w:rsidR="009D4081" w:rsidRPr="009D4081" w:rsidRDefault="009D4081" w:rsidP="009D4081">
      <w:pPr>
        <w:tabs>
          <w:tab w:val="left" w:pos="851"/>
        </w:tabs>
        <w:ind w:left="851"/>
        <w:rPr>
          <w:sz w:val="24"/>
          <w:szCs w:val="24"/>
          <w:u w:val="single"/>
        </w:rPr>
      </w:pPr>
      <w:r w:rsidRPr="009D4081">
        <w:rPr>
          <w:sz w:val="24"/>
          <w:szCs w:val="24"/>
          <w:u w:val="single"/>
        </w:rPr>
        <w:t>Knoglemarvsdepression</w:t>
      </w:r>
    </w:p>
    <w:p w:rsidR="009D4081" w:rsidRPr="009D4081" w:rsidRDefault="009D4081" w:rsidP="009D4081">
      <w:pPr>
        <w:tabs>
          <w:tab w:val="left" w:pos="851"/>
        </w:tabs>
        <w:ind w:left="851"/>
        <w:rPr>
          <w:sz w:val="24"/>
          <w:szCs w:val="24"/>
        </w:rPr>
      </w:pPr>
      <w:r w:rsidRPr="009D4081">
        <w:rPr>
          <w:sz w:val="24"/>
          <w:szCs w:val="24"/>
        </w:rPr>
        <w:t xml:space="preserve">Knoglemarvsdepression manifesteret som </w:t>
      </w:r>
      <w:proofErr w:type="spellStart"/>
      <w:r w:rsidRPr="009D4081">
        <w:rPr>
          <w:sz w:val="24"/>
          <w:szCs w:val="24"/>
        </w:rPr>
        <w:t>neutropeni</w:t>
      </w:r>
      <w:proofErr w:type="spellEnd"/>
      <w:r w:rsidRPr="009D4081">
        <w:rPr>
          <w:sz w:val="24"/>
          <w:szCs w:val="24"/>
        </w:rPr>
        <w:t xml:space="preserve">, anæmi, </w:t>
      </w:r>
      <w:proofErr w:type="spellStart"/>
      <w:r w:rsidRPr="009D4081">
        <w:rPr>
          <w:sz w:val="24"/>
          <w:szCs w:val="24"/>
        </w:rPr>
        <w:t>trombocytopeni</w:t>
      </w:r>
      <w:proofErr w:type="spellEnd"/>
      <w:r w:rsidRPr="009D4081">
        <w:rPr>
          <w:sz w:val="24"/>
          <w:szCs w:val="24"/>
        </w:rPr>
        <w:t xml:space="preserve"> eller </w:t>
      </w:r>
      <w:proofErr w:type="spellStart"/>
      <w:r w:rsidRPr="009D4081">
        <w:rPr>
          <w:sz w:val="24"/>
          <w:szCs w:val="24"/>
        </w:rPr>
        <w:t>pancytopeni</w:t>
      </w:r>
      <w:proofErr w:type="spellEnd"/>
      <w:r w:rsidRPr="009D4081">
        <w:rPr>
          <w:sz w:val="24"/>
          <w:szCs w:val="24"/>
        </w:rPr>
        <w:t xml:space="preserve"> kan forekomme (se ”Risiko for </w:t>
      </w:r>
      <w:proofErr w:type="spellStart"/>
      <w:r w:rsidRPr="009D4081">
        <w:rPr>
          <w:sz w:val="24"/>
          <w:szCs w:val="24"/>
        </w:rPr>
        <w:t>neutropeni</w:t>
      </w:r>
      <w:proofErr w:type="spellEnd"/>
      <w:r w:rsidRPr="009D4081">
        <w:rPr>
          <w:sz w:val="24"/>
          <w:szCs w:val="24"/>
        </w:rPr>
        <w:t>” og ”Anæmi” i pkt. 4.4 nedenfor).</w:t>
      </w:r>
    </w:p>
    <w:p w:rsidR="009D4081" w:rsidRPr="009D4081" w:rsidRDefault="009D4081" w:rsidP="009D4081">
      <w:pPr>
        <w:tabs>
          <w:tab w:val="left" w:pos="851"/>
        </w:tabs>
        <w:ind w:left="851"/>
        <w:rPr>
          <w:sz w:val="24"/>
          <w:szCs w:val="24"/>
        </w:rPr>
      </w:pPr>
    </w:p>
    <w:p w:rsidR="009D4081" w:rsidRPr="009D4081" w:rsidRDefault="009D4081" w:rsidP="009D4081">
      <w:pPr>
        <w:tabs>
          <w:tab w:val="left" w:pos="851"/>
        </w:tabs>
        <w:ind w:left="851"/>
        <w:rPr>
          <w:sz w:val="24"/>
          <w:szCs w:val="24"/>
          <w:u w:val="single"/>
        </w:rPr>
      </w:pPr>
      <w:r w:rsidRPr="009D4081">
        <w:rPr>
          <w:sz w:val="24"/>
          <w:szCs w:val="24"/>
          <w:u w:val="single"/>
        </w:rPr>
        <w:t xml:space="preserve">Risiko for </w:t>
      </w:r>
      <w:proofErr w:type="spellStart"/>
      <w:r w:rsidRPr="009D4081">
        <w:rPr>
          <w:sz w:val="24"/>
          <w:szCs w:val="24"/>
          <w:u w:val="single"/>
        </w:rPr>
        <w:t>neutropeni</w:t>
      </w:r>
      <w:proofErr w:type="spellEnd"/>
    </w:p>
    <w:p w:rsidR="009D4081" w:rsidRPr="009D4081" w:rsidRDefault="009D4081" w:rsidP="009D4081">
      <w:pPr>
        <w:tabs>
          <w:tab w:val="left" w:pos="851"/>
        </w:tabs>
        <w:ind w:left="851"/>
        <w:rPr>
          <w:sz w:val="24"/>
          <w:szCs w:val="24"/>
        </w:rPr>
      </w:pPr>
      <w:r w:rsidRPr="009D4081">
        <w:rPr>
          <w:sz w:val="24"/>
          <w:szCs w:val="24"/>
        </w:rPr>
        <w:t xml:space="preserve">Patienter behandlet med </w:t>
      </w:r>
      <w:proofErr w:type="spellStart"/>
      <w:r w:rsidRPr="009D4081">
        <w:rPr>
          <w:sz w:val="24"/>
          <w:szCs w:val="24"/>
        </w:rPr>
        <w:t>cabazitaxel</w:t>
      </w:r>
      <w:proofErr w:type="spellEnd"/>
      <w:r w:rsidRPr="009D4081">
        <w:rPr>
          <w:sz w:val="24"/>
          <w:szCs w:val="24"/>
        </w:rPr>
        <w:t xml:space="preserve"> kan modtage profylaktisk G-CSF i henhold til retningslinjerne fra American Society of </w:t>
      </w:r>
      <w:proofErr w:type="spellStart"/>
      <w:r w:rsidRPr="009D4081">
        <w:rPr>
          <w:sz w:val="24"/>
          <w:szCs w:val="24"/>
        </w:rPr>
        <w:t>Clinical</w:t>
      </w:r>
      <w:proofErr w:type="spellEnd"/>
      <w:r w:rsidRPr="009D4081">
        <w:rPr>
          <w:sz w:val="24"/>
          <w:szCs w:val="24"/>
        </w:rPr>
        <w:t xml:space="preserve"> </w:t>
      </w:r>
      <w:proofErr w:type="spellStart"/>
      <w:r w:rsidRPr="009D4081">
        <w:rPr>
          <w:sz w:val="24"/>
          <w:szCs w:val="24"/>
        </w:rPr>
        <w:t>Oncology</w:t>
      </w:r>
      <w:proofErr w:type="spellEnd"/>
      <w:r w:rsidRPr="009D4081">
        <w:rPr>
          <w:sz w:val="24"/>
          <w:szCs w:val="24"/>
        </w:rPr>
        <w:t xml:space="preserve"> (ASCO) og/eller gældende lokale retningslinjer for at mindske risikoen for, eller håndtere </w:t>
      </w:r>
      <w:proofErr w:type="spellStart"/>
      <w:r w:rsidRPr="009D4081">
        <w:rPr>
          <w:sz w:val="24"/>
          <w:szCs w:val="24"/>
        </w:rPr>
        <w:t>neutropenikomplikationer</w:t>
      </w:r>
      <w:proofErr w:type="spellEnd"/>
      <w:r w:rsidRPr="009D4081">
        <w:rPr>
          <w:sz w:val="24"/>
          <w:szCs w:val="24"/>
        </w:rPr>
        <w:t xml:space="preserve"> (febril </w:t>
      </w:r>
      <w:proofErr w:type="spellStart"/>
      <w:r w:rsidRPr="009D4081">
        <w:rPr>
          <w:sz w:val="24"/>
          <w:szCs w:val="24"/>
        </w:rPr>
        <w:t>neutropeni</w:t>
      </w:r>
      <w:proofErr w:type="spellEnd"/>
      <w:r w:rsidRPr="009D4081">
        <w:rPr>
          <w:sz w:val="24"/>
          <w:szCs w:val="24"/>
        </w:rPr>
        <w:t xml:space="preserve">, langvarig </w:t>
      </w:r>
      <w:proofErr w:type="spellStart"/>
      <w:r w:rsidRPr="009D4081">
        <w:rPr>
          <w:sz w:val="24"/>
          <w:szCs w:val="24"/>
        </w:rPr>
        <w:t>neutropeni</w:t>
      </w:r>
      <w:proofErr w:type="spellEnd"/>
      <w:r w:rsidRPr="009D4081">
        <w:rPr>
          <w:sz w:val="24"/>
          <w:szCs w:val="24"/>
        </w:rPr>
        <w:t xml:space="preserve"> eller </w:t>
      </w:r>
      <w:proofErr w:type="spellStart"/>
      <w:r w:rsidRPr="009D4081">
        <w:rPr>
          <w:sz w:val="24"/>
          <w:szCs w:val="24"/>
        </w:rPr>
        <w:t>neutropenisk</w:t>
      </w:r>
      <w:proofErr w:type="spellEnd"/>
      <w:r w:rsidRPr="009D4081">
        <w:rPr>
          <w:sz w:val="24"/>
          <w:szCs w:val="24"/>
        </w:rPr>
        <w:t xml:space="preserve"> infektion). Primær profylakse med G-CSF bør overvejes hos høj-risiko patienter (alder &gt; 65 år, dårlig performance status, tidligere episoder med febril </w:t>
      </w:r>
      <w:proofErr w:type="spellStart"/>
      <w:r w:rsidRPr="009D4081">
        <w:rPr>
          <w:sz w:val="24"/>
          <w:szCs w:val="24"/>
        </w:rPr>
        <w:t>neutropeni</w:t>
      </w:r>
      <w:proofErr w:type="spellEnd"/>
      <w:r w:rsidRPr="009D4081">
        <w:rPr>
          <w:sz w:val="24"/>
          <w:szCs w:val="24"/>
        </w:rPr>
        <w:t xml:space="preserve">, omfattende tidligere strålefelter, dårlig ernæringsstatus eller andre alvorlige </w:t>
      </w:r>
      <w:proofErr w:type="spellStart"/>
      <w:r w:rsidRPr="009D4081">
        <w:rPr>
          <w:sz w:val="24"/>
          <w:szCs w:val="24"/>
        </w:rPr>
        <w:t>komorbiditeter</w:t>
      </w:r>
      <w:proofErr w:type="spellEnd"/>
      <w:r w:rsidRPr="009D4081">
        <w:rPr>
          <w:sz w:val="24"/>
          <w:szCs w:val="24"/>
        </w:rPr>
        <w:t xml:space="preserve">), der gør dem modtagelige for komplikationer ved langvarig </w:t>
      </w:r>
      <w:proofErr w:type="spellStart"/>
      <w:r w:rsidRPr="009D4081">
        <w:rPr>
          <w:sz w:val="24"/>
          <w:szCs w:val="24"/>
        </w:rPr>
        <w:t>neutropeni</w:t>
      </w:r>
      <w:proofErr w:type="spellEnd"/>
      <w:r w:rsidRPr="009D4081">
        <w:rPr>
          <w:sz w:val="24"/>
          <w:szCs w:val="24"/>
        </w:rPr>
        <w:t xml:space="preserve">. Brugen af G-CSF er blevet påvist at begrænse forekomsten og sværhedsgraden af </w:t>
      </w:r>
      <w:proofErr w:type="spellStart"/>
      <w:r w:rsidRPr="009D4081">
        <w:rPr>
          <w:sz w:val="24"/>
          <w:szCs w:val="24"/>
        </w:rPr>
        <w:t>neutropeni</w:t>
      </w:r>
      <w:proofErr w:type="spellEnd"/>
      <w:r w:rsidRPr="009D4081">
        <w:rPr>
          <w:sz w:val="24"/>
          <w:szCs w:val="24"/>
        </w:rPr>
        <w:t>.</w:t>
      </w:r>
    </w:p>
    <w:p w:rsidR="009D4081" w:rsidRPr="009D4081" w:rsidRDefault="009D4081" w:rsidP="009D4081">
      <w:pPr>
        <w:tabs>
          <w:tab w:val="left" w:pos="851"/>
        </w:tabs>
        <w:ind w:left="851"/>
        <w:rPr>
          <w:sz w:val="24"/>
          <w:szCs w:val="24"/>
        </w:rPr>
      </w:pPr>
      <w:proofErr w:type="spellStart"/>
      <w:r w:rsidRPr="009D4081">
        <w:rPr>
          <w:sz w:val="24"/>
          <w:szCs w:val="24"/>
        </w:rPr>
        <w:t>Neutropeni</w:t>
      </w:r>
      <w:proofErr w:type="spellEnd"/>
      <w:r w:rsidRPr="009D4081">
        <w:rPr>
          <w:sz w:val="24"/>
          <w:szCs w:val="24"/>
        </w:rPr>
        <w:t xml:space="preserve"> er den mest almindelige bivirkning forårsaget af </w:t>
      </w:r>
      <w:proofErr w:type="spellStart"/>
      <w:r w:rsidRPr="009D4081">
        <w:rPr>
          <w:sz w:val="24"/>
          <w:szCs w:val="24"/>
        </w:rPr>
        <w:t>cabazitaxel</w:t>
      </w:r>
      <w:proofErr w:type="spellEnd"/>
      <w:r w:rsidRPr="009D4081">
        <w:rPr>
          <w:sz w:val="24"/>
          <w:szCs w:val="24"/>
        </w:rPr>
        <w:t xml:space="preserve"> (se pkt. 4.8). Det er essentielt at monitorere det fulde blodbillede ugentligt i serie 1 og inden hver enkelt efterfølgende behandlingsserie, så dosis kan justeres om nødvendigt. Dosis bør reduceres i tilfælde af febril </w:t>
      </w:r>
      <w:proofErr w:type="spellStart"/>
      <w:r w:rsidRPr="009D4081">
        <w:rPr>
          <w:sz w:val="24"/>
          <w:szCs w:val="24"/>
        </w:rPr>
        <w:t>neutropeni</w:t>
      </w:r>
      <w:proofErr w:type="spellEnd"/>
      <w:r w:rsidRPr="009D4081">
        <w:rPr>
          <w:sz w:val="24"/>
          <w:szCs w:val="24"/>
        </w:rPr>
        <w:t xml:space="preserve"> eller langvarig </w:t>
      </w:r>
      <w:proofErr w:type="spellStart"/>
      <w:r w:rsidRPr="009D4081">
        <w:rPr>
          <w:sz w:val="24"/>
          <w:szCs w:val="24"/>
        </w:rPr>
        <w:t>neutropeni</w:t>
      </w:r>
      <w:proofErr w:type="spellEnd"/>
      <w:r w:rsidRPr="009D4081">
        <w:rPr>
          <w:sz w:val="24"/>
          <w:szCs w:val="24"/>
        </w:rPr>
        <w:t xml:space="preserve"> trods passende behandling (se pkt. 4.2).</w:t>
      </w:r>
    </w:p>
    <w:p w:rsidR="009D4081" w:rsidRPr="009D4081" w:rsidRDefault="009D4081" w:rsidP="009D4081">
      <w:pPr>
        <w:tabs>
          <w:tab w:val="left" w:pos="851"/>
        </w:tabs>
        <w:ind w:left="851"/>
        <w:rPr>
          <w:sz w:val="24"/>
          <w:szCs w:val="24"/>
        </w:rPr>
      </w:pPr>
      <w:r w:rsidRPr="009D4081">
        <w:rPr>
          <w:sz w:val="24"/>
          <w:szCs w:val="24"/>
        </w:rPr>
        <w:t xml:space="preserve">Patienter bør kun genbehandles, når </w:t>
      </w:r>
      <w:proofErr w:type="spellStart"/>
      <w:r w:rsidRPr="009D4081">
        <w:rPr>
          <w:sz w:val="24"/>
          <w:szCs w:val="24"/>
        </w:rPr>
        <w:t>neutrofiltallet</w:t>
      </w:r>
      <w:proofErr w:type="spellEnd"/>
      <w:r w:rsidRPr="009D4081">
        <w:rPr>
          <w:sz w:val="24"/>
          <w:szCs w:val="24"/>
        </w:rPr>
        <w:t xml:space="preserve"> vender tilbage til et niveau ≥1.500/mm</w:t>
      </w:r>
      <w:r w:rsidRPr="009D4081">
        <w:rPr>
          <w:sz w:val="24"/>
          <w:szCs w:val="24"/>
          <w:vertAlign w:val="superscript"/>
        </w:rPr>
        <w:t xml:space="preserve">3 </w:t>
      </w:r>
      <w:r w:rsidRPr="009D4081">
        <w:rPr>
          <w:sz w:val="24"/>
          <w:szCs w:val="24"/>
        </w:rPr>
        <w:t>(se pkt. 4.3).</w:t>
      </w:r>
    </w:p>
    <w:p w:rsidR="009D4081" w:rsidRPr="009D4081" w:rsidRDefault="009D4081" w:rsidP="009D4081">
      <w:pPr>
        <w:tabs>
          <w:tab w:val="left" w:pos="851"/>
        </w:tabs>
        <w:ind w:left="851"/>
        <w:rPr>
          <w:sz w:val="24"/>
          <w:szCs w:val="24"/>
        </w:rPr>
      </w:pPr>
    </w:p>
    <w:p w:rsidR="009D4081" w:rsidRPr="009D4081" w:rsidRDefault="009D4081" w:rsidP="009D4081">
      <w:pPr>
        <w:tabs>
          <w:tab w:val="left" w:pos="851"/>
        </w:tabs>
        <w:ind w:left="851"/>
        <w:rPr>
          <w:sz w:val="24"/>
          <w:szCs w:val="24"/>
          <w:u w:val="single"/>
        </w:rPr>
      </w:pPr>
      <w:proofErr w:type="spellStart"/>
      <w:r w:rsidRPr="009D4081">
        <w:rPr>
          <w:sz w:val="24"/>
          <w:szCs w:val="24"/>
          <w:u w:val="single"/>
        </w:rPr>
        <w:t>Gastrointestinale</w:t>
      </w:r>
      <w:proofErr w:type="spellEnd"/>
      <w:r w:rsidRPr="009D4081">
        <w:rPr>
          <w:sz w:val="24"/>
          <w:szCs w:val="24"/>
          <w:u w:val="single"/>
        </w:rPr>
        <w:t xml:space="preserve"> lidelser</w:t>
      </w:r>
    </w:p>
    <w:p w:rsidR="009D4081" w:rsidRPr="009D4081" w:rsidRDefault="009D4081" w:rsidP="009D4081">
      <w:pPr>
        <w:tabs>
          <w:tab w:val="left" w:pos="851"/>
        </w:tabs>
        <w:ind w:left="851"/>
        <w:rPr>
          <w:sz w:val="24"/>
          <w:szCs w:val="24"/>
        </w:rPr>
      </w:pPr>
      <w:r w:rsidRPr="009D4081">
        <w:rPr>
          <w:sz w:val="24"/>
          <w:szCs w:val="24"/>
        </w:rPr>
        <w:t xml:space="preserve">Symptomer såsom </w:t>
      </w:r>
      <w:proofErr w:type="spellStart"/>
      <w:r w:rsidRPr="009D4081">
        <w:rPr>
          <w:sz w:val="24"/>
          <w:szCs w:val="24"/>
        </w:rPr>
        <w:t>abdominal</w:t>
      </w:r>
      <w:proofErr w:type="spellEnd"/>
      <w:r w:rsidRPr="009D4081">
        <w:rPr>
          <w:sz w:val="24"/>
          <w:szCs w:val="24"/>
        </w:rPr>
        <w:t xml:space="preserve"> smerte og ømhed, feber, vedvarende forstoppelse og diarré med eller uden </w:t>
      </w:r>
      <w:proofErr w:type="spellStart"/>
      <w:r w:rsidRPr="009D4081">
        <w:rPr>
          <w:sz w:val="24"/>
          <w:szCs w:val="24"/>
        </w:rPr>
        <w:t>neutropeni</w:t>
      </w:r>
      <w:proofErr w:type="spellEnd"/>
      <w:r w:rsidRPr="009D4081">
        <w:rPr>
          <w:sz w:val="24"/>
          <w:szCs w:val="24"/>
        </w:rPr>
        <w:t xml:space="preserve"> kan være tidlige manifestationer på alvorlig </w:t>
      </w:r>
      <w:proofErr w:type="spellStart"/>
      <w:r w:rsidRPr="009D4081">
        <w:rPr>
          <w:sz w:val="24"/>
          <w:szCs w:val="24"/>
        </w:rPr>
        <w:t>gastrointestinal</w:t>
      </w:r>
      <w:proofErr w:type="spellEnd"/>
      <w:r w:rsidRPr="009D4081">
        <w:rPr>
          <w:sz w:val="24"/>
          <w:szCs w:val="24"/>
        </w:rPr>
        <w:t xml:space="preserve"> toksicitet og bør evalueres og behandles omgående. Udsættelse eller afbrydelse af behandling med </w:t>
      </w:r>
      <w:proofErr w:type="spellStart"/>
      <w:r w:rsidRPr="009D4081">
        <w:rPr>
          <w:sz w:val="24"/>
          <w:szCs w:val="24"/>
        </w:rPr>
        <w:t>cabazitaxel</w:t>
      </w:r>
      <w:proofErr w:type="spellEnd"/>
      <w:r w:rsidRPr="009D4081">
        <w:rPr>
          <w:sz w:val="24"/>
          <w:szCs w:val="24"/>
        </w:rPr>
        <w:t xml:space="preserve"> kan være nødvendig.</w:t>
      </w:r>
    </w:p>
    <w:p w:rsidR="009D4081" w:rsidRPr="009D4081" w:rsidRDefault="009D4081" w:rsidP="009D4081">
      <w:pPr>
        <w:tabs>
          <w:tab w:val="left" w:pos="851"/>
        </w:tabs>
        <w:ind w:left="851"/>
        <w:rPr>
          <w:sz w:val="24"/>
          <w:szCs w:val="24"/>
        </w:rPr>
      </w:pPr>
    </w:p>
    <w:p w:rsidR="009D4081" w:rsidRPr="009D4081" w:rsidRDefault="009D4081" w:rsidP="009D4081">
      <w:pPr>
        <w:tabs>
          <w:tab w:val="left" w:pos="851"/>
        </w:tabs>
        <w:ind w:left="851"/>
        <w:rPr>
          <w:sz w:val="24"/>
          <w:szCs w:val="24"/>
          <w:u w:val="single"/>
        </w:rPr>
      </w:pPr>
      <w:r w:rsidRPr="009D4081">
        <w:rPr>
          <w:sz w:val="24"/>
          <w:szCs w:val="24"/>
          <w:u w:val="single"/>
        </w:rPr>
        <w:t>Risiko for kvalme, opkastning, diarré og dehydrering</w:t>
      </w:r>
    </w:p>
    <w:p w:rsidR="009D4081" w:rsidRPr="009D4081" w:rsidRDefault="009D4081" w:rsidP="009D4081">
      <w:pPr>
        <w:tabs>
          <w:tab w:val="left" w:pos="851"/>
        </w:tabs>
        <w:ind w:left="851"/>
        <w:rPr>
          <w:sz w:val="24"/>
          <w:szCs w:val="24"/>
        </w:rPr>
      </w:pPr>
      <w:r w:rsidRPr="009D4081">
        <w:rPr>
          <w:sz w:val="24"/>
          <w:szCs w:val="24"/>
        </w:rPr>
        <w:t xml:space="preserve">Hvis patienter oplever diarré efter administration af </w:t>
      </w:r>
      <w:proofErr w:type="spellStart"/>
      <w:r w:rsidRPr="009D4081">
        <w:rPr>
          <w:sz w:val="24"/>
          <w:szCs w:val="24"/>
        </w:rPr>
        <w:t>cabazitaxel</w:t>
      </w:r>
      <w:proofErr w:type="spellEnd"/>
      <w:r w:rsidRPr="009D4081">
        <w:rPr>
          <w:sz w:val="24"/>
          <w:szCs w:val="24"/>
        </w:rPr>
        <w:t xml:space="preserve">, kan de behandles med almindeligt anvendt medicin mod diarré. Der skal træffes foranstaltninger for at </w:t>
      </w:r>
      <w:proofErr w:type="spellStart"/>
      <w:r w:rsidRPr="009D4081">
        <w:rPr>
          <w:sz w:val="24"/>
          <w:szCs w:val="24"/>
        </w:rPr>
        <w:t>rehydrere</w:t>
      </w:r>
      <w:proofErr w:type="spellEnd"/>
      <w:r w:rsidRPr="009D4081">
        <w:rPr>
          <w:sz w:val="24"/>
          <w:szCs w:val="24"/>
        </w:rPr>
        <w:t xml:space="preserve"> patienterne. Diarré kan forekomme hyppigere hos patienter, der tidligere har modtaget bestråling af bug- og bækkenhulerne. Dehydrering er mere almindelig hos patienter i alderen 65 år og derover. Der bør træffes passende foranstaltninger for at </w:t>
      </w:r>
      <w:proofErr w:type="spellStart"/>
      <w:r w:rsidRPr="009D4081">
        <w:rPr>
          <w:sz w:val="24"/>
          <w:szCs w:val="24"/>
        </w:rPr>
        <w:t>rehydrere</w:t>
      </w:r>
      <w:proofErr w:type="spellEnd"/>
      <w:r w:rsidRPr="009D4081">
        <w:rPr>
          <w:sz w:val="24"/>
          <w:szCs w:val="24"/>
        </w:rPr>
        <w:t xml:space="preserve"> patienterne og monitorere og korrigere elektrolytniveauerne i serum, særligt kalium. Udsættelse af behandlingen eller dosisreduktion kan være nødvendig ved diarré af grad ≥ 3 (se pkt. 4.2). Hvis patienter oplever kvalme eller opkastning, kan de behandles med almindeligt anvendte </w:t>
      </w:r>
      <w:proofErr w:type="spellStart"/>
      <w:r w:rsidRPr="009D4081">
        <w:rPr>
          <w:sz w:val="24"/>
          <w:szCs w:val="24"/>
        </w:rPr>
        <w:t>antiemetika</w:t>
      </w:r>
      <w:proofErr w:type="spellEnd"/>
      <w:r w:rsidRPr="009D4081">
        <w:rPr>
          <w:sz w:val="24"/>
          <w:szCs w:val="24"/>
        </w:rPr>
        <w:t>.</w:t>
      </w:r>
    </w:p>
    <w:p w:rsidR="009D4081" w:rsidRPr="009D4081" w:rsidRDefault="009D4081" w:rsidP="009D4081">
      <w:pPr>
        <w:tabs>
          <w:tab w:val="left" w:pos="851"/>
        </w:tabs>
        <w:ind w:left="851"/>
        <w:rPr>
          <w:sz w:val="24"/>
          <w:szCs w:val="24"/>
        </w:rPr>
      </w:pPr>
    </w:p>
    <w:p w:rsidR="009D4081" w:rsidRPr="009D4081" w:rsidRDefault="009D4081" w:rsidP="009D4081">
      <w:pPr>
        <w:tabs>
          <w:tab w:val="left" w:pos="851"/>
        </w:tabs>
        <w:ind w:left="851"/>
        <w:rPr>
          <w:sz w:val="24"/>
          <w:szCs w:val="24"/>
          <w:u w:val="single"/>
        </w:rPr>
      </w:pPr>
      <w:r w:rsidRPr="009D4081">
        <w:rPr>
          <w:sz w:val="24"/>
          <w:szCs w:val="24"/>
          <w:u w:val="single"/>
        </w:rPr>
        <w:t xml:space="preserve">Risiko for alvorlige </w:t>
      </w:r>
      <w:proofErr w:type="spellStart"/>
      <w:r w:rsidRPr="009D4081">
        <w:rPr>
          <w:sz w:val="24"/>
          <w:szCs w:val="24"/>
          <w:u w:val="single"/>
        </w:rPr>
        <w:t>gastrointestinale</w:t>
      </w:r>
      <w:proofErr w:type="spellEnd"/>
      <w:r w:rsidRPr="009D4081">
        <w:rPr>
          <w:sz w:val="24"/>
          <w:szCs w:val="24"/>
          <w:u w:val="single"/>
        </w:rPr>
        <w:t xml:space="preserve"> bivirkninger</w:t>
      </w:r>
    </w:p>
    <w:p w:rsidR="009D4081" w:rsidRPr="009D4081" w:rsidRDefault="009D4081" w:rsidP="009D4081">
      <w:pPr>
        <w:tabs>
          <w:tab w:val="left" w:pos="851"/>
        </w:tabs>
        <w:ind w:left="851"/>
        <w:rPr>
          <w:sz w:val="24"/>
          <w:szCs w:val="24"/>
        </w:rPr>
      </w:pPr>
      <w:proofErr w:type="spellStart"/>
      <w:r w:rsidRPr="009D4081">
        <w:rPr>
          <w:sz w:val="24"/>
          <w:szCs w:val="24"/>
        </w:rPr>
        <w:t>Gastrointestinal</w:t>
      </w:r>
      <w:proofErr w:type="spellEnd"/>
      <w:r w:rsidRPr="009D4081">
        <w:rPr>
          <w:sz w:val="24"/>
          <w:szCs w:val="24"/>
        </w:rPr>
        <w:t xml:space="preserve"> (GI) blødning og perforation, </w:t>
      </w:r>
      <w:proofErr w:type="spellStart"/>
      <w:r w:rsidRPr="009D4081">
        <w:rPr>
          <w:sz w:val="24"/>
          <w:szCs w:val="24"/>
        </w:rPr>
        <w:t>ileus</w:t>
      </w:r>
      <w:proofErr w:type="spellEnd"/>
      <w:r w:rsidRPr="009D4081">
        <w:rPr>
          <w:sz w:val="24"/>
          <w:szCs w:val="24"/>
        </w:rPr>
        <w:t xml:space="preserve">, colitis, inklusive dødelige tilfælde, er rapporteret hos patienter behandlet med </w:t>
      </w:r>
      <w:proofErr w:type="spellStart"/>
      <w:r w:rsidRPr="009D4081">
        <w:rPr>
          <w:sz w:val="24"/>
          <w:szCs w:val="24"/>
        </w:rPr>
        <w:t>cabazitaxel</w:t>
      </w:r>
      <w:proofErr w:type="spellEnd"/>
      <w:r w:rsidRPr="009D4081">
        <w:rPr>
          <w:sz w:val="24"/>
          <w:szCs w:val="24"/>
        </w:rPr>
        <w:t xml:space="preserve"> (se pkt. 4.8). Der bør udvises forsigtighed ved behandling af patienter, der især har risiko for at udvikle </w:t>
      </w:r>
      <w:proofErr w:type="spellStart"/>
      <w:r w:rsidRPr="009D4081">
        <w:rPr>
          <w:sz w:val="24"/>
          <w:szCs w:val="24"/>
        </w:rPr>
        <w:t>gastrointestinale</w:t>
      </w:r>
      <w:proofErr w:type="spellEnd"/>
      <w:r w:rsidRPr="009D4081">
        <w:rPr>
          <w:sz w:val="24"/>
          <w:szCs w:val="24"/>
        </w:rPr>
        <w:t xml:space="preserve"> komplikationer: </w:t>
      </w:r>
      <w:proofErr w:type="spellStart"/>
      <w:r w:rsidRPr="009D4081">
        <w:rPr>
          <w:sz w:val="24"/>
          <w:szCs w:val="24"/>
        </w:rPr>
        <w:t>neutropene</w:t>
      </w:r>
      <w:proofErr w:type="spellEnd"/>
      <w:r w:rsidRPr="009D4081">
        <w:rPr>
          <w:sz w:val="24"/>
          <w:szCs w:val="24"/>
        </w:rPr>
        <w:t xml:space="preserve"> patienter, ældre, samtidig brug af NSAID, </w:t>
      </w:r>
      <w:proofErr w:type="spellStart"/>
      <w:r w:rsidRPr="009D4081">
        <w:rPr>
          <w:sz w:val="24"/>
          <w:szCs w:val="24"/>
        </w:rPr>
        <w:t>trombocythæmmer</w:t>
      </w:r>
      <w:proofErr w:type="spellEnd"/>
      <w:r w:rsidRPr="009D4081">
        <w:rPr>
          <w:sz w:val="24"/>
          <w:szCs w:val="24"/>
        </w:rPr>
        <w:t xml:space="preserve"> eller </w:t>
      </w:r>
      <w:proofErr w:type="spellStart"/>
      <w:r w:rsidRPr="009D4081">
        <w:rPr>
          <w:sz w:val="24"/>
          <w:szCs w:val="24"/>
        </w:rPr>
        <w:t>antikoagulans</w:t>
      </w:r>
      <w:proofErr w:type="spellEnd"/>
      <w:r w:rsidRPr="009D4081">
        <w:rPr>
          <w:sz w:val="24"/>
          <w:szCs w:val="24"/>
        </w:rPr>
        <w:t xml:space="preserve">, samt patienter, der tidligere har fået strålebehandling af bækkenet eller har haft </w:t>
      </w:r>
      <w:proofErr w:type="spellStart"/>
      <w:r w:rsidRPr="009D4081">
        <w:rPr>
          <w:sz w:val="24"/>
          <w:szCs w:val="24"/>
        </w:rPr>
        <w:t>gastrointestinal</w:t>
      </w:r>
      <w:proofErr w:type="spellEnd"/>
      <w:r w:rsidRPr="009D4081">
        <w:rPr>
          <w:sz w:val="24"/>
          <w:szCs w:val="24"/>
        </w:rPr>
        <w:t xml:space="preserve"> sygdom, såsom </w:t>
      </w:r>
      <w:proofErr w:type="spellStart"/>
      <w:r w:rsidRPr="009D4081">
        <w:rPr>
          <w:sz w:val="24"/>
          <w:szCs w:val="24"/>
        </w:rPr>
        <w:t>ulceration</w:t>
      </w:r>
      <w:proofErr w:type="spellEnd"/>
      <w:r w:rsidRPr="009D4081">
        <w:rPr>
          <w:sz w:val="24"/>
          <w:szCs w:val="24"/>
        </w:rPr>
        <w:t xml:space="preserve"> og GI-blødning.</w:t>
      </w:r>
    </w:p>
    <w:p w:rsidR="008B2E67" w:rsidRDefault="008B2E67">
      <w:pPr>
        <w:rPr>
          <w:sz w:val="24"/>
          <w:szCs w:val="24"/>
        </w:rPr>
      </w:pPr>
      <w:r>
        <w:rPr>
          <w:sz w:val="24"/>
          <w:szCs w:val="24"/>
        </w:rPr>
        <w:br w:type="page"/>
      </w:r>
    </w:p>
    <w:p w:rsidR="009D4081" w:rsidRPr="009D4081" w:rsidRDefault="009D4081" w:rsidP="009D4081">
      <w:pPr>
        <w:tabs>
          <w:tab w:val="left" w:pos="851"/>
        </w:tabs>
        <w:ind w:left="851"/>
        <w:rPr>
          <w:sz w:val="24"/>
          <w:szCs w:val="24"/>
        </w:rPr>
      </w:pPr>
    </w:p>
    <w:p w:rsidR="009D4081" w:rsidRPr="009D4081" w:rsidRDefault="009D4081" w:rsidP="009D4081">
      <w:pPr>
        <w:tabs>
          <w:tab w:val="left" w:pos="851"/>
        </w:tabs>
        <w:ind w:left="851"/>
        <w:rPr>
          <w:sz w:val="24"/>
          <w:szCs w:val="24"/>
          <w:u w:val="single"/>
        </w:rPr>
      </w:pPr>
      <w:r w:rsidRPr="009D4081">
        <w:rPr>
          <w:sz w:val="24"/>
          <w:szCs w:val="24"/>
          <w:u w:val="single"/>
        </w:rPr>
        <w:t xml:space="preserve">Perifer </w:t>
      </w:r>
      <w:proofErr w:type="spellStart"/>
      <w:r w:rsidRPr="009D4081">
        <w:rPr>
          <w:sz w:val="24"/>
          <w:szCs w:val="24"/>
          <w:u w:val="single"/>
        </w:rPr>
        <w:t>neuropati</w:t>
      </w:r>
      <w:proofErr w:type="spellEnd"/>
    </w:p>
    <w:p w:rsidR="009D4081" w:rsidRPr="009D4081" w:rsidRDefault="009D4081" w:rsidP="009D4081">
      <w:pPr>
        <w:tabs>
          <w:tab w:val="left" w:pos="851"/>
        </w:tabs>
        <w:ind w:left="851"/>
        <w:rPr>
          <w:sz w:val="24"/>
          <w:szCs w:val="24"/>
        </w:rPr>
      </w:pPr>
      <w:r w:rsidRPr="009D4081">
        <w:rPr>
          <w:sz w:val="24"/>
          <w:szCs w:val="24"/>
        </w:rPr>
        <w:t xml:space="preserve">Der er observeret tilfælde af perifer </w:t>
      </w:r>
      <w:proofErr w:type="spellStart"/>
      <w:r w:rsidRPr="009D4081">
        <w:rPr>
          <w:sz w:val="24"/>
          <w:szCs w:val="24"/>
        </w:rPr>
        <w:t>neuropati</w:t>
      </w:r>
      <w:proofErr w:type="spellEnd"/>
      <w:r w:rsidRPr="009D4081">
        <w:rPr>
          <w:sz w:val="24"/>
          <w:szCs w:val="24"/>
        </w:rPr>
        <w:t xml:space="preserve">, perifer sensorisk </w:t>
      </w:r>
      <w:proofErr w:type="spellStart"/>
      <w:r w:rsidRPr="009D4081">
        <w:rPr>
          <w:sz w:val="24"/>
          <w:szCs w:val="24"/>
        </w:rPr>
        <w:t>neuropati</w:t>
      </w:r>
      <w:proofErr w:type="spellEnd"/>
      <w:r w:rsidRPr="009D4081">
        <w:rPr>
          <w:sz w:val="24"/>
          <w:szCs w:val="24"/>
        </w:rPr>
        <w:t xml:space="preserve"> (f.eks. </w:t>
      </w:r>
      <w:proofErr w:type="spellStart"/>
      <w:r w:rsidRPr="009D4081">
        <w:rPr>
          <w:sz w:val="24"/>
          <w:szCs w:val="24"/>
        </w:rPr>
        <w:t>paræstesier</w:t>
      </w:r>
      <w:proofErr w:type="spellEnd"/>
      <w:r w:rsidRPr="009D4081">
        <w:rPr>
          <w:sz w:val="24"/>
          <w:szCs w:val="24"/>
        </w:rPr>
        <w:t xml:space="preserve"> og </w:t>
      </w:r>
      <w:proofErr w:type="spellStart"/>
      <w:r w:rsidRPr="009D4081">
        <w:rPr>
          <w:sz w:val="24"/>
          <w:szCs w:val="24"/>
        </w:rPr>
        <w:t>dysæstesier</w:t>
      </w:r>
      <w:proofErr w:type="spellEnd"/>
      <w:r w:rsidRPr="009D4081">
        <w:rPr>
          <w:sz w:val="24"/>
          <w:szCs w:val="24"/>
        </w:rPr>
        <w:t xml:space="preserve">) og perifer motorisk </w:t>
      </w:r>
      <w:proofErr w:type="spellStart"/>
      <w:r w:rsidRPr="009D4081">
        <w:rPr>
          <w:sz w:val="24"/>
          <w:szCs w:val="24"/>
        </w:rPr>
        <w:t>neuropati</w:t>
      </w:r>
      <w:proofErr w:type="spellEnd"/>
      <w:r w:rsidRPr="009D4081">
        <w:rPr>
          <w:sz w:val="24"/>
          <w:szCs w:val="24"/>
        </w:rPr>
        <w:t xml:space="preserve"> hos patienter, der behandles med </w:t>
      </w:r>
      <w:proofErr w:type="spellStart"/>
      <w:r w:rsidRPr="009D4081">
        <w:rPr>
          <w:sz w:val="24"/>
          <w:szCs w:val="24"/>
        </w:rPr>
        <w:t>cabazitaxel</w:t>
      </w:r>
      <w:proofErr w:type="spellEnd"/>
      <w:r w:rsidRPr="009D4081">
        <w:rPr>
          <w:sz w:val="24"/>
          <w:szCs w:val="24"/>
        </w:rPr>
        <w:t xml:space="preserve">. Hvis der under behandling med </w:t>
      </w:r>
      <w:proofErr w:type="spellStart"/>
      <w:r w:rsidRPr="009D4081">
        <w:rPr>
          <w:sz w:val="24"/>
          <w:szCs w:val="24"/>
        </w:rPr>
        <w:t>cabazitaxel</w:t>
      </w:r>
      <w:proofErr w:type="spellEnd"/>
      <w:r w:rsidRPr="009D4081">
        <w:rPr>
          <w:sz w:val="24"/>
          <w:szCs w:val="24"/>
        </w:rPr>
        <w:t xml:space="preserve"> opstår symptomer på </w:t>
      </w:r>
      <w:proofErr w:type="spellStart"/>
      <w:r w:rsidRPr="009D4081">
        <w:rPr>
          <w:sz w:val="24"/>
          <w:szCs w:val="24"/>
        </w:rPr>
        <w:t>neuropati</w:t>
      </w:r>
      <w:proofErr w:type="spellEnd"/>
      <w:r w:rsidRPr="009D4081">
        <w:rPr>
          <w:sz w:val="24"/>
          <w:szCs w:val="24"/>
        </w:rPr>
        <w:t xml:space="preserve"> så som smerte, brændende fornemmelse, snurren, følelsesløshed eller svaghed, bør patienterne rådgives om at informere deres læge, før behandlingen fortsættes. Læger skal vurdere tilstedeværelse eller forværring af </w:t>
      </w:r>
      <w:proofErr w:type="spellStart"/>
      <w:r w:rsidRPr="009D4081">
        <w:rPr>
          <w:sz w:val="24"/>
          <w:szCs w:val="24"/>
        </w:rPr>
        <w:t>neuropati</w:t>
      </w:r>
      <w:proofErr w:type="spellEnd"/>
      <w:r w:rsidRPr="009D4081">
        <w:rPr>
          <w:sz w:val="24"/>
          <w:szCs w:val="24"/>
        </w:rPr>
        <w:t xml:space="preserve"> før hver behandling. Behandling bør udskydes, indtil symptomerne bedres. Dosis af </w:t>
      </w:r>
      <w:proofErr w:type="spellStart"/>
      <w:r w:rsidRPr="009D4081">
        <w:rPr>
          <w:sz w:val="24"/>
          <w:szCs w:val="24"/>
        </w:rPr>
        <w:t>cabazitaxel</w:t>
      </w:r>
      <w:proofErr w:type="spellEnd"/>
      <w:r w:rsidRPr="009D4081">
        <w:rPr>
          <w:sz w:val="24"/>
          <w:szCs w:val="24"/>
        </w:rPr>
        <w:t xml:space="preserve"> bør reduceres fra 25 mg/m</w:t>
      </w:r>
      <w:r w:rsidRPr="009D4081">
        <w:rPr>
          <w:sz w:val="24"/>
          <w:szCs w:val="24"/>
          <w:vertAlign w:val="superscript"/>
        </w:rPr>
        <w:t>2</w:t>
      </w:r>
      <w:r w:rsidRPr="009D4081">
        <w:rPr>
          <w:sz w:val="24"/>
          <w:szCs w:val="24"/>
        </w:rPr>
        <w:t xml:space="preserve"> til 20 mg/m</w:t>
      </w:r>
      <w:r w:rsidRPr="009D4081">
        <w:rPr>
          <w:sz w:val="24"/>
          <w:szCs w:val="24"/>
          <w:vertAlign w:val="superscript"/>
        </w:rPr>
        <w:t>2</w:t>
      </w:r>
      <w:r w:rsidRPr="009D4081">
        <w:rPr>
          <w:sz w:val="24"/>
          <w:szCs w:val="24"/>
        </w:rPr>
        <w:t xml:space="preserve"> ved persisterende grad ≥ 2 perifer </w:t>
      </w:r>
      <w:proofErr w:type="spellStart"/>
      <w:r w:rsidRPr="009D4081">
        <w:rPr>
          <w:sz w:val="24"/>
          <w:szCs w:val="24"/>
        </w:rPr>
        <w:t>neuropati</w:t>
      </w:r>
      <w:proofErr w:type="spellEnd"/>
      <w:r w:rsidRPr="009D4081">
        <w:rPr>
          <w:sz w:val="24"/>
          <w:szCs w:val="24"/>
        </w:rPr>
        <w:t xml:space="preserve"> (se pkt. 4.2).</w:t>
      </w:r>
    </w:p>
    <w:p w:rsidR="009D4081" w:rsidRPr="009D4081" w:rsidRDefault="009D4081" w:rsidP="009D4081">
      <w:pPr>
        <w:tabs>
          <w:tab w:val="left" w:pos="851"/>
        </w:tabs>
        <w:ind w:left="851"/>
        <w:rPr>
          <w:sz w:val="24"/>
          <w:szCs w:val="24"/>
        </w:rPr>
      </w:pPr>
    </w:p>
    <w:p w:rsidR="009D4081" w:rsidRPr="009D4081" w:rsidRDefault="009D4081" w:rsidP="009D4081">
      <w:pPr>
        <w:tabs>
          <w:tab w:val="left" w:pos="851"/>
        </w:tabs>
        <w:ind w:left="851"/>
        <w:rPr>
          <w:sz w:val="24"/>
          <w:szCs w:val="24"/>
          <w:u w:val="single"/>
        </w:rPr>
      </w:pPr>
      <w:r w:rsidRPr="009D4081">
        <w:rPr>
          <w:sz w:val="24"/>
          <w:szCs w:val="24"/>
          <w:u w:val="single"/>
        </w:rPr>
        <w:t>Anæmi</w:t>
      </w:r>
    </w:p>
    <w:p w:rsidR="009D4081" w:rsidRPr="009D4081" w:rsidRDefault="009D4081" w:rsidP="009D4081">
      <w:pPr>
        <w:tabs>
          <w:tab w:val="left" w:pos="851"/>
        </w:tabs>
        <w:ind w:left="851"/>
        <w:rPr>
          <w:sz w:val="24"/>
          <w:szCs w:val="24"/>
        </w:rPr>
      </w:pPr>
      <w:r w:rsidRPr="009D4081">
        <w:rPr>
          <w:sz w:val="24"/>
          <w:szCs w:val="24"/>
        </w:rPr>
        <w:t xml:space="preserve">Anæmi er observeret hos patienter, der behandles med </w:t>
      </w:r>
      <w:proofErr w:type="spellStart"/>
      <w:r w:rsidRPr="009D4081">
        <w:rPr>
          <w:sz w:val="24"/>
          <w:szCs w:val="24"/>
        </w:rPr>
        <w:t>cabazitaxel</w:t>
      </w:r>
      <w:proofErr w:type="spellEnd"/>
      <w:r w:rsidRPr="009D4081">
        <w:rPr>
          <w:sz w:val="24"/>
          <w:szCs w:val="24"/>
        </w:rPr>
        <w:t xml:space="preserve"> (se pkt. 4.8). Hæmoglobin og hæmatokrit skal kontrolleres før behandling med </w:t>
      </w:r>
      <w:proofErr w:type="spellStart"/>
      <w:r w:rsidRPr="009D4081">
        <w:rPr>
          <w:sz w:val="24"/>
          <w:szCs w:val="24"/>
        </w:rPr>
        <w:t>cabazitaxel</w:t>
      </w:r>
      <w:proofErr w:type="spellEnd"/>
      <w:r w:rsidRPr="009D4081">
        <w:rPr>
          <w:sz w:val="24"/>
          <w:szCs w:val="24"/>
        </w:rPr>
        <w:t xml:space="preserve"> og hvis patienter udviser tegn eller symptomer på anæmi eller blodmangel. Der anbefales forsigtighed hos patienter med hæmoglobin &lt;10 g/dl, og der bør tages passende forholdsregler efter den kliniske indikation.</w:t>
      </w:r>
    </w:p>
    <w:p w:rsidR="009D4081" w:rsidRPr="009D4081" w:rsidRDefault="009D4081" w:rsidP="009D4081">
      <w:pPr>
        <w:tabs>
          <w:tab w:val="left" w:pos="851"/>
        </w:tabs>
        <w:ind w:left="851"/>
        <w:rPr>
          <w:sz w:val="24"/>
          <w:szCs w:val="24"/>
        </w:rPr>
      </w:pPr>
    </w:p>
    <w:p w:rsidR="009D4081" w:rsidRPr="009D4081" w:rsidRDefault="009D4081" w:rsidP="009D4081">
      <w:pPr>
        <w:tabs>
          <w:tab w:val="left" w:pos="851"/>
        </w:tabs>
        <w:ind w:left="851"/>
        <w:rPr>
          <w:sz w:val="24"/>
          <w:szCs w:val="24"/>
          <w:u w:val="single"/>
        </w:rPr>
      </w:pPr>
      <w:r w:rsidRPr="009D4081">
        <w:rPr>
          <w:sz w:val="24"/>
          <w:szCs w:val="24"/>
          <w:u w:val="single"/>
        </w:rPr>
        <w:t>Risiko for nyresvigt</w:t>
      </w:r>
    </w:p>
    <w:p w:rsidR="009D4081" w:rsidRPr="009D4081" w:rsidRDefault="009D4081" w:rsidP="009D4081">
      <w:pPr>
        <w:tabs>
          <w:tab w:val="left" w:pos="851"/>
        </w:tabs>
        <w:ind w:left="851"/>
        <w:rPr>
          <w:sz w:val="24"/>
          <w:szCs w:val="24"/>
        </w:rPr>
      </w:pPr>
      <w:r w:rsidRPr="009D4081">
        <w:rPr>
          <w:sz w:val="24"/>
          <w:szCs w:val="24"/>
        </w:rPr>
        <w:t xml:space="preserve">Nyresygdomme er blevet rapporteret i forbindelse med sepsis, svær dehydrering på grund af diarré, opkastning og obstruktiv </w:t>
      </w:r>
      <w:proofErr w:type="spellStart"/>
      <w:r w:rsidRPr="009D4081">
        <w:rPr>
          <w:sz w:val="24"/>
          <w:szCs w:val="24"/>
        </w:rPr>
        <w:t>uropati</w:t>
      </w:r>
      <w:proofErr w:type="spellEnd"/>
      <w:r w:rsidRPr="009D4081">
        <w:rPr>
          <w:sz w:val="24"/>
          <w:szCs w:val="24"/>
        </w:rPr>
        <w:t>. Nyresvigt, inklusive tilfælde med dødeligt udfald, er blevet observeret. Der bør træffes passende foranstaltninger for at identificere årsagen og behandle patienterne intensivt, hvis dette forekommer.</w:t>
      </w:r>
    </w:p>
    <w:p w:rsidR="009D4081" w:rsidRPr="009D4081" w:rsidRDefault="009D4081" w:rsidP="009D4081">
      <w:pPr>
        <w:tabs>
          <w:tab w:val="left" w:pos="851"/>
        </w:tabs>
        <w:ind w:left="851"/>
        <w:rPr>
          <w:sz w:val="24"/>
          <w:szCs w:val="24"/>
        </w:rPr>
      </w:pPr>
      <w:r w:rsidRPr="009D4081">
        <w:rPr>
          <w:sz w:val="24"/>
          <w:szCs w:val="24"/>
        </w:rPr>
        <w:t xml:space="preserve">Der skal sørges for tilstrækkelig hydrering under hele behandlingen med </w:t>
      </w:r>
      <w:proofErr w:type="spellStart"/>
      <w:r w:rsidRPr="009D4081">
        <w:rPr>
          <w:sz w:val="24"/>
          <w:szCs w:val="24"/>
        </w:rPr>
        <w:t>cabazitaxel</w:t>
      </w:r>
      <w:proofErr w:type="spellEnd"/>
      <w:r w:rsidRPr="009D4081">
        <w:rPr>
          <w:sz w:val="24"/>
          <w:szCs w:val="24"/>
        </w:rPr>
        <w:t xml:space="preserve">. Patienten skal anmodes om straks at rapportere signifikante ændringer i den daglige vandladningsmængde. </w:t>
      </w:r>
      <w:proofErr w:type="spellStart"/>
      <w:r w:rsidRPr="009D4081">
        <w:rPr>
          <w:sz w:val="24"/>
          <w:szCs w:val="24"/>
        </w:rPr>
        <w:t>Serumkreatinin</w:t>
      </w:r>
      <w:proofErr w:type="spellEnd"/>
      <w:r w:rsidRPr="009D4081">
        <w:rPr>
          <w:sz w:val="24"/>
          <w:szCs w:val="24"/>
        </w:rPr>
        <w:t xml:space="preserve"> skal måles før behandlingsstart (baseline), i forbindelse med hver blodtælling, og når som helst patienten rapporterer en ændring i vandladningsmængden. </w:t>
      </w:r>
      <w:proofErr w:type="spellStart"/>
      <w:r w:rsidRPr="009D4081">
        <w:rPr>
          <w:sz w:val="24"/>
          <w:szCs w:val="24"/>
        </w:rPr>
        <w:t>Cabazitaxel</w:t>
      </w:r>
      <w:proofErr w:type="spellEnd"/>
      <w:r w:rsidRPr="009D4081">
        <w:rPr>
          <w:sz w:val="24"/>
          <w:szCs w:val="24"/>
        </w:rPr>
        <w:t xml:space="preserve"> skal seponeres ved enhver forværring af nyrefunktion til nyresvigt ≥ grad 3 CTCAE v4.0.</w:t>
      </w:r>
    </w:p>
    <w:p w:rsidR="009D4081" w:rsidRPr="009D4081" w:rsidRDefault="009D4081" w:rsidP="009D4081">
      <w:pPr>
        <w:tabs>
          <w:tab w:val="left" w:pos="851"/>
        </w:tabs>
        <w:ind w:left="851"/>
        <w:rPr>
          <w:sz w:val="24"/>
          <w:szCs w:val="24"/>
        </w:rPr>
      </w:pPr>
    </w:p>
    <w:p w:rsidR="009D4081" w:rsidRPr="009D4081" w:rsidRDefault="009D4081" w:rsidP="009D4081">
      <w:pPr>
        <w:tabs>
          <w:tab w:val="left" w:pos="851"/>
        </w:tabs>
        <w:ind w:left="851"/>
        <w:rPr>
          <w:sz w:val="24"/>
          <w:szCs w:val="24"/>
          <w:u w:val="single"/>
        </w:rPr>
      </w:pPr>
      <w:r w:rsidRPr="009D4081">
        <w:rPr>
          <w:sz w:val="24"/>
          <w:szCs w:val="24"/>
          <w:u w:val="single"/>
        </w:rPr>
        <w:t>Respiratoriske sygdomme</w:t>
      </w:r>
    </w:p>
    <w:p w:rsidR="009D4081" w:rsidRPr="009D4081" w:rsidRDefault="009D4081" w:rsidP="009D4081">
      <w:pPr>
        <w:tabs>
          <w:tab w:val="left" w:pos="851"/>
        </w:tabs>
        <w:ind w:left="851"/>
        <w:rPr>
          <w:sz w:val="24"/>
          <w:szCs w:val="24"/>
        </w:rPr>
      </w:pPr>
      <w:proofErr w:type="spellStart"/>
      <w:r w:rsidRPr="009D4081">
        <w:rPr>
          <w:sz w:val="24"/>
          <w:szCs w:val="24"/>
        </w:rPr>
        <w:t>Interstitiel</w:t>
      </w:r>
      <w:proofErr w:type="spellEnd"/>
      <w:r w:rsidRPr="009D4081">
        <w:rPr>
          <w:sz w:val="24"/>
          <w:szCs w:val="24"/>
        </w:rPr>
        <w:t xml:space="preserve"> pneumoni/pneumonitis og </w:t>
      </w:r>
      <w:proofErr w:type="spellStart"/>
      <w:r w:rsidRPr="009D4081">
        <w:rPr>
          <w:sz w:val="24"/>
          <w:szCs w:val="24"/>
        </w:rPr>
        <w:t>interstitiel</w:t>
      </w:r>
      <w:proofErr w:type="spellEnd"/>
      <w:r w:rsidRPr="009D4081">
        <w:rPr>
          <w:sz w:val="24"/>
          <w:szCs w:val="24"/>
        </w:rPr>
        <w:t xml:space="preserve"> lungesygdom er rapporteret og kan være forbundet med dødeligt udfald (se pkt. 4.8).</w:t>
      </w:r>
    </w:p>
    <w:p w:rsidR="009D4081" w:rsidRPr="009D4081" w:rsidRDefault="009D4081" w:rsidP="009D4081">
      <w:pPr>
        <w:tabs>
          <w:tab w:val="left" w:pos="851"/>
        </w:tabs>
        <w:ind w:left="851"/>
        <w:rPr>
          <w:sz w:val="24"/>
          <w:szCs w:val="24"/>
        </w:rPr>
      </w:pPr>
      <w:r w:rsidRPr="009D4081">
        <w:rPr>
          <w:sz w:val="24"/>
          <w:szCs w:val="24"/>
        </w:rPr>
        <w:t xml:space="preserve">Hvis nye eller forværrede lungesymptomer opstår, skal patienter overvåges nøje, undersøges straks, og behandles på passende vis. Afbrydelse af behandling med </w:t>
      </w:r>
      <w:proofErr w:type="spellStart"/>
      <w:r w:rsidRPr="009D4081">
        <w:rPr>
          <w:sz w:val="24"/>
          <w:szCs w:val="24"/>
        </w:rPr>
        <w:t>cabazitaxel</w:t>
      </w:r>
      <w:proofErr w:type="spellEnd"/>
      <w:r w:rsidRPr="009D4081">
        <w:rPr>
          <w:sz w:val="24"/>
          <w:szCs w:val="24"/>
        </w:rPr>
        <w:t xml:space="preserve"> anbefales, indtil diagnosen foreligger. Tidlig understøttende behandling kan hjælpe til med at forbedre tilstanden. Fordelen ved at genoptage behandling med </w:t>
      </w:r>
      <w:proofErr w:type="spellStart"/>
      <w:r w:rsidRPr="009D4081">
        <w:rPr>
          <w:sz w:val="24"/>
          <w:szCs w:val="24"/>
        </w:rPr>
        <w:t>cabazitaxel</w:t>
      </w:r>
      <w:proofErr w:type="spellEnd"/>
      <w:r w:rsidRPr="009D4081">
        <w:rPr>
          <w:sz w:val="24"/>
          <w:szCs w:val="24"/>
        </w:rPr>
        <w:t xml:space="preserve"> skal overvejes nøje.</w:t>
      </w:r>
    </w:p>
    <w:p w:rsidR="009D4081" w:rsidRPr="009D4081" w:rsidRDefault="009D4081" w:rsidP="009D4081">
      <w:pPr>
        <w:tabs>
          <w:tab w:val="left" w:pos="851"/>
        </w:tabs>
        <w:ind w:left="851"/>
        <w:rPr>
          <w:sz w:val="24"/>
          <w:szCs w:val="24"/>
        </w:rPr>
      </w:pPr>
    </w:p>
    <w:p w:rsidR="009D4081" w:rsidRPr="009D4081" w:rsidRDefault="009D4081" w:rsidP="009D4081">
      <w:pPr>
        <w:tabs>
          <w:tab w:val="left" w:pos="851"/>
        </w:tabs>
        <w:ind w:left="851"/>
        <w:rPr>
          <w:sz w:val="24"/>
          <w:szCs w:val="24"/>
          <w:u w:val="single"/>
        </w:rPr>
      </w:pPr>
      <w:r w:rsidRPr="009D4081">
        <w:rPr>
          <w:sz w:val="24"/>
          <w:szCs w:val="24"/>
          <w:u w:val="single"/>
        </w:rPr>
        <w:t xml:space="preserve">Risiko for </w:t>
      </w:r>
      <w:proofErr w:type="spellStart"/>
      <w:r w:rsidRPr="009D4081">
        <w:rPr>
          <w:sz w:val="24"/>
          <w:szCs w:val="24"/>
          <w:u w:val="single"/>
        </w:rPr>
        <w:t>hjertearytmi</w:t>
      </w:r>
      <w:proofErr w:type="spellEnd"/>
    </w:p>
    <w:p w:rsidR="009D4081" w:rsidRPr="009D4081" w:rsidRDefault="009D4081" w:rsidP="009D4081">
      <w:pPr>
        <w:tabs>
          <w:tab w:val="left" w:pos="851"/>
        </w:tabs>
        <w:ind w:left="851"/>
        <w:rPr>
          <w:sz w:val="24"/>
          <w:szCs w:val="24"/>
        </w:rPr>
      </w:pPr>
      <w:r w:rsidRPr="009D4081">
        <w:rPr>
          <w:sz w:val="24"/>
          <w:szCs w:val="24"/>
        </w:rPr>
        <w:t xml:space="preserve">Der er indberettet tilfælde af </w:t>
      </w:r>
      <w:proofErr w:type="spellStart"/>
      <w:r w:rsidRPr="009D4081">
        <w:rPr>
          <w:sz w:val="24"/>
          <w:szCs w:val="24"/>
        </w:rPr>
        <w:t>hjertearytmi</w:t>
      </w:r>
      <w:proofErr w:type="spellEnd"/>
      <w:r w:rsidRPr="009D4081">
        <w:rPr>
          <w:sz w:val="24"/>
          <w:szCs w:val="24"/>
        </w:rPr>
        <w:t xml:space="preserve">, oftest </w:t>
      </w:r>
      <w:proofErr w:type="spellStart"/>
      <w:r w:rsidRPr="009D4081">
        <w:rPr>
          <w:sz w:val="24"/>
          <w:szCs w:val="24"/>
        </w:rPr>
        <w:t>takykardi</w:t>
      </w:r>
      <w:proofErr w:type="spellEnd"/>
      <w:r w:rsidRPr="009D4081">
        <w:rPr>
          <w:sz w:val="24"/>
          <w:szCs w:val="24"/>
        </w:rPr>
        <w:t xml:space="preserve"> og atrieflimren (se pkt. 4.8).</w:t>
      </w:r>
    </w:p>
    <w:p w:rsidR="009D4081" w:rsidRPr="009D4081" w:rsidRDefault="009D4081" w:rsidP="009D4081">
      <w:pPr>
        <w:tabs>
          <w:tab w:val="left" w:pos="851"/>
        </w:tabs>
        <w:ind w:left="851"/>
        <w:rPr>
          <w:sz w:val="24"/>
          <w:szCs w:val="24"/>
        </w:rPr>
      </w:pPr>
    </w:p>
    <w:p w:rsidR="009D4081" w:rsidRPr="009D4081" w:rsidRDefault="009D4081" w:rsidP="009D4081">
      <w:pPr>
        <w:tabs>
          <w:tab w:val="left" w:pos="851"/>
        </w:tabs>
        <w:ind w:left="851"/>
        <w:rPr>
          <w:sz w:val="24"/>
          <w:szCs w:val="24"/>
          <w:u w:val="single"/>
        </w:rPr>
      </w:pPr>
      <w:r w:rsidRPr="009D4081">
        <w:rPr>
          <w:sz w:val="24"/>
          <w:szCs w:val="24"/>
          <w:u w:val="single"/>
        </w:rPr>
        <w:t>Ældre</w:t>
      </w:r>
    </w:p>
    <w:p w:rsidR="009D4081" w:rsidRPr="009D4081" w:rsidRDefault="009D4081" w:rsidP="009D4081">
      <w:pPr>
        <w:tabs>
          <w:tab w:val="left" w:pos="851"/>
        </w:tabs>
        <w:ind w:left="851"/>
        <w:rPr>
          <w:sz w:val="24"/>
          <w:szCs w:val="24"/>
        </w:rPr>
      </w:pPr>
      <w:r w:rsidRPr="009D4081">
        <w:rPr>
          <w:sz w:val="24"/>
          <w:szCs w:val="24"/>
        </w:rPr>
        <w:t xml:space="preserve">Ældre patienter (≥65 år) kan være mere tilbøjelige til at opleve bestemte bivirkninger, herunder </w:t>
      </w:r>
      <w:proofErr w:type="spellStart"/>
      <w:r w:rsidRPr="009D4081">
        <w:rPr>
          <w:sz w:val="24"/>
          <w:szCs w:val="24"/>
        </w:rPr>
        <w:t>neutropeni</w:t>
      </w:r>
      <w:proofErr w:type="spellEnd"/>
      <w:r w:rsidRPr="009D4081">
        <w:rPr>
          <w:sz w:val="24"/>
          <w:szCs w:val="24"/>
        </w:rPr>
        <w:t xml:space="preserve"> og febril </w:t>
      </w:r>
      <w:proofErr w:type="spellStart"/>
      <w:r w:rsidRPr="009D4081">
        <w:rPr>
          <w:sz w:val="24"/>
          <w:szCs w:val="24"/>
        </w:rPr>
        <w:t>neutropeni</w:t>
      </w:r>
      <w:proofErr w:type="spellEnd"/>
      <w:r w:rsidRPr="009D4081">
        <w:rPr>
          <w:sz w:val="24"/>
          <w:szCs w:val="24"/>
        </w:rPr>
        <w:t xml:space="preserve"> (se pkt. 4.8).</w:t>
      </w:r>
    </w:p>
    <w:p w:rsidR="009D4081" w:rsidRPr="009D4081" w:rsidRDefault="009D4081" w:rsidP="009D4081">
      <w:pPr>
        <w:tabs>
          <w:tab w:val="left" w:pos="851"/>
        </w:tabs>
        <w:ind w:left="851"/>
        <w:rPr>
          <w:sz w:val="24"/>
          <w:szCs w:val="24"/>
        </w:rPr>
      </w:pPr>
    </w:p>
    <w:p w:rsidR="009D4081" w:rsidRPr="009D4081" w:rsidRDefault="009D4081" w:rsidP="009D4081">
      <w:pPr>
        <w:tabs>
          <w:tab w:val="left" w:pos="851"/>
        </w:tabs>
        <w:ind w:left="851"/>
        <w:rPr>
          <w:sz w:val="24"/>
          <w:szCs w:val="24"/>
          <w:u w:val="single"/>
        </w:rPr>
      </w:pPr>
      <w:r w:rsidRPr="009D4081">
        <w:rPr>
          <w:sz w:val="24"/>
          <w:szCs w:val="24"/>
          <w:u w:val="single"/>
        </w:rPr>
        <w:t>Patienter med nedsat leverfunktion</w:t>
      </w:r>
    </w:p>
    <w:p w:rsidR="009D4081" w:rsidRPr="009D4081" w:rsidRDefault="009D4081" w:rsidP="009D4081">
      <w:pPr>
        <w:tabs>
          <w:tab w:val="left" w:pos="851"/>
        </w:tabs>
        <w:ind w:left="851"/>
        <w:rPr>
          <w:sz w:val="24"/>
          <w:szCs w:val="24"/>
        </w:rPr>
      </w:pPr>
      <w:r w:rsidRPr="009D4081">
        <w:rPr>
          <w:sz w:val="24"/>
          <w:szCs w:val="24"/>
        </w:rPr>
        <w:t xml:space="preserve">Behandling med </w:t>
      </w:r>
      <w:proofErr w:type="spellStart"/>
      <w:r w:rsidRPr="009D4081">
        <w:rPr>
          <w:sz w:val="24"/>
          <w:szCs w:val="24"/>
        </w:rPr>
        <w:t>Cabazitaxel</w:t>
      </w:r>
      <w:proofErr w:type="spellEnd"/>
      <w:r w:rsidRPr="009D4081">
        <w:rPr>
          <w:sz w:val="24"/>
          <w:szCs w:val="24"/>
        </w:rPr>
        <w:t xml:space="preserve"> "</w:t>
      </w:r>
      <w:proofErr w:type="spellStart"/>
      <w:r w:rsidRPr="009D4081">
        <w:rPr>
          <w:sz w:val="24"/>
          <w:szCs w:val="24"/>
        </w:rPr>
        <w:t>Stada</w:t>
      </w:r>
      <w:proofErr w:type="spellEnd"/>
      <w:r w:rsidRPr="009D4081">
        <w:rPr>
          <w:sz w:val="24"/>
          <w:szCs w:val="24"/>
        </w:rPr>
        <w:t>" er kontraindiceret hos patienter med svært nedsat leverfunktion (total-bilirubin &gt;3 x ULN) (se pkt. 4.3 og 5.2).</w:t>
      </w:r>
    </w:p>
    <w:p w:rsidR="009D4081" w:rsidRPr="009D4081" w:rsidRDefault="009D4081" w:rsidP="009D4081">
      <w:pPr>
        <w:tabs>
          <w:tab w:val="left" w:pos="851"/>
        </w:tabs>
        <w:ind w:left="851"/>
        <w:rPr>
          <w:sz w:val="24"/>
          <w:szCs w:val="24"/>
        </w:rPr>
      </w:pPr>
      <w:r w:rsidRPr="009D4081">
        <w:rPr>
          <w:sz w:val="24"/>
          <w:szCs w:val="24"/>
        </w:rPr>
        <w:t>Dosis skal reduceres hos patienter med let nedsat leverfunktion (total-bilirubin &gt; 1 til ≤ 1,5 x ULN eller ASAT &gt; 1,5 x ULN) (se pkt. 4.2 og 5.2).</w:t>
      </w:r>
    </w:p>
    <w:p w:rsidR="009D4081" w:rsidRPr="009D4081" w:rsidRDefault="009D4081" w:rsidP="009D4081">
      <w:pPr>
        <w:tabs>
          <w:tab w:val="left" w:pos="851"/>
        </w:tabs>
        <w:ind w:left="851"/>
        <w:rPr>
          <w:sz w:val="24"/>
          <w:szCs w:val="24"/>
          <w:u w:val="single"/>
        </w:rPr>
      </w:pPr>
    </w:p>
    <w:p w:rsidR="009D4081" w:rsidRPr="009D4081" w:rsidRDefault="009D4081" w:rsidP="009D4081">
      <w:pPr>
        <w:tabs>
          <w:tab w:val="left" w:pos="851"/>
        </w:tabs>
        <w:ind w:left="851"/>
        <w:rPr>
          <w:sz w:val="24"/>
          <w:szCs w:val="24"/>
          <w:u w:val="single"/>
        </w:rPr>
      </w:pPr>
      <w:r w:rsidRPr="009D4081">
        <w:rPr>
          <w:sz w:val="24"/>
          <w:szCs w:val="24"/>
          <w:u w:val="single"/>
        </w:rPr>
        <w:t>Interaktioner</w:t>
      </w:r>
    </w:p>
    <w:p w:rsidR="009D4081" w:rsidRPr="009D4081" w:rsidRDefault="009D4081" w:rsidP="009D4081">
      <w:pPr>
        <w:tabs>
          <w:tab w:val="left" w:pos="851"/>
        </w:tabs>
        <w:ind w:left="851"/>
        <w:rPr>
          <w:sz w:val="24"/>
          <w:szCs w:val="24"/>
        </w:rPr>
      </w:pPr>
      <w:r w:rsidRPr="009D4081">
        <w:rPr>
          <w:sz w:val="24"/>
          <w:szCs w:val="24"/>
        </w:rPr>
        <w:t xml:space="preserve">Samtidig administration af potente CYP3A-hæmmere bør undgås, da de kan øge plasmakoncentrationen af </w:t>
      </w:r>
      <w:proofErr w:type="spellStart"/>
      <w:r w:rsidRPr="009D4081">
        <w:rPr>
          <w:sz w:val="24"/>
          <w:szCs w:val="24"/>
        </w:rPr>
        <w:t>cabazitaxel</w:t>
      </w:r>
      <w:proofErr w:type="spellEnd"/>
      <w:r w:rsidRPr="009D4081">
        <w:rPr>
          <w:sz w:val="24"/>
          <w:szCs w:val="24"/>
        </w:rPr>
        <w:t xml:space="preserve"> (se pkt. 4.2 og 4.5). Hvis samtidig administration af en potent CYP3A-hæmmer ikke kan undgås, skal patienten observeres nøje for </w:t>
      </w:r>
      <w:proofErr w:type="spellStart"/>
      <w:r w:rsidRPr="009D4081">
        <w:rPr>
          <w:sz w:val="24"/>
          <w:szCs w:val="24"/>
        </w:rPr>
        <w:t>cabazitaxeltoksicitet</w:t>
      </w:r>
      <w:proofErr w:type="spellEnd"/>
      <w:r w:rsidRPr="009D4081">
        <w:rPr>
          <w:sz w:val="24"/>
          <w:szCs w:val="24"/>
        </w:rPr>
        <w:t xml:space="preserve"> og reduktion af </w:t>
      </w:r>
      <w:proofErr w:type="spellStart"/>
      <w:r w:rsidRPr="009D4081">
        <w:rPr>
          <w:sz w:val="24"/>
          <w:szCs w:val="24"/>
        </w:rPr>
        <w:t>cabazitaxeldosis</w:t>
      </w:r>
      <w:proofErr w:type="spellEnd"/>
      <w:r w:rsidRPr="009D4081">
        <w:rPr>
          <w:sz w:val="24"/>
          <w:szCs w:val="24"/>
        </w:rPr>
        <w:t xml:space="preserve"> bør overvejes (se pkt. 4.4 og 4.5).</w:t>
      </w:r>
    </w:p>
    <w:p w:rsidR="009D4081" w:rsidRPr="009D4081" w:rsidRDefault="009D4081" w:rsidP="009D4081">
      <w:pPr>
        <w:tabs>
          <w:tab w:val="left" w:pos="851"/>
        </w:tabs>
        <w:ind w:left="851"/>
        <w:rPr>
          <w:sz w:val="24"/>
          <w:szCs w:val="24"/>
        </w:rPr>
      </w:pPr>
      <w:r w:rsidRPr="009D4081">
        <w:rPr>
          <w:sz w:val="24"/>
          <w:szCs w:val="24"/>
        </w:rPr>
        <w:t xml:space="preserve">Samtidig administration med potente CYP3A-induktorer bør undgås, da de kan reducere plasmakoncentrationen af </w:t>
      </w:r>
      <w:proofErr w:type="spellStart"/>
      <w:r w:rsidRPr="009D4081">
        <w:rPr>
          <w:sz w:val="24"/>
          <w:szCs w:val="24"/>
        </w:rPr>
        <w:t>cabazitaxel</w:t>
      </w:r>
      <w:proofErr w:type="spellEnd"/>
      <w:r w:rsidRPr="009D4081">
        <w:rPr>
          <w:sz w:val="24"/>
          <w:szCs w:val="24"/>
        </w:rPr>
        <w:t xml:space="preserve"> (se pkt. 4.2 og 4.5).</w:t>
      </w:r>
    </w:p>
    <w:p w:rsidR="009D4081" w:rsidRPr="009D4081" w:rsidRDefault="009D4081" w:rsidP="009D4081">
      <w:pPr>
        <w:tabs>
          <w:tab w:val="left" w:pos="851"/>
        </w:tabs>
        <w:ind w:left="851"/>
        <w:rPr>
          <w:sz w:val="24"/>
          <w:szCs w:val="24"/>
        </w:rPr>
      </w:pPr>
    </w:p>
    <w:p w:rsidR="009D4081" w:rsidRPr="009D4081" w:rsidRDefault="009D4081" w:rsidP="009D4081">
      <w:pPr>
        <w:tabs>
          <w:tab w:val="left" w:pos="851"/>
        </w:tabs>
        <w:ind w:left="851"/>
        <w:rPr>
          <w:sz w:val="24"/>
          <w:szCs w:val="24"/>
          <w:u w:val="single"/>
        </w:rPr>
      </w:pPr>
      <w:r w:rsidRPr="009D4081">
        <w:rPr>
          <w:sz w:val="24"/>
          <w:szCs w:val="24"/>
          <w:u w:val="single"/>
        </w:rPr>
        <w:t>Hjælpestoffer</w:t>
      </w:r>
    </w:p>
    <w:p w:rsidR="009D4081" w:rsidRPr="009D4081" w:rsidRDefault="009D4081" w:rsidP="009D4081">
      <w:pPr>
        <w:tabs>
          <w:tab w:val="left" w:pos="851"/>
        </w:tabs>
        <w:ind w:left="851"/>
        <w:rPr>
          <w:sz w:val="24"/>
          <w:szCs w:val="24"/>
        </w:rPr>
      </w:pPr>
      <w:r w:rsidRPr="009D4081">
        <w:rPr>
          <w:sz w:val="24"/>
          <w:szCs w:val="24"/>
        </w:rPr>
        <w:t xml:space="preserve">Dette lægemiddel indeholder 1,185 mg (1,5 ml) </w:t>
      </w:r>
      <w:proofErr w:type="spellStart"/>
      <w:r w:rsidRPr="009D4081">
        <w:rPr>
          <w:sz w:val="24"/>
          <w:szCs w:val="24"/>
        </w:rPr>
        <w:t>ethanol</w:t>
      </w:r>
      <w:proofErr w:type="spellEnd"/>
      <w:r w:rsidRPr="009D4081">
        <w:rPr>
          <w:sz w:val="24"/>
          <w:szCs w:val="24"/>
        </w:rPr>
        <w:t xml:space="preserve"> (alkohol) i hvert hætteglas.</w:t>
      </w:r>
    </w:p>
    <w:p w:rsidR="009D4081" w:rsidRPr="009D4081" w:rsidRDefault="009D4081" w:rsidP="009D4081">
      <w:pPr>
        <w:tabs>
          <w:tab w:val="left" w:pos="851"/>
        </w:tabs>
        <w:ind w:left="851"/>
        <w:rPr>
          <w:sz w:val="24"/>
          <w:szCs w:val="24"/>
        </w:rPr>
      </w:pPr>
    </w:p>
    <w:p w:rsidR="009D4081" w:rsidRPr="009D4081" w:rsidRDefault="009D4081" w:rsidP="009D4081">
      <w:pPr>
        <w:tabs>
          <w:tab w:val="left" w:pos="851"/>
        </w:tabs>
        <w:ind w:left="851"/>
        <w:rPr>
          <w:sz w:val="24"/>
          <w:szCs w:val="24"/>
          <w:lang w:val="fr-LU"/>
        </w:rPr>
      </w:pPr>
      <w:r w:rsidRPr="009D4081">
        <w:rPr>
          <w:sz w:val="24"/>
          <w:szCs w:val="24"/>
          <w:lang w:val="fr-LU"/>
        </w:rPr>
        <w:t>En dosis på 2,66 ml af dette lægemiddel givet til en voksen, der vejer 70 kg,  resulterer i en eksponering for ethanol på 15 mg/kg, hvilket kan forårsage en stigning i koncentrationen af ethanol i blodet på ca. 2,5 mg/100 ml.</w:t>
      </w:r>
    </w:p>
    <w:p w:rsidR="009D4081" w:rsidRPr="009D4081" w:rsidRDefault="009D4081" w:rsidP="009D4081">
      <w:pPr>
        <w:tabs>
          <w:tab w:val="left" w:pos="851"/>
        </w:tabs>
        <w:ind w:left="851"/>
        <w:rPr>
          <w:sz w:val="24"/>
          <w:szCs w:val="24"/>
          <w:lang w:val="fr-LU"/>
        </w:rPr>
      </w:pPr>
    </w:p>
    <w:p w:rsidR="009D4081" w:rsidRPr="009D4081" w:rsidRDefault="009D4081" w:rsidP="009D4081">
      <w:pPr>
        <w:tabs>
          <w:tab w:val="left" w:pos="851"/>
        </w:tabs>
        <w:ind w:left="851"/>
        <w:rPr>
          <w:sz w:val="24"/>
          <w:szCs w:val="24"/>
        </w:rPr>
      </w:pPr>
      <w:r w:rsidRPr="009D4081">
        <w:rPr>
          <w:sz w:val="24"/>
          <w:szCs w:val="24"/>
        </w:rPr>
        <w:t xml:space="preserve">Til sammenligning antages stigningen i koncentrationen af </w:t>
      </w:r>
      <w:proofErr w:type="spellStart"/>
      <w:r w:rsidRPr="009D4081">
        <w:rPr>
          <w:sz w:val="24"/>
          <w:szCs w:val="24"/>
        </w:rPr>
        <w:t>ethanol</w:t>
      </w:r>
      <w:proofErr w:type="spellEnd"/>
      <w:r w:rsidRPr="009D4081">
        <w:rPr>
          <w:sz w:val="24"/>
          <w:szCs w:val="24"/>
        </w:rPr>
        <w:t xml:space="preserve"> i blodet at være ca. 50 mg/100 ml for en voksen, der drikker et glas vin eller 500 ml øl.</w:t>
      </w:r>
    </w:p>
    <w:p w:rsidR="009D4081" w:rsidRPr="009D4081" w:rsidRDefault="009D4081" w:rsidP="009D4081">
      <w:pPr>
        <w:tabs>
          <w:tab w:val="left" w:pos="851"/>
        </w:tabs>
        <w:ind w:left="851"/>
        <w:rPr>
          <w:sz w:val="24"/>
          <w:szCs w:val="24"/>
        </w:rPr>
      </w:pPr>
    </w:p>
    <w:p w:rsidR="009D4081" w:rsidRDefault="009D4081" w:rsidP="009D4081">
      <w:pPr>
        <w:tabs>
          <w:tab w:val="left" w:pos="851"/>
        </w:tabs>
        <w:ind w:left="851"/>
        <w:rPr>
          <w:sz w:val="24"/>
          <w:szCs w:val="24"/>
        </w:rPr>
      </w:pPr>
      <w:r w:rsidRPr="009D4081">
        <w:rPr>
          <w:sz w:val="24"/>
          <w:szCs w:val="24"/>
        </w:rPr>
        <w:t xml:space="preserve">Samtidig administration af lægemidler, der indeholder fx propylenglycol eller </w:t>
      </w:r>
      <w:proofErr w:type="spellStart"/>
      <w:r w:rsidRPr="009D4081">
        <w:rPr>
          <w:sz w:val="24"/>
          <w:szCs w:val="24"/>
        </w:rPr>
        <w:t>ethanol</w:t>
      </w:r>
      <w:proofErr w:type="spellEnd"/>
      <w:r w:rsidRPr="009D4081">
        <w:rPr>
          <w:sz w:val="24"/>
          <w:szCs w:val="24"/>
        </w:rPr>
        <w:t xml:space="preserve"> kan føre til akkumulering af </w:t>
      </w:r>
      <w:proofErr w:type="spellStart"/>
      <w:r w:rsidRPr="009D4081">
        <w:rPr>
          <w:sz w:val="24"/>
          <w:szCs w:val="24"/>
        </w:rPr>
        <w:t>ethanol</w:t>
      </w:r>
      <w:proofErr w:type="spellEnd"/>
      <w:r w:rsidRPr="009D4081">
        <w:rPr>
          <w:sz w:val="24"/>
          <w:szCs w:val="24"/>
        </w:rPr>
        <w:t xml:space="preserve"> og udløse bivirkninger.</w:t>
      </w:r>
    </w:p>
    <w:p w:rsidR="009D4081" w:rsidRPr="009D4081" w:rsidRDefault="009D4081" w:rsidP="009D408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20C6B" w:rsidRPr="00920C6B" w:rsidRDefault="00920C6B" w:rsidP="00920C6B">
      <w:pPr>
        <w:tabs>
          <w:tab w:val="left" w:pos="851"/>
        </w:tabs>
        <w:ind w:left="851"/>
        <w:rPr>
          <w:sz w:val="24"/>
          <w:szCs w:val="24"/>
        </w:rPr>
      </w:pPr>
      <w:r w:rsidRPr="00920C6B">
        <w:rPr>
          <w:i/>
          <w:iCs/>
          <w:sz w:val="24"/>
          <w:szCs w:val="24"/>
        </w:rPr>
        <w:t xml:space="preserve">In </w:t>
      </w:r>
      <w:proofErr w:type="spellStart"/>
      <w:r w:rsidRPr="00920C6B">
        <w:rPr>
          <w:i/>
          <w:iCs/>
          <w:sz w:val="24"/>
          <w:szCs w:val="24"/>
        </w:rPr>
        <w:t>vitro</w:t>
      </w:r>
      <w:proofErr w:type="spellEnd"/>
      <w:r w:rsidRPr="00920C6B">
        <w:rPr>
          <w:sz w:val="24"/>
          <w:szCs w:val="24"/>
        </w:rPr>
        <w:t xml:space="preserve"> studier har vist, at </w:t>
      </w:r>
      <w:proofErr w:type="spellStart"/>
      <w:r w:rsidRPr="00920C6B">
        <w:rPr>
          <w:sz w:val="24"/>
          <w:szCs w:val="24"/>
        </w:rPr>
        <w:t>cabazitaxel</w:t>
      </w:r>
      <w:proofErr w:type="spellEnd"/>
      <w:r w:rsidRPr="00920C6B">
        <w:rPr>
          <w:sz w:val="24"/>
          <w:szCs w:val="24"/>
        </w:rPr>
        <w:t xml:space="preserve"> hovedsageligt </w:t>
      </w:r>
      <w:proofErr w:type="spellStart"/>
      <w:r w:rsidRPr="00920C6B">
        <w:rPr>
          <w:sz w:val="24"/>
          <w:szCs w:val="24"/>
        </w:rPr>
        <w:t>metaboliseres</w:t>
      </w:r>
      <w:proofErr w:type="spellEnd"/>
      <w:r w:rsidRPr="00920C6B">
        <w:rPr>
          <w:sz w:val="24"/>
          <w:szCs w:val="24"/>
        </w:rPr>
        <w:t xml:space="preserve"> via CYP3A (80 – 90</w:t>
      </w:r>
      <w:r w:rsidR="008A63AB">
        <w:rPr>
          <w:sz w:val="24"/>
          <w:szCs w:val="24"/>
        </w:rPr>
        <w:t xml:space="preserve"> %</w:t>
      </w:r>
      <w:r w:rsidRPr="00920C6B">
        <w:rPr>
          <w:sz w:val="24"/>
          <w:szCs w:val="24"/>
        </w:rPr>
        <w:t>) (se pkt. 5.2).</w:t>
      </w:r>
    </w:p>
    <w:p w:rsidR="00920C6B" w:rsidRPr="00920C6B" w:rsidRDefault="00920C6B" w:rsidP="00920C6B">
      <w:pPr>
        <w:tabs>
          <w:tab w:val="left" w:pos="851"/>
        </w:tabs>
        <w:ind w:left="851"/>
        <w:rPr>
          <w:sz w:val="24"/>
          <w:szCs w:val="24"/>
        </w:rPr>
      </w:pPr>
    </w:p>
    <w:p w:rsidR="00920C6B" w:rsidRPr="00920C6B" w:rsidRDefault="00920C6B" w:rsidP="00920C6B">
      <w:pPr>
        <w:tabs>
          <w:tab w:val="left" w:pos="851"/>
        </w:tabs>
        <w:ind w:left="851"/>
        <w:rPr>
          <w:sz w:val="24"/>
          <w:szCs w:val="24"/>
          <w:u w:val="single"/>
        </w:rPr>
      </w:pPr>
      <w:r w:rsidRPr="00920C6B">
        <w:rPr>
          <w:sz w:val="24"/>
          <w:szCs w:val="24"/>
          <w:u w:val="single"/>
        </w:rPr>
        <w:t>CYP3A-inhibitorer</w:t>
      </w:r>
    </w:p>
    <w:p w:rsidR="00920C6B" w:rsidRPr="00920C6B" w:rsidRDefault="00920C6B" w:rsidP="00920C6B">
      <w:pPr>
        <w:tabs>
          <w:tab w:val="left" w:pos="851"/>
        </w:tabs>
        <w:ind w:left="851"/>
        <w:rPr>
          <w:sz w:val="24"/>
          <w:szCs w:val="24"/>
        </w:rPr>
      </w:pPr>
      <w:r w:rsidRPr="00920C6B">
        <w:rPr>
          <w:sz w:val="24"/>
          <w:szCs w:val="24"/>
        </w:rPr>
        <w:t xml:space="preserve">Gentagen administration af </w:t>
      </w:r>
      <w:proofErr w:type="spellStart"/>
      <w:r w:rsidRPr="00920C6B">
        <w:rPr>
          <w:sz w:val="24"/>
          <w:szCs w:val="24"/>
        </w:rPr>
        <w:t>ketoconazol</w:t>
      </w:r>
      <w:proofErr w:type="spellEnd"/>
      <w:r w:rsidRPr="00920C6B">
        <w:rPr>
          <w:sz w:val="24"/>
          <w:szCs w:val="24"/>
        </w:rPr>
        <w:t xml:space="preserve"> (400 mg </w:t>
      </w:r>
      <w:r w:rsidR="00C75944">
        <w:rPr>
          <w:sz w:val="24"/>
          <w:szCs w:val="24"/>
        </w:rPr>
        <w:t>en</w:t>
      </w:r>
      <w:r w:rsidRPr="00920C6B">
        <w:rPr>
          <w:sz w:val="24"/>
          <w:szCs w:val="24"/>
        </w:rPr>
        <w:t xml:space="preserve"> gang daglig), en potent CYP3A-hæmmer, resulterede i et fald i </w:t>
      </w:r>
      <w:proofErr w:type="spellStart"/>
      <w:r w:rsidRPr="00920C6B">
        <w:rPr>
          <w:sz w:val="24"/>
          <w:szCs w:val="24"/>
        </w:rPr>
        <w:t>cabazitaxel-clearance</w:t>
      </w:r>
      <w:proofErr w:type="spellEnd"/>
      <w:r w:rsidRPr="00920C6B">
        <w:rPr>
          <w:sz w:val="24"/>
          <w:szCs w:val="24"/>
        </w:rPr>
        <w:t xml:space="preserve"> på 20</w:t>
      </w:r>
      <w:r w:rsidR="008A63AB">
        <w:rPr>
          <w:sz w:val="24"/>
          <w:szCs w:val="24"/>
        </w:rPr>
        <w:t xml:space="preserve"> %</w:t>
      </w:r>
      <w:r w:rsidRPr="00920C6B">
        <w:rPr>
          <w:sz w:val="24"/>
          <w:szCs w:val="24"/>
        </w:rPr>
        <w:t xml:space="preserve"> svarende til 25</w:t>
      </w:r>
      <w:r w:rsidR="008A63AB">
        <w:rPr>
          <w:sz w:val="24"/>
          <w:szCs w:val="24"/>
        </w:rPr>
        <w:t xml:space="preserve"> %</w:t>
      </w:r>
      <w:r w:rsidRPr="00920C6B">
        <w:rPr>
          <w:sz w:val="24"/>
          <w:szCs w:val="24"/>
        </w:rPr>
        <w:t xml:space="preserve"> stigning i AUC. Derfor skal samtidig administration af potente CYP3A-hæmmere (f.eks. </w:t>
      </w:r>
      <w:proofErr w:type="spellStart"/>
      <w:r w:rsidRPr="00920C6B">
        <w:rPr>
          <w:sz w:val="24"/>
          <w:szCs w:val="24"/>
        </w:rPr>
        <w:t>ketoconazol</w:t>
      </w:r>
      <w:proofErr w:type="spellEnd"/>
      <w:r w:rsidRPr="00920C6B">
        <w:rPr>
          <w:sz w:val="24"/>
          <w:szCs w:val="24"/>
        </w:rPr>
        <w:t xml:space="preserve">, </w:t>
      </w:r>
      <w:proofErr w:type="spellStart"/>
      <w:r w:rsidRPr="00920C6B">
        <w:rPr>
          <w:sz w:val="24"/>
          <w:szCs w:val="24"/>
        </w:rPr>
        <w:t>itraconazol</w:t>
      </w:r>
      <w:proofErr w:type="spellEnd"/>
      <w:r w:rsidRPr="00920C6B">
        <w:rPr>
          <w:sz w:val="24"/>
          <w:szCs w:val="24"/>
        </w:rPr>
        <w:t xml:space="preserve">, </w:t>
      </w:r>
      <w:proofErr w:type="spellStart"/>
      <w:r w:rsidRPr="00920C6B">
        <w:rPr>
          <w:sz w:val="24"/>
          <w:szCs w:val="24"/>
        </w:rPr>
        <w:t>clarithromycin</w:t>
      </w:r>
      <w:proofErr w:type="spellEnd"/>
      <w:r w:rsidRPr="00920C6B">
        <w:rPr>
          <w:sz w:val="24"/>
          <w:szCs w:val="24"/>
        </w:rPr>
        <w:t xml:space="preserve">, </w:t>
      </w:r>
      <w:proofErr w:type="spellStart"/>
      <w:r w:rsidRPr="00920C6B">
        <w:rPr>
          <w:sz w:val="24"/>
          <w:szCs w:val="24"/>
        </w:rPr>
        <w:t>indinavir</w:t>
      </w:r>
      <w:proofErr w:type="spellEnd"/>
      <w:r w:rsidRPr="00920C6B">
        <w:rPr>
          <w:sz w:val="24"/>
          <w:szCs w:val="24"/>
        </w:rPr>
        <w:t xml:space="preserve">, </w:t>
      </w:r>
      <w:proofErr w:type="spellStart"/>
      <w:r w:rsidRPr="00920C6B">
        <w:rPr>
          <w:sz w:val="24"/>
          <w:szCs w:val="24"/>
        </w:rPr>
        <w:t>nefazodon</w:t>
      </w:r>
      <w:proofErr w:type="spellEnd"/>
      <w:r w:rsidRPr="00920C6B">
        <w:rPr>
          <w:sz w:val="24"/>
          <w:szCs w:val="24"/>
        </w:rPr>
        <w:t xml:space="preserve">, </w:t>
      </w:r>
      <w:proofErr w:type="spellStart"/>
      <w:r w:rsidRPr="00920C6B">
        <w:rPr>
          <w:sz w:val="24"/>
          <w:szCs w:val="24"/>
        </w:rPr>
        <w:t>nelfinavir</w:t>
      </w:r>
      <w:proofErr w:type="spellEnd"/>
      <w:r w:rsidRPr="00920C6B">
        <w:rPr>
          <w:sz w:val="24"/>
          <w:szCs w:val="24"/>
        </w:rPr>
        <w:t xml:space="preserve">, </w:t>
      </w:r>
      <w:proofErr w:type="spellStart"/>
      <w:r w:rsidRPr="00920C6B">
        <w:rPr>
          <w:sz w:val="24"/>
          <w:szCs w:val="24"/>
        </w:rPr>
        <w:t>ritonavir</w:t>
      </w:r>
      <w:proofErr w:type="spellEnd"/>
      <w:r w:rsidRPr="00920C6B">
        <w:rPr>
          <w:sz w:val="24"/>
          <w:szCs w:val="24"/>
        </w:rPr>
        <w:t xml:space="preserve">, </w:t>
      </w:r>
      <w:proofErr w:type="spellStart"/>
      <w:r w:rsidRPr="00920C6B">
        <w:rPr>
          <w:sz w:val="24"/>
          <w:szCs w:val="24"/>
        </w:rPr>
        <w:t>saquinavir</w:t>
      </w:r>
      <w:proofErr w:type="spellEnd"/>
      <w:r w:rsidRPr="00920C6B">
        <w:rPr>
          <w:sz w:val="24"/>
          <w:szCs w:val="24"/>
        </w:rPr>
        <w:t xml:space="preserve">, </w:t>
      </w:r>
      <w:proofErr w:type="spellStart"/>
      <w:r w:rsidRPr="00920C6B">
        <w:rPr>
          <w:sz w:val="24"/>
          <w:szCs w:val="24"/>
        </w:rPr>
        <w:t>telithromycin</w:t>
      </w:r>
      <w:proofErr w:type="spellEnd"/>
      <w:r w:rsidRPr="00920C6B">
        <w:rPr>
          <w:sz w:val="24"/>
          <w:szCs w:val="24"/>
        </w:rPr>
        <w:t xml:space="preserve">, </w:t>
      </w:r>
      <w:proofErr w:type="spellStart"/>
      <w:r w:rsidRPr="00920C6B">
        <w:rPr>
          <w:sz w:val="24"/>
          <w:szCs w:val="24"/>
        </w:rPr>
        <w:t>voriconazol</w:t>
      </w:r>
      <w:proofErr w:type="spellEnd"/>
      <w:r w:rsidRPr="00920C6B">
        <w:rPr>
          <w:sz w:val="24"/>
          <w:szCs w:val="24"/>
        </w:rPr>
        <w:t xml:space="preserve">) undgås, da en stigning i plasmakoncentrationen af </w:t>
      </w:r>
      <w:proofErr w:type="spellStart"/>
      <w:r w:rsidRPr="00920C6B">
        <w:rPr>
          <w:sz w:val="24"/>
          <w:szCs w:val="24"/>
        </w:rPr>
        <w:t>cabazitaxel</w:t>
      </w:r>
      <w:proofErr w:type="spellEnd"/>
      <w:r w:rsidRPr="00920C6B">
        <w:rPr>
          <w:sz w:val="24"/>
          <w:szCs w:val="24"/>
        </w:rPr>
        <w:t xml:space="preserve"> kan forekomme. Samtidig indgift af potente CYP3A-hæmmere bør således undgås (se pkt. 4.2 og 4.4).</w:t>
      </w:r>
    </w:p>
    <w:p w:rsidR="00920C6B" w:rsidRPr="00920C6B" w:rsidRDefault="00920C6B" w:rsidP="00920C6B">
      <w:pPr>
        <w:tabs>
          <w:tab w:val="left" w:pos="851"/>
        </w:tabs>
        <w:ind w:left="851"/>
        <w:rPr>
          <w:sz w:val="24"/>
          <w:szCs w:val="24"/>
        </w:rPr>
      </w:pPr>
    </w:p>
    <w:p w:rsidR="00920C6B" w:rsidRPr="00920C6B" w:rsidRDefault="00920C6B" w:rsidP="00920C6B">
      <w:pPr>
        <w:tabs>
          <w:tab w:val="left" w:pos="851"/>
        </w:tabs>
        <w:ind w:left="851"/>
        <w:rPr>
          <w:sz w:val="24"/>
          <w:szCs w:val="24"/>
        </w:rPr>
      </w:pPr>
      <w:r w:rsidRPr="00920C6B">
        <w:rPr>
          <w:sz w:val="24"/>
          <w:szCs w:val="24"/>
        </w:rPr>
        <w:t xml:space="preserve">Samtidig administration af </w:t>
      </w:r>
      <w:proofErr w:type="spellStart"/>
      <w:r w:rsidRPr="00920C6B">
        <w:rPr>
          <w:sz w:val="24"/>
          <w:szCs w:val="24"/>
        </w:rPr>
        <w:t>aprepitant</w:t>
      </w:r>
      <w:proofErr w:type="spellEnd"/>
      <w:r w:rsidRPr="00920C6B">
        <w:rPr>
          <w:sz w:val="24"/>
          <w:szCs w:val="24"/>
        </w:rPr>
        <w:t xml:space="preserve">, en moderat CYP3A-hæmmer, havde ingen effekt på </w:t>
      </w:r>
      <w:proofErr w:type="spellStart"/>
      <w:r w:rsidRPr="00920C6B">
        <w:rPr>
          <w:sz w:val="24"/>
          <w:szCs w:val="24"/>
        </w:rPr>
        <w:t>cabazitaxel</w:t>
      </w:r>
      <w:proofErr w:type="spellEnd"/>
      <w:r w:rsidRPr="00920C6B">
        <w:rPr>
          <w:sz w:val="24"/>
          <w:szCs w:val="24"/>
        </w:rPr>
        <w:t xml:space="preserve"> </w:t>
      </w:r>
      <w:proofErr w:type="spellStart"/>
      <w:r w:rsidRPr="00920C6B">
        <w:rPr>
          <w:sz w:val="24"/>
          <w:szCs w:val="24"/>
        </w:rPr>
        <w:t>clearance</w:t>
      </w:r>
      <w:proofErr w:type="spellEnd"/>
      <w:r w:rsidRPr="00920C6B">
        <w:rPr>
          <w:sz w:val="24"/>
          <w:szCs w:val="24"/>
        </w:rPr>
        <w:t>.</w:t>
      </w:r>
    </w:p>
    <w:p w:rsidR="00920C6B" w:rsidRPr="00920C6B" w:rsidRDefault="00920C6B" w:rsidP="00920C6B">
      <w:pPr>
        <w:tabs>
          <w:tab w:val="left" w:pos="851"/>
        </w:tabs>
        <w:ind w:left="851"/>
        <w:rPr>
          <w:sz w:val="24"/>
          <w:szCs w:val="24"/>
        </w:rPr>
      </w:pPr>
    </w:p>
    <w:p w:rsidR="00920C6B" w:rsidRPr="00920C6B" w:rsidRDefault="00920C6B" w:rsidP="00920C6B">
      <w:pPr>
        <w:tabs>
          <w:tab w:val="left" w:pos="851"/>
        </w:tabs>
        <w:ind w:left="851"/>
        <w:rPr>
          <w:sz w:val="24"/>
          <w:szCs w:val="24"/>
          <w:u w:val="single"/>
        </w:rPr>
      </w:pPr>
      <w:r w:rsidRPr="00920C6B">
        <w:rPr>
          <w:sz w:val="24"/>
          <w:szCs w:val="24"/>
          <w:u w:val="single"/>
        </w:rPr>
        <w:t xml:space="preserve">CYP3A-induktorer </w:t>
      </w:r>
    </w:p>
    <w:p w:rsidR="00920C6B" w:rsidRPr="00920C6B" w:rsidRDefault="00920C6B" w:rsidP="00920C6B">
      <w:pPr>
        <w:tabs>
          <w:tab w:val="left" w:pos="851"/>
        </w:tabs>
        <w:ind w:left="851"/>
        <w:rPr>
          <w:sz w:val="24"/>
          <w:szCs w:val="24"/>
          <w:lang w:val="fr-LU"/>
        </w:rPr>
      </w:pPr>
      <w:r w:rsidRPr="00920C6B">
        <w:rPr>
          <w:sz w:val="24"/>
          <w:szCs w:val="24"/>
          <w:lang w:val="fr-LU"/>
        </w:rPr>
        <w:t xml:space="preserve">Gentagen administration af rifampin (600 mg </w:t>
      </w:r>
      <w:r w:rsidR="00C75944">
        <w:rPr>
          <w:sz w:val="24"/>
          <w:szCs w:val="24"/>
          <w:lang w:val="fr-LU"/>
        </w:rPr>
        <w:t>en</w:t>
      </w:r>
      <w:r w:rsidRPr="00920C6B">
        <w:rPr>
          <w:sz w:val="24"/>
          <w:szCs w:val="24"/>
          <w:lang w:val="fr-LU"/>
        </w:rPr>
        <w:t xml:space="preserve"> gang daglig), en potent CYP3A-induktor, resulterede i 21</w:t>
      </w:r>
      <w:r w:rsidR="008A63AB">
        <w:rPr>
          <w:sz w:val="24"/>
          <w:szCs w:val="24"/>
          <w:lang w:val="fr-LU"/>
        </w:rPr>
        <w:t xml:space="preserve"> %</w:t>
      </w:r>
      <w:r w:rsidRPr="00920C6B">
        <w:rPr>
          <w:sz w:val="24"/>
          <w:szCs w:val="24"/>
          <w:lang w:val="fr-LU"/>
        </w:rPr>
        <w:t xml:space="preserve"> stigning i cabazitaxel-clearance svarende til et fald i AUC på 17</w:t>
      </w:r>
      <w:r w:rsidR="008A63AB">
        <w:rPr>
          <w:sz w:val="24"/>
          <w:szCs w:val="24"/>
          <w:lang w:val="fr-LU"/>
        </w:rPr>
        <w:t xml:space="preserve"> %</w:t>
      </w:r>
      <w:r w:rsidRPr="00920C6B">
        <w:rPr>
          <w:sz w:val="24"/>
          <w:szCs w:val="24"/>
          <w:lang w:val="fr-LU"/>
        </w:rPr>
        <w:t>. Derfor skal samtidig indgift af potente CYP3A-induktorer (f.eks. phenytoin, carbamazepin, rifampin, rifabutin, rifapentin, phenobarbital) undgås, da et fald i plasmakoncentrationen af cabazitaxel kan forekomme (se pkt. 4.2 og 4.4). Patienter skal desuden undgå at indtage perikon.</w:t>
      </w:r>
    </w:p>
    <w:p w:rsidR="00920C6B" w:rsidRPr="00920C6B" w:rsidRDefault="00920C6B" w:rsidP="00920C6B">
      <w:pPr>
        <w:tabs>
          <w:tab w:val="left" w:pos="851"/>
        </w:tabs>
        <w:ind w:left="851"/>
        <w:rPr>
          <w:sz w:val="24"/>
          <w:szCs w:val="24"/>
          <w:lang w:val="fr-LU"/>
        </w:rPr>
      </w:pPr>
    </w:p>
    <w:p w:rsidR="00920C6B" w:rsidRPr="00920C6B" w:rsidRDefault="00920C6B" w:rsidP="00920C6B">
      <w:pPr>
        <w:tabs>
          <w:tab w:val="left" w:pos="851"/>
        </w:tabs>
        <w:ind w:left="851"/>
        <w:rPr>
          <w:sz w:val="24"/>
          <w:szCs w:val="24"/>
          <w:u w:val="single"/>
        </w:rPr>
      </w:pPr>
      <w:r w:rsidRPr="00920C6B">
        <w:rPr>
          <w:sz w:val="24"/>
          <w:szCs w:val="24"/>
          <w:u w:val="single"/>
        </w:rPr>
        <w:t xml:space="preserve">OATP1B1 </w:t>
      </w:r>
    </w:p>
    <w:p w:rsidR="00920C6B" w:rsidRPr="00920C6B" w:rsidRDefault="00920C6B" w:rsidP="00920C6B">
      <w:pPr>
        <w:tabs>
          <w:tab w:val="left" w:pos="851"/>
        </w:tabs>
        <w:ind w:left="851"/>
        <w:rPr>
          <w:sz w:val="24"/>
          <w:szCs w:val="24"/>
          <w:lang w:val="fr-LU"/>
        </w:rPr>
      </w:pPr>
      <w:r w:rsidRPr="00920C6B">
        <w:rPr>
          <w:sz w:val="24"/>
          <w:szCs w:val="24"/>
          <w:lang w:val="fr-LU"/>
        </w:rPr>
        <w:t xml:space="preserve">Det er vist </w:t>
      </w:r>
      <w:r w:rsidRPr="00920C6B">
        <w:rPr>
          <w:i/>
          <w:iCs/>
          <w:sz w:val="24"/>
          <w:szCs w:val="24"/>
          <w:lang w:val="fr-LU"/>
        </w:rPr>
        <w:t>in vitro</w:t>
      </w:r>
      <w:r w:rsidRPr="00920C6B">
        <w:rPr>
          <w:sz w:val="24"/>
          <w:szCs w:val="24"/>
          <w:lang w:val="fr-LU"/>
        </w:rPr>
        <w:t>, at cabazitaxel hæmmer det organisk anion-transporterende polypeptid OATP1B1. Der er en potentiel risiko for interaktion med OATP1B1-substrater (f.eks. statiner, valsartan, repaglinid), især under infusionen (1 time) og i op til 20 minutter efter infusionens afslutning. Det anbefales, at OATP1B1-substrater ikke administreres i tidsrummet fra 12 timer før infusionen til mindst 3 timer efter infusionens afslutning.</w:t>
      </w:r>
    </w:p>
    <w:p w:rsidR="00920C6B" w:rsidRPr="00920C6B" w:rsidRDefault="00920C6B" w:rsidP="00920C6B">
      <w:pPr>
        <w:tabs>
          <w:tab w:val="left" w:pos="851"/>
        </w:tabs>
        <w:ind w:left="851"/>
        <w:rPr>
          <w:sz w:val="24"/>
          <w:szCs w:val="24"/>
        </w:rPr>
      </w:pPr>
    </w:p>
    <w:p w:rsidR="00920C6B" w:rsidRPr="00920C6B" w:rsidRDefault="00920C6B" w:rsidP="00920C6B">
      <w:pPr>
        <w:tabs>
          <w:tab w:val="left" w:pos="851"/>
        </w:tabs>
        <w:ind w:left="851"/>
        <w:rPr>
          <w:sz w:val="24"/>
          <w:szCs w:val="24"/>
          <w:u w:val="single"/>
        </w:rPr>
      </w:pPr>
      <w:r w:rsidRPr="00920C6B">
        <w:rPr>
          <w:sz w:val="24"/>
          <w:szCs w:val="24"/>
          <w:u w:val="single"/>
        </w:rPr>
        <w:t xml:space="preserve">Vaccinationer </w:t>
      </w:r>
    </w:p>
    <w:p w:rsidR="00920C6B" w:rsidRPr="00920C6B" w:rsidRDefault="00920C6B" w:rsidP="00920C6B">
      <w:pPr>
        <w:tabs>
          <w:tab w:val="left" w:pos="851"/>
        </w:tabs>
        <w:ind w:left="851"/>
        <w:rPr>
          <w:sz w:val="24"/>
          <w:szCs w:val="24"/>
          <w:lang w:val="fr-LU"/>
        </w:rPr>
      </w:pPr>
      <w:r w:rsidRPr="00920C6B">
        <w:rPr>
          <w:sz w:val="24"/>
          <w:szCs w:val="24"/>
          <w:lang w:val="fr-LU"/>
        </w:rPr>
        <w:t>Administration af levende, eller levende svækkede vacciner hos patienter, der er immunkompromitteret af kemoterapeutiske midler, kan resultere i alvorlige eller dødelige infektioner. Vaccination med en levende, svækket vaccine bør undgås hos patienter, der er i behandling med cabazitaxel. Døde eller inaktiverede vacciner kan administreres; dog kan respons på disse vacciner være formindsket.</w:t>
      </w:r>
    </w:p>
    <w:p w:rsidR="009260DE" w:rsidRPr="00920C6B" w:rsidRDefault="009260DE" w:rsidP="009260DE">
      <w:pPr>
        <w:tabs>
          <w:tab w:val="left" w:pos="851"/>
        </w:tabs>
        <w:ind w:left="851"/>
        <w:rPr>
          <w:sz w:val="24"/>
          <w:szCs w:val="24"/>
          <w:lang w:val="fr-LU"/>
        </w:rPr>
      </w:pPr>
    </w:p>
    <w:p w:rsidR="000A4685" w:rsidRPr="00C84483" w:rsidRDefault="000A4685" w:rsidP="000A4685">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EF792C" w:rsidRPr="00EF792C" w:rsidRDefault="00EF792C" w:rsidP="00EF792C">
      <w:pPr>
        <w:tabs>
          <w:tab w:val="left" w:pos="851"/>
        </w:tabs>
        <w:ind w:left="851"/>
        <w:rPr>
          <w:sz w:val="24"/>
          <w:szCs w:val="24"/>
        </w:rPr>
      </w:pPr>
    </w:p>
    <w:p w:rsidR="00EF792C" w:rsidRPr="00EF792C" w:rsidRDefault="00EF792C" w:rsidP="00EF792C">
      <w:pPr>
        <w:tabs>
          <w:tab w:val="left" w:pos="851"/>
        </w:tabs>
        <w:ind w:left="851"/>
        <w:rPr>
          <w:sz w:val="24"/>
          <w:szCs w:val="24"/>
          <w:u w:val="single"/>
        </w:rPr>
      </w:pPr>
      <w:r w:rsidRPr="00EF792C">
        <w:rPr>
          <w:sz w:val="24"/>
          <w:szCs w:val="24"/>
          <w:u w:val="single"/>
        </w:rPr>
        <w:t>Graviditet</w:t>
      </w:r>
    </w:p>
    <w:p w:rsidR="00EF792C" w:rsidRPr="00EF792C" w:rsidRDefault="00EF792C" w:rsidP="00EF792C">
      <w:pPr>
        <w:tabs>
          <w:tab w:val="left" w:pos="851"/>
        </w:tabs>
        <w:ind w:left="851"/>
        <w:rPr>
          <w:sz w:val="24"/>
          <w:szCs w:val="24"/>
        </w:rPr>
      </w:pPr>
      <w:r w:rsidRPr="00EF792C">
        <w:rPr>
          <w:sz w:val="24"/>
          <w:szCs w:val="24"/>
        </w:rPr>
        <w:t xml:space="preserve">Der er ingen data fra brug af </w:t>
      </w:r>
      <w:proofErr w:type="spellStart"/>
      <w:r w:rsidRPr="00EF792C">
        <w:rPr>
          <w:sz w:val="24"/>
          <w:szCs w:val="24"/>
        </w:rPr>
        <w:t>cabazitaxel</w:t>
      </w:r>
      <w:proofErr w:type="spellEnd"/>
      <w:r w:rsidRPr="00EF792C">
        <w:rPr>
          <w:sz w:val="24"/>
          <w:szCs w:val="24"/>
        </w:rPr>
        <w:t xml:space="preserve"> hos gravide kvinder. Dyrestudier har vist reproduktionstoksicitet ved toksiske doser hos mater (se pkt. 5.3), og at </w:t>
      </w:r>
      <w:proofErr w:type="spellStart"/>
      <w:r w:rsidRPr="00EF792C">
        <w:rPr>
          <w:sz w:val="24"/>
          <w:szCs w:val="24"/>
        </w:rPr>
        <w:t>cabazitaxel</w:t>
      </w:r>
      <w:proofErr w:type="spellEnd"/>
      <w:r w:rsidRPr="00EF792C">
        <w:rPr>
          <w:sz w:val="24"/>
          <w:szCs w:val="24"/>
        </w:rPr>
        <w:t xml:space="preserve"> krydser placentabarrieren (se pkt. 5.3). Som andre </w:t>
      </w:r>
      <w:proofErr w:type="spellStart"/>
      <w:r w:rsidRPr="00EF792C">
        <w:rPr>
          <w:sz w:val="24"/>
          <w:szCs w:val="24"/>
        </w:rPr>
        <w:t>cytotoksiske</w:t>
      </w:r>
      <w:proofErr w:type="spellEnd"/>
      <w:r w:rsidRPr="00EF792C">
        <w:rPr>
          <w:sz w:val="24"/>
          <w:szCs w:val="24"/>
        </w:rPr>
        <w:t xml:space="preserve"> lægemidler kan </w:t>
      </w:r>
      <w:proofErr w:type="spellStart"/>
      <w:r w:rsidRPr="00EF792C">
        <w:rPr>
          <w:sz w:val="24"/>
          <w:szCs w:val="24"/>
        </w:rPr>
        <w:t>cabazitaxel</w:t>
      </w:r>
      <w:proofErr w:type="spellEnd"/>
      <w:r w:rsidRPr="00EF792C">
        <w:rPr>
          <w:sz w:val="24"/>
          <w:szCs w:val="24"/>
        </w:rPr>
        <w:t xml:space="preserve"> skade fosteret hos eksponerede gravide kvinder.</w:t>
      </w:r>
    </w:p>
    <w:p w:rsidR="00EF792C" w:rsidRPr="00EF792C" w:rsidRDefault="00EF792C" w:rsidP="00EF792C">
      <w:pPr>
        <w:tabs>
          <w:tab w:val="left" w:pos="851"/>
        </w:tabs>
        <w:ind w:left="851"/>
        <w:rPr>
          <w:sz w:val="24"/>
          <w:szCs w:val="24"/>
        </w:rPr>
      </w:pPr>
      <w:proofErr w:type="spellStart"/>
      <w:r w:rsidRPr="00EF792C">
        <w:rPr>
          <w:sz w:val="24"/>
          <w:szCs w:val="24"/>
        </w:rPr>
        <w:t>Cabazitaxel</w:t>
      </w:r>
      <w:proofErr w:type="spellEnd"/>
      <w:r w:rsidRPr="00EF792C">
        <w:rPr>
          <w:sz w:val="24"/>
          <w:szCs w:val="24"/>
        </w:rPr>
        <w:t xml:space="preserve"> anbefales ikke under graviditet og hos fødedygtige kvinder, som ikke bruger prævention.</w:t>
      </w:r>
    </w:p>
    <w:p w:rsidR="00EF792C" w:rsidRPr="00EF792C" w:rsidRDefault="00EF792C" w:rsidP="00EF792C">
      <w:pPr>
        <w:tabs>
          <w:tab w:val="left" w:pos="851"/>
        </w:tabs>
        <w:ind w:left="851"/>
        <w:rPr>
          <w:sz w:val="24"/>
          <w:szCs w:val="24"/>
        </w:rPr>
      </w:pPr>
    </w:p>
    <w:p w:rsidR="00EF792C" w:rsidRPr="00EF792C" w:rsidRDefault="00EF792C" w:rsidP="00EF792C">
      <w:pPr>
        <w:tabs>
          <w:tab w:val="left" w:pos="851"/>
        </w:tabs>
        <w:ind w:left="851"/>
        <w:rPr>
          <w:sz w:val="24"/>
          <w:szCs w:val="24"/>
          <w:u w:val="single"/>
        </w:rPr>
      </w:pPr>
      <w:r w:rsidRPr="00EF792C">
        <w:rPr>
          <w:sz w:val="24"/>
          <w:szCs w:val="24"/>
          <w:u w:val="single"/>
        </w:rPr>
        <w:t>Amning</w:t>
      </w:r>
    </w:p>
    <w:p w:rsidR="00EF792C" w:rsidRPr="00EF792C" w:rsidRDefault="00EF792C" w:rsidP="00EF792C">
      <w:pPr>
        <w:tabs>
          <w:tab w:val="left" w:pos="851"/>
        </w:tabs>
        <w:ind w:left="851"/>
        <w:rPr>
          <w:sz w:val="24"/>
          <w:szCs w:val="24"/>
        </w:rPr>
      </w:pPr>
      <w:r w:rsidRPr="00EF792C">
        <w:rPr>
          <w:sz w:val="24"/>
          <w:szCs w:val="24"/>
        </w:rPr>
        <w:t xml:space="preserve">Foreliggende </w:t>
      </w:r>
      <w:proofErr w:type="spellStart"/>
      <w:r w:rsidRPr="00EF792C">
        <w:rPr>
          <w:sz w:val="24"/>
          <w:szCs w:val="24"/>
        </w:rPr>
        <w:t>farmakokinetiske</w:t>
      </w:r>
      <w:proofErr w:type="spellEnd"/>
      <w:r w:rsidRPr="00EF792C">
        <w:rPr>
          <w:sz w:val="24"/>
          <w:szCs w:val="24"/>
        </w:rPr>
        <w:t xml:space="preserve"> data hos dyr har vist udskillelse af </w:t>
      </w:r>
      <w:proofErr w:type="spellStart"/>
      <w:r w:rsidRPr="00EF792C">
        <w:rPr>
          <w:sz w:val="24"/>
          <w:szCs w:val="24"/>
        </w:rPr>
        <w:t>cabazitaxel</w:t>
      </w:r>
      <w:proofErr w:type="spellEnd"/>
      <w:r w:rsidRPr="00EF792C">
        <w:rPr>
          <w:sz w:val="24"/>
          <w:szCs w:val="24"/>
        </w:rPr>
        <w:t xml:space="preserve"> og dets metabolitter i mælk (se pkt. 5.3). Det kan ikke udelukkes, at det amme</w:t>
      </w:r>
      <w:r w:rsidR="008F625B">
        <w:rPr>
          <w:sz w:val="24"/>
          <w:szCs w:val="24"/>
        </w:rPr>
        <w:t>n</w:t>
      </w:r>
      <w:r w:rsidRPr="00EF792C">
        <w:rPr>
          <w:sz w:val="24"/>
          <w:szCs w:val="24"/>
        </w:rPr>
        <w:t>de barn vil være udsat for risiko.</w:t>
      </w:r>
    </w:p>
    <w:p w:rsidR="00EF792C" w:rsidRPr="00EF792C" w:rsidRDefault="00EF792C" w:rsidP="00EF792C">
      <w:pPr>
        <w:tabs>
          <w:tab w:val="left" w:pos="851"/>
        </w:tabs>
        <w:ind w:left="851"/>
        <w:rPr>
          <w:sz w:val="24"/>
          <w:szCs w:val="24"/>
        </w:rPr>
      </w:pPr>
      <w:proofErr w:type="spellStart"/>
      <w:r w:rsidRPr="00EF792C">
        <w:rPr>
          <w:sz w:val="24"/>
          <w:szCs w:val="24"/>
        </w:rPr>
        <w:t>Cabazitaxel</w:t>
      </w:r>
      <w:proofErr w:type="spellEnd"/>
      <w:r w:rsidRPr="00EF792C">
        <w:rPr>
          <w:sz w:val="24"/>
          <w:szCs w:val="24"/>
        </w:rPr>
        <w:t xml:space="preserve"> bør ikke bruges under amning.</w:t>
      </w:r>
    </w:p>
    <w:p w:rsidR="00EF792C" w:rsidRPr="00EF792C" w:rsidRDefault="00EF792C" w:rsidP="00EF792C">
      <w:pPr>
        <w:tabs>
          <w:tab w:val="left" w:pos="851"/>
        </w:tabs>
        <w:ind w:left="851"/>
        <w:rPr>
          <w:sz w:val="24"/>
          <w:szCs w:val="24"/>
        </w:rPr>
      </w:pPr>
    </w:p>
    <w:p w:rsidR="00EF792C" w:rsidRPr="00EF792C" w:rsidRDefault="00EF792C" w:rsidP="00EF792C">
      <w:pPr>
        <w:tabs>
          <w:tab w:val="left" w:pos="851"/>
        </w:tabs>
        <w:ind w:left="851"/>
        <w:rPr>
          <w:sz w:val="24"/>
          <w:szCs w:val="24"/>
          <w:u w:val="single"/>
        </w:rPr>
      </w:pPr>
      <w:r w:rsidRPr="00EF792C">
        <w:rPr>
          <w:sz w:val="24"/>
          <w:szCs w:val="24"/>
          <w:u w:val="single"/>
        </w:rPr>
        <w:t>Fertilitet</w:t>
      </w:r>
    </w:p>
    <w:p w:rsidR="00EF792C" w:rsidRPr="00EF792C" w:rsidRDefault="00EF792C" w:rsidP="00EF792C">
      <w:pPr>
        <w:tabs>
          <w:tab w:val="left" w:pos="851"/>
        </w:tabs>
        <w:ind w:left="851"/>
        <w:rPr>
          <w:sz w:val="24"/>
          <w:szCs w:val="24"/>
        </w:rPr>
      </w:pPr>
      <w:r w:rsidRPr="00EF792C">
        <w:rPr>
          <w:sz w:val="24"/>
          <w:szCs w:val="24"/>
        </w:rPr>
        <w:t xml:space="preserve">Dyrestudier har vist, at </w:t>
      </w:r>
      <w:proofErr w:type="spellStart"/>
      <w:r w:rsidRPr="00EF792C">
        <w:rPr>
          <w:sz w:val="24"/>
          <w:szCs w:val="24"/>
        </w:rPr>
        <w:t>cabazitaxel</w:t>
      </w:r>
      <w:proofErr w:type="spellEnd"/>
      <w:r w:rsidRPr="00EF792C">
        <w:rPr>
          <w:sz w:val="24"/>
          <w:szCs w:val="24"/>
        </w:rPr>
        <w:t xml:space="preserve"> påvirkede det reproduktive system hos hanrotter og -hunde, uden at det havde nogen indvirkning på fertiliteten (se pkt. 5.3). I betragtning af </w:t>
      </w:r>
      <w:proofErr w:type="spellStart"/>
      <w:r w:rsidRPr="00EF792C">
        <w:rPr>
          <w:sz w:val="24"/>
          <w:szCs w:val="24"/>
        </w:rPr>
        <w:t>taxanernes</w:t>
      </w:r>
      <w:proofErr w:type="spellEnd"/>
      <w:r w:rsidRPr="00EF792C">
        <w:rPr>
          <w:sz w:val="24"/>
          <w:szCs w:val="24"/>
        </w:rPr>
        <w:t xml:space="preserve"> farmakologiske aktivitet, deres genotoksiske potentiale og indvirkningen af flere forbindelser i denne klasse på fertiliteten i dyrestudier, kunne indvirkning på fertiliteten hos mænd dog ikke udelukkes.</w:t>
      </w:r>
    </w:p>
    <w:p w:rsidR="00EF792C" w:rsidRPr="00EF792C" w:rsidRDefault="00EF792C" w:rsidP="00EF792C">
      <w:pPr>
        <w:tabs>
          <w:tab w:val="left" w:pos="851"/>
        </w:tabs>
        <w:ind w:left="851"/>
        <w:rPr>
          <w:sz w:val="24"/>
          <w:szCs w:val="24"/>
        </w:rPr>
      </w:pPr>
    </w:p>
    <w:p w:rsidR="00EF792C" w:rsidRPr="00EF792C" w:rsidRDefault="00EF792C" w:rsidP="00EF792C">
      <w:pPr>
        <w:tabs>
          <w:tab w:val="left" w:pos="851"/>
        </w:tabs>
        <w:ind w:left="851"/>
        <w:rPr>
          <w:sz w:val="24"/>
          <w:szCs w:val="24"/>
        </w:rPr>
      </w:pPr>
      <w:r w:rsidRPr="00EF792C">
        <w:rPr>
          <w:sz w:val="24"/>
          <w:szCs w:val="24"/>
        </w:rPr>
        <w:t xml:space="preserve">På grund af den potentielle indvirkning på mandlige gameter og på potentiel eksponering via </w:t>
      </w:r>
      <w:proofErr w:type="spellStart"/>
      <w:r w:rsidRPr="00EF792C">
        <w:rPr>
          <w:sz w:val="24"/>
          <w:szCs w:val="24"/>
        </w:rPr>
        <w:t>seminalvæske</w:t>
      </w:r>
      <w:proofErr w:type="spellEnd"/>
      <w:r w:rsidRPr="00EF792C">
        <w:rPr>
          <w:sz w:val="24"/>
          <w:szCs w:val="24"/>
        </w:rPr>
        <w:t xml:space="preserve"> anbefales det, at mænd, som behandles med </w:t>
      </w:r>
      <w:proofErr w:type="spellStart"/>
      <w:r w:rsidRPr="00EF792C">
        <w:rPr>
          <w:sz w:val="24"/>
          <w:szCs w:val="24"/>
        </w:rPr>
        <w:t>cabazitaxel</w:t>
      </w:r>
      <w:proofErr w:type="spellEnd"/>
      <w:r w:rsidRPr="00EF792C">
        <w:rPr>
          <w:sz w:val="24"/>
          <w:szCs w:val="24"/>
        </w:rPr>
        <w:t xml:space="preserve">, bruger effektiv prævention under hele behandlingen og fortsætter hermed i 6 måneder efter den sidste dosis </w:t>
      </w:r>
      <w:proofErr w:type="spellStart"/>
      <w:r w:rsidRPr="00EF792C">
        <w:rPr>
          <w:sz w:val="24"/>
          <w:szCs w:val="24"/>
        </w:rPr>
        <w:t>cabazitaxel</w:t>
      </w:r>
      <w:proofErr w:type="spellEnd"/>
      <w:r w:rsidRPr="00EF792C">
        <w:rPr>
          <w:sz w:val="24"/>
          <w:szCs w:val="24"/>
        </w:rPr>
        <w:t xml:space="preserve">. På grund af potentiel eksponering via </w:t>
      </w:r>
      <w:proofErr w:type="spellStart"/>
      <w:r w:rsidRPr="00EF792C">
        <w:rPr>
          <w:sz w:val="24"/>
          <w:szCs w:val="24"/>
        </w:rPr>
        <w:t>seminalvæsken</w:t>
      </w:r>
      <w:proofErr w:type="spellEnd"/>
      <w:r w:rsidRPr="00EF792C">
        <w:rPr>
          <w:sz w:val="24"/>
          <w:szCs w:val="24"/>
        </w:rPr>
        <w:t xml:space="preserve"> skal mænd, som behandles med </w:t>
      </w:r>
      <w:proofErr w:type="spellStart"/>
      <w:r w:rsidRPr="00EF792C">
        <w:rPr>
          <w:sz w:val="24"/>
          <w:szCs w:val="24"/>
        </w:rPr>
        <w:t>cabazitaxel</w:t>
      </w:r>
      <w:proofErr w:type="spellEnd"/>
      <w:r w:rsidRPr="00EF792C">
        <w:rPr>
          <w:sz w:val="24"/>
          <w:szCs w:val="24"/>
        </w:rPr>
        <w:t xml:space="preserve">, i hele behandlingsperioden undgå, at andre kommer i kontakt med </w:t>
      </w:r>
      <w:proofErr w:type="spellStart"/>
      <w:r w:rsidRPr="00EF792C">
        <w:rPr>
          <w:sz w:val="24"/>
          <w:szCs w:val="24"/>
        </w:rPr>
        <w:t>ejakulatet</w:t>
      </w:r>
      <w:proofErr w:type="spellEnd"/>
      <w:r w:rsidRPr="00EF792C">
        <w:rPr>
          <w:sz w:val="24"/>
          <w:szCs w:val="24"/>
        </w:rPr>
        <w:t xml:space="preserve">. Mænd, som behandles med </w:t>
      </w:r>
      <w:proofErr w:type="spellStart"/>
      <w:r w:rsidRPr="00EF792C">
        <w:rPr>
          <w:sz w:val="24"/>
          <w:szCs w:val="24"/>
        </w:rPr>
        <w:t>cabazitaxel</w:t>
      </w:r>
      <w:proofErr w:type="spellEnd"/>
      <w:r w:rsidRPr="00EF792C">
        <w:rPr>
          <w:sz w:val="24"/>
          <w:szCs w:val="24"/>
        </w:rPr>
        <w:t>, anbefales at søge råd om, hvordan sperma kan konserveres inden behandlingen.</w:t>
      </w:r>
    </w:p>
    <w:p w:rsidR="00EF792C" w:rsidRPr="00EF792C" w:rsidRDefault="00EF792C" w:rsidP="00EF792C">
      <w:pPr>
        <w:tabs>
          <w:tab w:val="left" w:pos="851"/>
        </w:tabs>
        <w:ind w:left="851"/>
        <w:rPr>
          <w:sz w:val="24"/>
          <w:szCs w:val="24"/>
        </w:rPr>
      </w:pPr>
    </w:p>
    <w:p w:rsidR="000A4685" w:rsidRPr="00C84483" w:rsidRDefault="000A4685" w:rsidP="000A4685">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EF792C" w:rsidRDefault="00EF792C" w:rsidP="00EF792C">
      <w:pPr>
        <w:tabs>
          <w:tab w:val="left" w:pos="851"/>
        </w:tabs>
        <w:ind w:left="851"/>
        <w:rPr>
          <w:sz w:val="24"/>
          <w:szCs w:val="24"/>
          <w:lang w:val="fr-LU"/>
        </w:rPr>
      </w:pPr>
      <w:r>
        <w:rPr>
          <w:sz w:val="24"/>
          <w:szCs w:val="24"/>
          <w:lang w:val="fr-LU"/>
        </w:rPr>
        <w:t>Ikke mærkning.</w:t>
      </w:r>
    </w:p>
    <w:p w:rsidR="00EF792C" w:rsidRPr="00EF792C" w:rsidRDefault="00EF792C" w:rsidP="00EF792C">
      <w:pPr>
        <w:tabs>
          <w:tab w:val="left" w:pos="851"/>
        </w:tabs>
        <w:ind w:left="851"/>
        <w:rPr>
          <w:sz w:val="24"/>
          <w:szCs w:val="24"/>
          <w:lang w:val="fr-LU"/>
        </w:rPr>
      </w:pPr>
      <w:r w:rsidRPr="00EF792C">
        <w:rPr>
          <w:sz w:val="24"/>
          <w:szCs w:val="24"/>
          <w:lang w:val="fr-LU"/>
        </w:rPr>
        <w:t xml:space="preserve">Cabazitaxel </w:t>
      </w:r>
      <w:r w:rsidR="0052700B">
        <w:rPr>
          <w:sz w:val="24"/>
          <w:szCs w:val="24"/>
          <w:lang w:val="fr-LU"/>
        </w:rPr>
        <w:t>har en</w:t>
      </w:r>
      <w:r w:rsidRPr="00EF792C">
        <w:rPr>
          <w:sz w:val="24"/>
          <w:szCs w:val="24"/>
          <w:lang w:val="fr-LU"/>
        </w:rPr>
        <w:t xml:space="preserve"> moderat </w:t>
      </w:r>
      <w:r w:rsidR="0052700B">
        <w:rPr>
          <w:sz w:val="24"/>
          <w:szCs w:val="24"/>
          <w:lang w:val="fr-LU"/>
        </w:rPr>
        <w:t>in</w:t>
      </w:r>
      <w:r w:rsidR="007553C5">
        <w:rPr>
          <w:sz w:val="24"/>
          <w:szCs w:val="24"/>
          <w:lang w:val="fr-LU"/>
        </w:rPr>
        <w:t>d</w:t>
      </w:r>
      <w:r w:rsidR="0052700B">
        <w:rPr>
          <w:sz w:val="24"/>
          <w:szCs w:val="24"/>
          <w:lang w:val="fr-LU"/>
        </w:rPr>
        <w:t>flydelse på</w:t>
      </w:r>
      <w:r w:rsidRPr="00EF792C">
        <w:rPr>
          <w:sz w:val="24"/>
          <w:szCs w:val="24"/>
          <w:lang w:val="fr-LU"/>
        </w:rPr>
        <w:t xml:space="preserve"> evnen til at føre motorkøretøj eller betjene maskiner, da det kan forårsage træthed og svimmelhed. Patienter rådes til ikke at føre motorkøretøj eller betjene maskiner, hvis de oplever disse bivirkninger under behandlingen.</w:t>
      </w:r>
    </w:p>
    <w:p w:rsidR="00870718" w:rsidRDefault="00870718">
      <w:pPr>
        <w:rPr>
          <w:sz w:val="24"/>
          <w:szCs w:val="24"/>
          <w:lang w:val="fr-LU"/>
        </w:rPr>
      </w:pPr>
      <w:r>
        <w:rPr>
          <w:sz w:val="24"/>
          <w:szCs w:val="24"/>
          <w:lang w:val="fr-LU"/>
        </w:rPr>
        <w:br w:type="page"/>
      </w:r>
    </w:p>
    <w:p w:rsidR="009260DE" w:rsidRPr="00EF792C" w:rsidRDefault="009260DE" w:rsidP="009260DE">
      <w:pPr>
        <w:tabs>
          <w:tab w:val="left" w:pos="851"/>
        </w:tabs>
        <w:ind w:left="851"/>
        <w:rPr>
          <w:sz w:val="24"/>
          <w:szCs w:val="24"/>
          <w:lang w:val="fr-LU"/>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6E699F" w:rsidRPr="00D357F9" w:rsidRDefault="006E699F" w:rsidP="00D357F9">
      <w:pPr>
        <w:ind w:left="851"/>
        <w:rPr>
          <w:sz w:val="24"/>
          <w:szCs w:val="24"/>
          <w:lang w:eastAsia="fr-LU"/>
        </w:rPr>
      </w:pPr>
    </w:p>
    <w:p w:rsidR="006E699F" w:rsidRPr="00D357F9" w:rsidRDefault="006E699F" w:rsidP="00D357F9">
      <w:pPr>
        <w:ind w:left="851"/>
        <w:rPr>
          <w:sz w:val="24"/>
          <w:szCs w:val="24"/>
          <w:u w:val="single"/>
        </w:rPr>
      </w:pPr>
      <w:r w:rsidRPr="00D357F9">
        <w:rPr>
          <w:sz w:val="24"/>
          <w:szCs w:val="24"/>
          <w:u w:val="single"/>
        </w:rPr>
        <w:t>Resumé af bivirkningsprofilen</w:t>
      </w:r>
    </w:p>
    <w:p w:rsidR="004902CD" w:rsidRPr="004902CD" w:rsidRDefault="004902CD" w:rsidP="004902CD">
      <w:pPr>
        <w:ind w:left="851"/>
        <w:rPr>
          <w:sz w:val="24"/>
          <w:szCs w:val="24"/>
          <w:lang w:val="fr-LU"/>
        </w:rPr>
      </w:pPr>
      <w:r w:rsidRPr="004902CD">
        <w:rPr>
          <w:sz w:val="24"/>
          <w:szCs w:val="24"/>
          <w:lang w:val="fr-LU"/>
        </w:rPr>
        <w:t>Sikkerheden ved cabazitaxel i kombination med prednison eller prednisolon blev evalueret i 3 randomiserede, åbne, kontrollerede studier (TROPIC, PROSELICA og CARD), total 1092 patienter med metastatisk kastrationsresistent prostatacancer, der blev behandlet med 25 mg/m</w:t>
      </w:r>
      <w:r w:rsidRPr="004902CD">
        <w:rPr>
          <w:sz w:val="24"/>
          <w:szCs w:val="24"/>
          <w:vertAlign w:val="superscript"/>
          <w:lang w:val="fr-LU"/>
        </w:rPr>
        <w:t>2</w:t>
      </w:r>
      <w:r w:rsidRPr="004902CD">
        <w:rPr>
          <w:sz w:val="24"/>
          <w:szCs w:val="24"/>
          <w:lang w:val="fr-LU"/>
        </w:rPr>
        <w:t xml:space="preserve"> cabazitaxel en gang hver 3. uge. Den mediane behandling var 6 til 7 serier cabazitaxel.</w:t>
      </w:r>
    </w:p>
    <w:p w:rsidR="004902CD" w:rsidRPr="004902CD" w:rsidRDefault="004902CD" w:rsidP="004902CD">
      <w:pPr>
        <w:ind w:left="851"/>
        <w:rPr>
          <w:sz w:val="24"/>
          <w:szCs w:val="24"/>
          <w:lang w:val="fr-LU"/>
        </w:rPr>
      </w:pPr>
    </w:p>
    <w:p w:rsidR="004902CD" w:rsidRPr="004902CD" w:rsidRDefault="004902CD" w:rsidP="004902CD">
      <w:pPr>
        <w:ind w:left="851"/>
        <w:rPr>
          <w:sz w:val="24"/>
          <w:szCs w:val="24"/>
          <w:lang w:val="fr-LU"/>
        </w:rPr>
      </w:pPr>
      <w:r w:rsidRPr="004902CD">
        <w:rPr>
          <w:sz w:val="24"/>
          <w:szCs w:val="24"/>
          <w:lang w:val="fr-LU"/>
        </w:rPr>
        <w:t xml:space="preserve">Forekomsterne fra den samlede analyse af disse 3 studier er vist nedenfor og i tabellen. </w:t>
      </w:r>
    </w:p>
    <w:p w:rsidR="004902CD" w:rsidRPr="004902CD" w:rsidRDefault="004902CD" w:rsidP="004902CD">
      <w:pPr>
        <w:ind w:left="851"/>
        <w:rPr>
          <w:sz w:val="24"/>
          <w:szCs w:val="24"/>
          <w:lang w:val="fr-LU"/>
        </w:rPr>
      </w:pPr>
    </w:p>
    <w:p w:rsidR="004902CD" w:rsidRPr="004902CD" w:rsidRDefault="004902CD" w:rsidP="004902CD">
      <w:pPr>
        <w:ind w:left="851"/>
        <w:rPr>
          <w:sz w:val="24"/>
          <w:szCs w:val="24"/>
          <w:lang w:val="fr-LU"/>
        </w:rPr>
      </w:pPr>
      <w:r w:rsidRPr="004902CD">
        <w:rPr>
          <w:sz w:val="24"/>
          <w:szCs w:val="24"/>
          <w:lang w:val="fr-LU"/>
        </w:rPr>
        <w:t>De hyppigst forekommende bivirkninger i alle grader var anæmi (99,0</w:t>
      </w:r>
      <w:r w:rsidR="008A63AB">
        <w:rPr>
          <w:sz w:val="24"/>
          <w:szCs w:val="24"/>
          <w:lang w:val="fr-LU"/>
        </w:rPr>
        <w:t xml:space="preserve"> %</w:t>
      </w:r>
      <w:r w:rsidRPr="004902CD">
        <w:rPr>
          <w:sz w:val="24"/>
          <w:szCs w:val="24"/>
          <w:lang w:val="fr-LU"/>
        </w:rPr>
        <w:t>), leukopeni (93,0</w:t>
      </w:r>
      <w:r w:rsidR="00787E1C">
        <w:rPr>
          <w:sz w:val="24"/>
          <w:szCs w:val="24"/>
          <w:lang w:val="fr-LU"/>
        </w:rPr>
        <w:t> </w:t>
      </w:r>
      <w:r w:rsidR="008A63AB">
        <w:rPr>
          <w:sz w:val="24"/>
          <w:szCs w:val="24"/>
          <w:lang w:val="fr-LU"/>
        </w:rPr>
        <w:t>%</w:t>
      </w:r>
      <w:r w:rsidRPr="004902CD">
        <w:rPr>
          <w:sz w:val="24"/>
          <w:szCs w:val="24"/>
          <w:lang w:val="fr-LU"/>
        </w:rPr>
        <w:t>), neutropeni (87,9</w:t>
      </w:r>
      <w:r w:rsidR="008A63AB">
        <w:rPr>
          <w:sz w:val="24"/>
          <w:szCs w:val="24"/>
          <w:lang w:val="fr-LU"/>
        </w:rPr>
        <w:t xml:space="preserve"> %</w:t>
      </w:r>
      <w:r w:rsidRPr="004902CD">
        <w:rPr>
          <w:sz w:val="24"/>
          <w:szCs w:val="24"/>
          <w:lang w:val="fr-LU"/>
        </w:rPr>
        <w:t>), trombocytopeni (41,1</w:t>
      </w:r>
      <w:r w:rsidR="008A63AB">
        <w:rPr>
          <w:sz w:val="24"/>
          <w:szCs w:val="24"/>
          <w:lang w:val="fr-LU"/>
        </w:rPr>
        <w:t xml:space="preserve"> %</w:t>
      </w:r>
      <w:r w:rsidRPr="004902CD">
        <w:rPr>
          <w:sz w:val="24"/>
          <w:szCs w:val="24"/>
          <w:lang w:val="fr-LU"/>
        </w:rPr>
        <w:t>), diarré (42,1</w:t>
      </w:r>
      <w:r w:rsidR="008A63AB">
        <w:rPr>
          <w:sz w:val="24"/>
          <w:szCs w:val="24"/>
          <w:lang w:val="fr-LU"/>
        </w:rPr>
        <w:t xml:space="preserve"> %</w:t>
      </w:r>
      <w:r w:rsidRPr="004902CD">
        <w:rPr>
          <w:sz w:val="24"/>
          <w:szCs w:val="24"/>
          <w:lang w:val="fr-LU"/>
        </w:rPr>
        <w:t>), træthed (25,0</w:t>
      </w:r>
      <w:r w:rsidR="008A63AB">
        <w:rPr>
          <w:sz w:val="24"/>
          <w:szCs w:val="24"/>
          <w:lang w:val="fr-LU"/>
        </w:rPr>
        <w:t xml:space="preserve"> %</w:t>
      </w:r>
      <w:r w:rsidRPr="004902CD">
        <w:rPr>
          <w:sz w:val="24"/>
          <w:szCs w:val="24"/>
          <w:lang w:val="fr-LU"/>
        </w:rPr>
        <w:t>) og asteni (15,4</w:t>
      </w:r>
      <w:r w:rsidR="008A63AB">
        <w:rPr>
          <w:sz w:val="24"/>
          <w:szCs w:val="24"/>
          <w:lang w:val="fr-LU"/>
        </w:rPr>
        <w:t xml:space="preserve"> %</w:t>
      </w:r>
      <w:r w:rsidRPr="004902CD">
        <w:rPr>
          <w:sz w:val="24"/>
          <w:szCs w:val="24"/>
          <w:lang w:val="fr-LU"/>
        </w:rPr>
        <w:t>). De mest almindeligt forekommende grad ≥3 bivirkninger, der forekom hos mindst 5</w:t>
      </w:r>
      <w:r w:rsidR="008A63AB">
        <w:rPr>
          <w:sz w:val="24"/>
          <w:szCs w:val="24"/>
          <w:lang w:val="fr-LU"/>
        </w:rPr>
        <w:t xml:space="preserve"> %</w:t>
      </w:r>
      <w:r w:rsidRPr="004902CD">
        <w:rPr>
          <w:sz w:val="24"/>
          <w:szCs w:val="24"/>
          <w:lang w:val="fr-LU"/>
        </w:rPr>
        <w:t xml:space="preserve"> af patienterne, var neutropeni (73,1</w:t>
      </w:r>
      <w:r w:rsidR="008A63AB">
        <w:rPr>
          <w:sz w:val="24"/>
          <w:szCs w:val="24"/>
          <w:lang w:val="fr-LU"/>
        </w:rPr>
        <w:t xml:space="preserve"> %</w:t>
      </w:r>
      <w:r w:rsidRPr="004902CD">
        <w:rPr>
          <w:sz w:val="24"/>
          <w:szCs w:val="24"/>
          <w:lang w:val="fr-LU"/>
        </w:rPr>
        <w:t>), leukopeni (59,5</w:t>
      </w:r>
      <w:r w:rsidR="008A63AB">
        <w:rPr>
          <w:sz w:val="24"/>
          <w:szCs w:val="24"/>
          <w:lang w:val="fr-LU"/>
        </w:rPr>
        <w:t xml:space="preserve"> %</w:t>
      </w:r>
      <w:r w:rsidRPr="004902CD">
        <w:rPr>
          <w:sz w:val="24"/>
          <w:szCs w:val="24"/>
          <w:lang w:val="fr-LU"/>
        </w:rPr>
        <w:t>), anæmi (12,0</w:t>
      </w:r>
      <w:r w:rsidR="00E861DA">
        <w:rPr>
          <w:sz w:val="24"/>
          <w:szCs w:val="24"/>
          <w:lang w:val="fr-LU"/>
        </w:rPr>
        <w:t> </w:t>
      </w:r>
      <w:r w:rsidR="008A63AB">
        <w:rPr>
          <w:sz w:val="24"/>
          <w:szCs w:val="24"/>
          <w:lang w:val="fr-LU"/>
        </w:rPr>
        <w:t>%</w:t>
      </w:r>
      <w:r w:rsidRPr="004902CD">
        <w:rPr>
          <w:sz w:val="24"/>
          <w:szCs w:val="24"/>
          <w:lang w:val="fr-LU"/>
        </w:rPr>
        <w:t>), febril neutropeni (8,0</w:t>
      </w:r>
      <w:r w:rsidR="008A63AB">
        <w:rPr>
          <w:sz w:val="24"/>
          <w:szCs w:val="24"/>
          <w:lang w:val="fr-LU"/>
        </w:rPr>
        <w:t xml:space="preserve"> %</w:t>
      </w:r>
      <w:r w:rsidRPr="004902CD">
        <w:rPr>
          <w:sz w:val="24"/>
          <w:szCs w:val="24"/>
          <w:lang w:val="fr-LU"/>
        </w:rPr>
        <w:t>), diarré (4,7</w:t>
      </w:r>
      <w:r w:rsidR="008A63AB">
        <w:rPr>
          <w:sz w:val="24"/>
          <w:szCs w:val="24"/>
          <w:lang w:val="fr-LU"/>
        </w:rPr>
        <w:t xml:space="preserve"> %</w:t>
      </w:r>
      <w:r w:rsidRPr="004902CD">
        <w:rPr>
          <w:sz w:val="24"/>
          <w:szCs w:val="24"/>
          <w:lang w:val="fr-LU"/>
        </w:rPr>
        <w:t xml:space="preserve">). </w:t>
      </w:r>
    </w:p>
    <w:p w:rsidR="004902CD" w:rsidRPr="004902CD" w:rsidRDefault="004902CD" w:rsidP="004902CD">
      <w:pPr>
        <w:ind w:left="851"/>
        <w:rPr>
          <w:sz w:val="24"/>
          <w:szCs w:val="24"/>
          <w:lang w:val="fr-LU"/>
        </w:rPr>
      </w:pPr>
    </w:p>
    <w:p w:rsidR="004902CD" w:rsidRPr="004902CD" w:rsidRDefault="004902CD" w:rsidP="004902CD">
      <w:pPr>
        <w:ind w:left="851"/>
        <w:rPr>
          <w:sz w:val="24"/>
          <w:szCs w:val="24"/>
          <w:u w:val="single"/>
          <w:lang w:val="fr-LU"/>
        </w:rPr>
      </w:pPr>
      <w:r w:rsidRPr="004902CD">
        <w:rPr>
          <w:sz w:val="24"/>
          <w:szCs w:val="24"/>
        </w:rPr>
        <w:t>Behandlingsafbrydelse på grund af bivirkninger forekom med lignende frekvenser i de 3 studier (18,3</w:t>
      </w:r>
      <w:r w:rsidR="008A63AB">
        <w:rPr>
          <w:sz w:val="24"/>
          <w:szCs w:val="24"/>
        </w:rPr>
        <w:t xml:space="preserve"> %</w:t>
      </w:r>
      <w:r w:rsidRPr="004902CD">
        <w:rPr>
          <w:sz w:val="24"/>
          <w:szCs w:val="24"/>
        </w:rPr>
        <w:t xml:space="preserve"> i TROPIC, 19,5</w:t>
      </w:r>
      <w:r w:rsidR="008A63AB">
        <w:rPr>
          <w:sz w:val="24"/>
          <w:szCs w:val="24"/>
        </w:rPr>
        <w:t xml:space="preserve"> %</w:t>
      </w:r>
      <w:r w:rsidRPr="004902CD">
        <w:rPr>
          <w:sz w:val="24"/>
          <w:szCs w:val="24"/>
        </w:rPr>
        <w:t xml:space="preserve"> i PROSELICA og 19,8</w:t>
      </w:r>
      <w:r w:rsidR="008A63AB">
        <w:rPr>
          <w:sz w:val="24"/>
          <w:szCs w:val="24"/>
        </w:rPr>
        <w:t xml:space="preserve"> %</w:t>
      </w:r>
      <w:r w:rsidRPr="004902CD">
        <w:rPr>
          <w:sz w:val="24"/>
          <w:szCs w:val="24"/>
        </w:rPr>
        <w:t xml:space="preserve"> i CARD) hos patienter, som modtog </w:t>
      </w:r>
      <w:proofErr w:type="spellStart"/>
      <w:r w:rsidRPr="004902CD">
        <w:rPr>
          <w:sz w:val="24"/>
          <w:szCs w:val="24"/>
        </w:rPr>
        <w:t>cabazitaxel</w:t>
      </w:r>
      <w:proofErr w:type="spellEnd"/>
      <w:r w:rsidRPr="004902CD">
        <w:rPr>
          <w:sz w:val="24"/>
          <w:szCs w:val="24"/>
        </w:rPr>
        <w:t>. Den hyppigst forekommende bivirkning (&gt; 1,0</w:t>
      </w:r>
      <w:r w:rsidR="008A63AB">
        <w:rPr>
          <w:sz w:val="24"/>
          <w:szCs w:val="24"/>
        </w:rPr>
        <w:t xml:space="preserve"> %</w:t>
      </w:r>
      <w:r w:rsidRPr="004902CD">
        <w:rPr>
          <w:sz w:val="24"/>
          <w:szCs w:val="24"/>
        </w:rPr>
        <w:t xml:space="preserve">), som medførte </w:t>
      </w:r>
      <w:proofErr w:type="spellStart"/>
      <w:r w:rsidRPr="004902CD">
        <w:rPr>
          <w:sz w:val="24"/>
          <w:szCs w:val="24"/>
        </w:rPr>
        <w:t>seponering</w:t>
      </w:r>
      <w:proofErr w:type="spellEnd"/>
      <w:r w:rsidRPr="004902CD">
        <w:rPr>
          <w:sz w:val="24"/>
          <w:szCs w:val="24"/>
        </w:rPr>
        <w:t xml:space="preserve"> af </w:t>
      </w:r>
      <w:proofErr w:type="spellStart"/>
      <w:r w:rsidRPr="004902CD">
        <w:rPr>
          <w:sz w:val="24"/>
          <w:szCs w:val="24"/>
        </w:rPr>
        <w:t>cabazitaxel</w:t>
      </w:r>
      <w:proofErr w:type="spellEnd"/>
      <w:r w:rsidRPr="004902CD">
        <w:rPr>
          <w:sz w:val="24"/>
          <w:szCs w:val="24"/>
        </w:rPr>
        <w:t xml:space="preserve">, var hæmaturi, træthed og </w:t>
      </w:r>
      <w:proofErr w:type="spellStart"/>
      <w:r w:rsidRPr="004902CD">
        <w:rPr>
          <w:sz w:val="24"/>
          <w:szCs w:val="24"/>
        </w:rPr>
        <w:t>neutropeni</w:t>
      </w:r>
      <w:proofErr w:type="spellEnd"/>
      <w:r w:rsidRPr="004902CD">
        <w:rPr>
          <w:sz w:val="24"/>
          <w:szCs w:val="24"/>
        </w:rPr>
        <w:t>.</w:t>
      </w:r>
    </w:p>
    <w:p w:rsidR="006E699F" w:rsidRPr="00C56D41" w:rsidRDefault="006E699F" w:rsidP="00D357F9">
      <w:pPr>
        <w:ind w:left="851"/>
        <w:rPr>
          <w:sz w:val="24"/>
          <w:szCs w:val="24"/>
          <w:lang w:val="fr-LU"/>
        </w:rPr>
      </w:pPr>
    </w:p>
    <w:p w:rsidR="006E699F" w:rsidRPr="00D357F9" w:rsidRDefault="006E699F" w:rsidP="00D357F9">
      <w:pPr>
        <w:ind w:left="851"/>
        <w:rPr>
          <w:sz w:val="24"/>
          <w:szCs w:val="24"/>
          <w:u w:val="single"/>
        </w:rPr>
      </w:pPr>
      <w:r w:rsidRPr="00D357F9">
        <w:rPr>
          <w:sz w:val="24"/>
          <w:szCs w:val="24"/>
          <w:u w:val="single"/>
        </w:rPr>
        <w:t>Tabel over bivirkninger</w:t>
      </w:r>
    </w:p>
    <w:p w:rsidR="006E699F" w:rsidRPr="00D357F9" w:rsidRDefault="006E699F" w:rsidP="00D357F9">
      <w:pPr>
        <w:ind w:left="851"/>
        <w:rPr>
          <w:sz w:val="24"/>
          <w:szCs w:val="24"/>
        </w:rPr>
      </w:pPr>
      <w:r w:rsidRPr="00D357F9">
        <w:rPr>
          <w:sz w:val="24"/>
          <w:szCs w:val="24"/>
        </w:rPr>
        <w:t xml:space="preserve">Bivirkninger er angivet i tabel 2 i henhold til </w:t>
      </w:r>
      <w:proofErr w:type="spellStart"/>
      <w:r w:rsidRPr="00D357F9">
        <w:rPr>
          <w:sz w:val="24"/>
          <w:szCs w:val="24"/>
        </w:rPr>
        <w:t>MedDRA</w:t>
      </w:r>
      <w:proofErr w:type="spellEnd"/>
      <w:r w:rsidRPr="00D357F9">
        <w:rPr>
          <w:sz w:val="24"/>
          <w:szCs w:val="24"/>
        </w:rPr>
        <w:t xml:space="preserve">-systemorganklasse og hyppighedskategorier. Inden for hver kategori, er bivirkningerne listet efter aftagende alvorlighed. Intensiteten af bivirkninger klassificeres i henhold til CTCAE v4.0 (grad ≥ 3 = G ≥ 3). Hyppigheder er baseret på alle grader og defineres som: </w:t>
      </w:r>
      <w:r w:rsidR="00D357F9">
        <w:rPr>
          <w:sz w:val="24"/>
          <w:szCs w:val="24"/>
        </w:rPr>
        <w:t>M</w:t>
      </w:r>
      <w:r w:rsidRPr="00D357F9">
        <w:rPr>
          <w:sz w:val="24"/>
          <w:szCs w:val="24"/>
        </w:rPr>
        <w:t xml:space="preserve">eget almindelig (≥ 1/10), almindelig (≥ 1/100 til &lt; 1/10); </w:t>
      </w:r>
      <w:r w:rsidR="004902CD">
        <w:rPr>
          <w:sz w:val="24"/>
          <w:szCs w:val="24"/>
        </w:rPr>
        <w:t xml:space="preserve">ikke </w:t>
      </w:r>
      <w:r w:rsidRPr="00D357F9">
        <w:rPr>
          <w:sz w:val="24"/>
          <w:szCs w:val="24"/>
        </w:rPr>
        <w:t>almindelig (≥ 1/1,000 til &lt; 1/100); sjælden (≥</w:t>
      </w:r>
      <w:r w:rsidR="00F37F45">
        <w:rPr>
          <w:sz w:val="24"/>
          <w:szCs w:val="24"/>
        </w:rPr>
        <w:t> </w:t>
      </w:r>
      <w:r w:rsidRPr="00D357F9">
        <w:rPr>
          <w:sz w:val="24"/>
          <w:szCs w:val="24"/>
        </w:rPr>
        <w:t>1/10,000 til &lt; 1/1,000); meget sjælden (&lt; 1/10,000); ukendt (kan ikke estimeres ud fra de tilgængelige data).</w:t>
      </w:r>
    </w:p>
    <w:p w:rsidR="006E699F" w:rsidRPr="00D357F9" w:rsidRDefault="006E699F" w:rsidP="00D357F9">
      <w:pPr>
        <w:ind w:left="851"/>
        <w:rPr>
          <w:sz w:val="24"/>
          <w:szCs w:val="24"/>
        </w:rPr>
      </w:pPr>
    </w:p>
    <w:p w:rsidR="007B2F32" w:rsidRPr="00D357F9" w:rsidRDefault="006E699F" w:rsidP="000A4685">
      <w:pPr>
        <w:rPr>
          <w:i/>
          <w:iCs/>
          <w:sz w:val="24"/>
          <w:szCs w:val="24"/>
        </w:rPr>
      </w:pPr>
      <w:r w:rsidRPr="00D357F9">
        <w:rPr>
          <w:i/>
          <w:iCs/>
          <w:sz w:val="24"/>
          <w:szCs w:val="24"/>
        </w:rPr>
        <w:t xml:space="preserve">Tabel 2: Rapporterede bivirkninger og hæmatologiske abnormiteter med </w:t>
      </w:r>
      <w:proofErr w:type="spellStart"/>
      <w:r w:rsidRPr="00D357F9">
        <w:rPr>
          <w:i/>
          <w:iCs/>
          <w:sz w:val="24"/>
          <w:szCs w:val="24"/>
        </w:rPr>
        <w:t>cabazitaxel</w:t>
      </w:r>
      <w:proofErr w:type="spellEnd"/>
      <w:r w:rsidRPr="00D357F9">
        <w:rPr>
          <w:i/>
          <w:iCs/>
          <w:sz w:val="24"/>
          <w:szCs w:val="24"/>
        </w:rPr>
        <w:t xml:space="preserve"> i kombination</w:t>
      </w:r>
      <w:r w:rsidR="00742871">
        <w:rPr>
          <w:i/>
          <w:iCs/>
          <w:sz w:val="24"/>
          <w:szCs w:val="24"/>
        </w:rPr>
        <w:t xml:space="preserve"> </w:t>
      </w:r>
      <w:r w:rsidRPr="00D357F9">
        <w:rPr>
          <w:i/>
          <w:iCs/>
          <w:sz w:val="24"/>
          <w:szCs w:val="24"/>
        </w:rPr>
        <w:t xml:space="preserve">med </w:t>
      </w:r>
      <w:proofErr w:type="spellStart"/>
      <w:r w:rsidRPr="00D357F9">
        <w:rPr>
          <w:i/>
          <w:iCs/>
          <w:sz w:val="24"/>
          <w:szCs w:val="24"/>
        </w:rPr>
        <w:t>prednison</w:t>
      </w:r>
      <w:proofErr w:type="spellEnd"/>
      <w:r w:rsidRPr="00D357F9">
        <w:rPr>
          <w:i/>
          <w:iCs/>
          <w:sz w:val="24"/>
          <w:szCs w:val="24"/>
        </w:rPr>
        <w:t xml:space="preserve"> </w:t>
      </w:r>
      <w:r w:rsidR="007B2F32" w:rsidRPr="00D357F9">
        <w:rPr>
          <w:i/>
          <w:iCs/>
          <w:sz w:val="24"/>
          <w:szCs w:val="24"/>
        </w:rPr>
        <w:t xml:space="preserve">eller </w:t>
      </w:r>
      <w:proofErr w:type="spellStart"/>
      <w:r w:rsidR="007B2F32" w:rsidRPr="00D357F9">
        <w:rPr>
          <w:i/>
          <w:iCs/>
          <w:sz w:val="24"/>
          <w:szCs w:val="24"/>
        </w:rPr>
        <w:t>prednisolon</w:t>
      </w:r>
      <w:proofErr w:type="spellEnd"/>
      <w:r w:rsidR="007B2F32" w:rsidRPr="00D357F9">
        <w:rPr>
          <w:i/>
          <w:iCs/>
          <w:sz w:val="24"/>
          <w:szCs w:val="24"/>
        </w:rPr>
        <w:t xml:space="preserve"> </w:t>
      </w:r>
      <w:r w:rsidR="007B2F32">
        <w:rPr>
          <w:i/>
          <w:iCs/>
          <w:sz w:val="24"/>
          <w:szCs w:val="24"/>
        </w:rPr>
        <w:t>fra den samlede analyse (n=1092)</w:t>
      </w:r>
    </w:p>
    <w:p w:rsidR="0040246E" w:rsidRDefault="0040246E" w:rsidP="0040246E">
      <w:pPr>
        <w:rPr>
          <w:sz w:val="22"/>
          <w:szCs w:val="22"/>
        </w:rPr>
      </w:pPr>
    </w:p>
    <w:tbl>
      <w:tblPr>
        <w:tblStyle w:val="Tabel-Gitter"/>
        <w:tblW w:w="0" w:type="auto"/>
        <w:tblInd w:w="0" w:type="dxa"/>
        <w:tblLook w:val="04A0" w:firstRow="1" w:lastRow="0" w:firstColumn="1" w:lastColumn="0" w:noHBand="0" w:noVBand="1"/>
      </w:tblPr>
      <w:tblGrid>
        <w:gridCol w:w="2087"/>
        <w:gridCol w:w="2050"/>
        <w:gridCol w:w="1306"/>
        <w:gridCol w:w="1282"/>
        <w:gridCol w:w="1642"/>
        <w:gridCol w:w="1261"/>
      </w:tblGrid>
      <w:tr w:rsidR="0040246E" w:rsidRPr="00716DDF" w:rsidTr="0040246E">
        <w:tc>
          <w:tcPr>
            <w:tcW w:w="2087" w:type="dxa"/>
            <w:vMerge w:val="restart"/>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b/>
                <w:bCs/>
                <w:sz w:val="22"/>
                <w:szCs w:val="22"/>
                <w:lang w:val="da-DK"/>
              </w:rPr>
            </w:pPr>
            <w:proofErr w:type="spellStart"/>
            <w:r w:rsidRPr="00716DDF">
              <w:rPr>
                <w:b/>
                <w:bCs/>
                <w:sz w:val="22"/>
                <w:szCs w:val="22"/>
                <w:lang w:val="da-DK"/>
              </w:rPr>
              <w:t>MedDRA</w:t>
            </w:r>
            <w:proofErr w:type="spellEnd"/>
            <w:r w:rsidRPr="00716DDF">
              <w:rPr>
                <w:b/>
                <w:bCs/>
                <w:sz w:val="22"/>
                <w:szCs w:val="22"/>
                <w:lang w:val="da-DK"/>
              </w:rPr>
              <w:t>-systemorganklasse</w:t>
            </w:r>
          </w:p>
        </w:tc>
        <w:tc>
          <w:tcPr>
            <w:tcW w:w="2050" w:type="dxa"/>
            <w:vMerge w:val="restart"/>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b/>
                <w:bCs/>
                <w:sz w:val="22"/>
                <w:szCs w:val="22"/>
                <w:lang w:val="da-DK"/>
              </w:rPr>
            </w:pPr>
            <w:r w:rsidRPr="00716DDF">
              <w:rPr>
                <w:b/>
                <w:bCs/>
                <w:sz w:val="22"/>
                <w:szCs w:val="22"/>
                <w:lang w:val="da-DK"/>
              </w:rPr>
              <w:t>Bivirkning</w:t>
            </w:r>
          </w:p>
        </w:tc>
        <w:tc>
          <w:tcPr>
            <w:tcW w:w="4230" w:type="dxa"/>
            <w:gridSpan w:val="3"/>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jc w:val="center"/>
              <w:rPr>
                <w:b/>
                <w:bCs/>
                <w:sz w:val="22"/>
                <w:szCs w:val="22"/>
                <w:lang w:val="da-DK"/>
              </w:rPr>
            </w:pPr>
            <w:r w:rsidRPr="00716DDF">
              <w:rPr>
                <w:b/>
                <w:bCs/>
                <w:sz w:val="22"/>
                <w:szCs w:val="22"/>
                <w:lang w:val="da-DK"/>
              </w:rPr>
              <w:t>Alle grader</w:t>
            </w:r>
          </w:p>
          <w:p w:rsidR="0040246E" w:rsidRPr="00716DDF" w:rsidRDefault="0040246E" w:rsidP="0040246E">
            <w:pPr>
              <w:rPr>
                <w:b/>
                <w:bCs/>
                <w:sz w:val="22"/>
                <w:szCs w:val="22"/>
              </w:rPr>
            </w:pPr>
            <w:r w:rsidRPr="00716DDF">
              <w:rPr>
                <w:b/>
                <w:bCs/>
                <w:sz w:val="22"/>
                <w:szCs w:val="22"/>
                <w:lang w:val="da-DK"/>
              </w:rPr>
              <w:t>n (</w:t>
            </w:r>
            <w:r w:rsidR="008A63AB">
              <w:rPr>
                <w:b/>
                <w:bCs/>
                <w:sz w:val="22"/>
                <w:szCs w:val="22"/>
                <w:lang w:val="da-DK"/>
              </w:rPr>
              <w:t>%</w:t>
            </w:r>
            <w:r w:rsidRPr="00716DDF">
              <w:rPr>
                <w:b/>
                <w:bCs/>
                <w:sz w:val="22"/>
                <w:szCs w:val="22"/>
                <w:lang w:val="da-DK"/>
              </w:rPr>
              <w:t>)</w:t>
            </w: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b/>
                <w:bCs/>
                <w:sz w:val="22"/>
                <w:szCs w:val="22"/>
                <w:lang w:val="da-DK"/>
              </w:rPr>
            </w:pPr>
            <w:r w:rsidRPr="00716DDF">
              <w:rPr>
                <w:b/>
                <w:bCs/>
                <w:sz w:val="22"/>
                <w:szCs w:val="22"/>
                <w:lang w:val="da-DK"/>
              </w:rPr>
              <w:t>Grad ≥ 3</w:t>
            </w:r>
          </w:p>
          <w:p w:rsidR="0040246E" w:rsidRPr="00716DDF" w:rsidRDefault="0040246E" w:rsidP="0040246E">
            <w:pPr>
              <w:rPr>
                <w:b/>
                <w:bCs/>
                <w:sz w:val="22"/>
                <w:szCs w:val="22"/>
                <w:lang w:val="da-DK"/>
              </w:rPr>
            </w:pPr>
            <w:r w:rsidRPr="00716DDF">
              <w:rPr>
                <w:b/>
                <w:bCs/>
                <w:sz w:val="22"/>
                <w:szCs w:val="22"/>
                <w:lang w:val="da-DK"/>
              </w:rPr>
              <w:t>n (</w:t>
            </w:r>
            <w:r w:rsidR="008A63AB">
              <w:rPr>
                <w:b/>
                <w:bCs/>
                <w:sz w:val="22"/>
                <w:szCs w:val="22"/>
                <w:lang w:val="da-DK"/>
              </w:rPr>
              <w:t>%</w:t>
            </w:r>
            <w:r w:rsidRPr="00716DDF">
              <w:rPr>
                <w:b/>
                <w:bCs/>
                <w:sz w:val="22"/>
                <w:szCs w:val="22"/>
                <w:lang w:val="da-DK"/>
              </w:rPr>
              <w:t>)</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b/>
                <w:bCs/>
                <w:sz w:val="22"/>
                <w:szCs w:val="22"/>
                <w:lang w:val="da-DK" w:eastAsia="fr-LU"/>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b/>
                <w:bCs/>
                <w:sz w:val="22"/>
                <w:szCs w:val="22"/>
                <w:lang w:val="da-DK" w:eastAsia="fr-LU"/>
              </w:rPr>
            </w:pPr>
          </w:p>
        </w:tc>
        <w:tc>
          <w:tcPr>
            <w:tcW w:w="1306"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b/>
                <w:bCs/>
                <w:sz w:val="22"/>
                <w:szCs w:val="22"/>
                <w:lang w:val="da-DK"/>
              </w:rPr>
            </w:pPr>
            <w:r w:rsidRPr="00716DDF">
              <w:rPr>
                <w:b/>
                <w:bCs/>
                <w:sz w:val="22"/>
                <w:szCs w:val="22"/>
                <w:lang w:val="da-DK"/>
              </w:rPr>
              <w:t>Meget almindelig</w:t>
            </w: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b/>
                <w:bCs/>
                <w:sz w:val="22"/>
                <w:szCs w:val="22"/>
                <w:lang w:val="da-DK"/>
              </w:rPr>
            </w:pPr>
            <w:r w:rsidRPr="00716DDF">
              <w:rPr>
                <w:b/>
                <w:bCs/>
                <w:sz w:val="22"/>
                <w:szCs w:val="22"/>
                <w:lang w:val="da-DK"/>
              </w:rPr>
              <w:t>Almindelig</w:t>
            </w:r>
          </w:p>
        </w:tc>
        <w:tc>
          <w:tcPr>
            <w:tcW w:w="1642" w:type="dxa"/>
            <w:tcBorders>
              <w:top w:val="single" w:sz="4" w:space="0" w:color="auto"/>
              <w:left w:val="single" w:sz="4" w:space="0" w:color="auto"/>
              <w:bottom w:val="single" w:sz="4" w:space="0" w:color="auto"/>
              <w:right w:val="single" w:sz="4" w:space="0" w:color="auto"/>
            </w:tcBorders>
          </w:tcPr>
          <w:p w:rsidR="0040246E" w:rsidRPr="00281417" w:rsidRDefault="0040246E" w:rsidP="0040246E">
            <w:pPr>
              <w:rPr>
                <w:b/>
                <w:sz w:val="22"/>
                <w:szCs w:val="22"/>
              </w:rPr>
            </w:pPr>
            <w:proofErr w:type="spellStart"/>
            <w:r w:rsidRPr="00281417">
              <w:rPr>
                <w:b/>
                <w:sz w:val="22"/>
                <w:szCs w:val="22"/>
              </w:rPr>
              <w:t>Ikke</w:t>
            </w:r>
            <w:proofErr w:type="spellEnd"/>
            <w:r w:rsidRPr="00281417">
              <w:rPr>
                <w:b/>
                <w:sz w:val="22"/>
                <w:szCs w:val="22"/>
              </w:rPr>
              <w:t xml:space="preserve"> </w:t>
            </w:r>
            <w:proofErr w:type="spellStart"/>
            <w:r w:rsidRPr="00281417">
              <w:rPr>
                <w:b/>
                <w:sz w:val="22"/>
                <w:szCs w:val="22"/>
              </w:rPr>
              <w:t>almindelig</w:t>
            </w:r>
            <w:proofErr w:type="spellEnd"/>
          </w:p>
        </w:tc>
        <w:tc>
          <w:tcPr>
            <w:tcW w:w="1261"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lang w:val="da-DK"/>
              </w:rPr>
            </w:pPr>
          </w:p>
        </w:tc>
      </w:tr>
      <w:tr w:rsidR="0040246E" w:rsidRPr="00716DDF" w:rsidTr="0040246E">
        <w:tc>
          <w:tcPr>
            <w:tcW w:w="2087" w:type="dxa"/>
            <w:vMerge w:val="restart"/>
            <w:tcBorders>
              <w:top w:val="single" w:sz="4" w:space="0" w:color="auto"/>
              <w:left w:val="single" w:sz="4" w:space="0" w:color="auto"/>
              <w:right w:val="single" w:sz="4" w:space="0" w:color="auto"/>
            </w:tcBorders>
            <w:vAlign w:val="center"/>
          </w:tcPr>
          <w:p w:rsidR="0040246E" w:rsidRPr="00716DDF" w:rsidRDefault="0040246E" w:rsidP="0040246E">
            <w:pPr>
              <w:rPr>
                <w:sz w:val="22"/>
                <w:szCs w:val="22"/>
              </w:rPr>
            </w:pPr>
            <w:r w:rsidRPr="00716DDF">
              <w:rPr>
                <w:sz w:val="22"/>
                <w:szCs w:val="22"/>
                <w:lang w:val="da-DK"/>
              </w:rPr>
              <w:t>Infektioner og parasitære sygdomme</w:t>
            </w:r>
          </w:p>
        </w:tc>
        <w:tc>
          <w:tcPr>
            <w:tcW w:w="2050"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roofErr w:type="spellStart"/>
            <w:r>
              <w:rPr>
                <w:sz w:val="22"/>
                <w:szCs w:val="22"/>
              </w:rPr>
              <w:t>Neutropen</w:t>
            </w:r>
            <w:proofErr w:type="spellEnd"/>
            <w:r>
              <w:rPr>
                <w:sz w:val="22"/>
                <w:szCs w:val="22"/>
              </w:rPr>
              <w:t xml:space="preserve"> </w:t>
            </w:r>
            <w:proofErr w:type="spellStart"/>
            <w:r>
              <w:rPr>
                <w:sz w:val="22"/>
                <w:szCs w:val="22"/>
              </w:rPr>
              <w:t>infe</w:t>
            </w:r>
            <w:r w:rsidR="00281417">
              <w:rPr>
                <w:sz w:val="22"/>
                <w:szCs w:val="22"/>
              </w:rPr>
              <w:t>k</w:t>
            </w:r>
            <w:r>
              <w:rPr>
                <w:sz w:val="22"/>
                <w:szCs w:val="22"/>
              </w:rPr>
              <w:t>tion</w:t>
            </w:r>
            <w:proofErr w:type="spellEnd"/>
            <w:r>
              <w:rPr>
                <w:sz w:val="22"/>
                <w:szCs w:val="22"/>
              </w:rPr>
              <w:t>/sepsis*</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48 (4,4)</w:t>
            </w:r>
          </w:p>
        </w:tc>
        <w:tc>
          <w:tcPr>
            <w:tcW w:w="1642" w:type="dxa"/>
            <w:tcBorders>
              <w:top w:val="single" w:sz="4" w:space="0" w:color="auto"/>
              <w:left w:val="single" w:sz="4" w:space="0" w:color="auto"/>
              <w:bottom w:val="single" w:sz="4" w:space="0" w:color="auto"/>
              <w:right w:val="single" w:sz="4" w:space="0" w:color="auto"/>
            </w:tcBorders>
          </w:tcPr>
          <w:p w:rsidR="0040246E"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42 (3,8)</w:t>
            </w:r>
          </w:p>
        </w:tc>
      </w:tr>
      <w:tr w:rsidR="0040246E" w:rsidRPr="00716DDF" w:rsidTr="0040246E">
        <w:tc>
          <w:tcPr>
            <w:tcW w:w="2087" w:type="dxa"/>
            <w:vMerge/>
            <w:tcBorders>
              <w:left w:val="single" w:sz="4" w:space="0" w:color="auto"/>
              <w:right w:val="single" w:sz="4" w:space="0" w:color="auto"/>
            </w:tcBorders>
            <w:vAlign w:val="center"/>
            <w:hideMark/>
          </w:tcPr>
          <w:p w:rsidR="0040246E" w:rsidRPr="00716DDF" w:rsidRDefault="0040246E" w:rsidP="0040246E">
            <w:pPr>
              <w:rPr>
                <w:sz w:val="22"/>
                <w:szCs w:val="22"/>
                <w:lang w:val="da-DK"/>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da-DK"/>
              </w:rPr>
            </w:pPr>
            <w:proofErr w:type="spellStart"/>
            <w:r w:rsidRPr="00716DDF">
              <w:rPr>
                <w:sz w:val="22"/>
                <w:szCs w:val="22"/>
              </w:rPr>
              <w:t>Septisk</w:t>
            </w:r>
            <w:proofErr w:type="spellEnd"/>
            <w:r w:rsidRPr="00716DDF">
              <w:rPr>
                <w:sz w:val="22"/>
                <w:szCs w:val="22"/>
              </w:rPr>
              <w:t xml:space="preserve"> shock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lang w:val="da-DK"/>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da-DK"/>
              </w:rPr>
            </w:pP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10 (0,9)</w:t>
            </w: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da-DK"/>
              </w:rPr>
            </w:pPr>
            <w:r>
              <w:rPr>
                <w:sz w:val="22"/>
                <w:szCs w:val="22"/>
              </w:rPr>
              <w:t>10 (0,9)</w:t>
            </w:r>
            <w:r w:rsidRPr="00716DDF">
              <w:rPr>
                <w:sz w:val="22"/>
                <w:szCs w:val="22"/>
              </w:rPr>
              <w:t xml:space="preserve"> </w:t>
            </w:r>
          </w:p>
        </w:tc>
      </w:tr>
      <w:tr w:rsidR="0040246E" w:rsidRPr="00716DDF" w:rsidTr="0040246E">
        <w:tc>
          <w:tcPr>
            <w:tcW w:w="2087" w:type="dxa"/>
            <w:vMerge/>
            <w:tcBorders>
              <w:left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da-DK"/>
              </w:rPr>
            </w:pPr>
            <w:r w:rsidRPr="00716DDF">
              <w:rPr>
                <w:sz w:val="22"/>
                <w:szCs w:val="22"/>
              </w:rPr>
              <w:t xml:space="preserve">Sepsis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lang w:val="da-DK"/>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da-DK"/>
              </w:rPr>
            </w:pPr>
            <w:r>
              <w:rPr>
                <w:sz w:val="22"/>
                <w:szCs w:val="22"/>
              </w:rPr>
              <w:t>13 (1,2)</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da-DK"/>
              </w:rPr>
            </w:pPr>
            <w:r>
              <w:rPr>
                <w:sz w:val="22"/>
                <w:szCs w:val="22"/>
              </w:rPr>
              <w:t>13 (1,2)</w:t>
            </w:r>
            <w:r w:rsidRPr="00716DDF">
              <w:rPr>
                <w:sz w:val="22"/>
                <w:szCs w:val="22"/>
              </w:rPr>
              <w:t xml:space="preserve"> </w:t>
            </w:r>
          </w:p>
        </w:tc>
      </w:tr>
      <w:tr w:rsidR="0040246E" w:rsidRPr="00716DDF" w:rsidTr="0040246E">
        <w:tc>
          <w:tcPr>
            <w:tcW w:w="2087" w:type="dxa"/>
            <w:vMerge/>
            <w:tcBorders>
              <w:left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da-DK"/>
              </w:rPr>
            </w:pPr>
            <w:r w:rsidRPr="00716DDF">
              <w:rPr>
                <w:sz w:val="22"/>
                <w:szCs w:val="22"/>
              </w:rPr>
              <w:t xml:space="preserve">Cellulitis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lang w:val="da-DK"/>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da-DK"/>
              </w:rPr>
            </w:pP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8 (0,7)</w:t>
            </w: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da-DK"/>
              </w:rPr>
            </w:pPr>
            <w:r>
              <w:rPr>
                <w:sz w:val="22"/>
                <w:szCs w:val="22"/>
              </w:rPr>
              <w:t xml:space="preserve"> 3 (0,3)</w:t>
            </w:r>
            <w:r w:rsidRPr="00716DDF">
              <w:rPr>
                <w:sz w:val="22"/>
                <w:szCs w:val="22"/>
              </w:rPr>
              <w:t xml:space="preserve"> </w:t>
            </w:r>
          </w:p>
        </w:tc>
      </w:tr>
      <w:tr w:rsidR="0040246E" w:rsidRPr="00716DDF" w:rsidTr="0040246E">
        <w:tc>
          <w:tcPr>
            <w:tcW w:w="2087" w:type="dxa"/>
            <w:vMerge/>
            <w:tcBorders>
              <w:left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da-DK"/>
              </w:rPr>
            </w:pPr>
            <w:proofErr w:type="spellStart"/>
            <w:r w:rsidRPr="00716DDF">
              <w:rPr>
                <w:sz w:val="22"/>
                <w:szCs w:val="22"/>
              </w:rPr>
              <w:t>Urinvejsinfektion</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lang w:val="da-DK"/>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da-DK"/>
              </w:rPr>
            </w:pPr>
            <w:r>
              <w:rPr>
                <w:sz w:val="22"/>
                <w:szCs w:val="22"/>
              </w:rPr>
              <w:t>103 (9,4)</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da-DK"/>
              </w:rPr>
            </w:pPr>
            <w:r>
              <w:rPr>
                <w:sz w:val="22"/>
                <w:szCs w:val="22"/>
              </w:rPr>
              <w:t>19 (1,7)</w:t>
            </w:r>
            <w:r w:rsidRPr="00716DDF">
              <w:rPr>
                <w:sz w:val="22"/>
                <w:szCs w:val="22"/>
              </w:rPr>
              <w:t xml:space="preserve"> </w:t>
            </w:r>
          </w:p>
        </w:tc>
      </w:tr>
      <w:tr w:rsidR="0040246E" w:rsidRPr="00716DDF" w:rsidTr="0040246E">
        <w:tc>
          <w:tcPr>
            <w:tcW w:w="2087" w:type="dxa"/>
            <w:vMerge/>
            <w:tcBorders>
              <w:left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da-DK"/>
              </w:rPr>
            </w:pPr>
            <w:r w:rsidRPr="00716DDF">
              <w:rPr>
                <w:sz w:val="22"/>
                <w:szCs w:val="22"/>
              </w:rPr>
              <w:t xml:space="preserve">Influenza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lang w:val="da-DK"/>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da-DK"/>
              </w:rPr>
            </w:pPr>
            <w:r>
              <w:rPr>
                <w:sz w:val="22"/>
                <w:szCs w:val="22"/>
              </w:rPr>
              <w:t>22 (2,0)</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da-DK"/>
              </w:rPr>
            </w:pPr>
            <w:r w:rsidRPr="00716DDF">
              <w:rPr>
                <w:sz w:val="22"/>
                <w:szCs w:val="22"/>
              </w:rPr>
              <w:t xml:space="preserve">0 </w:t>
            </w:r>
          </w:p>
        </w:tc>
      </w:tr>
      <w:tr w:rsidR="0040246E" w:rsidRPr="00716DDF" w:rsidTr="0040246E">
        <w:tc>
          <w:tcPr>
            <w:tcW w:w="2087" w:type="dxa"/>
            <w:vMerge/>
            <w:tcBorders>
              <w:left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da-DK"/>
              </w:rPr>
            </w:pPr>
            <w:r w:rsidRPr="00716DDF">
              <w:rPr>
                <w:sz w:val="22"/>
                <w:szCs w:val="22"/>
              </w:rPr>
              <w:t xml:space="preserve">Cystitis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lang w:val="da-DK"/>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da-DK"/>
              </w:rPr>
            </w:pPr>
            <w:r>
              <w:rPr>
                <w:sz w:val="22"/>
                <w:szCs w:val="22"/>
              </w:rPr>
              <w:t>22 (2,0)</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da-DK"/>
              </w:rPr>
            </w:pPr>
            <w:r>
              <w:rPr>
                <w:sz w:val="22"/>
                <w:szCs w:val="22"/>
              </w:rPr>
              <w:t>2 (0,2)</w:t>
            </w:r>
            <w:r w:rsidRPr="00716DDF">
              <w:rPr>
                <w:sz w:val="22"/>
                <w:szCs w:val="22"/>
              </w:rPr>
              <w:t xml:space="preserve"> </w:t>
            </w:r>
          </w:p>
        </w:tc>
      </w:tr>
      <w:tr w:rsidR="0040246E" w:rsidRPr="00716DDF" w:rsidTr="0040246E">
        <w:tc>
          <w:tcPr>
            <w:tcW w:w="2087" w:type="dxa"/>
            <w:vMerge/>
            <w:tcBorders>
              <w:left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fr-LU"/>
              </w:rPr>
            </w:pPr>
            <w:r w:rsidRPr="00716DDF">
              <w:rPr>
                <w:sz w:val="22"/>
                <w:szCs w:val="22"/>
                <w:lang w:val="da-DK"/>
              </w:rPr>
              <w:t xml:space="preserve">Infektion i de øvre luftveje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lang w:val="da-DK"/>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23 (2,1)</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0 </w:t>
            </w:r>
          </w:p>
        </w:tc>
      </w:tr>
      <w:tr w:rsidR="0040246E" w:rsidRPr="00716DDF" w:rsidTr="0040246E">
        <w:tc>
          <w:tcPr>
            <w:tcW w:w="2087" w:type="dxa"/>
            <w:vMerge/>
            <w:tcBorders>
              <w:left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Herpes zoster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14 (1,3)</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0 </w:t>
            </w:r>
          </w:p>
        </w:tc>
      </w:tr>
      <w:tr w:rsidR="0040246E" w:rsidRPr="00716DDF" w:rsidTr="0040246E">
        <w:tc>
          <w:tcPr>
            <w:tcW w:w="2087" w:type="dxa"/>
            <w:vMerge/>
            <w:tcBorders>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Candidiasis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11 (1,0)</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 (&lt;0,1)</w:t>
            </w:r>
            <w:r w:rsidRPr="00716DDF">
              <w:rPr>
                <w:sz w:val="22"/>
                <w:szCs w:val="22"/>
              </w:rPr>
              <w:t xml:space="preserve"> </w:t>
            </w:r>
          </w:p>
        </w:tc>
      </w:tr>
      <w:tr w:rsidR="0040246E" w:rsidRPr="00716DDF" w:rsidTr="0040246E">
        <w:tc>
          <w:tcPr>
            <w:tcW w:w="2087" w:type="dxa"/>
            <w:vMerge w:val="restart"/>
            <w:tcBorders>
              <w:top w:val="single" w:sz="4" w:space="0" w:color="auto"/>
              <w:left w:val="single" w:sz="4" w:space="0" w:color="auto"/>
              <w:bottom w:val="single" w:sz="4" w:space="0" w:color="auto"/>
              <w:right w:val="single" w:sz="4" w:space="0" w:color="auto"/>
            </w:tcBorders>
            <w:vAlign w:val="center"/>
          </w:tcPr>
          <w:p w:rsidR="0040246E" w:rsidRPr="00716DDF" w:rsidRDefault="0040246E" w:rsidP="0040246E">
            <w:pPr>
              <w:pStyle w:val="Default"/>
              <w:rPr>
                <w:sz w:val="22"/>
                <w:szCs w:val="22"/>
              </w:rPr>
            </w:pPr>
            <w:proofErr w:type="spellStart"/>
            <w:r w:rsidRPr="00716DDF">
              <w:rPr>
                <w:sz w:val="22"/>
                <w:szCs w:val="22"/>
              </w:rPr>
              <w:t>Blod</w:t>
            </w:r>
            <w:proofErr w:type="spellEnd"/>
            <w:r w:rsidRPr="00716DDF">
              <w:rPr>
                <w:sz w:val="22"/>
                <w:szCs w:val="22"/>
              </w:rPr>
              <w:t xml:space="preserve"> og </w:t>
            </w:r>
            <w:proofErr w:type="spellStart"/>
            <w:r w:rsidRPr="00716DDF">
              <w:rPr>
                <w:sz w:val="22"/>
                <w:szCs w:val="22"/>
              </w:rPr>
              <w:t>lymfesystem</w:t>
            </w:r>
            <w:proofErr w:type="spellEnd"/>
            <w:r w:rsidRPr="00716DDF">
              <w:rPr>
                <w:sz w:val="22"/>
                <w:szCs w:val="22"/>
              </w:rPr>
              <w:t xml:space="preserve"> </w:t>
            </w:r>
          </w:p>
          <w:p w:rsidR="0040246E" w:rsidRPr="00716DDF" w:rsidRDefault="0040246E" w:rsidP="0040246E">
            <w:pPr>
              <w:rPr>
                <w:sz w:val="22"/>
                <w:szCs w:val="22"/>
                <w:lang w:val="da-DK"/>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fr-LU"/>
              </w:rPr>
            </w:pPr>
            <w:r w:rsidRPr="00716DDF">
              <w:rPr>
                <w:sz w:val="22"/>
                <w:szCs w:val="22"/>
              </w:rPr>
              <w:t>Neutropeni</w:t>
            </w:r>
            <w:r w:rsidRPr="00716DDF">
              <w:rPr>
                <w:sz w:val="22"/>
                <w:szCs w:val="22"/>
                <w:vertAlign w:val="superscript"/>
              </w:rPr>
              <w:t>a</w:t>
            </w:r>
            <w:r w:rsidRPr="00716DDF">
              <w:rPr>
                <w:sz w:val="22"/>
                <w:szCs w:val="22"/>
              </w:rPr>
              <w:t>*</w:t>
            </w:r>
          </w:p>
        </w:tc>
        <w:tc>
          <w:tcPr>
            <w:tcW w:w="1306"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950 (87,9)</w:t>
            </w:r>
            <w:r w:rsidRPr="00716DDF">
              <w:rPr>
                <w:sz w:val="22"/>
                <w:szCs w:val="22"/>
              </w:rPr>
              <w:t xml:space="preserve"> </w:t>
            </w:r>
          </w:p>
        </w:tc>
        <w:tc>
          <w:tcPr>
            <w:tcW w:w="128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790 (73,1)</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Anæmi</w:t>
            </w:r>
            <w:r w:rsidRPr="00716DDF">
              <w:rPr>
                <w:sz w:val="22"/>
                <w:szCs w:val="22"/>
                <w:vertAlign w:val="superscript"/>
              </w:rPr>
              <w:t>a</w:t>
            </w:r>
            <w:proofErr w:type="spellEnd"/>
          </w:p>
        </w:tc>
        <w:tc>
          <w:tcPr>
            <w:tcW w:w="1306"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1073 (99,0)</w:t>
            </w:r>
            <w:r w:rsidRPr="00716DDF">
              <w:rPr>
                <w:sz w:val="22"/>
                <w:szCs w:val="22"/>
              </w:rPr>
              <w:t xml:space="preserve"> </w:t>
            </w:r>
          </w:p>
        </w:tc>
        <w:tc>
          <w:tcPr>
            <w:tcW w:w="128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130 (12,0)</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Leukopeni</w:t>
            </w:r>
            <w:r w:rsidRPr="00716DDF">
              <w:rPr>
                <w:sz w:val="22"/>
                <w:szCs w:val="22"/>
                <w:vertAlign w:val="superscript"/>
              </w:rPr>
              <w:t xml:space="preserve">a </w:t>
            </w:r>
          </w:p>
        </w:tc>
        <w:tc>
          <w:tcPr>
            <w:tcW w:w="1306"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1008 (93,0)</w:t>
            </w:r>
            <w:r w:rsidRPr="00716DDF">
              <w:rPr>
                <w:sz w:val="22"/>
                <w:szCs w:val="22"/>
              </w:rPr>
              <w:t xml:space="preserve"> </w:t>
            </w:r>
          </w:p>
        </w:tc>
        <w:tc>
          <w:tcPr>
            <w:tcW w:w="128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645 (59,5)</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Trombocytopeni</w:t>
            </w:r>
            <w:r w:rsidRPr="00716DDF">
              <w:rPr>
                <w:sz w:val="22"/>
                <w:szCs w:val="22"/>
                <w:vertAlign w:val="superscript"/>
              </w:rPr>
              <w:t>a</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478 (44,1)</w:t>
            </w:r>
            <w:r w:rsidRPr="00716DDF">
              <w:rPr>
                <w:sz w:val="22"/>
                <w:szCs w:val="22"/>
              </w:rPr>
              <w:t xml:space="preserve"> </w:t>
            </w:r>
          </w:p>
        </w:tc>
        <w:tc>
          <w:tcPr>
            <w:tcW w:w="128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44 (4,1)</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Febril</w:t>
            </w:r>
            <w:proofErr w:type="spellEnd"/>
            <w:r w:rsidRPr="00716DDF">
              <w:rPr>
                <w:sz w:val="22"/>
                <w:szCs w:val="22"/>
              </w:rPr>
              <w:t xml:space="preserve"> </w:t>
            </w:r>
            <w:proofErr w:type="spellStart"/>
            <w:r w:rsidRPr="00716DDF">
              <w:rPr>
                <w:sz w:val="22"/>
                <w:szCs w:val="22"/>
              </w:rPr>
              <w:t>neutropeni</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87 (8,0)</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87 (8,0)</w:t>
            </w:r>
          </w:p>
        </w:tc>
      </w:tr>
      <w:tr w:rsidR="0040246E" w:rsidRPr="00716DDF" w:rsidTr="0040246E">
        <w:trPr>
          <w:trHeight w:val="147"/>
        </w:trPr>
        <w:tc>
          <w:tcPr>
            <w:tcW w:w="2087"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pStyle w:val="Default"/>
              <w:rPr>
                <w:sz w:val="22"/>
                <w:szCs w:val="22"/>
              </w:rPr>
            </w:pPr>
            <w:proofErr w:type="spellStart"/>
            <w:r w:rsidRPr="00716DDF">
              <w:rPr>
                <w:sz w:val="22"/>
                <w:szCs w:val="22"/>
              </w:rPr>
              <w:t>Immunsystemet</w:t>
            </w:r>
            <w:proofErr w:type="spellEnd"/>
            <w:r w:rsidRPr="00716DDF">
              <w:rPr>
                <w:sz w:val="22"/>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pStyle w:val="Default"/>
              <w:rPr>
                <w:sz w:val="22"/>
                <w:szCs w:val="22"/>
              </w:rPr>
            </w:pPr>
            <w:proofErr w:type="spellStart"/>
            <w:r w:rsidRPr="00716DDF">
              <w:rPr>
                <w:sz w:val="22"/>
                <w:szCs w:val="22"/>
              </w:rPr>
              <w:t>Hypersensitivitet</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pStyle w:val="Default"/>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pStyle w:val="Default"/>
              <w:rPr>
                <w:sz w:val="22"/>
                <w:szCs w:val="22"/>
              </w:rPr>
            </w:pP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7 (0,6)</w:t>
            </w: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fr-LU"/>
              </w:rPr>
            </w:pPr>
            <w:r w:rsidRPr="00716DDF">
              <w:rPr>
                <w:sz w:val="22"/>
                <w:szCs w:val="22"/>
              </w:rPr>
              <w:t xml:space="preserve">0 </w:t>
            </w:r>
          </w:p>
        </w:tc>
      </w:tr>
      <w:tr w:rsidR="0040246E" w:rsidRPr="00716DDF" w:rsidTr="0040246E">
        <w:tc>
          <w:tcPr>
            <w:tcW w:w="2087" w:type="dxa"/>
            <w:vMerge w:val="restart"/>
            <w:tcBorders>
              <w:top w:val="single" w:sz="4" w:space="0" w:color="auto"/>
              <w:left w:val="single" w:sz="4" w:space="0" w:color="auto"/>
              <w:bottom w:val="single" w:sz="4" w:space="0" w:color="auto"/>
              <w:right w:val="single" w:sz="4" w:space="0" w:color="auto"/>
            </w:tcBorders>
            <w:vAlign w:val="center"/>
          </w:tcPr>
          <w:p w:rsidR="0040246E" w:rsidRPr="00716DDF" w:rsidRDefault="0040246E" w:rsidP="0040246E">
            <w:pPr>
              <w:pStyle w:val="Default"/>
              <w:rPr>
                <w:sz w:val="22"/>
                <w:szCs w:val="22"/>
              </w:rPr>
            </w:pPr>
            <w:proofErr w:type="spellStart"/>
            <w:r w:rsidRPr="00716DDF">
              <w:rPr>
                <w:sz w:val="22"/>
                <w:szCs w:val="22"/>
              </w:rPr>
              <w:t>Metabolisme</w:t>
            </w:r>
            <w:proofErr w:type="spellEnd"/>
            <w:r w:rsidRPr="00716DDF">
              <w:rPr>
                <w:sz w:val="22"/>
                <w:szCs w:val="22"/>
              </w:rPr>
              <w:t xml:space="preserve"> og </w:t>
            </w:r>
            <w:proofErr w:type="spellStart"/>
            <w:r w:rsidRPr="00716DDF">
              <w:rPr>
                <w:sz w:val="22"/>
                <w:szCs w:val="22"/>
              </w:rPr>
              <w:t>ernæring</w:t>
            </w:r>
            <w:proofErr w:type="spellEnd"/>
          </w:p>
          <w:p w:rsidR="0040246E" w:rsidRPr="00716DDF" w:rsidRDefault="0040246E" w:rsidP="0040246E">
            <w:pPr>
              <w:rPr>
                <w:sz w:val="22"/>
                <w:szCs w:val="22"/>
                <w:lang w:val="da-DK"/>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fr-LU"/>
              </w:rPr>
            </w:pPr>
            <w:proofErr w:type="spellStart"/>
            <w:r>
              <w:rPr>
                <w:sz w:val="22"/>
                <w:szCs w:val="22"/>
              </w:rPr>
              <w:t>Nedsat</w:t>
            </w:r>
            <w:proofErr w:type="spellEnd"/>
            <w:r>
              <w:rPr>
                <w:sz w:val="22"/>
                <w:szCs w:val="22"/>
              </w:rPr>
              <w:t xml:space="preserve"> </w:t>
            </w:r>
            <w:proofErr w:type="spellStart"/>
            <w:r>
              <w:rPr>
                <w:sz w:val="22"/>
                <w:szCs w:val="22"/>
              </w:rPr>
              <w:t>ap</w:t>
            </w:r>
            <w:r w:rsidR="00281417">
              <w:rPr>
                <w:sz w:val="22"/>
                <w:szCs w:val="22"/>
              </w:rPr>
              <w:t>p</w:t>
            </w:r>
            <w:r>
              <w:rPr>
                <w:sz w:val="22"/>
                <w:szCs w:val="22"/>
              </w:rPr>
              <w:t>etit</w:t>
            </w:r>
            <w:proofErr w:type="spellEnd"/>
          </w:p>
        </w:tc>
        <w:tc>
          <w:tcPr>
            <w:tcW w:w="1306"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192 (17,6)</w:t>
            </w:r>
            <w:r w:rsidRPr="00716DDF">
              <w:rPr>
                <w:sz w:val="22"/>
                <w:szCs w:val="22"/>
              </w:rPr>
              <w:t xml:space="preserve"> </w:t>
            </w:r>
          </w:p>
        </w:tc>
        <w:tc>
          <w:tcPr>
            <w:tcW w:w="128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11 (1,0)</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Dehydrering</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27 (2,5)</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11 (1,0)</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Hyperglykæmi</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11 (1,0)</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7 (0,6)</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Hypokaliæmi</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8 (0,7)</w:t>
            </w: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 (0,2)</w:t>
            </w:r>
          </w:p>
        </w:tc>
      </w:tr>
      <w:tr w:rsidR="0040246E" w:rsidRPr="00716DDF" w:rsidTr="0040246E">
        <w:tc>
          <w:tcPr>
            <w:tcW w:w="2087" w:type="dxa"/>
            <w:vMerge w:val="restart"/>
            <w:tcBorders>
              <w:top w:val="single" w:sz="4" w:space="0" w:color="auto"/>
              <w:left w:val="single" w:sz="4" w:space="0" w:color="auto"/>
              <w:right w:val="single" w:sz="4" w:space="0" w:color="auto"/>
            </w:tcBorders>
            <w:vAlign w:val="center"/>
          </w:tcPr>
          <w:p w:rsidR="0040246E" w:rsidRPr="00716DDF" w:rsidRDefault="0040246E" w:rsidP="0040246E">
            <w:pPr>
              <w:pStyle w:val="Default"/>
              <w:rPr>
                <w:sz w:val="22"/>
                <w:szCs w:val="22"/>
              </w:rPr>
            </w:pPr>
            <w:proofErr w:type="spellStart"/>
            <w:r w:rsidRPr="00716DDF">
              <w:rPr>
                <w:sz w:val="22"/>
                <w:szCs w:val="22"/>
              </w:rPr>
              <w:t>Psykiske</w:t>
            </w:r>
            <w:proofErr w:type="spellEnd"/>
            <w:r w:rsidRPr="00716DDF">
              <w:rPr>
                <w:sz w:val="22"/>
                <w:szCs w:val="22"/>
              </w:rPr>
              <w:t xml:space="preserve"> </w:t>
            </w:r>
            <w:proofErr w:type="spellStart"/>
            <w:r w:rsidRPr="00716DDF">
              <w:rPr>
                <w:sz w:val="22"/>
                <w:szCs w:val="22"/>
              </w:rPr>
              <w:t>forstyrrelser</w:t>
            </w:r>
            <w:proofErr w:type="spellEnd"/>
            <w:r w:rsidRPr="00716DDF">
              <w:rPr>
                <w:sz w:val="22"/>
                <w:szCs w:val="22"/>
              </w:rPr>
              <w:t xml:space="preserve"> </w:t>
            </w:r>
          </w:p>
        </w:tc>
        <w:tc>
          <w:tcPr>
            <w:tcW w:w="2050"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Insomnia</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tcPr>
          <w:p w:rsidR="0040246E" w:rsidRPr="00716DDF" w:rsidDel="00317389" w:rsidRDefault="0040246E" w:rsidP="0040246E">
            <w:pPr>
              <w:rPr>
                <w:sz w:val="22"/>
                <w:szCs w:val="22"/>
              </w:rPr>
            </w:pPr>
            <w:r>
              <w:rPr>
                <w:sz w:val="22"/>
                <w:szCs w:val="22"/>
              </w:rPr>
              <w:t>45 (4,1)</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0</w:t>
            </w:r>
          </w:p>
        </w:tc>
      </w:tr>
      <w:tr w:rsidR="0040246E" w:rsidRPr="00716DDF" w:rsidTr="0040246E">
        <w:tc>
          <w:tcPr>
            <w:tcW w:w="2087" w:type="dxa"/>
            <w:vMerge/>
            <w:tcBorders>
              <w:left w:val="single" w:sz="4" w:space="0" w:color="auto"/>
              <w:right w:val="single" w:sz="4" w:space="0" w:color="auto"/>
            </w:tcBorders>
            <w:vAlign w:val="center"/>
            <w:hideMark/>
          </w:tcPr>
          <w:p w:rsidR="0040246E" w:rsidRPr="00716DDF" w:rsidRDefault="0040246E" w:rsidP="0040246E">
            <w:pPr>
              <w:pStyle w:val="Default"/>
              <w:rPr>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fr-LU"/>
              </w:rPr>
            </w:pPr>
            <w:r w:rsidRPr="00716DDF">
              <w:rPr>
                <w:sz w:val="22"/>
                <w:szCs w:val="22"/>
              </w:rPr>
              <w:t xml:space="preserve">Angst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13 (1,2)</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0 </w:t>
            </w:r>
          </w:p>
        </w:tc>
      </w:tr>
      <w:tr w:rsidR="0040246E" w:rsidRPr="00716DDF" w:rsidTr="0040246E">
        <w:tc>
          <w:tcPr>
            <w:tcW w:w="2087" w:type="dxa"/>
            <w:vMerge/>
            <w:tcBorders>
              <w:left w:val="single" w:sz="4" w:space="0" w:color="auto"/>
              <w:bottom w:val="single" w:sz="4" w:space="0" w:color="auto"/>
              <w:right w:val="single" w:sz="4" w:space="0" w:color="auto"/>
            </w:tcBorders>
            <w:vAlign w:val="center"/>
            <w:hideMark/>
          </w:tcPr>
          <w:p w:rsidR="0040246E" w:rsidRPr="00716DDF" w:rsidRDefault="0040246E" w:rsidP="0040246E">
            <w:pPr>
              <w:rPr>
                <w:color w:val="000000"/>
                <w:sz w:val="22"/>
                <w:szCs w:val="22"/>
                <w:lang w:eastAsia="en-GB"/>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Pr>
                <w:sz w:val="22"/>
                <w:szCs w:val="22"/>
              </w:rPr>
              <w:t>Forvirring</w:t>
            </w:r>
            <w:proofErr w:type="spellEnd"/>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12 (1,1)</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 (0,2)</w:t>
            </w:r>
            <w:r w:rsidRPr="00716DDF">
              <w:rPr>
                <w:sz w:val="22"/>
                <w:szCs w:val="22"/>
              </w:rPr>
              <w:t xml:space="preserve"> </w:t>
            </w:r>
          </w:p>
        </w:tc>
      </w:tr>
      <w:tr w:rsidR="0040246E" w:rsidRPr="00716DDF" w:rsidTr="0040246E">
        <w:tc>
          <w:tcPr>
            <w:tcW w:w="2087" w:type="dxa"/>
            <w:vMerge w:val="restart"/>
            <w:tcBorders>
              <w:top w:val="single" w:sz="4" w:space="0" w:color="auto"/>
              <w:left w:val="single" w:sz="4" w:space="0" w:color="auto"/>
              <w:bottom w:val="single" w:sz="4" w:space="0" w:color="auto"/>
              <w:right w:val="single" w:sz="4" w:space="0" w:color="auto"/>
            </w:tcBorders>
            <w:vAlign w:val="center"/>
          </w:tcPr>
          <w:p w:rsidR="0040246E" w:rsidRPr="00716DDF" w:rsidRDefault="0040246E" w:rsidP="0040246E">
            <w:pPr>
              <w:pStyle w:val="Default"/>
              <w:rPr>
                <w:sz w:val="22"/>
                <w:szCs w:val="22"/>
              </w:rPr>
            </w:pPr>
            <w:proofErr w:type="spellStart"/>
            <w:r w:rsidRPr="00716DDF">
              <w:rPr>
                <w:sz w:val="22"/>
                <w:szCs w:val="22"/>
              </w:rPr>
              <w:t>Nervesystemet</w:t>
            </w:r>
            <w:proofErr w:type="spellEnd"/>
            <w:r w:rsidRPr="00716DDF">
              <w:rPr>
                <w:sz w:val="22"/>
                <w:szCs w:val="22"/>
              </w:rPr>
              <w:t xml:space="preserve"> </w:t>
            </w:r>
          </w:p>
          <w:p w:rsidR="0040246E" w:rsidRPr="00716DDF" w:rsidRDefault="0040246E" w:rsidP="0040246E">
            <w:pPr>
              <w:rPr>
                <w:sz w:val="22"/>
                <w:szCs w:val="22"/>
                <w:lang w:val="da-DK"/>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fr-LU"/>
              </w:rPr>
            </w:pPr>
            <w:proofErr w:type="spellStart"/>
            <w:r w:rsidRPr="00716DDF">
              <w:rPr>
                <w:sz w:val="22"/>
                <w:szCs w:val="22"/>
              </w:rPr>
              <w:t>Dysgeusi</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 </w:t>
            </w:r>
          </w:p>
        </w:tc>
        <w:tc>
          <w:tcPr>
            <w:tcW w:w="128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64 (5,9)</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0</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tcPr>
          <w:p w:rsidR="0040246E" w:rsidRPr="00716DDF" w:rsidRDefault="0040246E" w:rsidP="0040246E">
            <w:pPr>
              <w:rPr>
                <w:sz w:val="22"/>
                <w:szCs w:val="22"/>
                <w:lang w:eastAsia="fr-LU"/>
              </w:rPr>
            </w:pPr>
          </w:p>
        </w:tc>
        <w:tc>
          <w:tcPr>
            <w:tcW w:w="2050"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roofErr w:type="spellStart"/>
            <w:r>
              <w:rPr>
                <w:sz w:val="22"/>
                <w:szCs w:val="22"/>
              </w:rPr>
              <w:t>Smagsforstyrrelser</w:t>
            </w:r>
            <w:proofErr w:type="spellEnd"/>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56 (5,1)</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0</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Perifer</w:t>
            </w:r>
            <w:proofErr w:type="spellEnd"/>
            <w:r w:rsidRPr="00716DDF">
              <w:rPr>
                <w:sz w:val="22"/>
                <w:szCs w:val="22"/>
              </w:rPr>
              <w:t xml:space="preserve"> </w:t>
            </w:r>
            <w:proofErr w:type="spellStart"/>
            <w:r w:rsidRPr="00716DDF">
              <w:rPr>
                <w:sz w:val="22"/>
                <w:szCs w:val="22"/>
              </w:rPr>
              <w:t>neuropati</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40 (3,7)</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2 (0,</w:t>
            </w:r>
            <w:r>
              <w:rPr>
                <w:sz w:val="22"/>
                <w:szCs w:val="22"/>
              </w:rPr>
              <w:t>2</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Perifer</w:t>
            </w:r>
            <w:proofErr w:type="spellEnd"/>
            <w:r w:rsidRPr="00716DDF">
              <w:rPr>
                <w:sz w:val="22"/>
                <w:szCs w:val="22"/>
              </w:rPr>
              <w:t xml:space="preserve"> </w:t>
            </w:r>
            <w:proofErr w:type="spellStart"/>
            <w:r w:rsidRPr="00716DDF">
              <w:rPr>
                <w:sz w:val="22"/>
                <w:szCs w:val="22"/>
              </w:rPr>
              <w:t>sensorisk</w:t>
            </w:r>
            <w:proofErr w:type="spellEnd"/>
            <w:r w:rsidRPr="00716DDF">
              <w:rPr>
                <w:sz w:val="22"/>
                <w:szCs w:val="22"/>
              </w:rPr>
              <w:t xml:space="preserve"> </w:t>
            </w:r>
            <w:proofErr w:type="spellStart"/>
            <w:r w:rsidRPr="00716DDF">
              <w:rPr>
                <w:sz w:val="22"/>
                <w:szCs w:val="22"/>
              </w:rPr>
              <w:t>neuropati</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89 (8,2)</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6 (0,5)</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tcPr>
          <w:p w:rsidR="0040246E" w:rsidRPr="00716DDF" w:rsidRDefault="0040246E" w:rsidP="0040246E">
            <w:pPr>
              <w:rPr>
                <w:sz w:val="22"/>
                <w:szCs w:val="22"/>
                <w:lang w:eastAsia="fr-LU"/>
              </w:rPr>
            </w:pPr>
          </w:p>
        </w:tc>
        <w:tc>
          <w:tcPr>
            <w:tcW w:w="2050"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roofErr w:type="spellStart"/>
            <w:r>
              <w:rPr>
                <w:sz w:val="22"/>
                <w:szCs w:val="22"/>
              </w:rPr>
              <w:t>Polyneutropati</w:t>
            </w:r>
            <w:proofErr w:type="spellEnd"/>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9 (0,8)</w:t>
            </w:r>
          </w:p>
        </w:tc>
        <w:tc>
          <w:tcPr>
            <w:tcW w:w="1261"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2 (0,2)</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tcPr>
          <w:p w:rsidR="0040246E" w:rsidRPr="00716DDF" w:rsidRDefault="0040246E" w:rsidP="0040246E">
            <w:pPr>
              <w:rPr>
                <w:sz w:val="22"/>
                <w:szCs w:val="22"/>
                <w:lang w:eastAsia="fr-LU"/>
              </w:rPr>
            </w:pPr>
          </w:p>
        </w:tc>
        <w:tc>
          <w:tcPr>
            <w:tcW w:w="2050"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roofErr w:type="spellStart"/>
            <w:r>
              <w:rPr>
                <w:sz w:val="22"/>
                <w:szCs w:val="22"/>
              </w:rPr>
              <w:t>Paræstesi</w:t>
            </w:r>
            <w:proofErr w:type="spellEnd"/>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46 (4,2)</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0</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tcPr>
          <w:p w:rsidR="0040246E" w:rsidRPr="00716DDF" w:rsidRDefault="0040246E" w:rsidP="0040246E">
            <w:pPr>
              <w:rPr>
                <w:sz w:val="22"/>
                <w:szCs w:val="22"/>
                <w:lang w:eastAsia="fr-LU"/>
              </w:rPr>
            </w:pPr>
          </w:p>
        </w:tc>
        <w:tc>
          <w:tcPr>
            <w:tcW w:w="2050"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roofErr w:type="spellStart"/>
            <w:r>
              <w:rPr>
                <w:sz w:val="22"/>
                <w:szCs w:val="22"/>
              </w:rPr>
              <w:t>Hypoæstesi</w:t>
            </w:r>
            <w:proofErr w:type="spellEnd"/>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18 (1,6)</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1 (&lt;0,1)</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Svimmelhed</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63 (5,8)</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0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Hovedpine</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56 (5,1)</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 (&lt;0,1)</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Letargi</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15 (1,4)</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1 (</w:t>
            </w:r>
            <w:r>
              <w:rPr>
                <w:sz w:val="22"/>
                <w:szCs w:val="22"/>
              </w:rPr>
              <w:t>&lt;0,1)</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Is</w:t>
            </w:r>
            <w:r>
              <w:rPr>
                <w:sz w:val="22"/>
                <w:szCs w:val="22"/>
              </w:rPr>
              <w:t>k</w:t>
            </w:r>
            <w:r w:rsidRPr="00716DDF">
              <w:rPr>
                <w:sz w:val="22"/>
                <w:szCs w:val="22"/>
              </w:rPr>
              <w:t>ias</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9 (0,8)</w:t>
            </w: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1 (</w:t>
            </w:r>
            <w:r>
              <w:rPr>
                <w:sz w:val="22"/>
                <w:szCs w:val="22"/>
              </w:rPr>
              <w:t>&lt;0,1</w:t>
            </w:r>
            <w:r w:rsidRPr="00716DDF">
              <w:rPr>
                <w:sz w:val="22"/>
                <w:szCs w:val="22"/>
              </w:rPr>
              <w:t xml:space="preserve">) </w:t>
            </w:r>
          </w:p>
        </w:tc>
      </w:tr>
      <w:tr w:rsidR="0040246E" w:rsidRPr="00716DDF" w:rsidTr="0040246E">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rPr>
            </w:pPr>
            <w:r w:rsidRPr="00716DDF">
              <w:rPr>
                <w:sz w:val="22"/>
                <w:szCs w:val="22"/>
                <w:lang w:val="da-DK"/>
              </w:rPr>
              <w:t>Øjne</w:t>
            </w: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fr-LU"/>
              </w:rPr>
            </w:pPr>
            <w:r w:rsidRPr="00716DDF">
              <w:rPr>
                <w:sz w:val="22"/>
                <w:szCs w:val="22"/>
              </w:rPr>
              <w:t xml:space="preserve">Conjunctivitis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11 (1,0)</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0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Øget</w:t>
            </w:r>
            <w:proofErr w:type="spellEnd"/>
            <w:r w:rsidRPr="00716DDF">
              <w:rPr>
                <w:sz w:val="22"/>
                <w:szCs w:val="22"/>
              </w:rPr>
              <w:t xml:space="preserve"> </w:t>
            </w:r>
            <w:proofErr w:type="spellStart"/>
            <w:r w:rsidRPr="00716DDF">
              <w:rPr>
                <w:sz w:val="22"/>
                <w:szCs w:val="22"/>
              </w:rPr>
              <w:t>tåreflod</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22 (2,0)</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0</w:t>
            </w:r>
          </w:p>
        </w:tc>
      </w:tr>
      <w:tr w:rsidR="0040246E" w:rsidRPr="00716DDF" w:rsidTr="0040246E">
        <w:tc>
          <w:tcPr>
            <w:tcW w:w="2087" w:type="dxa"/>
            <w:vMerge w:val="restart"/>
            <w:tcBorders>
              <w:top w:val="single" w:sz="4" w:space="0" w:color="auto"/>
              <w:left w:val="single" w:sz="4" w:space="0" w:color="auto"/>
              <w:bottom w:val="single" w:sz="4" w:space="0" w:color="auto"/>
              <w:right w:val="single" w:sz="4" w:space="0" w:color="auto"/>
            </w:tcBorders>
            <w:vAlign w:val="center"/>
          </w:tcPr>
          <w:p w:rsidR="0040246E" w:rsidRPr="00716DDF" w:rsidRDefault="0040246E" w:rsidP="0040246E">
            <w:pPr>
              <w:pStyle w:val="Default"/>
              <w:rPr>
                <w:sz w:val="22"/>
                <w:szCs w:val="22"/>
              </w:rPr>
            </w:pPr>
            <w:proofErr w:type="spellStart"/>
            <w:r w:rsidRPr="00716DDF">
              <w:rPr>
                <w:sz w:val="22"/>
                <w:szCs w:val="22"/>
              </w:rPr>
              <w:t>Øre</w:t>
            </w:r>
            <w:proofErr w:type="spellEnd"/>
            <w:r w:rsidRPr="00716DDF">
              <w:rPr>
                <w:sz w:val="22"/>
                <w:szCs w:val="22"/>
              </w:rPr>
              <w:t xml:space="preserve"> og </w:t>
            </w:r>
            <w:proofErr w:type="spellStart"/>
            <w:r w:rsidRPr="00716DDF">
              <w:rPr>
                <w:sz w:val="22"/>
                <w:szCs w:val="22"/>
              </w:rPr>
              <w:t>labyrint</w:t>
            </w:r>
            <w:proofErr w:type="spellEnd"/>
            <w:r w:rsidRPr="00716DDF">
              <w:rPr>
                <w:sz w:val="22"/>
                <w:szCs w:val="22"/>
              </w:rPr>
              <w:t xml:space="preserve"> </w:t>
            </w:r>
          </w:p>
          <w:p w:rsidR="0040246E" w:rsidRPr="00716DDF" w:rsidRDefault="0040246E" w:rsidP="0040246E">
            <w:pPr>
              <w:rPr>
                <w:sz w:val="22"/>
                <w:szCs w:val="22"/>
                <w:lang w:val="da-DK"/>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fr-LU"/>
              </w:rPr>
            </w:pPr>
            <w:r w:rsidRPr="00716DDF">
              <w:rPr>
                <w:sz w:val="22"/>
                <w:szCs w:val="22"/>
              </w:rPr>
              <w:t xml:space="preserve">Tinnitus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7 (0,6)</w:t>
            </w: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0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Vertigo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15 (1,4)</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 (&lt;0,1)</w:t>
            </w:r>
            <w:r w:rsidRPr="00716DDF">
              <w:rPr>
                <w:sz w:val="22"/>
                <w:szCs w:val="22"/>
              </w:rPr>
              <w:t xml:space="preserve"> </w:t>
            </w:r>
          </w:p>
        </w:tc>
      </w:tr>
      <w:tr w:rsidR="0040246E" w:rsidRPr="00716DDF" w:rsidTr="0040246E">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rPr>
            </w:pPr>
            <w:r w:rsidRPr="00716DDF">
              <w:rPr>
                <w:sz w:val="22"/>
                <w:szCs w:val="22"/>
                <w:lang w:val="da-DK"/>
              </w:rPr>
              <w:t>Hjerte*</w:t>
            </w: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fr-LU"/>
              </w:rPr>
            </w:pPr>
            <w:proofErr w:type="spellStart"/>
            <w:r w:rsidRPr="00716DDF">
              <w:rPr>
                <w:sz w:val="22"/>
                <w:szCs w:val="22"/>
              </w:rPr>
              <w:t>Atrieflimren</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14 (1,3)</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5</w:t>
            </w:r>
            <w:r w:rsidRPr="00716DDF">
              <w:rPr>
                <w:sz w:val="22"/>
                <w:szCs w:val="22"/>
              </w:rPr>
              <w:t xml:space="preserve"> (0,5)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Takykardi</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11 (1,0)</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 (&lt;0,1)</w:t>
            </w:r>
            <w:r w:rsidRPr="00716DDF">
              <w:rPr>
                <w:sz w:val="22"/>
                <w:szCs w:val="22"/>
              </w:rPr>
              <w:t xml:space="preserve"> </w:t>
            </w:r>
          </w:p>
        </w:tc>
      </w:tr>
      <w:tr w:rsidR="0040246E" w:rsidRPr="00716DDF" w:rsidTr="0040246E">
        <w:tc>
          <w:tcPr>
            <w:tcW w:w="2087" w:type="dxa"/>
            <w:vMerge w:val="restart"/>
            <w:tcBorders>
              <w:top w:val="single" w:sz="4" w:space="0" w:color="auto"/>
              <w:left w:val="single" w:sz="4" w:space="0" w:color="auto"/>
              <w:bottom w:val="single" w:sz="4" w:space="0" w:color="auto"/>
              <w:right w:val="single" w:sz="4" w:space="0" w:color="auto"/>
            </w:tcBorders>
            <w:vAlign w:val="center"/>
          </w:tcPr>
          <w:p w:rsidR="0040246E" w:rsidRPr="00716DDF" w:rsidRDefault="0040246E" w:rsidP="0040246E">
            <w:pPr>
              <w:pStyle w:val="Default"/>
              <w:rPr>
                <w:sz w:val="22"/>
                <w:szCs w:val="22"/>
              </w:rPr>
            </w:pPr>
            <w:proofErr w:type="spellStart"/>
            <w:r w:rsidRPr="00716DDF">
              <w:rPr>
                <w:sz w:val="22"/>
                <w:szCs w:val="22"/>
              </w:rPr>
              <w:t>Vaskulære</w:t>
            </w:r>
            <w:proofErr w:type="spellEnd"/>
            <w:r w:rsidRPr="00716DDF">
              <w:rPr>
                <w:sz w:val="22"/>
                <w:szCs w:val="22"/>
              </w:rPr>
              <w:t xml:space="preserve"> </w:t>
            </w:r>
            <w:proofErr w:type="spellStart"/>
            <w:r w:rsidRPr="00716DDF">
              <w:rPr>
                <w:sz w:val="22"/>
                <w:szCs w:val="22"/>
              </w:rPr>
              <w:t>sygdomme</w:t>
            </w:r>
            <w:proofErr w:type="spellEnd"/>
            <w:r w:rsidRPr="00716DDF">
              <w:rPr>
                <w:sz w:val="22"/>
                <w:szCs w:val="22"/>
              </w:rPr>
              <w:t xml:space="preserve"> </w:t>
            </w:r>
          </w:p>
          <w:p w:rsidR="0040246E" w:rsidRPr="00716DDF" w:rsidRDefault="0040246E" w:rsidP="0040246E">
            <w:pPr>
              <w:rPr>
                <w:sz w:val="22"/>
                <w:szCs w:val="22"/>
                <w:lang w:val="da-DK"/>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fr-LU"/>
              </w:rPr>
            </w:pPr>
            <w:r w:rsidRPr="00716DDF">
              <w:rPr>
                <w:sz w:val="22"/>
                <w:szCs w:val="22"/>
              </w:rPr>
              <w:t xml:space="preserve">Hypotension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38 (3,5)</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5 (0,5)</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Dyb</w:t>
            </w:r>
            <w:proofErr w:type="spellEnd"/>
            <w:r w:rsidRPr="00716DDF">
              <w:rPr>
                <w:sz w:val="22"/>
                <w:szCs w:val="22"/>
              </w:rPr>
              <w:t xml:space="preserve"> </w:t>
            </w:r>
            <w:proofErr w:type="spellStart"/>
            <w:r w:rsidRPr="00716DDF">
              <w:rPr>
                <w:sz w:val="22"/>
                <w:szCs w:val="22"/>
              </w:rPr>
              <w:t>venøs</w:t>
            </w:r>
            <w:proofErr w:type="spellEnd"/>
            <w:r w:rsidRPr="00716DDF">
              <w:rPr>
                <w:sz w:val="22"/>
                <w:szCs w:val="22"/>
              </w:rPr>
              <w:t xml:space="preserve"> </w:t>
            </w:r>
            <w:proofErr w:type="spellStart"/>
            <w:r w:rsidRPr="00716DDF">
              <w:rPr>
                <w:sz w:val="22"/>
                <w:szCs w:val="22"/>
              </w:rPr>
              <w:t>trombose</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 </w:t>
            </w:r>
            <w:r>
              <w:rPr>
                <w:sz w:val="22"/>
                <w:szCs w:val="22"/>
              </w:rPr>
              <w:t>12 (1,1)</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9 (0,8)</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Hypertension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29 (2,7)</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12 (1,1)</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Ortostatisk</w:t>
            </w:r>
            <w:proofErr w:type="spellEnd"/>
            <w:r w:rsidRPr="00716DDF">
              <w:rPr>
                <w:sz w:val="22"/>
                <w:szCs w:val="22"/>
              </w:rPr>
              <w:t xml:space="preserve"> hypotension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6 (0,5)</w:t>
            </w: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 (&lt;0,1)</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Hedetur</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23 (2,1)</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 (&lt;0,1)</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Rødmen</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9 (0,8)</w:t>
            </w: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0 </w:t>
            </w:r>
          </w:p>
        </w:tc>
      </w:tr>
      <w:tr w:rsidR="0040246E" w:rsidRPr="00716DDF" w:rsidTr="0040246E">
        <w:tc>
          <w:tcPr>
            <w:tcW w:w="2087" w:type="dxa"/>
            <w:vMerge w:val="restart"/>
            <w:tcBorders>
              <w:top w:val="single" w:sz="4" w:space="0" w:color="auto"/>
              <w:left w:val="single" w:sz="4" w:space="0" w:color="auto"/>
              <w:right w:val="single" w:sz="4" w:space="0" w:color="auto"/>
            </w:tcBorders>
            <w:vAlign w:val="center"/>
          </w:tcPr>
          <w:p w:rsidR="0040246E" w:rsidRPr="00716DDF" w:rsidRDefault="0040246E" w:rsidP="0040246E">
            <w:pPr>
              <w:pStyle w:val="Default"/>
              <w:rPr>
                <w:sz w:val="22"/>
                <w:szCs w:val="22"/>
              </w:rPr>
            </w:pPr>
            <w:proofErr w:type="spellStart"/>
            <w:r w:rsidRPr="00716DDF">
              <w:rPr>
                <w:sz w:val="22"/>
                <w:szCs w:val="22"/>
              </w:rPr>
              <w:t>Luftveje</w:t>
            </w:r>
            <w:proofErr w:type="spellEnd"/>
            <w:r w:rsidRPr="00716DDF">
              <w:rPr>
                <w:sz w:val="22"/>
                <w:szCs w:val="22"/>
              </w:rPr>
              <w:t xml:space="preserve">, thorax og mediastinum </w:t>
            </w:r>
          </w:p>
          <w:p w:rsidR="0040246E" w:rsidRPr="00716DDF" w:rsidRDefault="0040246E" w:rsidP="0040246E">
            <w:pPr>
              <w:rPr>
                <w:sz w:val="22"/>
                <w:szCs w:val="22"/>
                <w:lang w:val="da-DK"/>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fr-LU"/>
              </w:rPr>
            </w:pPr>
            <w:proofErr w:type="spellStart"/>
            <w:r w:rsidRPr="00716DDF">
              <w:rPr>
                <w:sz w:val="22"/>
                <w:szCs w:val="22"/>
              </w:rPr>
              <w:t>Dyspnø</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97 (8,9)</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9 (0,8)</w:t>
            </w:r>
          </w:p>
        </w:tc>
      </w:tr>
      <w:tr w:rsidR="0040246E" w:rsidRPr="00716DDF" w:rsidTr="0040246E">
        <w:tc>
          <w:tcPr>
            <w:tcW w:w="2087" w:type="dxa"/>
            <w:vMerge/>
            <w:tcBorders>
              <w:left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Hoste</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 </w:t>
            </w:r>
          </w:p>
        </w:tc>
        <w:tc>
          <w:tcPr>
            <w:tcW w:w="128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79 (7,2)</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0 </w:t>
            </w:r>
          </w:p>
        </w:tc>
      </w:tr>
      <w:tr w:rsidR="0040246E" w:rsidRPr="00716DDF" w:rsidTr="0040246E">
        <w:tc>
          <w:tcPr>
            <w:tcW w:w="2087" w:type="dxa"/>
            <w:vMerge/>
            <w:tcBorders>
              <w:left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Orofaryngeale</w:t>
            </w:r>
            <w:proofErr w:type="spellEnd"/>
            <w:r w:rsidRPr="00716DDF">
              <w:rPr>
                <w:sz w:val="22"/>
                <w:szCs w:val="22"/>
              </w:rPr>
              <w:t xml:space="preserve"> </w:t>
            </w:r>
            <w:proofErr w:type="spellStart"/>
            <w:r w:rsidRPr="00716DDF">
              <w:rPr>
                <w:sz w:val="22"/>
                <w:szCs w:val="22"/>
              </w:rPr>
              <w:t>smerter</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26 (2,4)</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 (&lt;0,1)</w:t>
            </w:r>
            <w:r w:rsidRPr="00716DDF">
              <w:rPr>
                <w:sz w:val="22"/>
                <w:szCs w:val="22"/>
              </w:rPr>
              <w:t xml:space="preserve"> </w:t>
            </w:r>
          </w:p>
        </w:tc>
      </w:tr>
      <w:tr w:rsidR="0040246E" w:rsidRPr="00716DDF" w:rsidTr="0040246E">
        <w:tc>
          <w:tcPr>
            <w:tcW w:w="2087" w:type="dxa"/>
            <w:vMerge/>
            <w:tcBorders>
              <w:left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Pneumoni</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26 (2,4)</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16 (1,5)</w:t>
            </w:r>
          </w:p>
        </w:tc>
      </w:tr>
      <w:tr w:rsidR="0040246E" w:rsidRPr="00716DDF" w:rsidTr="0040246E">
        <w:tc>
          <w:tcPr>
            <w:tcW w:w="2087" w:type="dxa"/>
            <w:vMerge/>
            <w:tcBorders>
              <w:left w:val="single" w:sz="4" w:space="0" w:color="auto"/>
              <w:bottom w:val="single" w:sz="4" w:space="0" w:color="auto"/>
              <w:right w:val="single" w:sz="4" w:space="0" w:color="auto"/>
            </w:tcBorders>
            <w:vAlign w:val="center"/>
          </w:tcPr>
          <w:p w:rsidR="0040246E" w:rsidRPr="00716DDF" w:rsidRDefault="0040246E" w:rsidP="0040246E">
            <w:pPr>
              <w:rPr>
                <w:sz w:val="22"/>
                <w:szCs w:val="22"/>
                <w:lang w:eastAsia="fr-LU"/>
              </w:rPr>
            </w:pPr>
          </w:p>
        </w:tc>
        <w:tc>
          <w:tcPr>
            <w:tcW w:w="2050"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roofErr w:type="spellStart"/>
            <w:r w:rsidRPr="00FE5550">
              <w:rPr>
                <w:sz w:val="22"/>
                <w:szCs w:val="22"/>
                <w:lang w:val="da-DK"/>
              </w:rPr>
              <w:t>Pulmonal</w:t>
            </w:r>
            <w:proofErr w:type="spellEnd"/>
            <w:r w:rsidRPr="00FE5550">
              <w:rPr>
                <w:sz w:val="22"/>
                <w:szCs w:val="22"/>
                <w:lang w:val="da-DK"/>
              </w:rPr>
              <w:t xml:space="preserve"> </w:t>
            </w:r>
            <w:proofErr w:type="spellStart"/>
            <w:r w:rsidRPr="00FE5550">
              <w:rPr>
                <w:sz w:val="22"/>
                <w:szCs w:val="22"/>
                <w:lang w:val="da-DK"/>
              </w:rPr>
              <w:t>emboli</w:t>
            </w:r>
            <w:proofErr w:type="spellEnd"/>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tcPr>
          <w:p w:rsidR="0040246E" w:rsidRPr="00716DDF" w:rsidDel="008E2B2A" w:rsidRDefault="0040246E" w:rsidP="0040246E">
            <w:pPr>
              <w:rPr>
                <w:sz w:val="22"/>
                <w:szCs w:val="22"/>
              </w:rPr>
            </w:pPr>
            <w:r>
              <w:rPr>
                <w:sz w:val="22"/>
                <w:szCs w:val="22"/>
              </w:rPr>
              <w:t>30 (2,7)</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tcPr>
          <w:p w:rsidR="0040246E" w:rsidRPr="00716DDF" w:rsidDel="00F70D79" w:rsidRDefault="0040246E" w:rsidP="0040246E">
            <w:pPr>
              <w:rPr>
                <w:sz w:val="22"/>
                <w:szCs w:val="22"/>
              </w:rPr>
            </w:pPr>
            <w:r>
              <w:rPr>
                <w:sz w:val="22"/>
                <w:szCs w:val="22"/>
              </w:rPr>
              <w:t>23 (2,1)</w:t>
            </w:r>
          </w:p>
        </w:tc>
      </w:tr>
      <w:tr w:rsidR="0040246E" w:rsidRPr="00716DDF" w:rsidTr="0040246E">
        <w:tc>
          <w:tcPr>
            <w:tcW w:w="2087" w:type="dxa"/>
            <w:vMerge w:val="restart"/>
            <w:tcBorders>
              <w:top w:val="single" w:sz="4" w:space="0" w:color="auto"/>
              <w:left w:val="single" w:sz="4" w:space="0" w:color="auto"/>
              <w:right w:val="single" w:sz="4" w:space="0" w:color="auto"/>
            </w:tcBorders>
            <w:vAlign w:val="center"/>
          </w:tcPr>
          <w:p w:rsidR="0040246E" w:rsidRPr="00716DDF" w:rsidRDefault="0040246E" w:rsidP="0040246E">
            <w:pPr>
              <w:pStyle w:val="Default"/>
              <w:rPr>
                <w:sz w:val="22"/>
                <w:szCs w:val="22"/>
              </w:rPr>
            </w:pPr>
            <w:proofErr w:type="spellStart"/>
            <w:r w:rsidRPr="00716DDF">
              <w:rPr>
                <w:sz w:val="22"/>
                <w:szCs w:val="22"/>
              </w:rPr>
              <w:t>Mave-tarm-kanalen</w:t>
            </w:r>
            <w:proofErr w:type="spellEnd"/>
            <w:r w:rsidRPr="00716DDF">
              <w:rPr>
                <w:sz w:val="22"/>
                <w:szCs w:val="22"/>
              </w:rPr>
              <w:t xml:space="preserve"> </w:t>
            </w:r>
          </w:p>
          <w:p w:rsidR="0040246E" w:rsidRPr="00716DDF" w:rsidRDefault="0040246E" w:rsidP="0040246E">
            <w:pPr>
              <w:rPr>
                <w:sz w:val="22"/>
                <w:szCs w:val="22"/>
                <w:lang w:val="da-DK"/>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fr-LU"/>
              </w:rPr>
            </w:pPr>
            <w:proofErr w:type="spellStart"/>
            <w:r w:rsidRPr="00716DDF">
              <w:rPr>
                <w:sz w:val="22"/>
                <w:szCs w:val="22"/>
              </w:rPr>
              <w:t>Diarré</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460 (42,1)</w:t>
            </w:r>
            <w:r w:rsidRPr="00716DDF">
              <w:rPr>
                <w:sz w:val="22"/>
                <w:szCs w:val="22"/>
              </w:rPr>
              <w:t xml:space="preserve"> </w:t>
            </w:r>
          </w:p>
        </w:tc>
        <w:tc>
          <w:tcPr>
            <w:tcW w:w="128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51 (4,7)</w:t>
            </w:r>
            <w:r w:rsidRPr="00716DDF">
              <w:rPr>
                <w:sz w:val="22"/>
                <w:szCs w:val="22"/>
              </w:rPr>
              <w:t xml:space="preserve"> </w:t>
            </w:r>
          </w:p>
        </w:tc>
      </w:tr>
      <w:tr w:rsidR="0040246E" w:rsidRPr="00716DDF" w:rsidTr="0040246E">
        <w:tc>
          <w:tcPr>
            <w:tcW w:w="2087" w:type="dxa"/>
            <w:vMerge/>
            <w:tcBorders>
              <w:left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Kvalme</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347 (31,8)</w:t>
            </w:r>
            <w:r w:rsidRPr="00716DDF">
              <w:rPr>
                <w:sz w:val="22"/>
                <w:szCs w:val="22"/>
              </w:rPr>
              <w:t xml:space="preserve"> </w:t>
            </w:r>
          </w:p>
        </w:tc>
        <w:tc>
          <w:tcPr>
            <w:tcW w:w="128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14 (1,3)</w:t>
            </w:r>
            <w:r w:rsidRPr="00716DDF">
              <w:rPr>
                <w:sz w:val="22"/>
                <w:szCs w:val="22"/>
              </w:rPr>
              <w:t xml:space="preserve"> </w:t>
            </w:r>
          </w:p>
        </w:tc>
      </w:tr>
      <w:tr w:rsidR="0040246E" w:rsidRPr="00716DDF" w:rsidTr="0040246E">
        <w:tc>
          <w:tcPr>
            <w:tcW w:w="2087" w:type="dxa"/>
            <w:vMerge/>
            <w:tcBorders>
              <w:left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Opkastning</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207 (19,0)</w:t>
            </w:r>
            <w:r w:rsidRPr="00716DDF">
              <w:rPr>
                <w:sz w:val="22"/>
                <w:szCs w:val="22"/>
              </w:rPr>
              <w:t xml:space="preserve"> </w:t>
            </w:r>
          </w:p>
        </w:tc>
        <w:tc>
          <w:tcPr>
            <w:tcW w:w="128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14 (1,3)</w:t>
            </w:r>
            <w:r w:rsidRPr="00716DDF">
              <w:rPr>
                <w:sz w:val="22"/>
                <w:szCs w:val="22"/>
              </w:rPr>
              <w:t xml:space="preserve"> </w:t>
            </w:r>
          </w:p>
        </w:tc>
      </w:tr>
      <w:tr w:rsidR="0040246E" w:rsidRPr="00716DDF" w:rsidTr="0040246E">
        <w:tc>
          <w:tcPr>
            <w:tcW w:w="2087" w:type="dxa"/>
            <w:vMerge/>
            <w:tcBorders>
              <w:left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Forstoppelse</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202 (18,5)</w:t>
            </w:r>
            <w:r w:rsidRPr="00716DDF">
              <w:rPr>
                <w:sz w:val="22"/>
                <w:szCs w:val="22"/>
              </w:rPr>
              <w:t xml:space="preserve"> </w:t>
            </w:r>
          </w:p>
        </w:tc>
        <w:tc>
          <w:tcPr>
            <w:tcW w:w="128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8 (0,7)</w:t>
            </w:r>
            <w:r w:rsidRPr="00716DDF">
              <w:rPr>
                <w:sz w:val="22"/>
                <w:szCs w:val="22"/>
              </w:rPr>
              <w:t xml:space="preserve"> </w:t>
            </w:r>
          </w:p>
        </w:tc>
      </w:tr>
      <w:tr w:rsidR="0040246E" w:rsidRPr="00716DDF" w:rsidTr="0040246E">
        <w:tc>
          <w:tcPr>
            <w:tcW w:w="2087" w:type="dxa"/>
            <w:vMerge/>
            <w:tcBorders>
              <w:left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Mavesmerter</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 </w:t>
            </w:r>
          </w:p>
        </w:tc>
        <w:tc>
          <w:tcPr>
            <w:tcW w:w="128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105 (9,6)</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15 (1,4)</w:t>
            </w:r>
            <w:r w:rsidRPr="00716DDF">
              <w:rPr>
                <w:sz w:val="22"/>
                <w:szCs w:val="22"/>
              </w:rPr>
              <w:t xml:space="preserve"> </w:t>
            </w:r>
          </w:p>
        </w:tc>
      </w:tr>
      <w:tr w:rsidR="0040246E" w:rsidRPr="00716DDF" w:rsidTr="0040246E">
        <w:tc>
          <w:tcPr>
            <w:tcW w:w="2087" w:type="dxa"/>
            <w:vMerge/>
            <w:tcBorders>
              <w:left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Dyspepsi</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53 (4,9)</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0 </w:t>
            </w:r>
          </w:p>
        </w:tc>
      </w:tr>
      <w:tr w:rsidR="0040246E" w:rsidRPr="00716DDF" w:rsidTr="0040246E">
        <w:tc>
          <w:tcPr>
            <w:tcW w:w="2087" w:type="dxa"/>
            <w:vMerge/>
            <w:tcBorders>
              <w:left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Øvre</w:t>
            </w:r>
            <w:proofErr w:type="spellEnd"/>
            <w:r w:rsidRPr="00716DDF">
              <w:rPr>
                <w:sz w:val="22"/>
                <w:szCs w:val="22"/>
              </w:rPr>
              <w:t xml:space="preserve"> </w:t>
            </w:r>
            <w:proofErr w:type="spellStart"/>
            <w:r w:rsidRPr="00716DDF">
              <w:rPr>
                <w:sz w:val="22"/>
                <w:szCs w:val="22"/>
              </w:rPr>
              <w:t>mavesmerter</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46 (4,2)</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 (&lt;0,1)</w:t>
            </w:r>
            <w:r w:rsidRPr="00716DDF">
              <w:rPr>
                <w:sz w:val="22"/>
                <w:szCs w:val="22"/>
              </w:rPr>
              <w:t xml:space="preserve"> </w:t>
            </w:r>
          </w:p>
        </w:tc>
      </w:tr>
      <w:tr w:rsidR="0040246E" w:rsidRPr="00716DDF" w:rsidTr="0040246E">
        <w:tc>
          <w:tcPr>
            <w:tcW w:w="2087" w:type="dxa"/>
            <w:vMerge/>
            <w:tcBorders>
              <w:left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Hæmorider</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22 (2,0)</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0 </w:t>
            </w:r>
          </w:p>
        </w:tc>
      </w:tr>
      <w:tr w:rsidR="0040246E" w:rsidRPr="00716DDF" w:rsidTr="0040246E">
        <w:tc>
          <w:tcPr>
            <w:tcW w:w="2087" w:type="dxa"/>
            <w:vMerge/>
            <w:tcBorders>
              <w:left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Gastroøsofageal</w:t>
            </w:r>
            <w:proofErr w:type="spellEnd"/>
            <w:r w:rsidRPr="00716DDF">
              <w:rPr>
                <w:sz w:val="22"/>
                <w:szCs w:val="22"/>
              </w:rPr>
              <w:t xml:space="preserve"> </w:t>
            </w:r>
            <w:proofErr w:type="spellStart"/>
            <w:r w:rsidRPr="00716DDF">
              <w:rPr>
                <w:sz w:val="22"/>
                <w:szCs w:val="22"/>
              </w:rPr>
              <w:t>refluks</w:t>
            </w:r>
            <w:proofErr w:type="spellEnd"/>
            <w:r w:rsidRPr="00716DDF">
              <w:rPr>
                <w:sz w:val="22"/>
                <w:szCs w:val="22"/>
              </w:rPr>
              <w:t xml:space="preserve"> </w:t>
            </w:r>
            <w:proofErr w:type="spellStart"/>
            <w:r w:rsidRPr="00716DDF">
              <w:rPr>
                <w:sz w:val="22"/>
                <w:szCs w:val="22"/>
              </w:rPr>
              <w:t>sygdom</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26 (2,4)</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 (&lt;0,1)</w:t>
            </w:r>
            <w:r w:rsidRPr="00716DDF">
              <w:rPr>
                <w:sz w:val="22"/>
                <w:szCs w:val="22"/>
              </w:rPr>
              <w:t xml:space="preserve"> </w:t>
            </w:r>
          </w:p>
        </w:tc>
      </w:tr>
      <w:tr w:rsidR="0040246E" w:rsidRPr="00716DDF" w:rsidTr="0040246E">
        <w:tc>
          <w:tcPr>
            <w:tcW w:w="2087" w:type="dxa"/>
            <w:vMerge/>
            <w:tcBorders>
              <w:left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Rektal</w:t>
            </w:r>
            <w:proofErr w:type="spellEnd"/>
            <w:r w:rsidRPr="00716DDF">
              <w:rPr>
                <w:sz w:val="22"/>
                <w:szCs w:val="22"/>
              </w:rPr>
              <w:t xml:space="preserve"> </w:t>
            </w:r>
            <w:proofErr w:type="spellStart"/>
            <w:r w:rsidRPr="00716DDF">
              <w:rPr>
                <w:sz w:val="22"/>
                <w:szCs w:val="22"/>
              </w:rPr>
              <w:t>blødning</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14 (1,3)</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4 (0,4)</w:t>
            </w:r>
            <w:r w:rsidRPr="00716DDF">
              <w:rPr>
                <w:sz w:val="22"/>
                <w:szCs w:val="22"/>
              </w:rPr>
              <w:t xml:space="preserve"> </w:t>
            </w:r>
          </w:p>
        </w:tc>
      </w:tr>
      <w:tr w:rsidR="0040246E" w:rsidRPr="00716DDF" w:rsidTr="0040246E">
        <w:tc>
          <w:tcPr>
            <w:tcW w:w="2087" w:type="dxa"/>
            <w:vMerge/>
            <w:tcBorders>
              <w:left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Tør</w:t>
            </w:r>
            <w:proofErr w:type="spellEnd"/>
            <w:r w:rsidRPr="00716DDF">
              <w:rPr>
                <w:sz w:val="22"/>
                <w:szCs w:val="22"/>
              </w:rPr>
              <w:t xml:space="preserve"> </w:t>
            </w:r>
            <w:proofErr w:type="spellStart"/>
            <w:r w:rsidRPr="00716DDF">
              <w:rPr>
                <w:sz w:val="22"/>
                <w:szCs w:val="22"/>
              </w:rPr>
              <w:t>mund</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19 (1,7)</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 (0,2)</w:t>
            </w:r>
            <w:r w:rsidRPr="00716DDF">
              <w:rPr>
                <w:sz w:val="22"/>
                <w:szCs w:val="22"/>
              </w:rPr>
              <w:t xml:space="preserve"> </w:t>
            </w:r>
          </w:p>
        </w:tc>
      </w:tr>
      <w:tr w:rsidR="0040246E" w:rsidRPr="00716DDF" w:rsidTr="0040246E">
        <w:tc>
          <w:tcPr>
            <w:tcW w:w="2087" w:type="dxa"/>
            <w:vMerge/>
            <w:tcBorders>
              <w:left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Abdominal </w:t>
            </w:r>
            <w:proofErr w:type="spellStart"/>
            <w:r w:rsidRPr="00716DDF">
              <w:rPr>
                <w:sz w:val="22"/>
                <w:szCs w:val="22"/>
              </w:rPr>
              <w:t>udspilning</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14 (1,3)</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 xml:space="preserve"> 1 (&lt;0,1)</w:t>
            </w:r>
            <w:r w:rsidRPr="00716DDF">
              <w:rPr>
                <w:sz w:val="22"/>
                <w:szCs w:val="22"/>
              </w:rPr>
              <w:t xml:space="preserve"> </w:t>
            </w:r>
          </w:p>
        </w:tc>
      </w:tr>
      <w:tr w:rsidR="0040246E" w:rsidRPr="00716DDF" w:rsidTr="0040246E">
        <w:tc>
          <w:tcPr>
            <w:tcW w:w="2087" w:type="dxa"/>
            <w:vMerge/>
            <w:tcBorders>
              <w:left w:val="single" w:sz="4" w:space="0" w:color="auto"/>
              <w:bottom w:val="single" w:sz="4" w:space="0" w:color="auto"/>
              <w:right w:val="single" w:sz="4" w:space="0" w:color="auto"/>
            </w:tcBorders>
            <w:vAlign w:val="center"/>
          </w:tcPr>
          <w:p w:rsidR="0040246E" w:rsidRPr="00716DDF" w:rsidRDefault="0040246E" w:rsidP="0040246E">
            <w:pPr>
              <w:rPr>
                <w:sz w:val="22"/>
                <w:szCs w:val="22"/>
                <w:lang w:eastAsia="fr-LU"/>
              </w:rPr>
            </w:pPr>
          </w:p>
        </w:tc>
        <w:tc>
          <w:tcPr>
            <w:tcW w:w="2050"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Stomatitis</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tcPr>
          <w:p w:rsidR="0040246E" w:rsidRPr="00716DDF" w:rsidDel="0091140E" w:rsidRDefault="0040246E" w:rsidP="0040246E">
            <w:pPr>
              <w:rPr>
                <w:sz w:val="22"/>
                <w:szCs w:val="22"/>
              </w:rPr>
            </w:pPr>
            <w:r>
              <w:rPr>
                <w:sz w:val="22"/>
                <w:szCs w:val="22"/>
              </w:rPr>
              <w:t>46 (4,2)</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tcPr>
          <w:p w:rsidR="0040246E" w:rsidRPr="00716DDF" w:rsidDel="00A140EC" w:rsidRDefault="0040246E" w:rsidP="0040246E">
            <w:pPr>
              <w:rPr>
                <w:sz w:val="22"/>
                <w:szCs w:val="22"/>
              </w:rPr>
            </w:pPr>
            <w:r>
              <w:rPr>
                <w:sz w:val="22"/>
                <w:szCs w:val="22"/>
              </w:rPr>
              <w:t>2 (0,2)</w:t>
            </w:r>
          </w:p>
        </w:tc>
      </w:tr>
      <w:tr w:rsidR="0040246E" w:rsidRPr="00716DDF" w:rsidTr="0040246E">
        <w:tc>
          <w:tcPr>
            <w:tcW w:w="2087" w:type="dxa"/>
            <w:vMerge w:val="restart"/>
            <w:tcBorders>
              <w:top w:val="single" w:sz="4" w:space="0" w:color="auto"/>
              <w:left w:val="single" w:sz="4" w:space="0" w:color="auto"/>
              <w:right w:val="single" w:sz="4" w:space="0" w:color="auto"/>
            </w:tcBorders>
            <w:vAlign w:val="center"/>
            <w:hideMark/>
          </w:tcPr>
          <w:p w:rsidR="0040246E" w:rsidRPr="00716DDF" w:rsidRDefault="0040246E" w:rsidP="0040246E">
            <w:pPr>
              <w:rPr>
                <w:sz w:val="22"/>
                <w:szCs w:val="22"/>
                <w:lang w:val="da-DK"/>
              </w:rPr>
            </w:pPr>
            <w:r w:rsidRPr="00716DDF">
              <w:rPr>
                <w:sz w:val="22"/>
                <w:szCs w:val="22"/>
                <w:lang w:val="da-DK"/>
              </w:rPr>
              <w:t>Hud og subkutane væv</w:t>
            </w: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fr-LU"/>
              </w:rPr>
            </w:pPr>
            <w:proofErr w:type="spellStart"/>
            <w:r w:rsidRPr="00716DDF">
              <w:rPr>
                <w:sz w:val="22"/>
                <w:szCs w:val="22"/>
              </w:rPr>
              <w:t>Alopeci</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 </w:t>
            </w:r>
          </w:p>
        </w:tc>
        <w:tc>
          <w:tcPr>
            <w:tcW w:w="128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80 (7,3)</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0</w:t>
            </w:r>
          </w:p>
        </w:tc>
      </w:tr>
      <w:tr w:rsidR="0040246E" w:rsidRPr="00716DDF" w:rsidTr="0040246E">
        <w:tc>
          <w:tcPr>
            <w:tcW w:w="2087" w:type="dxa"/>
            <w:vMerge/>
            <w:tcBorders>
              <w:left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Tør</w:t>
            </w:r>
            <w:proofErr w:type="spellEnd"/>
            <w:r w:rsidRPr="00716DDF">
              <w:rPr>
                <w:sz w:val="22"/>
                <w:szCs w:val="22"/>
              </w:rPr>
              <w:t xml:space="preserve"> </w:t>
            </w:r>
            <w:proofErr w:type="spellStart"/>
            <w:r w:rsidRPr="00716DDF">
              <w:rPr>
                <w:sz w:val="22"/>
                <w:szCs w:val="22"/>
              </w:rPr>
              <w:t>hud</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23 (2,1)</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0 </w:t>
            </w:r>
          </w:p>
        </w:tc>
      </w:tr>
      <w:tr w:rsidR="0040246E" w:rsidRPr="00716DDF" w:rsidTr="0040246E">
        <w:tc>
          <w:tcPr>
            <w:tcW w:w="2087" w:type="dxa"/>
            <w:vMerge/>
            <w:tcBorders>
              <w:left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Erytem</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8 (0,7)</w:t>
            </w: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0 </w:t>
            </w:r>
          </w:p>
        </w:tc>
      </w:tr>
      <w:tr w:rsidR="0040246E" w:rsidRPr="00716DDF" w:rsidTr="0040246E">
        <w:tc>
          <w:tcPr>
            <w:tcW w:w="2087" w:type="dxa"/>
            <w:vMerge/>
            <w:tcBorders>
              <w:left w:val="single" w:sz="4" w:space="0" w:color="auto"/>
              <w:bottom w:val="single" w:sz="4" w:space="0" w:color="auto"/>
              <w:right w:val="single" w:sz="4" w:space="0" w:color="auto"/>
            </w:tcBorders>
            <w:vAlign w:val="center"/>
          </w:tcPr>
          <w:p w:rsidR="0040246E" w:rsidRPr="00716DDF" w:rsidRDefault="0040246E" w:rsidP="0040246E">
            <w:pPr>
              <w:rPr>
                <w:sz w:val="22"/>
                <w:szCs w:val="22"/>
                <w:lang w:eastAsia="fr-LU"/>
              </w:rPr>
            </w:pPr>
          </w:p>
        </w:tc>
        <w:tc>
          <w:tcPr>
            <w:tcW w:w="2050"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roofErr w:type="spellStart"/>
            <w:r>
              <w:rPr>
                <w:sz w:val="22"/>
                <w:szCs w:val="22"/>
              </w:rPr>
              <w:t>Neglelidelse</w:t>
            </w:r>
            <w:proofErr w:type="spellEnd"/>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tcPr>
          <w:p w:rsidR="0040246E" w:rsidRPr="00716DDF" w:rsidDel="00CB22FB" w:rsidRDefault="0040246E" w:rsidP="0040246E">
            <w:pPr>
              <w:rPr>
                <w:sz w:val="22"/>
                <w:szCs w:val="22"/>
              </w:rPr>
            </w:pPr>
          </w:p>
        </w:tc>
        <w:tc>
          <w:tcPr>
            <w:tcW w:w="1642" w:type="dxa"/>
            <w:tcBorders>
              <w:top w:val="single" w:sz="4" w:space="0" w:color="auto"/>
              <w:left w:val="single" w:sz="4" w:space="0" w:color="auto"/>
              <w:bottom w:val="single" w:sz="4" w:space="0" w:color="auto"/>
              <w:right w:val="single" w:sz="4" w:space="0" w:color="auto"/>
            </w:tcBorders>
          </w:tcPr>
          <w:p w:rsidR="0040246E" w:rsidRDefault="0040246E" w:rsidP="0040246E">
            <w:pPr>
              <w:rPr>
                <w:sz w:val="22"/>
                <w:szCs w:val="22"/>
              </w:rPr>
            </w:pPr>
            <w:r>
              <w:rPr>
                <w:sz w:val="22"/>
                <w:szCs w:val="22"/>
              </w:rPr>
              <w:t>8 (0,7)</w:t>
            </w:r>
          </w:p>
        </w:tc>
        <w:tc>
          <w:tcPr>
            <w:tcW w:w="1261"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r>
      <w:tr w:rsidR="0040246E" w:rsidRPr="00716DDF" w:rsidTr="0040246E">
        <w:tc>
          <w:tcPr>
            <w:tcW w:w="2087" w:type="dxa"/>
            <w:vMerge w:val="restart"/>
            <w:tcBorders>
              <w:top w:val="single" w:sz="4" w:space="0" w:color="auto"/>
              <w:left w:val="single" w:sz="4" w:space="0" w:color="auto"/>
              <w:bottom w:val="single" w:sz="4" w:space="0" w:color="auto"/>
              <w:right w:val="single" w:sz="4" w:space="0" w:color="auto"/>
            </w:tcBorders>
            <w:vAlign w:val="center"/>
          </w:tcPr>
          <w:p w:rsidR="0040246E" w:rsidRPr="00B42C02" w:rsidRDefault="0040246E" w:rsidP="0040246E">
            <w:pPr>
              <w:pStyle w:val="Default"/>
              <w:rPr>
                <w:sz w:val="22"/>
                <w:szCs w:val="22"/>
                <w:lang w:val="da-DK"/>
              </w:rPr>
            </w:pPr>
            <w:proofErr w:type="spellStart"/>
            <w:r w:rsidRPr="00A10D85">
              <w:rPr>
                <w:sz w:val="22"/>
                <w:szCs w:val="22"/>
              </w:rPr>
              <w:t>Knogler</w:t>
            </w:r>
            <w:proofErr w:type="spellEnd"/>
            <w:r w:rsidRPr="00A10D85">
              <w:rPr>
                <w:sz w:val="22"/>
                <w:szCs w:val="22"/>
              </w:rPr>
              <w:t xml:space="preserve">, led, </w:t>
            </w:r>
            <w:proofErr w:type="spellStart"/>
            <w:r w:rsidRPr="00A10D85">
              <w:rPr>
                <w:sz w:val="22"/>
                <w:szCs w:val="22"/>
              </w:rPr>
              <w:t>muskler</w:t>
            </w:r>
            <w:proofErr w:type="spellEnd"/>
            <w:r w:rsidRPr="00A10D85">
              <w:rPr>
                <w:sz w:val="22"/>
                <w:szCs w:val="22"/>
              </w:rPr>
              <w:t xml:space="preserve"> og </w:t>
            </w:r>
            <w:proofErr w:type="spellStart"/>
            <w:r w:rsidRPr="00A10D85">
              <w:rPr>
                <w:sz w:val="22"/>
                <w:szCs w:val="22"/>
              </w:rPr>
              <w:t>bindevæv</w:t>
            </w:r>
            <w:proofErr w:type="spellEnd"/>
            <w:r w:rsidRPr="00A10D85">
              <w:rPr>
                <w:sz w:val="22"/>
                <w:szCs w:val="22"/>
              </w:rPr>
              <w:t xml:space="preserve"> </w:t>
            </w:r>
          </w:p>
          <w:p w:rsidR="0040246E" w:rsidRPr="00716DDF" w:rsidRDefault="0040246E" w:rsidP="0040246E">
            <w:pPr>
              <w:rPr>
                <w:sz w:val="22"/>
                <w:szCs w:val="22"/>
                <w:lang w:val="da-DK"/>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fr-LU"/>
              </w:rPr>
            </w:pPr>
            <w:proofErr w:type="spellStart"/>
            <w:r w:rsidRPr="00716DDF">
              <w:rPr>
                <w:sz w:val="22"/>
                <w:szCs w:val="22"/>
              </w:rPr>
              <w:t>Rygsmerter</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166 (15,2)</w:t>
            </w:r>
            <w:r w:rsidRPr="00716DDF">
              <w:rPr>
                <w:sz w:val="22"/>
                <w:szCs w:val="22"/>
              </w:rPr>
              <w:t xml:space="preserve"> </w:t>
            </w:r>
          </w:p>
        </w:tc>
        <w:tc>
          <w:tcPr>
            <w:tcW w:w="128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24 (2,2)</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Arthralgi</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 </w:t>
            </w:r>
          </w:p>
        </w:tc>
        <w:tc>
          <w:tcPr>
            <w:tcW w:w="128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88 (8,1)</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9 (0,8)</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Smerter</w:t>
            </w:r>
            <w:proofErr w:type="spellEnd"/>
            <w:r w:rsidRPr="00716DDF">
              <w:rPr>
                <w:sz w:val="22"/>
                <w:szCs w:val="22"/>
              </w:rPr>
              <w:t xml:space="preserve"> i </w:t>
            </w:r>
            <w:proofErr w:type="spellStart"/>
            <w:r w:rsidRPr="00716DDF">
              <w:rPr>
                <w:sz w:val="22"/>
                <w:szCs w:val="22"/>
              </w:rPr>
              <w:t>ekstremitet</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76 (7,0)</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9 (0,8)</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Muskelkramper</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51 (4,7)</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0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Myalgi</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40 (3,7)</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 (0,2)</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Muskuloskeletale</w:t>
            </w:r>
            <w:proofErr w:type="spellEnd"/>
            <w:r w:rsidRPr="00716DDF">
              <w:rPr>
                <w:sz w:val="22"/>
                <w:szCs w:val="22"/>
              </w:rPr>
              <w:t xml:space="preserve"> </w:t>
            </w:r>
            <w:proofErr w:type="spellStart"/>
            <w:r w:rsidRPr="00716DDF">
              <w:rPr>
                <w:sz w:val="22"/>
                <w:szCs w:val="22"/>
              </w:rPr>
              <w:t>smerter</w:t>
            </w:r>
            <w:proofErr w:type="spellEnd"/>
            <w:r w:rsidRPr="00716DDF">
              <w:rPr>
                <w:sz w:val="22"/>
                <w:szCs w:val="22"/>
              </w:rPr>
              <w:t xml:space="preserve"> i </w:t>
            </w:r>
            <w:proofErr w:type="spellStart"/>
            <w:r w:rsidRPr="00716DDF">
              <w:rPr>
                <w:sz w:val="22"/>
                <w:szCs w:val="22"/>
              </w:rPr>
              <w:t>brystet</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34 (3,1)</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3 (0,3)</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tcPr>
          <w:p w:rsidR="0040246E" w:rsidRPr="00716DDF" w:rsidRDefault="0040246E" w:rsidP="0040246E">
            <w:pPr>
              <w:rPr>
                <w:sz w:val="22"/>
                <w:szCs w:val="22"/>
                <w:lang w:eastAsia="fr-LU"/>
              </w:rPr>
            </w:pPr>
          </w:p>
        </w:tc>
        <w:tc>
          <w:tcPr>
            <w:tcW w:w="2050"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roofErr w:type="spellStart"/>
            <w:r>
              <w:rPr>
                <w:sz w:val="22"/>
                <w:szCs w:val="22"/>
              </w:rPr>
              <w:t>Muskelsvaghed</w:t>
            </w:r>
            <w:proofErr w:type="spellEnd"/>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tcPr>
          <w:p w:rsidR="0040246E" w:rsidRPr="00716DDF" w:rsidDel="00DE62EA" w:rsidRDefault="0040246E" w:rsidP="0040246E">
            <w:pPr>
              <w:rPr>
                <w:sz w:val="22"/>
                <w:szCs w:val="22"/>
              </w:rPr>
            </w:pPr>
            <w:r>
              <w:rPr>
                <w:sz w:val="22"/>
                <w:szCs w:val="22"/>
              </w:rPr>
              <w:t>31 (2,8)</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tcPr>
          <w:p w:rsidR="0040246E" w:rsidRPr="00716DDF" w:rsidDel="00DE62EA" w:rsidRDefault="0040246E" w:rsidP="0040246E">
            <w:pPr>
              <w:rPr>
                <w:sz w:val="22"/>
                <w:szCs w:val="22"/>
              </w:rPr>
            </w:pPr>
            <w:r>
              <w:rPr>
                <w:sz w:val="22"/>
                <w:szCs w:val="22"/>
              </w:rPr>
              <w:t>1 (0,2)</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Flankesmerter</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17 (1,6)</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5 (0,5)</w:t>
            </w:r>
            <w:r w:rsidRPr="00716DDF">
              <w:rPr>
                <w:sz w:val="22"/>
                <w:szCs w:val="22"/>
              </w:rPr>
              <w:t xml:space="preserve"> </w:t>
            </w:r>
          </w:p>
        </w:tc>
      </w:tr>
      <w:tr w:rsidR="0040246E" w:rsidRPr="00716DDF" w:rsidTr="0040246E">
        <w:tc>
          <w:tcPr>
            <w:tcW w:w="2087" w:type="dxa"/>
            <w:vMerge w:val="restart"/>
            <w:tcBorders>
              <w:top w:val="single" w:sz="4" w:space="0" w:color="auto"/>
              <w:left w:val="single" w:sz="4" w:space="0" w:color="auto"/>
              <w:bottom w:val="single" w:sz="4" w:space="0" w:color="auto"/>
              <w:right w:val="single" w:sz="4" w:space="0" w:color="auto"/>
            </w:tcBorders>
            <w:vAlign w:val="center"/>
          </w:tcPr>
          <w:p w:rsidR="0040246E" w:rsidRPr="00716DDF" w:rsidRDefault="0040246E" w:rsidP="0040246E">
            <w:pPr>
              <w:pStyle w:val="Default"/>
              <w:rPr>
                <w:sz w:val="22"/>
                <w:szCs w:val="22"/>
              </w:rPr>
            </w:pPr>
            <w:proofErr w:type="spellStart"/>
            <w:r w:rsidRPr="00716DDF">
              <w:rPr>
                <w:sz w:val="22"/>
                <w:szCs w:val="22"/>
              </w:rPr>
              <w:t>Nyrer</w:t>
            </w:r>
            <w:proofErr w:type="spellEnd"/>
            <w:r w:rsidRPr="00716DDF">
              <w:rPr>
                <w:sz w:val="22"/>
                <w:szCs w:val="22"/>
              </w:rPr>
              <w:t xml:space="preserve"> og </w:t>
            </w:r>
            <w:proofErr w:type="spellStart"/>
            <w:r w:rsidRPr="00716DDF">
              <w:rPr>
                <w:sz w:val="22"/>
                <w:szCs w:val="22"/>
              </w:rPr>
              <w:t>urinveje</w:t>
            </w:r>
            <w:proofErr w:type="spellEnd"/>
            <w:r w:rsidRPr="00716DDF">
              <w:rPr>
                <w:sz w:val="22"/>
                <w:szCs w:val="22"/>
              </w:rPr>
              <w:t xml:space="preserve"> </w:t>
            </w:r>
          </w:p>
          <w:p w:rsidR="0040246E" w:rsidRPr="00716DDF" w:rsidRDefault="0040246E" w:rsidP="0040246E">
            <w:pPr>
              <w:rPr>
                <w:sz w:val="22"/>
                <w:szCs w:val="22"/>
                <w:lang w:val="da-DK"/>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fr-LU"/>
              </w:rPr>
            </w:pPr>
            <w:proofErr w:type="spellStart"/>
            <w:r w:rsidRPr="00716DDF">
              <w:rPr>
                <w:sz w:val="22"/>
                <w:szCs w:val="22"/>
              </w:rPr>
              <w:t>Akut</w:t>
            </w:r>
            <w:proofErr w:type="spellEnd"/>
            <w:r w:rsidRPr="00716DDF">
              <w:rPr>
                <w:sz w:val="22"/>
                <w:szCs w:val="22"/>
              </w:rPr>
              <w:t xml:space="preserve"> </w:t>
            </w:r>
            <w:proofErr w:type="spellStart"/>
            <w:r w:rsidRPr="00716DDF">
              <w:rPr>
                <w:sz w:val="22"/>
                <w:szCs w:val="22"/>
              </w:rPr>
              <w:t>nyresvigt</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21 (1,9)</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14 (1,3)</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Nyresvigt</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8 (0,7)</w:t>
            </w: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6 </w:t>
            </w:r>
            <w:r>
              <w:rPr>
                <w:sz w:val="22"/>
                <w:szCs w:val="22"/>
              </w:rPr>
              <w:t>(0,5)</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Dysuri</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52 (4,8)</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0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Nyrekolik</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14 (1,3)</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 (0,2)</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Hæmaturi</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205 (18,8)</w:t>
            </w:r>
            <w:r w:rsidRPr="00716DDF">
              <w:rPr>
                <w:sz w:val="22"/>
                <w:szCs w:val="22"/>
              </w:rPr>
              <w:t xml:space="preserve"> </w:t>
            </w:r>
          </w:p>
        </w:tc>
        <w:tc>
          <w:tcPr>
            <w:tcW w:w="128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33 (3,0)</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Pollakisuri</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26 (2,4)</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 (0,2)</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Hydronefrose</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25 (2,3)</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13 (1,2)</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Urinretention</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36 (3,3)</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 xml:space="preserve"> 4 (0,4)</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Urininkontinens</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22 (2,0)</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0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Ureter </w:t>
            </w:r>
            <w:proofErr w:type="spellStart"/>
            <w:r w:rsidRPr="00716DDF">
              <w:rPr>
                <w:sz w:val="22"/>
                <w:szCs w:val="22"/>
              </w:rPr>
              <w:t>obstruktion</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8 (0,7)</w:t>
            </w: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6 (0,5)</w:t>
            </w:r>
            <w:r w:rsidRPr="00716DDF">
              <w:rPr>
                <w:sz w:val="22"/>
                <w:szCs w:val="22"/>
              </w:rPr>
              <w:t xml:space="preserve"> </w:t>
            </w:r>
          </w:p>
        </w:tc>
      </w:tr>
      <w:tr w:rsidR="0040246E" w:rsidRPr="00716DDF" w:rsidTr="0040246E">
        <w:tc>
          <w:tcPr>
            <w:tcW w:w="2087"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da-DK"/>
              </w:rPr>
            </w:pPr>
            <w:r w:rsidRPr="00716DDF">
              <w:rPr>
                <w:sz w:val="22"/>
                <w:szCs w:val="22"/>
                <w:lang w:val="da-DK"/>
              </w:rPr>
              <w:t>Det reproduktive system og mammae</w:t>
            </w: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fr-LU"/>
              </w:rPr>
            </w:pPr>
            <w:proofErr w:type="spellStart"/>
            <w:r w:rsidRPr="00716DDF">
              <w:rPr>
                <w:sz w:val="22"/>
                <w:szCs w:val="22"/>
              </w:rPr>
              <w:t>Bækkensmerter</w:t>
            </w:r>
            <w:proofErr w:type="spellEnd"/>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20 (1,8)</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5 (0,5)</w:t>
            </w:r>
          </w:p>
        </w:tc>
      </w:tr>
      <w:tr w:rsidR="0040246E" w:rsidRPr="00716DDF" w:rsidTr="0040246E">
        <w:tc>
          <w:tcPr>
            <w:tcW w:w="2087" w:type="dxa"/>
            <w:vMerge w:val="restart"/>
            <w:tcBorders>
              <w:top w:val="single" w:sz="4" w:space="0" w:color="auto"/>
              <w:left w:val="single" w:sz="4" w:space="0" w:color="auto"/>
              <w:bottom w:val="single" w:sz="4" w:space="0" w:color="auto"/>
              <w:right w:val="single" w:sz="4" w:space="0" w:color="auto"/>
            </w:tcBorders>
            <w:vAlign w:val="center"/>
          </w:tcPr>
          <w:p w:rsidR="0040246E" w:rsidRPr="00716DDF" w:rsidRDefault="0040246E" w:rsidP="0040246E">
            <w:pPr>
              <w:pStyle w:val="Default"/>
              <w:rPr>
                <w:sz w:val="22"/>
                <w:szCs w:val="22"/>
                <w:lang w:val="da-DK"/>
              </w:rPr>
            </w:pPr>
            <w:r w:rsidRPr="00716DDF">
              <w:rPr>
                <w:sz w:val="22"/>
                <w:szCs w:val="22"/>
                <w:lang w:val="da-DK"/>
              </w:rPr>
              <w:t xml:space="preserve">Almene symptomer og reaktioner på administrationsstedet </w:t>
            </w:r>
          </w:p>
          <w:p w:rsidR="0040246E" w:rsidRPr="00716DDF" w:rsidRDefault="0040246E" w:rsidP="0040246E">
            <w:pPr>
              <w:rPr>
                <w:sz w:val="22"/>
                <w:szCs w:val="22"/>
                <w:lang w:val="da-DK"/>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fr-LU"/>
              </w:rPr>
            </w:pPr>
            <w:proofErr w:type="spellStart"/>
            <w:r w:rsidRPr="00716DDF">
              <w:rPr>
                <w:sz w:val="22"/>
                <w:szCs w:val="22"/>
              </w:rPr>
              <w:t>Træthed</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333 (30,5)</w:t>
            </w:r>
            <w:r w:rsidRPr="00716DDF">
              <w:rPr>
                <w:sz w:val="22"/>
                <w:szCs w:val="22"/>
              </w:rPr>
              <w:t xml:space="preserve"> </w:t>
            </w:r>
          </w:p>
        </w:tc>
        <w:tc>
          <w:tcPr>
            <w:tcW w:w="128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42 (3,8)</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Asteni</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227 (20,8)</w:t>
            </w:r>
            <w:r w:rsidRPr="00716DDF">
              <w:rPr>
                <w:sz w:val="22"/>
                <w:szCs w:val="22"/>
              </w:rPr>
              <w:t xml:space="preserve"> </w:t>
            </w:r>
          </w:p>
        </w:tc>
        <w:tc>
          <w:tcPr>
            <w:tcW w:w="128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32 (2,9)</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Pyreksi</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 </w:t>
            </w:r>
          </w:p>
        </w:tc>
        <w:tc>
          <w:tcPr>
            <w:tcW w:w="128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90 (8,2)</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5 (0,5)</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Perifert</w:t>
            </w:r>
            <w:proofErr w:type="spellEnd"/>
            <w:r w:rsidRPr="00716DDF">
              <w:rPr>
                <w:sz w:val="22"/>
                <w:szCs w:val="22"/>
              </w:rPr>
              <w:t xml:space="preserve"> </w:t>
            </w:r>
            <w:proofErr w:type="spellStart"/>
            <w:r w:rsidRPr="00716DDF">
              <w:rPr>
                <w:sz w:val="22"/>
                <w:szCs w:val="22"/>
              </w:rPr>
              <w:t>ødem</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96 (8,8)</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 (0,2)</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Inflammation i </w:t>
            </w:r>
            <w:proofErr w:type="spellStart"/>
            <w:r w:rsidRPr="00716DDF">
              <w:rPr>
                <w:sz w:val="22"/>
                <w:szCs w:val="22"/>
              </w:rPr>
              <w:t>slimhinderne</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23 (2,1)</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 (&lt;0,1)</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Smerter</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36 (3,3)</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7 (0,6)</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Brystsmerter</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11 (1,0)</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 (0,2)</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Ødem</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8 (0,7)</w:t>
            </w: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 (&lt;0,1)</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Kuldegysninger</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12 (1,1)</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0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Utilpashed</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21 (1,9)</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0 </w:t>
            </w:r>
          </w:p>
        </w:tc>
      </w:tr>
      <w:tr w:rsidR="0040246E" w:rsidRPr="00716DDF" w:rsidTr="0040246E">
        <w:tc>
          <w:tcPr>
            <w:tcW w:w="2087" w:type="dxa"/>
            <w:vMerge w:val="restart"/>
            <w:tcBorders>
              <w:top w:val="single" w:sz="4" w:space="0" w:color="auto"/>
              <w:left w:val="single" w:sz="4" w:space="0" w:color="auto"/>
              <w:bottom w:val="single" w:sz="4" w:space="0" w:color="auto"/>
              <w:right w:val="single" w:sz="4" w:space="0" w:color="auto"/>
            </w:tcBorders>
            <w:vAlign w:val="center"/>
          </w:tcPr>
          <w:p w:rsidR="0040246E" w:rsidRPr="00716DDF" w:rsidRDefault="0040246E" w:rsidP="0040246E">
            <w:pPr>
              <w:pStyle w:val="Default"/>
              <w:rPr>
                <w:sz w:val="22"/>
                <w:szCs w:val="22"/>
              </w:rPr>
            </w:pPr>
            <w:proofErr w:type="spellStart"/>
            <w:r w:rsidRPr="00716DDF">
              <w:rPr>
                <w:sz w:val="22"/>
                <w:szCs w:val="22"/>
              </w:rPr>
              <w:t>Undersøgelser</w:t>
            </w:r>
            <w:proofErr w:type="spellEnd"/>
            <w:r w:rsidRPr="00716DDF">
              <w:rPr>
                <w:sz w:val="22"/>
                <w:szCs w:val="22"/>
              </w:rPr>
              <w:t xml:space="preserve"> </w:t>
            </w:r>
          </w:p>
          <w:p w:rsidR="0040246E" w:rsidRPr="00716DDF" w:rsidRDefault="0040246E" w:rsidP="0040246E">
            <w:pPr>
              <w:rPr>
                <w:sz w:val="22"/>
                <w:szCs w:val="22"/>
                <w:lang w:val="da-DK"/>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lang w:val="fr-LU"/>
              </w:rPr>
            </w:pPr>
            <w:proofErr w:type="spellStart"/>
            <w:r w:rsidRPr="00716DDF">
              <w:rPr>
                <w:sz w:val="22"/>
                <w:szCs w:val="22"/>
              </w:rPr>
              <w:t>Vægttab</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81 (7,4)</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0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Forhøjet</w:t>
            </w:r>
            <w:proofErr w:type="spellEnd"/>
            <w:r w:rsidRPr="00716DDF">
              <w:rPr>
                <w:sz w:val="22"/>
                <w:szCs w:val="22"/>
              </w:rPr>
              <w:t xml:space="preserve"> ASAT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13 (1,2)</w:t>
            </w: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 (&lt;0,1)</w:t>
            </w:r>
            <w:r w:rsidRPr="00716DDF">
              <w:rPr>
                <w:sz w:val="22"/>
                <w:szCs w:val="22"/>
              </w:rPr>
              <w:t xml:space="preserve"> </w:t>
            </w:r>
          </w:p>
        </w:tc>
      </w:tr>
      <w:tr w:rsidR="0040246E" w:rsidRPr="00716DDF" w:rsidTr="0040246E">
        <w:tc>
          <w:tcPr>
            <w:tcW w:w="2087" w:type="dxa"/>
            <w:vMerge/>
            <w:tcBorders>
              <w:top w:val="single" w:sz="4" w:space="0" w:color="auto"/>
              <w:left w:val="single" w:sz="4" w:space="0" w:color="auto"/>
              <w:bottom w:val="single" w:sz="4" w:space="0" w:color="auto"/>
              <w:right w:val="single" w:sz="4" w:space="0" w:color="auto"/>
            </w:tcBorders>
            <w:vAlign w:val="center"/>
            <w:hideMark/>
          </w:tcPr>
          <w:p w:rsidR="0040246E" w:rsidRPr="00716DDF" w:rsidRDefault="0040246E" w:rsidP="0040246E">
            <w:pPr>
              <w:rPr>
                <w:sz w:val="22"/>
                <w:szCs w:val="22"/>
                <w:lang w:val="da-DK" w:eastAsia="fr-LU"/>
              </w:rPr>
            </w:pPr>
          </w:p>
        </w:tc>
        <w:tc>
          <w:tcPr>
            <w:tcW w:w="2050"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proofErr w:type="spellStart"/>
            <w:r w:rsidRPr="00716DDF">
              <w:rPr>
                <w:sz w:val="22"/>
                <w:szCs w:val="22"/>
              </w:rPr>
              <w:t>Forhøjede</w:t>
            </w:r>
            <w:proofErr w:type="spellEnd"/>
            <w:r w:rsidRPr="00716DDF">
              <w:rPr>
                <w:sz w:val="22"/>
                <w:szCs w:val="22"/>
              </w:rPr>
              <w:t xml:space="preserve"> </w:t>
            </w:r>
            <w:proofErr w:type="spellStart"/>
            <w:r w:rsidRPr="00716DDF">
              <w:rPr>
                <w:sz w:val="22"/>
                <w:szCs w:val="22"/>
              </w:rPr>
              <w:t>levertransaminaser</w:t>
            </w:r>
            <w:proofErr w:type="spellEnd"/>
            <w:r w:rsidRPr="00716DDF">
              <w:rPr>
                <w:sz w:val="22"/>
                <w:szCs w:val="22"/>
              </w:rPr>
              <w:t xml:space="preserve"> </w:t>
            </w:r>
          </w:p>
        </w:tc>
        <w:tc>
          <w:tcPr>
            <w:tcW w:w="1306"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p>
        </w:tc>
        <w:tc>
          <w:tcPr>
            <w:tcW w:w="1282"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sidRPr="00716DDF">
              <w:rPr>
                <w:sz w:val="22"/>
                <w:szCs w:val="22"/>
              </w:rPr>
              <w:t xml:space="preserve"> </w:t>
            </w:r>
          </w:p>
        </w:tc>
        <w:tc>
          <w:tcPr>
            <w:tcW w:w="1642" w:type="dxa"/>
            <w:tcBorders>
              <w:top w:val="single" w:sz="4" w:space="0" w:color="auto"/>
              <w:left w:val="single" w:sz="4" w:space="0" w:color="auto"/>
              <w:bottom w:val="single" w:sz="4" w:space="0" w:color="auto"/>
              <w:right w:val="single" w:sz="4" w:space="0" w:color="auto"/>
            </w:tcBorders>
          </w:tcPr>
          <w:p w:rsidR="0040246E" w:rsidRPr="00716DDF" w:rsidRDefault="0040246E" w:rsidP="0040246E">
            <w:pPr>
              <w:rPr>
                <w:sz w:val="22"/>
                <w:szCs w:val="22"/>
              </w:rPr>
            </w:pPr>
            <w:r>
              <w:rPr>
                <w:sz w:val="22"/>
                <w:szCs w:val="22"/>
              </w:rPr>
              <w:t>7 (0,6)</w:t>
            </w:r>
          </w:p>
        </w:tc>
        <w:tc>
          <w:tcPr>
            <w:tcW w:w="1261" w:type="dxa"/>
            <w:tcBorders>
              <w:top w:val="single" w:sz="4" w:space="0" w:color="auto"/>
              <w:left w:val="single" w:sz="4" w:space="0" w:color="auto"/>
              <w:bottom w:val="single" w:sz="4" w:space="0" w:color="auto"/>
              <w:right w:val="single" w:sz="4" w:space="0" w:color="auto"/>
            </w:tcBorders>
            <w:hideMark/>
          </w:tcPr>
          <w:p w:rsidR="0040246E" w:rsidRPr="00716DDF" w:rsidRDefault="0040246E" w:rsidP="0040246E">
            <w:pPr>
              <w:rPr>
                <w:sz w:val="22"/>
                <w:szCs w:val="22"/>
              </w:rPr>
            </w:pPr>
            <w:r>
              <w:rPr>
                <w:sz w:val="22"/>
                <w:szCs w:val="22"/>
              </w:rPr>
              <w:t>1 (&lt;0,1)</w:t>
            </w:r>
          </w:p>
        </w:tc>
      </w:tr>
    </w:tbl>
    <w:p w:rsidR="0040246E" w:rsidRPr="00C22F5E" w:rsidRDefault="0040246E" w:rsidP="0040246E">
      <w:pPr>
        <w:pStyle w:val="Default"/>
        <w:rPr>
          <w:sz w:val="20"/>
          <w:szCs w:val="20"/>
        </w:rPr>
      </w:pPr>
      <w:r w:rsidRPr="00C22F5E">
        <w:rPr>
          <w:sz w:val="20"/>
          <w:szCs w:val="20"/>
          <w:vertAlign w:val="superscript"/>
        </w:rPr>
        <w:t xml:space="preserve">a </w:t>
      </w:r>
      <w:r w:rsidRPr="00C22F5E">
        <w:rPr>
          <w:sz w:val="20"/>
          <w:szCs w:val="20"/>
        </w:rPr>
        <w:t xml:space="preserve">baseret på laboratorieværdier </w:t>
      </w:r>
    </w:p>
    <w:p w:rsidR="0040246E" w:rsidRPr="00C22F5E" w:rsidRDefault="0040246E" w:rsidP="0040246E">
      <w:pPr>
        <w:rPr>
          <w:sz w:val="20"/>
        </w:rPr>
      </w:pPr>
      <w:r w:rsidRPr="00C22F5E">
        <w:rPr>
          <w:sz w:val="20"/>
        </w:rPr>
        <w:t>* se detaljeret pkt. herunder</w:t>
      </w:r>
    </w:p>
    <w:p w:rsidR="0040246E" w:rsidRPr="006E699F" w:rsidRDefault="0040246E" w:rsidP="0040246E">
      <w:pPr>
        <w:ind w:left="851"/>
        <w:rPr>
          <w:sz w:val="24"/>
          <w:szCs w:val="24"/>
        </w:rPr>
      </w:pPr>
    </w:p>
    <w:p w:rsidR="006E699F" w:rsidRPr="006E699F" w:rsidRDefault="006E699F" w:rsidP="006E699F">
      <w:pPr>
        <w:ind w:left="851"/>
        <w:rPr>
          <w:sz w:val="24"/>
          <w:szCs w:val="24"/>
          <w:u w:val="single"/>
        </w:rPr>
      </w:pPr>
      <w:r w:rsidRPr="006E699F">
        <w:rPr>
          <w:sz w:val="24"/>
          <w:szCs w:val="24"/>
          <w:u w:val="single"/>
        </w:rPr>
        <w:t>Beskrivelse af udvalgte bivirkninger</w:t>
      </w:r>
    </w:p>
    <w:p w:rsidR="006E699F" w:rsidRPr="006E699F" w:rsidRDefault="006E699F" w:rsidP="006E699F">
      <w:pPr>
        <w:ind w:left="851"/>
        <w:rPr>
          <w:sz w:val="24"/>
          <w:szCs w:val="24"/>
          <w:u w:val="single"/>
        </w:rPr>
      </w:pPr>
    </w:p>
    <w:p w:rsidR="006E699F" w:rsidRPr="006E699F" w:rsidRDefault="006E699F" w:rsidP="006E699F">
      <w:pPr>
        <w:ind w:left="851"/>
        <w:rPr>
          <w:i/>
          <w:iCs/>
          <w:sz w:val="24"/>
          <w:szCs w:val="24"/>
        </w:rPr>
      </w:pPr>
      <w:proofErr w:type="spellStart"/>
      <w:r w:rsidRPr="006E699F">
        <w:rPr>
          <w:i/>
          <w:iCs/>
          <w:sz w:val="24"/>
          <w:szCs w:val="24"/>
        </w:rPr>
        <w:t>Neutropeni</w:t>
      </w:r>
      <w:proofErr w:type="spellEnd"/>
      <w:r w:rsidRPr="006E699F">
        <w:rPr>
          <w:i/>
          <w:iCs/>
          <w:sz w:val="24"/>
          <w:szCs w:val="24"/>
        </w:rPr>
        <w:t xml:space="preserve"> og tilknyttede kliniske hændelser</w:t>
      </w:r>
    </w:p>
    <w:p w:rsidR="00FD31A3" w:rsidRPr="006E699F" w:rsidRDefault="00FD31A3" w:rsidP="00FD31A3">
      <w:pPr>
        <w:ind w:left="851"/>
        <w:rPr>
          <w:sz w:val="24"/>
          <w:szCs w:val="24"/>
        </w:rPr>
      </w:pPr>
      <w:r w:rsidRPr="006E699F">
        <w:rPr>
          <w:sz w:val="24"/>
          <w:szCs w:val="24"/>
        </w:rPr>
        <w:t xml:space="preserve">Brugen af G-CSF er blevet påvist at begrænse forekomsten og sværhedsgraden af </w:t>
      </w:r>
      <w:proofErr w:type="spellStart"/>
      <w:r w:rsidRPr="006E699F">
        <w:rPr>
          <w:sz w:val="24"/>
          <w:szCs w:val="24"/>
        </w:rPr>
        <w:t>neutropeni</w:t>
      </w:r>
      <w:proofErr w:type="spellEnd"/>
      <w:r w:rsidRPr="006E699F">
        <w:rPr>
          <w:sz w:val="24"/>
          <w:szCs w:val="24"/>
        </w:rPr>
        <w:t xml:space="preserve"> (se pkt. 4.2 og 4.4).</w:t>
      </w:r>
      <w:r w:rsidR="00F37F45">
        <w:rPr>
          <w:sz w:val="24"/>
          <w:szCs w:val="24"/>
        </w:rPr>
        <w:t xml:space="preserve"> </w:t>
      </w:r>
      <w:proofErr w:type="gramStart"/>
      <w:r w:rsidRPr="00B42C02">
        <w:rPr>
          <w:sz w:val="24"/>
          <w:szCs w:val="24"/>
        </w:rPr>
        <w:t>Forekomst</w:t>
      </w:r>
      <w:proofErr w:type="gramEnd"/>
      <w:r w:rsidRPr="00B42C02">
        <w:rPr>
          <w:sz w:val="24"/>
          <w:szCs w:val="24"/>
        </w:rPr>
        <w:t xml:space="preserve"> af grad ≥3 </w:t>
      </w:r>
      <w:proofErr w:type="spellStart"/>
      <w:r w:rsidRPr="00B42C02">
        <w:rPr>
          <w:sz w:val="24"/>
          <w:szCs w:val="24"/>
        </w:rPr>
        <w:t>neutropeni</w:t>
      </w:r>
      <w:proofErr w:type="spellEnd"/>
      <w:r w:rsidRPr="00B42C02">
        <w:rPr>
          <w:sz w:val="24"/>
          <w:szCs w:val="24"/>
        </w:rPr>
        <w:t xml:space="preserve"> baseret på laboratoriedata, varierede afhængigt af brugen af GCSF fra 44,7</w:t>
      </w:r>
      <w:r w:rsidR="008A63AB">
        <w:rPr>
          <w:sz w:val="24"/>
          <w:szCs w:val="24"/>
        </w:rPr>
        <w:t xml:space="preserve"> %</w:t>
      </w:r>
      <w:r w:rsidRPr="00B42C02">
        <w:rPr>
          <w:sz w:val="24"/>
          <w:szCs w:val="24"/>
        </w:rPr>
        <w:t xml:space="preserve"> til 76,7</w:t>
      </w:r>
      <w:r w:rsidR="008A63AB">
        <w:rPr>
          <w:sz w:val="24"/>
          <w:szCs w:val="24"/>
        </w:rPr>
        <w:t xml:space="preserve"> %</w:t>
      </w:r>
      <w:r w:rsidRPr="00B42C02">
        <w:rPr>
          <w:sz w:val="24"/>
          <w:szCs w:val="24"/>
        </w:rPr>
        <w:t xml:space="preserve">, med den laveste forekomst rapporteret når G-CSF-profylakse blev brugt. Tilsvarende varierede forekomsten af grad ≥3 febril </w:t>
      </w:r>
      <w:proofErr w:type="spellStart"/>
      <w:r w:rsidRPr="00B42C02">
        <w:rPr>
          <w:sz w:val="24"/>
          <w:szCs w:val="24"/>
        </w:rPr>
        <w:t>neutropeni</w:t>
      </w:r>
      <w:proofErr w:type="spellEnd"/>
      <w:r w:rsidRPr="00B42C02">
        <w:rPr>
          <w:sz w:val="24"/>
          <w:szCs w:val="24"/>
        </w:rPr>
        <w:t xml:space="preserve"> fra 3,2</w:t>
      </w:r>
      <w:r w:rsidR="008A63AB">
        <w:rPr>
          <w:sz w:val="24"/>
          <w:szCs w:val="24"/>
        </w:rPr>
        <w:t xml:space="preserve"> %</w:t>
      </w:r>
      <w:r w:rsidRPr="00B42C02">
        <w:rPr>
          <w:sz w:val="24"/>
          <w:szCs w:val="24"/>
        </w:rPr>
        <w:t xml:space="preserve"> til 8,6</w:t>
      </w:r>
      <w:r w:rsidR="008A63AB">
        <w:rPr>
          <w:sz w:val="24"/>
          <w:szCs w:val="24"/>
        </w:rPr>
        <w:t xml:space="preserve"> %</w:t>
      </w:r>
      <w:r w:rsidRPr="00B42C02">
        <w:rPr>
          <w:sz w:val="24"/>
          <w:szCs w:val="24"/>
        </w:rPr>
        <w:t xml:space="preserve">. </w:t>
      </w:r>
      <w:proofErr w:type="spellStart"/>
      <w:r w:rsidRPr="00B42C02">
        <w:rPr>
          <w:sz w:val="24"/>
          <w:szCs w:val="24"/>
        </w:rPr>
        <w:t>Neutropeniske</w:t>
      </w:r>
      <w:proofErr w:type="spellEnd"/>
      <w:r w:rsidRPr="00B42C02">
        <w:rPr>
          <w:sz w:val="24"/>
          <w:szCs w:val="24"/>
        </w:rPr>
        <w:t xml:space="preserve"> komplikationer (inklusiv febril </w:t>
      </w:r>
      <w:proofErr w:type="spellStart"/>
      <w:r w:rsidRPr="00B42C02">
        <w:rPr>
          <w:sz w:val="24"/>
          <w:szCs w:val="24"/>
        </w:rPr>
        <w:t>neutropeni</w:t>
      </w:r>
      <w:proofErr w:type="spellEnd"/>
      <w:r w:rsidRPr="00B42C02">
        <w:rPr>
          <w:sz w:val="24"/>
          <w:szCs w:val="24"/>
        </w:rPr>
        <w:t xml:space="preserve">, </w:t>
      </w:r>
      <w:proofErr w:type="spellStart"/>
      <w:r w:rsidRPr="00B42C02">
        <w:rPr>
          <w:sz w:val="24"/>
          <w:szCs w:val="24"/>
        </w:rPr>
        <w:t>neutropenisk</w:t>
      </w:r>
      <w:proofErr w:type="spellEnd"/>
      <w:r w:rsidRPr="00B42C02">
        <w:rPr>
          <w:sz w:val="24"/>
          <w:szCs w:val="24"/>
        </w:rPr>
        <w:t xml:space="preserve"> infektion/sepsis og </w:t>
      </w:r>
      <w:proofErr w:type="spellStart"/>
      <w:r w:rsidRPr="00B42C02">
        <w:rPr>
          <w:sz w:val="24"/>
          <w:szCs w:val="24"/>
        </w:rPr>
        <w:t>neutropen</w:t>
      </w:r>
      <w:proofErr w:type="spellEnd"/>
      <w:r w:rsidRPr="00B42C02">
        <w:rPr>
          <w:sz w:val="24"/>
          <w:szCs w:val="24"/>
        </w:rPr>
        <w:t xml:space="preserve"> colitis), som i nogle tilfælde resulterede i et dødeligt udfald, blev rapporteret hos 4,0</w:t>
      </w:r>
      <w:r w:rsidR="008A63AB">
        <w:rPr>
          <w:sz w:val="24"/>
          <w:szCs w:val="24"/>
        </w:rPr>
        <w:t xml:space="preserve"> %</w:t>
      </w:r>
      <w:r w:rsidRPr="00B42C02">
        <w:rPr>
          <w:sz w:val="24"/>
          <w:szCs w:val="24"/>
        </w:rPr>
        <w:t xml:space="preserve"> af patienterne, når primær G-CSF-profylakse blev anvendt, og ellers hos 12,8</w:t>
      </w:r>
      <w:r w:rsidR="008A63AB">
        <w:rPr>
          <w:sz w:val="24"/>
          <w:szCs w:val="24"/>
        </w:rPr>
        <w:t xml:space="preserve"> %</w:t>
      </w:r>
      <w:r w:rsidRPr="00B42C02">
        <w:rPr>
          <w:sz w:val="24"/>
          <w:szCs w:val="24"/>
        </w:rPr>
        <w:t xml:space="preserve"> af patienterne.</w:t>
      </w:r>
    </w:p>
    <w:p w:rsidR="00FD31A3" w:rsidRDefault="00FD31A3" w:rsidP="00FD31A3">
      <w:pPr>
        <w:ind w:left="851"/>
        <w:rPr>
          <w:i/>
          <w:iCs/>
          <w:sz w:val="24"/>
          <w:szCs w:val="24"/>
        </w:rPr>
      </w:pPr>
    </w:p>
    <w:p w:rsidR="00FD31A3" w:rsidRPr="006E699F" w:rsidRDefault="00FD31A3" w:rsidP="00FD31A3">
      <w:pPr>
        <w:ind w:left="851"/>
        <w:rPr>
          <w:i/>
          <w:iCs/>
          <w:sz w:val="24"/>
          <w:szCs w:val="24"/>
        </w:rPr>
      </w:pPr>
      <w:r w:rsidRPr="006E699F">
        <w:rPr>
          <w:i/>
          <w:iCs/>
          <w:sz w:val="24"/>
          <w:szCs w:val="24"/>
        </w:rPr>
        <w:t xml:space="preserve">Hjertelidelser og </w:t>
      </w:r>
      <w:proofErr w:type="spellStart"/>
      <w:r w:rsidRPr="006E699F">
        <w:rPr>
          <w:i/>
          <w:iCs/>
          <w:sz w:val="24"/>
          <w:szCs w:val="24"/>
        </w:rPr>
        <w:t>arytmier</w:t>
      </w:r>
      <w:proofErr w:type="spellEnd"/>
    </w:p>
    <w:p w:rsidR="00FD31A3" w:rsidRPr="006E699F" w:rsidRDefault="00FD31A3" w:rsidP="00FD31A3">
      <w:pPr>
        <w:ind w:left="851"/>
        <w:rPr>
          <w:sz w:val="24"/>
          <w:szCs w:val="24"/>
        </w:rPr>
      </w:pPr>
      <w:r w:rsidRPr="005915CD">
        <w:rPr>
          <w:sz w:val="24"/>
          <w:szCs w:val="24"/>
        </w:rPr>
        <w:t>I den samlede analyse var hjertetilfælde rapporteret hos 5,5</w:t>
      </w:r>
      <w:r w:rsidR="008A63AB">
        <w:rPr>
          <w:sz w:val="24"/>
          <w:szCs w:val="24"/>
        </w:rPr>
        <w:t xml:space="preserve"> %</w:t>
      </w:r>
      <w:r w:rsidRPr="005915CD">
        <w:rPr>
          <w:sz w:val="24"/>
          <w:szCs w:val="24"/>
        </w:rPr>
        <w:t xml:space="preserve"> af patienterne, hvoraf 1,1</w:t>
      </w:r>
      <w:r w:rsidR="008A63AB">
        <w:rPr>
          <w:sz w:val="24"/>
          <w:szCs w:val="24"/>
        </w:rPr>
        <w:t xml:space="preserve"> %</w:t>
      </w:r>
      <w:r w:rsidRPr="005915CD">
        <w:rPr>
          <w:sz w:val="24"/>
          <w:szCs w:val="24"/>
        </w:rPr>
        <w:t xml:space="preserve"> havde grad ≥3 </w:t>
      </w:r>
      <w:proofErr w:type="spellStart"/>
      <w:r w:rsidRPr="005915CD">
        <w:rPr>
          <w:sz w:val="24"/>
          <w:szCs w:val="24"/>
        </w:rPr>
        <w:t>hjertearytmier</w:t>
      </w:r>
      <w:proofErr w:type="spellEnd"/>
      <w:r w:rsidRPr="005915CD">
        <w:rPr>
          <w:sz w:val="24"/>
          <w:szCs w:val="24"/>
        </w:rPr>
        <w:t xml:space="preserve">. Forekomsten af </w:t>
      </w:r>
      <w:proofErr w:type="spellStart"/>
      <w:r w:rsidRPr="005915CD">
        <w:rPr>
          <w:sz w:val="24"/>
          <w:szCs w:val="24"/>
        </w:rPr>
        <w:t>takykardi</w:t>
      </w:r>
      <w:proofErr w:type="spellEnd"/>
      <w:r w:rsidRPr="005915CD">
        <w:rPr>
          <w:sz w:val="24"/>
          <w:szCs w:val="24"/>
        </w:rPr>
        <w:t xml:space="preserve"> for </w:t>
      </w:r>
      <w:proofErr w:type="spellStart"/>
      <w:r w:rsidRPr="005915CD">
        <w:rPr>
          <w:sz w:val="24"/>
          <w:szCs w:val="24"/>
        </w:rPr>
        <w:t>cabaziataxel</w:t>
      </w:r>
      <w:proofErr w:type="spellEnd"/>
      <w:r w:rsidRPr="005915CD">
        <w:rPr>
          <w:sz w:val="24"/>
          <w:szCs w:val="24"/>
        </w:rPr>
        <w:t xml:space="preserve"> var 1,0</w:t>
      </w:r>
      <w:r w:rsidR="008A63AB">
        <w:rPr>
          <w:sz w:val="24"/>
          <w:szCs w:val="24"/>
        </w:rPr>
        <w:t xml:space="preserve"> %</w:t>
      </w:r>
      <w:r w:rsidRPr="005915CD">
        <w:rPr>
          <w:sz w:val="24"/>
          <w:szCs w:val="24"/>
        </w:rPr>
        <w:t>, hvoraf mindre end 0,1</w:t>
      </w:r>
      <w:r w:rsidR="008A63AB">
        <w:rPr>
          <w:sz w:val="24"/>
          <w:szCs w:val="24"/>
        </w:rPr>
        <w:t xml:space="preserve"> %</w:t>
      </w:r>
      <w:r w:rsidRPr="005915CD">
        <w:rPr>
          <w:sz w:val="24"/>
          <w:szCs w:val="24"/>
        </w:rPr>
        <w:t xml:space="preserve"> var grad </w:t>
      </w:r>
      <w:r w:rsidRPr="005915CD">
        <w:rPr>
          <w:sz w:val="24"/>
          <w:szCs w:val="24"/>
        </w:rPr>
        <w:sym w:font="Symbol" w:char="F0B3"/>
      </w:r>
      <w:r w:rsidRPr="005915CD">
        <w:rPr>
          <w:sz w:val="24"/>
          <w:szCs w:val="24"/>
        </w:rPr>
        <w:t>3. Forekomsten af atrieflimren var 1,3</w:t>
      </w:r>
      <w:r w:rsidR="008A63AB">
        <w:rPr>
          <w:sz w:val="24"/>
          <w:szCs w:val="24"/>
        </w:rPr>
        <w:t xml:space="preserve"> %</w:t>
      </w:r>
      <w:r w:rsidRPr="005915CD">
        <w:rPr>
          <w:sz w:val="24"/>
          <w:szCs w:val="24"/>
        </w:rPr>
        <w:t>. Tilfælde med hjertesvigt var rapporteret hos 2 patienter (0,2</w:t>
      </w:r>
      <w:r w:rsidR="008A63AB">
        <w:rPr>
          <w:sz w:val="24"/>
          <w:szCs w:val="24"/>
        </w:rPr>
        <w:t xml:space="preserve"> %</w:t>
      </w:r>
      <w:r w:rsidRPr="005915CD">
        <w:rPr>
          <w:sz w:val="24"/>
          <w:szCs w:val="24"/>
        </w:rPr>
        <w:t>), hvor en resulterede i et dødeligt udfald. Dødelig ventrikelflimren blev rapporteret for 1 patient (0,3</w:t>
      </w:r>
      <w:r w:rsidR="008A63AB">
        <w:rPr>
          <w:sz w:val="24"/>
          <w:szCs w:val="24"/>
        </w:rPr>
        <w:t xml:space="preserve"> %</w:t>
      </w:r>
      <w:r w:rsidRPr="005915CD">
        <w:rPr>
          <w:sz w:val="24"/>
          <w:szCs w:val="24"/>
        </w:rPr>
        <w:t>) og hjertestop for 3 patienter (0,5</w:t>
      </w:r>
      <w:r w:rsidR="008A63AB">
        <w:rPr>
          <w:sz w:val="24"/>
          <w:szCs w:val="24"/>
        </w:rPr>
        <w:t xml:space="preserve"> %</w:t>
      </w:r>
      <w:r w:rsidRPr="005915CD">
        <w:rPr>
          <w:sz w:val="24"/>
          <w:szCs w:val="24"/>
        </w:rPr>
        <w:t xml:space="preserve">). Ingen af tilfældene blev anset som relateret af </w:t>
      </w:r>
      <w:proofErr w:type="spellStart"/>
      <w:r w:rsidRPr="005915CD">
        <w:rPr>
          <w:sz w:val="24"/>
          <w:szCs w:val="24"/>
        </w:rPr>
        <w:t>investigatoren</w:t>
      </w:r>
      <w:proofErr w:type="spellEnd"/>
      <w:r w:rsidRPr="005915CD">
        <w:rPr>
          <w:sz w:val="24"/>
          <w:szCs w:val="24"/>
        </w:rPr>
        <w:t>.</w:t>
      </w:r>
    </w:p>
    <w:p w:rsidR="00FD31A3" w:rsidRPr="006E699F" w:rsidRDefault="00FD31A3" w:rsidP="00FD31A3">
      <w:pPr>
        <w:ind w:left="851"/>
        <w:rPr>
          <w:sz w:val="24"/>
          <w:szCs w:val="24"/>
        </w:rPr>
      </w:pPr>
    </w:p>
    <w:p w:rsidR="00FD31A3" w:rsidRPr="006E699F" w:rsidRDefault="00FD31A3" w:rsidP="00FD31A3">
      <w:pPr>
        <w:ind w:left="851"/>
        <w:rPr>
          <w:i/>
          <w:iCs/>
          <w:sz w:val="24"/>
          <w:szCs w:val="24"/>
        </w:rPr>
      </w:pPr>
      <w:r w:rsidRPr="006E699F">
        <w:rPr>
          <w:i/>
          <w:iCs/>
          <w:sz w:val="24"/>
          <w:szCs w:val="24"/>
        </w:rPr>
        <w:t>Hæmaturi</w:t>
      </w:r>
    </w:p>
    <w:p w:rsidR="00FD31A3" w:rsidRDefault="00FD31A3" w:rsidP="00FD31A3">
      <w:pPr>
        <w:ind w:left="851"/>
        <w:rPr>
          <w:sz w:val="24"/>
          <w:szCs w:val="24"/>
        </w:rPr>
      </w:pPr>
      <w:r w:rsidRPr="005D72F9">
        <w:rPr>
          <w:sz w:val="24"/>
          <w:szCs w:val="24"/>
        </w:rPr>
        <w:t>I den samlede analyse var hæmaturi, ved alle grad frekvenser, 18,8</w:t>
      </w:r>
      <w:r w:rsidR="008A63AB">
        <w:rPr>
          <w:sz w:val="24"/>
          <w:szCs w:val="24"/>
        </w:rPr>
        <w:t xml:space="preserve"> %</w:t>
      </w:r>
      <w:r w:rsidRPr="005D72F9">
        <w:rPr>
          <w:sz w:val="24"/>
          <w:szCs w:val="24"/>
        </w:rPr>
        <w:t xml:space="preserve"> ved 25 mg/m</w:t>
      </w:r>
      <w:r w:rsidRPr="00B42C02">
        <w:rPr>
          <w:sz w:val="24"/>
          <w:szCs w:val="24"/>
          <w:vertAlign w:val="superscript"/>
        </w:rPr>
        <w:t>2</w:t>
      </w:r>
      <w:r w:rsidRPr="005D72F9">
        <w:rPr>
          <w:sz w:val="24"/>
          <w:szCs w:val="24"/>
        </w:rPr>
        <w:t xml:space="preserve"> (se pkt. 5.1). Konfunderende årsager når dokumenteret, såsom sygdomsprogression, instrumentering, infektion eller behandling med </w:t>
      </w:r>
      <w:proofErr w:type="spellStart"/>
      <w:r w:rsidRPr="005D72F9">
        <w:rPr>
          <w:sz w:val="24"/>
          <w:szCs w:val="24"/>
        </w:rPr>
        <w:t>antikoagulans</w:t>
      </w:r>
      <w:proofErr w:type="spellEnd"/>
      <w:r w:rsidRPr="005D72F9">
        <w:rPr>
          <w:sz w:val="24"/>
          <w:szCs w:val="24"/>
        </w:rPr>
        <w:t>/NSAID/acetylsalicylsyre blev identificeret i næsten halvdelen af tilfældene.</w:t>
      </w:r>
    </w:p>
    <w:p w:rsidR="00FD31A3" w:rsidRPr="006E699F" w:rsidRDefault="00FD31A3" w:rsidP="00FD31A3">
      <w:pPr>
        <w:ind w:left="851"/>
        <w:rPr>
          <w:sz w:val="24"/>
          <w:szCs w:val="24"/>
        </w:rPr>
      </w:pPr>
    </w:p>
    <w:p w:rsidR="00FD31A3" w:rsidRPr="006E699F" w:rsidRDefault="00FD31A3" w:rsidP="00FD31A3">
      <w:pPr>
        <w:ind w:left="851"/>
        <w:rPr>
          <w:i/>
          <w:iCs/>
          <w:sz w:val="24"/>
          <w:szCs w:val="24"/>
        </w:rPr>
      </w:pPr>
      <w:r w:rsidRPr="006E699F">
        <w:rPr>
          <w:i/>
          <w:iCs/>
          <w:sz w:val="24"/>
          <w:szCs w:val="24"/>
        </w:rPr>
        <w:t>Andre laboratorieabnormiteter</w:t>
      </w:r>
    </w:p>
    <w:p w:rsidR="00FD31A3" w:rsidRDefault="00FD31A3" w:rsidP="00FD31A3">
      <w:pPr>
        <w:ind w:left="851"/>
        <w:rPr>
          <w:sz w:val="24"/>
          <w:szCs w:val="24"/>
        </w:rPr>
      </w:pPr>
      <w:r w:rsidRPr="005D72F9">
        <w:rPr>
          <w:sz w:val="24"/>
          <w:szCs w:val="24"/>
        </w:rPr>
        <w:t>I den samlede analyse var forekomsten af grad ≥3 anæmi, forhøjet ASAT, ALAT og bilirubin baseret på laboratorieabnormiteter var henholdsvis 12,0</w:t>
      </w:r>
      <w:r w:rsidR="008A63AB">
        <w:rPr>
          <w:sz w:val="24"/>
          <w:szCs w:val="24"/>
        </w:rPr>
        <w:t xml:space="preserve"> %</w:t>
      </w:r>
      <w:r w:rsidRPr="005D72F9">
        <w:rPr>
          <w:sz w:val="24"/>
          <w:szCs w:val="24"/>
        </w:rPr>
        <w:t>, 1,3</w:t>
      </w:r>
      <w:r w:rsidR="008A63AB">
        <w:rPr>
          <w:sz w:val="24"/>
          <w:szCs w:val="24"/>
        </w:rPr>
        <w:t xml:space="preserve"> %</w:t>
      </w:r>
      <w:r w:rsidRPr="005D72F9">
        <w:rPr>
          <w:sz w:val="24"/>
          <w:szCs w:val="24"/>
        </w:rPr>
        <w:t>, 1,0</w:t>
      </w:r>
      <w:r w:rsidR="008A63AB">
        <w:rPr>
          <w:sz w:val="24"/>
          <w:szCs w:val="24"/>
        </w:rPr>
        <w:t xml:space="preserve"> %</w:t>
      </w:r>
      <w:r w:rsidRPr="005D72F9">
        <w:rPr>
          <w:sz w:val="24"/>
          <w:szCs w:val="24"/>
        </w:rPr>
        <w:t xml:space="preserve"> og 0,5</w:t>
      </w:r>
      <w:r w:rsidR="00F37F45">
        <w:rPr>
          <w:sz w:val="24"/>
          <w:szCs w:val="24"/>
        </w:rPr>
        <w:t> </w:t>
      </w:r>
      <w:r w:rsidR="008A63AB">
        <w:rPr>
          <w:sz w:val="24"/>
          <w:szCs w:val="24"/>
        </w:rPr>
        <w:t>%</w:t>
      </w:r>
      <w:r w:rsidRPr="005D72F9">
        <w:rPr>
          <w:sz w:val="24"/>
          <w:szCs w:val="24"/>
        </w:rPr>
        <w:t>.</w:t>
      </w:r>
    </w:p>
    <w:p w:rsidR="006E699F" w:rsidRPr="006E699F" w:rsidRDefault="006E699F" w:rsidP="006E699F">
      <w:pPr>
        <w:ind w:left="851"/>
        <w:rPr>
          <w:sz w:val="24"/>
          <w:szCs w:val="24"/>
        </w:rPr>
      </w:pPr>
    </w:p>
    <w:p w:rsidR="006E699F" w:rsidRPr="006E699F" w:rsidRDefault="006E699F" w:rsidP="006E699F">
      <w:pPr>
        <w:ind w:left="851"/>
        <w:rPr>
          <w:i/>
          <w:iCs/>
          <w:sz w:val="24"/>
          <w:szCs w:val="24"/>
        </w:rPr>
      </w:pPr>
      <w:proofErr w:type="spellStart"/>
      <w:r w:rsidRPr="006E699F">
        <w:rPr>
          <w:i/>
          <w:iCs/>
          <w:sz w:val="24"/>
          <w:szCs w:val="24"/>
        </w:rPr>
        <w:t>Gastrointestinale</w:t>
      </w:r>
      <w:proofErr w:type="spellEnd"/>
      <w:r w:rsidRPr="006E699F">
        <w:rPr>
          <w:i/>
          <w:iCs/>
          <w:sz w:val="24"/>
          <w:szCs w:val="24"/>
        </w:rPr>
        <w:t xml:space="preserve"> lidelser</w:t>
      </w:r>
    </w:p>
    <w:p w:rsidR="00D507B8" w:rsidRPr="00D507B8" w:rsidRDefault="00D507B8" w:rsidP="003A323E">
      <w:pPr>
        <w:ind w:left="851"/>
        <w:rPr>
          <w:sz w:val="24"/>
          <w:szCs w:val="24"/>
        </w:rPr>
      </w:pPr>
      <w:r w:rsidRPr="00D507B8">
        <w:rPr>
          <w:sz w:val="24"/>
          <w:szCs w:val="24"/>
        </w:rPr>
        <w:t>Colitis</w:t>
      </w:r>
      <w:r w:rsidR="003A323E">
        <w:rPr>
          <w:sz w:val="24"/>
          <w:szCs w:val="24"/>
        </w:rPr>
        <w:t xml:space="preserve">, </w:t>
      </w:r>
      <w:proofErr w:type="spellStart"/>
      <w:r w:rsidRPr="00D507B8">
        <w:rPr>
          <w:sz w:val="24"/>
          <w:szCs w:val="24"/>
        </w:rPr>
        <w:t>enterocolitis</w:t>
      </w:r>
      <w:proofErr w:type="spellEnd"/>
      <w:r w:rsidR="00403082">
        <w:rPr>
          <w:sz w:val="24"/>
          <w:szCs w:val="24"/>
        </w:rPr>
        <w:t>, gastritis</w:t>
      </w:r>
      <w:r w:rsidRPr="00D507B8">
        <w:rPr>
          <w:sz w:val="24"/>
          <w:szCs w:val="24"/>
        </w:rPr>
        <w:t xml:space="preserve"> og </w:t>
      </w:r>
      <w:proofErr w:type="spellStart"/>
      <w:r w:rsidRPr="00D507B8">
        <w:rPr>
          <w:sz w:val="24"/>
          <w:szCs w:val="24"/>
        </w:rPr>
        <w:t>neutropenisk</w:t>
      </w:r>
      <w:proofErr w:type="spellEnd"/>
      <w:r w:rsidRPr="00D507B8">
        <w:rPr>
          <w:sz w:val="24"/>
          <w:szCs w:val="24"/>
        </w:rPr>
        <w:t xml:space="preserve"> </w:t>
      </w:r>
      <w:proofErr w:type="spellStart"/>
      <w:r w:rsidRPr="00D507B8">
        <w:rPr>
          <w:sz w:val="24"/>
          <w:szCs w:val="24"/>
        </w:rPr>
        <w:t>enterocolitis</w:t>
      </w:r>
      <w:proofErr w:type="spellEnd"/>
      <w:r w:rsidRPr="00D507B8">
        <w:rPr>
          <w:sz w:val="24"/>
          <w:szCs w:val="24"/>
        </w:rPr>
        <w:t xml:space="preserve"> er blevet observeret. </w:t>
      </w:r>
      <w:proofErr w:type="spellStart"/>
      <w:r w:rsidRPr="00D507B8">
        <w:rPr>
          <w:sz w:val="24"/>
          <w:szCs w:val="24"/>
        </w:rPr>
        <w:t>Gastrointestinal</w:t>
      </w:r>
      <w:proofErr w:type="spellEnd"/>
      <w:r w:rsidRPr="00D507B8">
        <w:rPr>
          <w:sz w:val="24"/>
          <w:szCs w:val="24"/>
        </w:rPr>
        <w:t xml:space="preserve"> blødning</w:t>
      </w:r>
      <w:r w:rsidR="00C14F73">
        <w:rPr>
          <w:sz w:val="24"/>
          <w:szCs w:val="24"/>
        </w:rPr>
        <w:t xml:space="preserve"> og</w:t>
      </w:r>
      <w:r w:rsidRPr="00D507B8">
        <w:rPr>
          <w:sz w:val="24"/>
          <w:szCs w:val="24"/>
        </w:rPr>
        <w:t xml:space="preserve"> perforation</w:t>
      </w:r>
      <w:r w:rsidR="00C14F73">
        <w:rPr>
          <w:sz w:val="24"/>
          <w:szCs w:val="24"/>
        </w:rPr>
        <w:t xml:space="preserve">, </w:t>
      </w:r>
      <w:proofErr w:type="spellStart"/>
      <w:r w:rsidRPr="00D507B8">
        <w:rPr>
          <w:sz w:val="24"/>
          <w:szCs w:val="24"/>
        </w:rPr>
        <w:t>ileus</w:t>
      </w:r>
      <w:proofErr w:type="spellEnd"/>
      <w:r w:rsidRPr="00D507B8">
        <w:rPr>
          <w:sz w:val="24"/>
          <w:szCs w:val="24"/>
        </w:rPr>
        <w:t xml:space="preserve"> </w:t>
      </w:r>
      <w:r w:rsidR="00C14F73">
        <w:rPr>
          <w:sz w:val="24"/>
          <w:szCs w:val="24"/>
        </w:rPr>
        <w:t xml:space="preserve">og </w:t>
      </w:r>
      <w:proofErr w:type="spellStart"/>
      <w:r w:rsidRPr="00D507B8">
        <w:rPr>
          <w:sz w:val="24"/>
          <w:szCs w:val="24"/>
        </w:rPr>
        <w:t>intestinal</w:t>
      </w:r>
      <w:proofErr w:type="spellEnd"/>
      <w:r w:rsidRPr="00D507B8">
        <w:rPr>
          <w:sz w:val="24"/>
          <w:szCs w:val="24"/>
        </w:rPr>
        <w:t xml:space="preserve"> obstruktion er også blevet rapporteret (se pkt. 4.4).</w:t>
      </w:r>
    </w:p>
    <w:p w:rsidR="00D507B8" w:rsidRPr="006E699F" w:rsidRDefault="00D507B8" w:rsidP="006E699F">
      <w:pPr>
        <w:ind w:left="851"/>
        <w:rPr>
          <w:sz w:val="24"/>
          <w:szCs w:val="24"/>
        </w:rPr>
      </w:pPr>
    </w:p>
    <w:p w:rsidR="006E699F" w:rsidRPr="006E699F" w:rsidRDefault="006E699F" w:rsidP="006E699F">
      <w:pPr>
        <w:ind w:left="851"/>
        <w:rPr>
          <w:i/>
          <w:iCs/>
          <w:sz w:val="24"/>
          <w:szCs w:val="24"/>
        </w:rPr>
      </w:pPr>
      <w:r w:rsidRPr="006E699F">
        <w:rPr>
          <w:i/>
          <w:iCs/>
          <w:sz w:val="24"/>
          <w:szCs w:val="24"/>
        </w:rPr>
        <w:t>Respiratoriske sygdomme</w:t>
      </w:r>
    </w:p>
    <w:p w:rsidR="006E699F" w:rsidRPr="006E699F" w:rsidRDefault="006E699F" w:rsidP="006E699F">
      <w:pPr>
        <w:ind w:left="851"/>
        <w:rPr>
          <w:sz w:val="24"/>
          <w:szCs w:val="24"/>
        </w:rPr>
      </w:pPr>
      <w:r w:rsidRPr="006E699F">
        <w:rPr>
          <w:sz w:val="24"/>
          <w:szCs w:val="24"/>
        </w:rPr>
        <w:t xml:space="preserve">Der er rapporteret om tilfælde af </w:t>
      </w:r>
      <w:proofErr w:type="spellStart"/>
      <w:r w:rsidRPr="006E699F">
        <w:rPr>
          <w:sz w:val="24"/>
          <w:szCs w:val="24"/>
        </w:rPr>
        <w:t>interstitiel</w:t>
      </w:r>
      <w:proofErr w:type="spellEnd"/>
      <w:r w:rsidRPr="006E699F">
        <w:rPr>
          <w:sz w:val="24"/>
          <w:szCs w:val="24"/>
        </w:rPr>
        <w:t xml:space="preserve"> pneumoni/pneumonitis og </w:t>
      </w:r>
      <w:proofErr w:type="spellStart"/>
      <w:r w:rsidRPr="006E699F">
        <w:rPr>
          <w:sz w:val="24"/>
          <w:szCs w:val="24"/>
        </w:rPr>
        <w:t>interstitiel</w:t>
      </w:r>
      <w:proofErr w:type="spellEnd"/>
      <w:r w:rsidRPr="006E699F">
        <w:rPr>
          <w:sz w:val="24"/>
          <w:szCs w:val="24"/>
        </w:rPr>
        <w:t xml:space="preserve"> lungesygdom, i nogle tilfælde med dødeligt udfald med ukendt frekvens (kan ikke estimeres ud fra forhåndenværende data) (se pkt. 4.4).</w:t>
      </w:r>
    </w:p>
    <w:p w:rsidR="006E699F" w:rsidRPr="006E699F" w:rsidRDefault="006E699F" w:rsidP="006E699F">
      <w:pPr>
        <w:ind w:left="851"/>
        <w:rPr>
          <w:sz w:val="24"/>
          <w:szCs w:val="24"/>
        </w:rPr>
      </w:pPr>
    </w:p>
    <w:p w:rsidR="006E699F" w:rsidRPr="006E699F" w:rsidRDefault="006E699F" w:rsidP="006E699F">
      <w:pPr>
        <w:ind w:left="851"/>
        <w:rPr>
          <w:i/>
          <w:iCs/>
          <w:sz w:val="24"/>
          <w:szCs w:val="24"/>
        </w:rPr>
      </w:pPr>
      <w:r w:rsidRPr="006E699F">
        <w:rPr>
          <w:i/>
          <w:iCs/>
          <w:sz w:val="24"/>
          <w:szCs w:val="24"/>
        </w:rPr>
        <w:t>Lidelser i nyrer og urinveje</w:t>
      </w:r>
    </w:p>
    <w:p w:rsidR="006E699F" w:rsidRPr="006E699F" w:rsidRDefault="006E699F" w:rsidP="006E699F">
      <w:pPr>
        <w:ind w:left="851"/>
        <w:rPr>
          <w:sz w:val="24"/>
          <w:szCs w:val="24"/>
        </w:rPr>
      </w:pPr>
      <w:r w:rsidRPr="006E699F">
        <w:rPr>
          <w:sz w:val="24"/>
          <w:szCs w:val="24"/>
        </w:rPr>
        <w:t xml:space="preserve">Cystitis, som skyldes radiation </w:t>
      </w:r>
      <w:proofErr w:type="spellStart"/>
      <w:r w:rsidRPr="006E699F">
        <w:rPr>
          <w:sz w:val="24"/>
          <w:szCs w:val="24"/>
        </w:rPr>
        <w:t>recall</w:t>
      </w:r>
      <w:proofErr w:type="spellEnd"/>
      <w:r w:rsidRPr="006E699F">
        <w:rPr>
          <w:sz w:val="24"/>
          <w:szCs w:val="24"/>
        </w:rPr>
        <w:t xml:space="preserve"> fænomen herunder </w:t>
      </w:r>
      <w:proofErr w:type="spellStart"/>
      <w:r w:rsidRPr="006E699F">
        <w:rPr>
          <w:sz w:val="24"/>
          <w:szCs w:val="24"/>
        </w:rPr>
        <w:t>hæmoragisk</w:t>
      </w:r>
      <w:proofErr w:type="spellEnd"/>
      <w:r w:rsidRPr="006E699F">
        <w:rPr>
          <w:sz w:val="24"/>
          <w:szCs w:val="24"/>
        </w:rPr>
        <w:t xml:space="preserve"> cystitis, er rapporteret som ikke almindelig.</w:t>
      </w:r>
    </w:p>
    <w:p w:rsidR="006E699F" w:rsidRPr="006E699F" w:rsidRDefault="006E699F" w:rsidP="006E699F">
      <w:pPr>
        <w:ind w:left="851"/>
        <w:rPr>
          <w:sz w:val="24"/>
          <w:szCs w:val="24"/>
        </w:rPr>
      </w:pPr>
    </w:p>
    <w:p w:rsidR="006E699F" w:rsidRPr="006E699F" w:rsidRDefault="006E699F" w:rsidP="006E699F">
      <w:pPr>
        <w:ind w:left="851"/>
        <w:rPr>
          <w:sz w:val="24"/>
          <w:szCs w:val="24"/>
          <w:u w:val="single"/>
        </w:rPr>
      </w:pPr>
      <w:r w:rsidRPr="006E699F">
        <w:rPr>
          <w:sz w:val="24"/>
          <w:szCs w:val="24"/>
          <w:u w:val="single"/>
        </w:rPr>
        <w:t>Pædiatrisk population</w:t>
      </w:r>
    </w:p>
    <w:p w:rsidR="006E699F" w:rsidRPr="006E699F" w:rsidRDefault="006E699F" w:rsidP="006E699F">
      <w:pPr>
        <w:ind w:left="851"/>
        <w:rPr>
          <w:sz w:val="24"/>
          <w:szCs w:val="24"/>
        </w:rPr>
      </w:pPr>
      <w:r w:rsidRPr="006E699F">
        <w:rPr>
          <w:sz w:val="24"/>
          <w:szCs w:val="24"/>
        </w:rPr>
        <w:t>Se pkt. 4.2</w:t>
      </w:r>
      <w:r w:rsidR="00FF7F84">
        <w:rPr>
          <w:sz w:val="24"/>
          <w:szCs w:val="24"/>
        </w:rPr>
        <w:t>.</w:t>
      </w:r>
    </w:p>
    <w:p w:rsidR="006E699F" w:rsidRPr="006E699F" w:rsidRDefault="006E699F" w:rsidP="006E699F">
      <w:pPr>
        <w:ind w:left="851"/>
        <w:rPr>
          <w:sz w:val="24"/>
          <w:szCs w:val="24"/>
        </w:rPr>
      </w:pPr>
    </w:p>
    <w:p w:rsidR="006E699F" w:rsidRPr="006E699F" w:rsidRDefault="006E699F" w:rsidP="006E699F">
      <w:pPr>
        <w:ind w:left="851"/>
        <w:rPr>
          <w:sz w:val="24"/>
          <w:szCs w:val="24"/>
          <w:u w:val="single"/>
        </w:rPr>
      </w:pPr>
      <w:r w:rsidRPr="006E699F">
        <w:rPr>
          <w:sz w:val="24"/>
          <w:szCs w:val="24"/>
          <w:u w:val="single"/>
        </w:rPr>
        <w:t>Andre særlige populationer</w:t>
      </w:r>
    </w:p>
    <w:p w:rsidR="006E699F" w:rsidRPr="006E699F" w:rsidRDefault="006E699F" w:rsidP="006E699F">
      <w:pPr>
        <w:ind w:left="851"/>
        <w:rPr>
          <w:sz w:val="24"/>
          <w:szCs w:val="24"/>
        </w:rPr>
      </w:pPr>
    </w:p>
    <w:p w:rsidR="006E699F" w:rsidRPr="006E699F" w:rsidRDefault="006E699F" w:rsidP="006E699F">
      <w:pPr>
        <w:ind w:left="851"/>
        <w:rPr>
          <w:i/>
          <w:iCs/>
          <w:sz w:val="24"/>
          <w:szCs w:val="24"/>
        </w:rPr>
      </w:pPr>
      <w:r w:rsidRPr="006E699F">
        <w:rPr>
          <w:i/>
          <w:iCs/>
          <w:sz w:val="24"/>
          <w:szCs w:val="24"/>
        </w:rPr>
        <w:t>Ældre</w:t>
      </w:r>
    </w:p>
    <w:p w:rsidR="006C78A7" w:rsidRDefault="006C78A7" w:rsidP="006C78A7">
      <w:pPr>
        <w:ind w:left="851"/>
        <w:rPr>
          <w:sz w:val="24"/>
          <w:szCs w:val="24"/>
        </w:rPr>
      </w:pPr>
      <w:r w:rsidRPr="00632B3D">
        <w:rPr>
          <w:sz w:val="24"/>
          <w:szCs w:val="24"/>
        </w:rPr>
        <w:t xml:space="preserve">Af de 1092 patienter, som blev behandlet med </w:t>
      </w:r>
      <w:proofErr w:type="spellStart"/>
      <w:r w:rsidRPr="00632B3D">
        <w:rPr>
          <w:sz w:val="24"/>
          <w:szCs w:val="24"/>
        </w:rPr>
        <w:t>cabazitaxel</w:t>
      </w:r>
      <w:proofErr w:type="spellEnd"/>
      <w:r w:rsidRPr="00632B3D">
        <w:rPr>
          <w:sz w:val="24"/>
          <w:szCs w:val="24"/>
        </w:rPr>
        <w:t xml:space="preserve"> 25 mg/m</w:t>
      </w:r>
      <w:r>
        <w:rPr>
          <w:sz w:val="24"/>
          <w:szCs w:val="24"/>
          <w:vertAlign w:val="superscript"/>
        </w:rPr>
        <w:t>2</w:t>
      </w:r>
      <w:r w:rsidRPr="00632B3D">
        <w:rPr>
          <w:sz w:val="24"/>
          <w:szCs w:val="24"/>
        </w:rPr>
        <w:t xml:space="preserve"> i</w:t>
      </w:r>
      <w:r>
        <w:rPr>
          <w:sz w:val="24"/>
          <w:szCs w:val="24"/>
        </w:rPr>
        <w:t xml:space="preserve"> </w:t>
      </w:r>
      <w:r w:rsidRPr="00632B3D">
        <w:rPr>
          <w:sz w:val="24"/>
          <w:szCs w:val="24"/>
        </w:rPr>
        <w:t>prostatacancer</w:t>
      </w:r>
      <w:r>
        <w:rPr>
          <w:sz w:val="24"/>
          <w:szCs w:val="24"/>
        </w:rPr>
        <w:t>-</w:t>
      </w:r>
      <w:r w:rsidRPr="00632B3D">
        <w:rPr>
          <w:sz w:val="24"/>
          <w:szCs w:val="24"/>
        </w:rPr>
        <w:t>studierne, var 755 patienter 65 år eller derover, inklusiv 238 patienter, som var ældre end 75 år. Følgende ikke-hæmatologiske bivirkninger, der blev rapporteret med hyppigheder var ≥5</w:t>
      </w:r>
      <w:r w:rsidR="008A63AB">
        <w:rPr>
          <w:sz w:val="24"/>
          <w:szCs w:val="24"/>
        </w:rPr>
        <w:t xml:space="preserve"> %</w:t>
      </w:r>
      <w:r w:rsidRPr="00632B3D">
        <w:rPr>
          <w:sz w:val="24"/>
          <w:szCs w:val="24"/>
        </w:rPr>
        <w:t xml:space="preserve"> højere hos patienter i aldersgruppen 65 år og derover sammenlignet med yngre patienter: træthed (33,5</w:t>
      </w:r>
      <w:r w:rsidR="008A63AB">
        <w:rPr>
          <w:sz w:val="24"/>
          <w:szCs w:val="24"/>
        </w:rPr>
        <w:t xml:space="preserve"> %</w:t>
      </w:r>
      <w:r w:rsidRPr="00632B3D">
        <w:rPr>
          <w:sz w:val="24"/>
          <w:szCs w:val="24"/>
        </w:rPr>
        <w:t xml:space="preserve"> versus 23,7</w:t>
      </w:r>
      <w:r w:rsidR="008A63AB">
        <w:rPr>
          <w:sz w:val="24"/>
          <w:szCs w:val="24"/>
        </w:rPr>
        <w:t xml:space="preserve"> %</w:t>
      </w:r>
      <w:r w:rsidRPr="00632B3D">
        <w:rPr>
          <w:sz w:val="24"/>
          <w:szCs w:val="24"/>
        </w:rPr>
        <w:t>), asteni (23,7</w:t>
      </w:r>
      <w:r w:rsidR="008A63AB">
        <w:rPr>
          <w:sz w:val="24"/>
          <w:szCs w:val="24"/>
        </w:rPr>
        <w:t xml:space="preserve"> %</w:t>
      </w:r>
      <w:r w:rsidRPr="00632B3D">
        <w:rPr>
          <w:sz w:val="24"/>
          <w:szCs w:val="24"/>
        </w:rPr>
        <w:t xml:space="preserve"> versus 14,2</w:t>
      </w:r>
      <w:r w:rsidR="008A63AB">
        <w:rPr>
          <w:sz w:val="24"/>
          <w:szCs w:val="24"/>
        </w:rPr>
        <w:t xml:space="preserve"> %</w:t>
      </w:r>
      <w:r w:rsidRPr="00632B3D">
        <w:rPr>
          <w:sz w:val="24"/>
          <w:szCs w:val="24"/>
        </w:rPr>
        <w:t>), forstoppelse (20,4</w:t>
      </w:r>
      <w:r w:rsidR="008A63AB">
        <w:rPr>
          <w:sz w:val="24"/>
          <w:szCs w:val="24"/>
        </w:rPr>
        <w:t xml:space="preserve"> %</w:t>
      </w:r>
      <w:r w:rsidRPr="00632B3D">
        <w:rPr>
          <w:sz w:val="24"/>
          <w:szCs w:val="24"/>
        </w:rPr>
        <w:t xml:space="preserve"> versus 14,2</w:t>
      </w:r>
      <w:r w:rsidR="008A63AB">
        <w:rPr>
          <w:sz w:val="24"/>
          <w:szCs w:val="24"/>
        </w:rPr>
        <w:t xml:space="preserve"> %</w:t>
      </w:r>
      <w:r w:rsidRPr="00632B3D">
        <w:rPr>
          <w:sz w:val="24"/>
          <w:szCs w:val="24"/>
        </w:rPr>
        <w:t>), dyspnø (10,3</w:t>
      </w:r>
      <w:r w:rsidR="008A63AB">
        <w:rPr>
          <w:sz w:val="24"/>
          <w:szCs w:val="24"/>
        </w:rPr>
        <w:t xml:space="preserve"> %</w:t>
      </w:r>
      <w:r w:rsidRPr="00632B3D">
        <w:rPr>
          <w:sz w:val="24"/>
          <w:szCs w:val="24"/>
        </w:rPr>
        <w:t xml:space="preserve"> versus 5,6</w:t>
      </w:r>
      <w:r w:rsidR="008A63AB">
        <w:rPr>
          <w:sz w:val="24"/>
          <w:szCs w:val="24"/>
        </w:rPr>
        <w:t xml:space="preserve"> %</w:t>
      </w:r>
      <w:r w:rsidRPr="00632B3D">
        <w:rPr>
          <w:sz w:val="24"/>
          <w:szCs w:val="24"/>
        </w:rPr>
        <w:t xml:space="preserve">). </w:t>
      </w:r>
      <w:proofErr w:type="spellStart"/>
      <w:r w:rsidRPr="00632B3D">
        <w:rPr>
          <w:sz w:val="24"/>
          <w:szCs w:val="24"/>
        </w:rPr>
        <w:t>Neutropeni</w:t>
      </w:r>
      <w:proofErr w:type="spellEnd"/>
      <w:r w:rsidRPr="00632B3D">
        <w:rPr>
          <w:sz w:val="24"/>
          <w:szCs w:val="24"/>
        </w:rPr>
        <w:t xml:space="preserve"> (90,9</w:t>
      </w:r>
      <w:r w:rsidR="008A63AB">
        <w:rPr>
          <w:sz w:val="24"/>
          <w:szCs w:val="24"/>
        </w:rPr>
        <w:t xml:space="preserve"> %</w:t>
      </w:r>
      <w:r w:rsidRPr="00632B3D">
        <w:rPr>
          <w:sz w:val="24"/>
          <w:szCs w:val="24"/>
        </w:rPr>
        <w:t xml:space="preserve"> versus 81,2</w:t>
      </w:r>
      <w:r w:rsidR="008A63AB">
        <w:rPr>
          <w:sz w:val="24"/>
          <w:szCs w:val="24"/>
        </w:rPr>
        <w:t xml:space="preserve"> %</w:t>
      </w:r>
      <w:r w:rsidRPr="00632B3D">
        <w:rPr>
          <w:sz w:val="24"/>
          <w:szCs w:val="24"/>
        </w:rPr>
        <w:t xml:space="preserve">) og </w:t>
      </w:r>
      <w:proofErr w:type="spellStart"/>
      <w:r w:rsidRPr="00632B3D">
        <w:rPr>
          <w:sz w:val="24"/>
          <w:szCs w:val="24"/>
        </w:rPr>
        <w:t>trombosytopeni</w:t>
      </w:r>
      <w:proofErr w:type="spellEnd"/>
      <w:r w:rsidRPr="00632B3D">
        <w:rPr>
          <w:sz w:val="24"/>
          <w:szCs w:val="24"/>
        </w:rPr>
        <w:t xml:space="preserve"> (48,8</w:t>
      </w:r>
      <w:r w:rsidR="008A63AB">
        <w:rPr>
          <w:sz w:val="24"/>
          <w:szCs w:val="24"/>
        </w:rPr>
        <w:t xml:space="preserve"> %</w:t>
      </w:r>
      <w:r w:rsidRPr="00632B3D">
        <w:rPr>
          <w:sz w:val="24"/>
          <w:szCs w:val="24"/>
        </w:rPr>
        <w:t xml:space="preserve"> versus 36,1</w:t>
      </w:r>
      <w:r w:rsidR="008A63AB">
        <w:rPr>
          <w:sz w:val="24"/>
          <w:szCs w:val="24"/>
        </w:rPr>
        <w:t xml:space="preserve"> %</w:t>
      </w:r>
      <w:r w:rsidRPr="00632B3D">
        <w:rPr>
          <w:sz w:val="24"/>
          <w:szCs w:val="24"/>
        </w:rPr>
        <w:t>) var også 5</w:t>
      </w:r>
      <w:r w:rsidR="008A63AB">
        <w:rPr>
          <w:sz w:val="24"/>
          <w:szCs w:val="24"/>
        </w:rPr>
        <w:t xml:space="preserve"> %</w:t>
      </w:r>
      <w:r w:rsidRPr="00632B3D">
        <w:rPr>
          <w:sz w:val="24"/>
          <w:szCs w:val="24"/>
        </w:rPr>
        <w:t xml:space="preserve"> højere hos patienter i alder</w:t>
      </w:r>
      <w:r w:rsidR="00F37F45">
        <w:rPr>
          <w:sz w:val="24"/>
          <w:szCs w:val="24"/>
        </w:rPr>
        <w:t>s</w:t>
      </w:r>
      <w:r w:rsidRPr="00632B3D">
        <w:rPr>
          <w:sz w:val="24"/>
          <w:szCs w:val="24"/>
        </w:rPr>
        <w:t xml:space="preserve">gruppen 65 år og derover sammenlignet med yngre patienter. Grad ≥3 </w:t>
      </w:r>
      <w:proofErr w:type="spellStart"/>
      <w:r w:rsidRPr="00632B3D">
        <w:rPr>
          <w:sz w:val="24"/>
          <w:szCs w:val="24"/>
        </w:rPr>
        <w:t>neutropeni</w:t>
      </w:r>
      <w:proofErr w:type="spellEnd"/>
      <w:r w:rsidRPr="00632B3D">
        <w:rPr>
          <w:sz w:val="24"/>
          <w:szCs w:val="24"/>
        </w:rPr>
        <w:t xml:space="preserve"> og febril </w:t>
      </w:r>
      <w:proofErr w:type="spellStart"/>
      <w:r w:rsidRPr="00632B3D">
        <w:rPr>
          <w:sz w:val="24"/>
          <w:szCs w:val="24"/>
        </w:rPr>
        <w:t>neutropeni</w:t>
      </w:r>
      <w:proofErr w:type="spellEnd"/>
      <w:r w:rsidRPr="00632B3D">
        <w:rPr>
          <w:sz w:val="24"/>
          <w:szCs w:val="24"/>
        </w:rPr>
        <w:t xml:space="preserve"> blev rapporteret med den højeste forskel mellem begge aldersgrupper (hhv. 14</w:t>
      </w:r>
      <w:r w:rsidR="008A63AB">
        <w:rPr>
          <w:sz w:val="24"/>
          <w:szCs w:val="24"/>
        </w:rPr>
        <w:t xml:space="preserve"> %</w:t>
      </w:r>
      <w:r w:rsidRPr="00632B3D">
        <w:rPr>
          <w:sz w:val="24"/>
          <w:szCs w:val="24"/>
        </w:rPr>
        <w:t xml:space="preserve"> og 4</w:t>
      </w:r>
      <w:r w:rsidR="008A63AB">
        <w:rPr>
          <w:sz w:val="24"/>
          <w:szCs w:val="24"/>
        </w:rPr>
        <w:t xml:space="preserve"> %</w:t>
      </w:r>
      <w:r w:rsidRPr="00632B3D">
        <w:rPr>
          <w:sz w:val="24"/>
          <w:szCs w:val="24"/>
        </w:rPr>
        <w:t xml:space="preserve"> højere hos patienter i alderen ≥65 år sammenlignet med patienter</w:t>
      </w:r>
      <w:r>
        <w:rPr>
          <w:sz w:val="24"/>
          <w:szCs w:val="24"/>
        </w:rPr>
        <w:t xml:space="preserve"> &lt;65 år) (se pkt. 4.2 og 4.4).</w:t>
      </w:r>
    </w:p>
    <w:p w:rsidR="006E699F" w:rsidRPr="006E699F" w:rsidRDefault="006E699F" w:rsidP="006E699F">
      <w:pPr>
        <w:ind w:left="851"/>
        <w:rPr>
          <w:sz w:val="24"/>
          <w:szCs w:val="24"/>
        </w:rPr>
      </w:pPr>
    </w:p>
    <w:p w:rsidR="006E699F" w:rsidRPr="006E699F" w:rsidRDefault="006E699F" w:rsidP="006E699F">
      <w:pPr>
        <w:autoSpaceDE w:val="0"/>
        <w:autoSpaceDN w:val="0"/>
        <w:adjustRightInd w:val="0"/>
        <w:ind w:left="851"/>
        <w:rPr>
          <w:sz w:val="24"/>
          <w:szCs w:val="24"/>
          <w:u w:val="single"/>
        </w:rPr>
      </w:pPr>
      <w:r w:rsidRPr="006E699F">
        <w:rPr>
          <w:noProof/>
          <w:sz w:val="24"/>
          <w:szCs w:val="24"/>
          <w:u w:val="single"/>
        </w:rPr>
        <w:t>Indberetning af formodede bivirkninger</w:t>
      </w:r>
    </w:p>
    <w:p w:rsidR="006E699F" w:rsidRPr="006E699F" w:rsidRDefault="006E699F" w:rsidP="006E699F">
      <w:pPr>
        <w:tabs>
          <w:tab w:val="left" w:pos="567"/>
        </w:tabs>
        <w:autoSpaceDE w:val="0"/>
        <w:autoSpaceDN w:val="0"/>
        <w:adjustRightInd w:val="0"/>
        <w:ind w:left="851"/>
        <w:rPr>
          <w:noProof/>
          <w:sz w:val="24"/>
          <w:szCs w:val="24"/>
        </w:rPr>
      </w:pPr>
      <w:r w:rsidRPr="006E699F">
        <w:rPr>
          <w:noProof/>
          <w:sz w:val="24"/>
          <w:szCs w:val="24"/>
        </w:rPr>
        <w:t>Når lægemidlet er godkendt, er indberetning af formodede bivirkninger vigtig.</w:t>
      </w:r>
      <w:r w:rsidRPr="006E699F">
        <w:rPr>
          <w:sz w:val="24"/>
          <w:szCs w:val="24"/>
        </w:rPr>
        <w:t xml:space="preserve"> </w:t>
      </w:r>
      <w:r w:rsidRPr="006E699F">
        <w:rPr>
          <w:noProof/>
          <w:sz w:val="24"/>
          <w:szCs w:val="24"/>
        </w:rPr>
        <w:t>Det muliggør løbende overvågning af benefit/risk-forholdet for lægemidlet.</w:t>
      </w:r>
      <w:r w:rsidRPr="006E699F">
        <w:rPr>
          <w:sz w:val="24"/>
          <w:szCs w:val="24"/>
        </w:rPr>
        <w:t xml:space="preserve"> </w:t>
      </w:r>
      <w:r w:rsidRPr="006E699F">
        <w:rPr>
          <w:noProof/>
          <w:sz w:val="24"/>
          <w:szCs w:val="24"/>
        </w:rPr>
        <w:t>Sundhedspersoner anmodes om at indberette alle formodede bivirkninger via:</w:t>
      </w:r>
    </w:p>
    <w:p w:rsidR="006E699F" w:rsidRPr="006E699F" w:rsidRDefault="006E699F" w:rsidP="006E699F">
      <w:pPr>
        <w:tabs>
          <w:tab w:val="left" w:pos="567"/>
        </w:tabs>
        <w:autoSpaceDE w:val="0"/>
        <w:autoSpaceDN w:val="0"/>
        <w:adjustRightInd w:val="0"/>
        <w:ind w:left="851"/>
        <w:rPr>
          <w:noProof/>
          <w:sz w:val="24"/>
          <w:szCs w:val="24"/>
        </w:rPr>
      </w:pPr>
    </w:p>
    <w:p w:rsidR="006E699F" w:rsidRPr="006E699F" w:rsidRDefault="006E699F" w:rsidP="006E699F">
      <w:pPr>
        <w:tabs>
          <w:tab w:val="left" w:pos="567"/>
        </w:tabs>
        <w:autoSpaceDE w:val="0"/>
        <w:autoSpaceDN w:val="0"/>
        <w:adjustRightInd w:val="0"/>
        <w:ind w:left="851"/>
        <w:rPr>
          <w:noProof/>
          <w:sz w:val="24"/>
          <w:szCs w:val="24"/>
        </w:rPr>
      </w:pPr>
      <w:r w:rsidRPr="006E699F">
        <w:rPr>
          <w:noProof/>
          <w:sz w:val="24"/>
          <w:szCs w:val="24"/>
        </w:rPr>
        <w:t>Lægemiddelstyrelsen</w:t>
      </w:r>
    </w:p>
    <w:p w:rsidR="006E699F" w:rsidRPr="006E699F" w:rsidRDefault="006E699F" w:rsidP="006E699F">
      <w:pPr>
        <w:tabs>
          <w:tab w:val="left" w:pos="567"/>
        </w:tabs>
        <w:autoSpaceDE w:val="0"/>
        <w:autoSpaceDN w:val="0"/>
        <w:adjustRightInd w:val="0"/>
        <w:ind w:left="851"/>
        <w:rPr>
          <w:noProof/>
          <w:sz w:val="24"/>
          <w:szCs w:val="24"/>
        </w:rPr>
      </w:pPr>
      <w:r w:rsidRPr="006E699F">
        <w:rPr>
          <w:noProof/>
          <w:sz w:val="24"/>
          <w:szCs w:val="24"/>
        </w:rPr>
        <w:t>Axel Heides Gade 1</w:t>
      </w:r>
    </w:p>
    <w:p w:rsidR="006E699F" w:rsidRPr="006E699F" w:rsidRDefault="006E699F" w:rsidP="006E699F">
      <w:pPr>
        <w:tabs>
          <w:tab w:val="left" w:pos="567"/>
        </w:tabs>
        <w:autoSpaceDE w:val="0"/>
        <w:autoSpaceDN w:val="0"/>
        <w:adjustRightInd w:val="0"/>
        <w:ind w:left="851"/>
        <w:rPr>
          <w:noProof/>
          <w:sz w:val="24"/>
          <w:szCs w:val="24"/>
        </w:rPr>
      </w:pPr>
      <w:r w:rsidRPr="006E699F">
        <w:rPr>
          <w:noProof/>
          <w:sz w:val="24"/>
          <w:szCs w:val="24"/>
        </w:rPr>
        <w:t>DK-2300 København S</w:t>
      </w:r>
    </w:p>
    <w:p w:rsidR="006E699F" w:rsidRPr="006E699F" w:rsidRDefault="006E699F" w:rsidP="006E699F">
      <w:pPr>
        <w:tabs>
          <w:tab w:val="left" w:pos="567"/>
        </w:tabs>
        <w:autoSpaceDE w:val="0"/>
        <w:autoSpaceDN w:val="0"/>
        <w:adjustRightInd w:val="0"/>
        <w:ind w:left="851"/>
        <w:rPr>
          <w:noProof/>
          <w:sz w:val="24"/>
          <w:szCs w:val="24"/>
        </w:rPr>
      </w:pPr>
      <w:r w:rsidRPr="006E699F">
        <w:rPr>
          <w:noProof/>
          <w:sz w:val="24"/>
          <w:szCs w:val="24"/>
        </w:rPr>
        <w:t>Websted: www.meldenbivirkning.dk</w:t>
      </w:r>
    </w:p>
    <w:p w:rsidR="009260DE" w:rsidRPr="006E699F" w:rsidRDefault="009260DE" w:rsidP="006E699F">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DE59D3" w:rsidRPr="00DE59D3" w:rsidRDefault="00DE59D3" w:rsidP="00DE59D3">
      <w:pPr>
        <w:tabs>
          <w:tab w:val="left" w:pos="851"/>
        </w:tabs>
        <w:ind w:left="851"/>
        <w:rPr>
          <w:sz w:val="24"/>
          <w:szCs w:val="24"/>
        </w:rPr>
      </w:pPr>
      <w:r w:rsidRPr="00DE59D3">
        <w:rPr>
          <w:sz w:val="24"/>
          <w:szCs w:val="24"/>
        </w:rPr>
        <w:t xml:space="preserve">Der er ikke nogen kendt </w:t>
      </w:r>
      <w:proofErr w:type="spellStart"/>
      <w:r w:rsidRPr="00DE59D3">
        <w:rPr>
          <w:sz w:val="24"/>
          <w:szCs w:val="24"/>
        </w:rPr>
        <w:t>antidot</w:t>
      </w:r>
      <w:proofErr w:type="spellEnd"/>
      <w:r w:rsidRPr="00DE59D3">
        <w:rPr>
          <w:sz w:val="24"/>
          <w:szCs w:val="24"/>
        </w:rPr>
        <w:t xml:space="preserve"> til </w:t>
      </w:r>
      <w:proofErr w:type="spellStart"/>
      <w:r w:rsidRPr="00DE59D3">
        <w:rPr>
          <w:sz w:val="24"/>
          <w:szCs w:val="24"/>
        </w:rPr>
        <w:t>cabazitaxel</w:t>
      </w:r>
      <w:proofErr w:type="spellEnd"/>
      <w:r w:rsidRPr="00DE59D3">
        <w:rPr>
          <w:sz w:val="24"/>
          <w:szCs w:val="24"/>
        </w:rPr>
        <w:t xml:space="preserve">. De forventede komplikationer fra overdosering ville være </w:t>
      </w:r>
      <w:proofErr w:type="spellStart"/>
      <w:r w:rsidRPr="00DE59D3">
        <w:rPr>
          <w:sz w:val="24"/>
          <w:szCs w:val="24"/>
        </w:rPr>
        <w:t>eksacerbation</w:t>
      </w:r>
      <w:proofErr w:type="spellEnd"/>
      <w:r w:rsidRPr="00DE59D3">
        <w:rPr>
          <w:sz w:val="24"/>
          <w:szCs w:val="24"/>
        </w:rPr>
        <w:t xml:space="preserve"> af bivirkninger såsom knoglemarvssuppression og </w:t>
      </w:r>
      <w:proofErr w:type="spellStart"/>
      <w:r w:rsidRPr="00DE59D3">
        <w:rPr>
          <w:sz w:val="24"/>
          <w:szCs w:val="24"/>
        </w:rPr>
        <w:t>gastrointestinale</w:t>
      </w:r>
      <w:proofErr w:type="spellEnd"/>
      <w:r w:rsidRPr="00DE59D3">
        <w:rPr>
          <w:sz w:val="24"/>
          <w:szCs w:val="24"/>
        </w:rPr>
        <w:t xml:space="preserve"> sygdomme.</w:t>
      </w:r>
    </w:p>
    <w:p w:rsidR="00DE59D3" w:rsidRPr="00DE59D3" w:rsidRDefault="00DE59D3" w:rsidP="00DE59D3">
      <w:pPr>
        <w:tabs>
          <w:tab w:val="left" w:pos="851"/>
        </w:tabs>
        <w:ind w:left="851"/>
        <w:rPr>
          <w:sz w:val="24"/>
          <w:szCs w:val="24"/>
        </w:rPr>
      </w:pPr>
      <w:r w:rsidRPr="00DE59D3">
        <w:rPr>
          <w:sz w:val="24"/>
          <w:szCs w:val="24"/>
        </w:rPr>
        <w:t>I tilfælde af overdosis skal patienten anbringes på særlig afdeling og monitoreres nøje. Patienter skal modtage terapeutisk G-CSF hurtigst muligt, efter at overdosen opdages. Der bør tages andre hensigtsmæssige symptomatiske foranstaltninger.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C3365C" w:rsidP="009260DE">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0A4685" w:rsidRPr="00C84483" w:rsidRDefault="000A4685" w:rsidP="000A468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A4685" w:rsidRPr="00C84483" w:rsidRDefault="000A4685" w:rsidP="000A4685">
      <w:pPr>
        <w:tabs>
          <w:tab w:val="left" w:pos="851"/>
        </w:tabs>
        <w:ind w:left="851"/>
        <w:rPr>
          <w:sz w:val="24"/>
          <w:szCs w:val="24"/>
        </w:rPr>
      </w:pPr>
    </w:p>
    <w:p w:rsidR="000A4685" w:rsidRPr="00C84483" w:rsidRDefault="000A4685" w:rsidP="000A468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A4685" w:rsidRPr="00765BBD" w:rsidRDefault="000A4685" w:rsidP="000A4685">
      <w:pPr>
        <w:ind w:left="851"/>
        <w:rPr>
          <w:sz w:val="24"/>
          <w:szCs w:val="24"/>
          <w:lang w:eastAsia="fr-LU"/>
        </w:rPr>
      </w:pPr>
      <w:proofErr w:type="spellStart"/>
      <w:r>
        <w:rPr>
          <w:sz w:val="24"/>
          <w:szCs w:val="24"/>
          <w:lang w:eastAsia="fr-LU"/>
        </w:rPr>
        <w:t>Farmakoterapeutisk</w:t>
      </w:r>
      <w:proofErr w:type="spellEnd"/>
      <w:r>
        <w:rPr>
          <w:sz w:val="24"/>
          <w:szCs w:val="24"/>
          <w:lang w:eastAsia="fr-LU"/>
        </w:rPr>
        <w:t xml:space="preserve"> klassifikation: </w:t>
      </w:r>
      <w:r w:rsidRPr="00765BBD">
        <w:rPr>
          <w:sz w:val="24"/>
          <w:szCs w:val="24"/>
          <w:lang w:val="fr-LU"/>
        </w:rPr>
        <w:t>Antineoplastiske midler, taxaner</w:t>
      </w:r>
      <w:r>
        <w:rPr>
          <w:sz w:val="24"/>
          <w:szCs w:val="24"/>
        </w:rPr>
        <w:t xml:space="preserve">, </w:t>
      </w:r>
      <w:r w:rsidRPr="00765BBD">
        <w:rPr>
          <w:sz w:val="24"/>
          <w:szCs w:val="24"/>
        </w:rPr>
        <w:t xml:space="preserve">ATC-kode: </w:t>
      </w:r>
      <w:r w:rsidRPr="00765BBD">
        <w:rPr>
          <w:sz w:val="24"/>
          <w:szCs w:val="24"/>
          <w:lang w:val="fr-LU"/>
        </w:rPr>
        <w:t>L01CD04</w:t>
      </w:r>
      <w:r>
        <w:rPr>
          <w:sz w:val="24"/>
          <w:szCs w:val="24"/>
        </w:rPr>
        <w:t>.</w:t>
      </w:r>
    </w:p>
    <w:p w:rsidR="000A4685" w:rsidRPr="00D852E0" w:rsidRDefault="000A4685" w:rsidP="00D852E0">
      <w:pPr>
        <w:ind w:left="851"/>
        <w:rPr>
          <w:sz w:val="24"/>
          <w:szCs w:val="24"/>
          <w:lang w:eastAsia="fr-LU"/>
        </w:rPr>
      </w:pPr>
    </w:p>
    <w:p w:rsidR="009B5C06" w:rsidRPr="00D852E0" w:rsidRDefault="009B5C06" w:rsidP="00D852E0">
      <w:pPr>
        <w:pStyle w:val="Default"/>
        <w:ind w:left="851"/>
        <w:rPr>
          <w:u w:val="single"/>
        </w:rPr>
      </w:pPr>
      <w:r w:rsidRPr="00D852E0">
        <w:rPr>
          <w:u w:val="single"/>
        </w:rPr>
        <w:t xml:space="preserve">Virkningsmekanisme </w:t>
      </w:r>
    </w:p>
    <w:p w:rsidR="009B5C06" w:rsidRPr="00D852E0" w:rsidRDefault="009B5C06" w:rsidP="00D852E0">
      <w:pPr>
        <w:ind w:left="851"/>
        <w:rPr>
          <w:sz w:val="24"/>
          <w:szCs w:val="24"/>
        </w:rPr>
      </w:pPr>
      <w:proofErr w:type="spellStart"/>
      <w:r w:rsidRPr="00D852E0">
        <w:rPr>
          <w:sz w:val="24"/>
          <w:szCs w:val="24"/>
        </w:rPr>
        <w:t>Cabazitaxel</w:t>
      </w:r>
      <w:proofErr w:type="spellEnd"/>
      <w:r w:rsidRPr="00D852E0">
        <w:rPr>
          <w:sz w:val="24"/>
          <w:szCs w:val="24"/>
        </w:rPr>
        <w:t xml:space="preserve"> er et </w:t>
      </w:r>
      <w:proofErr w:type="spellStart"/>
      <w:r w:rsidRPr="00D852E0">
        <w:rPr>
          <w:sz w:val="24"/>
          <w:szCs w:val="24"/>
        </w:rPr>
        <w:t>antineoplastisk</w:t>
      </w:r>
      <w:proofErr w:type="spellEnd"/>
      <w:r w:rsidRPr="00D852E0">
        <w:rPr>
          <w:sz w:val="24"/>
          <w:szCs w:val="24"/>
        </w:rPr>
        <w:t xml:space="preserve"> middel, der virker ved at forstyrre det </w:t>
      </w:r>
      <w:proofErr w:type="spellStart"/>
      <w:r w:rsidRPr="00D852E0">
        <w:rPr>
          <w:sz w:val="24"/>
          <w:szCs w:val="24"/>
        </w:rPr>
        <w:t>mikrotubulære</w:t>
      </w:r>
      <w:proofErr w:type="spellEnd"/>
      <w:r w:rsidRPr="00D852E0">
        <w:rPr>
          <w:sz w:val="24"/>
          <w:szCs w:val="24"/>
        </w:rPr>
        <w:t xml:space="preserve"> netværk i cellerne. </w:t>
      </w:r>
      <w:proofErr w:type="spellStart"/>
      <w:r w:rsidRPr="00D852E0">
        <w:rPr>
          <w:sz w:val="24"/>
          <w:szCs w:val="24"/>
        </w:rPr>
        <w:t>Cabazitaxel</w:t>
      </w:r>
      <w:proofErr w:type="spellEnd"/>
      <w:r w:rsidRPr="00D852E0">
        <w:rPr>
          <w:sz w:val="24"/>
          <w:szCs w:val="24"/>
        </w:rPr>
        <w:t xml:space="preserve"> binder til </w:t>
      </w:r>
      <w:proofErr w:type="spellStart"/>
      <w:r w:rsidRPr="00D852E0">
        <w:rPr>
          <w:sz w:val="24"/>
          <w:szCs w:val="24"/>
        </w:rPr>
        <w:t>tubulin</w:t>
      </w:r>
      <w:proofErr w:type="spellEnd"/>
      <w:r w:rsidRPr="00D852E0">
        <w:rPr>
          <w:sz w:val="24"/>
          <w:szCs w:val="24"/>
        </w:rPr>
        <w:t xml:space="preserve"> og fremmer samlingen af </w:t>
      </w:r>
      <w:proofErr w:type="spellStart"/>
      <w:r w:rsidRPr="00D852E0">
        <w:rPr>
          <w:sz w:val="24"/>
          <w:szCs w:val="24"/>
        </w:rPr>
        <w:t>tubulin</w:t>
      </w:r>
      <w:proofErr w:type="spellEnd"/>
      <w:r w:rsidRPr="00D852E0">
        <w:rPr>
          <w:sz w:val="24"/>
          <w:szCs w:val="24"/>
        </w:rPr>
        <w:t xml:space="preserve"> i </w:t>
      </w:r>
      <w:proofErr w:type="spellStart"/>
      <w:r w:rsidRPr="00D852E0">
        <w:rPr>
          <w:sz w:val="24"/>
          <w:szCs w:val="24"/>
        </w:rPr>
        <w:t>mikrotubuli</w:t>
      </w:r>
      <w:proofErr w:type="spellEnd"/>
      <w:r w:rsidRPr="00D852E0">
        <w:rPr>
          <w:sz w:val="24"/>
          <w:szCs w:val="24"/>
        </w:rPr>
        <w:t xml:space="preserve"> samtidig med, at det hæmmer deres adskillelse. Dette fører til stabilisering af </w:t>
      </w:r>
      <w:proofErr w:type="spellStart"/>
      <w:r w:rsidRPr="00D852E0">
        <w:rPr>
          <w:sz w:val="24"/>
          <w:szCs w:val="24"/>
        </w:rPr>
        <w:t>mikrotubuli</w:t>
      </w:r>
      <w:proofErr w:type="spellEnd"/>
      <w:r w:rsidRPr="00D852E0">
        <w:rPr>
          <w:sz w:val="24"/>
          <w:szCs w:val="24"/>
        </w:rPr>
        <w:t xml:space="preserve">, hvilket resulterer i hæmning af </w:t>
      </w:r>
      <w:proofErr w:type="spellStart"/>
      <w:r w:rsidRPr="00D852E0">
        <w:rPr>
          <w:sz w:val="24"/>
          <w:szCs w:val="24"/>
        </w:rPr>
        <w:t>mitotiske</w:t>
      </w:r>
      <w:proofErr w:type="spellEnd"/>
      <w:r w:rsidRPr="00D852E0">
        <w:rPr>
          <w:sz w:val="24"/>
          <w:szCs w:val="24"/>
        </w:rPr>
        <w:t xml:space="preserve"> og </w:t>
      </w:r>
      <w:proofErr w:type="spellStart"/>
      <w:r w:rsidRPr="00D852E0">
        <w:rPr>
          <w:sz w:val="24"/>
          <w:szCs w:val="24"/>
        </w:rPr>
        <w:t>interfase</w:t>
      </w:r>
      <w:proofErr w:type="spellEnd"/>
      <w:r w:rsidRPr="00D852E0">
        <w:rPr>
          <w:sz w:val="24"/>
          <w:szCs w:val="24"/>
        </w:rPr>
        <w:t xml:space="preserve"> cellulære funktioner</w:t>
      </w:r>
    </w:p>
    <w:p w:rsidR="009B5C06" w:rsidRPr="00D852E0" w:rsidRDefault="009B5C06" w:rsidP="00D852E0">
      <w:pPr>
        <w:ind w:left="851"/>
        <w:rPr>
          <w:sz w:val="24"/>
          <w:szCs w:val="24"/>
        </w:rPr>
      </w:pPr>
    </w:p>
    <w:p w:rsidR="009B5C06" w:rsidRPr="00D852E0" w:rsidRDefault="009B5C06" w:rsidP="00D852E0">
      <w:pPr>
        <w:pStyle w:val="Default"/>
        <w:ind w:left="851"/>
        <w:rPr>
          <w:u w:val="single"/>
        </w:rPr>
      </w:pPr>
      <w:proofErr w:type="spellStart"/>
      <w:r w:rsidRPr="00D852E0">
        <w:rPr>
          <w:u w:val="single"/>
        </w:rPr>
        <w:t>Farmakodynamisk</w:t>
      </w:r>
      <w:proofErr w:type="spellEnd"/>
      <w:r w:rsidRPr="00D852E0">
        <w:rPr>
          <w:u w:val="single"/>
        </w:rPr>
        <w:t xml:space="preserve"> virkning </w:t>
      </w:r>
    </w:p>
    <w:p w:rsidR="009B5C06" w:rsidRPr="00D852E0" w:rsidRDefault="009B5C06" w:rsidP="00D852E0">
      <w:pPr>
        <w:ind w:left="851"/>
        <w:rPr>
          <w:sz w:val="24"/>
          <w:szCs w:val="24"/>
        </w:rPr>
      </w:pPr>
      <w:proofErr w:type="spellStart"/>
      <w:r w:rsidRPr="00D852E0">
        <w:rPr>
          <w:sz w:val="24"/>
          <w:szCs w:val="24"/>
        </w:rPr>
        <w:t>Cabazitaxel</w:t>
      </w:r>
      <w:proofErr w:type="spellEnd"/>
      <w:r w:rsidRPr="00D852E0">
        <w:rPr>
          <w:sz w:val="24"/>
          <w:szCs w:val="24"/>
        </w:rPr>
        <w:t xml:space="preserve"> udviste et bredt spektrum af </w:t>
      </w:r>
      <w:proofErr w:type="spellStart"/>
      <w:r w:rsidRPr="00D852E0">
        <w:rPr>
          <w:sz w:val="24"/>
          <w:szCs w:val="24"/>
        </w:rPr>
        <w:t>antitumoraktiviteter</w:t>
      </w:r>
      <w:proofErr w:type="spellEnd"/>
      <w:r w:rsidRPr="00D852E0">
        <w:rPr>
          <w:sz w:val="24"/>
          <w:szCs w:val="24"/>
        </w:rPr>
        <w:t xml:space="preserve"> over for avancerede humane tumorer </w:t>
      </w:r>
      <w:proofErr w:type="spellStart"/>
      <w:r w:rsidRPr="00D852E0">
        <w:rPr>
          <w:sz w:val="24"/>
          <w:szCs w:val="24"/>
        </w:rPr>
        <w:t>xenotransplanteret</w:t>
      </w:r>
      <w:proofErr w:type="spellEnd"/>
      <w:r w:rsidRPr="00D852E0">
        <w:rPr>
          <w:sz w:val="24"/>
          <w:szCs w:val="24"/>
        </w:rPr>
        <w:t xml:space="preserve"> hos mus. </w:t>
      </w:r>
      <w:proofErr w:type="spellStart"/>
      <w:r w:rsidRPr="00D852E0">
        <w:rPr>
          <w:sz w:val="24"/>
          <w:szCs w:val="24"/>
        </w:rPr>
        <w:t>Cabazitaxel</w:t>
      </w:r>
      <w:proofErr w:type="spellEnd"/>
      <w:r w:rsidRPr="00D852E0">
        <w:rPr>
          <w:sz w:val="24"/>
          <w:szCs w:val="24"/>
        </w:rPr>
        <w:t xml:space="preserve"> er aktiv i </w:t>
      </w:r>
      <w:proofErr w:type="spellStart"/>
      <w:r w:rsidRPr="00D852E0">
        <w:rPr>
          <w:sz w:val="24"/>
          <w:szCs w:val="24"/>
        </w:rPr>
        <w:t>docetaxel</w:t>
      </w:r>
      <w:proofErr w:type="spellEnd"/>
      <w:r w:rsidRPr="00D852E0">
        <w:rPr>
          <w:sz w:val="24"/>
          <w:szCs w:val="24"/>
        </w:rPr>
        <w:t xml:space="preserve">-følsomme tumorer. </w:t>
      </w:r>
      <w:proofErr w:type="spellStart"/>
      <w:r w:rsidRPr="00D852E0">
        <w:rPr>
          <w:sz w:val="24"/>
          <w:szCs w:val="24"/>
        </w:rPr>
        <w:t>Cabazitaxel</w:t>
      </w:r>
      <w:proofErr w:type="spellEnd"/>
      <w:r w:rsidRPr="00D852E0">
        <w:rPr>
          <w:sz w:val="24"/>
          <w:szCs w:val="24"/>
        </w:rPr>
        <w:t xml:space="preserve"> udviste desuden aktivitet i tumormodeller, som er ufølsomme over for kemoterapi inklusive </w:t>
      </w:r>
      <w:proofErr w:type="spellStart"/>
      <w:r w:rsidRPr="00D852E0">
        <w:rPr>
          <w:sz w:val="24"/>
          <w:szCs w:val="24"/>
        </w:rPr>
        <w:t>docetaxel</w:t>
      </w:r>
      <w:proofErr w:type="spellEnd"/>
      <w:r w:rsidRPr="00D852E0">
        <w:rPr>
          <w:sz w:val="24"/>
          <w:szCs w:val="24"/>
        </w:rPr>
        <w:t>.</w:t>
      </w:r>
    </w:p>
    <w:p w:rsidR="009B5C06" w:rsidRPr="00D852E0" w:rsidRDefault="009B5C06" w:rsidP="00D852E0">
      <w:pPr>
        <w:ind w:left="851"/>
        <w:rPr>
          <w:sz w:val="24"/>
          <w:szCs w:val="24"/>
        </w:rPr>
      </w:pPr>
    </w:p>
    <w:p w:rsidR="009B5C06" w:rsidRPr="00D852E0" w:rsidRDefault="009B5C06" w:rsidP="00D852E0">
      <w:pPr>
        <w:pStyle w:val="Default"/>
        <w:ind w:left="851"/>
        <w:rPr>
          <w:u w:val="single"/>
        </w:rPr>
      </w:pPr>
      <w:r w:rsidRPr="00D852E0">
        <w:rPr>
          <w:u w:val="single"/>
        </w:rPr>
        <w:t xml:space="preserve">Klinisk virkning og sikkerhed </w:t>
      </w:r>
    </w:p>
    <w:p w:rsidR="009B5C06" w:rsidRPr="00D852E0" w:rsidRDefault="009B5C06" w:rsidP="00D852E0">
      <w:pPr>
        <w:pStyle w:val="Default"/>
        <w:ind w:left="851"/>
      </w:pPr>
      <w:r w:rsidRPr="00D852E0">
        <w:t xml:space="preserve">Effekten og sikkerheden af </w:t>
      </w:r>
      <w:proofErr w:type="spellStart"/>
      <w:r w:rsidRPr="00D852E0">
        <w:t>cabazitaxel</w:t>
      </w:r>
      <w:proofErr w:type="spellEnd"/>
      <w:r w:rsidRPr="00D852E0">
        <w:t xml:space="preserve"> i kombination med </w:t>
      </w:r>
      <w:proofErr w:type="spellStart"/>
      <w:r w:rsidRPr="00D852E0">
        <w:t>prednison</w:t>
      </w:r>
      <w:proofErr w:type="spellEnd"/>
      <w:r w:rsidRPr="00D852E0">
        <w:t xml:space="preserve"> eller </w:t>
      </w:r>
      <w:proofErr w:type="spellStart"/>
      <w:r w:rsidRPr="00D852E0">
        <w:t>prednisolon</w:t>
      </w:r>
      <w:proofErr w:type="spellEnd"/>
      <w:r w:rsidRPr="00D852E0">
        <w:t xml:space="preserve"> blev evalueret i et randomiseret, åbent, internationalt fase III-multicenterstudie (EFC6193-studiet) hos patienter med metastatisk kastrationsresistent prostatacancer, der tidligere var blevet behandlet med et regime indeholdende </w:t>
      </w:r>
      <w:proofErr w:type="spellStart"/>
      <w:r w:rsidRPr="00D852E0">
        <w:t>docetaxel</w:t>
      </w:r>
      <w:proofErr w:type="spellEnd"/>
      <w:r w:rsidRPr="00D852E0">
        <w:t xml:space="preserve">. </w:t>
      </w:r>
    </w:p>
    <w:p w:rsidR="009B5C06" w:rsidRPr="00D852E0" w:rsidRDefault="009B5C06" w:rsidP="00D852E0">
      <w:pPr>
        <w:pStyle w:val="Default"/>
        <w:ind w:left="851"/>
      </w:pPr>
    </w:p>
    <w:p w:rsidR="009B5C06" w:rsidRPr="00D852E0" w:rsidRDefault="009B5C06" w:rsidP="00D852E0">
      <w:pPr>
        <w:pStyle w:val="Default"/>
        <w:ind w:left="851"/>
      </w:pPr>
      <w:r w:rsidRPr="00D852E0">
        <w:t xml:space="preserve">Samlet overlevelse (OS) var studiets primære effektendepunkt. </w:t>
      </w:r>
    </w:p>
    <w:p w:rsidR="009B5C06" w:rsidRPr="00D852E0" w:rsidRDefault="009B5C06" w:rsidP="00D852E0">
      <w:pPr>
        <w:pStyle w:val="Default"/>
        <w:ind w:left="851"/>
      </w:pPr>
      <w:r w:rsidRPr="00D852E0">
        <w:t xml:space="preserve">Sekundære endepunkter inkluderede progressionsfri overlevelse [PFS (defineret som tid fra </w:t>
      </w:r>
      <w:proofErr w:type="spellStart"/>
      <w:r w:rsidRPr="00D852E0">
        <w:t>randomisering</w:t>
      </w:r>
      <w:proofErr w:type="spellEnd"/>
      <w:r w:rsidRPr="00D852E0">
        <w:t xml:space="preserve"> til tumorprogression, prostatisk specifik antigen (PSA) -progression, smerteprogression eller død uanset årsagen, hvad der forekommer først], tumor responsrate baseret på respons evalueringskriterier i faste tumorer (RECIST), PSA-progression (defineret som en henholdsvis ≥ 25</w:t>
      </w:r>
      <w:r w:rsidR="008A63AB">
        <w:t xml:space="preserve"> %</w:t>
      </w:r>
      <w:r w:rsidRPr="00D852E0">
        <w:t xml:space="preserve"> stigning eller &gt; 50</w:t>
      </w:r>
      <w:r w:rsidR="008A63AB">
        <w:t xml:space="preserve"> %</w:t>
      </w:r>
      <w:r w:rsidRPr="00D852E0">
        <w:t xml:space="preserve"> hos PSA ikke-respondere eller respondere), PSA-respons (fald i serum PSA-niveauer på mindst 50</w:t>
      </w:r>
      <w:r w:rsidR="008A63AB">
        <w:t xml:space="preserve"> %</w:t>
      </w:r>
      <w:r w:rsidRPr="00D852E0">
        <w:t xml:space="preserve">), smerteprogression [vurderet ved hjælp af </w:t>
      </w:r>
      <w:r w:rsidRPr="00D852E0">
        <w:rPr>
          <w:i/>
          <w:iCs/>
        </w:rPr>
        <w:t xml:space="preserve">Present Pain </w:t>
      </w:r>
      <w:proofErr w:type="spellStart"/>
      <w:r w:rsidRPr="00D852E0">
        <w:rPr>
          <w:i/>
          <w:iCs/>
        </w:rPr>
        <w:t>Intensity</w:t>
      </w:r>
      <w:proofErr w:type="spellEnd"/>
      <w:r w:rsidRPr="00D852E0">
        <w:rPr>
          <w:i/>
          <w:iCs/>
        </w:rPr>
        <w:t xml:space="preserve"> </w:t>
      </w:r>
      <w:r w:rsidRPr="00D852E0">
        <w:t xml:space="preserve">(PPI) -skalaen fra </w:t>
      </w:r>
      <w:proofErr w:type="spellStart"/>
      <w:r w:rsidRPr="00D852E0">
        <w:t>McGill-Melzack</w:t>
      </w:r>
      <w:proofErr w:type="spellEnd"/>
      <w:r w:rsidRPr="00D852E0">
        <w:t xml:space="preserve"> spørgeskemaet og en analgetisk score (AS)] og smerterespons (defineret som 2-punkts større reduktion fra </w:t>
      </w:r>
      <w:r w:rsidRPr="00D852E0">
        <w:rPr>
          <w:i/>
          <w:iCs/>
        </w:rPr>
        <w:t xml:space="preserve">baseline </w:t>
      </w:r>
      <w:r w:rsidRPr="00D852E0">
        <w:t>median PPI uden nogen samtidig stigning i AS eller reduktion på ≥ 50</w:t>
      </w:r>
      <w:r w:rsidR="008A63AB">
        <w:t xml:space="preserve"> %</w:t>
      </w:r>
      <w:r w:rsidRPr="00D852E0">
        <w:t xml:space="preserve"> i brug af </w:t>
      </w:r>
      <w:proofErr w:type="spellStart"/>
      <w:r w:rsidRPr="00D852E0">
        <w:t>analgetika</w:t>
      </w:r>
      <w:proofErr w:type="spellEnd"/>
      <w:r w:rsidRPr="00D852E0">
        <w:t xml:space="preserve"> i forhold til </w:t>
      </w:r>
      <w:r w:rsidRPr="00D852E0">
        <w:rPr>
          <w:i/>
          <w:iCs/>
        </w:rPr>
        <w:t xml:space="preserve">baseline </w:t>
      </w:r>
      <w:r w:rsidRPr="00D852E0">
        <w:t xml:space="preserve">middelværdi for AS uden nogen samtidig stigning i smerte). </w:t>
      </w:r>
    </w:p>
    <w:p w:rsidR="009B5C06" w:rsidRPr="00D852E0" w:rsidRDefault="009B5C06" w:rsidP="00D852E0">
      <w:pPr>
        <w:pStyle w:val="Default"/>
        <w:ind w:left="851"/>
      </w:pPr>
    </w:p>
    <w:p w:rsidR="009B5C06" w:rsidRPr="00D852E0" w:rsidRDefault="009B5C06" w:rsidP="00D852E0">
      <w:pPr>
        <w:pStyle w:val="Default"/>
        <w:ind w:left="851"/>
      </w:pPr>
      <w:r w:rsidRPr="00D852E0">
        <w:t xml:space="preserve">I alt 755 patienter blev randomiseret til enten at modtage </w:t>
      </w:r>
      <w:proofErr w:type="spellStart"/>
      <w:r w:rsidRPr="00D852E0">
        <w:t>cabazitaxel</w:t>
      </w:r>
      <w:proofErr w:type="spellEnd"/>
      <w:r w:rsidRPr="00D852E0">
        <w:t xml:space="preserve"> 25 mg/m</w:t>
      </w:r>
      <w:r w:rsidRPr="00D852E0">
        <w:rPr>
          <w:vertAlign w:val="superscript"/>
        </w:rPr>
        <w:t>2</w:t>
      </w:r>
      <w:r w:rsidRPr="00D852E0">
        <w:t xml:space="preserve"> intravenøst hver 3. uge i højst 10 serier med </w:t>
      </w:r>
      <w:proofErr w:type="spellStart"/>
      <w:r w:rsidRPr="00D852E0">
        <w:t>prednison</w:t>
      </w:r>
      <w:proofErr w:type="spellEnd"/>
      <w:r w:rsidRPr="00D852E0">
        <w:t xml:space="preserve"> eller </w:t>
      </w:r>
      <w:proofErr w:type="spellStart"/>
      <w:r w:rsidRPr="00D852E0">
        <w:t>prednisolon</w:t>
      </w:r>
      <w:proofErr w:type="spellEnd"/>
      <w:r w:rsidRPr="00D852E0">
        <w:t xml:space="preserve"> 10 mg oralt </w:t>
      </w:r>
      <w:r w:rsidR="00E36E58">
        <w:t>daglig</w:t>
      </w:r>
      <w:r w:rsidRPr="00D852E0">
        <w:t xml:space="preserve"> (n = 378) eller til at modtage </w:t>
      </w:r>
      <w:proofErr w:type="spellStart"/>
      <w:r w:rsidRPr="00D852E0">
        <w:t>mitoxantron</w:t>
      </w:r>
      <w:proofErr w:type="spellEnd"/>
      <w:r w:rsidRPr="00D852E0">
        <w:t xml:space="preserve"> 12 mg/m</w:t>
      </w:r>
      <w:r w:rsidRPr="00D852E0">
        <w:rPr>
          <w:vertAlign w:val="superscript"/>
        </w:rPr>
        <w:t>2</w:t>
      </w:r>
      <w:r w:rsidRPr="00D852E0">
        <w:t xml:space="preserve"> intravenøst hver 3. uge i maksimalt 10 serier med </w:t>
      </w:r>
      <w:proofErr w:type="spellStart"/>
      <w:r w:rsidRPr="00D852E0">
        <w:t>prednison</w:t>
      </w:r>
      <w:proofErr w:type="spellEnd"/>
      <w:r w:rsidRPr="00D852E0">
        <w:t xml:space="preserve"> eller </w:t>
      </w:r>
      <w:proofErr w:type="spellStart"/>
      <w:r w:rsidRPr="00D852E0">
        <w:t>prednisolon</w:t>
      </w:r>
      <w:proofErr w:type="spellEnd"/>
      <w:r w:rsidRPr="00D852E0">
        <w:t xml:space="preserve"> 10 mg oralt </w:t>
      </w:r>
      <w:r w:rsidR="00E36E58">
        <w:t>daglig</w:t>
      </w:r>
      <w:r w:rsidRPr="00D852E0">
        <w:t xml:space="preserve"> (n=377). </w:t>
      </w:r>
    </w:p>
    <w:p w:rsidR="009B5C06" w:rsidRPr="00D852E0" w:rsidRDefault="009B5C06" w:rsidP="00D852E0">
      <w:pPr>
        <w:pStyle w:val="Default"/>
        <w:ind w:left="851"/>
      </w:pPr>
    </w:p>
    <w:p w:rsidR="009B5C06" w:rsidRPr="00D852E0" w:rsidRDefault="009B5C06" w:rsidP="00D852E0">
      <w:pPr>
        <w:pStyle w:val="Default"/>
        <w:ind w:left="851"/>
      </w:pPr>
      <w:r w:rsidRPr="00D852E0">
        <w:t>Dette studie omfattede patienter over 18 år med metastatisk kastrationsresistent prostatacancer, enten målelig med RECIST-kriterierne eller ikke-målelig sygdom med stigende PSA-niveauer eller forekomst af nye læsioner og en ECOG (</w:t>
      </w:r>
      <w:r w:rsidRPr="00D852E0">
        <w:rPr>
          <w:i/>
          <w:iCs/>
        </w:rPr>
        <w:t xml:space="preserve">Eastern </w:t>
      </w:r>
      <w:proofErr w:type="spellStart"/>
      <w:r w:rsidRPr="00D852E0">
        <w:rPr>
          <w:i/>
          <w:iCs/>
        </w:rPr>
        <w:t>Cooperative</w:t>
      </w:r>
      <w:proofErr w:type="spellEnd"/>
      <w:r w:rsidRPr="00D852E0">
        <w:rPr>
          <w:i/>
          <w:iCs/>
        </w:rPr>
        <w:t xml:space="preserve"> </w:t>
      </w:r>
      <w:proofErr w:type="spellStart"/>
      <w:r w:rsidRPr="00D852E0">
        <w:rPr>
          <w:i/>
          <w:iCs/>
        </w:rPr>
        <w:t>Oncology</w:t>
      </w:r>
      <w:proofErr w:type="spellEnd"/>
      <w:r w:rsidRPr="00D852E0">
        <w:rPr>
          <w:i/>
          <w:iCs/>
        </w:rPr>
        <w:t xml:space="preserve"> Group</w:t>
      </w:r>
      <w:r w:rsidRPr="00D852E0">
        <w:t xml:space="preserve">) performance status på 0 til 2. Patienter skulle have </w:t>
      </w:r>
      <w:proofErr w:type="spellStart"/>
      <w:r w:rsidRPr="00D852E0">
        <w:t>neutrofilocytter</w:t>
      </w:r>
      <w:proofErr w:type="spellEnd"/>
      <w:r w:rsidRPr="00D852E0">
        <w:t xml:space="preserve"> &gt;1.500/mm</w:t>
      </w:r>
      <w:r w:rsidRPr="00D852E0">
        <w:rPr>
          <w:vertAlign w:val="superscript"/>
        </w:rPr>
        <w:t>3</w:t>
      </w:r>
      <w:r w:rsidRPr="00D852E0">
        <w:t xml:space="preserve">, </w:t>
      </w:r>
      <w:proofErr w:type="spellStart"/>
      <w:r w:rsidRPr="00D852E0">
        <w:t>trombocytter</w:t>
      </w:r>
      <w:proofErr w:type="spellEnd"/>
      <w:r w:rsidRPr="00D852E0">
        <w:t xml:space="preserve"> &gt;100.000/mm</w:t>
      </w:r>
      <w:r w:rsidRPr="00D852E0">
        <w:rPr>
          <w:vertAlign w:val="superscript"/>
        </w:rPr>
        <w:t>3</w:t>
      </w:r>
      <w:r w:rsidRPr="00D852E0">
        <w:t xml:space="preserve">, hæmoglobin &gt; 10 g/dl, </w:t>
      </w:r>
      <w:proofErr w:type="spellStart"/>
      <w:r w:rsidRPr="00D852E0">
        <w:t>kreatinin</w:t>
      </w:r>
      <w:proofErr w:type="spellEnd"/>
      <w:r w:rsidRPr="00D852E0">
        <w:t xml:space="preserve"> &lt; 1,5 x ULN, total-bilirubin &lt; 1 x øvre normalgrænse (ULN), ASAT og ALAT &lt; 1,5 x ULN. </w:t>
      </w:r>
    </w:p>
    <w:p w:rsidR="009B5C06" w:rsidRPr="00D852E0" w:rsidRDefault="009B5C06" w:rsidP="00D852E0">
      <w:pPr>
        <w:pStyle w:val="Default"/>
        <w:ind w:left="851"/>
      </w:pPr>
    </w:p>
    <w:p w:rsidR="009B5C06" w:rsidRPr="00D852E0" w:rsidRDefault="009B5C06" w:rsidP="00D852E0">
      <w:pPr>
        <w:pStyle w:val="Default"/>
        <w:ind w:left="851"/>
      </w:pPr>
      <w:r w:rsidRPr="00D852E0">
        <w:t xml:space="preserve">Patienter med fortilfælde af kongestiv hjerteinsufficiens eller myokardieinfarkt inden for de sidste 6 måneder eller patienter med ukontrolleret </w:t>
      </w:r>
      <w:proofErr w:type="spellStart"/>
      <w:r w:rsidRPr="00D852E0">
        <w:t>hjertearytmi</w:t>
      </w:r>
      <w:proofErr w:type="spellEnd"/>
      <w:r w:rsidRPr="00D852E0">
        <w:t xml:space="preserve">, angina pectoris og/eller hypertension blev ikke inkluderet i studiet. </w:t>
      </w:r>
    </w:p>
    <w:p w:rsidR="009B5C06" w:rsidRPr="00D852E0" w:rsidRDefault="009B5C06" w:rsidP="00D852E0">
      <w:pPr>
        <w:pStyle w:val="Default"/>
        <w:ind w:left="851"/>
      </w:pPr>
    </w:p>
    <w:p w:rsidR="009B5C06" w:rsidRPr="00D852E0" w:rsidRDefault="009B5C06" w:rsidP="00D852E0">
      <w:pPr>
        <w:pStyle w:val="Default"/>
        <w:ind w:left="851"/>
      </w:pPr>
      <w:r w:rsidRPr="00D852E0">
        <w:t xml:space="preserve">Demografi, inklusive alder, race og ECOG-performancestatus (0 til 2) var afbalanceret mellem behandlingsarmene. I </w:t>
      </w:r>
      <w:proofErr w:type="spellStart"/>
      <w:r w:rsidRPr="00D852E0">
        <w:t>cabazitaxel</w:t>
      </w:r>
      <w:proofErr w:type="spellEnd"/>
      <w:r w:rsidRPr="00D852E0">
        <w:t>-gruppen var gennemsnitsalderen 68 år, intervallet (46-92) og racefordelingen 83,9</w:t>
      </w:r>
      <w:r w:rsidR="008A63AB">
        <w:t xml:space="preserve"> %</w:t>
      </w:r>
      <w:r w:rsidRPr="00D852E0">
        <w:t xml:space="preserve"> hvide, 6,9</w:t>
      </w:r>
      <w:r w:rsidR="008A63AB">
        <w:t xml:space="preserve"> %</w:t>
      </w:r>
      <w:r w:rsidRPr="00D852E0">
        <w:t xml:space="preserve"> asiater, 5,3</w:t>
      </w:r>
      <w:r w:rsidR="008A63AB">
        <w:t xml:space="preserve"> %</w:t>
      </w:r>
      <w:r w:rsidRPr="00D852E0">
        <w:t xml:space="preserve"> sorte og 4</w:t>
      </w:r>
      <w:r w:rsidR="008A63AB">
        <w:t xml:space="preserve"> %</w:t>
      </w:r>
      <w:r w:rsidRPr="00D852E0">
        <w:t xml:space="preserve"> andre. </w:t>
      </w:r>
    </w:p>
    <w:p w:rsidR="009B5C06" w:rsidRPr="00D852E0" w:rsidRDefault="009B5C06" w:rsidP="00D852E0">
      <w:pPr>
        <w:pStyle w:val="Default"/>
        <w:ind w:left="851"/>
      </w:pPr>
    </w:p>
    <w:p w:rsidR="009B5C06" w:rsidRPr="00D852E0" w:rsidRDefault="009B5C06" w:rsidP="00D852E0">
      <w:pPr>
        <w:ind w:left="851"/>
        <w:rPr>
          <w:sz w:val="24"/>
          <w:szCs w:val="24"/>
        </w:rPr>
      </w:pPr>
      <w:r w:rsidRPr="00D852E0">
        <w:rPr>
          <w:sz w:val="24"/>
          <w:szCs w:val="24"/>
        </w:rPr>
        <w:t xml:space="preserve">Antallet af serier var </w:t>
      </w:r>
      <w:proofErr w:type="spellStart"/>
      <w:r w:rsidRPr="00D852E0">
        <w:rPr>
          <w:sz w:val="24"/>
          <w:szCs w:val="24"/>
        </w:rPr>
        <w:t>mediant</w:t>
      </w:r>
      <w:proofErr w:type="spellEnd"/>
      <w:r w:rsidRPr="00D852E0">
        <w:rPr>
          <w:sz w:val="24"/>
          <w:szCs w:val="24"/>
        </w:rPr>
        <w:t xml:space="preserve"> 6 i </w:t>
      </w:r>
      <w:proofErr w:type="spellStart"/>
      <w:r w:rsidRPr="00D852E0">
        <w:rPr>
          <w:sz w:val="24"/>
          <w:szCs w:val="24"/>
        </w:rPr>
        <w:t>cabazitaxel</w:t>
      </w:r>
      <w:proofErr w:type="spellEnd"/>
      <w:r w:rsidRPr="00D852E0">
        <w:rPr>
          <w:sz w:val="24"/>
          <w:szCs w:val="24"/>
        </w:rPr>
        <w:t xml:space="preserve">-gruppen og 4 i </w:t>
      </w:r>
      <w:proofErr w:type="spellStart"/>
      <w:r w:rsidRPr="00D852E0">
        <w:rPr>
          <w:sz w:val="24"/>
          <w:szCs w:val="24"/>
        </w:rPr>
        <w:t>mitoxantron</w:t>
      </w:r>
      <w:proofErr w:type="spellEnd"/>
      <w:r w:rsidRPr="00D852E0">
        <w:rPr>
          <w:sz w:val="24"/>
          <w:szCs w:val="24"/>
        </w:rPr>
        <w:t>-gruppen. Det antal patienter, der fuldførte behandlingen i studiet (10 serier), var henholdsvis 29,4</w:t>
      </w:r>
      <w:r w:rsidR="008A63AB">
        <w:rPr>
          <w:sz w:val="24"/>
          <w:szCs w:val="24"/>
        </w:rPr>
        <w:t xml:space="preserve"> %</w:t>
      </w:r>
      <w:r w:rsidRPr="00D852E0">
        <w:rPr>
          <w:sz w:val="24"/>
          <w:szCs w:val="24"/>
        </w:rPr>
        <w:t xml:space="preserve"> og. 13,5</w:t>
      </w:r>
      <w:r w:rsidR="008A63AB">
        <w:rPr>
          <w:sz w:val="24"/>
          <w:szCs w:val="24"/>
        </w:rPr>
        <w:t xml:space="preserve"> %</w:t>
      </w:r>
      <w:r w:rsidRPr="00D852E0">
        <w:rPr>
          <w:sz w:val="24"/>
          <w:szCs w:val="24"/>
        </w:rPr>
        <w:t xml:space="preserve"> i </w:t>
      </w:r>
      <w:proofErr w:type="spellStart"/>
      <w:r w:rsidRPr="00D852E0">
        <w:rPr>
          <w:sz w:val="24"/>
          <w:szCs w:val="24"/>
        </w:rPr>
        <w:t>cabazitaxel</w:t>
      </w:r>
      <w:proofErr w:type="spellEnd"/>
      <w:r w:rsidRPr="00D852E0">
        <w:rPr>
          <w:sz w:val="24"/>
          <w:szCs w:val="24"/>
        </w:rPr>
        <w:t xml:space="preserve">-gruppen og i </w:t>
      </w:r>
      <w:proofErr w:type="spellStart"/>
      <w:r w:rsidRPr="00D852E0">
        <w:rPr>
          <w:sz w:val="24"/>
          <w:szCs w:val="24"/>
        </w:rPr>
        <w:t>komparator</w:t>
      </w:r>
      <w:proofErr w:type="spellEnd"/>
      <w:r w:rsidRPr="00D852E0">
        <w:rPr>
          <w:sz w:val="24"/>
          <w:szCs w:val="24"/>
        </w:rPr>
        <w:t>-gruppen.</w:t>
      </w:r>
    </w:p>
    <w:p w:rsidR="009B5C06" w:rsidRPr="00D852E0" w:rsidRDefault="009B5C06" w:rsidP="00D852E0">
      <w:pPr>
        <w:ind w:left="851"/>
        <w:rPr>
          <w:sz w:val="24"/>
          <w:szCs w:val="24"/>
        </w:rPr>
      </w:pPr>
    </w:p>
    <w:p w:rsidR="009B5C06" w:rsidRPr="00D852E0" w:rsidRDefault="009B5C06" w:rsidP="00D852E0">
      <w:pPr>
        <w:pStyle w:val="Default"/>
        <w:ind w:left="851"/>
      </w:pPr>
      <w:r w:rsidRPr="00D852E0">
        <w:t xml:space="preserve">Den samlede overlevelse var signifikant længere med </w:t>
      </w:r>
      <w:proofErr w:type="spellStart"/>
      <w:r w:rsidRPr="00D852E0">
        <w:t>cabazitaxel</w:t>
      </w:r>
      <w:proofErr w:type="spellEnd"/>
      <w:r w:rsidRPr="00D852E0">
        <w:t xml:space="preserve"> sammenlignet med </w:t>
      </w:r>
      <w:proofErr w:type="spellStart"/>
      <w:r w:rsidRPr="00D852E0">
        <w:t>mitoxantron</w:t>
      </w:r>
      <w:proofErr w:type="spellEnd"/>
      <w:r w:rsidRPr="00D852E0">
        <w:t xml:space="preserve"> (henholdsvis 15,1 måneder </w:t>
      </w:r>
      <w:r w:rsidRPr="00D852E0">
        <w:rPr>
          <w:i/>
          <w:iCs/>
        </w:rPr>
        <w:t xml:space="preserve">versus </w:t>
      </w:r>
      <w:r w:rsidRPr="00D852E0">
        <w:t>12,7) med en 30</w:t>
      </w:r>
      <w:r w:rsidR="008A63AB">
        <w:t xml:space="preserve"> %</w:t>
      </w:r>
      <w:r w:rsidRPr="00D852E0">
        <w:t xml:space="preserve"> reduktion i risikoen for død sammenlignet med </w:t>
      </w:r>
      <w:proofErr w:type="spellStart"/>
      <w:r w:rsidRPr="00D852E0">
        <w:t>mitoxantron</w:t>
      </w:r>
      <w:proofErr w:type="spellEnd"/>
      <w:r w:rsidRPr="00D852E0">
        <w:t xml:space="preserve"> (se tabel 3 og figur 1). </w:t>
      </w:r>
    </w:p>
    <w:p w:rsidR="009B5C06" w:rsidRPr="00D852E0" w:rsidRDefault="009B5C06" w:rsidP="00D852E0">
      <w:pPr>
        <w:pStyle w:val="Default"/>
        <w:ind w:left="851"/>
      </w:pPr>
    </w:p>
    <w:p w:rsidR="009B5C06" w:rsidRPr="00D852E0" w:rsidRDefault="009B5C06" w:rsidP="00D852E0">
      <w:pPr>
        <w:pStyle w:val="Default"/>
        <w:ind w:left="851"/>
      </w:pPr>
      <w:r w:rsidRPr="00D852E0">
        <w:t xml:space="preserve">En undergruppe på 59 patienter havde modtaget en kumulativ dosis af </w:t>
      </w:r>
      <w:proofErr w:type="spellStart"/>
      <w:r w:rsidRPr="00D852E0">
        <w:t>docetaxel</w:t>
      </w:r>
      <w:proofErr w:type="spellEnd"/>
      <w:r w:rsidRPr="00D852E0">
        <w:t xml:space="preserve"> &lt;</w:t>
      </w:r>
      <w:r w:rsidR="000A4685">
        <w:t> </w:t>
      </w:r>
      <w:r w:rsidRPr="00D852E0">
        <w:t>225</w:t>
      </w:r>
      <w:r w:rsidR="000A4685">
        <w:t> </w:t>
      </w:r>
      <w:r w:rsidRPr="00D852E0">
        <w:t>mg/m</w:t>
      </w:r>
      <w:r w:rsidRPr="00D852E0">
        <w:rPr>
          <w:vertAlign w:val="superscript"/>
        </w:rPr>
        <w:t>2</w:t>
      </w:r>
      <w:r w:rsidRPr="00D852E0">
        <w:t xml:space="preserve"> (29 patienter i </w:t>
      </w:r>
      <w:proofErr w:type="spellStart"/>
      <w:r w:rsidRPr="00D852E0">
        <w:t>cabazitaxel</w:t>
      </w:r>
      <w:proofErr w:type="spellEnd"/>
      <w:r w:rsidRPr="00D852E0">
        <w:t xml:space="preserve">-armen, 30 patienter i </w:t>
      </w:r>
      <w:proofErr w:type="spellStart"/>
      <w:r w:rsidRPr="00D852E0">
        <w:t>mitoxantron</w:t>
      </w:r>
      <w:proofErr w:type="spellEnd"/>
      <w:r w:rsidRPr="00D852E0">
        <w:t>-armen). Der var ingen signifikant forskel i den samlede overlevelse i denne gruppe patienter (HR (95</w:t>
      </w:r>
      <w:r w:rsidR="008A63AB">
        <w:t xml:space="preserve"> %</w:t>
      </w:r>
      <w:r w:rsidRPr="00D852E0">
        <w:t xml:space="preserve"> CI) 0.96 (0.49-1.86)). </w:t>
      </w:r>
    </w:p>
    <w:p w:rsidR="001E635F" w:rsidRDefault="001E635F">
      <w:pPr>
        <w:rPr>
          <w:color w:val="000000"/>
          <w:sz w:val="24"/>
          <w:szCs w:val="24"/>
          <w:lang w:eastAsia="en-GB"/>
        </w:rPr>
      </w:pPr>
      <w:r>
        <w:br w:type="page"/>
      </w:r>
    </w:p>
    <w:p w:rsidR="009B5C06" w:rsidRPr="00D852E0" w:rsidRDefault="009B5C06" w:rsidP="00D852E0">
      <w:pPr>
        <w:pStyle w:val="Default"/>
        <w:ind w:left="851"/>
      </w:pPr>
    </w:p>
    <w:p w:rsidR="009B5C06" w:rsidRPr="00D852E0" w:rsidRDefault="009B5C06" w:rsidP="00401785">
      <w:pPr>
        <w:pStyle w:val="Default"/>
        <w:rPr>
          <w:i/>
          <w:iCs/>
        </w:rPr>
      </w:pPr>
      <w:r w:rsidRPr="00D852E0">
        <w:rPr>
          <w:i/>
          <w:iCs/>
        </w:rPr>
        <w:t xml:space="preserve">Tabel 3 - Effekt af </w:t>
      </w:r>
      <w:proofErr w:type="spellStart"/>
      <w:r w:rsidRPr="00D852E0">
        <w:rPr>
          <w:i/>
          <w:iCs/>
        </w:rPr>
        <w:t>cabazitaxel</w:t>
      </w:r>
      <w:proofErr w:type="spellEnd"/>
      <w:r w:rsidRPr="00D852E0">
        <w:rPr>
          <w:i/>
          <w:iCs/>
        </w:rPr>
        <w:t xml:space="preserve"> i EFC6193-studiet ved behandling af patienter med </w:t>
      </w:r>
    </w:p>
    <w:p w:rsidR="009B5C06" w:rsidRPr="00D852E0" w:rsidRDefault="009B5C06" w:rsidP="00401785">
      <w:pPr>
        <w:rPr>
          <w:i/>
          <w:iCs/>
          <w:sz w:val="24"/>
          <w:szCs w:val="24"/>
        </w:rPr>
      </w:pPr>
      <w:r w:rsidRPr="00D852E0">
        <w:rPr>
          <w:i/>
          <w:iCs/>
          <w:sz w:val="24"/>
          <w:szCs w:val="24"/>
        </w:rPr>
        <w:t>metastatisk kastrationsresistent prostatacancer</w:t>
      </w:r>
    </w:p>
    <w:p w:rsidR="009B5C06" w:rsidRDefault="009B5C06" w:rsidP="009B5C06">
      <w:pPr>
        <w:rPr>
          <w:sz w:val="22"/>
          <w:szCs w:val="22"/>
        </w:rPr>
      </w:pPr>
    </w:p>
    <w:tbl>
      <w:tblPr>
        <w:tblStyle w:val="Tabel-Gitter"/>
        <w:tblW w:w="9770" w:type="dxa"/>
        <w:tblInd w:w="0" w:type="dxa"/>
        <w:tblLook w:val="04A0" w:firstRow="1" w:lastRow="0" w:firstColumn="1" w:lastColumn="0" w:noHBand="0" w:noVBand="1"/>
      </w:tblPr>
      <w:tblGrid>
        <w:gridCol w:w="4253"/>
        <w:gridCol w:w="2496"/>
        <w:gridCol w:w="3021"/>
      </w:tblGrid>
      <w:tr w:rsidR="009B5C06" w:rsidTr="004845F2">
        <w:tc>
          <w:tcPr>
            <w:tcW w:w="4253" w:type="dxa"/>
            <w:tcBorders>
              <w:top w:val="single" w:sz="4" w:space="0" w:color="auto"/>
              <w:left w:val="nil"/>
              <w:bottom w:val="single" w:sz="4" w:space="0" w:color="auto"/>
              <w:right w:val="nil"/>
            </w:tcBorders>
          </w:tcPr>
          <w:p w:rsidR="009B5C06" w:rsidRDefault="009B5C06">
            <w:pPr>
              <w:rPr>
                <w:sz w:val="20"/>
              </w:rPr>
            </w:pPr>
          </w:p>
        </w:tc>
        <w:tc>
          <w:tcPr>
            <w:tcW w:w="2496" w:type="dxa"/>
            <w:tcBorders>
              <w:top w:val="single" w:sz="4" w:space="0" w:color="auto"/>
              <w:left w:val="nil"/>
              <w:bottom w:val="single" w:sz="4" w:space="0" w:color="auto"/>
              <w:right w:val="nil"/>
            </w:tcBorders>
            <w:vAlign w:val="center"/>
            <w:hideMark/>
          </w:tcPr>
          <w:p w:rsidR="009B5C06" w:rsidRDefault="009B5C06">
            <w:pPr>
              <w:jc w:val="center"/>
              <w:rPr>
                <w:b/>
                <w:bCs/>
              </w:rPr>
            </w:pPr>
            <w:proofErr w:type="spellStart"/>
            <w:r>
              <w:rPr>
                <w:b/>
                <w:bCs/>
              </w:rPr>
              <w:t>Cabazitaxel</w:t>
            </w:r>
            <w:proofErr w:type="spellEnd"/>
            <w:r>
              <w:rPr>
                <w:b/>
                <w:bCs/>
              </w:rPr>
              <w:t xml:space="preserve"> + </w:t>
            </w:r>
            <w:proofErr w:type="spellStart"/>
            <w:r>
              <w:rPr>
                <w:b/>
                <w:bCs/>
              </w:rPr>
              <w:t>prednison</w:t>
            </w:r>
            <w:proofErr w:type="spellEnd"/>
          </w:p>
          <w:p w:rsidR="009B5C06" w:rsidRDefault="009B5C06">
            <w:pPr>
              <w:jc w:val="center"/>
              <w:rPr>
                <w:b/>
                <w:bCs/>
              </w:rPr>
            </w:pPr>
            <w:r>
              <w:rPr>
                <w:b/>
                <w:bCs/>
              </w:rPr>
              <w:t>n = 378</w:t>
            </w:r>
          </w:p>
        </w:tc>
        <w:tc>
          <w:tcPr>
            <w:tcW w:w="3021" w:type="dxa"/>
            <w:tcBorders>
              <w:top w:val="single" w:sz="4" w:space="0" w:color="auto"/>
              <w:left w:val="nil"/>
              <w:bottom w:val="single" w:sz="4" w:space="0" w:color="auto"/>
              <w:right w:val="nil"/>
            </w:tcBorders>
            <w:vAlign w:val="center"/>
            <w:hideMark/>
          </w:tcPr>
          <w:p w:rsidR="009B5C06" w:rsidRDefault="009B5C06">
            <w:pPr>
              <w:jc w:val="center"/>
              <w:rPr>
                <w:b/>
                <w:bCs/>
              </w:rPr>
            </w:pPr>
            <w:proofErr w:type="spellStart"/>
            <w:r>
              <w:rPr>
                <w:b/>
                <w:bCs/>
              </w:rPr>
              <w:t>Mitoxantron</w:t>
            </w:r>
            <w:proofErr w:type="spellEnd"/>
            <w:r>
              <w:rPr>
                <w:b/>
                <w:bCs/>
              </w:rPr>
              <w:t xml:space="preserve"> + </w:t>
            </w:r>
            <w:proofErr w:type="spellStart"/>
            <w:r>
              <w:rPr>
                <w:b/>
                <w:bCs/>
              </w:rPr>
              <w:t>Prednisolon</w:t>
            </w:r>
            <w:proofErr w:type="spellEnd"/>
          </w:p>
          <w:p w:rsidR="009B5C06" w:rsidRDefault="009B5C06">
            <w:pPr>
              <w:jc w:val="center"/>
              <w:rPr>
                <w:b/>
                <w:bCs/>
              </w:rPr>
            </w:pPr>
            <w:r>
              <w:rPr>
                <w:b/>
                <w:bCs/>
              </w:rPr>
              <w:t>n = 377</w:t>
            </w:r>
          </w:p>
        </w:tc>
      </w:tr>
      <w:tr w:rsidR="009B5C06" w:rsidTr="004845F2">
        <w:tc>
          <w:tcPr>
            <w:tcW w:w="4253" w:type="dxa"/>
            <w:tcBorders>
              <w:top w:val="single" w:sz="4" w:space="0" w:color="auto"/>
              <w:left w:val="nil"/>
              <w:bottom w:val="nil"/>
              <w:right w:val="nil"/>
            </w:tcBorders>
            <w:vAlign w:val="center"/>
            <w:hideMark/>
          </w:tcPr>
          <w:p w:rsidR="009B5C06" w:rsidRDefault="009B5C06">
            <w:pPr>
              <w:jc w:val="both"/>
              <w:rPr>
                <w:b/>
                <w:bCs/>
              </w:rPr>
            </w:pPr>
            <w:proofErr w:type="spellStart"/>
            <w:r>
              <w:rPr>
                <w:b/>
                <w:bCs/>
              </w:rPr>
              <w:t>Samlet</w:t>
            </w:r>
            <w:proofErr w:type="spellEnd"/>
            <w:r>
              <w:rPr>
                <w:b/>
                <w:bCs/>
              </w:rPr>
              <w:t xml:space="preserve"> </w:t>
            </w:r>
            <w:proofErr w:type="spellStart"/>
            <w:r>
              <w:rPr>
                <w:b/>
                <w:bCs/>
              </w:rPr>
              <w:t>overlevelse</w:t>
            </w:r>
            <w:proofErr w:type="spellEnd"/>
          </w:p>
        </w:tc>
        <w:tc>
          <w:tcPr>
            <w:tcW w:w="2496" w:type="dxa"/>
            <w:tcBorders>
              <w:top w:val="single" w:sz="4" w:space="0" w:color="auto"/>
              <w:left w:val="nil"/>
              <w:bottom w:val="nil"/>
              <w:right w:val="nil"/>
            </w:tcBorders>
          </w:tcPr>
          <w:p w:rsidR="009B5C06" w:rsidRDefault="009B5C06"/>
        </w:tc>
        <w:tc>
          <w:tcPr>
            <w:tcW w:w="3021" w:type="dxa"/>
            <w:tcBorders>
              <w:top w:val="single" w:sz="4" w:space="0" w:color="auto"/>
              <w:left w:val="nil"/>
              <w:bottom w:val="nil"/>
              <w:right w:val="nil"/>
            </w:tcBorders>
          </w:tcPr>
          <w:p w:rsidR="009B5C06" w:rsidRDefault="009B5C06"/>
        </w:tc>
      </w:tr>
      <w:tr w:rsidR="009B5C06" w:rsidTr="004845F2">
        <w:tc>
          <w:tcPr>
            <w:tcW w:w="4253" w:type="dxa"/>
            <w:tcBorders>
              <w:top w:val="nil"/>
              <w:left w:val="nil"/>
              <w:bottom w:val="nil"/>
              <w:right w:val="nil"/>
            </w:tcBorders>
            <w:hideMark/>
          </w:tcPr>
          <w:p w:rsidR="009B5C06" w:rsidRDefault="009B5C06">
            <w:proofErr w:type="spellStart"/>
            <w:r>
              <w:t>Antal</w:t>
            </w:r>
            <w:proofErr w:type="spellEnd"/>
            <w:r>
              <w:t xml:space="preserve"> </w:t>
            </w:r>
            <w:proofErr w:type="spellStart"/>
            <w:r>
              <w:t>patienter</w:t>
            </w:r>
            <w:proofErr w:type="spellEnd"/>
            <w:r>
              <w:t xml:space="preserve">, der </w:t>
            </w:r>
            <w:proofErr w:type="spellStart"/>
            <w:r>
              <w:t>døde</w:t>
            </w:r>
            <w:proofErr w:type="spellEnd"/>
            <w:r>
              <w:t xml:space="preserve"> (</w:t>
            </w:r>
            <w:r w:rsidR="008A63AB">
              <w:t>%</w:t>
            </w:r>
            <w:r>
              <w:t>)</w:t>
            </w:r>
          </w:p>
        </w:tc>
        <w:tc>
          <w:tcPr>
            <w:tcW w:w="2496" w:type="dxa"/>
            <w:tcBorders>
              <w:top w:val="nil"/>
              <w:left w:val="nil"/>
              <w:bottom w:val="nil"/>
              <w:right w:val="nil"/>
            </w:tcBorders>
            <w:vAlign w:val="center"/>
            <w:hideMark/>
          </w:tcPr>
          <w:p w:rsidR="009B5C06" w:rsidRDefault="009B5C06">
            <w:pPr>
              <w:pStyle w:val="Default"/>
              <w:jc w:val="center"/>
              <w:rPr>
                <w:sz w:val="20"/>
                <w:szCs w:val="20"/>
              </w:rPr>
            </w:pPr>
            <w:r>
              <w:rPr>
                <w:sz w:val="20"/>
                <w:szCs w:val="20"/>
              </w:rPr>
              <w:t>234 (61,9</w:t>
            </w:r>
            <w:r w:rsidR="008A63AB">
              <w:rPr>
                <w:sz w:val="20"/>
                <w:szCs w:val="20"/>
              </w:rPr>
              <w:t xml:space="preserve"> %</w:t>
            </w:r>
            <w:r>
              <w:rPr>
                <w:sz w:val="20"/>
                <w:szCs w:val="20"/>
              </w:rPr>
              <w:t>)</w:t>
            </w:r>
          </w:p>
        </w:tc>
        <w:tc>
          <w:tcPr>
            <w:tcW w:w="3021" w:type="dxa"/>
            <w:tcBorders>
              <w:top w:val="nil"/>
              <w:left w:val="nil"/>
              <w:bottom w:val="nil"/>
              <w:right w:val="nil"/>
            </w:tcBorders>
            <w:vAlign w:val="center"/>
            <w:hideMark/>
          </w:tcPr>
          <w:p w:rsidR="009B5C06" w:rsidRDefault="009B5C06">
            <w:pPr>
              <w:pStyle w:val="Default"/>
              <w:jc w:val="center"/>
              <w:rPr>
                <w:sz w:val="20"/>
                <w:szCs w:val="20"/>
              </w:rPr>
            </w:pPr>
            <w:r>
              <w:rPr>
                <w:sz w:val="20"/>
                <w:szCs w:val="20"/>
              </w:rPr>
              <w:t>279 (74</w:t>
            </w:r>
            <w:r w:rsidR="008A63AB">
              <w:rPr>
                <w:sz w:val="20"/>
                <w:szCs w:val="20"/>
              </w:rPr>
              <w:t xml:space="preserve"> %</w:t>
            </w:r>
            <w:r>
              <w:rPr>
                <w:sz w:val="20"/>
                <w:szCs w:val="20"/>
              </w:rPr>
              <w:t>)</w:t>
            </w:r>
          </w:p>
        </w:tc>
      </w:tr>
      <w:tr w:rsidR="009B5C06" w:rsidTr="004845F2">
        <w:tc>
          <w:tcPr>
            <w:tcW w:w="4253" w:type="dxa"/>
            <w:tcBorders>
              <w:top w:val="nil"/>
              <w:left w:val="nil"/>
              <w:bottom w:val="nil"/>
              <w:right w:val="nil"/>
            </w:tcBorders>
            <w:hideMark/>
          </w:tcPr>
          <w:p w:rsidR="009B5C06" w:rsidRDefault="009B5C06">
            <w:pPr>
              <w:rPr>
                <w:sz w:val="20"/>
                <w:lang w:val="fr-LU"/>
              </w:rPr>
            </w:pPr>
            <w:r>
              <w:t xml:space="preserve">Median </w:t>
            </w:r>
            <w:proofErr w:type="spellStart"/>
            <w:r>
              <w:t>overlevelse</w:t>
            </w:r>
            <w:proofErr w:type="spellEnd"/>
            <w:r>
              <w:t xml:space="preserve"> (</w:t>
            </w:r>
            <w:proofErr w:type="spellStart"/>
            <w:r>
              <w:t>måneder</w:t>
            </w:r>
            <w:proofErr w:type="spellEnd"/>
            <w:r>
              <w:t>) (95</w:t>
            </w:r>
            <w:r w:rsidR="008A63AB">
              <w:t xml:space="preserve"> %</w:t>
            </w:r>
            <w:r>
              <w:t xml:space="preserve"> CI)</w:t>
            </w:r>
          </w:p>
        </w:tc>
        <w:tc>
          <w:tcPr>
            <w:tcW w:w="2496" w:type="dxa"/>
            <w:tcBorders>
              <w:top w:val="nil"/>
              <w:left w:val="nil"/>
              <w:bottom w:val="nil"/>
              <w:right w:val="nil"/>
            </w:tcBorders>
            <w:vAlign w:val="center"/>
            <w:hideMark/>
          </w:tcPr>
          <w:p w:rsidR="009B5C06" w:rsidRDefault="009B5C06">
            <w:pPr>
              <w:pStyle w:val="Default"/>
              <w:jc w:val="center"/>
              <w:rPr>
                <w:sz w:val="20"/>
                <w:szCs w:val="20"/>
              </w:rPr>
            </w:pPr>
            <w:r>
              <w:rPr>
                <w:sz w:val="20"/>
                <w:szCs w:val="20"/>
              </w:rPr>
              <w:t>15,1 (14,1 – 16,3)</w:t>
            </w:r>
          </w:p>
        </w:tc>
        <w:tc>
          <w:tcPr>
            <w:tcW w:w="3021" w:type="dxa"/>
            <w:tcBorders>
              <w:top w:val="nil"/>
              <w:left w:val="nil"/>
              <w:bottom w:val="nil"/>
              <w:right w:val="nil"/>
            </w:tcBorders>
            <w:vAlign w:val="center"/>
            <w:hideMark/>
          </w:tcPr>
          <w:p w:rsidR="009B5C06" w:rsidRDefault="009B5C06">
            <w:pPr>
              <w:pStyle w:val="Default"/>
              <w:jc w:val="center"/>
              <w:rPr>
                <w:sz w:val="20"/>
                <w:szCs w:val="20"/>
              </w:rPr>
            </w:pPr>
            <w:r>
              <w:rPr>
                <w:sz w:val="20"/>
                <w:szCs w:val="20"/>
              </w:rPr>
              <w:t>12,7 (11,6 – 13,7)</w:t>
            </w:r>
          </w:p>
        </w:tc>
      </w:tr>
      <w:tr w:rsidR="009B5C06" w:rsidTr="004845F2">
        <w:tc>
          <w:tcPr>
            <w:tcW w:w="4253" w:type="dxa"/>
            <w:tcBorders>
              <w:top w:val="nil"/>
              <w:left w:val="nil"/>
              <w:bottom w:val="nil"/>
              <w:right w:val="nil"/>
            </w:tcBorders>
            <w:hideMark/>
          </w:tcPr>
          <w:p w:rsidR="009B5C06" w:rsidRDefault="009B5C06">
            <w:pPr>
              <w:rPr>
                <w:iCs/>
                <w:sz w:val="20"/>
                <w:lang w:val="fr-LU"/>
              </w:rPr>
            </w:pPr>
            <w:proofErr w:type="spellStart"/>
            <w:r>
              <w:rPr>
                <w:i/>
              </w:rPr>
              <w:t>Hazarad</w:t>
            </w:r>
            <w:proofErr w:type="spellEnd"/>
            <w:r>
              <w:rPr>
                <w:i/>
              </w:rPr>
              <w:t xml:space="preserve"> </w:t>
            </w:r>
            <w:r>
              <w:rPr>
                <w:iCs/>
              </w:rPr>
              <w:t>ratio (HR)</w:t>
            </w:r>
            <w:r>
              <w:rPr>
                <w:iCs/>
                <w:vertAlign w:val="superscript"/>
              </w:rPr>
              <w:t>1</w:t>
            </w:r>
            <w:r>
              <w:rPr>
                <w:iCs/>
              </w:rPr>
              <w:t xml:space="preserve"> (95</w:t>
            </w:r>
            <w:r w:rsidR="008A63AB">
              <w:rPr>
                <w:iCs/>
              </w:rPr>
              <w:t xml:space="preserve"> %</w:t>
            </w:r>
            <w:r>
              <w:rPr>
                <w:iCs/>
              </w:rPr>
              <w:t xml:space="preserve"> CI)</w:t>
            </w:r>
          </w:p>
        </w:tc>
        <w:tc>
          <w:tcPr>
            <w:tcW w:w="5517" w:type="dxa"/>
            <w:gridSpan w:val="2"/>
            <w:tcBorders>
              <w:top w:val="nil"/>
              <w:left w:val="nil"/>
              <w:bottom w:val="nil"/>
              <w:right w:val="nil"/>
            </w:tcBorders>
            <w:hideMark/>
          </w:tcPr>
          <w:p w:rsidR="009B5C06" w:rsidRDefault="009B5C06">
            <w:pPr>
              <w:pStyle w:val="Default"/>
              <w:jc w:val="center"/>
              <w:rPr>
                <w:sz w:val="20"/>
                <w:szCs w:val="20"/>
              </w:rPr>
            </w:pPr>
            <w:r>
              <w:rPr>
                <w:sz w:val="20"/>
                <w:szCs w:val="20"/>
              </w:rPr>
              <w:t>0,70 (0,59 – 0,83)</w:t>
            </w:r>
          </w:p>
        </w:tc>
      </w:tr>
      <w:tr w:rsidR="009B5C06" w:rsidTr="004845F2">
        <w:tc>
          <w:tcPr>
            <w:tcW w:w="4253" w:type="dxa"/>
            <w:tcBorders>
              <w:top w:val="nil"/>
              <w:left w:val="nil"/>
              <w:bottom w:val="single" w:sz="4" w:space="0" w:color="auto"/>
              <w:right w:val="nil"/>
            </w:tcBorders>
            <w:hideMark/>
          </w:tcPr>
          <w:p w:rsidR="009B5C06" w:rsidRDefault="009B5C06">
            <w:pPr>
              <w:rPr>
                <w:i/>
                <w:sz w:val="20"/>
                <w:lang w:val="fr-LU"/>
              </w:rPr>
            </w:pPr>
            <w:r>
              <w:rPr>
                <w:iCs/>
              </w:rPr>
              <w:t>p-</w:t>
            </w:r>
            <w:proofErr w:type="spellStart"/>
            <w:r>
              <w:rPr>
                <w:iCs/>
              </w:rPr>
              <w:t>værdi</w:t>
            </w:r>
            <w:proofErr w:type="spellEnd"/>
          </w:p>
        </w:tc>
        <w:tc>
          <w:tcPr>
            <w:tcW w:w="5517" w:type="dxa"/>
            <w:gridSpan w:val="2"/>
            <w:tcBorders>
              <w:top w:val="nil"/>
              <w:left w:val="nil"/>
              <w:bottom w:val="single" w:sz="4" w:space="0" w:color="auto"/>
              <w:right w:val="nil"/>
            </w:tcBorders>
            <w:hideMark/>
          </w:tcPr>
          <w:p w:rsidR="009B5C06" w:rsidRDefault="009B5C06">
            <w:pPr>
              <w:pStyle w:val="Default"/>
              <w:jc w:val="center"/>
              <w:rPr>
                <w:sz w:val="20"/>
                <w:szCs w:val="20"/>
              </w:rPr>
            </w:pPr>
            <w:r>
              <w:rPr>
                <w:sz w:val="20"/>
                <w:szCs w:val="20"/>
              </w:rPr>
              <w:t>&lt; 0,0001</w:t>
            </w:r>
          </w:p>
        </w:tc>
      </w:tr>
    </w:tbl>
    <w:p w:rsidR="009B5C06" w:rsidRDefault="009B5C06" w:rsidP="009B5C06">
      <w:pPr>
        <w:rPr>
          <w:sz w:val="22"/>
          <w:szCs w:val="22"/>
          <w:lang w:val="fr-LU" w:eastAsia="fr-LU"/>
        </w:rPr>
      </w:pPr>
      <w:r>
        <w:rPr>
          <w:vertAlign w:val="superscript"/>
        </w:rPr>
        <w:t>1</w:t>
      </w:r>
      <w:r>
        <w:t xml:space="preserve"> HR estimeret ved hjælp af Cox-modellen. HR under 1 er til fordel for </w:t>
      </w:r>
      <w:proofErr w:type="spellStart"/>
      <w:r>
        <w:t>cabazitaxel</w:t>
      </w:r>
      <w:proofErr w:type="spellEnd"/>
    </w:p>
    <w:p w:rsidR="009B5C06" w:rsidRDefault="009B5C06" w:rsidP="009B5C06">
      <w:pPr>
        <w:rPr>
          <w:sz w:val="22"/>
          <w:szCs w:val="22"/>
        </w:rPr>
      </w:pPr>
    </w:p>
    <w:p w:rsidR="009B5C06" w:rsidRDefault="009B5C06" w:rsidP="009B5C06">
      <w:pPr>
        <w:rPr>
          <w:sz w:val="22"/>
          <w:szCs w:val="22"/>
        </w:rPr>
      </w:pPr>
    </w:p>
    <w:p w:rsidR="009B5C06" w:rsidRDefault="009B5C06" w:rsidP="009B5C06">
      <w:pPr>
        <w:jc w:val="center"/>
        <w:rPr>
          <w:sz w:val="22"/>
          <w:szCs w:val="22"/>
        </w:rPr>
      </w:pPr>
      <w:r>
        <w:rPr>
          <w:sz w:val="22"/>
          <w:szCs w:val="22"/>
        </w:rPr>
        <w:t>Figur 1: Kaplan Meier-kurver for samlet overlevelse (EFC6193)</w:t>
      </w:r>
    </w:p>
    <w:p w:rsidR="009C68DB" w:rsidRDefault="009C68DB" w:rsidP="009C68DB">
      <w:pPr>
        <w:rPr>
          <w:sz w:val="22"/>
          <w:szCs w:val="22"/>
        </w:rPr>
      </w:pPr>
    </w:p>
    <w:p w:rsidR="009C68DB" w:rsidRDefault="009C68DB" w:rsidP="009C68DB">
      <w:pPr>
        <w:rPr>
          <w:sz w:val="22"/>
          <w:szCs w:val="22"/>
        </w:rPr>
      </w:pPr>
      <w:r>
        <w:rPr>
          <w:noProof/>
        </w:rPr>
        <w:drawing>
          <wp:inline distT="0" distB="0" distL="0" distR="0" wp14:anchorId="091FC6C8" wp14:editId="23199364">
            <wp:extent cx="5760085" cy="4272280"/>
            <wp:effectExtent l="0" t="0" r="0" b="0"/>
            <wp:docPr id="2" name="Billede 2"/>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8"/>
                    <a:stretch>
                      <a:fillRect/>
                    </a:stretch>
                  </pic:blipFill>
                  <pic:spPr>
                    <a:xfrm>
                      <a:off x="0" y="0"/>
                      <a:ext cx="5760085" cy="4272280"/>
                    </a:xfrm>
                    <a:prstGeom prst="rect">
                      <a:avLst/>
                    </a:prstGeom>
                  </pic:spPr>
                </pic:pic>
              </a:graphicData>
            </a:graphic>
          </wp:inline>
        </w:drawing>
      </w:r>
    </w:p>
    <w:p w:rsidR="009C68DB" w:rsidRDefault="009C68DB" w:rsidP="009C68DB">
      <w:pPr>
        <w:rPr>
          <w:sz w:val="22"/>
          <w:szCs w:val="22"/>
        </w:rPr>
      </w:pPr>
    </w:p>
    <w:p w:rsidR="009C68DB" w:rsidRDefault="009C68DB" w:rsidP="009C68DB">
      <w:pPr>
        <w:rPr>
          <w:sz w:val="22"/>
          <w:szCs w:val="22"/>
        </w:rPr>
      </w:pPr>
    </w:p>
    <w:p w:rsidR="009B5C06" w:rsidRPr="00902C34" w:rsidRDefault="009B5C06" w:rsidP="00902C34">
      <w:pPr>
        <w:ind w:left="851"/>
        <w:rPr>
          <w:b/>
          <w:sz w:val="24"/>
          <w:szCs w:val="24"/>
        </w:rPr>
      </w:pPr>
      <w:r w:rsidRPr="00902C34">
        <w:rPr>
          <w:sz w:val="24"/>
          <w:szCs w:val="24"/>
        </w:rPr>
        <w:t xml:space="preserve">Der var en forbedring i PFS i </w:t>
      </w:r>
      <w:proofErr w:type="spellStart"/>
      <w:r w:rsidRPr="00902C34">
        <w:rPr>
          <w:sz w:val="24"/>
          <w:szCs w:val="24"/>
        </w:rPr>
        <w:t>cabazitaxel</w:t>
      </w:r>
      <w:proofErr w:type="spellEnd"/>
      <w:r w:rsidRPr="00902C34">
        <w:rPr>
          <w:sz w:val="24"/>
          <w:szCs w:val="24"/>
        </w:rPr>
        <w:t xml:space="preserve">-armen sammenlignet med </w:t>
      </w:r>
      <w:proofErr w:type="spellStart"/>
      <w:r w:rsidRPr="00902C34">
        <w:rPr>
          <w:sz w:val="24"/>
          <w:szCs w:val="24"/>
        </w:rPr>
        <w:t>mitoxantron</w:t>
      </w:r>
      <w:proofErr w:type="spellEnd"/>
      <w:r w:rsidRPr="00902C34">
        <w:rPr>
          <w:sz w:val="24"/>
          <w:szCs w:val="24"/>
        </w:rPr>
        <w:t xml:space="preserve">-armen, henholdsvis 2,8 (2,4 – 3,0) måneder </w:t>
      </w:r>
      <w:r w:rsidRPr="00902C34">
        <w:rPr>
          <w:i/>
          <w:iCs/>
          <w:sz w:val="24"/>
          <w:szCs w:val="24"/>
        </w:rPr>
        <w:t xml:space="preserve">versus </w:t>
      </w:r>
      <w:r w:rsidRPr="00902C34">
        <w:rPr>
          <w:sz w:val="24"/>
          <w:szCs w:val="24"/>
        </w:rPr>
        <w:t>1,4 (1,4 – 1,7), HR (95</w:t>
      </w:r>
      <w:r w:rsidR="008A63AB">
        <w:rPr>
          <w:sz w:val="24"/>
          <w:szCs w:val="24"/>
        </w:rPr>
        <w:t xml:space="preserve"> %</w:t>
      </w:r>
      <w:r w:rsidRPr="00902C34">
        <w:rPr>
          <w:sz w:val="24"/>
          <w:szCs w:val="24"/>
        </w:rPr>
        <w:t xml:space="preserve"> CI) 0,74 (0,64 – 0,86), p &lt; 0,0001.</w:t>
      </w:r>
    </w:p>
    <w:p w:rsidR="009B5C06" w:rsidRPr="00902C34" w:rsidRDefault="009B5C06" w:rsidP="00902C34">
      <w:pPr>
        <w:suppressAutoHyphens/>
        <w:ind w:left="851"/>
        <w:rPr>
          <w:b/>
          <w:sz w:val="24"/>
          <w:szCs w:val="24"/>
        </w:rPr>
      </w:pPr>
    </w:p>
    <w:p w:rsidR="009B5C06" w:rsidRPr="00902C34" w:rsidRDefault="009B5C06" w:rsidP="00902C34">
      <w:pPr>
        <w:ind w:left="851"/>
        <w:rPr>
          <w:sz w:val="24"/>
          <w:szCs w:val="24"/>
        </w:rPr>
      </w:pPr>
      <w:r w:rsidRPr="00902C34">
        <w:rPr>
          <w:sz w:val="24"/>
          <w:szCs w:val="24"/>
        </w:rPr>
        <w:t>Der var en signifikant højere tumor respons på 14,4</w:t>
      </w:r>
      <w:r w:rsidR="008A63AB">
        <w:rPr>
          <w:sz w:val="24"/>
          <w:szCs w:val="24"/>
        </w:rPr>
        <w:t xml:space="preserve"> %</w:t>
      </w:r>
      <w:r w:rsidRPr="00902C34">
        <w:rPr>
          <w:sz w:val="24"/>
          <w:szCs w:val="24"/>
        </w:rPr>
        <w:t xml:space="preserve"> (95</w:t>
      </w:r>
      <w:r w:rsidR="008A63AB">
        <w:rPr>
          <w:sz w:val="24"/>
          <w:szCs w:val="24"/>
        </w:rPr>
        <w:t xml:space="preserve"> %</w:t>
      </w:r>
      <w:r w:rsidRPr="00902C34">
        <w:rPr>
          <w:sz w:val="24"/>
          <w:szCs w:val="24"/>
        </w:rPr>
        <w:t xml:space="preserve"> CI: 9,6 – 19,3) hos patienter i </w:t>
      </w:r>
      <w:proofErr w:type="spellStart"/>
      <w:r w:rsidRPr="00902C34">
        <w:rPr>
          <w:sz w:val="24"/>
          <w:szCs w:val="24"/>
        </w:rPr>
        <w:t>cabazitaxel</w:t>
      </w:r>
      <w:proofErr w:type="spellEnd"/>
      <w:r w:rsidRPr="00902C34">
        <w:rPr>
          <w:sz w:val="24"/>
          <w:szCs w:val="24"/>
        </w:rPr>
        <w:t>-armen sammenlignet med 4,4</w:t>
      </w:r>
      <w:r w:rsidR="008A63AB">
        <w:rPr>
          <w:sz w:val="24"/>
          <w:szCs w:val="24"/>
        </w:rPr>
        <w:t xml:space="preserve"> %</w:t>
      </w:r>
      <w:r w:rsidRPr="00902C34">
        <w:rPr>
          <w:sz w:val="24"/>
          <w:szCs w:val="24"/>
        </w:rPr>
        <w:t xml:space="preserve"> (95</w:t>
      </w:r>
      <w:r w:rsidR="008A63AB">
        <w:rPr>
          <w:sz w:val="24"/>
          <w:szCs w:val="24"/>
        </w:rPr>
        <w:t xml:space="preserve"> %</w:t>
      </w:r>
      <w:r w:rsidRPr="00902C34">
        <w:rPr>
          <w:sz w:val="24"/>
          <w:szCs w:val="24"/>
        </w:rPr>
        <w:t xml:space="preserve"> CI: 1,6 – 7,2) hos patienter i </w:t>
      </w:r>
      <w:proofErr w:type="spellStart"/>
      <w:r w:rsidRPr="00902C34">
        <w:rPr>
          <w:sz w:val="24"/>
          <w:szCs w:val="24"/>
        </w:rPr>
        <w:t>mitoxantron</w:t>
      </w:r>
      <w:proofErr w:type="spellEnd"/>
      <w:r w:rsidRPr="00902C34">
        <w:rPr>
          <w:sz w:val="24"/>
          <w:szCs w:val="24"/>
        </w:rPr>
        <w:t>-armen, p = 0,0005.</w:t>
      </w:r>
    </w:p>
    <w:p w:rsidR="009B5C06" w:rsidRPr="00902C34" w:rsidRDefault="009B5C06" w:rsidP="00902C34">
      <w:pPr>
        <w:ind w:left="851"/>
        <w:rPr>
          <w:sz w:val="24"/>
          <w:szCs w:val="24"/>
        </w:rPr>
      </w:pPr>
    </w:p>
    <w:p w:rsidR="009B5C06" w:rsidRPr="00902C34" w:rsidRDefault="009B5C06" w:rsidP="00902C34">
      <w:pPr>
        <w:ind w:left="851"/>
        <w:rPr>
          <w:sz w:val="24"/>
          <w:szCs w:val="24"/>
        </w:rPr>
      </w:pPr>
      <w:r w:rsidRPr="00902C34">
        <w:rPr>
          <w:sz w:val="24"/>
          <w:szCs w:val="24"/>
        </w:rPr>
        <w:t xml:space="preserve">PSA sekundære endepunkter var positive i </w:t>
      </w:r>
      <w:proofErr w:type="spellStart"/>
      <w:r w:rsidRPr="00902C34">
        <w:rPr>
          <w:sz w:val="24"/>
          <w:szCs w:val="24"/>
        </w:rPr>
        <w:t>cabazitaxel</w:t>
      </w:r>
      <w:proofErr w:type="spellEnd"/>
      <w:r w:rsidRPr="00902C34">
        <w:rPr>
          <w:sz w:val="24"/>
          <w:szCs w:val="24"/>
        </w:rPr>
        <w:t xml:space="preserve">-armen. Der var en median </w:t>
      </w:r>
      <w:proofErr w:type="gramStart"/>
      <w:r w:rsidRPr="00902C34">
        <w:rPr>
          <w:sz w:val="24"/>
          <w:szCs w:val="24"/>
        </w:rPr>
        <w:t>PSA progression</w:t>
      </w:r>
      <w:proofErr w:type="gramEnd"/>
      <w:r w:rsidRPr="00902C34">
        <w:rPr>
          <w:sz w:val="24"/>
          <w:szCs w:val="24"/>
        </w:rPr>
        <w:t xml:space="preserve"> på 6,4 måneder (95</w:t>
      </w:r>
      <w:r w:rsidR="008A63AB">
        <w:rPr>
          <w:sz w:val="24"/>
          <w:szCs w:val="24"/>
        </w:rPr>
        <w:t xml:space="preserve"> %</w:t>
      </w:r>
      <w:r w:rsidRPr="00902C34">
        <w:rPr>
          <w:sz w:val="24"/>
          <w:szCs w:val="24"/>
        </w:rPr>
        <w:t xml:space="preserve"> CI: 5,1 – 7,3) for patienter i </w:t>
      </w:r>
      <w:proofErr w:type="spellStart"/>
      <w:r w:rsidRPr="00902C34">
        <w:rPr>
          <w:sz w:val="24"/>
          <w:szCs w:val="24"/>
        </w:rPr>
        <w:t>cabazitaxel</w:t>
      </w:r>
      <w:proofErr w:type="spellEnd"/>
      <w:r w:rsidRPr="00902C34">
        <w:rPr>
          <w:sz w:val="24"/>
          <w:szCs w:val="24"/>
        </w:rPr>
        <w:t>-armen, sammenlignet med 3,1 måned (95</w:t>
      </w:r>
      <w:r w:rsidR="008A63AB">
        <w:rPr>
          <w:sz w:val="24"/>
          <w:szCs w:val="24"/>
        </w:rPr>
        <w:t xml:space="preserve"> %</w:t>
      </w:r>
      <w:r w:rsidRPr="00902C34">
        <w:rPr>
          <w:sz w:val="24"/>
          <w:szCs w:val="24"/>
        </w:rPr>
        <w:t xml:space="preserve"> CI: 2,2 – 4,4) i </w:t>
      </w:r>
      <w:proofErr w:type="spellStart"/>
      <w:r w:rsidRPr="00902C34">
        <w:rPr>
          <w:sz w:val="24"/>
          <w:szCs w:val="24"/>
        </w:rPr>
        <w:t>mitoxantron</w:t>
      </w:r>
      <w:proofErr w:type="spellEnd"/>
      <w:r w:rsidRPr="00902C34">
        <w:rPr>
          <w:sz w:val="24"/>
          <w:szCs w:val="24"/>
        </w:rPr>
        <w:t>-armen, HR 0,75 måneder (95</w:t>
      </w:r>
      <w:r w:rsidR="008A63AB">
        <w:rPr>
          <w:sz w:val="24"/>
          <w:szCs w:val="24"/>
        </w:rPr>
        <w:t xml:space="preserve"> %</w:t>
      </w:r>
      <w:r w:rsidRPr="00902C34">
        <w:rPr>
          <w:sz w:val="24"/>
          <w:szCs w:val="24"/>
        </w:rPr>
        <w:t xml:space="preserve"> CI: 0,63 – 0,90), p=0,0010. </w:t>
      </w:r>
      <w:proofErr w:type="gramStart"/>
      <w:r w:rsidRPr="00902C34">
        <w:rPr>
          <w:sz w:val="24"/>
          <w:szCs w:val="24"/>
        </w:rPr>
        <w:t>PSA respons</w:t>
      </w:r>
      <w:proofErr w:type="gramEnd"/>
      <w:r w:rsidRPr="00902C34">
        <w:rPr>
          <w:sz w:val="24"/>
          <w:szCs w:val="24"/>
        </w:rPr>
        <w:t xml:space="preserve"> var 39,2</w:t>
      </w:r>
      <w:r w:rsidR="008A63AB">
        <w:rPr>
          <w:sz w:val="24"/>
          <w:szCs w:val="24"/>
        </w:rPr>
        <w:t xml:space="preserve"> %</w:t>
      </w:r>
      <w:r w:rsidRPr="00902C34">
        <w:rPr>
          <w:sz w:val="24"/>
          <w:szCs w:val="24"/>
        </w:rPr>
        <w:t xml:space="preserve"> hos patienter i </w:t>
      </w:r>
      <w:proofErr w:type="spellStart"/>
      <w:r w:rsidRPr="00902C34">
        <w:rPr>
          <w:sz w:val="24"/>
          <w:szCs w:val="24"/>
        </w:rPr>
        <w:t>cabazitaxel</w:t>
      </w:r>
      <w:proofErr w:type="spellEnd"/>
      <w:r w:rsidRPr="00902C34">
        <w:rPr>
          <w:sz w:val="24"/>
          <w:szCs w:val="24"/>
        </w:rPr>
        <w:t>-armen (95</w:t>
      </w:r>
      <w:r w:rsidR="008A63AB">
        <w:rPr>
          <w:sz w:val="24"/>
          <w:szCs w:val="24"/>
        </w:rPr>
        <w:t xml:space="preserve"> %</w:t>
      </w:r>
      <w:r w:rsidRPr="00902C34">
        <w:rPr>
          <w:sz w:val="24"/>
          <w:szCs w:val="24"/>
        </w:rPr>
        <w:t xml:space="preserve"> CI: 33,9 – 44,5) versus 17,8</w:t>
      </w:r>
      <w:r w:rsidR="008A63AB">
        <w:rPr>
          <w:sz w:val="24"/>
          <w:szCs w:val="24"/>
        </w:rPr>
        <w:t xml:space="preserve"> %</w:t>
      </w:r>
      <w:r w:rsidRPr="00902C34">
        <w:rPr>
          <w:sz w:val="24"/>
          <w:szCs w:val="24"/>
        </w:rPr>
        <w:t xml:space="preserve"> hos patienter på </w:t>
      </w:r>
      <w:proofErr w:type="spellStart"/>
      <w:r w:rsidRPr="00902C34">
        <w:rPr>
          <w:sz w:val="24"/>
          <w:szCs w:val="24"/>
        </w:rPr>
        <w:t>mitoxantron</w:t>
      </w:r>
      <w:proofErr w:type="spellEnd"/>
      <w:r w:rsidRPr="00902C34">
        <w:rPr>
          <w:sz w:val="24"/>
          <w:szCs w:val="24"/>
        </w:rPr>
        <w:t xml:space="preserve"> (95</w:t>
      </w:r>
      <w:r w:rsidR="008A63AB">
        <w:rPr>
          <w:sz w:val="24"/>
          <w:szCs w:val="24"/>
        </w:rPr>
        <w:t xml:space="preserve"> %</w:t>
      </w:r>
      <w:r w:rsidRPr="00902C34">
        <w:rPr>
          <w:sz w:val="24"/>
          <w:szCs w:val="24"/>
        </w:rPr>
        <w:t xml:space="preserve"> CI: 13,7 – 22,0) p = 0,0002.</w:t>
      </w:r>
    </w:p>
    <w:p w:rsidR="009B5C06" w:rsidRPr="00902C34" w:rsidRDefault="009B5C06" w:rsidP="00902C34">
      <w:pPr>
        <w:ind w:left="851"/>
        <w:rPr>
          <w:sz w:val="24"/>
          <w:szCs w:val="24"/>
        </w:rPr>
      </w:pPr>
    </w:p>
    <w:p w:rsidR="009B5C06" w:rsidRPr="00902C34" w:rsidRDefault="009B5C06" w:rsidP="00902C34">
      <w:pPr>
        <w:ind w:left="851"/>
        <w:rPr>
          <w:sz w:val="24"/>
          <w:szCs w:val="24"/>
        </w:rPr>
      </w:pPr>
      <w:r w:rsidRPr="00902C34">
        <w:rPr>
          <w:sz w:val="24"/>
          <w:szCs w:val="24"/>
        </w:rPr>
        <w:t>Der var ingen statistisk signifikant forskel på begge behandlingsarme vedrørende smerte og smerte progression.</w:t>
      </w:r>
    </w:p>
    <w:p w:rsidR="009B5C06" w:rsidRPr="00902C34" w:rsidRDefault="009B5C06" w:rsidP="00902C34">
      <w:pPr>
        <w:ind w:left="851"/>
        <w:rPr>
          <w:sz w:val="24"/>
          <w:szCs w:val="24"/>
        </w:rPr>
      </w:pPr>
    </w:p>
    <w:p w:rsidR="009B5C06" w:rsidRPr="00902C34" w:rsidRDefault="009B5C06" w:rsidP="00902C34">
      <w:pPr>
        <w:ind w:left="851"/>
        <w:rPr>
          <w:sz w:val="24"/>
          <w:szCs w:val="24"/>
        </w:rPr>
      </w:pPr>
      <w:r w:rsidRPr="00902C34">
        <w:rPr>
          <w:sz w:val="24"/>
          <w:szCs w:val="24"/>
        </w:rPr>
        <w:t xml:space="preserve">I </w:t>
      </w:r>
      <w:proofErr w:type="gramStart"/>
      <w:r w:rsidRPr="00902C34">
        <w:rPr>
          <w:sz w:val="24"/>
          <w:szCs w:val="24"/>
        </w:rPr>
        <w:t>et noninferioritet</w:t>
      </w:r>
      <w:proofErr w:type="gramEnd"/>
      <w:r w:rsidRPr="00902C34">
        <w:rPr>
          <w:sz w:val="24"/>
          <w:szCs w:val="24"/>
        </w:rPr>
        <w:t xml:space="preserve">, multinationalt, randomiseret, åbent fase III-multicenterstudie (EFC11785-studiet), blev 1.200 patienter med metastatisk kastrationsresistent prostatacancer, der tidligere var behandlet med et </w:t>
      </w:r>
      <w:proofErr w:type="spellStart"/>
      <w:r w:rsidRPr="00902C34">
        <w:rPr>
          <w:sz w:val="24"/>
          <w:szCs w:val="24"/>
        </w:rPr>
        <w:t>docetaxel</w:t>
      </w:r>
      <w:proofErr w:type="spellEnd"/>
      <w:r w:rsidRPr="00902C34">
        <w:rPr>
          <w:sz w:val="24"/>
          <w:szCs w:val="24"/>
        </w:rPr>
        <w:t xml:space="preserve">-indeholdende regime, randomiseret til at få </w:t>
      </w:r>
      <w:proofErr w:type="spellStart"/>
      <w:r w:rsidRPr="00902C34">
        <w:rPr>
          <w:sz w:val="24"/>
          <w:szCs w:val="24"/>
        </w:rPr>
        <w:t>cabazitaxel</w:t>
      </w:r>
      <w:proofErr w:type="spellEnd"/>
      <w:r w:rsidRPr="00902C34">
        <w:rPr>
          <w:sz w:val="24"/>
          <w:szCs w:val="24"/>
        </w:rPr>
        <w:t xml:space="preserve"> i en dosis på enten 25 mg/m</w:t>
      </w:r>
      <w:r w:rsidRPr="00902C34">
        <w:rPr>
          <w:sz w:val="24"/>
          <w:szCs w:val="24"/>
          <w:vertAlign w:val="superscript"/>
        </w:rPr>
        <w:t>2</w:t>
      </w:r>
      <w:r w:rsidRPr="00902C34">
        <w:rPr>
          <w:sz w:val="24"/>
          <w:szCs w:val="24"/>
        </w:rPr>
        <w:t xml:space="preserve"> (n = 602) eller 20 mg/m</w:t>
      </w:r>
      <w:r w:rsidRPr="00902C34">
        <w:rPr>
          <w:sz w:val="24"/>
          <w:szCs w:val="24"/>
          <w:vertAlign w:val="superscript"/>
        </w:rPr>
        <w:t>2</w:t>
      </w:r>
      <w:r w:rsidRPr="00902C34">
        <w:rPr>
          <w:sz w:val="24"/>
          <w:szCs w:val="24"/>
        </w:rPr>
        <w:t xml:space="preserve"> (n</w:t>
      </w:r>
      <w:r w:rsidR="00E861DA">
        <w:rPr>
          <w:sz w:val="24"/>
          <w:szCs w:val="24"/>
        </w:rPr>
        <w:t> </w:t>
      </w:r>
      <w:r w:rsidRPr="00902C34">
        <w:rPr>
          <w:sz w:val="24"/>
          <w:szCs w:val="24"/>
        </w:rPr>
        <w:t>= 598). Samlet overlevelse (OS) var det primære endepunkt.</w:t>
      </w:r>
    </w:p>
    <w:p w:rsidR="009B5C06" w:rsidRPr="00902C34" w:rsidRDefault="009B5C06" w:rsidP="00902C34">
      <w:pPr>
        <w:ind w:left="851"/>
        <w:rPr>
          <w:sz w:val="24"/>
          <w:szCs w:val="24"/>
        </w:rPr>
      </w:pPr>
      <w:r w:rsidRPr="00902C34">
        <w:rPr>
          <w:sz w:val="24"/>
          <w:szCs w:val="24"/>
        </w:rPr>
        <w:t xml:space="preserve">Studiet mødte det primære mål at demonstrere noninferioritet af </w:t>
      </w:r>
      <w:proofErr w:type="spellStart"/>
      <w:r w:rsidRPr="00902C34">
        <w:rPr>
          <w:sz w:val="24"/>
          <w:szCs w:val="24"/>
        </w:rPr>
        <w:t>cabazitaxel</w:t>
      </w:r>
      <w:proofErr w:type="spellEnd"/>
      <w:r w:rsidRPr="00902C34">
        <w:rPr>
          <w:sz w:val="24"/>
          <w:szCs w:val="24"/>
        </w:rPr>
        <w:t xml:space="preserve"> 20 mg/m</w:t>
      </w:r>
      <w:r w:rsidRPr="00902C34">
        <w:rPr>
          <w:sz w:val="24"/>
          <w:szCs w:val="24"/>
          <w:vertAlign w:val="superscript"/>
        </w:rPr>
        <w:t>2</w:t>
      </w:r>
      <w:r w:rsidRPr="00902C34">
        <w:rPr>
          <w:sz w:val="24"/>
          <w:szCs w:val="24"/>
        </w:rPr>
        <w:t xml:space="preserve"> sammenlignet med 25 mg/m</w:t>
      </w:r>
      <w:r w:rsidRPr="00902C34">
        <w:rPr>
          <w:sz w:val="24"/>
          <w:szCs w:val="24"/>
          <w:vertAlign w:val="superscript"/>
        </w:rPr>
        <w:t>2</w:t>
      </w:r>
      <w:r w:rsidRPr="00902C34">
        <w:rPr>
          <w:sz w:val="24"/>
          <w:szCs w:val="24"/>
        </w:rPr>
        <w:t xml:space="preserve"> (se tabel 4). En statistisk signifikant højere procentdel (p</w:t>
      </w:r>
      <w:r w:rsidR="000A4685">
        <w:rPr>
          <w:sz w:val="24"/>
          <w:szCs w:val="24"/>
        </w:rPr>
        <w:t> </w:t>
      </w:r>
      <w:r w:rsidRPr="00902C34">
        <w:rPr>
          <w:sz w:val="24"/>
          <w:szCs w:val="24"/>
        </w:rPr>
        <w:t>&lt;</w:t>
      </w:r>
      <w:r w:rsidR="000A4685">
        <w:rPr>
          <w:sz w:val="24"/>
          <w:szCs w:val="24"/>
        </w:rPr>
        <w:t> </w:t>
      </w:r>
      <w:r w:rsidRPr="00902C34">
        <w:rPr>
          <w:sz w:val="24"/>
          <w:szCs w:val="24"/>
        </w:rPr>
        <w:t>0,001) af patienterne udviste et PSA-respons i 25 mg/m</w:t>
      </w:r>
      <w:r w:rsidRPr="00902C34">
        <w:rPr>
          <w:sz w:val="24"/>
          <w:szCs w:val="24"/>
          <w:vertAlign w:val="superscript"/>
        </w:rPr>
        <w:t>2</w:t>
      </w:r>
      <w:r w:rsidRPr="00902C34">
        <w:rPr>
          <w:sz w:val="24"/>
          <w:szCs w:val="24"/>
        </w:rPr>
        <w:t>-gruppen (42,9</w:t>
      </w:r>
      <w:r w:rsidR="008A63AB">
        <w:rPr>
          <w:sz w:val="24"/>
          <w:szCs w:val="24"/>
        </w:rPr>
        <w:t xml:space="preserve"> %</w:t>
      </w:r>
      <w:r w:rsidRPr="00902C34">
        <w:rPr>
          <w:sz w:val="24"/>
          <w:szCs w:val="24"/>
        </w:rPr>
        <w:t>) sammenlignet med 20 mg/m</w:t>
      </w:r>
      <w:r w:rsidRPr="00902C34">
        <w:rPr>
          <w:sz w:val="24"/>
          <w:szCs w:val="24"/>
          <w:vertAlign w:val="superscript"/>
        </w:rPr>
        <w:t>2</w:t>
      </w:r>
      <w:r w:rsidRPr="00902C34">
        <w:rPr>
          <w:sz w:val="24"/>
          <w:szCs w:val="24"/>
        </w:rPr>
        <w:t>-gruppen (29,5</w:t>
      </w:r>
      <w:r w:rsidR="008A63AB">
        <w:rPr>
          <w:sz w:val="24"/>
          <w:szCs w:val="24"/>
        </w:rPr>
        <w:t xml:space="preserve"> %</w:t>
      </w:r>
      <w:r w:rsidRPr="00902C34">
        <w:rPr>
          <w:sz w:val="24"/>
          <w:szCs w:val="24"/>
        </w:rPr>
        <w:t>). En statistisk signifikant højere risiko for PSA-progression blev observeret hos patienter, der fik 20 mg/m</w:t>
      </w:r>
      <w:r w:rsidRPr="00902C34">
        <w:rPr>
          <w:sz w:val="24"/>
          <w:szCs w:val="24"/>
          <w:vertAlign w:val="superscript"/>
        </w:rPr>
        <w:t>2</w:t>
      </w:r>
      <w:r w:rsidRPr="00902C34">
        <w:rPr>
          <w:sz w:val="24"/>
          <w:szCs w:val="24"/>
        </w:rPr>
        <w:t xml:space="preserve"> dosis, i forhold til 25 mg/m</w:t>
      </w:r>
      <w:r w:rsidRPr="00902C34">
        <w:rPr>
          <w:sz w:val="24"/>
          <w:szCs w:val="24"/>
          <w:vertAlign w:val="superscript"/>
        </w:rPr>
        <w:t>2</w:t>
      </w:r>
      <w:r w:rsidRPr="00902C34">
        <w:rPr>
          <w:sz w:val="24"/>
          <w:szCs w:val="24"/>
        </w:rPr>
        <w:t xml:space="preserve"> (HR 1,195; 95</w:t>
      </w:r>
      <w:r w:rsidR="008A63AB">
        <w:rPr>
          <w:sz w:val="24"/>
          <w:szCs w:val="24"/>
        </w:rPr>
        <w:t xml:space="preserve"> %</w:t>
      </w:r>
      <w:r w:rsidRPr="00902C34">
        <w:rPr>
          <w:sz w:val="24"/>
          <w:szCs w:val="24"/>
        </w:rPr>
        <w:t xml:space="preserve"> CI: 1,025 – 1,393). Der var ingen statistisk forskel med hensyn til de andre sekundære endepunkter (PFS, tumor og smerterespons, tumor og smerteprogression og fire underkategorier af FACT-P).</w:t>
      </w:r>
    </w:p>
    <w:p w:rsidR="009B5C06" w:rsidRPr="00902C34" w:rsidRDefault="009B5C06" w:rsidP="00902C34">
      <w:pPr>
        <w:ind w:left="851"/>
        <w:rPr>
          <w:sz w:val="24"/>
          <w:szCs w:val="24"/>
        </w:rPr>
      </w:pPr>
    </w:p>
    <w:p w:rsidR="009B5C06" w:rsidRPr="00902C34" w:rsidRDefault="009B5C06" w:rsidP="009B5C06">
      <w:pPr>
        <w:rPr>
          <w:i/>
          <w:iCs/>
          <w:sz w:val="24"/>
          <w:szCs w:val="24"/>
        </w:rPr>
      </w:pPr>
      <w:r w:rsidRPr="00902C34">
        <w:rPr>
          <w:i/>
          <w:iCs/>
          <w:sz w:val="24"/>
          <w:szCs w:val="24"/>
        </w:rPr>
        <w:t xml:space="preserve">Tabel 4 - Samlet overlevelse i EFC11785-studie med </w:t>
      </w:r>
      <w:proofErr w:type="spellStart"/>
      <w:r w:rsidRPr="00902C34">
        <w:rPr>
          <w:i/>
          <w:iCs/>
          <w:sz w:val="24"/>
          <w:szCs w:val="24"/>
        </w:rPr>
        <w:t>cabazitaxel</w:t>
      </w:r>
      <w:proofErr w:type="spellEnd"/>
      <w:r w:rsidRPr="00902C34">
        <w:rPr>
          <w:i/>
          <w:iCs/>
          <w:sz w:val="24"/>
          <w:szCs w:val="24"/>
        </w:rPr>
        <w:t xml:space="preserve"> 25 mg/m</w:t>
      </w:r>
      <w:r w:rsidRPr="00902C34">
        <w:rPr>
          <w:i/>
          <w:iCs/>
          <w:sz w:val="24"/>
          <w:szCs w:val="24"/>
          <w:vertAlign w:val="superscript"/>
        </w:rPr>
        <w:t>2</w:t>
      </w:r>
      <w:r w:rsidRPr="00902C34">
        <w:rPr>
          <w:i/>
          <w:iCs/>
          <w:sz w:val="24"/>
          <w:szCs w:val="24"/>
        </w:rPr>
        <w:t xml:space="preserve"> versus </w:t>
      </w:r>
      <w:proofErr w:type="spellStart"/>
      <w:r w:rsidRPr="00902C34">
        <w:rPr>
          <w:i/>
          <w:iCs/>
          <w:sz w:val="24"/>
          <w:szCs w:val="24"/>
        </w:rPr>
        <w:t>cabazitaxel</w:t>
      </w:r>
      <w:proofErr w:type="spellEnd"/>
      <w:r w:rsidRPr="00902C34">
        <w:rPr>
          <w:i/>
          <w:iCs/>
          <w:sz w:val="24"/>
          <w:szCs w:val="24"/>
        </w:rPr>
        <w:t xml:space="preserve"> 20</w:t>
      </w:r>
      <w:r w:rsidR="00F37F45">
        <w:rPr>
          <w:i/>
          <w:iCs/>
          <w:sz w:val="24"/>
          <w:szCs w:val="24"/>
        </w:rPr>
        <w:t> </w:t>
      </w:r>
      <w:r w:rsidRPr="00902C34">
        <w:rPr>
          <w:i/>
          <w:iCs/>
          <w:sz w:val="24"/>
          <w:szCs w:val="24"/>
        </w:rPr>
        <w:t>mg/m</w:t>
      </w:r>
      <w:r w:rsidRPr="00902C34">
        <w:rPr>
          <w:i/>
          <w:iCs/>
          <w:sz w:val="24"/>
          <w:szCs w:val="24"/>
          <w:vertAlign w:val="superscript"/>
        </w:rPr>
        <w:t>2</w:t>
      </w:r>
      <w:r w:rsidRPr="00902C34">
        <w:rPr>
          <w:i/>
          <w:iCs/>
          <w:sz w:val="24"/>
          <w:szCs w:val="24"/>
        </w:rPr>
        <w:t xml:space="preserve"> (Intent to-</w:t>
      </w:r>
      <w:proofErr w:type="spellStart"/>
      <w:r w:rsidRPr="00902C34">
        <w:rPr>
          <w:i/>
          <w:iCs/>
          <w:sz w:val="24"/>
          <w:szCs w:val="24"/>
        </w:rPr>
        <w:t>treat</w:t>
      </w:r>
      <w:proofErr w:type="spellEnd"/>
      <w:r w:rsidRPr="00902C34">
        <w:rPr>
          <w:i/>
          <w:iCs/>
          <w:sz w:val="24"/>
          <w:szCs w:val="24"/>
        </w:rPr>
        <w:t xml:space="preserve"> analyse) – Effekt som primære endepunkt</w:t>
      </w:r>
    </w:p>
    <w:tbl>
      <w:tblPr>
        <w:tblStyle w:val="Tabel-Gitter"/>
        <w:tblW w:w="0" w:type="auto"/>
        <w:tblInd w:w="0" w:type="dxa"/>
        <w:tblLook w:val="04A0" w:firstRow="1" w:lastRow="0" w:firstColumn="1" w:lastColumn="0" w:noHBand="0" w:noVBand="1"/>
      </w:tblPr>
      <w:tblGrid>
        <w:gridCol w:w="3544"/>
        <w:gridCol w:w="2552"/>
        <w:gridCol w:w="2965"/>
      </w:tblGrid>
      <w:tr w:rsidR="009B5C06" w:rsidTr="009B5C06">
        <w:tc>
          <w:tcPr>
            <w:tcW w:w="3544" w:type="dxa"/>
            <w:tcBorders>
              <w:top w:val="single" w:sz="4" w:space="0" w:color="auto"/>
              <w:left w:val="nil"/>
              <w:bottom w:val="single" w:sz="4" w:space="0" w:color="auto"/>
              <w:right w:val="nil"/>
            </w:tcBorders>
          </w:tcPr>
          <w:p w:rsidR="009B5C06" w:rsidRDefault="009B5C06">
            <w:pPr>
              <w:rPr>
                <w:sz w:val="20"/>
                <w:lang w:val="fr-LU"/>
              </w:rPr>
            </w:pPr>
          </w:p>
        </w:tc>
        <w:tc>
          <w:tcPr>
            <w:tcW w:w="2552" w:type="dxa"/>
            <w:tcBorders>
              <w:top w:val="single" w:sz="4" w:space="0" w:color="auto"/>
              <w:left w:val="nil"/>
              <w:bottom w:val="single" w:sz="4" w:space="0" w:color="auto"/>
              <w:right w:val="nil"/>
            </w:tcBorders>
            <w:vAlign w:val="center"/>
            <w:hideMark/>
          </w:tcPr>
          <w:p w:rsidR="009B5C06" w:rsidRDefault="009B5C06">
            <w:pPr>
              <w:jc w:val="center"/>
              <w:rPr>
                <w:b/>
                <w:bCs/>
              </w:rPr>
            </w:pPr>
            <w:r>
              <w:rPr>
                <w:b/>
                <w:bCs/>
              </w:rPr>
              <w:t>CBZ20 + PRED</w:t>
            </w:r>
          </w:p>
          <w:p w:rsidR="009B5C06" w:rsidRDefault="009B5C06">
            <w:pPr>
              <w:jc w:val="center"/>
              <w:rPr>
                <w:b/>
                <w:bCs/>
              </w:rPr>
            </w:pPr>
            <w:r>
              <w:rPr>
                <w:b/>
                <w:bCs/>
              </w:rPr>
              <w:t>n = 598</w:t>
            </w:r>
          </w:p>
        </w:tc>
        <w:tc>
          <w:tcPr>
            <w:tcW w:w="2965" w:type="dxa"/>
            <w:tcBorders>
              <w:top w:val="single" w:sz="4" w:space="0" w:color="auto"/>
              <w:left w:val="nil"/>
              <w:bottom w:val="single" w:sz="4" w:space="0" w:color="auto"/>
              <w:right w:val="nil"/>
            </w:tcBorders>
            <w:vAlign w:val="center"/>
            <w:hideMark/>
          </w:tcPr>
          <w:p w:rsidR="009B5C06" w:rsidRDefault="009B5C06">
            <w:pPr>
              <w:jc w:val="center"/>
              <w:rPr>
                <w:b/>
                <w:bCs/>
              </w:rPr>
            </w:pPr>
            <w:r>
              <w:rPr>
                <w:b/>
                <w:bCs/>
              </w:rPr>
              <w:t>CBZ25 + PRED</w:t>
            </w:r>
          </w:p>
          <w:p w:rsidR="009B5C06" w:rsidRDefault="009B5C06">
            <w:pPr>
              <w:jc w:val="center"/>
              <w:rPr>
                <w:b/>
                <w:bCs/>
              </w:rPr>
            </w:pPr>
            <w:r>
              <w:rPr>
                <w:b/>
                <w:bCs/>
              </w:rPr>
              <w:t>n = 602</w:t>
            </w:r>
          </w:p>
        </w:tc>
      </w:tr>
      <w:tr w:rsidR="009B5C06" w:rsidTr="009B5C06">
        <w:tc>
          <w:tcPr>
            <w:tcW w:w="3544" w:type="dxa"/>
            <w:tcBorders>
              <w:top w:val="single" w:sz="4" w:space="0" w:color="auto"/>
              <w:left w:val="nil"/>
              <w:bottom w:val="nil"/>
              <w:right w:val="nil"/>
            </w:tcBorders>
            <w:vAlign w:val="center"/>
            <w:hideMark/>
          </w:tcPr>
          <w:p w:rsidR="009B5C06" w:rsidRDefault="009B5C06">
            <w:pPr>
              <w:jc w:val="both"/>
              <w:rPr>
                <w:b/>
                <w:bCs/>
              </w:rPr>
            </w:pPr>
            <w:proofErr w:type="spellStart"/>
            <w:r>
              <w:rPr>
                <w:b/>
                <w:bCs/>
              </w:rPr>
              <w:t>Samlet</w:t>
            </w:r>
            <w:proofErr w:type="spellEnd"/>
            <w:r>
              <w:rPr>
                <w:b/>
                <w:bCs/>
              </w:rPr>
              <w:t xml:space="preserve"> </w:t>
            </w:r>
            <w:proofErr w:type="spellStart"/>
            <w:r>
              <w:rPr>
                <w:b/>
                <w:bCs/>
              </w:rPr>
              <w:t>overlevelse</w:t>
            </w:r>
            <w:proofErr w:type="spellEnd"/>
          </w:p>
        </w:tc>
        <w:tc>
          <w:tcPr>
            <w:tcW w:w="2552" w:type="dxa"/>
            <w:tcBorders>
              <w:top w:val="single" w:sz="4" w:space="0" w:color="auto"/>
              <w:left w:val="nil"/>
              <w:bottom w:val="nil"/>
              <w:right w:val="nil"/>
            </w:tcBorders>
          </w:tcPr>
          <w:p w:rsidR="009B5C06" w:rsidRDefault="009B5C06"/>
        </w:tc>
        <w:tc>
          <w:tcPr>
            <w:tcW w:w="2965" w:type="dxa"/>
            <w:tcBorders>
              <w:top w:val="single" w:sz="4" w:space="0" w:color="auto"/>
              <w:left w:val="nil"/>
              <w:bottom w:val="nil"/>
              <w:right w:val="nil"/>
            </w:tcBorders>
          </w:tcPr>
          <w:p w:rsidR="009B5C06" w:rsidRDefault="009B5C06"/>
        </w:tc>
      </w:tr>
      <w:tr w:rsidR="009B5C06" w:rsidTr="009B5C06">
        <w:tc>
          <w:tcPr>
            <w:tcW w:w="3544" w:type="dxa"/>
            <w:tcBorders>
              <w:top w:val="nil"/>
              <w:left w:val="nil"/>
              <w:bottom w:val="nil"/>
              <w:right w:val="nil"/>
            </w:tcBorders>
            <w:hideMark/>
          </w:tcPr>
          <w:p w:rsidR="009B5C06" w:rsidRDefault="009B5C06">
            <w:proofErr w:type="spellStart"/>
            <w:r>
              <w:t>Antal</w:t>
            </w:r>
            <w:proofErr w:type="spellEnd"/>
            <w:r>
              <w:t xml:space="preserve"> </w:t>
            </w:r>
            <w:proofErr w:type="spellStart"/>
            <w:r>
              <w:t>døde</w:t>
            </w:r>
            <w:proofErr w:type="spellEnd"/>
            <w:r>
              <w:t>, n (</w:t>
            </w:r>
            <w:r w:rsidR="008A63AB">
              <w:t>%</w:t>
            </w:r>
            <w:r>
              <w:t>)</w:t>
            </w:r>
          </w:p>
        </w:tc>
        <w:tc>
          <w:tcPr>
            <w:tcW w:w="2552" w:type="dxa"/>
            <w:tcBorders>
              <w:top w:val="nil"/>
              <w:left w:val="nil"/>
              <w:bottom w:val="nil"/>
              <w:right w:val="nil"/>
            </w:tcBorders>
            <w:vAlign w:val="center"/>
            <w:hideMark/>
          </w:tcPr>
          <w:p w:rsidR="009B5C06" w:rsidRDefault="009B5C06">
            <w:pPr>
              <w:pStyle w:val="Default"/>
              <w:jc w:val="center"/>
              <w:rPr>
                <w:sz w:val="20"/>
                <w:szCs w:val="20"/>
              </w:rPr>
            </w:pPr>
            <w:r>
              <w:rPr>
                <w:sz w:val="20"/>
                <w:szCs w:val="20"/>
              </w:rPr>
              <w:t>497 (83,1</w:t>
            </w:r>
            <w:r w:rsidR="008A63AB">
              <w:rPr>
                <w:sz w:val="20"/>
                <w:szCs w:val="20"/>
              </w:rPr>
              <w:t xml:space="preserve"> %</w:t>
            </w:r>
            <w:r>
              <w:rPr>
                <w:sz w:val="20"/>
                <w:szCs w:val="20"/>
              </w:rPr>
              <w:t xml:space="preserve">) </w:t>
            </w:r>
          </w:p>
        </w:tc>
        <w:tc>
          <w:tcPr>
            <w:tcW w:w="2965" w:type="dxa"/>
            <w:tcBorders>
              <w:top w:val="nil"/>
              <w:left w:val="nil"/>
              <w:bottom w:val="nil"/>
              <w:right w:val="nil"/>
            </w:tcBorders>
            <w:vAlign w:val="center"/>
            <w:hideMark/>
          </w:tcPr>
          <w:p w:rsidR="009B5C06" w:rsidRDefault="009B5C06">
            <w:pPr>
              <w:pStyle w:val="Default"/>
              <w:jc w:val="center"/>
              <w:rPr>
                <w:sz w:val="20"/>
                <w:szCs w:val="20"/>
              </w:rPr>
            </w:pPr>
            <w:r>
              <w:rPr>
                <w:sz w:val="20"/>
                <w:szCs w:val="20"/>
              </w:rPr>
              <w:t>501 (83,2</w:t>
            </w:r>
            <w:r w:rsidR="008A63AB">
              <w:rPr>
                <w:sz w:val="20"/>
                <w:szCs w:val="20"/>
              </w:rPr>
              <w:t xml:space="preserve"> %</w:t>
            </w:r>
            <w:r>
              <w:rPr>
                <w:sz w:val="20"/>
                <w:szCs w:val="20"/>
              </w:rPr>
              <w:t xml:space="preserve">) </w:t>
            </w:r>
          </w:p>
        </w:tc>
      </w:tr>
      <w:tr w:rsidR="009B5C06" w:rsidTr="009B5C06">
        <w:tc>
          <w:tcPr>
            <w:tcW w:w="3544" w:type="dxa"/>
            <w:tcBorders>
              <w:top w:val="nil"/>
              <w:left w:val="nil"/>
              <w:bottom w:val="nil"/>
              <w:right w:val="nil"/>
            </w:tcBorders>
            <w:hideMark/>
          </w:tcPr>
          <w:p w:rsidR="009B5C06" w:rsidRDefault="009B5C06">
            <w:pPr>
              <w:rPr>
                <w:sz w:val="20"/>
                <w:lang w:val="fr-LU"/>
              </w:rPr>
            </w:pPr>
            <w:r>
              <w:t xml:space="preserve">Median </w:t>
            </w:r>
            <w:proofErr w:type="spellStart"/>
            <w:r>
              <w:t>overlevelse</w:t>
            </w:r>
            <w:proofErr w:type="spellEnd"/>
            <w:r>
              <w:t xml:space="preserve"> (95</w:t>
            </w:r>
            <w:r w:rsidR="008A63AB">
              <w:t xml:space="preserve"> %</w:t>
            </w:r>
            <w:r>
              <w:t xml:space="preserve"> CI) (</w:t>
            </w:r>
            <w:proofErr w:type="spellStart"/>
            <w:r>
              <w:t>måneder</w:t>
            </w:r>
            <w:proofErr w:type="spellEnd"/>
            <w:r>
              <w:t>)</w:t>
            </w:r>
          </w:p>
        </w:tc>
        <w:tc>
          <w:tcPr>
            <w:tcW w:w="2552" w:type="dxa"/>
            <w:tcBorders>
              <w:top w:val="nil"/>
              <w:left w:val="nil"/>
              <w:bottom w:val="nil"/>
              <w:right w:val="nil"/>
            </w:tcBorders>
            <w:vAlign w:val="center"/>
            <w:hideMark/>
          </w:tcPr>
          <w:p w:rsidR="009B5C06" w:rsidRDefault="009B5C06">
            <w:pPr>
              <w:pStyle w:val="Default"/>
              <w:jc w:val="center"/>
              <w:rPr>
                <w:sz w:val="20"/>
                <w:szCs w:val="20"/>
              </w:rPr>
            </w:pPr>
            <w:r>
              <w:rPr>
                <w:sz w:val="20"/>
                <w:szCs w:val="20"/>
              </w:rPr>
              <w:t>13,4 (12,19 – 14,88)</w:t>
            </w:r>
          </w:p>
        </w:tc>
        <w:tc>
          <w:tcPr>
            <w:tcW w:w="2965" w:type="dxa"/>
            <w:tcBorders>
              <w:top w:val="nil"/>
              <w:left w:val="nil"/>
              <w:bottom w:val="nil"/>
              <w:right w:val="nil"/>
            </w:tcBorders>
            <w:vAlign w:val="center"/>
            <w:hideMark/>
          </w:tcPr>
          <w:p w:rsidR="009B5C06" w:rsidRDefault="009B5C06">
            <w:pPr>
              <w:pStyle w:val="Default"/>
              <w:jc w:val="center"/>
              <w:rPr>
                <w:sz w:val="20"/>
                <w:szCs w:val="20"/>
              </w:rPr>
            </w:pPr>
            <w:r>
              <w:rPr>
                <w:sz w:val="20"/>
                <w:szCs w:val="20"/>
              </w:rPr>
              <w:t xml:space="preserve">14,5 (13,47 – 15,28) </w:t>
            </w:r>
          </w:p>
        </w:tc>
      </w:tr>
      <w:tr w:rsidR="009B5C06" w:rsidTr="009B5C06">
        <w:tc>
          <w:tcPr>
            <w:tcW w:w="3544" w:type="dxa"/>
            <w:tcBorders>
              <w:top w:val="nil"/>
              <w:left w:val="nil"/>
              <w:bottom w:val="nil"/>
              <w:right w:val="nil"/>
            </w:tcBorders>
            <w:hideMark/>
          </w:tcPr>
          <w:p w:rsidR="009B5C06" w:rsidRDefault="009B5C06">
            <w:pPr>
              <w:rPr>
                <w:iCs/>
                <w:sz w:val="20"/>
                <w:lang w:val="fr-LU"/>
              </w:rPr>
            </w:pPr>
            <w:proofErr w:type="spellStart"/>
            <w:r>
              <w:rPr>
                <w:i/>
              </w:rPr>
              <w:t>Hazarad</w:t>
            </w:r>
            <w:proofErr w:type="spellEnd"/>
            <w:r>
              <w:rPr>
                <w:i/>
              </w:rPr>
              <w:t xml:space="preserve"> </w:t>
            </w:r>
            <w:proofErr w:type="spellStart"/>
            <w:r>
              <w:rPr>
                <w:iCs/>
              </w:rPr>
              <w:t>ratio</w:t>
            </w:r>
            <w:r>
              <w:rPr>
                <w:iCs/>
                <w:vertAlign w:val="superscript"/>
              </w:rPr>
              <w:t>a</w:t>
            </w:r>
            <w:proofErr w:type="spellEnd"/>
          </w:p>
        </w:tc>
        <w:tc>
          <w:tcPr>
            <w:tcW w:w="2552" w:type="dxa"/>
            <w:tcBorders>
              <w:top w:val="nil"/>
              <w:left w:val="nil"/>
              <w:bottom w:val="nil"/>
              <w:right w:val="nil"/>
            </w:tcBorders>
          </w:tcPr>
          <w:p w:rsidR="009B5C06" w:rsidRDefault="009B5C06">
            <w:pPr>
              <w:pStyle w:val="Default"/>
              <w:jc w:val="center"/>
              <w:rPr>
                <w:sz w:val="20"/>
                <w:szCs w:val="20"/>
                <w:lang w:val="en-US"/>
              </w:rPr>
            </w:pPr>
          </w:p>
        </w:tc>
        <w:tc>
          <w:tcPr>
            <w:tcW w:w="2965" w:type="dxa"/>
            <w:tcBorders>
              <w:top w:val="nil"/>
              <w:left w:val="nil"/>
              <w:bottom w:val="nil"/>
              <w:right w:val="nil"/>
            </w:tcBorders>
          </w:tcPr>
          <w:p w:rsidR="009B5C06" w:rsidRDefault="009B5C06">
            <w:pPr>
              <w:pStyle w:val="Default"/>
              <w:jc w:val="center"/>
              <w:rPr>
                <w:sz w:val="20"/>
                <w:szCs w:val="20"/>
                <w:lang w:val="en-US"/>
              </w:rPr>
            </w:pPr>
          </w:p>
        </w:tc>
      </w:tr>
      <w:tr w:rsidR="009B5C06" w:rsidTr="009B5C06">
        <w:tc>
          <w:tcPr>
            <w:tcW w:w="3544" w:type="dxa"/>
            <w:tcBorders>
              <w:top w:val="nil"/>
              <w:left w:val="nil"/>
              <w:bottom w:val="nil"/>
              <w:right w:val="nil"/>
            </w:tcBorders>
            <w:vAlign w:val="center"/>
            <w:hideMark/>
          </w:tcPr>
          <w:p w:rsidR="009B5C06" w:rsidRDefault="009B5C06">
            <w:pPr>
              <w:ind w:left="720"/>
              <w:rPr>
                <w:i/>
                <w:sz w:val="20"/>
                <w:lang w:val="fr-LU"/>
              </w:rPr>
            </w:pPr>
            <w:r>
              <w:rPr>
                <w:i/>
                <w:iCs/>
              </w:rPr>
              <w:t xml:space="preserve">versus </w:t>
            </w:r>
            <w:r>
              <w:t>CBZ25 + PRED</w:t>
            </w:r>
          </w:p>
        </w:tc>
        <w:tc>
          <w:tcPr>
            <w:tcW w:w="2552" w:type="dxa"/>
            <w:tcBorders>
              <w:top w:val="nil"/>
              <w:left w:val="nil"/>
              <w:bottom w:val="nil"/>
              <w:right w:val="nil"/>
            </w:tcBorders>
            <w:hideMark/>
          </w:tcPr>
          <w:p w:rsidR="009B5C06" w:rsidRDefault="009B5C06">
            <w:pPr>
              <w:pStyle w:val="Default"/>
              <w:jc w:val="center"/>
              <w:rPr>
                <w:sz w:val="20"/>
                <w:szCs w:val="20"/>
              </w:rPr>
            </w:pPr>
            <w:r>
              <w:rPr>
                <w:sz w:val="20"/>
                <w:szCs w:val="20"/>
              </w:rPr>
              <w:t xml:space="preserve">1,024 </w:t>
            </w:r>
          </w:p>
        </w:tc>
        <w:tc>
          <w:tcPr>
            <w:tcW w:w="2965" w:type="dxa"/>
            <w:tcBorders>
              <w:top w:val="nil"/>
              <w:left w:val="nil"/>
              <w:bottom w:val="nil"/>
              <w:right w:val="nil"/>
            </w:tcBorders>
            <w:hideMark/>
          </w:tcPr>
          <w:p w:rsidR="009B5C06" w:rsidRDefault="009B5C06">
            <w:pPr>
              <w:pStyle w:val="Default"/>
              <w:jc w:val="center"/>
              <w:rPr>
                <w:sz w:val="20"/>
                <w:szCs w:val="20"/>
              </w:rPr>
            </w:pPr>
            <w:r>
              <w:rPr>
                <w:sz w:val="20"/>
                <w:szCs w:val="20"/>
              </w:rPr>
              <w:t>–</w:t>
            </w:r>
          </w:p>
        </w:tc>
      </w:tr>
      <w:tr w:rsidR="009B5C06" w:rsidTr="009B5C06">
        <w:tc>
          <w:tcPr>
            <w:tcW w:w="3544" w:type="dxa"/>
            <w:tcBorders>
              <w:top w:val="nil"/>
              <w:left w:val="nil"/>
              <w:bottom w:val="nil"/>
              <w:right w:val="nil"/>
            </w:tcBorders>
            <w:hideMark/>
          </w:tcPr>
          <w:p w:rsidR="009B5C06" w:rsidRDefault="009B5C06">
            <w:pPr>
              <w:pStyle w:val="Default"/>
              <w:ind w:left="720"/>
              <w:rPr>
                <w:sz w:val="20"/>
                <w:szCs w:val="20"/>
              </w:rPr>
            </w:pPr>
            <w:r>
              <w:rPr>
                <w:sz w:val="20"/>
                <w:szCs w:val="20"/>
              </w:rPr>
              <w:t>1-sidet 98,89</w:t>
            </w:r>
            <w:r w:rsidR="008A63AB">
              <w:rPr>
                <w:sz w:val="20"/>
                <w:szCs w:val="20"/>
              </w:rPr>
              <w:t xml:space="preserve"> %</w:t>
            </w:r>
            <w:r>
              <w:rPr>
                <w:sz w:val="20"/>
                <w:szCs w:val="20"/>
              </w:rPr>
              <w:t xml:space="preserve"> UCI </w:t>
            </w:r>
          </w:p>
        </w:tc>
        <w:tc>
          <w:tcPr>
            <w:tcW w:w="2552" w:type="dxa"/>
            <w:tcBorders>
              <w:top w:val="nil"/>
              <w:left w:val="nil"/>
              <w:bottom w:val="nil"/>
              <w:right w:val="nil"/>
            </w:tcBorders>
            <w:hideMark/>
          </w:tcPr>
          <w:p w:rsidR="009B5C06" w:rsidRDefault="009B5C06">
            <w:pPr>
              <w:pStyle w:val="Default"/>
              <w:jc w:val="center"/>
              <w:rPr>
                <w:sz w:val="20"/>
                <w:szCs w:val="20"/>
              </w:rPr>
            </w:pPr>
            <w:r>
              <w:rPr>
                <w:sz w:val="20"/>
                <w:szCs w:val="20"/>
              </w:rPr>
              <w:t xml:space="preserve">1,184 </w:t>
            </w:r>
          </w:p>
        </w:tc>
        <w:tc>
          <w:tcPr>
            <w:tcW w:w="2965" w:type="dxa"/>
            <w:tcBorders>
              <w:top w:val="nil"/>
              <w:left w:val="nil"/>
              <w:bottom w:val="nil"/>
              <w:right w:val="nil"/>
            </w:tcBorders>
            <w:hideMark/>
          </w:tcPr>
          <w:p w:rsidR="009B5C06" w:rsidRDefault="009B5C06">
            <w:pPr>
              <w:pStyle w:val="Default"/>
              <w:jc w:val="center"/>
              <w:rPr>
                <w:sz w:val="20"/>
                <w:szCs w:val="20"/>
              </w:rPr>
            </w:pPr>
            <w:r>
              <w:rPr>
                <w:sz w:val="20"/>
                <w:szCs w:val="20"/>
              </w:rPr>
              <w:t>–</w:t>
            </w:r>
          </w:p>
        </w:tc>
      </w:tr>
      <w:tr w:rsidR="009B5C06" w:rsidTr="009B5C06">
        <w:tc>
          <w:tcPr>
            <w:tcW w:w="3544" w:type="dxa"/>
            <w:tcBorders>
              <w:top w:val="nil"/>
              <w:left w:val="nil"/>
              <w:bottom w:val="single" w:sz="4" w:space="0" w:color="auto"/>
              <w:right w:val="nil"/>
            </w:tcBorders>
            <w:hideMark/>
          </w:tcPr>
          <w:p w:rsidR="009B5C06" w:rsidRDefault="009B5C06">
            <w:pPr>
              <w:pStyle w:val="Default"/>
              <w:ind w:left="720"/>
              <w:rPr>
                <w:sz w:val="20"/>
                <w:szCs w:val="20"/>
              </w:rPr>
            </w:pPr>
            <w:r>
              <w:rPr>
                <w:sz w:val="20"/>
                <w:szCs w:val="20"/>
              </w:rPr>
              <w:t>1-sidet 95</w:t>
            </w:r>
            <w:r w:rsidR="008A63AB">
              <w:rPr>
                <w:sz w:val="20"/>
                <w:szCs w:val="20"/>
              </w:rPr>
              <w:t xml:space="preserve"> %</w:t>
            </w:r>
            <w:r>
              <w:rPr>
                <w:sz w:val="20"/>
                <w:szCs w:val="20"/>
              </w:rPr>
              <w:t xml:space="preserve"> LCI </w:t>
            </w:r>
          </w:p>
        </w:tc>
        <w:tc>
          <w:tcPr>
            <w:tcW w:w="2552" w:type="dxa"/>
            <w:tcBorders>
              <w:top w:val="nil"/>
              <w:left w:val="nil"/>
              <w:bottom w:val="single" w:sz="4" w:space="0" w:color="auto"/>
              <w:right w:val="nil"/>
            </w:tcBorders>
            <w:hideMark/>
          </w:tcPr>
          <w:p w:rsidR="009B5C06" w:rsidRDefault="009B5C06">
            <w:pPr>
              <w:pStyle w:val="Default"/>
              <w:jc w:val="center"/>
              <w:rPr>
                <w:sz w:val="20"/>
                <w:szCs w:val="20"/>
              </w:rPr>
            </w:pPr>
            <w:r>
              <w:rPr>
                <w:sz w:val="20"/>
                <w:szCs w:val="20"/>
              </w:rPr>
              <w:t xml:space="preserve">0,922 </w:t>
            </w:r>
          </w:p>
        </w:tc>
        <w:tc>
          <w:tcPr>
            <w:tcW w:w="2965" w:type="dxa"/>
            <w:tcBorders>
              <w:top w:val="nil"/>
              <w:left w:val="nil"/>
              <w:bottom w:val="single" w:sz="4" w:space="0" w:color="auto"/>
              <w:right w:val="nil"/>
            </w:tcBorders>
            <w:hideMark/>
          </w:tcPr>
          <w:p w:rsidR="009B5C06" w:rsidRDefault="009B5C06">
            <w:pPr>
              <w:pStyle w:val="Default"/>
              <w:jc w:val="center"/>
              <w:rPr>
                <w:sz w:val="20"/>
                <w:szCs w:val="20"/>
              </w:rPr>
            </w:pPr>
            <w:r>
              <w:rPr>
                <w:sz w:val="20"/>
                <w:szCs w:val="20"/>
              </w:rPr>
              <w:t>–</w:t>
            </w:r>
          </w:p>
        </w:tc>
      </w:tr>
    </w:tbl>
    <w:p w:rsidR="009B5C06" w:rsidRPr="007B3A9D" w:rsidRDefault="009B5C06" w:rsidP="009B5C06">
      <w:pPr>
        <w:pStyle w:val="Default"/>
        <w:rPr>
          <w:sz w:val="18"/>
          <w:szCs w:val="18"/>
          <w:lang w:val="fr-LU"/>
        </w:rPr>
      </w:pPr>
      <w:r w:rsidRPr="007B3A9D">
        <w:rPr>
          <w:sz w:val="18"/>
          <w:szCs w:val="18"/>
          <w:lang w:val="fr-LU"/>
        </w:rPr>
        <w:t>CBZ20 = Cabazitaxel 20 mg/m</w:t>
      </w:r>
      <w:r w:rsidRPr="007B3A9D">
        <w:rPr>
          <w:sz w:val="18"/>
          <w:szCs w:val="18"/>
          <w:vertAlign w:val="superscript"/>
          <w:lang w:val="fr-LU"/>
        </w:rPr>
        <w:t>2</w:t>
      </w:r>
      <w:r w:rsidRPr="007B3A9D">
        <w:rPr>
          <w:sz w:val="18"/>
          <w:szCs w:val="18"/>
          <w:lang w:val="fr-LU"/>
        </w:rPr>
        <w:t>, CBZ25 = Cabazitaxel 25 mg/m</w:t>
      </w:r>
      <w:r w:rsidRPr="007B3A9D">
        <w:rPr>
          <w:sz w:val="18"/>
          <w:szCs w:val="18"/>
          <w:vertAlign w:val="superscript"/>
          <w:lang w:val="fr-LU"/>
        </w:rPr>
        <w:t>2</w:t>
      </w:r>
      <w:r w:rsidRPr="007B3A9D">
        <w:rPr>
          <w:sz w:val="18"/>
          <w:szCs w:val="18"/>
          <w:lang w:val="fr-LU"/>
        </w:rPr>
        <w:t xml:space="preserve">, PRED = Prednison/Prednisolon </w:t>
      </w:r>
    </w:p>
    <w:p w:rsidR="009B5C06" w:rsidRPr="007B3A9D" w:rsidRDefault="009B5C06" w:rsidP="009B5C06">
      <w:pPr>
        <w:pStyle w:val="Default"/>
        <w:rPr>
          <w:sz w:val="18"/>
          <w:szCs w:val="18"/>
        </w:rPr>
      </w:pPr>
      <w:r w:rsidRPr="007B3A9D">
        <w:rPr>
          <w:sz w:val="18"/>
          <w:szCs w:val="18"/>
        </w:rPr>
        <w:t xml:space="preserve">CI = konfidensinterval, LCI = nedre grænse for konfidensintervallet, UCI = øvre grænse af konfidensintervallet </w:t>
      </w:r>
    </w:p>
    <w:p w:rsidR="009B5C06" w:rsidRPr="007B3A9D" w:rsidRDefault="009B5C06" w:rsidP="009B5C06">
      <w:pPr>
        <w:suppressAutoHyphens/>
        <w:rPr>
          <w:b/>
          <w:sz w:val="18"/>
          <w:szCs w:val="18"/>
        </w:rPr>
      </w:pPr>
      <w:r w:rsidRPr="007B3A9D">
        <w:rPr>
          <w:i/>
          <w:iCs/>
          <w:sz w:val="18"/>
          <w:szCs w:val="18"/>
          <w:vertAlign w:val="superscript"/>
        </w:rPr>
        <w:t>a</w:t>
      </w:r>
      <w:r w:rsidRPr="007B3A9D">
        <w:rPr>
          <w:i/>
          <w:iCs/>
          <w:sz w:val="18"/>
          <w:szCs w:val="18"/>
        </w:rPr>
        <w:t xml:space="preserve"> </w:t>
      </w:r>
      <w:proofErr w:type="spellStart"/>
      <w:r w:rsidRPr="007B3A9D">
        <w:rPr>
          <w:i/>
          <w:iCs/>
          <w:sz w:val="18"/>
          <w:szCs w:val="18"/>
        </w:rPr>
        <w:t>Hazard</w:t>
      </w:r>
      <w:proofErr w:type="spellEnd"/>
      <w:r w:rsidRPr="007B3A9D">
        <w:rPr>
          <w:i/>
          <w:iCs/>
          <w:sz w:val="18"/>
          <w:szCs w:val="18"/>
        </w:rPr>
        <w:t xml:space="preserve"> </w:t>
      </w:r>
      <w:r w:rsidRPr="007B3A9D">
        <w:rPr>
          <w:sz w:val="18"/>
          <w:szCs w:val="18"/>
        </w:rPr>
        <w:t xml:space="preserve">ratio er estimeret ved hjælp af en Cox-proportionel-risiko-regressions model. </w:t>
      </w:r>
      <w:proofErr w:type="spellStart"/>
      <w:r w:rsidRPr="007B3A9D">
        <w:rPr>
          <w:i/>
          <w:iCs/>
          <w:sz w:val="18"/>
          <w:szCs w:val="18"/>
        </w:rPr>
        <w:t>Hazard</w:t>
      </w:r>
      <w:proofErr w:type="spellEnd"/>
      <w:r w:rsidRPr="007B3A9D">
        <w:rPr>
          <w:i/>
          <w:iCs/>
          <w:sz w:val="18"/>
          <w:szCs w:val="18"/>
        </w:rPr>
        <w:t xml:space="preserve"> </w:t>
      </w:r>
      <w:r w:rsidRPr="007B3A9D">
        <w:rPr>
          <w:sz w:val="18"/>
          <w:szCs w:val="18"/>
        </w:rPr>
        <w:t xml:space="preserve">ratio &lt; 1 indikerer en lavere risiko for </w:t>
      </w:r>
      <w:proofErr w:type="spellStart"/>
      <w:r w:rsidRPr="007B3A9D">
        <w:rPr>
          <w:sz w:val="18"/>
          <w:szCs w:val="18"/>
        </w:rPr>
        <w:t>Cabazitaxel</w:t>
      </w:r>
      <w:proofErr w:type="spellEnd"/>
      <w:r w:rsidRPr="007B3A9D">
        <w:rPr>
          <w:sz w:val="18"/>
          <w:szCs w:val="18"/>
        </w:rPr>
        <w:t xml:space="preserve"> 20 mg/m</w:t>
      </w:r>
      <w:r w:rsidRPr="007B3A9D">
        <w:rPr>
          <w:sz w:val="18"/>
          <w:szCs w:val="18"/>
          <w:vertAlign w:val="superscript"/>
        </w:rPr>
        <w:t>2</w:t>
      </w:r>
      <w:r w:rsidRPr="007B3A9D">
        <w:rPr>
          <w:sz w:val="18"/>
          <w:szCs w:val="18"/>
        </w:rPr>
        <w:t xml:space="preserve"> i forhold til 25 mg/m</w:t>
      </w:r>
      <w:r w:rsidRPr="007B3A9D">
        <w:rPr>
          <w:sz w:val="18"/>
          <w:szCs w:val="18"/>
          <w:vertAlign w:val="superscript"/>
        </w:rPr>
        <w:t>2</w:t>
      </w:r>
      <w:r w:rsidRPr="007B3A9D">
        <w:rPr>
          <w:sz w:val="18"/>
          <w:szCs w:val="18"/>
        </w:rPr>
        <w:t>.</w:t>
      </w:r>
    </w:p>
    <w:p w:rsidR="009B5C06" w:rsidRDefault="009B5C06" w:rsidP="009B5C06">
      <w:pPr>
        <w:suppressAutoHyphens/>
        <w:ind w:left="567" w:hanging="567"/>
        <w:rPr>
          <w:b/>
          <w:sz w:val="22"/>
          <w:szCs w:val="22"/>
        </w:rPr>
      </w:pPr>
    </w:p>
    <w:p w:rsidR="009B5C06" w:rsidRPr="00902C34" w:rsidRDefault="009B5C06" w:rsidP="00902C34">
      <w:pPr>
        <w:ind w:left="851"/>
        <w:rPr>
          <w:sz w:val="24"/>
          <w:szCs w:val="24"/>
        </w:rPr>
      </w:pPr>
      <w:r w:rsidRPr="00902C34">
        <w:rPr>
          <w:sz w:val="24"/>
          <w:szCs w:val="24"/>
        </w:rPr>
        <w:t xml:space="preserve">Sikkerhedsprofilen for </w:t>
      </w:r>
      <w:proofErr w:type="spellStart"/>
      <w:r w:rsidRPr="00902C34">
        <w:rPr>
          <w:sz w:val="24"/>
          <w:szCs w:val="24"/>
        </w:rPr>
        <w:t>cabazitaxel</w:t>
      </w:r>
      <w:proofErr w:type="spellEnd"/>
      <w:r w:rsidRPr="00902C34">
        <w:rPr>
          <w:sz w:val="24"/>
          <w:szCs w:val="24"/>
        </w:rPr>
        <w:t xml:space="preserve"> 25 mg/m</w:t>
      </w:r>
      <w:r w:rsidRPr="00902C34">
        <w:rPr>
          <w:sz w:val="24"/>
          <w:szCs w:val="24"/>
          <w:vertAlign w:val="superscript"/>
        </w:rPr>
        <w:t>2</w:t>
      </w:r>
      <w:r w:rsidRPr="00902C34">
        <w:rPr>
          <w:sz w:val="24"/>
          <w:szCs w:val="24"/>
        </w:rPr>
        <w:t xml:space="preserve"> observeret i dette studie var kvalitativt og kvantitativt svarende til det observerede i EFC6193-studiet. EFC11785-studiet viste en bedre sikkerhedsprofil for </w:t>
      </w:r>
      <w:proofErr w:type="spellStart"/>
      <w:r w:rsidRPr="00902C34">
        <w:rPr>
          <w:sz w:val="24"/>
          <w:szCs w:val="24"/>
        </w:rPr>
        <w:t>cabazitaxel</w:t>
      </w:r>
      <w:proofErr w:type="spellEnd"/>
      <w:r w:rsidRPr="00902C34">
        <w:rPr>
          <w:sz w:val="24"/>
          <w:szCs w:val="24"/>
        </w:rPr>
        <w:t xml:space="preserve"> 20 mg/m</w:t>
      </w:r>
      <w:r w:rsidRPr="00902C34">
        <w:rPr>
          <w:sz w:val="24"/>
          <w:szCs w:val="24"/>
          <w:vertAlign w:val="superscript"/>
        </w:rPr>
        <w:t>2</w:t>
      </w:r>
      <w:r w:rsidRPr="00902C34">
        <w:rPr>
          <w:sz w:val="24"/>
          <w:szCs w:val="24"/>
        </w:rPr>
        <w:t>-dosen.</w:t>
      </w:r>
    </w:p>
    <w:p w:rsidR="005D41A6" w:rsidRDefault="005D41A6">
      <w:pPr>
        <w:rPr>
          <w:b/>
          <w:sz w:val="24"/>
          <w:szCs w:val="24"/>
        </w:rPr>
      </w:pPr>
      <w:r>
        <w:rPr>
          <w:b/>
          <w:sz w:val="24"/>
          <w:szCs w:val="24"/>
        </w:rPr>
        <w:br w:type="page"/>
      </w:r>
    </w:p>
    <w:p w:rsidR="009B5C06" w:rsidRPr="00902C34" w:rsidRDefault="009B5C06" w:rsidP="005D41A6">
      <w:pPr>
        <w:suppressAutoHyphens/>
        <w:rPr>
          <w:b/>
          <w:sz w:val="24"/>
          <w:szCs w:val="24"/>
        </w:rPr>
      </w:pPr>
    </w:p>
    <w:p w:rsidR="009B5C06" w:rsidRPr="00902C34" w:rsidRDefault="009B5C06" w:rsidP="009B5C06">
      <w:pPr>
        <w:rPr>
          <w:i/>
          <w:iCs/>
          <w:sz w:val="24"/>
          <w:szCs w:val="24"/>
        </w:rPr>
      </w:pPr>
      <w:r w:rsidRPr="00902C34">
        <w:rPr>
          <w:i/>
          <w:iCs/>
          <w:sz w:val="24"/>
          <w:szCs w:val="24"/>
        </w:rPr>
        <w:t>Tabel 5 Resum</w:t>
      </w:r>
      <w:r w:rsidR="00902C34">
        <w:rPr>
          <w:i/>
          <w:iCs/>
          <w:sz w:val="24"/>
          <w:szCs w:val="24"/>
        </w:rPr>
        <w:t>é</w:t>
      </w:r>
      <w:r w:rsidRPr="00902C34">
        <w:rPr>
          <w:i/>
          <w:iCs/>
          <w:sz w:val="24"/>
          <w:szCs w:val="24"/>
        </w:rPr>
        <w:t xml:space="preserve"> af sikkerhedsdata for </w:t>
      </w:r>
      <w:proofErr w:type="spellStart"/>
      <w:r w:rsidRPr="00902C34">
        <w:rPr>
          <w:i/>
          <w:iCs/>
          <w:sz w:val="24"/>
          <w:szCs w:val="24"/>
        </w:rPr>
        <w:t>cabazitaxel</w:t>
      </w:r>
      <w:proofErr w:type="spellEnd"/>
      <w:r w:rsidRPr="00902C34">
        <w:rPr>
          <w:i/>
          <w:iCs/>
          <w:sz w:val="24"/>
          <w:szCs w:val="24"/>
        </w:rPr>
        <w:t xml:space="preserve"> 25 mg/m</w:t>
      </w:r>
      <w:r w:rsidRPr="00902C34">
        <w:rPr>
          <w:i/>
          <w:iCs/>
          <w:sz w:val="24"/>
          <w:szCs w:val="24"/>
          <w:vertAlign w:val="superscript"/>
        </w:rPr>
        <w:t>2</w:t>
      </w:r>
      <w:r w:rsidRPr="00902C34">
        <w:rPr>
          <w:i/>
          <w:iCs/>
          <w:sz w:val="24"/>
          <w:szCs w:val="24"/>
        </w:rPr>
        <w:t xml:space="preserve"> versus </w:t>
      </w:r>
      <w:proofErr w:type="spellStart"/>
      <w:r w:rsidRPr="00902C34">
        <w:rPr>
          <w:i/>
          <w:iCs/>
          <w:sz w:val="24"/>
          <w:szCs w:val="24"/>
        </w:rPr>
        <w:t>cabazitaxel</w:t>
      </w:r>
      <w:proofErr w:type="spellEnd"/>
      <w:r w:rsidRPr="00902C34">
        <w:rPr>
          <w:i/>
          <w:iCs/>
          <w:sz w:val="24"/>
          <w:szCs w:val="24"/>
        </w:rPr>
        <w:t xml:space="preserve"> 20 mg/m</w:t>
      </w:r>
      <w:r w:rsidRPr="00902C34">
        <w:rPr>
          <w:i/>
          <w:iCs/>
          <w:sz w:val="24"/>
          <w:szCs w:val="24"/>
          <w:vertAlign w:val="superscript"/>
        </w:rPr>
        <w:t>2</w:t>
      </w:r>
      <w:r w:rsidRPr="00902C34">
        <w:rPr>
          <w:i/>
          <w:iCs/>
          <w:sz w:val="24"/>
          <w:szCs w:val="24"/>
        </w:rPr>
        <w:t xml:space="preserve"> i EFC11785 studiet</w:t>
      </w:r>
    </w:p>
    <w:tbl>
      <w:tblPr>
        <w:tblStyle w:val="Tabel-Gitt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3165"/>
        <w:gridCol w:w="3159"/>
      </w:tblGrid>
      <w:tr w:rsidR="009B5C06" w:rsidTr="009B5C06">
        <w:tc>
          <w:tcPr>
            <w:tcW w:w="1719" w:type="pct"/>
            <w:tcBorders>
              <w:top w:val="single" w:sz="4" w:space="0" w:color="auto"/>
              <w:left w:val="nil"/>
              <w:bottom w:val="single" w:sz="4" w:space="0" w:color="auto"/>
              <w:right w:val="nil"/>
            </w:tcBorders>
          </w:tcPr>
          <w:p w:rsidR="009B5C06" w:rsidRDefault="009B5C06">
            <w:pPr>
              <w:suppressAutoHyphens/>
              <w:rPr>
                <w:b/>
                <w:sz w:val="20"/>
                <w:lang w:val="da-DK"/>
              </w:rPr>
            </w:pPr>
          </w:p>
        </w:tc>
        <w:tc>
          <w:tcPr>
            <w:tcW w:w="1642" w:type="pct"/>
            <w:tcBorders>
              <w:top w:val="single" w:sz="4" w:space="0" w:color="auto"/>
              <w:left w:val="nil"/>
              <w:bottom w:val="single" w:sz="4" w:space="0" w:color="auto"/>
              <w:right w:val="nil"/>
            </w:tcBorders>
            <w:hideMark/>
          </w:tcPr>
          <w:p w:rsidR="009B5C06" w:rsidRDefault="009B5C06">
            <w:pPr>
              <w:pStyle w:val="Default"/>
              <w:rPr>
                <w:sz w:val="20"/>
                <w:szCs w:val="20"/>
              </w:rPr>
            </w:pPr>
            <w:r>
              <w:rPr>
                <w:b/>
                <w:bCs/>
                <w:sz w:val="20"/>
                <w:szCs w:val="20"/>
              </w:rPr>
              <w:t xml:space="preserve">CBZ20+PRED </w:t>
            </w:r>
          </w:p>
          <w:p w:rsidR="009B5C06" w:rsidRDefault="009B5C06">
            <w:pPr>
              <w:suppressAutoHyphens/>
              <w:rPr>
                <w:b/>
                <w:sz w:val="20"/>
                <w:lang w:val="da-DK"/>
              </w:rPr>
            </w:pPr>
            <w:r>
              <w:rPr>
                <w:b/>
                <w:bCs/>
              </w:rPr>
              <w:t xml:space="preserve">n=580 </w:t>
            </w:r>
          </w:p>
        </w:tc>
        <w:tc>
          <w:tcPr>
            <w:tcW w:w="1639" w:type="pct"/>
            <w:tcBorders>
              <w:top w:val="single" w:sz="4" w:space="0" w:color="auto"/>
              <w:left w:val="nil"/>
              <w:bottom w:val="single" w:sz="4" w:space="0" w:color="auto"/>
              <w:right w:val="nil"/>
            </w:tcBorders>
            <w:hideMark/>
          </w:tcPr>
          <w:p w:rsidR="009B5C06" w:rsidRDefault="009B5C06">
            <w:pPr>
              <w:pStyle w:val="Default"/>
              <w:rPr>
                <w:sz w:val="20"/>
                <w:szCs w:val="20"/>
              </w:rPr>
            </w:pPr>
            <w:r>
              <w:rPr>
                <w:b/>
                <w:bCs/>
                <w:sz w:val="20"/>
                <w:szCs w:val="20"/>
              </w:rPr>
              <w:t xml:space="preserve">CBZ25+PRED </w:t>
            </w:r>
          </w:p>
          <w:p w:rsidR="009B5C06" w:rsidRDefault="009B5C06">
            <w:pPr>
              <w:suppressAutoHyphens/>
              <w:rPr>
                <w:b/>
                <w:sz w:val="20"/>
                <w:lang w:val="da-DK"/>
              </w:rPr>
            </w:pPr>
            <w:r>
              <w:rPr>
                <w:b/>
                <w:bCs/>
              </w:rPr>
              <w:t>n=595</w:t>
            </w:r>
          </w:p>
        </w:tc>
      </w:tr>
      <w:tr w:rsidR="009B5C06" w:rsidTr="009B5C06">
        <w:trPr>
          <w:trHeight w:val="274"/>
        </w:trPr>
        <w:tc>
          <w:tcPr>
            <w:tcW w:w="1719" w:type="pct"/>
            <w:hideMark/>
          </w:tcPr>
          <w:p w:rsidR="009B5C06" w:rsidRPr="009B5C06" w:rsidRDefault="009B5C06">
            <w:pPr>
              <w:pStyle w:val="Default"/>
              <w:rPr>
                <w:sz w:val="20"/>
                <w:szCs w:val="20"/>
                <w:lang w:val="da-DK"/>
              </w:rPr>
            </w:pPr>
            <w:proofErr w:type="spellStart"/>
            <w:r w:rsidRPr="009B5C06">
              <w:rPr>
                <w:sz w:val="20"/>
                <w:szCs w:val="20"/>
                <w:lang w:val="da-DK"/>
              </w:rPr>
              <w:t>Mediant</w:t>
            </w:r>
            <w:proofErr w:type="spellEnd"/>
            <w:r w:rsidRPr="009B5C06">
              <w:rPr>
                <w:sz w:val="20"/>
                <w:szCs w:val="20"/>
                <w:lang w:val="da-DK"/>
              </w:rPr>
              <w:t xml:space="preserve"> antal serier / median behandlingsvarighed </w:t>
            </w:r>
          </w:p>
        </w:tc>
        <w:tc>
          <w:tcPr>
            <w:tcW w:w="1642" w:type="pct"/>
            <w:hideMark/>
          </w:tcPr>
          <w:p w:rsidR="009B5C06" w:rsidRDefault="009B5C06">
            <w:pPr>
              <w:pStyle w:val="Default"/>
              <w:rPr>
                <w:sz w:val="20"/>
                <w:szCs w:val="20"/>
              </w:rPr>
            </w:pPr>
            <w:r>
              <w:rPr>
                <w:sz w:val="20"/>
                <w:szCs w:val="20"/>
              </w:rPr>
              <w:t xml:space="preserve">6 / 18 </w:t>
            </w:r>
            <w:proofErr w:type="spellStart"/>
            <w:r>
              <w:rPr>
                <w:sz w:val="20"/>
                <w:szCs w:val="20"/>
              </w:rPr>
              <w:t>uger</w:t>
            </w:r>
            <w:proofErr w:type="spellEnd"/>
            <w:r>
              <w:rPr>
                <w:sz w:val="20"/>
                <w:szCs w:val="20"/>
              </w:rPr>
              <w:t xml:space="preserve"> </w:t>
            </w:r>
          </w:p>
        </w:tc>
        <w:tc>
          <w:tcPr>
            <w:tcW w:w="1639" w:type="pct"/>
            <w:hideMark/>
          </w:tcPr>
          <w:p w:rsidR="009B5C06" w:rsidRDefault="009B5C06">
            <w:pPr>
              <w:pStyle w:val="Default"/>
              <w:rPr>
                <w:sz w:val="20"/>
                <w:szCs w:val="20"/>
              </w:rPr>
            </w:pPr>
            <w:r>
              <w:rPr>
                <w:sz w:val="20"/>
                <w:szCs w:val="20"/>
              </w:rPr>
              <w:t xml:space="preserve">7 / 21 </w:t>
            </w:r>
            <w:proofErr w:type="spellStart"/>
            <w:r>
              <w:rPr>
                <w:sz w:val="20"/>
                <w:szCs w:val="20"/>
              </w:rPr>
              <w:t>uger</w:t>
            </w:r>
            <w:proofErr w:type="spellEnd"/>
            <w:r>
              <w:rPr>
                <w:sz w:val="20"/>
                <w:szCs w:val="20"/>
              </w:rPr>
              <w:t xml:space="preserve"> </w:t>
            </w:r>
          </w:p>
        </w:tc>
      </w:tr>
      <w:tr w:rsidR="009B5C06" w:rsidTr="009B5C06">
        <w:trPr>
          <w:trHeight w:val="274"/>
        </w:trPr>
        <w:tc>
          <w:tcPr>
            <w:tcW w:w="1719" w:type="pct"/>
          </w:tcPr>
          <w:p w:rsidR="009B5C06" w:rsidRDefault="009B5C06">
            <w:pPr>
              <w:pStyle w:val="Default"/>
              <w:rPr>
                <w:sz w:val="20"/>
                <w:szCs w:val="20"/>
              </w:rPr>
            </w:pPr>
          </w:p>
        </w:tc>
        <w:tc>
          <w:tcPr>
            <w:tcW w:w="1642" w:type="pct"/>
          </w:tcPr>
          <w:p w:rsidR="009B5C06" w:rsidRDefault="009B5C06">
            <w:pPr>
              <w:pStyle w:val="Default"/>
              <w:rPr>
                <w:sz w:val="20"/>
                <w:szCs w:val="20"/>
              </w:rPr>
            </w:pPr>
          </w:p>
        </w:tc>
        <w:tc>
          <w:tcPr>
            <w:tcW w:w="1639" w:type="pct"/>
          </w:tcPr>
          <w:p w:rsidR="009B5C06" w:rsidRDefault="009B5C06">
            <w:pPr>
              <w:pStyle w:val="Default"/>
              <w:rPr>
                <w:sz w:val="20"/>
                <w:szCs w:val="20"/>
              </w:rPr>
            </w:pPr>
          </w:p>
        </w:tc>
      </w:tr>
      <w:tr w:rsidR="009B5C06" w:rsidTr="009B5C06">
        <w:trPr>
          <w:trHeight w:val="434"/>
        </w:trPr>
        <w:tc>
          <w:tcPr>
            <w:tcW w:w="1719" w:type="pct"/>
            <w:hideMark/>
          </w:tcPr>
          <w:p w:rsidR="009B5C06" w:rsidRPr="009B5C06" w:rsidRDefault="009B5C06">
            <w:pPr>
              <w:pStyle w:val="Default"/>
              <w:rPr>
                <w:sz w:val="20"/>
                <w:szCs w:val="20"/>
                <w:lang w:val="da-DK"/>
              </w:rPr>
            </w:pPr>
            <w:r w:rsidRPr="009B5C06">
              <w:rPr>
                <w:sz w:val="20"/>
                <w:szCs w:val="20"/>
                <w:lang w:val="da-DK"/>
              </w:rPr>
              <w:t xml:space="preserve">Antal patienter, der fik dosisreduktion </w:t>
            </w:r>
          </w:p>
          <w:p w:rsidR="009B5C06" w:rsidRPr="009B5C06" w:rsidRDefault="009B5C06">
            <w:pPr>
              <w:pStyle w:val="Default"/>
              <w:rPr>
                <w:sz w:val="20"/>
                <w:szCs w:val="20"/>
                <w:lang w:val="da-DK"/>
              </w:rPr>
            </w:pPr>
            <w:r w:rsidRPr="009B5C06">
              <w:rPr>
                <w:sz w:val="20"/>
                <w:szCs w:val="20"/>
                <w:lang w:val="da-DK"/>
              </w:rPr>
              <w:t>n (</w:t>
            </w:r>
            <w:r w:rsidR="008A63AB">
              <w:rPr>
                <w:sz w:val="20"/>
                <w:szCs w:val="20"/>
                <w:lang w:val="da-DK"/>
              </w:rPr>
              <w:t>%</w:t>
            </w:r>
            <w:r w:rsidRPr="009B5C06">
              <w:rPr>
                <w:sz w:val="20"/>
                <w:szCs w:val="20"/>
                <w:lang w:val="da-DK"/>
              </w:rPr>
              <w:t xml:space="preserve">) </w:t>
            </w:r>
          </w:p>
        </w:tc>
        <w:tc>
          <w:tcPr>
            <w:tcW w:w="1642" w:type="pct"/>
          </w:tcPr>
          <w:p w:rsidR="009B5C06" w:rsidRPr="009B5C06" w:rsidRDefault="009B5C06">
            <w:pPr>
              <w:pStyle w:val="Default"/>
              <w:rPr>
                <w:sz w:val="20"/>
                <w:szCs w:val="20"/>
                <w:lang w:val="da-DK"/>
              </w:rPr>
            </w:pPr>
          </w:p>
          <w:p w:rsidR="009B5C06" w:rsidRPr="009B5C06" w:rsidRDefault="009B5C06">
            <w:pPr>
              <w:pStyle w:val="Default"/>
              <w:rPr>
                <w:sz w:val="20"/>
                <w:szCs w:val="20"/>
                <w:lang w:val="da-DK"/>
              </w:rPr>
            </w:pPr>
            <w:r w:rsidRPr="009B5C06">
              <w:rPr>
                <w:sz w:val="20"/>
                <w:szCs w:val="20"/>
                <w:lang w:val="da-DK"/>
              </w:rPr>
              <w:t>Fra 20 til 15 mg/m</w:t>
            </w:r>
            <w:r w:rsidRPr="009B5C06">
              <w:rPr>
                <w:sz w:val="20"/>
                <w:szCs w:val="20"/>
                <w:vertAlign w:val="superscript"/>
                <w:lang w:val="da-DK"/>
              </w:rPr>
              <w:t>2</w:t>
            </w:r>
            <w:r w:rsidRPr="009B5C06">
              <w:rPr>
                <w:sz w:val="20"/>
                <w:szCs w:val="20"/>
                <w:lang w:val="da-DK"/>
              </w:rPr>
              <w:t>: 58 (10,0</w:t>
            </w:r>
            <w:r w:rsidR="008A63AB">
              <w:rPr>
                <w:sz w:val="20"/>
                <w:szCs w:val="20"/>
                <w:lang w:val="da-DK"/>
              </w:rPr>
              <w:t xml:space="preserve"> %</w:t>
            </w:r>
            <w:r w:rsidRPr="009B5C06">
              <w:rPr>
                <w:sz w:val="20"/>
                <w:szCs w:val="20"/>
                <w:lang w:val="da-DK"/>
              </w:rPr>
              <w:t xml:space="preserve">) </w:t>
            </w:r>
          </w:p>
          <w:p w:rsidR="009B5C06" w:rsidRPr="009B5C06" w:rsidRDefault="009B5C06">
            <w:pPr>
              <w:pStyle w:val="Default"/>
              <w:rPr>
                <w:sz w:val="20"/>
                <w:szCs w:val="20"/>
                <w:lang w:val="da-DK"/>
              </w:rPr>
            </w:pPr>
            <w:r w:rsidRPr="009B5C06">
              <w:rPr>
                <w:sz w:val="20"/>
                <w:szCs w:val="20"/>
                <w:lang w:val="da-DK"/>
              </w:rPr>
              <w:t>Fra 15 til 12 mg/m</w:t>
            </w:r>
            <w:r w:rsidRPr="009B5C06">
              <w:rPr>
                <w:sz w:val="20"/>
                <w:szCs w:val="20"/>
                <w:vertAlign w:val="superscript"/>
                <w:lang w:val="da-DK"/>
              </w:rPr>
              <w:t>2</w:t>
            </w:r>
            <w:r w:rsidRPr="009B5C06">
              <w:rPr>
                <w:sz w:val="20"/>
                <w:szCs w:val="20"/>
                <w:lang w:val="da-DK"/>
              </w:rPr>
              <w:t>: 9 (1,6</w:t>
            </w:r>
            <w:r w:rsidR="008A63AB">
              <w:rPr>
                <w:sz w:val="20"/>
                <w:szCs w:val="20"/>
                <w:lang w:val="da-DK"/>
              </w:rPr>
              <w:t xml:space="preserve"> %</w:t>
            </w:r>
            <w:r w:rsidRPr="009B5C06">
              <w:rPr>
                <w:sz w:val="20"/>
                <w:szCs w:val="20"/>
                <w:lang w:val="da-DK"/>
              </w:rPr>
              <w:t xml:space="preserve">) </w:t>
            </w:r>
          </w:p>
        </w:tc>
        <w:tc>
          <w:tcPr>
            <w:tcW w:w="1639" w:type="pct"/>
            <w:hideMark/>
          </w:tcPr>
          <w:p w:rsidR="009B5C06" w:rsidRPr="009B5C06" w:rsidRDefault="009B5C06">
            <w:pPr>
              <w:pStyle w:val="Default"/>
              <w:rPr>
                <w:sz w:val="20"/>
                <w:szCs w:val="20"/>
                <w:lang w:val="da-DK"/>
              </w:rPr>
            </w:pPr>
            <w:r w:rsidRPr="009B5C06">
              <w:rPr>
                <w:sz w:val="20"/>
                <w:szCs w:val="20"/>
                <w:lang w:val="da-DK"/>
              </w:rPr>
              <w:t>Fra 25 til 20 mg/m</w:t>
            </w:r>
            <w:r w:rsidRPr="009B5C06">
              <w:rPr>
                <w:sz w:val="20"/>
                <w:szCs w:val="20"/>
                <w:vertAlign w:val="superscript"/>
                <w:lang w:val="da-DK"/>
              </w:rPr>
              <w:t>2</w:t>
            </w:r>
            <w:r w:rsidRPr="009B5C06">
              <w:rPr>
                <w:sz w:val="20"/>
                <w:szCs w:val="20"/>
                <w:lang w:val="da-DK"/>
              </w:rPr>
              <w:t>: 128 (21,5</w:t>
            </w:r>
            <w:r w:rsidR="008A63AB">
              <w:rPr>
                <w:sz w:val="20"/>
                <w:szCs w:val="20"/>
                <w:lang w:val="da-DK"/>
              </w:rPr>
              <w:t xml:space="preserve"> %</w:t>
            </w:r>
            <w:r w:rsidRPr="009B5C06">
              <w:rPr>
                <w:sz w:val="20"/>
                <w:szCs w:val="20"/>
                <w:lang w:val="da-DK"/>
              </w:rPr>
              <w:t xml:space="preserve">) </w:t>
            </w:r>
          </w:p>
          <w:p w:rsidR="009B5C06" w:rsidRPr="009B5C06" w:rsidRDefault="009B5C06">
            <w:pPr>
              <w:pStyle w:val="Default"/>
              <w:rPr>
                <w:sz w:val="20"/>
                <w:szCs w:val="20"/>
                <w:lang w:val="da-DK"/>
              </w:rPr>
            </w:pPr>
            <w:r w:rsidRPr="009B5C06">
              <w:rPr>
                <w:sz w:val="20"/>
                <w:szCs w:val="20"/>
                <w:lang w:val="da-DK"/>
              </w:rPr>
              <w:t>Fra 20 til 15 mg/m</w:t>
            </w:r>
            <w:r w:rsidRPr="009B5C06">
              <w:rPr>
                <w:sz w:val="20"/>
                <w:szCs w:val="20"/>
                <w:vertAlign w:val="superscript"/>
                <w:lang w:val="da-DK"/>
              </w:rPr>
              <w:t>2</w:t>
            </w:r>
            <w:r w:rsidRPr="009B5C06">
              <w:rPr>
                <w:sz w:val="20"/>
                <w:szCs w:val="20"/>
                <w:lang w:val="da-DK"/>
              </w:rPr>
              <w:t>: 19 (3,2</w:t>
            </w:r>
            <w:r w:rsidR="008A63AB">
              <w:rPr>
                <w:sz w:val="20"/>
                <w:szCs w:val="20"/>
                <w:lang w:val="da-DK"/>
              </w:rPr>
              <w:t xml:space="preserve"> %</w:t>
            </w:r>
            <w:r w:rsidRPr="009B5C06">
              <w:rPr>
                <w:sz w:val="20"/>
                <w:szCs w:val="20"/>
                <w:lang w:val="da-DK"/>
              </w:rPr>
              <w:t xml:space="preserve">) </w:t>
            </w:r>
          </w:p>
          <w:p w:rsidR="009B5C06" w:rsidRDefault="009B5C06">
            <w:pPr>
              <w:pStyle w:val="Default"/>
              <w:rPr>
                <w:sz w:val="20"/>
                <w:szCs w:val="20"/>
              </w:rPr>
            </w:pPr>
            <w:r>
              <w:rPr>
                <w:sz w:val="20"/>
                <w:szCs w:val="20"/>
              </w:rPr>
              <w:t xml:space="preserve">Fra 15 </w:t>
            </w:r>
            <w:proofErr w:type="spellStart"/>
            <w:r>
              <w:rPr>
                <w:sz w:val="20"/>
                <w:szCs w:val="20"/>
              </w:rPr>
              <w:t>til</w:t>
            </w:r>
            <w:proofErr w:type="spellEnd"/>
            <w:r>
              <w:rPr>
                <w:sz w:val="20"/>
                <w:szCs w:val="20"/>
              </w:rPr>
              <w:t xml:space="preserve"> 12 mg/m</w:t>
            </w:r>
            <w:r>
              <w:rPr>
                <w:sz w:val="20"/>
                <w:szCs w:val="20"/>
                <w:vertAlign w:val="superscript"/>
              </w:rPr>
              <w:t>2</w:t>
            </w:r>
            <w:r>
              <w:rPr>
                <w:sz w:val="20"/>
                <w:szCs w:val="20"/>
              </w:rPr>
              <w:t>: 1 (0,2</w:t>
            </w:r>
            <w:r w:rsidR="008A63AB">
              <w:rPr>
                <w:sz w:val="20"/>
                <w:szCs w:val="20"/>
              </w:rPr>
              <w:t xml:space="preserve"> %</w:t>
            </w:r>
            <w:r>
              <w:rPr>
                <w:sz w:val="20"/>
                <w:szCs w:val="20"/>
              </w:rPr>
              <w:t xml:space="preserve">) </w:t>
            </w:r>
          </w:p>
        </w:tc>
      </w:tr>
      <w:tr w:rsidR="009B5C06" w:rsidTr="009B5C06">
        <w:trPr>
          <w:trHeight w:val="204"/>
        </w:trPr>
        <w:tc>
          <w:tcPr>
            <w:tcW w:w="1719" w:type="pct"/>
          </w:tcPr>
          <w:p w:rsidR="009B5C06" w:rsidRDefault="009B5C06">
            <w:pPr>
              <w:pStyle w:val="Default"/>
              <w:rPr>
                <w:sz w:val="20"/>
                <w:szCs w:val="20"/>
              </w:rPr>
            </w:pPr>
          </w:p>
        </w:tc>
        <w:tc>
          <w:tcPr>
            <w:tcW w:w="1642" w:type="pct"/>
          </w:tcPr>
          <w:p w:rsidR="009B5C06" w:rsidRDefault="009B5C06">
            <w:pPr>
              <w:pStyle w:val="Default"/>
              <w:rPr>
                <w:sz w:val="20"/>
                <w:szCs w:val="20"/>
              </w:rPr>
            </w:pPr>
          </w:p>
        </w:tc>
        <w:tc>
          <w:tcPr>
            <w:tcW w:w="1639" w:type="pct"/>
          </w:tcPr>
          <w:p w:rsidR="009B5C06" w:rsidRDefault="009B5C06">
            <w:pPr>
              <w:pStyle w:val="Default"/>
              <w:rPr>
                <w:sz w:val="20"/>
                <w:szCs w:val="20"/>
              </w:rPr>
            </w:pPr>
          </w:p>
        </w:tc>
      </w:tr>
      <w:tr w:rsidR="009B5C06" w:rsidTr="009B5C06">
        <w:trPr>
          <w:gridAfter w:val="2"/>
          <w:wAfter w:w="3281" w:type="pct"/>
          <w:trHeight w:val="153"/>
        </w:trPr>
        <w:tc>
          <w:tcPr>
            <w:tcW w:w="1719" w:type="pct"/>
            <w:hideMark/>
          </w:tcPr>
          <w:p w:rsidR="009B5C06" w:rsidRDefault="009B5C06">
            <w:pPr>
              <w:pStyle w:val="Default"/>
              <w:rPr>
                <w:sz w:val="20"/>
                <w:szCs w:val="20"/>
              </w:rPr>
            </w:pPr>
            <w:proofErr w:type="spellStart"/>
            <w:r>
              <w:rPr>
                <w:b/>
                <w:bCs/>
                <w:sz w:val="20"/>
                <w:szCs w:val="20"/>
              </w:rPr>
              <w:t>Bivirkning</w:t>
            </w:r>
            <w:proofErr w:type="spellEnd"/>
            <w:r>
              <w:rPr>
                <w:b/>
                <w:bCs/>
                <w:sz w:val="20"/>
                <w:szCs w:val="20"/>
              </w:rPr>
              <w:t xml:space="preserve">, </w:t>
            </w:r>
            <w:proofErr w:type="spellStart"/>
            <w:r>
              <w:rPr>
                <w:b/>
                <w:bCs/>
                <w:sz w:val="20"/>
                <w:szCs w:val="20"/>
              </w:rPr>
              <w:t>alle</w:t>
            </w:r>
            <w:proofErr w:type="spellEnd"/>
            <w:r>
              <w:rPr>
                <w:b/>
                <w:bCs/>
                <w:sz w:val="20"/>
                <w:szCs w:val="20"/>
              </w:rPr>
              <w:t xml:space="preserve"> </w:t>
            </w:r>
            <w:proofErr w:type="spellStart"/>
            <w:r>
              <w:rPr>
                <w:b/>
                <w:bCs/>
                <w:sz w:val="20"/>
                <w:szCs w:val="20"/>
              </w:rPr>
              <w:t>grader</w:t>
            </w:r>
            <w:r>
              <w:rPr>
                <w:b/>
                <w:bCs/>
                <w:sz w:val="20"/>
                <w:szCs w:val="20"/>
                <w:vertAlign w:val="superscript"/>
              </w:rPr>
              <w:t>a</w:t>
            </w:r>
            <w:proofErr w:type="spellEnd"/>
            <w:r>
              <w:rPr>
                <w:sz w:val="20"/>
                <w:szCs w:val="20"/>
                <w:vertAlign w:val="superscript"/>
              </w:rPr>
              <w:t xml:space="preserve"> </w:t>
            </w:r>
            <w:r>
              <w:rPr>
                <w:sz w:val="20"/>
                <w:szCs w:val="20"/>
              </w:rPr>
              <w:t>(</w:t>
            </w:r>
            <w:r w:rsidR="008A63AB">
              <w:rPr>
                <w:sz w:val="20"/>
                <w:szCs w:val="20"/>
              </w:rPr>
              <w:t>%</w:t>
            </w:r>
            <w:r>
              <w:rPr>
                <w:sz w:val="20"/>
                <w:szCs w:val="20"/>
              </w:rPr>
              <w:t xml:space="preserve">) </w:t>
            </w:r>
          </w:p>
        </w:tc>
      </w:tr>
      <w:tr w:rsidR="009B5C06" w:rsidTr="009B5C06">
        <w:trPr>
          <w:trHeight w:val="147"/>
        </w:trPr>
        <w:tc>
          <w:tcPr>
            <w:tcW w:w="1719" w:type="pct"/>
            <w:hideMark/>
          </w:tcPr>
          <w:p w:rsidR="009B5C06" w:rsidRDefault="009B5C06">
            <w:pPr>
              <w:pStyle w:val="Default"/>
              <w:rPr>
                <w:sz w:val="20"/>
                <w:szCs w:val="20"/>
              </w:rPr>
            </w:pPr>
            <w:proofErr w:type="spellStart"/>
            <w:r>
              <w:rPr>
                <w:sz w:val="20"/>
                <w:szCs w:val="20"/>
              </w:rPr>
              <w:t>Diarré</w:t>
            </w:r>
            <w:proofErr w:type="spellEnd"/>
            <w:r>
              <w:rPr>
                <w:sz w:val="20"/>
                <w:szCs w:val="20"/>
              </w:rPr>
              <w:t xml:space="preserve"> </w:t>
            </w:r>
          </w:p>
        </w:tc>
        <w:tc>
          <w:tcPr>
            <w:tcW w:w="1642" w:type="pct"/>
            <w:hideMark/>
          </w:tcPr>
          <w:p w:rsidR="009B5C06" w:rsidRDefault="009B5C06">
            <w:pPr>
              <w:pStyle w:val="Default"/>
              <w:rPr>
                <w:sz w:val="20"/>
                <w:szCs w:val="20"/>
              </w:rPr>
            </w:pPr>
            <w:r>
              <w:rPr>
                <w:sz w:val="20"/>
                <w:szCs w:val="20"/>
              </w:rPr>
              <w:t xml:space="preserve">30,7 </w:t>
            </w:r>
          </w:p>
        </w:tc>
        <w:tc>
          <w:tcPr>
            <w:tcW w:w="1639" w:type="pct"/>
            <w:hideMark/>
          </w:tcPr>
          <w:p w:rsidR="009B5C06" w:rsidRDefault="009B5C06">
            <w:pPr>
              <w:pStyle w:val="Default"/>
              <w:rPr>
                <w:sz w:val="20"/>
                <w:szCs w:val="20"/>
              </w:rPr>
            </w:pPr>
            <w:r>
              <w:rPr>
                <w:sz w:val="20"/>
                <w:szCs w:val="20"/>
              </w:rPr>
              <w:t xml:space="preserve">39,8 </w:t>
            </w:r>
          </w:p>
        </w:tc>
      </w:tr>
      <w:tr w:rsidR="009B5C06" w:rsidTr="009B5C06">
        <w:trPr>
          <w:trHeight w:val="147"/>
        </w:trPr>
        <w:tc>
          <w:tcPr>
            <w:tcW w:w="1719" w:type="pct"/>
            <w:hideMark/>
          </w:tcPr>
          <w:p w:rsidR="009B5C06" w:rsidRDefault="009B5C06">
            <w:pPr>
              <w:pStyle w:val="Default"/>
              <w:rPr>
                <w:sz w:val="20"/>
                <w:szCs w:val="20"/>
              </w:rPr>
            </w:pPr>
            <w:proofErr w:type="spellStart"/>
            <w:r>
              <w:rPr>
                <w:sz w:val="20"/>
                <w:szCs w:val="20"/>
              </w:rPr>
              <w:t>Kvalme</w:t>
            </w:r>
            <w:proofErr w:type="spellEnd"/>
            <w:r>
              <w:rPr>
                <w:sz w:val="20"/>
                <w:szCs w:val="20"/>
              </w:rPr>
              <w:t xml:space="preserve"> </w:t>
            </w:r>
          </w:p>
        </w:tc>
        <w:tc>
          <w:tcPr>
            <w:tcW w:w="1642" w:type="pct"/>
            <w:hideMark/>
          </w:tcPr>
          <w:p w:rsidR="009B5C06" w:rsidRDefault="009B5C06">
            <w:pPr>
              <w:pStyle w:val="Default"/>
              <w:rPr>
                <w:sz w:val="20"/>
                <w:szCs w:val="20"/>
              </w:rPr>
            </w:pPr>
            <w:r>
              <w:rPr>
                <w:sz w:val="20"/>
                <w:szCs w:val="20"/>
              </w:rPr>
              <w:t xml:space="preserve">24,5 </w:t>
            </w:r>
          </w:p>
        </w:tc>
        <w:tc>
          <w:tcPr>
            <w:tcW w:w="1639" w:type="pct"/>
            <w:hideMark/>
          </w:tcPr>
          <w:p w:rsidR="009B5C06" w:rsidRDefault="009B5C06">
            <w:pPr>
              <w:pStyle w:val="Default"/>
              <w:rPr>
                <w:sz w:val="20"/>
                <w:szCs w:val="20"/>
              </w:rPr>
            </w:pPr>
            <w:r>
              <w:rPr>
                <w:sz w:val="20"/>
                <w:szCs w:val="20"/>
              </w:rPr>
              <w:t xml:space="preserve">32,1 </w:t>
            </w:r>
          </w:p>
        </w:tc>
      </w:tr>
      <w:tr w:rsidR="009B5C06" w:rsidTr="009B5C06">
        <w:trPr>
          <w:trHeight w:val="147"/>
        </w:trPr>
        <w:tc>
          <w:tcPr>
            <w:tcW w:w="1719" w:type="pct"/>
            <w:hideMark/>
          </w:tcPr>
          <w:p w:rsidR="009B5C06" w:rsidRDefault="009B5C06">
            <w:pPr>
              <w:pStyle w:val="Default"/>
              <w:rPr>
                <w:sz w:val="20"/>
                <w:szCs w:val="20"/>
              </w:rPr>
            </w:pPr>
            <w:proofErr w:type="spellStart"/>
            <w:r>
              <w:rPr>
                <w:sz w:val="20"/>
                <w:szCs w:val="20"/>
              </w:rPr>
              <w:t>Træthed</w:t>
            </w:r>
            <w:proofErr w:type="spellEnd"/>
            <w:r>
              <w:rPr>
                <w:sz w:val="20"/>
                <w:szCs w:val="20"/>
              </w:rPr>
              <w:t xml:space="preserve"> </w:t>
            </w:r>
          </w:p>
        </w:tc>
        <w:tc>
          <w:tcPr>
            <w:tcW w:w="1642" w:type="pct"/>
            <w:hideMark/>
          </w:tcPr>
          <w:p w:rsidR="009B5C06" w:rsidRDefault="009B5C06">
            <w:pPr>
              <w:pStyle w:val="Default"/>
              <w:rPr>
                <w:sz w:val="20"/>
                <w:szCs w:val="20"/>
              </w:rPr>
            </w:pPr>
            <w:r>
              <w:rPr>
                <w:sz w:val="20"/>
                <w:szCs w:val="20"/>
              </w:rPr>
              <w:t xml:space="preserve">24,7 </w:t>
            </w:r>
          </w:p>
        </w:tc>
        <w:tc>
          <w:tcPr>
            <w:tcW w:w="1639" w:type="pct"/>
            <w:hideMark/>
          </w:tcPr>
          <w:p w:rsidR="009B5C06" w:rsidRDefault="009B5C06">
            <w:pPr>
              <w:pStyle w:val="Default"/>
              <w:rPr>
                <w:sz w:val="20"/>
                <w:szCs w:val="20"/>
              </w:rPr>
            </w:pPr>
            <w:r>
              <w:rPr>
                <w:sz w:val="20"/>
                <w:szCs w:val="20"/>
              </w:rPr>
              <w:t xml:space="preserve">27,1 </w:t>
            </w:r>
          </w:p>
        </w:tc>
      </w:tr>
      <w:tr w:rsidR="009B5C06" w:rsidTr="009B5C06">
        <w:trPr>
          <w:trHeight w:val="147"/>
        </w:trPr>
        <w:tc>
          <w:tcPr>
            <w:tcW w:w="1719" w:type="pct"/>
            <w:hideMark/>
          </w:tcPr>
          <w:p w:rsidR="009B5C06" w:rsidRDefault="009B5C06">
            <w:pPr>
              <w:pStyle w:val="Default"/>
              <w:rPr>
                <w:sz w:val="20"/>
                <w:szCs w:val="20"/>
              </w:rPr>
            </w:pPr>
            <w:proofErr w:type="spellStart"/>
            <w:r>
              <w:rPr>
                <w:sz w:val="20"/>
                <w:szCs w:val="20"/>
              </w:rPr>
              <w:t>Hæmaturi</w:t>
            </w:r>
            <w:proofErr w:type="spellEnd"/>
            <w:r>
              <w:rPr>
                <w:sz w:val="20"/>
                <w:szCs w:val="20"/>
              </w:rPr>
              <w:t xml:space="preserve"> </w:t>
            </w:r>
          </w:p>
        </w:tc>
        <w:tc>
          <w:tcPr>
            <w:tcW w:w="1642" w:type="pct"/>
            <w:hideMark/>
          </w:tcPr>
          <w:p w:rsidR="009B5C06" w:rsidRDefault="009B5C06">
            <w:pPr>
              <w:pStyle w:val="Default"/>
              <w:rPr>
                <w:sz w:val="20"/>
                <w:szCs w:val="20"/>
              </w:rPr>
            </w:pPr>
            <w:r>
              <w:rPr>
                <w:sz w:val="20"/>
                <w:szCs w:val="20"/>
              </w:rPr>
              <w:t xml:space="preserve">14,1 </w:t>
            </w:r>
          </w:p>
        </w:tc>
        <w:tc>
          <w:tcPr>
            <w:tcW w:w="1639" w:type="pct"/>
            <w:hideMark/>
          </w:tcPr>
          <w:p w:rsidR="009B5C06" w:rsidRDefault="009B5C06">
            <w:pPr>
              <w:pStyle w:val="Default"/>
              <w:rPr>
                <w:sz w:val="20"/>
                <w:szCs w:val="20"/>
              </w:rPr>
            </w:pPr>
            <w:r>
              <w:rPr>
                <w:sz w:val="20"/>
                <w:szCs w:val="20"/>
              </w:rPr>
              <w:t xml:space="preserve">20,8 </w:t>
            </w:r>
          </w:p>
        </w:tc>
      </w:tr>
      <w:tr w:rsidR="009B5C06" w:rsidTr="009B5C06">
        <w:trPr>
          <w:trHeight w:val="147"/>
        </w:trPr>
        <w:tc>
          <w:tcPr>
            <w:tcW w:w="1719" w:type="pct"/>
            <w:hideMark/>
          </w:tcPr>
          <w:p w:rsidR="009B5C06" w:rsidRDefault="009B5C06">
            <w:pPr>
              <w:pStyle w:val="Default"/>
              <w:rPr>
                <w:sz w:val="20"/>
                <w:szCs w:val="20"/>
              </w:rPr>
            </w:pPr>
            <w:proofErr w:type="spellStart"/>
            <w:r>
              <w:rPr>
                <w:sz w:val="20"/>
                <w:szCs w:val="20"/>
              </w:rPr>
              <w:t>Asteni</w:t>
            </w:r>
            <w:proofErr w:type="spellEnd"/>
            <w:r>
              <w:rPr>
                <w:sz w:val="20"/>
                <w:szCs w:val="20"/>
              </w:rPr>
              <w:t xml:space="preserve"> </w:t>
            </w:r>
          </w:p>
        </w:tc>
        <w:tc>
          <w:tcPr>
            <w:tcW w:w="1642" w:type="pct"/>
            <w:hideMark/>
          </w:tcPr>
          <w:p w:rsidR="009B5C06" w:rsidRDefault="009B5C06">
            <w:pPr>
              <w:pStyle w:val="Default"/>
              <w:rPr>
                <w:sz w:val="20"/>
                <w:szCs w:val="20"/>
              </w:rPr>
            </w:pPr>
            <w:r>
              <w:rPr>
                <w:sz w:val="20"/>
                <w:szCs w:val="20"/>
              </w:rPr>
              <w:t xml:space="preserve">15,3 </w:t>
            </w:r>
          </w:p>
        </w:tc>
        <w:tc>
          <w:tcPr>
            <w:tcW w:w="1639" w:type="pct"/>
            <w:hideMark/>
          </w:tcPr>
          <w:p w:rsidR="009B5C06" w:rsidRDefault="009B5C06">
            <w:pPr>
              <w:pStyle w:val="Default"/>
              <w:rPr>
                <w:sz w:val="20"/>
                <w:szCs w:val="20"/>
              </w:rPr>
            </w:pPr>
            <w:r>
              <w:rPr>
                <w:sz w:val="20"/>
                <w:szCs w:val="20"/>
              </w:rPr>
              <w:t xml:space="preserve">19,7 </w:t>
            </w:r>
          </w:p>
        </w:tc>
      </w:tr>
      <w:tr w:rsidR="009B5C06" w:rsidTr="009B5C06">
        <w:trPr>
          <w:trHeight w:val="147"/>
        </w:trPr>
        <w:tc>
          <w:tcPr>
            <w:tcW w:w="1719" w:type="pct"/>
            <w:hideMark/>
          </w:tcPr>
          <w:p w:rsidR="009B5C06" w:rsidRDefault="009B5C06">
            <w:pPr>
              <w:pStyle w:val="Default"/>
              <w:rPr>
                <w:sz w:val="20"/>
                <w:szCs w:val="20"/>
              </w:rPr>
            </w:pPr>
            <w:proofErr w:type="spellStart"/>
            <w:r>
              <w:rPr>
                <w:sz w:val="20"/>
                <w:szCs w:val="20"/>
              </w:rPr>
              <w:t>Appetitløshed</w:t>
            </w:r>
            <w:proofErr w:type="spellEnd"/>
            <w:r>
              <w:rPr>
                <w:sz w:val="20"/>
                <w:szCs w:val="20"/>
              </w:rPr>
              <w:t xml:space="preserve"> </w:t>
            </w:r>
          </w:p>
        </w:tc>
        <w:tc>
          <w:tcPr>
            <w:tcW w:w="1642" w:type="pct"/>
            <w:hideMark/>
          </w:tcPr>
          <w:p w:rsidR="009B5C06" w:rsidRDefault="009B5C06">
            <w:pPr>
              <w:pStyle w:val="Default"/>
              <w:rPr>
                <w:sz w:val="20"/>
                <w:szCs w:val="20"/>
              </w:rPr>
            </w:pPr>
            <w:r>
              <w:rPr>
                <w:sz w:val="20"/>
                <w:szCs w:val="20"/>
              </w:rPr>
              <w:t xml:space="preserve">13,1 </w:t>
            </w:r>
          </w:p>
        </w:tc>
        <w:tc>
          <w:tcPr>
            <w:tcW w:w="1639" w:type="pct"/>
            <w:hideMark/>
          </w:tcPr>
          <w:p w:rsidR="009B5C06" w:rsidRDefault="009B5C06">
            <w:pPr>
              <w:pStyle w:val="Default"/>
              <w:rPr>
                <w:sz w:val="20"/>
                <w:szCs w:val="20"/>
              </w:rPr>
            </w:pPr>
            <w:r>
              <w:rPr>
                <w:sz w:val="20"/>
                <w:szCs w:val="20"/>
              </w:rPr>
              <w:t xml:space="preserve">18,5 </w:t>
            </w:r>
          </w:p>
        </w:tc>
      </w:tr>
      <w:tr w:rsidR="009B5C06" w:rsidTr="009B5C06">
        <w:trPr>
          <w:trHeight w:val="147"/>
        </w:trPr>
        <w:tc>
          <w:tcPr>
            <w:tcW w:w="1719" w:type="pct"/>
            <w:hideMark/>
          </w:tcPr>
          <w:p w:rsidR="009B5C06" w:rsidRDefault="009B5C06">
            <w:pPr>
              <w:pStyle w:val="Default"/>
              <w:rPr>
                <w:sz w:val="20"/>
                <w:szCs w:val="20"/>
              </w:rPr>
            </w:pPr>
            <w:proofErr w:type="spellStart"/>
            <w:r>
              <w:rPr>
                <w:sz w:val="20"/>
                <w:szCs w:val="20"/>
              </w:rPr>
              <w:t>Opkastning</w:t>
            </w:r>
            <w:proofErr w:type="spellEnd"/>
            <w:r>
              <w:rPr>
                <w:sz w:val="20"/>
                <w:szCs w:val="20"/>
              </w:rPr>
              <w:t xml:space="preserve"> </w:t>
            </w:r>
          </w:p>
        </w:tc>
        <w:tc>
          <w:tcPr>
            <w:tcW w:w="1642" w:type="pct"/>
            <w:hideMark/>
          </w:tcPr>
          <w:p w:rsidR="009B5C06" w:rsidRDefault="009B5C06">
            <w:pPr>
              <w:pStyle w:val="Default"/>
              <w:rPr>
                <w:sz w:val="20"/>
                <w:szCs w:val="20"/>
              </w:rPr>
            </w:pPr>
            <w:r>
              <w:rPr>
                <w:sz w:val="20"/>
                <w:szCs w:val="20"/>
              </w:rPr>
              <w:t xml:space="preserve">14,5 </w:t>
            </w:r>
          </w:p>
        </w:tc>
        <w:tc>
          <w:tcPr>
            <w:tcW w:w="1639" w:type="pct"/>
            <w:hideMark/>
          </w:tcPr>
          <w:p w:rsidR="009B5C06" w:rsidRDefault="009B5C06">
            <w:pPr>
              <w:pStyle w:val="Default"/>
              <w:rPr>
                <w:sz w:val="20"/>
                <w:szCs w:val="20"/>
              </w:rPr>
            </w:pPr>
            <w:r>
              <w:rPr>
                <w:sz w:val="20"/>
                <w:szCs w:val="20"/>
              </w:rPr>
              <w:t xml:space="preserve">18,2 </w:t>
            </w:r>
          </w:p>
        </w:tc>
      </w:tr>
      <w:tr w:rsidR="009B5C06" w:rsidTr="009B5C06">
        <w:trPr>
          <w:trHeight w:val="147"/>
        </w:trPr>
        <w:tc>
          <w:tcPr>
            <w:tcW w:w="1719" w:type="pct"/>
            <w:hideMark/>
          </w:tcPr>
          <w:p w:rsidR="009B5C06" w:rsidRDefault="009B5C06">
            <w:pPr>
              <w:pStyle w:val="Default"/>
              <w:rPr>
                <w:sz w:val="20"/>
                <w:szCs w:val="20"/>
              </w:rPr>
            </w:pPr>
            <w:r>
              <w:rPr>
                <w:sz w:val="20"/>
                <w:szCs w:val="20"/>
              </w:rPr>
              <w:t xml:space="preserve">Obstipation </w:t>
            </w:r>
          </w:p>
        </w:tc>
        <w:tc>
          <w:tcPr>
            <w:tcW w:w="1642" w:type="pct"/>
            <w:hideMark/>
          </w:tcPr>
          <w:p w:rsidR="009B5C06" w:rsidRDefault="009B5C06">
            <w:pPr>
              <w:pStyle w:val="Default"/>
              <w:rPr>
                <w:sz w:val="20"/>
                <w:szCs w:val="20"/>
              </w:rPr>
            </w:pPr>
            <w:r>
              <w:rPr>
                <w:sz w:val="20"/>
                <w:szCs w:val="20"/>
              </w:rPr>
              <w:t xml:space="preserve">17,6 </w:t>
            </w:r>
          </w:p>
        </w:tc>
        <w:tc>
          <w:tcPr>
            <w:tcW w:w="1639" w:type="pct"/>
            <w:hideMark/>
          </w:tcPr>
          <w:p w:rsidR="009B5C06" w:rsidRDefault="009B5C06">
            <w:pPr>
              <w:pStyle w:val="Default"/>
              <w:rPr>
                <w:sz w:val="20"/>
                <w:szCs w:val="20"/>
              </w:rPr>
            </w:pPr>
            <w:r>
              <w:rPr>
                <w:sz w:val="20"/>
                <w:szCs w:val="20"/>
              </w:rPr>
              <w:t xml:space="preserve">18,0 </w:t>
            </w:r>
          </w:p>
        </w:tc>
      </w:tr>
      <w:tr w:rsidR="009B5C06" w:rsidTr="009B5C06">
        <w:trPr>
          <w:trHeight w:val="147"/>
        </w:trPr>
        <w:tc>
          <w:tcPr>
            <w:tcW w:w="1719" w:type="pct"/>
            <w:hideMark/>
          </w:tcPr>
          <w:p w:rsidR="009B5C06" w:rsidRDefault="009B5C06">
            <w:pPr>
              <w:pStyle w:val="Default"/>
              <w:rPr>
                <w:sz w:val="20"/>
                <w:szCs w:val="20"/>
              </w:rPr>
            </w:pPr>
            <w:proofErr w:type="spellStart"/>
            <w:r>
              <w:rPr>
                <w:sz w:val="20"/>
                <w:szCs w:val="20"/>
              </w:rPr>
              <w:t>Rygsmerter</w:t>
            </w:r>
            <w:proofErr w:type="spellEnd"/>
            <w:r>
              <w:rPr>
                <w:sz w:val="20"/>
                <w:szCs w:val="20"/>
              </w:rPr>
              <w:t xml:space="preserve"> </w:t>
            </w:r>
          </w:p>
        </w:tc>
        <w:tc>
          <w:tcPr>
            <w:tcW w:w="1642" w:type="pct"/>
            <w:hideMark/>
          </w:tcPr>
          <w:p w:rsidR="009B5C06" w:rsidRDefault="009B5C06">
            <w:pPr>
              <w:pStyle w:val="Default"/>
              <w:rPr>
                <w:sz w:val="20"/>
                <w:szCs w:val="20"/>
              </w:rPr>
            </w:pPr>
            <w:r>
              <w:rPr>
                <w:sz w:val="20"/>
                <w:szCs w:val="20"/>
              </w:rPr>
              <w:t xml:space="preserve">11,0 </w:t>
            </w:r>
          </w:p>
        </w:tc>
        <w:tc>
          <w:tcPr>
            <w:tcW w:w="1639" w:type="pct"/>
            <w:hideMark/>
          </w:tcPr>
          <w:p w:rsidR="009B5C06" w:rsidRDefault="009B5C06">
            <w:pPr>
              <w:pStyle w:val="Default"/>
              <w:rPr>
                <w:sz w:val="20"/>
                <w:szCs w:val="20"/>
              </w:rPr>
            </w:pPr>
            <w:r>
              <w:rPr>
                <w:sz w:val="20"/>
                <w:szCs w:val="20"/>
              </w:rPr>
              <w:t xml:space="preserve">13,9 </w:t>
            </w:r>
          </w:p>
        </w:tc>
      </w:tr>
      <w:tr w:rsidR="009B5C06" w:rsidTr="009B5C06">
        <w:trPr>
          <w:trHeight w:val="147"/>
        </w:trPr>
        <w:tc>
          <w:tcPr>
            <w:tcW w:w="1719" w:type="pct"/>
            <w:hideMark/>
          </w:tcPr>
          <w:p w:rsidR="009B5C06" w:rsidRDefault="009B5C06">
            <w:pPr>
              <w:pStyle w:val="Default"/>
              <w:rPr>
                <w:sz w:val="20"/>
                <w:szCs w:val="20"/>
              </w:rPr>
            </w:pPr>
            <w:proofErr w:type="spellStart"/>
            <w:r>
              <w:rPr>
                <w:sz w:val="20"/>
                <w:szCs w:val="20"/>
              </w:rPr>
              <w:t>Klinisk</w:t>
            </w:r>
            <w:proofErr w:type="spellEnd"/>
            <w:r>
              <w:rPr>
                <w:sz w:val="20"/>
                <w:szCs w:val="20"/>
              </w:rPr>
              <w:t xml:space="preserve"> </w:t>
            </w:r>
            <w:proofErr w:type="spellStart"/>
            <w:r>
              <w:rPr>
                <w:sz w:val="20"/>
                <w:szCs w:val="20"/>
              </w:rPr>
              <w:t>neutropeni</w:t>
            </w:r>
            <w:proofErr w:type="spellEnd"/>
            <w:r>
              <w:rPr>
                <w:sz w:val="20"/>
                <w:szCs w:val="20"/>
              </w:rPr>
              <w:t xml:space="preserve"> </w:t>
            </w:r>
          </w:p>
        </w:tc>
        <w:tc>
          <w:tcPr>
            <w:tcW w:w="1642" w:type="pct"/>
            <w:hideMark/>
          </w:tcPr>
          <w:p w:rsidR="009B5C06" w:rsidRDefault="009B5C06">
            <w:pPr>
              <w:pStyle w:val="Default"/>
              <w:rPr>
                <w:sz w:val="20"/>
                <w:szCs w:val="20"/>
              </w:rPr>
            </w:pPr>
            <w:r>
              <w:rPr>
                <w:sz w:val="20"/>
                <w:szCs w:val="20"/>
              </w:rPr>
              <w:t xml:space="preserve">3,1 </w:t>
            </w:r>
          </w:p>
        </w:tc>
        <w:tc>
          <w:tcPr>
            <w:tcW w:w="1639" w:type="pct"/>
            <w:hideMark/>
          </w:tcPr>
          <w:p w:rsidR="009B5C06" w:rsidRDefault="009B5C06">
            <w:pPr>
              <w:pStyle w:val="Default"/>
              <w:rPr>
                <w:sz w:val="20"/>
                <w:szCs w:val="20"/>
              </w:rPr>
            </w:pPr>
            <w:r>
              <w:rPr>
                <w:sz w:val="20"/>
                <w:szCs w:val="20"/>
              </w:rPr>
              <w:t xml:space="preserve">10,9 </w:t>
            </w:r>
          </w:p>
        </w:tc>
      </w:tr>
      <w:tr w:rsidR="009B5C06" w:rsidTr="009B5C06">
        <w:trPr>
          <w:trHeight w:val="147"/>
        </w:trPr>
        <w:tc>
          <w:tcPr>
            <w:tcW w:w="1719" w:type="pct"/>
            <w:hideMark/>
          </w:tcPr>
          <w:p w:rsidR="009B5C06" w:rsidRDefault="009B5C06">
            <w:pPr>
              <w:pStyle w:val="Default"/>
              <w:rPr>
                <w:sz w:val="20"/>
                <w:szCs w:val="20"/>
              </w:rPr>
            </w:pPr>
            <w:proofErr w:type="spellStart"/>
            <w:r>
              <w:rPr>
                <w:sz w:val="20"/>
                <w:szCs w:val="20"/>
              </w:rPr>
              <w:t>Urinvejsinfektion</w:t>
            </w:r>
            <w:proofErr w:type="spellEnd"/>
            <w:r>
              <w:rPr>
                <w:sz w:val="20"/>
                <w:szCs w:val="20"/>
              </w:rPr>
              <w:t xml:space="preserve"> </w:t>
            </w:r>
          </w:p>
        </w:tc>
        <w:tc>
          <w:tcPr>
            <w:tcW w:w="1642" w:type="pct"/>
            <w:hideMark/>
          </w:tcPr>
          <w:p w:rsidR="009B5C06" w:rsidRDefault="009B5C06">
            <w:pPr>
              <w:pStyle w:val="Default"/>
              <w:rPr>
                <w:sz w:val="20"/>
                <w:szCs w:val="20"/>
              </w:rPr>
            </w:pPr>
            <w:r>
              <w:rPr>
                <w:sz w:val="20"/>
                <w:szCs w:val="20"/>
              </w:rPr>
              <w:t xml:space="preserve">6,9 </w:t>
            </w:r>
          </w:p>
        </w:tc>
        <w:tc>
          <w:tcPr>
            <w:tcW w:w="1639" w:type="pct"/>
            <w:hideMark/>
          </w:tcPr>
          <w:p w:rsidR="009B5C06" w:rsidRDefault="009B5C06">
            <w:pPr>
              <w:pStyle w:val="Default"/>
              <w:rPr>
                <w:sz w:val="20"/>
                <w:szCs w:val="20"/>
              </w:rPr>
            </w:pPr>
            <w:r>
              <w:rPr>
                <w:sz w:val="20"/>
                <w:szCs w:val="20"/>
              </w:rPr>
              <w:t xml:space="preserve">10,8 </w:t>
            </w:r>
          </w:p>
        </w:tc>
      </w:tr>
      <w:tr w:rsidR="009B5C06" w:rsidTr="009B5C06">
        <w:trPr>
          <w:trHeight w:val="147"/>
        </w:trPr>
        <w:tc>
          <w:tcPr>
            <w:tcW w:w="1719" w:type="pct"/>
            <w:hideMark/>
          </w:tcPr>
          <w:p w:rsidR="009B5C06" w:rsidRDefault="009B5C06">
            <w:pPr>
              <w:pStyle w:val="Default"/>
              <w:rPr>
                <w:sz w:val="20"/>
                <w:szCs w:val="20"/>
              </w:rPr>
            </w:pPr>
            <w:proofErr w:type="spellStart"/>
            <w:r>
              <w:rPr>
                <w:sz w:val="20"/>
                <w:szCs w:val="20"/>
              </w:rPr>
              <w:t>Perifer</w:t>
            </w:r>
            <w:proofErr w:type="spellEnd"/>
            <w:r>
              <w:rPr>
                <w:sz w:val="20"/>
                <w:szCs w:val="20"/>
              </w:rPr>
              <w:t xml:space="preserve"> </w:t>
            </w:r>
            <w:proofErr w:type="spellStart"/>
            <w:r>
              <w:rPr>
                <w:sz w:val="20"/>
                <w:szCs w:val="20"/>
              </w:rPr>
              <w:t>sensorisk</w:t>
            </w:r>
            <w:proofErr w:type="spellEnd"/>
            <w:r>
              <w:rPr>
                <w:sz w:val="20"/>
                <w:szCs w:val="20"/>
              </w:rPr>
              <w:t xml:space="preserve"> </w:t>
            </w:r>
            <w:proofErr w:type="spellStart"/>
            <w:r>
              <w:rPr>
                <w:sz w:val="20"/>
                <w:szCs w:val="20"/>
              </w:rPr>
              <w:t>neuropati</w:t>
            </w:r>
            <w:proofErr w:type="spellEnd"/>
            <w:r>
              <w:rPr>
                <w:sz w:val="20"/>
                <w:szCs w:val="20"/>
              </w:rPr>
              <w:t xml:space="preserve"> </w:t>
            </w:r>
          </w:p>
        </w:tc>
        <w:tc>
          <w:tcPr>
            <w:tcW w:w="1642" w:type="pct"/>
            <w:hideMark/>
          </w:tcPr>
          <w:p w:rsidR="009B5C06" w:rsidRDefault="009B5C06">
            <w:pPr>
              <w:pStyle w:val="Default"/>
              <w:rPr>
                <w:sz w:val="20"/>
                <w:szCs w:val="20"/>
              </w:rPr>
            </w:pPr>
            <w:r>
              <w:rPr>
                <w:sz w:val="20"/>
                <w:szCs w:val="20"/>
              </w:rPr>
              <w:t xml:space="preserve">6,6 </w:t>
            </w:r>
          </w:p>
        </w:tc>
        <w:tc>
          <w:tcPr>
            <w:tcW w:w="1639" w:type="pct"/>
            <w:hideMark/>
          </w:tcPr>
          <w:p w:rsidR="009B5C06" w:rsidRDefault="009B5C06">
            <w:pPr>
              <w:pStyle w:val="Default"/>
              <w:rPr>
                <w:sz w:val="20"/>
                <w:szCs w:val="20"/>
              </w:rPr>
            </w:pPr>
            <w:r>
              <w:rPr>
                <w:sz w:val="20"/>
                <w:szCs w:val="20"/>
              </w:rPr>
              <w:t xml:space="preserve">10,6 </w:t>
            </w:r>
          </w:p>
        </w:tc>
      </w:tr>
      <w:tr w:rsidR="009B5C06" w:rsidTr="009B5C06">
        <w:trPr>
          <w:trHeight w:val="147"/>
        </w:trPr>
        <w:tc>
          <w:tcPr>
            <w:tcW w:w="1719" w:type="pct"/>
            <w:hideMark/>
          </w:tcPr>
          <w:p w:rsidR="009B5C06" w:rsidRDefault="009B5C06">
            <w:pPr>
              <w:pStyle w:val="Default"/>
              <w:rPr>
                <w:sz w:val="20"/>
                <w:szCs w:val="20"/>
              </w:rPr>
            </w:pPr>
            <w:proofErr w:type="spellStart"/>
            <w:r>
              <w:rPr>
                <w:sz w:val="20"/>
                <w:szCs w:val="20"/>
              </w:rPr>
              <w:t>Dysgeusi</w:t>
            </w:r>
            <w:proofErr w:type="spellEnd"/>
            <w:r>
              <w:rPr>
                <w:sz w:val="20"/>
                <w:szCs w:val="20"/>
              </w:rPr>
              <w:t xml:space="preserve"> </w:t>
            </w:r>
          </w:p>
        </w:tc>
        <w:tc>
          <w:tcPr>
            <w:tcW w:w="1642" w:type="pct"/>
            <w:hideMark/>
          </w:tcPr>
          <w:p w:rsidR="009B5C06" w:rsidRDefault="009B5C06">
            <w:pPr>
              <w:pStyle w:val="Default"/>
              <w:rPr>
                <w:sz w:val="20"/>
                <w:szCs w:val="20"/>
              </w:rPr>
            </w:pPr>
            <w:r>
              <w:rPr>
                <w:sz w:val="20"/>
                <w:szCs w:val="20"/>
              </w:rPr>
              <w:t xml:space="preserve">7,1 </w:t>
            </w:r>
          </w:p>
        </w:tc>
        <w:tc>
          <w:tcPr>
            <w:tcW w:w="1639" w:type="pct"/>
            <w:hideMark/>
          </w:tcPr>
          <w:p w:rsidR="009B5C06" w:rsidRDefault="009B5C06">
            <w:pPr>
              <w:pStyle w:val="Default"/>
              <w:rPr>
                <w:sz w:val="20"/>
                <w:szCs w:val="20"/>
              </w:rPr>
            </w:pPr>
            <w:r>
              <w:rPr>
                <w:sz w:val="20"/>
                <w:szCs w:val="20"/>
              </w:rPr>
              <w:t xml:space="preserve">10,6 </w:t>
            </w:r>
          </w:p>
        </w:tc>
      </w:tr>
      <w:tr w:rsidR="009B5C06" w:rsidTr="009B5C06">
        <w:trPr>
          <w:trHeight w:val="147"/>
        </w:trPr>
        <w:tc>
          <w:tcPr>
            <w:tcW w:w="1719" w:type="pct"/>
          </w:tcPr>
          <w:p w:rsidR="009B5C06" w:rsidRDefault="009B5C06">
            <w:pPr>
              <w:pStyle w:val="Default"/>
              <w:rPr>
                <w:sz w:val="20"/>
                <w:szCs w:val="20"/>
              </w:rPr>
            </w:pPr>
          </w:p>
        </w:tc>
        <w:tc>
          <w:tcPr>
            <w:tcW w:w="1642" w:type="pct"/>
          </w:tcPr>
          <w:p w:rsidR="009B5C06" w:rsidRDefault="009B5C06">
            <w:pPr>
              <w:pStyle w:val="Default"/>
              <w:rPr>
                <w:sz w:val="20"/>
                <w:szCs w:val="20"/>
              </w:rPr>
            </w:pPr>
          </w:p>
        </w:tc>
        <w:tc>
          <w:tcPr>
            <w:tcW w:w="1639" w:type="pct"/>
          </w:tcPr>
          <w:p w:rsidR="009B5C06" w:rsidRDefault="009B5C06">
            <w:pPr>
              <w:pStyle w:val="Default"/>
              <w:rPr>
                <w:sz w:val="20"/>
                <w:szCs w:val="20"/>
              </w:rPr>
            </w:pPr>
          </w:p>
        </w:tc>
      </w:tr>
      <w:tr w:rsidR="009B5C06" w:rsidTr="009B5C06">
        <w:trPr>
          <w:gridAfter w:val="2"/>
          <w:wAfter w:w="3281" w:type="pct"/>
          <w:trHeight w:val="153"/>
        </w:trPr>
        <w:tc>
          <w:tcPr>
            <w:tcW w:w="1719" w:type="pct"/>
            <w:hideMark/>
          </w:tcPr>
          <w:p w:rsidR="009B5C06" w:rsidRDefault="009B5C06">
            <w:pPr>
              <w:pStyle w:val="Default"/>
              <w:rPr>
                <w:sz w:val="20"/>
                <w:szCs w:val="20"/>
              </w:rPr>
            </w:pPr>
            <w:r>
              <w:rPr>
                <w:b/>
                <w:bCs/>
                <w:sz w:val="20"/>
                <w:szCs w:val="20"/>
              </w:rPr>
              <w:t xml:space="preserve">Grad ≥ 3 </w:t>
            </w:r>
            <w:proofErr w:type="spellStart"/>
            <w:r>
              <w:rPr>
                <w:b/>
                <w:bCs/>
                <w:sz w:val="20"/>
                <w:szCs w:val="20"/>
              </w:rPr>
              <w:t>bivirkninger</w:t>
            </w:r>
            <w:r>
              <w:rPr>
                <w:b/>
                <w:bCs/>
                <w:sz w:val="20"/>
                <w:szCs w:val="20"/>
                <w:vertAlign w:val="superscript"/>
              </w:rPr>
              <w:t>b</w:t>
            </w:r>
            <w:proofErr w:type="spellEnd"/>
            <w:r>
              <w:rPr>
                <w:sz w:val="20"/>
                <w:szCs w:val="20"/>
              </w:rPr>
              <w:t xml:space="preserve"> (</w:t>
            </w:r>
            <w:r w:rsidR="008A63AB">
              <w:rPr>
                <w:sz w:val="20"/>
                <w:szCs w:val="20"/>
              </w:rPr>
              <w:t>%</w:t>
            </w:r>
            <w:r>
              <w:rPr>
                <w:sz w:val="20"/>
                <w:szCs w:val="20"/>
              </w:rPr>
              <w:t xml:space="preserve">) </w:t>
            </w:r>
          </w:p>
        </w:tc>
      </w:tr>
      <w:tr w:rsidR="009B5C06" w:rsidTr="009B5C06">
        <w:trPr>
          <w:trHeight w:val="147"/>
        </w:trPr>
        <w:tc>
          <w:tcPr>
            <w:tcW w:w="1719" w:type="pct"/>
            <w:hideMark/>
          </w:tcPr>
          <w:p w:rsidR="009B5C06" w:rsidRDefault="009B5C06">
            <w:pPr>
              <w:pStyle w:val="Default"/>
              <w:rPr>
                <w:sz w:val="20"/>
                <w:szCs w:val="20"/>
              </w:rPr>
            </w:pPr>
            <w:proofErr w:type="spellStart"/>
            <w:r>
              <w:rPr>
                <w:sz w:val="20"/>
                <w:szCs w:val="20"/>
              </w:rPr>
              <w:t>Klinisk</w:t>
            </w:r>
            <w:proofErr w:type="spellEnd"/>
            <w:r>
              <w:rPr>
                <w:sz w:val="20"/>
                <w:szCs w:val="20"/>
              </w:rPr>
              <w:t xml:space="preserve"> </w:t>
            </w:r>
            <w:proofErr w:type="spellStart"/>
            <w:r>
              <w:rPr>
                <w:sz w:val="20"/>
                <w:szCs w:val="20"/>
              </w:rPr>
              <w:t>neutropeni</w:t>
            </w:r>
            <w:proofErr w:type="spellEnd"/>
            <w:r>
              <w:rPr>
                <w:sz w:val="20"/>
                <w:szCs w:val="20"/>
              </w:rPr>
              <w:t xml:space="preserve"> </w:t>
            </w:r>
          </w:p>
        </w:tc>
        <w:tc>
          <w:tcPr>
            <w:tcW w:w="1642" w:type="pct"/>
            <w:hideMark/>
          </w:tcPr>
          <w:p w:rsidR="009B5C06" w:rsidRDefault="009B5C06">
            <w:pPr>
              <w:pStyle w:val="Default"/>
              <w:rPr>
                <w:sz w:val="20"/>
                <w:szCs w:val="20"/>
              </w:rPr>
            </w:pPr>
            <w:r>
              <w:rPr>
                <w:sz w:val="20"/>
                <w:szCs w:val="20"/>
              </w:rPr>
              <w:t xml:space="preserve">2,4 </w:t>
            </w:r>
          </w:p>
        </w:tc>
        <w:tc>
          <w:tcPr>
            <w:tcW w:w="1639" w:type="pct"/>
            <w:hideMark/>
          </w:tcPr>
          <w:p w:rsidR="009B5C06" w:rsidRDefault="009B5C06">
            <w:pPr>
              <w:pStyle w:val="Default"/>
              <w:rPr>
                <w:sz w:val="20"/>
                <w:szCs w:val="20"/>
              </w:rPr>
            </w:pPr>
            <w:r>
              <w:rPr>
                <w:sz w:val="20"/>
                <w:szCs w:val="20"/>
              </w:rPr>
              <w:t xml:space="preserve">9,6 </w:t>
            </w:r>
          </w:p>
        </w:tc>
      </w:tr>
      <w:tr w:rsidR="009B5C06" w:rsidTr="009B5C06">
        <w:trPr>
          <w:trHeight w:val="147"/>
        </w:trPr>
        <w:tc>
          <w:tcPr>
            <w:tcW w:w="1719" w:type="pct"/>
            <w:hideMark/>
          </w:tcPr>
          <w:p w:rsidR="009B5C06" w:rsidRDefault="009B5C06">
            <w:pPr>
              <w:pStyle w:val="Default"/>
              <w:rPr>
                <w:sz w:val="20"/>
                <w:szCs w:val="20"/>
              </w:rPr>
            </w:pPr>
            <w:proofErr w:type="spellStart"/>
            <w:r>
              <w:rPr>
                <w:sz w:val="20"/>
                <w:szCs w:val="20"/>
              </w:rPr>
              <w:t>Febril</w:t>
            </w:r>
            <w:proofErr w:type="spellEnd"/>
            <w:r>
              <w:rPr>
                <w:sz w:val="20"/>
                <w:szCs w:val="20"/>
              </w:rPr>
              <w:t xml:space="preserve"> </w:t>
            </w:r>
            <w:proofErr w:type="spellStart"/>
            <w:r>
              <w:rPr>
                <w:sz w:val="20"/>
                <w:szCs w:val="20"/>
              </w:rPr>
              <w:t>neutropeni</w:t>
            </w:r>
            <w:proofErr w:type="spellEnd"/>
            <w:r>
              <w:rPr>
                <w:sz w:val="20"/>
                <w:szCs w:val="20"/>
              </w:rPr>
              <w:t xml:space="preserve"> </w:t>
            </w:r>
          </w:p>
        </w:tc>
        <w:tc>
          <w:tcPr>
            <w:tcW w:w="1642" w:type="pct"/>
            <w:hideMark/>
          </w:tcPr>
          <w:p w:rsidR="009B5C06" w:rsidRDefault="009B5C06">
            <w:pPr>
              <w:pStyle w:val="Default"/>
              <w:rPr>
                <w:sz w:val="20"/>
                <w:szCs w:val="20"/>
              </w:rPr>
            </w:pPr>
            <w:r>
              <w:rPr>
                <w:sz w:val="20"/>
                <w:szCs w:val="20"/>
              </w:rPr>
              <w:t xml:space="preserve">2,1 </w:t>
            </w:r>
          </w:p>
        </w:tc>
        <w:tc>
          <w:tcPr>
            <w:tcW w:w="1639" w:type="pct"/>
            <w:hideMark/>
          </w:tcPr>
          <w:p w:rsidR="009B5C06" w:rsidRDefault="009B5C06">
            <w:pPr>
              <w:pStyle w:val="Default"/>
              <w:rPr>
                <w:sz w:val="20"/>
                <w:szCs w:val="20"/>
              </w:rPr>
            </w:pPr>
            <w:r>
              <w:rPr>
                <w:sz w:val="20"/>
                <w:szCs w:val="20"/>
              </w:rPr>
              <w:t xml:space="preserve">9,2 </w:t>
            </w:r>
          </w:p>
        </w:tc>
      </w:tr>
      <w:tr w:rsidR="009B5C06" w:rsidTr="009B5C06">
        <w:trPr>
          <w:trHeight w:val="147"/>
        </w:trPr>
        <w:tc>
          <w:tcPr>
            <w:tcW w:w="1719" w:type="pct"/>
          </w:tcPr>
          <w:p w:rsidR="009B5C06" w:rsidRDefault="009B5C06">
            <w:pPr>
              <w:pStyle w:val="Default"/>
              <w:rPr>
                <w:sz w:val="20"/>
                <w:szCs w:val="20"/>
              </w:rPr>
            </w:pPr>
          </w:p>
        </w:tc>
        <w:tc>
          <w:tcPr>
            <w:tcW w:w="1642" w:type="pct"/>
          </w:tcPr>
          <w:p w:rsidR="009B5C06" w:rsidRDefault="009B5C06">
            <w:pPr>
              <w:pStyle w:val="Default"/>
              <w:rPr>
                <w:sz w:val="20"/>
                <w:szCs w:val="20"/>
              </w:rPr>
            </w:pPr>
          </w:p>
        </w:tc>
        <w:tc>
          <w:tcPr>
            <w:tcW w:w="1639" w:type="pct"/>
          </w:tcPr>
          <w:p w:rsidR="009B5C06" w:rsidRDefault="009B5C06">
            <w:pPr>
              <w:pStyle w:val="Default"/>
              <w:rPr>
                <w:sz w:val="20"/>
                <w:szCs w:val="20"/>
              </w:rPr>
            </w:pPr>
          </w:p>
        </w:tc>
      </w:tr>
      <w:tr w:rsidR="009B5C06" w:rsidTr="009B5C06">
        <w:trPr>
          <w:gridAfter w:val="2"/>
          <w:wAfter w:w="3281" w:type="pct"/>
          <w:trHeight w:val="154"/>
        </w:trPr>
        <w:tc>
          <w:tcPr>
            <w:tcW w:w="1719" w:type="pct"/>
            <w:hideMark/>
          </w:tcPr>
          <w:p w:rsidR="009B5C06" w:rsidRDefault="009B5C06">
            <w:pPr>
              <w:pStyle w:val="Default"/>
              <w:rPr>
                <w:sz w:val="20"/>
                <w:szCs w:val="20"/>
              </w:rPr>
            </w:pPr>
            <w:proofErr w:type="spellStart"/>
            <w:r>
              <w:rPr>
                <w:b/>
                <w:bCs/>
                <w:sz w:val="20"/>
                <w:szCs w:val="20"/>
              </w:rPr>
              <w:t>Hæmatologiske</w:t>
            </w:r>
            <w:proofErr w:type="spellEnd"/>
            <w:r>
              <w:rPr>
                <w:b/>
                <w:bCs/>
                <w:sz w:val="20"/>
                <w:szCs w:val="20"/>
              </w:rPr>
              <w:t xml:space="preserve"> </w:t>
            </w:r>
            <w:proofErr w:type="spellStart"/>
            <w:r>
              <w:rPr>
                <w:b/>
                <w:bCs/>
                <w:sz w:val="20"/>
                <w:szCs w:val="20"/>
              </w:rPr>
              <w:t>abnormiteter</w:t>
            </w:r>
            <w:r>
              <w:rPr>
                <w:b/>
                <w:bCs/>
                <w:sz w:val="20"/>
                <w:szCs w:val="20"/>
                <w:vertAlign w:val="superscript"/>
              </w:rPr>
              <w:t>c</w:t>
            </w:r>
            <w:proofErr w:type="spellEnd"/>
            <w:r>
              <w:rPr>
                <w:sz w:val="20"/>
                <w:szCs w:val="20"/>
              </w:rPr>
              <w:t xml:space="preserve"> </w:t>
            </w:r>
            <w:r>
              <w:rPr>
                <w:b/>
                <w:bCs/>
                <w:sz w:val="20"/>
                <w:szCs w:val="20"/>
              </w:rPr>
              <w:t>(</w:t>
            </w:r>
            <w:r w:rsidR="008A63AB">
              <w:rPr>
                <w:b/>
                <w:bCs/>
                <w:sz w:val="20"/>
                <w:szCs w:val="20"/>
              </w:rPr>
              <w:t>%</w:t>
            </w:r>
            <w:r>
              <w:rPr>
                <w:b/>
                <w:bCs/>
                <w:sz w:val="20"/>
                <w:szCs w:val="20"/>
              </w:rPr>
              <w:t xml:space="preserve">) </w:t>
            </w:r>
          </w:p>
        </w:tc>
      </w:tr>
      <w:tr w:rsidR="009B5C06" w:rsidTr="009B5C06">
        <w:trPr>
          <w:trHeight w:val="147"/>
        </w:trPr>
        <w:tc>
          <w:tcPr>
            <w:tcW w:w="1719" w:type="pct"/>
            <w:hideMark/>
          </w:tcPr>
          <w:p w:rsidR="009B5C06" w:rsidRDefault="009B5C06">
            <w:pPr>
              <w:pStyle w:val="Default"/>
              <w:rPr>
                <w:sz w:val="20"/>
                <w:szCs w:val="20"/>
              </w:rPr>
            </w:pPr>
            <w:r>
              <w:rPr>
                <w:sz w:val="20"/>
                <w:szCs w:val="20"/>
              </w:rPr>
              <w:t xml:space="preserve">Grad ≥ 3 </w:t>
            </w:r>
            <w:proofErr w:type="spellStart"/>
            <w:r>
              <w:rPr>
                <w:sz w:val="20"/>
                <w:szCs w:val="20"/>
              </w:rPr>
              <w:t>neutropeni</w:t>
            </w:r>
            <w:proofErr w:type="spellEnd"/>
            <w:r>
              <w:rPr>
                <w:sz w:val="20"/>
                <w:szCs w:val="20"/>
              </w:rPr>
              <w:t xml:space="preserve"> </w:t>
            </w:r>
          </w:p>
        </w:tc>
        <w:tc>
          <w:tcPr>
            <w:tcW w:w="1642" w:type="pct"/>
            <w:hideMark/>
          </w:tcPr>
          <w:p w:rsidR="009B5C06" w:rsidRDefault="009B5C06">
            <w:pPr>
              <w:pStyle w:val="Default"/>
              <w:rPr>
                <w:sz w:val="20"/>
                <w:szCs w:val="20"/>
              </w:rPr>
            </w:pPr>
            <w:r>
              <w:rPr>
                <w:sz w:val="20"/>
                <w:szCs w:val="20"/>
              </w:rPr>
              <w:t xml:space="preserve">41,8 </w:t>
            </w:r>
          </w:p>
        </w:tc>
        <w:tc>
          <w:tcPr>
            <w:tcW w:w="1639" w:type="pct"/>
            <w:hideMark/>
          </w:tcPr>
          <w:p w:rsidR="009B5C06" w:rsidRDefault="009B5C06">
            <w:pPr>
              <w:pStyle w:val="Default"/>
              <w:rPr>
                <w:sz w:val="20"/>
                <w:szCs w:val="20"/>
              </w:rPr>
            </w:pPr>
            <w:r>
              <w:rPr>
                <w:sz w:val="20"/>
                <w:szCs w:val="20"/>
              </w:rPr>
              <w:t xml:space="preserve">73,3 </w:t>
            </w:r>
          </w:p>
        </w:tc>
      </w:tr>
      <w:tr w:rsidR="009B5C06" w:rsidTr="009B5C06">
        <w:trPr>
          <w:trHeight w:val="147"/>
        </w:trPr>
        <w:tc>
          <w:tcPr>
            <w:tcW w:w="1719" w:type="pct"/>
            <w:hideMark/>
          </w:tcPr>
          <w:p w:rsidR="009B5C06" w:rsidRDefault="009B5C06">
            <w:pPr>
              <w:pStyle w:val="Default"/>
              <w:rPr>
                <w:sz w:val="20"/>
                <w:szCs w:val="20"/>
              </w:rPr>
            </w:pPr>
            <w:r>
              <w:rPr>
                <w:sz w:val="20"/>
                <w:szCs w:val="20"/>
              </w:rPr>
              <w:t xml:space="preserve">Grad ≥ 3 </w:t>
            </w:r>
            <w:proofErr w:type="spellStart"/>
            <w:r>
              <w:rPr>
                <w:sz w:val="20"/>
                <w:szCs w:val="20"/>
              </w:rPr>
              <w:t>anæmi</w:t>
            </w:r>
            <w:proofErr w:type="spellEnd"/>
            <w:r>
              <w:rPr>
                <w:sz w:val="20"/>
                <w:szCs w:val="20"/>
              </w:rPr>
              <w:t xml:space="preserve"> </w:t>
            </w:r>
          </w:p>
        </w:tc>
        <w:tc>
          <w:tcPr>
            <w:tcW w:w="1642" w:type="pct"/>
            <w:hideMark/>
          </w:tcPr>
          <w:p w:rsidR="009B5C06" w:rsidRDefault="009B5C06">
            <w:pPr>
              <w:pStyle w:val="Default"/>
              <w:rPr>
                <w:sz w:val="20"/>
                <w:szCs w:val="20"/>
              </w:rPr>
            </w:pPr>
            <w:r>
              <w:rPr>
                <w:sz w:val="20"/>
                <w:szCs w:val="20"/>
              </w:rPr>
              <w:t xml:space="preserve">9,9 </w:t>
            </w:r>
          </w:p>
        </w:tc>
        <w:tc>
          <w:tcPr>
            <w:tcW w:w="1639" w:type="pct"/>
            <w:hideMark/>
          </w:tcPr>
          <w:p w:rsidR="009B5C06" w:rsidRDefault="009B5C06">
            <w:pPr>
              <w:pStyle w:val="Default"/>
              <w:rPr>
                <w:sz w:val="20"/>
                <w:szCs w:val="20"/>
              </w:rPr>
            </w:pPr>
            <w:r>
              <w:rPr>
                <w:sz w:val="20"/>
                <w:szCs w:val="20"/>
              </w:rPr>
              <w:t xml:space="preserve">13,7 </w:t>
            </w:r>
          </w:p>
        </w:tc>
      </w:tr>
      <w:tr w:rsidR="009B5C06" w:rsidTr="009B5C06">
        <w:trPr>
          <w:trHeight w:val="147"/>
        </w:trPr>
        <w:tc>
          <w:tcPr>
            <w:tcW w:w="1719" w:type="pct"/>
            <w:tcBorders>
              <w:top w:val="nil"/>
              <w:left w:val="nil"/>
              <w:bottom w:val="single" w:sz="4" w:space="0" w:color="auto"/>
              <w:right w:val="nil"/>
            </w:tcBorders>
            <w:hideMark/>
          </w:tcPr>
          <w:p w:rsidR="009B5C06" w:rsidRDefault="009B5C06">
            <w:pPr>
              <w:pStyle w:val="Default"/>
              <w:rPr>
                <w:sz w:val="20"/>
                <w:szCs w:val="20"/>
              </w:rPr>
            </w:pPr>
            <w:r>
              <w:rPr>
                <w:sz w:val="20"/>
                <w:szCs w:val="20"/>
              </w:rPr>
              <w:t xml:space="preserve">Grad ≥ 3 </w:t>
            </w:r>
            <w:proofErr w:type="spellStart"/>
            <w:r>
              <w:rPr>
                <w:sz w:val="20"/>
                <w:szCs w:val="20"/>
              </w:rPr>
              <w:t>trombocytopeni</w:t>
            </w:r>
            <w:proofErr w:type="spellEnd"/>
            <w:r>
              <w:rPr>
                <w:sz w:val="20"/>
                <w:szCs w:val="20"/>
              </w:rPr>
              <w:t xml:space="preserve"> </w:t>
            </w:r>
          </w:p>
        </w:tc>
        <w:tc>
          <w:tcPr>
            <w:tcW w:w="1642" w:type="pct"/>
            <w:tcBorders>
              <w:top w:val="nil"/>
              <w:left w:val="nil"/>
              <w:bottom w:val="single" w:sz="4" w:space="0" w:color="auto"/>
              <w:right w:val="nil"/>
            </w:tcBorders>
            <w:hideMark/>
          </w:tcPr>
          <w:p w:rsidR="009B5C06" w:rsidRDefault="009B5C06">
            <w:pPr>
              <w:pStyle w:val="Default"/>
              <w:rPr>
                <w:sz w:val="20"/>
                <w:szCs w:val="20"/>
              </w:rPr>
            </w:pPr>
            <w:r>
              <w:rPr>
                <w:sz w:val="20"/>
                <w:szCs w:val="20"/>
              </w:rPr>
              <w:t xml:space="preserve">2,6 </w:t>
            </w:r>
          </w:p>
        </w:tc>
        <w:tc>
          <w:tcPr>
            <w:tcW w:w="1639" w:type="pct"/>
            <w:tcBorders>
              <w:top w:val="nil"/>
              <w:left w:val="nil"/>
              <w:bottom w:val="single" w:sz="4" w:space="0" w:color="auto"/>
              <w:right w:val="nil"/>
            </w:tcBorders>
            <w:hideMark/>
          </w:tcPr>
          <w:p w:rsidR="009B5C06" w:rsidRDefault="009B5C06">
            <w:pPr>
              <w:pStyle w:val="Default"/>
              <w:rPr>
                <w:sz w:val="20"/>
                <w:szCs w:val="20"/>
              </w:rPr>
            </w:pPr>
            <w:r>
              <w:rPr>
                <w:sz w:val="20"/>
                <w:szCs w:val="20"/>
              </w:rPr>
              <w:t xml:space="preserve">4,2 </w:t>
            </w:r>
          </w:p>
        </w:tc>
      </w:tr>
    </w:tbl>
    <w:p w:rsidR="009B5C06" w:rsidRPr="00A56312" w:rsidRDefault="009B5C06" w:rsidP="009B5C06">
      <w:pPr>
        <w:suppressAutoHyphens/>
        <w:ind w:left="567" w:hanging="567"/>
        <w:rPr>
          <w:bCs/>
          <w:sz w:val="18"/>
          <w:szCs w:val="18"/>
          <w:lang w:val="fr-LU" w:eastAsia="fr-LU"/>
        </w:rPr>
      </w:pPr>
      <w:r w:rsidRPr="00A56312">
        <w:rPr>
          <w:bCs/>
          <w:sz w:val="18"/>
          <w:szCs w:val="18"/>
        </w:rPr>
        <w:t>CBZ20=</w:t>
      </w:r>
      <w:proofErr w:type="spellStart"/>
      <w:r w:rsidRPr="00A56312">
        <w:rPr>
          <w:bCs/>
          <w:sz w:val="18"/>
          <w:szCs w:val="18"/>
        </w:rPr>
        <w:t>Cabazitaxel</w:t>
      </w:r>
      <w:proofErr w:type="spellEnd"/>
      <w:r w:rsidRPr="00A56312">
        <w:rPr>
          <w:bCs/>
          <w:sz w:val="18"/>
          <w:szCs w:val="18"/>
        </w:rPr>
        <w:t xml:space="preserve"> 20 mg/m</w:t>
      </w:r>
      <w:r w:rsidRPr="00A56312">
        <w:rPr>
          <w:bCs/>
          <w:sz w:val="18"/>
          <w:szCs w:val="18"/>
          <w:vertAlign w:val="superscript"/>
        </w:rPr>
        <w:t>2</w:t>
      </w:r>
      <w:r w:rsidRPr="00A56312">
        <w:rPr>
          <w:bCs/>
          <w:sz w:val="18"/>
          <w:szCs w:val="18"/>
        </w:rPr>
        <w:t>, CBZ25=</w:t>
      </w:r>
      <w:proofErr w:type="spellStart"/>
      <w:r w:rsidRPr="00A56312">
        <w:rPr>
          <w:bCs/>
          <w:sz w:val="18"/>
          <w:szCs w:val="18"/>
        </w:rPr>
        <w:t>Cabazitaxel</w:t>
      </w:r>
      <w:proofErr w:type="spellEnd"/>
      <w:r w:rsidRPr="00A56312">
        <w:rPr>
          <w:bCs/>
          <w:sz w:val="18"/>
          <w:szCs w:val="18"/>
        </w:rPr>
        <w:t xml:space="preserve"> 25 mg/m</w:t>
      </w:r>
      <w:r w:rsidRPr="00A56312">
        <w:rPr>
          <w:bCs/>
          <w:sz w:val="18"/>
          <w:szCs w:val="18"/>
          <w:vertAlign w:val="superscript"/>
        </w:rPr>
        <w:t>2</w:t>
      </w:r>
      <w:r w:rsidRPr="00A56312">
        <w:rPr>
          <w:bCs/>
          <w:sz w:val="18"/>
          <w:szCs w:val="18"/>
        </w:rPr>
        <w:t>, PRED=</w:t>
      </w:r>
      <w:proofErr w:type="spellStart"/>
      <w:r w:rsidRPr="00A56312">
        <w:rPr>
          <w:bCs/>
          <w:sz w:val="18"/>
          <w:szCs w:val="18"/>
        </w:rPr>
        <w:t>Prednison</w:t>
      </w:r>
      <w:proofErr w:type="spellEnd"/>
      <w:r w:rsidRPr="00A56312">
        <w:rPr>
          <w:bCs/>
          <w:sz w:val="18"/>
          <w:szCs w:val="18"/>
        </w:rPr>
        <w:t>/</w:t>
      </w:r>
      <w:proofErr w:type="spellStart"/>
      <w:r w:rsidRPr="00A56312">
        <w:rPr>
          <w:bCs/>
          <w:sz w:val="18"/>
          <w:szCs w:val="18"/>
        </w:rPr>
        <w:t>Prednisolon</w:t>
      </w:r>
      <w:proofErr w:type="spellEnd"/>
    </w:p>
    <w:p w:rsidR="009B5C06" w:rsidRPr="00A56312" w:rsidRDefault="009B5C06" w:rsidP="009B5C06">
      <w:pPr>
        <w:suppressAutoHyphens/>
        <w:ind w:left="567" w:hanging="567"/>
        <w:rPr>
          <w:bCs/>
          <w:sz w:val="18"/>
          <w:szCs w:val="18"/>
        </w:rPr>
      </w:pPr>
      <w:r w:rsidRPr="00A56312">
        <w:rPr>
          <w:sz w:val="18"/>
          <w:szCs w:val="18"/>
          <w:vertAlign w:val="superscript"/>
        </w:rPr>
        <w:t xml:space="preserve">a </w:t>
      </w:r>
      <w:r w:rsidRPr="00A56312">
        <w:rPr>
          <w:sz w:val="18"/>
          <w:szCs w:val="18"/>
        </w:rPr>
        <w:t>Bivirkninger af enhver grad med en hyppighed over 10</w:t>
      </w:r>
      <w:r w:rsidR="008A63AB">
        <w:rPr>
          <w:sz w:val="18"/>
          <w:szCs w:val="18"/>
        </w:rPr>
        <w:t xml:space="preserve"> %</w:t>
      </w:r>
      <w:r w:rsidRPr="00A56312">
        <w:rPr>
          <w:sz w:val="18"/>
          <w:szCs w:val="18"/>
        </w:rPr>
        <w:t xml:space="preserve"> </w:t>
      </w:r>
    </w:p>
    <w:p w:rsidR="009B5C06" w:rsidRPr="00A56312" w:rsidRDefault="009B5C06" w:rsidP="009B5C06">
      <w:pPr>
        <w:pStyle w:val="Default"/>
        <w:rPr>
          <w:sz w:val="18"/>
          <w:szCs w:val="18"/>
        </w:rPr>
      </w:pPr>
      <w:r w:rsidRPr="00A56312">
        <w:rPr>
          <w:sz w:val="18"/>
          <w:szCs w:val="18"/>
          <w:vertAlign w:val="superscript"/>
        </w:rPr>
        <w:t xml:space="preserve">b </w:t>
      </w:r>
      <w:r w:rsidRPr="00A56312">
        <w:rPr>
          <w:sz w:val="18"/>
          <w:szCs w:val="18"/>
        </w:rPr>
        <w:t>Grad ≥ 3 bivirkninger med en hyppighed over 5</w:t>
      </w:r>
      <w:r w:rsidR="008A63AB">
        <w:rPr>
          <w:sz w:val="18"/>
          <w:szCs w:val="18"/>
        </w:rPr>
        <w:t xml:space="preserve"> %</w:t>
      </w:r>
      <w:r w:rsidRPr="00A56312">
        <w:rPr>
          <w:sz w:val="18"/>
          <w:szCs w:val="18"/>
        </w:rPr>
        <w:t xml:space="preserve"> </w:t>
      </w:r>
    </w:p>
    <w:p w:rsidR="009B5C06" w:rsidRPr="00A56312" w:rsidRDefault="009B5C06" w:rsidP="009B5C06">
      <w:pPr>
        <w:suppressAutoHyphens/>
        <w:ind w:left="567" w:hanging="567"/>
        <w:rPr>
          <w:b/>
          <w:sz w:val="18"/>
          <w:szCs w:val="18"/>
        </w:rPr>
      </w:pPr>
      <w:r w:rsidRPr="00A56312">
        <w:rPr>
          <w:sz w:val="18"/>
          <w:szCs w:val="18"/>
          <w:vertAlign w:val="superscript"/>
        </w:rPr>
        <w:t xml:space="preserve">c </w:t>
      </w:r>
      <w:r w:rsidRPr="00A56312">
        <w:rPr>
          <w:sz w:val="18"/>
          <w:szCs w:val="18"/>
        </w:rPr>
        <w:t>Baseret på laboratorieværdier</w:t>
      </w:r>
    </w:p>
    <w:p w:rsidR="009B5C06" w:rsidRDefault="009B5C06" w:rsidP="002A47D6">
      <w:pPr>
        <w:suppressAutoHyphens/>
        <w:ind w:left="851"/>
        <w:rPr>
          <w:b/>
          <w:sz w:val="24"/>
          <w:szCs w:val="24"/>
        </w:rPr>
      </w:pPr>
    </w:p>
    <w:p w:rsidR="00A56312" w:rsidRPr="005456DB" w:rsidRDefault="00A56312" w:rsidP="00A56312">
      <w:pPr>
        <w:pStyle w:val="Default"/>
        <w:ind w:left="851"/>
      </w:pPr>
      <w:r w:rsidRPr="00B42C02">
        <w:t xml:space="preserve">I et </w:t>
      </w:r>
      <w:proofErr w:type="spellStart"/>
      <w:r w:rsidRPr="00B42C02">
        <w:t>prospektiv</w:t>
      </w:r>
      <w:proofErr w:type="spellEnd"/>
      <w:r w:rsidRPr="00B42C02">
        <w:t xml:space="preserve">, multinational, randomiseret, aktivt-kontrolleret og åbent fase IV-studie (LPS14201/CARD studie) med 255 patienter med metastatisk kastreringsresistent </w:t>
      </w:r>
      <w:proofErr w:type="spellStart"/>
      <w:r w:rsidRPr="00B42C02">
        <w:t>prostatacanser</w:t>
      </w:r>
      <w:proofErr w:type="spellEnd"/>
      <w:r w:rsidRPr="00B42C02">
        <w:t xml:space="preserve"> (</w:t>
      </w:r>
      <w:proofErr w:type="spellStart"/>
      <w:r w:rsidRPr="00B42C02">
        <w:t>mCRPC</w:t>
      </w:r>
      <w:proofErr w:type="spellEnd"/>
      <w:r w:rsidRPr="00B42C02">
        <w:t xml:space="preserve">), tidligere behandlet i en hvilken som helst rækkefølge, med et </w:t>
      </w:r>
      <w:proofErr w:type="spellStart"/>
      <w:r w:rsidRPr="00B42C02">
        <w:t>docetaxelholdigt</w:t>
      </w:r>
      <w:proofErr w:type="spellEnd"/>
      <w:r w:rsidRPr="00B42C02">
        <w:t xml:space="preserve"> regime og med et AR-målrettet middel (</w:t>
      </w:r>
      <w:proofErr w:type="spellStart"/>
      <w:r w:rsidRPr="00B42C02">
        <w:t>abirateron</w:t>
      </w:r>
      <w:proofErr w:type="spellEnd"/>
      <w:r w:rsidRPr="00B42C02">
        <w:t xml:space="preserve"> eller </w:t>
      </w:r>
      <w:proofErr w:type="spellStart"/>
      <w:r w:rsidRPr="00B42C02">
        <w:t>enzalutamid</w:t>
      </w:r>
      <w:proofErr w:type="spellEnd"/>
      <w:r w:rsidRPr="00B42C02">
        <w:t xml:space="preserve"> med sygdomsprogression indenfor 12 måneder efter behandlingsstart), blev randomiseret til at modtage enten </w:t>
      </w:r>
      <w:proofErr w:type="spellStart"/>
      <w:r w:rsidRPr="00B42C02">
        <w:t>cabazitaxel</w:t>
      </w:r>
      <w:proofErr w:type="spellEnd"/>
      <w:r w:rsidRPr="00B42C02">
        <w:t xml:space="preserve"> 25 mg/m</w:t>
      </w:r>
      <w:r>
        <w:rPr>
          <w:vertAlign w:val="superscript"/>
        </w:rPr>
        <w:t>2</w:t>
      </w:r>
      <w:r w:rsidRPr="00B42C02">
        <w:t xml:space="preserve"> hver 3. uge plus </w:t>
      </w:r>
      <w:proofErr w:type="spellStart"/>
      <w:r w:rsidRPr="00B42C02">
        <w:t>prednison</w:t>
      </w:r>
      <w:proofErr w:type="spellEnd"/>
      <w:r w:rsidRPr="00B42C02">
        <w:t>/</w:t>
      </w:r>
      <w:proofErr w:type="spellStart"/>
      <w:r w:rsidRPr="00B42C02">
        <w:t>prednisolon</w:t>
      </w:r>
      <w:proofErr w:type="spellEnd"/>
      <w:r w:rsidRPr="00B42C02">
        <w:t xml:space="preserve"> 10 mg dagligt (n=129), eller AR-målrettet middel (</w:t>
      </w:r>
      <w:proofErr w:type="spellStart"/>
      <w:r w:rsidRPr="00B42C02">
        <w:t>abirateron</w:t>
      </w:r>
      <w:proofErr w:type="spellEnd"/>
      <w:r w:rsidRPr="00B42C02">
        <w:t xml:space="preserve"> 1000 mg én gang dagligt plus </w:t>
      </w:r>
      <w:proofErr w:type="spellStart"/>
      <w:r w:rsidRPr="00B42C02">
        <w:t>prednison</w:t>
      </w:r>
      <w:proofErr w:type="spellEnd"/>
      <w:r w:rsidRPr="00B42C02">
        <w:t>/</w:t>
      </w:r>
      <w:proofErr w:type="spellStart"/>
      <w:r w:rsidRPr="00B42C02">
        <w:t>prednisolon</w:t>
      </w:r>
      <w:proofErr w:type="spellEnd"/>
      <w:r w:rsidRPr="00B42C02">
        <w:t xml:space="preserve"> 5 mg to gange dagligt eller </w:t>
      </w:r>
      <w:proofErr w:type="spellStart"/>
      <w:r w:rsidRPr="00B42C02">
        <w:t>enzalutamid</w:t>
      </w:r>
      <w:proofErr w:type="spellEnd"/>
      <w:r w:rsidRPr="00B42C02">
        <w:t xml:space="preserve"> 160 mg én gang</w:t>
      </w:r>
      <w:r w:rsidRPr="005456DB">
        <w:t xml:space="preserve"> dagligt) (n=126). Radiografisk progressionsfri overlevelse (</w:t>
      </w:r>
      <w:proofErr w:type="spellStart"/>
      <w:r w:rsidRPr="005456DB">
        <w:t>rPFS</w:t>
      </w:r>
      <w:proofErr w:type="spellEnd"/>
      <w:r w:rsidRPr="005456DB">
        <w:t xml:space="preserve">), som defineret af Prostatacancer </w:t>
      </w:r>
      <w:proofErr w:type="spellStart"/>
      <w:r w:rsidRPr="005456DB">
        <w:t>Working</w:t>
      </w:r>
      <w:proofErr w:type="spellEnd"/>
      <w:r w:rsidRPr="005456DB">
        <w:t xml:space="preserve"> Group-2 (PCWG2) var det primære endepunkt. Sekundære endepunkter inkluderede samlet overlevelse, progressionsfri overlevelse, PSA-</w:t>
      </w:r>
      <w:proofErr w:type="spellStart"/>
      <w:r w:rsidRPr="005456DB">
        <w:t>response</w:t>
      </w:r>
      <w:proofErr w:type="spellEnd"/>
      <w:r w:rsidRPr="005456DB">
        <w:t xml:space="preserve"> og tumorrespons. </w:t>
      </w:r>
    </w:p>
    <w:p w:rsidR="00A56312" w:rsidRPr="005456DB" w:rsidRDefault="00A56312" w:rsidP="00A56312">
      <w:pPr>
        <w:pStyle w:val="Default"/>
        <w:ind w:left="851"/>
      </w:pPr>
    </w:p>
    <w:p w:rsidR="00A56312" w:rsidRPr="005456DB" w:rsidRDefault="00A56312" w:rsidP="00A56312">
      <w:pPr>
        <w:pStyle w:val="Default"/>
        <w:ind w:left="851"/>
      </w:pPr>
      <w:r w:rsidRPr="005456DB">
        <w:t>Demografiske- og sygdomsegenskaber var afbalanceret mellem behandlingsarmene. Ved baseline var den samlede medianalder 70 år, 95</w:t>
      </w:r>
      <w:r w:rsidR="008A63AB">
        <w:t xml:space="preserve"> %</w:t>
      </w:r>
      <w:r w:rsidRPr="005456DB">
        <w:t xml:space="preserve"> af patienterne havde en ECOG PS på 0 til 1, og median </w:t>
      </w:r>
      <w:proofErr w:type="spellStart"/>
      <w:r w:rsidRPr="005456DB">
        <w:t>Gleason</w:t>
      </w:r>
      <w:proofErr w:type="spellEnd"/>
      <w:r w:rsidRPr="005456DB">
        <w:t>-score var 8. 61</w:t>
      </w:r>
      <w:r w:rsidR="008A63AB">
        <w:t xml:space="preserve"> %</w:t>
      </w:r>
      <w:r w:rsidRPr="005456DB">
        <w:t xml:space="preserve"> af patienterne havde deres tidligere behandling med AR-målrettet middel efter forudgående </w:t>
      </w:r>
      <w:proofErr w:type="spellStart"/>
      <w:r w:rsidRPr="005456DB">
        <w:t>docetaxel</w:t>
      </w:r>
      <w:proofErr w:type="spellEnd"/>
      <w:r w:rsidRPr="005456DB">
        <w:t>.</w:t>
      </w:r>
    </w:p>
    <w:p w:rsidR="00A56312" w:rsidRPr="00B42C02" w:rsidRDefault="00A56312" w:rsidP="00A56312">
      <w:pPr>
        <w:pStyle w:val="Default"/>
        <w:ind w:left="851"/>
      </w:pPr>
      <w:r w:rsidRPr="00B42C02">
        <w:t xml:space="preserve">Studiet nåede sit primære endepunkt: </w:t>
      </w:r>
      <w:proofErr w:type="spellStart"/>
      <w:r w:rsidRPr="00B42C02">
        <w:t>rPSF</w:t>
      </w:r>
      <w:proofErr w:type="spellEnd"/>
      <w:r w:rsidRPr="00B42C02">
        <w:t xml:space="preserve"> var signifikant længere med </w:t>
      </w:r>
      <w:proofErr w:type="spellStart"/>
      <w:r w:rsidRPr="00B42C02">
        <w:t>cabazitaxel</w:t>
      </w:r>
      <w:proofErr w:type="spellEnd"/>
      <w:r w:rsidRPr="00B42C02">
        <w:t xml:space="preserve"> sammenlignet med AR-målrettet middel (hhv. 8,0 måneder versus 3,7) med en 46</w:t>
      </w:r>
      <w:r w:rsidR="008A63AB">
        <w:t xml:space="preserve"> %</w:t>
      </w:r>
      <w:r w:rsidRPr="00B42C02">
        <w:t xml:space="preserve"> reduktion i risikoen for radiografisk progression sammenlignet med AR-målrettet middel (se tabel 6 og figur 2).</w:t>
      </w:r>
    </w:p>
    <w:p w:rsidR="00A56312" w:rsidRDefault="00A56312" w:rsidP="00A56312">
      <w:pPr>
        <w:pStyle w:val="Default"/>
        <w:ind w:left="851"/>
        <w:rPr>
          <w:u w:val="single"/>
        </w:rPr>
      </w:pPr>
    </w:p>
    <w:p w:rsidR="00A56312" w:rsidRPr="00B42C02" w:rsidRDefault="00A56312" w:rsidP="00A56312">
      <w:pPr>
        <w:pStyle w:val="Default"/>
        <w:ind w:left="851"/>
        <w:rPr>
          <w:i/>
          <w:iCs/>
        </w:rPr>
      </w:pPr>
      <w:r w:rsidRPr="00B42C02">
        <w:rPr>
          <w:i/>
          <w:iCs/>
        </w:rPr>
        <w:t xml:space="preserve">Tabel 6 – Effekt af </w:t>
      </w:r>
      <w:proofErr w:type="spellStart"/>
      <w:r w:rsidRPr="00B42C02">
        <w:rPr>
          <w:i/>
          <w:iCs/>
        </w:rPr>
        <w:t>cabazitaxel</w:t>
      </w:r>
      <w:proofErr w:type="spellEnd"/>
      <w:r w:rsidRPr="00B42C02">
        <w:rPr>
          <w:i/>
          <w:iCs/>
        </w:rPr>
        <w:t xml:space="preserve"> i CARD-studiet til behandling af patienter med metastatisk kastreringsresistens prostatacancer (Intent to-</w:t>
      </w:r>
      <w:proofErr w:type="spellStart"/>
      <w:r w:rsidRPr="00B42C02">
        <w:rPr>
          <w:i/>
          <w:iCs/>
        </w:rPr>
        <w:t>treat</w:t>
      </w:r>
      <w:proofErr w:type="spellEnd"/>
      <w:r w:rsidRPr="00B42C02">
        <w:rPr>
          <w:i/>
          <w:iCs/>
        </w:rPr>
        <w:t xml:space="preserve">-analyse) – Radiografisk </w:t>
      </w:r>
      <w:proofErr w:type="spellStart"/>
      <w:r w:rsidRPr="00B42C02">
        <w:rPr>
          <w:i/>
          <w:iCs/>
        </w:rPr>
        <w:t>progressionfri</w:t>
      </w:r>
      <w:proofErr w:type="spellEnd"/>
      <w:r w:rsidRPr="00B42C02">
        <w:rPr>
          <w:i/>
          <w:iCs/>
        </w:rPr>
        <w:t xml:space="preserve"> overlevelse</w:t>
      </w:r>
    </w:p>
    <w:tbl>
      <w:tblPr>
        <w:tblStyle w:val="Tabel-Gitter"/>
        <w:tblW w:w="0" w:type="auto"/>
        <w:jc w:val="center"/>
        <w:tblInd w:w="0" w:type="dxa"/>
        <w:tblLook w:val="04A0" w:firstRow="1" w:lastRow="0" w:firstColumn="1" w:lastColumn="0" w:noHBand="0" w:noVBand="1"/>
      </w:tblPr>
      <w:tblGrid>
        <w:gridCol w:w="3020"/>
        <w:gridCol w:w="3020"/>
        <w:gridCol w:w="3020"/>
      </w:tblGrid>
      <w:tr w:rsidR="00A56312" w:rsidRPr="0008150D" w:rsidTr="00B1288D">
        <w:trPr>
          <w:jc w:val="center"/>
        </w:trPr>
        <w:tc>
          <w:tcPr>
            <w:tcW w:w="9060" w:type="dxa"/>
            <w:gridSpan w:val="3"/>
            <w:tcBorders>
              <w:top w:val="nil"/>
              <w:left w:val="nil"/>
              <w:bottom w:val="single" w:sz="4" w:space="0" w:color="auto"/>
              <w:right w:val="nil"/>
            </w:tcBorders>
          </w:tcPr>
          <w:p w:rsidR="00A56312" w:rsidRPr="00B42C02" w:rsidRDefault="00A56312" w:rsidP="00B1288D">
            <w:pPr>
              <w:jc w:val="center"/>
              <w:rPr>
                <w:sz w:val="22"/>
                <w:szCs w:val="22"/>
              </w:rPr>
            </w:pPr>
            <w:r w:rsidRPr="00B42C02">
              <w:rPr>
                <w:sz w:val="22"/>
                <w:szCs w:val="22"/>
              </w:rPr>
              <w:t>(</w:t>
            </w:r>
            <w:proofErr w:type="spellStart"/>
            <w:r w:rsidRPr="00B42C02">
              <w:rPr>
                <w:sz w:val="22"/>
                <w:szCs w:val="22"/>
              </w:rPr>
              <w:t>rPFS</w:t>
            </w:r>
            <w:proofErr w:type="spellEnd"/>
            <w:r w:rsidRPr="00B42C02">
              <w:rPr>
                <w:sz w:val="22"/>
                <w:szCs w:val="22"/>
              </w:rPr>
              <w:t>)</w:t>
            </w:r>
          </w:p>
        </w:tc>
      </w:tr>
      <w:tr w:rsidR="00A56312" w:rsidRPr="0008150D" w:rsidTr="00B1288D">
        <w:trPr>
          <w:jc w:val="center"/>
        </w:trPr>
        <w:tc>
          <w:tcPr>
            <w:tcW w:w="3020" w:type="dxa"/>
            <w:tcBorders>
              <w:left w:val="nil"/>
              <w:bottom w:val="single" w:sz="4" w:space="0" w:color="auto"/>
              <w:right w:val="nil"/>
            </w:tcBorders>
          </w:tcPr>
          <w:p w:rsidR="00A56312" w:rsidRPr="00B42C02" w:rsidRDefault="00A56312" w:rsidP="00B1288D">
            <w:pPr>
              <w:jc w:val="center"/>
              <w:rPr>
                <w:sz w:val="22"/>
                <w:szCs w:val="22"/>
              </w:rPr>
            </w:pPr>
          </w:p>
        </w:tc>
        <w:tc>
          <w:tcPr>
            <w:tcW w:w="3020" w:type="dxa"/>
            <w:tcBorders>
              <w:left w:val="nil"/>
              <w:bottom w:val="single" w:sz="4" w:space="0" w:color="auto"/>
              <w:right w:val="nil"/>
            </w:tcBorders>
          </w:tcPr>
          <w:p w:rsidR="00A56312" w:rsidRPr="00B42C02" w:rsidRDefault="00A56312" w:rsidP="00B1288D">
            <w:pPr>
              <w:jc w:val="center"/>
              <w:rPr>
                <w:sz w:val="22"/>
                <w:szCs w:val="22"/>
                <w:lang w:val="it-IT"/>
              </w:rPr>
            </w:pPr>
            <w:r w:rsidRPr="00B42C02">
              <w:rPr>
                <w:sz w:val="22"/>
                <w:szCs w:val="22"/>
                <w:lang w:val="it-IT"/>
              </w:rPr>
              <w:t>Cabazitaxel</w:t>
            </w:r>
            <w:r w:rsidRPr="00B42C02">
              <w:rPr>
                <w:sz w:val="22"/>
                <w:szCs w:val="22"/>
                <w:lang w:val="it-IT"/>
              </w:rPr>
              <w:br/>
              <w:t>+ prednison/prednisolon</w:t>
            </w:r>
          </w:p>
          <w:p w:rsidR="00A56312" w:rsidRPr="00B42C02" w:rsidRDefault="00A56312" w:rsidP="00B1288D">
            <w:pPr>
              <w:jc w:val="center"/>
              <w:rPr>
                <w:sz w:val="22"/>
                <w:szCs w:val="22"/>
                <w:lang w:val="it-IT"/>
              </w:rPr>
            </w:pPr>
            <w:r w:rsidRPr="00B42C02">
              <w:rPr>
                <w:sz w:val="22"/>
                <w:szCs w:val="22"/>
                <w:lang w:val="it-IT"/>
              </w:rPr>
              <w:t>+ G-CSF</w:t>
            </w:r>
          </w:p>
          <w:p w:rsidR="00A56312" w:rsidRPr="00B42C02" w:rsidRDefault="00A56312" w:rsidP="00B1288D">
            <w:pPr>
              <w:jc w:val="center"/>
              <w:rPr>
                <w:sz w:val="22"/>
                <w:szCs w:val="22"/>
                <w:lang w:val="it-IT"/>
              </w:rPr>
            </w:pPr>
          </w:p>
          <w:p w:rsidR="00A56312" w:rsidRPr="00B42C02" w:rsidRDefault="00A56312" w:rsidP="00B1288D">
            <w:pPr>
              <w:jc w:val="center"/>
              <w:rPr>
                <w:sz w:val="22"/>
                <w:szCs w:val="22"/>
                <w:lang w:val="it-IT"/>
              </w:rPr>
            </w:pPr>
          </w:p>
          <w:p w:rsidR="00A56312" w:rsidRPr="00B42C02" w:rsidRDefault="00A56312" w:rsidP="00B1288D">
            <w:pPr>
              <w:jc w:val="center"/>
              <w:rPr>
                <w:sz w:val="22"/>
                <w:szCs w:val="22"/>
                <w:lang w:val="it-IT"/>
              </w:rPr>
            </w:pPr>
            <w:r w:rsidRPr="00B42C02">
              <w:rPr>
                <w:sz w:val="22"/>
                <w:szCs w:val="22"/>
                <w:lang w:val="it-IT"/>
              </w:rPr>
              <w:t>n=129</w:t>
            </w:r>
          </w:p>
        </w:tc>
        <w:tc>
          <w:tcPr>
            <w:tcW w:w="3020" w:type="dxa"/>
            <w:tcBorders>
              <w:left w:val="nil"/>
              <w:bottom w:val="single" w:sz="4" w:space="0" w:color="auto"/>
              <w:right w:val="nil"/>
            </w:tcBorders>
          </w:tcPr>
          <w:p w:rsidR="00A56312" w:rsidRPr="00B42C02" w:rsidRDefault="00A56312" w:rsidP="00B1288D">
            <w:pPr>
              <w:jc w:val="center"/>
              <w:rPr>
                <w:sz w:val="22"/>
                <w:szCs w:val="22"/>
                <w:lang w:val="nb-NO"/>
              </w:rPr>
            </w:pPr>
            <w:r w:rsidRPr="00B42C02">
              <w:rPr>
                <w:sz w:val="22"/>
                <w:szCs w:val="22"/>
                <w:lang w:val="nb-NO"/>
              </w:rPr>
              <w:t>AR-targeted middel:</w:t>
            </w:r>
            <w:r w:rsidRPr="00B42C02">
              <w:rPr>
                <w:sz w:val="22"/>
                <w:szCs w:val="22"/>
                <w:lang w:val="nb-NO"/>
              </w:rPr>
              <w:br/>
              <w:t>Abirateron + prednison/prednisolon</w:t>
            </w:r>
          </w:p>
          <w:p w:rsidR="00A56312" w:rsidRPr="00B42C02" w:rsidRDefault="00A56312" w:rsidP="00B1288D">
            <w:pPr>
              <w:jc w:val="center"/>
              <w:rPr>
                <w:sz w:val="22"/>
                <w:szCs w:val="22"/>
                <w:lang w:val="nb-NO"/>
              </w:rPr>
            </w:pPr>
            <w:r w:rsidRPr="00B42C02">
              <w:rPr>
                <w:sz w:val="22"/>
                <w:szCs w:val="22"/>
                <w:lang w:val="nb-NO"/>
              </w:rPr>
              <w:t>eller</w:t>
            </w:r>
          </w:p>
          <w:p w:rsidR="00A56312" w:rsidRPr="00B42C02" w:rsidRDefault="00A56312" w:rsidP="00B1288D">
            <w:pPr>
              <w:jc w:val="center"/>
              <w:rPr>
                <w:sz w:val="22"/>
                <w:szCs w:val="22"/>
                <w:lang w:val="nb-NO"/>
              </w:rPr>
            </w:pPr>
            <w:r w:rsidRPr="00B42C02">
              <w:rPr>
                <w:sz w:val="22"/>
                <w:szCs w:val="22"/>
                <w:lang w:val="nb-NO"/>
              </w:rPr>
              <w:t>Enzalutamide</w:t>
            </w:r>
          </w:p>
          <w:p w:rsidR="00A56312" w:rsidRPr="00A56312" w:rsidRDefault="00A56312" w:rsidP="00B1288D">
            <w:pPr>
              <w:jc w:val="center"/>
              <w:rPr>
                <w:sz w:val="22"/>
                <w:szCs w:val="22"/>
                <w:lang w:val="da-DK"/>
              </w:rPr>
            </w:pPr>
            <w:r w:rsidRPr="00A56312">
              <w:rPr>
                <w:sz w:val="22"/>
                <w:szCs w:val="22"/>
                <w:lang w:val="da-DK"/>
              </w:rPr>
              <w:t>n=126</w:t>
            </w:r>
          </w:p>
        </w:tc>
      </w:tr>
      <w:tr w:rsidR="00A56312" w:rsidRPr="0008150D" w:rsidTr="00B1288D">
        <w:trPr>
          <w:jc w:val="center"/>
        </w:trPr>
        <w:tc>
          <w:tcPr>
            <w:tcW w:w="3020" w:type="dxa"/>
            <w:tcBorders>
              <w:left w:val="nil"/>
              <w:bottom w:val="nil"/>
              <w:right w:val="nil"/>
            </w:tcBorders>
          </w:tcPr>
          <w:p w:rsidR="00A56312" w:rsidRPr="00B42C02" w:rsidRDefault="00A56312" w:rsidP="00E861DA">
            <w:pPr>
              <w:rPr>
                <w:sz w:val="22"/>
                <w:szCs w:val="22"/>
                <w:lang w:val="da-DK"/>
              </w:rPr>
            </w:pPr>
            <w:r w:rsidRPr="00A56312">
              <w:rPr>
                <w:sz w:val="22"/>
                <w:szCs w:val="22"/>
                <w:lang w:val="da-DK"/>
              </w:rPr>
              <w:t>Antal begivenheder ved cut-</w:t>
            </w:r>
            <w:proofErr w:type="spellStart"/>
            <w:r w:rsidRPr="00A56312">
              <w:rPr>
                <w:sz w:val="22"/>
                <w:szCs w:val="22"/>
                <w:lang w:val="da-DK"/>
              </w:rPr>
              <w:t>off</w:t>
            </w:r>
            <w:proofErr w:type="spellEnd"/>
            <w:r w:rsidRPr="00A56312">
              <w:rPr>
                <w:sz w:val="22"/>
                <w:szCs w:val="22"/>
                <w:lang w:val="da-DK"/>
              </w:rPr>
              <w:t xml:space="preserve"> datoen (</w:t>
            </w:r>
            <w:r w:rsidR="008A63AB">
              <w:rPr>
                <w:sz w:val="22"/>
                <w:szCs w:val="22"/>
                <w:lang w:val="da-DK"/>
              </w:rPr>
              <w:t>%</w:t>
            </w:r>
            <w:r w:rsidRPr="00A56312">
              <w:rPr>
                <w:sz w:val="22"/>
                <w:szCs w:val="22"/>
                <w:lang w:val="da-DK"/>
              </w:rPr>
              <w:t>)</w:t>
            </w:r>
          </w:p>
        </w:tc>
        <w:tc>
          <w:tcPr>
            <w:tcW w:w="3020" w:type="dxa"/>
            <w:tcBorders>
              <w:left w:val="nil"/>
              <w:bottom w:val="nil"/>
              <w:right w:val="nil"/>
            </w:tcBorders>
          </w:tcPr>
          <w:p w:rsidR="00A56312" w:rsidRPr="00B42C02" w:rsidRDefault="00A56312" w:rsidP="00B1288D">
            <w:pPr>
              <w:jc w:val="center"/>
              <w:rPr>
                <w:sz w:val="22"/>
                <w:szCs w:val="22"/>
              </w:rPr>
            </w:pPr>
            <w:r w:rsidRPr="00B42C02">
              <w:rPr>
                <w:sz w:val="22"/>
                <w:szCs w:val="22"/>
              </w:rPr>
              <w:t>95 (73</w:t>
            </w:r>
            <w:r>
              <w:rPr>
                <w:sz w:val="22"/>
                <w:szCs w:val="22"/>
              </w:rPr>
              <w:t>,</w:t>
            </w:r>
            <w:r w:rsidRPr="00B42C02">
              <w:rPr>
                <w:sz w:val="22"/>
                <w:szCs w:val="22"/>
              </w:rPr>
              <w:t>6</w:t>
            </w:r>
            <w:r w:rsidR="008A63AB">
              <w:rPr>
                <w:sz w:val="22"/>
                <w:szCs w:val="22"/>
              </w:rPr>
              <w:t xml:space="preserve"> %</w:t>
            </w:r>
            <w:r w:rsidRPr="00B42C02">
              <w:rPr>
                <w:sz w:val="22"/>
                <w:szCs w:val="22"/>
              </w:rPr>
              <w:t>)</w:t>
            </w:r>
          </w:p>
        </w:tc>
        <w:tc>
          <w:tcPr>
            <w:tcW w:w="3020" w:type="dxa"/>
            <w:tcBorders>
              <w:left w:val="nil"/>
              <w:bottom w:val="nil"/>
              <w:right w:val="nil"/>
            </w:tcBorders>
          </w:tcPr>
          <w:p w:rsidR="00A56312" w:rsidRPr="00B42C02" w:rsidRDefault="00A56312" w:rsidP="00B1288D">
            <w:pPr>
              <w:jc w:val="center"/>
              <w:rPr>
                <w:sz w:val="22"/>
                <w:szCs w:val="22"/>
              </w:rPr>
            </w:pPr>
            <w:r w:rsidRPr="00B42C02">
              <w:rPr>
                <w:sz w:val="22"/>
                <w:szCs w:val="22"/>
              </w:rPr>
              <w:t>101 (80</w:t>
            </w:r>
            <w:r>
              <w:rPr>
                <w:sz w:val="22"/>
                <w:szCs w:val="22"/>
              </w:rPr>
              <w:t>,</w:t>
            </w:r>
            <w:r w:rsidRPr="00B42C02">
              <w:rPr>
                <w:sz w:val="22"/>
                <w:szCs w:val="22"/>
              </w:rPr>
              <w:t>2</w:t>
            </w:r>
            <w:r w:rsidR="008A63AB">
              <w:rPr>
                <w:sz w:val="22"/>
                <w:szCs w:val="22"/>
              </w:rPr>
              <w:t xml:space="preserve"> %</w:t>
            </w:r>
            <w:r w:rsidRPr="00B42C02">
              <w:rPr>
                <w:sz w:val="22"/>
                <w:szCs w:val="22"/>
              </w:rPr>
              <w:t>)</w:t>
            </w:r>
          </w:p>
        </w:tc>
      </w:tr>
      <w:tr w:rsidR="00A56312" w:rsidRPr="0008150D" w:rsidTr="00B1288D">
        <w:trPr>
          <w:jc w:val="center"/>
        </w:trPr>
        <w:tc>
          <w:tcPr>
            <w:tcW w:w="3020" w:type="dxa"/>
            <w:tcBorders>
              <w:top w:val="nil"/>
              <w:left w:val="nil"/>
              <w:bottom w:val="nil"/>
              <w:right w:val="nil"/>
            </w:tcBorders>
          </w:tcPr>
          <w:p w:rsidR="00A56312" w:rsidRPr="00B42C02" w:rsidRDefault="00A56312" w:rsidP="00E861DA">
            <w:pPr>
              <w:rPr>
                <w:sz w:val="22"/>
                <w:szCs w:val="22"/>
              </w:rPr>
            </w:pPr>
            <w:r w:rsidRPr="00B42C02">
              <w:rPr>
                <w:sz w:val="22"/>
                <w:szCs w:val="22"/>
              </w:rPr>
              <w:t xml:space="preserve">Median </w:t>
            </w:r>
            <w:proofErr w:type="spellStart"/>
            <w:r w:rsidRPr="00B42C02">
              <w:rPr>
                <w:sz w:val="22"/>
                <w:szCs w:val="22"/>
              </w:rPr>
              <w:t>rPFS</w:t>
            </w:r>
            <w:proofErr w:type="spellEnd"/>
            <w:r w:rsidRPr="00B42C02">
              <w:rPr>
                <w:sz w:val="22"/>
                <w:szCs w:val="22"/>
              </w:rPr>
              <w:t xml:space="preserve"> (</w:t>
            </w:r>
            <w:proofErr w:type="spellStart"/>
            <w:r w:rsidRPr="00B42C02">
              <w:rPr>
                <w:sz w:val="22"/>
                <w:szCs w:val="22"/>
              </w:rPr>
              <w:t>m</w:t>
            </w:r>
            <w:r>
              <w:rPr>
                <w:sz w:val="22"/>
                <w:szCs w:val="22"/>
              </w:rPr>
              <w:t>åneder</w:t>
            </w:r>
            <w:proofErr w:type="spellEnd"/>
            <w:r w:rsidRPr="00B42C02">
              <w:rPr>
                <w:sz w:val="22"/>
                <w:szCs w:val="22"/>
              </w:rPr>
              <w:t>) (95</w:t>
            </w:r>
            <w:r w:rsidR="008A63AB">
              <w:rPr>
                <w:sz w:val="22"/>
                <w:szCs w:val="22"/>
              </w:rPr>
              <w:t xml:space="preserve"> %</w:t>
            </w:r>
            <w:r w:rsidRPr="00B42C02">
              <w:rPr>
                <w:sz w:val="22"/>
                <w:szCs w:val="22"/>
              </w:rPr>
              <w:t xml:space="preserve"> CI)</w:t>
            </w:r>
          </w:p>
        </w:tc>
        <w:tc>
          <w:tcPr>
            <w:tcW w:w="3020" w:type="dxa"/>
            <w:tcBorders>
              <w:top w:val="nil"/>
              <w:left w:val="nil"/>
              <w:bottom w:val="nil"/>
              <w:right w:val="nil"/>
            </w:tcBorders>
          </w:tcPr>
          <w:p w:rsidR="00A56312" w:rsidRPr="00B42C02" w:rsidRDefault="00A56312" w:rsidP="00B1288D">
            <w:pPr>
              <w:jc w:val="center"/>
              <w:rPr>
                <w:sz w:val="22"/>
                <w:szCs w:val="22"/>
              </w:rPr>
            </w:pPr>
            <w:r w:rsidRPr="00B42C02">
              <w:rPr>
                <w:sz w:val="22"/>
                <w:szCs w:val="22"/>
              </w:rPr>
              <w:t>8</w:t>
            </w:r>
            <w:r>
              <w:rPr>
                <w:sz w:val="22"/>
                <w:szCs w:val="22"/>
              </w:rPr>
              <w:t>,</w:t>
            </w:r>
            <w:r w:rsidRPr="00B42C02">
              <w:rPr>
                <w:sz w:val="22"/>
                <w:szCs w:val="22"/>
              </w:rPr>
              <w:t>0 (5</w:t>
            </w:r>
            <w:r>
              <w:rPr>
                <w:sz w:val="22"/>
                <w:szCs w:val="22"/>
              </w:rPr>
              <w:t>,</w:t>
            </w:r>
            <w:r w:rsidRPr="00B42C02">
              <w:rPr>
                <w:sz w:val="22"/>
                <w:szCs w:val="22"/>
              </w:rPr>
              <w:t xml:space="preserve">7 </w:t>
            </w:r>
            <w:proofErr w:type="spellStart"/>
            <w:r w:rsidRPr="00B42C02">
              <w:rPr>
                <w:sz w:val="22"/>
                <w:szCs w:val="22"/>
              </w:rPr>
              <w:t>t</w:t>
            </w:r>
            <w:r>
              <w:rPr>
                <w:sz w:val="22"/>
                <w:szCs w:val="22"/>
              </w:rPr>
              <w:t>il</w:t>
            </w:r>
            <w:proofErr w:type="spellEnd"/>
            <w:r w:rsidRPr="00B42C02">
              <w:rPr>
                <w:sz w:val="22"/>
                <w:szCs w:val="22"/>
              </w:rPr>
              <w:t xml:space="preserve"> 9</w:t>
            </w:r>
            <w:r>
              <w:rPr>
                <w:sz w:val="22"/>
                <w:szCs w:val="22"/>
              </w:rPr>
              <w:t>,</w:t>
            </w:r>
            <w:r w:rsidRPr="00B42C02">
              <w:rPr>
                <w:sz w:val="22"/>
                <w:szCs w:val="22"/>
              </w:rPr>
              <w:t>2)</w:t>
            </w:r>
          </w:p>
        </w:tc>
        <w:tc>
          <w:tcPr>
            <w:tcW w:w="3020" w:type="dxa"/>
            <w:tcBorders>
              <w:top w:val="nil"/>
              <w:left w:val="nil"/>
              <w:bottom w:val="nil"/>
              <w:right w:val="nil"/>
            </w:tcBorders>
          </w:tcPr>
          <w:p w:rsidR="00A56312" w:rsidRPr="00B42C02" w:rsidRDefault="00A56312" w:rsidP="00B1288D">
            <w:pPr>
              <w:jc w:val="center"/>
              <w:rPr>
                <w:sz w:val="22"/>
                <w:szCs w:val="22"/>
              </w:rPr>
            </w:pPr>
            <w:r w:rsidRPr="00B42C02">
              <w:rPr>
                <w:sz w:val="22"/>
                <w:szCs w:val="22"/>
              </w:rPr>
              <w:t>3</w:t>
            </w:r>
            <w:r>
              <w:rPr>
                <w:sz w:val="22"/>
                <w:szCs w:val="22"/>
              </w:rPr>
              <w:t>,</w:t>
            </w:r>
            <w:r w:rsidRPr="00B42C02">
              <w:rPr>
                <w:sz w:val="22"/>
                <w:szCs w:val="22"/>
              </w:rPr>
              <w:t>7 (2</w:t>
            </w:r>
            <w:r>
              <w:rPr>
                <w:sz w:val="22"/>
                <w:szCs w:val="22"/>
              </w:rPr>
              <w:t>,</w:t>
            </w:r>
            <w:r w:rsidRPr="00B42C02">
              <w:rPr>
                <w:sz w:val="22"/>
                <w:szCs w:val="22"/>
              </w:rPr>
              <w:t xml:space="preserve">8 </w:t>
            </w:r>
            <w:proofErr w:type="spellStart"/>
            <w:r w:rsidRPr="00B42C02">
              <w:rPr>
                <w:sz w:val="22"/>
                <w:szCs w:val="22"/>
              </w:rPr>
              <w:t>t</w:t>
            </w:r>
            <w:r>
              <w:rPr>
                <w:sz w:val="22"/>
                <w:szCs w:val="22"/>
              </w:rPr>
              <w:t>il</w:t>
            </w:r>
            <w:proofErr w:type="spellEnd"/>
            <w:r w:rsidRPr="00B42C02">
              <w:rPr>
                <w:sz w:val="22"/>
                <w:szCs w:val="22"/>
              </w:rPr>
              <w:t xml:space="preserve"> 5</w:t>
            </w:r>
            <w:r>
              <w:rPr>
                <w:sz w:val="22"/>
                <w:szCs w:val="22"/>
              </w:rPr>
              <w:t>,</w:t>
            </w:r>
            <w:r w:rsidRPr="00B42C02">
              <w:rPr>
                <w:sz w:val="22"/>
                <w:szCs w:val="22"/>
              </w:rPr>
              <w:t>1)</w:t>
            </w:r>
          </w:p>
        </w:tc>
      </w:tr>
      <w:tr w:rsidR="00A56312" w:rsidRPr="0008150D" w:rsidTr="00B1288D">
        <w:trPr>
          <w:jc w:val="center"/>
        </w:trPr>
        <w:tc>
          <w:tcPr>
            <w:tcW w:w="3020" w:type="dxa"/>
            <w:tcBorders>
              <w:top w:val="nil"/>
              <w:left w:val="nil"/>
              <w:bottom w:val="nil"/>
              <w:right w:val="nil"/>
            </w:tcBorders>
          </w:tcPr>
          <w:p w:rsidR="00A56312" w:rsidRPr="00B42C02" w:rsidRDefault="00A56312" w:rsidP="00E861DA">
            <w:pPr>
              <w:rPr>
                <w:sz w:val="22"/>
                <w:szCs w:val="22"/>
              </w:rPr>
            </w:pPr>
            <w:r w:rsidRPr="00B42C02">
              <w:rPr>
                <w:sz w:val="22"/>
                <w:szCs w:val="22"/>
              </w:rPr>
              <w:t>Hazard Ratio (HR) (95</w:t>
            </w:r>
            <w:r w:rsidR="008A63AB">
              <w:rPr>
                <w:sz w:val="22"/>
                <w:szCs w:val="22"/>
              </w:rPr>
              <w:t xml:space="preserve"> %</w:t>
            </w:r>
            <w:r w:rsidRPr="00B42C02">
              <w:rPr>
                <w:sz w:val="22"/>
                <w:szCs w:val="22"/>
              </w:rPr>
              <w:t xml:space="preserve"> CI)</w:t>
            </w:r>
          </w:p>
        </w:tc>
        <w:tc>
          <w:tcPr>
            <w:tcW w:w="6040" w:type="dxa"/>
            <w:gridSpan w:val="2"/>
            <w:tcBorders>
              <w:top w:val="nil"/>
              <w:left w:val="nil"/>
              <w:bottom w:val="nil"/>
              <w:right w:val="nil"/>
            </w:tcBorders>
          </w:tcPr>
          <w:p w:rsidR="00A56312" w:rsidRPr="00B42C02" w:rsidRDefault="00A56312" w:rsidP="00B1288D">
            <w:pPr>
              <w:jc w:val="center"/>
              <w:rPr>
                <w:sz w:val="22"/>
                <w:szCs w:val="22"/>
              </w:rPr>
            </w:pPr>
            <w:r w:rsidRPr="00B42C02">
              <w:rPr>
                <w:sz w:val="22"/>
                <w:szCs w:val="22"/>
              </w:rPr>
              <w:t>0</w:t>
            </w:r>
            <w:r>
              <w:rPr>
                <w:sz w:val="22"/>
                <w:szCs w:val="22"/>
              </w:rPr>
              <w:t>,</w:t>
            </w:r>
            <w:r w:rsidRPr="00B42C02">
              <w:rPr>
                <w:sz w:val="22"/>
                <w:szCs w:val="22"/>
              </w:rPr>
              <w:t>54 (0</w:t>
            </w:r>
            <w:r>
              <w:rPr>
                <w:sz w:val="22"/>
                <w:szCs w:val="22"/>
              </w:rPr>
              <w:t>,</w:t>
            </w:r>
            <w:r w:rsidRPr="00B42C02">
              <w:rPr>
                <w:sz w:val="22"/>
                <w:szCs w:val="22"/>
              </w:rPr>
              <w:t xml:space="preserve">40 </w:t>
            </w:r>
            <w:proofErr w:type="spellStart"/>
            <w:r w:rsidRPr="00B42C02">
              <w:rPr>
                <w:sz w:val="22"/>
                <w:szCs w:val="22"/>
              </w:rPr>
              <w:t>t</w:t>
            </w:r>
            <w:r>
              <w:rPr>
                <w:sz w:val="22"/>
                <w:szCs w:val="22"/>
              </w:rPr>
              <w:t>il</w:t>
            </w:r>
            <w:proofErr w:type="spellEnd"/>
            <w:r w:rsidRPr="00B42C02">
              <w:rPr>
                <w:sz w:val="22"/>
                <w:szCs w:val="22"/>
              </w:rPr>
              <w:t xml:space="preserve"> 0</w:t>
            </w:r>
            <w:r>
              <w:rPr>
                <w:sz w:val="22"/>
                <w:szCs w:val="22"/>
              </w:rPr>
              <w:t>,</w:t>
            </w:r>
            <w:r w:rsidRPr="00B42C02">
              <w:rPr>
                <w:sz w:val="22"/>
                <w:szCs w:val="22"/>
              </w:rPr>
              <w:t>73)</w:t>
            </w:r>
          </w:p>
        </w:tc>
      </w:tr>
      <w:tr w:rsidR="00A56312" w:rsidRPr="0008150D" w:rsidTr="00B1288D">
        <w:trPr>
          <w:jc w:val="center"/>
        </w:trPr>
        <w:tc>
          <w:tcPr>
            <w:tcW w:w="3020" w:type="dxa"/>
            <w:tcBorders>
              <w:top w:val="nil"/>
              <w:left w:val="nil"/>
              <w:right w:val="nil"/>
            </w:tcBorders>
          </w:tcPr>
          <w:p w:rsidR="00A56312" w:rsidRPr="00B42C02" w:rsidRDefault="00A56312" w:rsidP="00E861DA">
            <w:pPr>
              <w:rPr>
                <w:sz w:val="22"/>
                <w:szCs w:val="22"/>
              </w:rPr>
            </w:pPr>
            <w:r w:rsidRPr="00B42C02">
              <w:rPr>
                <w:sz w:val="22"/>
                <w:szCs w:val="22"/>
              </w:rPr>
              <w:t>p-</w:t>
            </w:r>
            <w:proofErr w:type="spellStart"/>
            <w:r w:rsidRPr="00B42C02">
              <w:rPr>
                <w:sz w:val="22"/>
                <w:szCs w:val="22"/>
              </w:rPr>
              <w:t>v</w:t>
            </w:r>
            <w:r>
              <w:rPr>
                <w:sz w:val="22"/>
                <w:szCs w:val="22"/>
              </w:rPr>
              <w:t>ærdi</w:t>
            </w:r>
            <w:proofErr w:type="spellEnd"/>
            <w:r w:rsidRPr="00B42C02">
              <w:rPr>
                <w:sz w:val="22"/>
                <w:szCs w:val="22"/>
                <w:vertAlign w:val="superscript"/>
              </w:rPr>
              <w:t> 1</w:t>
            </w:r>
          </w:p>
        </w:tc>
        <w:tc>
          <w:tcPr>
            <w:tcW w:w="6040" w:type="dxa"/>
            <w:gridSpan w:val="2"/>
            <w:tcBorders>
              <w:top w:val="nil"/>
              <w:left w:val="nil"/>
              <w:right w:val="nil"/>
            </w:tcBorders>
          </w:tcPr>
          <w:p w:rsidR="00A56312" w:rsidRPr="00B42C02" w:rsidRDefault="00A56312" w:rsidP="00B1288D">
            <w:pPr>
              <w:jc w:val="center"/>
              <w:rPr>
                <w:sz w:val="22"/>
                <w:szCs w:val="22"/>
              </w:rPr>
            </w:pPr>
            <w:r w:rsidRPr="00B42C02">
              <w:rPr>
                <w:sz w:val="22"/>
                <w:szCs w:val="22"/>
              </w:rPr>
              <w:t>&lt; 0</w:t>
            </w:r>
            <w:r>
              <w:rPr>
                <w:sz w:val="22"/>
                <w:szCs w:val="22"/>
              </w:rPr>
              <w:t>,</w:t>
            </w:r>
            <w:r w:rsidRPr="00B42C02">
              <w:rPr>
                <w:sz w:val="22"/>
                <w:szCs w:val="22"/>
              </w:rPr>
              <w:t>0001</w:t>
            </w:r>
          </w:p>
        </w:tc>
      </w:tr>
    </w:tbl>
    <w:p w:rsidR="00A56312" w:rsidRPr="00CD1BC6" w:rsidRDefault="00A56312" w:rsidP="00A56312">
      <w:pPr>
        <w:pStyle w:val="Default"/>
        <w:ind w:left="851"/>
        <w:rPr>
          <w:sz w:val="18"/>
          <w:szCs w:val="18"/>
          <w:lang w:val="en-US"/>
        </w:rPr>
      </w:pPr>
      <w:r w:rsidRPr="00CD1BC6">
        <w:rPr>
          <w:sz w:val="18"/>
          <w:szCs w:val="18"/>
          <w:vertAlign w:val="superscript"/>
          <w:lang w:val="en-US"/>
        </w:rPr>
        <w:t>1</w:t>
      </w:r>
      <w:r w:rsidRPr="00CD1BC6">
        <w:rPr>
          <w:sz w:val="18"/>
          <w:szCs w:val="18"/>
          <w:lang w:val="en-US"/>
        </w:rPr>
        <w:t xml:space="preserve"> </w:t>
      </w:r>
      <w:proofErr w:type="spellStart"/>
      <w:r w:rsidRPr="00CD1BC6">
        <w:rPr>
          <w:sz w:val="18"/>
          <w:szCs w:val="18"/>
          <w:lang w:val="en-US"/>
        </w:rPr>
        <w:t>stratificeret</w:t>
      </w:r>
      <w:proofErr w:type="spellEnd"/>
      <w:r w:rsidRPr="00CD1BC6">
        <w:rPr>
          <w:sz w:val="18"/>
          <w:szCs w:val="18"/>
          <w:lang w:val="en-US"/>
        </w:rPr>
        <w:t xml:space="preserve"> long-rank test, significant </w:t>
      </w:r>
      <w:proofErr w:type="spellStart"/>
      <w:r w:rsidRPr="00CD1BC6">
        <w:rPr>
          <w:sz w:val="18"/>
          <w:szCs w:val="18"/>
          <w:lang w:val="en-US"/>
        </w:rPr>
        <w:t>tærskel</w:t>
      </w:r>
      <w:proofErr w:type="spellEnd"/>
      <w:r w:rsidRPr="00CD1BC6">
        <w:rPr>
          <w:sz w:val="18"/>
          <w:szCs w:val="18"/>
          <w:lang w:val="en-US"/>
        </w:rPr>
        <w:t xml:space="preserve"> = 0,05</w:t>
      </w:r>
    </w:p>
    <w:p w:rsidR="00A56312" w:rsidRPr="00B42C02" w:rsidRDefault="00A56312" w:rsidP="00A56312">
      <w:pPr>
        <w:pStyle w:val="Default"/>
        <w:ind w:left="851"/>
        <w:rPr>
          <w:u w:val="single"/>
          <w:lang w:val="en-US"/>
        </w:rPr>
      </w:pPr>
    </w:p>
    <w:p w:rsidR="00A56312" w:rsidRDefault="00A56312" w:rsidP="00A56312">
      <w:pPr>
        <w:pStyle w:val="Default"/>
        <w:ind w:left="851"/>
        <w:rPr>
          <w:u w:val="single"/>
        </w:rPr>
      </w:pPr>
      <w:r w:rsidRPr="008210C1">
        <w:rPr>
          <w:noProof/>
          <w:u w:val="single"/>
        </w:rPr>
        <w:drawing>
          <wp:inline distT="0" distB="0" distL="0" distR="0" wp14:anchorId="733F24DF" wp14:editId="58766AAF">
            <wp:extent cx="5557962" cy="3888188"/>
            <wp:effectExtent l="0" t="0" r="508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62" t="813" r="1125" b="11"/>
                    <a:stretch/>
                  </pic:blipFill>
                  <pic:spPr bwMode="auto">
                    <a:xfrm>
                      <a:off x="0" y="0"/>
                      <a:ext cx="5559562" cy="3889307"/>
                    </a:xfrm>
                    <a:prstGeom prst="rect">
                      <a:avLst/>
                    </a:prstGeom>
                    <a:ln>
                      <a:noFill/>
                    </a:ln>
                    <a:extLst>
                      <a:ext uri="{53640926-AAD7-44D8-BBD7-CCE9431645EC}">
                        <a14:shadowObscured xmlns:a14="http://schemas.microsoft.com/office/drawing/2010/main"/>
                      </a:ext>
                    </a:extLst>
                  </pic:spPr>
                </pic:pic>
              </a:graphicData>
            </a:graphic>
          </wp:inline>
        </w:drawing>
      </w:r>
    </w:p>
    <w:p w:rsidR="00A56312" w:rsidRPr="00B42C02" w:rsidRDefault="00A56312" w:rsidP="00A56312">
      <w:pPr>
        <w:pStyle w:val="Default"/>
        <w:ind w:left="851"/>
        <w:rPr>
          <w:i/>
          <w:iCs/>
        </w:rPr>
      </w:pPr>
      <w:r w:rsidRPr="00B42C02">
        <w:rPr>
          <w:i/>
          <w:iCs/>
        </w:rPr>
        <w:t>Figur 2 – Primær endepunkt: Kaplan Meier-kurver for radiografisk PFS (ITT Population)</w:t>
      </w:r>
    </w:p>
    <w:p w:rsidR="00A56312" w:rsidRPr="00B42C02" w:rsidRDefault="00A56312" w:rsidP="00A56312">
      <w:pPr>
        <w:pStyle w:val="Default"/>
        <w:ind w:left="851"/>
        <w:rPr>
          <w:i/>
          <w:iCs/>
        </w:rPr>
      </w:pPr>
      <w:r w:rsidRPr="00B42C02">
        <w:rPr>
          <w:i/>
          <w:iCs/>
        </w:rPr>
        <w:t xml:space="preserve">Tick mærker indikerer </w:t>
      </w:r>
      <w:proofErr w:type="spellStart"/>
      <w:r w:rsidRPr="00B42C02">
        <w:rPr>
          <w:i/>
          <w:iCs/>
        </w:rPr>
        <w:t>cencuserede</w:t>
      </w:r>
      <w:proofErr w:type="spellEnd"/>
      <w:r w:rsidRPr="00B42C02">
        <w:rPr>
          <w:i/>
          <w:iCs/>
        </w:rPr>
        <w:t xml:space="preserve"> data.</w:t>
      </w:r>
    </w:p>
    <w:p w:rsidR="00A56312" w:rsidRDefault="00A56312" w:rsidP="00A56312">
      <w:pPr>
        <w:pStyle w:val="Default"/>
        <w:ind w:left="851"/>
        <w:rPr>
          <w:u w:val="single"/>
        </w:rPr>
      </w:pPr>
    </w:p>
    <w:p w:rsidR="00A56312" w:rsidRDefault="00A56312" w:rsidP="00A56312">
      <w:pPr>
        <w:pStyle w:val="Default"/>
        <w:ind w:left="851"/>
      </w:pPr>
      <w:r w:rsidRPr="00B42C02">
        <w:t xml:space="preserve">Planlagt undergruppe-analyser for </w:t>
      </w:r>
      <w:proofErr w:type="spellStart"/>
      <w:r w:rsidRPr="00B42C02">
        <w:t>rPFS</w:t>
      </w:r>
      <w:proofErr w:type="spellEnd"/>
      <w:r w:rsidRPr="00B42C02">
        <w:t xml:space="preserve"> baseret på stratifikationsfaktorer ved </w:t>
      </w:r>
      <w:proofErr w:type="spellStart"/>
      <w:r w:rsidRPr="00B42C02">
        <w:t>randomisering</w:t>
      </w:r>
      <w:proofErr w:type="spellEnd"/>
      <w:r w:rsidRPr="00B42C02">
        <w:t xml:space="preserve"> gav et risikoforhold på 0,61 (95</w:t>
      </w:r>
      <w:r w:rsidR="008A63AB">
        <w:t xml:space="preserve"> %</w:t>
      </w:r>
      <w:r w:rsidRPr="00B42C02">
        <w:t xml:space="preserve"> CL: 0,39 til 0,96) hos patienter, der tidligere fik et AR-målrettet middel før </w:t>
      </w:r>
      <w:proofErr w:type="spellStart"/>
      <w:r w:rsidRPr="00B42C02">
        <w:t>docetaxel</w:t>
      </w:r>
      <w:proofErr w:type="spellEnd"/>
      <w:r w:rsidRPr="00B42C02">
        <w:t xml:space="preserve"> og et risikoforhold på (0,48 til 0,70) hos patienter, der tidligere fik et AR-målrettet middel efter </w:t>
      </w:r>
      <w:proofErr w:type="spellStart"/>
      <w:r w:rsidRPr="00B42C02">
        <w:t>docetaxel</w:t>
      </w:r>
      <w:proofErr w:type="spellEnd"/>
      <w:r w:rsidRPr="00B42C02">
        <w:t>.</w:t>
      </w:r>
    </w:p>
    <w:p w:rsidR="00A56312" w:rsidRDefault="00A56312" w:rsidP="00A56312">
      <w:pPr>
        <w:pStyle w:val="Default"/>
        <w:ind w:left="851"/>
      </w:pPr>
      <w:proofErr w:type="spellStart"/>
      <w:r>
        <w:t>Cabazitaxel</w:t>
      </w:r>
      <w:proofErr w:type="spellEnd"/>
      <w:r w:rsidRPr="001D7C5B">
        <w:t xml:space="preserve"> var statistisk bedre end de AR-målrettede </w:t>
      </w:r>
      <w:proofErr w:type="spellStart"/>
      <w:r w:rsidRPr="001D7C5B">
        <w:t>komparatorer</w:t>
      </w:r>
      <w:proofErr w:type="spellEnd"/>
      <w:r w:rsidRPr="001D7C5B">
        <w:t xml:space="preserve"> for hver af de alfa-beskyttede vigtige sekundære endepunkter inklusiv samlet overlevelse (13,6 måneder for </w:t>
      </w:r>
      <w:proofErr w:type="spellStart"/>
      <w:r>
        <w:t>cabazitaxel</w:t>
      </w:r>
      <w:proofErr w:type="spellEnd"/>
      <w:r w:rsidRPr="001D7C5B">
        <w:t xml:space="preserve">-armen versus 11,0 måneder for AR-målrettet </w:t>
      </w:r>
      <w:proofErr w:type="spellStart"/>
      <w:r w:rsidRPr="001D7C5B">
        <w:t>middelarmen</w:t>
      </w:r>
      <w:proofErr w:type="spellEnd"/>
      <w:r w:rsidRPr="001D7C5B">
        <w:t>, HR 0,64 (95</w:t>
      </w:r>
      <w:r w:rsidR="008A63AB">
        <w:t xml:space="preserve"> %</w:t>
      </w:r>
      <w:r w:rsidRPr="001D7C5B">
        <w:t xml:space="preserve"> CL: 0,46 til 0,89; p=0,008), progressionsfri overlevelse (4,4 måneder for </w:t>
      </w:r>
      <w:proofErr w:type="spellStart"/>
      <w:r>
        <w:t>cabazitaxel</w:t>
      </w:r>
      <w:proofErr w:type="spellEnd"/>
      <w:r w:rsidRPr="001D7C5B">
        <w:t xml:space="preserve">-armen versus 2,7 måneder for AR-målrettet </w:t>
      </w:r>
      <w:proofErr w:type="spellStart"/>
      <w:r w:rsidRPr="001D7C5B">
        <w:t>middelarmen</w:t>
      </w:r>
      <w:proofErr w:type="spellEnd"/>
      <w:r w:rsidRPr="001D7C5B">
        <w:t>, HR 0,52; 95</w:t>
      </w:r>
      <w:r w:rsidR="008A63AB">
        <w:t xml:space="preserve"> %</w:t>
      </w:r>
      <w:r w:rsidRPr="001D7C5B">
        <w:t xml:space="preserve"> CL: 0,40 til </w:t>
      </w:r>
      <w:r>
        <w:t>0,6</w:t>
      </w:r>
      <w:r w:rsidRPr="001D7C5B">
        <w:t xml:space="preserve">8), bekræftet PSA </w:t>
      </w:r>
      <w:proofErr w:type="spellStart"/>
      <w:r w:rsidRPr="001D7C5B">
        <w:t>response</w:t>
      </w:r>
      <w:proofErr w:type="spellEnd"/>
      <w:r w:rsidRPr="001D7C5B">
        <w:t xml:space="preserve"> (36,5</w:t>
      </w:r>
      <w:r w:rsidR="008A63AB">
        <w:t xml:space="preserve"> %</w:t>
      </w:r>
      <w:r w:rsidRPr="001D7C5B">
        <w:t xml:space="preserve"> for </w:t>
      </w:r>
      <w:proofErr w:type="spellStart"/>
      <w:r>
        <w:t>cabazitaxel</w:t>
      </w:r>
      <w:proofErr w:type="spellEnd"/>
      <w:r>
        <w:t>-</w:t>
      </w:r>
      <w:r w:rsidRPr="001D7C5B">
        <w:t>armen versus 14,3</w:t>
      </w:r>
      <w:r w:rsidR="008A63AB">
        <w:t xml:space="preserve"> %</w:t>
      </w:r>
      <w:r w:rsidRPr="001D7C5B">
        <w:t xml:space="preserve"> for AR-målrettet </w:t>
      </w:r>
      <w:proofErr w:type="spellStart"/>
      <w:r w:rsidRPr="001D7C5B">
        <w:t>middelarm</w:t>
      </w:r>
      <w:proofErr w:type="spellEnd"/>
      <w:r w:rsidRPr="001D7C5B">
        <w:t>, p=0,0003) og bedste tumorrespons (36,5</w:t>
      </w:r>
      <w:r w:rsidR="008A63AB">
        <w:t xml:space="preserve"> %</w:t>
      </w:r>
      <w:r w:rsidRPr="001D7C5B">
        <w:t xml:space="preserve"> for </w:t>
      </w:r>
      <w:proofErr w:type="spellStart"/>
      <w:r>
        <w:t>cabazitaxel</w:t>
      </w:r>
      <w:proofErr w:type="spellEnd"/>
      <w:r w:rsidRPr="001D7C5B">
        <w:t>-armen versus 11,5</w:t>
      </w:r>
      <w:r w:rsidR="008A63AB">
        <w:t xml:space="preserve"> %</w:t>
      </w:r>
      <w:r w:rsidRPr="001D7C5B">
        <w:t xml:space="preserve"> for AR-målrettet </w:t>
      </w:r>
      <w:proofErr w:type="spellStart"/>
      <w:r w:rsidRPr="001D7C5B">
        <w:t>middelarmen</w:t>
      </w:r>
      <w:proofErr w:type="spellEnd"/>
      <w:r w:rsidRPr="001D7C5B">
        <w:t>, p=0,004).</w:t>
      </w:r>
    </w:p>
    <w:p w:rsidR="00A56312" w:rsidRDefault="00A56312" w:rsidP="00A56312">
      <w:pPr>
        <w:pStyle w:val="Default"/>
        <w:ind w:left="851"/>
      </w:pPr>
    </w:p>
    <w:p w:rsidR="00A56312" w:rsidRDefault="00A56312" w:rsidP="00A56312">
      <w:pPr>
        <w:pStyle w:val="Default"/>
        <w:ind w:left="851"/>
      </w:pPr>
      <w:r w:rsidRPr="00E6403C">
        <w:t xml:space="preserve">Sikkerhedsprofilen for </w:t>
      </w:r>
      <w:proofErr w:type="spellStart"/>
      <w:r>
        <w:t>cabazitaxel</w:t>
      </w:r>
      <w:proofErr w:type="spellEnd"/>
      <w:r w:rsidRPr="00E6403C">
        <w:t xml:space="preserve"> 25 mg/m</w:t>
      </w:r>
      <w:r w:rsidRPr="00B42C02">
        <w:rPr>
          <w:vertAlign w:val="superscript"/>
        </w:rPr>
        <w:t>2</w:t>
      </w:r>
      <w:r w:rsidRPr="00E6403C">
        <w:t xml:space="preserve"> observeret i CARD-studiet, var generelt i overensstemmelse med dem, der blev observeret i TROPIC- og PROSELICA-studierne (se pkt. 4.8). Forekomsten af bivirkninger af grad ≥ 3 var 53,2</w:t>
      </w:r>
      <w:r w:rsidR="008A63AB">
        <w:t xml:space="preserve"> %</w:t>
      </w:r>
      <w:r w:rsidRPr="00E6403C">
        <w:t xml:space="preserve"> i </w:t>
      </w:r>
      <w:proofErr w:type="spellStart"/>
      <w:r>
        <w:t>cabazitaxel</w:t>
      </w:r>
      <w:proofErr w:type="spellEnd"/>
      <w:r w:rsidRPr="00E6403C">
        <w:t>-armen mod 46,0</w:t>
      </w:r>
      <w:r w:rsidR="008A63AB">
        <w:t xml:space="preserve"> %</w:t>
      </w:r>
      <w:r w:rsidRPr="00E6403C">
        <w:t xml:space="preserve"> i den AR</w:t>
      </w:r>
      <w:r>
        <w:t>-</w:t>
      </w:r>
      <w:r w:rsidRPr="00E6403C">
        <w:t xml:space="preserve">målrettede </w:t>
      </w:r>
      <w:proofErr w:type="spellStart"/>
      <w:r w:rsidRPr="00E6403C">
        <w:t>middelarm</w:t>
      </w:r>
      <w:proofErr w:type="spellEnd"/>
      <w:r w:rsidRPr="00E6403C">
        <w:t>. Forekomsten af alvorlige bivirkninger af grad ≥ 3 var 31,7</w:t>
      </w:r>
      <w:r w:rsidR="008A63AB">
        <w:t xml:space="preserve"> %</w:t>
      </w:r>
      <w:r w:rsidRPr="00E6403C">
        <w:t xml:space="preserve"> i </w:t>
      </w:r>
      <w:proofErr w:type="spellStart"/>
      <w:r>
        <w:t>cabazitaxel</w:t>
      </w:r>
      <w:proofErr w:type="spellEnd"/>
      <w:r>
        <w:t>-</w:t>
      </w:r>
      <w:r w:rsidRPr="00E6403C">
        <w:t>armen mod 37,1</w:t>
      </w:r>
      <w:r w:rsidR="008A63AB">
        <w:t xml:space="preserve"> %</w:t>
      </w:r>
      <w:r w:rsidRPr="00E6403C">
        <w:t xml:space="preserve"> i den AR-målrettede </w:t>
      </w:r>
      <w:proofErr w:type="spellStart"/>
      <w:r w:rsidRPr="00E6403C">
        <w:t>middelarm</w:t>
      </w:r>
      <w:proofErr w:type="spellEnd"/>
      <w:r w:rsidRPr="00E6403C">
        <w:t>. Forekomsten af patienter, der permanent afbrød studiebehandlingen på grund af bivirkninger, var 19,8</w:t>
      </w:r>
      <w:r w:rsidR="008A63AB">
        <w:t xml:space="preserve"> %</w:t>
      </w:r>
      <w:r w:rsidRPr="00E6403C">
        <w:t xml:space="preserve"> i </w:t>
      </w:r>
      <w:proofErr w:type="spellStart"/>
      <w:r>
        <w:t>cabazitaxel</w:t>
      </w:r>
      <w:proofErr w:type="spellEnd"/>
      <w:r w:rsidRPr="00E6403C">
        <w:t>-armen mod 8,1</w:t>
      </w:r>
      <w:r w:rsidR="008A63AB">
        <w:t xml:space="preserve"> %</w:t>
      </w:r>
      <w:r w:rsidRPr="00E6403C">
        <w:t xml:space="preserve"> i den AR</w:t>
      </w:r>
      <w:r>
        <w:t>-</w:t>
      </w:r>
      <w:r w:rsidRPr="00E6403C">
        <w:t xml:space="preserve">målrettede </w:t>
      </w:r>
      <w:proofErr w:type="spellStart"/>
      <w:r w:rsidRPr="00E6403C">
        <w:t>middelarm</w:t>
      </w:r>
      <w:proofErr w:type="spellEnd"/>
      <w:r w:rsidRPr="00E6403C">
        <w:t>. Forekomsten af patienter med en bivirkning, der førte til død, var 5,6</w:t>
      </w:r>
      <w:r w:rsidR="008A63AB">
        <w:t xml:space="preserve"> %</w:t>
      </w:r>
      <w:r w:rsidRPr="00E6403C">
        <w:t xml:space="preserve"> i </w:t>
      </w:r>
      <w:proofErr w:type="spellStart"/>
      <w:r>
        <w:t>cabazitaxel</w:t>
      </w:r>
      <w:proofErr w:type="spellEnd"/>
      <w:r w:rsidRPr="00E6403C">
        <w:t>-armen mod 10,5</w:t>
      </w:r>
      <w:r w:rsidR="008A63AB">
        <w:t xml:space="preserve"> %</w:t>
      </w:r>
      <w:r w:rsidRPr="00E6403C">
        <w:t xml:space="preserve"> i den AR-målrettede </w:t>
      </w:r>
      <w:proofErr w:type="spellStart"/>
      <w:r w:rsidRPr="00E6403C">
        <w:t>middelarm</w:t>
      </w:r>
      <w:proofErr w:type="spellEnd"/>
      <w:r w:rsidRPr="00E6403C">
        <w:t>.</w:t>
      </w:r>
    </w:p>
    <w:p w:rsidR="00A56312" w:rsidRPr="00B42C02" w:rsidRDefault="00A56312" w:rsidP="00A56312">
      <w:pPr>
        <w:pStyle w:val="Default"/>
        <w:ind w:left="851"/>
      </w:pPr>
    </w:p>
    <w:p w:rsidR="009B5C06" w:rsidRPr="009B5C06" w:rsidRDefault="009B5C06" w:rsidP="002A47D6">
      <w:pPr>
        <w:pStyle w:val="Default"/>
        <w:ind w:left="851"/>
        <w:rPr>
          <w:u w:val="single"/>
        </w:rPr>
      </w:pPr>
      <w:r w:rsidRPr="009B5C06">
        <w:rPr>
          <w:u w:val="single"/>
        </w:rPr>
        <w:t xml:space="preserve">Pædiatrisk population </w:t>
      </w:r>
    </w:p>
    <w:p w:rsidR="009B5C06" w:rsidRPr="009B5C06" w:rsidRDefault="009B5C06" w:rsidP="002A47D6">
      <w:pPr>
        <w:pStyle w:val="Default"/>
        <w:ind w:left="851"/>
      </w:pPr>
      <w:r w:rsidRPr="009B5C06">
        <w:t xml:space="preserve">Det Europæiske Lægemiddelagentur har dispenseret fra kravet om at fremlægge resultaterne af studier med </w:t>
      </w:r>
      <w:proofErr w:type="spellStart"/>
      <w:r w:rsidRPr="009B5C06">
        <w:t>cabazitaxel</w:t>
      </w:r>
      <w:proofErr w:type="spellEnd"/>
      <w:r w:rsidRPr="009B5C06">
        <w:t xml:space="preserve"> i alle undergrupper af den pædiatriske population med prostatacancer (se pkt. 4.2 for oplysninger om pædiatrisk anvendelse). </w:t>
      </w:r>
    </w:p>
    <w:p w:rsidR="009B5C06" w:rsidRPr="009B5C06" w:rsidRDefault="009B5C06" w:rsidP="002A47D6">
      <w:pPr>
        <w:pStyle w:val="Default"/>
        <w:ind w:left="851"/>
      </w:pPr>
    </w:p>
    <w:p w:rsidR="009B5C06" w:rsidRPr="009B5C06" w:rsidRDefault="009B5C06" w:rsidP="002A47D6">
      <w:pPr>
        <w:ind w:left="851"/>
        <w:rPr>
          <w:sz w:val="24"/>
          <w:szCs w:val="24"/>
        </w:rPr>
      </w:pPr>
      <w:proofErr w:type="spellStart"/>
      <w:r w:rsidRPr="009B5C06">
        <w:rPr>
          <w:sz w:val="24"/>
          <w:szCs w:val="24"/>
        </w:rPr>
        <w:t>Cabazitaxel</w:t>
      </w:r>
      <w:proofErr w:type="spellEnd"/>
      <w:r w:rsidRPr="009B5C06">
        <w:rPr>
          <w:sz w:val="24"/>
          <w:szCs w:val="24"/>
        </w:rPr>
        <w:t xml:space="preserve"> blev evalueret i et åbent fase 1/2-multicenterstudie hos i alt 39 pædiatriske patienter (i alderen 4 til 18 år for fase 1-delen af studiet og i alderen 3 til 16 år for fase 2-delen af studiet). Fase 2-delen viste ikke effekt af </w:t>
      </w:r>
      <w:proofErr w:type="spellStart"/>
      <w:r w:rsidRPr="009B5C06">
        <w:rPr>
          <w:sz w:val="24"/>
          <w:szCs w:val="24"/>
        </w:rPr>
        <w:t>cabazitaxel</w:t>
      </w:r>
      <w:proofErr w:type="spellEnd"/>
      <w:r w:rsidRPr="009B5C06">
        <w:rPr>
          <w:sz w:val="24"/>
          <w:szCs w:val="24"/>
        </w:rPr>
        <w:t xml:space="preserve"> som enkeltstof i en pædiatrisk population med recidiverende eller refraktær diffust </w:t>
      </w:r>
      <w:proofErr w:type="spellStart"/>
      <w:r w:rsidRPr="009B5C06">
        <w:rPr>
          <w:sz w:val="24"/>
          <w:szCs w:val="24"/>
        </w:rPr>
        <w:t>intrapontint</w:t>
      </w:r>
      <w:proofErr w:type="spellEnd"/>
      <w:r w:rsidRPr="009B5C06">
        <w:rPr>
          <w:sz w:val="24"/>
          <w:szCs w:val="24"/>
        </w:rPr>
        <w:t xml:space="preserve"> gliom (DIPG) og </w:t>
      </w:r>
      <w:proofErr w:type="spellStart"/>
      <w:r w:rsidRPr="009B5C06">
        <w:rPr>
          <w:sz w:val="24"/>
          <w:szCs w:val="24"/>
        </w:rPr>
        <w:t>højgrads</w:t>
      </w:r>
      <w:proofErr w:type="spellEnd"/>
      <w:r w:rsidRPr="009B5C06">
        <w:rPr>
          <w:sz w:val="24"/>
          <w:szCs w:val="24"/>
        </w:rPr>
        <w:t>-gliom (HGG) behandlet med 30 mg/m</w:t>
      </w:r>
      <w:r w:rsidRPr="009B5C06">
        <w:rPr>
          <w:sz w:val="24"/>
          <w:szCs w:val="24"/>
          <w:vertAlign w:val="superscript"/>
        </w:rPr>
        <w:t>2</w:t>
      </w:r>
      <w:r w:rsidRPr="009B5C06">
        <w:rPr>
          <w:sz w:val="24"/>
          <w:szCs w:val="24"/>
        </w:rPr>
        <w:t>.</w:t>
      </w:r>
    </w:p>
    <w:p w:rsidR="009260DE" w:rsidRPr="009B5C06" w:rsidRDefault="009260DE" w:rsidP="002A47D6">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E36E58" w:rsidRPr="00E36E58" w:rsidRDefault="00E36E58" w:rsidP="00E36E58">
      <w:pPr>
        <w:tabs>
          <w:tab w:val="left" w:pos="851"/>
        </w:tabs>
        <w:ind w:left="851"/>
        <w:rPr>
          <w:sz w:val="24"/>
          <w:szCs w:val="24"/>
        </w:rPr>
      </w:pPr>
      <w:r w:rsidRPr="00E36E58">
        <w:rPr>
          <w:sz w:val="24"/>
          <w:szCs w:val="24"/>
        </w:rPr>
        <w:t xml:space="preserve">En </w:t>
      </w:r>
      <w:proofErr w:type="spellStart"/>
      <w:r w:rsidRPr="00E36E58">
        <w:rPr>
          <w:sz w:val="24"/>
          <w:szCs w:val="24"/>
        </w:rPr>
        <w:t>farmakokinetisk</w:t>
      </w:r>
      <w:proofErr w:type="spellEnd"/>
      <w:r w:rsidRPr="00E36E58">
        <w:rPr>
          <w:sz w:val="24"/>
          <w:szCs w:val="24"/>
        </w:rPr>
        <w:t xml:space="preserve"> populationsanalyse blev udført på 170 patienter, inklusive patienter med avancerede faste tumorer (n = 69), metastatisk brystkræft (n = 34) og metastatisk prostatacancer (n = 67). Disse patienter modtog </w:t>
      </w:r>
      <w:proofErr w:type="spellStart"/>
      <w:r w:rsidRPr="00E36E58">
        <w:rPr>
          <w:sz w:val="24"/>
          <w:szCs w:val="24"/>
        </w:rPr>
        <w:t>cabazitaxel</w:t>
      </w:r>
      <w:proofErr w:type="spellEnd"/>
      <w:r w:rsidRPr="00E36E58">
        <w:rPr>
          <w:sz w:val="24"/>
          <w:szCs w:val="24"/>
        </w:rPr>
        <w:t xml:space="preserve"> i doser på 10-30 mg/m</w:t>
      </w:r>
      <w:r w:rsidRPr="00E36E58">
        <w:rPr>
          <w:sz w:val="24"/>
          <w:szCs w:val="24"/>
          <w:vertAlign w:val="superscript"/>
        </w:rPr>
        <w:t>2</w:t>
      </w:r>
      <w:r w:rsidRPr="00E36E58">
        <w:rPr>
          <w:sz w:val="24"/>
          <w:szCs w:val="24"/>
        </w:rPr>
        <w:t xml:space="preserve"> ugentligt eller hver tredje uge. </w:t>
      </w:r>
    </w:p>
    <w:p w:rsidR="00E36E58" w:rsidRPr="00E36E58" w:rsidRDefault="00E36E58" w:rsidP="00E36E58">
      <w:pPr>
        <w:tabs>
          <w:tab w:val="left" w:pos="851"/>
        </w:tabs>
        <w:ind w:left="851"/>
        <w:rPr>
          <w:sz w:val="24"/>
          <w:szCs w:val="24"/>
        </w:rPr>
      </w:pPr>
    </w:p>
    <w:p w:rsidR="00E36E58" w:rsidRPr="00E36E58" w:rsidRDefault="00E36E58" w:rsidP="00E36E58">
      <w:pPr>
        <w:tabs>
          <w:tab w:val="left" w:pos="851"/>
        </w:tabs>
        <w:ind w:left="851"/>
        <w:rPr>
          <w:sz w:val="24"/>
          <w:szCs w:val="24"/>
          <w:u w:val="single"/>
        </w:rPr>
      </w:pPr>
      <w:r w:rsidRPr="00E36E58">
        <w:rPr>
          <w:sz w:val="24"/>
          <w:szCs w:val="24"/>
          <w:u w:val="single"/>
        </w:rPr>
        <w:t xml:space="preserve">Absorption </w:t>
      </w:r>
    </w:p>
    <w:p w:rsidR="00E36E58" w:rsidRPr="00E36E58" w:rsidRDefault="00E36E58" w:rsidP="00E36E58">
      <w:pPr>
        <w:tabs>
          <w:tab w:val="left" w:pos="851"/>
        </w:tabs>
        <w:ind w:left="851"/>
        <w:rPr>
          <w:sz w:val="24"/>
          <w:szCs w:val="24"/>
        </w:rPr>
      </w:pPr>
      <w:r w:rsidRPr="00E36E58">
        <w:rPr>
          <w:sz w:val="24"/>
          <w:szCs w:val="24"/>
        </w:rPr>
        <w:t xml:space="preserve">Efter 1-times intravenøs administration af </w:t>
      </w:r>
      <w:proofErr w:type="spellStart"/>
      <w:r w:rsidRPr="00E36E58">
        <w:rPr>
          <w:sz w:val="24"/>
          <w:szCs w:val="24"/>
        </w:rPr>
        <w:t>cabazitaxel</w:t>
      </w:r>
      <w:proofErr w:type="spellEnd"/>
      <w:r w:rsidRPr="00E36E58">
        <w:rPr>
          <w:sz w:val="24"/>
          <w:szCs w:val="24"/>
        </w:rPr>
        <w:t xml:space="preserve"> ved 25 mg/m</w:t>
      </w:r>
      <w:r w:rsidRPr="00E36E58">
        <w:rPr>
          <w:sz w:val="24"/>
          <w:szCs w:val="24"/>
          <w:vertAlign w:val="superscript"/>
        </w:rPr>
        <w:t>2</w:t>
      </w:r>
      <w:r w:rsidRPr="00E36E58">
        <w:rPr>
          <w:sz w:val="24"/>
          <w:szCs w:val="24"/>
        </w:rPr>
        <w:t xml:space="preserve"> hos patienter med metastatisk prostatacancer (n = 67) var </w:t>
      </w:r>
      <w:proofErr w:type="spellStart"/>
      <w:r w:rsidRPr="00E36E58">
        <w:rPr>
          <w:sz w:val="24"/>
          <w:szCs w:val="24"/>
        </w:rPr>
        <w:t>C</w:t>
      </w:r>
      <w:r w:rsidRPr="00E36E58">
        <w:rPr>
          <w:sz w:val="24"/>
          <w:szCs w:val="24"/>
          <w:vertAlign w:val="subscript"/>
        </w:rPr>
        <w:t>max</w:t>
      </w:r>
      <w:proofErr w:type="spellEnd"/>
      <w:r w:rsidRPr="00E36E58">
        <w:rPr>
          <w:sz w:val="24"/>
          <w:szCs w:val="24"/>
        </w:rPr>
        <w:t xml:space="preserve"> 226 </w:t>
      </w:r>
      <w:proofErr w:type="spellStart"/>
      <w:r w:rsidRPr="00E36E58">
        <w:rPr>
          <w:sz w:val="24"/>
          <w:szCs w:val="24"/>
        </w:rPr>
        <w:t>nanog</w:t>
      </w:r>
      <w:proofErr w:type="spellEnd"/>
      <w:r w:rsidRPr="00E36E58">
        <w:rPr>
          <w:sz w:val="24"/>
          <w:szCs w:val="24"/>
        </w:rPr>
        <w:t>/ml (variationskoefficient (CV): 107</w:t>
      </w:r>
      <w:r w:rsidR="00F37F45">
        <w:rPr>
          <w:sz w:val="24"/>
          <w:szCs w:val="24"/>
        </w:rPr>
        <w:t> </w:t>
      </w:r>
      <w:r w:rsidR="008A63AB">
        <w:rPr>
          <w:sz w:val="24"/>
          <w:szCs w:val="24"/>
        </w:rPr>
        <w:t>%</w:t>
      </w:r>
      <w:r w:rsidRPr="00E36E58">
        <w:rPr>
          <w:sz w:val="24"/>
          <w:szCs w:val="24"/>
        </w:rPr>
        <w:t>), og den blev nået efter 1-times infusion (</w:t>
      </w:r>
      <w:proofErr w:type="spellStart"/>
      <w:r w:rsidRPr="00E36E58">
        <w:rPr>
          <w:sz w:val="24"/>
          <w:szCs w:val="24"/>
        </w:rPr>
        <w:t>T</w:t>
      </w:r>
      <w:r w:rsidRPr="00F37F45">
        <w:rPr>
          <w:sz w:val="24"/>
          <w:szCs w:val="24"/>
          <w:vertAlign w:val="subscript"/>
        </w:rPr>
        <w:t>max</w:t>
      </w:r>
      <w:proofErr w:type="spellEnd"/>
      <w:r w:rsidRPr="00E36E58">
        <w:rPr>
          <w:sz w:val="24"/>
          <w:szCs w:val="24"/>
        </w:rPr>
        <w:t>). Middel AUC var 991</w:t>
      </w:r>
      <w:r w:rsidR="00F37F45">
        <w:rPr>
          <w:sz w:val="24"/>
          <w:szCs w:val="24"/>
        </w:rPr>
        <w:t> </w:t>
      </w:r>
      <w:proofErr w:type="spellStart"/>
      <w:r w:rsidRPr="00E36E58">
        <w:rPr>
          <w:sz w:val="24"/>
          <w:szCs w:val="24"/>
        </w:rPr>
        <w:t>nanog·time</w:t>
      </w:r>
      <w:proofErr w:type="spellEnd"/>
      <w:r w:rsidRPr="00E36E58">
        <w:rPr>
          <w:sz w:val="24"/>
          <w:szCs w:val="24"/>
        </w:rPr>
        <w:t>/ml (CV: 34</w:t>
      </w:r>
      <w:r w:rsidR="008A63AB">
        <w:rPr>
          <w:sz w:val="24"/>
          <w:szCs w:val="24"/>
        </w:rPr>
        <w:t xml:space="preserve"> %</w:t>
      </w:r>
      <w:r w:rsidRPr="00E36E58">
        <w:rPr>
          <w:sz w:val="24"/>
          <w:szCs w:val="24"/>
        </w:rPr>
        <w:t xml:space="preserve">). </w:t>
      </w:r>
    </w:p>
    <w:p w:rsidR="00E36E58" w:rsidRPr="00E36E58" w:rsidRDefault="00E36E58" w:rsidP="00E36E58">
      <w:pPr>
        <w:tabs>
          <w:tab w:val="left" w:pos="851"/>
        </w:tabs>
        <w:ind w:left="851"/>
        <w:rPr>
          <w:sz w:val="24"/>
          <w:szCs w:val="24"/>
        </w:rPr>
      </w:pPr>
      <w:r w:rsidRPr="00E36E58">
        <w:rPr>
          <w:sz w:val="24"/>
          <w:szCs w:val="24"/>
        </w:rPr>
        <w:t xml:space="preserve">Der blev ikke observeret nogen større afvigelse i </w:t>
      </w:r>
      <w:proofErr w:type="gramStart"/>
      <w:r w:rsidRPr="00E36E58">
        <w:rPr>
          <w:sz w:val="24"/>
          <w:szCs w:val="24"/>
        </w:rPr>
        <w:t>dosis proportionaliteten</w:t>
      </w:r>
      <w:proofErr w:type="gramEnd"/>
      <w:r w:rsidRPr="00E36E58">
        <w:rPr>
          <w:sz w:val="24"/>
          <w:szCs w:val="24"/>
        </w:rPr>
        <w:t xml:space="preserve"> fra 10 til 30</w:t>
      </w:r>
      <w:r w:rsidR="00F37F45">
        <w:rPr>
          <w:sz w:val="24"/>
          <w:szCs w:val="24"/>
        </w:rPr>
        <w:t> </w:t>
      </w:r>
      <w:r w:rsidRPr="00E36E58">
        <w:rPr>
          <w:sz w:val="24"/>
          <w:szCs w:val="24"/>
        </w:rPr>
        <w:t>mg/m</w:t>
      </w:r>
      <w:r w:rsidRPr="00E36E58">
        <w:rPr>
          <w:sz w:val="24"/>
          <w:szCs w:val="24"/>
          <w:vertAlign w:val="superscript"/>
        </w:rPr>
        <w:t>2</w:t>
      </w:r>
      <w:r w:rsidRPr="00E36E58">
        <w:rPr>
          <w:sz w:val="24"/>
          <w:szCs w:val="24"/>
        </w:rPr>
        <w:t xml:space="preserve"> hos patienter med avancerede faste tumorer (n = 126). </w:t>
      </w:r>
    </w:p>
    <w:p w:rsidR="00E36E58" w:rsidRPr="00E36E58" w:rsidRDefault="00E36E58" w:rsidP="00E36E58">
      <w:pPr>
        <w:tabs>
          <w:tab w:val="left" w:pos="851"/>
        </w:tabs>
        <w:ind w:left="851"/>
        <w:rPr>
          <w:sz w:val="24"/>
          <w:szCs w:val="24"/>
        </w:rPr>
      </w:pPr>
    </w:p>
    <w:p w:rsidR="00E36E58" w:rsidRPr="00E36E58" w:rsidRDefault="00E36E58" w:rsidP="00E36E58">
      <w:pPr>
        <w:tabs>
          <w:tab w:val="left" w:pos="851"/>
        </w:tabs>
        <w:ind w:left="851"/>
        <w:rPr>
          <w:sz w:val="24"/>
          <w:szCs w:val="24"/>
          <w:u w:val="single"/>
        </w:rPr>
      </w:pPr>
      <w:r w:rsidRPr="00E36E58">
        <w:rPr>
          <w:sz w:val="24"/>
          <w:szCs w:val="24"/>
          <w:u w:val="single"/>
        </w:rPr>
        <w:t xml:space="preserve">Distribution </w:t>
      </w:r>
    </w:p>
    <w:p w:rsidR="00E36E58" w:rsidRPr="00E36E58" w:rsidRDefault="00E36E58" w:rsidP="00E36E58">
      <w:pPr>
        <w:tabs>
          <w:tab w:val="left" w:pos="851"/>
        </w:tabs>
        <w:ind w:left="851"/>
        <w:rPr>
          <w:sz w:val="24"/>
          <w:szCs w:val="24"/>
        </w:rPr>
      </w:pPr>
      <w:r w:rsidRPr="00E36E58">
        <w:rPr>
          <w:sz w:val="24"/>
          <w:szCs w:val="24"/>
        </w:rPr>
        <w:t>Distributionsvolumenet (</w:t>
      </w:r>
      <w:proofErr w:type="spellStart"/>
      <w:r w:rsidRPr="00E36E58">
        <w:rPr>
          <w:sz w:val="24"/>
          <w:szCs w:val="24"/>
        </w:rPr>
        <w:t>Vss</w:t>
      </w:r>
      <w:proofErr w:type="spellEnd"/>
      <w:r w:rsidRPr="00E36E58">
        <w:rPr>
          <w:sz w:val="24"/>
          <w:szCs w:val="24"/>
        </w:rPr>
        <w:t>) var 4870 l (2640 l/m</w:t>
      </w:r>
      <w:r w:rsidRPr="00E36E58">
        <w:rPr>
          <w:sz w:val="24"/>
          <w:szCs w:val="24"/>
          <w:vertAlign w:val="superscript"/>
        </w:rPr>
        <w:t>2</w:t>
      </w:r>
      <w:r w:rsidRPr="00E36E58">
        <w:rPr>
          <w:sz w:val="24"/>
          <w:szCs w:val="24"/>
        </w:rPr>
        <w:t xml:space="preserve"> for en patient med en median BSA på 1,84 m</w:t>
      </w:r>
      <w:r w:rsidRPr="00E36E58">
        <w:rPr>
          <w:sz w:val="24"/>
          <w:szCs w:val="24"/>
          <w:vertAlign w:val="superscript"/>
        </w:rPr>
        <w:t>2</w:t>
      </w:r>
      <w:r w:rsidRPr="00E36E58">
        <w:rPr>
          <w:sz w:val="24"/>
          <w:szCs w:val="24"/>
        </w:rPr>
        <w:t xml:space="preserve">) ved </w:t>
      </w:r>
      <w:proofErr w:type="spellStart"/>
      <w:r w:rsidRPr="00E36E58">
        <w:rPr>
          <w:sz w:val="24"/>
          <w:szCs w:val="24"/>
        </w:rPr>
        <w:t>steady</w:t>
      </w:r>
      <w:proofErr w:type="spellEnd"/>
      <w:r w:rsidRPr="00E36E58">
        <w:rPr>
          <w:sz w:val="24"/>
          <w:szCs w:val="24"/>
        </w:rPr>
        <w:t xml:space="preserve"> </w:t>
      </w:r>
      <w:proofErr w:type="spellStart"/>
      <w:r w:rsidRPr="00E36E58">
        <w:rPr>
          <w:sz w:val="24"/>
          <w:szCs w:val="24"/>
        </w:rPr>
        <w:t>state</w:t>
      </w:r>
      <w:proofErr w:type="spellEnd"/>
      <w:r w:rsidRPr="00E36E58">
        <w:rPr>
          <w:sz w:val="24"/>
          <w:szCs w:val="24"/>
        </w:rPr>
        <w:t xml:space="preserve">. </w:t>
      </w:r>
    </w:p>
    <w:p w:rsidR="00E36E58" w:rsidRPr="00E36E58" w:rsidRDefault="00E36E58" w:rsidP="00E36E58">
      <w:pPr>
        <w:tabs>
          <w:tab w:val="left" w:pos="851"/>
        </w:tabs>
        <w:ind w:left="851"/>
        <w:rPr>
          <w:sz w:val="24"/>
          <w:szCs w:val="24"/>
        </w:rPr>
      </w:pPr>
      <w:r w:rsidRPr="00E36E58">
        <w:rPr>
          <w:i/>
          <w:iCs/>
          <w:sz w:val="24"/>
          <w:szCs w:val="24"/>
        </w:rPr>
        <w:t xml:space="preserve">In </w:t>
      </w:r>
      <w:proofErr w:type="spellStart"/>
      <w:r w:rsidRPr="00E36E58">
        <w:rPr>
          <w:i/>
          <w:iCs/>
          <w:sz w:val="24"/>
          <w:szCs w:val="24"/>
        </w:rPr>
        <w:t>vitro</w:t>
      </w:r>
      <w:proofErr w:type="spellEnd"/>
      <w:r w:rsidRPr="00E36E58">
        <w:rPr>
          <w:i/>
          <w:iCs/>
          <w:sz w:val="24"/>
          <w:szCs w:val="24"/>
        </w:rPr>
        <w:t xml:space="preserve"> </w:t>
      </w:r>
      <w:r w:rsidRPr="00E36E58">
        <w:rPr>
          <w:sz w:val="24"/>
          <w:szCs w:val="24"/>
        </w:rPr>
        <w:t xml:space="preserve">var bindingen af </w:t>
      </w:r>
      <w:proofErr w:type="spellStart"/>
      <w:r w:rsidRPr="00E36E58">
        <w:rPr>
          <w:sz w:val="24"/>
          <w:szCs w:val="24"/>
        </w:rPr>
        <w:t>cabazitaxel</w:t>
      </w:r>
      <w:proofErr w:type="spellEnd"/>
      <w:r w:rsidRPr="00E36E58">
        <w:rPr>
          <w:sz w:val="24"/>
          <w:szCs w:val="24"/>
        </w:rPr>
        <w:t xml:space="preserve"> til humane serumproteiner 89 – 92</w:t>
      </w:r>
      <w:r w:rsidR="008A63AB">
        <w:rPr>
          <w:sz w:val="24"/>
          <w:szCs w:val="24"/>
        </w:rPr>
        <w:t xml:space="preserve"> %</w:t>
      </w:r>
      <w:r w:rsidRPr="00E36E58">
        <w:rPr>
          <w:sz w:val="24"/>
          <w:szCs w:val="24"/>
        </w:rPr>
        <w:t xml:space="preserve"> og kunne ikke mættes op til 50.000 </w:t>
      </w:r>
      <w:proofErr w:type="spellStart"/>
      <w:r w:rsidRPr="00E36E58">
        <w:rPr>
          <w:sz w:val="24"/>
          <w:szCs w:val="24"/>
        </w:rPr>
        <w:t>ng</w:t>
      </w:r>
      <w:proofErr w:type="spellEnd"/>
      <w:r w:rsidRPr="00E36E58">
        <w:rPr>
          <w:sz w:val="24"/>
          <w:szCs w:val="24"/>
        </w:rPr>
        <w:t xml:space="preserve">/ml, hvilket omfatter den maksimale koncentration, som er observeret i kliniske studier. </w:t>
      </w:r>
      <w:proofErr w:type="spellStart"/>
      <w:r w:rsidRPr="00E36E58">
        <w:rPr>
          <w:sz w:val="24"/>
          <w:szCs w:val="24"/>
        </w:rPr>
        <w:t>Cabazitaxel</w:t>
      </w:r>
      <w:proofErr w:type="spellEnd"/>
      <w:r w:rsidRPr="00E36E58">
        <w:rPr>
          <w:sz w:val="24"/>
          <w:szCs w:val="24"/>
        </w:rPr>
        <w:t xml:space="preserve"> er først og fremmest bundet til humant serumalbumin (82,0</w:t>
      </w:r>
      <w:r w:rsidR="008A63AB">
        <w:rPr>
          <w:sz w:val="24"/>
          <w:szCs w:val="24"/>
        </w:rPr>
        <w:t xml:space="preserve"> %</w:t>
      </w:r>
      <w:r w:rsidRPr="00E36E58">
        <w:rPr>
          <w:sz w:val="24"/>
          <w:szCs w:val="24"/>
        </w:rPr>
        <w:t xml:space="preserve">) og </w:t>
      </w:r>
      <w:proofErr w:type="spellStart"/>
      <w:r w:rsidRPr="00E36E58">
        <w:rPr>
          <w:sz w:val="24"/>
          <w:szCs w:val="24"/>
        </w:rPr>
        <w:t>lipoproteiner</w:t>
      </w:r>
      <w:proofErr w:type="spellEnd"/>
      <w:r w:rsidRPr="00E36E58">
        <w:rPr>
          <w:sz w:val="24"/>
          <w:szCs w:val="24"/>
        </w:rPr>
        <w:t xml:space="preserve"> (87,9</w:t>
      </w:r>
      <w:r w:rsidR="008A63AB">
        <w:rPr>
          <w:sz w:val="24"/>
          <w:szCs w:val="24"/>
        </w:rPr>
        <w:t xml:space="preserve"> %</w:t>
      </w:r>
      <w:r w:rsidRPr="00E36E58">
        <w:rPr>
          <w:sz w:val="24"/>
          <w:szCs w:val="24"/>
        </w:rPr>
        <w:t xml:space="preserve"> for HDL, 69,8</w:t>
      </w:r>
      <w:r w:rsidR="008A63AB">
        <w:rPr>
          <w:sz w:val="24"/>
          <w:szCs w:val="24"/>
        </w:rPr>
        <w:t xml:space="preserve"> %</w:t>
      </w:r>
      <w:r w:rsidRPr="00E36E58">
        <w:rPr>
          <w:sz w:val="24"/>
          <w:szCs w:val="24"/>
        </w:rPr>
        <w:t xml:space="preserve"> for LDL og 55,8</w:t>
      </w:r>
      <w:r w:rsidR="008A63AB">
        <w:rPr>
          <w:sz w:val="24"/>
          <w:szCs w:val="24"/>
        </w:rPr>
        <w:t xml:space="preserve"> %</w:t>
      </w:r>
      <w:r w:rsidRPr="00E36E58">
        <w:rPr>
          <w:sz w:val="24"/>
          <w:szCs w:val="24"/>
        </w:rPr>
        <w:t xml:space="preserve"> for VLDL). Forholdet mellem </w:t>
      </w:r>
      <w:proofErr w:type="spellStart"/>
      <w:r w:rsidRPr="00E36E58">
        <w:rPr>
          <w:sz w:val="24"/>
          <w:szCs w:val="24"/>
        </w:rPr>
        <w:t>blod-plasma</w:t>
      </w:r>
      <w:proofErr w:type="spellEnd"/>
      <w:r w:rsidRPr="00E36E58">
        <w:rPr>
          <w:sz w:val="24"/>
          <w:szCs w:val="24"/>
        </w:rPr>
        <w:t xml:space="preserve"> koncentrationer i humant blod lå på mellem 0,90 og 0,99 </w:t>
      </w:r>
      <w:r w:rsidRPr="00E36E58">
        <w:rPr>
          <w:i/>
          <w:iCs/>
          <w:sz w:val="24"/>
          <w:szCs w:val="24"/>
        </w:rPr>
        <w:t xml:space="preserve">in </w:t>
      </w:r>
      <w:proofErr w:type="spellStart"/>
      <w:r w:rsidRPr="00E36E58">
        <w:rPr>
          <w:i/>
          <w:iCs/>
          <w:sz w:val="24"/>
          <w:szCs w:val="24"/>
        </w:rPr>
        <w:t>vitro</w:t>
      </w:r>
      <w:proofErr w:type="spellEnd"/>
      <w:r w:rsidRPr="00E36E58">
        <w:rPr>
          <w:sz w:val="24"/>
          <w:szCs w:val="24"/>
        </w:rPr>
        <w:t xml:space="preserve">, hvilket indikerede, at </w:t>
      </w:r>
      <w:proofErr w:type="spellStart"/>
      <w:r w:rsidRPr="00E36E58">
        <w:rPr>
          <w:sz w:val="24"/>
          <w:szCs w:val="24"/>
        </w:rPr>
        <w:t>cabazitaxel</w:t>
      </w:r>
      <w:proofErr w:type="spellEnd"/>
      <w:r w:rsidRPr="00E36E58">
        <w:rPr>
          <w:sz w:val="24"/>
          <w:szCs w:val="24"/>
        </w:rPr>
        <w:t xml:space="preserve"> var ligeligt fordelt mellem blod og plasma. </w:t>
      </w:r>
    </w:p>
    <w:p w:rsidR="00E36E58" w:rsidRPr="00E36E58" w:rsidRDefault="00E36E58" w:rsidP="00E36E58">
      <w:pPr>
        <w:tabs>
          <w:tab w:val="left" w:pos="851"/>
        </w:tabs>
        <w:ind w:left="851"/>
        <w:rPr>
          <w:sz w:val="24"/>
          <w:szCs w:val="24"/>
        </w:rPr>
      </w:pPr>
    </w:p>
    <w:p w:rsidR="00E36E58" w:rsidRPr="00E36E58" w:rsidRDefault="00E36E58" w:rsidP="00E36E58">
      <w:pPr>
        <w:tabs>
          <w:tab w:val="left" w:pos="851"/>
        </w:tabs>
        <w:ind w:left="851"/>
        <w:rPr>
          <w:sz w:val="24"/>
          <w:szCs w:val="24"/>
          <w:u w:val="single"/>
        </w:rPr>
      </w:pPr>
      <w:r w:rsidRPr="00E36E58">
        <w:rPr>
          <w:sz w:val="24"/>
          <w:szCs w:val="24"/>
          <w:u w:val="single"/>
        </w:rPr>
        <w:t xml:space="preserve">Biotransformation </w:t>
      </w:r>
    </w:p>
    <w:p w:rsidR="00E36E58" w:rsidRPr="00E36E58" w:rsidRDefault="00E36E58" w:rsidP="00E36E58">
      <w:pPr>
        <w:tabs>
          <w:tab w:val="left" w:pos="851"/>
        </w:tabs>
        <w:ind w:left="851"/>
        <w:rPr>
          <w:sz w:val="24"/>
          <w:szCs w:val="24"/>
        </w:rPr>
      </w:pPr>
      <w:proofErr w:type="spellStart"/>
      <w:r w:rsidRPr="00E36E58">
        <w:rPr>
          <w:sz w:val="24"/>
          <w:szCs w:val="24"/>
        </w:rPr>
        <w:t>Cabazitaxel</w:t>
      </w:r>
      <w:proofErr w:type="spellEnd"/>
      <w:r w:rsidRPr="00E36E58">
        <w:rPr>
          <w:sz w:val="24"/>
          <w:szCs w:val="24"/>
        </w:rPr>
        <w:t xml:space="preserve"> </w:t>
      </w:r>
      <w:proofErr w:type="spellStart"/>
      <w:r w:rsidRPr="00E36E58">
        <w:rPr>
          <w:sz w:val="24"/>
          <w:szCs w:val="24"/>
        </w:rPr>
        <w:t>metaboliseres</w:t>
      </w:r>
      <w:proofErr w:type="spellEnd"/>
      <w:r w:rsidRPr="00E36E58">
        <w:rPr>
          <w:sz w:val="24"/>
          <w:szCs w:val="24"/>
        </w:rPr>
        <w:t xml:space="preserve"> ekstensivt i leveren (&gt; 95</w:t>
      </w:r>
      <w:r w:rsidR="008A63AB">
        <w:rPr>
          <w:sz w:val="24"/>
          <w:szCs w:val="24"/>
        </w:rPr>
        <w:t xml:space="preserve"> %</w:t>
      </w:r>
      <w:r w:rsidRPr="00E36E58">
        <w:rPr>
          <w:sz w:val="24"/>
          <w:szCs w:val="24"/>
        </w:rPr>
        <w:t>), hovedsageligt af CYP3A-isoenzymet (80-90</w:t>
      </w:r>
      <w:r w:rsidR="008A63AB">
        <w:rPr>
          <w:sz w:val="24"/>
          <w:szCs w:val="24"/>
        </w:rPr>
        <w:t xml:space="preserve"> %</w:t>
      </w:r>
      <w:r w:rsidRPr="00E36E58">
        <w:rPr>
          <w:sz w:val="24"/>
          <w:szCs w:val="24"/>
        </w:rPr>
        <w:t xml:space="preserve">). </w:t>
      </w:r>
      <w:proofErr w:type="spellStart"/>
      <w:r w:rsidRPr="00E36E58">
        <w:rPr>
          <w:sz w:val="24"/>
          <w:szCs w:val="24"/>
        </w:rPr>
        <w:t>Cabazitaxel</w:t>
      </w:r>
      <w:proofErr w:type="spellEnd"/>
      <w:r w:rsidRPr="00E36E58">
        <w:rPr>
          <w:sz w:val="24"/>
          <w:szCs w:val="24"/>
        </w:rPr>
        <w:t xml:space="preserve"> er den primære cirkulerende forbindelse i humant plasma. Der blev detekteret syv metabolitter i plasma (inklusive 3 aktive metabolitter, som dannes ud fra O-</w:t>
      </w:r>
      <w:proofErr w:type="spellStart"/>
      <w:r w:rsidRPr="00E36E58">
        <w:rPr>
          <w:sz w:val="24"/>
          <w:szCs w:val="24"/>
        </w:rPr>
        <w:t>demethyleringer</w:t>
      </w:r>
      <w:proofErr w:type="spellEnd"/>
      <w:r w:rsidRPr="00E36E58">
        <w:rPr>
          <w:sz w:val="24"/>
          <w:szCs w:val="24"/>
        </w:rPr>
        <w:t>), hvor hovedmetabolitten udgjorde 5</w:t>
      </w:r>
      <w:r w:rsidR="008A63AB">
        <w:rPr>
          <w:sz w:val="24"/>
          <w:szCs w:val="24"/>
        </w:rPr>
        <w:t xml:space="preserve"> %</w:t>
      </w:r>
      <w:r w:rsidRPr="00E36E58">
        <w:rPr>
          <w:sz w:val="24"/>
          <w:szCs w:val="24"/>
        </w:rPr>
        <w:t xml:space="preserve"> af eksponeringen. Ca. 20 metabolitter af </w:t>
      </w:r>
      <w:proofErr w:type="spellStart"/>
      <w:r w:rsidRPr="00E36E58">
        <w:rPr>
          <w:sz w:val="24"/>
          <w:szCs w:val="24"/>
        </w:rPr>
        <w:t>cabazitaxel</w:t>
      </w:r>
      <w:proofErr w:type="spellEnd"/>
      <w:r w:rsidRPr="00E36E58">
        <w:rPr>
          <w:sz w:val="24"/>
          <w:szCs w:val="24"/>
        </w:rPr>
        <w:t xml:space="preserve"> udskilles i human urin og fæces. </w:t>
      </w:r>
    </w:p>
    <w:p w:rsidR="00E36E58" w:rsidRPr="00E36E58" w:rsidRDefault="00E36E58" w:rsidP="00E36E58">
      <w:pPr>
        <w:tabs>
          <w:tab w:val="left" w:pos="851"/>
        </w:tabs>
        <w:ind w:left="851"/>
        <w:rPr>
          <w:sz w:val="24"/>
          <w:szCs w:val="24"/>
        </w:rPr>
      </w:pPr>
      <w:r w:rsidRPr="00E36E58">
        <w:rPr>
          <w:sz w:val="24"/>
          <w:szCs w:val="24"/>
        </w:rPr>
        <w:t xml:space="preserve">På basis af </w:t>
      </w:r>
      <w:r w:rsidRPr="00E36E58">
        <w:rPr>
          <w:i/>
          <w:iCs/>
          <w:sz w:val="24"/>
          <w:szCs w:val="24"/>
        </w:rPr>
        <w:t xml:space="preserve">in </w:t>
      </w:r>
      <w:proofErr w:type="spellStart"/>
      <w:r w:rsidRPr="00E36E58">
        <w:rPr>
          <w:i/>
          <w:iCs/>
          <w:sz w:val="24"/>
          <w:szCs w:val="24"/>
        </w:rPr>
        <w:t>vitro</w:t>
      </w:r>
      <w:proofErr w:type="spellEnd"/>
      <w:r w:rsidRPr="00E36E58">
        <w:rPr>
          <w:i/>
          <w:iCs/>
          <w:sz w:val="24"/>
          <w:szCs w:val="24"/>
        </w:rPr>
        <w:t xml:space="preserve"> </w:t>
      </w:r>
      <w:r w:rsidRPr="00E36E58">
        <w:rPr>
          <w:sz w:val="24"/>
          <w:szCs w:val="24"/>
        </w:rPr>
        <w:t xml:space="preserve">studier er der muligvis en potentiel risiko for at </w:t>
      </w:r>
      <w:proofErr w:type="spellStart"/>
      <w:r w:rsidRPr="00E36E58">
        <w:rPr>
          <w:sz w:val="24"/>
          <w:szCs w:val="24"/>
        </w:rPr>
        <w:t>cabazitaxel</w:t>
      </w:r>
      <w:proofErr w:type="spellEnd"/>
      <w:r w:rsidRPr="00E36E58">
        <w:rPr>
          <w:sz w:val="24"/>
          <w:szCs w:val="24"/>
        </w:rPr>
        <w:t xml:space="preserve"> ved klinisk relevante koncentrationer inhiberer lægemidler, som hovedsagelig er substrater af CYP3A. </w:t>
      </w:r>
    </w:p>
    <w:p w:rsidR="00E36E58" w:rsidRPr="00E36E58" w:rsidRDefault="00E36E58" w:rsidP="00E36E58">
      <w:pPr>
        <w:tabs>
          <w:tab w:val="left" w:pos="851"/>
        </w:tabs>
        <w:ind w:left="851"/>
        <w:rPr>
          <w:sz w:val="24"/>
          <w:szCs w:val="24"/>
        </w:rPr>
      </w:pPr>
      <w:r w:rsidRPr="00E36E58">
        <w:rPr>
          <w:sz w:val="24"/>
          <w:szCs w:val="24"/>
        </w:rPr>
        <w:t xml:space="preserve">Et klinisk studie har imidlertid vist, at </w:t>
      </w:r>
      <w:proofErr w:type="spellStart"/>
      <w:r w:rsidRPr="00E36E58">
        <w:rPr>
          <w:sz w:val="24"/>
          <w:szCs w:val="24"/>
        </w:rPr>
        <w:t>cabazitaxel</w:t>
      </w:r>
      <w:proofErr w:type="spellEnd"/>
      <w:r w:rsidRPr="00E36E58">
        <w:rPr>
          <w:sz w:val="24"/>
          <w:szCs w:val="24"/>
        </w:rPr>
        <w:t xml:space="preserve"> (25 mg/m</w:t>
      </w:r>
      <w:r w:rsidRPr="00E36E58">
        <w:rPr>
          <w:sz w:val="24"/>
          <w:szCs w:val="24"/>
          <w:vertAlign w:val="superscript"/>
        </w:rPr>
        <w:t>2</w:t>
      </w:r>
      <w:r w:rsidRPr="00E36E58">
        <w:rPr>
          <w:sz w:val="24"/>
          <w:szCs w:val="24"/>
        </w:rPr>
        <w:t xml:space="preserve"> administreret som en enkelt 1-times infusion) ikke påvirkede plasmaniveauet af </w:t>
      </w:r>
      <w:proofErr w:type="spellStart"/>
      <w:r w:rsidRPr="00E36E58">
        <w:rPr>
          <w:sz w:val="24"/>
          <w:szCs w:val="24"/>
        </w:rPr>
        <w:t>midazolam</w:t>
      </w:r>
      <w:proofErr w:type="spellEnd"/>
      <w:r w:rsidRPr="00E36E58">
        <w:rPr>
          <w:sz w:val="24"/>
          <w:szCs w:val="24"/>
        </w:rPr>
        <w:t xml:space="preserve">, et CYP3A-testsubstrat. Samtidig administration af CYP3A-substrater og </w:t>
      </w:r>
      <w:proofErr w:type="spellStart"/>
      <w:r w:rsidRPr="00E36E58">
        <w:rPr>
          <w:sz w:val="24"/>
          <w:szCs w:val="24"/>
        </w:rPr>
        <w:t>cabazitaxel</w:t>
      </w:r>
      <w:proofErr w:type="spellEnd"/>
      <w:r w:rsidRPr="00E36E58">
        <w:rPr>
          <w:sz w:val="24"/>
          <w:szCs w:val="24"/>
        </w:rPr>
        <w:t xml:space="preserve"> i terapeutiske doser forventes derfor ikke at have nogen klinisk betydning. </w:t>
      </w:r>
    </w:p>
    <w:p w:rsidR="00E36E58" w:rsidRPr="00E36E58" w:rsidRDefault="00E36E58" w:rsidP="00E36E58">
      <w:pPr>
        <w:tabs>
          <w:tab w:val="left" w:pos="851"/>
        </w:tabs>
        <w:ind w:left="851"/>
        <w:rPr>
          <w:sz w:val="24"/>
          <w:szCs w:val="24"/>
        </w:rPr>
      </w:pPr>
      <w:r w:rsidRPr="00E36E58">
        <w:rPr>
          <w:sz w:val="24"/>
          <w:szCs w:val="24"/>
        </w:rPr>
        <w:t xml:space="preserve">Der er ingen potentiel risiko for hæmning af lægemidler, der er substrater for andre CYP-enzymer (1A2, 2B6, 2C9, 2C8, 2C19, 2E1, and 2D6), og der er ingen potentiel risiko for, at </w:t>
      </w:r>
      <w:proofErr w:type="spellStart"/>
      <w:r w:rsidRPr="00E36E58">
        <w:rPr>
          <w:sz w:val="24"/>
          <w:szCs w:val="24"/>
        </w:rPr>
        <w:t>cabazitaxel</w:t>
      </w:r>
      <w:proofErr w:type="spellEnd"/>
      <w:r w:rsidRPr="00E36E58">
        <w:rPr>
          <w:sz w:val="24"/>
          <w:szCs w:val="24"/>
        </w:rPr>
        <w:t xml:space="preserve"> giver anledning til induktion af lægemidler, der er substrater for CYP1A, CYP2C9 og CYP3A. </w:t>
      </w:r>
      <w:proofErr w:type="spellStart"/>
      <w:r w:rsidRPr="00E36E58">
        <w:rPr>
          <w:sz w:val="24"/>
          <w:szCs w:val="24"/>
        </w:rPr>
        <w:t>Cabazitaxel</w:t>
      </w:r>
      <w:proofErr w:type="spellEnd"/>
      <w:r w:rsidRPr="00E36E58">
        <w:rPr>
          <w:sz w:val="24"/>
          <w:szCs w:val="24"/>
        </w:rPr>
        <w:t xml:space="preserve"> hæmmede ikke </w:t>
      </w:r>
      <w:r w:rsidRPr="00E36E58">
        <w:rPr>
          <w:i/>
          <w:iCs/>
          <w:sz w:val="24"/>
          <w:szCs w:val="24"/>
        </w:rPr>
        <w:t xml:space="preserve">in </w:t>
      </w:r>
      <w:proofErr w:type="spellStart"/>
      <w:r w:rsidRPr="00E36E58">
        <w:rPr>
          <w:i/>
          <w:iCs/>
          <w:sz w:val="24"/>
          <w:szCs w:val="24"/>
        </w:rPr>
        <w:t>vitro</w:t>
      </w:r>
      <w:proofErr w:type="spellEnd"/>
      <w:r w:rsidRPr="00E36E58">
        <w:rPr>
          <w:i/>
          <w:iCs/>
          <w:sz w:val="24"/>
          <w:szCs w:val="24"/>
        </w:rPr>
        <w:t xml:space="preserve"> </w:t>
      </w:r>
      <w:r w:rsidRPr="00E36E58">
        <w:rPr>
          <w:sz w:val="24"/>
          <w:szCs w:val="24"/>
        </w:rPr>
        <w:t xml:space="preserve">den vigtigste biotransformationsvej for </w:t>
      </w:r>
      <w:proofErr w:type="spellStart"/>
      <w:r w:rsidRPr="00E36E58">
        <w:rPr>
          <w:sz w:val="24"/>
          <w:szCs w:val="24"/>
        </w:rPr>
        <w:t>warfarin</w:t>
      </w:r>
      <w:proofErr w:type="spellEnd"/>
      <w:r w:rsidRPr="00E36E58">
        <w:rPr>
          <w:sz w:val="24"/>
          <w:szCs w:val="24"/>
        </w:rPr>
        <w:t xml:space="preserve"> til 7-hydroxywarfarin, der medieres af CYP2C9. Der forventes således ikke nogen </w:t>
      </w:r>
      <w:proofErr w:type="spellStart"/>
      <w:r w:rsidRPr="00E36E58">
        <w:rPr>
          <w:sz w:val="24"/>
          <w:szCs w:val="24"/>
        </w:rPr>
        <w:t>farmakokinetisk</w:t>
      </w:r>
      <w:proofErr w:type="spellEnd"/>
      <w:r w:rsidRPr="00E36E58">
        <w:rPr>
          <w:sz w:val="24"/>
          <w:szCs w:val="24"/>
        </w:rPr>
        <w:t xml:space="preserve"> interaktion af </w:t>
      </w:r>
      <w:proofErr w:type="spellStart"/>
      <w:r w:rsidRPr="00E36E58">
        <w:rPr>
          <w:sz w:val="24"/>
          <w:szCs w:val="24"/>
        </w:rPr>
        <w:t>cabazitaxel</w:t>
      </w:r>
      <w:proofErr w:type="spellEnd"/>
      <w:r w:rsidRPr="00E36E58">
        <w:rPr>
          <w:sz w:val="24"/>
          <w:szCs w:val="24"/>
        </w:rPr>
        <w:t xml:space="preserve"> på </w:t>
      </w:r>
      <w:proofErr w:type="spellStart"/>
      <w:r w:rsidRPr="00E36E58">
        <w:rPr>
          <w:sz w:val="24"/>
          <w:szCs w:val="24"/>
        </w:rPr>
        <w:t>warfarin</w:t>
      </w:r>
      <w:proofErr w:type="spellEnd"/>
      <w:r w:rsidRPr="00E36E58">
        <w:rPr>
          <w:sz w:val="24"/>
          <w:szCs w:val="24"/>
        </w:rPr>
        <w:t xml:space="preserve"> </w:t>
      </w:r>
      <w:r w:rsidRPr="00E36E58">
        <w:rPr>
          <w:i/>
          <w:iCs/>
          <w:sz w:val="24"/>
          <w:szCs w:val="24"/>
        </w:rPr>
        <w:t xml:space="preserve">in </w:t>
      </w:r>
      <w:proofErr w:type="spellStart"/>
      <w:r w:rsidRPr="00E36E58">
        <w:rPr>
          <w:i/>
          <w:iCs/>
          <w:sz w:val="24"/>
          <w:szCs w:val="24"/>
        </w:rPr>
        <w:t>vivo</w:t>
      </w:r>
      <w:proofErr w:type="spellEnd"/>
      <w:r w:rsidRPr="00E36E58">
        <w:rPr>
          <w:sz w:val="24"/>
          <w:szCs w:val="24"/>
        </w:rPr>
        <w:t xml:space="preserve">. </w:t>
      </w:r>
    </w:p>
    <w:p w:rsidR="00E36E58" w:rsidRPr="00E36E58" w:rsidRDefault="00E36E58" w:rsidP="00E36E58">
      <w:pPr>
        <w:tabs>
          <w:tab w:val="left" w:pos="851"/>
        </w:tabs>
        <w:ind w:left="851"/>
        <w:rPr>
          <w:sz w:val="24"/>
          <w:szCs w:val="24"/>
        </w:rPr>
      </w:pPr>
      <w:r w:rsidRPr="00E36E58">
        <w:rPr>
          <w:i/>
          <w:iCs/>
          <w:sz w:val="24"/>
          <w:szCs w:val="24"/>
        </w:rPr>
        <w:t xml:space="preserve">In </w:t>
      </w:r>
      <w:proofErr w:type="spellStart"/>
      <w:r w:rsidRPr="00E36E58">
        <w:rPr>
          <w:i/>
          <w:iCs/>
          <w:sz w:val="24"/>
          <w:szCs w:val="24"/>
        </w:rPr>
        <w:t>vitro</w:t>
      </w:r>
      <w:proofErr w:type="spellEnd"/>
      <w:r w:rsidRPr="00E36E58">
        <w:rPr>
          <w:i/>
          <w:iCs/>
          <w:sz w:val="24"/>
          <w:szCs w:val="24"/>
        </w:rPr>
        <w:t xml:space="preserve"> </w:t>
      </w:r>
      <w:r w:rsidRPr="00E36E58">
        <w:rPr>
          <w:sz w:val="24"/>
          <w:szCs w:val="24"/>
        </w:rPr>
        <w:t xml:space="preserve">hæmmede </w:t>
      </w:r>
      <w:proofErr w:type="spellStart"/>
      <w:r w:rsidRPr="00E36E58">
        <w:rPr>
          <w:sz w:val="24"/>
          <w:szCs w:val="24"/>
        </w:rPr>
        <w:t>cabazitaxel</w:t>
      </w:r>
      <w:proofErr w:type="spellEnd"/>
      <w:r w:rsidRPr="00E36E58">
        <w:rPr>
          <w:sz w:val="24"/>
          <w:szCs w:val="24"/>
        </w:rPr>
        <w:t xml:space="preserve"> ikke </w:t>
      </w:r>
      <w:r w:rsidRPr="00E36E58">
        <w:rPr>
          <w:i/>
          <w:iCs/>
          <w:sz w:val="24"/>
          <w:szCs w:val="24"/>
        </w:rPr>
        <w:t>Multidrug-</w:t>
      </w:r>
      <w:proofErr w:type="spellStart"/>
      <w:r w:rsidRPr="00E36E58">
        <w:rPr>
          <w:i/>
          <w:iCs/>
          <w:sz w:val="24"/>
          <w:szCs w:val="24"/>
        </w:rPr>
        <w:t>Resistance</w:t>
      </w:r>
      <w:proofErr w:type="spellEnd"/>
      <w:r w:rsidRPr="00E36E58">
        <w:rPr>
          <w:i/>
          <w:iCs/>
          <w:sz w:val="24"/>
          <w:szCs w:val="24"/>
        </w:rPr>
        <w:t xml:space="preserve"> </w:t>
      </w:r>
      <w:r w:rsidRPr="00E36E58">
        <w:rPr>
          <w:sz w:val="24"/>
          <w:szCs w:val="24"/>
        </w:rPr>
        <w:t xml:space="preserve">Proteiner (MRP): MRP1 og MRP2 eller organisk kation-transportør (OCT1). </w:t>
      </w:r>
      <w:proofErr w:type="spellStart"/>
      <w:r w:rsidRPr="00E36E58">
        <w:rPr>
          <w:sz w:val="24"/>
          <w:szCs w:val="24"/>
        </w:rPr>
        <w:t>Cabazitaxel</w:t>
      </w:r>
      <w:proofErr w:type="spellEnd"/>
      <w:r w:rsidRPr="00E36E58">
        <w:rPr>
          <w:sz w:val="24"/>
          <w:szCs w:val="24"/>
        </w:rPr>
        <w:t xml:space="preserve"> hæmmede transporten af P-</w:t>
      </w:r>
      <w:proofErr w:type="spellStart"/>
      <w:r w:rsidRPr="00E36E58">
        <w:rPr>
          <w:sz w:val="24"/>
          <w:szCs w:val="24"/>
        </w:rPr>
        <w:t>glykoprotein</w:t>
      </w:r>
      <w:proofErr w:type="spellEnd"/>
      <w:r w:rsidRPr="00E36E58">
        <w:rPr>
          <w:sz w:val="24"/>
          <w:szCs w:val="24"/>
        </w:rPr>
        <w:t xml:space="preserve"> (</w:t>
      </w:r>
      <w:proofErr w:type="spellStart"/>
      <w:r w:rsidRPr="00E36E58">
        <w:rPr>
          <w:sz w:val="24"/>
          <w:szCs w:val="24"/>
        </w:rPr>
        <w:t>PgP</w:t>
      </w:r>
      <w:proofErr w:type="spellEnd"/>
      <w:r w:rsidRPr="00E36E58">
        <w:rPr>
          <w:sz w:val="24"/>
          <w:szCs w:val="24"/>
        </w:rPr>
        <w:t>) (</w:t>
      </w:r>
      <w:proofErr w:type="spellStart"/>
      <w:r w:rsidRPr="00E36E58">
        <w:rPr>
          <w:sz w:val="24"/>
          <w:szCs w:val="24"/>
        </w:rPr>
        <w:t>digoxin</w:t>
      </w:r>
      <w:proofErr w:type="spellEnd"/>
      <w:r w:rsidRPr="00E36E58">
        <w:rPr>
          <w:sz w:val="24"/>
          <w:szCs w:val="24"/>
        </w:rPr>
        <w:t xml:space="preserve">, </w:t>
      </w:r>
      <w:proofErr w:type="spellStart"/>
      <w:r w:rsidRPr="00E36E58">
        <w:rPr>
          <w:sz w:val="24"/>
          <w:szCs w:val="24"/>
        </w:rPr>
        <w:t>vinblastin</w:t>
      </w:r>
      <w:proofErr w:type="spellEnd"/>
      <w:r w:rsidRPr="00E36E58">
        <w:rPr>
          <w:sz w:val="24"/>
          <w:szCs w:val="24"/>
        </w:rPr>
        <w:t>), Breast-Cancer-</w:t>
      </w:r>
      <w:proofErr w:type="spellStart"/>
      <w:r w:rsidRPr="00E36E58">
        <w:rPr>
          <w:sz w:val="24"/>
          <w:szCs w:val="24"/>
        </w:rPr>
        <w:t>Resistance</w:t>
      </w:r>
      <w:proofErr w:type="spellEnd"/>
      <w:r w:rsidRPr="00E36E58">
        <w:rPr>
          <w:sz w:val="24"/>
          <w:szCs w:val="24"/>
        </w:rPr>
        <w:t xml:space="preserve"> Proteiner (BCRP) (</w:t>
      </w:r>
      <w:proofErr w:type="spellStart"/>
      <w:r w:rsidRPr="00E36E58">
        <w:rPr>
          <w:sz w:val="24"/>
          <w:szCs w:val="24"/>
        </w:rPr>
        <w:t>methotrexat</w:t>
      </w:r>
      <w:proofErr w:type="spellEnd"/>
      <w:r w:rsidRPr="00E36E58">
        <w:rPr>
          <w:sz w:val="24"/>
          <w:szCs w:val="24"/>
        </w:rPr>
        <w:t>) og organisk anion-transporterende polypeptid OATP1B3 (CCK8) ved koncentrationer, der var mindst 15 gange højere end under kliniske forhold, hvorimod det hæmmede transporten af OATP1B1 (estradiol-17β-</w:t>
      </w:r>
      <w:proofErr w:type="spellStart"/>
      <w:r w:rsidRPr="00E36E58">
        <w:rPr>
          <w:sz w:val="24"/>
          <w:szCs w:val="24"/>
        </w:rPr>
        <w:t>glukuronid</w:t>
      </w:r>
      <w:proofErr w:type="spellEnd"/>
      <w:r w:rsidRPr="00E36E58">
        <w:rPr>
          <w:sz w:val="24"/>
          <w:szCs w:val="24"/>
        </w:rPr>
        <w:t xml:space="preserve">) ved koncentrationer kun 5 gange højere end under kliniske forhold. Risikoen for interaktion med substrater af MRP, OCT1, </w:t>
      </w:r>
      <w:proofErr w:type="spellStart"/>
      <w:r w:rsidRPr="00E36E58">
        <w:rPr>
          <w:sz w:val="24"/>
          <w:szCs w:val="24"/>
        </w:rPr>
        <w:t>PgP</w:t>
      </w:r>
      <w:proofErr w:type="spellEnd"/>
      <w:r w:rsidRPr="00E36E58">
        <w:rPr>
          <w:sz w:val="24"/>
          <w:szCs w:val="24"/>
        </w:rPr>
        <w:t xml:space="preserve">, BCRP og OATP1B3 er derfor usandsynlig </w:t>
      </w:r>
      <w:r w:rsidRPr="00E36E58">
        <w:rPr>
          <w:i/>
          <w:iCs/>
          <w:sz w:val="24"/>
          <w:szCs w:val="24"/>
        </w:rPr>
        <w:t xml:space="preserve">in </w:t>
      </w:r>
      <w:proofErr w:type="spellStart"/>
      <w:r w:rsidRPr="00E36E58">
        <w:rPr>
          <w:i/>
          <w:iCs/>
          <w:sz w:val="24"/>
          <w:szCs w:val="24"/>
        </w:rPr>
        <w:t>vivo</w:t>
      </w:r>
      <w:proofErr w:type="spellEnd"/>
      <w:r w:rsidRPr="00E36E58">
        <w:rPr>
          <w:i/>
          <w:iCs/>
          <w:sz w:val="24"/>
          <w:szCs w:val="24"/>
        </w:rPr>
        <w:t xml:space="preserve"> </w:t>
      </w:r>
      <w:r w:rsidRPr="00E36E58">
        <w:rPr>
          <w:sz w:val="24"/>
          <w:szCs w:val="24"/>
        </w:rPr>
        <w:t>ved en dosis på 25 mg/m</w:t>
      </w:r>
      <w:r w:rsidRPr="00E36E58">
        <w:rPr>
          <w:sz w:val="24"/>
          <w:szCs w:val="24"/>
          <w:vertAlign w:val="superscript"/>
        </w:rPr>
        <w:t>2</w:t>
      </w:r>
      <w:r w:rsidRPr="00E36E58">
        <w:rPr>
          <w:sz w:val="24"/>
          <w:szCs w:val="24"/>
        </w:rPr>
        <w:t xml:space="preserve">. Risikoen for interaktion med OATP1B1-transportøren er begrænset til infusionens varighed (1 time) og op til 20 minutter efter infusionens afslutning (se pkt. 4.5). </w:t>
      </w:r>
    </w:p>
    <w:p w:rsidR="00E36E58" w:rsidRPr="00E36E58" w:rsidRDefault="00E36E58" w:rsidP="00E36E58">
      <w:pPr>
        <w:tabs>
          <w:tab w:val="left" w:pos="851"/>
        </w:tabs>
        <w:ind w:left="851"/>
        <w:rPr>
          <w:sz w:val="24"/>
          <w:szCs w:val="24"/>
        </w:rPr>
      </w:pPr>
    </w:p>
    <w:p w:rsidR="00E36E58" w:rsidRPr="00E36E58" w:rsidRDefault="00E36E58" w:rsidP="00E36E58">
      <w:pPr>
        <w:tabs>
          <w:tab w:val="left" w:pos="851"/>
        </w:tabs>
        <w:ind w:left="851"/>
        <w:rPr>
          <w:sz w:val="24"/>
          <w:szCs w:val="24"/>
          <w:u w:val="single"/>
        </w:rPr>
      </w:pPr>
      <w:r w:rsidRPr="00E36E58">
        <w:rPr>
          <w:sz w:val="24"/>
          <w:szCs w:val="24"/>
          <w:u w:val="single"/>
        </w:rPr>
        <w:t xml:space="preserve">Elimination </w:t>
      </w:r>
    </w:p>
    <w:p w:rsidR="00E36E58" w:rsidRPr="00E36E58" w:rsidRDefault="00E36E58" w:rsidP="00E36E58">
      <w:pPr>
        <w:tabs>
          <w:tab w:val="left" w:pos="851"/>
        </w:tabs>
        <w:ind w:left="851"/>
        <w:rPr>
          <w:sz w:val="24"/>
          <w:szCs w:val="24"/>
          <w:lang w:val="fr-LU"/>
        </w:rPr>
      </w:pPr>
      <w:r w:rsidRPr="00E36E58">
        <w:rPr>
          <w:sz w:val="24"/>
          <w:szCs w:val="24"/>
          <w:lang w:val="fr-LU"/>
        </w:rPr>
        <w:t>Efter en 1-times intravenøs [14C]-cabazitaxel-infusion ved 25 mg/m</w:t>
      </w:r>
      <w:r w:rsidRPr="00E36E58">
        <w:rPr>
          <w:sz w:val="24"/>
          <w:szCs w:val="24"/>
          <w:vertAlign w:val="superscript"/>
          <w:lang w:val="fr-LU"/>
        </w:rPr>
        <w:t>2</w:t>
      </w:r>
      <w:r w:rsidRPr="00E36E58">
        <w:rPr>
          <w:sz w:val="24"/>
          <w:szCs w:val="24"/>
          <w:lang w:val="fr-LU"/>
        </w:rPr>
        <w:t xml:space="preserve"> hos patienter, blev ca. 80</w:t>
      </w:r>
      <w:r w:rsidR="008A63AB">
        <w:rPr>
          <w:sz w:val="24"/>
          <w:szCs w:val="24"/>
          <w:lang w:val="fr-LU"/>
        </w:rPr>
        <w:t xml:space="preserve"> %</w:t>
      </w:r>
      <w:r w:rsidRPr="00E36E58">
        <w:rPr>
          <w:sz w:val="24"/>
          <w:szCs w:val="24"/>
          <w:lang w:val="fr-LU"/>
        </w:rPr>
        <w:t xml:space="preserve"> af den indgivne dosis elimineret inden for 2 uger. Cabazitaxel udskilles hovedsageligt i fæces som adskillige metabolitter (76</w:t>
      </w:r>
      <w:r w:rsidR="008A63AB">
        <w:rPr>
          <w:sz w:val="24"/>
          <w:szCs w:val="24"/>
          <w:lang w:val="fr-LU"/>
        </w:rPr>
        <w:t xml:space="preserve"> %</w:t>
      </w:r>
      <w:r w:rsidRPr="00E36E58">
        <w:rPr>
          <w:sz w:val="24"/>
          <w:szCs w:val="24"/>
          <w:lang w:val="fr-LU"/>
        </w:rPr>
        <w:t xml:space="preserve"> af dosen), mens renal udskillelse af cabazitaxel og metabolitter udgør mindre end 4</w:t>
      </w:r>
      <w:r w:rsidR="008A63AB">
        <w:rPr>
          <w:sz w:val="24"/>
          <w:szCs w:val="24"/>
          <w:lang w:val="fr-LU"/>
        </w:rPr>
        <w:t xml:space="preserve"> %</w:t>
      </w:r>
      <w:r w:rsidRPr="00E36E58">
        <w:rPr>
          <w:sz w:val="24"/>
          <w:szCs w:val="24"/>
          <w:lang w:val="fr-LU"/>
        </w:rPr>
        <w:t xml:space="preserve"> af dosen (2,3</w:t>
      </w:r>
      <w:r w:rsidR="008A63AB">
        <w:rPr>
          <w:sz w:val="24"/>
          <w:szCs w:val="24"/>
          <w:lang w:val="fr-LU"/>
        </w:rPr>
        <w:t xml:space="preserve"> %</w:t>
      </w:r>
      <w:r w:rsidRPr="00E36E58">
        <w:rPr>
          <w:sz w:val="24"/>
          <w:szCs w:val="24"/>
          <w:lang w:val="fr-LU"/>
        </w:rPr>
        <w:t xml:space="preserve"> som uomdannet lægemiddel i urinen).</w:t>
      </w:r>
    </w:p>
    <w:p w:rsidR="00E36E58" w:rsidRPr="00E36E58" w:rsidRDefault="00E36E58" w:rsidP="00E36E58">
      <w:pPr>
        <w:tabs>
          <w:tab w:val="left" w:pos="851"/>
        </w:tabs>
        <w:ind w:left="851"/>
        <w:rPr>
          <w:sz w:val="24"/>
          <w:szCs w:val="24"/>
          <w:lang w:val="fr-LU"/>
        </w:rPr>
      </w:pPr>
    </w:p>
    <w:p w:rsidR="00E36E58" w:rsidRPr="00E36E58" w:rsidRDefault="00E36E58" w:rsidP="00E36E58">
      <w:pPr>
        <w:tabs>
          <w:tab w:val="left" w:pos="851"/>
        </w:tabs>
        <w:ind w:left="851"/>
        <w:rPr>
          <w:sz w:val="24"/>
          <w:szCs w:val="24"/>
          <w:lang w:val="fr-LU"/>
        </w:rPr>
      </w:pPr>
      <w:r w:rsidRPr="00E36E58">
        <w:rPr>
          <w:sz w:val="24"/>
          <w:szCs w:val="24"/>
          <w:lang w:val="fr-LU"/>
        </w:rPr>
        <w:t>Cabazitaxel havde en høj plasma clearance på 48,5 l/t (26,4 l/t/m</w:t>
      </w:r>
      <w:r w:rsidRPr="00E36E58">
        <w:rPr>
          <w:sz w:val="24"/>
          <w:szCs w:val="24"/>
          <w:vertAlign w:val="superscript"/>
          <w:lang w:val="fr-LU"/>
        </w:rPr>
        <w:t>2</w:t>
      </w:r>
      <w:r w:rsidRPr="00E36E58">
        <w:rPr>
          <w:sz w:val="24"/>
          <w:szCs w:val="24"/>
          <w:lang w:val="fr-LU"/>
        </w:rPr>
        <w:t xml:space="preserve"> for en patient med en median BSA på 1,84 m</w:t>
      </w:r>
      <w:r w:rsidRPr="00E36E58">
        <w:rPr>
          <w:sz w:val="24"/>
          <w:szCs w:val="24"/>
          <w:vertAlign w:val="superscript"/>
          <w:lang w:val="fr-LU"/>
        </w:rPr>
        <w:t>2</w:t>
      </w:r>
      <w:r w:rsidRPr="00E36E58">
        <w:rPr>
          <w:sz w:val="24"/>
          <w:szCs w:val="24"/>
          <w:lang w:val="fr-LU"/>
        </w:rPr>
        <w:t>) og en lang terminal halveringstid på 95 timer.</w:t>
      </w:r>
    </w:p>
    <w:p w:rsidR="00E36E58" w:rsidRPr="00E36E58" w:rsidRDefault="00E36E58" w:rsidP="00E36E58">
      <w:pPr>
        <w:tabs>
          <w:tab w:val="left" w:pos="851"/>
        </w:tabs>
        <w:ind w:left="851"/>
        <w:rPr>
          <w:b/>
          <w:sz w:val="24"/>
          <w:szCs w:val="24"/>
          <w:lang w:val="fr-LU"/>
        </w:rPr>
      </w:pPr>
    </w:p>
    <w:p w:rsidR="00E36E58" w:rsidRPr="00E36E58" w:rsidRDefault="00E36E58" w:rsidP="00E36E58">
      <w:pPr>
        <w:tabs>
          <w:tab w:val="left" w:pos="851"/>
        </w:tabs>
        <w:ind w:left="851"/>
        <w:rPr>
          <w:sz w:val="24"/>
          <w:szCs w:val="24"/>
          <w:u w:val="single"/>
          <w:lang w:val="fr-LU"/>
        </w:rPr>
      </w:pPr>
      <w:r w:rsidRPr="00E36E58">
        <w:rPr>
          <w:sz w:val="24"/>
          <w:szCs w:val="24"/>
          <w:u w:val="single"/>
          <w:lang w:val="fr-LU"/>
        </w:rPr>
        <w:t>Særlige populationer</w:t>
      </w:r>
    </w:p>
    <w:p w:rsidR="00D04FB6" w:rsidRDefault="00D04FB6" w:rsidP="00E36E58">
      <w:pPr>
        <w:tabs>
          <w:tab w:val="left" w:pos="851"/>
        </w:tabs>
        <w:ind w:left="851"/>
        <w:rPr>
          <w:i/>
          <w:iCs/>
          <w:sz w:val="24"/>
          <w:szCs w:val="24"/>
          <w:lang w:val="fr-LU"/>
        </w:rPr>
      </w:pPr>
    </w:p>
    <w:p w:rsidR="00E36E58" w:rsidRPr="00E36E58" w:rsidRDefault="00E36E58" w:rsidP="00E36E58">
      <w:pPr>
        <w:tabs>
          <w:tab w:val="left" w:pos="851"/>
        </w:tabs>
        <w:ind w:left="851"/>
        <w:rPr>
          <w:i/>
          <w:iCs/>
          <w:sz w:val="24"/>
          <w:szCs w:val="24"/>
          <w:lang w:val="fr-LU"/>
        </w:rPr>
      </w:pPr>
      <w:r w:rsidRPr="00E36E58">
        <w:rPr>
          <w:i/>
          <w:iCs/>
          <w:sz w:val="24"/>
          <w:szCs w:val="24"/>
          <w:lang w:val="fr-LU"/>
        </w:rPr>
        <w:t>Ældre patienter</w:t>
      </w:r>
    </w:p>
    <w:p w:rsidR="00E36E58" w:rsidRPr="00E36E58" w:rsidRDefault="00E36E58" w:rsidP="00E36E58">
      <w:pPr>
        <w:tabs>
          <w:tab w:val="left" w:pos="851"/>
        </w:tabs>
        <w:ind w:left="851"/>
        <w:rPr>
          <w:sz w:val="24"/>
          <w:szCs w:val="24"/>
          <w:lang w:val="fr-LU"/>
        </w:rPr>
      </w:pPr>
      <w:r w:rsidRPr="00E36E58">
        <w:rPr>
          <w:sz w:val="24"/>
          <w:szCs w:val="24"/>
          <w:lang w:val="fr-LU"/>
        </w:rPr>
        <w:t>I den farmakokinetiske populationsanalyse af 70 patienter på 65 år og derover (57 i alderen 65 – 75 år og 13 patienter over 75 år), blev der ikke observeret nogen aldersmæssig indvirkning på cabazitaxels farmakokinetik.</w:t>
      </w:r>
    </w:p>
    <w:p w:rsidR="00E36E58" w:rsidRPr="00E36E58" w:rsidRDefault="00E36E58" w:rsidP="00E36E58">
      <w:pPr>
        <w:tabs>
          <w:tab w:val="left" w:pos="851"/>
        </w:tabs>
        <w:ind w:left="851"/>
        <w:rPr>
          <w:sz w:val="24"/>
          <w:szCs w:val="24"/>
          <w:lang w:val="fr-LU"/>
        </w:rPr>
      </w:pPr>
    </w:p>
    <w:p w:rsidR="00E36E58" w:rsidRPr="00E36E58" w:rsidRDefault="00E36E58" w:rsidP="00E36E58">
      <w:pPr>
        <w:tabs>
          <w:tab w:val="left" w:pos="851"/>
        </w:tabs>
        <w:ind w:left="851"/>
        <w:rPr>
          <w:i/>
          <w:iCs/>
          <w:sz w:val="24"/>
          <w:szCs w:val="24"/>
          <w:lang w:val="fr-LU"/>
        </w:rPr>
      </w:pPr>
      <w:r w:rsidRPr="00E36E58">
        <w:rPr>
          <w:i/>
          <w:iCs/>
          <w:sz w:val="24"/>
          <w:szCs w:val="24"/>
          <w:lang w:val="fr-LU"/>
        </w:rPr>
        <w:t>Pædiatriske patienter</w:t>
      </w:r>
    </w:p>
    <w:p w:rsidR="00E36E58" w:rsidRPr="00E36E58" w:rsidRDefault="00E36E58" w:rsidP="00E36E58">
      <w:pPr>
        <w:tabs>
          <w:tab w:val="left" w:pos="851"/>
        </w:tabs>
        <w:ind w:left="851"/>
        <w:rPr>
          <w:sz w:val="24"/>
          <w:szCs w:val="24"/>
          <w:lang w:val="fr-LU"/>
        </w:rPr>
      </w:pPr>
      <w:r w:rsidRPr="00E36E58">
        <w:rPr>
          <w:sz w:val="24"/>
          <w:szCs w:val="24"/>
          <w:lang w:val="fr-LU"/>
        </w:rPr>
        <w:t>Cabazitaxels sikkerhed og virkning hos børn og unge under 18 år er ikke klarlagt.</w:t>
      </w:r>
    </w:p>
    <w:p w:rsidR="00E36E58" w:rsidRPr="00E36E58" w:rsidRDefault="00E36E58" w:rsidP="00E36E58">
      <w:pPr>
        <w:tabs>
          <w:tab w:val="left" w:pos="851"/>
        </w:tabs>
        <w:ind w:left="851"/>
        <w:rPr>
          <w:sz w:val="24"/>
          <w:szCs w:val="24"/>
          <w:lang w:val="fr-LU"/>
        </w:rPr>
      </w:pPr>
    </w:p>
    <w:p w:rsidR="00E36E58" w:rsidRPr="00E36E58" w:rsidRDefault="00E36E58" w:rsidP="00E36E58">
      <w:pPr>
        <w:tabs>
          <w:tab w:val="left" w:pos="851"/>
        </w:tabs>
        <w:ind w:left="851"/>
        <w:rPr>
          <w:i/>
          <w:iCs/>
          <w:sz w:val="24"/>
          <w:szCs w:val="24"/>
          <w:lang w:val="fr-LU"/>
        </w:rPr>
      </w:pPr>
      <w:r w:rsidRPr="00E36E58">
        <w:rPr>
          <w:i/>
          <w:iCs/>
          <w:sz w:val="24"/>
          <w:szCs w:val="24"/>
          <w:lang w:val="fr-LU"/>
        </w:rPr>
        <w:t>Nedsat leverfunktion</w:t>
      </w:r>
    </w:p>
    <w:p w:rsidR="00E36E58" w:rsidRPr="00E36E58" w:rsidRDefault="00E36E58" w:rsidP="00E36E58">
      <w:pPr>
        <w:tabs>
          <w:tab w:val="left" w:pos="851"/>
        </w:tabs>
        <w:ind w:left="851"/>
        <w:rPr>
          <w:sz w:val="24"/>
          <w:szCs w:val="24"/>
          <w:lang w:val="fr-LU"/>
        </w:rPr>
      </w:pPr>
      <w:r w:rsidRPr="00E36E58">
        <w:rPr>
          <w:sz w:val="24"/>
          <w:szCs w:val="24"/>
          <w:lang w:val="fr-LU"/>
        </w:rPr>
        <w:t>Cabazitaxel elimineres primært via levermetabolisme.</w:t>
      </w:r>
    </w:p>
    <w:p w:rsidR="00E36E58" w:rsidRPr="00E36E58" w:rsidRDefault="00E36E58" w:rsidP="00E36E58">
      <w:pPr>
        <w:tabs>
          <w:tab w:val="left" w:pos="851"/>
        </w:tabs>
        <w:ind w:left="851"/>
        <w:rPr>
          <w:sz w:val="24"/>
          <w:szCs w:val="24"/>
          <w:lang w:val="fr-LU"/>
        </w:rPr>
      </w:pPr>
      <w:r w:rsidRPr="00E36E58">
        <w:rPr>
          <w:sz w:val="24"/>
          <w:szCs w:val="24"/>
          <w:lang w:val="fr-LU"/>
        </w:rPr>
        <w:t>Et dedikeret studie med 43 cancerpatienter med nedsat leverfunktion viste ingen påvirkning af cabazitaxels farmakokinetik ved let (total-bilirubin &gt; 1 til ≤ 1,5 x ULN eller ASAT &gt; 1,5 x ULN) eller moderat (total-bilirubin &gt; 1,5 til ≤ 3,0 x ULN) nedsat leverfunktion. Den maksimale tolererede dosis (MTD) af cabazitaxel var hhv. 20 og 15</w:t>
      </w:r>
      <w:r w:rsidR="00F37F45">
        <w:rPr>
          <w:sz w:val="24"/>
          <w:szCs w:val="24"/>
          <w:lang w:val="fr-LU"/>
        </w:rPr>
        <w:t> </w:t>
      </w:r>
      <w:r w:rsidRPr="00E36E58">
        <w:rPr>
          <w:sz w:val="24"/>
          <w:szCs w:val="24"/>
          <w:lang w:val="fr-LU"/>
        </w:rPr>
        <w:t>mg/m</w:t>
      </w:r>
      <w:r w:rsidRPr="00E36E58">
        <w:rPr>
          <w:sz w:val="24"/>
          <w:szCs w:val="24"/>
          <w:vertAlign w:val="superscript"/>
          <w:lang w:val="fr-LU"/>
        </w:rPr>
        <w:t>2</w:t>
      </w:r>
      <w:r w:rsidRPr="00E36E58">
        <w:rPr>
          <w:sz w:val="24"/>
          <w:szCs w:val="24"/>
          <w:lang w:val="fr-LU"/>
        </w:rPr>
        <w:t>.</w:t>
      </w:r>
    </w:p>
    <w:p w:rsidR="00E36E58" w:rsidRPr="00E36E58" w:rsidRDefault="00E36E58" w:rsidP="00E36E58">
      <w:pPr>
        <w:tabs>
          <w:tab w:val="left" w:pos="851"/>
        </w:tabs>
        <w:ind w:left="851"/>
        <w:rPr>
          <w:sz w:val="24"/>
          <w:szCs w:val="24"/>
          <w:lang w:val="fr-LU"/>
        </w:rPr>
      </w:pPr>
      <w:r w:rsidRPr="00E36E58">
        <w:rPr>
          <w:sz w:val="24"/>
          <w:szCs w:val="24"/>
          <w:lang w:val="fr-LU"/>
        </w:rPr>
        <w:t>Hos 3 patienter med svært nedsat leverfunktion (total-bilirubin &gt; 3 ULN) blev et fald i clearance på 39</w:t>
      </w:r>
      <w:r w:rsidR="008A63AB">
        <w:rPr>
          <w:sz w:val="24"/>
          <w:szCs w:val="24"/>
          <w:lang w:val="fr-LU"/>
        </w:rPr>
        <w:t xml:space="preserve"> %</w:t>
      </w:r>
      <w:r w:rsidRPr="00E36E58">
        <w:rPr>
          <w:sz w:val="24"/>
          <w:szCs w:val="24"/>
          <w:lang w:val="fr-LU"/>
        </w:rPr>
        <w:t xml:space="preserve"> observeret, sammenlignet med patienter med let nedsat leverfunktion, hvilket indikerer en vis påvirkning af cabazitaxels farmakokinetik ved svært nedsat leverfunktion. MTD af cabazitaxel hos patienter med svært nedsat leverfunktion blev ikke fastlagt.</w:t>
      </w:r>
    </w:p>
    <w:p w:rsidR="00E36E58" w:rsidRPr="00E36E58" w:rsidRDefault="00E36E58" w:rsidP="00E36E58">
      <w:pPr>
        <w:tabs>
          <w:tab w:val="left" w:pos="851"/>
        </w:tabs>
        <w:ind w:left="851"/>
        <w:rPr>
          <w:sz w:val="24"/>
          <w:szCs w:val="24"/>
          <w:lang w:val="fr-LU"/>
        </w:rPr>
      </w:pPr>
      <w:r w:rsidRPr="00E36E58">
        <w:rPr>
          <w:sz w:val="24"/>
          <w:szCs w:val="24"/>
          <w:lang w:val="fr-LU"/>
        </w:rPr>
        <w:t>Baseret på sikkerhed- og tolerabilitetsdata, skal dosis af cabazitaxel reduceres hos patienter med let nedsat leverfunktion (se pkt. 4.2 og 4.4). Cabazitaxel "Stada" er kontraindiceret til patienter med moderat og svært nedsat leverfunktion (se pkt. 4.3).</w:t>
      </w:r>
    </w:p>
    <w:p w:rsidR="00E36E58" w:rsidRPr="00E36E58" w:rsidRDefault="00E36E58" w:rsidP="00E36E58">
      <w:pPr>
        <w:tabs>
          <w:tab w:val="left" w:pos="851"/>
        </w:tabs>
        <w:ind w:left="851"/>
        <w:rPr>
          <w:sz w:val="24"/>
          <w:szCs w:val="24"/>
          <w:lang w:val="fr-LU"/>
        </w:rPr>
      </w:pPr>
    </w:p>
    <w:p w:rsidR="00E36E58" w:rsidRPr="00E36E58" w:rsidRDefault="00E36E58" w:rsidP="00E36E58">
      <w:pPr>
        <w:tabs>
          <w:tab w:val="left" w:pos="851"/>
        </w:tabs>
        <w:ind w:left="851"/>
        <w:rPr>
          <w:i/>
          <w:iCs/>
          <w:sz w:val="24"/>
          <w:szCs w:val="24"/>
          <w:lang w:val="fr-LU"/>
        </w:rPr>
      </w:pPr>
      <w:r w:rsidRPr="00E36E58">
        <w:rPr>
          <w:i/>
          <w:iCs/>
          <w:sz w:val="24"/>
          <w:szCs w:val="24"/>
          <w:lang w:val="fr-LU"/>
        </w:rPr>
        <w:t>Nedsat nyrefunktion</w:t>
      </w:r>
    </w:p>
    <w:p w:rsidR="00E36E58" w:rsidRPr="00E36E58" w:rsidRDefault="00E36E58" w:rsidP="00E36E58">
      <w:pPr>
        <w:tabs>
          <w:tab w:val="left" w:pos="851"/>
        </w:tabs>
        <w:ind w:left="851"/>
        <w:rPr>
          <w:sz w:val="24"/>
          <w:szCs w:val="24"/>
          <w:lang w:val="fr-LU"/>
        </w:rPr>
      </w:pPr>
      <w:r w:rsidRPr="00E36E58">
        <w:rPr>
          <w:sz w:val="24"/>
          <w:szCs w:val="24"/>
          <w:lang w:val="fr-LU"/>
        </w:rPr>
        <w:t>Cabazitaxel udskilles minimalt gennem nyren (2,3</w:t>
      </w:r>
      <w:r w:rsidR="008A63AB">
        <w:rPr>
          <w:sz w:val="24"/>
          <w:szCs w:val="24"/>
          <w:lang w:val="fr-LU"/>
        </w:rPr>
        <w:t xml:space="preserve"> %</w:t>
      </w:r>
      <w:r w:rsidRPr="00E36E58">
        <w:rPr>
          <w:sz w:val="24"/>
          <w:szCs w:val="24"/>
          <w:lang w:val="fr-LU"/>
        </w:rPr>
        <w:t xml:space="preserve"> af dosen). En farmakokinetisk populationsanalyse, der blev udført hos 170 patienter, omfattede 14 patienter med moderat nedsat nyrefunktion (kreatininclearance i området 30 – 50 ml/min) og 59 patienter med let nedsat nyrefunktion (kreatininclearance i området 50 – 80 ml/min), og den viste, at let til moderat nedsat nyrefunktion ikke havde nogen væsentlig indvirkning på cabazitaxels farmakokinetik. Dette blev bekræftet af et specifikt komparativt farmakokinetisk studie med patienter med solide tumorer og med normal nyrefunktion (8 patienter), moderat nedsat (8 patienter) og svært nedsat (9 patienter) nyrefunktion, som fik flere serier af cabazitaxel op til 25 mg/m</w:t>
      </w:r>
      <w:r w:rsidRPr="00E36E58">
        <w:rPr>
          <w:sz w:val="24"/>
          <w:szCs w:val="24"/>
          <w:vertAlign w:val="superscript"/>
          <w:lang w:val="fr-LU"/>
        </w:rPr>
        <w:t>2</w:t>
      </w:r>
      <w:r w:rsidRPr="00E36E58">
        <w:rPr>
          <w:sz w:val="24"/>
          <w:szCs w:val="24"/>
          <w:lang w:val="fr-LU"/>
        </w:rPr>
        <w:t xml:space="preserve"> som en enkelt intravenøs infusion.</w:t>
      </w:r>
    </w:p>
    <w:p w:rsidR="009260DE" w:rsidRPr="00E36E58" w:rsidRDefault="009260DE" w:rsidP="009260DE">
      <w:pPr>
        <w:tabs>
          <w:tab w:val="left" w:pos="851"/>
        </w:tabs>
        <w:ind w:left="851"/>
        <w:rPr>
          <w:sz w:val="24"/>
          <w:szCs w:val="24"/>
          <w:lang w:val="fr-LU"/>
        </w:rPr>
      </w:pPr>
    </w:p>
    <w:p w:rsidR="000A4685" w:rsidRPr="00C84483" w:rsidRDefault="000A4685" w:rsidP="000A4685">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D04FB6" w:rsidRPr="00D04FB6" w:rsidRDefault="00D04FB6" w:rsidP="00D04FB6">
      <w:pPr>
        <w:tabs>
          <w:tab w:val="left" w:pos="851"/>
        </w:tabs>
        <w:ind w:left="851"/>
        <w:rPr>
          <w:sz w:val="24"/>
          <w:szCs w:val="24"/>
        </w:rPr>
      </w:pPr>
      <w:r w:rsidRPr="00D04FB6">
        <w:rPr>
          <w:sz w:val="24"/>
          <w:szCs w:val="24"/>
        </w:rPr>
        <w:t xml:space="preserve">Bivirkninger, som ikke blev observeret i kliniske studier, men som blev set i hunde efter en administration af en enkelt dosis hver 5. dag eller en gang om ugen ved eksponeringsniveauer, som var lavere end kliniske eksponeringsniveauer og med mulig relevans for klinisk brug, var </w:t>
      </w:r>
      <w:proofErr w:type="spellStart"/>
      <w:r w:rsidRPr="00D04FB6">
        <w:rPr>
          <w:sz w:val="24"/>
          <w:szCs w:val="24"/>
        </w:rPr>
        <w:t>arteriolar</w:t>
      </w:r>
      <w:proofErr w:type="spellEnd"/>
      <w:r w:rsidRPr="00D04FB6">
        <w:rPr>
          <w:sz w:val="24"/>
          <w:szCs w:val="24"/>
        </w:rPr>
        <w:t>/</w:t>
      </w:r>
      <w:proofErr w:type="spellStart"/>
      <w:r w:rsidRPr="00D04FB6">
        <w:rPr>
          <w:sz w:val="24"/>
          <w:szCs w:val="24"/>
        </w:rPr>
        <w:t>periarterolar</w:t>
      </w:r>
      <w:proofErr w:type="spellEnd"/>
      <w:r w:rsidRPr="00D04FB6">
        <w:rPr>
          <w:sz w:val="24"/>
          <w:szCs w:val="24"/>
        </w:rPr>
        <w:t xml:space="preserve"> nekrose i leveren, </w:t>
      </w:r>
      <w:proofErr w:type="spellStart"/>
      <w:r w:rsidRPr="00D04FB6">
        <w:rPr>
          <w:sz w:val="24"/>
          <w:szCs w:val="24"/>
        </w:rPr>
        <w:t>ductulus</w:t>
      </w:r>
      <w:proofErr w:type="spellEnd"/>
      <w:r w:rsidRPr="00D04FB6">
        <w:rPr>
          <w:sz w:val="24"/>
          <w:szCs w:val="24"/>
        </w:rPr>
        <w:t xml:space="preserve"> </w:t>
      </w:r>
      <w:proofErr w:type="spellStart"/>
      <w:r w:rsidRPr="00D04FB6">
        <w:rPr>
          <w:sz w:val="24"/>
          <w:szCs w:val="24"/>
        </w:rPr>
        <w:t>hyperplasi</w:t>
      </w:r>
      <w:proofErr w:type="spellEnd"/>
      <w:r w:rsidRPr="00D04FB6">
        <w:rPr>
          <w:sz w:val="24"/>
          <w:szCs w:val="24"/>
        </w:rPr>
        <w:t xml:space="preserve"> i galden og/eller </w:t>
      </w:r>
      <w:proofErr w:type="spellStart"/>
      <w:r w:rsidRPr="00D04FB6">
        <w:rPr>
          <w:sz w:val="24"/>
          <w:szCs w:val="24"/>
        </w:rPr>
        <w:t>hepatocellulær</w:t>
      </w:r>
      <w:proofErr w:type="spellEnd"/>
      <w:r w:rsidRPr="00D04FB6">
        <w:rPr>
          <w:sz w:val="24"/>
          <w:szCs w:val="24"/>
        </w:rPr>
        <w:t xml:space="preserve"> nekrose (se pkt. 4.2). </w:t>
      </w:r>
    </w:p>
    <w:p w:rsidR="00D04FB6" w:rsidRPr="00D04FB6" w:rsidRDefault="00D04FB6" w:rsidP="00D04FB6">
      <w:pPr>
        <w:tabs>
          <w:tab w:val="left" w:pos="851"/>
        </w:tabs>
        <w:ind w:left="851"/>
        <w:rPr>
          <w:sz w:val="24"/>
          <w:szCs w:val="24"/>
        </w:rPr>
      </w:pPr>
    </w:p>
    <w:p w:rsidR="00D04FB6" w:rsidRPr="00D04FB6" w:rsidRDefault="00D04FB6" w:rsidP="00D04FB6">
      <w:pPr>
        <w:tabs>
          <w:tab w:val="left" w:pos="851"/>
        </w:tabs>
        <w:ind w:left="851"/>
        <w:rPr>
          <w:sz w:val="24"/>
          <w:szCs w:val="24"/>
        </w:rPr>
      </w:pPr>
      <w:r w:rsidRPr="00D04FB6">
        <w:rPr>
          <w:sz w:val="24"/>
          <w:szCs w:val="24"/>
        </w:rPr>
        <w:t xml:space="preserve">Bivirkninger, som ikke er blevet observeret i kliniske studier, men som er set i rotter under toksicitetsstudier med gentagne doser ved højere eksponeringsniveauer end kliniske eksponeringsniveauer og med mulig relevans for klinisk brug, var øjensygdomme, som var karakteriseret ved </w:t>
      </w:r>
      <w:proofErr w:type="spellStart"/>
      <w:r w:rsidRPr="00D04FB6">
        <w:rPr>
          <w:sz w:val="24"/>
          <w:szCs w:val="24"/>
        </w:rPr>
        <w:t>subkapsulær</w:t>
      </w:r>
      <w:proofErr w:type="spellEnd"/>
      <w:r w:rsidRPr="00D04FB6">
        <w:rPr>
          <w:sz w:val="24"/>
          <w:szCs w:val="24"/>
        </w:rPr>
        <w:t xml:space="preserve"> hævelse/degeneration af linsefibre. Disse virkninger var delvist reversible efter 8 uger.</w:t>
      </w:r>
    </w:p>
    <w:p w:rsidR="00D04FB6" w:rsidRPr="00D04FB6" w:rsidRDefault="00D04FB6" w:rsidP="00D04FB6">
      <w:pPr>
        <w:tabs>
          <w:tab w:val="left" w:pos="851"/>
        </w:tabs>
        <w:ind w:left="851"/>
        <w:rPr>
          <w:sz w:val="24"/>
          <w:szCs w:val="24"/>
        </w:rPr>
      </w:pPr>
      <w:r w:rsidRPr="00D04FB6">
        <w:rPr>
          <w:sz w:val="24"/>
          <w:szCs w:val="24"/>
        </w:rPr>
        <w:t xml:space="preserve"> </w:t>
      </w:r>
    </w:p>
    <w:p w:rsidR="00D04FB6" w:rsidRPr="00D04FB6" w:rsidRDefault="00D04FB6" w:rsidP="00D04FB6">
      <w:pPr>
        <w:tabs>
          <w:tab w:val="left" w:pos="851"/>
        </w:tabs>
        <w:ind w:left="851"/>
        <w:rPr>
          <w:sz w:val="24"/>
          <w:szCs w:val="24"/>
        </w:rPr>
      </w:pPr>
      <w:r w:rsidRPr="00D04FB6">
        <w:rPr>
          <w:sz w:val="24"/>
          <w:szCs w:val="24"/>
        </w:rPr>
        <w:t xml:space="preserve">Der er ikke udført </w:t>
      </w:r>
      <w:proofErr w:type="spellStart"/>
      <w:r w:rsidRPr="00D04FB6">
        <w:rPr>
          <w:sz w:val="24"/>
          <w:szCs w:val="24"/>
        </w:rPr>
        <w:t>karcinogenicitetsstudier</w:t>
      </w:r>
      <w:proofErr w:type="spellEnd"/>
      <w:r w:rsidRPr="00D04FB6">
        <w:rPr>
          <w:sz w:val="24"/>
          <w:szCs w:val="24"/>
        </w:rPr>
        <w:t xml:space="preserve"> med </w:t>
      </w:r>
      <w:proofErr w:type="spellStart"/>
      <w:r w:rsidRPr="00D04FB6">
        <w:rPr>
          <w:sz w:val="24"/>
          <w:szCs w:val="24"/>
        </w:rPr>
        <w:t>cabazitaxel</w:t>
      </w:r>
      <w:proofErr w:type="spellEnd"/>
      <w:r w:rsidRPr="00D04FB6">
        <w:rPr>
          <w:sz w:val="24"/>
          <w:szCs w:val="24"/>
        </w:rPr>
        <w:t xml:space="preserve">. </w:t>
      </w:r>
    </w:p>
    <w:p w:rsidR="00D04FB6" w:rsidRPr="00D04FB6" w:rsidRDefault="00D04FB6" w:rsidP="00D04FB6">
      <w:pPr>
        <w:tabs>
          <w:tab w:val="left" w:pos="851"/>
        </w:tabs>
        <w:ind w:left="851"/>
        <w:rPr>
          <w:sz w:val="24"/>
          <w:szCs w:val="24"/>
        </w:rPr>
      </w:pPr>
      <w:r w:rsidRPr="00D04FB6">
        <w:rPr>
          <w:sz w:val="24"/>
          <w:szCs w:val="24"/>
          <w:lang w:val="fr-LU"/>
        </w:rPr>
        <w:t xml:space="preserve">Cabazitaxel inducerede ikke mutationer i den bakterielle tilbagemutations- (Ames) test. Det var ikke klastogent i en </w:t>
      </w:r>
      <w:r w:rsidRPr="00D04FB6">
        <w:rPr>
          <w:i/>
          <w:iCs/>
          <w:sz w:val="24"/>
          <w:szCs w:val="24"/>
          <w:lang w:val="fr-LU"/>
        </w:rPr>
        <w:t xml:space="preserve">in vitro </w:t>
      </w:r>
      <w:r w:rsidRPr="00D04FB6">
        <w:rPr>
          <w:sz w:val="24"/>
          <w:szCs w:val="24"/>
          <w:lang w:val="fr-LU"/>
        </w:rPr>
        <w:t xml:space="preserve">test med humane lymfocytter (ingen induktion af strukturel kromosomaberration, men øgede antallet af polyploide celler) og inducerede en stigning i antallet af mikronuklei i </w:t>
      </w:r>
      <w:r w:rsidRPr="00D04FB6">
        <w:rPr>
          <w:i/>
          <w:iCs/>
          <w:sz w:val="24"/>
          <w:szCs w:val="24"/>
          <w:lang w:val="fr-LU"/>
        </w:rPr>
        <w:t xml:space="preserve">in vivo </w:t>
      </w:r>
      <w:r w:rsidRPr="00D04FB6">
        <w:rPr>
          <w:sz w:val="24"/>
          <w:szCs w:val="24"/>
          <w:lang w:val="fr-LU"/>
        </w:rPr>
        <w:t>test hos rotter. Disse genotoksicitetsfund er naturlige for forbindelsens farmakologiske aktivitet, (hæmning af tubulin depolymerisering) og har været observeret ved lægemidler, som udviser den samme farmakologiske aktivitet.</w:t>
      </w:r>
    </w:p>
    <w:p w:rsidR="00D04FB6" w:rsidRPr="00D04FB6" w:rsidRDefault="00D04FB6" w:rsidP="00D04FB6">
      <w:pPr>
        <w:tabs>
          <w:tab w:val="left" w:pos="851"/>
        </w:tabs>
        <w:ind w:left="851"/>
        <w:rPr>
          <w:sz w:val="24"/>
          <w:szCs w:val="24"/>
        </w:rPr>
      </w:pPr>
    </w:p>
    <w:p w:rsidR="00D04FB6" w:rsidRPr="00D04FB6" w:rsidRDefault="00D04FB6" w:rsidP="00D04FB6">
      <w:pPr>
        <w:tabs>
          <w:tab w:val="left" w:pos="851"/>
        </w:tabs>
        <w:ind w:left="851"/>
        <w:rPr>
          <w:sz w:val="24"/>
          <w:szCs w:val="24"/>
        </w:rPr>
      </w:pPr>
      <w:proofErr w:type="spellStart"/>
      <w:r w:rsidRPr="00D04FB6">
        <w:rPr>
          <w:sz w:val="24"/>
          <w:szCs w:val="24"/>
        </w:rPr>
        <w:t>Cabazitaxel</w:t>
      </w:r>
      <w:proofErr w:type="spellEnd"/>
      <w:r w:rsidRPr="00D04FB6">
        <w:rPr>
          <w:sz w:val="24"/>
          <w:szCs w:val="24"/>
        </w:rPr>
        <w:t xml:space="preserve"> påvirkede ikke parringspræstationen eller fertiliteten af behandlede hanrotter. Ved toksicitetsstudier med gentagne doser blev der observeret </w:t>
      </w:r>
      <w:proofErr w:type="spellStart"/>
      <w:r w:rsidRPr="00D04FB6">
        <w:rPr>
          <w:sz w:val="24"/>
          <w:szCs w:val="24"/>
        </w:rPr>
        <w:t>degenation</w:t>
      </w:r>
      <w:proofErr w:type="spellEnd"/>
      <w:r w:rsidRPr="00D04FB6">
        <w:rPr>
          <w:sz w:val="24"/>
          <w:szCs w:val="24"/>
        </w:rPr>
        <w:t xml:space="preserve"> af sædblære og atrofi i sædkanalerne i testiklerne hos rotter, og der blev observeret </w:t>
      </w:r>
      <w:proofErr w:type="spellStart"/>
      <w:r w:rsidRPr="00D04FB6">
        <w:rPr>
          <w:sz w:val="24"/>
          <w:szCs w:val="24"/>
        </w:rPr>
        <w:t>testikulær</w:t>
      </w:r>
      <w:proofErr w:type="spellEnd"/>
      <w:r w:rsidRPr="00D04FB6">
        <w:rPr>
          <w:sz w:val="24"/>
          <w:szCs w:val="24"/>
        </w:rPr>
        <w:t xml:space="preserve"> degeneration (minimal enkelt-epitelcellenekrose i </w:t>
      </w:r>
      <w:proofErr w:type="spellStart"/>
      <w:r w:rsidRPr="00D04FB6">
        <w:rPr>
          <w:sz w:val="24"/>
          <w:szCs w:val="24"/>
        </w:rPr>
        <w:t>epididymis</w:t>
      </w:r>
      <w:proofErr w:type="spellEnd"/>
      <w:r w:rsidRPr="00D04FB6">
        <w:rPr>
          <w:sz w:val="24"/>
          <w:szCs w:val="24"/>
        </w:rPr>
        <w:t xml:space="preserve">) i hunde. Eksponering i dyr var tilsvarende eller lavere end dem, der ses hos mennesker, som modtager klinisk relevante doser af </w:t>
      </w:r>
      <w:proofErr w:type="spellStart"/>
      <w:r w:rsidRPr="00D04FB6">
        <w:rPr>
          <w:sz w:val="24"/>
          <w:szCs w:val="24"/>
        </w:rPr>
        <w:t>cabazitaxel</w:t>
      </w:r>
      <w:proofErr w:type="spellEnd"/>
      <w:r w:rsidRPr="00D04FB6">
        <w:rPr>
          <w:sz w:val="24"/>
          <w:szCs w:val="24"/>
        </w:rPr>
        <w:t>.</w:t>
      </w:r>
    </w:p>
    <w:p w:rsidR="00D04FB6" w:rsidRPr="00D04FB6" w:rsidRDefault="00D04FB6" w:rsidP="00D04FB6">
      <w:pPr>
        <w:tabs>
          <w:tab w:val="left" w:pos="851"/>
        </w:tabs>
        <w:ind w:left="851"/>
        <w:rPr>
          <w:sz w:val="24"/>
          <w:szCs w:val="24"/>
        </w:rPr>
      </w:pPr>
    </w:p>
    <w:p w:rsidR="00D04FB6" w:rsidRPr="00D04FB6" w:rsidRDefault="00D04FB6" w:rsidP="00D04FB6">
      <w:pPr>
        <w:tabs>
          <w:tab w:val="left" w:pos="851"/>
        </w:tabs>
        <w:ind w:left="851"/>
        <w:rPr>
          <w:sz w:val="24"/>
          <w:szCs w:val="24"/>
        </w:rPr>
      </w:pPr>
      <w:proofErr w:type="spellStart"/>
      <w:r w:rsidRPr="00D04FB6">
        <w:rPr>
          <w:sz w:val="24"/>
          <w:szCs w:val="24"/>
        </w:rPr>
        <w:t>Cabazitaxel</w:t>
      </w:r>
      <w:proofErr w:type="spellEnd"/>
      <w:r w:rsidRPr="00D04FB6">
        <w:rPr>
          <w:sz w:val="24"/>
          <w:szCs w:val="24"/>
        </w:rPr>
        <w:t xml:space="preserve"> inducerede </w:t>
      </w:r>
      <w:proofErr w:type="spellStart"/>
      <w:r w:rsidRPr="00D04FB6">
        <w:rPr>
          <w:sz w:val="24"/>
          <w:szCs w:val="24"/>
        </w:rPr>
        <w:t>embryoføtal</w:t>
      </w:r>
      <w:proofErr w:type="spellEnd"/>
      <w:r w:rsidRPr="00D04FB6">
        <w:rPr>
          <w:sz w:val="24"/>
          <w:szCs w:val="24"/>
        </w:rPr>
        <w:t xml:space="preserve"> toksicitet i hunrotter, der blev behandlet intravenøst en gang dagligt fra 6. til og med 17. </w:t>
      </w:r>
      <w:proofErr w:type="spellStart"/>
      <w:r w:rsidRPr="00D04FB6">
        <w:rPr>
          <w:sz w:val="24"/>
          <w:szCs w:val="24"/>
        </w:rPr>
        <w:t>gestationsdag</w:t>
      </w:r>
      <w:proofErr w:type="spellEnd"/>
      <w:r w:rsidRPr="00D04FB6">
        <w:rPr>
          <w:sz w:val="24"/>
          <w:szCs w:val="24"/>
        </w:rPr>
        <w:t xml:space="preserve"> forbundet med </w:t>
      </w:r>
      <w:proofErr w:type="spellStart"/>
      <w:r w:rsidRPr="00D04FB6">
        <w:rPr>
          <w:sz w:val="24"/>
          <w:szCs w:val="24"/>
        </w:rPr>
        <w:t>maternel</w:t>
      </w:r>
      <w:proofErr w:type="spellEnd"/>
      <w:r w:rsidRPr="00D04FB6">
        <w:rPr>
          <w:sz w:val="24"/>
          <w:szCs w:val="24"/>
        </w:rPr>
        <w:t xml:space="preserve"> toksicitet, og bestod af </w:t>
      </w:r>
      <w:proofErr w:type="spellStart"/>
      <w:r w:rsidRPr="00D04FB6">
        <w:rPr>
          <w:sz w:val="24"/>
          <w:szCs w:val="24"/>
        </w:rPr>
        <w:t>føtale</w:t>
      </w:r>
      <w:proofErr w:type="spellEnd"/>
      <w:r w:rsidRPr="00D04FB6">
        <w:rPr>
          <w:sz w:val="24"/>
          <w:szCs w:val="24"/>
        </w:rPr>
        <w:t xml:space="preserve"> dødsfald og mindsket </w:t>
      </w:r>
      <w:proofErr w:type="spellStart"/>
      <w:r w:rsidRPr="00D04FB6">
        <w:rPr>
          <w:sz w:val="24"/>
          <w:szCs w:val="24"/>
        </w:rPr>
        <w:t>føtal</w:t>
      </w:r>
      <w:proofErr w:type="spellEnd"/>
      <w:r w:rsidRPr="00D04FB6">
        <w:rPr>
          <w:sz w:val="24"/>
          <w:szCs w:val="24"/>
        </w:rPr>
        <w:t xml:space="preserve"> middelvægt forbundet med forsinket skeletal </w:t>
      </w:r>
      <w:proofErr w:type="spellStart"/>
      <w:r w:rsidRPr="00D04FB6">
        <w:rPr>
          <w:sz w:val="24"/>
          <w:szCs w:val="24"/>
        </w:rPr>
        <w:t>ossifikation</w:t>
      </w:r>
      <w:proofErr w:type="spellEnd"/>
      <w:r w:rsidRPr="00D04FB6">
        <w:rPr>
          <w:sz w:val="24"/>
          <w:szCs w:val="24"/>
        </w:rPr>
        <w:t xml:space="preserve">. Eksponering hos dyr var lavere end dem, der ses hos mennesker, som modtager klinisk relevante doser af </w:t>
      </w:r>
      <w:proofErr w:type="spellStart"/>
      <w:r w:rsidRPr="00D04FB6">
        <w:rPr>
          <w:sz w:val="24"/>
          <w:szCs w:val="24"/>
        </w:rPr>
        <w:t>cabazitaxel</w:t>
      </w:r>
      <w:proofErr w:type="spellEnd"/>
      <w:r w:rsidRPr="00D04FB6">
        <w:rPr>
          <w:sz w:val="24"/>
          <w:szCs w:val="24"/>
        </w:rPr>
        <w:t xml:space="preserve">. </w:t>
      </w:r>
      <w:proofErr w:type="spellStart"/>
      <w:r w:rsidRPr="00D04FB6">
        <w:rPr>
          <w:sz w:val="24"/>
          <w:szCs w:val="24"/>
        </w:rPr>
        <w:t>Cabazitaxel</w:t>
      </w:r>
      <w:proofErr w:type="spellEnd"/>
      <w:r w:rsidRPr="00D04FB6">
        <w:rPr>
          <w:sz w:val="24"/>
          <w:szCs w:val="24"/>
        </w:rPr>
        <w:t xml:space="preserve"> krydsede placentabarrieren i rotter.</w:t>
      </w:r>
    </w:p>
    <w:p w:rsidR="00D04FB6" w:rsidRPr="00D04FB6" w:rsidRDefault="00D04FB6" w:rsidP="00D04FB6">
      <w:pPr>
        <w:tabs>
          <w:tab w:val="left" w:pos="851"/>
        </w:tabs>
        <w:ind w:left="851"/>
        <w:rPr>
          <w:sz w:val="24"/>
          <w:szCs w:val="24"/>
        </w:rPr>
      </w:pPr>
    </w:p>
    <w:p w:rsidR="00D04FB6" w:rsidRPr="00D04FB6" w:rsidRDefault="00D04FB6" w:rsidP="00D04FB6">
      <w:pPr>
        <w:tabs>
          <w:tab w:val="left" w:pos="851"/>
        </w:tabs>
        <w:ind w:left="851"/>
        <w:rPr>
          <w:sz w:val="24"/>
          <w:szCs w:val="24"/>
        </w:rPr>
      </w:pPr>
      <w:r w:rsidRPr="00D04FB6">
        <w:rPr>
          <w:sz w:val="24"/>
          <w:szCs w:val="24"/>
        </w:rPr>
        <w:t xml:space="preserve">I rotter udskilles </w:t>
      </w:r>
      <w:proofErr w:type="spellStart"/>
      <w:r w:rsidRPr="00D04FB6">
        <w:rPr>
          <w:sz w:val="24"/>
          <w:szCs w:val="24"/>
        </w:rPr>
        <w:t>cabazitaxel</w:t>
      </w:r>
      <w:proofErr w:type="spellEnd"/>
      <w:r w:rsidRPr="00D04FB6">
        <w:rPr>
          <w:sz w:val="24"/>
          <w:szCs w:val="24"/>
        </w:rPr>
        <w:t xml:space="preserve"> og dets metabolitter i modermælken i en mængde op til 1,5</w:t>
      </w:r>
      <w:r w:rsidR="008A63AB">
        <w:rPr>
          <w:sz w:val="24"/>
          <w:szCs w:val="24"/>
        </w:rPr>
        <w:t xml:space="preserve"> %</w:t>
      </w:r>
      <w:r w:rsidRPr="00D04FB6">
        <w:rPr>
          <w:sz w:val="24"/>
          <w:szCs w:val="24"/>
        </w:rPr>
        <w:t xml:space="preserve"> af den indgivne dosis over 24 timer.</w:t>
      </w:r>
    </w:p>
    <w:p w:rsidR="00D04FB6" w:rsidRPr="00D04FB6" w:rsidRDefault="00D04FB6" w:rsidP="00D04FB6">
      <w:pPr>
        <w:tabs>
          <w:tab w:val="left" w:pos="851"/>
        </w:tabs>
        <w:ind w:left="851"/>
        <w:rPr>
          <w:sz w:val="24"/>
          <w:szCs w:val="24"/>
        </w:rPr>
      </w:pPr>
    </w:p>
    <w:p w:rsidR="00D04FB6" w:rsidRPr="00D04FB6" w:rsidRDefault="00D04FB6" w:rsidP="00D04FB6">
      <w:pPr>
        <w:tabs>
          <w:tab w:val="left" w:pos="851"/>
        </w:tabs>
        <w:ind w:left="851"/>
        <w:rPr>
          <w:sz w:val="24"/>
          <w:szCs w:val="24"/>
          <w:u w:val="single"/>
        </w:rPr>
      </w:pPr>
      <w:r w:rsidRPr="00D04FB6">
        <w:rPr>
          <w:sz w:val="24"/>
          <w:szCs w:val="24"/>
          <w:u w:val="single"/>
        </w:rPr>
        <w:t>Miljørisikovurdering</w:t>
      </w:r>
    </w:p>
    <w:p w:rsidR="00D04FB6" w:rsidRPr="00D04FB6" w:rsidRDefault="00D04FB6" w:rsidP="00D04FB6">
      <w:pPr>
        <w:tabs>
          <w:tab w:val="left" w:pos="851"/>
        </w:tabs>
        <w:ind w:left="851"/>
        <w:rPr>
          <w:sz w:val="24"/>
          <w:szCs w:val="24"/>
        </w:rPr>
      </w:pPr>
      <w:r w:rsidRPr="00D04FB6">
        <w:rPr>
          <w:sz w:val="24"/>
          <w:szCs w:val="24"/>
        </w:rPr>
        <w:t xml:space="preserve">Resultater af miljøundersøgelser indikerede, at brugen af </w:t>
      </w:r>
      <w:proofErr w:type="spellStart"/>
      <w:r w:rsidRPr="00D04FB6">
        <w:rPr>
          <w:sz w:val="24"/>
          <w:szCs w:val="24"/>
        </w:rPr>
        <w:t>cabazitaxel</w:t>
      </w:r>
      <w:proofErr w:type="spellEnd"/>
      <w:r w:rsidRPr="00D04FB6">
        <w:rPr>
          <w:sz w:val="24"/>
          <w:szCs w:val="24"/>
        </w:rPr>
        <w:t xml:space="preserve"> ikke vil udgøre nogen signifikant risiko for vandmiljøet (se pkt. 6.6 for bortskaffelse af ikke anvendt </w:t>
      </w:r>
      <w:r w:rsidR="00FB3D08">
        <w:rPr>
          <w:sz w:val="24"/>
          <w:szCs w:val="24"/>
        </w:rPr>
        <w:t>lægemiddel</w:t>
      </w:r>
      <w:r w:rsidRPr="00D04FB6">
        <w:rPr>
          <w:sz w:val="24"/>
          <w:szCs w:val="24"/>
        </w:rPr>
        <w:t>).</w:t>
      </w:r>
    </w:p>
    <w:p w:rsidR="00D04FB6" w:rsidRPr="00D04FB6" w:rsidRDefault="00D04FB6" w:rsidP="00D04FB6">
      <w:pPr>
        <w:tabs>
          <w:tab w:val="left" w:pos="851"/>
        </w:tabs>
        <w:ind w:left="851"/>
        <w:rPr>
          <w:sz w:val="24"/>
          <w:szCs w:val="24"/>
        </w:rPr>
      </w:pPr>
      <w:bookmarkStart w:id="0" w:name="_GoBack"/>
      <w:bookmarkEnd w:id="0"/>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7376A3" w:rsidRPr="007376A3" w:rsidRDefault="007376A3" w:rsidP="007376A3">
      <w:pPr>
        <w:tabs>
          <w:tab w:val="left" w:pos="851"/>
        </w:tabs>
        <w:ind w:left="851"/>
        <w:rPr>
          <w:sz w:val="24"/>
          <w:szCs w:val="24"/>
        </w:rPr>
      </w:pPr>
      <w:proofErr w:type="spellStart"/>
      <w:r w:rsidRPr="007376A3">
        <w:rPr>
          <w:sz w:val="24"/>
          <w:szCs w:val="24"/>
        </w:rPr>
        <w:t>Polysorbat</w:t>
      </w:r>
      <w:proofErr w:type="spellEnd"/>
      <w:r w:rsidRPr="007376A3">
        <w:rPr>
          <w:sz w:val="24"/>
          <w:szCs w:val="24"/>
        </w:rPr>
        <w:t xml:space="preserve"> 80 </w:t>
      </w:r>
    </w:p>
    <w:p w:rsidR="007376A3" w:rsidRPr="007376A3" w:rsidRDefault="007376A3" w:rsidP="007376A3">
      <w:pPr>
        <w:tabs>
          <w:tab w:val="left" w:pos="851"/>
        </w:tabs>
        <w:ind w:left="851"/>
        <w:rPr>
          <w:sz w:val="24"/>
          <w:szCs w:val="24"/>
        </w:rPr>
      </w:pPr>
      <w:proofErr w:type="spellStart"/>
      <w:r w:rsidRPr="007376A3">
        <w:rPr>
          <w:sz w:val="24"/>
          <w:szCs w:val="24"/>
        </w:rPr>
        <w:t>Ethanol</w:t>
      </w:r>
      <w:proofErr w:type="spellEnd"/>
    </w:p>
    <w:p w:rsidR="007376A3" w:rsidRPr="007376A3" w:rsidRDefault="007376A3" w:rsidP="007376A3">
      <w:pPr>
        <w:tabs>
          <w:tab w:val="left" w:pos="851"/>
        </w:tabs>
        <w:ind w:left="851"/>
        <w:rPr>
          <w:sz w:val="24"/>
          <w:szCs w:val="24"/>
        </w:rPr>
      </w:pPr>
      <w:r w:rsidRPr="007376A3">
        <w:rPr>
          <w:sz w:val="24"/>
          <w:szCs w:val="24"/>
        </w:rPr>
        <w:t xml:space="preserve">Citronsyre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7376A3" w:rsidRPr="007376A3" w:rsidRDefault="007376A3" w:rsidP="007376A3">
      <w:pPr>
        <w:tabs>
          <w:tab w:val="left" w:pos="851"/>
        </w:tabs>
        <w:ind w:left="851"/>
        <w:rPr>
          <w:sz w:val="24"/>
          <w:szCs w:val="24"/>
        </w:rPr>
      </w:pPr>
      <w:r w:rsidRPr="007376A3">
        <w:rPr>
          <w:sz w:val="24"/>
          <w:szCs w:val="24"/>
        </w:rPr>
        <w:t>Dette lægemiddel må ikke blandes med andre lægemidler end dem, der er anført under pkt. 6.6</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CC521C" w:rsidRDefault="00CC521C" w:rsidP="006113B9">
      <w:pPr>
        <w:tabs>
          <w:tab w:val="left" w:pos="851"/>
        </w:tabs>
        <w:ind w:left="851"/>
        <w:rPr>
          <w:sz w:val="24"/>
          <w:szCs w:val="24"/>
          <w:u w:val="single"/>
        </w:rPr>
      </w:pPr>
    </w:p>
    <w:p w:rsidR="006113B9" w:rsidRPr="006113B9" w:rsidRDefault="006113B9" w:rsidP="006113B9">
      <w:pPr>
        <w:tabs>
          <w:tab w:val="left" w:pos="851"/>
        </w:tabs>
        <w:ind w:left="851"/>
        <w:rPr>
          <w:sz w:val="24"/>
          <w:szCs w:val="24"/>
          <w:u w:val="single"/>
        </w:rPr>
      </w:pPr>
      <w:r w:rsidRPr="006113B9">
        <w:rPr>
          <w:sz w:val="24"/>
          <w:szCs w:val="24"/>
          <w:u w:val="single"/>
        </w:rPr>
        <w:t>Uåbnet hætteglas</w:t>
      </w:r>
    </w:p>
    <w:p w:rsidR="006113B9" w:rsidRPr="006113B9" w:rsidRDefault="0000796C" w:rsidP="006113B9">
      <w:pPr>
        <w:tabs>
          <w:tab w:val="left" w:pos="851"/>
        </w:tabs>
        <w:ind w:left="851"/>
        <w:rPr>
          <w:sz w:val="24"/>
          <w:szCs w:val="24"/>
        </w:rPr>
      </w:pPr>
      <w:r>
        <w:rPr>
          <w:sz w:val="24"/>
          <w:szCs w:val="24"/>
        </w:rPr>
        <w:t>4 år.</w:t>
      </w:r>
    </w:p>
    <w:p w:rsidR="006113B9" w:rsidRPr="006113B9" w:rsidRDefault="006113B9" w:rsidP="006113B9">
      <w:pPr>
        <w:tabs>
          <w:tab w:val="left" w:pos="851"/>
        </w:tabs>
        <w:ind w:left="851"/>
        <w:rPr>
          <w:sz w:val="24"/>
          <w:szCs w:val="24"/>
        </w:rPr>
      </w:pPr>
    </w:p>
    <w:p w:rsidR="006113B9" w:rsidRPr="006113B9" w:rsidRDefault="006113B9" w:rsidP="006113B9">
      <w:pPr>
        <w:tabs>
          <w:tab w:val="left" w:pos="851"/>
        </w:tabs>
        <w:ind w:left="851"/>
        <w:rPr>
          <w:sz w:val="24"/>
          <w:szCs w:val="24"/>
          <w:u w:val="single"/>
        </w:rPr>
      </w:pPr>
      <w:r w:rsidRPr="006113B9">
        <w:rPr>
          <w:sz w:val="24"/>
          <w:szCs w:val="24"/>
          <w:u w:val="single"/>
        </w:rPr>
        <w:t>Efter åbning af hætteglas</w:t>
      </w:r>
    </w:p>
    <w:p w:rsidR="006113B9" w:rsidRPr="006113B9" w:rsidRDefault="006113B9" w:rsidP="006113B9">
      <w:pPr>
        <w:tabs>
          <w:tab w:val="left" w:pos="851"/>
        </w:tabs>
        <w:ind w:left="851"/>
        <w:rPr>
          <w:sz w:val="24"/>
          <w:szCs w:val="24"/>
        </w:rPr>
      </w:pPr>
      <w:r w:rsidRPr="006113B9">
        <w:rPr>
          <w:sz w:val="24"/>
          <w:szCs w:val="24"/>
        </w:rPr>
        <w:t xml:space="preserve">Kemisk og fysisk stabilitet under brug er blevet påvist i 4 uger ved </w:t>
      </w:r>
      <w:r w:rsidRPr="006113B9">
        <w:rPr>
          <w:sz w:val="24"/>
          <w:szCs w:val="24"/>
          <w:lang w:val="fr-LU"/>
        </w:rPr>
        <w:t>2</w:t>
      </w:r>
      <w:r w:rsidR="00CC521C">
        <w:rPr>
          <w:sz w:val="24"/>
          <w:szCs w:val="24"/>
          <w:lang w:val="fr-LU"/>
        </w:rPr>
        <w:t>-</w:t>
      </w:r>
      <w:r w:rsidRPr="006113B9">
        <w:rPr>
          <w:sz w:val="24"/>
          <w:szCs w:val="24"/>
          <w:lang w:val="fr-LU"/>
        </w:rPr>
        <w:t>8 °C</w:t>
      </w:r>
      <w:r w:rsidRPr="006113B9">
        <w:rPr>
          <w:sz w:val="24"/>
          <w:szCs w:val="24"/>
        </w:rPr>
        <w:t>.</w:t>
      </w:r>
    </w:p>
    <w:p w:rsidR="006113B9" w:rsidRPr="006113B9" w:rsidRDefault="006113B9" w:rsidP="006113B9">
      <w:pPr>
        <w:tabs>
          <w:tab w:val="left" w:pos="851"/>
        </w:tabs>
        <w:ind w:left="851"/>
        <w:rPr>
          <w:sz w:val="24"/>
          <w:szCs w:val="24"/>
          <w:lang w:val="fr-LU"/>
        </w:rPr>
      </w:pPr>
      <w:r w:rsidRPr="006113B9">
        <w:rPr>
          <w:sz w:val="24"/>
          <w:szCs w:val="24"/>
          <w:lang w:val="fr-LU"/>
        </w:rPr>
        <w:t>Fra et mikrobiologisk synspunkt skal produktet anvendes med det samme. Hvis det ikke anvendes med det samme, er brugeren ansvarlig for holdbarheden og for de forhold, som den opbevares under, hvilket normalt ikke vil være mere end 24 timer ved 2</w:t>
      </w:r>
      <w:r w:rsidR="00CC521C">
        <w:rPr>
          <w:sz w:val="24"/>
          <w:szCs w:val="24"/>
          <w:lang w:val="fr-LU"/>
        </w:rPr>
        <w:t>-</w:t>
      </w:r>
      <w:r w:rsidRPr="006113B9">
        <w:rPr>
          <w:sz w:val="24"/>
          <w:szCs w:val="24"/>
          <w:lang w:val="fr-LU"/>
        </w:rPr>
        <w:t>8 °C.</w:t>
      </w:r>
    </w:p>
    <w:p w:rsidR="006113B9" w:rsidRPr="006113B9" w:rsidRDefault="006113B9" w:rsidP="006113B9">
      <w:pPr>
        <w:tabs>
          <w:tab w:val="left" w:pos="851"/>
        </w:tabs>
        <w:ind w:left="851"/>
        <w:rPr>
          <w:sz w:val="24"/>
          <w:szCs w:val="24"/>
          <w:lang w:val="fr-LU"/>
        </w:rPr>
      </w:pPr>
    </w:p>
    <w:p w:rsidR="006113B9" w:rsidRPr="006113B9" w:rsidRDefault="006113B9" w:rsidP="006113B9">
      <w:pPr>
        <w:tabs>
          <w:tab w:val="left" w:pos="851"/>
        </w:tabs>
        <w:ind w:left="851"/>
        <w:rPr>
          <w:sz w:val="24"/>
          <w:szCs w:val="24"/>
          <w:u w:val="single"/>
          <w:lang w:val="fr-LU"/>
        </w:rPr>
      </w:pPr>
      <w:r w:rsidRPr="006113B9">
        <w:rPr>
          <w:sz w:val="24"/>
          <w:szCs w:val="24"/>
          <w:u w:val="single"/>
          <w:lang w:val="fr-LU"/>
        </w:rPr>
        <w:t>Efter endelig fortynding i infusionsposen</w:t>
      </w:r>
    </w:p>
    <w:p w:rsidR="006113B9" w:rsidRPr="006113B9" w:rsidRDefault="006113B9" w:rsidP="006113B9">
      <w:pPr>
        <w:tabs>
          <w:tab w:val="left" w:pos="851"/>
        </w:tabs>
        <w:ind w:left="851"/>
        <w:rPr>
          <w:sz w:val="24"/>
          <w:szCs w:val="24"/>
          <w:lang w:val="fr-LU"/>
        </w:rPr>
      </w:pPr>
      <w:r w:rsidRPr="006113B9">
        <w:rPr>
          <w:sz w:val="24"/>
          <w:szCs w:val="24"/>
          <w:lang w:val="fr-LU"/>
        </w:rPr>
        <w:t>Kemisk og fysisk stabilitet under brug er blevet påvist i PVC-fri infusionsposer i 14 dage ved 2</w:t>
      </w:r>
      <w:r w:rsidR="00CC521C">
        <w:rPr>
          <w:sz w:val="24"/>
          <w:szCs w:val="24"/>
          <w:lang w:val="fr-LU"/>
        </w:rPr>
        <w:t>-</w:t>
      </w:r>
      <w:r w:rsidRPr="006113B9">
        <w:rPr>
          <w:sz w:val="24"/>
          <w:szCs w:val="24"/>
          <w:lang w:val="fr-LU"/>
        </w:rPr>
        <w:t xml:space="preserve">8 °C og i 48 timer ved 25 °C. </w:t>
      </w:r>
    </w:p>
    <w:p w:rsidR="006113B9" w:rsidRPr="006113B9" w:rsidRDefault="006113B9" w:rsidP="006113B9">
      <w:pPr>
        <w:tabs>
          <w:tab w:val="left" w:pos="851"/>
        </w:tabs>
        <w:ind w:left="851"/>
        <w:rPr>
          <w:sz w:val="24"/>
          <w:szCs w:val="24"/>
          <w:lang w:val="fr-LU"/>
        </w:rPr>
      </w:pPr>
      <w:r w:rsidRPr="006113B9">
        <w:rPr>
          <w:sz w:val="24"/>
          <w:szCs w:val="24"/>
          <w:lang w:val="fr-LU"/>
        </w:rPr>
        <w:t>Fra et mikrobiologisk synspunkt skal infusionsvæsken anvendes med det samme. Hvis den ikke anvendes med det samme, er brugeren ansvarlig for holdbarheden og for de forhold, som den opbevares under, hvilket normalt ikke vil være mere end 24 timer ved 2</w:t>
      </w:r>
      <w:r w:rsidR="00CC521C">
        <w:rPr>
          <w:sz w:val="24"/>
          <w:szCs w:val="24"/>
          <w:lang w:val="fr-LU"/>
        </w:rPr>
        <w:t>-</w:t>
      </w:r>
      <w:r w:rsidRPr="006113B9">
        <w:rPr>
          <w:sz w:val="24"/>
          <w:szCs w:val="24"/>
          <w:lang w:val="fr-LU"/>
        </w:rPr>
        <w:t>8 °C, medmindre fortyndingen har fundet sted under kontrollerede og validerede aseptiske forhold.</w:t>
      </w:r>
    </w:p>
    <w:p w:rsidR="006113B9" w:rsidRPr="006113B9" w:rsidRDefault="006113B9" w:rsidP="006113B9">
      <w:pPr>
        <w:tabs>
          <w:tab w:val="left" w:pos="851"/>
        </w:tabs>
        <w:ind w:left="851"/>
        <w:rPr>
          <w:sz w:val="24"/>
          <w:szCs w:val="24"/>
          <w:lang w:val="fr-LU"/>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C521C" w:rsidRPr="00CC521C" w:rsidRDefault="00CC521C" w:rsidP="00CC521C">
      <w:pPr>
        <w:tabs>
          <w:tab w:val="left" w:pos="851"/>
        </w:tabs>
        <w:ind w:left="851"/>
        <w:rPr>
          <w:sz w:val="24"/>
          <w:szCs w:val="24"/>
          <w:lang w:val="fr-LU"/>
        </w:rPr>
      </w:pPr>
      <w:r w:rsidRPr="00CC521C">
        <w:rPr>
          <w:sz w:val="24"/>
          <w:szCs w:val="24"/>
          <w:lang w:val="fr-LU"/>
        </w:rPr>
        <w:t xml:space="preserve">Dette lægemiddel </w:t>
      </w:r>
      <w:r w:rsidRPr="00CC521C">
        <w:rPr>
          <w:sz w:val="24"/>
          <w:szCs w:val="24"/>
        </w:rPr>
        <w:t>kræver ingen særlige forholdsregler vedrørende opbevaringen</w:t>
      </w:r>
      <w:r w:rsidRPr="00CC521C">
        <w:rPr>
          <w:sz w:val="24"/>
          <w:szCs w:val="24"/>
          <w:lang w:val="fr-LU"/>
        </w:rPr>
        <w:t>.</w:t>
      </w:r>
    </w:p>
    <w:p w:rsidR="00CC521C" w:rsidRPr="00CC521C" w:rsidRDefault="00CC521C" w:rsidP="00CC521C">
      <w:pPr>
        <w:tabs>
          <w:tab w:val="left" w:pos="851"/>
        </w:tabs>
        <w:ind w:left="851"/>
        <w:rPr>
          <w:sz w:val="24"/>
          <w:szCs w:val="24"/>
          <w:lang w:val="fr-LU"/>
        </w:rPr>
      </w:pPr>
    </w:p>
    <w:p w:rsidR="00CC521C" w:rsidRPr="00CC521C" w:rsidRDefault="00CC521C" w:rsidP="00CC521C">
      <w:pPr>
        <w:tabs>
          <w:tab w:val="left" w:pos="851"/>
        </w:tabs>
        <w:ind w:left="851"/>
        <w:rPr>
          <w:sz w:val="24"/>
          <w:szCs w:val="24"/>
          <w:lang w:val="fr-LU"/>
        </w:rPr>
      </w:pPr>
      <w:r w:rsidRPr="00CC521C">
        <w:rPr>
          <w:sz w:val="24"/>
          <w:szCs w:val="24"/>
          <w:lang w:val="fr-LU"/>
        </w:rPr>
        <w:t>Opbevaringsforhold efter fortynding af lægemidlet, se pkt. 6.3.</w:t>
      </w:r>
    </w:p>
    <w:p w:rsidR="009260DE" w:rsidRPr="00CC521C" w:rsidRDefault="009260DE" w:rsidP="009260DE">
      <w:pPr>
        <w:tabs>
          <w:tab w:val="left" w:pos="851"/>
        </w:tabs>
        <w:ind w:left="851"/>
        <w:rPr>
          <w:sz w:val="24"/>
          <w:szCs w:val="24"/>
          <w:lang w:val="fr-LU"/>
        </w:rPr>
      </w:pPr>
    </w:p>
    <w:p w:rsidR="000A4685" w:rsidRPr="00C84483" w:rsidRDefault="000A4685" w:rsidP="000A4685">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4D7241" w:rsidRPr="004D7241" w:rsidRDefault="004D7241" w:rsidP="004D7241">
      <w:pPr>
        <w:tabs>
          <w:tab w:val="left" w:pos="851"/>
        </w:tabs>
        <w:ind w:left="851"/>
        <w:rPr>
          <w:bCs/>
          <w:sz w:val="24"/>
          <w:szCs w:val="24"/>
        </w:rPr>
      </w:pPr>
      <w:r w:rsidRPr="004D7241">
        <w:rPr>
          <w:bCs/>
          <w:sz w:val="24"/>
          <w:szCs w:val="24"/>
        </w:rPr>
        <w:t xml:space="preserve">Gennemsigtigt hætteglas (type I) med </w:t>
      </w:r>
      <w:proofErr w:type="spellStart"/>
      <w:r w:rsidRPr="004D7241">
        <w:rPr>
          <w:bCs/>
          <w:sz w:val="24"/>
          <w:szCs w:val="24"/>
        </w:rPr>
        <w:t>halobutyl</w:t>
      </w:r>
      <w:proofErr w:type="spellEnd"/>
      <w:r w:rsidRPr="004D7241">
        <w:rPr>
          <w:bCs/>
          <w:sz w:val="24"/>
          <w:szCs w:val="24"/>
        </w:rPr>
        <w:t xml:space="preserve"> gummiprop, en aluminiumsforsegling og en plastisk flip-</w:t>
      </w:r>
      <w:proofErr w:type="spellStart"/>
      <w:r w:rsidRPr="004D7241">
        <w:rPr>
          <w:bCs/>
          <w:sz w:val="24"/>
          <w:szCs w:val="24"/>
        </w:rPr>
        <w:t>off</w:t>
      </w:r>
      <w:proofErr w:type="spellEnd"/>
      <w:r w:rsidRPr="004D7241">
        <w:rPr>
          <w:bCs/>
          <w:sz w:val="24"/>
          <w:szCs w:val="24"/>
        </w:rPr>
        <w:t xml:space="preserve"> hætte, indeholdende 3 ml koncentrat. </w:t>
      </w:r>
    </w:p>
    <w:p w:rsidR="004D7241" w:rsidRPr="004D7241" w:rsidRDefault="004D7241" w:rsidP="004D7241">
      <w:pPr>
        <w:tabs>
          <w:tab w:val="left" w:pos="851"/>
        </w:tabs>
        <w:ind w:left="851"/>
        <w:rPr>
          <w:bCs/>
          <w:sz w:val="24"/>
          <w:szCs w:val="24"/>
        </w:rPr>
      </w:pPr>
    </w:p>
    <w:p w:rsidR="00BF3609" w:rsidRDefault="00BF3609" w:rsidP="00BF3609">
      <w:pPr>
        <w:tabs>
          <w:tab w:val="left" w:pos="851"/>
        </w:tabs>
        <w:ind w:left="851"/>
        <w:rPr>
          <w:bCs/>
          <w:sz w:val="24"/>
          <w:szCs w:val="24"/>
        </w:rPr>
      </w:pPr>
      <w:r w:rsidRPr="004D7241">
        <w:rPr>
          <w:bCs/>
          <w:sz w:val="24"/>
          <w:szCs w:val="24"/>
        </w:rPr>
        <w:t>Pakningstørrelse</w:t>
      </w:r>
      <w:r>
        <w:rPr>
          <w:bCs/>
          <w:sz w:val="24"/>
          <w:szCs w:val="24"/>
        </w:rPr>
        <w:t>r: 1</w:t>
      </w:r>
      <w:r w:rsidRPr="004D7241">
        <w:rPr>
          <w:bCs/>
          <w:sz w:val="24"/>
          <w:szCs w:val="24"/>
        </w:rPr>
        <w:t xml:space="preserve"> hætteglas.</w:t>
      </w:r>
    </w:p>
    <w:p w:rsidR="00BF3609" w:rsidRPr="004D7241" w:rsidRDefault="00BF3609" w:rsidP="00BF3609">
      <w:pPr>
        <w:tabs>
          <w:tab w:val="left" w:pos="851"/>
        </w:tabs>
        <w:ind w:left="851"/>
        <w:rPr>
          <w:bCs/>
          <w:sz w:val="24"/>
          <w:szCs w:val="24"/>
        </w:rPr>
      </w:pPr>
      <w:r>
        <w:rPr>
          <w:bCs/>
          <w:sz w:val="24"/>
          <w:szCs w:val="24"/>
        </w:rPr>
        <w:t>Ikke alle pakningsstørrelser er nødvendigvis markedsført.</w:t>
      </w:r>
    </w:p>
    <w:p w:rsidR="009260DE" w:rsidRPr="00C84483" w:rsidRDefault="009260DE" w:rsidP="009260DE">
      <w:pPr>
        <w:tabs>
          <w:tab w:val="left" w:pos="851"/>
        </w:tabs>
        <w:ind w:left="851"/>
        <w:rPr>
          <w:sz w:val="24"/>
          <w:szCs w:val="24"/>
        </w:rPr>
      </w:pPr>
    </w:p>
    <w:p w:rsidR="000A4685" w:rsidRPr="00C84483" w:rsidRDefault="000A4685" w:rsidP="000A4685">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0738DF" w:rsidRPr="000738DF" w:rsidRDefault="000738DF" w:rsidP="003A24C2">
      <w:pPr>
        <w:tabs>
          <w:tab w:val="left" w:pos="851"/>
        </w:tabs>
        <w:ind w:left="851"/>
        <w:rPr>
          <w:sz w:val="24"/>
          <w:szCs w:val="24"/>
        </w:rPr>
      </w:pPr>
      <w:proofErr w:type="spellStart"/>
      <w:r w:rsidRPr="000738DF">
        <w:rPr>
          <w:sz w:val="24"/>
          <w:szCs w:val="24"/>
        </w:rPr>
        <w:t>Cabazitaxel</w:t>
      </w:r>
      <w:proofErr w:type="spellEnd"/>
      <w:r w:rsidRPr="000738DF">
        <w:rPr>
          <w:sz w:val="24"/>
          <w:szCs w:val="24"/>
        </w:rPr>
        <w:t xml:space="preserve"> "</w:t>
      </w:r>
      <w:proofErr w:type="spellStart"/>
      <w:r w:rsidRPr="000738DF">
        <w:rPr>
          <w:sz w:val="24"/>
          <w:szCs w:val="24"/>
        </w:rPr>
        <w:t>Stada</w:t>
      </w:r>
      <w:proofErr w:type="spellEnd"/>
      <w:r w:rsidRPr="000738DF">
        <w:rPr>
          <w:sz w:val="24"/>
          <w:szCs w:val="24"/>
        </w:rPr>
        <w:t xml:space="preserve">" bør kun tilberedes og administreres af personale, der er trænet i håndtering af </w:t>
      </w:r>
      <w:proofErr w:type="spellStart"/>
      <w:r w:rsidRPr="000738DF">
        <w:rPr>
          <w:sz w:val="24"/>
          <w:szCs w:val="24"/>
        </w:rPr>
        <w:t>cytotoksiske</w:t>
      </w:r>
      <w:proofErr w:type="spellEnd"/>
      <w:r w:rsidRPr="000738DF">
        <w:rPr>
          <w:sz w:val="24"/>
          <w:szCs w:val="24"/>
        </w:rPr>
        <w:t xml:space="preserve"> stoffer. Personale, der er gravide, må ikke håndtere produktet. Som med ethvert andet </w:t>
      </w:r>
      <w:proofErr w:type="spellStart"/>
      <w:r w:rsidRPr="000738DF">
        <w:rPr>
          <w:sz w:val="24"/>
          <w:szCs w:val="24"/>
        </w:rPr>
        <w:t>antineoplastisk</w:t>
      </w:r>
      <w:proofErr w:type="spellEnd"/>
      <w:r w:rsidRPr="000738DF">
        <w:rPr>
          <w:sz w:val="24"/>
          <w:szCs w:val="24"/>
        </w:rPr>
        <w:t xml:space="preserve"> middel skal der udvises forsigtighed ved håndtering og klargøring af </w:t>
      </w:r>
      <w:proofErr w:type="spellStart"/>
      <w:r w:rsidRPr="000738DF">
        <w:rPr>
          <w:sz w:val="24"/>
          <w:szCs w:val="24"/>
        </w:rPr>
        <w:t>cabazitaxel</w:t>
      </w:r>
      <w:proofErr w:type="spellEnd"/>
      <w:r w:rsidRPr="000738DF">
        <w:rPr>
          <w:sz w:val="24"/>
          <w:szCs w:val="24"/>
        </w:rPr>
        <w:t xml:space="preserve">-opløsninger, idet der tages hensyn til brugen af indkapslingsanordninger, personligt beskyttelsesudstyr (f.eks. handsker) og klargøringsprocedurer. Hvis </w:t>
      </w:r>
      <w:proofErr w:type="spellStart"/>
      <w:r w:rsidRPr="000738DF">
        <w:rPr>
          <w:sz w:val="24"/>
          <w:szCs w:val="24"/>
        </w:rPr>
        <w:t>cabazitaxel</w:t>
      </w:r>
      <w:proofErr w:type="spellEnd"/>
      <w:r w:rsidRPr="000738DF">
        <w:rPr>
          <w:sz w:val="24"/>
          <w:szCs w:val="24"/>
        </w:rPr>
        <w:t xml:space="preserve"> på noget tidspunkt under håndteringen kommer i kontakt med huden, skal der straks skylles grundigt med vand og sæbe. Hvis det skulle komme i kontakt med slimhinderne, skal der straks skylles grundigt med vand.</w:t>
      </w:r>
    </w:p>
    <w:p w:rsidR="000738DF" w:rsidRPr="000738DF" w:rsidRDefault="000738DF" w:rsidP="003A24C2">
      <w:pPr>
        <w:tabs>
          <w:tab w:val="left" w:pos="851"/>
        </w:tabs>
        <w:ind w:left="851"/>
        <w:rPr>
          <w:sz w:val="24"/>
          <w:szCs w:val="24"/>
        </w:rPr>
      </w:pPr>
      <w:r w:rsidRPr="000738DF">
        <w:rPr>
          <w:sz w:val="24"/>
          <w:szCs w:val="24"/>
        </w:rPr>
        <w:t xml:space="preserve">PVC infusionsbeholdere eller </w:t>
      </w:r>
      <w:proofErr w:type="spellStart"/>
      <w:r w:rsidRPr="000738DF">
        <w:rPr>
          <w:sz w:val="24"/>
          <w:szCs w:val="24"/>
        </w:rPr>
        <w:t>polyurethane</w:t>
      </w:r>
      <w:proofErr w:type="spellEnd"/>
      <w:r w:rsidRPr="000738DF">
        <w:rPr>
          <w:sz w:val="24"/>
          <w:szCs w:val="24"/>
        </w:rPr>
        <w:t xml:space="preserve"> infusionssæt bør ikke anvendes under tilberedningen og administration af infusionsopløsningen.</w:t>
      </w:r>
    </w:p>
    <w:p w:rsidR="000738DF" w:rsidRPr="000738DF" w:rsidRDefault="000738DF" w:rsidP="003A24C2">
      <w:pPr>
        <w:tabs>
          <w:tab w:val="left" w:pos="851"/>
        </w:tabs>
        <w:ind w:left="851"/>
        <w:rPr>
          <w:sz w:val="24"/>
          <w:szCs w:val="24"/>
        </w:rPr>
      </w:pPr>
    </w:p>
    <w:p w:rsidR="000738DF" w:rsidRPr="000738DF" w:rsidRDefault="000738DF" w:rsidP="003A24C2">
      <w:pPr>
        <w:tabs>
          <w:tab w:val="left" w:pos="851"/>
        </w:tabs>
        <w:ind w:left="851"/>
        <w:rPr>
          <w:sz w:val="24"/>
          <w:szCs w:val="24"/>
          <w:u w:val="single"/>
          <w:lang w:val="fr-LU"/>
        </w:rPr>
      </w:pPr>
      <w:r w:rsidRPr="000738DF">
        <w:rPr>
          <w:sz w:val="24"/>
          <w:szCs w:val="24"/>
          <w:u w:val="single"/>
          <w:lang w:val="fr-LU"/>
        </w:rPr>
        <w:t>Klargøring til intravenøs indgivelse</w:t>
      </w:r>
    </w:p>
    <w:p w:rsidR="000738DF" w:rsidRPr="000738DF" w:rsidRDefault="000738DF" w:rsidP="003A24C2">
      <w:pPr>
        <w:tabs>
          <w:tab w:val="left" w:pos="851"/>
        </w:tabs>
        <w:ind w:left="851"/>
        <w:rPr>
          <w:sz w:val="24"/>
          <w:szCs w:val="24"/>
        </w:rPr>
      </w:pPr>
      <w:r w:rsidRPr="000738DF">
        <w:rPr>
          <w:sz w:val="24"/>
          <w:szCs w:val="24"/>
        </w:rPr>
        <w:t xml:space="preserve">BRUG IKKE andre </w:t>
      </w:r>
      <w:proofErr w:type="spellStart"/>
      <w:r w:rsidRPr="000738DF">
        <w:rPr>
          <w:sz w:val="24"/>
          <w:szCs w:val="24"/>
        </w:rPr>
        <w:t>cabazitaxel</w:t>
      </w:r>
      <w:proofErr w:type="spellEnd"/>
      <w:r w:rsidRPr="000738DF">
        <w:rPr>
          <w:sz w:val="24"/>
          <w:szCs w:val="24"/>
        </w:rPr>
        <w:t xml:space="preserve">-lægemidler indeholdende 2 hætteglas (koncentrat eller opløsning) sammen med </w:t>
      </w:r>
      <w:proofErr w:type="spellStart"/>
      <w:r w:rsidRPr="000738DF">
        <w:rPr>
          <w:sz w:val="24"/>
          <w:szCs w:val="24"/>
        </w:rPr>
        <w:t>Cabazitaxel</w:t>
      </w:r>
      <w:proofErr w:type="spellEnd"/>
      <w:r w:rsidRPr="000738DF">
        <w:rPr>
          <w:sz w:val="24"/>
          <w:szCs w:val="24"/>
        </w:rPr>
        <w:t xml:space="preserve"> "</w:t>
      </w:r>
      <w:proofErr w:type="spellStart"/>
      <w:r w:rsidRPr="000738DF">
        <w:rPr>
          <w:sz w:val="24"/>
          <w:szCs w:val="24"/>
        </w:rPr>
        <w:t>Stada</w:t>
      </w:r>
      <w:proofErr w:type="spellEnd"/>
      <w:r w:rsidRPr="000738DF">
        <w:rPr>
          <w:sz w:val="24"/>
          <w:szCs w:val="24"/>
        </w:rPr>
        <w:t>" koncentrat til infusionsvæske, opløsning, som kun indeholder 1 hætteglas med 3 ml (60 mg/3 ml).</w:t>
      </w:r>
    </w:p>
    <w:p w:rsidR="000738DF" w:rsidRPr="000738DF" w:rsidRDefault="000738DF" w:rsidP="003A24C2">
      <w:pPr>
        <w:tabs>
          <w:tab w:val="left" w:pos="851"/>
        </w:tabs>
        <w:ind w:left="851"/>
        <w:rPr>
          <w:sz w:val="24"/>
          <w:szCs w:val="24"/>
        </w:rPr>
      </w:pPr>
    </w:p>
    <w:p w:rsidR="000738DF" w:rsidRPr="000738DF" w:rsidRDefault="000738DF" w:rsidP="003A24C2">
      <w:pPr>
        <w:tabs>
          <w:tab w:val="left" w:pos="851"/>
        </w:tabs>
        <w:ind w:left="851"/>
        <w:rPr>
          <w:b/>
          <w:bCs/>
          <w:sz w:val="24"/>
          <w:szCs w:val="24"/>
        </w:rPr>
      </w:pPr>
      <w:proofErr w:type="spellStart"/>
      <w:r w:rsidRPr="000738DF">
        <w:rPr>
          <w:b/>
          <w:bCs/>
          <w:sz w:val="24"/>
          <w:szCs w:val="24"/>
        </w:rPr>
        <w:t>Cabazitaxel</w:t>
      </w:r>
      <w:proofErr w:type="spellEnd"/>
      <w:r w:rsidRPr="000738DF">
        <w:rPr>
          <w:b/>
          <w:bCs/>
          <w:sz w:val="24"/>
          <w:szCs w:val="24"/>
        </w:rPr>
        <w:t xml:space="preserve"> "</w:t>
      </w:r>
      <w:proofErr w:type="spellStart"/>
      <w:r w:rsidRPr="000738DF">
        <w:rPr>
          <w:b/>
          <w:bCs/>
          <w:sz w:val="24"/>
          <w:szCs w:val="24"/>
        </w:rPr>
        <w:t>Stada</w:t>
      </w:r>
      <w:proofErr w:type="spellEnd"/>
      <w:r w:rsidRPr="000738DF">
        <w:rPr>
          <w:b/>
          <w:bCs/>
          <w:sz w:val="24"/>
          <w:szCs w:val="24"/>
        </w:rPr>
        <w:t>" 20 mg/ml koncentrat til infusionsvæske, opløsning kræver INGEN forudgående fortynding med et opløsningsmiddel og er klar til at blive tilføjet til infusionsopløsningen.</w:t>
      </w:r>
    </w:p>
    <w:p w:rsidR="000738DF" w:rsidRPr="000738DF" w:rsidRDefault="000738DF" w:rsidP="003A24C2">
      <w:pPr>
        <w:tabs>
          <w:tab w:val="left" w:pos="851"/>
        </w:tabs>
        <w:ind w:left="851"/>
        <w:rPr>
          <w:sz w:val="24"/>
          <w:szCs w:val="24"/>
        </w:rPr>
      </w:pPr>
    </w:p>
    <w:p w:rsidR="000738DF" w:rsidRPr="000738DF" w:rsidRDefault="000738DF" w:rsidP="003A24C2">
      <w:pPr>
        <w:tabs>
          <w:tab w:val="left" w:pos="851"/>
        </w:tabs>
        <w:ind w:left="851"/>
        <w:rPr>
          <w:sz w:val="24"/>
          <w:szCs w:val="24"/>
          <w:u w:val="single"/>
        </w:rPr>
      </w:pPr>
      <w:r w:rsidRPr="000738DF">
        <w:rPr>
          <w:sz w:val="24"/>
          <w:szCs w:val="24"/>
          <w:u w:val="single"/>
        </w:rPr>
        <w:t>Trin 1</w:t>
      </w:r>
    </w:p>
    <w:p w:rsidR="000738DF" w:rsidRPr="000738DF" w:rsidRDefault="000738DF" w:rsidP="003A24C2">
      <w:pPr>
        <w:tabs>
          <w:tab w:val="left" w:pos="851"/>
        </w:tabs>
        <w:ind w:left="851"/>
        <w:rPr>
          <w:sz w:val="24"/>
          <w:szCs w:val="24"/>
        </w:rPr>
      </w:pPr>
      <w:r w:rsidRPr="000738DF">
        <w:rPr>
          <w:sz w:val="24"/>
          <w:szCs w:val="24"/>
        </w:rPr>
        <w:t xml:space="preserve">Hvis hætteglassene opbevares på køl, skal det nødvendige antal hætteglas med </w:t>
      </w:r>
      <w:proofErr w:type="spellStart"/>
      <w:r w:rsidRPr="000738DF">
        <w:rPr>
          <w:sz w:val="24"/>
          <w:szCs w:val="24"/>
        </w:rPr>
        <w:t>cabazitaxel</w:t>
      </w:r>
      <w:proofErr w:type="spellEnd"/>
      <w:r w:rsidRPr="000738DF">
        <w:rPr>
          <w:sz w:val="24"/>
          <w:szCs w:val="24"/>
        </w:rPr>
        <w:t xml:space="preserve"> koncentrat til infusion, opløsning tages ud og stå ved 20 – 25 °C i 5 minutter inden brug.</w:t>
      </w:r>
    </w:p>
    <w:p w:rsidR="000738DF" w:rsidRPr="000738DF" w:rsidRDefault="000738DF" w:rsidP="003A24C2">
      <w:pPr>
        <w:tabs>
          <w:tab w:val="left" w:pos="851"/>
        </w:tabs>
        <w:ind w:left="851"/>
        <w:rPr>
          <w:sz w:val="24"/>
          <w:szCs w:val="24"/>
        </w:rPr>
      </w:pPr>
      <w:r w:rsidRPr="000738DF">
        <w:rPr>
          <w:sz w:val="24"/>
          <w:szCs w:val="24"/>
        </w:rPr>
        <w:t xml:space="preserve">Mere end ét hætteglas med </w:t>
      </w:r>
      <w:proofErr w:type="spellStart"/>
      <w:r w:rsidRPr="000738DF">
        <w:rPr>
          <w:sz w:val="24"/>
          <w:szCs w:val="24"/>
        </w:rPr>
        <w:t>cabazitaxel</w:t>
      </w:r>
      <w:proofErr w:type="spellEnd"/>
      <w:r w:rsidRPr="000738DF">
        <w:rPr>
          <w:sz w:val="24"/>
          <w:szCs w:val="24"/>
        </w:rPr>
        <w:t xml:space="preserve"> 20 mg/ml koncentrat til infusionsvæske, opløsning kan være nødvendigt for at opnå den ordinerede dosis til patienten. Den nødvendige volumen af </w:t>
      </w:r>
      <w:proofErr w:type="spellStart"/>
      <w:r w:rsidRPr="000738DF">
        <w:rPr>
          <w:sz w:val="24"/>
          <w:szCs w:val="24"/>
        </w:rPr>
        <w:t>cabazitaxel</w:t>
      </w:r>
      <w:proofErr w:type="spellEnd"/>
      <w:r w:rsidRPr="000738DF">
        <w:rPr>
          <w:sz w:val="24"/>
          <w:szCs w:val="24"/>
        </w:rPr>
        <w:t xml:space="preserve"> koncentrat til infusionsvæske, opløsning udtrækkes aseptisk med en kalibreret sprøjte udstyret med en 21G nål.</w:t>
      </w:r>
    </w:p>
    <w:p w:rsidR="000738DF" w:rsidRPr="000738DF" w:rsidRDefault="000738DF" w:rsidP="003A24C2">
      <w:pPr>
        <w:tabs>
          <w:tab w:val="left" w:pos="851"/>
        </w:tabs>
        <w:ind w:left="851"/>
        <w:rPr>
          <w:sz w:val="24"/>
          <w:szCs w:val="24"/>
        </w:rPr>
      </w:pPr>
    </w:p>
    <w:p w:rsidR="000738DF" w:rsidRPr="000738DF" w:rsidRDefault="000738DF" w:rsidP="003A24C2">
      <w:pPr>
        <w:tabs>
          <w:tab w:val="left" w:pos="851"/>
        </w:tabs>
        <w:ind w:left="851"/>
        <w:rPr>
          <w:sz w:val="24"/>
          <w:szCs w:val="24"/>
        </w:rPr>
      </w:pPr>
      <w:r w:rsidRPr="000738DF">
        <w:rPr>
          <w:sz w:val="24"/>
          <w:szCs w:val="24"/>
        </w:rPr>
        <w:t xml:space="preserve">Hver ml </w:t>
      </w:r>
      <w:r w:rsidR="00C67699">
        <w:rPr>
          <w:sz w:val="24"/>
          <w:szCs w:val="24"/>
        </w:rPr>
        <w:t>a</w:t>
      </w:r>
      <w:r w:rsidRPr="000738DF">
        <w:rPr>
          <w:sz w:val="24"/>
          <w:szCs w:val="24"/>
        </w:rPr>
        <w:t xml:space="preserve">f dette produkt indeholder 20 mg </w:t>
      </w:r>
      <w:proofErr w:type="spellStart"/>
      <w:r w:rsidRPr="000738DF">
        <w:rPr>
          <w:sz w:val="24"/>
          <w:szCs w:val="24"/>
        </w:rPr>
        <w:t>cabazitaxel</w:t>
      </w:r>
      <w:proofErr w:type="spellEnd"/>
      <w:r w:rsidRPr="000738DF">
        <w:rPr>
          <w:sz w:val="24"/>
          <w:szCs w:val="24"/>
        </w:rPr>
        <w:t>.</w:t>
      </w:r>
    </w:p>
    <w:p w:rsidR="000738DF" w:rsidRPr="000738DF" w:rsidRDefault="000738DF" w:rsidP="003A24C2">
      <w:pPr>
        <w:tabs>
          <w:tab w:val="left" w:pos="851"/>
        </w:tabs>
        <w:ind w:left="851"/>
        <w:rPr>
          <w:sz w:val="24"/>
          <w:szCs w:val="24"/>
        </w:rPr>
      </w:pPr>
    </w:p>
    <w:p w:rsidR="000738DF" w:rsidRPr="000738DF" w:rsidRDefault="000738DF" w:rsidP="003A24C2">
      <w:pPr>
        <w:tabs>
          <w:tab w:val="left" w:pos="851"/>
        </w:tabs>
        <w:ind w:left="851"/>
        <w:rPr>
          <w:sz w:val="24"/>
          <w:szCs w:val="24"/>
          <w:u w:val="single"/>
        </w:rPr>
      </w:pPr>
      <w:r w:rsidRPr="000738DF">
        <w:rPr>
          <w:sz w:val="24"/>
          <w:szCs w:val="24"/>
          <w:u w:val="single"/>
        </w:rPr>
        <w:t>Trin 2</w:t>
      </w:r>
    </w:p>
    <w:p w:rsidR="000738DF" w:rsidRPr="000738DF" w:rsidRDefault="000738DF" w:rsidP="003A24C2">
      <w:pPr>
        <w:tabs>
          <w:tab w:val="left" w:pos="851"/>
        </w:tabs>
        <w:ind w:left="851"/>
        <w:rPr>
          <w:sz w:val="24"/>
          <w:szCs w:val="24"/>
        </w:rPr>
      </w:pPr>
      <w:r w:rsidRPr="000738DF">
        <w:rPr>
          <w:sz w:val="24"/>
          <w:szCs w:val="24"/>
        </w:rPr>
        <w:t xml:space="preserve">Den nødvendige volumen of </w:t>
      </w:r>
      <w:proofErr w:type="spellStart"/>
      <w:r w:rsidRPr="000738DF">
        <w:rPr>
          <w:sz w:val="24"/>
          <w:szCs w:val="24"/>
        </w:rPr>
        <w:t>cabazitaxel</w:t>
      </w:r>
      <w:proofErr w:type="spellEnd"/>
      <w:r w:rsidRPr="000738DF">
        <w:rPr>
          <w:sz w:val="24"/>
          <w:szCs w:val="24"/>
        </w:rPr>
        <w:t xml:space="preserve"> koncentrat til infusionsvæske, opløsning skal injiceres i en steril PVC-fri infusionsbeholder med enten 5</w:t>
      </w:r>
      <w:r w:rsidR="008A63AB">
        <w:rPr>
          <w:sz w:val="24"/>
          <w:szCs w:val="24"/>
        </w:rPr>
        <w:t xml:space="preserve"> %</w:t>
      </w:r>
      <w:r w:rsidRPr="000738DF">
        <w:rPr>
          <w:sz w:val="24"/>
          <w:szCs w:val="24"/>
        </w:rPr>
        <w:t xml:space="preserve"> </w:t>
      </w:r>
      <w:proofErr w:type="spellStart"/>
      <w:r w:rsidRPr="000738DF">
        <w:rPr>
          <w:sz w:val="24"/>
          <w:szCs w:val="24"/>
        </w:rPr>
        <w:t>glucoseopløsning</w:t>
      </w:r>
      <w:proofErr w:type="spellEnd"/>
      <w:r w:rsidRPr="000738DF">
        <w:rPr>
          <w:sz w:val="24"/>
          <w:szCs w:val="24"/>
        </w:rPr>
        <w:t xml:space="preserve"> eller </w:t>
      </w:r>
      <w:proofErr w:type="spellStart"/>
      <w:r w:rsidRPr="000738DF">
        <w:rPr>
          <w:sz w:val="24"/>
          <w:szCs w:val="24"/>
        </w:rPr>
        <w:t>natriumchlorid</w:t>
      </w:r>
      <w:proofErr w:type="spellEnd"/>
      <w:r w:rsidRPr="000738DF">
        <w:rPr>
          <w:sz w:val="24"/>
          <w:szCs w:val="24"/>
        </w:rPr>
        <w:t xml:space="preserve"> 9 mg/ml (0,9</w:t>
      </w:r>
      <w:r w:rsidR="008A63AB">
        <w:rPr>
          <w:sz w:val="24"/>
          <w:szCs w:val="24"/>
        </w:rPr>
        <w:t xml:space="preserve"> %</w:t>
      </w:r>
      <w:r w:rsidRPr="000738DF">
        <w:rPr>
          <w:sz w:val="24"/>
          <w:szCs w:val="24"/>
        </w:rPr>
        <w:t>) infusionsvæske. Koncentrationen af infusionsvæsken skal være mellem 0,10 mg/ml og 0,26 mg/ml.</w:t>
      </w:r>
    </w:p>
    <w:p w:rsidR="000738DF" w:rsidRPr="000738DF" w:rsidRDefault="000738DF" w:rsidP="003A24C2">
      <w:pPr>
        <w:tabs>
          <w:tab w:val="left" w:pos="851"/>
        </w:tabs>
        <w:ind w:left="851"/>
        <w:rPr>
          <w:sz w:val="24"/>
          <w:szCs w:val="24"/>
        </w:rPr>
      </w:pPr>
    </w:p>
    <w:p w:rsidR="000738DF" w:rsidRPr="000738DF" w:rsidRDefault="000738DF" w:rsidP="003A24C2">
      <w:pPr>
        <w:tabs>
          <w:tab w:val="left" w:pos="851"/>
        </w:tabs>
        <w:ind w:left="851"/>
        <w:rPr>
          <w:sz w:val="24"/>
          <w:szCs w:val="24"/>
          <w:u w:val="single"/>
        </w:rPr>
      </w:pPr>
      <w:r w:rsidRPr="000738DF">
        <w:rPr>
          <w:sz w:val="24"/>
          <w:szCs w:val="24"/>
          <w:u w:val="single"/>
        </w:rPr>
        <w:t>Trin 3</w:t>
      </w:r>
    </w:p>
    <w:p w:rsidR="000738DF" w:rsidRPr="000738DF" w:rsidRDefault="000738DF" w:rsidP="003A24C2">
      <w:pPr>
        <w:tabs>
          <w:tab w:val="left" w:pos="851"/>
        </w:tabs>
        <w:ind w:left="851"/>
        <w:rPr>
          <w:sz w:val="24"/>
          <w:szCs w:val="24"/>
        </w:rPr>
      </w:pPr>
      <w:r w:rsidRPr="000738DF">
        <w:rPr>
          <w:sz w:val="24"/>
          <w:szCs w:val="24"/>
        </w:rPr>
        <w:t>Træk kanylen ud, og bland indholdet i infusionsposen eller -flasken manuelt med en vippende bevægelse.</w:t>
      </w:r>
    </w:p>
    <w:p w:rsidR="000738DF" w:rsidRPr="000738DF" w:rsidRDefault="000738DF" w:rsidP="003A24C2">
      <w:pPr>
        <w:tabs>
          <w:tab w:val="left" w:pos="851"/>
        </w:tabs>
        <w:ind w:left="851"/>
        <w:rPr>
          <w:sz w:val="24"/>
          <w:szCs w:val="24"/>
          <w:u w:val="single"/>
        </w:rPr>
      </w:pPr>
    </w:p>
    <w:p w:rsidR="000738DF" w:rsidRPr="000738DF" w:rsidRDefault="000738DF" w:rsidP="003A24C2">
      <w:pPr>
        <w:tabs>
          <w:tab w:val="left" w:pos="851"/>
        </w:tabs>
        <w:ind w:left="851"/>
        <w:rPr>
          <w:sz w:val="24"/>
          <w:szCs w:val="24"/>
          <w:u w:val="single"/>
        </w:rPr>
      </w:pPr>
      <w:r w:rsidRPr="000738DF">
        <w:rPr>
          <w:sz w:val="24"/>
          <w:szCs w:val="24"/>
          <w:u w:val="single"/>
        </w:rPr>
        <w:t>Trin 4</w:t>
      </w:r>
    </w:p>
    <w:p w:rsidR="000738DF" w:rsidRPr="000738DF" w:rsidRDefault="000738DF" w:rsidP="003A24C2">
      <w:pPr>
        <w:tabs>
          <w:tab w:val="left" w:pos="851"/>
        </w:tabs>
        <w:ind w:left="851"/>
        <w:rPr>
          <w:sz w:val="24"/>
          <w:szCs w:val="24"/>
        </w:rPr>
      </w:pPr>
      <w:r w:rsidRPr="000738DF">
        <w:rPr>
          <w:sz w:val="24"/>
          <w:szCs w:val="24"/>
        </w:rPr>
        <w:t>Som med alle parenterale produkter skal den færdigblandede infusionsvæske undersøges visuelt inden brug. Da infusionsvæsken er overmættet, kan den udkrystallisere med tiden. I dette tilfælde må infusionsvæsken ikke anvendes, men skal kasseres.</w:t>
      </w:r>
    </w:p>
    <w:p w:rsidR="000738DF" w:rsidRPr="000738DF" w:rsidRDefault="000738DF" w:rsidP="003A24C2">
      <w:pPr>
        <w:tabs>
          <w:tab w:val="left" w:pos="851"/>
        </w:tabs>
        <w:ind w:left="851"/>
        <w:rPr>
          <w:sz w:val="24"/>
          <w:szCs w:val="24"/>
        </w:rPr>
      </w:pPr>
    </w:p>
    <w:p w:rsidR="000738DF" w:rsidRPr="000738DF" w:rsidRDefault="000738DF" w:rsidP="003A24C2">
      <w:pPr>
        <w:tabs>
          <w:tab w:val="left" w:pos="851"/>
        </w:tabs>
        <w:ind w:left="851"/>
        <w:rPr>
          <w:sz w:val="24"/>
          <w:szCs w:val="24"/>
        </w:rPr>
      </w:pPr>
      <w:r w:rsidRPr="000738DF">
        <w:rPr>
          <w:sz w:val="24"/>
          <w:szCs w:val="24"/>
        </w:rPr>
        <w:t>Infusionsvæsken skal anvendes med det samme. Holdbarheden kan imidlertid være længere under de særlige forhold, der er nævnt i pkt. 6.3.</w:t>
      </w:r>
    </w:p>
    <w:p w:rsidR="000738DF" w:rsidRPr="000738DF" w:rsidRDefault="000738DF" w:rsidP="003A24C2">
      <w:pPr>
        <w:tabs>
          <w:tab w:val="left" w:pos="851"/>
        </w:tabs>
        <w:ind w:left="851"/>
        <w:rPr>
          <w:sz w:val="24"/>
          <w:szCs w:val="24"/>
        </w:rPr>
      </w:pPr>
    </w:p>
    <w:p w:rsidR="000738DF" w:rsidRPr="000738DF" w:rsidRDefault="000738DF" w:rsidP="003A24C2">
      <w:pPr>
        <w:tabs>
          <w:tab w:val="left" w:pos="851"/>
        </w:tabs>
        <w:ind w:left="851"/>
        <w:rPr>
          <w:sz w:val="24"/>
          <w:szCs w:val="24"/>
        </w:rPr>
      </w:pPr>
      <w:r w:rsidRPr="000738DF">
        <w:rPr>
          <w:sz w:val="24"/>
          <w:szCs w:val="24"/>
        </w:rPr>
        <w:t xml:space="preserve">Et </w:t>
      </w:r>
      <w:proofErr w:type="spellStart"/>
      <w:r w:rsidRPr="000738DF">
        <w:rPr>
          <w:sz w:val="24"/>
          <w:szCs w:val="24"/>
        </w:rPr>
        <w:t>inline</w:t>
      </w:r>
      <w:proofErr w:type="spellEnd"/>
      <w:r w:rsidRPr="000738DF">
        <w:rPr>
          <w:sz w:val="24"/>
          <w:szCs w:val="24"/>
        </w:rPr>
        <w:t>-filter med 0,22 mikrometer nominel porestørrelse (også betegnet som 0,2 mikrometer) anbefales under administration.</w:t>
      </w:r>
    </w:p>
    <w:p w:rsidR="000738DF" w:rsidRPr="000738DF" w:rsidRDefault="000738DF" w:rsidP="003A24C2">
      <w:pPr>
        <w:tabs>
          <w:tab w:val="left" w:pos="851"/>
        </w:tabs>
        <w:ind w:left="851"/>
        <w:rPr>
          <w:sz w:val="24"/>
          <w:szCs w:val="24"/>
        </w:rPr>
      </w:pPr>
    </w:p>
    <w:p w:rsidR="000738DF" w:rsidRPr="000738DF" w:rsidRDefault="000738DF" w:rsidP="003A24C2">
      <w:pPr>
        <w:tabs>
          <w:tab w:val="left" w:pos="851"/>
        </w:tabs>
        <w:ind w:left="851"/>
        <w:rPr>
          <w:sz w:val="24"/>
          <w:szCs w:val="24"/>
        </w:rPr>
      </w:pPr>
      <w:r w:rsidRPr="000738DF">
        <w:rPr>
          <w:sz w:val="24"/>
          <w:szCs w:val="24"/>
        </w:rPr>
        <w:t xml:space="preserve">PVC-infusionsbeholdere eller infusionssæt i </w:t>
      </w:r>
      <w:proofErr w:type="spellStart"/>
      <w:r w:rsidRPr="000738DF">
        <w:rPr>
          <w:sz w:val="24"/>
          <w:szCs w:val="24"/>
        </w:rPr>
        <w:t>polyurethan</w:t>
      </w:r>
      <w:proofErr w:type="spellEnd"/>
      <w:r w:rsidRPr="000738DF">
        <w:rPr>
          <w:sz w:val="24"/>
          <w:szCs w:val="24"/>
        </w:rPr>
        <w:t xml:space="preserve"> må ikke anvendes til klargøring og administration af </w:t>
      </w:r>
      <w:proofErr w:type="spellStart"/>
      <w:r w:rsidRPr="000738DF">
        <w:rPr>
          <w:sz w:val="24"/>
          <w:szCs w:val="24"/>
        </w:rPr>
        <w:t>cabazitaxel</w:t>
      </w:r>
      <w:proofErr w:type="spellEnd"/>
      <w:r w:rsidRPr="000738DF">
        <w:rPr>
          <w:sz w:val="24"/>
          <w:szCs w:val="24"/>
        </w:rPr>
        <w:t>.</w:t>
      </w:r>
    </w:p>
    <w:p w:rsidR="000738DF" w:rsidRPr="000738DF" w:rsidRDefault="000738DF" w:rsidP="003A24C2">
      <w:pPr>
        <w:tabs>
          <w:tab w:val="left" w:pos="851"/>
        </w:tabs>
        <w:ind w:left="851"/>
        <w:rPr>
          <w:sz w:val="24"/>
          <w:szCs w:val="24"/>
        </w:rPr>
      </w:pPr>
    </w:p>
    <w:p w:rsidR="000738DF" w:rsidRPr="000738DF" w:rsidRDefault="000738DF" w:rsidP="003A24C2">
      <w:pPr>
        <w:tabs>
          <w:tab w:val="left" w:pos="851"/>
        </w:tabs>
        <w:ind w:left="851"/>
        <w:rPr>
          <w:sz w:val="24"/>
          <w:szCs w:val="24"/>
        </w:rPr>
      </w:pPr>
      <w:proofErr w:type="spellStart"/>
      <w:r w:rsidRPr="000738DF">
        <w:rPr>
          <w:sz w:val="24"/>
          <w:szCs w:val="24"/>
        </w:rPr>
        <w:t>Cabazitaxel</w:t>
      </w:r>
      <w:proofErr w:type="spellEnd"/>
      <w:r w:rsidRPr="000738DF">
        <w:rPr>
          <w:sz w:val="24"/>
          <w:szCs w:val="24"/>
        </w:rPr>
        <w:t xml:space="preserve"> må ikke blandes med </w:t>
      </w:r>
      <w:r w:rsidRPr="000738DF">
        <w:rPr>
          <w:sz w:val="24"/>
          <w:szCs w:val="24"/>
          <w:lang w:val="fr-LU"/>
        </w:rPr>
        <w:t xml:space="preserve">andre lægemidler end </w:t>
      </w:r>
      <w:r w:rsidRPr="000738DF">
        <w:rPr>
          <w:sz w:val="24"/>
          <w:szCs w:val="24"/>
        </w:rPr>
        <w:t>dem, der er anført.</w:t>
      </w:r>
    </w:p>
    <w:p w:rsidR="000738DF" w:rsidRPr="000738DF" w:rsidRDefault="000738DF" w:rsidP="003A24C2">
      <w:pPr>
        <w:tabs>
          <w:tab w:val="left" w:pos="851"/>
        </w:tabs>
        <w:ind w:left="851"/>
        <w:rPr>
          <w:sz w:val="24"/>
          <w:szCs w:val="24"/>
        </w:rPr>
      </w:pPr>
    </w:p>
    <w:p w:rsidR="000738DF" w:rsidRPr="000738DF" w:rsidRDefault="000738DF" w:rsidP="003A24C2">
      <w:pPr>
        <w:tabs>
          <w:tab w:val="left" w:pos="851"/>
        </w:tabs>
        <w:ind w:left="851"/>
        <w:rPr>
          <w:sz w:val="24"/>
          <w:szCs w:val="24"/>
        </w:rPr>
      </w:pPr>
      <w:r w:rsidRPr="000738DF">
        <w:rPr>
          <w:sz w:val="24"/>
          <w:szCs w:val="24"/>
        </w:rPr>
        <w:t>Ikke anvendt lægemiddel samt affald heraf skal bortskaffes i henhold til lokale retningslinjer.</w:t>
      </w:r>
    </w:p>
    <w:p w:rsidR="000738DF" w:rsidRPr="000738DF" w:rsidRDefault="000738DF" w:rsidP="003A24C2">
      <w:pPr>
        <w:tabs>
          <w:tab w:val="left" w:pos="851"/>
        </w:tabs>
        <w:ind w:left="851"/>
        <w:rPr>
          <w:sz w:val="24"/>
          <w:szCs w:val="24"/>
        </w:rPr>
      </w:pPr>
    </w:p>
    <w:p w:rsidR="009260DE" w:rsidRPr="00C84483" w:rsidRDefault="009260DE" w:rsidP="003A24C2">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3A24C2" w:rsidRPr="003A24C2" w:rsidRDefault="003A24C2" w:rsidP="003A24C2">
      <w:pPr>
        <w:tabs>
          <w:tab w:val="left" w:pos="851"/>
        </w:tabs>
        <w:ind w:left="851"/>
        <w:rPr>
          <w:sz w:val="24"/>
          <w:szCs w:val="24"/>
        </w:rPr>
      </w:pPr>
      <w:proofErr w:type="spellStart"/>
      <w:r w:rsidRPr="003A24C2">
        <w:rPr>
          <w:sz w:val="24"/>
          <w:szCs w:val="24"/>
        </w:rPr>
        <w:t>S</w:t>
      </w:r>
      <w:r w:rsidR="00D55DEE">
        <w:rPr>
          <w:sz w:val="24"/>
          <w:szCs w:val="24"/>
        </w:rPr>
        <w:t>tada</w:t>
      </w:r>
      <w:proofErr w:type="spellEnd"/>
      <w:r w:rsidRPr="003A24C2">
        <w:rPr>
          <w:sz w:val="24"/>
          <w:szCs w:val="24"/>
        </w:rPr>
        <w:t xml:space="preserve"> </w:t>
      </w:r>
      <w:proofErr w:type="spellStart"/>
      <w:r w:rsidRPr="003A24C2">
        <w:rPr>
          <w:sz w:val="24"/>
          <w:szCs w:val="24"/>
        </w:rPr>
        <w:t>Arzneimittel</w:t>
      </w:r>
      <w:proofErr w:type="spellEnd"/>
      <w:r w:rsidRPr="003A24C2">
        <w:rPr>
          <w:sz w:val="24"/>
          <w:szCs w:val="24"/>
        </w:rPr>
        <w:t xml:space="preserve"> AG</w:t>
      </w:r>
    </w:p>
    <w:p w:rsidR="003A24C2" w:rsidRPr="003A24C2" w:rsidRDefault="003A24C2" w:rsidP="003A24C2">
      <w:pPr>
        <w:tabs>
          <w:tab w:val="left" w:pos="851"/>
        </w:tabs>
        <w:ind w:left="851"/>
        <w:rPr>
          <w:sz w:val="24"/>
          <w:szCs w:val="24"/>
          <w:lang w:val="nn-NO"/>
        </w:rPr>
      </w:pPr>
      <w:r w:rsidRPr="003A24C2">
        <w:rPr>
          <w:sz w:val="24"/>
          <w:szCs w:val="24"/>
          <w:lang w:val="nn-NO"/>
        </w:rPr>
        <w:t>Stadastrasse 2-18</w:t>
      </w:r>
    </w:p>
    <w:p w:rsidR="003A24C2" w:rsidRPr="003A24C2" w:rsidRDefault="003A24C2" w:rsidP="003A24C2">
      <w:pPr>
        <w:tabs>
          <w:tab w:val="left" w:pos="851"/>
        </w:tabs>
        <w:ind w:left="851"/>
        <w:rPr>
          <w:sz w:val="24"/>
          <w:szCs w:val="24"/>
          <w:lang w:val="nn-NO"/>
        </w:rPr>
      </w:pPr>
      <w:r w:rsidRPr="003A24C2">
        <w:rPr>
          <w:sz w:val="24"/>
          <w:szCs w:val="24"/>
          <w:lang w:val="nn-NO"/>
        </w:rPr>
        <w:t>61118 Bad Vilbel</w:t>
      </w:r>
    </w:p>
    <w:p w:rsidR="003A24C2" w:rsidRPr="003A24C2" w:rsidRDefault="003A24C2" w:rsidP="003A24C2">
      <w:pPr>
        <w:tabs>
          <w:tab w:val="left" w:pos="851"/>
        </w:tabs>
        <w:ind w:left="851"/>
        <w:rPr>
          <w:sz w:val="24"/>
          <w:szCs w:val="24"/>
          <w:lang w:val="nn-NO"/>
        </w:rPr>
      </w:pPr>
      <w:r w:rsidRPr="003A24C2">
        <w:rPr>
          <w:sz w:val="24"/>
          <w:szCs w:val="24"/>
          <w:lang w:val="nn-NO"/>
        </w:rPr>
        <w:t>Tyskland</w:t>
      </w:r>
    </w:p>
    <w:p w:rsidR="003A24C2" w:rsidRPr="003A24C2" w:rsidRDefault="003A24C2" w:rsidP="003A24C2">
      <w:pPr>
        <w:tabs>
          <w:tab w:val="left" w:pos="851"/>
        </w:tabs>
        <w:ind w:left="851"/>
        <w:rPr>
          <w:sz w:val="24"/>
          <w:szCs w:val="24"/>
          <w:lang w:val="nn-NO"/>
        </w:rPr>
      </w:pPr>
    </w:p>
    <w:p w:rsidR="003A24C2" w:rsidRPr="003A24C2" w:rsidRDefault="003A24C2" w:rsidP="003A24C2">
      <w:pPr>
        <w:tabs>
          <w:tab w:val="left" w:pos="851"/>
        </w:tabs>
        <w:ind w:left="851"/>
        <w:rPr>
          <w:b/>
          <w:bCs/>
          <w:sz w:val="24"/>
          <w:szCs w:val="24"/>
          <w:lang w:val="nn-NO"/>
        </w:rPr>
      </w:pPr>
      <w:r w:rsidRPr="003A24C2">
        <w:rPr>
          <w:b/>
          <w:bCs/>
          <w:sz w:val="24"/>
          <w:szCs w:val="24"/>
          <w:lang w:val="nn-NO"/>
        </w:rPr>
        <w:t>Repræsentant</w:t>
      </w:r>
    </w:p>
    <w:p w:rsidR="003A24C2" w:rsidRPr="003A24C2" w:rsidRDefault="003A24C2" w:rsidP="003A24C2">
      <w:pPr>
        <w:tabs>
          <w:tab w:val="left" w:pos="851"/>
        </w:tabs>
        <w:ind w:left="851"/>
        <w:rPr>
          <w:sz w:val="24"/>
          <w:szCs w:val="24"/>
          <w:lang w:val="fr-LU"/>
        </w:rPr>
      </w:pPr>
      <w:r w:rsidRPr="003A24C2">
        <w:rPr>
          <w:sz w:val="24"/>
          <w:szCs w:val="24"/>
          <w:lang w:val="fr-LU"/>
        </w:rPr>
        <w:t>S</w:t>
      </w:r>
      <w:r>
        <w:rPr>
          <w:sz w:val="24"/>
          <w:szCs w:val="24"/>
          <w:lang w:val="fr-LU"/>
        </w:rPr>
        <w:t>tada</w:t>
      </w:r>
      <w:r w:rsidRPr="003A24C2">
        <w:rPr>
          <w:sz w:val="24"/>
          <w:szCs w:val="24"/>
          <w:lang w:val="fr-LU"/>
        </w:rPr>
        <w:t xml:space="preserve"> Nordic ApS</w:t>
      </w:r>
    </w:p>
    <w:p w:rsidR="003A24C2" w:rsidRPr="003A24C2" w:rsidRDefault="003A24C2" w:rsidP="003A24C2">
      <w:pPr>
        <w:tabs>
          <w:tab w:val="left" w:pos="851"/>
        </w:tabs>
        <w:ind w:left="851"/>
        <w:rPr>
          <w:sz w:val="24"/>
          <w:szCs w:val="24"/>
          <w:lang w:val="fr-LU"/>
        </w:rPr>
      </w:pPr>
      <w:r w:rsidRPr="003A24C2">
        <w:rPr>
          <w:sz w:val="24"/>
          <w:szCs w:val="24"/>
          <w:lang w:val="fr-LU"/>
        </w:rPr>
        <w:t>Marielundvej 46A</w:t>
      </w:r>
    </w:p>
    <w:p w:rsidR="003A24C2" w:rsidRPr="003A24C2" w:rsidRDefault="003A24C2" w:rsidP="003A24C2">
      <w:pPr>
        <w:tabs>
          <w:tab w:val="left" w:pos="851"/>
        </w:tabs>
        <w:ind w:left="851"/>
        <w:rPr>
          <w:sz w:val="24"/>
          <w:szCs w:val="24"/>
          <w:lang w:val="fr-LU"/>
        </w:rPr>
      </w:pPr>
      <w:r w:rsidRPr="003A24C2">
        <w:rPr>
          <w:sz w:val="24"/>
          <w:szCs w:val="24"/>
          <w:lang w:val="fr-LU"/>
        </w:rPr>
        <w:t>2730 Herlev</w:t>
      </w:r>
    </w:p>
    <w:p w:rsidR="009260DE" w:rsidRPr="00C84483" w:rsidRDefault="009260DE" w:rsidP="003A24C2">
      <w:pPr>
        <w:tabs>
          <w:tab w:val="left" w:pos="851"/>
        </w:tabs>
        <w:ind w:left="851"/>
        <w:rPr>
          <w:sz w:val="24"/>
          <w:szCs w:val="24"/>
        </w:rPr>
      </w:pPr>
    </w:p>
    <w:p w:rsidR="000A4685" w:rsidRPr="00C84483" w:rsidRDefault="000A4685" w:rsidP="000A4685">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9260DE" w:rsidRPr="00C84483" w:rsidRDefault="00580B29" w:rsidP="003A24C2">
      <w:pPr>
        <w:tabs>
          <w:tab w:val="left" w:pos="851"/>
        </w:tabs>
        <w:ind w:left="851"/>
        <w:rPr>
          <w:sz w:val="24"/>
          <w:szCs w:val="24"/>
        </w:rPr>
      </w:pPr>
      <w:r>
        <w:rPr>
          <w:sz w:val="24"/>
          <w:szCs w:val="24"/>
        </w:rPr>
        <w:t>63706</w:t>
      </w:r>
    </w:p>
    <w:p w:rsidR="009260DE" w:rsidRPr="00C84483" w:rsidRDefault="009260DE" w:rsidP="003A24C2">
      <w:pPr>
        <w:tabs>
          <w:tab w:val="left" w:pos="851"/>
        </w:tabs>
        <w:ind w:left="851"/>
        <w:rPr>
          <w:sz w:val="24"/>
          <w:szCs w:val="24"/>
        </w:rPr>
      </w:pPr>
    </w:p>
    <w:p w:rsidR="009260DE" w:rsidRPr="00C84483" w:rsidRDefault="009260DE" w:rsidP="003A24C2">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F90BB5" w:rsidP="003A24C2">
      <w:pPr>
        <w:tabs>
          <w:tab w:val="left" w:pos="851"/>
        </w:tabs>
        <w:ind w:left="851"/>
        <w:rPr>
          <w:sz w:val="24"/>
          <w:szCs w:val="24"/>
        </w:rPr>
      </w:pPr>
      <w:r>
        <w:rPr>
          <w:sz w:val="24"/>
          <w:szCs w:val="24"/>
        </w:rPr>
        <w:t>27. april 2021</w:t>
      </w:r>
    </w:p>
    <w:p w:rsidR="009260DE" w:rsidRPr="00C84483" w:rsidRDefault="009260DE" w:rsidP="003A24C2">
      <w:pPr>
        <w:tabs>
          <w:tab w:val="left" w:pos="851"/>
        </w:tabs>
        <w:ind w:left="851"/>
        <w:rPr>
          <w:sz w:val="24"/>
          <w:szCs w:val="24"/>
        </w:rPr>
      </w:pPr>
    </w:p>
    <w:p w:rsidR="009260DE" w:rsidRPr="00C84483" w:rsidRDefault="009260DE" w:rsidP="003A24C2">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0A4685" w:rsidP="009260DE">
      <w:pPr>
        <w:tabs>
          <w:tab w:val="left" w:pos="851"/>
        </w:tabs>
        <w:ind w:left="851"/>
        <w:rPr>
          <w:sz w:val="24"/>
          <w:szCs w:val="24"/>
        </w:rPr>
      </w:pPr>
      <w:r>
        <w:rPr>
          <w:sz w:val="24"/>
          <w:szCs w:val="24"/>
        </w:rPr>
        <w:t>6. september 2024</w:t>
      </w:r>
    </w:p>
    <w:sectPr w:rsidR="009260DE" w:rsidRPr="00C8448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E14" w:rsidRDefault="00962E14">
      <w:r>
        <w:separator/>
      </w:r>
    </w:p>
  </w:endnote>
  <w:endnote w:type="continuationSeparator" w:id="0">
    <w:p w:rsidR="00962E14" w:rsidRDefault="0096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E14" w:rsidRDefault="00962E14">
    <w:pPr>
      <w:pStyle w:val="Sidefod"/>
      <w:pBdr>
        <w:bottom w:val="single" w:sz="6" w:space="1" w:color="auto"/>
      </w:pBdr>
    </w:pPr>
  </w:p>
  <w:p w:rsidR="00962E14" w:rsidRDefault="00962E14" w:rsidP="00C42586">
    <w:pPr>
      <w:pStyle w:val="Sidefod"/>
      <w:tabs>
        <w:tab w:val="clear" w:pos="4819"/>
        <w:tab w:val="left" w:pos="8505"/>
      </w:tabs>
      <w:rPr>
        <w:i/>
        <w:sz w:val="18"/>
        <w:szCs w:val="18"/>
      </w:rPr>
    </w:pPr>
  </w:p>
  <w:p w:rsidR="00962E14" w:rsidRPr="00B373D7" w:rsidRDefault="00962E1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Cabazitaxel Stada, koncentrat til infusionsvæske, opløsning 20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E14" w:rsidRDefault="00962E14">
      <w:r>
        <w:separator/>
      </w:r>
    </w:p>
  </w:footnote>
  <w:footnote w:type="continuationSeparator" w:id="0">
    <w:p w:rsidR="00962E14" w:rsidRDefault="00962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650B75"/>
    <w:multiLevelType w:val="hybridMultilevel"/>
    <w:tmpl w:val="8F2AD6F4"/>
    <w:lvl w:ilvl="0" w:tplc="B47C7F42">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AE"/>
    <w:rsid w:val="0000796C"/>
    <w:rsid w:val="000259B9"/>
    <w:rsid w:val="00041491"/>
    <w:rsid w:val="00050D16"/>
    <w:rsid w:val="000738DF"/>
    <w:rsid w:val="00074F2A"/>
    <w:rsid w:val="00084856"/>
    <w:rsid w:val="000A0710"/>
    <w:rsid w:val="000A1CA8"/>
    <w:rsid w:val="000A466B"/>
    <w:rsid w:val="000A4685"/>
    <w:rsid w:val="000B058C"/>
    <w:rsid w:val="000D5CAA"/>
    <w:rsid w:val="000E4EE6"/>
    <w:rsid w:val="001422AF"/>
    <w:rsid w:val="001454E2"/>
    <w:rsid w:val="00156AA6"/>
    <w:rsid w:val="001932A3"/>
    <w:rsid w:val="001C50E8"/>
    <w:rsid w:val="001E0290"/>
    <w:rsid w:val="001E635F"/>
    <w:rsid w:val="00206CE8"/>
    <w:rsid w:val="0021526C"/>
    <w:rsid w:val="00227A12"/>
    <w:rsid w:val="00227CA8"/>
    <w:rsid w:val="0025713C"/>
    <w:rsid w:val="00281417"/>
    <w:rsid w:val="00283A2B"/>
    <w:rsid w:val="002A47D6"/>
    <w:rsid w:val="002B30AD"/>
    <w:rsid w:val="002C2C01"/>
    <w:rsid w:val="00331C15"/>
    <w:rsid w:val="003551D9"/>
    <w:rsid w:val="003A24C2"/>
    <w:rsid w:val="003A29AE"/>
    <w:rsid w:val="003A323E"/>
    <w:rsid w:val="003A32D7"/>
    <w:rsid w:val="003B4074"/>
    <w:rsid w:val="003C56F9"/>
    <w:rsid w:val="003C769A"/>
    <w:rsid w:val="003D6C65"/>
    <w:rsid w:val="003E672B"/>
    <w:rsid w:val="003F1838"/>
    <w:rsid w:val="00401785"/>
    <w:rsid w:val="0040246E"/>
    <w:rsid w:val="00403082"/>
    <w:rsid w:val="0045746C"/>
    <w:rsid w:val="004845F2"/>
    <w:rsid w:val="004849B7"/>
    <w:rsid w:val="004902CD"/>
    <w:rsid w:val="0049104B"/>
    <w:rsid w:val="00491883"/>
    <w:rsid w:val="00495018"/>
    <w:rsid w:val="00496155"/>
    <w:rsid w:val="004D3001"/>
    <w:rsid w:val="004D6A99"/>
    <w:rsid w:val="004D7241"/>
    <w:rsid w:val="004E3B12"/>
    <w:rsid w:val="00510823"/>
    <w:rsid w:val="0052700B"/>
    <w:rsid w:val="00532310"/>
    <w:rsid w:val="0056508E"/>
    <w:rsid w:val="00565F0F"/>
    <w:rsid w:val="00580B29"/>
    <w:rsid w:val="00594A86"/>
    <w:rsid w:val="00596D86"/>
    <w:rsid w:val="005D41A6"/>
    <w:rsid w:val="006113B9"/>
    <w:rsid w:val="00637DF0"/>
    <w:rsid w:val="00637F5A"/>
    <w:rsid w:val="006560B1"/>
    <w:rsid w:val="006613B6"/>
    <w:rsid w:val="006756DD"/>
    <w:rsid w:val="006C78A7"/>
    <w:rsid w:val="006E699F"/>
    <w:rsid w:val="00716DDF"/>
    <w:rsid w:val="00737275"/>
    <w:rsid w:val="007376A3"/>
    <w:rsid w:val="00740EEC"/>
    <w:rsid w:val="00742871"/>
    <w:rsid w:val="00752C18"/>
    <w:rsid w:val="007553C5"/>
    <w:rsid w:val="00765BBD"/>
    <w:rsid w:val="0078011A"/>
    <w:rsid w:val="00782AF4"/>
    <w:rsid w:val="00787E1C"/>
    <w:rsid w:val="00790EE7"/>
    <w:rsid w:val="007A5ABB"/>
    <w:rsid w:val="007B2F32"/>
    <w:rsid w:val="007B3A9D"/>
    <w:rsid w:val="007B6649"/>
    <w:rsid w:val="007C38BB"/>
    <w:rsid w:val="007C6149"/>
    <w:rsid w:val="00802E89"/>
    <w:rsid w:val="0082576E"/>
    <w:rsid w:val="008439A4"/>
    <w:rsid w:val="00845ADF"/>
    <w:rsid w:val="00870718"/>
    <w:rsid w:val="008A63AB"/>
    <w:rsid w:val="008B2E67"/>
    <w:rsid w:val="008D632D"/>
    <w:rsid w:val="008F3B99"/>
    <w:rsid w:val="008F625B"/>
    <w:rsid w:val="00902C34"/>
    <w:rsid w:val="00907F75"/>
    <w:rsid w:val="00920C6B"/>
    <w:rsid w:val="009260DE"/>
    <w:rsid w:val="0093258A"/>
    <w:rsid w:val="00962E14"/>
    <w:rsid w:val="009B5C06"/>
    <w:rsid w:val="009C36A6"/>
    <w:rsid w:val="009C68DB"/>
    <w:rsid w:val="009C7BA3"/>
    <w:rsid w:val="009D1F5A"/>
    <w:rsid w:val="009D4081"/>
    <w:rsid w:val="00A47E22"/>
    <w:rsid w:val="00A56312"/>
    <w:rsid w:val="00AE5E69"/>
    <w:rsid w:val="00B003BF"/>
    <w:rsid w:val="00B1288D"/>
    <w:rsid w:val="00B35740"/>
    <w:rsid w:val="00B373D7"/>
    <w:rsid w:val="00BD22E0"/>
    <w:rsid w:val="00BD49CD"/>
    <w:rsid w:val="00BE3A14"/>
    <w:rsid w:val="00BE4739"/>
    <w:rsid w:val="00BF3609"/>
    <w:rsid w:val="00C14F73"/>
    <w:rsid w:val="00C22F5E"/>
    <w:rsid w:val="00C3365C"/>
    <w:rsid w:val="00C36276"/>
    <w:rsid w:val="00C42586"/>
    <w:rsid w:val="00C56D41"/>
    <w:rsid w:val="00C60CCD"/>
    <w:rsid w:val="00C66380"/>
    <w:rsid w:val="00C67699"/>
    <w:rsid w:val="00C70EB4"/>
    <w:rsid w:val="00C75944"/>
    <w:rsid w:val="00C84483"/>
    <w:rsid w:val="00C95551"/>
    <w:rsid w:val="00CB20D7"/>
    <w:rsid w:val="00CC521C"/>
    <w:rsid w:val="00CD1BC6"/>
    <w:rsid w:val="00CE56DB"/>
    <w:rsid w:val="00CF2BE2"/>
    <w:rsid w:val="00D020B0"/>
    <w:rsid w:val="00D048AE"/>
    <w:rsid w:val="00D04FB6"/>
    <w:rsid w:val="00D11748"/>
    <w:rsid w:val="00D227B1"/>
    <w:rsid w:val="00D357F9"/>
    <w:rsid w:val="00D366CF"/>
    <w:rsid w:val="00D507B8"/>
    <w:rsid w:val="00D50AFE"/>
    <w:rsid w:val="00D55DEE"/>
    <w:rsid w:val="00D573DE"/>
    <w:rsid w:val="00D67678"/>
    <w:rsid w:val="00D852E0"/>
    <w:rsid w:val="00DC2500"/>
    <w:rsid w:val="00DE59D3"/>
    <w:rsid w:val="00E108AA"/>
    <w:rsid w:val="00E135DC"/>
    <w:rsid w:val="00E36E58"/>
    <w:rsid w:val="00E3749A"/>
    <w:rsid w:val="00E66D7C"/>
    <w:rsid w:val="00E7437F"/>
    <w:rsid w:val="00E861DA"/>
    <w:rsid w:val="00E864D7"/>
    <w:rsid w:val="00E865B8"/>
    <w:rsid w:val="00EC0B9B"/>
    <w:rsid w:val="00ED5C4E"/>
    <w:rsid w:val="00ED5E9F"/>
    <w:rsid w:val="00EE4A85"/>
    <w:rsid w:val="00EF4667"/>
    <w:rsid w:val="00EF792C"/>
    <w:rsid w:val="00F0716B"/>
    <w:rsid w:val="00F37F45"/>
    <w:rsid w:val="00F4127F"/>
    <w:rsid w:val="00F61926"/>
    <w:rsid w:val="00F66D4F"/>
    <w:rsid w:val="00F90BB5"/>
    <w:rsid w:val="00FA7171"/>
    <w:rsid w:val="00FB3D08"/>
    <w:rsid w:val="00FB6D01"/>
    <w:rsid w:val="00FC7CC3"/>
    <w:rsid w:val="00FD31A3"/>
    <w:rsid w:val="00FD6B60"/>
    <w:rsid w:val="00FF7F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65DFF"/>
  <w15:chartTrackingRefBased/>
  <w15:docId w15:val="{C2E63483-59E0-484B-8039-846BC2E8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56508E"/>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699F"/>
    <w:pPr>
      <w:autoSpaceDE w:val="0"/>
      <w:autoSpaceDN w:val="0"/>
      <w:adjustRightInd w:val="0"/>
    </w:pPr>
    <w:rP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6961">
      <w:bodyDiv w:val="1"/>
      <w:marLeft w:val="0"/>
      <w:marRight w:val="0"/>
      <w:marTop w:val="0"/>
      <w:marBottom w:val="0"/>
      <w:divBdr>
        <w:top w:val="none" w:sz="0" w:space="0" w:color="auto"/>
        <w:left w:val="none" w:sz="0" w:space="0" w:color="auto"/>
        <w:bottom w:val="none" w:sz="0" w:space="0" w:color="auto"/>
        <w:right w:val="none" w:sz="0" w:space="0" w:color="auto"/>
      </w:divBdr>
    </w:div>
    <w:div w:id="129835251">
      <w:bodyDiv w:val="1"/>
      <w:marLeft w:val="0"/>
      <w:marRight w:val="0"/>
      <w:marTop w:val="0"/>
      <w:marBottom w:val="0"/>
      <w:divBdr>
        <w:top w:val="none" w:sz="0" w:space="0" w:color="auto"/>
        <w:left w:val="none" w:sz="0" w:space="0" w:color="auto"/>
        <w:bottom w:val="none" w:sz="0" w:space="0" w:color="auto"/>
        <w:right w:val="none" w:sz="0" w:space="0" w:color="auto"/>
      </w:divBdr>
    </w:div>
    <w:div w:id="13854697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9460941">
      <w:bodyDiv w:val="1"/>
      <w:marLeft w:val="0"/>
      <w:marRight w:val="0"/>
      <w:marTop w:val="0"/>
      <w:marBottom w:val="0"/>
      <w:divBdr>
        <w:top w:val="none" w:sz="0" w:space="0" w:color="auto"/>
        <w:left w:val="none" w:sz="0" w:space="0" w:color="auto"/>
        <w:bottom w:val="none" w:sz="0" w:space="0" w:color="auto"/>
        <w:right w:val="none" w:sz="0" w:space="0" w:color="auto"/>
      </w:divBdr>
    </w:div>
    <w:div w:id="215746197">
      <w:bodyDiv w:val="1"/>
      <w:marLeft w:val="0"/>
      <w:marRight w:val="0"/>
      <w:marTop w:val="0"/>
      <w:marBottom w:val="0"/>
      <w:divBdr>
        <w:top w:val="none" w:sz="0" w:space="0" w:color="auto"/>
        <w:left w:val="none" w:sz="0" w:space="0" w:color="auto"/>
        <w:bottom w:val="none" w:sz="0" w:space="0" w:color="auto"/>
        <w:right w:val="none" w:sz="0" w:space="0" w:color="auto"/>
      </w:divBdr>
    </w:div>
    <w:div w:id="251202228">
      <w:bodyDiv w:val="1"/>
      <w:marLeft w:val="0"/>
      <w:marRight w:val="0"/>
      <w:marTop w:val="0"/>
      <w:marBottom w:val="0"/>
      <w:divBdr>
        <w:top w:val="none" w:sz="0" w:space="0" w:color="auto"/>
        <w:left w:val="none" w:sz="0" w:space="0" w:color="auto"/>
        <w:bottom w:val="none" w:sz="0" w:space="0" w:color="auto"/>
        <w:right w:val="none" w:sz="0" w:space="0" w:color="auto"/>
      </w:divBdr>
    </w:div>
    <w:div w:id="265309021">
      <w:bodyDiv w:val="1"/>
      <w:marLeft w:val="0"/>
      <w:marRight w:val="0"/>
      <w:marTop w:val="0"/>
      <w:marBottom w:val="0"/>
      <w:divBdr>
        <w:top w:val="none" w:sz="0" w:space="0" w:color="auto"/>
        <w:left w:val="none" w:sz="0" w:space="0" w:color="auto"/>
        <w:bottom w:val="none" w:sz="0" w:space="0" w:color="auto"/>
        <w:right w:val="none" w:sz="0" w:space="0" w:color="auto"/>
      </w:divBdr>
    </w:div>
    <w:div w:id="355273956">
      <w:bodyDiv w:val="1"/>
      <w:marLeft w:val="0"/>
      <w:marRight w:val="0"/>
      <w:marTop w:val="0"/>
      <w:marBottom w:val="0"/>
      <w:divBdr>
        <w:top w:val="none" w:sz="0" w:space="0" w:color="auto"/>
        <w:left w:val="none" w:sz="0" w:space="0" w:color="auto"/>
        <w:bottom w:val="none" w:sz="0" w:space="0" w:color="auto"/>
        <w:right w:val="none" w:sz="0" w:space="0" w:color="auto"/>
      </w:divBdr>
    </w:div>
    <w:div w:id="377170265">
      <w:bodyDiv w:val="1"/>
      <w:marLeft w:val="0"/>
      <w:marRight w:val="0"/>
      <w:marTop w:val="0"/>
      <w:marBottom w:val="0"/>
      <w:divBdr>
        <w:top w:val="none" w:sz="0" w:space="0" w:color="auto"/>
        <w:left w:val="none" w:sz="0" w:space="0" w:color="auto"/>
        <w:bottom w:val="none" w:sz="0" w:space="0" w:color="auto"/>
        <w:right w:val="none" w:sz="0" w:space="0" w:color="auto"/>
      </w:divBdr>
    </w:div>
    <w:div w:id="383916085">
      <w:bodyDiv w:val="1"/>
      <w:marLeft w:val="0"/>
      <w:marRight w:val="0"/>
      <w:marTop w:val="0"/>
      <w:marBottom w:val="0"/>
      <w:divBdr>
        <w:top w:val="none" w:sz="0" w:space="0" w:color="auto"/>
        <w:left w:val="none" w:sz="0" w:space="0" w:color="auto"/>
        <w:bottom w:val="none" w:sz="0" w:space="0" w:color="auto"/>
        <w:right w:val="none" w:sz="0" w:space="0" w:color="auto"/>
      </w:divBdr>
    </w:div>
    <w:div w:id="406851688">
      <w:bodyDiv w:val="1"/>
      <w:marLeft w:val="0"/>
      <w:marRight w:val="0"/>
      <w:marTop w:val="0"/>
      <w:marBottom w:val="0"/>
      <w:divBdr>
        <w:top w:val="none" w:sz="0" w:space="0" w:color="auto"/>
        <w:left w:val="none" w:sz="0" w:space="0" w:color="auto"/>
        <w:bottom w:val="none" w:sz="0" w:space="0" w:color="auto"/>
        <w:right w:val="none" w:sz="0" w:space="0" w:color="auto"/>
      </w:divBdr>
    </w:div>
    <w:div w:id="444616484">
      <w:bodyDiv w:val="1"/>
      <w:marLeft w:val="0"/>
      <w:marRight w:val="0"/>
      <w:marTop w:val="0"/>
      <w:marBottom w:val="0"/>
      <w:divBdr>
        <w:top w:val="none" w:sz="0" w:space="0" w:color="auto"/>
        <w:left w:val="none" w:sz="0" w:space="0" w:color="auto"/>
        <w:bottom w:val="none" w:sz="0" w:space="0" w:color="auto"/>
        <w:right w:val="none" w:sz="0" w:space="0" w:color="auto"/>
      </w:divBdr>
    </w:div>
    <w:div w:id="466823762">
      <w:bodyDiv w:val="1"/>
      <w:marLeft w:val="0"/>
      <w:marRight w:val="0"/>
      <w:marTop w:val="0"/>
      <w:marBottom w:val="0"/>
      <w:divBdr>
        <w:top w:val="none" w:sz="0" w:space="0" w:color="auto"/>
        <w:left w:val="none" w:sz="0" w:space="0" w:color="auto"/>
        <w:bottom w:val="none" w:sz="0" w:space="0" w:color="auto"/>
        <w:right w:val="none" w:sz="0" w:space="0" w:color="auto"/>
      </w:divBdr>
    </w:div>
    <w:div w:id="501552586">
      <w:bodyDiv w:val="1"/>
      <w:marLeft w:val="0"/>
      <w:marRight w:val="0"/>
      <w:marTop w:val="0"/>
      <w:marBottom w:val="0"/>
      <w:divBdr>
        <w:top w:val="none" w:sz="0" w:space="0" w:color="auto"/>
        <w:left w:val="none" w:sz="0" w:space="0" w:color="auto"/>
        <w:bottom w:val="none" w:sz="0" w:space="0" w:color="auto"/>
        <w:right w:val="none" w:sz="0" w:space="0" w:color="auto"/>
      </w:divBdr>
    </w:div>
    <w:div w:id="543175690">
      <w:bodyDiv w:val="1"/>
      <w:marLeft w:val="0"/>
      <w:marRight w:val="0"/>
      <w:marTop w:val="0"/>
      <w:marBottom w:val="0"/>
      <w:divBdr>
        <w:top w:val="none" w:sz="0" w:space="0" w:color="auto"/>
        <w:left w:val="none" w:sz="0" w:space="0" w:color="auto"/>
        <w:bottom w:val="none" w:sz="0" w:space="0" w:color="auto"/>
        <w:right w:val="none" w:sz="0" w:space="0" w:color="auto"/>
      </w:divBdr>
    </w:div>
    <w:div w:id="734008698">
      <w:bodyDiv w:val="1"/>
      <w:marLeft w:val="0"/>
      <w:marRight w:val="0"/>
      <w:marTop w:val="0"/>
      <w:marBottom w:val="0"/>
      <w:divBdr>
        <w:top w:val="none" w:sz="0" w:space="0" w:color="auto"/>
        <w:left w:val="none" w:sz="0" w:space="0" w:color="auto"/>
        <w:bottom w:val="none" w:sz="0" w:space="0" w:color="auto"/>
        <w:right w:val="none" w:sz="0" w:space="0" w:color="auto"/>
      </w:divBdr>
    </w:div>
    <w:div w:id="742871361">
      <w:bodyDiv w:val="1"/>
      <w:marLeft w:val="0"/>
      <w:marRight w:val="0"/>
      <w:marTop w:val="0"/>
      <w:marBottom w:val="0"/>
      <w:divBdr>
        <w:top w:val="none" w:sz="0" w:space="0" w:color="auto"/>
        <w:left w:val="none" w:sz="0" w:space="0" w:color="auto"/>
        <w:bottom w:val="none" w:sz="0" w:space="0" w:color="auto"/>
        <w:right w:val="none" w:sz="0" w:space="0" w:color="auto"/>
      </w:divBdr>
    </w:div>
    <w:div w:id="745761809">
      <w:bodyDiv w:val="1"/>
      <w:marLeft w:val="0"/>
      <w:marRight w:val="0"/>
      <w:marTop w:val="0"/>
      <w:marBottom w:val="0"/>
      <w:divBdr>
        <w:top w:val="none" w:sz="0" w:space="0" w:color="auto"/>
        <w:left w:val="none" w:sz="0" w:space="0" w:color="auto"/>
        <w:bottom w:val="none" w:sz="0" w:space="0" w:color="auto"/>
        <w:right w:val="none" w:sz="0" w:space="0" w:color="auto"/>
      </w:divBdr>
    </w:div>
    <w:div w:id="924339313">
      <w:bodyDiv w:val="1"/>
      <w:marLeft w:val="0"/>
      <w:marRight w:val="0"/>
      <w:marTop w:val="0"/>
      <w:marBottom w:val="0"/>
      <w:divBdr>
        <w:top w:val="none" w:sz="0" w:space="0" w:color="auto"/>
        <w:left w:val="none" w:sz="0" w:space="0" w:color="auto"/>
        <w:bottom w:val="none" w:sz="0" w:space="0" w:color="auto"/>
        <w:right w:val="none" w:sz="0" w:space="0" w:color="auto"/>
      </w:divBdr>
    </w:div>
    <w:div w:id="997071487">
      <w:bodyDiv w:val="1"/>
      <w:marLeft w:val="0"/>
      <w:marRight w:val="0"/>
      <w:marTop w:val="0"/>
      <w:marBottom w:val="0"/>
      <w:divBdr>
        <w:top w:val="none" w:sz="0" w:space="0" w:color="auto"/>
        <w:left w:val="none" w:sz="0" w:space="0" w:color="auto"/>
        <w:bottom w:val="none" w:sz="0" w:space="0" w:color="auto"/>
        <w:right w:val="none" w:sz="0" w:space="0" w:color="auto"/>
      </w:divBdr>
    </w:div>
    <w:div w:id="1039286343">
      <w:bodyDiv w:val="1"/>
      <w:marLeft w:val="0"/>
      <w:marRight w:val="0"/>
      <w:marTop w:val="0"/>
      <w:marBottom w:val="0"/>
      <w:divBdr>
        <w:top w:val="none" w:sz="0" w:space="0" w:color="auto"/>
        <w:left w:val="none" w:sz="0" w:space="0" w:color="auto"/>
        <w:bottom w:val="none" w:sz="0" w:space="0" w:color="auto"/>
        <w:right w:val="none" w:sz="0" w:space="0" w:color="auto"/>
      </w:divBdr>
    </w:div>
    <w:div w:id="1067803936">
      <w:bodyDiv w:val="1"/>
      <w:marLeft w:val="0"/>
      <w:marRight w:val="0"/>
      <w:marTop w:val="0"/>
      <w:marBottom w:val="0"/>
      <w:divBdr>
        <w:top w:val="none" w:sz="0" w:space="0" w:color="auto"/>
        <w:left w:val="none" w:sz="0" w:space="0" w:color="auto"/>
        <w:bottom w:val="none" w:sz="0" w:space="0" w:color="auto"/>
        <w:right w:val="none" w:sz="0" w:space="0" w:color="auto"/>
      </w:divBdr>
    </w:div>
    <w:div w:id="1076896675">
      <w:bodyDiv w:val="1"/>
      <w:marLeft w:val="0"/>
      <w:marRight w:val="0"/>
      <w:marTop w:val="0"/>
      <w:marBottom w:val="0"/>
      <w:divBdr>
        <w:top w:val="none" w:sz="0" w:space="0" w:color="auto"/>
        <w:left w:val="none" w:sz="0" w:space="0" w:color="auto"/>
        <w:bottom w:val="none" w:sz="0" w:space="0" w:color="auto"/>
        <w:right w:val="none" w:sz="0" w:space="0" w:color="auto"/>
      </w:divBdr>
    </w:div>
    <w:div w:id="1169976971">
      <w:bodyDiv w:val="1"/>
      <w:marLeft w:val="0"/>
      <w:marRight w:val="0"/>
      <w:marTop w:val="0"/>
      <w:marBottom w:val="0"/>
      <w:divBdr>
        <w:top w:val="none" w:sz="0" w:space="0" w:color="auto"/>
        <w:left w:val="none" w:sz="0" w:space="0" w:color="auto"/>
        <w:bottom w:val="none" w:sz="0" w:space="0" w:color="auto"/>
        <w:right w:val="none" w:sz="0" w:space="0" w:color="auto"/>
      </w:divBdr>
    </w:div>
    <w:div w:id="1191187234">
      <w:bodyDiv w:val="1"/>
      <w:marLeft w:val="0"/>
      <w:marRight w:val="0"/>
      <w:marTop w:val="0"/>
      <w:marBottom w:val="0"/>
      <w:divBdr>
        <w:top w:val="none" w:sz="0" w:space="0" w:color="auto"/>
        <w:left w:val="none" w:sz="0" w:space="0" w:color="auto"/>
        <w:bottom w:val="none" w:sz="0" w:space="0" w:color="auto"/>
        <w:right w:val="none" w:sz="0" w:space="0" w:color="auto"/>
      </w:divBdr>
    </w:div>
    <w:div w:id="1343240884">
      <w:bodyDiv w:val="1"/>
      <w:marLeft w:val="0"/>
      <w:marRight w:val="0"/>
      <w:marTop w:val="0"/>
      <w:marBottom w:val="0"/>
      <w:divBdr>
        <w:top w:val="none" w:sz="0" w:space="0" w:color="auto"/>
        <w:left w:val="none" w:sz="0" w:space="0" w:color="auto"/>
        <w:bottom w:val="none" w:sz="0" w:space="0" w:color="auto"/>
        <w:right w:val="none" w:sz="0" w:space="0" w:color="auto"/>
      </w:divBdr>
    </w:div>
    <w:div w:id="1425883572">
      <w:bodyDiv w:val="1"/>
      <w:marLeft w:val="0"/>
      <w:marRight w:val="0"/>
      <w:marTop w:val="0"/>
      <w:marBottom w:val="0"/>
      <w:divBdr>
        <w:top w:val="none" w:sz="0" w:space="0" w:color="auto"/>
        <w:left w:val="none" w:sz="0" w:space="0" w:color="auto"/>
        <w:bottom w:val="none" w:sz="0" w:space="0" w:color="auto"/>
        <w:right w:val="none" w:sz="0" w:space="0" w:color="auto"/>
      </w:divBdr>
    </w:div>
    <w:div w:id="1458992831">
      <w:bodyDiv w:val="1"/>
      <w:marLeft w:val="0"/>
      <w:marRight w:val="0"/>
      <w:marTop w:val="0"/>
      <w:marBottom w:val="0"/>
      <w:divBdr>
        <w:top w:val="none" w:sz="0" w:space="0" w:color="auto"/>
        <w:left w:val="none" w:sz="0" w:space="0" w:color="auto"/>
        <w:bottom w:val="none" w:sz="0" w:space="0" w:color="auto"/>
        <w:right w:val="none" w:sz="0" w:space="0" w:color="auto"/>
      </w:divBdr>
    </w:div>
    <w:div w:id="1550875140">
      <w:bodyDiv w:val="1"/>
      <w:marLeft w:val="0"/>
      <w:marRight w:val="0"/>
      <w:marTop w:val="0"/>
      <w:marBottom w:val="0"/>
      <w:divBdr>
        <w:top w:val="none" w:sz="0" w:space="0" w:color="auto"/>
        <w:left w:val="none" w:sz="0" w:space="0" w:color="auto"/>
        <w:bottom w:val="none" w:sz="0" w:space="0" w:color="auto"/>
        <w:right w:val="none" w:sz="0" w:space="0" w:color="auto"/>
      </w:divBdr>
    </w:div>
    <w:div w:id="1639187240">
      <w:bodyDiv w:val="1"/>
      <w:marLeft w:val="0"/>
      <w:marRight w:val="0"/>
      <w:marTop w:val="0"/>
      <w:marBottom w:val="0"/>
      <w:divBdr>
        <w:top w:val="none" w:sz="0" w:space="0" w:color="auto"/>
        <w:left w:val="none" w:sz="0" w:space="0" w:color="auto"/>
        <w:bottom w:val="none" w:sz="0" w:space="0" w:color="auto"/>
        <w:right w:val="none" w:sz="0" w:space="0" w:color="auto"/>
      </w:divBdr>
    </w:div>
    <w:div w:id="1652639653">
      <w:bodyDiv w:val="1"/>
      <w:marLeft w:val="0"/>
      <w:marRight w:val="0"/>
      <w:marTop w:val="0"/>
      <w:marBottom w:val="0"/>
      <w:divBdr>
        <w:top w:val="none" w:sz="0" w:space="0" w:color="auto"/>
        <w:left w:val="none" w:sz="0" w:space="0" w:color="auto"/>
        <w:bottom w:val="none" w:sz="0" w:space="0" w:color="auto"/>
        <w:right w:val="none" w:sz="0" w:space="0" w:color="auto"/>
      </w:divBdr>
    </w:div>
    <w:div w:id="1736512427">
      <w:bodyDiv w:val="1"/>
      <w:marLeft w:val="0"/>
      <w:marRight w:val="0"/>
      <w:marTop w:val="0"/>
      <w:marBottom w:val="0"/>
      <w:divBdr>
        <w:top w:val="none" w:sz="0" w:space="0" w:color="auto"/>
        <w:left w:val="none" w:sz="0" w:space="0" w:color="auto"/>
        <w:bottom w:val="none" w:sz="0" w:space="0" w:color="auto"/>
        <w:right w:val="none" w:sz="0" w:space="0" w:color="auto"/>
      </w:divBdr>
    </w:div>
    <w:div w:id="1752851027">
      <w:bodyDiv w:val="1"/>
      <w:marLeft w:val="0"/>
      <w:marRight w:val="0"/>
      <w:marTop w:val="0"/>
      <w:marBottom w:val="0"/>
      <w:divBdr>
        <w:top w:val="none" w:sz="0" w:space="0" w:color="auto"/>
        <w:left w:val="none" w:sz="0" w:space="0" w:color="auto"/>
        <w:bottom w:val="none" w:sz="0" w:space="0" w:color="auto"/>
        <w:right w:val="none" w:sz="0" w:space="0" w:color="auto"/>
      </w:divBdr>
    </w:div>
    <w:div w:id="1755741377">
      <w:bodyDiv w:val="1"/>
      <w:marLeft w:val="0"/>
      <w:marRight w:val="0"/>
      <w:marTop w:val="0"/>
      <w:marBottom w:val="0"/>
      <w:divBdr>
        <w:top w:val="none" w:sz="0" w:space="0" w:color="auto"/>
        <w:left w:val="none" w:sz="0" w:space="0" w:color="auto"/>
        <w:bottom w:val="none" w:sz="0" w:space="0" w:color="auto"/>
        <w:right w:val="none" w:sz="0" w:space="0" w:color="auto"/>
      </w:divBdr>
    </w:div>
    <w:div w:id="1757170775">
      <w:bodyDiv w:val="1"/>
      <w:marLeft w:val="0"/>
      <w:marRight w:val="0"/>
      <w:marTop w:val="0"/>
      <w:marBottom w:val="0"/>
      <w:divBdr>
        <w:top w:val="none" w:sz="0" w:space="0" w:color="auto"/>
        <w:left w:val="none" w:sz="0" w:space="0" w:color="auto"/>
        <w:bottom w:val="none" w:sz="0" w:space="0" w:color="auto"/>
        <w:right w:val="none" w:sz="0" w:space="0" w:color="auto"/>
      </w:divBdr>
    </w:div>
    <w:div w:id="1803183180">
      <w:bodyDiv w:val="1"/>
      <w:marLeft w:val="0"/>
      <w:marRight w:val="0"/>
      <w:marTop w:val="0"/>
      <w:marBottom w:val="0"/>
      <w:divBdr>
        <w:top w:val="none" w:sz="0" w:space="0" w:color="auto"/>
        <w:left w:val="none" w:sz="0" w:space="0" w:color="auto"/>
        <w:bottom w:val="none" w:sz="0" w:space="0" w:color="auto"/>
        <w:right w:val="none" w:sz="0" w:space="0" w:color="auto"/>
      </w:divBdr>
    </w:div>
    <w:div w:id="1851529056">
      <w:bodyDiv w:val="1"/>
      <w:marLeft w:val="0"/>
      <w:marRight w:val="0"/>
      <w:marTop w:val="0"/>
      <w:marBottom w:val="0"/>
      <w:divBdr>
        <w:top w:val="none" w:sz="0" w:space="0" w:color="auto"/>
        <w:left w:val="none" w:sz="0" w:space="0" w:color="auto"/>
        <w:bottom w:val="none" w:sz="0" w:space="0" w:color="auto"/>
        <w:right w:val="none" w:sz="0" w:space="0" w:color="auto"/>
      </w:divBdr>
    </w:div>
    <w:div w:id="1984236904">
      <w:bodyDiv w:val="1"/>
      <w:marLeft w:val="0"/>
      <w:marRight w:val="0"/>
      <w:marTop w:val="0"/>
      <w:marBottom w:val="0"/>
      <w:divBdr>
        <w:top w:val="none" w:sz="0" w:space="0" w:color="auto"/>
        <w:left w:val="none" w:sz="0" w:space="0" w:color="auto"/>
        <w:bottom w:val="none" w:sz="0" w:space="0" w:color="auto"/>
        <w:right w:val="none" w:sz="0" w:space="0" w:color="auto"/>
      </w:divBdr>
    </w:div>
    <w:div w:id="1992245143">
      <w:bodyDiv w:val="1"/>
      <w:marLeft w:val="0"/>
      <w:marRight w:val="0"/>
      <w:marTop w:val="0"/>
      <w:marBottom w:val="0"/>
      <w:divBdr>
        <w:top w:val="none" w:sz="0" w:space="0" w:color="auto"/>
        <w:left w:val="none" w:sz="0" w:space="0" w:color="auto"/>
        <w:bottom w:val="none" w:sz="0" w:space="0" w:color="auto"/>
        <w:right w:val="none" w:sz="0" w:space="0" w:color="auto"/>
      </w:divBdr>
    </w:div>
    <w:div w:id="2013599646">
      <w:bodyDiv w:val="1"/>
      <w:marLeft w:val="0"/>
      <w:marRight w:val="0"/>
      <w:marTop w:val="0"/>
      <w:marBottom w:val="0"/>
      <w:divBdr>
        <w:top w:val="none" w:sz="0" w:space="0" w:color="auto"/>
        <w:left w:val="none" w:sz="0" w:space="0" w:color="auto"/>
        <w:bottom w:val="none" w:sz="0" w:space="0" w:color="auto"/>
        <w:right w:val="none" w:sz="0" w:space="0" w:color="auto"/>
      </w:divBdr>
    </w:div>
    <w:div w:id="2018195352">
      <w:bodyDiv w:val="1"/>
      <w:marLeft w:val="0"/>
      <w:marRight w:val="0"/>
      <w:marTop w:val="0"/>
      <w:marBottom w:val="0"/>
      <w:divBdr>
        <w:top w:val="none" w:sz="0" w:space="0" w:color="auto"/>
        <w:left w:val="none" w:sz="0" w:space="0" w:color="auto"/>
        <w:bottom w:val="none" w:sz="0" w:space="0" w:color="auto"/>
        <w:right w:val="none" w:sz="0" w:space="0" w:color="auto"/>
      </w:divBdr>
    </w:div>
    <w:div w:id="2048751189">
      <w:bodyDiv w:val="1"/>
      <w:marLeft w:val="0"/>
      <w:marRight w:val="0"/>
      <w:marTop w:val="0"/>
      <w:marBottom w:val="0"/>
      <w:divBdr>
        <w:top w:val="none" w:sz="0" w:space="0" w:color="auto"/>
        <w:left w:val="none" w:sz="0" w:space="0" w:color="auto"/>
        <w:bottom w:val="none" w:sz="0" w:space="0" w:color="auto"/>
        <w:right w:val="none" w:sz="0" w:space="0" w:color="auto"/>
      </w:divBdr>
    </w:div>
    <w:div w:id="2059234648">
      <w:bodyDiv w:val="1"/>
      <w:marLeft w:val="0"/>
      <w:marRight w:val="0"/>
      <w:marTop w:val="0"/>
      <w:marBottom w:val="0"/>
      <w:divBdr>
        <w:top w:val="none" w:sz="0" w:space="0" w:color="auto"/>
        <w:left w:val="none" w:sz="0" w:space="0" w:color="auto"/>
        <w:bottom w:val="none" w:sz="0" w:space="0" w:color="auto"/>
        <w:right w:val="none" w:sz="0" w:space="0" w:color="auto"/>
      </w:divBdr>
    </w:div>
    <w:div w:id="2068723852">
      <w:bodyDiv w:val="1"/>
      <w:marLeft w:val="0"/>
      <w:marRight w:val="0"/>
      <w:marTop w:val="0"/>
      <w:marBottom w:val="0"/>
      <w:divBdr>
        <w:top w:val="none" w:sz="0" w:space="0" w:color="auto"/>
        <w:left w:val="none" w:sz="0" w:space="0" w:color="auto"/>
        <w:bottom w:val="none" w:sz="0" w:space="0" w:color="auto"/>
        <w:right w:val="none" w:sz="0" w:space="0" w:color="auto"/>
      </w:divBdr>
    </w:div>
    <w:div w:id="20777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23</Pages>
  <Words>7868</Words>
  <Characters>48597</Characters>
  <Application>Microsoft Office Word</Application>
  <DocSecurity>0</DocSecurity>
  <Lines>404</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2024052846, var. 7, holdbarhed ændret fra 2 til 4 åtr</dc:description>
  <cp:lastModifiedBy>Gitte Jørgensen</cp:lastModifiedBy>
  <cp:revision>7</cp:revision>
  <cp:lastPrinted>2012-08-22T08:53:00Z</cp:lastPrinted>
  <dcterms:created xsi:type="dcterms:W3CDTF">2024-09-06T06:31:00Z</dcterms:created>
  <dcterms:modified xsi:type="dcterms:W3CDTF">2024-09-06T07:36:00Z</dcterms:modified>
</cp:coreProperties>
</file>