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4FECC"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54C5202B" wp14:editId="296FE3D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045FB2C7" w14:textId="77777777" w:rsidR="009260DE" w:rsidRPr="00C84483" w:rsidRDefault="009260DE" w:rsidP="009260DE">
      <w:pPr>
        <w:pStyle w:val="Titel"/>
        <w:tabs>
          <w:tab w:val="right" w:pos="9356"/>
        </w:tabs>
        <w:jc w:val="left"/>
        <w:rPr>
          <w:b w:val="0"/>
          <w:szCs w:val="24"/>
          <w:lang w:eastAsia="en-US"/>
        </w:rPr>
      </w:pPr>
    </w:p>
    <w:p w14:paraId="665A2786" w14:textId="430C291A" w:rsidR="009260DE" w:rsidRPr="006B550F" w:rsidRDefault="009260DE" w:rsidP="009260DE">
      <w:pPr>
        <w:pStyle w:val="Titel"/>
        <w:tabs>
          <w:tab w:val="right" w:pos="9356"/>
        </w:tabs>
        <w:jc w:val="left"/>
        <w:rPr>
          <w:b w:val="0"/>
          <w:szCs w:val="24"/>
          <w:lang w:eastAsia="en-US"/>
        </w:rPr>
      </w:pPr>
      <w:r w:rsidRPr="00C84483">
        <w:rPr>
          <w:b w:val="0"/>
          <w:szCs w:val="24"/>
          <w:lang w:eastAsia="en-US"/>
        </w:rPr>
        <w:tab/>
      </w:r>
      <w:r w:rsidR="00E7162B">
        <w:rPr>
          <w:szCs w:val="24"/>
        </w:rPr>
        <w:t>24. juni 2025</w:t>
      </w:r>
    </w:p>
    <w:p w14:paraId="2BAB3877" w14:textId="77777777" w:rsidR="009260DE" w:rsidRPr="006B550F" w:rsidRDefault="009260DE" w:rsidP="009260DE">
      <w:pPr>
        <w:pStyle w:val="Titel"/>
        <w:tabs>
          <w:tab w:val="left" w:pos="8222"/>
        </w:tabs>
        <w:jc w:val="left"/>
        <w:rPr>
          <w:b w:val="0"/>
          <w:szCs w:val="24"/>
        </w:rPr>
      </w:pPr>
    </w:p>
    <w:p w14:paraId="62A1FF93" w14:textId="77777777" w:rsidR="009260DE" w:rsidRPr="006B550F" w:rsidRDefault="009260DE" w:rsidP="009260DE">
      <w:pPr>
        <w:pStyle w:val="Titel"/>
        <w:jc w:val="left"/>
        <w:rPr>
          <w:b w:val="0"/>
          <w:szCs w:val="24"/>
        </w:rPr>
      </w:pPr>
    </w:p>
    <w:p w14:paraId="7BD69C24" w14:textId="77777777" w:rsidR="009260DE" w:rsidRPr="006B550F" w:rsidRDefault="009260DE" w:rsidP="009260DE">
      <w:pPr>
        <w:pStyle w:val="Titel"/>
        <w:jc w:val="left"/>
        <w:rPr>
          <w:b w:val="0"/>
          <w:szCs w:val="24"/>
        </w:rPr>
      </w:pPr>
    </w:p>
    <w:p w14:paraId="733106F0" w14:textId="77777777" w:rsidR="009260DE" w:rsidRPr="006B550F" w:rsidRDefault="009260DE" w:rsidP="009260DE">
      <w:pPr>
        <w:jc w:val="center"/>
        <w:rPr>
          <w:b/>
          <w:sz w:val="24"/>
          <w:szCs w:val="24"/>
        </w:rPr>
      </w:pPr>
      <w:r w:rsidRPr="006B550F">
        <w:rPr>
          <w:b/>
          <w:sz w:val="24"/>
          <w:szCs w:val="24"/>
        </w:rPr>
        <w:t>PRODUKTRESUMÉ</w:t>
      </w:r>
    </w:p>
    <w:p w14:paraId="3AE41AC0" w14:textId="77777777" w:rsidR="009260DE" w:rsidRPr="006B550F" w:rsidRDefault="009260DE" w:rsidP="009260DE">
      <w:pPr>
        <w:jc w:val="center"/>
        <w:rPr>
          <w:b/>
          <w:sz w:val="24"/>
          <w:szCs w:val="24"/>
        </w:rPr>
      </w:pPr>
    </w:p>
    <w:p w14:paraId="5BE31170" w14:textId="77777777" w:rsidR="009260DE" w:rsidRPr="006B550F" w:rsidRDefault="009260DE" w:rsidP="009260DE">
      <w:pPr>
        <w:jc w:val="center"/>
        <w:rPr>
          <w:b/>
          <w:sz w:val="24"/>
          <w:szCs w:val="24"/>
        </w:rPr>
      </w:pPr>
      <w:r w:rsidRPr="006B550F">
        <w:rPr>
          <w:b/>
          <w:sz w:val="24"/>
          <w:szCs w:val="24"/>
        </w:rPr>
        <w:t>for</w:t>
      </w:r>
    </w:p>
    <w:p w14:paraId="3120DFCA" w14:textId="77777777" w:rsidR="000B058C" w:rsidRPr="006B550F" w:rsidRDefault="000B058C" w:rsidP="009260DE">
      <w:pPr>
        <w:jc w:val="center"/>
        <w:rPr>
          <w:b/>
          <w:sz w:val="24"/>
          <w:szCs w:val="24"/>
        </w:rPr>
      </w:pPr>
    </w:p>
    <w:p w14:paraId="553603A6" w14:textId="77777777" w:rsidR="009260DE" w:rsidRPr="006B550F" w:rsidRDefault="00603390" w:rsidP="009260DE">
      <w:pPr>
        <w:jc w:val="center"/>
        <w:rPr>
          <w:b/>
          <w:sz w:val="24"/>
          <w:szCs w:val="24"/>
        </w:rPr>
      </w:pPr>
      <w:r w:rsidRPr="006B550F">
        <w:rPr>
          <w:b/>
          <w:sz w:val="24"/>
          <w:szCs w:val="24"/>
        </w:rPr>
        <w:t>Cabozantinib "Teva", filmovertrukne tabletter</w:t>
      </w:r>
    </w:p>
    <w:p w14:paraId="1436EB26" w14:textId="77777777" w:rsidR="009260DE" w:rsidRPr="006B550F" w:rsidRDefault="009260DE" w:rsidP="009260DE">
      <w:pPr>
        <w:jc w:val="both"/>
        <w:rPr>
          <w:sz w:val="24"/>
          <w:szCs w:val="24"/>
        </w:rPr>
      </w:pPr>
    </w:p>
    <w:p w14:paraId="19E7BD3D" w14:textId="77777777" w:rsidR="009260DE" w:rsidRPr="006B550F" w:rsidRDefault="009260DE" w:rsidP="009260DE">
      <w:pPr>
        <w:jc w:val="both"/>
        <w:rPr>
          <w:sz w:val="24"/>
          <w:szCs w:val="24"/>
        </w:rPr>
      </w:pPr>
    </w:p>
    <w:p w14:paraId="6A539BFC" w14:textId="77777777" w:rsidR="009260DE" w:rsidRPr="006B550F" w:rsidRDefault="009260DE" w:rsidP="009260DE">
      <w:pPr>
        <w:tabs>
          <w:tab w:val="left" w:pos="851"/>
        </w:tabs>
        <w:ind w:left="851" w:hanging="851"/>
        <w:rPr>
          <w:b/>
          <w:sz w:val="24"/>
          <w:szCs w:val="24"/>
        </w:rPr>
      </w:pPr>
      <w:r w:rsidRPr="006B550F">
        <w:rPr>
          <w:b/>
          <w:sz w:val="24"/>
          <w:szCs w:val="24"/>
        </w:rPr>
        <w:t>0.</w:t>
      </w:r>
      <w:r w:rsidRPr="006B550F">
        <w:rPr>
          <w:b/>
          <w:sz w:val="24"/>
          <w:szCs w:val="24"/>
        </w:rPr>
        <w:tab/>
        <w:t>D.SP.NR.</w:t>
      </w:r>
    </w:p>
    <w:p w14:paraId="2493EFAF" w14:textId="4A458EE4" w:rsidR="009260DE" w:rsidRPr="00C84483" w:rsidRDefault="00516778" w:rsidP="009260DE">
      <w:pPr>
        <w:tabs>
          <w:tab w:val="left" w:pos="851"/>
        </w:tabs>
        <w:ind w:left="851"/>
        <w:rPr>
          <w:sz w:val="24"/>
          <w:szCs w:val="24"/>
        </w:rPr>
      </w:pPr>
      <w:r>
        <w:rPr>
          <w:sz w:val="24"/>
          <w:szCs w:val="24"/>
        </w:rPr>
        <w:t>33423</w:t>
      </w:r>
    </w:p>
    <w:p w14:paraId="5A5EDDF2" w14:textId="77777777" w:rsidR="009260DE" w:rsidRPr="00C84483" w:rsidRDefault="009260DE" w:rsidP="009260DE">
      <w:pPr>
        <w:tabs>
          <w:tab w:val="left" w:pos="851"/>
        </w:tabs>
        <w:ind w:left="851"/>
        <w:rPr>
          <w:sz w:val="24"/>
          <w:szCs w:val="24"/>
        </w:rPr>
      </w:pPr>
    </w:p>
    <w:p w14:paraId="047570CC"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2874FA75" w14:textId="4CB9A89F" w:rsidR="009260DE" w:rsidRPr="00516778" w:rsidRDefault="00516778" w:rsidP="009260DE">
      <w:pPr>
        <w:tabs>
          <w:tab w:val="left" w:pos="851"/>
        </w:tabs>
        <w:ind w:left="851"/>
        <w:rPr>
          <w:sz w:val="24"/>
          <w:szCs w:val="24"/>
        </w:rPr>
      </w:pPr>
      <w:r w:rsidRPr="00516778">
        <w:rPr>
          <w:sz w:val="24"/>
          <w:szCs w:val="24"/>
        </w:rPr>
        <w:t>Cabozantinib "Teva"</w:t>
      </w:r>
    </w:p>
    <w:p w14:paraId="2AB924C2" w14:textId="77777777" w:rsidR="009260DE" w:rsidRPr="00C84483" w:rsidRDefault="009260DE" w:rsidP="009260DE">
      <w:pPr>
        <w:tabs>
          <w:tab w:val="left" w:pos="851"/>
        </w:tabs>
        <w:ind w:left="851"/>
        <w:rPr>
          <w:sz w:val="24"/>
          <w:szCs w:val="24"/>
        </w:rPr>
      </w:pPr>
    </w:p>
    <w:p w14:paraId="1BC4008B"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314BBCF6" w14:textId="77777777" w:rsidR="00516778" w:rsidRDefault="00516778" w:rsidP="00516778">
      <w:pPr>
        <w:tabs>
          <w:tab w:val="left" w:pos="851"/>
        </w:tabs>
        <w:ind w:left="851"/>
        <w:rPr>
          <w:sz w:val="24"/>
          <w:szCs w:val="24"/>
          <w:u w:val="single"/>
        </w:rPr>
      </w:pPr>
    </w:p>
    <w:p w14:paraId="4AE40FC3" w14:textId="49A09A49" w:rsidR="00516778" w:rsidRPr="00516778" w:rsidRDefault="00516778" w:rsidP="00516778">
      <w:pPr>
        <w:tabs>
          <w:tab w:val="left" w:pos="851"/>
        </w:tabs>
        <w:ind w:left="851"/>
        <w:rPr>
          <w:sz w:val="24"/>
          <w:szCs w:val="24"/>
        </w:rPr>
      </w:pPr>
      <w:r w:rsidRPr="00516778">
        <w:rPr>
          <w:sz w:val="24"/>
          <w:szCs w:val="24"/>
          <w:u w:val="single"/>
        </w:rPr>
        <w:t>Cabozantinib "Teva" 20 mg filmovertrukne tabletter</w:t>
      </w:r>
    </w:p>
    <w:p w14:paraId="2A3D769F" w14:textId="77777777" w:rsidR="00516778" w:rsidRPr="00516778" w:rsidRDefault="00516778" w:rsidP="00516778">
      <w:pPr>
        <w:tabs>
          <w:tab w:val="left" w:pos="851"/>
        </w:tabs>
        <w:ind w:left="851"/>
        <w:rPr>
          <w:sz w:val="24"/>
          <w:szCs w:val="24"/>
        </w:rPr>
      </w:pPr>
      <w:r w:rsidRPr="00516778">
        <w:rPr>
          <w:sz w:val="24"/>
          <w:szCs w:val="24"/>
        </w:rPr>
        <w:t>Hver filmovertrukket tablet indeholder 25,34 mg cabozantinib (S)-malat svarende til 20 mg cabozantinib.</w:t>
      </w:r>
    </w:p>
    <w:p w14:paraId="12FC6FE1" w14:textId="77777777" w:rsidR="00516778" w:rsidRPr="00516778" w:rsidRDefault="00516778" w:rsidP="00516778">
      <w:pPr>
        <w:tabs>
          <w:tab w:val="left" w:pos="851"/>
        </w:tabs>
        <w:ind w:left="851"/>
        <w:rPr>
          <w:sz w:val="24"/>
          <w:szCs w:val="24"/>
        </w:rPr>
      </w:pPr>
    </w:p>
    <w:p w14:paraId="795CD477" w14:textId="77777777" w:rsidR="00516778" w:rsidRPr="00516778" w:rsidRDefault="00516778" w:rsidP="00516778">
      <w:pPr>
        <w:tabs>
          <w:tab w:val="left" w:pos="851"/>
        </w:tabs>
        <w:ind w:left="851"/>
        <w:rPr>
          <w:i/>
          <w:iCs/>
          <w:sz w:val="24"/>
          <w:szCs w:val="24"/>
        </w:rPr>
      </w:pPr>
      <w:r w:rsidRPr="00516778">
        <w:rPr>
          <w:i/>
          <w:iCs/>
          <w:sz w:val="24"/>
          <w:szCs w:val="24"/>
        </w:rPr>
        <w:t>Hjælpestof, som behandleren skal være opmærksom på</w:t>
      </w:r>
    </w:p>
    <w:p w14:paraId="794FCF3D" w14:textId="77777777" w:rsidR="00516778" w:rsidRPr="00516778" w:rsidRDefault="00516778" w:rsidP="00516778">
      <w:pPr>
        <w:tabs>
          <w:tab w:val="left" w:pos="851"/>
        </w:tabs>
        <w:ind w:left="851"/>
        <w:rPr>
          <w:sz w:val="24"/>
          <w:szCs w:val="24"/>
        </w:rPr>
      </w:pPr>
      <w:r w:rsidRPr="00516778">
        <w:rPr>
          <w:sz w:val="24"/>
          <w:szCs w:val="24"/>
        </w:rPr>
        <w:t>Hver filmovertrukket tablet indeholder 12,4 mg lactose.</w:t>
      </w:r>
    </w:p>
    <w:p w14:paraId="05CE5AAA" w14:textId="77777777" w:rsidR="00516778" w:rsidRPr="00516778" w:rsidRDefault="00516778" w:rsidP="00516778">
      <w:pPr>
        <w:tabs>
          <w:tab w:val="left" w:pos="851"/>
        </w:tabs>
        <w:ind w:left="851"/>
        <w:rPr>
          <w:sz w:val="24"/>
          <w:szCs w:val="24"/>
        </w:rPr>
      </w:pPr>
    </w:p>
    <w:p w14:paraId="5878D6D7" w14:textId="77777777" w:rsidR="00516778" w:rsidRPr="00516778" w:rsidRDefault="00516778" w:rsidP="00516778">
      <w:pPr>
        <w:tabs>
          <w:tab w:val="left" w:pos="851"/>
        </w:tabs>
        <w:ind w:left="851"/>
        <w:rPr>
          <w:sz w:val="24"/>
          <w:szCs w:val="24"/>
        </w:rPr>
      </w:pPr>
      <w:r w:rsidRPr="00516778">
        <w:rPr>
          <w:sz w:val="24"/>
          <w:szCs w:val="24"/>
          <w:u w:val="single"/>
        </w:rPr>
        <w:t>Cabozantinib "Teva" 40 mg filmovertrukne tabletter</w:t>
      </w:r>
    </w:p>
    <w:p w14:paraId="2ED6E0F4" w14:textId="77777777" w:rsidR="00516778" w:rsidRPr="00516778" w:rsidRDefault="00516778" w:rsidP="00516778">
      <w:pPr>
        <w:tabs>
          <w:tab w:val="left" w:pos="851"/>
        </w:tabs>
        <w:ind w:left="851"/>
        <w:rPr>
          <w:sz w:val="24"/>
          <w:szCs w:val="24"/>
        </w:rPr>
      </w:pPr>
      <w:r w:rsidRPr="00516778">
        <w:rPr>
          <w:sz w:val="24"/>
          <w:szCs w:val="24"/>
        </w:rPr>
        <w:t>Hver filmovertrukket tablet indeholder 50,68 mg cabozantinib (S)-malat svarende til 40 mg cabozantinib.</w:t>
      </w:r>
    </w:p>
    <w:p w14:paraId="0480CB3C" w14:textId="77777777" w:rsidR="00516778" w:rsidRPr="00516778" w:rsidRDefault="00516778" w:rsidP="00516778">
      <w:pPr>
        <w:tabs>
          <w:tab w:val="left" w:pos="851"/>
        </w:tabs>
        <w:ind w:left="851"/>
        <w:rPr>
          <w:sz w:val="24"/>
          <w:szCs w:val="24"/>
        </w:rPr>
      </w:pPr>
    </w:p>
    <w:p w14:paraId="5C016110" w14:textId="77777777" w:rsidR="00516778" w:rsidRPr="00516778" w:rsidRDefault="00516778" w:rsidP="00516778">
      <w:pPr>
        <w:tabs>
          <w:tab w:val="left" w:pos="851"/>
        </w:tabs>
        <w:ind w:left="851"/>
        <w:rPr>
          <w:i/>
          <w:iCs/>
          <w:sz w:val="24"/>
          <w:szCs w:val="24"/>
        </w:rPr>
      </w:pPr>
      <w:r w:rsidRPr="00516778">
        <w:rPr>
          <w:i/>
          <w:iCs/>
          <w:sz w:val="24"/>
          <w:szCs w:val="24"/>
        </w:rPr>
        <w:t>Hjælpestof, som behandleren skal være opmærksom på</w:t>
      </w:r>
    </w:p>
    <w:p w14:paraId="3BF5795B" w14:textId="77777777" w:rsidR="00516778" w:rsidRPr="00516778" w:rsidRDefault="00516778" w:rsidP="00516778">
      <w:pPr>
        <w:tabs>
          <w:tab w:val="left" w:pos="851"/>
        </w:tabs>
        <w:ind w:left="851"/>
        <w:rPr>
          <w:sz w:val="24"/>
          <w:szCs w:val="24"/>
        </w:rPr>
      </w:pPr>
      <w:r w:rsidRPr="00516778">
        <w:rPr>
          <w:sz w:val="24"/>
          <w:szCs w:val="24"/>
        </w:rPr>
        <w:t>Hver filmovertrukket tablet indeholder 24,80 mg lactose.</w:t>
      </w:r>
    </w:p>
    <w:p w14:paraId="533D6A08" w14:textId="77777777" w:rsidR="00516778" w:rsidRPr="00516778" w:rsidRDefault="00516778" w:rsidP="00516778">
      <w:pPr>
        <w:tabs>
          <w:tab w:val="left" w:pos="851"/>
        </w:tabs>
        <w:ind w:left="851"/>
        <w:rPr>
          <w:sz w:val="24"/>
          <w:szCs w:val="24"/>
        </w:rPr>
      </w:pPr>
    </w:p>
    <w:p w14:paraId="761983CE" w14:textId="77777777" w:rsidR="00516778" w:rsidRPr="00516778" w:rsidRDefault="00516778" w:rsidP="00516778">
      <w:pPr>
        <w:tabs>
          <w:tab w:val="left" w:pos="851"/>
        </w:tabs>
        <w:ind w:left="851"/>
        <w:rPr>
          <w:sz w:val="24"/>
          <w:szCs w:val="24"/>
        </w:rPr>
      </w:pPr>
      <w:r w:rsidRPr="00516778">
        <w:rPr>
          <w:sz w:val="24"/>
          <w:szCs w:val="24"/>
          <w:u w:val="single"/>
        </w:rPr>
        <w:t>Cabozantinib "Teva" 60 mg filmovertrukne tabletter</w:t>
      </w:r>
    </w:p>
    <w:p w14:paraId="4BE259F1" w14:textId="77777777" w:rsidR="00516778" w:rsidRPr="00516778" w:rsidRDefault="00516778" w:rsidP="00516778">
      <w:pPr>
        <w:tabs>
          <w:tab w:val="left" w:pos="851"/>
        </w:tabs>
        <w:ind w:left="851"/>
        <w:rPr>
          <w:sz w:val="24"/>
          <w:szCs w:val="24"/>
        </w:rPr>
      </w:pPr>
      <w:r w:rsidRPr="00516778">
        <w:rPr>
          <w:sz w:val="24"/>
          <w:szCs w:val="24"/>
        </w:rPr>
        <w:t>Hver filmovertrukket tablet indeholder 76,02 mg cabozantinib (S)-malat svarende til 60 mg cabozantinib.</w:t>
      </w:r>
    </w:p>
    <w:p w14:paraId="45A13FCD" w14:textId="77777777" w:rsidR="00516778" w:rsidRPr="00516778" w:rsidRDefault="00516778" w:rsidP="00516778">
      <w:pPr>
        <w:tabs>
          <w:tab w:val="left" w:pos="851"/>
        </w:tabs>
        <w:ind w:left="851"/>
        <w:rPr>
          <w:sz w:val="24"/>
          <w:szCs w:val="24"/>
        </w:rPr>
      </w:pPr>
    </w:p>
    <w:p w14:paraId="56197FBA" w14:textId="77777777" w:rsidR="00516778" w:rsidRPr="00516778" w:rsidRDefault="00516778" w:rsidP="00516778">
      <w:pPr>
        <w:tabs>
          <w:tab w:val="left" w:pos="851"/>
        </w:tabs>
        <w:ind w:left="851"/>
        <w:rPr>
          <w:i/>
          <w:iCs/>
          <w:sz w:val="24"/>
          <w:szCs w:val="24"/>
        </w:rPr>
      </w:pPr>
      <w:r w:rsidRPr="00516778">
        <w:rPr>
          <w:i/>
          <w:iCs/>
          <w:sz w:val="24"/>
          <w:szCs w:val="24"/>
        </w:rPr>
        <w:t>Hjælpestof, som behandleren skal være opmærksom på</w:t>
      </w:r>
    </w:p>
    <w:p w14:paraId="2B45DDC2" w14:textId="77777777" w:rsidR="00516778" w:rsidRPr="00516778" w:rsidRDefault="00516778" w:rsidP="00516778">
      <w:pPr>
        <w:tabs>
          <w:tab w:val="left" w:pos="851"/>
        </w:tabs>
        <w:ind w:left="851"/>
        <w:rPr>
          <w:sz w:val="24"/>
          <w:szCs w:val="24"/>
        </w:rPr>
      </w:pPr>
      <w:r w:rsidRPr="00516778">
        <w:rPr>
          <w:sz w:val="24"/>
          <w:szCs w:val="24"/>
        </w:rPr>
        <w:t xml:space="preserve">Hver filmovertrukket tablet indeholder 37,20 mg lactose. </w:t>
      </w:r>
    </w:p>
    <w:p w14:paraId="3259377D" w14:textId="77777777" w:rsidR="00516778" w:rsidRPr="00516778" w:rsidRDefault="00516778" w:rsidP="00516778">
      <w:pPr>
        <w:tabs>
          <w:tab w:val="left" w:pos="851"/>
        </w:tabs>
        <w:ind w:left="851"/>
        <w:rPr>
          <w:sz w:val="24"/>
          <w:szCs w:val="24"/>
        </w:rPr>
      </w:pPr>
    </w:p>
    <w:p w14:paraId="23B29259" w14:textId="77777777" w:rsidR="00516778" w:rsidRPr="00516778" w:rsidRDefault="00516778" w:rsidP="00516778">
      <w:pPr>
        <w:tabs>
          <w:tab w:val="left" w:pos="851"/>
        </w:tabs>
        <w:ind w:left="851"/>
        <w:rPr>
          <w:sz w:val="24"/>
          <w:szCs w:val="24"/>
        </w:rPr>
      </w:pPr>
      <w:r w:rsidRPr="00516778">
        <w:rPr>
          <w:sz w:val="24"/>
          <w:szCs w:val="24"/>
        </w:rPr>
        <w:t>Alle hjælpestoffer er anført under pkt. 6.1.</w:t>
      </w:r>
    </w:p>
    <w:p w14:paraId="7336D724" w14:textId="77777777" w:rsidR="009260DE" w:rsidRPr="00C84483" w:rsidRDefault="009260DE" w:rsidP="009260DE">
      <w:pPr>
        <w:tabs>
          <w:tab w:val="left" w:pos="851"/>
        </w:tabs>
        <w:ind w:left="851"/>
        <w:rPr>
          <w:sz w:val="24"/>
          <w:szCs w:val="24"/>
        </w:rPr>
      </w:pPr>
    </w:p>
    <w:p w14:paraId="19E875CB"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60820A6D" w14:textId="4BCA9122" w:rsidR="00516778" w:rsidRPr="00516778" w:rsidRDefault="00516778" w:rsidP="00516778">
      <w:pPr>
        <w:tabs>
          <w:tab w:val="left" w:pos="851"/>
        </w:tabs>
        <w:ind w:left="851"/>
        <w:rPr>
          <w:sz w:val="24"/>
          <w:szCs w:val="24"/>
        </w:rPr>
      </w:pPr>
      <w:r w:rsidRPr="00516778">
        <w:rPr>
          <w:sz w:val="24"/>
          <w:szCs w:val="24"/>
        </w:rPr>
        <w:t>Filmovertruk</w:t>
      </w:r>
      <w:r>
        <w:rPr>
          <w:sz w:val="24"/>
          <w:szCs w:val="24"/>
        </w:rPr>
        <w:t>ne tabletter</w:t>
      </w:r>
    </w:p>
    <w:p w14:paraId="77D6D3C2" w14:textId="77777777" w:rsidR="00516778" w:rsidRPr="00516778" w:rsidRDefault="00516778" w:rsidP="00516778">
      <w:pPr>
        <w:tabs>
          <w:tab w:val="left" w:pos="851"/>
        </w:tabs>
        <w:ind w:left="851"/>
        <w:rPr>
          <w:sz w:val="24"/>
          <w:szCs w:val="24"/>
        </w:rPr>
      </w:pPr>
    </w:p>
    <w:p w14:paraId="0786A35B" w14:textId="77777777" w:rsidR="00516778" w:rsidRPr="00516778" w:rsidRDefault="00516778" w:rsidP="00516778">
      <w:pPr>
        <w:tabs>
          <w:tab w:val="left" w:pos="851"/>
        </w:tabs>
        <w:ind w:left="851"/>
        <w:rPr>
          <w:sz w:val="24"/>
          <w:szCs w:val="24"/>
        </w:rPr>
      </w:pPr>
      <w:bookmarkStart w:id="1" w:name="_Hlk196483421"/>
      <w:r w:rsidRPr="00516778">
        <w:rPr>
          <w:sz w:val="24"/>
          <w:szCs w:val="24"/>
          <w:u w:val="single"/>
        </w:rPr>
        <w:lastRenderedPageBreak/>
        <w:t>Cabozantinib "Teva" 20 mg filmovertrukne tabletter</w:t>
      </w:r>
    </w:p>
    <w:p w14:paraId="5335807F" w14:textId="77777777" w:rsidR="00516778" w:rsidRPr="00516778" w:rsidRDefault="00516778" w:rsidP="00516778">
      <w:pPr>
        <w:tabs>
          <w:tab w:val="left" w:pos="851"/>
        </w:tabs>
        <w:ind w:left="851"/>
        <w:rPr>
          <w:sz w:val="24"/>
          <w:szCs w:val="24"/>
        </w:rPr>
      </w:pPr>
      <w:r w:rsidRPr="00516778">
        <w:rPr>
          <w:sz w:val="24"/>
          <w:szCs w:val="24"/>
        </w:rPr>
        <w:t>Lysegule, runde, filmovertrukne tabletter, præget med ”TV” på den ene side og ”1C” på den anden side. Størrelse på de overtrukne tabletter: ca. 5,6 mm.</w:t>
      </w:r>
    </w:p>
    <w:p w14:paraId="468F68F2" w14:textId="77777777" w:rsidR="00516778" w:rsidRPr="00516778" w:rsidRDefault="00516778" w:rsidP="00516778">
      <w:pPr>
        <w:tabs>
          <w:tab w:val="left" w:pos="851"/>
        </w:tabs>
        <w:ind w:left="851"/>
        <w:rPr>
          <w:sz w:val="24"/>
          <w:szCs w:val="24"/>
        </w:rPr>
      </w:pPr>
    </w:p>
    <w:p w14:paraId="06B9D978" w14:textId="77777777" w:rsidR="00516778" w:rsidRPr="00516778" w:rsidRDefault="00516778" w:rsidP="00516778">
      <w:pPr>
        <w:tabs>
          <w:tab w:val="left" w:pos="851"/>
        </w:tabs>
        <w:ind w:left="851"/>
        <w:rPr>
          <w:sz w:val="24"/>
          <w:szCs w:val="24"/>
        </w:rPr>
      </w:pPr>
      <w:r w:rsidRPr="00516778">
        <w:rPr>
          <w:sz w:val="24"/>
          <w:szCs w:val="24"/>
          <w:u w:val="single"/>
        </w:rPr>
        <w:t>Cabozantinib "Teva" 40 mg filmovertrukne tabletter</w:t>
      </w:r>
    </w:p>
    <w:p w14:paraId="22D883FF" w14:textId="77777777" w:rsidR="00516778" w:rsidRPr="00516778" w:rsidRDefault="00516778" w:rsidP="00516778">
      <w:pPr>
        <w:tabs>
          <w:tab w:val="left" w:pos="851"/>
        </w:tabs>
        <w:ind w:left="851"/>
        <w:rPr>
          <w:sz w:val="24"/>
          <w:szCs w:val="24"/>
        </w:rPr>
      </w:pPr>
      <w:r w:rsidRPr="00516778">
        <w:rPr>
          <w:sz w:val="24"/>
          <w:szCs w:val="24"/>
        </w:rPr>
        <w:t>Gule, runde, filmovertrukne tabletter, præget med ”TV” på den ene side og ”5C” på den anden side. Størrelse på de overtrukne tabletter: ca. 8,0 mm.</w:t>
      </w:r>
    </w:p>
    <w:p w14:paraId="674C9857" w14:textId="77777777" w:rsidR="00516778" w:rsidRPr="00516778" w:rsidRDefault="00516778" w:rsidP="00516778">
      <w:pPr>
        <w:tabs>
          <w:tab w:val="left" w:pos="851"/>
        </w:tabs>
        <w:ind w:left="851"/>
        <w:rPr>
          <w:sz w:val="24"/>
          <w:szCs w:val="24"/>
        </w:rPr>
      </w:pPr>
      <w:r w:rsidRPr="00516778">
        <w:rPr>
          <w:sz w:val="24"/>
          <w:szCs w:val="24"/>
        </w:rPr>
        <w:t xml:space="preserve"> </w:t>
      </w:r>
    </w:p>
    <w:p w14:paraId="007D1F1F" w14:textId="77777777" w:rsidR="00516778" w:rsidRPr="00516778" w:rsidRDefault="00516778" w:rsidP="00516778">
      <w:pPr>
        <w:tabs>
          <w:tab w:val="left" w:pos="851"/>
        </w:tabs>
        <w:ind w:left="851"/>
        <w:rPr>
          <w:sz w:val="24"/>
          <w:szCs w:val="24"/>
        </w:rPr>
      </w:pPr>
      <w:r w:rsidRPr="00516778">
        <w:rPr>
          <w:sz w:val="24"/>
          <w:szCs w:val="24"/>
          <w:u w:val="single"/>
        </w:rPr>
        <w:t>Cabozantinib "Teva" 60 mg filmovertrukne tabletter</w:t>
      </w:r>
    </w:p>
    <w:p w14:paraId="5B1F8FBF" w14:textId="77777777" w:rsidR="00516778" w:rsidRPr="00516778" w:rsidRDefault="00516778" w:rsidP="00516778">
      <w:pPr>
        <w:tabs>
          <w:tab w:val="left" w:pos="851"/>
        </w:tabs>
        <w:ind w:left="851"/>
        <w:rPr>
          <w:sz w:val="24"/>
          <w:szCs w:val="24"/>
        </w:rPr>
      </w:pPr>
      <w:r w:rsidRPr="00516778">
        <w:rPr>
          <w:sz w:val="24"/>
          <w:szCs w:val="24"/>
        </w:rPr>
        <w:t>Gule, ovale, filmovertrukne tabletter, præget med ”TV” på den ene side og ”7C” på den anden side. Størrelse på de overtrukne tabletter: ca. 11,2 x 6,4 mm.</w:t>
      </w:r>
      <w:bookmarkEnd w:id="1"/>
    </w:p>
    <w:p w14:paraId="234F6496" w14:textId="77777777" w:rsidR="009260DE" w:rsidRPr="00C84483" w:rsidRDefault="009260DE" w:rsidP="009260DE">
      <w:pPr>
        <w:tabs>
          <w:tab w:val="left" w:pos="851"/>
        </w:tabs>
        <w:ind w:left="851"/>
        <w:rPr>
          <w:sz w:val="24"/>
          <w:szCs w:val="24"/>
        </w:rPr>
      </w:pPr>
    </w:p>
    <w:p w14:paraId="37D28A83" w14:textId="77777777" w:rsidR="009260DE" w:rsidRPr="00C84483" w:rsidRDefault="009260DE" w:rsidP="009260DE">
      <w:pPr>
        <w:tabs>
          <w:tab w:val="left" w:pos="851"/>
        </w:tabs>
        <w:ind w:left="851"/>
        <w:rPr>
          <w:sz w:val="24"/>
          <w:szCs w:val="24"/>
        </w:rPr>
      </w:pPr>
    </w:p>
    <w:p w14:paraId="23188A06"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7F73D820" w14:textId="77777777" w:rsidR="009260DE" w:rsidRPr="00C84483" w:rsidRDefault="009260DE" w:rsidP="009260DE">
      <w:pPr>
        <w:tabs>
          <w:tab w:val="left" w:pos="851"/>
        </w:tabs>
        <w:ind w:left="851"/>
        <w:rPr>
          <w:b/>
          <w:sz w:val="24"/>
          <w:szCs w:val="24"/>
        </w:rPr>
      </w:pPr>
    </w:p>
    <w:p w14:paraId="1A373C90"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1B5CADE0" w14:textId="77777777" w:rsidR="00516778" w:rsidRDefault="00516778" w:rsidP="00516778">
      <w:pPr>
        <w:tabs>
          <w:tab w:val="left" w:pos="851"/>
        </w:tabs>
        <w:ind w:left="851"/>
        <w:rPr>
          <w:sz w:val="24"/>
          <w:szCs w:val="24"/>
          <w:u w:val="single"/>
        </w:rPr>
      </w:pPr>
    </w:p>
    <w:p w14:paraId="73C8C529" w14:textId="5D1575FF" w:rsidR="00516778" w:rsidRPr="00516778" w:rsidRDefault="00516778" w:rsidP="00516778">
      <w:pPr>
        <w:tabs>
          <w:tab w:val="left" w:pos="851"/>
        </w:tabs>
        <w:ind w:left="851"/>
        <w:rPr>
          <w:sz w:val="24"/>
          <w:szCs w:val="24"/>
        </w:rPr>
      </w:pPr>
      <w:r w:rsidRPr="00516778">
        <w:rPr>
          <w:sz w:val="24"/>
          <w:szCs w:val="24"/>
          <w:u w:val="single"/>
        </w:rPr>
        <w:t>Nyrecellekarcinom (RCC)</w:t>
      </w:r>
    </w:p>
    <w:p w14:paraId="7840B27F" w14:textId="77777777" w:rsidR="00516778" w:rsidRPr="00516778" w:rsidRDefault="00516778" w:rsidP="00516778">
      <w:pPr>
        <w:tabs>
          <w:tab w:val="left" w:pos="851"/>
        </w:tabs>
        <w:ind w:left="851"/>
        <w:rPr>
          <w:sz w:val="24"/>
          <w:szCs w:val="24"/>
        </w:rPr>
      </w:pPr>
      <w:r w:rsidRPr="00516778">
        <w:rPr>
          <w:sz w:val="24"/>
          <w:szCs w:val="24"/>
        </w:rPr>
        <w:t>Cabozantinib "Teva" er indiceret som monoterapi til fremskredent nyrecellekarcinom:</w:t>
      </w:r>
    </w:p>
    <w:p w14:paraId="650CB509" w14:textId="77777777" w:rsidR="00516778" w:rsidRPr="00516778" w:rsidRDefault="00516778" w:rsidP="00516778">
      <w:pPr>
        <w:numPr>
          <w:ilvl w:val="2"/>
          <w:numId w:val="6"/>
        </w:numPr>
        <w:tabs>
          <w:tab w:val="left" w:pos="851"/>
        </w:tabs>
        <w:ind w:left="1134" w:hanging="283"/>
        <w:rPr>
          <w:sz w:val="24"/>
          <w:szCs w:val="24"/>
        </w:rPr>
      </w:pPr>
      <w:r w:rsidRPr="00516778">
        <w:rPr>
          <w:sz w:val="24"/>
          <w:szCs w:val="24"/>
        </w:rPr>
        <w:t>som førstelinjebehandling hos voksne patienter med middel eller høj risiko (se pkt. 5.1)</w:t>
      </w:r>
    </w:p>
    <w:p w14:paraId="338A00B3" w14:textId="77777777" w:rsidR="00516778" w:rsidRPr="00516778" w:rsidRDefault="00516778" w:rsidP="00516778">
      <w:pPr>
        <w:numPr>
          <w:ilvl w:val="2"/>
          <w:numId w:val="6"/>
        </w:numPr>
        <w:tabs>
          <w:tab w:val="left" w:pos="851"/>
        </w:tabs>
        <w:ind w:left="1134" w:hanging="283"/>
        <w:rPr>
          <w:sz w:val="24"/>
          <w:szCs w:val="24"/>
        </w:rPr>
      </w:pPr>
      <w:r w:rsidRPr="00516778">
        <w:rPr>
          <w:sz w:val="24"/>
          <w:szCs w:val="24"/>
        </w:rPr>
        <w:t>hos voksne efter tidligere behandling med målrettet vaskulær endotelial vækstfaktor (VEGF) (se pkt. 5.1).</w:t>
      </w:r>
    </w:p>
    <w:p w14:paraId="5049921E" w14:textId="77777777" w:rsidR="00516778" w:rsidRPr="00516778" w:rsidRDefault="00516778" w:rsidP="00516778">
      <w:pPr>
        <w:tabs>
          <w:tab w:val="left" w:pos="851"/>
        </w:tabs>
        <w:ind w:left="851"/>
        <w:rPr>
          <w:sz w:val="24"/>
          <w:szCs w:val="24"/>
        </w:rPr>
      </w:pPr>
    </w:p>
    <w:p w14:paraId="3177607E" w14:textId="77777777" w:rsidR="00516778" w:rsidRPr="00516778" w:rsidRDefault="00516778" w:rsidP="00516778">
      <w:pPr>
        <w:tabs>
          <w:tab w:val="left" w:pos="851"/>
        </w:tabs>
        <w:ind w:left="851"/>
        <w:rPr>
          <w:sz w:val="24"/>
          <w:szCs w:val="24"/>
        </w:rPr>
      </w:pPr>
      <w:r w:rsidRPr="00516778">
        <w:rPr>
          <w:sz w:val="24"/>
          <w:szCs w:val="24"/>
        </w:rPr>
        <w:t>Cabozantinib "Teva" i kombination med nivolumab er indiceret som førstelinjebehandling af fremskredent nyrecellekarcinom hos voksne (se pkt. 5.1).</w:t>
      </w:r>
    </w:p>
    <w:p w14:paraId="4BBD8236" w14:textId="77777777" w:rsidR="00516778" w:rsidRPr="00516778" w:rsidRDefault="00516778" w:rsidP="00516778">
      <w:pPr>
        <w:tabs>
          <w:tab w:val="left" w:pos="851"/>
        </w:tabs>
        <w:ind w:left="851"/>
        <w:rPr>
          <w:sz w:val="24"/>
          <w:szCs w:val="24"/>
        </w:rPr>
      </w:pPr>
    </w:p>
    <w:p w14:paraId="4039338C" w14:textId="77777777" w:rsidR="00516778" w:rsidRPr="00516778" w:rsidRDefault="00516778" w:rsidP="00516778">
      <w:pPr>
        <w:tabs>
          <w:tab w:val="left" w:pos="851"/>
        </w:tabs>
        <w:ind w:left="851"/>
        <w:rPr>
          <w:sz w:val="24"/>
          <w:szCs w:val="24"/>
        </w:rPr>
      </w:pPr>
      <w:r w:rsidRPr="00516778">
        <w:rPr>
          <w:sz w:val="24"/>
          <w:szCs w:val="24"/>
          <w:u w:val="single"/>
        </w:rPr>
        <w:t>Hepatocellulært karcinom (HCC)</w:t>
      </w:r>
    </w:p>
    <w:p w14:paraId="6D7B6B35" w14:textId="77777777" w:rsidR="00516778" w:rsidRPr="00516778" w:rsidRDefault="00516778" w:rsidP="00516778">
      <w:pPr>
        <w:tabs>
          <w:tab w:val="left" w:pos="851"/>
        </w:tabs>
        <w:ind w:left="851"/>
        <w:rPr>
          <w:sz w:val="24"/>
          <w:szCs w:val="24"/>
        </w:rPr>
      </w:pPr>
      <w:r w:rsidRPr="00516778">
        <w:rPr>
          <w:sz w:val="24"/>
          <w:szCs w:val="24"/>
        </w:rPr>
        <w:t>Cabozantinib "Teva" er indiceret som monoterapi til behandling af hepatocellulært karcinom (HCC) hos voksne, der tidligere er blevet behandlet med sorafenib.</w:t>
      </w:r>
    </w:p>
    <w:p w14:paraId="32CCB8EE" w14:textId="77777777" w:rsidR="00516778" w:rsidRPr="00516778" w:rsidRDefault="00516778" w:rsidP="00516778">
      <w:pPr>
        <w:tabs>
          <w:tab w:val="left" w:pos="851"/>
        </w:tabs>
        <w:ind w:left="851"/>
        <w:rPr>
          <w:sz w:val="24"/>
          <w:szCs w:val="24"/>
        </w:rPr>
      </w:pPr>
    </w:p>
    <w:p w14:paraId="72DF52DB" w14:textId="77777777" w:rsidR="00516778" w:rsidRPr="00516778" w:rsidRDefault="00516778" w:rsidP="00516778">
      <w:pPr>
        <w:tabs>
          <w:tab w:val="left" w:pos="851"/>
        </w:tabs>
        <w:ind w:left="851"/>
        <w:rPr>
          <w:sz w:val="24"/>
          <w:szCs w:val="24"/>
        </w:rPr>
      </w:pPr>
      <w:r w:rsidRPr="00516778">
        <w:rPr>
          <w:sz w:val="24"/>
          <w:szCs w:val="24"/>
          <w:u w:val="single"/>
        </w:rPr>
        <w:t>Differentieret thyroideakarcinom (DTC)</w:t>
      </w:r>
    </w:p>
    <w:p w14:paraId="0623C01C" w14:textId="77777777" w:rsidR="00516778" w:rsidRPr="00516778" w:rsidRDefault="00516778" w:rsidP="00516778">
      <w:pPr>
        <w:tabs>
          <w:tab w:val="left" w:pos="851"/>
        </w:tabs>
        <w:ind w:left="851"/>
        <w:rPr>
          <w:sz w:val="24"/>
          <w:szCs w:val="24"/>
        </w:rPr>
      </w:pPr>
      <w:r w:rsidRPr="00516778">
        <w:rPr>
          <w:sz w:val="24"/>
          <w:szCs w:val="24"/>
        </w:rPr>
        <w:t>Cabozantinib "Teva" er indiceret som monoterapi til behandling af voksne patienter med lokalt fremskredent eller metastatisk differentieret thyroideakarcinom (DTC), der er refraktære over for eller uegnede til behandling med radioaktivt jod (RAI), hos hvem sygdommen er progredieret under eller efter tidligere systemisk behandling.</w:t>
      </w:r>
    </w:p>
    <w:p w14:paraId="2ECFF2AD" w14:textId="77777777" w:rsidR="009260DE" w:rsidRPr="00C84483" w:rsidRDefault="009260DE" w:rsidP="009260DE">
      <w:pPr>
        <w:tabs>
          <w:tab w:val="left" w:pos="851"/>
        </w:tabs>
        <w:ind w:left="851"/>
        <w:rPr>
          <w:sz w:val="24"/>
          <w:szCs w:val="24"/>
        </w:rPr>
      </w:pPr>
    </w:p>
    <w:p w14:paraId="7A9D9EDA"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20A5DD25" w14:textId="77777777" w:rsidR="00516778" w:rsidRPr="00516778" w:rsidRDefault="00516778" w:rsidP="00516778">
      <w:pPr>
        <w:tabs>
          <w:tab w:val="left" w:pos="851"/>
        </w:tabs>
        <w:ind w:left="851"/>
        <w:rPr>
          <w:sz w:val="24"/>
          <w:szCs w:val="24"/>
        </w:rPr>
      </w:pPr>
      <w:r w:rsidRPr="00516778">
        <w:rPr>
          <w:sz w:val="24"/>
          <w:szCs w:val="24"/>
        </w:rPr>
        <w:t xml:space="preserve">Behandling med Cabozantinib "Teva" bør indledes af en læge med erfaring i anticancer lægemidler. </w:t>
      </w:r>
    </w:p>
    <w:p w14:paraId="1621939C" w14:textId="77777777" w:rsidR="00516778" w:rsidRPr="00516778" w:rsidRDefault="00516778" w:rsidP="00516778">
      <w:pPr>
        <w:tabs>
          <w:tab w:val="left" w:pos="851"/>
        </w:tabs>
        <w:ind w:left="851"/>
        <w:rPr>
          <w:sz w:val="24"/>
          <w:szCs w:val="24"/>
        </w:rPr>
      </w:pPr>
    </w:p>
    <w:p w14:paraId="21287FDF" w14:textId="77777777" w:rsidR="00516778" w:rsidRPr="00516778" w:rsidRDefault="00516778" w:rsidP="00516778">
      <w:pPr>
        <w:tabs>
          <w:tab w:val="left" w:pos="851"/>
        </w:tabs>
        <w:ind w:left="851"/>
        <w:rPr>
          <w:sz w:val="24"/>
          <w:szCs w:val="24"/>
        </w:rPr>
      </w:pPr>
      <w:r w:rsidRPr="00516778">
        <w:rPr>
          <w:sz w:val="24"/>
          <w:szCs w:val="24"/>
          <w:u w:val="single"/>
        </w:rPr>
        <w:t>Dosering</w:t>
      </w:r>
    </w:p>
    <w:p w14:paraId="29BE4A55" w14:textId="77777777" w:rsidR="00516778" w:rsidRPr="00516778" w:rsidRDefault="00516778" w:rsidP="00516778">
      <w:pPr>
        <w:tabs>
          <w:tab w:val="left" w:pos="851"/>
        </w:tabs>
        <w:ind w:left="851"/>
        <w:rPr>
          <w:sz w:val="24"/>
          <w:szCs w:val="24"/>
        </w:rPr>
      </w:pPr>
      <w:r w:rsidRPr="00516778">
        <w:rPr>
          <w:sz w:val="24"/>
          <w:szCs w:val="24"/>
        </w:rPr>
        <w:t>Cabozantinib "Teva"-tabletter og cabozantinib-kapsler er ikke bioækvivalente og må ikke udskiftes indbyrdes (se</w:t>
      </w:r>
    </w:p>
    <w:p w14:paraId="04365AD3" w14:textId="77777777" w:rsidR="00516778" w:rsidRPr="00516778" w:rsidRDefault="00516778" w:rsidP="00516778">
      <w:pPr>
        <w:tabs>
          <w:tab w:val="left" w:pos="851"/>
        </w:tabs>
        <w:ind w:left="851"/>
        <w:rPr>
          <w:sz w:val="24"/>
          <w:szCs w:val="24"/>
        </w:rPr>
      </w:pPr>
      <w:r w:rsidRPr="00516778">
        <w:rPr>
          <w:sz w:val="24"/>
          <w:szCs w:val="24"/>
        </w:rPr>
        <w:t>pkt. 5.2).</w:t>
      </w:r>
    </w:p>
    <w:p w14:paraId="3447101E" w14:textId="77777777" w:rsidR="00516778" w:rsidRPr="00516778" w:rsidRDefault="00516778" w:rsidP="00516778">
      <w:pPr>
        <w:tabs>
          <w:tab w:val="left" w:pos="851"/>
        </w:tabs>
        <w:ind w:left="851"/>
        <w:rPr>
          <w:sz w:val="24"/>
          <w:szCs w:val="24"/>
        </w:rPr>
      </w:pPr>
    </w:p>
    <w:p w14:paraId="254222F8" w14:textId="77777777" w:rsidR="00516778" w:rsidRPr="00516778" w:rsidRDefault="00516778" w:rsidP="00516778">
      <w:pPr>
        <w:tabs>
          <w:tab w:val="left" w:pos="851"/>
        </w:tabs>
        <w:ind w:left="851"/>
        <w:rPr>
          <w:i/>
          <w:iCs/>
          <w:sz w:val="24"/>
          <w:szCs w:val="24"/>
        </w:rPr>
      </w:pPr>
      <w:r w:rsidRPr="00516778">
        <w:rPr>
          <w:i/>
          <w:iCs/>
          <w:sz w:val="24"/>
          <w:szCs w:val="24"/>
        </w:rPr>
        <w:t>Cabozantinib "Teva" som monoterapi</w:t>
      </w:r>
    </w:p>
    <w:p w14:paraId="7544564A" w14:textId="77777777" w:rsidR="00516778" w:rsidRPr="00516778" w:rsidRDefault="00516778" w:rsidP="00516778">
      <w:pPr>
        <w:tabs>
          <w:tab w:val="left" w:pos="851"/>
        </w:tabs>
        <w:ind w:left="851"/>
        <w:rPr>
          <w:sz w:val="24"/>
          <w:szCs w:val="24"/>
        </w:rPr>
      </w:pPr>
      <w:r w:rsidRPr="00516778">
        <w:rPr>
          <w:sz w:val="24"/>
          <w:szCs w:val="24"/>
        </w:rPr>
        <w:t>Til RCC, HCC og DTC er den anbefalede dosis Cabozantinib "Teva" 60 mg en gang dagligt.</w:t>
      </w:r>
    </w:p>
    <w:p w14:paraId="59AF38B0" w14:textId="77777777" w:rsidR="00516778" w:rsidRPr="00516778" w:rsidRDefault="00516778" w:rsidP="00516778">
      <w:pPr>
        <w:tabs>
          <w:tab w:val="left" w:pos="851"/>
        </w:tabs>
        <w:ind w:left="851"/>
        <w:rPr>
          <w:sz w:val="24"/>
          <w:szCs w:val="24"/>
        </w:rPr>
      </w:pPr>
    </w:p>
    <w:p w14:paraId="321E8FAE" w14:textId="77777777" w:rsidR="00516778" w:rsidRPr="00516778" w:rsidRDefault="00516778" w:rsidP="00516778">
      <w:pPr>
        <w:tabs>
          <w:tab w:val="left" w:pos="851"/>
        </w:tabs>
        <w:ind w:left="851"/>
        <w:rPr>
          <w:sz w:val="24"/>
          <w:szCs w:val="24"/>
        </w:rPr>
      </w:pPr>
      <w:r w:rsidRPr="00516778">
        <w:rPr>
          <w:sz w:val="24"/>
          <w:szCs w:val="24"/>
        </w:rPr>
        <w:t>Behandlingen bør fortsættes, indtil patienten ikke længere har klinisk fordel af behandlingen, eller indtil der forekommer uacceptabel toksicitet.</w:t>
      </w:r>
    </w:p>
    <w:p w14:paraId="597AD496" w14:textId="77777777" w:rsidR="00516778" w:rsidRPr="00516778" w:rsidRDefault="00516778" w:rsidP="00516778">
      <w:pPr>
        <w:tabs>
          <w:tab w:val="left" w:pos="851"/>
        </w:tabs>
        <w:ind w:left="851"/>
        <w:rPr>
          <w:sz w:val="24"/>
          <w:szCs w:val="24"/>
        </w:rPr>
      </w:pPr>
    </w:p>
    <w:p w14:paraId="583A582E" w14:textId="77777777" w:rsidR="00516778" w:rsidRPr="00516778" w:rsidRDefault="00516778" w:rsidP="00516778">
      <w:pPr>
        <w:tabs>
          <w:tab w:val="left" w:pos="851"/>
        </w:tabs>
        <w:ind w:left="851"/>
        <w:rPr>
          <w:i/>
          <w:iCs/>
          <w:sz w:val="24"/>
          <w:szCs w:val="24"/>
        </w:rPr>
      </w:pPr>
      <w:r w:rsidRPr="00516778">
        <w:rPr>
          <w:i/>
          <w:iCs/>
          <w:sz w:val="24"/>
          <w:szCs w:val="24"/>
        </w:rPr>
        <w:t>Cabozantinib "Teva" i kombination med nivolumab som førstelinjebehandling af fremskredent RCC</w:t>
      </w:r>
    </w:p>
    <w:p w14:paraId="5155C6CF" w14:textId="77777777" w:rsidR="00516778" w:rsidRPr="00516778" w:rsidRDefault="00516778" w:rsidP="00516778">
      <w:pPr>
        <w:tabs>
          <w:tab w:val="left" w:pos="851"/>
        </w:tabs>
        <w:ind w:left="851"/>
        <w:rPr>
          <w:sz w:val="24"/>
          <w:szCs w:val="24"/>
        </w:rPr>
      </w:pPr>
      <w:r w:rsidRPr="00516778">
        <w:rPr>
          <w:sz w:val="24"/>
          <w:szCs w:val="24"/>
        </w:rPr>
        <w:t>Den anbefalede dosis af Cabozantinib "Teva" er 40 mg én gang dagligt i kombination med nivolumab administreret intravenøst som enten 240 mg hver 2. uge eller 480 mg hver 4. uge. Behandlingen skal fortsættes indtil sygdomsprogression eller uacceptabel toksicitet. Nivolumab skal fortsættes indtil sygdomsprogression, uacceptabel toksicitet eller i op til 24 måneder hos patienter uden sygdomsprogression (se produktresuméet for dosering af nivolumab).</w:t>
      </w:r>
    </w:p>
    <w:p w14:paraId="62B8D4D4" w14:textId="77777777" w:rsidR="00516778" w:rsidRPr="00516778" w:rsidRDefault="00516778" w:rsidP="00516778">
      <w:pPr>
        <w:tabs>
          <w:tab w:val="left" w:pos="851"/>
        </w:tabs>
        <w:ind w:left="851"/>
        <w:rPr>
          <w:sz w:val="24"/>
          <w:szCs w:val="24"/>
        </w:rPr>
      </w:pPr>
    </w:p>
    <w:p w14:paraId="67C9BCDA" w14:textId="77777777" w:rsidR="00516778" w:rsidRPr="00516778" w:rsidRDefault="00516778" w:rsidP="00516778">
      <w:pPr>
        <w:tabs>
          <w:tab w:val="left" w:pos="851"/>
        </w:tabs>
        <w:ind w:left="851"/>
        <w:rPr>
          <w:i/>
          <w:iCs/>
          <w:sz w:val="24"/>
          <w:szCs w:val="24"/>
        </w:rPr>
      </w:pPr>
      <w:r w:rsidRPr="00516778">
        <w:rPr>
          <w:i/>
          <w:iCs/>
          <w:sz w:val="24"/>
          <w:szCs w:val="24"/>
        </w:rPr>
        <w:t>Behandlingsændring</w:t>
      </w:r>
    </w:p>
    <w:p w14:paraId="415EF05B" w14:textId="77777777" w:rsidR="00516778" w:rsidRPr="00516778" w:rsidRDefault="00516778" w:rsidP="00516778">
      <w:pPr>
        <w:tabs>
          <w:tab w:val="left" w:pos="851"/>
        </w:tabs>
        <w:ind w:left="851"/>
        <w:rPr>
          <w:sz w:val="24"/>
          <w:szCs w:val="24"/>
        </w:rPr>
      </w:pPr>
      <w:r w:rsidRPr="00516778">
        <w:rPr>
          <w:sz w:val="24"/>
          <w:szCs w:val="24"/>
        </w:rPr>
        <w:t>Håndtering af formodede lægemiddelbivirkninger kan nødvendiggøre midlertidig behandlingsafbrydelse og/eller dosisreduktion (se tabel 1). Når dosisreduktion er nødvendig ved monoterapi, anbefales det at reducere til 40 mg dagligt og dernæst til 20 mg dagligt.</w:t>
      </w:r>
    </w:p>
    <w:p w14:paraId="7237A1E1" w14:textId="77777777" w:rsidR="00516778" w:rsidRPr="00516778" w:rsidRDefault="00516778" w:rsidP="00516778">
      <w:pPr>
        <w:tabs>
          <w:tab w:val="left" w:pos="851"/>
        </w:tabs>
        <w:ind w:left="851"/>
        <w:rPr>
          <w:sz w:val="24"/>
          <w:szCs w:val="24"/>
        </w:rPr>
      </w:pPr>
    </w:p>
    <w:p w14:paraId="5B4A383C" w14:textId="77777777" w:rsidR="00516778" w:rsidRPr="00516778" w:rsidRDefault="00516778" w:rsidP="00516778">
      <w:pPr>
        <w:tabs>
          <w:tab w:val="left" w:pos="851"/>
        </w:tabs>
        <w:ind w:left="851"/>
        <w:rPr>
          <w:sz w:val="24"/>
          <w:szCs w:val="24"/>
        </w:rPr>
      </w:pPr>
      <w:r w:rsidRPr="00516778">
        <w:rPr>
          <w:sz w:val="24"/>
          <w:szCs w:val="24"/>
        </w:rPr>
        <w:t>Når Cabozantinib "Teva" administreres i kombination med nivolumab, anbefales det at reducere dosis til 20 mg Cabozantinib "Teva" en gang dagligt og derefter 20 mg hver anden dag (se nivolumabs produktresumé for anbefalet behandlingsændring af nivolumab).</w:t>
      </w:r>
    </w:p>
    <w:p w14:paraId="495C4D9B" w14:textId="77777777" w:rsidR="00516778" w:rsidRPr="00516778" w:rsidRDefault="00516778" w:rsidP="00516778">
      <w:pPr>
        <w:tabs>
          <w:tab w:val="left" w:pos="851"/>
        </w:tabs>
        <w:ind w:left="851"/>
        <w:rPr>
          <w:sz w:val="24"/>
          <w:szCs w:val="24"/>
        </w:rPr>
      </w:pPr>
    </w:p>
    <w:p w14:paraId="751A1E27" w14:textId="77777777" w:rsidR="00516778" w:rsidRPr="00516778" w:rsidRDefault="00516778" w:rsidP="00516778">
      <w:pPr>
        <w:tabs>
          <w:tab w:val="left" w:pos="851"/>
        </w:tabs>
        <w:ind w:left="851"/>
        <w:rPr>
          <w:sz w:val="24"/>
          <w:szCs w:val="24"/>
        </w:rPr>
      </w:pPr>
      <w:r w:rsidRPr="00516778">
        <w:rPr>
          <w:sz w:val="24"/>
          <w:szCs w:val="24"/>
        </w:rPr>
        <w:t>Doseringsafbrydelse anbefales til kontrol af CTCAE grad 3 eller højere toksicitet eller uacceptabel grad 2 toksicitet. Dosisreduktion anbefales ved bivirkninger som, hvis de er vedvarende, kunne blive alvorlige eller uacceptable.</w:t>
      </w:r>
    </w:p>
    <w:p w14:paraId="0603BF20" w14:textId="77777777" w:rsidR="00516778" w:rsidRPr="00516778" w:rsidRDefault="00516778" w:rsidP="00516778">
      <w:pPr>
        <w:tabs>
          <w:tab w:val="left" w:pos="851"/>
        </w:tabs>
        <w:ind w:left="851"/>
        <w:rPr>
          <w:sz w:val="24"/>
          <w:szCs w:val="24"/>
        </w:rPr>
      </w:pPr>
    </w:p>
    <w:p w14:paraId="58C7D2F7" w14:textId="77777777" w:rsidR="00516778" w:rsidRPr="00516778" w:rsidRDefault="00516778" w:rsidP="00516778">
      <w:pPr>
        <w:tabs>
          <w:tab w:val="left" w:pos="851"/>
        </w:tabs>
        <w:ind w:left="851"/>
        <w:rPr>
          <w:sz w:val="24"/>
          <w:szCs w:val="24"/>
        </w:rPr>
      </w:pPr>
      <w:r w:rsidRPr="00516778">
        <w:rPr>
          <w:sz w:val="24"/>
          <w:szCs w:val="24"/>
        </w:rPr>
        <w:t>Hvis patienten glemmer at tage en dosis, skal den manglende dosis ikke tages, hvis der er mindre end 12 timer til den næste dosis.</w:t>
      </w:r>
    </w:p>
    <w:p w14:paraId="04F52B3F" w14:textId="77777777" w:rsidR="00516778" w:rsidRPr="00516778" w:rsidRDefault="00516778" w:rsidP="00516778">
      <w:pPr>
        <w:tabs>
          <w:tab w:val="left" w:pos="851"/>
        </w:tabs>
        <w:ind w:left="851"/>
        <w:rPr>
          <w:sz w:val="24"/>
          <w:szCs w:val="24"/>
        </w:rPr>
      </w:pPr>
    </w:p>
    <w:p w14:paraId="4C88B760" w14:textId="77777777" w:rsidR="00516778" w:rsidRPr="00516778" w:rsidRDefault="00516778" w:rsidP="00516778">
      <w:pPr>
        <w:tabs>
          <w:tab w:val="left" w:pos="851"/>
        </w:tabs>
        <w:ind w:left="851"/>
        <w:rPr>
          <w:b/>
          <w:bCs/>
          <w:sz w:val="24"/>
          <w:szCs w:val="24"/>
        </w:rPr>
      </w:pPr>
      <w:r w:rsidRPr="00516778">
        <w:rPr>
          <w:b/>
          <w:bCs/>
          <w:sz w:val="24"/>
          <w:szCs w:val="24"/>
        </w:rPr>
        <w:t>Tabel 1: Anbefalede dosisændringer af Cabozantinib "Teva" ved bivirkninger</w:t>
      </w:r>
    </w:p>
    <w:p w14:paraId="33EFAD26" w14:textId="77777777" w:rsidR="00516778" w:rsidRPr="00516778" w:rsidRDefault="00516778" w:rsidP="00516778">
      <w:pPr>
        <w:tabs>
          <w:tab w:val="left" w:pos="851"/>
        </w:tabs>
        <w:ind w:left="851"/>
        <w:rPr>
          <w:b/>
          <w:bCs/>
          <w:sz w:val="24"/>
          <w:szCs w:val="24"/>
        </w:rPr>
      </w:pPr>
    </w:p>
    <w:tbl>
      <w:tblPr>
        <w:tblW w:w="0" w:type="auto"/>
        <w:tblInd w:w="551" w:type="dxa"/>
        <w:tblLayout w:type="fixed"/>
        <w:tblCellMar>
          <w:left w:w="0" w:type="dxa"/>
          <w:right w:w="0" w:type="dxa"/>
        </w:tblCellMar>
        <w:tblLook w:val="04A0" w:firstRow="1" w:lastRow="0" w:firstColumn="1" w:lastColumn="0" w:noHBand="0" w:noVBand="1"/>
      </w:tblPr>
      <w:tblGrid>
        <w:gridCol w:w="3847"/>
        <w:gridCol w:w="5678"/>
      </w:tblGrid>
      <w:tr w:rsidR="00516778" w:rsidRPr="00516778" w14:paraId="502F9D95" w14:textId="77777777" w:rsidTr="00516778">
        <w:trPr>
          <w:trHeight w:val="373"/>
        </w:trPr>
        <w:tc>
          <w:tcPr>
            <w:tcW w:w="3847" w:type="dxa"/>
            <w:tcBorders>
              <w:top w:val="single" w:sz="12" w:space="0" w:color="000000"/>
              <w:left w:val="single" w:sz="4" w:space="0" w:color="000000"/>
              <w:bottom w:val="single" w:sz="12" w:space="0" w:color="000000"/>
              <w:right w:val="single" w:sz="4" w:space="0" w:color="000000"/>
            </w:tcBorders>
            <w:hideMark/>
          </w:tcPr>
          <w:p w14:paraId="0CD26B64" w14:textId="77777777" w:rsidR="00516778" w:rsidRPr="00516778" w:rsidRDefault="00516778" w:rsidP="00516778">
            <w:pPr>
              <w:ind w:left="149"/>
              <w:rPr>
                <w:b/>
                <w:bCs/>
                <w:sz w:val="22"/>
                <w:szCs w:val="22"/>
              </w:rPr>
            </w:pPr>
            <w:r w:rsidRPr="00516778">
              <w:rPr>
                <w:b/>
                <w:bCs/>
                <w:sz w:val="22"/>
                <w:szCs w:val="22"/>
              </w:rPr>
              <w:t>Bivirkning og sværhedsgrad</w:t>
            </w:r>
          </w:p>
        </w:tc>
        <w:tc>
          <w:tcPr>
            <w:tcW w:w="5678" w:type="dxa"/>
            <w:tcBorders>
              <w:top w:val="single" w:sz="12" w:space="0" w:color="000000"/>
              <w:left w:val="single" w:sz="4" w:space="0" w:color="000000"/>
              <w:bottom w:val="single" w:sz="12" w:space="0" w:color="000000"/>
              <w:right w:val="single" w:sz="4" w:space="0" w:color="000000"/>
            </w:tcBorders>
            <w:hideMark/>
          </w:tcPr>
          <w:p w14:paraId="7F6E93F8" w14:textId="77777777" w:rsidR="00516778" w:rsidRPr="00516778" w:rsidRDefault="00516778" w:rsidP="00516778">
            <w:pPr>
              <w:ind w:left="136"/>
              <w:rPr>
                <w:b/>
                <w:bCs/>
                <w:sz w:val="22"/>
                <w:szCs w:val="22"/>
              </w:rPr>
            </w:pPr>
            <w:r w:rsidRPr="00516778">
              <w:rPr>
                <w:b/>
                <w:bCs/>
                <w:sz w:val="22"/>
                <w:szCs w:val="22"/>
              </w:rPr>
              <w:t>Behandlingsændring</w:t>
            </w:r>
          </w:p>
        </w:tc>
      </w:tr>
      <w:tr w:rsidR="00516778" w:rsidRPr="00516778" w14:paraId="6C75CA89" w14:textId="77777777" w:rsidTr="00516778">
        <w:trPr>
          <w:trHeight w:val="745"/>
        </w:trPr>
        <w:tc>
          <w:tcPr>
            <w:tcW w:w="3847" w:type="dxa"/>
            <w:tcBorders>
              <w:top w:val="single" w:sz="12" w:space="0" w:color="000000"/>
              <w:left w:val="single" w:sz="4" w:space="0" w:color="000000"/>
              <w:bottom w:val="single" w:sz="12" w:space="0" w:color="000000"/>
              <w:right w:val="single" w:sz="4" w:space="0" w:color="000000"/>
            </w:tcBorders>
            <w:hideMark/>
          </w:tcPr>
          <w:p w14:paraId="4DBD4D25" w14:textId="77777777" w:rsidR="00516778" w:rsidRPr="00516778" w:rsidRDefault="00516778" w:rsidP="00516778">
            <w:pPr>
              <w:ind w:left="149"/>
              <w:rPr>
                <w:sz w:val="22"/>
                <w:szCs w:val="22"/>
              </w:rPr>
            </w:pPr>
            <w:r w:rsidRPr="00516778">
              <w:rPr>
                <w:sz w:val="22"/>
                <w:szCs w:val="22"/>
              </w:rPr>
              <w:t>Bivirkninger af grad 1 og grad 2, som er tålelige og nemme at håndtere</w:t>
            </w:r>
          </w:p>
        </w:tc>
        <w:tc>
          <w:tcPr>
            <w:tcW w:w="5678" w:type="dxa"/>
            <w:tcBorders>
              <w:top w:val="single" w:sz="12" w:space="0" w:color="000000"/>
              <w:left w:val="single" w:sz="4" w:space="0" w:color="000000"/>
              <w:bottom w:val="single" w:sz="12" w:space="0" w:color="000000"/>
              <w:right w:val="single" w:sz="4" w:space="0" w:color="000000"/>
            </w:tcBorders>
            <w:hideMark/>
          </w:tcPr>
          <w:p w14:paraId="7245737B" w14:textId="77777777" w:rsidR="00516778" w:rsidRPr="00516778" w:rsidRDefault="00516778" w:rsidP="00516778">
            <w:pPr>
              <w:ind w:left="136"/>
              <w:rPr>
                <w:sz w:val="22"/>
                <w:szCs w:val="22"/>
              </w:rPr>
            </w:pPr>
            <w:r w:rsidRPr="00516778">
              <w:rPr>
                <w:sz w:val="22"/>
                <w:szCs w:val="22"/>
              </w:rPr>
              <w:t>Dosisreduktion er sædvanligvis ikke nødvendig.</w:t>
            </w:r>
          </w:p>
          <w:p w14:paraId="6D6C3D3A" w14:textId="77777777" w:rsidR="00516778" w:rsidRPr="00516778" w:rsidRDefault="00516778" w:rsidP="00516778">
            <w:pPr>
              <w:ind w:left="136"/>
              <w:rPr>
                <w:sz w:val="22"/>
                <w:szCs w:val="22"/>
              </w:rPr>
            </w:pPr>
            <w:r w:rsidRPr="00516778">
              <w:rPr>
                <w:sz w:val="22"/>
                <w:szCs w:val="22"/>
              </w:rPr>
              <w:t>Tilføj understøttende behandling som indiceret.</w:t>
            </w:r>
          </w:p>
        </w:tc>
      </w:tr>
      <w:tr w:rsidR="00516778" w:rsidRPr="00516778" w14:paraId="0E5A0321" w14:textId="77777777" w:rsidTr="00516778">
        <w:trPr>
          <w:trHeight w:val="1371"/>
        </w:trPr>
        <w:tc>
          <w:tcPr>
            <w:tcW w:w="3847" w:type="dxa"/>
            <w:tcBorders>
              <w:top w:val="single" w:sz="12" w:space="0" w:color="000000"/>
              <w:left w:val="single" w:sz="4" w:space="0" w:color="000000"/>
              <w:bottom w:val="single" w:sz="12" w:space="0" w:color="000000"/>
              <w:right w:val="single" w:sz="4" w:space="0" w:color="000000"/>
            </w:tcBorders>
            <w:hideMark/>
          </w:tcPr>
          <w:p w14:paraId="7DE7DC55" w14:textId="77777777" w:rsidR="00516778" w:rsidRPr="00516778" w:rsidRDefault="00516778" w:rsidP="00516778">
            <w:pPr>
              <w:ind w:left="149"/>
              <w:rPr>
                <w:sz w:val="22"/>
                <w:szCs w:val="22"/>
              </w:rPr>
            </w:pPr>
            <w:r w:rsidRPr="00516778">
              <w:rPr>
                <w:sz w:val="22"/>
                <w:szCs w:val="22"/>
              </w:rPr>
              <w:t>Bivirkninger af grad 2, som er uacceptable og ikke kan håndteres med dosisreduktion eller understøttende behandling</w:t>
            </w:r>
          </w:p>
        </w:tc>
        <w:tc>
          <w:tcPr>
            <w:tcW w:w="5678" w:type="dxa"/>
            <w:tcBorders>
              <w:top w:val="single" w:sz="12" w:space="0" w:color="000000"/>
              <w:left w:val="single" w:sz="4" w:space="0" w:color="000000"/>
              <w:bottom w:val="single" w:sz="12" w:space="0" w:color="000000"/>
              <w:right w:val="single" w:sz="4" w:space="0" w:color="000000"/>
            </w:tcBorders>
            <w:hideMark/>
          </w:tcPr>
          <w:p w14:paraId="42FC9EBE" w14:textId="77777777" w:rsidR="00516778" w:rsidRPr="00516778" w:rsidRDefault="00516778" w:rsidP="00516778">
            <w:pPr>
              <w:ind w:left="136"/>
              <w:rPr>
                <w:sz w:val="22"/>
                <w:szCs w:val="22"/>
              </w:rPr>
            </w:pPr>
            <w:r w:rsidRPr="00516778">
              <w:rPr>
                <w:sz w:val="22"/>
                <w:szCs w:val="22"/>
              </w:rPr>
              <w:t>Afbryd behandlingen, indtil bivirkningerne er reduceret til</w:t>
            </w:r>
          </w:p>
          <w:p w14:paraId="7062AE38" w14:textId="77777777" w:rsidR="00516778" w:rsidRPr="00516778" w:rsidRDefault="00516778" w:rsidP="00516778">
            <w:pPr>
              <w:ind w:left="136"/>
              <w:rPr>
                <w:sz w:val="22"/>
                <w:szCs w:val="22"/>
              </w:rPr>
            </w:pPr>
            <w:r w:rsidRPr="00516778">
              <w:rPr>
                <w:sz w:val="22"/>
                <w:szCs w:val="22"/>
              </w:rPr>
              <w:t>grad ≤1.</w:t>
            </w:r>
          </w:p>
          <w:p w14:paraId="14C29A53" w14:textId="77777777" w:rsidR="00516778" w:rsidRPr="00516778" w:rsidRDefault="00516778" w:rsidP="00516778">
            <w:pPr>
              <w:ind w:left="136"/>
              <w:rPr>
                <w:sz w:val="22"/>
                <w:szCs w:val="22"/>
              </w:rPr>
            </w:pPr>
            <w:r w:rsidRPr="00516778">
              <w:rPr>
                <w:sz w:val="22"/>
                <w:szCs w:val="22"/>
              </w:rPr>
              <w:t>Tilføj understøttende behandling som indiceret.</w:t>
            </w:r>
          </w:p>
          <w:p w14:paraId="08A71EEC" w14:textId="77777777" w:rsidR="00516778" w:rsidRPr="00516778" w:rsidRDefault="00516778" w:rsidP="00516778">
            <w:pPr>
              <w:ind w:left="136"/>
              <w:rPr>
                <w:sz w:val="22"/>
                <w:szCs w:val="22"/>
              </w:rPr>
            </w:pPr>
            <w:r w:rsidRPr="00516778">
              <w:rPr>
                <w:sz w:val="22"/>
                <w:szCs w:val="22"/>
              </w:rPr>
              <w:t>Overvej at genstarte behandlingen ved en reduceret dosis.</w:t>
            </w:r>
          </w:p>
        </w:tc>
      </w:tr>
      <w:tr w:rsidR="00516778" w:rsidRPr="00516778" w14:paraId="6C691F1F" w14:textId="77777777" w:rsidTr="00516778">
        <w:trPr>
          <w:trHeight w:val="1158"/>
        </w:trPr>
        <w:tc>
          <w:tcPr>
            <w:tcW w:w="3847" w:type="dxa"/>
            <w:tcBorders>
              <w:top w:val="single" w:sz="12" w:space="0" w:color="000000"/>
              <w:left w:val="single" w:sz="4" w:space="0" w:color="000000"/>
              <w:bottom w:val="single" w:sz="12" w:space="0" w:color="000000"/>
              <w:right w:val="single" w:sz="4" w:space="0" w:color="000000"/>
            </w:tcBorders>
            <w:hideMark/>
          </w:tcPr>
          <w:p w14:paraId="2E36AFBA" w14:textId="77777777" w:rsidR="00516778" w:rsidRPr="00516778" w:rsidRDefault="00516778" w:rsidP="00516778">
            <w:pPr>
              <w:ind w:left="149"/>
              <w:rPr>
                <w:sz w:val="22"/>
                <w:szCs w:val="22"/>
              </w:rPr>
            </w:pPr>
            <w:r w:rsidRPr="00516778">
              <w:rPr>
                <w:sz w:val="22"/>
                <w:szCs w:val="22"/>
              </w:rPr>
              <w:t>Bivirkninger grad 3 (undtagen klinisk irrelevante laboratorieanormaliteter)</w:t>
            </w:r>
          </w:p>
        </w:tc>
        <w:tc>
          <w:tcPr>
            <w:tcW w:w="5678" w:type="dxa"/>
            <w:tcBorders>
              <w:top w:val="single" w:sz="12" w:space="0" w:color="000000"/>
              <w:left w:val="single" w:sz="4" w:space="0" w:color="000000"/>
              <w:bottom w:val="single" w:sz="12" w:space="0" w:color="000000"/>
              <w:right w:val="single" w:sz="4" w:space="0" w:color="000000"/>
            </w:tcBorders>
            <w:hideMark/>
          </w:tcPr>
          <w:p w14:paraId="030048E4" w14:textId="77777777" w:rsidR="00516778" w:rsidRPr="00516778" w:rsidRDefault="00516778" w:rsidP="00516778">
            <w:pPr>
              <w:ind w:left="136"/>
              <w:rPr>
                <w:sz w:val="22"/>
                <w:szCs w:val="22"/>
              </w:rPr>
            </w:pPr>
            <w:r w:rsidRPr="00516778">
              <w:rPr>
                <w:sz w:val="22"/>
                <w:szCs w:val="22"/>
              </w:rPr>
              <w:t>Afbryd behandlingen, indtil bivirkningerne er reduceret til</w:t>
            </w:r>
          </w:p>
          <w:p w14:paraId="3CF90FE5" w14:textId="77777777" w:rsidR="00516778" w:rsidRPr="00516778" w:rsidRDefault="00516778" w:rsidP="00516778">
            <w:pPr>
              <w:ind w:left="136"/>
              <w:rPr>
                <w:sz w:val="22"/>
                <w:szCs w:val="22"/>
              </w:rPr>
            </w:pPr>
            <w:r w:rsidRPr="00516778">
              <w:rPr>
                <w:sz w:val="22"/>
                <w:szCs w:val="22"/>
              </w:rPr>
              <w:t>grad ≤1.</w:t>
            </w:r>
          </w:p>
          <w:p w14:paraId="39E39F75" w14:textId="77777777" w:rsidR="00516778" w:rsidRPr="00516778" w:rsidRDefault="00516778" w:rsidP="00516778">
            <w:pPr>
              <w:ind w:left="136"/>
              <w:rPr>
                <w:sz w:val="22"/>
                <w:szCs w:val="22"/>
              </w:rPr>
            </w:pPr>
            <w:r w:rsidRPr="00516778">
              <w:rPr>
                <w:sz w:val="22"/>
                <w:szCs w:val="22"/>
              </w:rPr>
              <w:t>Tilføj understøttende behandling som indiceret. Start igen ved en reduceret dosis.</w:t>
            </w:r>
          </w:p>
        </w:tc>
      </w:tr>
      <w:tr w:rsidR="00516778" w:rsidRPr="00516778" w14:paraId="3614C684" w14:textId="77777777" w:rsidTr="00516778">
        <w:trPr>
          <w:trHeight w:val="1998"/>
        </w:trPr>
        <w:tc>
          <w:tcPr>
            <w:tcW w:w="3847" w:type="dxa"/>
            <w:tcBorders>
              <w:top w:val="single" w:sz="12" w:space="0" w:color="000000"/>
              <w:left w:val="single" w:sz="4" w:space="0" w:color="000000"/>
              <w:bottom w:val="single" w:sz="12" w:space="0" w:color="000000"/>
              <w:right w:val="single" w:sz="4" w:space="0" w:color="000000"/>
            </w:tcBorders>
            <w:hideMark/>
          </w:tcPr>
          <w:p w14:paraId="17DBDD61" w14:textId="77777777" w:rsidR="00516778" w:rsidRPr="00516778" w:rsidRDefault="00516778" w:rsidP="00516778">
            <w:pPr>
              <w:ind w:left="149"/>
              <w:rPr>
                <w:sz w:val="22"/>
                <w:szCs w:val="22"/>
              </w:rPr>
            </w:pPr>
            <w:r w:rsidRPr="00516778">
              <w:rPr>
                <w:sz w:val="22"/>
                <w:szCs w:val="22"/>
              </w:rPr>
              <w:t>Bivirkninger grad 4 (undtagen klinisk irrelevante laboratorieanormaliteter)</w:t>
            </w:r>
          </w:p>
        </w:tc>
        <w:tc>
          <w:tcPr>
            <w:tcW w:w="5678" w:type="dxa"/>
            <w:tcBorders>
              <w:top w:val="single" w:sz="12" w:space="0" w:color="000000"/>
              <w:left w:val="single" w:sz="4" w:space="0" w:color="000000"/>
              <w:bottom w:val="single" w:sz="12" w:space="0" w:color="000000"/>
              <w:right w:val="single" w:sz="4" w:space="0" w:color="000000"/>
            </w:tcBorders>
            <w:hideMark/>
          </w:tcPr>
          <w:p w14:paraId="68C8821E" w14:textId="77777777" w:rsidR="00516778" w:rsidRPr="00516778" w:rsidRDefault="00516778" w:rsidP="00516778">
            <w:pPr>
              <w:ind w:left="136"/>
              <w:rPr>
                <w:sz w:val="22"/>
                <w:szCs w:val="22"/>
              </w:rPr>
            </w:pPr>
            <w:r w:rsidRPr="00516778">
              <w:rPr>
                <w:sz w:val="22"/>
                <w:szCs w:val="22"/>
              </w:rPr>
              <w:t>Afbryd behandlingen. Påbegynd relevant behandling.</w:t>
            </w:r>
          </w:p>
          <w:p w14:paraId="6F34955B" w14:textId="77777777" w:rsidR="00516778" w:rsidRPr="00516778" w:rsidRDefault="00516778" w:rsidP="00516778">
            <w:pPr>
              <w:ind w:left="136"/>
              <w:rPr>
                <w:sz w:val="22"/>
                <w:szCs w:val="22"/>
              </w:rPr>
            </w:pPr>
            <w:r w:rsidRPr="00516778">
              <w:rPr>
                <w:sz w:val="22"/>
                <w:szCs w:val="22"/>
              </w:rPr>
              <w:t>Hvis bivirkningerne reduceres til grad ≤1, genstartes behandlingen ved en reduceret dosis.</w:t>
            </w:r>
          </w:p>
          <w:p w14:paraId="4F52C9CE" w14:textId="77777777" w:rsidR="00516778" w:rsidRPr="00516778" w:rsidRDefault="00516778" w:rsidP="00516778">
            <w:pPr>
              <w:ind w:left="136"/>
              <w:rPr>
                <w:sz w:val="22"/>
                <w:szCs w:val="22"/>
              </w:rPr>
            </w:pPr>
            <w:r w:rsidRPr="00516778">
              <w:rPr>
                <w:sz w:val="22"/>
                <w:szCs w:val="22"/>
              </w:rPr>
              <w:t>Hvis bivirkningerne ikke forsvinder, seponeres behandlingen permanent.</w:t>
            </w:r>
          </w:p>
        </w:tc>
      </w:tr>
      <w:tr w:rsidR="00516778" w:rsidRPr="00516778" w14:paraId="0F880FE9" w14:textId="77777777" w:rsidTr="00516778">
        <w:trPr>
          <w:trHeight w:val="879"/>
        </w:trPr>
        <w:tc>
          <w:tcPr>
            <w:tcW w:w="3847" w:type="dxa"/>
            <w:tcBorders>
              <w:top w:val="single" w:sz="12" w:space="0" w:color="000000"/>
              <w:left w:val="single" w:sz="4" w:space="0" w:color="000000"/>
              <w:bottom w:val="single" w:sz="12" w:space="0" w:color="000000"/>
              <w:right w:val="single" w:sz="4" w:space="0" w:color="000000"/>
            </w:tcBorders>
            <w:hideMark/>
          </w:tcPr>
          <w:p w14:paraId="56109842" w14:textId="77777777" w:rsidR="00516778" w:rsidRPr="00516778" w:rsidRDefault="00516778" w:rsidP="00516778">
            <w:pPr>
              <w:ind w:left="149"/>
              <w:rPr>
                <w:sz w:val="22"/>
                <w:szCs w:val="22"/>
              </w:rPr>
            </w:pPr>
            <w:r w:rsidRPr="00516778">
              <w:rPr>
                <w:sz w:val="22"/>
                <w:szCs w:val="22"/>
              </w:rPr>
              <w:lastRenderedPageBreak/>
              <w:t>Forhøjelse af leverenzymer hos RCC- patienter behandlet med Cabozantinib "Teva" i kombination med nivolumab</w:t>
            </w:r>
          </w:p>
        </w:tc>
        <w:tc>
          <w:tcPr>
            <w:tcW w:w="5678" w:type="dxa"/>
            <w:tcBorders>
              <w:top w:val="single" w:sz="12" w:space="0" w:color="000000"/>
              <w:left w:val="single" w:sz="4" w:space="0" w:color="000000"/>
              <w:bottom w:val="single" w:sz="12" w:space="0" w:color="000000"/>
              <w:right w:val="single" w:sz="4" w:space="0" w:color="000000"/>
            </w:tcBorders>
          </w:tcPr>
          <w:p w14:paraId="55AE01CE" w14:textId="77777777" w:rsidR="00516778" w:rsidRPr="00516778" w:rsidRDefault="00516778" w:rsidP="00516778">
            <w:pPr>
              <w:rPr>
                <w:sz w:val="22"/>
                <w:szCs w:val="22"/>
              </w:rPr>
            </w:pPr>
          </w:p>
        </w:tc>
      </w:tr>
      <w:tr w:rsidR="00516778" w:rsidRPr="00516778" w14:paraId="5B62A9FD" w14:textId="77777777" w:rsidTr="00516778">
        <w:trPr>
          <w:trHeight w:val="2324"/>
        </w:trPr>
        <w:tc>
          <w:tcPr>
            <w:tcW w:w="3847" w:type="dxa"/>
            <w:tcBorders>
              <w:top w:val="single" w:sz="12" w:space="0" w:color="000000"/>
              <w:left w:val="single" w:sz="4" w:space="0" w:color="000000"/>
              <w:bottom w:val="single" w:sz="12" w:space="0" w:color="000000"/>
              <w:right w:val="single" w:sz="4" w:space="0" w:color="000000"/>
            </w:tcBorders>
            <w:hideMark/>
          </w:tcPr>
          <w:p w14:paraId="71D7097A" w14:textId="77777777" w:rsidR="00516778" w:rsidRPr="00516778" w:rsidRDefault="00516778" w:rsidP="00516778">
            <w:pPr>
              <w:ind w:left="149"/>
              <w:rPr>
                <w:sz w:val="22"/>
                <w:szCs w:val="22"/>
              </w:rPr>
            </w:pPr>
            <w:r w:rsidRPr="00516778">
              <w:rPr>
                <w:sz w:val="22"/>
                <w:szCs w:val="22"/>
              </w:rPr>
              <w:t>ALAT eller ASAT &gt; 3 gange ULN, men</w:t>
            </w:r>
          </w:p>
          <w:p w14:paraId="61937120" w14:textId="77777777" w:rsidR="00516778" w:rsidRPr="00516778" w:rsidRDefault="00516778" w:rsidP="00516778">
            <w:pPr>
              <w:ind w:left="149"/>
              <w:rPr>
                <w:sz w:val="22"/>
                <w:szCs w:val="22"/>
              </w:rPr>
            </w:pPr>
            <w:r w:rsidRPr="00516778">
              <w:rPr>
                <w:sz w:val="22"/>
                <w:szCs w:val="22"/>
              </w:rPr>
              <w:t>≤ 10 gange ULN uden samtidig total bilirubin ≥ 2 gange ULN</w:t>
            </w:r>
          </w:p>
        </w:tc>
        <w:tc>
          <w:tcPr>
            <w:tcW w:w="5678" w:type="dxa"/>
            <w:tcBorders>
              <w:top w:val="single" w:sz="12" w:space="0" w:color="000000"/>
              <w:left w:val="single" w:sz="4" w:space="0" w:color="000000"/>
              <w:bottom w:val="single" w:sz="12" w:space="0" w:color="000000"/>
              <w:right w:val="single" w:sz="4" w:space="0" w:color="000000"/>
            </w:tcBorders>
            <w:hideMark/>
          </w:tcPr>
          <w:p w14:paraId="7067B05D" w14:textId="77777777" w:rsidR="00516778" w:rsidRPr="00516778" w:rsidRDefault="00516778" w:rsidP="00516778">
            <w:pPr>
              <w:ind w:left="136"/>
              <w:rPr>
                <w:sz w:val="22"/>
                <w:szCs w:val="22"/>
              </w:rPr>
            </w:pPr>
            <w:r w:rsidRPr="00516778">
              <w:rPr>
                <w:sz w:val="22"/>
                <w:szCs w:val="22"/>
              </w:rPr>
              <w:t>Afbryd Cabozantinib "Teva" og nivolumab, indtil disse bivirkninger bedres til grad ≤ 1.</w:t>
            </w:r>
          </w:p>
          <w:p w14:paraId="54E5D486" w14:textId="77777777" w:rsidR="00516778" w:rsidRPr="00516778" w:rsidRDefault="00516778" w:rsidP="00516778">
            <w:pPr>
              <w:ind w:left="136"/>
              <w:rPr>
                <w:sz w:val="22"/>
                <w:szCs w:val="22"/>
              </w:rPr>
            </w:pPr>
            <w:r w:rsidRPr="00516778">
              <w:rPr>
                <w:sz w:val="22"/>
                <w:szCs w:val="22"/>
              </w:rPr>
              <w:t>Kortikosteroidbehandling kan overvejes, hvis der er formodning om immunmedieret reaktion (se nivolumabs produktresumé).</w:t>
            </w:r>
          </w:p>
          <w:p w14:paraId="1016F286" w14:textId="77777777" w:rsidR="00516778" w:rsidRPr="00516778" w:rsidRDefault="00516778" w:rsidP="00516778">
            <w:pPr>
              <w:ind w:left="136"/>
              <w:rPr>
                <w:sz w:val="22"/>
                <w:szCs w:val="22"/>
              </w:rPr>
            </w:pPr>
            <w:r w:rsidRPr="00516778">
              <w:rPr>
                <w:sz w:val="22"/>
                <w:szCs w:val="22"/>
              </w:rPr>
              <w:t>Genoptagelse af medicinering med et enkelt præparat eller sekventielt med begge præparater efter bedring kan overvejes. Se produktresuméet for nivolumab ved genoptagelse af medicinering med nivolumab.</w:t>
            </w:r>
          </w:p>
        </w:tc>
      </w:tr>
      <w:tr w:rsidR="00516778" w:rsidRPr="00516778" w14:paraId="381A2622" w14:textId="77777777" w:rsidTr="00516778">
        <w:trPr>
          <w:trHeight w:val="1110"/>
        </w:trPr>
        <w:tc>
          <w:tcPr>
            <w:tcW w:w="3847" w:type="dxa"/>
            <w:tcBorders>
              <w:top w:val="single" w:sz="12" w:space="0" w:color="000000"/>
              <w:left w:val="single" w:sz="4" w:space="0" w:color="000000"/>
              <w:bottom w:val="single" w:sz="12" w:space="0" w:color="000000"/>
              <w:right w:val="single" w:sz="4" w:space="0" w:color="000000"/>
            </w:tcBorders>
            <w:hideMark/>
          </w:tcPr>
          <w:p w14:paraId="7320284C" w14:textId="77777777" w:rsidR="00516778" w:rsidRPr="00516778" w:rsidRDefault="00516778" w:rsidP="00516778">
            <w:pPr>
              <w:ind w:left="149"/>
              <w:rPr>
                <w:sz w:val="22"/>
                <w:szCs w:val="22"/>
              </w:rPr>
            </w:pPr>
            <w:r w:rsidRPr="00516778">
              <w:rPr>
                <w:sz w:val="22"/>
                <w:szCs w:val="22"/>
              </w:rPr>
              <w:t>ALAT eller ASAT &gt; 10 gange ULN eller &gt; 3 gange ULN med samtidig total bilirubin ≥ 2 gange ULN</w:t>
            </w:r>
          </w:p>
        </w:tc>
        <w:tc>
          <w:tcPr>
            <w:tcW w:w="5678" w:type="dxa"/>
            <w:tcBorders>
              <w:top w:val="single" w:sz="12" w:space="0" w:color="000000"/>
              <w:left w:val="single" w:sz="4" w:space="0" w:color="000000"/>
              <w:bottom w:val="single" w:sz="12" w:space="0" w:color="000000"/>
              <w:right w:val="single" w:sz="4" w:space="0" w:color="000000"/>
            </w:tcBorders>
            <w:hideMark/>
          </w:tcPr>
          <w:p w14:paraId="33B6E033" w14:textId="77777777" w:rsidR="00516778" w:rsidRPr="00516778" w:rsidRDefault="00516778" w:rsidP="00516778">
            <w:pPr>
              <w:ind w:left="136"/>
              <w:rPr>
                <w:sz w:val="22"/>
                <w:szCs w:val="22"/>
              </w:rPr>
            </w:pPr>
            <w:r w:rsidRPr="00516778">
              <w:rPr>
                <w:sz w:val="22"/>
                <w:szCs w:val="22"/>
              </w:rPr>
              <w:t>Permanent seponering af Cabozantinib "Teva" og nivolumab.</w:t>
            </w:r>
          </w:p>
          <w:p w14:paraId="09C3D049" w14:textId="77777777" w:rsidR="00516778" w:rsidRPr="00516778" w:rsidRDefault="00516778" w:rsidP="00516778">
            <w:pPr>
              <w:ind w:left="136"/>
              <w:rPr>
                <w:sz w:val="22"/>
                <w:szCs w:val="22"/>
              </w:rPr>
            </w:pPr>
            <w:r w:rsidRPr="00516778">
              <w:rPr>
                <w:sz w:val="22"/>
                <w:szCs w:val="22"/>
              </w:rPr>
              <w:t>Kortikosteroidbehandling kan overvejes, hvis der er formodning om immunmedieret reaktion (se nivolumabs produktresumé).</w:t>
            </w:r>
          </w:p>
        </w:tc>
      </w:tr>
    </w:tbl>
    <w:p w14:paraId="5E35C73B" w14:textId="77777777" w:rsidR="00516778" w:rsidRPr="00516778" w:rsidRDefault="00516778" w:rsidP="00516778">
      <w:pPr>
        <w:tabs>
          <w:tab w:val="left" w:pos="851"/>
        </w:tabs>
        <w:ind w:left="851"/>
        <w:rPr>
          <w:sz w:val="24"/>
          <w:szCs w:val="24"/>
        </w:rPr>
      </w:pPr>
      <w:r w:rsidRPr="00516778">
        <w:rPr>
          <w:sz w:val="24"/>
          <w:szCs w:val="24"/>
        </w:rPr>
        <w:t xml:space="preserve">Bemærk: Toksicitetsgrader er i henhold til </w:t>
      </w:r>
      <w:r w:rsidRPr="00516778">
        <w:rPr>
          <w:i/>
          <w:iCs/>
          <w:sz w:val="24"/>
          <w:szCs w:val="24"/>
        </w:rPr>
        <w:t xml:space="preserve">National Cancer Institute Common Terminology Criteria for Adverse Events </w:t>
      </w:r>
      <w:r w:rsidRPr="00516778">
        <w:rPr>
          <w:sz w:val="24"/>
          <w:szCs w:val="24"/>
        </w:rPr>
        <w:t>version 4.0 (NCI-CTCAE v4).</w:t>
      </w:r>
    </w:p>
    <w:p w14:paraId="50291D51" w14:textId="77777777" w:rsidR="00516778" w:rsidRPr="00516778" w:rsidRDefault="00516778" w:rsidP="00516778">
      <w:pPr>
        <w:tabs>
          <w:tab w:val="left" w:pos="851"/>
        </w:tabs>
        <w:ind w:left="851"/>
        <w:rPr>
          <w:sz w:val="24"/>
          <w:szCs w:val="24"/>
        </w:rPr>
      </w:pPr>
    </w:p>
    <w:p w14:paraId="54568211" w14:textId="77777777" w:rsidR="00516778" w:rsidRPr="00516778" w:rsidRDefault="00516778" w:rsidP="00516778">
      <w:pPr>
        <w:tabs>
          <w:tab w:val="left" w:pos="851"/>
        </w:tabs>
        <w:ind w:left="851"/>
        <w:rPr>
          <w:i/>
          <w:iCs/>
          <w:sz w:val="24"/>
          <w:szCs w:val="24"/>
        </w:rPr>
      </w:pPr>
      <w:r w:rsidRPr="00516778">
        <w:rPr>
          <w:i/>
          <w:iCs/>
          <w:sz w:val="24"/>
          <w:szCs w:val="24"/>
        </w:rPr>
        <w:t>Samtidigt administrerede lægemidler</w:t>
      </w:r>
    </w:p>
    <w:p w14:paraId="15C8B79F" w14:textId="77777777" w:rsidR="00516778" w:rsidRPr="00516778" w:rsidRDefault="00516778" w:rsidP="00516778">
      <w:pPr>
        <w:tabs>
          <w:tab w:val="left" w:pos="851"/>
        </w:tabs>
        <w:ind w:left="851"/>
        <w:rPr>
          <w:sz w:val="24"/>
          <w:szCs w:val="24"/>
        </w:rPr>
      </w:pPr>
      <w:r w:rsidRPr="00516778">
        <w:rPr>
          <w:sz w:val="24"/>
          <w:szCs w:val="24"/>
        </w:rPr>
        <w:t>Samtidig administration af lægemidler, der er potente CYP3A4-hæmmere, bør ske med forsigtighed, og langvarig administration af lægemidler, der er potente CYP3A4-induktorer, bør undgås (se pkt. 4.4 og 4.5).</w:t>
      </w:r>
    </w:p>
    <w:p w14:paraId="50390263" w14:textId="77777777" w:rsidR="00516778" w:rsidRPr="00516778" w:rsidRDefault="00516778" w:rsidP="00516778">
      <w:pPr>
        <w:tabs>
          <w:tab w:val="left" w:pos="851"/>
        </w:tabs>
        <w:ind w:left="851"/>
        <w:rPr>
          <w:sz w:val="24"/>
          <w:szCs w:val="24"/>
        </w:rPr>
      </w:pPr>
    </w:p>
    <w:p w14:paraId="361D6F93" w14:textId="77777777" w:rsidR="00516778" w:rsidRPr="00516778" w:rsidRDefault="00516778" w:rsidP="00516778">
      <w:pPr>
        <w:tabs>
          <w:tab w:val="left" w:pos="851"/>
        </w:tabs>
        <w:ind w:left="851"/>
        <w:rPr>
          <w:sz w:val="24"/>
          <w:szCs w:val="24"/>
        </w:rPr>
      </w:pPr>
      <w:r w:rsidRPr="00516778">
        <w:rPr>
          <w:sz w:val="24"/>
          <w:szCs w:val="24"/>
        </w:rPr>
        <w:t>Det bør overvejes i stedet at vælge et lægemiddel med intet eller minimalt potentiale til at inducere eller hæmme CYP3A4.</w:t>
      </w:r>
    </w:p>
    <w:p w14:paraId="224E2B8D" w14:textId="77777777" w:rsidR="00516778" w:rsidRPr="00516778" w:rsidRDefault="00516778" w:rsidP="00516778">
      <w:pPr>
        <w:tabs>
          <w:tab w:val="left" w:pos="851"/>
        </w:tabs>
        <w:ind w:left="851"/>
        <w:rPr>
          <w:sz w:val="24"/>
          <w:szCs w:val="24"/>
        </w:rPr>
      </w:pPr>
    </w:p>
    <w:p w14:paraId="2BE98F33" w14:textId="77777777" w:rsidR="00516778" w:rsidRPr="00516778" w:rsidRDefault="00516778" w:rsidP="00516778">
      <w:pPr>
        <w:tabs>
          <w:tab w:val="left" w:pos="851"/>
        </w:tabs>
        <w:ind w:left="851"/>
        <w:rPr>
          <w:sz w:val="24"/>
          <w:szCs w:val="24"/>
        </w:rPr>
      </w:pPr>
      <w:r w:rsidRPr="00516778">
        <w:rPr>
          <w:sz w:val="24"/>
          <w:szCs w:val="24"/>
          <w:u w:val="single"/>
        </w:rPr>
        <w:t>Særlige populationer</w:t>
      </w:r>
    </w:p>
    <w:p w14:paraId="4CC74D96" w14:textId="77777777" w:rsidR="00516778" w:rsidRDefault="00516778" w:rsidP="00516778">
      <w:pPr>
        <w:tabs>
          <w:tab w:val="left" w:pos="851"/>
        </w:tabs>
        <w:ind w:left="851"/>
        <w:rPr>
          <w:i/>
          <w:iCs/>
          <w:sz w:val="24"/>
          <w:szCs w:val="24"/>
          <w:u w:val="single"/>
        </w:rPr>
      </w:pPr>
    </w:p>
    <w:p w14:paraId="3A275C3D" w14:textId="7ACAAFCD" w:rsidR="00516778" w:rsidRPr="00516778" w:rsidRDefault="00516778" w:rsidP="00516778">
      <w:pPr>
        <w:tabs>
          <w:tab w:val="left" w:pos="851"/>
        </w:tabs>
        <w:ind w:left="851"/>
        <w:rPr>
          <w:i/>
          <w:iCs/>
          <w:sz w:val="24"/>
          <w:szCs w:val="24"/>
        </w:rPr>
      </w:pPr>
      <w:r w:rsidRPr="00516778">
        <w:rPr>
          <w:i/>
          <w:iCs/>
          <w:sz w:val="24"/>
          <w:szCs w:val="24"/>
        </w:rPr>
        <w:t>Ældre</w:t>
      </w:r>
    </w:p>
    <w:p w14:paraId="130A594B" w14:textId="77777777" w:rsidR="00516778" w:rsidRPr="00516778" w:rsidRDefault="00516778" w:rsidP="00516778">
      <w:pPr>
        <w:tabs>
          <w:tab w:val="left" w:pos="851"/>
        </w:tabs>
        <w:ind w:left="851"/>
        <w:rPr>
          <w:sz w:val="24"/>
          <w:szCs w:val="24"/>
        </w:rPr>
      </w:pPr>
      <w:r w:rsidRPr="00516778">
        <w:rPr>
          <w:sz w:val="24"/>
          <w:szCs w:val="24"/>
        </w:rPr>
        <w:t>En specifik justering af cabozantinib-dosis er ikke nødvendig til ældre patienter (≥65 år).</w:t>
      </w:r>
    </w:p>
    <w:p w14:paraId="0F105084" w14:textId="77777777" w:rsidR="00516778" w:rsidRPr="00516778" w:rsidRDefault="00516778" w:rsidP="00516778">
      <w:pPr>
        <w:tabs>
          <w:tab w:val="left" w:pos="851"/>
        </w:tabs>
        <w:ind w:left="851"/>
        <w:rPr>
          <w:sz w:val="24"/>
          <w:szCs w:val="24"/>
        </w:rPr>
      </w:pPr>
    </w:p>
    <w:p w14:paraId="7FED8941" w14:textId="77777777" w:rsidR="00516778" w:rsidRPr="00516778" w:rsidRDefault="00516778" w:rsidP="00516778">
      <w:pPr>
        <w:tabs>
          <w:tab w:val="left" w:pos="851"/>
        </w:tabs>
        <w:ind w:left="851"/>
        <w:rPr>
          <w:i/>
          <w:iCs/>
          <w:sz w:val="24"/>
          <w:szCs w:val="24"/>
        </w:rPr>
      </w:pPr>
      <w:r w:rsidRPr="00516778">
        <w:rPr>
          <w:i/>
          <w:iCs/>
          <w:sz w:val="24"/>
          <w:szCs w:val="24"/>
        </w:rPr>
        <w:t>Race</w:t>
      </w:r>
    </w:p>
    <w:p w14:paraId="56B77062" w14:textId="77777777" w:rsidR="00516778" w:rsidRPr="00516778" w:rsidRDefault="00516778" w:rsidP="00516778">
      <w:pPr>
        <w:tabs>
          <w:tab w:val="left" w:pos="851"/>
        </w:tabs>
        <w:ind w:left="851"/>
        <w:rPr>
          <w:sz w:val="24"/>
          <w:szCs w:val="24"/>
        </w:rPr>
      </w:pPr>
      <w:r w:rsidRPr="00516778">
        <w:rPr>
          <w:sz w:val="24"/>
          <w:szCs w:val="24"/>
        </w:rPr>
        <w:t>Dosisjustering er ikke nødvendig baseret på etnicitet (se pkt. 5.2).</w:t>
      </w:r>
    </w:p>
    <w:p w14:paraId="565F3D7C" w14:textId="77777777" w:rsidR="00516778" w:rsidRPr="00516778" w:rsidRDefault="00516778" w:rsidP="00516778">
      <w:pPr>
        <w:tabs>
          <w:tab w:val="left" w:pos="851"/>
        </w:tabs>
        <w:ind w:left="851"/>
        <w:rPr>
          <w:sz w:val="24"/>
          <w:szCs w:val="24"/>
        </w:rPr>
      </w:pPr>
    </w:p>
    <w:p w14:paraId="1EC6AEBE" w14:textId="77777777" w:rsidR="00516778" w:rsidRPr="00516778" w:rsidRDefault="00516778" w:rsidP="00516778">
      <w:pPr>
        <w:tabs>
          <w:tab w:val="left" w:pos="851"/>
        </w:tabs>
        <w:ind w:left="851"/>
        <w:rPr>
          <w:i/>
          <w:iCs/>
          <w:sz w:val="24"/>
          <w:szCs w:val="24"/>
        </w:rPr>
      </w:pPr>
      <w:r w:rsidRPr="00516778">
        <w:rPr>
          <w:i/>
          <w:iCs/>
          <w:sz w:val="24"/>
          <w:szCs w:val="24"/>
        </w:rPr>
        <w:t>Nedsat nyrefunktion</w:t>
      </w:r>
    </w:p>
    <w:p w14:paraId="472A69B1" w14:textId="77777777" w:rsidR="00516778" w:rsidRPr="00516778" w:rsidRDefault="00516778" w:rsidP="00516778">
      <w:pPr>
        <w:tabs>
          <w:tab w:val="left" w:pos="851"/>
        </w:tabs>
        <w:ind w:left="851"/>
        <w:rPr>
          <w:sz w:val="24"/>
          <w:szCs w:val="24"/>
        </w:rPr>
      </w:pPr>
      <w:r w:rsidRPr="00516778">
        <w:rPr>
          <w:sz w:val="24"/>
          <w:szCs w:val="24"/>
        </w:rPr>
        <w:t>Cabozantinib bør anvendes med forsigtighed hos patienter med let eller moderat nedsat nyrefunktion. Cabozantinib anbefales ikke til patienter med svært nedsat nyrefunktion, da sikkerheden og virkningen ikke er blevet fastslået hos denne population.</w:t>
      </w:r>
    </w:p>
    <w:p w14:paraId="4E0B5719" w14:textId="77777777" w:rsidR="00516778" w:rsidRPr="00516778" w:rsidRDefault="00516778" w:rsidP="00516778">
      <w:pPr>
        <w:tabs>
          <w:tab w:val="left" w:pos="851"/>
        </w:tabs>
        <w:ind w:left="851"/>
        <w:rPr>
          <w:sz w:val="24"/>
          <w:szCs w:val="24"/>
        </w:rPr>
      </w:pPr>
    </w:p>
    <w:p w14:paraId="58BC18E0" w14:textId="77777777" w:rsidR="00516778" w:rsidRPr="00516778" w:rsidRDefault="00516778" w:rsidP="00516778">
      <w:pPr>
        <w:tabs>
          <w:tab w:val="left" w:pos="851"/>
        </w:tabs>
        <w:ind w:left="851"/>
        <w:rPr>
          <w:i/>
          <w:iCs/>
          <w:sz w:val="24"/>
          <w:szCs w:val="24"/>
        </w:rPr>
      </w:pPr>
      <w:r w:rsidRPr="00516778">
        <w:rPr>
          <w:i/>
          <w:iCs/>
          <w:sz w:val="24"/>
          <w:szCs w:val="24"/>
        </w:rPr>
        <w:t>Nedsat leverfunktion</w:t>
      </w:r>
    </w:p>
    <w:p w14:paraId="43133B91" w14:textId="77777777" w:rsidR="00516778" w:rsidRPr="00516778" w:rsidRDefault="00516778" w:rsidP="00516778">
      <w:pPr>
        <w:tabs>
          <w:tab w:val="left" w:pos="851"/>
        </w:tabs>
        <w:ind w:left="851"/>
        <w:rPr>
          <w:sz w:val="24"/>
          <w:szCs w:val="24"/>
        </w:rPr>
      </w:pPr>
      <w:r w:rsidRPr="00516778">
        <w:rPr>
          <w:sz w:val="24"/>
          <w:szCs w:val="24"/>
        </w:rPr>
        <w:t>Dosisjustering er ikke nødvendig hos patienter med let nedsat leverfunktion. Da der kun foreligger begrænsede data for patienter med moderat nedsat leverfunktion (Child Pugh B), kan der ikke gives en doseringsanbefaling. En tæt overvågning af den samlede sikkerhed anbefales til disse patienter (se pkt. 4.4 og 5.2). Der er ingen klinisk erfaring hos patienter med svært nedsat leverfunktion (Child Pugh C), hvorfor cabozantinib ikke anbefales til disse patienter (se pkt. 5.2).</w:t>
      </w:r>
    </w:p>
    <w:p w14:paraId="53E0FC9F" w14:textId="77777777" w:rsidR="00516778" w:rsidRPr="00516778" w:rsidRDefault="00516778" w:rsidP="00516778">
      <w:pPr>
        <w:tabs>
          <w:tab w:val="left" w:pos="851"/>
        </w:tabs>
        <w:ind w:left="851"/>
        <w:rPr>
          <w:sz w:val="24"/>
          <w:szCs w:val="24"/>
        </w:rPr>
      </w:pPr>
    </w:p>
    <w:p w14:paraId="79483C85" w14:textId="77777777" w:rsidR="00516778" w:rsidRPr="00516778" w:rsidRDefault="00516778" w:rsidP="00516778">
      <w:pPr>
        <w:tabs>
          <w:tab w:val="left" w:pos="851"/>
        </w:tabs>
        <w:ind w:left="851"/>
        <w:rPr>
          <w:i/>
          <w:iCs/>
          <w:sz w:val="24"/>
          <w:szCs w:val="24"/>
        </w:rPr>
      </w:pPr>
      <w:r w:rsidRPr="00516778">
        <w:rPr>
          <w:i/>
          <w:iCs/>
          <w:sz w:val="24"/>
          <w:szCs w:val="24"/>
        </w:rPr>
        <w:t>Nedsat hjertefunktion</w:t>
      </w:r>
    </w:p>
    <w:p w14:paraId="6346B592" w14:textId="77777777" w:rsidR="00516778" w:rsidRPr="00516778" w:rsidRDefault="00516778" w:rsidP="00516778">
      <w:pPr>
        <w:tabs>
          <w:tab w:val="left" w:pos="851"/>
        </w:tabs>
        <w:ind w:left="851"/>
        <w:rPr>
          <w:sz w:val="24"/>
          <w:szCs w:val="24"/>
        </w:rPr>
      </w:pPr>
      <w:r w:rsidRPr="00516778">
        <w:rPr>
          <w:sz w:val="24"/>
          <w:szCs w:val="24"/>
        </w:rPr>
        <w:t>Der er begrænsede data for patienter med nedsat hjertefunktion. Der kan ikke gives specifikke anbefalinger vedrørende dosering.</w:t>
      </w:r>
    </w:p>
    <w:p w14:paraId="2AB09A9A" w14:textId="77777777" w:rsidR="00516778" w:rsidRPr="00516778" w:rsidRDefault="00516778" w:rsidP="00516778">
      <w:pPr>
        <w:tabs>
          <w:tab w:val="left" w:pos="851"/>
        </w:tabs>
        <w:ind w:left="851"/>
        <w:rPr>
          <w:sz w:val="24"/>
          <w:szCs w:val="24"/>
        </w:rPr>
      </w:pPr>
    </w:p>
    <w:p w14:paraId="5427C363" w14:textId="77777777" w:rsidR="00516778" w:rsidRPr="00516778" w:rsidRDefault="00516778" w:rsidP="00516778">
      <w:pPr>
        <w:tabs>
          <w:tab w:val="left" w:pos="851"/>
        </w:tabs>
        <w:ind w:left="851"/>
        <w:rPr>
          <w:i/>
          <w:iCs/>
          <w:sz w:val="24"/>
          <w:szCs w:val="24"/>
        </w:rPr>
      </w:pPr>
      <w:r w:rsidRPr="00516778">
        <w:rPr>
          <w:i/>
          <w:iCs/>
          <w:sz w:val="24"/>
          <w:szCs w:val="24"/>
        </w:rPr>
        <w:t>Pædiatrisk population</w:t>
      </w:r>
    </w:p>
    <w:p w14:paraId="147F84B5" w14:textId="77777777" w:rsidR="00516778" w:rsidRPr="00516778" w:rsidRDefault="00516778" w:rsidP="00516778">
      <w:pPr>
        <w:tabs>
          <w:tab w:val="left" w:pos="851"/>
        </w:tabs>
        <w:ind w:left="851"/>
        <w:rPr>
          <w:sz w:val="24"/>
          <w:szCs w:val="24"/>
        </w:rPr>
      </w:pPr>
      <w:r w:rsidRPr="00516778">
        <w:rPr>
          <w:sz w:val="24"/>
          <w:szCs w:val="24"/>
        </w:rPr>
        <w:t>Cabozantinibs sikkerhed og virkning hos børn og unge i alderen &lt;18 år er endnu ikke klarlagt. De foreliggende data er beskrevet i pkt. 4.8, 5.1 og 5.2, men der kan ikke gives nogen anbefalinger vedrørende dosering.</w:t>
      </w:r>
    </w:p>
    <w:p w14:paraId="7B12E220" w14:textId="77777777" w:rsidR="00516778" w:rsidRPr="00516778" w:rsidRDefault="00516778" w:rsidP="00516778">
      <w:pPr>
        <w:tabs>
          <w:tab w:val="left" w:pos="851"/>
        </w:tabs>
        <w:ind w:left="851"/>
        <w:rPr>
          <w:sz w:val="24"/>
          <w:szCs w:val="24"/>
        </w:rPr>
      </w:pPr>
    </w:p>
    <w:p w14:paraId="1E79E5AE" w14:textId="77777777" w:rsidR="00516778" w:rsidRPr="00516778" w:rsidRDefault="00516778" w:rsidP="00516778">
      <w:pPr>
        <w:tabs>
          <w:tab w:val="left" w:pos="851"/>
        </w:tabs>
        <w:ind w:left="851"/>
        <w:rPr>
          <w:sz w:val="24"/>
          <w:szCs w:val="24"/>
        </w:rPr>
      </w:pPr>
      <w:r w:rsidRPr="00516778">
        <w:rPr>
          <w:sz w:val="24"/>
          <w:szCs w:val="24"/>
          <w:u w:val="single"/>
        </w:rPr>
        <w:t>Administration</w:t>
      </w:r>
    </w:p>
    <w:p w14:paraId="456D0805" w14:textId="77777777" w:rsidR="00516778" w:rsidRPr="00516778" w:rsidRDefault="00516778" w:rsidP="00516778">
      <w:pPr>
        <w:tabs>
          <w:tab w:val="left" w:pos="851"/>
        </w:tabs>
        <w:ind w:left="851"/>
        <w:rPr>
          <w:sz w:val="24"/>
          <w:szCs w:val="24"/>
        </w:rPr>
      </w:pPr>
      <w:r w:rsidRPr="00516778">
        <w:rPr>
          <w:sz w:val="24"/>
          <w:szCs w:val="24"/>
        </w:rPr>
        <w:t>Cabozantinib "Teva" er til oral anvendelse. Tabletterne skal synkes hele og må ikke knuses. Patienterne skal informeres om ikke at spise noget i mindst 2 timer før og 1 time efter at have taget Cabozantinib "Teva".</w:t>
      </w:r>
    </w:p>
    <w:p w14:paraId="44EFC515" w14:textId="77777777" w:rsidR="009260DE" w:rsidRPr="00C84483" w:rsidRDefault="009260DE" w:rsidP="009260DE">
      <w:pPr>
        <w:tabs>
          <w:tab w:val="left" w:pos="851"/>
        </w:tabs>
        <w:ind w:left="851"/>
        <w:rPr>
          <w:sz w:val="24"/>
          <w:szCs w:val="24"/>
        </w:rPr>
      </w:pPr>
    </w:p>
    <w:p w14:paraId="3D689EC8"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5838ED70" w14:textId="77777777" w:rsidR="004A7092" w:rsidRPr="004A7092" w:rsidRDefault="004A7092" w:rsidP="004A7092">
      <w:pPr>
        <w:tabs>
          <w:tab w:val="left" w:pos="851"/>
        </w:tabs>
        <w:ind w:left="851"/>
        <w:rPr>
          <w:sz w:val="24"/>
          <w:szCs w:val="24"/>
        </w:rPr>
      </w:pPr>
      <w:r w:rsidRPr="004A7092">
        <w:rPr>
          <w:sz w:val="24"/>
          <w:szCs w:val="24"/>
        </w:rPr>
        <w:t>Overfølsomhed over for det aktive stof eller over for et eller flere af hjælpestofferne anført i pkt. 6.1.</w:t>
      </w:r>
    </w:p>
    <w:p w14:paraId="27A79436" w14:textId="77777777" w:rsidR="009260DE" w:rsidRPr="00C84483" w:rsidRDefault="009260DE" w:rsidP="009260DE">
      <w:pPr>
        <w:tabs>
          <w:tab w:val="left" w:pos="851"/>
        </w:tabs>
        <w:ind w:left="851"/>
        <w:rPr>
          <w:sz w:val="24"/>
          <w:szCs w:val="24"/>
        </w:rPr>
      </w:pPr>
    </w:p>
    <w:p w14:paraId="62EDA4AC"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7CDFCA0D" w14:textId="77777777" w:rsidR="004A7092" w:rsidRPr="004A7092" w:rsidRDefault="004A7092" w:rsidP="004A7092">
      <w:pPr>
        <w:tabs>
          <w:tab w:val="left" w:pos="851"/>
        </w:tabs>
        <w:ind w:left="851"/>
        <w:rPr>
          <w:sz w:val="24"/>
          <w:szCs w:val="24"/>
        </w:rPr>
      </w:pPr>
      <w:r w:rsidRPr="004A7092">
        <w:rPr>
          <w:sz w:val="24"/>
          <w:szCs w:val="24"/>
        </w:rPr>
        <w:t>Da de fleste bivirkninger forekommer tidligt i behandlingsforløbet, skal lægen evaluere patienten tæt i de første 8 behandlingsuger for at vurdere, om dosisændring er nødvendig. Bivirkninger, der generelt ses tidligt, omfatter hypokalcæmi, hypokaliæmi, trombocytopeni, hypertension, palmoplantar erytrodysæstesi- syndrom (PPES), proteinuri og gastrointestinale (GI) bivirkninger (abdominalsmerter, slimhindeinflammation, obstipation, diarré, opkastninger).</w:t>
      </w:r>
    </w:p>
    <w:p w14:paraId="3057469D" w14:textId="77777777" w:rsidR="004A7092" w:rsidRPr="004A7092" w:rsidRDefault="004A7092" w:rsidP="004A7092">
      <w:pPr>
        <w:tabs>
          <w:tab w:val="left" w:pos="851"/>
        </w:tabs>
        <w:ind w:left="851"/>
        <w:rPr>
          <w:sz w:val="24"/>
          <w:szCs w:val="24"/>
        </w:rPr>
      </w:pPr>
    </w:p>
    <w:p w14:paraId="1F3CD279" w14:textId="7256C807" w:rsidR="004A7092" w:rsidRDefault="004A7092" w:rsidP="004A7092">
      <w:pPr>
        <w:tabs>
          <w:tab w:val="left" w:pos="851"/>
        </w:tabs>
        <w:ind w:left="851"/>
        <w:rPr>
          <w:sz w:val="24"/>
          <w:szCs w:val="24"/>
          <w:u w:val="single"/>
        </w:rPr>
      </w:pPr>
      <w:r w:rsidRPr="004A7092">
        <w:rPr>
          <w:sz w:val="24"/>
          <w:szCs w:val="24"/>
          <w:u w:val="single"/>
        </w:rPr>
        <w:t>Håndtering af formodede bivirkninger kan kræve midlertidig afbrydelse eller dosisreduktion af cabozantinib-</w:t>
      </w:r>
      <w:r w:rsidRPr="004A7092">
        <w:rPr>
          <w:sz w:val="24"/>
          <w:szCs w:val="24"/>
        </w:rPr>
        <w:t xml:space="preserve"> </w:t>
      </w:r>
      <w:r w:rsidRPr="004A7092">
        <w:rPr>
          <w:sz w:val="24"/>
          <w:szCs w:val="24"/>
          <w:u w:val="single"/>
        </w:rPr>
        <w:t>behandling (se pkt. 4.2)</w:t>
      </w:r>
    </w:p>
    <w:p w14:paraId="0644A34A" w14:textId="77777777" w:rsidR="00146D7C" w:rsidRPr="004A7092" w:rsidRDefault="00146D7C" w:rsidP="004A7092">
      <w:pPr>
        <w:tabs>
          <w:tab w:val="left" w:pos="851"/>
        </w:tabs>
        <w:ind w:left="851"/>
        <w:rPr>
          <w:sz w:val="24"/>
          <w:szCs w:val="24"/>
          <w:u w:val="single"/>
        </w:rPr>
      </w:pPr>
    </w:p>
    <w:p w14:paraId="7B6332D6" w14:textId="77777777" w:rsidR="004A7092" w:rsidRPr="004A7092" w:rsidRDefault="004A7092" w:rsidP="004A7092">
      <w:pPr>
        <w:tabs>
          <w:tab w:val="left" w:pos="851"/>
        </w:tabs>
        <w:ind w:left="851"/>
        <w:rPr>
          <w:sz w:val="24"/>
          <w:szCs w:val="24"/>
        </w:rPr>
      </w:pPr>
      <w:r w:rsidRPr="004A7092">
        <w:rPr>
          <w:i/>
          <w:iCs/>
          <w:sz w:val="24"/>
          <w:szCs w:val="24"/>
        </w:rPr>
        <w:t xml:space="preserve">Ved nyrecellekarcinom efter tidligere vaskulær endothelial vækstfaktor (VEGF) målrettet behandling, </w:t>
      </w:r>
      <w:r w:rsidRPr="004A7092">
        <w:rPr>
          <w:sz w:val="24"/>
          <w:szCs w:val="24"/>
        </w:rPr>
        <w:t>forekom dosisreduktion og behandlingsafbrydelse på grund af en bivirkning hos henholdsvis 59,8 % og 70 % af de cabozantinib-behandlede patienter i det pivotale kliniske studie (METEOR). 2 dosisreduktioner var nødvendige hos 19,3 % af patienterne. Mediantiden var 55 dage til første dosisreduktion og 38 dage til førstebehandlingsafbrydelse.</w:t>
      </w:r>
    </w:p>
    <w:p w14:paraId="27A23581" w14:textId="77777777" w:rsidR="004A7092" w:rsidRPr="004A7092" w:rsidRDefault="004A7092" w:rsidP="004A7092">
      <w:pPr>
        <w:tabs>
          <w:tab w:val="left" w:pos="851"/>
        </w:tabs>
        <w:ind w:left="851"/>
        <w:rPr>
          <w:sz w:val="24"/>
          <w:szCs w:val="24"/>
        </w:rPr>
      </w:pPr>
    </w:p>
    <w:p w14:paraId="14EB4FC9" w14:textId="77777777" w:rsidR="004A7092" w:rsidRPr="004A7092" w:rsidRDefault="004A7092" w:rsidP="004A7092">
      <w:pPr>
        <w:tabs>
          <w:tab w:val="left" w:pos="851"/>
        </w:tabs>
        <w:ind w:left="851"/>
        <w:rPr>
          <w:i/>
          <w:iCs/>
          <w:sz w:val="24"/>
          <w:szCs w:val="24"/>
        </w:rPr>
      </w:pPr>
      <w:r w:rsidRPr="004A7092">
        <w:rPr>
          <w:i/>
          <w:iCs/>
          <w:sz w:val="24"/>
          <w:szCs w:val="24"/>
        </w:rPr>
        <w:t>Ved behandlingsnaivt nyrecellekarcinom forekom dosisreduktioner og dosisafbrydelser hos henholdsvis 46 % og 73 % af de cabozantinib-behandlede patienter i det kliniske studie (CABOSUN).</w:t>
      </w:r>
    </w:p>
    <w:p w14:paraId="22609528" w14:textId="77777777" w:rsidR="004A7092" w:rsidRPr="004A7092" w:rsidRDefault="004A7092" w:rsidP="004A7092">
      <w:pPr>
        <w:tabs>
          <w:tab w:val="left" w:pos="851"/>
        </w:tabs>
        <w:ind w:left="851"/>
        <w:rPr>
          <w:i/>
          <w:iCs/>
          <w:sz w:val="24"/>
          <w:szCs w:val="24"/>
        </w:rPr>
      </w:pPr>
    </w:p>
    <w:p w14:paraId="6E46EFC7" w14:textId="77777777" w:rsidR="004A7092" w:rsidRPr="004A7092" w:rsidRDefault="004A7092" w:rsidP="004A7092">
      <w:pPr>
        <w:tabs>
          <w:tab w:val="left" w:pos="851"/>
        </w:tabs>
        <w:ind w:left="851"/>
        <w:rPr>
          <w:sz w:val="24"/>
          <w:szCs w:val="24"/>
        </w:rPr>
      </w:pPr>
      <w:r w:rsidRPr="004A7092">
        <w:rPr>
          <w:i/>
          <w:iCs/>
          <w:sz w:val="24"/>
          <w:szCs w:val="24"/>
        </w:rPr>
        <w:t>Når cabozantinib er givet i kombination med nivolumab som førstelinjebehandling af fremskredent nyrecellekarcinom</w:t>
      </w:r>
      <w:r w:rsidRPr="004A7092">
        <w:rPr>
          <w:sz w:val="24"/>
          <w:szCs w:val="24"/>
        </w:rPr>
        <w:t>, forekom dosisreduktion og dosisafbrydelse af cabozantinib på grund af en bivirkning hos 54,1 % og 73,4 % af patienterne i det kliniske studie (CA2099ER). 2 dosisreduktioner var krævet hos 9,4 % af patienterne. Mediantiden til første dosisreduktion var 106 dage og var til første dosisafbrydelse 68 dage.</w:t>
      </w:r>
    </w:p>
    <w:p w14:paraId="326993BD" w14:textId="77777777" w:rsidR="004A7092" w:rsidRPr="004A7092" w:rsidRDefault="004A7092" w:rsidP="004A7092">
      <w:pPr>
        <w:tabs>
          <w:tab w:val="left" w:pos="851"/>
        </w:tabs>
        <w:ind w:left="851"/>
        <w:rPr>
          <w:sz w:val="24"/>
          <w:szCs w:val="24"/>
        </w:rPr>
      </w:pPr>
    </w:p>
    <w:p w14:paraId="1755899D" w14:textId="77777777" w:rsidR="004A7092" w:rsidRPr="004A7092" w:rsidRDefault="004A7092" w:rsidP="004A7092">
      <w:pPr>
        <w:tabs>
          <w:tab w:val="left" w:pos="851"/>
        </w:tabs>
        <w:ind w:left="851"/>
        <w:rPr>
          <w:sz w:val="24"/>
          <w:szCs w:val="24"/>
        </w:rPr>
      </w:pPr>
      <w:r w:rsidRPr="004A7092">
        <w:rPr>
          <w:i/>
          <w:iCs/>
          <w:sz w:val="24"/>
          <w:szCs w:val="24"/>
        </w:rPr>
        <w:t xml:space="preserve">Ved hepatocellulært karcinom efter forudgående systemisk behandling </w:t>
      </w:r>
      <w:r w:rsidRPr="004A7092">
        <w:rPr>
          <w:sz w:val="24"/>
          <w:szCs w:val="24"/>
        </w:rPr>
        <w:t>forekom dosisreduktioner og dosisafbrydelser hos henholdsvis 62 % og 84 % af de cabozantinib-behandlede patienter i det kliniske studie (CELESTIAL). 2 dosisreduktioner var nødvendige hos 33 % af patienterne. Mediantid til første dosisreduktion var 38 dage og til første dosisafbrydelse 28 dage. Tættere overvågning anbefales hos patienter med let eller moderat nedsat leverfunktion.</w:t>
      </w:r>
    </w:p>
    <w:p w14:paraId="478CF83E" w14:textId="77777777" w:rsidR="004A7092" w:rsidRPr="004A7092" w:rsidRDefault="004A7092" w:rsidP="004A7092">
      <w:pPr>
        <w:tabs>
          <w:tab w:val="left" w:pos="851"/>
        </w:tabs>
        <w:ind w:left="851"/>
        <w:rPr>
          <w:sz w:val="24"/>
          <w:szCs w:val="24"/>
        </w:rPr>
      </w:pPr>
    </w:p>
    <w:p w14:paraId="061C42CF" w14:textId="77777777" w:rsidR="004A7092" w:rsidRPr="004A7092" w:rsidRDefault="004A7092" w:rsidP="004A7092">
      <w:pPr>
        <w:tabs>
          <w:tab w:val="left" w:pos="851"/>
        </w:tabs>
        <w:ind w:left="851"/>
        <w:rPr>
          <w:sz w:val="24"/>
          <w:szCs w:val="24"/>
        </w:rPr>
      </w:pPr>
      <w:r w:rsidRPr="004A7092">
        <w:rPr>
          <w:i/>
          <w:iCs/>
          <w:sz w:val="24"/>
          <w:szCs w:val="24"/>
        </w:rPr>
        <w:lastRenderedPageBreak/>
        <w:t xml:space="preserve">Ved differentieret thyroideakarcinom </w:t>
      </w:r>
      <w:r w:rsidRPr="004A7092">
        <w:rPr>
          <w:sz w:val="24"/>
          <w:szCs w:val="24"/>
        </w:rPr>
        <w:t>forekom dosisreduktioner og dosisafbrydelser hos henholdsvis 67 % og 71 % af de cabozantinib-behandlede patienter i det kliniske studie (COSMIC-311). To dosisreduktioner var nødvendige hos 33 % af patienterne. Mediantid til første dosisreduktion var 57 dage og var til første dosisafbrydelse 38,5 dage.</w:t>
      </w:r>
    </w:p>
    <w:p w14:paraId="053BC257" w14:textId="77777777" w:rsidR="004A7092" w:rsidRPr="004A7092" w:rsidRDefault="004A7092" w:rsidP="004A7092">
      <w:pPr>
        <w:tabs>
          <w:tab w:val="left" w:pos="851"/>
        </w:tabs>
        <w:ind w:left="851"/>
        <w:rPr>
          <w:sz w:val="24"/>
          <w:szCs w:val="24"/>
        </w:rPr>
      </w:pPr>
    </w:p>
    <w:p w14:paraId="609B2D7D" w14:textId="77777777" w:rsidR="004A7092" w:rsidRPr="004A7092" w:rsidRDefault="004A7092" w:rsidP="004A7092">
      <w:pPr>
        <w:tabs>
          <w:tab w:val="left" w:pos="851"/>
        </w:tabs>
        <w:ind w:left="851"/>
        <w:rPr>
          <w:sz w:val="24"/>
          <w:szCs w:val="24"/>
        </w:rPr>
      </w:pPr>
      <w:r w:rsidRPr="004A7092">
        <w:rPr>
          <w:sz w:val="24"/>
          <w:szCs w:val="24"/>
          <w:u w:val="single"/>
        </w:rPr>
        <w:t>Hepatotoksicitet</w:t>
      </w:r>
    </w:p>
    <w:p w14:paraId="3C2D02DB" w14:textId="77777777" w:rsidR="004A7092" w:rsidRPr="004A7092" w:rsidRDefault="004A7092" w:rsidP="004A7092">
      <w:pPr>
        <w:tabs>
          <w:tab w:val="left" w:pos="851"/>
        </w:tabs>
        <w:ind w:left="851"/>
        <w:rPr>
          <w:sz w:val="24"/>
          <w:szCs w:val="24"/>
        </w:rPr>
      </w:pPr>
      <w:r w:rsidRPr="004A7092">
        <w:rPr>
          <w:sz w:val="24"/>
          <w:szCs w:val="24"/>
        </w:rPr>
        <w:t>Abnormiteter i leverfunktionstests (stigninger i alaninaminotransferase [ALAT], aspartataminotransferase [ASAT] og bilirubin) er blevet observeret hyppigt hos patienter behandlet med cabozantinib. Det anbefales at udføre leverfunktionstests (ALAT, ASAT og bilirubin) inden initiering af behandling med cabozantinib samt at monitorere tæt under behandlingen. For patienter med forværrede leverfunktionstests, der anses for at være relateret til cabozantinib-behandling (dvs. hvor ingen alternativ årsag er tydelig), bør rådgivningen om dosisændring i tabel 1 følges (se pkt. 4.2).</w:t>
      </w:r>
    </w:p>
    <w:p w14:paraId="25D35B5C" w14:textId="77777777" w:rsidR="004A7092" w:rsidRPr="004A7092" w:rsidRDefault="004A7092" w:rsidP="004A7092">
      <w:pPr>
        <w:tabs>
          <w:tab w:val="left" w:pos="851"/>
        </w:tabs>
        <w:ind w:left="851"/>
        <w:rPr>
          <w:sz w:val="24"/>
          <w:szCs w:val="24"/>
        </w:rPr>
      </w:pPr>
      <w:r w:rsidRPr="004A7092">
        <w:rPr>
          <w:sz w:val="24"/>
          <w:szCs w:val="24"/>
        </w:rPr>
        <w:t>Når cabozantinib gives i kombination med nivolumab, er der rapporteret højere hyppigheder af grad 3 og 4 ALAT- og ASAT-forhøjelser i forhold til cabozantinib monoterapi hos patienter med fremskredent RCC (se pkt. 4.8). Leverenzymer bør monitoreres før behandlingsstart og periodisk under behandlingen. Medicinske behandlingsvejledninger for begge lægemidler bør følges (se pkt. 4.2 og produktresuméet for nivolumab).</w:t>
      </w:r>
    </w:p>
    <w:p w14:paraId="38649D0F" w14:textId="77777777" w:rsidR="004A7092" w:rsidRPr="004A7092" w:rsidRDefault="004A7092" w:rsidP="004A7092">
      <w:pPr>
        <w:tabs>
          <w:tab w:val="left" w:pos="851"/>
        </w:tabs>
        <w:ind w:left="851"/>
        <w:rPr>
          <w:sz w:val="24"/>
          <w:szCs w:val="24"/>
        </w:rPr>
      </w:pPr>
      <w:r w:rsidRPr="004A7092">
        <w:rPr>
          <w:sz w:val="24"/>
          <w:szCs w:val="24"/>
        </w:rPr>
        <w:t>Der er blevet rapporteret sjældne tilfælde af galdegangstab (</w:t>
      </w:r>
      <w:r w:rsidRPr="004A7092">
        <w:rPr>
          <w:i/>
          <w:iCs/>
          <w:sz w:val="24"/>
          <w:szCs w:val="24"/>
        </w:rPr>
        <w:t>vanishing bile duct syndrome</w:t>
      </w:r>
      <w:r w:rsidRPr="004A7092">
        <w:rPr>
          <w:sz w:val="24"/>
          <w:szCs w:val="24"/>
        </w:rPr>
        <w:t>). Alle tilfælde er forekommet hos patienter, der har fået immuncheckpointhæmmere, enten før eller samtidig med behandlingen med cabozantinib.</w:t>
      </w:r>
    </w:p>
    <w:p w14:paraId="06EA0A9D" w14:textId="77777777" w:rsidR="004A7092" w:rsidRPr="004A7092" w:rsidRDefault="004A7092" w:rsidP="004A7092">
      <w:pPr>
        <w:tabs>
          <w:tab w:val="left" w:pos="851"/>
        </w:tabs>
        <w:ind w:left="851"/>
        <w:rPr>
          <w:sz w:val="24"/>
          <w:szCs w:val="24"/>
        </w:rPr>
      </w:pPr>
      <w:r w:rsidRPr="004A7092">
        <w:rPr>
          <w:sz w:val="24"/>
          <w:szCs w:val="24"/>
        </w:rPr>
        <w:t>Cabozantinib elimineres hovedsageligt via leveren. Tættere monitorering af den samlede sikkerhed anbefales til patienter med let eller moderat nedsat leverfunktion (se også pkt. 4.2 og 5.2). En højere relativ andel af patienter med moderat nedsat leverfunktion (Child-Pugh B) udviklede hepatisk encefalopati med cabozantinib-behandling. Cabozantinib anbefales ikke til patienter med svært nedsat leverfunktion (Child- Pugh C, se pkt. 4.2).</w:t>
      </w:r>
    </w:p>
    <w:p w14:paraId="5BA5EB6C" w14:textId="77777777" w:rsidR="004A7092" w:rsidRPr="004A7092" w:rsidRDefault="004A7092" w:rsidP="004A7092">
      <w:pPr>
        <w:tabs>
          <w:tab w:val="left" w:pos="851"/>
        </w:tabs>
        <w:ind w:left="851"/>
        <w:rPr>
          <w:sz w:val="24"/>
          <w:szCs w:val="24"/>
        </w:rPr>
      </w:pPr>
    </w:p>
    <w:p w14:paraId="07456588" w14:textId="77777777" w:rsidR="004A7092" w:rsidRPr="004A7092" w:rsidRDefault="004A7092" w:rsidP="004A7092">
      <w:pPr>
        <w:tabs>
          <w:tab w:val="left" w:pos="851"/>
        </w:tabs>
        <w:ind w:left="851"/>
        <w:rPr>
          <w:sz w:val="24"/>
          <w:szCs w:val="24"/>
        </w:rPr>
      </w:pPr>
      <w:r w:rsidRPr="004A7092">
        <w:rPr>
          <w:sz w:val="24"/>
          <w:szCs w:val="24"/>
          <w:u w:val="single"/>
        </w:rPr>
        <w:t>Hepatisk encefalopati</w:t>
      </w:r>
    </w:p>
    <w:p w14:paraId="0C54B6FA" w14:textId="77777777" w:rsidR="004A7092" w:rsidRPr="004A7092" w:rsidRDefault="004A7092" w:rsidP="004A7092">
      <w:pPr>
        <w:tabs>
          <w:tab w:val="left" w:pos="851"/>
        </w:tabs>
        <w:ind w:left="851"/>
        <w:rPr>
          <w:sz w:val="24"/>
          <w:szCs w:val="24"/>
        </w:rPr>
      </w:pPr>
      <w:r w:rsidRPr="004A7092">
        <w:rPr>
          <w:sz w:val="24"/>
          <w:szCs w:val="24"/>
        </w:rPr>
        <w:t>I HCC-studiet (CELESTIAL) blev hepatisk encefalopati rapporteret hyppigere i cabozantinib-armen end i placeboarmen. Cabozantinib har været associeret med diarré, opkastning, nedsat appetit og elektrolytabnormiteter. Hos HCC-patienter med nedsat leverfunktion kan disse ikke-hepatiske virkninger være risikofaktorer for udviklingen af hepatisk encefalopati. Patienterne bør monitoreres for tegn og symptomer på hepatisk encefalopati.</w:t>
      </w:r>
    </w:p>
    <w:p w14:paraId="28FC3A83" w14:textId="77777777" w:rsidR="004A7092" w:rsidRPr="004A7092" w:rsidRDefault="004A7092" w:rsidP="004A7092">
      <w:pPr>
        <w:tabs>
          <w:tab w:val="left" w:pos="851"/>
        </w:tabs>
        <w:ind w:left="851"/>
        <w:rPr>
          <w:sz w:val="24"/>
          <w:szCs w:val="24"/>
        </w:rPr>
      </w:pPr>
    </w:p>
    <w:p w14:paraId="6F5D7513" w14:textId="77777777" w:rsidR="004A7092" w:rsidRPr="004A7092" w:rsidRDefault="004A7092" w:rsidP="004A7092">
      <w:pPr>
        <w:tabs>
          <w:tab w:val="left" w:pos="851"/>
        </w:tabs>
        <w:ind w:left="851"/>
        <w:rPr>
          <w:sz w:val="24"/>
          <w:szCs w:val="24"/>
        </w:rPr>
      </w:pPr>
      <w:r w:rsidRPr="004A7092">
        <w:rPr>
          <w:sz w:val="24"/>
          <w:szCs w:val="24"/>
          <w:u w:val="single"/>
        </w:rPr>
        <w:t>Perforation og fistler</w:t>
      </w:r>
    </w:p>
    <w:p w14:paraId="6F6150A9" w14:textId="77777777" w:rsidR="004A7092" w:rsidRPr="004A7092" w:rsidRDefault="004A7092" w:rsidP="004A7092">
      <w:pPr>
        <w:tabs>
          <w:tab w:val="left" w:pos="851"/>
        </w:tabs>
        <w:ind w:left="851"/>
        <w:rPr>
          <w:sz w:val="24"/>
          <w:szCs w:val="24"/>
        </w:rPr>
      </w:pPr>
      <w:r w:rsidRPr="004A7092">
        <w:rPr>
          <w:sz w:val="24"/>
          <w:szCs w:val="24"/>
        </w:rPr>
        <w:t>Der er blevet observeret alvorlige gastrointestinale (GI) perforationer og fistler med cabozantinib, inklusive tilfælde med dødelig udgang. Patienter, som har inflammatorisk tarmsygdom (f.eks. Crohns sygdom, ulcerativ colitis, peritonitis, diverticulitis eller appendicitis), tumorinfiltration i gastrointestinalkanalen eller komplikationer fra tidligere gastrointestinalkirurgi (især forbundet med forsinket eller ufuldstændig heling), skal evalueres omhyggeligt inden indledning af behandling med cabozantinib og monitoreres tæt for symptomer på perforation og fisteldannelse, herunder absces og sepsis. Vedvarende eller tilbagevendende diarré under behandlingen kan være en risikofaktor for udvikling af en analfistel. Cabozantinib skal seponeres hos patienter, der får gastrointestinal perforation eller en fistel, der ikke kan behandles tilfredsstillende.</w:t>
      </w:r>
    </w:p>
    <w:p w14:paraId="03605FDB" w14:textId="77777777" w:rsidR="004A7092" w:rsidRPr="004A7092" w:rsidRDefault="004A7092" w:rsidP="004A7092">
      <w:pPr>
        <w:tabs>
          <w:tab w:val="left" w:pos="851"/>
        </w:tabs>
        <w:ind w:left="851"/>
        <w:rPr>
          <w:sz w:val="24"/>
          <w:szCs w:val="24"/>
        </w:rPr>
      </w:pPr>
    </w:p>
    <w:p w14:paraId="2349FCCC" w14:textId="77777777" w:rsidR="004A7092" w:rsidRPr="004A7092" w:rsidRDefault="004A7092" w:rsidP="004A7092">
      <w:pPr>
        <w:tabs>
          <w:tab w:val="left" w:pos="851"/>
        </w:tabs>
        <w:ind w:left="851"/>
        <w:rPr>
          <w:sz w:val="24"/>
          <w:szCs w:val="24"/>
        </w:rPr>
      </w:pPr>
      <w:r w:rsidRPr="004A7092">
        <w:rPr>
          <w:sz w:val="24"/>
          <w:szCs w:val="24"/>
          <w:u w:val="single"/>
        </w:rPr>
        <w:t>Gastrointestinale (GI) lidelser</w:t>
      </w:r>
    </w:p>
    <w:p w14:paraId="6873E657" w14:textId="77777777" w:rsidR="004A7092" w:rsidRPr="004A7092" w:rsidRDefault="004A7092" w:rsidP="004A7092">
      <w:pPr>
        <w:tabs>
          <w:tab w:val="left" w:pos="851"/>
        </w:tabs>
        <w:ind w:left="851"/>
        <w:rPr>
          <w:sz w:val="24"/>
          <w:szCs w:val="24"/>
        </w:rPr>
      </w:pPr>
      <w:r w:rsidRPr="004A7092">
        <w:rPr>
          <w:sz w:val="24"/>
          <w:szCs w:val="24"/>
        </w:rPr>
        <w:t xml:space="preserve">Diarré, kvalme/opkastning, nedsat appetit og stomatitis/orale smerter var nogle af de hyppigst rapporterede GI-hændelser (se pkt. 4.8). Akut medicinsk behandling, herunder </w:t>
      </w:r>
      <w:r w:rsidRPr="004A7092">
        <w:rPr>
          <w:sz w:val="24"/>
          <w:szCs w:val="24"/>
        </w:rPr>
        <w:lastRenderedPageBreak/>
        <w:t>støttende behandling med antiemetika, midler mod diarré eller antacida, bør indledes for at forhindre dehydrering, elektrolytubalancer og vægttab. Dosisafbrydelse eller -reduktion eller permanent seponering af cabozantinib bør overvejes ved vedvarende eller tilbagevendende signifikante GI-bivirkninger (se tabel 1).</w:t>
      </w:r>
    </w:p>
    <w:p w14:paraId="41587557" w14:textId="77777777" w:rsidR="004A7092" w:rsidRPr="004A7092" w:rsidRDefault="004A7092" w:rsidP="004A7092">
      <w:pPr>
        <w:tabs>
          <w:tab w:val="left" w:pos="851"/>
        </w:tabs>
        <w:ind w:left="851"/>
        <w:rPr>
          <w:sz w:val="24"/>
          <w:szCs w:val="24"/>
        </w:rPr>
      </w:pPr>
    </w:p>
    <w:p w14:paraId="799A6D5C" w14:textId="77777777" w:rsidR="004A7092" w:rsidRPr="004A7092" w:rsidRDefault="004A7092" w:rsidP="004A7092">
      <w:pPr>
        <w:tabs>
          <w:tab w:val="left" w:pos="851"/>
        </w:tabs>
        <w:ind w:left="851"/>
        <w:rPr>
          <w:sz w:val="24"/>
          <w:szCs w:val="24"/>
        </w:rPr>
      </w:pPr>
      <w:r w:rsidRPr="004A7092">
        <w:rPr>
          <w:sz w:val="24"/>
          <w:szCs w:val="24"/>
          <w:u w:val="single"/>
        </w:rPr>
        <w:t>Tromboemboliske hændelser</w:t>
      </w:r>
    </w:p>
    <w:p w14:paraId="34624BB2" w14:textId="77777777" w:rsidR="004A7092" w:rsidRPr="004A7092" w:rsidRDefault="004A7092" w:rsidP="004A7092">
      <w:pPr>
        <w:tabs>
          <w:tab w:val="left" w:pos="851"/>
        </w:tabs>
        <w:ind w:left="851"/>
        <w:rPr>
          <w:sz w:val="24"/>
          <w:szCs w:val="24"/>
        </w:rPr>
      </w:pPr>
      <w:r w:rsidRPr="004A7092">
        <w:rPr>
          <w:sz w:val="24"/>
          <w:szCs w:val="24"/>
        </w:rPr>
        <w:t>Der er blevet observeret tilfælde af venøs tromboemboli, herunder lungeemboli og arteriel tromboemboli, nogle gange letale, med cabozantinib. Cabozantinib skal anvendes med forsigtighed hos patienter med en anamnese med eller risikofaktorer for disse hændelser.</w:t>
      </w:r>
    </w:p>
    <w:p w14:paraId="39FECD72" w14:textId="77777777" w:rsidR="004A7092" w:rsidRPr="004A7092" w:rsidRDefault="004A7092" w:rsidP="004A7092">
      <w:pPr>
        <w:tabs>
          <w:tab w:val="left" w:pos="851"/>
        </w:tabs>
        <w:ind w:left="851"/>
        <w:rPr>
          <w:sz w:val="24"/>
          <w:szCs w:val="24"/>
        </w:rPr>
      </w:pPr>
      <w:r w:rsidRPr="004A7092">
        <w:rPr>
          <w:sz w:val="24"/>
          <w:szCs w:val="24"/>
        </w:rPr>
        <w:t>I HCC-studiet (CELESTIAL) blev der observeret portal venetrombose med cabozantinib, herunder et letalt tilfælde. Patienter med en anamnese med portal veneindvækst syntes at være i højere risiko for at udvikle portal venetrombose. Cabozantinib skal seponeres hos patienter, som udvikler akut myokardieinfarkt eller nogen anden klinisk signifikant tromboembolisk komplikation.</w:t>
      </w:r>
    </w:p>
    <w:p w14:paraId="7F1C69D3" w14:textId="77777777" w:rsidR="004A7092" w:rsidRPr="004A7092" w:rsidRDefault="004A7092" w:rsidP="004A7092">
      <w:pPr>
        <w:tabs>
          <w:tab w:val="left" w:pos="851"/>
        </w:tabs>
        <w:ind w:left="851"/>
        <w:rPr>
          <w:sz w:val="24"/>
          <w:szCs w:val="24"/>
        </w:rPr>
      </w:pPr>
    </w:p>
    <w:p w14:paraId="0014B493" w14:textId="77777777" w:rsidR="004A7092" w:rsidRPr="004A7092" w:rsidRDefault="004A7092" w:rsidP="004A7092">
      <w:pPr>
        <w:tabs>
          <w:tab w:val="left" w:pos="851"/>
        </w:tabs>
        <w:ind w:left="851"/>
        <w:rPr>
          <w:sz w:val="24"/>
          <w:szCs w:val="24"/>
        </w:rPr>
      </w:pPr>
      <w:r w:rsidRPr="004A7092">
        <w:rPr>
          <w:sz w:val="24"/>
          <w:szCs w:val="24"/>
          <w:u w:val="single"/>
        </w:rPr>
        <w:t>Hæmoragi</w:t>
      </w:r>
    </w:p>
    <w:p w14:paraId="356014B0" w14:textId="77777777" w:rsidR="004A7092" w:rsidRPr="004A7092" w:rsidRDefault="004A7092" w:rsidP="004A7092">
      <w:pPr>
        <w:tabs>
          <w:tab w:val="left" w:pos="851"/>
        </w:tabs>
        <w:ind w:left="851"/>
        <w:rPr>
          <w:sz w:val="24"/>
          <w:szCs w:val="24"/>
        </w:rPr>
      </w:pPr>
      <w:r w:rsidRPr="004A7092">
        <w:rPr>
          <w:sz w:val="24"/>
          <w:szCs w:val="24"/>
        </w:rPr>
        <w:t>Der er blevet observeret alvorlig blødning, nogle gange letal, med cabozantinib. Patienter, der har alvorlig blødning i anamnesen, skal evalueres omhyggeligt, inden behandling med cabozantinib initieres.</w:t>
      </w:r>
    </w:p>
    <w:p w14:paraId="42068100" w14:textId="77777777" w:rsidR="004A7092" w:rsidRPr="004A7092" w:rsidRDefault="004A7092" w:rsidP="004A7092">
      <w:pPr>
        <w:tabs>
          <w:tab w:val="left" w:pos="851"/>
        </w:tabs>
        <w:ind w:left="851"/>
        <w:rPr>
          <w:sz w:val="24"/>
          <w:szCs w:val="24"/>
        </w:rPr>
      </w:pPr>
      <w:r w:rsidRPr="004A7092">
        <w:rPr>
          <w:sz w:val="24"/>
          <w:szCs w:val="24"/>
        </w:rPr>
        <w:t>Cabozantinib bør ikke gives til patienter, der har eller har risikofaktorer for alvorlig blødning.</w:t>
      </w:r>
    </w:p>
    <w:p w14:paraId="0E8FB50B" w14:textId="4F59E91C" w:rsidR="004A7092" w:rsidRDefault="004A7092" w:rsidP="004A7092">
      <w:pPr>
        <w:tabs>
          <w:tab w:val="left" w:pos="851"/>
        </w:tabs>
        <w:ind w:left="851"/>
        <w:rPr>
          <w:sz w:val="24"/>
          <w:szCs w:val="24"/>
        </w:rPr>
      </w:pPr>
      <w:r w:rsidRPr="004A7092">
        <w:rPr>
          <w:sz w:val="24"/>
          <w:szCs w:val="24"/>
        </w:rPr>
        <w:t>I HCC-studiet (CELESTIAL) blev letale hæmoragiske hændelser rapporteret med en højere forekomst med cabozantinib end med placebo. Prædisponerende risikofaktorer for svær blødning i den fremskredne HCC- population kan omfatte tumorinvasion af store blodkar og tilstedeværelsen af underliggende levercirrhose, der resulterer i øsofageale varicer, portal hypertension og trombocytopeni. CELESTIAL-studiet ekskluderede patienter med samtidig antikoagulationsbehandling eller trombocythæmmende midler. Studiepersoner med ubehandlet eller ufuldstændig behandling, varicer med blødning eller høj risiko for blødning, blev også ekskluderet fra dette studie.</w:t>
      </w:r>
    </w:p>
    <w:p w14:paraId="4750A5B2" w14:textId="7BF18549" w:rsidR="00B519B1" w:rsidRDefault="00B519B1" w:rsidP="004A7092">
      <w:pPr>
        <w:tabs>
          <w:tab w:val="left" w:pos="851"/>
        </w:tabs>
        <w:ind w:left="851"/>
        <w:rPr>
          <w:sz w:val="24"/>
          <w:szCs w:val="24"/>
        </w:rPr>
      </w:pPr>
    </w:p>
    <w:p w14:paraId="3A212AE2" w14:textId="77777777" w:rsidR="004A7092" w:rsidRPr="004A7092" w:rsidRDefault="004A7092" w:rsidP="004A7092">
      <w:pPr>
        <w:tabs>
          <w:tab w:val="left" w:pos="851"/>
        </w:tabs>
        <w:ind w:left="851"/>
        <w:rPr>
          <w:sz w:val="24"/>
          <w:szCs w:val="24"/>
        </w:rPr>
      </w:pPr>
      <w:r w:rsidRPr="004A7092">
        <w:rPr>
          <w:sz w:val="24"/>
          <w:szCs w:val="24"/>
        </w:rPr>
        <w:t>I studiet med cabozantinib i kombination med nivolumab som førstelinjebehandling ved fremskredent RCC (CA2099ER) blev patienter behandlet med antikoagulantia i terapeutiske doser ekskluderet.</w:t>
      </w:r>
    </w:p>
    <w:p w14:paraId="2576E94F" w14:textId="77777777" w:rsidR="004A7092" w:rsidRPr="004A7092" w:rsidRDefault="004A7092" w:rsidP="004A7092">
      <w:pPr>
        <w:tabs>
          <w:tab w:val="left" w:pos="851"/>
        </w:tabs>
        <w:ind w:left="851"/>
        <w:rPr>
          <w:sz w:val="24"/>
          <w:szCs w:val="24"/>
        </w:rPr>
      </w:pPr>
    </w:p>
    <w:p w14:paraId="5DE140EE" w14:textId="77777777" w:rsidR="004A7092" w:rsidRPr="004A7092" w:rsidRDefault="004A7092" w:rsidP="004A7092">
      <w:pPr>
        <w:tabs>
          <w:tab w:val="left" w:pos="851"/>
        </w:tabs>
        <w:ind w:left="851"/>
        <w:rPr>
          <w:sz w:val="24"/>
          <w:szCs w:val="24"/>
        </w:rPr>
      </w:pPr>
      <w:r w:rsidRPr="004A7092">
        <w:rPr>
          <w:sz w:val="24"/>
          <w:szCs w:val="24"/>
          <w:u w:val="single"/>
        </w:rPr>
        <w:t>Aneurismer og arterielle dissektioner</w:t>
      </w:r>
    </w:p>
    <w:p w14:paraId="2584E45F" w14:textId="77777777" w:rsidR="004A7092" w:rsidRPr="004A7092" w:rsidRDefault="004A7092" w:rsidP="004A7092">
      <w:pPr>
        <w:tabs>
          <w:tab w:val="left" w:pos="851"/>
        </w:tabs>
        <w:ind w:left="851"/>
        <w:rPr>
          <w:sz w:val="24"/>
          <w:szCs w:val="24"/>
        </w:rPr>
      </w:pPr>
      <w:r w:rsidRPr="004A7092">
        <w:rPr>
          <w:sz w:val="24"/>
          <w:szCs w:val="24"/>
        </w:rPr>
        <w:t>Brug af VEGF-hæmmere hos patienter med eller uden hypertension kan fremme dannelse af aneurismer og/eller arterielle dissektioner. Inden indledning af behandling med cabozantinib bør denne risiko overvejes nøje for patienter med risikofaktorer såsom hypertension eller tidligere aneurisme.</w:t>
      </w:r>
    </w:p>
    <w:p w14:paraId="7639D84A" w14:textId="77777777" w:rsidR="004A7092" w:rsidRPr="004A7092" w:rsidRDefault="004A7092" w:rsidP="004A7092">
      <w:pPr>
        <w:tabs>
          <w:tab w:val="left" w:pos="851"/>
        </w:tabs>
        <w:ind w:left="851"/>
        <w:rPr>
          <w:sz w:val="24"/>
          <w:szCs w:val="24"/>
        </w:rPr>
      </w:pPr>
    </w:p>
    <w:p w14:paraId="242B8F89" w14:textId="77777777" w:rsidR="004A7092" w:rsidRPr="004A7092" w:rsidRDefault="004A7092" w:rsidP="004A7092">
      <w:pPr>
        <w:tabs>
          <w:tab w:val="left" w:pos="851"/>
        </w:tabs>
        <w:ind w:left="851"/>
        <w:rPr>
          <w:sz w:val="24"/>
          <w:szCs w:val="24"/>
        </w:rPr>
      </w:pPr>
      <w:r w:rsidRPr="004A7092">
        <w:rPr>
          <w:sz w:val="24"/>
          <w:szCs w:val="24"/>
          <w:u w:val="single"/>
        </w:rPr>
        <w:t>Trombocytopeni</w:t>
      </w:r>
    </w:p>
    <w:p w14:paraId="362E4FF7" w14:textId="77777777" w:rsidR="004A7092" w:rsidRPr="004A7092" w:rsidRDefault="004A7092" w:rsidP="004A7092">
      <w:pPr>
        <w:tabs>
          <w:tab w:val="left" w:pos="851"/>
        </w:tabs>
        <w:ind w:left="851"/>
        <w:rPr>
          <w:sz w:val="24"/>
          <w:szCs w:val="24"/>
        </w:rPr>
      </w:pPr>
      <w:r w:rsidRPr="004A7092">
        <w:rPr>
          <w:sz w:val="24"/>
          <w:szCs w:val="24"/>
        </w:rPr>
        <w:t>I HCC-studiet (CELESTIAL) og i DTC-studiet (COSMIC-311) blev trombocytopeni og nedsat antal blodplader rapporteret. Antallet af blodplader bør monitoreres under behandling med cabozantinib og dosis justeres i overensstemmelse med sværhedsgraden af trombocytopeni (se tabel 1).</w:t>
      </w:r>
    </w:p>
    <w:p w14:paraId="29BE7E5D" w14:textId="77777777" w:rsidR="004A7092" w:rsidRPr="004A7092" w:rsidRDefault="004A7092" w:rsidP="004A7092">
      <w:pPr>
        <w:tabs>
          <w:tab w:val="left" w:pos="851"/>
        </w:tabs>
        <w:ind w:left="851"/>
        <w:rPr>
          <w:sz w:val="24"/>
          <w:szCs w:val="24"/>
        </w:rPr>
      </w:pPr>
    </w:p>
    <w:p w14:paraId="0C028224" w14:textId="77777777" w:rsidR="004A7092" w:rsidRPr="004A7092" w:rsidRDefault="004A7092" w:rsidP="004A7092">
      <w:pPr>
        <w:tabs>
          <w:tab w:val="left" w:pos="851"/>
        </w:tabs>
        <w:ind w:left="851"/>
        <w:rPr>
          <w:sz w:val="24"/>
          <w:szCs w:val="24"/>
        </w:rPr>
      </w:pPr>
      <w:r w:rsidRPr="004A7092">
        <w:rPr>
          <w:sz w:val="24"/>
          <w:szCs w:val="24"/>
          <w:u w:val="single"/>
        </w:rPr>
        <w:t>Sårkomplikationer</w:t>
      </w:r>
    </w:p>
    <w:p w14:paraId="57475613" w14:textId="77777777" w:rsidR="004A7092" w:rsidRPr="004A7092" w:rsidRDefault="004A7092" w:rsidP="004A7092">
      <w:pPr>
        <w:tabs>
          <w:tab w:val="left" w:pos="851"/>
        </w:tabs>
        <w:ind w:left="851"/>
        <w:rPr>
          <w:sz w:val="24"/>
          <w:szCs w:val="24"/>
        </w:rPr>
      </w:pPr>
      <w:r w:rsidRPr="004A7092">
        <w:rPr>
          <w:sz w:val="24"/>
          <w:szCs w:val="24"/>
        </w:rPr>
        <w:t xml:space="preserve">Der er blevet observeret sårkomplikationer med cabozantinib. Cabozantinib-behandling bør om muligt seponeres mindst 28 dage forud for en planlagt operation, herunder dental kirurgi eller invasive dentalprocedurer. Beslutningen om at genoptage behandlingen med cabozantinib efter operation skal baseres på klinisk bedømmelse af tilstrækkelig sårheling. </w:t>
      </w:r>
      <w:r w:rsidRPr="004A7092">
        <w:rPr>
          <w:sz w:val="24"/>
          <w:szCs w:val="24"/>
        </w:rPr>
        <w:lastRenderedPageBreak/>
        <w:t>Cabozantinib skal seponeres hos patienter med sårhelingskomplikationer, der kræver intervention.</w:t>
      </w:r>
    </w:p>
    <w:p w14:paraId="66BDFD2D" w14:textId="77777777" w:rsidR="004A7092" w:rsidRPr="004A7092" w:rsidRDefault="004A7092" w:rsidP="004A7092">
      <w:pPr>
        <w:tabs>
          <w:tab w:val="left" w:pos="851"/>
        </w:tabs>
        <w:ind w:left="851"/>
        <w:rPr>
          <w:sz w:val="24"/>
          <w:szCs w:val="24"/>
        </w:rPr>
      </w:pPr>
    </w:p>
    <w:p w14:paraId="21A6A53B" w14:textId="77777777" w:rsidR="004A7092" w:rsidRPr="004A7092" w:rsidRDefault="004A7092" w:rsidP="004A7092">
      <w:pPr>
        <w:tabs>
          <w:tab w:val="left" w:pos="851"/>
        </w:tabs>
        <w:ind w:left="851"/>
        <w:rPr>
          <w:sz w:val="24"/>
          <w:szCs w:val="24"/>
        </w:rPr>
      </w:pPr>
      <w:r w:rsidRPr="004A7092">
        <w:rPr>
          <w:sz w:val="24"/>
          <w:szCs w:val="24"/>
          <w:u w:val="single"/>
        </w:rPr>
        <w:t>Hypertension</w:t>
      </w:r>
    </w:p>
    <w:p w14:paraId="111D81E8" w14:textId="77777777" w:rsidR="004A7092" w:rsidRPr="004A7092" w:rsidRDefault="004A7092" w:rsidP="004A7092">
      <w:pPr>
        <w:tabs>
          <w:tab w:val="left" w:pos="851"/>
        </w:tabs>
        <w:ind w:left="851"/>
        <w:rPr>
          <w:sz w:val="24"/>
          <w:szCs w:val="24"/>
        </w:rPr>
      </w:pPr>
      <w:r w:rsidRPr="004A7092">
        <w:rPr>
          <w:sz w:val="24"/>
          <w:szCs w:val="24"/>
        </w:rPr>
        <w:t>Der er blevet observeret hypertension, herunder hypertensiv krise, med cabozantinib. Blodtrykket skal være velkontrolleret før påbegyndelse af cabozantinib. Efter indledning af cabozantinib bør blodtrykket monitoreres tidligt og regelmæssigt og behandles efter behov med passende antihypertensiv behandling. I tilfælde af vedvarende hypertension på trods af behandling med antihypertensiva, skal behandling med cabozantinib afbrydes, indtil blodtrykket er kontrolleret, hvorefter cabozantinib kan genoptages med en reduceret dosis. Cabozantinib skal seponeres ved vedvarende svær hypertension på trods af antihypertensiv behandling og reduktion af cabozantinib-dosis. Cabozantinib skal seponeres i tilfælde af hypertensiv krise.</w:t>
      </w:r>
    </w:p>
    <w:p w14:paraId="340D60F9" w14:textId="77777777" w:rsidR="004A7092" w:rsidRPr="004A7092" w:rsidRDefault="004A7092" w:rsidP="004A7092">
      <w:pPr>
        <w:tabs>
          <w:tab w:val="left" w:pos="851"/>
        </w:tabs>
        <w:ind w:left="851"/>
        <w:rPr>
          <w:sz w:val="24"/>
          <w:szCs w:val="24"/>
        </w:rPr>
      </w:pPr>
    </w:p>
    <w:p w14:paraId="004DF313" w14:textId="77777777" w:rsidR="004A7092" w:rsidRPr="004A7092" w:rsidRDefault="004A7092" w:rsidP="004A7092">
      <w:pPr>
        <w:tabs>
          <w:tab w:val="left" w:pos="851"/>
        </w:tabs>
        <w:ind w:left="851"/>
        <w:rPr>
          <w:sz w:val="24"/>
          <w:szCs w:val="24"/>
        </w:rPr>
      </w:pPr>
      <w:r w:rsidRPr="004A7092">
        <w:rPr>
          <w:sz w:val="24"/>
          <w:szCs w:val="24"/>
          <w:u w:val="single"/>
        </w:rPr>
        <w:t>Osteonekrose</w:t>
      </w:r>
    </w:p>
    <w:p w14:paraId="4972BF5F" w14:textId="77777777" w:rsidR="004A7092" w:rsidRPr="004A7092" w:rsidRDefault="004A7092" w:rsidP="004A7092">
      <w:pPr>
        <w:tabs>
          <w:tab w:val="left" w:pos="851"/>
        </w:tabs>
        <w:ind w:left="851"/>
        <w:rPr>
          <w:sz w:val="24"/>
          <w:szCs w:val="24"/>
        </w:rPr>
      </w:pPr>
      <w:r w:rsidRPr="004A7092">
        <w:rPr>
          <w:sz w:val="24"/>
          <w:szCs w:val="24"/>
        </w:rPr>
        <w:t>Bivirkninger med osteonekrose af kæben (ONJ) er blevet observeret med cabozantinib. En oral undersøgelse bør foretages forud for start med cabozantinib og periodisk under behandlingen med cabozantinib.</w:t>
      </w:r>
    </w:p>
    <w:p w14:paraId="52248471" w14:textId="77777777" w:rsidR="004A7092" w:rsidRPr="004A7092" w:rsidRDefault="004A7092" w:rsidP="004A7092">
      <w:pPr>
        <w:tabs>
          <w:tab w:val="left" w:pos="851"/>
        </w:tabs>
        <w:ind w:left="851"/>
        <w:rPr>
          <w:sz w:val="24"/>
          <w:szCs w:val="24"/>
        </w:rPr>
      </w:pPr>
      <w:r w:rsidRPr="004A7092">
        <w:rPr>
          <w:sz w:val="24"/>
          <w:szCs w:val="24"/>
        </w:rPr>
        <w:t>Patienterne bør rådgives med henblik på praktisering af oral hygiejne. Behandling med cabozantinib bør om muligt stoppes mindst 28 dage forud for planlagt dentalkirurgi eller invasive dentalprocedurer. Der bør udvises forsigtighed hos patienter, der får midler forbundet med ONJ, såsom bisfosfonater. Cabozantinib skal seponeres hos patienter, der oplever ONJ.</w:t>
      </w:r>
    </w:p>
    <w:p w14:paraId="5DF9BE9D" w14:textId="77777777" w:rsidR="004A7092" w:rsidRPr="004A7092" w:rsidRDefault="004A7092" w:rsidP="004A7092">
      <w:pPr>
        <w:tabs>
          <w:tab w:val="left" w:pos="851"/>
        </w:tabs>
        <w:ind w:left="851"/>
        <w:rPr>
          <w:sz w:val="24"/>
          <w:szCs w:val="24"/>
        </w:rPr>
      </w:pPr>
    </w:p>
    <w:p w14:paraId="51126586" w14:textId="77777777" w:rsidR="004A7092" w:rsidRPr="004A7092" w:rsidRDefault="004A7092" w:rsidP="004A7092">
      <w:pPr>
        <w:tabs>
          <w:tab w:val="left" w:pos="851"/>
        </w:tabs>
        <w:ind w:left="851"/>
        <w:rPr>
          <w:sz w:val="24"/>
          <w:szCs w:val="24"/>
        </w:rPr>
      </w:pPr>
      <w:r w:rsidRPr="004A7092">
        <w:rPr>
          <w:sz w:val="24"/>
          <w:szCs w:val="24"/>
          <w:u w:val="single"/>
        </w:rPr>
        <w:t>Palmoplantar erytrodysæstesi-syndrom</w:t>
      </w:r>
    </w:p>
    <w:p w14:paraId="49CDB360" w14:textId="77777777" w:rsidR="004A7092" w:rsidRPr="004A7092" w:rsidRDefault="004A7092" w:rsidP="004A7092">
      <w:pPr>
        <w:tabs>
          <w:tab w:val="left" w:pos="851"/>
        </w:tabs>
        <w:ind w:left="851"/>
        <w:rPr>
          <w:sz w:val="24"/>
          <w:szCs w:val="24"/>
        </w:rPr>
      </w:pPr>
      <w:r w:rsidRPr="004A7092">
        <w:rPr>
          <w:sz w:val="24"/>
          <w:szCs w:val="24"/>
        </w:rPr>
        <w:t>Der er blevet observeret palmoplantar erytrodysæstesi-syndrom (PPES) med cabozantinib. Hvis PPES er alvorligt, bør det overvejes at afbryde behandlingen med cabozantinib. Cabozantinib bør genstartes med en lavere dosis, når PPES er reduceret til grad 1.</w:t>
      </w:r>
    </w:p>
    <w:p w14:paraId="736740B7" w14:textId="77777777" w:rsidR="004A7092" w:rsidRPr="004A7092" w:rsidRDefault="004A7092" w:rsidP="004A7092">
      <w:pPr>
        <w:tabs>
          <w:tab w:val="left" w:pos="851"/>
        </w:tabs>
        <w:ind w:left="851"/>
        <w:rPr>
          <w:sz w:val="24"/>
          <w:szCs w:val="24"/>
        </w:rPr>
      </w:pPr>
    </w:p>
    <w:p w14:paraId="5B2A9A53" w14:textId="77777777" w:rsidR="004A7092" w:rsidRPr="004A7092" w:rsidRDefault="004A7092" w:rsidP="004A7092">
      <w:pPr>
        <w:tabs>
          <w:tab w:val="left" w:pos="851"/>
        </w:tabs>
        <w:ind w:left="851"/>
        <w:rPr>
          <w:sz w:val="24"/>
          <w:szCs w:val="24"/>
        </w:rPr>
      </w:pPr>
      <w:r w:rsidRPr="004A7092">
        <w:rPr>
          <w:sz w:val="24"/>
          <w:szCs w:val="24"/>
          <w:u w:val="single"/>
        </w:rPr>
        <w:t>Proteinuri</w:t>
      </w:r>
    </w:p>
    <w:p w14:paraId="0C6F4716" w14:textId="77777777" w:rsidR="004A7092" w:rsidRPr="004A7092" w:rsidRDefault="004A7092" w:rsidP="004A7092">
      <w:pPr>
        <w:tabs>
          <w:tab w:val="left" w:pos="851"/>
        </w:tabs>
        <w:ind w:left="851"/>
        <w:rPr>
          <w:sz w:val="24"/>
          <w:szCs w:val="24"/>
        </w:rPr>
      </w:pPr>
      <w:r w:rsidRPr="004A7092">
        <w:rPr>
          <w:sz w:val="24"/>
          <w:szCs w:val="24"/>
        </w:rPr>
        <w:t>Der er blevet observeret proteinuri med cabozantinib. Protein i urinen bør monitoreres regelmæssigt under behandling med cabozantinib. Cabozantinib bør seponeres hos patienter, der udvikler nefrotisk syndrom.</w:t>
      </w:r>
    </w:p>
    <w:p w14:paraId="2406BDCF" w14:textId="77777777" w:rsidR="004A7092" w:rsidRPr="004A7092" w:rsidRDefault="004A7092" w:rsidP="004A7092">
      <w:pPr>
        <w:tabs>
          <w:tab w:val="left" w:pos="851"/>
        </w:tabs>
        <w:ind w:left="851"/>
        <w:rPr>
          <w:sz w:val="24"/>
          <w:szCs w:val="24"/>
        </w:rPr>
      </w:pPr>
    </w:p>
    <w:p w14:paraId="31AC651F" w14:textId="77777777" w:rsidR="004A7092" w:rsidRPr="004A7092" w:rsidRDefault="004A7092" w:rsidP="004A7092">
      <w:pPr>
        <w:tabs>
          <w:tab w:val="left" w:pos="851"/>
        </w:tabs>
        <w:ind w:left="851"/>
        <w:rPr>
          <w:sz w:val="24"/>
          <w:szCs w:val="24"/>
        </w:rPr>
      </w:pPr>
      <w:r w:rsidRPr="004A7092">
        <w:rPr>
          <w:sz w:val="24"/>
          <w:szCs w:val="24"/>
          <w:u w:val="single"/>
        </w:rPr>
        <w:t>Posteriort reversibelt encefalopatisyndrom</w:t>
      </w:r>
    </w:p>
    <w:p w14:paraId="3DB03592" w14:textId="77777777" w:rsidR="004A7092" w:rsidRPr="004A7092" w:rsidRDefault="004A7092" w:rsidP="004A7092">
      <w:pPr>
        <w:tabs>
          <w:tab w:val="left" w:pos="851"/>
        </w:tabs>
        <w:ind w:left="851"/>
        <w:rPr>
          <w:sz w:val="24"/>
          <w:szCs w:val="24"/>
        </w:rPr>
      </w:pPr>
      <w:r w:rsidRPr="004A7092">
        <w:rPr>
          <w:sz w:val="24"/>
          <w:szCs w:val="24"/>
        </w:rPr>
        <w:t>Der er blevet observeret posteriort reversibelt encefalopatisyndrom (PRES) med cabozantinib. Dette syndrom skal overvejes hos enhver patient, der har multiple symptomer, herunder kramper, hovedpine, synsforstyrrelser, forvirring eller ændret mental funktion. Behandling med cabozantinib bør seponeres hos patienter med PRES.</w:t>
      </w:r>
    </w:p>
    <w:p w14:paraId="2C03FDAE" w14:textId="77777777" w:rsidR="004A7092" w:rsidRPr="004A7092" w:rsidRDefault="004A7092" w:rsidP="004A7092">
      <w:pPr>
        <w:tabs>
          <w:tab w:val="left" w:pos="851"/>
        </w:tabs>
        <w:ind w:left="851"/>
        <w:rPr>
          <w:sz w:val="24"/>
          <w:szCs w:val="24"/>
        </w:rPr>
      </w:pPr>
    </w:p>
    <w:p w14:paraId="3027B54F" w14:textId="77777777" w:rsidR="004A7092" w:rsidRPr="004A7092" w:rsidRDefault="004A7092" w:rsidP="004A7092">
      <w:pPr>
        <w:tabs>
          <w:tab w:val="left" w:pos="851"/>
        </w:tabs>
        <w:ind w:left="851"/>
        <w:rPr>
          <w:sz w:val="24"/>
          <w:szCs w:val="24"/>
        </w:rPr>
      </w:pPr>
      <w:r w:rsidRPr="004A7092">
        <w:rPr>
          <w:sz w:val="24"/>
          <w:szCs w:val="24"/>
          <w:u w:val="single"/>
        </w:rPr>
        <w:t>Forlængelse af QT-intervallet</w:t>
      </w:r>
    </w:p>
    <w:p w14:paraId="7E635AE8" w14:textId="77777777" w:rsidR="004A7092" w:rsidRPr="004A7092" w:rsidRDefault="004A7092" w:rsidP="004A7092">
      <w:pPr>
        <w:tabs>
          <w:tab w:val="left" w:pos="851"/>
        </w:tabs>
        <w:ind w:left="851"/>
        <w:rPr>
          <w:sz w:val="24"/>
          <w:szCs w:val="24"/>
        </w:rPr>
      </w:pPr>
      <w:r w:rsidRPr="004A7092">
        <w:rPr>
          <w:sz w:val="24"/>
          <w:szCs w:val="24"/>
        </w:rPr>
        <w:t>Cabozantinib skal anvendes med forsigtighed til patienter med forlænget QT-interval i anamnesen, patienter, som tager antiarytmika, og patienter med allerede eksisterende hjertesygdom, bradykardi eller</w:t>
      </w:r>
      <w:r w:rsidRPr="004A7092">
        <w:rPr>
          <w:b/>
          <w:bCs/>
          <w:sz w:val="24"/>
          <w:szCs w:val="24"/>
        </w:rPr>
        <w:t xml:space="preserve"> </w:t>
      </w:r>
      <w:r w:rsidRPr="004A7092">
        <w:rPr>
          <w:sz w:val="24"/>
          <w:szCs w:val="24"/>
        </w:rPr>
        <w:t>elektrolytforstyrrelser. Regelmæssig monitorering af ekg og elektrolytter (serumcalcium, -kalium</w:t>
      </w:r>
    </w:p>
    <w:p w14:paraId="44A373DC" w14:textId="77777777" w:rsidR="004A7092" w:rsidRPr="004A7092" w:rsidRDefault="004A7092" w:rsidP="004A7092">
      <w:pPr>
        <w:tabs>
          <w:tab w:val="left" w:pos="851"/>
        </w:tabs>
        <w:ind w:left="851"/>
        <w:rPr>
          <w:sz w:val="24"/>
          <w:szCs w:val="24"/>
        </w:rPr>
      </w:pPr>
      <w:r w:rsidRPr="004A7092">
        <w:rPr>
          <w:sz w:val="24"/>
          <w:szCs w:val="24"/>
        </w:rPr>
        <w:t>og -magnesium) under behandlingen med cabozantinib skal overvejes.</w:t>
      </w:r>
    </w:p>
    <w:p w14:paraId="4DA0A93F" w14:textId="77777777" w:rsidR="004A7092" w:rsidRPr="004A7092" w:rsidRDefault="004A7092" w:rsidP="004A7092">
      <w:pPr>
        <w:tabs>
          <w:tab w:val="left" w:pos="851"/>
        </w:tabs>
        <w:ind w:left="851"/>
        <w:rPr>
          <w:sz w:val="24"/>
          <w:szCs w:val="24"/>
        </w:rPr>
      </w:pPr>
    </w:p>
    <w:p w14:paraId="2789A610" w14:textId="77777777" w:rsidR="004A7092" w:rsidRPr="004A7092" w:rsidRDefault="004A7092" w:rsidP="004A7092">
      <w:pPr>
        <w:tabs>
          <w:tab w:val="left" w:pos="851"/>
        </w:tabs>
        <w:ind w:left="851"/>
        <w:rPr>
          <w:sz w:val="24"/>
          <w:szCs w:val="24"/>
        </w:rPr>
      </w:pPr>
      <w:r w:rsidRPr="004A7092">
        <w:rPr>
          <w:sz w:val="24"/>
          <w:szCs w:val="24"/>
          <w:u w:val="single"/>
        </w:rPr>
        <w:t>Thyroideadysfunktion</w:t>
      </w:r>
    </w:p>
    <w:p w14:paraId="66B474EC" w14:textId="77777777" w:rsidR="004A7092" w:rsidRPr="004A7092" w:rsidRDefault="004A7092" w:rsidP="004A7092">
      <w:pPr>
        <w:tabs>
          <w:tab w:val="left" w:pos="851"/>
        </w:tabs>
        <w:ind w:left="851"/>
        <w:rPr>
          <w:sz w:val="24"/>
          <w:szCs w:val="24"/>
        </w:rPr>
      </w:pPr>
      <w:r w:rsidRPr="004A7092">
        <w:rPr>
          <w:i/>
          <w:iCs/>
          <w:sz w:val="24"/>
          <w:szCs w:val="24"/>
        </w:rPr>
        <w:t>Baseline-</w:t>
      </w:r>
      <w:r w:rsidRPr="004A7092">
        <w:rPr>
          <w:sz w:val="24"/>
          <w:szCs w:val="24"/>
        </w:rPr>
        <w:t xml:space="preserve">laboratoriemålinger af thyroideafunktionen anbefales for alle patienter. Patienter med eksisterende hypotyroidisme eller hypertyroidisme bør behandles iht. gældende medicinsk praksis forud for behandling med cabozantinib. Alle patienter bør observeres </w:t>
      </w:r>
      <w:r w:rsidRPr="004A7092">
        <w:rPr>
          <w:sz w:val="24"/>
          <w:szCs w:val="24"/>
        </w:rPr>
        <w:lastRenderedPageBreak/>
        <w:t>nøje for tegn og symptomer på thyroideadysfunktion under behandling med cabozantinib. Thyroideafunktionen bør monitoreres periodisk under hele behandlingen med cabozantinib. Patienter der udvikler thyroideadysfunktion bør behandles iht. gældende medicinsk praksis.</w:t>
      </w:r>
    </w:p>
    <w:p w14:paraId="33F67C05" w14:textId="77777777" w:rsidR="004A7092" w:rsidRPr="004A7092" w:rsidRDefault="004A7092" w:rsidP="004A7092">
      <w:pPr>
        <w:tabs>
          <w:tab w:val="left" w:pos="851"/>
        </w:tabs>
        <w:ind w:left="851"/>
        <w:rPr>
          <w:sz w:val="24"/>
          <w:szCs w:val="24"/>
        </w:rPr>
      </w:pPr>
    </w:p>
    <w:p w14:paraId="12009014" w14:textId="77777777" w:rsidR="004A7092" w:rsidRPr="004A7092" w:rsidRDefault="004A7092" w:rsidP="004A7092">
      <w:pPr>
        <w:tabs>
          <w:tab w:val="left" w:pos="851"/>
        </w:tabs>
        <w:ind w:left="851"/>
        <w:rPr>
          <w:sz w:val="24"/>
          <w:szCs w:val="24"/>
        </w:rPr>
      </w:pPr>
      <w:r w:rsidRPr="004A7092">
        <w:rPr>
          <w:sz w:val="24"/>
          <w:szCs w:val="24"/>
          <w:u w:val="single"/>
        </w:rPr>
        <w:t>Afvigelser i biokemiske laboratorieværdier</w:t>
      </w:r>
    </w:p>
    <w:p w14:paraId="3AA414F3" w14:textId="77777777" w:rsidR="004A7092" w:rsidRPr="004A7092" w:rsidRDefault="004A7092" w:rsidP="004A7092">
      <w:pPr>
        <w:tabs>
          <w:tab w:val="left" w:pos="851"/>
        </w:tabs>
        <w:ind w:left="851"/>
        <w:rPr>
          <w:sz w:val="24"/>
          <w:szCs w:val="24"/>
        </w:rPr>
      </w:pPr>
      <w:r w:rsidRPr="004A7092">
        <w:rPr>
          <w:sz w:val="24"/>
          <w:szCs w:val="24"/>
        </w:rPr>
        <w:t>Cabozantinib har været associeret med en øget forekomst af unormale elektrolytniveauer (inkl. hypo- og hyperkaliæmi, hypomagnesiæmi, hypocalcæmi, hyponatriæmi). Der er blevet observeret hypocalcæmi med cabozantinib, med en højere hyppighed og/eller øget sværhedsgrad (herunder grad 3 og 4), hos patienter med thyreoideacancer sammenlignet med patienter med andre cancerformer. Det anbefales at monitorere de biokemiske parametre under cabozantinib-behandling og anvende passende erstatningsterapi i overensstemmelse med klinisk standardpraksis, hvis det er nødvendigt. Tilfælde af hepatisk encefalopati hos HCC-patienter kan tilskrives udviklingen af elektrolytforstyrrelser. Dosisafbrydelse eller -reduktion eller permanent seponering af cabozantinib bør overvejes ved vedvarende eller tilbagevendende signifikante afvigelser (se tabel 1).</w:t>
      </w:r>
    </w:p>
    <w:p w14:paraId="43C48545" w14:textId="77777777" w:rsidR="004A7092" w:rsidRPr="004A7092" w:rsidRDefault="004A7092" w:rsidP="004A7092">
      <w:pPr>
        <w:tabs>
          <w:tab w:val="left" w:pos="851"/>
        </w:tabs>
        <w:ind w:left="851"/>
        <w:rPr>
          <w:sz w:val="24"/>
          <w:szCs w:val="24"/>
        </w:rPr>
      </w:pPr>
    </w:p>
    <w:p w14:paraId="65397D7C" w14:textId="77777777" w:rsidR="004A7092" w:rsidRPr="004A7092" w:rsidRDefault="004A7092" w:rsidP="004A7092">
      <w:pPr>
        <w:tabs>
          <w:tab w:val="left" w:pos="851"/>
        </w:tabs>
        <w:ind w:left="851"/>
        <w:rPr>
          <w:sz w:val="24"/>
          <w:szCs w:val="24"/>
        </w:rPr>
      </w:pPr>
      <w:r w:rsidRPr="004A7092">
        <w:rPr>
          <w:sz w:val="24"/>
          <w:szCs w:val="24"/>
          <w:u w:val="single"/>
        </w:rPr>
        <w:t>CYP3A4-induktorer og -hæmmere</w:t>
      </w:r>
    </w:p>
    <w:p w14:paraId="4EC16C7B" w14:textId="32A7D90F" w:rsidR="004A7092" w:rsidRPr="004A7092" w:rsidRDefault="004A7092" w:rsidP="004A7092">
      <w:pPr>
        <w:tabs>
          <w:tab w:val="left" w:pos="851"/>
        </w:tabs>
        <w:ind w:left="851"/>
        <w:rPr>
          <w:sz w:val="24"/>
          <w:szCs w:val="24"/>
        </w:rPr>
      </w:pPr>
      <w:r w:rsidRPr="004A7092">
        <w:rPr>
          <w:sz w:val="24"/>
          <w:szCs w:val="24"/>
        </w:rPr>
        <w:t>Cabozantinib er et CYP3A4-substrat. Samtidig administration af cabozantinib og den potente</w:t>
      </w:r>
      <w:r w:rsidR="00146D7C">
        <w:rPr>
          <w:sz w:val="24"/>
          <w:szCs w:val="24"/>
        </w:rPr>
        <w:t xml:space="preserve"> </w:t>
      </w:r>
      <w:r w:rsidRPr="004A7092">
        <w:rPr>
          <w:sz w:val="24"/>
          <w:szCs w:val="24"/>
        </w:rPr>
        <w:t>CYP3A4-hæmmer ketoconazol resulterede i en stigning i cabozantinibs plasmaeksponering. Forsigtighed er nødvendig ved administration af cabozantinib sammen med lægemidler, der er potente CYP3A4-hæmmere. Samtidig administration af cabozantinib og den potente CYP3A4-induktor rifampicin resulterede i en nedsættelse af cabozantinibs plasmaeksponering. Derfor bør langvarig administration af cabozantinib og lægemidler, der er potente CYP3A4-induktorer, undgås (se pkt. 4.2 og 4.5).</w:t>
      </w:r>
    </w:p>
    <w:p w14:paraId="6D6B892A" w14:textId="77777777" w:rsidR="004A7092" w:rsidRPr="004A7092" w:rsidRDefault="004A7092" w:rsidP="004A7092">
      <w:pPr>
        <w:tabs>
          <w:tab w:val="left" w:pos="851"/>
        </w:tabs>
        <w:ind w:left="851"/>
        <w:rPr>
          <w:sz w:val="24"/>
          <w:szCs w:val="24"/>
        </w:rPr>
      </w:pPr>
    </w:p>
    <w:p w14:paraId="517A1255" w14:textId="77777777" w:rsidR="004A7092" w:rsidRPr="004A7092" w:rsidRDefault="004A7092" w:rsidP="004A7092">
      <w:pPr>
        <w:tabs>
          <w:tab w:val="left" w:pos="851"/>
        </w:tabs>
        <w:ind w:left="851"/>
        <w:rPr>
          <w:sz w:val="24"/>
          <w:szCs w:val="24"/>
        </w:rPr>
      </w:pPr>
      <w:r w:rsidRPr="004A7092">
        <w:rPr>
          <w:sz w:val="24"/>
          <w:szCs w:val="24"/>
          <w:u w:val="single"/>
        </w:rPr>
        <w:t>P-glykoprotein-substrater</w:t>
      </w:r>
    </w:p>
    <w:p w14:paraId="531E2D4E" w14:textId="77777777" w:rsidR="004A7092" w:rsidRPr="004A7092" w:rsidRDefault="004A7092" w:rsidP="004A7092">
      <w:pPr>
        <w:tabs>
          <w:tab w:val="left" w:pos="851"/>
        </w:tabs>
        <w:ind w:left="851"/>
        <w:rPr>
          <w:sz w:val="24"/>
          <w:szCs w:val="24"/>
        </w:rPr>
      </w:pPr>
      <w:r w:rsidRPr="004A7092">
        <w:rPr>
          <w:sz w:val="24"/>
          <w:szCs w:val="24"/>
        </w:rPr>
        <w:t>Cabozantinib var en hæmmer (IC50 = 7,0 μM) af, men ikke et substrat for P-glykoprotein (P-gp) transportaktivitet i et to-rettet assay-system, der anvendte MDCK-MDR1-celler. Cabozantinib kan derfor have potentialet til at øge plasmakoncentrationen af samtidigt administrerede P-gp-substrater. Patienter skal advares ved indtagelse af et P-gp-substrat (f.eks. fexofenadin, aliskiren, ambrisentan, dabigatranetexilat, digoxin, colchicin, maraviroc, posaconazol, ranolazin, saxagliptin, sitagliptin, talinolol, tolvaptan), mens de får cabozantinib (se pkt. 4.5).</w:t>
      </w:r>
    </w:p>
    <w:p w14:paraId="47BCEECA" w14:textId="77777777" w:rsidR="004A7092" w:rsidRPr="004A7092" w:rsidRDefault="004A7092" w:rsidP="004A7092">
      <w:pPr>
        <w:tabs>
          <w:tab w:val="left" w:pos="851"/>
        </w:tabs>
        <w:ind w:left="851"/>
        <w:rPr>
          <w:sz w:val="24"/>
          <w:szCs w:val="24"/>
        </w:rPr>
      </w:pPr>
    </w:p>
    <w:p w14:paraId="362192FA" w14:textId="77777777" w:rsidR="004A7092" w:rsidRPr="004A7092" w:rsidRDefault="004A7092" w:rsidP="004A7092">
      <w:pPr>
        <w:tabs>
          <w:tab w:val="left" w:pos="851"/>
        </w:tabs>
        <w:ind w:left="851"/>
        <w:rPr>
          <w:sz w:val="24"/>
          <w:szCs w:val="24"/>
        </w:rPr>
      </w:pPr>
      <w:r w:rsidRPr="004A7092">
        <w:rPr>
          <w:sz w:val="24"/>
          <w:szCs w:val="24"/>
          <w:u w:val="single"/>
        </w:rPr>
        <w:t>MRP2-hæmmere</w:t>
      </w:r>
    </w:p>
    <w:p w14:paraId="41104142" w14:textId="77777777" w:rsidR="004A7092" w:rsidRPr="004A7092" w:rsidRDefault="004A7092" w:rsidP="004A7092">
      <w:pPr>
        <w:tabs>
          <w:tab w:val="left" w:pos="851"/>
        </w:tabs>
        <w:ind w:left="851"/>
        <w:rPr>
          <w:sz w:val="24"/>
          <w:szCs w:val="24"/>
        </w:rPr>
      </w:pPr>
      <w:r w:rsidRPr="004A7092">
        <w:rPr>
          <w:sz w:val="24"/>
          <w:szCs w:val="24"/>
        </w:rPr>
        <w:t>Administration af MRP2-hæmmere kan resultere i øgede cabozantinib-plasmakoncentrationer. Derfor skal der udvises forsigtighed ved samtidig anvendelse af MRP2-hæmmere (f.eks. ciclosporin, efavirenz, emtricitabin) (se pkt. 4.5).</w:t>
      </w:r>
    </w:p>
    <w:p w14:paraId="27A462E9" w14:textId="77777777" w:rsidR="004A7092" w:rsidRPr="004A7092" w:rsidRDefault="004A7092" w:rsidP="004A7092">
      <w:pPr>
        <w:tabs>
          <w:tab w:val="left" w:pos="851"/>
        </w:tabs>
        <w:ind w:left="851"/>
        <w:rPr>
          <w:sz w:val="24"/>
          <w:szCs w:val="24"/>
        </w:rPr>
      </w:pPr>
    </w:p>
    <w:p w14:paraId="687347A1" w14:textId="77777777" w:rsidR="004A7092" w:rsidRPr="004A7092" w:rsidRDefault="004A7092" w:rsidP="004A7092">
      <w:pPr>
        <w:tabs>
          <w:tab w:val="left" w:pos="851"/>
        </w:tabs>
        <w:ind w:left="851"/>
        <w:rPr>
          <w:sz w:val="24"/>
          <w:szCs w:val="24"/>
        </w:rPr>
      </w:pPr>
      <w:r w:rsidRPr="004A7092">
        <w:rPr>
          <w:sz w:val="24"/>
          <w:szCs w:val="24"/>
          <w:u w:val="single"/>
        </w:rPr>
        <w:t>Hjælpestof</w:t>
      </w:r>
    </w:p>
    <w:p w14:paraId="298FD42A" w14:textId="77777777" w:rsidR="004A7092" w:rsidRPr="004A7092" w:rsidRDefault="004A7092" w:rsidP="004A7092">
      <w:pPr>
        <w:tabs>
          <w:tab w:val="left" w:pos="851"/>
        </w:tabs>
        <w:ind w:left="851"/>
        <w:rPr>
          <w:i/>
          <w:iCs/>
          <w:sz w:val="24"/>
          <w:szCs w:val="24"/>
        </w:rPr>
      </w:pPr>
      <w:r w:rsidRPr="004A7092">
        <w:rPr>
          <w:i/>
          <w:iCs/>
          <w:sz w:val="24"/>
          <w:szCs w:val="24"/>
        </w:rPr>
        <w:t>Lactose</w:t>
      </w:r>
    </w:p>
    <w:p w14:paraId="0DCB1F96" w14:textId="77777777" w:rsidR="004A7092" w:rsidRPr="004A7092" w:rsidRDefault="004A7092" w:rsidP="004A7092">
      <w:pPr>
        <w:tabs>
          <w:tab w:val="left" w:pos="851"/>
        </w:tabs>
        <w:ind w:left="851"/>
        <w:rPr>
          <w:sz w:val="24"/>
          <w:szCs w:val="24"/>
        </w:rPr>
      </w:pPr>
      <w:r w:rsidRPr="004A7092">
        <w:rPr>
          <w:sz w:val="24"/>
          <w:szCs w:val="24"/>
        </w:rPr>
        <w:t>Bør ikke anvendes til patienter med hereditær galactoseintolerans, total lactasemangel eller glucose/galactosemalabsorption.</w:t>
      </w:r>
    </w:p>
    <w:p w14:paraId="4487662E" w14:textId="77777777" w:rsidR="004A7092" w:rsidRPr="004A7092" w:rsidRDefault="004A7092" w:rsidP="004A7092">
      <w:pPr>
        <w:tabs>
          <w:tab w:val="left" w:pos="851"/>
        </w:tabs>
        <w:ind w:left="851"/>
        <w:rPr>
          <w:sz w:val="24"/>
          <w:szCs w:val="24"/>
        </w:rPr>
      </w:pPr>
    </w:p>
    <w:p w14:paraId="1967BE64" w14:textId="77777777" w:rsidR="004A7092" w:rsidRPr="004A7092" w:rsidRDefault="004A7092" w:rsidP="004A7092">
      <w:pPr>
        <w:tabs>
          <w:tab w:val="left" w:pos="851"/>
        </w:tabs>
        <w:ind w:left="851"/>
        <w:rPr>
          <w:i/>
          <w:iCs/>
          <w:sz w:val="24"/>
          <w:szCs w:val="24"/>
        </w:rPr>
      </w:pPr>
      <w:r w:rsidRPr="004A7092">
        <w:rPr>
          <w:i/>
          <w:iCs/>
          <w:sz w:val="24"/>
          <w:szCs w:val="24"/>
        </w:rPr>
        <w:t>Natrium</w:t>
      </w:r>
    </w:p>
    <w:p w14:paraId="2F1DBF3B" w14:textId="1403DB67" w:rsidR="00146D7C" w:rsidRDefault="004A7092" w:rsidP="00B519B1">
      <w:pPr>
        <w:tabs>
          <w:tab w:val="left" w:pos="851"/>
        </w:tabs>
        <w:ind w:left="851"/>
        <w:rPr>
          <w:sz w:val="24"/>
          <w:szCs w:val="24"/>
        </w:rPr>
      </w:pPr>
      <w:r w:rsidRPr="004A7092">
        <w:rPr>
          <w:sz w:val="24"/>
          <w:szCs w:val="24"/>
        </w:rPr>
        <w:t>Dette lægemiddel indeholder mindre end 1 mmol (23 mg) natrium pr. tablet, dvs. det er i det væsentlige natriumfrit.</w:t>
      </w:r>
    </w:p>
    <w:p w14:paraId="40B95310" w14:textId="43EA2268" w:rsidR="0038300E" w:rsidRDefault="0038300E">
      <w:pPr>
        <w:rPr>
          <w:sz w:val="24"/>
          <w:szCs w:val="24"/>
        </w:rPr>
      </w:pPr>
      <w:r>
        <w:rPr>
          <w:sz w:val="24"/>
          <w:szCs w:val="24"/>
        </w:rPr>
        <w:br w:type="page"/>
      </w:r>
    </w:p>
    <w:p w14:paraId="0836BAB7" w14:textId="77777777" w:rsidR="009260DE" w:rsidRPr="00C84483" w:rsidRDefault="009260DE" w:rsidP="009260DE">
      <w:pPr>
        <w:tabs>
          <w:tab w:val="left" w:pos="851"/>
        </w:tabs>
        <w:ind w:left="851"/>
        <w:rPr>
          <w:sz w:val="24"/>
          <w:szCs w:val="24"/>
        </w:rPr>
      </w:pPr>
    </w:p>
    <w:p w14:paraId="233E0178"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201AFDED" w14:textId="77777777" w:rsidR="00BE38BA" w:rsidRPr="00BE38BA" w:rsidRDefault="00BE38BA" w:rsidP="00BE38BA">
      <w:pPr>
        <w:tabs>
          <w:tab w:val="left" w:pos="851"/>
        </w:tabs>
        <w:ind w:left="851"/>
        <w:rPr>
          <w:b/>
          <w:bCs/>
          <w:sz w:val="24"/>
          <w:szCs w:val="24"/>
        </w:rPr>
      </w:pPr>
    </w:p>
    <w:p w14:paraId="468C3D92" w14:textId="77777777" w:rsidR="00BE38BA" w:rsidRPr="00BE38BA" w:rsidRDefault="00BE38BA" w:rsidP="00BE38BA">
      <w:pPr>
        <w:tabs>
          <w:tab w:val="left" w:pos="851"/>
        </w:tabs>
        <w:ind w:left="851"/>
        <w:rPr>
          <w:sz w:val="24"/>
          <w:szCs w:val="24"/>
        </w:rPr>
      </w:pPr>
      <w:r w:rsidRPr="00BE38BA">
        <w:rPr>
          <w:sz w:val="24"/>
          <w:szCs w:val="24"/>
          <w:u w:val="single"/>
        </w:rPr>
        <w:t>Virkning af andre lægemidler på cabozantinib</w:t>
      </w:r>
    </w:p>
    <w:p w14:paraId="0D22E707" w14:textId="77777777" w:rsidR="00BE38BA" w:rsidRPr="00BE38BA" w:rsidRDefault="00BE38BA" w:rsidP="00BE38BA">
      <w:pPr>
        <w:tabs>
          <w:tab w:val="left" w:pos="851"/>
        </w:tabs>
        <w:ind w:left="851"/>
        <w:rPr>
          <w:sz w:val="24"/>
          <w:szCs w:val="24"/>
        </w:rPr>
      </w:pPr>
    </w:p>
    <w:p w14:paraId="0F05BAFB" w14:textId="77777777" w:rsidR="00BE38BA" w:rsidRPr="00BE38BA" w:rsidRDefault="00BE38BA" w:rsidP="00BE38BA">
      <w:pPr>
        <w:tabs>
          <w:tab w:val="left" w:pos="851"/>
        </w:tabs>
        <w:ind w:left="851"/>
        <w:rPr>
          <w:i/>
          <w:iCs/>
          <w:sz w:val="24"/>
          <w:szCs w:val="24"/>
        </w:rPr>
      </w:pPr>
      <w:r w:rsidRPr="00BE38BA">
        <w:rPr>
          <w:i/>
          <w:iCs/>
          <w:sz w:val="24"/>
          <w:szCs w:val="24"/>
        </w:rPr>
        <w:t>CYP3A4-hæmmere og -induktorer</w:t>
      </w:r>
    </w:p>
    <w:p w14:paraId="69E2F4F1" w14:textId="77777777" w:rsidR="00BE38BA" w:rsidRPr="00BE38BA" w:rsidRDefault="00BE38BA" w:rsidP="00BE38BA">
      <w:pPr>
        <w:tabs>
          <w:tab w:val="left" w:pos="851"/>
        </w:tabs>
        <w:ind w:left="851"/>
        <w:rPr>
          <w:sz w:val="24"/>
          <w:szCs w:val="24"/>
        </w:rPr>
      </w:pPr>
      <w:r w:rsidRPr="00BE38BA">
        <w:rPr>
          <w:sz w:val="24"/>
          <w:szCs w:val="24"/>
        </w:rPr>
        <w:t>Administration af den potente CYP3A4-hæmmer ketoconazol (400 mg dagligt i 27 dage) til raske frivillige nedsatte cabozantinib-clearance (med 29 %) og øgede cabozantinibs plasmaeksponering (AUC) (efter en enkelt dosis) med 38 %. Derfor skal der udvises forsigtighed ved samtidig administration af cabozantinib og potente CYP3A4-hæmmere (f.eks. ritonavir, itraconazol, erythromycin, clarithromycin, grapefrugtjuice).</w:t>
      </w:r>
    </w:p>
    <w:p w14:paraId="42DB9F83" w14:textId="77777777" w:rsidR="00BE38BA" w:rsidRPr="00BE38BA" w:rsidRDefault="00BE38BA" w:rsidP="00BE38BA">
      <w:pPr>
        <w:tabs>
          <w:tab w:val="left" w:pos="851"/>
        </w:tabs>
        <w:ind w:left="851"/>
        <w:rPr>
          <w:sz w:val="24"/>
          <w:szCs w:val="24"/>
        </w:rPr>
      </w:pPr>
    </w:p>
    <w:p w14:paraId="7E8335E2" w14:textId="77777777" w:rsidR="00BE38BA" w:rsidRPr="00BE38BA" w:rsidRDefault="00BE38BA" w:rsidP="00BE38BA">
      <w:pPr>
        <w:tabs>
          <w:tab w:val="left" w:pos="851"/>
        </w:tabs>
        <w:ind w:left="851"/>
        <w:rPr>
          <w:sz w:val="24"/>
          <w:szCs w:val="24"/>
        </w:rPr>
      </w:pPr>
      <w:r w:rsidRPr="00BE38BA">
        <w:rPr>
          <w:sz w:val="24"/>
          <w:szCs w:val="24"/>
        </w:rPr>
        <w:t>Administration af den potente CYP3A4-induktor rifampicin (600 mg dagligt i 31 dage) til raske frivillige øgede cabozantinib-clearance (4,3 gange) og sænkede cabozantinibs plasmaeksponering (AUC) (efter en enkeltdosis) med 77 %. Langvarig samtidig administration af cabozantinib og potente CYP3A4-induktorer (f.eks. phenytoin, carbamazepin, rifampicin, phenobarbital eller naturlægemidler, der indeholder perikon [</w:t>
      </w:r>
      <w:r w:rsidRPr="00BE38BA">
        <w:rPr>
          <w:i/>
          <w:iCs/>
          <w:sz w:val="24"/>
          <w:szCs w:val="24"/>
        </w:rPr>
        <w:t>Hypericum perforatum</w:t>
      </w:r>
      <w:r w:rsidRPr="00BE38BA">
        <w:rPr>
          <w:sz w:val="24"/>
          <w:szCs w:val="24"/>
        </w:rPr>
        <w:t>]) bør derfor undgås.</w:t>
      </w:r>
    </w:p>
    <w:p w14:paraId="0AB72261" w14:textId="77777777" w:rsidR="00BE38BA" w:rsidRPr="00BE38BA" w:rsidRDefault="00BE38BA" w:rsidP="00BE38BA">
      <w:pPr>
        <w:tabs>
          <w:tab w:val="left" w:pos="851"/>
        </w:tabs>
        <w:ind w:left="851"/>
        <w:rPr>
          <w:sz w:val="24"/>
          <w:szCs w:val="24"/>
        </w:rPr>
      </w:pPr>
    </w:p>
    <w:p w14:paraId="2EAE9FB5" w14:textId="77777777" w:rsidR="00BE38BA" w:rsidRPr="00BE38BA" w:rsidRDefault="00BE38BA" w:rsidP="00BE38BA">
      <w:pPr>
        <w:tabs>
          <w:tab w:val="left" w:pos="851"/>
        </w:tabs>
        <w:ind w:left="851"/>
        <w:rPr>
          <w:i/>
          <w:iCs/>
          <w:sz w:val="24"/>
          <w:szCs w:val="24"/>
        </w:rPr>
      </w:pPr>
      <w:r w:rsidRPr="00BE38BA">
        <w:rPr>
          <w:i/>
          <w:iCs/>
          <w:sz w:val="24"/>
          <w:szCs w:val="24"/>
        </w:rPr>
        <w:t>Lægemidler til modificering af gastrisk pH</w:t>
      </w:r>
    </w:p>
    <w:p w14:paraId="7C31ACA1" w14:textId="77777777" w:rsidR="00BE38BA" w:rsidRPr="00BE38BA" w:rsidRDefault="00BE38BA" w:rsidP="00BE38BA">
      <w:pPr>
        <w:tabs>
          <w:tab w:val="left" w:pos="851"/>
        </w:tabs>
        <w:ind w:left="851"/>
        <w:rPr>
          <w:sz w:val="24"/>
          <w:szCs w:val="24"/>
        </w:rPr>
      </w:pPr>
      <w:r w:rsidRPr="00BE38BA">
        <w:rPr>
          <w:sz w:val="24"/>
          <w:szCs w:val="24"/>
        </w:rPr>
        <w:t xml:space="preserve">Administration af protonpumpehæmmeren (PPI) esomeprazol (40 mg dagligt i 6 dage) sammen med en enkelt dosis 100 mg cabozantinib til raske frivillige resulterede ikke i nogen klinisk signifikant virkning på cabozantinibs plasmaeksponering (AUC). Dosisjustering er ikke nødvendig, når lægemidler til modificering af gastrisk pH (dvs. PPI’er, H2-receptorantagonister og antacida) administreres sammen med cabozantinib. </w:t>
      </w:r>
    </w:p>
    <w:p w14:paraId="18B8A071" w14:textId="77777777" w:rsidR="00BE38BA" w:rsidRPr="00BE38BA" w:rsidRDefault="00BE38BA" w:rsidP="00BE38BA">
      <w:pPr>
        <w:tabs>
          <w:tab w:val="left" w:pos="851"/>
        </w:tabs>
        <w:ind w:left="851"/>
        <w:rPr>
          <w:sz w:val="24"/>
          <w:szCs w:val="24"/>
        </w:rPr>
      </w:pPr>
    </w:p>
    <w:p w14:paraId="7DEFBD94" w14:textId="77777777" w:rsidR="00BE38BA" w:rsidRPr="00BE38BA" w:rsidRDefault="00BE38BA" w:rsidP="00BE38BA">
      <w:pPr>
        <w:tabs>
          <w:tab w:val="left" w:pos="851"/>
        </w:tabs>
        <w:ind w:left="851"/>
        <w:rPr>
          <w:i/>
          <w:iCs/>
          <w:sz w:val="24"/>
          <w:szCs w:val="24"/>
        </w:rPr>
      </w:pPr>
      <w:r w:rsidRPr="00BE38BA">
        <w:rPr>
          <w:i/>
          <w:iCs/>
          <w:sz w:val="24"/>
          <w:szCs w:val="24"/>
        </w:rPr>
        <w:t>MRP2-hæmmere</w:t>
      </w:r>
    </w:p>
    <w:p w14:paraId="7148CF3F" w14:textId="77777777" w:rsidR="00BE38BA" w:rsidRPr="00BE38BA" w:rsidRDefault="00BE38BA" w:rsidP="00BE38BA">
      <w:pPr>
        <w:tabs>
          <w:tab w:val="left" w:pos="851"/>
        </w:tabs>
        <w:ind w:left="851"/>
        <w:rPr>
          <w:sz w:val="24"/>
          <w:szCs w:val="24"/>
        </w:rPr>
      </w:pPr>
      <w:r w:rsidRPr="00BE38BA">
        <w:rPr>
          <w:i/>
          <w:iCs/>
          <w:sz w:val="24"/>
          <w:szCs w:val="24"/>
        </w:rPr>
        <w:t>In vitro-</w:t>
      </w:r>
      <w:r w:rsidRPr="00BE38BA">
        <w:rPr>
          <w:sz w:val="24"/>
          <w:szCs w:val="24"/>
        </w:rPr>
        <w:t>data viser, at cabozantinib er substrat for MRP2. Administration af MRP2-hæmmere kan derfor resultere i øgede cabozantinib-plasmakoncentrationer.</w:t>
      </w:r>
    </w:p>
    <w:p w14:paraId="1143A717" w14:textId="77777777" w:rsidR="00BE38BA" w:rsidRPr="00BE38BA" w:rsidRDefault="00BE38BA" w:rsidP="00BE38BA">
      <w:pPr>
        <w:tabs>
          <w:tab w:val="left" w:pos="851"/>
        </w:tabs>
        <w:ind w:left="851"/>
        <w:rPr>
          <w:sz w:val="24"/>
          <w:szCs w:val="24"/>
        </w:rPr>
      </w:pPr>
    </w:p>
    <w:p w14:paraId="6B6DD2ED" w14:textId="77777777" w:rsidR="00BE38BA" w:rsidRPr="00BE38BA" w:rsidRDefault="00BE38BA" w:rsidP="00BE38BA">
      <w:pPr>
        <w:tabs>
          <w:tab w:val="left" w:pos="851"/>
        </w:tabs>
        <w:ind w:left="851"/>
        <w:rPr>
          <w:i/>
          <w:iCs/>
          <w:sz w:val="24"/>
          <w:szCs w:val="24"/>
        </w:rPr>
      </w:pPr>
      <w:r w:rsidRPr="00BE38BA">
        <w:rPr>
          <w:i/>
          <w:iCs/>
          <w:sz w:val="24"/>
          <w:szCs w:val="24"/>
        </w:rPr>
        <w:t>Galdesaltbindende midler</w:t>
      </w:r>
    </w:p>
    <w:p w14:paraId="6F41C96D" w14:textId="77777777" w:rsidR="00BE38BA" w:rsidRPr="00BE38BA" w:rsidRDefault="00BE38BA" w:rsidP="00BE38BA">
      <w:pPr>
        <w:tabs>
          <w:tab w:val="left" w:pos="851"/>
        </w:tabs>
        <w:ind w:left="851"/>
        <w:rPr>
          <w:sz w:val="24"/>
          <w:szCs w:val="24"/>
        </w:rPr>
      </w:pPr>
      <w:r w:rsidRPr="00BE38BA">
        <w:rPr>
          <w:sz w:val="24"/>
          <w:szCs w:val="24"/>
        </w:rPr>
        <w:t>Galdesaltbindende midler såsom colestyramin og colesevelam kan interferere med cabozantinib og påvirke absorptionen (eller reabsorptionen), hvilket kan resultere i nedsat eksponering (se pkt. 5.2). Den kliniske relevans af disse potentielle interaktioner er ukendt.</w:t>
      </w:r>
    </w:p>
    <w:p w14:paraId="49D95A33" w14:textId="77777777" w:rsidR="00BE38BA" w:rsidRPr="00BE38BA" w:rsidRDefault="00BE38BA" w:rsidP="00BE38BA">
      <w:pPr>
        <w:tabs>
          <w:tab w:val="left" w:pos="851"/>
        </w:tabs>
        <w:ind w:left="851"/>
        <w:rPr>
          <w:sz w:val="24"/>
          <w:szCs w:val="24"/>
        </w:rPr>
      </w:pPr>
    </w:p>
    <w:p w14:paraId="32663D41" w14:textId="77777777" w:rsidR="00BE38BA" w:rsidRPr="00BE38BA" w:rsidRDefault="00BE38BA" w:rsidP="00BE38BA">
      <w:pPr>
        <w:tabs>
          <w:tab w:val="left" w:pos="851"/>
        </w:tabs>
        <w:ind w:left="851"/>
        <w:rPr>
          <w:sz w:val="24"/>
          <w:szCs w:val="24"/>
        </w:rPr>
      </w:pPr>
      <w:r w:rsidRPr="00BE38BA">
        <w:rPr>
          <w:sz w:val="24"/>
          <w:szCs w:val="24"/>
          <w:u w:val="single"/>
        </w:rPr>
        <w:t>Virkning af cabozantinib på andre lægemidler</w:t>
      </w:r>
    </w:p>
    <w:p w14:paraId="1748C194" w14:textId="77777777" w:rsidR="00BE38BA" w:rsidRPr="00BE38BA" w:rsidRDefault="00BE38BA" w:rsidP="00BE38BA">
      <w:pPr>
        <w:tabs>
          <w:tab w:val="left" w:pos="851"/>
        </w:tabs>
        <w:ind w:left="851"/>
        <w:rPr>
          <w:sz w:val="24"/>
          <w:szCs w:val="24"/>
        </w:rPr>
      </w:pPr>
      <w:r w:rsidRPr="00BE38BA">
        <w:rPr>
          <w:sz w:val="24"/>
          <w:szCs w:val="24"/>
        </w:rPr>
        <w:t>Virkningen af cabozantinib på farmakokinetikken for kontraceptive steroider er ikke blevet undersøgt. Da uændret kontraceptiv virkning ikke kan garanteres, anbefales en yderligere antikonceptionsmetode, f.eks. en barrieremetode.</w:t>
      </w:r>
    </w:p>
    <w:p w14:paraId="5D3711DF" w14:textId="77777777" w:rsidR="00BE38BA" w:rsidRPr="00BE38BA" w:rsidRDefault="00BE38BA" w:rsidP="00BE38BA">
      <w:pPr>
        <w:tabs>
          <w:tab w:val="left" w:pos="851"/>
        </w:tabs>
        <w:ind w:left="851"/>
        <w:rPr>
          <w:sz w:val="24"/>
          <w:szCs w:val="24"/>
        </w:rPr>
      </w:pPr>
      <w:r w:rsidRPr="00BE38BA">
        <w:rPr>
          <w:sz w:val="24"/>
          <w:szCs w:val="24"/>
        </w:rPr>
        <w:t>Cabozantinibs virkning på warfarins farmakokinetik er ikke undersøgt. En interaktion med warfarin er mulig. INR-værdier skal monitoreres i tilfælde af en sådan kombination.</w:t>
      </w:r>
    </w:p>
    <w:p w14:paraId="24B58050" w14:textId="77777777" w:rsidR="00BE38BA" w:rsidRPr="00BE38BA" w:rsidRDefault="00BE38BA" w:rsidP="00BE38BA">
      <w:pPr>
        <w:tabs>
          <w:tab w:val="left" w:pos="851"/>
        </w:tabs>
        <w:ind w:left="851"/>
        <w:rPr>
          <w:sz w:val="24"/>
          <w:szCs w:val="24"/>
        </w:rPr>
      </w:pPr>
    </w:p>
    <w:p w14:paraId="620850E8" w14:textId="77777777" w:rsidR="00BE38BA" w:rsidRPr="00BE38BA" w:rsidRDefault="00BE38BA" w:rsidP="00BE38BA">
      <w:pPr>
        <w:tabs>
          <w:tab w:val="left" w:pos="851"/>
        </w:tabs>
        <w:ind w:left="851"/>
        <w:rPr>
          <w:i/>
          <w:iCs/>
          <w:sz w:val="24"/>
          <w:szCs w:val="24"/>
        </w:rPr>
      </w:pPr>
      <w:r w:rsidRPr="00BE38BA">
        <w:rPr>
          <w:i/>
          <w:iCs/>
          <w:sz w:val="24"/>
          <w:szCs w:val="24"/>
        </w:rPr>
        <w:t>P-glykoprotein-substrater</w:t>
      </w:r>
    </w:p>
    <w:p w14:paraId="7414B7EF" w14:textId="77777777" w:rsidR="00BE38BA" w:rsidRPr="00BE38BA" w:rsidRDefault="00BE38BA" w:rsidP="00BE38BA">
      <w:pPr>
        <w:tabs>
          <w:tab w:val="left" w:pos="851"/>
        </w:tabs>
        <w:ind w:left="851"/>
        <w:rPr>
          <w:sz w:val="24"/>
          <w:szCs w:val="24"/>
        </w:rPr>
      </w:pPr>
      <w:r w:rsidRPr="00BE38BA">
        <w:rPr>
          <w:sz w:val="24"/>
          <w:szCs w:val="24"/>
        </w:rPr>
        <w:t>Cabozantinib var en hæmmer (IC50 = 7,0 μM) af, men ikke et substrat for P-gp-transportaktivitet i et to-rettet assay-system, der anvendte MDCK-MDR1-celler. Cabozantinib kan derfor have potentialet til at øge plasmakoncentrationen af samtidigt administrerede P-gp-substrater. Patienter skal advares ved indtagelse af et P-gp-substrat (f.eks. fexofenadin, aliskiren, ambrisentan, dabigatranetexilat, digoxin, colchicin, maraviroc, posaconazol, ranolazin, saxagliptin, sitagliptin, talinolol, tolvaptan), mens de får cabozantinib.</w:t>
      </w:r>
    </w:p>
    <w:p w14:paraId="35BA5347" w14:textId="77777777" w:rsidR="009260DE" w:rsidRPr="00C84483" w:rsidRDefault="009260DE" w:rsidP="009260DE">
      <w:pPr>
        <w:tabs>
          <w:tab w:val="left" w:pos="851"/>
        </w:tabs>
        <w:ind w:left="851"/>
        <w:rPr>
          <w:sz w:val="24"/>
          <w:szCs w:val="24"/>
        </w:rPr>
      </w:pPr>
    </w:p>
    <w:p w14:paraId="4819AE13" w14:textId="77777777" w:rsidR="009260DE" w:rsidRPr="00C84483" w:rsidRDefault="009260DE" w:rsidP="009260DE">
      <w:pPr>
        <w:tabs>
          <w:tab w:val="left" w:pos="851"/>
        </w:tabs>
        <w:ind w:left="851" w:hanging="851"/>
        <w:rPr>
          <w:b/>
          <w:sz w:val="24"/>
          <w:szCs w:val="24"/>
        </w:rPr>
      </w:pPr>
      <w:r w:rsidRPr="00C84483">
        <w:rPr>
          <w:b/>
          <w:sz w:val="24"/>
          <w:szCs w:val="24"/>
        </w:rPr>
        <w:lastRenderedPageBreak/>
        <w:t>4.6</w:t>
      </w:r>
      <w:r w:rsidRPr="00C84483">
        <w:rPr>
          <w:b/>
          <w:sz w:val="24"/>
          <w:szCs w:val="24"/>
        </w:rPr>
        <w:tab/>
      </w:r>
      <w:r w:rsidR="0071241E">
        <w:rPr>
          <w:b/>
          <w:sz w:val="24"/>
          <w:szCs w:val="24"/>
        </w:rPr>
        <w:t>Fertilitet, g</w:t>
      </w:r>
      <w:r w:rsidRPr="00C84483">
        <w:rPr>
          <w:b/>
          <w:sz w:val="24"/>
          <w:szCs w:val="24"/>
        </w:rPr>
        <w:t>raviditet og amning</w:t>
      </w:r>
    </w:p>
    <w:p w14:paraId="45D8E018" w14:textId="77777777" w:rsidR="00BE38BA" w:rsidRPr="00B519B1" w:rsidRDefault="00BE38BA" w:rsidP="00BE38BA">
      <w:pPr>
        <w:tabs>
          <w:tab w:val="left" w:pos="851"/>
        </w:tabs>
        <w:ind w:left="851"/>
        <w:rPr>
          <w:bCs/>
          <w:sz w:val="24"/>
          <w:szCs w:val="24"/>
        </w:rPr>
      </w:pPr>
    </w:p>
    <w:p w14:paraId="2C19DFE6" w14:textId="77777777" w:rsidR="00BE38BA" w:rsidRPr="00BE38BA" w:rsidRDefault="00BE38BA" w:rsidP="00BE38BA">
      <w:pPr>
        <w:tabs>
          <w:tab w:val="left" w:pos="851"/>
        </w:tabs>
        <w:ind w:left="851"/>
        <w:rPr>
          <w:sz w:val="24"/>
          <w:szCs w:val="24"/>
        </w:rPr>
      </w:pPr>
      <w:r w:rsidRPr="00BE38BA">
        <w:rPr>
          <w:sz w:val="24"/>
          <w:szCs w:val="24"/>
          <w:u w:val="single"/>
        </w:rPr>
        <w:t>Kvinder i den fertile alder/antikonception hos mænd og kvinder</w:t>
      </w:r>
    </w:p>
    <w:p w14:paraId="173512B1" w14:textId="1CF4B89A" w:rsidR="00BE38BA" w:rsidRPr="00BE38BA" w:rsidRDefault="00BE38BA" w:rsidP="00BE38BA">
      <w:pPr>
        <w:tabs>
          <w:tab w:val="left" w:pos="851"/>
        </w:tabs>
        <w:ind w:left="851"/>
        <w:rPr>
          <w:sz w:val="24"/>
          <w:szCs w:val="24"/>
        </w:rPr>
      </w:pPr>
      <w:r w:rsidRPr="00BE38BA">
        <w:rPr>
          <w:sz w:val="24"/>
          <w:szCs w:val="24"/>
        </w:rPr>
        <w:t>Kvinder i den fertile alder skal opfordres til at undgå at blive gravide, mens de får cabozantinib. Kvindelige partnere til mandlige patienter, der tager cabozantinib, skal også undgå at blive gravide. Mandlige og kvindelige patienter og deres partnere bør anvende effektive kontraceptionsmetoder under behandlingen og i mindst 4 måneder efter afsluttet behandling. Da orale kontraceptiva muligvis ikke kan betragtes som ”effektive kontraceptionsmetoder”, bør der samtidig anvendes en anden metode, f.eks. en barrieremetode</w:t>
      </w:r>
      <w:r>
        <w:rPr>
          <w:sz w:val="24"/>
          <w:szCs w:val="24"/>
        </w:rPr>
        <w:t xml:space="preserve"> </w:t>
      </w:r>
      <w:r w:rsidRPr="00BE38BA">
        <w:rPr>
          <w:sz w:val="24"/>
          <w:szCs w:val="24"/>
        </w:rPr>
        <w:t>(se pkt. 4.5).</w:t>
      </w:r>
    </w:p>
    <w:p w14:paraId="6A1AD48F" w14:textId="77777777" w:rsidR="00BE38BA" w:rsidRPr="00BE38BA" w:rsidRDefault="00BE38BA" w:rsidP="00BE38BA">
      <w:pPr>
        <w:tabs>
          <w:tab w:val="left" w:pos="851"/>
        </w:tabs>
        <w:ind w:left="851"/>
        <w:rPr>
          <w:sz w:val="24"/>
          <w:szCs w:val="24"/>
        </w:rPr>
      </w:pPr>
    </w:p>
    <w:p w14:paraId="22595DFF" w14:textId="77777777" w:rsidR="00BE38BA" w:rsidRPr="00BE38BA" w:rsidRDefault="00BE38BA" w:rsidP="00BE38BA">
      <w:pPr>
        <w:tabs>
          <w:tab w:val="left" w:pos="851"/>
        </w:tabs>
        <w:ind w:left="851"/>
        <w:rPr>
          <w:sz w:val="24"/>
          <w:szCs w:val="24"/>
        </w:rPr>
      </w:pPr>
      <w:r w:rsidRPr="00BE38BA">
        <w:rPr>
          <w:sz w:val="24"/>
          <w:szCs w:val="24"/>
          <w:u w:val="single"/>
        </w:rPr>
        <w:t>Graviditet</w:t>
      </w:r>
    </w:p>
    <w:p w14:paraId="5977D6A1" w14:textId="77777777" w:rsidR="00BE38BA" w:rsidRPr="00BE38BA" w:rsidRDefault="00BE38BA" w:rsidP="00BE38BA">
      <w:pPr>
        <w:tabs>
          <w:tab w:val="left" w:pos="851"/>
        </w:tabs>
        <w:ind w:left="851"/>
        <w:rPr>
          <w:sz w:val="24"/>
          <w:szCs w:val="24"/>
        </w:rPr>
      </w:pPr>
      <w:r w:rsidRPr="00BE38BA">
        <w:rPr>
          <w:sz w:val="24"/>
          <w:szCs w:val="24"/>
        </w:rPr>
        <w:t>Der er ingen data fra anvendelse af cabozantinib til gravide kvinder. Dyrestudier har vist embryo-føtale og teratogene virkninger (se pkt. 5.3). Den potentielle risiko for mennesker kendes ikke. Cabozantinib bør ikke anvendes under graviditet, medmindre kvindens kliniske tilstand kræver behandling med cabozantinib.</w:t>
      </w:r>
    </w:p>
    <w:p w14:paraId="6571B3E8" w14:textId="77777777" w:rsidR="00BE38BA" w:rsidRPr="00BE38BA" w:rsidRDefault="00BE38BA" w:rsidP="00BE38BA">
      <w:pPr>
        <w:tabs>
          <w:tab w:val="left" w:pos="851"/>
        </w:tabs>
        <w:ind w:left="851"/>
        <w:rPr>
          <w:sz w:val="24"/>
          <w:szCs w:val="24"/>
        </w:rPr>
      </w:pPr>
    </w:p>
    <w:p w14:paraId="560FA7D1" w14:textId="77777777" w:rsidR="00BE38BA" w:rsidRPr="00BE38BA" w:rsidRDefault="00BE38BA" w:rsidP="00BE38BA">
      <w:pPr>
        <w:tabs>
          <w:tab w:val="left" w:pos="851"/>
        </w:tabs>
        <w:ind w:left="851"/>
        <w:rPr>
          <w:sz w:val="24"/>
          <w:szCs w:val="24"/>
        </w:rPr>
      </w:pPr>
      <w:r w:rsidRPr="00BE38BA">
        <w:rPr>
          <w:sz w:val="24"/>
          <w:szCs w:val="24"/>
          <w:u w:val="single"/>
        </w:rPr>
        <w:t>Amning</w:t>
      </w:r>
    </w:p>
    <w:p w14:paraId="31A5E347" w14:textId="77777777" w:rsidR="00BE38BA" w:rsidRPr="00BE38BA" w:rsidRDefault="00BE38BA" w:rsidP="00BE38BA">
      <w:pPr>
        <w:tabs>
          <w:tab w:val="left" w:pos="851"/>
        </w:tabs>
        <w:ind w:left="851"/>
        <w:rPr>
          <w:sz w:val="24"/>
          <w:szCs w:val="24"/>
        </w:rPr>
      </w:pPr>
      <w:r w:rsidRPr="00BE38BA">
        <w:rPr>
          <w:sz w:val="24"/>
          <w:szCs w:val="24"/>
        </w:rPr>
        <w:t>Det vides ikke, om cabozantinib og/eller dets metabolitter udskilles i human mælk. På grund af den potentielle skade for spædbarnet, bør mødre stoppe med at amme under behandling med cabozantinib og i mindst 4 måneder efter afsluttet behandling.</w:t>
      </w:r>
    </w:p>
    <w:p w14:paraId="440CF947" w14:textId="77777777" w:rsidR="00BE38BA" w:rsidRPr="00BE38BA" w:rsidRDefault="00BE38BA" w:rsidP="00BE38BA">
      <w:pPr>
        <w:tabs>
          <w:tab w:val="left" w:pos="851"/>
        </w:tabs>
        <w:ind w:left="851"/>
        <w:rPr>
          <w:sz w:val="24"/>
          <w:szCs w:val="24"/>
        </w:rPr>
      </w:pPr>
    </w:p>
    <w:p w14:paraId="40C3F481" w14:textId="77777777" w:rsidR="00BE38BA" w:rsidRPr="00BE38BA" w:rsidRDefault="00BE38BA" w:rsidP="00BE38BA">
      <w:pPr>
        <w:tabs>
          <w:tab w:val="left" w:pos="851"/>
        </w:tabs>
        <w:ind w:left="851"/>
        <w:rPr>
          <w:sz w:val="24"/>
          <w:szCs w:val="24"/>
        </w:rPr>
      </w:pPr>
      <w:r w:rsidRPr="00BE38BA">
        <w:rPr>
          <w:sz w:val="24"/>
          <w:szCs w:val="24"/>
          <w:u w:val="single"/>
        </w:rPr>
        <w:t>Fertilitet</w:t>
      </w:r>
    </w:p>
    <w:p w14:paraId="3887DF4B" w14:textId="77777777" w:rsidR="00BE38BA" w:rsidRPr="00BE38BA" w:rsidRDefault="00BE38BA" w:rsidP="00BE38BA">
      <w:pPr>
        <w:tabs>
          <w:tab w:val="left" w:pos="851"/>
        </w:tabs>
        <w:ind w:left="851"/>
        <w:rPr>
          <w:sz w:val="24"/>
          <w:szCs w:val="24"/>
        </w:rPr>
      </w:pPr>
      <w:r w:rsidRPr="00BE38BA">
        <w:rPr>
          <w:sz w:val="24"/>
          <w:szCs w:val="24"/>
        </w:rPr>
        <w:t>Der foreligger ingen data om human fertilitet. Baseret på ikke-kliniske sikkerhedsfund kan mandlig og kvindelig fertilitet blive kompromitteret af behandling med cabozantinib (se pkt. 5.3). Både mænd og kvinder bør tilrådes at søge rådgivning og overveje fertilitetsbevarende tiltag inden behandling.</w:t>
      </w:r>
    </w:p>
    <w:p w14:paraId="4F8DFF56" w14:textId="77777777" w:rsidR="00BE38BA" w:rsidRPr="00BE38BA" w:rsidRDefault="00BE38BA" w:rsidP="00BE38BA">
      <w:pPr>
        <w:tabs>
          <w:tab w:val="left" w:pos="851"/>
        </w:tabs>
        <w:ind w:left="851"/>
        <w:rPr>
          <w:sz w:val="24"/>
          <w:szCs w:val="24"/>
        </w:rPr>
      </w:pPr>
    </w:p>
    <w:p w14:paraId="30617C50"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0C1068FF" w14:textId="77777777" w:rsidR="00C843AF" w:rsidRDefault="00C843AF" w:rsidP="00C843AF">
      <w:pPr>
        <w:tabs>
          <w:tab w:val="left" w:pos="851"/>
        </w:tabs>
        <w:ind w:left="851"/>
        <w:rPr>
          <w:sz w:val="24"/>
          <w:szCs w:val="24"/>
        </w:rPr>
      </w:pPr>
      <w:r>
        <w:rPr>
          <w:sz w:val="24"/>
          <w:szCs w:val="24"/>
        </w:rPr>
        <w:t>Ikke mærkning.</w:t>
      </w:r>
    </w:p>
    <w:p w14:paraId="31931F37" w14:textId="61155FFD" w:rsidR="00C843AF" w:rsidRPr="00C843AF" w:rsidRDefault="00C843AF" w:rsidP="00C843AF">
      <w:pPr>
        <w:tabs>
          <w:tab w:val="left" w:pos="851"/>
        </w:tabs>
        <w:ind w:left="851"/>
        <w:rPr>
          <w:sz w:val="24"/>
          <w:szCs w:val="24"/>
        </w:rPr>
      </w:pPr>
      <w:r w:rsidRPr="00C843AF">
        <w:rPr>
          <w:sz w:val="24"/>
          <w:szCs w:val="24"/>
        </w:rPr>
        <w:t>Cabozantinib påvirker i mindre grad evnen til at føre motorkøretøj og betjene maskiner. Cabozantinib er blevet forbundet med bivirkninger som træthed og svaghed. Det anbefales derfor at udvise forsigtighed, når der føres motorkøretøj eller betjenes maskiner</w:t>
      </w:r>
    </w:p>
    <w:p w14:paraId="1C714532" w14:textId="77777777" w:rsidR="009260DE" w:rsidRPr="00C84483" w:rsidRDefault="009260DE" w:rsidP="009260DE">
      <w:pPr>
        <w:tabs>
          <w:tab w:val="left" w:pos="851"/>
        </w:tabs>
        <w:ind w:left="851"/>
        <w:rPr>
          <w:sz w:val="24"/>
          <w:szCs w:val="24"/>
        </w:rPr>
      </w:pPr>
    </w:p>
    <w:p w14:paraId="40784F87"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4C46616A" w14:textId="77777777" w:rsidR="00C843AF" w:rsidRPr="00C843AF" w:rsidRDefault="00C843AF" w:rsidP="00C843AF">
      <w:pPr>
        <w:tabs>
          <w:tab w:val="left" w:pos="851"/>
        </w:tabs>
        <w:ind w:left="851"/>
        <w:rPr>
          <w:b/>
          <w:bCs/>
          <w:sz w:val="24"/>
          <w:szCs w:val="24"/>
        </w:rPr>
      </w:pPr>
    </w:p>
    <w:p w14:paraId="43140ACE" w14:textId="77777777" w:rsidR="00C843AF" w:rsidRPr="00C843AF" w:rsidRDefault="00C843AF" w:rsidP="00C843AF">
      <w:pPr>
        <w:tabs>
          <w:tab w:val="left" w:pos="851"/>
        </w:tabs>
        <w:ind w:left="851"/>
        <w:rPr>
          <w:i/>
          <w:iCs/>
          <w:sz w:val="24"/>
          <w:szCs w:val="24"/>
        </w:rPr>
      </w:pPr>
      <w:r w:rsidRPr="00C843AF">
        <w:rPr>
          <w:i/>
          <w:iCs/>
          <w:sz w:val="24"/>
          <w:szCs w:val="24"/>
        </w:rPr>
        <w:t>Cabozantinib som monoterapi</w:t>
      </w:r>
    </w:p>
    <w:p w14:paraId="72EF5EDE" w14:textId="77777777" w:rsidR="00C843AF" w:rsidRPr="00C843AF" w:rsidRDefault="00C843AF" w:rsidP="00C843AF">
      <w:pPr>
        <w:tabs>
          <w:tab w:val="left" w:pos="851"/>
        </w:tabs>
        <w:ind w:left="851"/>
        <w:rPr>
          <w:i/>
          <w:iCs/>
          <w:sz w:val="24"/>
          <w:szCs w:val="24"/>
        </w:rPr>
      </w:pPr>
    </w:p>
    <w:p w14:paraId="64176946" w14:textId="77777777" w:rsidR="00C843AF" w:rsidRPr="00C843AF" w:rsidRDefault="00C843AF" w:rsidP="00C843AF">
      <w:pPr>
        <w:tabs>
          <w:tab w:val="left" w:pos="851"/>
        </w:tabs>
        <w:ind w:left="851"/>
        <w:rPr>
          <w:sz w:val="24"/>
          <w:szCs w:val="24"/>
        </w:rPr>
      </w:pPr>
      <w:r w:rsidRPr="00C843AF">
        <w:rPr>
          <w:sz w:val="24"/>
          <w:szCs w:val="24"/>
          <w:u w:val="single"/>
        </w:rPr>
        <w:t>Resumé af sikkerhedsprofilen</w:t>
      </w:r>
    </w:p>
    <w:p w14:paraId="712EA1BB" w14:textId="77777777" w:rsidR="00C843AF" w:rsidRPr="00C843AF" w:rsidRDefault="00C843AF" w:rsidP="00C843AF">
      <w:pPr>
        <w:tabs>
          <w:tab w:val="left" w:pos="851"/>
        </w:tabs>
        <w:ind w:left="851"/>
        <w:rPr>
          <w:sz w:val="24"/>
          <w:szCs w:val="24"/>
        </w:rPr>
      </w:pPr>
      <w:r w:rsidRPr="00C843AF">
        <w:rPr>
          <w:sz w:val="24"/>
          <w:szCs w:val="24"/>
        </w:rPr>
        <w:t>De mest almindelige alvorlige bivirkninger i RCC-populationen (≥1 % incidens) er pneumoni, abdominalsmerter, diarré, kvalme, hypertension, emboli, hyponatriæmi, lungeemboli, opkastning, dehydrering, træthed, asteni, nedsat appetit, dyb venetrombose, svimmelhed, hypomagnesiæmi og palmoplantar erytrodysæstesisyndrom (PPES).</w:t>
      </w:r>
    </w:p>
    <w:p w14:paraId="24FF7414" w14:textId="77777777" w:rsidR="00C843AF" w:rsidRPr="00C843AF" w:rsidRDefault="00C843AF" w:rsidP="00C843AF">
      <w:pPr>
        <w:tabs>
          <w:tab w:val="left" w:pos="851"/>
        </w:tabs>
        <w:ind w:left="851"/>
        <w:rPr>
          <w:sz w:val="24"/>
          <w:szCs w:val="24"/>
        </w:rPr>
      </w:pPr>
    </w:p>
    <w:p w14:paraId="7714E187" w14:textId="77777777" w:rsidR="00C843AF" w:rsidRPr="00C843AF" w:rsidRDefault="00C843AF" w:rsidP="00C843AF">
      <w:pPr>
        <w:tabs>
          <w:tab w:val="left" w:pos="851"/>
        </w:tabs>
        <w:ind w:left="851"/>
        <w:rPr>
          <w:sz w:val="24"/>
          <w:szCs w:val="24"/>
        </w:rPr>
      </w:pPr>
      <w:r w:rsidRPr="00C843AF">
        <w:rPr>
          <w:sz w:val="24"/>
          <w:szCs w:val="24"/>
        </w:rPr>
        <w:t>De hyppigste bivirkninger af en hvilken som helst grad (oplevet af mindst 25 % af patienterne) i RCC- populationen inkluderede diarré, træthed, kvalme, nedsat appetit, PPES, hypertension, vægttab, opkastning, dysgeusi, forstoppelse og forhøjet ASAT. Hypertension blev observeret oftere i gruppen af behandlings- naive RCC-patienter (67 %) sammenlignet med RCC-patienter efter tidligere VEGF-målrettet behandling (37 %).</w:t>
      </w:r>
    </w:p>
    <w:p w14:paraId="771CF612" w14:textId="77777777" w:rsidR="00C843AF" w:rsidRPr="00C843AF" w:rsidRDefault="00C843AF" w:rsidP="00C843AF">
      <w:pPr>
        <w:tabs>
          <w:tab w:val="left" w:pos="851"/>
        </w:tabs>
        <w:ind w:left="851"/>
        <w:rPr>
          <w:sz w:val="24"/>
          <w:szCs w:val="24"/>
        </w:rPr>
      </w:pPr>
    </w:p>
    <w:p w14:paraId="2D18FE76" w14:textId="77777777" w:rsidR="00C843AF" w:rsidRPr="00C843AF" w:rsidRDefault="00C843AF" w:rsidP="00C843AF">
      <w:pPr>
        <w:tabs>
          <w:tab w:val="left" w:pos="851"/>
        </w:tabs>
        <w:ind w:left="851"/>
        <w:rPr>
          <w:sz w:val="24"/>
          <w:szCs w:val="24"/>
        </w:rPr>
      </w:pPr>
      <w:r w:rsidRPr="00C843AF">
        <w:rPr>
          <w:sz w:val="24"/>
          <w:szCs w:val="24"/>
        </w:rPr>
        <w:lastRenderedPageBreak/>
        <w:t>De mest almindelige alvorlige bivirkninger i HCC-populationen (≥1 % incidens) er hepatisk encefalopati, asteni, træthed, PPES, diarré, hyponatriæmi, opkastning, abdominalsmerter og trombocytopeni.</w:t>
      </w:r>
    </w:p>
    <w:p w14:paraId="32E6BA54" w14:textId="77777777" w:rsidR="00C843AF" w:rsidRPr="00C843AF" w:rsidRDefault="00C843AF" w:rsidP="00C843AF">
      <w:pPr>
        <w:tabs>
          <w:tab w:val="left" w:pos="851"/>
        </w:tabs>
        <w:ind w:left="851"/>
        <w:rPr>
          <w:sz w:val="24"/>
          <w:szCs w:val="24"/>
        </w:rPr>
      </w:pPr>
    </w:p>
    <w:p w14:paraId="5886EA9A" w14:textId="77777777" w:rsidR="00C843AF" w:rsidRPr="00C843AF" w:rsidRDefault="00C843AF" w:rsidP="00C843AF">
      <w:pPr>
        <w:tabs>
          <w:tab w:val="left" w:pos="851"/>
        </w:tabs>
        <w:ind w:left="851"/>
        <w:rPr>
          <w:sz w:val="24"/>
          <w:szCs w:val="24"/>
        </w:rPr>
      </w:pPr>
      <w:r w:rsidRPr="00C843AF">
        <w:rPr>
          <w:sz w:val="24"/>
          <w:szCs w:val="24"/>
        </w:rPr>
        <w:t>De hyppigste bivirkninger af en hvilken som helst grad (set hos mindst 25 % af patienterne) i HCC- populationen omfattede diarré, nedsat appetit, PPES, træthed, kvalme, hypertension og opkastning.</w:t>
      </w:r>
    </w:p>
    <w:p w14:paraId="4AE2F7BA" w14:textId="77777777" w:rsidR="00C843AF" w:rsidRPr="00C843AF" w:rsidRDefault="00C843AF" w:rsidP="00C843AF">
      <w:pPr>
        <w:tabs>
          <w:tab w:val="left" w:pos="851"/>
        </w:tabs>
        <w:ind w:left="851"/>
        <w:rPr>
          <w:sz w:val="24"/>
          <w:szCs w:val="24"/>
        </w:rPr>
      </w:pPr>
    </w:p>
    <w:p w14:paraId="004675FD" w14:textId="77777777" w:rsidR="00C843AF" w:rsidRPr="00C843AF" w:rsidRDefault="00C843AF" w:rsidP="00C843AF">
      <w:pPr>
        <w:tabs>
          <w:tab w:val="left" w:pos="851"/>
        </w:tabs>
        <w:ind w:left="851"/>
        <w:rPr>
          <w:sz w:val="24"/>
          <w:szCs w:val="24"/>
        </w:rPr>
      </w:pPr>
      <w:r w:rsidRPr="00C843AF">
        <w:rPr>
          <w:sz w:val="24"/>
          <w:szCs w:val="24"/>
        </w:rPr>
        <w:t>De mest almindelige alvorlige bivirkninger i DTC-populationen (≥1 % incidens) er diarré, pleuraeffusion, pneumoni, lungeemboli, hypertension, anæmi, dyb venetrombose, hypocalcæmi, osteonekrose i kæben, smerter, palmoplantar erytrodysæstesisyndrom, opkastning og nedsat nyrefunktion.</w:t>
      </w:r>
    </w:p>
    <w:p w14:paraId="2A290F1A" w14:textId="77777777" w:rsidR="00C843AF" w:rsidRPr="00C843AF" w:rsidRDefault="00C843AF" w:rsidP="00C843AF">
      <w:pPr>
        <w:tabs>
          <w:tab w:val="left" w:pos="851"/>
        </w:tabs>
        <w:ind w:left="851"/>
        <w:rPr>
          <w:sz w:val="24"/>
          <w:szCs w:val="24"/>
        </w:rPr>
      </w:pPr>
    </w:p>
    <w:p w14:paraId="04352806" w14:textId="77777777" w:rsidR="00C843AF" w:rsidRPr="00C843AF" w:rsidRDefault="00C843AF" w:rsidP="00C843AF">
      <w:pPr>
        <w:tabs>
          <w:tab w:val="left" w:pos="851"/>
        </w:tabs>
        <w:ind w:left="851"/>
        <w:rPr>
          <w:sz w:val="24"/>
          <w:szCs w:val="24"/>
        </w:rPr>
      </w:pPr>
      <w:r w:rsidRPr="00C843AF">
        <w:rPr>
          <w:sz w:val="24"/>
          <w:szCs w:val="24"/>
        </w:rPr>
        <w:t>De hyppigste bivirkninger af en hvilken som helst grad (set hos mindst 25 % af patienterne) i DTC- populationen omfattede diarré, PPES, hypertension, træthed, nedsat appetit, kvalme, stigning i alaninaminotransferase, stigning i aspartataminotransferase og hypocalcæmi.</w:t>
      </w:r>
    </w:p>
    <w:p w14:paraId="064D2C4D" w14:textId="77777777" w:rsidR="00C843AF" w:rsidRPr="00C843AF" w:rsidRDefault="00C843AF" w:rsidP="00C843AF">
      <w:pPr>
        <w:tabs>
          <w:tab w:val="left" w:pos="851"/>
        </w:tabs>
        <w:ind w:left="851"/>
        <w:rPr>
          <w:sz w:val="24"/>
          <w:szCs w:val="24"/>
        </w:rPr>
      </w:pPr>
    </w:p>
    <w:p w14:paraId="59A92956" w14:textId="77777777" w:rsidR="00C843AF" w:rsidRPr="00C843AF" w:rsidRDefault="00C843AF" w:rsidP="00C843AF">
      <w:pPr>
        <w:tabs>
          <w:tab w:val="left" w:pos="851"/>
        </w:tabs>
        <w:ind w:left="851"/>
        <w:rPr>
          <w:sz w:val="24"/>
          <w:szCs w:val="24"/>
        </w:rPr>
      </w:pPr>
      <w:r w:rsidRPr="00C843AF">
        <w:rPr>
          <w:sz w:val="24"/>
          <w:szCs w:val="24"/>
          <w:u w:val="single"/>
        </w:rPr>
        <w:t>Tabel over bivirkninger</w:t>
      </w:r>
    </w:p>
    <w:p w14:paraId="49A3BE41" w14:textId="71694B13" w:rsidR="00C843AF" w:rsidRPr="00C843AF" w:rsidRDefault="00C843AF" w:rsidP="00C843AF">
      <w:pPr>
        <w:tabs>
          <w:tab w:val="left" w:pos="851"/>
        </w:tabs>
        <w:ind w:left="851"/>
        <w:rPr>
          <w:sz w:val="24"/>
          <w:szCs w:val="24"/>
        </w:rPr>
      </w:pPr>
      <w:r w:rsidRPr="00C843AF">
        <w:rPr>
          <w:sz w:val="24"/>
          <w:szCs w:val="24"/>
        </w:rPr>
        <w:t xml:space="preserve">Bivirkninger, der er rapporteret i det samlede datasæt for patienter behandlet med cabozantinib-monoterapi i RCC, HCC og DTC (n = 1.128) eller rapporteret efter brug af cabozantinib efter markedsføring, er anført i tabel 2. Bivirkningerne er opført efter MedDRA systemorganklasser og hyppighedskategorier. Hyppigheder er baseret på bivirkninger af alle grader og defineret som: </w:t>
      </w:r>
      <w:r>
        <w:rPr>
          <w:sz w:val="24"/>
          <w:szCs w:val="24"/>
        </w:rPr>
        <w:t>M</w:t>
      </w:r>
      <w:r w:rsidRPr="00C843AF">
        <w:rPr>
          <w:sz w:val="24"/>
          <w:szCs w:val="24"/>
        </w:rPr>
        <w:t>eget almindelig (≥1/10), almindelig (≥1/100</w:t>
      </w:r>
    </w:p>
    <w:p w14:paraId="29C6A0AD" w14:textId="77777777" w:rsidR="00C843AF" w:rsidRPr="00C843AF" w:rsidRDefault="00C843AF" w:rsidP="00C843AF">
      <w:pPr>
        <w:tabs>
          <w:tab w:val="left" w:pos="851"/>
        </w:tabs>
        <w:ind w:left="851"/>
        <w:rPr>
          <w:sz w:val="24"/>
          <w:szCs w:val="24"/>
        </w:rPr>
      </w:pPr>
      <w:r w:rsidRPr="00C843AF">
        <w:rPr>
          <w:sz w:val="24"/>
          <w:szCs w:val="24"/>
        </w:rPr>
        <w:t>til &lt;1/10); ikke almindelig (≥1/1.000 til &lt;1/100), ikke kendt (kan ikke estimeres ud fra forhåndenværende data). Inden for hver hyppighedsgruppe er bivirkningerne vist efter faldende alvorlighed.</w:t>
      </w:r>
    </w:p>
    <w:p w14:paraId="440ED740" w14:textId="77777777" w:rsidR="00C843AF" w:rsidRPr="00C843AF" w:rsidRDefault="00C843AF" w:rsidP="00C843AF">
      <w:pPr>
        <w:tabs>
          <w:tab w:val="left" w:pos="851"/>
        </w:tabs>
        <w:ind w:left="851"/>
        <w:rPr>
          <w:sz w:val="24"/>
          <w:szCs w:val="24"/>
        </w:rPr>
      </w:pPr>
    </w:p>
    <w:p w14:paraId="08649A41" w14:textId="05451514" w:rsidR="00C843AF" w:rsidRDefault="00C843AF" w:rsidP="00C843AF">
      <w:pPr>
        <w:tabs>
          <w:tab w:val="left" w:pos="851"/>
        </w:tabs>
        <w:ind w:left="851"/>
        <w:rPr>
          <w:b/>
          <w:bCs/>
          <w:sz w:val="24"/>
          <w:szCs w:val="24"/>
        </w:rPr>
      </w:pPr>
      <w:r w:rsidRPr="00C843AF">
        <w:rPr>
          <w:b/>
          <w:bCs/>
          <w:sz w:val="24"/>
          <w:szCs w:val="24"/>
        </w:rPr>
        <w:t>Tabel 2: Bivirkninger indberettet i kliniske studier eller i brug efter markedsføring hos patienter i behandling med cabozantinib som monoterapi</w:t>
      </w:r>
    </w:p>
    <w:p w14:paraId="46464881" w14:textId="77777777" w:rsidR="00C843AF" w:rsidRPr="00C843AF" w:rsidRDefault="00C843AF" w:rsidP="00C843AF">
      <w:pPr>
        <w:tabs>
          <w:tab w:val="left" w:pos="851"/>
        </w:tabs>
        <w:ind w:left="851"/>
        <w:rPr>
          <w:b/>
          <w:bCs/>
          <w:sz w:val="24"/>
          <w:szCs w:val="24"/>
        </w:rPr>
      </w:pPr>
    </w:p>
    <w:tbl>
      <w:tblPr>
        <w:tblW w:w="0" w:type="auto"/>
        <w:tblInd w:w="551" w:type="dxa"/>
        <w:tblLayout w:type="fixed"/>
        <w:tblCellMar>
          <w:left w:w="0" w:type="dxa"/>
          <w:right w:w="0" w:type="dxa"/>
        </w:tblCellMar>
        <w:tblLook w:val="04A0" w:firstRow="1" w:lastRow="0" w:firstColumn="1" w:lastColumn="0" w:noHBand="0" w:noVBand="1"/>
      </w:tblPr>
      <w:tblGrid>
        <w:gridCol w:w="3228"/>
        <w:gridCol w:w="6379"/>
      </w:tblGrid>
      <w:tr w:rsidR="00C843AF" w:rsidRPr="00C843AF" w14:paraId="0A58B345" w14:textId="77777777" w:rsidTr="00C843AF">
        <w:trPr>
          <w:trHeight w:val="251"/>
        </w:trPr>
        <w:tc>
          <w:tcPr>
            <w:tcW w:w="9607" w:type="dxa"/>
            <w:gridSpan w:val="2"/>
            <w:tcBorders>
              <w:top w:val="single" w:sz="4" w:space="0" w:color="000000"/>
              <w:left w:val="single" w:sz="4" w:space="0" w:color="000000"/>
              <w:bottom w:val="single" w:sz="4" w:space="0" w:color="000000"/>
              <w:right w:val="single" w:sz="4" w:space="0" w:color="000000"/>
            </w:tcBorders>
            <w:hideMark/>
          </w:tcPr>
          <w:p w14:paraId="167E6796" w14:textId="77777777" w:rsidR="00C843AF" w:rsidRPr="00C843AF" w:rsidRDefault="00C843AF" w:rsidP="00C843AF">
            <w:pPr>
              <w:ind w:left="153"/>
              <w:rPr>
                <w:b/>
                <w:bCs/>
                <w:sz w:val="22"/>
                <w:szCs w:val="22"/>
              </w:rPr>
            </w:pPr>
            <w:r w:rsidRPr="00C843AF">
              <w:rPr>
                <w:b/>
                <w:bCs/>
                <w:sz w:val="22"/>
                <w:szCs w:val="22"/>
              </w:rPr>
              <w:t>Infektioner og parasitære sygdomme</w:t>
            </w:r>
          </w:p>
        </w:tc>
      </w:tr>
      <w:tr w:rsidR="00C843AF" w:rsidRPr="00C843AF" w14:paraId="7B73EF9D" w14:textId="77777777" w:rsidTr="00C843AF">
        <w:trPr>
          <w:trHeight w:val="254"/>
        </w:trPr>
        <w:tc>
          <w:tcPr>
            <w:tcW w:w="3228" w:type="dxa"/>
            <w:tcBorders>
              <w:top w:val="single" w:sz="4" w:space="0" w:color="000000"/>
              <w:left w:val="single" w:sz="4" w:space="0" w:color="000000"/>
              <w:bottom w:val="single" w:sz="4" w:space="0" w:color="000000"/>
              <w:right w:val="single" w:sz="4" w:space="0" w:color="000000"/>
            </w:tcBorders>
            <w:hideMark/>
          </w:tcPr>
          <w:p w14:paraId="07E22660" w14:textId="77777777" w:rsidR="00C843AF" w:rsidRPr="00C843AF" w:rsidRDefault="00C843AF" w:rsidP="00C843AF">
            <w:pPr>
              <w:ind w:left="153"/>
              <w:rPr>
                <w:sz w:val="22"/>
                <w:szCs w:val="22"/>
              </w:rPr>
            </w:pPr>
            <w:r w:rsidRPr="00C843AF">
              <w:rPr>
                <w:sz w:val="22"/>
                <w:szCs w:val="22"/>
              </w:rPr>
              <w:t>Almindelig</w:t>
            </w:r>
          </w:p>
        </w:tc>
        <w:tc>
          <w:tcPr>
            <w:tcW w:w="6379" w:type="dxa"/>
            <w:tcBorders>
              <w:top w:val="single" w:sz="4" w:space="0" w:color="000000"/>
              <w:left w:val="single" w:sz="4" w:space="0" w:color="000000"/>
              <w:bottom w:val="single" w:sz="4" w:space="0" w:color="000000"/>
              <w:right w:val="single" w:sz="4" w:space="0" w:color="000000"/>
            </w:tcBorders>
            <w:hideMark/>
          </w:tcPr>
          <w:p w14:paraId="09E6EF38" w14:textId="77777777" w:rsidR="00C843AF" w:rsidRPr="00C843AF" w:rsidRDefault="00C843AF" w:rsidP="00C843AF">
            <w:pPr>
              <w:ind w:left="153"/>
              <w:rPr>
                <w:sz w:val="22"/>
                <w:szCs w:val="22"/>
              </w:rPr>
            </w:pPr>
            <w:r w:rsidRPr="00C843AF">
              <w:rPr>
                <w:sz w:val="22"/>
                <w:szCs w:val="22"/>
              </w:rPr>
              <w:t>absces, pneumoni</w:t>
            </w:r>
          </w:p>
        </w:tc>
      </w:tr>
      <w:tr w:rsidR="00C843AF" w:rsidRPr="00C843AF" w14:paraId="367D6EE9" w14:textId="77777777" w:rsidTr="00C843AF">
        <w:trPr>
          <w:trHeight w:val="251"/>
        </w:trPr>
        <w:tc>
          <w:tcPr>
            <w:tcW w:w="9607" w:type="dxa"/>
            <w:gridSpan w:val="2"/>
            <w:tcBorders>
              <w:top w:val="single" w:sz="4" w:space="0" w:color="000000"/>
              <w:left w:val="single" w:sz="4" w:space="0" w:color="000000"/>
              <w:bottom w:val="single" w:sz="4" w:space="0" w:color="000000"/>
              <w:right w:val="single" w:sz="4" w:space="0" w:color="000000"/>
            </w:tcBorders>
            <w:hideMark/>
          </w:tcPr>
          <w:p w14:paraId="29BC43B0" w14:textId="77777777" w:rsidR="00C843AF" w:rsidRPr="00C843AF" w:rsidRDefault="00C843AF" w:rsidP="00C843AF">
            <w:pPr>
              <w:ind w:left="153"/>
              <w:rPr>
                <w:b/>
                <w:bCs/>
                <w:sz w:val="22"/>
                <w:szCs w:val="22"/>
              </w:rPr>
            </w:pPr>
            <w:r w:rsidRPr="00C843AF">
              <w:rPr>
                <w:b/>
                <w:bCs/>
                <w:sz w:val="22"/>
                <w:szCs w:val="22"/>
              </w:rPr>
              <w:t>Blod og lymfesystem</w:t>
            </w:r>
          </w:p>
        </w:tc>
      </w:tr>
      <w:tr w:rsidR="00C843AF" w:rsidRPr="00C843AF" w14:paraId="5503EBD6" w14:textId="77777777" w:rsidTr="00C843AF">
        <w:trPr>
          <w:trHeight w:val="254"/>
        </w:trPr>
        <w:tc>
          <w:tcPr>
            <w:tcW w:w="3228" w:type="dxa"/>
            <w:tcBorders>
              <w:top w:val="single" w:sz="4" w:space="0" w:color="000000"/>
              <w:left w:val="single" w:sz="4" w:space="0" w:color="000000"/>
              <w:bottom w:val="single" w:sz="4" w:space="0" w:color="000000"/>
              <w:right w:val="single" w:sz="4" w:space="0" w:color="000000"/>
            </w:tcBorders>
            <w:hideMark/>
          </w:tcPr>
          <w:p w14:paraId="0514AE6D" w14:textId="77777777" w:rsidR="00C843AF" w:rsidRPr="00C843AF" w:rsidRDefault="00C843AF" w:rsidP="00C843AF">
            <w:pPr>
              <w:ind w:left="153"/>
              <w:rPr>
                <w:sz w:val="22"/>
                <w:szCs w:val="22"/>
              </w:rPr>
            </w:pPr>
            <w:r w:rsidRPr="00C843AF">
              <w:rPr>
                <w:sz w:val="22"/>
                <w:szCs w:val="22"/>
              </w:rPr>
              <w:t>Meget almindelig</w:t>
            </w:r>
          </w:p>
        </w:tc>
        <w:tc>
          <w:tcPr>
            <w:tcW w:w="6379" w:type="dxa"/>
            <w:tcBorders>
              <w:top w:val="single" w:sz="4" w:space="0" w:color="000000"/>
              <w:left w:val="single" w:sz="4" w:space="0" w:color="000000"/>
              <w:bottom w:val="single" w:sz="4" w:space="0" w:color="000000"/>
              <w:right w:val="single" w:sz="4" w:space="0" w:color="000000"/>
            </w:tcBorders>
            <w:hideMark/>
          </w:tcPr>
          <w:p w14:paraId="05742D8B" w14:textId="77777777" w:rsidR="00C843AF" w:rsidRPr="00C843AF" w:rsidRDefault="00C843AF" w:rsidP="00C843AF">
            <w:pPr>
              <w:ind w:left="153"/>
              <w:rPr>
                <w:sz w:val="22"/>
                <w:szCs w:val="22"/>
              </w:rPr>
            </w:pPr>
            <w:r w:rsidRPr="00C843AF">
              <w:rPr>
                <w:sz w:val="22"/>
                <w:szCs w:val="22"/>
              </w:rPr>
              <w:t>anæmi, trombocytopeni</w:t>
            </w:r>
          </w:p>
        </w:tc>
      </w:tr>
      <w:tr w:rsidR="00C843AF" w:rsidRPr="00C843AF" w14:paraId="7E7795DC" w14:textId="77777777" w:rsidTr="00C843AF">
        <w:trPr>
          <w:trHeight w:val="253"/>
        </w:trPr>
        <w:tc>
          <w:tcPr>
            <w:tcW w:w="3228" w:type="dxa"/>
            <w:tcBorders>
              <w:top w:val="single" w:sz="4" w:space="0" w:color="000000"/>
              <w:left w:val="single" w:sz="4" w:space="0" w:color="000000"/>
              <w:bottom w:val="single" w:sz="4" w:space="0" w:color="000000"/>
              <w:right w:val="single" w:sz="4" w:space="0" w:color="000000"/>
            </w:tcBorders>
            <w:hideMark/>
          </w:tcPr>
          <w:p w14:paraId="127B4F61" w14:textId="77777777" w:rsidR="00C843AF" w:rsidRPr="00C843AF" w:rsidRDefault="00C843AF" w:rsidP="00C843AF">
            <w:pPr>
              <w:ind w:left="153"/>
              <w:rPr>
                <w:sz w:val="22"/>
                <w:szCs w:val="22"/>
              </w:rPr>
            </w:pPr>
            <w:r w:rsidRPr="00C843AF">
              <w:rPr>
                <w:sz w:val="22"/>
                <w:szCs w:val="22"/>
              </w:rPr>
              <w:t>Almindelig</w:t>
            </w:r>
          </w:p>
        </w:tc>
        <w:tc>
          <w:tcPr>
            <w:tcW w:w="6379" w:type="dxa"/>
            <w:tcBorders>
              <w:top w:val="single" w:sz="4" w:space="0" w:color="000000"/>
              <w:left w:val="single" w:sz="4" w:space="0" w:color="000000"/>
              <w:bottom w:val="single" w:sz="4" w:space="0" w:color="000000"/>
              <w:right w:val="single" w:sz="4" w:space="0" w:color="000000"/>
            </w:tcBorders>
            <w:hideMark/>
          </w:tcPr>
          <w:p w14:paraId="1FA0FF87" w14:textId="77777777" w:rsidR="00C843AF" w:rsidRPr="00C843AF" w:rsidRDefault="00C843AF" w:rsidP="00C843AF">
            <w:pPr>
              <w:ind w:left="153"/>
              <w:rPr>
                <w:sz w:val="22"/>
                <w:szCs w:val="22"/>
              </w:rPr>
            </w:pPr>
            <w:r w:rsidRPr="00C843AF">
              <w:rPr>
                <w:sz w:val="22"/>
                <w:szCs w:val="22"/>
              </w:rPr>
              <w:t>neutropeni, lymfopeni</w:t>
            </w:r>
          </w:p>
        </w:tc>
      </w:tr>
      <w:tr w:rsidR="00C843AF" w:rsidRPr="00C843AF" w14:paraId="0F53FCF6" w14:textId="77777777" w:rsidTr="00C843AF">
        <w:trPr>
          <w:trHeight w:val="251"/>
        </w:trPr>
        <w:tc>
          <w:tcPr>
            <w:tcW w:w="9607" w:type="dxa"/>
            <w:gridSpan w:val="2"/>
            <w:tcBorders>
              <w:top w:val="single" w:sz="4" w:space="0" w:color="000000"/>
              <w:left w:val="single" w:sz="4" w:space="0" w:color="000000"/>
              <w:bottom w:val="single" w:sz="4" w:space="0" w:color="000000"/>
              <w:right w:val="single" w:sz="4" w:space="0" w:color="000000"/>
            </w:tcBorders>
            <w:hideMark/>
          </w:tcPr>
          <w:p w14:paraId="4CBD257D" w14:textId="77777777" w:rsidR="00C843AF" w:rsidRPr="00C843AF" w:rsidRDefault="00C843AF" w:rsidP="00C843AF">
            <w:pPr>
              <w:ind w:left="153"/>
              <w:rPr>
                <w:b/>
                <w:bCs/>
                <w:sz w:val="22"/>
                <w:szCs w:val="22"/>
              </w:rPr>
            </w:pPr>
            <w:r w:rsidRPr="00C843AF">
              <w:rPr>
                <w:b/>
                <w:bCs/>
                <w:sz w:val="22"/>
                <w:szCs w:val="22"/>
              </w:rPr>
              <w:t>Det endokrine system</w:t>
            </w:r>
          </w:p>
        </w:tc>
      </w:tr>
      <w:tr w:rsidR="00C843AF" w:rsidRPr="00C843AF" w14:paraId="557C81B5" w14:textId="77777777" w:rsidTr="00C843AF">
        <w:trPr>
          <w:trHeight w:val="253"/>
        </w:trPr>
        <w:tc>
          <w:tcPr>
            <w:tcW w:w="3228" w:type="dxa"/>
            <w:tcBorders>
              <w:top w:val="single" w:sz="4" w:space="0" w:color="000000"/>
              <w:left w:val="single" w:sz="4" w:space="0" w:color="000000"/>
              <w:bottom w:val="single" w:sz="4" w:space="0" w:color="000000"/>
              <w:right w:val="single" w:sz="4" w:space="0" w:color="000000"/>
            </w:tcBorders>
            <w:hideMark/>
          </w:tcPr>
          <w:p w14:paraId="241C26F6" w14:textId="77777777" w:rsidR="00C843AF" w:rsidRPr="00C843AF" w:rsidRDefault="00C843AF" w:rsidP="00C843AF">
            <w:pPr>
              <w:ind w:left="153"/>
              <w:rPr>
                <w:sz w:val="22"/>
                <w:szCs w:val="22"/>
              </w:rPr>
            </w:pPr>
            <w:r w:rsidRPr="00C843AF">
              <w:rPr>
                <w:sz w:val="22"/>
                <w:szCs w:val="22"/>
              </w:rPr>
              <w:t>Meget almindelig</w:t>
            </w:r>
          </w:p>
        </w:tc>
        <w:tc>
          <w:tcPr>
            <w:tcW w:w="6379" w:type="dxa"/>
            <w:tcBorders>
              <w:top w:val="single" w:sz="4" w:space="0" w:color="000000"/>
              <w:left w:val="single" w:sz="4" w:space="0" w:color="000000"/>
              <w:bottom w:val="single" w:sz="4" w:space="0" w:color="000000"/>
              <w:right w:val="single" w:sz="4" w:space="0" w:color="000000"/>
            </w:tcBorders>
            <w:hideMark/>
          </w:tcPr>
          <w:p w14:paraId="670F6AAE" w14:textId="77777777" w:rsidR="00C843AF" w:rsidRPr="00C843AF" w:rsidRDefault="00C843AF" w:rsidP="00C843AF">
            <w:pPr>
              <w:ind w:left="153"/>
              <w:rPr>
                <w:sz w:val="22"/>
                <w:szCs w:val="22"/>
              </w:rPr>
            </w:pPr>
            <w:r w:rsidRPr="00C843AF">
              <w:rPr>
                <w:sz w:val="22"/>
                <w:szCs w:val="22"/>
              </w:rPr>
              <w:t>hypothyroidisme*</w:t>
            </w:r>
          </w:p>
        </w:tc>
      </w:tr>
      <w:tr w:rsidR="00C843AF" w:rsidRPr="00C843AF" w14:paraId="30B455DB" w14:textId="77777777" w:rsidTr="00C843AF">
        <w:trPr>
          <w:trHeight w:val="251"/>
        </w:trPr>
        <w:tc>
          <w:tcPr>
            <w:tcW w:w="9607" w:type="dxa"/>
            <w:gridSpan w:val="2"/>
            <w:tcBorders>
              <w:top w:val="single" w:sz="4" w:space="0" w:color="000000"/>
              <w:left w:val="single" w:sz="4" w:space="0" w:color="000000"/>
              <w:bottom w:val="single" w:sz="4" w:space="0" w:color="000000"/>
              <w:right w:val="single" w:sz="4" w:space="0" w:color="000000"/>
            </w:tcBorders>
            <w:hideMark/>
          </w:tcPr>
          <w:p w14:paraId="2488D732" w14:textId="77777777" w:rsidR="00C843AF" w:rsidRPr="00C843AF" w:rsidRDefault="00C843AF" w:rsidP="00C843AF">
            <w:pPr>
              <w:ind w:left="153"/>
              <w:rPr>
                <w:b/>
                <w:bCs/>
                <w:sz w:val="22"/>
                <w:szCs w:val="22"/>
              </w:rPr>
            </w:pPr>
            <w:r w:rsidRPr="00C843AF">
              <w:rPr>
                <w:b/>
                <w:bCs/>
                <w:sz w:val="22"/>
                <w:szCs w:val="22"/>
              </w:rPr>
              <w:t>Metabolisme og ernæring</w:t>
            </w:r>
          </w:p>
        </w:tc>
      </w:tr>
      <w:tr w:rsidR="00C843AF" w:rsidRPr="00C843AF" w14:paraId="166963BF" w14:textId="77777777" w:rsidTr="00C843AF">
        <w:trPr>
          <w:trHeight w:val="254"/>
        </w:trPr>
        <w:tc>
          <w:tcPr>
            <w:tcW w:w="3228" w:type="dxa"/>
            <w:tcBorders>
              <w:top w:val="single" w:sz="4" w:space="0" w:color="000000"/>
              <w:left w:val="single" w:sz="4" w:space="0" w:color="000000"/>
              <w:bottom w:val="single" w:sz="4" w:space="0" w:color="000000"/>
              <w:right w:val="single" w:sz="4" w:space="0" w:color="000000"/>
            </w:tcBorders>
            <w:hideMark/>
          </w:tcPr>
          <w:p w14:paraId="114E9159" w14:textId="77777777" w:rsidR="00C843AF" w:rsidRPr="00C843AF" w:rsidRDefault="00C843AF" w:rsidP="00C843AF">
            <w:pPr>
              <w:ind w:left="153"/>
              <w:rPr>
                <w:sz w:val="22"/>
                <w:szCs w:val="22"/>
              </w:rPr>
            </w:pPr>
            <w:r w:rsidRPr="00C843AF">
              <w:rPr>
                <w:sz w:val="22"/>
                <w:szCs w:val="22"/>
              </w:rPr>
              <w:t>Meget almindelig</w:t>
            </w:r>
          </w:p>
        </w:tc>
        <w:tc>
          <w:tcPr>
            <w:tcW w:w="6379" w:type="dxa"/>
            <w:tcBorders>
              <w:top w:val="single" w:sz="4" w:space="0" w:color="000000"/>
              <w:left w:val="single" w:sz="4" w:space="0" w:color="000000"/>
              <w:bottom w:val="single" w:sz="4" w:space="0" w:color="000000"/>
              <w:right w:val="single" w:sz="4" w:space="0" w:color="000000"/>
            </w:tcBorders>
            <w:hideMark/>
          </w:tcPr>
          <w:p w14:paraId="0E2AAE32" w14:textId="77777777" w:rsidR="00C843AF" w:rsidRPr="00C843AF" w:rsidRDefault="00C843AF" w:rsidP="00C843AF">
            <w:pPr>
              <w:ind w:left="153"/>
              <w:rPr>
                <w:sz w:val="22"/>
                <w:szCs w:val="22"/>
              </w:rPr>
            </w:pPr>
            <w:r w:rsidRPr="00C843AF">
              <w:rPr>
                <w:sz w:val="22"/>
                <w:szCs w:val="22"/>
              </w:rPr>
              <w:t>nedsat appetit, hypomagnesiæmi, hypokaliæmi, hypoalbuminæmi</w:t>
            </w:r>
          </w:p>
        </w:tc>
      </w:tr>
      <w:tr w:rsidR="00C843AF" w:rsidRPr="00C843AF" w14:paraId="0FE01743" w14:textId="77777777" w:rsidTr="00C843AF">
        <w:trPr>
          <w:trHeight w:val="505"/>
        </w:trPr>
        <w:tc>
          <w:tcPr>
            <w:tcW w:w="3228" w:type="dxa"/>
            <w:tcBorders>
              <w:top w:val="single" w:sz="4" w:space="0" w:color="000000"/>
              <w:left w:val="single" w:sz="4" w:space="0" w:color="000000"/>
              <w:bottom w:val="single" w:sz="4" w:space="0" w:color="000000"/>
              <w:right w:val="single" w:sz="4" w:space="0" w:color="000000"/>
            </w:tcBorders>
            <w:hideMark/>
          </w:tcPr>
          <w:p w14:paraId="642456F9" w14:textId="77777777" w:rsidR="00C843AF" w:rsidRPr="00C843AF" w:rsidRDefault="00C843AF" w:rsidP="00C843AF">
            <w:pPr>
              <w:ind w:left="153"/>
              <w:rPr>
                <w:sz w:val="22"/>
                <w:szCs w:val="22"/>
              </w:rPr>
            </w:pPr>
            <w:r w:rsidRPr="00C843AF">
              <w:rPr>
                <w:sz w:val="22"/>
                <w:szCs w:val="22"/>
              </w:rPr>
              <w:t>Almindelig</w:t>
            </w:r>
          </w:p>
        </w:tc>
        <w:tc>
          <w:tcPr>
            <w:tcW w:w="6379" w:type="dxa"/>
            <w:tcBorders>
              <w:top w:val="single" w:sz="4" w:space="0" w:color="000000"/>
              <w:left w:val="single" w:sz="4" w:space="0" w:color="000000"/>
              <w:bottom w:val="single" w:sz="4" w:space="0" w:color="000000"/>
              <w:right w:val="single" w:sz="4" w:space="0" w:color="000000"/>
            </w:tcBorders>
            <w:hideMark/>
          </w:tcPr>
          <w:p w14:paraId="61297E53" w14:textId="77777777" w:rsidR="00C843AF" w:rsidRPr="00C843AF" w:rsidRDefault="00C843AF" w:rsidP="00C843AF">
            <w:pPr>
              <w:ind w:left="153"/>
              <w:rPr>
                <w:sz w:val="22"/>
                <w:szCs w:val="22"/>
              </w:rPr>
            </w:pPr>
            <w:r w:rsidRPr="00C843AF">
              <w:rPr>
                <w:sz w:val="22"/>
                <w:szCs w:val="22"/>
              </w:rPr>
              <w:t>dehydrering, hypofosfatæmi, hyponatriæmi, hypocalcæmi, hyperkaliæmi, hyperbilirubinæmi, hyperglykæmi, hypoglykæmi</w:t>
            </w:r>
          </w:p>
        </w:tc>
      </w:tr>
      <w:tr w:rsidR="00C843AF" w:rsidRPr="00C843AF" w14:paraId="65BFC0B2" w14:textId="77777777" w:rsidTr="00C843AF">
        <w:trPr>
          <w:trHeight w:val="251"/>
        </w:trPr>
        <w:tc>
          <w:tcPr>
            <w:tcW w:w="9607" w:type="dxa"/>
            <w:gridSpan w:val="2"/>
            <w:tcBorders>
              <w:top w:val="single" w:sz="4" w:space="0" w:color="000000"/>
              <w:left w:val="single" w:sz="4" w:space="0" w:color="000000"/>
              <w:bottom w:val="single" w:sz="4" w:space="0" w:color="000000"/>
              <w:right w:val="single" w:sz="4" w:space="0" w:color="000000"/>
            </w:tcBorders>
            <w:hideMark/>
          </w:tcPr>
          <w:p w14:paraId="22E92867" w14:textId="77777777" w:rsidR="00C843AF" w:rsidRPr="00C843AF" w:rsidRDefault="00C843AF" w:rsidP="00C843AF">
            <w:pPr>
              <w:ind w:left="153"/>
              <w:rPr>
                <w:b/>
                <w:bCs/>
                <w:sz w:val="22"/>
                <w:szCs w:val="22"/>
              </w:rPr>
            </w:pPr>
            <w:r w:rsidRPr="00C843AF">
              <w:rPr>
                <w:b/>
                <w:bCs/>
                <w:sz w:val="22"/>
                <w:szCs w:val="22"/>
              </w:rPr>
              <w:t>Nervesystemet</w:t>
            </w:r>
          </w:p>
        </w:tc>
      </w:tr>
      <w:tr w:rsidR="00C843AF" w:rsidRPr="00C843AF" w14:paraId="66ECA513" w14:textId="77777777" w:rsidTr="00C843AF">
        <w:trPr>
          <w:trHeight w:val="253"/>
        </w:trPr>
        <w:tc>
          <w:tcPr>
            <w:tcW w:w="3228" w:type="dxa"/>
            <w:tcBorders>
              <w:top w:val="single" w:sz="4" w:space="0" w:color="000000"/>
              <w:left w:val="single" w:sz="4" w:space="0" w:color="000000"/>
              <w:bottom w:val="single" w:sz="4" w:space="0" w:color="000000"/>
              <w:right w:val="single" w:sz="4" w:space="0" w:color="000000"/>
            </w:tcBorders>
            <w:hideMark/>
          </w:tcPr>
          <w:p w14:paraId="08505F3C" w14:textId="77777777" w:rsidR="00C843AF" w:rsidRPr="00C843AF" w:rsidRDefault="00C843AF" w:rsidP="00C843AF">
            <w:pPr>
              <w:ind w:left="153"/>
              <w:rPr>
                <w:sz w:val="22"/>
                <w:szCs w:val="22"/>
              </w:rPr>
            </w:pPr>
            <w:r w:rsidRPr="00C843AF">
              <w:rPr>
                <w:sz w:val="22"/>
                <w:szCs w:val="22"/>
              </w:rPr>
              <w:t>Meget almindelig</w:t>
            </w:r>
          </w:p>
        </w:tc>
        <w:tc>
          <w:tcPr>
            <w:tcW w:w="6379" w:type="dxa"/>
            <w:tcBorders>
              <w:top w:val="single" w:sz="4" w:space="0" w:color="000000"/>
              <w:left w:val="single" w:sz="4" w:space="0" w:color="000000"/>
              <w:bottom w:val="single" w:sz="4" w:space="0" w:color="000000"/>
              <w:right w:val="single" w:sz="4" w:space="0" w:color="000000"/>
            </w:tcBorders>
            <w:hideMark/>
          </w:tcPr>
          <w:p w14:paraId="0E6229DC" w14:textId="77777777" w:rsidR="00C843AF" w:rsidRPr="00C843AF" w:rsidRDefault="00C843AF" w:rsidP="00C843AF">
            <w:pPr>
              <w:ind w:left="153"/>
              <w:rPr>
                <w:sz w:val="22"/>
                <w:szCs w:val="22"/>
              </w:rPr>
            </w:pPr>
            <w:r w:rsidRPr="00C843AF">
              <w:rPr>
                <w:sz w:val="22"/>
                <w:szCs w:val="22"/>
              </w:rPr>
              <w:t>dysgeusi, hovedpine, svimmelhed</w:t>
            </w:r>
          </w:p>
        </w:tc>
      </w:tr>
      <w:tr w:rsidR="00C843AF" w:rsidRPr="00C843AF" w14:paraId="03F4358F" w14:textId="77777777" w:rsidTr="00C843AF">
        <w:trPr>
          <w:trHeight w:val="254"/>
        </w:trPr>
        <w:tc>
          <w:tcPr>
            <w:tcW w:w="3228" w:type="dxa"/>
            <w:tcBorders>
              <w:top w:val="single" w:sz="4" w:space="0" w:color="000000"/>
              <w:left w:val="single" w:sz="4" w:space="0" w:color="000000"/>
              <w:bottom w:val="single" w:sz="4" w:space="0" w:color="000000"/>
              <w:right w:val="single" w:sz="4" w:space="0" w:color="000000"/>
            </w:tcBorders>
            <w:hideMark/>
          </w:tcPr>
          <w:p w14:paraId="1F85C709" w14:textId="77777777" w:rsidR="00C843AF" w:rsidRPr="00C843AF" w:rsidRDefault="00C843AF" w:rsidP="00C843AF">
            <w:pPr>
              <w:ind w:left="153"/>
              <w:rPr>
                <w:sz w:val="22"/>
                <w:szCs w:val="22"/>
              </w:rPr>
            </w:pPr>
            <w:r w:rsidRPr="00C843AF">
              <w:rPr>
                <w:sz w:val="22"/>
                <w:szCs w:val="22"/>
              </w:rPr>
              <w:t>Almindelig</w:t>
            </w:r>
          </w:p>
        </w:tc>
        <w:tc>
          <w:tcPr>
            <w:tcW w:w="6379" w:type="dxa"/>
            <w:tcBorders>
              <w:top w:val="single" w:sz="4" w:space="0" w:color="000000"/>
              <w:left w:val="single" w:sz="4" w:space="0" w:color="000000"/>
              <w:bottom w:val="single" w:sz="4" w:space="0" w:color="000000"/>
              <w:right w:val="single" w:sz="4" w:space="0" w:color="000000"/>
            </w:tcBorders>
            <w:hideMark/>
          </w:tcPr>
          <w:p w14:paraId="6A3164C8" w14:textId="77777777" w:rsidR="00C843AF" w:rsidRPr="00C843AF" w:rsidRDefault="00C843AF" w:rsidP="00C843AF">
            <w:pPr>
              <w:ind w:left="153"/>
              <w:rPr>
                <w:sz w:val="22"/>
                <w:szCs w:val="22"/>
              </w:rPr>
            </w:pPr>
            <w:r w:rsidRPr="00C843AF">
              <w:rPr>
                <w:sz w:val="22"/>
                <w:szCs w:val="22"/>
              </w:rPr>
              <w:t>perifer neuropati</w:t>
            </w:r>
            <w:r w:rsidRPr="00C843AF">
              <w:rPr>
                <w:sz w:val="22"/>
                <w:szCs w:val="22"/>
                <w:vertAlign w:val="superscript"/>
              </w:rPr>
              <w:t>a</w:t>
            </w:r>
          </w:p>
        </w:tc>
      </w:tr>
      <w:tr w:rsidR="00C843AF" w:rsidRPr="00C843AF" w14:paraId="6D9D2CD6" w14:textId="77777777" w:rsidTr="00C843AF">
        <w:trPr>
          <w:trHeight w:val="506"/>
        </w:trPr>
        <w:tc>
          <w:tcPr>
            <w:tcW w:w="3228" w:type="dxa"/>
            <w:tcBorders>
              <w:top w:val="single" w:sz="4" w:space="0" w:color="000000"/>
              <w:left w:val="single" w:sz="4" w:space="0" w:color="000000"/>
              <w:bottom w:val="single" w:sz="4" w:space="0" w:color="000000"/>
              <w:right w:val="single" w:sz="4" w:space="0" w:color="000000"/>
            </w:tcBorders>
            <w:hideMark/>
          </w:tcPr>
          <w:p w14:paraId="4AB76DD0" w14:textId="77777777" w:rsidR="00C843AF" w:rsidRPr="00C843AF" w:rsidRDefault="00C843AF" w:rsidP="00C843AF">
            <w:pPr>
              <w:ind w:left="153"/>
              <w:rPr>
                <w:sz w:val="22"/>
                <w:szCs w:val="22"/>
              </w:rPr>
            </w:pPr>
            <w:r w:rsidRPr="00C843AF">
              <w:rPr>
                <w:sz w:val="22"/>
                <w:szCs w:val="22"/>
              </w:rPr>
              <w:t>Ikke almindelig</w:t>
            </w:r>
          </w:p>
        </w:tc>
        <w:tc>
          <w:tcPr>
            <w:tcW w:w="6379" w:type="dxa"/>
            <w:tcBorders>
              <w:top w:val="single" w:sz="4" w:space="0" w:color="000000"/>
              <w:left w:val="single" w:sz="4" w:space="0" w:color="000000"/>
              <w:bottom w:val="single" w:sz="4" w:space="0" w:color="000000"/>
              <w:right w:val="single" w:sz="4" w:space="0" w:color="000000"/>
            </w:tcBorders>
            <w:hideMark/>
          </w:tcPr>
          <w:p w14:paraId="79FCAD9C" w14:textId="77777777" w:rsidR="00C843AF" w:rsidRPr="00C843AF" w:rsidRDefault="00C843AF" w:rsidP="00C843AF">
            <w:pPr>
              <w:ind w:left="153"/>
              <w:rPr>
                <w:sz w:val="22"/>
                <w:szCs w:val="22"/>
              </w:rPr>
            </w:pPr>
            <w:r w:rsidRPr="00C843AF">
              <w:rPr>
                <w:sz w:val="22"/>
                <w:szCs w:val="22"/>
              </w:rPr>
              <w:t>kramper, cerebrovaskulær hændelse, posterior reversibelt encefalopati-syndrom</w:t>
            </w:r>
          </w:p>
        </w:tc>
      </w:tr>
      <w:tr w:rsidR="00C843AF" w:rsidRPr="00C843AF" w14:paraId="144844B9" w14:textId="77777777" w:rsidTr="00C843AF">
        <w:trPr>
          <w:trHeight w:val="252"/>
        </w:trPr>
        <w:tc>
          <w:tcPr>
            <w:tcW w:w="9607" w:type="dxa"/>
            <w:gridSpan w:val="2"/>
            <w:tcBorders>
              <w:top w:val="single" w:sz="4" w:space="0" w:color="000000"/>
              <w:left w:val="single" w:sz="4" w:space="0" w:color="000000"/>
              <w:bottom w:val="single" w:sz="4" w:space="0" w:color="000000"/>
              <w:right w:val="single" w:sz="4" w:space="0" w:color="000000"/>
            </w:tcBorders>
            <w:hideMark/>
          </w:tcPr>
          <w:p w14:paraId="41CDEEA0" w14:textId="77777777" w:rsidR="00C843AF" w:rsidRPr="00C843AF" w:rsidRDefault="00C843AF" w:rsidP="00C843AF">
            <w:pPr>
              <w:ind w:left="153"/>
              <w:rPr>
                <w:b/>
                <w:bCs/>
                <w:sz w:val="22"/>
                <w:szCs w:val="22"/>
              </w:rPr>
            </w:pPr>
            <w:r w:rsidRPr="00C843AF">
              <w:rPr>
                <w:b/>
                <w:bCs/>
                <w:sz w:val="22"/>
                <w:szCs w:val="22"/>
              </w:rPr>
              <w:t>Øre og labyrint</w:t>
            </w:r>
          </w:p>
        </w:tc>
      </w:tr>
      <w:tr w:rsidR="00C843AF" w:rsidRPr="00C843AF" w14:paraId="5916B73B" w14:textId="77777777" w:rsidTr="00C843AF">
        <w:trPr>
          <w:trHeight w:val="251"/>
        </w:trPr>
        <w:tc>
          <w:tcPr>
            <w:tcW w:w="3228" w:type="dxa"/>
            <w:tcBorders>
              <w:top w:val="single" w:sz="4" w:space="0" w:color="000000"/>
              <w:left w:val="single" w:sz="4" w:space="0" w:color="000000"/>
              <w:bottom w:val="single" w:sz="4" w:space="0" w:color="000000"/>
              <w:right w:val="single" w:sz="4" w:space="0" w:color="000000"/>
            </w:tcBorders>
            <w:hideMark/>
          </w:tcPr>
          <w:p w14:paraId="33812375" w14:textId="77777777" w:rsidR="00C843AF" w:rsidRPr="00C843AF" w:rsidRDefault="00C843AF" w:rsidP="00C843AF">
            <w:pPr>
              <w:ind w:left="153"/>
              <w:rPr>
                <w:sz w:val="22"/>
                <w:szCs w:val="22"/>
              </w:rPr>
            </w:pPr>
            <w:r w:rsidRPr="00C843AF">
              <w:rPr>
                <w:sz w:val="22"/>
                <w:szCs w:val="22"/>
              </w:rPr>
              <w:t>Almindelig</w:t>
            </w:r>
          </w:p>
        </w:tc>
        <w:tc>
          <w:tcPr>
            <w:tcW w:w="6379" w:type="dxa"/>
            <w:tcBorders>
              <w:top w:val="single" w:sz="4" w:space="0" w:color="000000"/>
              <w:left w:val="single" w:sz="4" w:space="0" w:color="000000"/>
              <w:bottom w:val="single" w:sz="4" w:space="0" w:color="000000"/>
              <w:right w:val="single" w:sz="4" w:space="0" w:color="000000"/>
            </w:tcBorders>
            <w:hideMark/>
          </w:tcPr>
          <w:p w14:paraId="7C3A0675" w14:textId="77777777" w:rsidR="00C843AF" w:rsidRPr="00C843AF" w:rsidRDefault="00C843AF" w:rsidP="00C843AF">
            <w:pPr>
              <w:ind w:left="153"/>
              <w:rPr>
                <w:sz w:val="22"/>
                <w:szCs w:val="22"/>
              </w:rPr>
            </w:pPr>
            <w:r w:rsidRPr="00C843AF">
              <w:rPr>
                <w:sz w:val="22"/>
                <w:szCs w:val="22"/>
              </w:rPr>
              <w:t>tinnitus</w:t>
            </w:r>
          </w:p>
        </w:tc>
      </w:tr>
      <w:tr w:rsidR="00C843AF" w:rsidRPr="00C843AF" w14:paraId="6B8B46F6" w14:textId="77777777" w:rsidTr="00C843AF">
        <w:trPr>
          <w:trHeight w:val="254"/>
        </w:trPr>
        <w:tc>
          <w:tcPr>
            <w:tcW w:w="9607" w:type="dxa"/>
            <w:gridSpan w:val="2"/>
            <w:tcBorders>
              <w:top w:val="single" w:sz="4" w:space="0" w:color="000000"/>
              <w:left w:val="single" w:sz="4" w:space="0" w:color="000000"/>
              <w:bottom w:val="single" w:sz="4" w:space="0" w:color="000000"/>
              <w:right w:val="single" w:sz="4" w:space="0" w:color="000000"/>
            </w:tcBorders>
            <w:hideMark/>
          </w:tcPr>
          <w:p w14:paraId="57802EAB" w14:textId="77777777" w:rsidR="00C843AF" w:rsidRPr="00C843AF" w:rsidRDefault="00C843AF" w:rsidP="00C843AF">
            <w:pPr>
              <w:ind w:left="153"/>
              <w:rPr>
                <w:b/>
                <w:bCs/>
                <w:sz w:val="22"/>
                <w:szCs w:val="22"/>
              </w:rPr>
            </w:pPr>
            <w:r w:rsidRPr="00C843AF">
              <w:rPr>
                <w:b/>
                <w:bCs/>
                <w:sz w:val="22"/>
                <w:szCs w:val="22"/>
              </w:rPr>
              <w:t>Hjerte</w:t>
            </w:r>
          </w:p>
        </w:tc>
      </w:tr>
      <w:tr w:rsidR="00C843AF" w:rsidRPr="00C843AF" w14:paraId="31A66987" w14:textId="77777777" w:rsidTr="00C843AF">
        <w:trPr>
          <w:trHeight w:val="253"/>
        </w:trPr>
        <w:tc>
          <w:tcPr>
            <w:tcW w:w="3228" w:type="dxa"/>
            <w:tcBorders>
              <w:top w:val="single" w:sz="4" w:space="0" w:color="000000"/>
              <w:left w:val="single" w:sz="4" w:space="0" w:color="000000"/>
              <w:bottom w:val="single" w:sz="4" w:space="0" w:color="000000"/>
              <w:right w:val="single" w:sz="4" w:space="0" w:color="000000"/>
            </w:tcBorders>
            <w:hideMark/>
          </w:tcPr>
          <w:p w14:paraId="592E3A56" w14:textId="77777777" w:rsidR="00C843AF" w:rsidRPr="00C843AF" w:rsidRDefault="00C843AF" w:rsidP="00C843AF">
            <w:pPr>
              <w:ind w:left="153"/>
              <w:rPr>
                <w:sz w:val="22"/>
                <w:szCs w:val="22"/>
              </w:rPr>
            </w:pPr>
            <w:r w:rsidRPr="00C843AF">
              <w:rPr>
                <w:sz w:val="22"/>
                <w:szCs w:val="22"/>
              </w:rPr>
              <w:t>Ikke almindelig</w:t>
            </w:r>
          </w:p>
        </w:tc>
        <w:tc>
          <w:tcPr>
            <w:tcW w:w="6379" w:type="dxa"/>
            <w:tcBorders>
              <w:top w:val="single" w:sz="4" w:space="0" w:color="000000"/>
              <w:left w:val="single" w:sz="4" w:space="0" w:color="000000"/>
              <w:bottom w:val="single" w:sz="4" w:space="0" w:color="000000"/>
              <w:right w:val="single" w:sz="4" w:space="0" w:color="000000"/>
            </w:tcBorders>
            <w:hideMark/>
          </w:tcPr>
          <w:p w14:paraId="5D80CF88" w14:textId="77777777" w:rsidR="00C843AF" w:rsidRPr="00C843AF" w:rsidRDefault="00C843AF" w:rsidP="00C843AF">
            <w:pPr>
              <w:ind w:left="153"/>
              <w:rPr>
                <w:sz w:val="22"/>
                <w:szCs w:val="22"/>
              </w:rPr>
            </w:pPr>
            <w:r w:rsidRPr="00C843AF">
              <w:rPr>
                <w:sz w:val="22"/>
                <w:szCs w:val="22"/>
              </w:rPr>
              <w:t>akut myokardieinfarkt</w:t>
            </w:r>
          </w:p>
        </w:tc>
      </w:tr>
      <w:tr w:rsidR="00C843AF" w:rsidRPr="00C843AF" w14:paraId="0992903B" w14:textId="77777777" w:rsidTr="00C843AF">
        <w:trPr>
          <w:trHeight w:val="251"/>
        </w:trPr>
        <w:tc>
          <w:tcPr>
            <w:tcW w:w="9607" w:type="dxa"/>
            <w:gridSpan w:val="2"/>
            <w:tcBorders>
              <w:top w:val="single" w:sz="4" w:space="0" w:color="000000"/>
              <w:left w:val="single" w:sz="4" w:space="0" w:color="000000"/>
              <w:bottom w:val="single" w:sz="4" w:space="0" w:color="000000"/>
              <w:right w:val="single" w:sz="4" w:space="0" w:color="000000"/>
            </w:tcBorders>
            <w:hideMark/>
          </w:tcPr>
          <w:p w14:paraId="582B20B4" w14:textId="77777777" w:rsidR="00C843AF" w:rsidRPr="00C843AF" w:rsidRDefault="00C843AF" w:rsidP="00C843AF">
            <w:pPr>
              <w:ind w:left="153"/>
              <w:rPr>
                <w:b/>
                <w:bCs/>
                <w:sz w:val="22"/>
                <w:szCs w:val="22"/>
              </w:rPr>
            </w:pPr>
            <w:r w:rsidRPr="00C843AF">
              <w:rPr>
                <w:b/>
                <w:bCs/>
                <w:sz w:val="22"/>
                <w:szCs w:val="22"/>
              </w:rPr>
              <w:t>Vaskulære sygdomme</w:t>
            </w:r>
          </w:p>
        </w:tc>
      </w:tr>
      <w:tr w:rsidR="00C843AF" w:rsidRPr="00C843AF" w14:paraId="2A0DD23A" w14:textId="77777777" w:rsidTr="00C843AF">
        <w:trPr>
          <w:trHeight w:val="253"/>
        </w:trPr>
        <w:tc>
          <w:tcPr>
            <w:tcW w:w="3228" w:type="dxa"/>
            <w:tcBorders>
              <w:top w:val="single" w:sz="4" w:space="0" w:color="000000"/>
              <w:left w:val="single" w:sz="4" w:space="0" w:color="000000"/>
              <w:bottom w:val="single" w:sz="4" w:space="0" w:color="000000"/>
              <w:right w:val="single" w:sz="4" w:space="0" w:color="000000"/>
            </w:tcBorders>
            <w:hideMark/>
          </w:tcPr>
          <w:p w14:paraId="56B3DE0E" w14:textId="77777777" w:rsidR="00C843AF" w:rsidRPr="00C843AF" w:rsidRDefault="00C843AF" w:rsidP="00C843AF">
            <w:pPr>
              <w:ind w:left="153"/>
              <w:rPr>
                <w:sz w:val="22"/>
                <w:szCs w:val="22"/>
              </w:rPr>
            </w:pPr>
            <w:r w:rsidRPr="00C843AF">
              <w:rPr>
                <w:sz w:val="22"/>
                <w:szCs w:val="22"/>
              </w:rPr>
              <w:lastRenderedPageBreak/>
              <w:t>Meget almindelig</w:t>
            </w:r>
          </w:p>
        </w:tc>
        <w:tc>
          <w:tcPr>
            <w:tcW w:w="6379" w:type="dxa"/>
            <w:tcBorders>
              <w:top w:val="single" w:sz="4" w:space="0" w:color="000000"/>
              <w:left w:val="single" w:sz="4" w:space="0" w:color="000000"/>
              <w:bottom w:val="single" w:sz="4" w:space="0" w:color="000000"/>
              <w:right w:val="single" w:sz="4" w:space="0" w:color="000000"/>
            </w:tcBorders>
            <w:hideMark/>
          </w:tcPr>
          <w:p w14:paraId="4D5AA8E2" w14:textId="77777777" w:rsidR="00C843AF" w:rsidRPr="00C843AF" w:rsidRDefault="00C843AF" w:rsidP="00C843AF">
            <w:pPr>
              <w:ind w:left="153"/>
              <w:rPr>
                <w:sz w:val="22"/>
                <w:szCs w:val="22"/>
              </w:rPr>
            </w:pPr>
            <w:r w:rsidRPr="00C843AF">
              <w:rPr>
                <w:sz w:val="22"/>
                <w:szCs w:val="22"/>
              </w:rPr>
              <w:t>hypertension, blødning</w:t>
            </w:r>
            <w:r w:rsidRPr="00C843AF">
              <w:rPr>
                <w:sz w:val="22"/>
                <w:szCs w:val="22"/>
                <w:vertAlign w:val="superscript"/>
              </w:rPr>
              <w:t>b</w:t>
            </w:r>
            <w:r w:rsidRPr="00C843AF">
              <w:rPr>
                <w:sz w:val="22"/>
                <w:szCs w:val="22"/>
              </w:rPr>
              <w:t>*</w:t>
            </w:r>
          </w:p>
        </w:tc>
      </w:tr>
      <w:tr w:rsidR="00C843AF" w:rsidRPr="00C843AF" w14:paraId="0AC5B4DC" w14:textId="77777777" w:rsidTr="00C843AF">
        <w:trPr>
          <w:trHeight w:val="251"/>
        </w:trPr>
        <w:tc>
          <w:tcPr>
            <w:tcW w:w="3228" w:type="dxa"/>
            <w:tcBorders>
              <w:top w:val="single" w:sz="4" w:space="0" w:color="000000"/>
              <w:left w:val="single" w:sz="4" w:space="0" w:color="000000"/>
              <w:bottom w:val="single" w:sz="4" w:space="0" w:color="000000"/>
              <w:right w:val="single" w:sz="4" w:space="0" w:color="000000"/>
            </w:tcBorders>
            <w:hideMark/>
          </w:tcPr>
          <w:p w14:paraId="6F46B2AA" w14:textId="77777777" w:rsidR="00C843AF" w:rsidRPr="00C843AF" w:rsidRDefault="00C843AF" w:rsidP="00C843AF">
            <w:pPr>
              <w:ind w:left="153"/>
              <w:rPr>
                <w:sz w:val="22"/>
                <w:szCs w:val="22"/>
              </w:rPr>
            </w:pPr>
            <w:r w:rsidRPr="00C843AF">
              <w:rPr>
                <w:sz w:val="22"/>
                <w:szCs w:val="22"/>
              </w:rPr>
              <w:t>Almindelig</w:t>
            </w:r>
          </w:p>
        </w:tc>
        <w:tc>
          <w:tcPr>
            <w:tcW w:w="6379" w:type="dxa"/>
            <w:tcBorders>
              <w:top w:val="single" w:sz="4" w:space="0" w:color="000000"/>
              <w:left w:val="single" w:sz="4" w:space="0" w:color="000000"/>
              <w:bottom w:val="single" w:sz="4" w:space="0" w:color="000000"/>
              <w:right w:val="single" w:sz="4" w:space="0" w:color="000000"/>
            </w:tcBorders>
            <w:hideMark/>
          </w:tcPr>
          <w:p w14:paraId="06411B6C" w14:textId="77777777" w:rsidR="00C843AF" w:rsidRPr="00C843AF" w:rsidRDefault="00C843AF" w:rsidP="00C843AF">
            <w:pPr>
              <w:ind w:left="153"/>
              <w:rPr>
                <w:sz w:val="22"/>
                <w:szCs w:val="22"/>
              </w:rPr>
            </w:pPr>
            <w:r w:rsidRPr="00C843AF">
              <w:rPr>
                <w:sz w:val="22"/>
                <w:szCs w:val="22"/>
              </w:rPr>
              <w:t>venetrombose</w:t>
            </w:r>
            <w:r w:rsidRPr="00C843AF">
              <w:rPr>
                <w:sz w:val="22"/>
                <w:szCs w:val="22"/>
                <w:vertAlign w:val="superscript"/>
              </w:rPr>
              <w:t>c</w:t>
            </w:r>
          </w:p>
        </w:tc>
      </w:tr>
      <w:tr w:rsidR="00C843AF" w:rsidRPr="00C843AF" w14:paraId="0A670CAD" w14:textId="77777777" w:rsidTr="00C843AF">
        <w:trPr>
          <w:trHeight w:val="253"/>
        </w:trPr>
        <w:tc>
          <w:tcPr>
            <w:tcW w:w="3228" w:type="dxa"/>
            <w:tcBorders>
              <w:top w:val="single" w:sz="4" w:space="0" w:color="000000"/>
              <w:left w:val="single" w:sz="4" w:space="0" w:color="000000"/>
              <w:bottom w:val="single" w:sz="4" w:space="0" w:color="000000"/>
              <w:right w:val="single" w:sz="4" w:space="0" w:color="000000"/>
            </w:tcBorders>
            <w:hideMark/>
          </w:tcPr>
          <w:p w14:paraId="5DB81F5B" w14:textId="77777777" w:rsidR="00C843AF" w:rsidRPr="00C843AF" w:rsidRDefault="00C843AF" w:rsidP="00C843AF">
            <w:pPr>
              <w:ind w:left="153"/>
              <w:rPr>
                <w:sz w:val="22"/>
                <w:szCs w:val="22"/>
              </w:rPr>
            </w:pPr>
            <w:r w:rsidRPr="00C843AF">
              <w:rPr>
                <w:sz w:val="22"/>
                <w:szCs w:val="22"/>
              </w:rPr>
              <w:t>Ikke almindelig</w:t>
            </w:r>
          </w:p>
        </w:tc>
        <w:tc>
          <w:tcPr>
            <w:tcW w:w="6379" w:type="dxa"/>
            <w:tcBorders>
              <w:top w:val="single" w:sz="4" w:space="0" w:color="000000"/>
              <w:left w:val="single" w:sz="4" w:space="0" w:color="000000"/>
              <w:bottom w:val="single" w:sz="4" w:space="0" w:color="000000"/>
              <w:right w:val="single" w:sz="4" w:space="0" w:color="000000"/>
            </w:tcBorders>
            <w:hideMark/>
          </w:tcPr>
          <w:p w14:paraId="7B97D22D" w14:textId="77777777" w:rsidR="00C843AF" w:rsidRPr="00C843AF" w:rsidRDefault="00C843AF" w:rsidP="00C843AF">
            <w:pPr>
              <w:ind w:left="153"/>
              <w:rPr>
                <w:sz w:val="22"/>
                <w:szCs w:val="22"/>
              </w:rPr>
            </w:pPr>
            <w:r w:rsidRPr="00C843AF">
              <w:rPr>
                <w:sz w:val="22"/>
                <w:szCs w:val="22"/>
              </w:rPr>
              <w:t>hypertensiv krise, arteriel trombose, arteriel emboli</w:t>
            </w:r>
          </w:p>
        </w:tc>
      </w:tr>
      <w:tr w:rsidR="00C843AF" w:rsidRPr="00C843AF" w14:paraId="43079D4A" w14:textId="77777777" w:rsidTr="00C843AF">
        <w:trPr>
          <w:trHeight w:val="251"/>
        </w:trPr>
        <w:tc>
          <w:tcPr>
            <w:tcW w:w="3228" w:type="dxa"/>
            <w:tcBorders>
              <w:top w:val="single" w:sz="4" w:space="0" w:color="000000"/>
              <w:left w:val="single" w:sz="4" w:space="0" w:color="000000"/>
              <w:bottom w:val="single" w:sz="4" w:space="0" w:color="000000"/>
              <w:right w:val="single" w:sz="4" w:space="0" w:color="000000"/>
            </w:tcBorders>
            <w:hideMark/>
          </w:tcPr>
          <w:p w14:paraId="2E5DF3EF" w14:textId="77777777" w:rsidR="00C843AF" w:rsidRPr="00C843AF" w:rsidRDefault="00C843AF" w:rsidP="00C843AF">
            <w:pPr>
              <w:ind w:left="153"/>
              <w:rPr>
                <w:sz w:val="22"/>
                <w:szCs w:val="22"/>
              </w:rPr>
            </w:pPr>
            <w:r w:rsidRPr="00C843AF">
              <w:rPr>
                <w:sz w:val="22"/>
                <w:szCs w:val="22"/>
              </w:rPr>
              <w:t>Ikke kendt</w:t>
            </w:r>
          </w:p>
        </w:tc>
        <w:tc>
          <w:tcPr>
            <w:tcW w:w="6379" w:type="dxa"/>
            <w:tcBorders>
              <w:top w:val="single" w:sz="4" w:space="0" w:color="000000"/>
              <w:left w:val="single" w:sz="4" w:space="0" w:color="000000"/>
              <w:bottom w:val="single" w:sz="4" w:space="0" w:color="000000"/>
              <w:right w:val="single" w:sz="4" w:space="0" w:color="000000"/>
            </w:tcBorders>
            <w:hideMark/>
          </w:tcPr>
          <w:p w14:paraId="6563DC4F" w14:textId="77777777" w:rsidR="00C843AF" w:rsidRPr="00C843AF" w:rsidRDefault="00C843AF" w:rsidP="00C843AF">
            <w:pPr>
              <w:ind w:left="153"/>
              <w:rPr>
                <w:sz w:val="22"/>
                <w:szCs w:val="22"/>
              </w:rPr>
            </w:pPr>
            <w:r w:rsidRPr="00C843AF">
              <w:rPr>
                <w:sz w:val="22"/>
                <w:szCs w:val="22"/>
              </w:rPr>
              <w:t>aneurismer og arterielle dissektioner</w:t>
            </w:r>
          </w:p>
        </w:tc>
      </w:tr>
      <w:tr w:rsidR="00C843AF" w:rsidRPr="00C843AF" w14:paraId="61167A21" w14:textId="77777777" w:rsidTr="00C843AF">
        <w:trPr>
          <w:trHeight w:val="253"/>
        </w:trPr>
        <w:tc>
          <w:tcPr>
            <w:tcW w:w="9607" w:type="dxa"/>
            <w:gridSpan w:val="2"/>
            <w:tcBorders>
              <w:top w:val="single" w:sz="4" w:space="0" w:color="000000"/>
              <w:left w:val="single" w:sz="4" w:space="0" w:color="000000"/>
              <w:bottom w:val="single" w:sz="4" w:space="0" w:color="000000"/>
              <w:right w:val="single" w:sz="4" w:space="0" w:color="000000"/>
            </w:tcBorders>
            <w:hideMark/>
          </w:tcPr>
          <w:p w14:paraId="1629EA84" w14:textId="77777777" w:rsidR="00C843AF" w:rsidRPr="00C843AF" w:rsidRDefault="00C843AF" w:rsidP="00C843AF">
            <w:pPr>
              <w:ind w:left="153"/>
              <w:rPr>
                <w:b/>
                <w:bCs/>
                <w:sz w:val="22"/>
                <w:szCs w:val="22"/>
              </w:rPr>
            </w:pPr>
            <w:r w:rsidRPr="00C843AF">
              <w:rPr>
                <w:b/>
                <w:bCs/>
                <w:sz w:val="22"/>
                <w:szCs w:val="22"/>
              </w:rPr>
              <w:t>Luftveje, thorax og mediastinum</w:t>
            </w:r>
          </w:p>
        </w:tc>
      </w:tr>
      <w:tr w:rsidR="00C843AF" w:rsidRPr="00C843AF" w14:paraId="4627D5D4" w14:textId="77777777" w:rsidTr="00C843AF">
        <w:trPr>
          <w:trHeight w:val="254"/>
        </w:trPr>
        <w:tc>
          <w:tcPr>
            <w:tcW w:w="3228" w:type="dxa"/>
            <w:tcBorders>
              <w:top w:val="single" w:sz="4" w:space="0" w:color="000000"/>
              <w:left w:val="single" w:sz="4" w:space="0" w:color="000000"/>
              <w:bottom w:val="single" w:sz="4" w:space="0" w:color="000000"/>
              <w:right w:val="single" w:sz="4" w:space="0" w:color="000000"/>
            </w:tcBorders>
            <w:hideMark/>
          </w:tcPr>
          <w:p w14:paraId="36583C53" w14:textId="77777777" w:rsidR="00C843AF" w:rsidRPr="00C843AF" w:rsidRDefault="00C843AF" w:rsidP="00C843AF">
            <w:pPr>
              <w:ind w:left="153"/>
              <w:rPr>
                <w:sz w:val="22"/>
                <w:szCs w:val="22"/>
              </w:rPr>
            </w:pPr>
            <w:r w:rsidRPr="00C843AF">
              <w:rPr>
                <w:sz w:val="22"/>
                <w:szCs w:val="22"/>
              </w:rPr>
              <w:t>Meget almindelig</w:t>
            </w:r>
          </w:p>
        </w:tc>
        <w:tc>
          <w:tcPr>
            <w:tcW w:w="6379" w:type="dxa"/>
            <w:tcBorders>
              <w:top w:val="single" w:sz="4" w:space="0" w:color="000000"/>
              <w:left w:val="single" w:sz="4" w:space="0" w:color="000000"/>
              <w:bottom w:val="single" w:sz="4" w:space="0" w:color="000000"/>
              <w:right w:val="single" w:sz="4" w:space="0" w:color="000000"/>
            </w:tcBorders>
            <w:hideMark/>
          </w:tcPr>
          <w:p w14:paraId="720F0B0D" w14:textId="77777777" w:rsidR="00C843AF" w:rsidRPr="00C843AF" w:rsidRDefault="00C843AF" w:rsidP="00C843AF">
            <w:pPr>
              <w:ind w:left="153"/>
              <w:rPr>
                <w:sz w:val="22"/>
                <w:szCs w:val="22"/>
              </w:rPr>
            </w:pPr>
            <w:r w:rsidRPr="00C843AF">
              <w:rPr>
                <w:sz w:val="22"/>
                <w:szCs w:val="22"/>
              </w:rPr>
              <w:t>dysfoni, dyspnø, hoste</w:t>
            </w:r>
          </w:p>
        </w:tc>
      </w:tr>
      <w:tr w:rsidR="00C843AF" w:rsidRPr="00C843AF" w14:paraId="1783A132" w14:textId="77777777" w:rsidTr="00C843AF">
        <w:trPr>
          <w:trHeight w:val="251"/>
        </w:trPr>
        <w:tc>
          <w:tcPr>
            <w:tcW w:w="3228" w:type="dxa"/>
            <w:tcBorders>
              <w:top w:val="single" w:sz="4" w:space="0" w:color="000000"/>
              <w:left w:val="single" w:sz="4" w:space="0" w:color="000000"/>
              <w:bottom w:val="single" w:sz="4" w:space="0" w:color="000000"/>
              <w:right w:val="single" w:sz="4" w:space="0" w:color="000000"/>
            </w:tcBorders>
            <w:hideMark/>
          </w:tcPr>
          <w:p w14:paraId="0142F345" w14:textId="77777777" w:rsidR="00C843AF" w:rsidRPr="00C843AF" w:rsidRDefault="00C843AF" w:rsidP="00C843AF">
            <w:pPr>
              <w:ind w:left="153"/>
              <w:rPr>
                <w:sz w:val="22"/>
                <w:szCs w:val="22"/>
              </w:rPr>
            </w:pPr>
            <w:r w:rsidRPr="00C843AF">
              <w:rPr>
                <w:sz w:val="22"/>
                <w:szCs w:val="22"/>
              </w:rPr>
              <w:t>Almindelig</w:t>
            </w:r>
          </w:p>
        </w:tc>
        <w:tc>
          <w:tcPr>
            <w:tcW w:w="6379" w:type="dxa"/>
            <w:tcBorders>
              <w:top w:val="single" w:sz="4" w:space="0" w:color="000000"/>
              <w:left w:val="single" w:sz="4" w:space="0" w:color="000000"/>
              <w:bottom w:val="single" w:sz="4" w:space="0" w:color="000000"/>
              <w:right w:val="single" w:sz="4" w:space="0" w:color="000000"/>
            </w:tcBorders>
            <w:hideMark/>
          </w:tcPr>
          <w:p w14:paraId="007B5BF6" w14:textId="77777777" w:rsidR="00C843AF" w:rsidRPr="00C843AF" w:rsidRDefault="00C843AF" w:rsidP="00C843AF">
            <w:pPr>
              <w:ind w:left="153"/>
              <w:rPr>
                <w:sz w:val="22"/>
                <w:szCs w:val="22"/>
              </w:rPr>
            </w:pPr>
            <w:r w:rsidRPr="00C843AF">
              <w:rPr>
                <w:sz w:val="22"/>
                <w:szCs w:val="22"/>
              </w:rPr>
              <w:t>lungeemboli</w:t>
            </w:r>
          </w:p>
        </w:tc>
      </w:tr>
      <w:tr w:rsidR="00C843AF" w:rsidRPr="00C843AF" w14:paraId="56CBC463" w14:textId="77777777" w:rsidTr="00C843AF">
        <w:trPr>
          <w:trHeight w:val="254"/>
        </w:trPr>
        <w:tc>
          <w:tcPr>
            <w:tcW w:w="3228" w:type="dxa"/>
            <w:tcBorders>
              <w:top w:val="single" w:sz="4" w:space="0" w:color="000000"/>
              <w:left w:val="single" w:sz="4" w:space="0" w:color="000000"/>
              <w:bottom w:val="single" w:sz="4" w:space="0" w:color="000000"/>
              <w:right w:val="single" w:sz="4" w:space="0" w:color="000000"/>
            </w:tcBorders>
            <w:hideMark/>
          </w:tcPr>
          <w:p w14:paraId="2FCBBC50" w14:textId="77777777" w:rsidR="00C843AF" w:rsidRPr="00C843AF" w:rsidRDefault="00C843AF" w:rsidP="00C843AF">
            <w:pPr>
              <w:ind w:left="153"/>
              <w:rPr>
                <w:sz w:val="22"/>
                <w:szCs w:val="22"/>
              </w:rPr>
            </w:pPr>
            <w:r w:rsidRPr="00C843AF">
              <w:rPr>
                <w:sz w:val="22"/>
                <w:szCs w:val="22"/>
              </w:rPr>
              <w:t>Ikke almindelig</w:t>
            </w:r>
          </w:p>
        </w:tc>
        <w:tc>
          <w:tcPr>
            <w:tcW w:w="6379" w:type="dxa"/>
            <w:tcBorders>
              <w:top w:val="single" w:sz="4" w:space="0" w:color="000000"/>
              <w:left w:val="single" w:sz="4" w:space="0" w:color="000000"/>
              <w:bottom w:val="single" w:sz="4" w:space="0" w:color="000000"/>
              <w:right w:val="single" w:sz="4" w:space="0" w:color="000000"/>
            </w:tcBorders>
            <w:hideMark/>
          </w:tcPr>
          <w:p w14:paraId="36041CA5" w14:textId="77777777" w:rsidR="00C843AF" w:rsidRPr="00C843AF" w:rsidRDefault="00C843AF" w:rsidP="00C843AF">
            <w:pPr>
              <w:ind w:left="153"/>
              <w:rPr>
                <w:sz w:val="22"/>
                <w:szCs w:val="22"/>
              </w:rPr>
            </w:pPr>
            <w:r w:rsidRPr="00C843AF">
              <w:rPr>
                <w:sz w:val="22"/>
                <w:szCs w:val="22"/>
              </w:rPr>
              <w:t>pneumothorax</w:t>
            </w:r>
          </w:p>
        </w:tc>
      </w:tr>
      <w:tr w:rsidR="00C843AF" w:rsidRPr="00C843AF" w14:paraId="6488A91D" w14:textId="77777777" w:rsidTr="00C843AF">
        <w:trPr>
          <w:trHeight w:val="251"/>
        </w:trPr>
        <w:tc>
          <w:tcPr>
            <w:tcW w:w="9607" w:type="dxa"/>
            <w:gridSpan w:val="2"/>
            <w:tcBorders>
              <w:top w:val="single" w:sz="4" w:space="0" w:color="000000"/>
              <w:left w:val="single" w:sz="4" w:space="0" w:color="000000"/>
              <w:bottom w:val="single" w:sz="4" w:space="0" w:color="000000"/>
              <w:right w:val="single" w:sz="4" w:space="0" w:color="000000"/>
            </w:tcBorders>
            <w:hideMark/>
          </w:tcPr>
          <w:p w14:paraId="6239F569" w14:textId="77777777" w:rsidR="00C843AF" w:rsidRPr="00C843AF" w:rsidRDefault="00C843AF" w:rsidP="00C843AF">
            <w:pPr>
              <w:ind w:left="153"/>
              <w:rPr>
                <w:b/>
                <w:bCs/>
                <w:sz w:val="22"/>
                <w:szCs w:val="22"/>
              </w:rPr>
            </w:pPr>
            <w:r w:rsidRPr="00C843AF">
              <w:rPr>
                <w:b/>
                <w:bCs/>
                <w:sz w:val="22"/>
                <w:szCs w:val="22"/>
              </w:rPr>
              <w:t>Mave-tarm-kanalen</w:t>
            </w:r>
          </w:p>
        </w:tc>
      </w:tr>
      <w:tr w:rsidR="00C843AF" w:rsidRPr="00C843AF" w14:paraId="62A4DF97" w14:textId="77777777" w:rsidTr="00C843AF">
        <w:trPr>
          <w:trHeight w:val="506"/>
        </w:trPr>
        <w:tc>
          <w:tcPr>
            <w:tcW w:w="3228" w:type="dxa"/>
            <w:tcBorders>
              <w:top w:val="single" w:sz="4" w:space="0" w:color="000000"/>
              <w:left w:val="single" w:sz="4" w:space="0" w:color="000000"/>
              <w:bottom w:val="single" w:sz="4" w:space="0" w:color="000000"/>
              <w:right w:val="single" w:sz="4" w:space="0" w:color="000000"/>
            </w:tcBorders>
            <w:hideMark/>
          </w:tcPr>
          <w:p w14:paraId="69CCB3EB" w14:textId="77777777" w:rsidR="00C843AF" w:rsidRPr="00C843AF" w:rsidRDefault="00C843AF" w:rsidP="00C843AF">
            <w:pPr>
              <w:ind w:left="153"/>
              <w:rPr>
                <w:sz w:val="22"/>
                <w:szCs w:val="22"/>
              </w:rPr>
            </w:pPr>
            <w:r w:rsidRPr="00C843AF">
              <w:rPr>
                <w:sz w:val="22"/>
                <w:szCs w:val="22"/>
              </w:rPr>
              <w:t>Meget almindelig</w:t>
            </w:r>
          </w:p>
        </w:tc>
        <w:tc>
          <w:tcPr>
            <w:tcW w:w="6379" w:type="dxa"/>
            <w:tcBorders>
              <w:top w:val="single" w:sz="4" w:space="0" w:color="000000"/>
              <w:left w:val="single" w:sz="4" w:space="0" w:color="000000"/>
              <w:bottom w:val="single" w:sz="4" w:space="0" w:color="000000"/>
              <w:right w:val="single" w:sz="4" w:space="0" w:color="000000"/>
            </w:tcBorders>
            <w:hideMark/>
          </w:tcPr>
          <w:p w14:paraId="6D1F3E45" w14:textId="77777777" w:rsidR="00C843AF" w:rsidRPr="00C843AF" w:rsidRDefault="00C843AF" w:rsidP="00C843AF">
            <w:pPr>
              <w:ind w:left="153"/>
              <w:rPr>
                <w:sz w:val="22"/>
                <w:szCs w:val="22"/>
              </w:rPr>
            </w:pPr>
            <w:r w:rsidRPr="00C843AF">
              <w:rPr>
                <w:sz w:val="22"/>
                <w:szCs w:val="22"/>
              </w:rPr>
              <w:t>diarré*, kvalme, opkastning, stomatitis, obstipation, abdominalsmerter, dyspepsi</w:t>
            </w:r>
          </w:p>
        </w:tc>
      </w:tr>
      <w:tr w:rsidR="00C843AF" w:rsidRPr="00C843AF" w14:paraId="6EED0003" w14:textId="77777777" w:rsidTr="00C843AF">
        <w:trPr>
          <w:trHeight w:val="504"/>
        </w:trPr>
        <w:tc>
          <w:tcPr>
            <w:tcW w:w="3228" w:type="dxa"/>
            <w:tcBorders>
              <w:top w:val="single" w:sz="4" w:space="0" w:color="000000"/>
              <w:left w:val="single" w:sz="4" w:space="0" w:color="000000"/>
              <w:bottom w:val="single" w:sz="4" w:space="0" w:color="000000"/>
              <w:right w:val="single" w:sz="4" w:space="0" w:color="000000"/>
            </w:tcBorders>
            <w:hideMark/>
          </w:tcPr>
          <w:p w14:paraId="6A228DE0" w14:textId="77777777" w:rsidR="00C843AF" w:rsidRPr="00C843AF" w:rsidRDefault="00C843AF" w:rsidP="00C843AF">
            <w:pPr>
              <w:ind w:left="153"/>
              <w:rPr>
                <w:sz w:val="22"/>
                <w:szCs w:val="22"/>
              </w:rPr>
            </w:pPr>
            <w:r w:rsidRPr="00C843AF">
              <w:rPr>
                <w:sz w:val="22"/>
                <w:szCs w:val="22"/>
              </w:rPr>
              <w:t>Almindelig</w:t>
            </w:r>
          </w:p>
        </w:tc>
        <w:tc>
          <w:tcPr>
            <w:tcW w:w="6379" w:type="dxa"/>
            <w:tcBorders>
              <w:top w:val="single" w:sz="4" w:space="0" w:color="000000"/>
              <w:left w:val="single" w:sz="4" w:space="0" w:color="000000"/>
              <w:bottom w:val="single" w:sz="4" w:space="0" w:color="000000"/>
              <w:right w:val="single" w:sz="4" w:space="0" w:color="000000"/>
            </w:tcBorders>
            <w:hideMark/>
          </w:tcPr>
          <w:p w14:paraId="4AA9CB67" w14:textId="77777777" w:rsidR="00C843AF" w:rsidRPr="00C843AF" w:rsidRDefault="00C843AF" w:rsidP="00C843AF">
            <w:pPr>
              <w:ind w:left="153"/>
              <w:rPr>
                <w:sz w:val="22"/>
                <w:szCs w:val="22"/>
              </w:rPr>
            </w:pPr>
            <w:r w:rsidRPr="00C843AF">
              <w:rPr>
                <w:sz w:val="22"/>
                <w:szCs w:val="22"/>
              </w:rPr>
              <w:t>gastrointestinal perforation*, pankreatitis, fistler*, gastroøsofageal reflukssygdom, hæmorider, orale smerter, mundtørhed, dysfagi</w:t>
            </w:r>
          </w:p>
        </w:tc>
      </w:tr>
      <w:tr w:rsidR="00C843AF" w:rsidRPr="00C843AF" w14:paraId="2ADD7E96" w14:textId="77777777" w:rsidTr="00C843AF">
        <w:trPr>
          <w:trHeight w:val="251"/>
        </w:trPr>
        <w:tc>
          <w:tcPr>
            <w:tcW w:w="3228" w:type="dxa"/>
            <w:tcBorders>
              <w:top w:val="single" w:sz="4" w:space="0" w:color="000000"/>
              <w:left w:val="single" w:sz="4" w:space="0" w:color="000000"/>
              <w:bottom w:val="single" w:sz="4" w:space="0" w:color="000000"/>
              <w:right w:val="single" w:sz="4" w:space="0" w:color="000000"/>
            </w:tcBorders>
            <w:hideMark/>
          </w:tcPr>
          <w:p w14:paraId="15266BE1" w14:textId="77777777" w:rsidR="00C843AF" w:rsidRPr="00C843AF" w:rsidRDefault="00C843AF" w:rsidP="00C843AF">
            <w:pPr>
              <w:ind w:left="153"/>
              <w:rPr>
                <w:sz w:val="22"/>
                <w:szCs w:val="22"/>
              </w:rPr>
            </w:pPr>
            <w:r w:rsidRPr="00C843AF">
              <w:rPr>
                <w:sz w:val="22"/>
                <w:szCs w:val="22"/>
              </w:rPr>
              <w:t>Ikke almindelig</w:t>
            </w:r>
          </w:p>
        </w:tc>
        <w:tc>
          <w:tcPr>
            <w:tcW w:w="6379" w:type="dxa"/>
            <w:tcBorders>
              <w:top w:val="single" w:sz="4" w:space="0" w:color="000000"/>
              <w:left w:val="single" w:sz="4" w:space="0" w:color="000000"/>
              <w:bottom w:val="single" w:sz="4" w:space="0" w:color="000000"/>
              <w:right w:val="single" w:sz="4" w:space="0" w:color="000000"/>
            </w:tcBorders>
            <w:hideMark/>
          </w:tcPr>
          <w:p w14:paraId="7E0542B8" w14:textId="77777777" w:rsidR="00C843AF" w:rsidRPr="00C843AF" w:rsidRDefault="00C843AF" w:rsidP="00C843AF">
            <w:pPr>
              <w:ind w:left="153"/>
              <w:rPr>
                <w:sz w:val="22"/>
                <w:szCs w:val="22"/>
              </w:rPr>
            </w:pPr>
            <w:r w:rsidRPr="00C843AF">
              <w:rPr>
                <w:sz w:val="22"/>
                <w:szCs w:val="22"/>
              </w:rPr>
              <w:t>glossodyni</w:t>
            </w:r>
          </w:p>
        </w:tc>
      </w:tr>
      <w:tr w:rsidR="00C843AF" w:rsidRPr="00C843AF" w14:paraId="63CE1223" w14:textId="77777777" w:rsidTr="00C843AF">
        <w:trPr>
          <w:trHeight w:val="251"/>
        </w:trPr>
        <w:tc>
          <w:tcPr>
            <w:tcW w:w="9607" w:type="dxa"/>
            <w:gridSpan w:val="2"/>
            <w:tcBorders>
              <w:top w:val="single" w:sz="4" w:space="0" w:color="000000"/>
              <w:left w:val="single" w:sz="4" w:space="0" w:color="000000"/>
              <w:bottom w:val="single" w:sz="4" w:space="0" w:color="000000"/>
              <w:right w:val="single" w:sz="4" w:space="0" w:color="000000"/>
            </w:tcBorders>
            <w:hideMark/>
          </w:tcPr>
          <w:p w14:paraId="0E4E1025" w14:textId="77777777" w:rsidR="00C843AF" w:rsidRPr="00C843AF" w:rsidRDefault="00C843AF" w:rsidP="00C843AF">
            <w:pPr>
              <w:ind w:left="153"/>
              <w:rPr>
                <w:b/>
                <w:bCs/>
                <w:sz w:val="22"/>
                <w:szCs w:val="22"/>
              </w:rPr>
            </w:pPr>
            <w:r w:rsidRPr="00C843AF">
              <w:rPr>
                <w:b/>
                <w:bCs/>
                <w:sz w:val="22"/>
                <w:szCs w:val="22"/>
              </w:rPr>
              <w:t>Lever og galdeveje</w:t>
            </w:r>
          </w:p>
        </w:tc>
      </w:tr>
      <w:tr w:rsidR="00C843AF" w:rsidRPr="00C843AF" w14:paraId="225D96E9" w14:textId="77777777" w:rsidTr="00C843AF">
        <w:trPr>
          <w:trHeight w:val="253"/>
        </w:trPr>
        <w:tc>
          <w:tcPr>
            <w:tcW w:w="3228" w:type="dxa"/>
            <w:tcBorders>
              <w:top w:val="single" w:sz="4" w:space="0" w:color="000000"/>
              <w:left w:val="single" w:sz="4" w:space="0" w:color="000000"/>
              <w:bottom w:val="single" w:sz="4" w:space="0" w:color="000000"/>
              <w:right w:val="single" w:sz="4" w:space="0" w:color="000000"/>
            </w:tcBorders>
            <w:hideMark/>
          </w:tcPr>
          <w:p w14:paraId="739AB97B" w14:textId="77777777" w:rsidR="00C843AF" w:rsidRPr="00C843AF" w:rsidRDefault="00C843AF" w:rsidP="00C843AF">
            <w:pPr>
              <w:ind w:left="153"/>
              <w:rPr>
                <w:sz w:val="22"/>
                <w:szCs w:val="22"/>
              </w:rPr>
            </w:pPr>
            <w:r w:rsidRPr="00C843AF">
              <w:rPr>
                <w:sz w:val="22"/>
                <w:szCs w:val="22"/>
              </w:rPr>
              <w:t>Almindelig</w:t>
            </w:r>
          </w:p>
        </w:tc>
        <w:tc>
          <w:tcPr>
            <w:tcW w:w="6379" w:type="dxa"/>
            <w:tcBorders>
              <w:top w:val="single" w:sz="4" w:space="0" w:color="000000"/>
              <w:left w:val="single" w:sz="4" w:space="0" w:color="000000"/>
              <w:bottom w:val="single" w:sz="4" w:space="0" w:color="000000"/>
              <w:right w:val="single" w:sz="4" w:space="0" w:color="000000"/>
            </w:tcBorders>
            <w:hideMark/>
          </w:tcPr>
          <w:p w14:paraId="11CA8BB0" w14:textId="77777777" w:rsidR="00C843AF" w:rsidRPr="00C843AF" w:rsidRDefault="00C843AF" w:rsidP="00C843AF">
            <w:pPr>
              <w:ind w:left="153"/>
              <w:rPr>
                <w:sz w:val="22"/>
                <w:szCs w:val="22"/>
              </w:rPr>
            </w:pPr>
            <w:r w:rsidRPr="00C843AF">
              <w:rPr>
                <w:sz w:val="22"/>
                <w:szCs w:val="22"/>
              </w:rPr>
              <w:t>hepatisk encefalopati*</w:t>
            </w:r>
          </w:p>
        </w:tc>
      </w:tr>
      <w:tr w:rsidR="00C843AF" w:rsidRPr="00C843AF" w14:paraId="07A4B3EA" w14:textId="77777777" w:rsidTr="00C843AF">
        <w:trPr>
          <w:trHeight w:val="254"/>
        </w:trPr>
        <w:tc>
          <w:tcPr>
            <w:tcW w:w="3228" w:type="dxa"/>
            <w:tcBorders>
              <w:top w:val="single" w:sz="4" w:space="0" w:color="000000"/>
              <w:left w:val="single" w:sz="4" w:space="0" w:color="000000"/>
              <w:bottom w:val="single" w:sz="4" w:space="0" w:color="000000"/>
              <w:right w:val="single" w:sz="4" w:space="0" w:color="000000"/>
            </w:tcBorders>
            <w:hideMark/>
          </w:tcPr>
          <w:p w14:paraId="7B73366B" w14:textId="77777777" w:rsidR="00C843AF" w:rsidRPr="00C843AF" w:rsidRDefault="00C843AF" w:rsidP="00C843AF">
            <w:pPr>
              <w:ind w:left="153"/>
              <w:rPr>
                <w:sz w:val="22"/>
                <w:szCs w:val="22"/>
              </w:rPr>
            </w:pPr>
            <w:r w:rsidRPr="00C843AF">
              <w:rPr>
                <w:sz w:val="22"/>
                <w:szCs w:val="22"/>
              </w:rPr>
              <w:t>Ikke almindelig</w:t>
            </w:r>
          </w:p>
        </w:tc>
        <w:tc>
          <w:tcPr>
            <w:tcW w:w="6379" w:type="dxa"/>
            <w:tcBorders>
              <w:top w:val="single" w:sz="4" w:space="0" w:color="000000"/>
              <w:left w:val="single" w:sz="4" w:space="0" w:color="000000"/>
              <w:bottom w:val="single" w:sz="4" w:space="0" w:color="000000"/>
              <w:right w:val="single" w:sz="4" w:space="0" w:color="000000"/>
            </w:tcBorders>
            <w:hideMark/>
          </w:tcPr>
          <w:p w14:paraId="0DFB958B" w14:textId="77777777" w:rsidR="00C843AF" w:rsidRPr="00C843AF" w:rsidRDefault="00C843AF" w:rsidP="00C843AF">
            <w:pPr>
              <w:ind w:left="153"/>
              <w:rPr>
                <w:sz w:val="22"/>
                <w:szCs w:val="22"/>
              </w:rPr>
            </w:pPr>
            <w:r w:rsidRPr="00C843AF">
              <w:rPr>
                <w:sz w:val="22"/>
                <w:szCs w:val="22"/>
              </w:rPr>
              <w:t>kolestatisk hepatitis</w:t>
            </w:r>
          </w:p>
        </w:tc>
      </w:tr>
      <w:tr w:rsidR="00C843AF" w:rsidRPr="00C843AF" w14:paraId="39CC716A" w14:textId="77777777" w:rsidTr="00C843AF">
        <w:trPr>
          <w:trHeight w:val="251"/>
        </w:trPr>
        <w:tc>
          <w:tcPr>
            <w:tcW w:w="9607" w:type="dxa"/>
            <w:gridSpan w:val="2"/>
            <w:tcBorders>
              <w:top w:val="single" w:sz="4" w:space="0" w:color="000000"/>
              <w:left w:val="single" w:sz="4" w:space="0" w:color="000000"/>
              <w:bottom w:val="single" w:sz="4" w:space="0" w:color="000000"/>
              <w:right w:val="single" w:sz="4" w:space="0" w:color="000000"/>
            </w:tcBorders>
            <w:hideMark/>
          </w:tcPr>
          <w:p w14:paraId="5496D73F" w14:textId="77777777" w:rsidR="00C843AF" w:rsidRPr="00C843AF" w:rsidRDefault="00C843AF" w:rsidP="00C843AF">
            <w:pPr>
              <w:ind w:left="153"/>
              <w:rPr>
                <w:b/>
                <w:bCs/>
                <w:sz w:val="22"/>
                <w:szCs w:val="22"/>
              </w:rPr>
            </w:pPr>
            <w:r w:rsidRPr="00C843AF">
              <w:rPr>
                <w:b/>
                <w:bCs/>
                <w:sz w:val="22"/>
                <w:szCs w:val="22"/>
              </w:rPr>
              <w:t>Hud og subkutane væv</w:t>
            </w:r>
          </w:p>
        </w:tc>
      </w:tr>
      <w:tr w:rsidR="00C843AF" w:rsidRPr="00C843AF" w14:paraId="397367F1" w14:textId="77777777" w:rsidTr="00C843AF">
        <w:trPr>
          <w:trHeight w:val="254"/>
        </w:trPr>
        <w:tc>
          <w:tcPr>
            <w:tcW w:w="3228" w:type="dxa"/>
            <w:tcBorders>
              <w:top w:val="single" w:sz="4" w:space="0" w:color="000000"/>
              <w:left w:val="single" w:sz="4" w:space="0" w:color="000000"/>
              <w:bottom w:val="single" w:sz="4" w:space="0" w:color="000000"/>
              <w:right w:val="single" w:sz="4" w:space="0" w:color="000000"/>
            </w:tcBorders>
            <w:hideMark/>
          </w:tcPr>
          <w:p w14:paraId="7327CE11" w14:textId="77777777" w:rsidR="00C843AF" w:rsidRPr="00C843AF" w:rsidRDefault="00C843AF" w:rsidP="00C843AF">
            <w:pPr>
              <w:ind w:left="153"/>
              <w:rPr>
                <w:sz w:val="22"/>
                <w:szCs w:val="22"/>
              </w:rPr>
            </w:pPr>
            <w:r w:rsidRPr="00C843AF">
              <w:rPr>
                <w:sz w:val="22"/>
                <w:szCs w:val="22"/>
              </w:rPr>
              <w:t>Meget almindelig</w:t>
            </w:r>
          </w:p>
        </w:tc>
        <w:tc>
          <w:tcPr>
            <w:tcW w:w="6379" w:type="dxa"/>
            <w:tcBorders>
              <w:top w:val="single" w:sz="4" w:space="0" w:color="000000"/>
              <w:left w:val="single" w:sz="4" w:space="0" w:color="000000"/>
              <w:bottom w:val="single" w:sz="4" w:space="0" w:color="000000"/>
              <w:right w:val="single" w:sz="4" w:space="0" w:color="000000"/>
            </w:tcBorders>
            <w:hideMark/>
          </w:tcPr>
          <w:p w14:paraId="591944DB" w14:textId="77777777" w:rsidR="00C843AF" w:rsidRPr="00C843AF" w:rsidRDefault="00C843AF" w:rsidP="00C843AF">
            <w:pPr>
              <w:ind w:left="153"/>
              <w:rPr>
                <w:sz w:val="22"/>
                <w:szCs w:val="22"/>
              </w:rPr>
            </w:pPr>
            <w:r w:rsidRPr="00C843AF">
              <w:rPr>
                <w:sz w:val="22"/>
                <w:szCs w:val="22"/>
              </w:rPr>
              <w:t>palmoplantar erytrodysæstesi-syndrom, udslæt</w:t>
            </w:r>
          </w:p>
        </w:tc>
      </w:tr>
      <w:tr w:rsidR="00C843AF" w:rsidRPr="00C843AF" w14:paraId="79037FB4" w14:textId="77777777" w:rsidTr="00C843AF">
        <w:trPr>
          <w:trHeight w:val="506"/>
        </w:trPr>
        <w:tc>
          <w:tcPr>
            <w:tcW w:w="3228" w:type="dxa"/>
            <w:tcBorders>
              <w:top w:val="single" w:sz="4" w:space="0" w:color="000000"/>
              <w:left w:val="single" w:sz="4" w:space="0" w:color="000000"/>
              <w:bottom w:val="single" w:sz="4" w:space="0" w:color="000000"/>
              <w:right w:val="single" w:sz="4" w:space="0" w:color="000000"/>
            </w:tcBorders>
            <w:hideMark/>
          </w:tcPr>
          <w:p w14:paraId="1B674EFC" w14:textId="77777777" w:rsidR="00C843AF" w:rsidRPr="00C843AF" w:rsidRDefault="00C843AF" w:rsidP="00C843AF">
            <w:pPr>
              <w:ind w:left="153"/>
              <w:rPr>
                <w:sz w:val="22"/>
                <w:szCs w:val="22"/>
              </w:rPr>
            </w:pPr>
            <w:r w:rsidRPr="00C843AF">
              <w:rPr>
                <w:sz w:val="22"/>
                <w:szCs w:val="22"/>
              </w:rPr>
              <w:t>Almindelig</w:t>
            </w:r>
          </w:p>
        </w:tc>
        <w:tc>
          <w:tcPr>
            <w:tcW w:w="6379" w:type="dxa"/>
            <w:tcBorders>
              <w:top w:val="single" w:sz="4" w:space="0" w:color="000000"/>
              <w:left w:val="single" w:sz="4" w:space="0" w:color="000000"/>
              <w:bottom w:val="single" w:sz="4" w:space="0" w:color="000000"/>
              <w:right w:val="single" w:sz="4" w:space="0" w:color="000000"/>
            </w:tcBorders>
            <w:hideMark/>
          </w:tcPr>
          <w:p w14:paraId="654DE97E" w14:textId="77777777" w:rsidR="00C843AF" w:rsidRPr="00C843AF" w:rsidRDefault="00C843AF" w:rsidP="00C843AF">
            <w:pPr>
              <w:ind w:left="153"/>
              <w:rPr>
                <w:sz w:val="22"/>
                <w:szCs w:val="22"/>
              </w:rPr>
            </w:pPr>
            <w:r w:rsidRPr="00C843AF">
              <w:rPr>
                <w:sz w:val="22"/>
                <w:szCs w:val="22"/>
              </w:rPr>
              <w:t>pruritus, alopeci, tør hud, acneiform dermatitis, ændret hårfarve, hyperkeratose, erytem</w:t>
            </w:r>
          </w:p>
        </w:tc>
      </w:tr>
      <w:tr w:rsidR="00C843AF" w:rsidRPr="00C843AF" w14:paraId="2CD8AAB0" w14:textId="77777777" w:rsidTr="00C843AF">
        <w:trPr>
          <w:trHeight w:val="251"/>
        </w:trPr>
        <w:tc>
          <w:tcPr>
            <w:tcW w:w="3228" w:type="dxa"/>
            <w:tcBorders>
              <w:top w:val="single" w:sz="4" w:space="0" w:color="000000"/>
              <w:left w:val="single" w:sz="4" w:space="0" w:color="000000"/>
              <w:bottom w:val="single" w:sz="4" w:space="0" w:color="000000"/>
              <w:right w:val="single" w:sz="4" w:space="0" w:color="000000"/>
            </w:tcBorders>
            <w:hideMark/>
          </w:tcPr>
          <w:p w14:paraId="1647230A" w14:textId="77777777" w:rsidR="00C843AF" w:rsidRPr="00C843AF" w:rsidRDefault="00C843AF" w:rsidP="00C843AF">
            <w:pPr>
              <w:ind w:left="153"/>
              <w:rPr>
                <w:sz w:val="22"/>
                <w:szCs w:val="22"/>
              </w:rPr>
            </w:pPr>
            <w:r w:rsidRPr="00C843AF">
              <w:rPr>
                <w:sz w:val="22"/>
                <w:szCs w:val="22"/>
              </w:rPr>
              <w:t>Ikke kendt</w:t>
            </w:r>
          </w:p>
        </w:tc>
        <w:tc>
          <w:tcPr>
            <w:tcW w:w="6379" w:type="dxa"/>
            <w:tcBorders>
              <w:top w:val="single" w:sz="4" w:space="0" w:color="000000"/>
              <w:left w:val="single" w:sz="4" w:space="0" w:color="000000"/>
              <w:bottom w:val="single" w:sz="4" w:space="0" w:color="000000"/>
              <w:right w:val="single" w:sz="4" w:space="0" w:color="000000"/>
            </w:tcBorders>
            <w:hideMark/>
          </w:tcPr>
          <w:p w14:paraId="4217F9D8" w14:textId="77777777" w:rsidR="00C843AF" w:rsidRPr="00C843AF" w:rsidRDefault="00C843AF" w:rsidP="00C843AF">
            <w:pPr>
              <w:ind w:left="153"/>
              <w:rPr>
                <w:sz w:val="22"/>
                <w:szCs w:val="22"/>
              </w:rPr>
            </w:pPr>
            <w:r w:rsidRPr="00C843AF">
              <w:rPr>
                <w:sz w:val="22"/>
                <w:szCs w:val="22"/>
              </w:rPr>
              <w:t>kutan vasculitis</w:t>
            </w:r>
          </w:p>
        </w:tc>
      </w:tr>
      <w:tr w:rsidR="00C843AF" w:rsidRPr="00C843AF" w14:paraId="493878BA" w14:textId="77777777" w:rsidTr="00C843AF">
        <w:trPr>
          <w:trHeight w:val="253"/>
        </w:trPr>
        <w:tc>
          <w:tcPr>
            <w:tcW w:w="9607" w:type="dxa"/>
            <w:gridSpan w:val="2"/>
            <w:tcBorders>
              <w:top w:val="single" w:sz="4" w:space="0" w:color="000000"/>
              <w:left w:val="single" w:sz="4" w:space="0" w:color="000000"/>
              <w:bottom w:val="single" w:sz="4" w:space="0" w:color="000000"/>
              <w:right w:val="single" w:sz="4" w:space="0" w:color="000000"/>
            </w:tcBorders>
            <w:hideMark/>
          </w:tcPr>
          <w:p w14:paraId="0F18E5E7" w14:textId="77777777" w:rsidR="00C843AF" w:rsidRPr="00C843AF" w:rsidRDefault="00C843AF" w:rsidP="00C843AF">
            <w:pPr>
              <w:ind w:left="153"/>
              <w:rPr>
                <w:b/>
                <w:bCs/>
                <w:sz w:val="22"/>
                <w:szCs w:val="22"/>
              </w:rPr>
            </w:pPr>
            <w:r w:rsidRPr="00C843AF">
              <w:rPr>
                <w:b/>
                <w:bCs/>
                <w:sz w:val="22"/>
                <w:szCs w:val="22"/>
              </w:rPr>
              <w:t>Knogler, led, muskler og bindevæv</w:t>
            </w:r>
          </w:p>
        </w:tc>
      </w:tr>
      <w:tr w:rsidR="00C843AF" w:rsidRPr="00C843AF" w14:paraId="75F1456A" w14:textId="77777777" w:rsidTr="00C843AF">
        <w:trPr>
          <w:trHeight w:val="251"/>
        </w:trPr>
        <w:tc>
          <w:tcPr>
            <w:tcW w:w="3228" w:type="dxa"/>
            <w:tcBorders>
              <w:top w:val="single" w:sz="4" w:space="0" w:color="000000"/>
              <w:left w:val="single" w:sz="4" w:space="0" w:color="000000"/>
              <w:bottom w:val="single" w:sz="4" w:space="0" w:color="000000"/>
              <w:right w:val="single" w:sz="4" w:space="0" w:color="000000"/>
            </w:tcBorders>
            <w:hideMark/>
          </w:tcPr>
          <w:p w14:paraId="167C5F0D" w14:textId="77777777" w:rsidR="00C843AF" w:rsidRPr="00C843AF" w:rsidRDefault="00C843AF" w:rsidP="00C843AF">
            <w:pPr>
              <w:ind w:left="153"/>
              <w:rPr>
                <w:sz w:val="22"/>
                <w:szCs w:val="22"/>
              </w:rPr>
            </w:pPr>
            <w:r w:rsidRPr="00C843AF">
              <w:rPr>
                <w:sz w:val="22"/>
                <w:szCs w:val="22"/>
              </w:rPr>
              <w:t>Meget almindelig</w:t>
            </w:r>
          </w:p>
        </w:tc>
        <w:tc>
          <w:tcPr>
            <w:tcW w:w="6379" w:type="dxa"/>
            <w:tcBorders>
              <w:top w:val="single" w:sz="4" w:space="0" w:color="000000"/>
              <w:left w:val="single" w:sz="4" w:space="0" w:color="000000"/>
              <w:bottom w:val="single" w:sz="4" w:space="0" w:color="000000"/>
              <w:right w:val="single" w:sz="4" w:space="0" w:color="000000"/>
            </w:tcBorders>
            <w:hideMark/>
          </w:tcPr>
          <w:p w14:paraId="3C572348" w14:textId="77777777" w:rsidR="00C843AF" w:rsidRPr="00C843AF" w:rsidRDefault="00C843AF" w:rsidP="00C843AF">
            <w:pPr>
              <w:ind w:left="153"/>
              <w:rPr>
                <w:sz w:val="22"/>
                <w:szCs w:val="22"/>
              </w:rPr>
            </w:pPr>
            <w:r w:rsidRPr="00C843AF">
              <w:rPr>
                <w:sz w:val="22"/>
                <w:szCs w:val="22"/>
              </w:rPr>
              <w:t>ekstremitetssmerter</w:t>
            </w:r>
          </w:p>
        </w:tc>
      </w:tr>
      <w:tr w:rsidR="00C843AF" w:rsidRPr="00C843AF" w14:paraId="7153BFEC" w14:textId="77777777" w:rsidTr="00C843AF">
        <w:trPr>
          <w:trHeight w:val="253"/>
        </w:trPr>
        <w:tc>
          <w:tcPr>
            <w:tcW w:w="3228" w:type="dxa"/>
            <w:tcBorders>
              <w:top w:val="single" w:sz="4" w:space="0" w:color="000000"/>
              <w:left w:val="single" w:sz="4" w:space="0" w:color="000000"/>
              <w:bottom w:val="single" w:sz="4" w:space="0" w:color="000000"/>
              <w:right w:val="single" w:sz="4" w:space="0" w:color="000000"/>
            </w:tcBorders>
            <w:hideMark/>
          </w:tcPr>
          <w:p w14:paraId="4400DF8E" w14:textId="77777777" w:rsidR="00C843AF" w:rsidRPr="00C843AF" w:rsidRDefault="00C843AF" w:rsidP="00C843AF">
            <w:pPr>
              <w:ind w:left="153"/>
              <w:rPr>
                <w:sz w:val="22"/>
                <w:szCs w:val="22"/>
              </w:rPr>
            </w:pPr>
            <w:r w:rsidRPr="00C843AF">
              <w:rPr>
                <w:sz w:val="22"/>
                <w:szCs w:val="22"/>
              </w:rPr>
              <w:t>Almindelig</w:t>
            </w:r>
          </w:p>
        </w:tc>
        <w:tc>
          <w:tcPr>
            <w:tcW w:w="6379" w:type="dxa"/>
            <w:tcBorders>
              <w:top w:val="single" w:sz="4" w:space="0" w:color="000000"/>
              <w:left w:val="single" w:sz="4" w:space="0" w:color="000000"/>
              <w:bottom w:val="single" w:sz="4" w:space="0" w:color="000000"/>
              <w:right w:val="single" w:sz="4" w:space="0" w:color="000000"/>
            </w:tcBorders>
            <w:hideMark/>
          </w:tcPr>
          <w:p w14:paraId="708D21BA" w14:textId="77777777" w:rsidR="00C843AF" w:rsidRPr="00C843AF" w:rsidRDefault="00C843AF" w:rsidP="00C843AF">
            <w:pPr>
              <w:ind w:left="153"/>
              <w:rPr>
                <w:sz w:val="22"/>
                <w:szCs w:val="22"/>
              </w:rPr>
            </w:pPr>
            <w:r w:rsidRPr="00C843AF">
              <w:rPr>
                <w:sz w:val="22"/>
                <w:szCs w:val="22"/>
              </w:rPr>
              <w:t>muskelspasmer, artralgi</w:t>
            </w:r>
          </w:p>
        </w:tc>
      </w:tr>
      <w:tr w:rsidR="00C843AF" w:rsidRPr="00C843AF" w14:paraId="3748510E" w14:textId="77777777" w:rsidTr="00C843AF">
        <w:trPr>
          <w:trHeight w:val="253"/>
        </w:trPr>
        <w:tc>
          <w:tcPr>
            <w:tcW w:w="3228" w:type="dxa"/>
            <w:tcBorders>
              <w:top w:val="single" w:sz="4" w:space="0" w:color="000000"/>
              <w:left w:val="single" w:sz="4" w:space="0" w:color="000000"/>
              <w:bottom w:val="single" w:sz="4" w:space="0" w:color="000000"/>
              <w:right w:val="single" w:sz="4" w:space="0" w:color="000000"/>
            </w:tcBorders>
            <w:hideMark/>
          </w:tcPr>
          <w:p w14:paraId="34F6BB8B" w14:textId="77777777" w:rsidR="00C843AF" w:rsidRPr="00C843AF" w:rsidRDefault="00C843AF" w:rsidP="00C843AF">
            <w:pPr>
              <w:ind w:left="153"/>
              <w:rPr>
                <w:sz w:val="22"/>
                <w:szCs w:val="22"/>
              </w:rPr>
            </w:pPr>
            <w:r w:rsidRPr="00C843AF">
              <w:rPr>
                <w:sz w:val="22"/>
                <w:szCs w:val="22"/>
              </w:rPr>
              <w:t>Ikke almindelig</w:t>
            </w:r>
          </w:p>
        </w:tc>
        <w:tc>
          <w:tcPr>
            <w:tcW w:w="6379" w:type="dxa"/>
            <w:tcBorders>
              <w:top w:val="single" w:sz="4" w:space="0" w:color="000000"/>
              <w:left w:val="single" w:sz="4" w:space="0" w:color="000000"/>
              <w:bottom w:val="single" w:sz="4" w:space="0" w:color="000000"/>
              <w:right w:val="single" w:sz="4" w:space="0" w:color="000000"/>
            </w:tcBorders>
            <w:hideMark/>
          </w:tcPr>
          <w:p w14:paraId="7885923E" w14:textId="77777777" w:rsidR="00C843AF" w:rsidRPr="00C843AF" w:rsidRDefault="00C843AF" w:rsidP="00C843AF">
            <w:pPr>
              <w:ind w:left="153"/>
              <w:rPr>
                <w:sz w:val="22"/>
                <w:szCs w:val="22"/>
              </w:rPr>
            </w:pPr>
            <w:r w:rsidRPr="00C843AF">
              <w:rPr>
                <w:sz w:val="22"/>
                <w:szCs w:val="22"/>
              </w:rPr>
              <w:t>osteonekrose i kæben</w:t>
            </w:r>
          </w:p>
        </w:tc>
      </w:tr>
      <w:tr w:rsidR="00C843AF" w:rsidRPr="00C843AF" w14:paraId="617DE003" w14:textId="77777777" w:rsidTr="00C843AF">
        <w:trPr>
          <w:trHeight w:val="251"/>
        </w:trPr>
        <w:tc>
          <w:tcPr>
            <w:tcW w:w="9607" w:type="dxa"/>
            <w:gridSpan w:val="2"/>
            <w:tcBorders>
              <w:top w:val="single" w:sz="4" w:space="0" w:color="000000"/>
              <w:left w:val="single" w:sz="4" w:space="0" w:color="000000"/>
              <w:bottom w:val="single" w:sz="4" w:space="0" w:color="000000"/>
              <w:right w:val="single" w:sz="4" w:space="0" w:color="000000"/>
            </w:tcBorders>
            <w:hideMark/>
          </w:tcPr>
          <w:p w14:paraId="6C5A5BBA" w14:textId="77777777" w:rsidR="00C843AF" w:rsidRPr="00C843AF" w:rsidRDefault="00C843AF" w:rsidP="00C843AF">
            <w:pPr>
              <w:ind w:left="153"/>
              <w:rPr>
                <w:b/>
                <w:bCs/>
                <w:sz w:val="22"/>
                <w:szCs w:val="22"/>
              </w:rPr>
            </w:pPr>
            <w:r w:rsidRPr="00C843AF">
              <w:rPr>
                <w:b/>
                <w:bCs/>
                <w:sz w:val="22"/>
                <w:szCs w:val="22"/>
              </w:rPr>
              <w:t>Nyrer og urinveje</w:t>
            </w:r>
          </w:p>
        </w:tc>
      </w:tr>
      <w:tr w:rsidR="00C843AF" w:rsidRPr="00C843AF" w14:paraId="0832B14F" w14:textId="77777777" w:rsidTr="00C843AF">
        <w:trPr>
          <w:trHeight w:val="253"/>
        </w:trPr>
        <w:tc>
          <w:tcPr>
            <w:tcW w:w="3228" w:type="dxa"/>
            <w:tcBorders>
              <w:top w:val="single" w:sz="4" w:space="0" w:color="000000"/>
              <w:left w:val="single" w:sz="4" w:space="0" w:color="000000"/>
              <w:bottom w:val="single" w:sz="4" w:space="0" w:color="000000"/>
              <w:right w:val="single" w:sz="4" w:space="0" w:color="000000"/>
            </w:tcBorders>
            <w:hideMark/>
          </w:tcPr>
          <w:p w14:paraId="3507AD3B" w14:textId="77777777" w:rsidR="00C843AF" w:rsidRPr="00C843AF" w:rsidRDefault="00C843AF" w:rsidP="00C843AF">
            <w:pPr>
              <w:ind w:left="153"/>
              <w:rPr>
                <w:sz w:val="22"/>
                <w:szCs w:val="22"/>
              </w:rPr>
            </w:pPr>
            <w:r w:rsidRPr="00C843AF">
              <w:rPr>
                <w:sz w:val="22"/>
                <w:szCs w:val="22"/>
              </w:rPr>
              <w:t>Almindelig</w:t>
            </w:r>
          </w:p>
        </w:tc>
        <w:tc>
          <w:tcPr>
            <w:tcW w:w="6379" w:type="dxa"/>
            <w:tcBorders>
              <w:top w:val="single" w:sz="4" w:space="0" w:color="000000"/>
              <w:left w:val="single" w:sz="4" w:space="0" w:color="000000"/>
              <w:bottom w:val="single" w:sz="4" w:space="0" w:color="000000"/>
              <w:right w:val="single" w:sz="4" w:space="0" w:color="000000"/>
            </w:tcBorders>
            <w:hideMark/>
          </w:tcPr>
          <w:p w14:paraId="028D779F" w14:textId="77777777" w:rsidR="00C843AF" w:rsidRPr="00C843AF" w:rsidRDefault="00C843AF" w:rsidP="00C843AF">
            <w:pPr>
              <w:ind w:left="153"/>
              <w:rPr>
                <w:sz w:val="22"/>
                <w:szCs w:val="22"/>
              </w:rPr>
            </w:pPr>
            <w:r w:rsidRPr="00C843AF">
              <w:rPr>
                <w:sz w:val="22"/>
                <w:szCs w:val="22"/>
              </w:rPr>
              <w:t>proteinuri</w:t>
            </w:r>
          </w:p>
        </w:tc>
      </w:tr>
      <w:tr w:rsidR="00C843AF" w:rsidRPr="00C843AF" w14:paraId="016FB37A" w14:textId="77777777" w:rsidTr="00C843AF">
        <w:trPr>
          <w:trHeight w:val="251"/>
        </w:trPr>
        <w:tc>
          <w:tcPr>
            <w:tcW w:w="9607" w:type="dxa"/>
            <w:gridSpan w:val="2"/>
            <w:tcBorders>
              <w:top w:val="single" w:sz="4" w:space="0" w:color="000000"/>
              <w:left w:val="single" w:sz="4" w:space="0" w:color="000000"/>
              <w:bottom w:val="single" w:sz="4" w:space="0" w:color="000000"/>
              <w:right w:val="single" w:sz="4" w:space="0" w:color="000000"/>
            </w:tcBorders>
            <w:hideMark/>
          </w:tcPr>
          <w:p w14:paraId="1BC8CD11" w14:textId="77777777" w:rsidR="00C843AF" w:rsidRPr="00C843AF" w:rsidRDefault="00C843AF" w:rsidP="00C843AF">
            <w:pPr>
              <w:ind w:left="153"/>
              <w:rPr>
                <w:b/>
                <w:bCs/>
                <w:sz w:val="22"/>
                <w:szCs w:val="22"/>
              </w:rPr>
            </w:pPr>
            <w:r w:rsidRPr="00C843AF">
              <w:rPr>
                <w:b/>
                <w:bCs/>
                <w:sz w:val="22"/>
                <w:szCs w:val="22"/>
              </w:rPr>
              <w:t>Almene symptomer og reaktioner på administrationsstedet</w:t>
            </w:r>
          </w:p>
        </w:tc>
      </w:tr>
      <w:tr w:rsidR="00C843AF" w:rsidRPr="00C843AF" w14:paraId="0510FF96" w14:textId="77777777" w:rsidTr="00C843AF">
        <w:trPr>
          <w:trHeight w:val="253"/>
        </w:trPr>
        <w:tc>
          <w:tcPr>
            <w:tcW w:w="3228" w:type="dxa"/>
            <w:tcBorders>
              <w:top w:val="single" w:sz="4" w:space="0" w:color="000000"/>
              <w:left w:val="single" w:sz="4" w:space="0" w:color="000000"/>
              <w:bottom w:val="single" w:sz="4" w:space="0" w:color="000000"/>
              <w:right w:val="single" w:sz="4" w:space="0" w:color="000000"/>
            </w:tcBorders>
            <w:hideMark/>
          </w:tcPr>
          <w:p w14:paraId="3544FD4A" w14:textId="77777777" w:rsidR="00C843AF" w:rsidRPr="00C843AF" w:rsidRDefault="00C843AF" w:rsidP="00C843AF">
            <w:pPr>
              <w:ind w:left="153"/>
              <w:rPr>
                <w:sz w:val="22"/>
                <w:szCs w:val="22"/>
              </w:rPr>
            </w:pPr>
            <w:r w:rsidRPr="00C843AF">
              <w:rPr>
                <w:sz w:val="22"/>
                <w:szCs w:val="22"/>
              </w:rPr>
              <w:t>Meget almindelig</w:t>
            </w:r>
          </w:p>
        </w:tc>
        <w:tc>
          <w:tcPr>
            <w:tcW w:w="6379" w:type="dxa"/>
            <w:tcBorders>
              <w:top w:val="single" w:sz="4" w:space="0" w:color="000000"/>
              <w:left w:val="single" w:sz="4" w:space="0" w:color="000000"/>
              <w:bottom w:val="single" w:sz="4" w:space="0" w:color="000000"/>
              <w:right w:val="single" w:sz="4" w:space="0" w:color="000000"/>
            </w:tcBorders>
            <w:hideMark/>
          </w:tcPr>
          <w:p w14:paraId="32B5D74A" w14:textId="77777777" w:rsidR="00C843AF" w:rsidRPr="00C843AF" w:rsidRDefault="00C843AF" w:rsidP="00C843AF">
            <w:pPr>
              <w:ind w:left="153"/>
              <w:rPr>
                <w:sz w:val="22"/>
                <w:szCs w:val="22"/>
              </w:rPr>
            </w:pPr>
            <w:r w:rsidRPr="00C843AF">
              <w:rPr>
                <w:sz w:val="22"/>
                <w:szCs w:val="22"/>
              </w:rPr>
              <w:t>træthed, slimhindeinflammation, asteni, perifert ødem</w:t>
            </w:r>
          </w:p>
        </w:tc>
      </w:tr>
      <w:tr w:rsidR="00C843AF" w:rsidRPr="00C843AF" w14:paraId="795653D6" w14:textId="77777777" w:rsidTr="00C843AF">
        <w:trPr>
          <w:trHeight w:val="251"/>
        </w:trPr>
        <w:tc>
          <w:tcPr>
            <w:tcW w:w="9607" w:type="dxa"/>
            <w:gridSpan w:val="2"/>
            <w:tcBorders>
              <w:top w:val="single" w:sz="4" w:space="0" w:color="000000"/>
              <w:left w:val="single" w:sz="4" w:space="0" w:color="000000"/>
              <w:bottom w:val="single" w:sz="4" w:space="0" w:color="000000"/>
              <w:right w:val="single" w:sz="4" w:space="0" w:color="000000"/>
            </w:tcBorders>
            <w:hideMark/>
          </w:tcPr>
          <w:p w14:paraId="7829DED4" w14:textId="77777777" w:rsidR="00C843AF" w:rsidRPr="00C843AF" w:rsidRDefault="00C843AF" w:rsidP="00C843AF">
            <w:pPr>
              <w:ind w:left="153"/>
              <w:rPr>
                <w:b/>
                <w:bCs/>
                <w:sz w:val="22"/>
                <w:szCs w:val="22"/>
              </w:rPr>
            </w:pPr>
            <w:r w:rsidRPr="00C843AF">
              <w:rPr>
                <w:b/>
                <w:bCs/>
                <w:sz w:val="22"/>
                <w:szCs w:val="22"/>
              </w:rPr>
              <w:t>Undersøgelser</w:t>
            </w:r>
            <w:r w:rsidRPr="00C843AF">
              <w:rPr>
                <w:b/>
                <w:bCs/>
                <w:sz w:val="22"/>
                <w:szCs w:val="22"/>
                <w:vertAlign w:val="superscript"/>
              </w:rPr>
              <w:t>d</w:t>
            </w:r>
          </w:p>
        </w:tc>
      </w:tr>
      <w:tr w:rsidR="00C843AF" w:rsidRPr="00C843AF" w14:paraId="21109E45" w14:textId="77777777" w:rsidTr="00C843AF">
        <w:trPr>
          <w:trHeight w:val="253"/>
        </w:trPr>
        <w:tc>
          <w:tcPr>
            <w:tcW w:w="3228" w:type="dxa"/>
            <w:tcBorders>
              <w:top w:val="single" w:sz="4" w:space="0" w:color="000000"/>
              <w:left w:val="single" w:sz="4" w:space="0" w:color="000000"/>
              <w:bottom w:val="single" w:sz="4" w:space="0" w:color="000000"/>
              <w:right w:val="single" w:sz="4" w:space="0" w:color="000000"/>
            </w:tcBorders>
            <w:hideMark/>
          </w:tcPr>
          <w:p w14:paraId="7FDB3D70" w14:textId="77777777" w:rsidR="00C843AF" w:rsidRPr="00C843AF" w:rsidRDefault="00C843AF" w:rsidP="00C843AF">
            <w:pPr>
              <w:ind w:left="153"/>
              <w:rPr>
                <w:sz w:val="22"/>
                <w:szCs w:val="22"/>
              </w:rPr>
            </w:pPr>
            <w:r w:rsidRPr="00C843AF">
              <w:rPr>
                <w:sz w:val="22"/>
                <w:szCs w:val="22"/>
              </w:rPr>
              <w:t>Meget almindelig</w:t>
            </w:r>
          </w:p>
        </w:tc>
        <w:tc>
          <w:tcPr>
            <w:tcW w:w="6379" w:type="dxa"/>
            <w:tcBorders>
              <w:top w:val="single" w:sz="4" w:space="0" w:color="000000"/>
              <w:left w:val="single" w:sz="4" w:space="0" w:color="000000"/>
              <w:bottom w:val="single" w:sz="4" w:space="0" w:color="000000"/>
              <w:right w:val="single" w:sz="4" w:space="0" w:color="000000"/>
            </w:tcBorders>
            <w:hideMark/>
          </w:tcPr>
          <w:p w14:paraId="18D0E5E7" w14:textId="77777777" w:rsidR="00C843AF" w:rsidRPr="00C843AF" w:rsidRDefault="00C843AF" w:rsidP="00C843AF">
            <w:pPr>
              <w:ind w:left="153"/>
              <w:rPr>
                <w:sz w:val="22"/>
                <w:szCs w:val="22"/>
              </w:rPr>
            </w:pPr>
            <w:r w:rsidRPr="00C843AF">
              <w:rPr>
                <w:sz w:val="22"/>
                <w:szCs w:val="22"/>
              </w:rPr>
              <w:t>vægttab, forhøjet serum-ALAT, forhøjet serum-ASAT</w:t>
            </w:r>
          </w:p>
        </w:tc>
      </w:tr>
      <w:tr w:rsidR="00C843AF" w:rsidRPr="00C843AF" w14:paraId="5C1E5B6B" w14:textId="77777777" w:rsidTr="00C843AF">
        <w:trPr>
          <w:trHeight w:val="758"/>
        </w:trPr>
        <w:tc>
          <w:tcPr>
            <w:tcW w:w="3228" w:type="dxa"/>
            <w:tcBorders>
              <w:top w:val="single" w:sz="4" w:space="0" w:color="000000"/>
              <w:left w:val="single" w:sz="4" w:space="0" w:color="000000"/>
              <w:bottom w:val="single" w:sz="4" w:space="0" w:color="000000"/>
              <w:right w:val="single" w:sz="4" w:space="0" w:color="000000"/>
            </w:tcBorders>
            <w:hideMark/>
          </w:tcPr>
          <w:p w14:paraId="15947E42" w14:textId="77777777" w:rsidR="00C843AF" w:rsidRPr="00C843AF" w:rsidRDefault="00C843AF" w:rsidP="00C843AF">
            <w:pPr>
              <w:ind w:left="153"/>
              <w:rPr>
                <w:sz w:val="22"/>
                <w:szCs w:val="22"/>
              </w:rPr>
            </w:pPr>
            <w:r w:rsidRPr="00C843AF">
              <w:rPr>
                <w:sz w:val="22"/>
                <w:szCs w:val="22"/>
              </w:rPr>
              <w:t>Almindelig</w:t>
            </w:r>
          </w:p>
        </w:tc>
        <w:tc>
          <w:tcPr>
            <w:tcW w:w="6379" w:type="dxa"/>
            <w:tcBorders>
              <w:top w:val="single" w:sz="4" w:space="0" w:color="000000"/>
              <w:left w:val="single" w:sz="4" w:space="0" w:color="000000"/>
              <w:bottom w:val="single" w:sz="4" w:space="0" w:color="000000"/>
              <w:right w:val="single" w:sz="4" w:space="0" w:color="000000"/>
            </w:tcBorders>
            <w:hideMark/>
          </w:tcPr>
          <w:p w14:paraId="7CBC5E7F" w14:textId="77777777" w:rsidR="00C843AF" w:rsidRPr="00C843AF" w:rsidRDefault="00C843AF" w:rsidP="00C843AF">
            <w:pPr>
              <w:ind w:left="153"/>
              <w:rPr>
                <w:sz w:val="22"/>
                <w:szCs w:val="22"/>
              </w:rPr>
            </w:pPr>
            <w:r w:rsidRPr="00C843AF">
              <w:rPr>
                <w:sz w:val="22"/>
                <w:szCs w:val="22"/>
              </w:rPr>
              <w:t>forhøjet alkalisk fosfatase (ALP) i blodet, forhøjet GGT, forhøjet</w:t>
            </w:r>
          </w:p>
          <w:p w14:paraId="61823B00" w14:textId="77777777" w:rsidR="00C843AF" w:rsidRPr="00C843AF" w:rsidRDefault="00C843AF" w:rsidP="00C843AF">
            <w:pPr>
              <w:ind w:left="153"/>
              <w:rPr>
                <w:sz w:val="22"/>
                <w:szCs w:val="22"/>
              </w:rPr>
            </w:pPr>
            <w:r w:rsidRPr="00C843AF">
              <w:rPr>
                <w:sz w:val="22"/>
                <w:szCs w:val="22"/>
              </w:rPr>
              <w:t>kreatinin i blodet, forhøjet amylase, forhøjet lipase, forhøjet kolesterol i blodet, forhøjede triglycerider i blodet</w:t>
            </w:r>
          </w:p>
        </w:tc>
      </w:tr>
      <w:tr w:rsidR="00C843AF" w:rsidRPr="00C843AF" w14:paraId="65020D91" w14:textId="77777777" w:rsidTr="00C843AF">
        <w:trPr>
          <w:trHeight w:val="251"/>
        </w:trPr>
        <w:tc>
          <w:tcPr>
            <w:tcW w:w="9607" w:type="dxa"/>
            <w:gridSpan w:val="2"/>
            <w:tcBorders>
              <w:top w:val="single" w:sz="4" w:space="0" w:color="000000"/>
              <w:left w:val="single" w:sz="4" w:space="0" w:color="000000"/>
              <w:bottom w:val="single" w:sz="4" w:space="0" w:color="000000"/>
              <w:right w:val="single" w:sz="4" w:space="0" w:color="000000"/>
            </w:tcBorders>
            <w:hideMark/>
          </w:tcPr>
          <w:p w14:paraId="13A611B5" w14:textId="77777777" w:rsidR="00C843AF" w:rsidRPr="00C843AF" w:rsidRDefault="00C843AF" w:rsidP="00C843AF">
            <w:pPr>
              <w:ind w:left="153"/>
              <w:rPr>
                <w:b/>
                <w:bCs/>
                <w:sz w:val="22"/>
                <w:szCs w:val="22"/>
              </w:rPr>
            </w:pPr>
            <w:r w:rsidRPr="00C843AF">
              <w:rPr>
                <w:b/>
                <w:bCs/>
                <w:sz w:val="22"/>
                <w:szCs w:val="22"/>
              </w:rPr>
              <w:t>Traumer, forgiftninger og behandlings-komplikationer</w:t>
            </w:r>
          </w:p>
        </w:tc>
      </w:tr>
      <w:tr w:rsidR="00C843AF" w:rsidRPr="00C843AF" w14:paraId="1F1618D9" w14:textId="77777777" w:rsidTr="00C843AF">
        <w:trPr>
          <w:trHeight w:val="253"/>
        </w:trPr>
        <w:tc>
          <w:tcPr>
            <w:tcW w:w="3228" w:type="dxa"/>
            <w:tcBorders>
              <w:top w:val="single" w:sz="4" w:space="0" w:color="000000"/>
              <w:left w:val="single" w:sz="4" w:space="0" w:color="000000"/>
              <w:bottom w:val="single" w:sz="4" w:space="0" w:color="000000"/>
              <w:right w:val="single" w:sz="4" w:space="0" w:color="000000"/>
            </w:tcBorders>
            <w:hideMark/>
          </w:tcPr>
          <w:p w14:paraId="1ACF5217" w14:textId="77777777" w:rsidR="00C843AF" w:rsidRPr="00C843AF" w:rsidRDefault="00C843AF" w:rsidP="00C843AF">
            <w:pPr>
              <w:ind w:left="153"/>
              <w:rPr>
                <w:sz w:val="22"/>
                <w:szCs w:val="22"/>
              </w:rPr>
            </w:pPr>
            <w:r w:rsidRPr="00C843AF">
              <w:rPr>
                <w:sz w:val="22"/>
                <w:szCs w:val="22"/>
              </w:rPr>
              <w:t>Ikke almindelig</w:t>
            </w:r>
          </w:p>
        </w:tc>
        <w:tc>
          <w:tcPr>
            <w:tcW w:w="6379" w:type="dxa"/>
            <w:tcBorders>
              <w:top w:val="single" w:sz="4" w:space="0" w:color="000000"/>
              <w:left w:val="single" w:sz="4" w:space="0" w:color="000000"/>
              <w:bottom w:val="single" w:sz="4" w:space="0" w:color="000000"/>
              <w:right w:val="single" w:sz="4" w:space="0" w:color="000000"/>
            </w:tcBorders>
            <w:hideMark/>
          </w:tcPr>
          <w:p w14:paraId="1E8CEABD" w14:textId="77777777" w:rsidR="00C843AF" w:rsidRPr="00C843AF" w:rsidRDefault="00C843AF" w:rsidP="00C843AF">
            <w:pPr>
              <w:ind w:left="153"/>
              <w:rPr>
                <w:sz w:val="22"/>
                <w:szCs w:val="22"/>
              </w:rPr>
            </w:pPr>
            <w:r w:rsidRPr="00C843AF">
              <w:rPr>
                <w:sz w:val="22"/>
                <w:szCs w:val="22"/>
              </w:rPr>
              <w:t>sårkomplikationer</w:t>
            </w:r>
            <w:r w:rsidRPr="00C843AF">
              <w:rPr>
                <w:sz w:val="22"/>
                <w:szCs w:val="22"/>
                <w:vertAlign w:val="superscript"/>
              </w:rPr>
              <w:t>e</w:t>
            </w:r>
          </w:p>
        </w:tc>
      </w:tr>
    </w:tbl>
    <w:p w14:paraId="2DC3FB8C" w14:textId="3C885BAC" w:rsidR="00C843AF" w:rsidRPr="00C843AF" w:rsidRDefault="00C843AF" w:rsidP="00C843AF">
      <w:pPr>
        <w:tabs>
          <w:tab w:val="left" w:pos="851"/>
        </w:tabs>
        <w:ind w:left="851"/>
        <w:rPr>
          <w:sz w:val="20"/>
        </w:rPr>
      </w:pPr>
      <w:r w:rsidRPr="00C843AF">
        <w:rPr>
          <w:sz w:val="20"/>
        </w:rPr>
        <w:t>*</w:t>
      </w:r>
      <w:r>
        <w:rPr>
          <w:sz w:val="20"/>
        </w:rPr>
        <w:t xml:space="preserve"> </w:t>
      </w:r>
      <w:r w:rsidRPr="00C843AF">
        <w:rPr>
          <w:sz w:val="20"/>
        </w:rPr>
        <w:t>Se pkt. 4.8 ”Beskrivelse af udvalgte bivirkninger” for yderligere detaljer.</w:t>
      </w:r>
    </w:p>
    <w:p w14:paraId="25DC4FE6" w14:textId="77777777" w:rsidR="00C843AF" w:rsidRPr="00C843AF" w:rsidRDefault="00C843AF" w:rsidP="00C843AF">
      <w:pPr>
        <w:tabs>
          <w:tab w:val="left" w:pos="851"/>
        </w:tabs>
        <w:ind w:left="851"/>
        <w:rPr>
          <w:sz w:val="20"/>
        </w:rPr>
      </w:pPr>
      <w:r w:rsidRPr="00C843AF">
        <w:rPr>
          <w:sz w:val="20"/>
        </w:rPr>
        <w:t>a Herunder polyneuropati; perifer neuropati er hovedsageligt sensorisk.</w:t>
      </w:r>
    </w:p>
    <w:p w14:paraId="7BBB76ED" w14:textId="77777777" w:rsidR="00C843AF" w:rsidRPr="00C843AF" w:rsidRDefault="00C843AF" w:rsidP="00C843AF">
      <w:pPr>
        <w:tabs>
          <w:tab w:val="left" w:pos="851"/>
        </w:tabs>
        <w:ind w:left="851"/>
        <w:rPr>
          <w:sz w:val="20"/>
        </w:rPr>
      </w:pPr>
      <w:r w:rsidRPr="00C843AF">
        <w:rPr>
          <w:sz w:val="20"/>
        </w:rPr>
        <w:t>b Herunder epistaxis som den mest almindeligt rapporterede bivirkning.</w:t>
      </w:r>
    </w:p>
    <w:p w14:paraId="529604F9" w14:textId="4F2FE6F0" w:rsidR="00C843AF" w:rsidRPr="00C843AF" w:rsidRDefault="00C843AF" w:rsidP="00C843AF">
      <w:pPr>
        <w:tabs>
          <w:tab w:val="left" w:pos="851"/>
        </w:tabs>
        <w:ind w:left="851"/>
        <w:rPr>
          <w:sz w:val="20"/>
        </w:rPr>
      </w:pPr>
      <w:r w:rsidRPr="00C843AF">
        <w:rPr>
          <w:sz w:val="20"/>
        </w:rPr>
        <w:t>c Alle venøse tromboser, herunder dyb venetrombose.</w:t>
      </w:r>
    </w:p>
    <w:p w14:paraId="60499980" w14:textId="77777777" w:rsidR="00C843AF" w:rsidRPr="00C843AF" w:rsidRDefault="00C843AF" w:rsidP="00C843AF">
      <w:pPr>
        <w:tabs>
          <w:tab w:val="left" w:pos="851"/>
        </w:tabs>
        <w:ind w:left="851"/>
        <w:rPr>
          <w:sz w:val="20"/>
        </w:rPr>
      </w:pPr>
      <w:r w:rsidRPr="00C843AF">
        <w:rPr>
          <w:sz w:val="20"/>
        </w:rPr>
        <w:t>d Baseret på rapporterede bivirkninger.</w:t>
      </w:r>
    </w:p>
    <w:p w14:paraId="0292A390" w14:textId="77777777" w:rsidR="00C843AF" w:rsidRPr="00C843AF" w:rsidRDefault="00C843AF" w:rsidP="00C843AF">
      <w:pPr>
        <w:tabs>
          <w:tab w:val="left" w:pos="851"/>
        </w:tabs>
        <w:ind w:left="851"/>
        <w:rPr>
          <w:sz w:val="20"/>
        </w:rPr>
      </w:pPr>
      <w:r w:rsidRPr="00C843AF">
        <w:rPr>
          <w:sz w:val="20"/>
        </w:rPr>
        <w:t xml:space="preserve">e Nedsat heling, komplikationer på incisionsstedet og sårruptur. </w:t>
      </w:r>
    </w:p>
    <w:p w14:paraId="156E9846" w14:textId="77777777" w:rsidR="00C843AF" w:rsidRPr="00C843AF" w:rsidRDefault="00C843AF" w:rsidP="00C843AF">
      <w:pPr>
        <w:tabs>
          <w:tab w:val="left" w:pos="851"/>
        </w:tabs>
        <w:ind w:left="851"/>
        <w:rPr>
          <w:sz w:val="24"/>
          <w:szCs w:val="24"/>
        </w:rPr>
      </w:pPr>
    </w:p>
    <w:p w14:paraId="70D8A61B" w14:textId="77777777" w:rsidR="00C843AF" w:rsidRPr="00C843AF" w:rsidRDefault="00C843AF" w:rsidP="00C843AF">
      <w:pPr>
        <w:tabs>
          <w:tab w:val="left" w:pos="851"/>
        </w:tabs>
        <w:ind w:left="851"/>
        <w:rPr>
          <w:i/>
          <w:iCs/>
          <w:sz w:val="24"/>
          <w:szCs w:val="24"/>
        </w:rPr>
      </w:pPr>
      <w:r w:rsidRPr="00C843AF">
        <w:rPr>
          <w:i/>
          <w:iCs/>
          <w:sz w:val="24"/>
          <w:szCs w:val="24"/>
        </w:rPr>
        <w:t>Cabozantinib i kombination med nivolumab som førstelinjebehandling ved fremskredent RCC</w:t>
      </w:r>
    </w:p>
    <w:p w14:paraId="42695E22" w14:textId="77777777" w:rsidR="00C843AF" w:rsidRPr="00C843AF" w:rsidRDefault="00C843AF" w:rsidP="00C843AF">
      <w:pPr>
        <w:tabs>
          <w:tab w:val="left" w:pos="851"/>
        </w:tabs>
        <w:ind w:left="851"/>
        <w:rPr>
          <w:i/>
          <w:iCs/>
          <w:sz w:val="24"/>
          <w:szCs w:val="24"/>
        </w:rPr>
      </w:pPr>
    </w:p>
    <w:p w14:paraId="5F4D0FCC" w14:textId="77777777" w:rsidR="00C843AF" w:rsidRPr="00C843AF" w:rsidRDefault="00C843AF" w:rsidP="00C843AF">
      <w:pPr>
        <w:tabs>
          <w:tab w:val="left" w:pos="851"/>
        </w:tabs>
        <w:ind w:left="851"/>
        <w:rPr>
          <w:sz w:val="24"/>
          <w:szCs w:val="24"/>
        </w:rPr>
      </w:pPr>
      <w:r w:rsidRPr="00C843AF">
        <w:rPr>
          <w:sz w:val="24"/>
          <w:szCs w:val="24"/>
          <w:u w:val="single"/>
        </w:rPr>
        <w:t>Sammendrag af sikkerhedsprofilen</w:t>
      </w:r>
    </w:p>
    <w:p w14:paraId="2A63EFF5" w14:textId="77777777" w:rsidR="00C843AF" w:rsidRPr="00C843AF" w:rsidRDefault="00C843AF" w:rsidP="00C843AF">
      <w:pPr>
        <w:tabs>
          <w:tab w:val="left" w:pos="851"/>
        </w:tabs>
        <w:ind w:left="851"/>
        <w:rPr>
          <w:sz w:val="24"/>
          <w:szCs w:val="24"/>
        </w:rPr>
      </w:pPr>
      <w:r w:rsidRPr="00C843AF">
        <w:rPr>
          <w:sz w:val="24"/>
          <w:szCs w:val="24"/>
        </w:rPr>
        <w:t>Når cabozantinib administreres i kombination med nivolumab, skal produktresuméet for nivolumab læses, inden behandlingen indledes. For yderligere information om sikkerhedsprofilen for nivolumab monoterapi, henvises der til produktresuméet for nivolumab.</w:t>
      </w:r>
    </w:p>
    <w:p w14:paraId="56F96497" w14:textId="77777777" w:rsidR="00C843AF" w:rsidRPr="00C843AF" w:rsidRDefault="00C843AF" w:rsidP="00C843AF">
      <w:pPr>
        <w:tabs>
          <w:tab w:val="left" w:pos="851"/>
        </w:tabs>
        <w:ind w:left="851"/>
        <w:rPr>
          <w:sz w:val="24"/>
          <w:szCs w:val="24"/>
        </w:rPr>
      </w:pPr>
    </w:p>
    <w:p w14:paraId="3894E5D9" w14:textId="77777777" w:rsidR="00C843AF" w:rsidRPr="00C843AF" w:rsidRDefault="00C843AF" w:rsidP="00C843AF">
      <w:pPr>
        <w:tabs>
          <w:tab w:val="left" w:pos="851"/>
        </w:tabs>
        <w:ind w:left="851"/>
        <w:rPr>
          <w:sz w:val="24"/>
          <w:szCs w:val="24"/>
        </w:rPr>
      </w:pPr>
      <w:r w:rsidRPr="00C843AF">
        <w:rPr>
          <w:sz w:val="24"/>
          <w:szCs w:val="24"/>
        </w:rPr>
        <w:lastRenderedPageBreak/>
        <w:t>I datasættet for cabozantinib 40 mg dagligt i kombination med nivolumab 240 mg hver 2. uge ved RCC (n=320) med en opfølgningsperiode på mindst 16 måneder var de mest almindelige alvorlige bivirkninger (incidens ≥ 1 %) diarré, pneumonitis, lungeemboli, pneumoni, hyponatriæmi, pyreksi, binyrebarkinsufficiens, opkastning, dehydrering.</w:t>
      </w:r>
    </w:p>
    <w:p w14:paraId="43428C60" w14:textId="77777777" w:rsidR="00C843AF" w:rsidRPr="00C843AF" w:rsidRDefault="00C843AF" w:rsidP="00C843AF">
      <w:pPr>
        <w:tabs>
          <w:tab w:val="left" w:pos="851"/>
        </w:tabs>
        <w:ind w:left="851"/>
        <w:rPr>
          <w:sz w:val="24"/>
          <w:szCs w:val="24"/>
        </w:rPr>
      </w:pPr>
    </w:p>
    <w:p w14:paraId="6B1010D8" w14:textId="77777777" w:rsidR="00C843AF" w:rsidRPr="00C843AF" w:rsidRDefault="00C843AF" w:rsidP="00C843AF">
      <w:pPr>
        <w:tabs>
          <w:tab w:val="left" w:pos="851"/>
        </w:tabs>
        <w:ind w:left="851"/>
        <w:rPr>
          <w:sz w:val="24"/>
          <w:szCs w:val="24"/>
        </w:rPr>
      </w:pPr>
      <w:r w:rsidRPr="00C843AF">
        <w:rPr>
          <w:sz w:val="24"/>
          <w:szCs w:val="24"/>
        </w:rPr>
        <w:t>De hyppigste bivirkninger (≥ 25 %) var diarré, træthed, palmoplantar erytrodysæstesisyndrom, stomatitis, muskuloskeletale smerter, hypertension, udslæt, hypothyroidisme, nedsat appetit, kvalme, abdominalsmerter. Størstedelen af bivirkningerne var lette til moderate (grad 1 eller 2).</w:t>
      </w:r>
    </w:p>
    <w:p w14:paraId="626323BB" w14:textId="77777777" w:rsidR="00C843AF" w:rsidRPr="00C843AF" w:rsidRDefault="00C843AF" w:rsidP="00C843AF">
      <w:pPr>
        <w:tabs>
          <w:tab w:val="left" w:pos="851"/>
        </w:tabs>
        <w:ind w:left="851"/>
        <w:rPr>
          <w:sz w:val="24"/>
          <w:szCs w:val="24"/>
        </w:rPr>
      </w:pPr>
    </w:p>
    <w:p w14:paraId="105EA11E" w14:textId="77777777" w:rsidR="00C843AF" w:rsidRPr="00C843AF" w:rsidRDefault="00C843AF" w:rsidP="00C843AF">
      <w:pPr>
        <w:tabs>
          <w:tab w:val="left" w:pos="851"/>
        </w:tabs>
        <w:ind w:left="851"/>
        <w:rPr>
          <w:sz w:val="24"/>
          <w:szCs w:val="24"/>
        </w:rPr>
      </w:pPr>
      <w:r w:rsidRPr="00C843AF">
        <w:rPr>
          <w:sz w:val="24"/>
          <w:szCs w:val="24"/>
          <w:u w:val="single"/>
        </w:rPr>
        <w:t>Tabel over bivirkninger</w:t>
      </w:r>
    </w:p>
    <w:p w14:paraId="1957A9C2" w14:textId="4C7E850C" w:rsidR="00C843AF" w:rsidRPr="00C843AF" w:rsidRDefault="00C843AF" w:rsidP="00C843AF">
      <w:pPr>
        <w:tabs>
          <w:tab w:val="left" w:pos="851"/>
        </w:tabs>
        <w:ind w:left="851"/>
        <w:rPr>
          <w:bCs/>
          <w:sz w:val="24"/>
          <w:szCs w:val="24"/>
        </w:rPr>
      </w:pPr>
      <w:r w:rsidRPr="00C843AF">
        <w:rPr>
          <w:bCs/>
          <w:sz w:val="24"/>
          <w:szCs w:val="24"/>
        </w:rPr>
        <w:t xml:space="preserve">Bivirkninger, der er identificeret i det kliniske studie med cabozantinib i kombination med nivolumab, er anført i tabel 3 i henhold til MedDRA systemorganklasse og hyppighedskategorier. Hyppigheder er baseret på bivirkninger af alle grader og defineret som: </w:t>
      </w:r>
      <w:r>
        <w:rPr>
          <w:bCs/>
          <w:sz w:val="24"/>
          <w:szCs w:val="24"/>
        </w:rPr>
        <w:t>M</w:t>
      </w:r>
      <w:r w:rsidRPr="00C843AF">
        <w:rPr>
          <w:bCs/>
          <w:sz w:val="24"/>
          <w:szCs w:val="24"/>
        </w:rPr>
        <w:t>eget almindelig (≥1/10), almindelig (≥1/100 til &lt;1/10); ikke almindelig (≥1/1.000 til &lt;1/100), ikke kendt (kan ikke estimeres ud fra forhåndenværende data). Inden for hver hyppighedsgruppe er bivirkningerne vist efter faldende alvorlighed.</w:t>
      </w:r>
    </w:p>
    <w:p w14:paraId="5318313F" w14:textId="77777777" w:rsidR="00C843AF" w:rsidRPr="00C843AF" w:rsidRDefault="00C843AF" w:rsidP="00C843AF">
      <w:pPr>
        <w:tabs>
          <w:tab w:val="left" w:pos="851"/>
        </w:tabs>
        <w:ind w:left="851"/>
        <w:rPr>
          <w:b/>
          <w:bCs/>
          <w:sz w:val="24"/>
          <w:szCs w:val="24"/>
        </w:rPr>
      </w:pPr>
    </w:p>
    <w:p w14:paraId="62261973" w14:textId="57232A32" w:rsidR="00C843AF" w:rsidRDefault="00C843AF" w:rsidP="00C843AF">
      <w:pPr>
        <w:tabs>
          <w:tab w:val="left" w:pos="851"/>
        </w:tabs>
        <w:ind w:left="851"/>
        <w:rPr>
          <w:b/>
          <w:bCs/>
          <w:sz w:val="24"/>
          <w:szCs w:val="24"/>
        </w:rPr>
      </w:pPr>
      <w:r w:rsidRPr="00C843AF">
        <w:rPr>
          <w:b/>
          <w:bCs/>
          <w:sz w:val="24"/>
          <w:szCs w:val="24"/>
        </w:rPr>
        <w:t>Tabel 3: Bivirkninger for cabozantinib i kombination med nivolumab</w:t>
      </w:r>
    </w:p>
    <w:p w14:paraId="7B16A04B" w14:textId="75D21664" w:rsidR="00F56441" w:rsidRDefault="00F56441" w:rsidP="00C843AF">
      <w:pPr>
        <w:tabs>
          <w:tab w:val="left" w:pos="851"/>
        </w:tabs>
        <w:ind w:left="851"/>
        <w:rPr>
          <w:b/>
          <w:bCs/>
          <w:sz w:val="24"/>
          <w:szCs w:val="24"/>
        </w:rPr>
      </w:pPr>
    </w:p>
    <w:tbl>
      <w:tblPr>
        <w:tblW w:w="0" w:type="auto"/>
        <w:tblInd w:w="546" w:type="dxa"/>
        <w:tblLayout w:type="fixed"/>
        <w:tblCellMar>
          <w:left w:w="0" w:type="dxa"/>
          <w:right w:w="0" w:type="dxa"/>
        </w:tblCellMar>
        <w:tblLook w:val="04A0" w:firstRow="1" w:lastRow="0" w:firstColumn="1" w:lastColumn="0" w:noHBand="0" w:noVBand="1"/>
      </w:tblPr>
      <w:tblGrid>
        <w:gridCol w:w="2263"/>
        <w:gridCol w:w="7397"/>
      </w:tblGrid>
      <w:tr w:rsidR="00F56441" w14:paraId="7852DC0B" w14:textId="77777777" w:rsidTr="00F56441">
        <w:trPr>
          <w:trHeight w:val="282"/>
        </w:trPr>
        <w:tc>
          <w:tcPr>
            <w:tcW w:w="9660" w:type="dxa"/>
            <w:gridSpan w:val="2"/>
            <w:tcBorders>
              <w:top w:val="single" w:sz="4" w:space="0" w:color="000000"/>
              <w:left w:val="single" w:sz="4" w:space="0" w:color="000000"/>
              <w:bottom w:val="single" w:sz="4" w:space="0" w:color="000000"/>
              <w:right w:val="single" w:sz="4" w:space="0" w:color="000000"/>
            </w:tcBorders>
            <w:hideMark/>
          </w:tcPr>
          <w:p w14:paraId="4703D017" w14:textId="77777777" w:rsidR="00F56441" w:rsidRDefault="00F56441">
            <w:pPr>
              <w:pStyle w:val="TableParagraph"/>
              <w:tabs>
                <w:tab w:val="left" w:pos="9781"/>
              </w:tabs>
              <w:kinsoku w:val="0"/>
              <w:overflowPunct w:val="0"/>
              <w:spacing w:line="240" w:lineRule="auto"/>
              <w:rPr>
                <w:b/>
                <w:bCs/>
                <w:kern w:val="2"/>
                <w:sz w:val="22"/>
                <w:szCs w:val="22"/>
              </w:rPr>
            </w:pPr>
            <w:r>
              <w:rPr>
                <w:b/>
                <w:bCs/>
                <w:kern w:val="2"/>
                <w:sz w:val="22"/>
                <w:szCs w:val="22"/>
              </w:rPr>
              <w:t>Infektioner og parasitære sygdomme</w:t>
            </w:r>
          </w:p>
        </w:tc>
      </w:tr>
      <w:tr w:rsidR="00F56441" w14:paraId="3A6FF82C" w14:textId="77777777" w:rsidTr="00F56441">
        <w:trPr>
          <w:trHeight w:val="268"/>
        </w:trPr>
        <w:tc>
          <w:tcPr>
            <w:tcW w:w="2263" w:type="dxa"/>
            <w:tcBorders>
              <w:top w:val="single" w:sz="4" w:space="0" w:color="000000"/>
              <w:left w:val="single" w:sz="4" w:space="0" w:color="000000"/>
              <w:bottom w:val="single" w:sz="4" w:space="0" w:color="000000"/>
              <w:right w:val="single" w:sz="4" w:space="0" w:color="000000"/>
            </w:tcBorders>
            <w:hideMark/>
          </w:tcPr>
          <w:p w14:paraId="1DD07C19" w14:textId="77777777" w:rsidR="00F56441" w:rsidRDefault="00F56441">
            <w:pPr>
              <w:pStyle w:val="TableParagraph"/>
              <w:tabs>
                <w:tab w:val="left" w:pos="9781"/>
              </w:tabs>
              <w:kinsoku w:val="0"/>
              <w:overflowPunct w:val="0"/>
              <w:spacing w:line="240" w:lineRule="auto"/>
              <w:rPr>
                <w:kern w:val="2"/>
                <w:sz w:val="22"/>
                <w:szCs w:val="22"/>
              </w:rPr>
            </w:pPr>
            <w:r>
              <w:rPr>
                <w:kern w:val="2"/>
                <w:sz w:val="22"/>
                <w:szCs w:val="22"/>
              </w:rPr>
              <w:t>Meget almindelig</w:t>
            </w:r>
          </w:p>
        </w:tc>
        <w:tc>
          <w:tcPr>
            <w:tcW w:w="7397" w:type="dxa"/>
            <w:tcBorders>
              <w:top w:val="single" w:sz="4" w:space="0" w:color="000000"/>
              <w:left w:val="single" w:sz="4" w:space="0" w:color="000000"/>
              <w:bottom w:val="single" w:sz="4" w:space="0" w:color="000000"/>
              <w:right w:val="single" w:sz="4" w:space="0" w:color="000000"/>
            </w:tcBorders>
            <w:hideMark/>
          </w:tcPr>
          <w:p w14:paraId="62358659" w14:textId="77777777" w:rsidR="00F56441" w:rsidRDefault="00F56441">
            <w:pPr>
              <w:pStyle w:val="TableParagraph"/>
              <w:tabs>
                <w:tab w:val="left" w:pos="9781"/>
              </w:tabs>
              <w:kinsoku w:val="0"/>
              <w:overflowPunct w:val="0"/>
              <w:spacing w:line="240" w:lineRule="auto"/>
              <w:ind w:left="108"/>
              <w:rPr>
                <w:kern w:val="2"/>
                <w:sz w:val="22"/>
                <w:szCs w:val="22"/>
              </w:rPr>
            </w:pPr>
            <w:r>
              <w:rPr>
                <w:kern w:val="2"/>
                <w:sz w:val="22"/>
                <w:szCs w:val="22"/>
              </w:rPr>
              <w:t>øvre luftvejsinfektion</w:t>
            </w:r>
          </w:p>
        </w:tc>
      </w:tr>
      <w:tr w:rsidR="00F56441" w14:paraId="06A3A8D3" w14:textId="77777777" w:rsidTr="00F56441">
        <w:trPr>
          <w:trHeight w:val="268"/>
        </w:trPr>
        <w:tc>
          <w:tcPr>
            <w:tcW w:w="2263" w:type="dxa"/>
            <w:tcBorders>
              <w:top w:val="single" w:sz="4" w:space="0" w:color="000000"/>
              <w:left w:val="single" w:sz="4" w:space="0" w:color="000000"/>
              <w:bottom w:val="single" w:sz="4" w:space="0" w:color="000000"/>
              <w:right w:val="single" w:sz="4" w:space="0" w:color="000000"/>
            </w:tcBorders>
            <w:hideMark/>
          </w:tcPr>
          <w:p w14:paraId="749082C7" w14:textId="77777777" w:rsidR="00F56441" w:rsidRDefault="00F56441">
            <w:pPr>
              <w:pStyle w:val="TableParagraph"/>
              <w:tabs>
                <w:tab w:val="left" w:pos="9781"/>
              </w:tabs>
              <w:kinsoku w:val="0"/>
              <w:overflowPunct w:val="0"/>
              <w:spacing w:line="240" w:lineRule="auto"/>
              <w:rPr>
                <w:kern w:val="2"/>
                <w:sz w:val="22"/>
                <w:szCs w:val="22"/>
              </w:rPr>
            </w:pPr>
            <w:r>
              <w:rPr>
                <w:kern w:val="2"/>
                <w:sz w:val="22"/>
                <w:szCs w:val="22"/>
              </w:rPr>
              <w:t>Almindelig</w:t>
            </w:r>
          </w:p>
        </w:tc>
        <w:tc>
          <w:tcPr>
            <w:tcW w:w="7397" w:type="dxa"/>
            <w:tcBorders>
              <w:top w:val="single" w:sz="4" w:space="0" w:color="000000"/>
              <w:left w:val="single" w:sz="4" w:space="0" w:color="000000"/>
              <w:bottom w:val="single" w:sz="4" w:space="0" w:color="000000"/>
              <w:right w:val="single" w:sz="4" w:space="0" w:color="000000"/>
            </w:tcBorders>
            <w:hideMark/>
          </w:tcPr>
          <w:p w14:paraId="66F6017B" w14:textId="77777777" w:rsidR="00F56441" w:rsidRDefault="00F56441">
            <w:pPr>
              <w:pStyle w:val="TableParagraph"/>
              <w:tabs>
                <w:tab w:val="left" w:pos="9781"/>
              </w:tabs>
              <w:kinsoku w:val="0"/>
              <w:overflowPunct w:val="0"/>
              <w:spacing w:line="240" w:lineRule="auto"/>
              <w:ind w:left="108"/>
              <w:rPr>
                <w:kern w:val="2"/>
                <w:sz w:val="22"/>
                <w:szCs w:val="22"/>
              </w:rPr>
            </w:pPr>
            <w:r>
              <w:rPr>
                <w:kern w:val="2"/>
                <w:sz w:val="22"/>
                <w:szCs w:val="22"/>
              </w:rPr>
              <w:t>pneumoni</w:t>
            </w:r>
          </w:p>
        </w:tc>
      </w:tr>
      <w:tr w:rsidR="00F56441" w14:paraId="6E99A445" w14:textId="77777777" w:rsidTr="00F56441">
        <w:trPr>
          <w:trHeight w:val="268"/>
        </w:trPr>
        <w:tc>
          <w:tcPr>
            <w:tcW w:w="9660" w:type="dxa"/>
            <w:gridSpan w:val="2"/>
            <w:tcBorders>
              <w:top w:val="single" w:sz="4" w:space="0" w:color="000000"/>
              <w:left w:val="single" w:sz="4" w:space="0" w:color="000000"/>
              <w:bottom w:val="single" w:sz="4" w:space="0" w:color="000000"/>
              <w:right w:val="single" w:sz="4" w:space="0" w:color="000000"/>
            </w:tcBorders>
            <w:hideMark/>
          </w:tcPr>
          <w:p w14:paraId="4F9051A9" w14:textId="77777777" w:rsidR="00F56441" w:rsidRDefault="00F56441">
            <w:pPr>
              <w:pStyle w:val="TableParagraph"/>
              <w:tabs>
                <w:tab w:val="left" w:pos="9781"/>
              </w:tabs>
              <w:kinsoku w:val="0"/>
              <w:overflowPunct w:val="0"/>
              <w:spacing w:line="240" w:lineRule="auto"/>
              <w:rPr>
                <w:b/>
                <w:bCs/>
                <w:kern w:val="2"/>
                <w:sz w:val="22"/>
                <w:szCs w:val="22"/>
              </w:rPr>
            </w:pPr>
            <w:r>
              <w:rPr>
                <w:b/>
                <w:bCs/>
                <w:kern w:val="2"/>
                <w:sz w:val="22"/>
                <w:szCs w:val="22"/>
              </w:rPr>
              <w:t>Blod og lymfesystem</w:t>
            </w:r>
          </w:p>
        </w:tc>
      </w:tr>
      <w:tr w:rsidR="00F56441" w14:paraId="291219F2" w14:textId="77777777" w:rsidTr="00F56441">
        <w:trPr>
          <w:trHeight w:val="270"/>
        </w:trPr>
        <w:tc>
          <w:tcPr>
            <w:tcW w:w="2263" w:type="dxa"/>
            <w:tcBorders>
              <w:top w:val="single" w:sz="4" w:space="0" w:color="000000"/>
              <w:left w:val="single" w:sz="4" w:space="0" w:color="000000"/>
              <w:bottom w:val="single" w:sz="4" w:space="0" w:color="000000"/>
              <w:right w:val="single" w:sz="4" w:space="0" w:color="000000"/>
            </w:tcBorders>
            <w:hideMark/>
          </w:tcPr>
          <w:p w14:paraId="173FF024" w14:textId="77777777" w:rsidR="00F56441" w:rsidRDefault="00F56441">
            <w:pPr>
              <w:pStyle w:val="TableParagraph"/>
              <w:tabs>
                <w:tab w:val="left" w:pos="9781"/>
              </w:tabs>
              <w:kinsoku w:val="0"/>
              <w:overflowPunct w:val="0"/>
              <w:spacing w:line="240" w:lineRule="auto"/>
              <w:rPr>
                <w:kern w:val="2"/>
                <w:sz w:val="22"/>
                <w:szCs w:val="22"/>
              </w:rPr>
            </w:pPr>
            <w:r>
              <w:rPr>
                <w:kern w:val="2"/>
                <w:sz w:val="22"/>
                <w:szCs w:val="22"/>
              </w:rPr>
              <w:t>Almindelig</w:t>
            </w:r>
          </w:p>
        </w:tc>
        <w:tc>
          <w:tcPr>
            <w:tcW w:w="7397" w:type="dxa"/>
            <w:tcBorders>
              <w:top w:val="single" w:sz="4" w:space="0" w:color="000000"/>
              <w:left w:val="single" w:sz="4" w:space="0" w:color="000000"/>
              <w:bottom w:val="single" w:sz="4" w:space="0" w:color="000000"/>
              <w:right w:val="single" w:sz="4" w:space="0" w:color="000000"/>
            </w:tcBorders>
            <w:hideMark/>
          </w:tcPr>
          <w:p w14:paraId="0AEC5F56" w14:textId="77777777" w:rsidR="00F56441" w:rsidRDefault="00F56441">
            <w:pPr>
              <w:pStyle w:val="TableParagraph"/>
              <w:tabs>
                <w:tab w:val="left" w:pos="9781"/>
              </w:tabs>
              <w:kinsoku w:val="0"/>
              <w:overflowPunct w:val="0"/>
              <w:spacing w:line="240" w:lineRule="auto"/>
              <w:ind w:left="108"/>
              <w:rPr>
                <w:kern w:val="2"/>
                <w:sz w:val="22"/>
                <w:szCs w:val="22"/>
              </w:rPr>
            </w:pPr>
            <w:r>
              <w:rPr>
                <w:kern w:val="2"/>
                <w:sz w:val="22"/>
                <w:szCs w:val="22"/>
              </w:rPr>
              <w:t>eosinofili</w:t>
            </w:r>
          </w:p>
        </w:tc>
      </w:tr>
      <w:tr w:rsidR="00F56441" w14:paraId="0522D405" w14:textId="77777777" w:rsidTr="00F56441">
        <w:trPr>
          <w:trHeight w:val="268"/>
        </w:trPr>
        <w:tc>
          <w:tcPr>
            <w:tcW w:w="9660" w:type="dxa"/>
            <w:gridSpan w:val="2"/>
            <w:tcBorders>
              <w:top w:val="single" w:sz="4" w:space="0" w:color="000000"/>
              <w:left w:val="single" w:sz="4" w:space="0" w:color="000000"/>
              <w:bottom w:val="single" w:sz="4" w:space="0" w:color="000000"/>
              <w:right w:val="single" w:sz="4" w:space="0" w:color="000000"/>
            </w:tcBorders>
            <w:hideMark/>
          </w:tcPr>
          <w:p w14:paraId="367A1921" w14:textId="77777777" w:rsidR="00F56441" w:rsidRDefault="00F56441">
            <w:pPr>
              <w:pStyle w:val="TableParagraph"/>
              <w:tabs>
                <w:tab w:val="left" w:pos="9781"/>
              </w:tabs>
              <w:kinsoku w:val="0"/>
              <w:overflowPunct w:val="0"/>
              <w:spacing w:line="240" w:lineRule="auto"/>
              <w:rPr>
                <w:b/>
                <w:bCs/>
                <w:kern w:val="2"/>
                <w:sz w:val="22"/>
                <w:szCs w:val="22"/>
              </w:rPr>
            </w:pPr>
            <w:r>
              <w:rPr>
                <w:b/>
                <w:bCs/>
                <w:kern w:val="2"/>
                <w:sz w:val="22"/>
                <w:szCs w:val="22"/>
              </w:rPr>
              <w:t>Immunsystemet</w:t>
            </w:r>
          </w:p>
        </w:tc>
      </w:tr>
      <w:tr w:rsidR="00F56441" w14:paraId="3A43AD12" w14:textId="77777777" w:rsidTr="00F56441">
        <w:trPr>
          <w:trHeight w:val="268"/>
        </w:trPr>
        <w:tc>
          <w:tcPr>
            <w:tcW w:w="2263" w:type="dxa"/>
            <w:tcBorders>
              <w:top w:val="single" w:sz="4" w:space="0" w:color="000000"/>
              <w:left w:val="single" w:sz="4" w:space="0" w:color="000000"/>
              <w:bottom w:val="single" w:sz="4" w:space="0" w:color="000000"/>
              <w:right w:val="single" w:sz="4" w:space="0" w:color="000000"/>
            </w:tcBorders>
            <w:hideMark/>
          </w:tcPr>
          <w:p w14:paraId="242C6CCE" w14:textId="77777777" w:rsidR="00F56441" w:rsidRDefault="00F56441">
            <w:pPr>
              <w:pStyle w:val="TableParagraph"/>
              <w:tabs>
                <w:tab w:val="left" w:pos="9781"/>
              </w:tabs>
              <w:kinsoku w:val="0"/>
              <w:overflowPunct w:val="0"/>
              <w:spacing w:line="240" w:lineRule="auto"/>
              <w:rPr>
                <w:kern w:val="2"/>
                <w:sz w:val="22"/>
                <w:szCs w:val="22"/>
              </w:rPr>
            </w:pPr>
            <w:r>
              <w:rPr>
                <w:kern w:val="2"/>
                <w:sz w:val="22"/>
                <w:szCs w:val="22"/>
              </w:rPr>
              <w:t>Almindelig</w:t>
            </w:r>
          </w:p>
        </w:tc>
        <w:tc>
          <w:tcPr>
            <w:tcW w:w="7397" w:type="dxa"/>
            <w:tcBorders>
              <w:top w:val="single" w:sz="4" w:space="0" w:color="000000"/>
              <w:left w:val="single" w:sz="4" w:space="0" w:color="000000"/>
              <w:bottom w:val="single" w:sz="4" w:space="0" w:color="000000"/>
              <w:right w:val="single" w:sz="4" w:space="0" w:color="000000"/>
            </w:tcBorders>
            <w:hideMark/>
          </w:tcPr>
          <w:p w14:paraId="5756DC06" w14:textId="77777777" w:rsidR="00F56441" w:rsidRDefault="00F56441">
            <w:pPr>
              <w:pStyle w:val="TableParagraph"/>
              <w:tabs>
                <w:tab w:val="left" w:pos="9781"/>
              </w:tabs>
              <w:kinsoku w:val="0"/>
              <w:overflowPunct w:val="0"/>
              <w:spacing w:line="240" w:lineRule="auto"/>
              <w:ind w:left="108"/>
              <w:rPr>
                <w:kern w:val="2"/>
                <w:sz w:val="22"/>
                <w:szCs w:val="22"/>
              </w:rPr>
            </w:pPr>
            <w:r>
              <w:rPr>
                <w:kern w:val="2"/>
                <w:sz w:val="22"/>
                <w:szCs w:val="22"/>
              </w:rPr>
              <w:t>overfølsomhed (inklusive anafylaktisk reaktion)</w:t>
            </w:r>
          </w:p>
        </w:tc>
      </w:tr>
      <w:tr w:rsidR="00F56441" w14:paraId="0A2EE28A" w14:textId="77777777" w:rsidTr="00F56441">
        <w:trPr>
          <w:trHeight w:val="268"/>
        </w:trPr>
        <w:tc>
          <w:tcPr>
            <w:tcW w:w="2263" w:type="dxa"/>
            <w:tcBorders>
              <w:top w:val="single" w:sz="4" w:space="0" w:color="000000"/>
              <w:left w:val="single" w:sz="4" w:space="0" w:color="000000"/>
              <w:bottom w:val="single" w:sz="4" w:space="0" w:color="000000"/>
              <w:right w:val="single" w:sz="4" w:space="0" w:color="000000"/>
            </w:tcBorders>
            <w:hideMark/>
          </w:tcPr>
          <w:p w14:paraId="51534BAD" w14:textId="77777777" w:rsidR="00F56441" w:rsidRDefault="00F56441">
            <w:pPr>
              <w:pStyle w:val="TableParagraph"/>
              <w:tabs>
                <w:tab w:val="left" w:pos="9781"/>
              </w:tabs>
              <w:kinsoku w:val="0"/>
              <w:overflowPunct w:val="0"/>
              <w:spacing w:line="240" w:lineRule="auto"/>
              <w:rPr>
                <w:kern w:val="2"/>
                <w:sz w:val="22"/>
                <w:szCs w:val="22"/>
              </w:rPr>
            </w:pPr>
            <w:r>
              <w:rPr>
                <w:kern w:val="2"/>
                <w:sz w:val="22"/>
                <w:szCs w:val="22"/>
              </w:rPr>
              <w:t>Ikke almindelig</w:t>
            </w:r>
          </w:p>
        </w:tc>
        <w:tc>
          <w:tcPr>
            <w:tcW w:w="7397" w:type="dxa"/>
            <w:tcBorders>
              <w:top w:val="single" w:sz="4" w:space="0" w:color="000000"/>
              <w:left w:val="single" w:sz="4" w:space="0" w:color="000000"/>
              <w:bottom w:val="single" w:sz="4" w:space="0" w:color="000000"/>
              <w:right w:val="single" w:sz="4" w:space="0" w:color="000000"/>
            </w:tcBorders>
            <w:hideMark/>
          </w:tcPr>
          <w:p w14:paraId="038B1846" w14:textId="77777777" w:rsidR="00F56441" w:rsidRDefault="00F56441">
            <w:pPr>
              <w:pStyle w:val="TableParagraph"/>
              <w:tabs>
                <w:tab w:val="left" w:pos="9781"/>
              </w:tabs>
              <w:kinsoku w:val="0"/>
              <w:overflowPunct w:val="0"/>
              <w:spacing w:line="240" w:lineRule="auto"/>
              <w:ind w:left="108"/>
              <w:rPr>
                <w:kern w:val="2"/>
                <w:sz w:val="22"/>
                <w:szCs w:val="22"/>
              </w:rPr>
            </w:pPr>
            <w:r>
              <w:rPr>
                <w:kern w:val="2"/>
                <w:sz w:val="22"/>
                <w:szCs w:val="22"/>
              </w:rPr>
              <w:t>infusionsrelateret overfølsomhedsreaktion</w:t>
            </w:r>
          </w:p>
        </w:tc>
      </w:tr>
      <w:tr w:rsidR="00F56441" w14:paraId="26538A53" w14:textId="77777777" w:rsidTr="00F56441">
        <w:trPr>
          <w:trHeight w:val="270"/>
        </w:trPr>
        <w:tc>
          <w:tcPr>
            <w:tcW w:w="9660" w:type="dxa"/>
            <w:gridSpan w:val="2"/>
            <w:tcBorders>
              <w:top w:val="single" w:sz="4" w:space="0" w:color="000000"/>
              <w:left w:val="single" w:sz="4" w:space="0" w:color="000000"/>
              <w:bottom w:val="single" w:sz="4" w:space="0" w:color="000000"/>
              <w:right w:val="single" w:sz="4" w:space="0" w:color="000000"/>
            </w:tcBorders>
            <w:hideMark/>
          </w:tcPr>
          <w:p w14:paraId="43B588F2" w14:textId="77777777" w:rsidR="00F56441" w:rsidRDefault="00F56441">
            <w:pPr>
              <w:pStyle w:val="TableParagraph"/>
              <w:tabs>
                <w:tab w:val="left" w:pos="9781"/>
              </w:tabs>
              <w:kinsoku w:val="0"/>
              <w:overflowPunct w:val="0"/>
              <w:spacing w:line="240" w:lineRule="auto"/>
              <w:rPr>
                <w:b/>
                <w:bCs/>
                <w:kern w:val="2"/>
                <w:sz w:val="22"/>
                <w:szCs w:val="22"/>
              </w:rPr>
            </w:pPr>
            <w:r>
              <w:rPr>
                <w:b/>
                <w:bCs/>
                <w:kern w:val="2"/>
                <w:sz w:val="22"/>
                <w:szCs w:val="22"/>
              </w:rPr>
              <w:t>Det endokrine system</w:t>
            </w:r>
          </w:p>
        </w:tc>
      </w:tr>
      <w:tr w:rsidR="00F56441" w14:paraId="698FBCE3" w14:textId="77777777" w:rsidTr="00F56441">
        <w:trPr>
          <w:trHeight w:val="268"/>
        </w:trPr>
        <w:tc>
          <w:tcPr>
            <w:tcW w:w="2263" w:type="dxa"/>
            <w:tcBorders>
              <w:top w:val="single" w:sz="4" w:space="0" w:color="000000"/>
              <w:left w:val="single" w:sz="4" w:space="0" w:color="000000"/>
              <w:bottom w:val="single" w:sz="4" w:space="0" w:color="000000"/>
              <w:right w:val="single" w:sz="4" w:space="0" w:color="000000"/>
            </w:tcBorders>
            <w:hideMark/>
          </w:tcPr>
          <w:p w14:paraId="6DEE66E5" w14:textId="77777777" w:rsidR="00F56441" w:rsidRDefault="00F56441">
            <w:pPr>
              <w:pStyle w:val="TableParagraph"/>
              <w:tabs>
                <w:tab w:val="left" w:pos="9781"/>
              </w:tabs>
              <w:kinsoku w:val="0"/>
              <w:overflowPunct w:val="0"/>
              <w:spacing w:line="240" w:lineRule="auto"/>
              <w:rPr>
                <w:kern w:val="2"/>
                <w:sz w:val="22"/>
                <w:szCs w:val="22"/>
              </w:rPr>
            </w:pPr>
            <w:r>
              <w:rPr>
                <w:kern w:val="2"/>
                <w:sz w:val="22"/>
                <w:szCs w:val="22"/>
              </w:rPr>
              <w:t>Meget almindelig</w:t>
            </w:r>
          </w:p>
        </w:tc>
        <w:tc>
          <w:tcPr>
            <w:tcW w:w="7397" w:type="dxa"/>
            <w:tcBorders>
              <w:top w:val="single" w:sz="4" w:space="0" w:color="000000"/>
              <w:left w:val="single" w:sz="4" w:space="0" w:color="000000"/>
              <w:bottom w:val="single" w:sz="4" w:space="0" w:color="000000"/>
              <w:right w:val="single" w:sz="4" w:space="0" w:color="000000"/>
            </w:tcBorders>
            <w:hideMark/>
          </w:tcPr>
          <w:p w14:paraId="6DEE49BD" w14:textId="77777777" w:rsidR="00F56441" w:rsidRDefault="00F56441">
            <w:pPr>
              <w:pStyle w:val="TableParagraph"/>
              <w:tabs>
                <w:tab w:val="left" w:pos="9781"/>
              </w:tabs>
              <w:kinsoku w:val="0"/>
              <w:overflowPunct w:val="0"/>
              <w:spacing w:line="240" w:lineRule="auto"/>
              <w:ind w:left="108"/>
              <w:rPr>
                <w:kern w:val="2"/>
                <w:sz w:val="22"/>
                <w:szCs w:val="22"/>
              </w:rPr>
            </w:pPr>
            <w:r>
              <w:rPr>
                <w:kern w:val="2"/>
                <w:sz w:val="22"/>
                <w:szCs w:val="22"/>
              </w:rPr>
              <w:t>hypothyroidisme, hyperthyroidisme</w:t>
            </w:r>
          </w:p>
        </w:tc>
      </w:tr>
      <w:tr w:rsidR="00F56441" w14:paraId="58BDBBCF" w14:textId="77777777" w:rsidTr="00F56441">
        <w:trPr>
          <w:trHeight w:val="268"/>
        </w:trPr>
        <w:tc>
          <w:tcPr>
            <w:tcW w:w="2263" w:type="dxa"/>
            <w:tcBorders>
              <w:top w:val="single" w:sz="4" w:space="0" w:color="000000"/>
              <w:left w:val="single" w:sz="4" w:space="0" w:color="000000"/>
              <w:bottom w:val="single" w:sz="4" w:space="0" w:color="000000"/>
              <w:right w:val="single" w:sz="4" w:space="0" w:color="000000"/>
            </w:tcBorders>
            <w:hideMark/>
          </w:tcPr>
          <w:p w14:paraId="4A4E3997" w14:textId="77777777" w:rsidR="00F56441" w:rsidRDefault="00F56441">
            <w:pPr>
              <w:pStyle w:val="TableParagraph"/>
              <w:tabs>
                <w:tab w:val="left" w:pos="9781"/>
              </w:tabs>
              <w:kinsoku w:val="0"/>
              <w:overflowPunct w:val="0"/>
              <w:spacing w:line="240" w:lineRule="auto"/>
              <w:rPr>
                <w:kern w:val="2"/>
                <w:sz w:val="22"/>
                <w:szCs w:val="22"/>
              </w:rPr>
            </w:pPr>
            <w:r>
              <w:rPr>
                <w:kern w:val="2"/>
                <w:sz w:val="22"/>
                <w:szCs w:val="22"/>
              </w:rPr>
              <w:t>Almindelig</w:t>
            </w:r>
          </w:p>
        </w:tc>
        <w:tc>
          <w:tcPr>
            <w:tcW w:w="7397" w:type="dxa"/>
            <w:tcBorders>
              <w:top w:val="single" w:sz="4" w:space="0" w:color="000000"/>
              <w:left w:val="single" w:sz="4" w:space="0" w:color="000000"/>
              <w:bottom w:val="single" w:sz="4" w:space="0" w:color="000000"/>
              <w:right w:val="single" w:sz="4" w:space="0" w:color="000000"/>
            </w:tcBorders>
            <w:hideMark/>
          </w:tcPr>
          <w:p w14:paraId="360429A0" w14:textId="77777777" w:rsidR="00F56441" w:rsidRDefault="00F56441">
            <w:pPr>
              <w:pStyle w:val="TableParagraph"/>
              <w:tabs>
                <w:tab w:val="left" w:pos="9781"/>
              </w:tabs>
              <w:kinsoku w:val="0"/>
              <w:overflowPunct w:val="0"/>
              <w:spacing w:line="240" w:lineRule="auto"/>
              <w:ind w:left="108"/>
              <w:rPr>
                <w:kern w:val="2"/>
                <w:sz w:val="22"/>
                <w:szCs w:val="22"/>
              </w:rPr>
            </w:pPr>
            <w:r>
              <w:rPr>
                <w:kern w:val="2"/>
                <w:sz w:val="22"/>
                <w:szCs w:val="22"/>
              </w:rPr>
              <w:t>binyrebarkinsufficiens</w:t>
            </w:r>
          </w:p>
        </w:tc>
      </w:tr>
      <w:tr w:rsidR="00F56441" w14:paraId="4F4BB822" w14:textId="77777777" w:rsidTr="00F56441">
        <w:trPr>
          <w:trHeight w:val="268"/>
        </w:trPr>
        <w:tc>
          <w:tcPr>
            <w:tcW w:w="2263" w:type="dxa"/>
            <w:tcBorders>
              <w:top w:val="single" w:sz="4" w:space="0" w:color="000000"/>
              <w:left w:val="single" w:sz="4" w:space="0" w:color="000000"/>
              <w:bottom w:val="single" w:sz="4" w:space="0" w:color="000000"/>
              <w:right w:val="single" w:sz="4" w:space="0" w:color="000000"/>
            </w:tcBorders>
            <w:hideMark/>
          </w:tcPr>
          <w:p w14:paraId="01DAE87E" w14:textId="77777777" w:rsidR="00F56441" w:rsidRDefault="00F56441">
            <w:pPr>
              <w:pStyle w:val="TableParagraph"/>
              <w:tabs>
                <w:tab w:val="left" w:pos="9781"/>
              </w:tabs>
              <w:kinsoku w:val="0"/>
              <w:overflowPunct w:val="0"/>
              <w:spacing w:line="240" w:lineRule="auto"/>
              <w:rPr>
                <w:kern w:val="2"/>
                <w:sz w:val="22"/>
                <w:szCs w:val="22"/>
              </w:rPr>
            </w:pPr>
            <w:r>
              <w:rPr>
                <w:kern w:val="2"/>
                <w:sz w:val="22"/>
                <w:szCs w:val="22"/>
              </w:rPr>
              <w:t>Ikke almindelig</w:t>
            </w:r>
          </w:p>
        </w:tc>
        <w:tc>
          <w:tcPr>
            <w:tcW w:w="7397" w:type="dxa"/>
            <w:tcBorders>
              <w:top w:val="single" w:sz="4" w:space="0" w:color="000000"/>
              <w:left w:val="single" w:sz="4" w:space="0" w:color="000000"/>
              <w:bottom w:val="single" w:sz="4" w:space="0" w:color="000000"/>
              <w:right w:val="single" w:sz="4" w:space="0" w:color="000000"/>
            </w:tcBorders>
            <w:hideMark/>
          </w:tcPr>
          <w:p w14:paraId="4615D9A7" w14:textId="77777777" w:rsidR="00F56441" w:rsidRDefault="00F56441">
            <w:pPr>
              <w:pStyle w:val="TableParagraph"/>
              <w:tabs>
                <w:tab w:val="left" w:pos="9781"/>
              </w:tabs>
              <w:kinsoku w:val="0"/>
              <w:overflowPunct w:val="0"/>
              <w:spacing w:line="240" w:lineRule="auto"/>
              <w:ind w:left="108"/>
              <w:rPr>
                <w:kern w:val="2"/>
                <w:sz w:val="22"/>
                <w:szCs w:val="22"/>
              </w:rPr>
            </w:pPr>
            <w:r>
              <w:rPr>
                <w:kern w:val="2"/>
                <w:sz w:val="22"/>
                <w:szCs w:val="22"/>
              </w:rPr>
              <w:t>hypophysitis, thyroiditis</w:t>
            </w:r>
          </w:p>
        </w:tc>
      </w:tr>
      <w:tr w:rsidR="00F56441" w14:paraId="0A57FC6B" w14:textId="77777777" w:rsidTr="00F56441">
        <w:trPr>
          <w:trHeight w:val="285"/>
        </w:trPr>
        <w:tc>
          <w:tcPr>
            <w:tcW w:w="9660" w:type="dxa"/>
            <w:gridSpan w:val="2"/>
            <w:tcBorders>
              <w:top w:val="single" w:sz="4" w:space="0" w:color="000000"/>
              <w:left w:val="single" w:sz="4" w:space="0" w:color="000000"/>
              <w:bottom w:val="single" w:sz="4" w:space="0" w:color="000000"/>
              <w:right w:val="single" w:sz="4" w:space="0" w:color="000000"/>
            </w:tcBorders>
            <w:hideMark/>
          </w:tcPr>
          <w:p w14:paraId="26E3C060" w14:textId="77777777" w:rsidR="00F56441" w:rsidRDefault="00F56441">
            <w:pPr>
              <w:pStyle w:val="TableParagraph"/>
              <w:tabs>
                <w:tab w:val="left" w:pos="9781"/>
              </w:tabs>
              <w:kinsoku w:val="0"/>
              <w:overflowPunct w:val="0"/>
              <w:spacing w:line="240" w:lineRule="auto"/>
              <w:rPr>
                <w:b/>
                <w:bCs/>
                <w:kern w:val="2"/>
                <w:sz w:val="22"/>
                <w:szCs w:val="22"/>
              </w:rPr>
            </w:pPr>
            <w:r>
              <w:rPr>
                <w:b/>
                <w:bCs/>
                <w:kern w:val="2"/>
                <w:sz w:val="22"/>
                <w:szCs w:val="22"/>
              </w:rPr>
              <w:t>Metabolisme og ernæring</w:t>
            </w:r>
          </w:p>
        </w:tc>
      </w:tr>
      <w:tr w:rsidR="00F56441" w14:paraId="18F7E271" w14:textId="77777777" w:rsidTr="00F56441">
        <w:trPr>
          <w:trHeight w:val="268"/>
        </w:trPr>
        <w:tc>
          <w:tcPr>
            <w:tcW w:w="2263" w:type="dxa"/>
            <w:tcBorders>
              <w:top w:val="single" w:sz="4" w:space="0" w:color="000000"/>
              <w:left w:val="single" w:sz="4" w:space="0" w:color="000000"/>
              <w:bottom w:val="single" w:sz="4" w:space="0" w:color="000000"/>
              <w:right w:val="single" w:sz="4" w:space="0" w:color="000000"/>
            </w:tcBorders>
            <w:hideMark/>
          </w:tcPr>
          <w:p w14:paraId="6C7B4AAB" w14:textId="77777777" w:rsidR="00F56441" w:rsidRDefault="00F56441">
            <w:pPr>
              <w:pStyle w:val="TableParagraph"/>
              <w:tabs>
                <w:tab w:val="left" w:pos="9781"/>
              </w:tabs>
              <w:kinsoku w:val="0"/>
              <w:overflowPunct w:val="0"/>
              <w:spacing w:line="240" w:lineRule="auto"/>
              <w:rPr>
                <w:kern w:val="2"/>
                <w:sz w:val="22"/>
                <w:szCs w:val="22"/>
              </w:rPr>
            </w:pPr>
            <w:r>
              <w:rPr>
                <w:kern w:val="2"/>
                <w:sz w:val="22"/>
                <w:szCs w:val="22"/>
              </w:rPr>
              <w:t>Meget almindelig</w:t>
            </w:r>
          </w:p>
        </w:tc>
        <w:tc>
          <w:tcPr>
            <w:tcW w:w="7397" w:type="dxa"/>
            <w:tcBorders>
              <w:top w:val="single" w:sz="4" w:space="0" w:color="000000"/>
              <w:left w:val="single" w:sz="4" w:space="0" w:color="000000"/>
              <w:bottom w:val="single" w:sz="4" w:space="0" w:color="000000"/>
              <w:right w:val="single" w:sz="4" w:space="0" w:color="000000"/>
            </w:tcBorders>
            <w:hideMark/>
          </w:tcPr>
          <w:p w14:paraId="50EC6BFE" w14:textId="77777777" w:rsidR="00F56441" w:rsidRDefault="00F56441">
            <w:pPr>
              <w:pStyle w:val="TableParagraph"/>
              <w:tabs>
                <w:tab w:val="left" w:pos="9781"/>
              </w:tabs>
              <w:kinsoku w:val="0"/>
              <w:overflowPunct w:val="0"/>
              <w:spacing w:line="240" w:lineRule="auto"/>
              <w:ind w:left="108"/>
              <w:rPr>
                <w:kern w:val="2"/>
                <w:sz w:val="22"/>
                <w:szCs w:val="22"/>
              </w:rPr>
            </w:pPr>
            <w:r>
              <w:rPr>
                <w:kern w:val="2"/>
                <w:sz w:val="22"/>
                <w:szCs w:val="22"/>
              </w:rPr>
              <w:t>nedsat appetit</w:t>
            </w:r>
          </w:p>
        </w:tc>
      </w:tr>
      <w:tr w:rsidR="00F56441" w14:paraId="61CBB5C6" w14:textId="77777777" w:rsidTr="00F56441">
        <w:trPr>
          <w:trHeight w:val="268"/>
        </w:trPr>
        <w:tc>
          <w:tcPr>
            <w:tcW w:w="2263" w:type="dxa"/>
            <w:tcBorders>
              <w:top w:val="single" w:sz="4" w:space="0" w:color="000000"/>
              <w:left w:val="single" w:sz="4" w:space="0" w:color="000000"/>
              <w:bottom w:val="single" w:sz="4" w:space="0" w:color="000000"/>
              <w:right w:val="single" w:sz="4" w:space="0" w:color="000000"/>
            </w:tcBorders>
            <w:hideMark/>
          </w:tcPr>
          <w:p w14:paraId="78B6C37E" w14:textId="77777777" w:rsidR="00F56441" w:rsidRDefault="00F56441">
            <w:pPr>
              <w:pStyle w:val="TableParagraph"/>
              <w:tabs>
                <w:tab w:val="left" w:pos="9781"/>
              </w:tabs>
              <w:kinsoku w:val="0"/>
              <w:overflowPunct w:val="0"/>
              <w:spacing w:line="240" w:lineRule="auto"/>
              <w:rPr>
                <w:kern w:val="2"/>
                <w:sz w:val="22"/>
                <w:szCs w:val="22"/>
              </w:rPr>
            </w:pPr>
            <w:r>
              <w:rPr>
                <w:kern w:val="2"/>
                <w:sz w:val="22"/>
                <w:szCs w:val="22"/>
              </w:rPr>
              <w:t>Almindelig</w:t>
            </w:r>
          </w:p>
        </w:tc>
        <w:tc>
          <w:tcPr>
            <w:tcW w:w="7397" w:type="dxa"/>
            <w:tcBorders>
              <w:top w:val="single" w:sz="4" w:space="0" w:color="000000"/>
              <w:left w:val="single" w:sz="4" w:space="0" w:color="000000"/>
              <w:bottom w:val="single" w:sz="4" w:space="0" w:color="000000"/>
              <w:right w:val="single" w:sz="4" w:space="0" w:color="000000"/>
            </w:tcBorders>
            <w:hideMark/>
          </w:tcPr>
          <w:p w14:paraId="1676ACB1" w14:textId="77777777" w:rsidR="00F56441" w:rsidRDefault="00F56441">
            <w:pPr>
              <w:pStyle w:val="TableParagraph"/>
              <w:tabs>
                <w:tab w:val="left" w:pos="9781"/>
              </w:tabs>
              <w:kinsoku w:val="0"/>
              <w:overflowPunct w:val="0"/>
              <w:spacing w:line="240" w:lineRule="auto"/>
              <w:ind w:left="108"/>
              <w:rPr>
                <w:kern w:val="2"/>
                <w:sz w:val="22"/>
                <w:szCs w:val="22"/>
              </w:rPr>
            </w:pPr>
            <w:r>
              <w:rPr>
                <w:kern w:val="2"/>
                <w:sz w:val="22"/>
                <w:szCs w:val="22"/>
              </w:rPr>
              <w:t>dehydrering</w:t>
            </w:r>
          </w:p>
        </w:tc>
      </w:tr>
      <w:tr w:rsidR="00F56441" w14:paraId="06733120" w14:textId="77777777" w:rsidTr="00F56441">
        <w:trPr>
          <w:trHeight w:val="268"/>
        </w:trPr>
        <w:tc>
          <w:tcPr>
            <w:tcW w:w="9660" w:type="dxa"/>
            <w:gridSpan w:val="2"/>
            <w:tcBorders>
              <w:top w:val="single" w:sz="4" w:space="0" w:color="000000"/>
              <w:left w:val="single" w:sz="4" w:space="0" w:color="000000"/>
              <w:bottom w:val="single" w:sz="4" w:space="0" w:color="000000"/>
              <w:right w:val="single" w:sz="4" w:space="0" w:color="000000"/>
            </w:tcBorders>
            <w:hideMark/>
          </w:tcPr>
          <w:p w14:paraId="5F0964F7" w14:textId="77777777" w:rsidR="00F56441" w:rsidRDefault="00F56441">
            <w:pPr>
              <w:pStyle w:val="TableParagraph"/>
              <w:tabs>
                <w:tab w:val="left" w:pos="9781"/>
              </w:tabs>
              <w:kinsoku w:val="0"/>
              <w:overflowPunct w:val="0"/>
              <w:spacing w:line="240" w:lineRule="auto"/>
              <w:rPr>
                <w:b/>
                <w:bCs/>
                <w:kern w:val="2"/>
                <w:sz w:val="22"/>
                <w:szCs w:val="22"/>
              </w:rPr>
            </w:pPr>
            <w:r>
              <w:rPr>
                <w:b/>
                <w:bCs/>
                <w:kern w:val="2"/>
                <w:sz w:val="22"/>
                <w:szCs w:val="22"/>
              </w:rPr>
              <w:t>Nervesystemet</w:t>
            </w:r>
          </w:p>
        </w:tc>
      </w:tr>
      <w:tr w:rsidR="00F56441" w14:paraId="14B3623D" w14:textId="77777777" w:rsidTr="00F56441">
        <w:trPr>
          <w:trHeight w:val="270"/>
        </w:trPr>
        <w:tc>
          <w:tcPr>
            <w:tcW w:w="2263" w:type="dxa"/>
            <w:tcBorders>
              <w:top w:val="single" w:sz="4" w:space="0" w:color="000000"/>
              <w:left w:val="single" w:sz="4" w:space="0" w:color="000000"/>
              <w:bottom w:val="single" w:sz="4" w:space="0" w:color="000000"/>
              <w:right w:val="single" w:sz="4" w:space="0" w:color="000000"/>
            </w:tcBorders>
            <w:hideMark/>
          </w:tcPr>
          <w:p w14:paraId="0C30407E" w14:textId="77777777" w:rsidR="00F56441" w:rsidRDefault="00F56441">
            <w:pPr>
              <w:pStyle w:val="TableParagraph"/>
              <w:tabs>
                <w:tab w:val="left" w:pos="9781"/>
              </w:tabs>
              <w:kinsoku w:val="0"/>
              <w:overflowPunct w:val="0"/>
              <w:spacing w:line="240" w:lineRule="auto"/>
              <w:rPr>
                <w:kern w:val="2"/>
                <w:sz w:val="22"/>
                <w:szCs w:val="22"/>
              </w:rPr>
            </w:pPr>
            <w:r>
              <w:rPr>
                <w:kern w:val="2"/>
                <w:sz w:val="22"/>
                <w:szCs w:val="22"/>
              </w:rPr>
              <w:t>Meget almindelig</w:t>
            </w:r>
          </w:p>
        </w:tc>
        <w:tc>
          <w:tcPr>
            <w:tcW w:w="7397" w:type="dxa"/>
            <w:tcBorders>
              <w:top w:val="single" w:sz="4" w:space="0" w:color="000000"/>
              <w:left w:val="single" w:sz="4" w:space="0" w:color="000000"/>
              <w:bottom w:val="single" w:sz="4" w:space="0" w:color="000000"/>
              <w:right w:val="single" w:sz="4" w:space="0" w:color="000000"/>
            </w:tcBorders>
            <w:hideMark/>
          </w:tcPr>
          <w:p w14:paraId="3226C72A" w14:textId="77777777" w:rsidR="00F56441" w:rsidRDefault="00F56441">
            <w:pPr>
              <w:pStyle w:val="TableParagraph"/>
              <w:tabs>
                <w:tab w:val="left" w:pos="9781"/>
              </w:tabs>
              <w:kinsoku w:val="0"/>
              <w:overflowPunct w:val="0"/>
              <w:spacing w:line="240" w:lineRule="auto"/>
              <w:ind w:left="108"/>
              <w:rPr>
                <w:kern w:val="2"/>
                <w:sz w:val="22"/>
                <w:szCs w:val="22"/>
              </w:rPr>
            </w:pPr>
            <w:r>
              <w:rPr>
                <w:kern w:val="2"/>
                <w:sz w:val="22"/>
                <w:szCs w:val="22"/>
              </w:rPr>
              <w:t>dysgeusi, svimmelhed, hovedpine</w:t>
            </w:r>
          </w:p>
        </w:tc>
      </w:tr>
      <w:tr w:rsidR="00F56441" w14:paraId="1BB6FE94" w14:textId="77777777" w:rsidTr="00F56441">
        <w:trPr>
          <w:trHeight w:val="268"/>
        </w:trPr>
        <w:tc>
          <w:tcPr>
            <w:tcW w:w="2263" w:type="dxa"/>
            <w:tcBorders>
              <w:top w:val="single" w:sz="4" w:space="0" w:color="000000"/>
              <w:left w:val="single" w:sz="4" w:space="0" w:color="000000"/>
              <w:bottom w:val="single" w:sz="4" w:space="0" w:color="000000"/>
              <w:right w:val="single" w:sz="4" w:space="0" w:color="000000"/>
            </w:tcBorders>
            <w:hideMark/>
          </w:tcPr>
          <w:p w14:paraId="40CC78AE" w14:textId="77777777" w:rsidR="00F56441" w:rsidRDefault="00F56441">
            <w:pPr>
              <w:pStyle w:val="TableParagraph"/>
              <w:tabs>
                <w:tab w:val="left" w:pos="9781"/>
              </w:tabs>
              <w:kinsoku w:val="0"/>
              <w:overflowPunct w:val="0"/>
              <w:spacing w:line="240" w:lineRule="auto"/>
              <w:rPr>
                <w:kern w:val="2"/>
                <w:sz w:val="22"/>
                <w:szCs w:val="22"/>
              </w:rPr>
            </w:pPr>
            <w:r>
              <w:rPr>
                <w:kern w:val="2"/>
                <w:sz w:val="22"/>
                <w:szCs w:val="22"/>
              </w:rPr>
              <w:t>Almindelig</w:t>
            </w:r>
          </w:p>
        </w:tc>
        <w:tc>
          <w:tcPr>
            <w:tcW w:w="7397" w:type="dxa"/>
            <w:tcBorders>
              <w:top w:val="single" w:sz="4" w:space="0" w:color="000000"/>
              <w:left w:val="single" w:sz="4" w:space="0" w:color="000000"/>
              <w:bottom w:val="single" w:sz="4" w:space="0" w:color="000000"/>
              <w:right w:val="single" w:sz="4" w:space="0" w:color="000000"/>
            </w:tcBorders>
            <w:hideMark/>
          </w:tcPr>
          <w:p w14:paraId="7F3E7FBA" w14:textId="77777777" w:rsidR="00F56441" w:rsidRDefault="00F56441">
            <w:pPr>
              <w:pStyle w:val="TableParagraph"/>
              <w:tabs>
                <w:tab w:val="left" w:pos="9781"/>
              </w:tabs>
              <w:kinsoku w:val="0"/>
              <w:overflowPunct w:val="0"/>
              <w:spacing w:line="240" w:lineRule="auto"/>
              <w:ind w:left="108"/>
              <w:rPr>
                <w:kern w:val="2"/>
                <w:sz w:val="22"/>
                <w:szCs w:val="22"/>
              </w:rPr>
            </w:pPr>
            <w:r>
              <w:rPr>
                <w:kern w:val="2"/>
                <w:sz w:val="22"/>
                <w:szCs w:val="22"/>
              </w:rPr>
              <w:t>perifer neuropati</w:t>
            </w:r>
          </w:p>
        </w:tc>
      </w:tr>
      <w:tr w:rsidR="00F56441" w14:paraId="21B1D801" w14:textId="77777777" w:rsidTr="00F56441">
        <w:trPr>
          <w:trHeight w:val="268"/>
        </w:trPr>
        <w:tc>
          <w:tcPr>
            <w:tcW w:w="2263" w:type="dxa"/>
            <w:tcBorders>
              <w:top w:val="single" w:sz="4" w:space="0" w:color="000000"/>
              <w:left w:val="single" w:sz="4" w:space="0" w:color="000000"/>
              <w:bottom w:val="single" w:sz="4" w:space="0" w:color="000000"/>
              <w:right w:val="single" w:sz="4" w:space="0" w:color="000000"/>
            </w:tcBorders>
            <w:hideMark/>
          </w:tcPr>
          <w:p w14:paraId="56513EEB" w14:textId="77777777" w:rsidR="00F56441" w:rsidRDefault="00F56441">
            <w:pPr>
              <w:pStyle w:val="TableParagraph"/>
              <w:tabs>
                <w:tab w:val="left" w:pos="9781"/>
              </w:tabs>
              <w:kinsoku w:val="0"/>
              <w:overflowPunct w:val="0"/>
              <w:spacing w:line="240" w:lineRule="auto"/>
              <w:rPr>
                <w:kern w:val="2"/>
                <w:sz w:val="22"/>
                <w:szCs w:val="22"/>
              </w:rPr>
            </w:pPr>
            <w:r>
              <w:rPr>
                <w:kern w:val="2"/>
                <w:sz w:val="22"/>
                <w:szCs w:val="22"/>
              </w:rPr>
              <w:t>Ikke almindelig</w:t>
            </w:r>
          </w:p>
        </w:tc>
        <w:tc>
          <w:tcPr>
            <w:tcW w:w="7397" w:type="dxa"/>
            <w:tcBorders>
              <w:top w:val="single" w:sz="4" w:space="0" w:color="000000"/>
              <w:left w:val="single" w:sz="4" w:space="0" w:color="000000"/>
              <w:bottom w:val="single" w:sz="4" w:space="0" w:color="000000"/>
              <w:right w:val="single" w:sz="4" w:space="0" w:color="000000"/>
            </w:tcBorders>
            <w:hideMark/>
          </w:tcPr>
          <w:p w14:paraId="05E79E55" w14:textId="77777777" w:rsidR="00F56441" w:rsidRDefault="00F56441">
            <w:pPr>
              <w:pStyle w:val="TableParagraph"/>
              <w:tabs>
                <w:tab w:val="left" w:pos="9781"/>
              </w:tabs>
              <w:kinsoku w:val="0"/>
              <w:overflowPunct w:val="0"/>
              <w:spacing w:line="240" w:lineRule="auto"/>
              <w:ind w:left="108"/>
              <w:rPr>
                <w:kern w:val="2"/>
                <w:sz w:val="22"/>
                <w:szCs w:val="22"/>
              </w:rPr>
            </w:pPr>
            <w:r>
              <w:rPr>
                <w:kern w:val="2"/>
                <w:sz w:val="22"/>
                <w:szCs w:val="22"/>
              </w:rPr>
              <w:t>autoimmun encephalitis, Guillain-Barré syndrom, myastenisk syndrom</w:t>
            </w:r>
          </w:p>
        </w:tc>
      </w:tr>
      <w:tr w:rsidR="00F56441" w14:paraId="44A922EB" w14:textId="77777777" w:rsidTr="00F56441">
        <w:trPr>
          <w:trHeight w:val="268"/>
        </w:trPr>
        <w:tc>
          <w:tcPr>
            <w:tcW w:w="9660" w:type="dxa"/>
            <w:gridSpan w:val="2"/>
            <w:tcBorders>
              <w:top w:val="single" w:sz="4" w:space="0" w:color="000000"/>
              <w:left w:val="single" w:sz="4" w:space="0" w:color="000000"/>
              <w:bottom w:val="single" w:sz="4" w:space="0" w:color="000000"/>
              <w:right w:val="single" w:sz="4" w:space="0" w:color="000000"/>
            </w:tcBorders>
            <w:hideMark/>
          </w:tcPr>
          <w:p w14:paraId="3EB86FE3" w14:textId="77777777" w:rsidR="00F56441" w:rsidRDefault="00F56441">
            <w:pPr>
              <w:pStyle w:val="TableParagraph"/>
              <w:tabs>
                <w:tab w:val="left" w:pos="9781"/>
              </w:tabs>
              <w:kinsoku w:val="0"/>
              <w:overflowPunct w:val="0"/>
              <w:spacing w:line="240" w:lineRule="auto"/>
              <w:rPr>
                <w:b/>
                <w:bCs/>
                <w:kern w:val="2"/>
                <w:sz w:val="22"/>
                <w:szCs w:val="22"/>
              </w:rPr>
            </w:pPr>
            <w:r>
              <w:rPr>
                <w:b/>
                <w:bCs/>
                <w:kern w:val="2"/>
                <w:sz w:val="22"/>
                <w:szCs w:val="22"/>
              </w:rPr>
              <w:t>Øre og labyrint</w:t>
            </w:r>
          </w:p>
        </w:tc>
      </w:tr>
      <w:tr w:rsidR="00F56441" w14:paraId="2E0DFB32" w14:textId="77777777" w:rsidTr="00F56441">
        <w:trPr>
          <w:trHeight w:val="270"/>
        </w:trPr>
        <w:tc>
          <w:tcPr>
            <w:tcW w:w="2263" w:type="dxa"/>
            <w:tcBorders>
              <w:top w:val="single" w:sz="4" w:space="0" w:color="000000"/>
              <w:left w:val="single" w:sz="4" w:space="0" w:color="000000"/>
              <w:bottom w:val="single" w:sz="4" w:space="0" w:color="000000"/>
              <w:right w:val="single" w:sz="4" w:space="0" w:color="000000"/>
            </w:tcBorders>
            <w:hideMark/>
          </w:tcPr>
          <w:p w14:paraId="27AD67D7" w14:textId="77777777" w:rsidR="00F56441" w:rsidRDefault="00F56441">
            <w:pPr>
              <w:pStyle w:val="TableParagraph"/>
              <w:tabs>
                <w:tab w:val="left" w:pos="9781"/>
              </w:tabs>
              <w:kinsoku w:val="0"/>
              <w:overflowPunct w:val="0"/>
              <w:spacing w:line="240" w:lineRule="auto"/>
              <w:rPr>
                <w:kern w:val="2"/>
                <w:sz w:val="22"/>
                <w:szCs w:val="22"/>
              </w:rPr>
            </w:pPr>
            <w:r>
              <w:rPr>
                <w:kern w:val="2"/>
                <w:sz w:val="22"/>
                <w:szCs w:val="22"/>
              </w:rPr>
              <w:t>Almindelig</w:t>
            </w:r>
          </w:p>
        </w:tc>
        <w:tc>
          <w:tcPr>
            <w:tcW w:w="7397" w:type="dxa"/>
            <w:tcBorders>
              <w:top w:val="single" w:sz="4" w:space="0" w:color="000000"/>
              <w:left w:val="single" w:sz="4" w:space="0" w:color="000000"/>
              <w:bottom w:val="single" w:sz="4" w:space="0" w:color="000000"/>
              <w:right w:val="single" w:sz="4" w:space="0" w:color="000000"/>
            </w:tcBorders>
            <w:hideMark/>
          </w:tcPr>
          <w:p w14:paraId="42756E1C" w14:textId="77777777" w:rsidR="00F56441" w:rsidRDefault="00F56441">
            <w:pPr>
              <w:pStyle w:val="TableParagraph"/>
              <w:tabs>
                <w:tab w:val="left" w:pos="9781"/>
              </w:tabs>
              <w:kinsoku w:val="0"/>
              <w:overflowPunct w:val="0"/>
              <w:spacing w:line="240" w:lineRule="auto"/>
              <w:ind w:left="108"/>
              <w:rPr>
                <w:kern w:val="2"/>
                <w:sz w:val="22"/>
                <w:szCs w:val="22"/>
              </w:rPr>
            </w:pPr>
            <w:r>
              <w:rPr>
                <w:kern w:val="2"/>
                <w:sz w:val="22"/>
                <w:szCs w:val="22"/>
              </w:rPr>
              <w:t>tinnitus</w:t>
            </w:r>
          </w:p>
        </w:tc>
      </w:tr>
      <w:tr w:rsidR="00F56441" w14:paraId="3285B42E" w14:textId="77777777" w:rsidTr="00F56441">
        <w:trPr>
          <w:trHeight w:val="268"/>
        </w:trPr>
        <w:tc>
          <w:tcPr>
            <w:tcW w:w="9660" w:type="dxa"/>
            <w:gridSpan w:val="2"/>
            <w:tcBorders>
              <w:top w:val="single" w:sz="4" w:space="0" w:color="000000"/>
              <w:left w:val="single" w:sz="4" w:space="0" w:color="000000"/>
              <w:bottom w:val="single" w:sz="4" w:space="0" w:color="000000"/>
              <w:right w:val="single" w:sz="4" w:space="0" w:color="000000"/>
            </w:tcBorders>
            <w:hideMark/>
          </w:tcPr>
          <w:p w14:paraId="696A6A87" w14:textId="77777777" w:rsidR="00F56441" w:rsidRDefault="00F56441">
            <w:pPr>
              <w:pStyle w:val="TableParagraph"/>
              <w:tabs>
                <w:tab w:val="left" w:pos="9781"/>
              </w:tabs>
              <w:kinsoku w:val="0"/>
              <w:overflowPunct w:val="0"/>
              <w:spacing w:line="240" w:lineRule="auto"/>
              <w:rPr>
                <w:b/>
                <w:bCs/>
                <w:kern w:val="2"/>
                <w:sz w:val="22"/>
                <w:szCs w:val="22"/>
              </w:rPr>
            </w:pPr>
            <w:r>
              <w:rPr>
                <w:b/>
                <w:bCs/>
                <w:kern w:val="2"/>
                <w:sz w:val="22"/>
                <w:szCs w:val="22"/>
              </w:rPr>
              <w:t>Øjne</w:t>
            </w:r>
          </w:p>
        </w:tc>
      </w:tr>
      <w:tr w:rsidR="00F56441" w14:paraId="2E7E3D4C" w14:textId="77777777" w:rsidTr="00F56441">
        <w:trPr>
          <w:trHeight w:val="268"/>
        </w:trPr>
        <w:tc>
          <w:tcPr>
            <w:tcW w:w="2263" w:type="dxa"/>
            <w:tcBorders>
              <w:top w:val="single" w:sz="4" w:space="0" w:color="000000"/>
              <w:left w:val="single" w:sz="4" w:space="0" w:color="000000"/>
              <w:bottom w:val="single" w:sz="4" w:space="0" w:color="000000"/>
              <w:right w:val="single" w:sz="4" w:space="0" w:color="000000"/>
            </w:tcBorders>
            <w:hideMark/>
          </w:tcPr>
          <w:p w14:paraId="4E5E1B35" w14:textId="77777777" w:rsidR="00F56441" w:rsidRDefault="00F56441">
            <w:pPr>
              <w:pStyle w:val="TableParagraph"/>
              <w:tabs>
                <w:tab w:val="left" w:pos="9781"/>
              </w:tabs>
              <w:kinsoku w:val="0"/>
              <w:overflowPunct w:val="0"/>
              <w:spacing w:line="240" w:lineRule="auto"/>
              <w:rPr>
                <w:kern w:val="2"/>
                <w:sz w:val="22"/>
                <w:szCs w:val="22"/>
              </w:rPr>
            </w:pPr>
            <w:r>
              <w:rPr>
                <w:kern w:val="2"/>
                <w:sz w:val="22"/>
                <w:szCs w:val="22"/>
              </w:rPr>
              <w:t>Almindelig</w:t>
            </w:r>
          </w:p>
        </w:tc>
        <w:tc>
          <w:tcPr>
            <w:tcW w:w="7397" w:type="dxa"/>
            <w:tcBorders>
              <w:top w:val="single" w:sz="4" w:space="0" w:color="000000"/>
              <w:left w:val="single" w:sz="4" w:space="0" w:color="000000"/>
              <w:bottom w:val="single" w:sz="4" w:space="0" w:color="000000"/>
              <w:right w:val="single" w:sz="4" w:space="0" w:color="000000"/>
            </w:tcBorders>
            <w:hideMark/>
          </w:tcPr>
          <w:p w14:paraId="0B469992" w14:textId="77777777" w:rsidR="00F56441" w:rsidRDefault="00F56441">
            <w:pPr>
              <w:pStyle w:val="TableParagraph"/>
              <w:tabs>
                <w:tab w:val="left" w:pos="9781"/>
              </w:tabs>
              <w:kinsoku w:val="0"/>
              <w:overflowPunct w:val="0"/>
              <w:spacing w:line="240" w:lineRule="auto"/>
              <w:ind w:left="108"/>
              <w:rPr>
                <w:kern w:val="2"/>
                <w:sz w:val="22"/>
                <w:szCs w:val="22"/>
              </w:rPr>
            </w:pPr>
            <w:r>
              <w:rPr>
                <w:kern w:val="2"/>
                <w:sz w:val="22"/>
                <w:szCs w:val="22"/>
              </w:rPr>
              <w:t>tørre øjne, sløret syn</w:t>
            </w:r>
          </w:p>
        </w:tc>
      </w:tr>
      <w:tr w:rsidR="00F56441" w14:paraId="1D91E0B6" w14:textId="77777777" w:rsidTr="00F56441">
        <w:trPr>
          <w:trHeight w:val="268"/>
        </w:trPr>
        <w:tc>
          <w:tcPr>
            <w:tcW w:w="2263" w:type="dxa"/>
            <w:tcBorders>
              <w:top w:val="single" w:sz="4" w:space="0" w:color="000000"/>
              <w:left w:val="single" w:sz="4" w:space="0" w:color="000000"/>
              <w:bottom w:val="single" w:sz="4" w:space="0" w:color="000000"/>
              <w:right w:val="single" w:sz="4" w:space="0" w:color="000000"/>
            </w:tcBorders>
            <w:hideMark/>
          </w:tcPr>
          <w:p w14:paraId="3C025C7C" w14:textId="77777777" w:rsidR="00F56441" w:rsidRDefault="00F56441">
            <w:pPr>
              <w:pStyle w:val="TableParagraph"/>
              <w:tabs>
                <w:tab w:val="left" w:pos="9781"/>
              </w:tabs>
              <w:kinsoku w:val="0"/>
              <w:overflowPunct w:val="0"/>
              <w:spacing w:line="240" w:lineRule="auto"/>
              <w:rPr>
                <w:kern w:val="2"/>
                <w:sz w:val="22"/>
                <w:szCs w:val="22"/>
              </w:rPr>
            </w:pPr>
            <w:r>
              <w:rPr>
                <w:kern w:val="2"/>
                <w:sz w:val="22"/>
                <w:szCs w:val="22"/>
              </w:rPr>
              <w:t>Ikke almindelig</w:t>
            </w:r>
          </w:p>
        </w:tc>
        <w:tc>
          <w:tcPr>
            <w:tcW w:w="7397" w:type="dxa"/>
            <w:tcBorders>
              <w:top w:val="single" w:sz="4" w:space="0" w:color="000000"/>
              <w:left w:val="single" w:sz="4" w:space="0" w:color="000000"/>
              <w:bottom w:val="single" w:sz="4" w:space="0" w:color="000000"/>
              <w:right w:val="single" w:sz="4" w:space="0" w:color="000000"/>
            </w:tcBorders>
            <w:hideMark/>
          </w:tcPr>
          <w:p w14:paraId="41A2CCA6" w14:textId="77777777" w:rsidR="00F56441" w:rsidRDefault="00F56441">
            <w:pPr>
              <w:pStyle w:val="TableParagraph"/>
              <w:tabs>
                <w:tab w:val="left" w:pos="9781"/>
              </w:tabs>
              <w:kinsoku w:val="0"/>
              <w:overflowPunct w:val="0"/>
              <w:spacing w:line="240" w:lineRule="auto"/>
              <w:ind w:left="108"/>
              <w:rPr>
                <w:kern w:val="2"/>
                <w:sz w:val="22"/>
                <w:szCs w:val="22"/>
              </w:rPr>
            </w:pPr>
            <w:r>
              <w:rPr>
                <w:kern w:val="2"/>
                <w:sz w:val="22"/>
                <w:szCs w:val="22"/>
              </w:rPr>
              <w:t>uveitis</w:t>
            </w:r>
          </w:p>
        </w:tc>
      </w:tr>
      <w:tr w:rsidR="00F56441" w14:paraId="73D25381" w14:textId="77777777" w:rsidTr="00F56441">
        <w:trPr>
          <w:trHeight w:val="270"/>
        </w:trPr>
        <w:tc>
          <w:tcPr>
            <w:tcW w:w="9660" w:type="dxa"/>
            <w:gridSpan w:val="2"/>
            <w:tcBorders>
              <w:top w:val="single" w:sz="4" w:space="0" w:color="000000"/>
              <w:left w:val="single" w:sz="4" w:space="0" w:color="000000"/>
              <w:bottom w:val="single" w:sz="4" w:space="0" w:color="000000"/>
              <w:right w:val="single" w:sz="4" w:space="0" w:color="000000"/>
            </w:tcBorders>
            <w:hideMark/>
          </w:tcPr>
          <w:p w14:paraId="006668E2" w14:textId="77777777" w:rsidR="00F56441" w:rsidRDefault="00F56441">
            <w:pPr>
              <w:pStyle w:val="TableParagraph"/>
              <w:tabs>
                <w:tab w:val="left" w:pos="9781"/>
              </w:tabs>
              <w:kinsoku w:val="0"/>
              <w:overflowPunct w:val="0"/>
              <w:spacing w:line="240" w:lineRule="auto"/>
              <w:rPr>
                <w:b/>
                <w:bCs/>
                <w:kern w:val="2"/>
                <w:sz w:val="22"/>
                <w:szCs w:val="22"/>
              </w:rPr>
            </w:pPr>
            <w:r>
              <w:rPr>
                <w:b/>
                <w:bCs/>
                <w:kern w:val="2"/>
                <w:sz w:val="22"/>
                <w:szCs w:val="22"/>
              </w:rPr>
              <w:t>Hjerte</w:t>
            </w:r>
          </w:p>
        </w:tc>
      </w:tr>
      <w:tr w:rsidR="00F56441" w14:paraId="2B46021C" w14:textId="77777777" w:rsidTr="00F56441">
        <w:trPr>
          <w:trHeight w:val="268"/>
        </w:trPr>
        <w:tc>
          <w:tcPr>
            <w:tcW w:w="2263" w:type="dxa"/>
            <w:tcBorders>
              <w:top w:val="single" w:sz="4" w:space="0" w:color="000000"/>
              <w:left w:val="single" w:sz="4" w:space="0" w:color="000000"/>
              <w:bottom w:val="single" w:sz="4" w:space="0" w:color="000000"/>
              <w:right w:val="single" w:sz="4" w:space="0" w:color="000000"/>
            </w:tcBorders>
            <w:hideMark/>
          </w:tcPr>
          <w:p w14:paraId="66DA7EEA" w14:textId="77777777" w:rsidR="00F56441" w:rsidRDefault="00F56441">
            <w:pPr>
              <w:pStyle w:val="TableParagraph"/>
              <w:tabs>
                <w:tab w:val="left" w:pos="9781"/>
              </w:tabs>
              <w:kinsoku w:val="0"/>
              <w:overflowPunct w:val="0"/>
              <w:spacing w:line="240" w:lineRule="auto"/>
              <w:rPr>
                <w:kern w:val="2"/>
                <w:sz w:val="22"/>
                <w:szCs w:val="22"/>
              </w:rPr>
            </w:pPr>
            <w:r>
              <w:rPr>
                <w:kern w:val="2"/>
                <w:sz w:val="22"/>
                <w:szCs w:val="22"/>
              </w:rPr>
              <w:t>Almindelig</w:t>
            </w:r>
          </w:p>
        </w:tc>
        <w:tc>
          <w:tcPr>
            <w:tcW w:w="7397" w:type="dxa"/>
            <w:tcBorders>
              <w:top w:val="single" w:sz="4" w:space="0" w:color="000000"/>
              <w:left w:val="single" w:sz="4" w:space="0" w:color="000000"/>
              <w:bottom w:val="single" w:sz="4" w:space="0" w:color="000000"/>
              <w:right w:val="single" w:sz="4" w:space="0" w:color="000000"/>
            </w:tcBorders>
            <w:hideMark/>
          </w:tcPr>
          <w:p w14:paraId="6743B364" w14:textId="77777777" w:rsidR="00F56441" w:rsidRDefault="00F56441">
            <w:pPr>
              <w:pStyle w:val="TableParagraph"/>
              <w:tabs>
                <w:tab w:val="left" w:pos="9781"/>
              </w:tabs>
              <w:kinsoku w:val="0"/>
              <w:overflowPunct w:val="0"/>
              <w:spacing w:line="240" w:lineRule="auto"/>
              <w:ind w:left="108"/>
              <w:rPr>
                <w:kern w:val="2"/>
                <w:sz w:val="22"/>
                <w:szCs w:val="22"/>
              </w:rPr>
            </w:pPr>
            <w:r>
              <w:rPr>
                <w:kern w:val="2"/>
                <w:sz w:val="22"/>
                <w:szCs w:val="22"/>
              </w:rPr>
              <w:t>artrieflimren, takykardi</w:t>
            </w:r>
          </w:p>
        </w:tc>
      </w:tr>
      <w:tr w:rsidR="00F56441" w14:paraId="6BBB9967" w14:textId="77777777" w:rsidTr="00F56441">
        <w:trPr>
          <w:trHeight w:val="268"/>
        </w:trPr>
        <w:tc>
          <w:tcPr>
            <w:tcW w:w="2263" w:type="dxa"/>
            <w:tcBorders>
              <w:top w:val="single" w:sz="4" w:space="0" w:color="000000"/>
              <w:left w:val="single" w:sz="4" w:space="0" w:color="000000"/>
              <w:bottom w:val="single" w:sz="4" w:space="0" w:color="000000"/>
              <w:right w:val="single" w:sz="4" w:space="0" w:color="000000"/>
            </w:tcBorders>
            <w:hideMark/>
          </w:tcPr>
          <w:p w14:paraId="37CBAC89" w14:textId="77777777" w:rsidR="00F56441" w:rsidRDefault="00F56441">
            <w:pPr>
              <w:pStyle w:val="TableParagraph"/>
              <w:tabs>
                <w:tab w:val="left" w:pos="9781"/>
              </w:tabs>
              <w:kinsoku w:val="0"/>
              <w:overflowPunct w:val="0"/>
              <w:spacing w:line="240" w:lineRule="auto"/>
              <w:rPr>
                <w:kern w:val="2"/>
                <w:sz w:val="22"/>
                <w:szCs w:val="22"/>
              </w:rPr>
            </w:pPr>
            <w:r>
              <w:rPr>
                <w:kern w:val="2"/>
                <w:sz w:val="22"/>
                <w:szCs w:val="22"/>
              </w:rPr>
              <w:t>Ikke almindelig</w:t>
            </w:r>
          </w:p>
        </w:tc>
        <w:tc>
          <w:tcPr>
            <w:tcW w:w="7397" w:type="dxa"/>
            <w:tcBorders>
              <w:top w:val="single" w:sz="4" w:space="0" w:color="000000"/>
              <w:left w:val="single" w:sz="4" w:space="0" w:color="000000"/>
              <w:bottom w:val="single" w:sz="4" w:space="0" w:color="000000"/>
              <w:right w:val="single" w:sz="4" w:space="0" w:color="000000"/>
            </w:tcBorders>
            <w:hideMark/>
          </w:tcPr>
          <w:p w14:paraId="1BA6DEBC" w14:textId="77777777" w:rsidR="00F56441" w:rsidRDefault="00F56441">
            <w:pPr>
              <w:pStyle w:val="TableParagraph"/>
              <w:tabs>
                <w:tab w:val="left" w:pos="9781"/>
              </w:tabs>
              <w:kinsoku w:val="0"/>
              <w:overflowPunct w:val="0"/>
              <w:spacing w:line="240" w:lineRule="auto"/>
              <w:ind w:left="108"/>
              <w:rPr>
                <w:kern w:val="2"/>
                <w:sz w:val="22"/>
                <w:szCs w:val="22"/>
              </w:rPr>
            </w:pPr>
            <w:r>
              <w:rPr>
                <w:kern w:val="2"/>
                <w:sz w:val="22"/>
                <w:szCs w:val="22"/>
              </w:rPr>
              <w:t>myocarditis</w:t>
            </w:r>
          </w:p>
        </w:tc>
      </w:tr>
      <w:tr w:rsidR="00F56441" w14:paraId="669E22B0" w14:textId="77777777" w:rsidTr="00F56441">
        <w:trPr>
          <w:trHeight w:val="268"/>
        </w:trPr>
        <w:tc>
          <w:tcPr>
            <w:tcW w:w="9660" w:type="dxa"/>
            <w:gridSpan w:val="2"/>
            <w:tcBorders>
              <w:top w:val="single" w:sz="4" w:space="0" w:color="000000"/>
              <w:left w:val="single" w:sz="4" w:space="0" w:color="000000"/>
              <w:bottom w:val="single" w:sz="4" w:space="0" w:color="000000"/>
              <w:right w:val="single" w:sz="4" w:space="0" w:color="000000"/>
            </w:tcBorders>
            <w:hideMark/>
          </w:tcPr>
          <w:p w14:paraId="16F8ECB9" w14:textId="77777777" w:rsidR="00F56441" w:rsidRDefault="00F56441">
            <w:pPr>
              <w:pStyle w:val="TableParagraph"/>
              <w:tabs>
                <w:tab w:val="left" w:pos="9781"/>
              </w:tabs>
              <w:kinsoku w:val="0"/>
              <w:overflowPunct w:val="0"/>
              <w:spacing w:line="240" w:lineRule="auto"/>
              <w:rPr>
                <w:b/>
                <w:bCs/>
                <w:kern w:val="2"/>
                <w:sz w:val="22"/>
                <w:szCs w:val="22"/>
              </w:rPr>
            </w:pPr>
            <w:r>
              <w:rPr>
                <w:b/>
                <w:bCs/>
                <w:kern w:val="2"/>
                <w:sz w:val="22"/>
                <w:szCs w:val="22"/>
              </w:rPr>
              <w:t>Vaskulære sygdomme</w:t>
            </w:r>
          </w:p>
        </w:tc>
      </w:tr>
      <w:tr w:rsidR="00F56441" w14:paraId="1B70AECD" w14:textId="77777777" w:rsidTr="00F56441">
        <w:trPr>
          <w:trHeight w:val="270"/>
        </w:trPr>
        <w:tc>
          <w:tcPr>
            <w:tcW w:w="2263" w:type="dxa"/>
            <w:tcBorders>
              <w:top w:val="single" w:sz="4" w:space="0" w:color="000000"/>
              <w:left w:val="single" w:sz="4" w:space="0" w:color="000000"/>
              <w:bottom w:val="single" w:sz="4" w:space="0" w:color="000000"/>
              <w:right w:val="single" w:sz="4" w:space="0" w:color="000000"/>
            </w:tcBorders>
            <w:hideMark/>
          </w:tcPr>
          <w:p w14:paraId="5BA59D97" w14:textId="77777777" w:rsidR="00F56441" w:rsidRDefault="00F56441">
            <w:pPr>
              <w:pStyle w:val="TableParagraph"/>
              <w:tabs>
                <w:tab w:val="left" w:pos="9781"/>
              </w:tabs>
              <w:kinsoku w:val="0"/>
              <w:overflowPunct w:val="0"/>
              <w:spacing w:line="240" w:lineRule="auto"/>
              <w:rPr>
                <w:kern w:val="2"/>
                <w:sz w:val="22"/>
                <w:szCs w:val="22"/>
              </w:rPr>
            </w:pPr>
            <w:r>
              <w:rPr>
                <w:kern w:val="2"/>
                <w:sz w:val="22"/>
                <w:szCs w:val="22"/>
              </w:rPr>
              <w:t>Meget almindelig</w:t>
            </w:r>
          </w:p>
        </w:tc>
        <w:tc>
          <w:tcPr>
            <w:tcW w:w="7397" w:type="dxa"/>
            <w:tcBorders>
              <w:top w:val="single" w:sz="4" w:space="0" w:color="000000"/>
              <w:left w:val="single" w:sz="4" w:space="0" w:color="000000"/>
              <w:bottom w:val="single" w:sz="4" w:space="0" w:color="000000"/>
              <w:right w:val="single" w:sz="4" w:space="0" w:color="000000"/>
            </w:tcBorders>
            <w:hideMark/>
          </w:tcPr>
          <w:p w14:paraId="7B9B9A05" w14:textId="77777777" w:rsidR="00F56441" w:rsidRDefault="00F56441">
            <w:pPr>
              <w:pStyle w:val="TableParagraph"/>
              <w:tabs>
                <w:tab w:val="left" w:pos="9781"/>
              </w:tabs>
              <w:kinsoku w:val="0"/>
              <w:overflowPunct w:val="0"/>
              <w:spacing w:line="240" w:lineRule="auto"/>
              <w:ind w:left="108"/>
              <w:rPr>
                <w:kern w:val="2"/>
                <w:sz w:val="22"/>
                <w:szCs w:val="22"/>
              </w:rPr>
            </w:pPr>
            <w:r>
              <w:rPr>
                <w:kern w:val="2"/>
                <w:sz w:val="22"/>
                <w:szCs w:val="22"/>
              </w:rPr>
              <w:t>hypertension</w:t>
            </w:r>
          </w:p>
        </w:tc>
      </w:tr>
      <w:tr w:rsidR="00F56441" w14:paraId="52C224FA" w14:textId="77777777" w:rsidTr="00F56441">
        <w:trPr>
          <w:trHeight w:val="268"/>
        </w:trPr>
        <w:tc>
          <w:tcPr>
            <w:tcW w:w="2263" w:type="dxa"/>
            <w:tcBorders>
              <w:top w:val="single" w:sz="4" w:space="0" w:color="000000"/>
              <w:left w:val="single" w:sz="4" w:space="0" w:color="000000"/>
              <w:bottom w:val="single" w:sz="4" w:space="0" w:color="000000"/>
              <w:right w:val="single" w:sz="4" w:space="0" w:color="000000"/>
            </w:tcBorders>
            <w:hideMark/>
          </w:tcPr>
          <w:p w14:paraId="4CEEA10C" w14:textId="77777777" w:rsidR="00F56441" w:rsidRDefault="00F56441">
            <w:pPr>
              <w:pStyle w:val="TableParagraph"/>
              <w:tabs>
                <w:tab w:val="left" w:pos="9781"/>
              </w:tabs>
              <w:kinsoku w:val="0"/>
              <w:overflowPunct w:val="0"/>
              <w:spacing w:line="240" w:lineRule="auto"/>
              <w:rPr>
                <w:kern w:val="2"/>
                <w:sz w:val="22"/>
                <w:szCs w:val="22"/>
              </w:rPr>
            </w:pPr>
            <w:r>
              <w:rPr>
                <w:kern w:val="2"/>
                <w:sz w:val="22"/>
                <w:szCs w:val="22"/>
              </w:rPr>
              <w:t>Almindelig</w:t>
            </w:r>
          </w:p>
        </w:tc>
        <w:tc>
          <w:tcPr>
            <w:tcW w:w="7397" w:type="dxa"/>
            <w:tcBorders>
              <w:top w:val="single" w:sz="4" w:space="0" w:color="000000"/>
              <w:left w:val="single" w:sz="4" w:space="0" w:color="000000"/>
              <w:bottom w:val="single" w:sz="4" w:space="0" w:color="000000"/>
              <w:right w:val="single" w:sz="4" w:space="0" w:color="000000"/>
            </w:tcBorders>
            <w:hideMark/>
          </w:tcPr>
          <w:p w14:paraId="79A53A7F" w14:textId="77777777" w:rsidR="00F56441" w:rsidRDefault="00F56441">
            <w:pPr>
              <w:pStyle w:val="TableParagraph"/>
              <w:tabs>
                <w:tab w:val="left" w:pos="9781"/>
              </w:tabs>
              <w:kinsoku w:val="0"/>
              <w:overflowPunct w:val="0"/>
              <w:spacing w:line="240" w:lineRule="auto"/>
              <w:ind w:left="108"/>
              <w:rPr>
                <w:kern w:val="2"/>
                <w:position w:val="8"/>
                <w:sz w:val="14"/>
                <w:szCs w:val="14"/>
              </w:rPr>
            </w:pPr>
            <w:r>
              <w:rPr>
                <w:kern w:val="2"/>
                <w:sz w:val="22"/>
                <w:szCs w:val="22"/>
              </w:rPr>
              <w:t>trombose</w:t>
            </w:r>
            <w:r>
              <w:rPr>
                <w:kern w:val="2"/>
                <w:position w:val="8"/>
                <w:sz w:val="14"/>
                <w:szCs w:val="14"/>
              </w:rPr>
              <w:t>a</w:t>
            </w:r>
          </w:p>
        </w:tc>
      </w:tr>
      <w:tr w:rsidR="00F56441" w14:paraId="24DB9DFC" w14:textId="77777777" w:rsidTr="00F56441">
        <w:trPr>
          <w:trHeight w:val="268"/>
        </w:trPr>
        <w:tc>
          <w:tcPr>
            <w:tcW w:w="2263" w:type="dxa"/>
            <w:tcBorders>
              <w:top w:val="single" w:sz="4" w:space="0" w:color="000000"/>
              <w:left w:val="single" w:sz="4" w:space="0" w:color="000000"/>
              <w:bottom w:val="single" w:sz="4" w:space="0" w:color="000000"/>
              <w:right w:val="single" w:sz="4" w:space="0" w:color="000000"/>
            </w:tcBorders>
            <w:hideMark/>
          </w:tcPr>
          <w:p w14:paraId="7D117AFC" w14:textId="77777777" w:rsidR="00F56441" w:rsidRDefault="00F56441">
            <w:pPr>
              <w:pStyle w:val="TableParagraph"/>
              <w:tabs>
                <w:tab w:val="left" w:pos="9781"/>
              </w:tabs>
              <w:kinsoku w:val="0"/>
              <w:overflowPunct w:val="0"/>
              <w:spacing w:line="240" w:lineRule="auto"/>
              <w:rPr>
                <w:kern w:val="2"/>
                <w:sz w:val="22"/>
                <w:szCs w:val="22"/>
              </w:rPr>
            </w:pPr>
            <w:r>
              <w:rPr>
                <w:kern w:val="2"/>
                <w:sz w:val="22"/>
                <w:szCs w:val="22"/>
              </w:rPr>
              <w:t>Ikke almindelig</w:t>
            </w:r>
          </w:p>
        </w:tc>
        <w:tc>
          <w:tcPr>
            <w:tcW w:w="7397" w:type="dxa"/>
            <w:tcBorders>
              <w:top w:val="single" w:sz="4" w:space="0" w:color="000000"/>
              <w:left w:val="single" w:sz="4" w:space="0" w:color="000000"/>
              <w:bottom w:val="single" w:sz="4" w:space="0" w:color="000000"/>
              <w:right w:val="single" w:sz="4" w:space="0" w:color="000000"/>
            </w:tcBorders>
            <w:hideMark/>
          </w:tcPr>
          <w:p w14:paraId="22A81288" w14:textId="77777777" w:rsidR="00F56441" w:rsidRDefault="00F56441">
            <w:pPr>
              <w:pStyle w:val="TableParagraph"/>
              <w:tabs>
                <w:tab w:val="left" w:pos="9781"/>
              </w:tabs>
              <w:kinsoku w:val="0"/>
              <w:overflowPunct w:val="0"/>
              <w:spacing w:line="240" w:lineRule="auto"/>
              <w:ind w:left="108"/>
              <w:rPr>
                <w:kern w:val="2"/>
                <w:sz w:val="22"/>
                <w:szCs w:val="22"/>
              </w:rPr>
            </w:pPr>
            <w:r>
              <w:rPr>
                <w:kern w:val="2"/>
                <w:sz w:val="22"/>
                <w:szCs w:val="22"/>
              </w:rPr>
              <w:t>arteriel emboli</w:t>
            </w:r>
          </w:p>
        </w:tc>
      </w:tr>
      <w:tr w:rsidR="00F56441" w14:paraId="33E22FA2" w14:textId="77777777" w:rsidTr="00F56441">
        <w:trPr>
          <w:trHeight w:val="268"/>
        </w:trPr>
        <w:tc>
          <w:tcPr>
            <w:tcW w:w="9660" w:type="dxa"/>
            <w:gridSpan w:val="2"/>
            <w:tcBorders>
              <w:top w:val="single" w:sz="4" w:space="0" w:color="000000"/>
              <w:left w:val="single" w:sz="4" w:space="0" w:color="000000"/>
              <w:bottom w:val="single" w:sz="4" w:space="0" w:color="000000"/>
              <w:right w:val="single" w:sz="4" w:space="0" w:color="000000"/>
            </w:tcBorders>
            <w:hideMark/>
          </w:tcPr>
          <w:p w14:paraId="18489754" w14:textId="77777777" w:rsidR="00F56441" w:rsidRDefault="00F56441">
            <w:pPr>
              <w:pStyle w:val="TableParagraph"/>
              <w:tabs>
                <w:tab w:val="left" w:pos="9781"/>
              </w:tabs>
              <w:kinsoku w:val="0"/>
              <w:overflowPunct w:val="0"/>
              <w:spacing w:line="240" w:lineRule="auto"/>
              <w:rPr>
                <w:b/>
                <w:bCs/>
                <w:kern w:val="2"/>
                <w:sz w:val="22"/>
                <w:szCs w:val="22"/>
              </w:rPr>
            </w:pPr>
            <w:r>
              <w:rPr>
                <w:b/>
                <w:bCs/>
                <w:kern w:val="2"/>
                <w:sz w:val="22"/>
                <w:szCs w:val="22"/>
              </w:rPr>
              <w:lastRenderedPageBreak/>
              <w:t>Luftveje, thorax og mediastinum</w:t>
            </w:r>
          </w:p>
        </w:tc>
      </w:tr>
      <w:tr w:rsidR="00F56441" w14:paraId="402CE15B" w14:textId="77777777" w:rsidTr="00F56441">
        <w:trPr>
          <w:trHeight w:val="270"/>
        </w:trPr>
        <w:tc>
          <w:tcPr>
            <w:tcW w:w="2263" w:type="dxa"/>
            <w:tcBorders>
              <w:top w:val="single" w:sz="4" w:space="0" w:color="000000"/>
              <w:left w:val="single" w:sz="4" w:space="0" w:color="000000"/>
              <w:bottom w:val="single" w:sz="4" w:space="0" w:color="000000"/>
              <w:right w:val="single" w:sz="4" w:space="0" w:color="000000"/>
            </w:tcBorders>
            <w:hideMark/>
          </w:tcPr>
          <w:p w14:paraId="074A2396" w14:textId="77777777" w:rsidR="00F56441" w:rsidRDefault="00F56441">
            <w:pPr>
              <w:pStyle w:val="TableParagraph"/>
              <w:tabs>
                <w:tab w:val="left" w:pos="9781"/>
              </w:tabs>
              <w:kinsoku w:val="0"/>
              <w:overflowPunct w:val="0"/>
              <w:spacing w:line="240" w:lineRule="auto"/>
              <w:rPr>
                <w:kern w:val="2"/>
                <w:sz w:val="22"/>
                <w:szCs w:val="22"/>
              </w:rPr>
            </w:pPr>
            <w:r>
              <w:rPr>
                <w:kern w:val="2"/>
                <w:sz w:val="22"/>
                <w:szCs w:val="22"/>
              </w:rPr>
              <w:t>Meget almindelig</w:t>
            </w:r>
          </w:p>
        </w:tc>
        <w:tc>
          <w:tcPr>
            <w:tcW w:w="7397" w:type="dxa"/>
            <w:tcBorders>
              <w:top w:val="single" w:sz="4" w:space="0" w:color="000000"/>
              <w:left w:val="single" w:sz="4" w:space="0" w:color="000000"/>
              <w:bottom w:val="single" w:sz="4" w:space="0" w:color="000000"/>
              <w:right w:val="single" w:sz="4" w:space="0" w:color="000000"/>
            </w:tcBorders>
            <w:hideMark/>
          </w:tcPr>
          <w:p w14:paraId="4243DAC7" w14:textId="77777777" w:rsidR="00F56441" w:rsidRDefault="00F56441">
            <w:pPr>
              <w:pStyle w:val="TableParagraph"/>
              <w:tabs>
                <w:tab w:val="left" w:pos="9781"/>
              </w:tabs>
              <w:kinsoku w:val="0"/>
              <w:overflowPunct w:val="0"/>
              <w:spacing w:line="240" w:lineRule="auto"/>
              <w:ind w:left="108"/>
              <w:rPr>
                <w:kern w:val="2"/>
                <w:sz w:val="22"/>
                <w:szCs w:val="22"/>
              </w:rPr>
            </w:pPr>
            <w:r>
              <w:rPr>
                <w:kern w:val="2"/>
                <w:sz w:val="22"/>
                <w:szCs w:val="22"/>
              </w:rPr>
              <w:t>dysfoni, dyspnø, hoste</w:t>
            </w:r>
          </w:p>
        </w:tc>
      </w:tr>
      <w:tr w:rsidR="00F56441" w14:paraId="606F9AFB" w14:textId="77777777" w:rsidTr="00F56441">
        <w:trPr>
          <w:trHeight w:val="268"/>
        </w:trPr>
        <w:tc>
          <w:tcPr>
            <w:tcW w:w="2263" w:type="dxa"/>
            <w:tcBorders>
              <w:top w:val="single" w:sz="4" w:space="0" w:color="000000"/>
              <w:left w:val="single" w:sz="4" w:space="0" w:color="000000"/>
              <w:bottom w:val="single" w:sz="4" w:space="0" w:color="000000"/>
              <w:right w:val="single" w:sz="4" w:space="0" w:color="000000"/>
            </w:tcBorders>
            <w:hideMark/>
          </w:tcPr>
          <w:p w14:paraId="14CE2A77" w14:textId="77777777" w:rsidR="00F56441" w:rsidRDefault="00F56441">
            <w:pPr>
              <w:pStyle w:val="TableParagraph"/>
              <w:tabs>
                <w:tab w:val="left" w:pos="9781"/>
              </w:tabs>
              <w:kinsoku w:val="0"/>
              <w:overflowPunct w:val="0"/>
              <w:spacing w:line="240" w:lineRule="auto"/>
              <w:rPr>
                <w:kern w:val="2"/>
                <w:sz w:val="22"/>
                <w:szCs w:val="22"/>
              </w:rPr>
            </w:pPr>
            <w:r>
              <w:rPr>
                <w:kern w:val="2"/>
                <w:sz w:val="22"/>
                <w:szCs w:val="22"/>
              </w:rPr>
              <w:t>Almindelig</w:t>
            </w:r>
          </w:p>
        </w:tc>
        <w:tc>
          <w:tcPr>
            <w:tcW w:w="7397" w:type="dxa"/>
            <w:tcBorders>
              <w:top w:val="single" w:sz="4" w:space="0" w:color="000000"/>
              <w:left w:val="single" w:sz="4" w:space="0" w:color="000000"/>
              <w:bottom w:val="single" w:sz="4" w:space="0" w:color="000000"/>
              <w:right w:val="single" w:sz="4" w:space="0" w:color="000000"/>
            </w:tcBorders>
            <w:hideMark/>
          </w:tcPr>
          <w:p w14:paraId="443FD8DE" w14:textId="77777777" w:rsidR="00F56441" w:rsidRDefault="00F56441">
            <w:pPr>
              <w:pStyle w:val="TableParagraph"/>
              <w:tabs>
                <w:tab w:val="left" w:pos="9781"/>
              </w:tabs>
              <w:kinsoku w:val="0"/>
              <w:overflowPunct w:val="0"/>
              <w:spacing w:line="240" w:lineRule="auto"/>
              <w:ind w:left="108"/>
              <w:rPr>
                <w:kern w:val="2"/>
                <w:sz w:val="22"/>
                <w:szCs w:val="22"/>
              </w:rPr>
            </w:pPr>
            <w:r>
              <w:rPr>
                <w:kern w:val="2"/>
                <w:sz w:val="22"/>
                <w:szCs w:val="22"/>
              </w:rPr>
              <w:t>pneumonitis, lungeemboli, epistaxis, pleuraeffusion</w:t>
            </w:r>
          </w:p>
        </w:tc>
      </w:tr>
      <w:tr w:rsidR="00F56441" w14:paraId="10D6A036" w14:textId="77777777" w:rsidTr="00F56441">
        <w:trPr>
          <w:trHeight w:val="268"/>
        </w:trPr>
        <w:tc>
          <w:tcPr>
            <w:tcW w:w="2263" w:type="dxa"/>
            <w:tcBorders>
              <w:top w:val="single" w:sz="4" w:space="0" w:color="000000"/>
              <w:left w:val="single" w:sz="4" w:space="0" w:color="000000"/>
              <w:bottom w:val="single" w:sz="4" w:space="0" w:color="000000"/>
              <w:right w:val="single" w:sz="4" w:space="0" w:color="000000"/>
            </w:tcBorders>
            <w:hideMark/>
          </w:tcPr>
          <w:p w14:paraId="34998353" w14:textId="77777777" w:rsidR="00F56441" w:rsidRDefault="00F56441">
            <w:pPr>
              <w:pStyle w:val="TableParagraph"/>
              <w:tabs>
                <w:tab w:val="left" w:pos="9781"/>
              </w:tabs>
              <w:kinsoku w:val="0"/>
              <w:overflowPunct w:val="0"/>
              <w:spacing w:line="240" w:lineRule="auto"/>
              <w:rPr>
                <w:kern w:val="2"/>
                <w:sz w:val="22"/>
                <w:szCs w:val="22"/>
              </w:rPr>
            </w:pPr>
            <w:r>
              <w:rPr>
                <w:kern w:val="2"/>
                <w:sz w:val="22"/>
                <w:szCs w:val="22"/>
              </w:rPr>
              <w:t>Ikke almindelig</w:t>
            </w:r>
          </w:p>
        </w:tc>
        <w:tc>
          <w:tcPr>
            <w:tcW w:w="7397" w:type="dxa"/>
            <w:tcBorders>
              <w:top w:val="single" w:sz="4" w:space="0" w:color="000000"/>
              <w:left w:val="single" w:sz="4" w:space="0" w:color="000000"/>
              <w:bottom w:val="single" w:sz="4" w:space="0" w:color="000000"/>
              <w:right w:val="single" w:sz="4" w:space="0" w:color="000000"/>
            </w:tcBorders>
            <w:hideMark/>
          </w:tcPr>
          <w:p w14:paraId="004FCF76" w14:textId="77777777" w:rsidR="00F56441" w:rsidRDefault="00F56441">
            <w:pPr>
              <w:pStyle w:val="TableParagraph"/>
              <w:tabs>
                <w:tab w:val="left" w:pos="9781"/>
              </w:tabs>
              <w:kinsoku w:val="0"/>
              <w:overflowPunct w:val="0"/>
              <w:spacing w:line="240" w:lineRule="auto"/>
              <w:ind w:left="108"/>
              <w:rPr>
                <w:kern w:val="2"/>
                <w:sz w:val="22"/>
                <w:szCs w:val="22"/>
              </w:rPr>
            </w:pPr>
            <w:r>
              <w:rPr>
                <w:kern w:val="2"/>
                <w:sz w:val="22"/>
                <w:szCs w:val="22"/>
              </w:rPr>
              <w:t>pneumothorax</w:t>
            </w:r>
          </w:p>
        </w:tc>
      </w:tr>
      <w:tr w:rsidR="00F56441" w14:paraId="151BCF7C" w14:textId="77777777" w:rsidTr="00F56441">
        <w:trPr>
          <w:trHeight w:val="268"/>
        </w:trPr>
        <w:tc>
          <w:tcPr>
            <w:tcW w:w="9660" w:type="dxa"/>
            <w:gridSpan w:val="2"/>
            <w:tcBorders>
              <w:top w:val="single" w:sz="4" w:space="0" w:color="000000"/>
              <w:left w:val="single" w:sz="4" w:space="0" w:color="000000"/>
              <w:bottom w:val="single" w:sz="4" w:space="0" w:color="000000"/>
              <w:right w:val="single" w:sz="4" w:space="0" w:color="000000"/>
            </w:tcBorders>
            <w:hideMark/>
          </w:tcPr>
          <w:p w14:paraId="14CCEFE5" w14:textId="77777777" w:rsidR="00F56441" w:rsidRDefault="00F56441">
            <w:pPr>
              <w:pStyle w:val="TableParagraph"/>
              <w:tabs>
                <w:tab w:val="left" w:pos="9781"/>
              </w:tabs>
              <w:kinsoku w:val="0"/>
              <w:overflowPunct w:val="0"/>
              <w:spacing w:line="240" w:lineRule="auto"/>
              <w:rPr>
                <w:b/>
                <w:bCs/>
                <w:kern w:val="2"/>
                <w:sz w:val="22"/>
                <w:szCs w:val="22"/>
              </w:rPr>
            </w:pPr>
            <w:r>
              <w:rPr>
                <w:b/>
                <w:bCs/>
                <w:kern w:val="2"/>
                <w:sz w:val="22"/>
                <w:szCs w:val="22"/>
              </w:rPr>
              <w:t>Mave-tarm-kanalen</w:t>
            </w:r>
          </w:p>
        </w:tc>
      </w:tr>
      <w:tr w:rsidR="00F56441" w14:paraId="3DD5CFCF" w14:textId="77777777" w:rsidTr="00F56441">
        <w:trPr>
          <w:trHeight w:val="270"/>
        </w:trPr>
        <w:tc>
          <w:tcPr>
            <w:tcW w:w="2263" w:type="dxa"/>
            <w:tcBorders>
              <w:top w:val="single" w:sz="4" w:space="0" w:color="000000"/>
              <w:left w:val="single" w:sz="4" w:space="0" w:color="000000"/>
              <w:bottom w:val="single" w:sz="4" w:space="0" w:color="000000"/>
              <w:right w:val="single" w:sz="4" w:space="0" w:color="000000"/>
            </w:tcBorders>
            <w:hideMark/>
          </w:tcPr>
          <w:p w14:paraId="66F382EB" w14:textId="77777777" w:rsidR="00F56441" w:rsidRDefault="00F56441">
            <w:pPr>
              <w:pStyle w:val="TableParagraph"/>
              <w:tabs>
                <w:tab w:val="left" w:pos="9781"/>
              </w:tabs>
              <w:kinsoku w:val="0"/>
              <w:overflowPunct w:val="0"/>
              <w:spacing w:line="240" w:lineRule="auto"/>
              <w:rPr>
                <w:kern w:val="2"/>
                <w:sz w:val="22"/>
                <w:szCs w:val="22"/>
              </w:rPr>
            </w:pPr>
            <w:r>
              <w:rPr>
                <w:kern w:val="2"/>
                <w:sz w:val="22"/>
                <w:szCs w:val="22"/>
              </w:rPr>
              <w:t>Meget almindelig</w:t>
            </w:r>
          </w:p>
        </w:tc>
        <w:tc>
          <w:tcPr>
            <w:tcW w:w="7397" w:type="dxa"/>
            <w:tcBorders>
              <w:top w:val="single" w:sz="4" w:space="0" w:color="000000"/>
              <w:left w:val="single" w:sz="4" w:space="0" w:color="000000"/>
              <w:bottom w:val="single" w:sz="4" w:space="0" w:color="000000"/>
              <w:right w:val="single" w:sz="4" w:space="0" w:color="000000"/>
            </w:tcBorders>
            <w:hideMark/>
          </w:tcPr>
          <w:p w14:paraId="26F27095" w14:textId="77777777" w:rsidR="00F56441" w:rsidRDefault="00F56441">
            <w:pPr>
              <w:pStyle w:val="TableParagraph"/>
              <w:tabs>
                <w:tab w:val="left" w:pos="9781"/>
              </w:tabs>
              <w:kinsoku w:val="0"/>
              <w:overflowPunct w:val="0"/>
              <w:spacing w:line="240" w:lineRule="auto"/>
              <w:ind w:left="108"/>
              <w:rPr>
                <w:kern w:val="2"/>
                <w:sz w:val="22"/>
                <w:szCs w:val="22"/>
              </w:rPr>
            </w:pPr>
            <w:r>
              <w:rPr>
                <w:kern w:val="2"/>
                <w:sz w:val="22"/>
                <w:szCs w:val="22"/>
              </w:rPr>
              <w:t>diarré, opkastning, kvalme, obstipation, stomatitis, abdominalsmerter, dyspepsi</w:t>
            </w:r>
          </w:p>
        </w:tc>
      </w:tr>
      <w:tr w:rsidR="00F56441" w14:paraId="44D51B1F" w14:textId="77777777" w:rsidTr="00F56441">
        <w:trPr>
          <w:trHeight w:val="268"/>
        </w:trPr>
        <w:tc>
          <w:tcPr>
            <w:tcW w:w="2263" w:type="dxa"/>
            <w:tcBorders>
              <w:top w:val="single" w:sz="4" w:space="0" w:color="000000"/>
              <w:left w:val="single" w:sz="4" w:space="0" w:color="000000"/>
              <w:bottom w:val="single" w:sz="4" w:space="0" w:color="000000"/>
              <w:right w:val="single" w:sz="4" w:space="0" w:color="000000"/>
            </w:tcBorders>
            <w:hideMark/>
          </w:tcPr>
          <w:p w14:paraId="4E91FD35" w14:textId="77777777" w:rsidR="00F56441" w:rsidRDefault="00F56441">
            <w:pPr>
              <w:pStyle w:val="TableParagraph"/>
              <w:tabs>
                <w:tab w:val="left" w:pos="9781"/>
              </w:tabs>
              <w:kinsoku w:val="0"/>
              <w:overflowPunct w:val="0"/>
              <w:spacing w:line="240" w:lineRule="auto"/>
              <w:rPr>
                <w:kern w:val="2"/>
                <w:sz w:val="22"/>
                <w:szCs w:val="22"/>
              </w:rPr>
            </w:pPr>
            <w:r>
              <w:rPr>
                <w:kern w:val="2"/>
                <w:sz w:val="22"/>
                <w:szCs w:val="22"/>
              </w:rPr>
              <w:t>Almindelig</w:t>
            </w:r>
          </w:p>
        </w:tc>
        <w:tc>
          <w:tcPr>
            <w:tcW w:w="7397" w:type="dxa"/>
            <w:tcBorders>
              <w:top w:val="single" w:sz="4" w:space="0" w:color="000000"/>
              <w:left w:val="single" w:sz="4" w:space="0" w:color="000000"/>
              <w:bottom w:val="single" w:sz="4" w:space="0" w:color="000000"/>
              <w:right w:val="single" w:sz="4" w:space="0" w:color="000000"/>
            </w:tcBorders>
            <w:hideMark/>
          </w:tcPr>
          <w:p w14:paraId="51ABBF42" w14:textId="77777777" w:rsidR="00F56441" w:rsidRDefault="00F56441">
            <w:pPr>
              <w:pStyle w:val="TableParagraph"/>
              <w:tabs>
                <w:tab w:val="left" w:pos="9781"/>
              </w:tabs>
              <w:kinsoku w:val="0"/>
              <w:overflowPunct w:val="0"/>
              <w:spacing w:line="240" w:lineRule="auto"/>
              <w:ind w:left="108"/>
              <w:rPr>
                <w:kern w:val="2"/>
                <w:sz w:val="22"/>
                <w:szCs w:val="22"/>
              </w:rPr>
            </w:pPr>
            <w:r>
              <w:rPr>
                <w:kern w:val="2"/>
                <w:sz w:val="22"/>
                <w:szCs w:val="22"/>
              </w:rPr>
              <w:t>colitis, gastritis, orale smerter, mundtørhed, hæmorider</w:t>
            </w:r>
          </w:p>
        </w:tc>
      </w:tr>
      <w:tr w:rsidR="00F56441" w14:paraId="0D955846" w14:textId="77777777" w:rsidTr="00F56441">
        <w:trPr>
          <w:trHeight w:val="268"/>
        </w:trPr>
        <w:tc>
          <w:tcPr>
            <w:tcW w:w="2263" w:type="dxa"/>
            <w:tcBorders>
              <w:top w:val="single" w:sz="4" w:space="0" w:color="000000"/>
              <w:left w:val="single" w:sz="4" w:space="0" w:color="000000"/>
              <w:bottom w:val="single" w:sz="4" w:space="0" w:color="000000"/>
              <w:right w:val="single" w:sz="4" w:space="0" w:color="000000"/>
            </w:tcBorders>
            <w:hideMark/>
          </w:tcPr>
          <w:p w14:paraId="3E7E4D6D" w14:textId="77777777" w:rsidR="00F56441" w:rsidRDefault="00F56441">
            <w:pPr>
              <w:pStyle w:val="TableParagraph"/>
              <w:tabs>
                <w:tab w:val="left" w:pos="9781"/>
              </w:tabs>
              <w:kinsoku w:val="0"/>
              <w:overflowPunct w:val="0"/>
              <w:spacing w:line="240" w:lineRule="auto"/>
              <w:rPr>
                <w:kern w:val="2"/>
                <w:sz w:val="22"/>
                <w:szCs w:val="22"/>
              </w:rPr>
            </w:pPr>
            <w:r>
              <w:rPr>
                <w:kern w:val="2"/>
                <w:sz w:val="22"/>
                <w:szCs w:val="22"/>
              </w:rPr>
              <w:t>Ikke almindelig</w:t>
            </w:r>
          </w:p>
        </w:tc>
        <w:tc>
          <w:tcPr>
            <w:tcW w:w="7397" w:type="dxa"/>
            <w:tcBorders>
              <w:top w:val="single" w:sz="4" w:space="0" w:color="000000"/>
              <w:left w:val="single" w:sz="4" w:space="0" w:color="000000"/>
              <w:bottom w:val="single" w:sz="4" w:space="0" w:color="000000"/>
              <w:right w:val="single" w:sz="4" w:space="0" w:color="000000"/>
            </w:tcBorders>
            <w:hideMark/>
          </w:tcPr>
          <w:p w14:paraId="0E6D2E49" w14:textId="77777777" w:rsidR="00F56441" w:rsidRDefault="00F56441">
            <w:pPr>
              <w:pStyle w:val="TableParagraph"/>
              <w:tabs>
                <w:tab w:val="left" w:pos="9781"/>
              </w:tabs>
              <w:kinsoku w:val="0"/>
              <w:overflowPunct w:val="0"/>
              <w:spacing w:line="240" w:lineRule="auto"/>
              <w:ind w:left="108"/>
              <w:rPr>
                <w:kern w:val="2"/>
                <w:sz w:val="22"/>
                <w:szCs w:val="22"/>
              </w:rPr>
            </w:pPr>
            <w:r>
              <w:rPr>
                <w:kern w:val="2"/>
                <w:sz w:val="22"/>
                <w:szCs w:val="22"/>
              </w:rPr>
              <w:t>pancreatitis, perforation af tyndtarmen</w:t>
            </w:r>
            <w:r>
              <w:rPr>
                <w:kern w:val="2"/>
                <w:position w:val="8"/>
                <w:sz w:val="14"/>
                <w:szCs w:val="14"/>
              </w:rPr>
              <w:t>b</w:t>
            </w:r>
            <w:r>
              <w:rPr>
                <w:kern w:val="2"/>
                <w:sz w:val="22"/>
                <w:szCs w:val="22"/>
              </w:rPr>
              <w:t>, glossodyni</w:t>
            </w:r>
          </w:p>
        </w:tc>
      </w:tr>
      <w:tr w:rsidR="00F56441" w14:paraId="7B76F59A" w14:textId="77777777" w:rsidTr="00F56441">
        <w:trPr>
          <w:trHeight w:val="268"/>
        </w:trPr>
        <w:tc>
          <w:tcPr>
            <w:tcW w:w="9660" w:type="dxa"/>
            <w:gridSpan w:val="2"/>
            <w:tcBorders>
              <w:top w:val="single" w:sz="4" w:space="0" w:color="000000"/>
              <w:left w:val="single" w:sz="4" w:space="0" w:color="000000"/>
              <w:bottom w:val="single" w:sz="4" w:space="0" w:color="000000"/>
              <w:right w:val="single" w:sz="4" w:space="0" w:color="000000"/>
            </w:tcBorders>
            <w:hideMark/>
          </w:tcPr>
          <w:p w14:paraId="35684049" w14:textId="77777777" w:rsidR="00F56441" w:rsidRDefault="00F56441">
            <w:pPr>
              <w:pStyle w:val="TableParagraph"/>
              <w:tabs>
                <w:tab w:val="left" w:pos="9781"/>
              </w:tabs>
              <w:kinsoku w:val="0"/>
              <w:overflowPunct w:val="0"/>
              <w:spacing w:line="240" w:lineRule="auto"/>
              <w:rPr>
                <w:b/>
                <w:bCs/>
                <w:kern w:val="2"/>
                <w:sz w:val="22"/>
                <w:szCs w:val="22"/>
              </w:rPr>
            </w:pPr>
            <w:r>
              <w:rPr>
                <w:b/>
                <w:bCs/>
                <w:kern w:val="2"/>
                <w:sz w:val="22"/>
                <w:szCs w:val="22"/>
              </w:rPr>
              <w:t>Lever og galdeveje</w:t>
            </w:r>
          </w:p>
        </w:tc>
      </w:tr>
      <w:tr w:rsidR="00F56441" w14:paraId="07DC671B" w14:textId="77777777" w:rsidTr="00F56441">
        <w:trPr>
          <w:trHeight w:val="270"/>
        </w:trPr>
        <w:tc>
          <w:tcPr>
            <w:tcW w:w="2263" w:type="dxa"/>
            <w:tcBorders>
              <w:top w:val="single" w:sz="4" w:space="0" w:color="000000"/>
              <w:left w:val="single" w:sz="4" w:space="0" w:color="000000"/>
              <w:bottom w:val="single" w:sz="4" w:space="0" w:color="000000"/>
              <w:right w:val="single" w:sz="4" w:space="0" w:color="000000"/>
            </w:tcBorders>
            <w:hideMark/>
          </w:tcPr>
          <w:p w14:paraId="1DB900EB" w14:textId="77777777" w:rsidR="00F56441" w:rsidRDefault="00F56441">
            <w:pPr>
              <w:pStyle w:val="TableParagraph"/>
              <w:tabs>
                <w:tab w:val="left" w:pos="9781"/>
              </w:tabs>
              <w:kinsoku w:val="0"/>
              <w:overflowPunct w:val="0"/>
              <w:spacing w:line="240" w:lineRule="auto"/>
              <w:rPr>
                <w:kern w:val="2"/>
                <w:sz w:val="22"/>
                <w:szCs w:val="22"/>
              </w:rPr>
            </w:pPr>
            <w:r>
              <w:rPr>
                <w:kern w:val="2"/>
                <w:sz w:val="22"/>
                <w:szCs w:val="22"/>
              </w:rPr>
              <w:t>Almindelig</w:t>
            </w:r>
          </w:p>
        </w:tc>
        <w:tc>
          <w:tcPr>
            <w:tcW w:w="7397" w:type="dxa"/>
            <w:tcBorders>
              <w:top w:val="single" w:sz="4" w:space="0" w:color="000000"/>
              <w:left w:val="single" w:sz="4" w:space="0" w:color="000000"/>
              <w:bottom w:val="single" w:sz="4" w:space="0" w:color="000000"/>
              <w:right w:val="single" w:sz="4" w:space="0" w:color="000000"/>
            </w:tcBorders>
            <w:hideMark/>
          </w:tcPr>
          <w:p w14:paraId="5D650778" w14:textId="77777777" w:rsidR="00F56441" w:rsidRDefault="00F56441">
            <w:pPr>
              <w:pStyle w:val="TableParagraph"/>
              <w:tabs>
                <w:tab w:val="left" w:pos="9781"/>
              </w:tabs>
              <w:kinsoku w:val="0"/>
              <w:overflowPunct w:val="0"/>
              <w:spacing w:line="240" w:lineRule="auto"/>
              <w:ind w:left="108"/>
              <w:rPr>
                <w:kern w:val="2"/>
                <w:sz w:val="22"/>
                <w:szCs w:val="22"/>
              </w:rPr>
            </w:pPr>
            <w:r>
              <w:rPr>
                <w:kern w:val="2"/>
                <w:sz w:val="22"/>
                <w:szCs w:val="22"/>
              </w:rPr>
              <w:t>hepatitis</w:t>
            </w:r>
          </w:p>
        </w:tc>
      </w:tr>
      <w:tr w:rsidR="00F56441" w14:paraId="7DD6B7D0" w14:textId="77777777" w:rsidTr="00F56441">
        <w:trPr>
          <w:trHeight w:val="268"/>
        </w:trPr>
        <w:tc>
          <w:tcPr>
            <w:tcW w:w="2263" w:type="dxa"/>
            <w:tcBorders>
              <w:top w:val="single" w:sz="4" w:space="0" w:color="000000"/>
              <w:left w:val="single" w:sz="4" w:space="0" w:color="000000"/>
              <w:bottom w:val="single" w:sz="4" w:space="0" w:color="000000"/>
              <w:right w:val="single" w:sz="4" w:space="0" w:color="000000"/>
            </w:tcBorders>
            <w:hideMark/>
          </w:tcPr>
          <w:p w14:paraId="2D6C287D" w14:textId="77777777" w:rsidR="00F56441" w:rsidRDefault="00F56441">
            <w:pPr>
              <w:pStyle w:val="TableParagraph"/>
              <w:tabs>
                <w:tab w:val="left" w:pos="9781"/>
              </w:tabs>
              <w:kinsoku w:val="0"/>
              <w:overflowPunct w:val="0"/>
              <w:spacing w:line="240" w:lineRule="auto"/>
              <w:rPr>
                <w:kern w:val="2"/>
                <w:sz w:val="22"/>
                <w:szCs w:val="22"/>
              </w:rPr>
            </w:pPr>
            <w:r>
              <w:rPr>
                <w:kern w:val="2"/>
                <w:sz w:val="22"/>
                <w:szCs w:val="22"/>
              </w:rPr>
              <w:t>Ikke kendt</w:t>
            </w:r>
          </w:p>
        </w:tc>
        <w:tc>
          <w:tcPr>
            <w:tcW w:w="7397" w:type="dxa"/>
            <w:tcBorders>
              <w:top w:val="single" w:sz="4" w:space="0" w:color="000000"/>
              <w:left w:val="single" w:sz="4" w:space="0" w:color="000000"/>
              <w:bottom w:val="single" w:sz="4" w:space="0" w:color="000000"/>
              <w:right w:val="single" w:sz="4" w:space="0" w:color="000000"/>
            </w:tcBorders>
            <w:hideMark/>
          </w:tcPr>
          <w:p w14:paraId="295A074C" w14:textId="77777777" w:rsidR="00F56441" w:rsidRDefault="00F56441">
            <w:pPr>
              <w:pStyle w:val="TableParagraph"/>
              <w:tabs>
                <w:tab w:val="left" w:pos="9781"/>
              </w:tabs>
              <w:kinsoku w:val="0"/>
              <w:overflowPunct w:val="0"/>
              <w:spacing w:line="240" w:lineRule="auto"/>
              <w:ind w:left="108"/>
              <w:rPr>
                <w:kern w:val="2"/>
                <w:position w:val="8"/>
                <w:sz w:val="14"/>
                <w:szCs w:val="14"/>
              </w:rPr>
            </w:pPr>
            <w:r>
              <w:rPr>
                <w:kern w:val="2"/>
                <w:sz w:val="22"/>
                <w:szCs w:val="22"/>
              </w:rPr>
              <w:t>galdegangstab (</w:t>
            </w:r>
            <w:r>
              <w:rPr>
                <w:i/>
                <w:iCs/>
                <w:kern w:val="2"/>
                <w:sz w:val="22"/>
                <w:szCs w:val="22"/>
              </w:rPr>
              <w:t>vanishing bile duct syndrome)</w:t>
            </w:r>
            <w:r>
              <w:rPr>
                <w:kern w:val="2"/>
                <w:position w:val="8"/>
                <w:sz w:val="14"/>
                <w:szCs w:val="14"/>
              </w:rPr>
              <w:t>c</w:t>
            </w:r>
          </w:p>
        </w:tc>
      </w:tr>
      <w:tr w:rsidR="00F56441" w14:paraId="61320270" w14:textId="77777777" w:rsidTr="00F56441">
        <w:trPr>
          <w:trHeight w:val="268"/>
        </w:trPr>
        <w:tc>
          <w:tcPr>
            <w:tcW w:w="9660" w:type="dxa"/>
            <w:gridSpan w:val="2"/>
            <w:tcBorders>
              <w:top w:val="single" w:sz="4" w:space="0" w:color="000000"/>
              <w:left w:val="single" w:sz="4" w:space="0" w:color="000000"/>
              <w:bottom w:val="single" w:sz="4" w:space="0" w:color="000000"/>
              <w:right w:val="single" w:sz="4" w:space="0" w:color="000000"/>
            </w:tcBorders>
            <w:hideMark/>
          </w:tcPr>
          <w:p w14:paraId="31569229" w14:textId="77777777" w:rsidR="00F56441" w:rsidRDefault="00F56441">
            <w:pPr>
              <w:pStyle w:val="TableParagraph"/>
              <w:tabs>
                <w:tab w:val="left" w:pos="9781"/>
              </w:tabs>
              <w:kinsoku w:val="0"/>
              <w:overflowPunct w:val="0"/>
              <w:spacing w:line="240" w:lineRule="auto"/>
              <w:rPr>
                <w:b/>
                <w:bCs/>
                <w:kern w:val="2"/>
                <w:sz w:val="22"/>
                <w:szCs w:val="22"/>
              </w:rPr>
            </w:pPr>
            <w:r>
              <w:rPr>
                <w:b/>
                <w:bCs/>
                <w:kern w:val="2"/>
                <w:sz w:val="22"/>
                <w:szCs w:val="22"/>
              </w:rPr>
              <w:t>Hud og subkutane væv</w:t>
            </w:r>
          </w:p>
        </w:tc>
      </w:tr>
      <w:tr w:rsidR="00F56441" w14:paraId="40E3F63D" w14:textId="77777777" w:rsidTr="00F56441">
        <w:trPr>
          <w:trHeight w:val="268"/>
        </w:trPr>
        <w:tc>
          <w:tcPr>
            <w:tcW w:w="2263" w:type="dxa"/>
            <w:tcBorders>
              <w:top w:val="single" w:sz="4" w:space="0" w:color="000000"/>
              <w:left w:val="single" w:sz="4" w:space="0" w:color="000000"/>
              <w:bottom w:val="single" w:sz="4" w:space="0" w:color="000000"/>
              <w:right w:val="single" w:sz="4" w:space="0" w:color="000000"/>
            </w:tcBorders>
            <w:hideMark/>
          </w:tcPr>
          <w:p w14:paraId="569470D5" w14:textId="77777777" w:rsidR="00F56441" w:rsidRDefault="00F56441">
            <w:pPr>
              <w:pStyle w:val="TableParagraph"/>
              <w:tabs>
                <w:tab w:val="left" w:pos="9781"/>
              </w:tabs>
              <w:kinsoku w:val="0"/>
              <w:overflowPunct w:val="0"/>
              <w:spacing w:line="240" w:lineRule="auto"/>
              <w:rPr>
                <w:kern w:val="2"/>
                <w:sz w:val="22"/>
                <w:szCs w:val="22"/>
              </w:rPr>
            </w:pPr>
            <w:r>
              <w:rPr>
                <w:kern w:val="2"/>
                <w:sz w:val="22"/>
                <w:szCs w:val="22"/>
              </w:rPr>
              <w:t>Meget almindelig</w:t>
            </w:r>
          </w:p>
        </w:tc>
        <w:tc>
          <w:tcPr>
            <w:tcW w:w="7397" w:type="dxa"/>
            <w:tcBorders>
              <w:top w:val="single" w:sz="4" w:space="0" w:color="000000"/>
              <w:left w:val="single" w:sz="4" w:space="0" w:color="000000"/>
              <w:bottom w:val="single" w:sz="4" w:space="0" w:color="000000"/>
              <w:right w:val="single" w:sz="4" w:space="0" w:color="000000"/>
            </w:tcBorders>
            <w:hideMark/>
          </w:tcPr>
          <w:p w14:paraId="17B975AC" w14:textId="77777777" w:rsidR="00F56441" w:rsidRDefault="00F56441">
            <w:pPr>
              <w:pStyle w:val="TableParagraph"/>
              <w:tabs>
                <w:tab w:val="left" w:pos="9781"/>
              </w:tabs>
              <w:kinsoku w:val="0"/>
              <w:overflowPunct w:val="0"/>
              <w:spacing w:line="240" w:lineRule="auto"/>
              <w:ind w:left="108"/>
              <w:rPr>
                <w:kern w:val="2"/>
                <w:sz w:val="22"/>
                <w:szCs w:val="22"/>
              </w:rPr>
            </w:pPr>
            <w:r>
              <w:rPr>
                <w:kern w:val="2"/>
                <w:sz w:val="22"/>
                <w:szCs w:val="22"/>
              </w:rPr>
              <w:t>palmoplantar erytrodysæstesisyndrom, udslæt</w:t>
            </w:r>
            <w:r>
              <w:rPr>
                <w:kern w:val="2"/>
                <w:position w:val="8"/>
                <w:sz w:val="14"/>
                <w:szCs w:val="14"/>
              </w:rPr>
              <w:t>d</w:t>
            </w:r>
            <w:r>
              <w:rPr>
                <w:kern w:val="2"/>
                <w:sz w:val="22"/>
                <w:szCs w:val="22"/>
              </w:rPr>
              <w:t>, pruritus</w:t>
            </w:r>
          </w:p>
        </w:tc>
      </w:tr>
      <w:tr w:rsidR="00F56441" w14:paraId="47AB95A1" w14:textId="77777777" w:rsidTr="00F56441">
        <w:trPr>
          <w:trHeight w:val="270"/>
        </w:trPr>
        <w:tc>
          <w:tcPr>
            <w:tcW w:w="2263" w:type="dxa"/>
            <w:tcBorders>
              <w:top w:val="single" w:sz="4" w:space="0" w:color="000000"/>
              <w:left w:val="single" w:sz="4" w:space="0" w:color="000000"/>
              <w:bottom w:val="single" w:sz="4" w:space="0" w:color="000000"/>
              <w:right w:val="single" w:sz="4" w:space="0" w:color="000000"/>
            </w:tcBorders>
            <w:hideMark/>
          </w:tcPr>
          <w:p w14:paraId="046A6931" w14:textId="77777777" w:rsidR="00F56441" w:rsidRDefault="00F56441">
            <w:pPr>
              <w:pStyle w:val="TableParagraph"/>
              <w:tabs>
                <w:tab w:val="left" w:pos="9781"/>
              </w:tabs>
              <w:kinsoku w:val="0"/>
              <w:overflowPunct w:val="0"/>
              <w:spacing w:line="240" w:lineRule="auto"/>
              <w:rPr>
                <w:kern w:val="2"/>
                <w:sz w:val="22"/>
                <w:szCs w:val="22"/>
              </w:rPr>
            </w:pPr>
            <w:r>
              <w:rPr>
                <w:kern w:val="2"/>
                <w:sz w:val="22"/>
                <w:szCs w:val="22"/>
              </w:rPr>
              <w:t>Almindelig</w:t>
            </w:r>
          </w:p>
        </w:tc>
        <w:tc>
          <w:tcPr>
            <w:tcW w:w="7397" w:type="dxa"/>
            <w:tcBorders>
              <w:top w:val="single" w:sz="4" w:space="0" w:color="000000"/>
              <w:left w:val="single" w:sz="4" w:space="0" w:color="000000"/>
              <w:bottom w:val="single" w:sz="4" w:space="0" w:color="000000"/>
              <w:right w:val="single" w:sz="4" w:space="0" w:color="000000"/>
            </w:tcBorders>
            <w:hideMark/>
          </w:tcPr>
          <w:p w14:paraId="015226EA" w14:textId="77777777" w:rsidR="00F56441" w:rsidRDefault="00F56441">
            <w:pPr>
              <w:pStyle w:val="TableParagraph"/>
              <w:tabs>
                <w:tab w:val="left" w:pos="9781"/>
              </w:tabs>
              <w:kinsoku w:val="0"/>
              <w:overflowPunct w:val="0"/>
              <w:spacing w:line="240" w:lineRule="auto"/>
              <w:ind w:left="108"/>
              <w:rPr>
                <w:kern w:val="2"/>
                <w:sz w:val="22"/>
                <w:szCs w:val="22"/>
              </w:rPr>
            </w:pPr>
            <w:r>
              <w:rPr>
                <w:kern w:val="2"/>
                <w:sz w:val="22"/>
                <w:szCs w:val="22"/>
              </w:rPr>
              <w:t>alopeci, tør hud, erythem, ændring af hårfarve</w:t>
            </w:r>
          </w:p>
        </w:tc>
      </w:tr>
      <w:tr w:rsidR="00F56441" w14:paraId="5F68ECC0" w14:textId="77777777" w:rsidTr="00F56441">
        <w:trPr>
          <w:trHeight w:val="268"/>
        </w:trPr>
        <w:tc>
          <w:tcPr>
            <w:tcW w:w="2263" w:type="dxa"/>
            <w:tcBorders>
              <w:top w:val="single" w:sz="4" w:space="0" w:color="000000"/>
              <w:left w:val="single" w:sz="4" w:space="0" w:color="000000"/>
              <w:bottom w:val="single" w:sz="4" w:space="0" w:color="000000"/>
              <w:right w:val="single" w:sz="4" w:space="0" w:color="000000"/>
            </w:tcBorders>
            <w:hideMark/>
          </w:tcPr>
          <w:p w14:paraId="1C982B4A" w14:textId="77777777" w:rsidR="00F56441" w:rsidRDefault="00F56441">
            <w:pPr>
              <w:pStyle w:val="TableParagraph"/>
              <w:tabs>
                <w:tab w:val="left" w:pos="9781"/>
              </w:tabs>
              <w:kinsoku w:val="0"/>
              <w:overflowPunct w:val="0"/>
              <w:spacing w:line="240" w:lineRule="auto"/>
              <w:rPr>
                <w:kern w:val="2"/>
                <w:sz w:val="22"/>
                <w:szCs w:val="22"/>
              </w:rPr>
            </w:pPr>
            <w:r>
              <w:rPr>
                <w:kern w:val="2"/>
                <w:sz w:val="22"/>
                <w:szCs w:val="22"/>
              </w:rPr>
              <w:t>Ikke almindelig</w:t>
            </w:r>
          </w:p>
        </w:tc>
        <w:tc>
          <w:tcPr>
            <w:tcW w:w="7397" w:type="dxa"/>
            <w:tcBorders>
              <w:top w:val="single" w:sz="4" w:space="0" w:color="000000"/>
              <w:left w:val="single" w:sz="4" w:space="0" w:color="000000"/>
              <w:bottom w:val="single" w:sz="4" w:space="0" w:color="000000"/>
              <w:right w:val="single" w:sz="4" w:space="0" w:color="000000"/>
            </w:tcBorders>
            <w:hideMark/>
          </w:tcPr>
          <w:p w14:paraId="14C1871C" w14:textId="77777777" w:rsidR="00F56441" w:rsidRDefault="00F56441">
            <w:pPr>
              <w:pStyle w:val="TableParagraph"/>
              <w:tabs>
                <w:tab w:val="left" w:pos="9781"/>
              </w:tabs>
              <w:kinsoku w:val="0"/>
              <w:overflowPunct w:val="0"/>
              <w:spacing w:line="240" w:lineRule="auto"/>
              <w:ind w:left="108"/>
              <w:rPr>
                <w:kern w:val="2"/>
                <w:sz w:val="22"/>
                <w:szCs w:val="22"/>
              </w:rPr>
            </w:pPr>
            <w:r>
              <w:rPr>
                <w:kern w:val="2"/>
                <w:sz w:val="22"/>
                <w:szCs w:val="22"/>
              </w:rPr>
              <w:t>psoriasis, urticaria</w:t>
            </w:r>
          </w:p>
        </w:tc>
      </w:tr>
      <w:tr w:rsidR="00F56441" w14:paraId="248D544D" w14:textId="77777777" w:rsidTr="00F56441">
        <w:trPr>
          <w:trHeight w:val="268"/>
        </w:trPr>
        <w:tc>
          <w:tcPr>
            <w:tcW w:w="2263" w:type="dxa"/>
            <w:tcBorders>
              <w:top w:val="single" w:sz="4" w:space="0" w:color="000000"/>
              <w:left w:val="single" w:sz="4" w:space="0" w:color="000000"/>
              <w:bottom w:val="single" w:sz="4" w:space="0" w:color="000000"/>
              <w:right w:val="single" w:sz="4" w:space="0" w:color="000000"/>
            </w:tcBorders>
            <w:hideMark/>
          </w:tcPr>
          <w:p w14:paraId="574F68B3" w14:textId="77777777" w:rsidR="00F56441" w:rsidRDefault="00F56441">
            <w:pPr>
              <w:pStyle w:val="TableParagraph"/>
              <w:tabs>
                <w:tab w:val="left" w:pos="9781"/>
              </w:tabs>
              <w:kinsoku w:val="0"/>
              <w:overflowPunct w:val="0"/>
              <w:spacing w:line="240" w:lineRule="auto"/>
              <w:rPr>
                <w:kern w:val="2"/>
                <w:sz w:val="22"/>
                <w:szCs w:val="22"/>
              </w:rPr>
            </w:pPr>
            <w:r>
              <w:rPr>
                <w:kern w:val="2"/>
                <w:sz w:val="22"/>
                <w:szCs w:val="22"/>
              </w:rPr>
              <w:t>Ikke kendt</w:t>
            </w:r>
          </w:p>
        </w:tc>
        <w:tc>
          <w:tcPr>
            <w:tcW w:w="7397" w:type="dxa"/>
            <w:tcBorders>
              <w:top w:val="single" w:sz="4" w:space="0" w:color="000000"/>
              <w:left w:val="single" w:sz="4" w:space="0" w:color="000000"/>
              <w:bottom w:val="single" w:sz="4" w:space="0" w:color="000000"/>
              <w:right w:val="single" w:sz="4" w:space="0" w:color="000000"/>
            </w:tcBorders>
            <w:hideMark/>
          </w:tcPr>
          <w:p w14:paraId="1C708AE6" w14:textId="77777777" w:rsidR="00F56441" w:rsidRDefault="00F56441">
            <w:pPr>
              <w:pStyle w:val="TableParagraph"/>
              <w:tabs>
                <w:tab w:val="left" w:pos="9781"/>
              </w:tabs>
              <w:kinsoku w:val="0"/>
              <w:overflowPunct w:val="0"/>
              <w:spacing w:line="240" w:lineRule="auto"/>
              <w:ind w:left="108"/>
              <w:rPr>
                <w:kern w:val="2"/>
                <w:sz w:val="22"/>
                <w:szCs w:val="22"/>
              </w:rPr>
            </w:pPr>
            <w:r>
              <w:rPr>
                <w:kern w:val="2"/>
                <w:sz w:val="22"/>
                <w:szCs w:val="22"/>
              </w:rPr>
              <w:t>kutan vasculitis</w:t>
            </w:r>
          </w:p>
        </w:tc>
      </w:tr>
      <w:tr w:rsidR="00F56441" w14:paraId="444B0F8D" w14:textId="77777777" w:rsidTr="00F56441">
        <w:trPr>
          <w:trHeight w:val="268"/>
        </w:trPr>
        <w:tc>
          <w:tcPr>
            <w:tcW w:w="9660" w:type="dxa"/>
            <w:gridSpan w:val="2"/>
            <w:tcBorders>
              <w:top w:val="single" w:sz="4" w:space="0" w:color="000000"/>
              <w:left w:val="single" w:sz="4" w:space="0" w:color="000000"/>
              <w:bottom w:val="single" w:sz="4" w:space="0" w:color="000000"/>
              <w:right w:val="single" w:sz="4" w:space="0" w:color="000000"/>
            </w:tcBorders>
            <w:hideMark/>
          </w:tcPr>
          <w:p w14:paraId="5CE7D108" w14:textId="77777777" w:rsidR="00F56441" w:rsidRDefault="00F56441">
            <w:pPr>
              <w:pStyle w:val="TableParagraph"/>
              <w:tabs>
                <w:tab w:val="left" w:pos="9781"/>
              </w:tabs>
              <w:kinsoku w:val="0"/>
              <w:overflowPunct w:val="0"/>
              <w:spacing w:line="240" w:lineRule="auto"/>
              <w:rPr>
                <w:b/>
                <w:bCs/>
                <w:kern w:val="2"/>
                <w:sz w:val="22"/>
                <w:szCs w:val="22"/>
              </w:rPr>
            </w:pPr>
            <w:r>
              <w:rPr>
                <w:b/>
                <w:bCs/>
                <w:kern w:val="2"/>
                <w:sz w:val="22"/>
                <w:szCs w:val="22"/>
              </w:rPr>
              <w:t>Knogler, led, muskler og bindevæv</w:t>
            </w:r>
          </w:p>
        </w:tc>
      </w:tr>
      <w:tr w:rsidR="00F56441" w14:paraId="4AED7F56" w14:textId="77777777" w:rsidTr="00F56441">
        <w:trPr>
          <w:trHeight w:val="270"/>
        </w:trPr>
        <w:tc>
          <w:tcPr>
            <w:tcW w:w="2263" w:type="dxa"/>
            <w:tcBorders>
              <w:top w:val="single" w:sz="4" w:space="0" w:color="000000"/>
              <w:left w:val="single" w:sz="4" w:space="0" w:color="000000"/>
              <w:bottom w:val="single" w:sz="4" w:space="0" w:color="000000"/>
              <w:right w:val="single" w:sz="4" w:space="0" w:color="000000"/>
            </w:tcBorders>
            <w:hideMark/>
          </w:tcPr>
          <w:p w14:paraId="0EA0606E" w14:textId="77777777" w:rsidR="00F56441" w:rsidRDefault="00F56441">
            <w:pPr>
              <w:pStyle w:val="TableParagraph"/>
              <w:tabs>
                <w:tab w:val="left" w:pos="9781"/>
              </w:tabs>
              <w:kinsoku w:val="0"/>
              <w:overflowPunct w:val="0"/>
              <w:spacing w:line="240" w:lineRule="auto"/>
              <w:rPr>
                <w:kern w:val="2"/>
                <w:sz w:val="22"/>
                <w:szCs w:val="22"/>
              </w:rPr>
            </w:pPr>
            <w:r>
              <w:rPr>
                <w:kern w:val="2"/>
                <w:sz w:val="22"/>
                <w:szCs w:val="22"/>
              </w:rPr>
              <w:t>Meget almindelig</w:t>
            </w:r>
          </w:p>
        </w:tc>
        <w:tc>
          <w:tcPr>
            <w:tcW w:w="7397" w:type="dxa"/>
            <w:tcBorders>
              <w:top w:val="single" w:sz="4" w:space="0" w:color="000000"/>
              <w:left w:val="single" w:sz="4" w:space="0" w:color="000000"/>
              <w:bottom w:val="single" w:sz="4" w:space="0" w:color="000000"/>
              <w:right w:val="single" w:sz="4" w:space="0" w:color="000000"/>
            </w:tcBorders>
            <w:hideMark/>
          </w:tcPr>
          <w:p w14:paraId="39A00506" w14:textId="77777777" w:rsidR="00F56441" w:rsidRDefault="00F56441">
            <w:pPr>
              <w:pStyle w:val="TableParagraph"/>
              <w:tabs>
                <w:tab w:val="left" w:pos="9781"/>
              </w:tabs>
              <w:kinsoku w:val="0"/>
              <w:overflowPunct w:val="0"/>
              <w:spacing w:line="240" w:lineRule="auto"/>
              <w:ind w:left="108"/>
              <w:rPr>
                <w:kern w:val="2"/>
                <w:sz w:val="22"/>
                <w:szCs w:val="22"/>
              </w:rPr>
            </w:pPr>
            <w:r>
              <w:rPr>
                <w:kern w:val="2"/>
                <w:sz w:val="22"/>
                <w:szCs w:val="22"/>
              </w:rPr>
              <w:t>muskuloskeletale smerter</w:t>
            </w:r>
            <w:r>
              <w:rPr>
                <w:kern w:val="2"/>
                <w:position w:val="8"/>
                <w:sz w:val="14"/>
                <w:szCs w:val="14"/>
              </w:rPr>
              <w:t>e</w:t>
            </w:r>
            <w:r>
              <w:rPr>
                <w:kern w:val="2"/>
                <w:sz w:val="22"/>
                <w:szCs w:val="22"/>
              </w:rPr>
              <w:t>, artralgi, muskelkramper</w:t>
            </w:r>
          </w:p>
        </w:tc>
      </w:tr>
      <w:tr w:rsidR="00F56441" w14:paraId="1EE208D9" w14:textId="77777777" w:rsidTr="00F56441">
        <w:trPr>
          <w:trHeight w:val="270"/>
        </w:trPr>
        <w:tc>
          <w:tcPr>
            <w:tcW w:w="2263" w:type="dxa"/>
            <w:tcBorders>
              <w:top w:val="single" w:sz="4" w:space="0" w:color="000000"/>
              <w:left w:val="single" w:sz="4" w:space="0" w:color="000000"/>
              <w:bottom w:val="single" w:sz="4" w:space="0" w:color="000000"/>
              <w:right w:val="single" w:sz="4" w:space="0" w:color="000000"/>
            </w:tcBorders>
            <w:hideMark/>
          </w:tcPr>
          <w:p w14:paraId="143ADD03" w14:textId="77777777" w:rsidR="00F56441" w:rsidRDefault="00F56441">
            <w:pPr>
              <w:pStyle w:val="TableParagraph"/>
              <w:tabs>
                <w:tab w:val="left" w:pos="9781"/>
              </w:tabs>
              <w:kinsoku w:val="0"/>
              <w:overflowPunct w:val="0"/>
              <w:spacing w:line="240" w:lineRule="auto"/>
              <w:rPr>
                <w:kern w:val="2"/>
                <w:sz w:val="22"/>
                <w:szCs w:val="22"/>
              </w:rPr>
            </w:pPr>
            <w:r>
              <w:rPr>
                <w:kern w:val="2"/>
                <w:sz w:val="22"/>
                <w:szCs w:val="22"/>
              </w:rPr>
              <w:t>Almindelig</w:t>
            </w:r>
          </w:p>
        </w:tc>
        <w:tc>
          <w:tcPr>
            <w:tcW w:w="7397" w:type="dxa"/>
            <w:tcBorders>
              <w:top w:val="single" w:sz="4" w:space="0" w:color="000000"/>
              <w:left w:val="single" w:sz="4" w:space="0" w:color="000000"/>
              <w:bottom w:val="single" w:sz="4" w:space="0" w:color="000000"/>
              <w:right w:val="single" w:sz="4" w:space="0" w:color="000000"/>
            </w:tcBorders>
            <w:hideMark/>
          </w:tcPr>
          <w:p w14:paraId="313D7C9B" w14:textId="77777777" w:rsidR="00F56441" w:rsidRDefault="00F56441">
            <w:pPr>
              <w:pStyle w:val="TableParagraph"/>
              <w:tabs>
                <w:tab w:val="left" w:pos="9781"/>
              </w:tabs>
              <w:kinsoku w:val="0"/>
              <w:overflowPunct w:val="0"/>
              <w:spacing w:line="240" w:lineRule="auto"/>
              <w:ind w:left="108"/>
              <w:rPr>
                <w:kern w:val="2"/>
                <w:sz w:val="22"/>
                <w:szCs w:val="22"/>
              </w:rPr>
            </w:pPr>
            <w:r>
              <w:rPr>
                <w:kern w:val="2"/>
                <w:sz w:val="22"/>
                <w:szCs w:val="22"/>
              </w:rPr>
              <w:t>artritis</w:t>
            </w:r>
          </w:p>
        </w:tc>
      </w:tr>
      <w:tr w:rsidR="00F56441" w14:paraId="5F521D48" w14:textId="77777777" w:rsidTr="00F56441">
        <w:trPr>
          <w:trHeight w:val="268"/>
        </w:trPr>
        <w:tc>
          <w:tcPr>
            <w:tcW w:w="2263" w:type="dxa"/>
            <w:tcBorders>
              <w:top w:val="single" w:sz="4" w:space="0" w:color="000000"/>
              <w:left w:val="single" w:sz="4" w:space="0" w:color="000000"/>
              <w:bottom w:val="single" w:sz="4" w:space="0" w:color="000000"/>
              <w:right w:val="single" w:sz="4" w:space="0" w:color="000000"/>
            </w:tcBorders>
            <w:hideMark/>
          </w:tcPr>
          <w:p w14:paraId="607A2BB2" w14:textId="77777777" w:rsidR="00F56441" w:rsidRDefault="00F56441">
            <w:pPr>
              <w:pStyle w:val="TableParagraph"/>
              <w:tabs>
                <w:tab w:val="left" w:pos="9781"/>
              </w:tabs>
              <w:kinsoku w:val="0"/>
              <w:overflowPunct w:val="0"/>
              <w:spacing w:line="240" w:lineRule="auto"/>
              <w:rPr>
                <w:kern w:val="2"/>
                <w:sz w:val="22"/>
                <w:szCs w:val="22"/>
              </w:rPr>
            </w:pPr>
            <w:r>
              <w:rPr>
                <w:kern w:val="2"/>
                <w:sz w:val="22"/>
                <w:szCs w:val="22"/>
              </w:rPr>
              <w:t>Ikke almindelig</w:t>
            </w:r>
          </w:p>
        </w:tc>
        <w:tc>
          <w:tcPr>
            <w:tcW w:w="7397" w:type="dxa"/>
            <w:tcBorders>
              <w:top w:val="single" w:sz="4" w:space="0" w:color="000000"/>
              <w:left w:val="single" w:sz="4" w:space="0" w:color="000000"/>
              <w:bottom w:val="single" w:sz="4" w:space="0" w:color="000000"/>
              <w:right w:val="single" w:sz="4" w:space="0" w:color="000000"/>
            </w:tcBorders>
            <w:hideMark/>
          </w:tcPr>
          <w:p w14:paraId="49EB34B7" w14:textId="77777777" w:rsidR="00F56441" w:rsidRDefault="00F56441">
            <w:pPr>
              <w:pStyle w:val="TableParagraph"/>
              <w:tabs>
                <w:tab w:val="left" w:pos="9781"/>
              </w:tabs>
              <w:kinsoku w:val="0"/>
              <w:overflowPunct w:val="0"/>
              <w:spacing w:line="240" w:lineRule="auto"/>
              <w:ind w:left="108"/>
              <w:rPr>
                <w:kern w:val="2"/>
                <w:sz w:val="22"/>
                <w:szCs w:val="22"/>
              </w:rPr>
            </w:pPr>
            <w:r>
              <w:rPr>
                <w:kern w:val="2"/>
                <w:sz w:val="22"/>
                <w:szCs w:val="22"/>
              </w:rPr>
              <w:t>myopati, osteonekrose af kæben, fistel</w:t>
            </w:r>
          </w:p>
        </w:tc>
      </w:tr>
      <w:tr w:rsidR="00F56441" w14:paraId="0FE85849" w14:textId="77777777" w:rsidTr="00F56441">
        <w:trPr>
          <w:trHeight w:val="268"/>
        </w:trPr>
        <w:tc>
          <w:tcPr>
            <w:tcW w:w="9660" w:type="dxa"/>
            <w:gridSpan w:val="2"/>
            <w:tcBorders>
              <w:top w:val="single" w:sz="4" w:space="0" w:color="000000"/>
              <w:left w:val="single" w:sz="4" w:space="0" w:color="000000"/>
              <w:bottom w:val="single" w:sz="4" w:space="0" w:color="000000"/>
              <w:right w:val="single" w:sz="4" w:space="0" w:color="000000"/>
            </w:tcBorders>
            <w:hideMark/>
          </w:tcPr>
          <w:p w14:paraId="6C3A33F6" w14:textId="77777777" w:rsidR="00F56441" w:rsidRDefault="00F56441">
            <w:pPr>
              <w:pStyle w:val="TableParagraph"/>
              <w:tabs>
                <w:tab w:val="left" w:pos="9781"/>
              </w:tabs>
              <w:kinsoku w:val="0"/>
              <w:overflowPunct w:val="0"/>
              <w:spacing w:line="240" w:lineRule="auto"/>
              <w:rPr>
                <w:b/>
                <w:bCs/>
                <w:kern w:val="2"/>
                <w:sz w:val="22"/>
                <w:szCs w:val="22"/>
              </w:rPr>
            </w:pPr>
            <w:r>
              <w:rPr>
                <w:b/>
                <w:bCs/>
                <w:kern w:val="2"/>
                <w:sz w:val="22"/>
                <w:szCs w:val="22"/>
              </w:rPr>
              <w:t>Nyrer og urinveje</w:t>
            </w:r>
          </w:p>
        </w:tc>
      </w:tr>
      <w:tr w:rsidR="00F56441" w14:paraId="42024B17" w14:textId="77777777" w:rsidTr="00F56441">
        <w:trPr>
          <w:trHeight w:val="268"/>
        </w:trPr>
        <w:tc>
          <w:tcPr>
            <w:tcW w:w="2263" w:type="dxa"/>
            <w:tcBorders>
              <w:top w:val="single" w:sz="4" w:space="0" w:color="000000"/>
              <w:left w:val="single" w:sz="4" w:space="0" w:color="000000"/>
              <w:bottom w:val="single" w:sz="4" w:space="0" w:color="000000"/>
              <w:right w:val="single" w:sz="4" w:space="0" w:color="000000"/>
            </w:tcBorders>
            <w:hideMark/>
          </w:tcPr>
          <w:p w14:paraId="5F8F9BFE" w14:textId="77777777" w:rsidR="00F56441" w:rsidRDefault="00F56441">
            <w:pPr>
              <w:pStyle w:val="TableParagraph"/>
              <w:tabs>
                <w:tab w:val="left" w:pos="9781"/>
              </w:tabs>
              <w:kinsoku w:val="0"/>
              <w:overflowPunct w:val="0"/>
              <w:spacing w:line="240" w:lineRule="auto"/>
              <w:rPr>
                <w:kern w:val="2"/>
                <w:sz w:val="22"/>
                <w:szCs w:val="22"/>
              </w:rPr>
            </w:pPr>
            <w:r>
              <w:rPr>
                <w:kern w:val="2"/>
                <w:sz w:val="22"/>
                <w:szCs w:val="22"/>
              </w:rPr>
              <w:t>Meget almindelig</w:t>
            </w:r>
          </w:p>
        </w:tc>
        <w:tc>
          <w:tcPr>
            <w:tcW w:w="7397" w:type="dxa"/>
            <w:tcBorders>
              <w:top w:val="single" w:sz="4" w:space="0" w:color="000000"/>
              <w:left w:val="single" w:sz="4" w:space="0" w:color="000000"/>
              <w:bottom w:val="single" w:sz="4" w:space="0" w:color="000000"/>
              <w:right w:val="single" w:sz="4" w:space="0" w:color="000000"/>
            </w:tcBorders>
            <w:hideMark/>
          </w:tcPr>
          <w:p w14:paraId="23605750" w14:textId="77777777" w:rsidR="00F56441" w:rsidRDefault="00F56441">
            <w:pPr>
              <w:pStyle w:val="TableParagraph"/>
              <w:tabs>
                <w:tab w:val="left" w:pos="9781"/>
              </w:tabs>
              <w:kinsoku w:val="0"/>
              <w:overflowPunct w:val="0"/>
              <w:spacing w:line="240" w:lineRule="auto"/>
              <w:ind w:left="108"/>
              <w:rPr>
                <w:kern w:val="2"/>
                <w:sz w:val="22"/>
                <w:szCs w:val="22"/>
              </w:rPr>
            </w:pPr>
            <w:r>
              <w:rPr>
                <w:kern w:val="2"/>
                <w:sz w:val="22"/>
                <w:szCs w:val="22"/>
              </w:rPr>
              <w:t>proteinuri</w:t>
            </w:r>
          </w:p>
        </w:tc>
      </w:tr>
      <w:tr w:rsidR="00F56441" w14:paraId="1230A428" w14:textId="77777777" w:rsidTr="00F56441">
        <w:trPr>
          <w:trHeight w:val="270"/>
        </w:trPr>
        <w:tc>
          <w:tcPr>
            <w:tcW w:w="2263" w:type="dxa"/>
            <w:tcBorders>
              <w:top w:val="single" w:sz="4" w:space="0" w:color="000000"/>
              <w:left w:val="single" w:sz="4" w:space="0" w:color="000000"/>
              <w:bottom w:val="single" w:sz="4" w:space="0" w:color="000000"/>
              <w:right w:val="single" w:sz="4" w:space="0" w:color="000000"/>
            </w:tcBorders>
            <w:hideMark/>
          </w:tcPr>
          <w:p w14:paraId="6D077F94" w14:textId="77777777" w:rsidR="00F56441" w:rsidRDefault="00F56441">
            <w:pPr>
              <w:pStyle w:val="TableParagraph"/>
              <w:tabs>
                <w:tab w:val="left" w:pos="9781"/>
              </w:tabs>
              <w:kinsoku w:val="0"/>
              <w:overflowPunct w:val="0"/>
              <w:spacing w:line="240" w:lineRule="auto"/>
              <w:rPr>
                <w:kern w:val="2"/>
                <w:sz w:val="22"/>
                <w:szCs w:val="22"/>
              </w:rPr>
            </w:pPr>
            <w:r>
              <w:rPr>
                <w:kern w:val="2"/>
                <w:sz w:val="22"/>
                <w:szCs w:val="22"/>
              </w:rPr>
              <w:t>Almindelig</w:t>
            </w:r>
          </w:p>
        </w:tc>
        <w:tc>
          <w:tcPr>
            <w:tcW w:w="7397" w:type="dxa"/>
            <w:tcBorders>
              <w:top w:val="single" w:sz="4" w:space="0" w:color="000000"/>
              <w:left w:val="single" w:sz="4" w:space="0" w:color="000000"/>
              <w:bottom w:val="single" w:sz="4" w:space="0" w:color="000000"/>
              <w:right w:val="single" w:sz="4" w:space="0" w:color="000000"/>
            </w:tcBorders>
            <w:hideMark/>
          </w:tcPr>
          <w:p w14:paraId="53B642E1" w14:textId="77777777" w:rsidR="00F56441" w:rsidRDefault="00F56441">
            <w:pPr>
              <w:pStyle w:val="TableParagraph"/>
              <w:tabs>
                <w:tab w:val="left" w:pos="9781"/>
              </w:tabs>
              <w:kinsoku w:val="0"/>
              <w:overflowPunct w:val="0"/>
              <w:spacing w:line="240" w:lineRule="auto"/>
              <w:ind w:left="108"/>
              <w:rPr>
                <w:kern w:val="2"/>
                <w:sz w:val="22"/>
                <w:szCs w:val="22"/>
              </w:rPr>
            </w:pPr>
            <w:r>
              <w:rPr>
                <w:kern w:val="2"/>
                <w:sz w:val="22"/>
                <w:szCs w:val="22"/>
              </w:rPr>
              <w:t>nyresvigt, akut nyreskade</w:t>
            </w:r>
          </w:p>
        </w:tc>
      </w:tr>
      <w:tr w:rsidR="00F56441" w14:paraId="52EE5812" w14:textId="77777777" w:rsidTr="00F56441">
        <w:trPr>
          <w:trHeight w:val="268"/>
        </w:trPr>
        <w:tc>
          <w:tcPr>
            <w:tcW w:w="2263" w:type="dxa"/>
            <w:tcBorders>
              <w:top w:val="single" w:sz="4" w:space="0" w:color="000000"/>
              <w:left w:val="single" w:sz="4" w:space="0" w:color="000000"/>
              <w:bottom w:val="single" w:sz="4" w:space="0" w:color="000000"/>
              <w:right w:val="single" w:sz="4" w:space="0" w:color="000000"/>
            </w:tcBorders>
            <w:hideMark/>
          </w:tcPr>
          <w:p w14:paraId="6F165404" w14:textId="77777777" w:rsidR="00F56441" w:rsidRDefault="00F56441">
            <w:pPr>
              <w:pStyle w:val="TableParagraph"/>
              <w:tabs>
                <w:tab w:val="left" w:pos="9781"/>
              </w:tabs>
              <w:kinsoku w:val="0"/>
              <w:overflowPunct w:val="0"/>
              <w:spacing w:line="240" w:lineRule="auto"/>
              <w:rPr>
                <w:kern w:val="2"/>
                <w:sz w:val="22"/>
                <w:szCs w:val="22"/>
              </w:rPr>
            </w:pPr>
            <w:r>
              <w:rPr>
                <w:kern w:val="2"/>
                <w:sz w:val="22"/>
                <w:szCs w:val="22"/>
              </w:rPr>
              <w:t>Ikke almindelig</w:t>
            </w:r>
          </w:p>
        </w:tc>
        <w:tc>
          <w:tcPr>
            <w:tcW w:w="7397" w:type="dxa"/>
            <w:tcBorders>
              <w:top w:val="single" w:sz="4" w:space="0" w:color="000000"/>
              <w:left w:val="single" w:sz="4" w:space="0" w:color="000000"/>
              <w:bottom w:val="single" w:sz="4" w:space="0" w:color="000000"/>
              <w:right w:val="single" w:sz="4" w:space="0" w:color="000000"/>
            </w:tcBorders>
            <w:hideMark/>
          </w:tcPr>
          <w:p w14:paraId="46A21437" w14:textId="77777777" w:rsidR="00F56441" w:rsidRDefault="00F56441">
            <w:pPr>
              <w:pStyle w:val="TableParagraph"/>
              <w:tabs>
                <w:tab w:val="left" w:pos="9781"/>
              </w:tabs>
              <w:kinsoku w:val="0"/>
              <w:overflowPunct w:val="0"/>
              <w:spacing w:line="240" w:lineRule="auto"/>
              <w:ind w:left="108"/>
              <w:rPr>
                <w:kern w:val="2"/>
                <w:sz w:val="22"/>
                <w:szCs w:val="22"/>
              </w:rPr>
            </w:pPr>
            <w:r>
              <w:rPr>
                <w:kern w:val="2"/>
                <w:sz w:val="22"/>
                <w:szCs w:val="22"/>
              </w:rPr>
              <w:t>nefritis</w:t>
            </w:r>
          </w:p>
        </w:tc>
      </w:tr>
      <w:tr w:rsidR="00F56441" w14:paraId="7EB20038" w14:textId="77777777" w:rsidTr="00F56441">
        <w:trPr>
          <w:trHeight w:val="268"/>
        </w:trPr>
        <w:tc>
          <w:tcPr>
            <w:tcW w:w="9660" w:type="dxa"/>
            <w:gridSpan w:val="2"/>
            <w:tcBorders>
              <w:top w:val="single" w:sz="4" w:space="0" w:color="000000"/>
              <w:left w:val="single" w:sz="4" w:space="0" w:color="000000"/>
              <w:bottom w:val="single" w:sz="4" w:space="0" w:color="000000"/>
              <w:right w:val="single" w:sz="4" w:space="0" w:color="000000"/>
            </w:tcBorders>
            <w:hideMark/>
          </w:tcPr>
          <w:p w14:paraId="1CB59F6E" w14:textId="77777777" w:rsidR="00F56441" w:rsidRDefault="00F56441">
            <w:pPr>
              <w:pStyle w:val="TableParagraph"/>
              <w:tabs>
                <w:tab w:val="left" w:pos="9781"/>
              </w:tabs>
              <w:kinsoku w:val="0"/>
              <w:overflowPunct w:val="0"/>
              <w:spacing w:line="240" w:lineRule="auto"/>
              <w:rPr>
                <w:b/>
                <w:bCs/>
                <w:kern w:val="2"/>
                <w:sz w:val="22"/>
                <w:szCs w:val="22"/>
              </w:rPr>
            </w:pPr>
            <w:r>
              <w:rPr>
                <w:b/>
                <w:bCs/>
                <w:kern w:val="2"/>
                <w:sz w:val="22"/>
                <w:szCs w:val="22"/>
              </w:rPr>
              <w:t>Almene symptomer og reaktioner på administrationsstedet</w:t>
            </w:r>
          </w:p>
        </w:tc>
      </w:tr>
      <w:tr w:rsidR="00F56441" w14:paraId="463DDCD7" w14:textId="77777777" w:rsidTr="00F56441">
        <w:trPr>
          <w:trHeight w:val="268"/>
        </w:trPr>
        <w:tc>
          <w:tcPr>
            <w:tcW w:w="2263" w:type="dxa"/>
            <w:tcBorders>
              <w:top w:val="single" w:sz="4" w:space="0" w:color="000000"/>
              <w:left w:val="single" w:sz="4" w:space="0" w:color="000000"/>
              <w:bottom w:val="single" w:sz="4" w:space="0" w:color="000000"/>
              <w:right w:val="single" w:sz="4" w:space="0" w:color="000000"/>
            </w:tcBorders>
            <w:hideMark/>
          </w:tcPr>
          <w:p w14:paraId="0DBF6C91" w14:textId="77777777" w:rsidR="00F56441" w:rsidRDefault="00F56441">
            <w:pPr>
              <w:pStyle w:val="TableParagraph"/>
              <w:tabs>
                <w:tab w:val="left" w:pos="9781"/>
              </w:tabs>
              <w:kinsoku w:val="0"/>
              <w:overflowPunct w:val="0"/>
              <w:spacing w:line="240" w:lineRule="auto"/>
              <w:rPr>
                <w:kern w:val="2"/>
                <w:sz w:val="22"/>
                <w:szCs w:val="22"/>
              </w:rPr>
            </w:pPr>
            <w:r>
              <w:rPr>
                <w:kern w:val="2"/>
                <w:sz w:val="22"/>
                <w:szCs w:val="22"/>
              </w:rPr>
              <w:t>Meget almindelig</w:t>
            </w:r>
          </w:p>
        </w:tc>
        <w:tc>
          <w:tcPr>
            <w:tcW w:w="7397" w:type="dxa"/>
            <w:tcBorders>
              <w:top w:val="single" w:sz="4" w:space="0" w:color="000000"/>
              <w:left w:val="single" w:sz="4" w:space="0" w:color="000000"/>
              <w:bottom w:val="single" w:sz="4" w:space="0" w:color="000000"/>
              <w:right w:val="single" w:sz="4" w:space="0" w:color="000000"/>
            </w:tcBorders>
            <w:hideMark/>
          </w:tcPr>
          <w:p w14:paraId="03B4B2D9" w14:textId="77777777" w:rsidR="00F56441" w:rsidRDefault="00F56441">
            <w:pPr>
              <w:pStyle w:val="TableParagraph"/>
              <w:tabs>
                <w:tab w:val="left" w:pos="9781"/>
              </w:tabs>
              <w:kinsoku w:val="0"/>
              <w:overflowPunct w:val="0"/>
              <w:spacing w:line="240" w:lineRule="auto"/>
              <w:ind w:left="108"/>
              <w:rPr>
                <w:kern w:val="2"/>
                <w:sz w:val="22"/>
                <w:szCs w:val="22"/>
              </w:rPr>
            </w:pPr>
            <w:r>
              <w:rPr>
                <w:kern w:val="2"/>
                <w:sz w:val="22"/>
                <w:szCs w:val="22"/>
              </w:rPr>
              <w:t>ræthed, pyreksi, ødem</w:t>
            </w:r>
          </w:p>
        </w:tc>
      </w:tr>
      <w:tr w:rsidR="00F56441" w14:paraId="588A8057" w14:textId="77777777" w:rsidTr="00F56441">
        <w:trPr>
          <w:trHeight w:val="270"/>
        </w:trPr>
        <w:tc>
          <w:tcPr>
            <w:tcW w:w="2263" w:type="dxa"/>
            <w:tcBorders>
              <w:top w:val="single" w:sz="4" w:space="0" w:color="000000"/>
              <w:left w:val="single" w:sz="4" w:space="0" w:color="000000"/>
              <w:bottom w:val="single" w:sz="4" w:space="0" w:color="000000"/>
              <w:right w:val="single" w:sz="4" w:space="0" w:color="000000"/>
            </w:tcBorders>
            <w:hideMark/>
          </w:tcPr>
          <w:p w14:paraId="4E4DEBD0" w14:textId="77777777" w:rsidR="00F56441" w:rsidRDefault="00F56441">
            <w:pPr>
              <w:pStyle w:val="TableParagraph"/>
              <w:tabs>
                <w:tab w:val="left" w:pos="9781"/>
              </w:tabs>
              <w:kinsoku w:val="0"/>
              <w:overflowPunct w:val="0"/>
              <w:spacing w:line="240" w:lineRule="auto"/>
              <w:rPr>
                <w:kern w:val="2"/>
                <w:sz w:val="22"/>
                <w:szCs w:val="22"/>
              </w:rPr>
            </w:pPr>
            <w:r>
              <w:rPr>
                <w:kern w:val="2"/>
                <w:sz w:val="22"/>
                <w:szCs w:val="22"/>
              </w:rPr>
              <w:t>Almindelig</w:t>
            </w:r>
          </w:p>
        </w:tc>
        <w:tc>
          <w:tcPr>
            <w:tcW w:w="7397" w:type="dxa"/>
            <w:tcBorders>
              <w:top w:val="single" w:sz="4" w:space="0" w:color="000000"/>
              <w:left w:val="single" w:sz="4" w:space="0" w:color="000000"/>
              <w:bottom w:val="single" w:sz="4" w:space="0" w:color="000000"/>
              <w:right w:val="single" w:sz="4" w:space="0" w:color="000000"/>
            </w:tcBorders>
            <w:hideMark/>
          </w:tcPr>
          <w:p w14:paraId="1E5C5DE3" w14:textId="77777777" w:rsidR="00F56441" w:rsidRDefault="00F56441">
            <w:pPr>
              <w:pStyle w:val="TableParagraph"/>
              <w:tabs>
                <w:tab w:val="left" w:pos="9781"/>
              </w:tabs>
              <w:kinsoku w:val="0"/>
              <w:overflowPunct w:val="0"/>
              <w:spacing w:line="240" w:lineRule="auto"/>
              <w:ind w:left="108"/>
              <w:rPr>
                <w:kern w:val="2"/>
                <w:sz w:val="22"/>
                <w:szCs w:val="22"/>
              </w:rPr>
            </w:pPr>
            <w:r>
              <w:rPr>
                <w:kern w:val="2"/>
                <w:sz w:val="22"/>
                <w:szCs w:val="22"/>
              </w:rPr>
              <w:t>smerter, brystsmerter</w:t>
            </w:r>
          </w:p>
        </w:tc>
      </w:tr>
      <w:tr w:rsidR="00F56441" w14:paraId="126167F9" w14:textId="77777777" w:rsidTr="00F56441">
        <w:trPr>
          <w:trHeight w:val="268"/>
        </w:trPr>
        <w:tc>
          <w:tcPr>
            <w:tcW w:w="9660" w:type="dxa"/>
            <w:gridSpan w:val="2"/>
            <w:tcBorders>
              <w:top w:val="single" w:sz="4" w:space="0" w:color="000000"/>
              <w:left w:val="single" w:sz="4" w:space="0" w:color="000000"/>
              <w:bottom w:val="single" w:sz="4" w:space="0" w:color="000000"/>
              <w:right w:val="single" w:sz="4" w:space="0" w:color="000000"/>
            </w:tcBorders>
            <w:hideMark/>
          </w:tcPr>
          <w:p w14:paraId="546A7042" w14:textId="77777777" w:rsidR="00F56441" w:rsidRDefault="00F56441">
            <w:pPr>
              <w:pStyle w:val="TableParagraph"/>
              <w:tabs>
                <w:tab w:val="left" w:pos="9781"/>
              </w:tabs>
              <w:kinsoku w:val="0"/>
              <w:overflowPunct w:val="0"/>
              <w:spacing w:line="240" w:lineRule="auto"/>
              <w:rPr>
                <w:b/>
                <w:bCs/>
                <w:kern w:val="2"/>
                <w:position w:val="8"/>
                <w:sz w:val="14"/>
                <w:szCs w:val="14"/>
              </w:rPr>
            </w:pPr>
            <w:r>
              <w:rPr>
                <w:b/>
                <w:bCs/>
                <w:kern w:val="2"/>
                <w:sz w:val="22"/>
                <w:szCs w:val="22"/>
              </w:rPr>
              <w:t>Undersøgelser</w:t>
            </w:r>
            <w:r>
              <w:rPr>
                <w:b/>
                <w:bCs/>
                <w:kern w:val="2"/>
                <w:position w:val="8"/>
                <w:sz w:val="14"/>
                <w:szCs w:val="14"/>
              </w:rPr>
              <w:t>f</w:t>
            </w:r>
          </w:p>
        </w:tc>
      </w:tr>
      <w:tr w:rsidR="00F56441" w14:paraId="0AAC6E8C" w14:textId="77777777" w:rsidTr="00F56441">
        <w:trPr>
          <w:trHeight w:val="1516"/>
        </w:trPr>
        <w:tc>
          <w:tcPr>
            <w:tcW w:w="2263" w:type="dxa"/>
            <w:tcBorders>
              <w:top w:val="single" w:sz="4" w:space="0" w:color="000000"/>
              <w:left w:val="single" w:sz="4" w:space="0" w:color="000000"/>
              <w:bottom w:val="single" w:sz="4" w:space="0" w:color="000000"/>
              <w:right w:val="single" w:sz="4" w:space="0" w:color="000000"/>
            </w:tcBorders>
            <w:hideMark/>
          </w:tcPr>
          <w:p w14:paraId="3DDE86AF" w14:textId="77777777" w:rsidR="00F56441" w:rsidRDefault="00F56441">
            <w:pPr>
              <w:pStyle w:val="TableParagraph"/>
              <w:tabs>
                <w:tab w:val="left" w:pos="9781"/>
              </w:tabs>
              <w:kinsoku w:val="0"/>
              <w:overflowPunct w:val="0"/>
              <w:spacing w:line="240" w:lineRule="auto"/>
              <w:rPr>
                <w:kern w:val="2"/>
                <w:sz w:val="22"/>
                <w:szCs w:val="22"/>
              </w:rPr>
            </w:pPr>
            <w:r>
              <w:rPr>
                <w:kern w:val="2"/>
                <w:sz w:val="22"/>
                <w:szCs w:val="22"/>
              </w:rPr>
              <w:t>Meget almindelig</w:t>
            </w:r>
          </w:p>
        </w:tc>
        <w:tc>
          <w:tcPr>
            <w:tcW w:w="7397" w:type="dxa"/>
            <w:tcBorders>
              <w:top w:val="single" w:sz="4" w:space="0" w:color="000000"/>
              <w:left w:val="single" w:sz="4" w:space="0" w:color="000000"/>
              <w:bottom w:val="single" w:sz="4" w:space="0" w:color="000000"/>
              <w:right w:val="single" w:sz="4" w:space="0" w:color="000000"/>
            </w:tcBorders>
            <w:hideMark/>
          </w:tcPr>
          <w:p w14:paraId="1CE1CF81" w14:textId="77777777" w:rsidR="00F56441" w:rsidRDefault="00F56441">
            <w:pPr>
              <w:pStyle w:val="TableParagraph"/>
              <w:tabs>
                <w:tab w:val="left" w:pos="9781"/>
              </w:tabs>
              <w:kinsoku w:val="0"/>
              <w:overflowPunct w:val="0"/>
              <w:spacing w:line="240" w:lineRule="auto"/>
              <w:ind w:left="108" w:right="433"/>
              <w:rPr>
                <w:kern w:val="2"/>
                <w:sz w:val="22"/>
                <w:szCs w:val="22"/>
              </w:rPr>
            </w:pPr>
            <w:r>
              <w:rPr>
                <w:kern w:val="2"/>
                <w:sz w:val="22"/>
                <w:szCs w:val="22"/>
              </w:rPr>
              <w:t>forhøjet ALAT, forhøjet ASAT, hypofosfatæmi, hypocalcæmi, hypomagnesiæmi, hyponatriæmi, hyperglykæmi, lymfopeni, forhøjet alkalinfosfatase, forhøjet lipase, forhøjet amylase, trombocytopeni, forhøjet kreatinin, anæmi, leukopeni, hyperkaliæmi, neutropeni, hypercalcæmi, hypoglykæmi, hypokaliæmi, forhøjet total bilirubin, hypermagnesiæmi,</w:t>
            </w:r>
          </w:p>
          <w:p w14:paraId="1DE238DE" w14:textId="77777777" w:rsidR="00F56441" w:rsidRDefault="00F56441">
            <w:pPr>
              <w:pStyle w:val="TableParagraph"/>
              <w:tabs>
                <w:tab w:val="left" w:pos="9781"/>
              </w:tabs>
              <w:kinsoku w:val="0"/>
              <w:overflowPunct w:val="0"/>
              <w:spacing w:line="240" w:lineRule="auto"/>
              <w:ind w:left="108"/>
              <w:rPr>
                <w:kern w:val="2"/>
                <w:sz w:val="22"/>
                <w:szCs w:val="22"/>
              </w:rPr>
            </w:pPr>
            <w:r>
              <w:rPr>
                <w:kern w:val="2"/>
                <w:sz w:val="22"/>
                <w:szCs w:val="22"/>
              </w:rPr>
              <w:t>hypernatriæmi, vægttab</w:t>
            </w:r>
          </w:p>
        </w:tc>
      </w:tr>
      <w:tr w:rsidR="00F56441" w14:paraId="6F8AFE8C" w14:textId="77777777" w:rsidTr="00F56441">
        <w:trPr>
          <w:trHeight w:val="270"/>
        </w:trPr>
        <w:tc>
          <w:tcPr>
            <w:tcW w:w="2263" w:type="dxa"/>
            <w:tcBorders>
              <w:top w:val="single" w:sz="4" w:space="0" w:color="000000"/>
              <w:left w:val="single" w:sz="4" w:space="0" w:color="000000"/>
              <w:bottom w:val="single" w:sz="4" w:space="0" w:color="000000"/>
              <w:right w:val="single" w:sz="4" w:space="0" w:color="000000"/>
            </w:tcBorders>
            <w:hideMark/>
          </w:tcPr>
          <w:p w14:paraId="1419B8CB" w14:textId="77777777" w:rsidR="00F56441" w:rsidRDefault="00F56441">
            <w:pPr>
              <w:pStyle w:val="TableParagraph"/>
              <w:tabs>
                <w:tab w:val="left" w:pos="9781"/>
              </w:tabs>
              <w:kinsoku w:val="0"/>
              <w:overflowPunct w:val="0"/>
              <w:spacing w:line="240" w:lineRule="auto"/>
              <w:rPr>
                <w:kern w:val="2"/>
                <w:sz w:val="22"/>
                <w:szCs w:val="22"/>
              </w:rPr>
            </w:pPr>
            <w:r>
              <w:rPr>
                <w:kern w:val="2"/>
                <w:sz w:val="22"/>
                <w:szCs w:val="22"/>
              </w:rPr>
              <w:t>Almindelig</w:t>
            </w:r>
          </w:p>
        </w:tc>
        <w:tc>
          <w:tcPr>
            <w:tcW w:w="7397" w:type="dxa"/>
            <w:tcBorders>
              <w:top w:val="single" w:sz="4" w:space="0" w:color="000000"/>
              <w:left w:val="single" w:sz="4" w:space="0" w:color="000000"/>
              <w:bottom w:val="single" w:sz="4" w:space="0" w:color="000000"/>
              <w:right w:val="single" w:sz="4" w:space="0" w:color="000000"/>
            </w:tcBorders>
            <w:hideMark/>
          </w:tcPr>
          <w:p w14:paraId="39D3059C" w14:textId="77777777" w:rsidR="00F56441" w:rsidRDefault="00F56441">
            <w:pPr>
              <w:pStyle w:val="TableParagraph"/>
              <w:tabs>
                <w:tab w:val="left" w:pos="9781"/>
              </w:tabs>
              <w:kinsoku w:val="0"/>
              <w:overflowPunct w:val="0"/>
              <w:spacing w:line="240" w:lineRule="auto"/>
              <w:ind w:left="108"/>
              <w:rPr>
                <w:kern w:val="2"/>
                <w:sz w:val="22"/>
                <w:szCs w:val="22"/>
              </w:rPr>
            </w:pPr>
            <w:r>
              <w:rPr>
                <w:kern w:val="2"/>
                <w:sz w:val="22"/>
                <w:szCs w:val="22"/>
              </w:rPr>
              <w:t>forhøjet kolesterol i blodet, hypertriglyceridæmi</w:t>
            </w:r>
          </w:p>
        </w:tc>
      </w:tr>
    </w:tbl>
    <w:p w14:paraId="17B1EF4B" w14:textId="77777777" w:rsidR="00F56441" w:rsidRPr="00D0378C" w:rsidRDefault="00F56441" w:rsidP="00C843AF">
      <w:pPr>
        <w:tabs>
          <w:tab w:val="left" w:pos="851"/>
        </w:tabs>
        <w:ind w:left="851"/>
        <w:rPr>
          <w:bCs/>
          <w:sz w:val="24"/>
          <w:szCs w:val="24"/>
        </w:rPr>
      </w:pPr>
    </w:p>
    <w:p w14:paraId="49EA2468" w14:textId="2DA74E0F" w:rsidR="00C843AF" w:rsidRDefault="00C843AF" w:rsidP="00C843AF">
      <w:pPr>
        <w:tabs>
          <w:tab w:val="left" w:pos="851"/>
        </w:tabs>
        <w:ind w:left="851"/>
        <w:rPr>
          <w:sz w:val="24"/>
          <w:szCs w:val="24"/>
        </w:rPr>
      </w:pPr>
      <w:r w:rsidRPr="00C843AF">
        <w:rPr>
          <w:sz w:val="24"/>
          <w:szCs w:val="24"/>
        </w:rPr>
        <w:t>Bivirkningshyppighederne i tabel 3 skyldes muligvis ikke kun nivolumab alene, men kan også skyldes underliggende sygdom eller kombinationen med nivolumab.</w:t>
      </w:r>
    </w:p>
    <w:p w14:paraId="066A572A" w14:textId="77777777" w:rsidR="00F56441" w:rsidRPr="00C843AF" w:rsidRDefault="00F56441" w:rsidP="00C843AF">
      <w:pPr>
        <w:tabs>
          <w:tab w:val="left" w:pos="851"/>
        </w:tabs>
        <w:ind w:left="851"/>
        <w:rPr>
          <w:sz w:val="24"/>
          <w:szCs w:val="24"/>
        </w:rPr>
      </w:pPr>
    </w:p>
    <w:p w14:paraId="3683892A" w14:textId="480BFEF1" w:rsidR="00C843AF" w:rsidRPr="00F56441" w:rsidRDefault="00C843AF" w:rsidP="00F56441">
      <w:pPr>
        <w:tabs>
          <w:tab w:val="left" w:pos="993"/>
        </w:tabs>
        <w:ind w:left="993" w:hanging="142"/>
        <w:rPr>
          <w:sz w:val="20"/>
        </w:rPr>
      </w:pPr>
      <w:r w:rsidRPr="00F56441">
        <w:rPr>
          <w:sz w:val="20"/>
        </w:rPr>
        <w:t>a</w:t>
      </w:r>
      <w:r w:rsidRPr="00F56441">
        <w:rPr>
          <w:sz w:val="20"/>
        </w:rPr>
        <w:tab/>
        <w:t>Trombose er en sammensat term, der omfatter portalvenetrombose, lungevenetrombose, lungetrombose, aortatrombose, arteriel trombose, dyb venetrombose, bækkenvenetrombose, vena cava-trombose, venøs trombose, venøs trombose i lemmer.</w:t>
      </w:r>
    </w:p>
    <w:p w14:paraId="6F31F2DC" w14:textId="77777777" w:rsidR="00C843AF" w:rsidRPr="00F56441" w:rsidRDefault="00C843AF" w:rsidP="00F56441">
      <w:pPr>
        <w:tabs>
          <w:tab w:val="left" w:pos="993"/>
        </w:tabs>
        <w:ind w:left="993" w:hanging="142"/>
        <w:rPr>
          <w:sz w:val="20"/>
        </w:rPr>
      </w:pPr>
      <w:r w:rsidRPr="00F56441">
        <w:rPr>
          <w:sz w:val="20"/>
        </w:rPr>
        <w:t>b</w:t>
      </w:r>
      <w:r w:rsidRPr="00F56441">
        <w:rPr>
          <w:sz w:val="20"/>
        </w:rPr>
        <w:tab/>
        <w:t>Der er rapporteret tilfælde med dødelig udgang.</w:t>
      </w:r>
    </w:p>
    <w:p w14:paraId="6A3EE39F" w14:textId="77777777" w:rsidR="00C843AF" w:rsidRPr="00F56441" w:rsidRDefault="00C843AF" w:rsidP="00F56441">
      <w:pPr>
        <w:tabs>
          <w:tab w:val="left" w:pos="993"/>
        </w:tabs>
        <w:ind w:left="993" w:hanging="142"/>
        <w:rPr>
          <w:sz w:val="20"/>
        </w:rPr>
      </w:pPr>
      <w:r w:rsidRPr="00F56441">
        <w:rPr>
          <w:sz w:val="20"/>
        </w:rPr>
        <w:t>c</w:t>
      </w:r>
      <w:r w:rsidRPr="00F56441">
        <w:rPr>
          <w:sz w:val="20"/>
        </w:rPr>
        <w:tab/>
        <w:t>Med tidligere eller samtidig eksponering for immuncheckpointhæmmere.</w:t>
      </w:r>
    </w:p>
    <w:p w14:paraId="09AF34CA" w14:textId="77777777" w:rsidR="00C843AF" w:rsidRPr="00F56441" w:rsidRDefault="00C843AF" w:rsidP="00F56441">
      <w:pPr>
        <w:tabs>
          <w:tab w:val="left" w:pos="993"/>
        </w:tabs>
        <w:ind w:left="993" w:hanging="142"/>
        <w:rPr>
          <w:sz w:val="20"/>
        </w:rPr>
      </w:pPr>
      <w:r w:rsidRPr="00F56441">
        <w:rPr>
          <w:sz w:val="20"/>
        </w:rPr>
        <w:t>d</w:t>
      </w:r>
      <w:r w:rsidRPr="00F56441">
        <w:rPr>
          <w:sz w:val="20"/>
        </w:rPr>
        <w:tab/>
        <w:t>Udslæt er en sammensat term, der omfatter dermatitis, akneiform dermatitis, bulløs dermatitis, eksfoliativt udslæt, erytematøst udslæt, follikulært udslæt, makuløst udslæt, makulopapuløst udslæt, papuløst udslæt, kløende udslæt og lægemiddeludslæt.</w:t>
      </w:r>
    </w:p>
    <w:p w14:paraId="2188DDAF" w14:textId="77777777" w:rsidR="00C843AF" w:rsidRPr="00F56441" w:rsidRDefault="00C843AF" w:rsidP="00F56441">
      <w:pPr>
        <w:tabs>
          <w:tab w:val="left" w:pos="993"/>
        </w:tabs>
        <w:ind w:left="993" w:hanging="142"/>
        <w:rPr>
          <w:sz w:val="20"/>
        </w:rPr>
      </w:pPr>
      <w:r w:rsidRPr="00F56441">
        <w:rPr>
          <w:sz w:val="20"/>
        </w:rPr>
        <w:t>e</w:t>
      </w:r>
      <w:r w:rsidRPr="00F56441">
        <w:rPr>
          <w:sz w:val="20"/>
        </w:rPr>
        <w:tab/>
        <w:t>Muskuloskeletale smerter er en sammensat term, der omfatter rygsmerter, knoglesmerter, muskuloskeletale brystsmerter, muskuloskeletalt ubehag, myalgi, nakkesmerter, ekstremitetssmerter, smerter i rygsøjlen.</w:t>
      </w:r>
    </w:p>
    <w:p w14:paraId="39345F2F" w14:textId="2F5CDA18" w:rsidR="0038300E" w:rsidRPr="00D0378C" w:rsidRDefault="00C843AF" w:rsidP="00D0378C">
      <w:pPr>
        <w:tabs>
          <w:tab w:val="left" w:pos="993"/>
        </w:tabs>
        <w:ind w:left="993" w:hanging="142"/>
        <w:rPr>
          <w:sz w:val="20"/>
        </w:rPr>
      </w:pPr>
      <w:r w:rsidRPr="00F56441">
        <w:rPr>
          <w:sz w:val="20"/>
        </w:rPr>
        <w:t>f</w:t>
      </w:r>
      <w:r w:rsidRPr="00F56441">
        <w:rPr>
          <w:sz w:val="20"/>
        </w:rPr>
        <w:tab/>
        <w:t xml:space="preserve">Laboratorieparametrenes hyppigheder afspejler den andel af patienter, som i laboratoriemålinger oplevede forværring i forhold til </w:t>
      </w:r>
      <w:r w:rsidRPr="00F56441">
        <w:rPr>
          <w:i/>
          <w:iCs/>
          <w:sz w:val="20"/>
        </w:rPr>
        <w:t xml:space="preserve">baseline </w:t>
      </w:r>
      <w:r w:rsidRPr="00F56441">
        <w:rPr>
          <w:sz w:val="20"/>
        </w:rPr>
        <w:t>(med undtagelse af vægttab, forhøjet kolesterol i blodet og hypertriglyceridæmi).</w:t>
      </w:r>
    </w:p>
    <w:p w14:paraId="5E7E0B5B" w14:textId="18279666" w:rsidR="00D0378C" w:rsidRDefault="00D0378C">
      <w:pPr>
        <w:rPr>
          <w:sz w:val="24"/>
          <w:szCs w:val="24"/>
        </w:rPr>
      </w:pPr>
      <w:r>
        <w:rPr>
          <w:sz w:val="24"/>
          <w:szCs w:val="24"/>
        </w:rPr>
        <w:br w:type="page"/>
      </w:r>
    </w:p>
    <w:p w14:paraId="41C18C10" w14:textId="77777777" w:rsidR="00C843AF" w:rsidRPr="00C843AF" w:rsidRDefault="00C843AF" w:rsidP="00C843AF">
      <w:pPr>
        <w:tabs>
          <w:tab w:val="left" w:pos="851"/>
        </w:tabs>
        <w:ind w:left="851"/>
        <w:rPr>
          <w:sz w:val="24"/>
          <w:szCs w:val="24"/>
        </w:rPr>
      </w:pPr>
    </w:p>
    <w:p w14:paraId="6800DE20" w14:textId="77777777" w:rsidR="00C843AF" w:rsidRPr="00C843AF" w:rsidRDefault="00C843AF" w:rsidP="00C843AF">
      <w:pPr>
        <w:tabs>
          <w:tab w:val="left" w:pos="851"/>
        </w:tabs>
        <w:ind w:left="851"/>
        <w:rPr>
          <w:sz w:val="24"/>
          <w:szCs w:val="24"/>
        </w:rPr>
      </w:pPr>
      <w:r w:rsidRPr="00C843AF">
        <w:rPr>
          <w:sz w:val="24"/>
          <w:szCs w:val="24"/>
          <w:u w:val="single"/>
        </w:rPr>
        <w:t>Beskrivelse af udvalgte bivirkninger</w:t>
      </w:r>
    </w:p>
    <w:p w14:paraId="012EDCA7" w14:textId="21616ABB" w:rsidR="00C843AF" w:rsidRPr="00C843AF" w:rsidRDefault="00C843AF" w:rsidP="00C843AF">
      <w:pPr>
        <w:tabs>
          <w:tab w:val="left" w:pos="851"/>
        </w:tabs>
        <w:ind w:left="851"/>
        <w:rPr>
          <w:sz w:val="24"/>
          <w:szCs w:val="24"/>
        </w:rPr>
      </w:pPr>
      <w:r w:rsidRPr="00C843AF">
        <w:rPr>
          <w:sz w:val="24"/>
          <w:szCs w:val="24"/>
        </w:rPr>
        <w:t>Data for nedenstående bivirkninger er baseret på patienter, der fik cabozantinib 60 mg oralt en gang dagligt som monoterapi i de pivotale studier i RCC efter tidligere VEGF-målrettet behandling og i behandlingsnaivt RCC, i HCC efter forudgående systemisk behandling og i DTC hos patienter, der er refraktære over for eller uegnede til behandling med radioaktivt jod (RAI), hos hvem sygdommen er progredieret under eller efter tidligere systemisk behandling, eller hos patienter, der fik cabozantinib 40 mg oralt en gang dagligt i kombination med nivolumab som førstelinjebehandling ved fremskredent RCC (pkt. 5.1).</w:t>
      </w:r>
    </w:p>
    <w:p w14:paraId="7DD39B6D" w14:textId="77777777" w:rsidR="00C843AF" w:rsidRPr="00C843AF" w:rsidRDefault="00C843AF" w:rsidP="00C843AF">
      <w:pPr>
        <w:tabs>
          <w:tab w:val="left" w:pos="851"/>
        </w:tabs>
        <w:ind w:left="851"/>
        <w:rPr>
          <w:sz w:val="24"/>
          <w:szCs w:val="24"/>
        </w:rPr>
      </w:pPr>
    </w:p>
    <w:p w14:paraId="39FE9D9C" w14:textId="77777777" w:rsidR="00C843AF" w:rsidRPr="00C843AF" w:rsidRDefault="00C843AF" w:rsidP="00C843AF">
      <w:pPr>
        <w:tabs>
          <w:tab w:val="left" w:pos="851"/>
        </w:tabs>
        <w:ind w:left="851"/>
        <w:rPr>
          <w:i/>
          <w:iCs/>
          <w:sz w:val="24"/>
          <w:szCs w:val="24"/>
        </w:rPr>
      </w:pPr>
      <w:r w:rsidRPr="00C843AF">
        <w:rPr>
          <w:i/>
          <w:iCs/>
          <w:sz w:val="24"/>
          <w:szCs w:val="24"/>
          <w:u w:val="single"/>
        </w:rPr>
        <w:t>Gastrointestinal (GI) perforation (se pkt. 4.4)</w:t>
      </w:r>
    </w:p>
    <w:p w14:paraId="77F1362C" w14:textId="77777777" w:rsidR="00C843AF" w:rsidRPr="00C843AF" w:rsidRDefault="00C843AF" w:rsidP="00C843AF">
      <w:pPr>
        <w:tabs>
          <w:tab w:val="left" w:pos="851"/>
        </w:tabs>
        <w:ind w:left="851"/>
        <w:rPr>
          <w:sz w:val="24"/>
          <w:szCs w:val="24"/>
        </w:rPr>
      </w:pPr>
      <w:r w:rsidRPr="00C843AF">
        <w:rPr>
          <w:sz w:val="24"/>
          <w:szCs w:val="24"/>
        </w:rPr>
        <w:t>I studiet af RCC efter tidligere VEGF-målrettet behandling (METEOR) blev der rapporteret GI-perforation hos 0,9 % (3/331) af de cabozantinib-behandlede RCC-patienter. Hændelserne var grad 2 eller 3.</w:t>
      </w:r>
    </w:p>
    <w:p w14:paraId="7BB82147" w14:textId="77777777" w:rsidR="00C843AF" w:rsidRPr="00C843AF" w:rsidRDefault="00C843AF" w:rsidP="00C843AF">
      <w:pPr>
        <w:tabs>
          <w:tab w:val="left" w:pos="851"/>
        </w:tabs>
        <w:ind w:left="851"/>
        <w:rPr>
          <w:sz w:val="24"/>
          <w:szCs w:val="24"/>
        </w:rPr>
      </w:pPr>
      <w:r w:rsidRPr="00C843AF">
        <w:rPr>
          <w:sz w:val="24"/>
          <w:szCs w:val="24"/>
        </w:rPr>
        <w:t>Mediantiden til opståen var 10,0 uger.</w:t>
      </w:r>
    </w:p>
    <w:p w14:paraId="61E1A531" w14:textId="77777777" w:rsidR="00C843AF" w:rsidRPr="00C843AF" w:rsidRDefault="00C843AF" w:rsidP="00C843AF">
      <w:pPr>
        <w:tabs>
          <w:tab w:val="left" w:pos="851"/>
        </w:tabs>
        <w:ind w:left="851"/>
        <w:rPr>
          <w:sz w:val="24"/>
          <w:szCs w:val="24"/>
        </w:rPr>
      </w:pPr>
      <w:r w:rsidRPr="00C843AF">
        <w:rPr>
          <w:sz w:val="24"/>
          <w:szCs w:val="24"/>
        </w:rPr>
        <w:t>I studiet af behandlingsnaivt RCC (CABOSUN), blev der rapporteret GI-perforationer hos 2,6 % (2/78) af de cabozantinib-behandlede patienter. Tilfældene var af grad 4 og 5.</w:t>
      </w:r>
    </w:p>
    <w:p w14:paraId="288B2125" w14:textId="77777777" w:rsidR="00C843AF" w:rsidRPr="00C843AF" w:rsidRDefault="00C843AF" w:rsidP="00C843AF">
      <w:pPr>
        <w:tabs>
          <w:tab w:val="left" w:pos="851"/>
        </w:tabs>
        <w:ind w:left="851"/>
        <w:rPr>
          <w:sz w:val="24"/>
          <w:szCs w:val="24"/>
        </w:rPr>
      </w:pPr>
      <w:r w:rsidRPr="00C843AF">
        <w:rPr>
          <w:sz w:val="24"/>
          <w:szCs w:val="24"/>
        </w:rPr>
        <w:t>I HCC-studiet (CELESTIAL) blev GI-perforeringer rapporteret hos 0,9 % af de cabozantinib-behandlede patienter (4/467). Alle hændelser var grad 3 eller 4. Mediantiden til opståen var 5,9 uger.</w:t>
      </w:r>
    </w:p>
    <w:p w14:paraId="7C8341D5" w14:textId="77777777" w:rsidR="00C843AF" w:rsidRPr="00C843AF" w:rsidRDefault="00C843AF" w:rsidP="00C843AF">
      <w:pPr>
        <w:tabs>
          <w:tab w:val="left" w:pos="851"/>
        </w:tabs>
        <w:ind w:left="851"/>
        <w:rPr>
          <w:sz w:val="24"/>
          <w:szCs w:val="24"/>
        </w:rPr>
      </w:pPr>
      <w:r w:rsidRPr="00C843AF">
        <w:rPr>
          <w:sz w:val="24"/>
          <w:szCs w:val="24"/>
        </w:rPr>
        <w:t>I DTC-studiet (COSMIC-311) blev der rapporteret GI-perforation grad 4 hos én patient (0,6 %) af de cabozantinib-behandlede patienter, og det opstod efter 14 ugers behandling.</w:t>
      </w:r>
    </w:p>
    <w:p w14:paraId="52818DD3" w14:textId="77777777" w:rsidR="00C843AF" w:rsidRPr="00C843AF" w:rsidRDefault="00C843AF" w:rsidP="00C843AF">
      <w:pPr>
        <w:tabs>
          <w:tab w:val="left" w:pos="851"/>
        </w:tabs>
        <w:ind w:left="851"/>
        <w:rPr>
          <w:sz w:val="24"/>
          <w:szCs w:val="24"/>
        </w:rPr>
      </w:pPr>
      <w:r w:rsidRPr="00C843AF">
        <w:rPr>
          <w:sz w:val="24"/>
          <w:szCs w:val="24"/>
        </w:rPr>
        <w:t>I kombination med nivolumab som førstelinjebehandling ved fremskredent RCC (CA2099ER) var forekomsten af GI-perforationer 1,3 % (4/320) hos de behandlede patienter. Én hændelse var grad 3, to hændelser var grad 4 og én hændelse var grad 5 (letal).</w:t>
      </w:r>
    </w:p>
    <w:p w14:paraId="4F2AC4D2" w14:textId="77777777" w:rsidR="00C843AF" w:rsidRPr="00C843AF" w:rsidRDefault="00C843AF" w:rsidP="00C843AF">
      <w:pPr>
        <w:tabs>
          <w:tab w:val="left" w:pos="851"/>
        </w:tabs>
        <w:ind w:left="851"/>
        <w:rPr>
          <w:sz w:val="24"/>
          <w:szCs w:val="24"/>
        </w:rPr>
      </w:pPr>
      <w:r w:rsidRPr="00C843AF">
        <w:rPr>
          <w:sz w:val="24"/>
          <w:szCs w:val="24"/>
        </w:rPr>
        <w:t xml:space="preserve">Der er set dødelige perforationstilfælde i det kliniske cabozantinib-program. </w:t>
      </w:r>
    </w:p>
    <w:p w14:paraId="36CD9F15" w14:textId="77777777" w:rsidR="00C843AF" w:rsidRPr="00C843AF" w:rsidRDefault="00C843AF" w:rsidP="00C843AF">
      <w:pPr>
        <w:tabs>
          <w:tab w:val="left" w:pos="851"/>
        </w:tabs>
        <w:ind w:left="851"/>
        <w:rPr>
          <w:sz w:val="24"/>
          <w:szCs w:val="24"/>
        </w:rPr>
      </w:pPr>
    </w:p>
    <w:p w14:paraId="095CA699" w14:textId="77777777" w:rsidR="00C843AF" w:rsidRPr="00C843AF" w:rsidRDefault="00C843AF" w:rsidP="00C843AF">
      <w:pPr>
        <w:tabs>
          <w:tab w:val="left" w:pos="851"/>
        </w:tabs>
        <w:ind w:left="851"/>
        <w:rPr>
          <w:i/>
          <w:iCs/>
          <w:sz w:val="24"/>
          <w:szCs w:val="24"/>
        </w:rPr>
      </w:pPr>
      <w:r w:rsidRPr="00C843AF">
        <w:rPr>
          <w:i/>
          <w:iCs/>
          <w:sz w:val="24"/>
          <w:szCs w:val="24"/>
          <w:u w:val="single"/>
        </w:rPr>
        <w:t>Hepatisk encefalopati (se pkt. 4.4)</w:t>
      </w:r>
    </w:p>
    <w:p w14:paraId="426FF760" w14:textId="77777777" w:rsidR="00C843AF" w:rsidRPr="00C843AF" w:rsidRDefault="00C843AF" w:rsidP="00C843AF">
      <w:pPr>
        <w:tabs>
          <w:tab w:val="left" w:pos="851"/>
        </w:tabs>
        <w:ind w:left="851"/>
        <w:rPr>
          <w:sz w:val="24"/>
          <w:szCs w:val="24"/>
        </w:rPr>
      </w:pPr>
      <w:r w:rsidRPr="00C843AF">
        <w:rPr>
          <w:sz w:val="24"/>
          <w:szCs w:val="24"/>
        </w:rPr>
        <w:t>I HCC-studiet (CELESTIAL) blev hepatisk encefalopati (hepatisk encefalopati, encefalopati, hyperammonæmisk encefalopati) rapporteret hos 5,6 % af de cabozantinib-behandlede patienter (26/467); Grad 3-4-hændelser hos 2,8 % og én (0,2 %) grad 5-hændelse. Mediantiden til opståen var 5,9 uger.</w:t>
      </w:r>
    </w:p>
    <w:p w14:paraId="5C71F5C4" w14:textId="77777777" w:rsidR="00C843AF" w:rsidRPr="00C843AF" w:rsidRDefault="00C843AF" w:rsidP="00C843AF">
      <w:pPr>
        <w:tabs>
          <w:tab w:val="left" w:pos="851"/>
        </w:tabs>
        <w:ind w:left="851"/>
        <w:rPr>
          <w:sz w:val="24"/>
          <w:szCs w:val="24"/>
        </w:rPr>
      </w:pPr>
      <w:r w:rsidRPr="00C843AF">
        <w:rPr>
          <w:sz w:val="24"/>
          <w:szCs w:val="24"/>
        </w:rPr>
        <w:t>Der blev ikke rapporteret tilfælde af hepatisk encefalopati i RCC-studierne (METEOR, CABOSUN og CA2099ER) og i DTC-studiet (COSMIC-311).</w:t>
      </w:r>
    </w:p>
    <w:p w14:paraId="1AEE3C84" w14:textId="77777777" w:rsidR="00C843AF" w:rsidRPr="00C843AF" w:rsidRDefault="00C843AF" w:rsidP="00C843AF">
      <w:pPr>
        <w:tabs>
          <w:tab w:val="left" w:pos="851"/>
        </w:tabs>
        <w:ind w:left="851"/>
        <w:rPr>
          <w:sz w:val="24"/>
          <w:szCs w:val="24"/>
        </w:rPr>
      </w:pPr>
    </w:p>
    <w:p w14:paraId="40946567" w14:textId="77777777" w:rsidR="00C843AF" w:rsidRPr="00C843AF" w:rsidRDefault="00C843AF" w:rsidP="00C843AF">
      <w:pPr>
        <w:tabs>
          <w:tab w:val="left" w:pos="851"/>
        </w:tabs>
        <w:ind w:left="851"/>
        <w:rPr>
          <w:i/>
          <w:iCs/>
          <w:sz w:val="24"/>
          <w:szCs w:val="24"/>
        </w:rPr>
      </w:pPr>
      <w:r w:rsidRPr="00C843AF">
        <w:rPr>
          <w:i/>
          <w:iCs/>
          <w:sz w:val="24"/>
          <w:szCs w:val="24"/>
          <w:u w:val="single"/>
        </w:rPr>
        <w:t>Diarré (se pkt. 4.4)</w:t>
      </w:r>
    </w:p>
    <w:p w14:paraId="1802E4E8" w14:textId="77777777" w:rsidR="00C843AF" w:rsidRPr="00C843AF" w:rsidRDefault="00C843AF" w:rsidP="00C843AF">
      <w:pPr>
        <w:tabs>
          <w:tab w:val="left" w:pos="851"/>
        </w:tabs>
        <w:ind w:left="851"/>
        <w:rPr>
          <w:sz w:val="24"/>
          <w:szCs w:val="24"/>
        </w:rPr>
      </w:pPr>
      <w:r w:rsidRPr="00C843AF">
        <w:rPr>
          <w:sz w:val="24"/>
          <w:szCs w:val="24"/>
        </w:rPr>
        <w:t>I studiet af RCC efter forudgående VEGF-målrettet behandling (METEOR) blev diarré rapporteret hos 74 % af de cabozantinib-behandlede RCC-patienter (245/331); Grad 3-4-hændelser hos 11 %. Mediantiden til opståen var 4,9 uger.</w:t>
      </w:r>
    </w:p>
    <w:p w14:paraId="42144C82" w14:textId="77777777" w:rsidR="00C843AF" w:rsidRPr="00C843AF" w:rsidRDefault="00C843AF" w:rsidP="00C843AF">
      <w:pPr>
        <w:tabs>
          <w:tab w:val="left" w:pos="851"/>
        </w:tabs>
        <w:ind w:left="851"/>
        <w:rPr>
          <w:sz w:val="24"/>
          <w:szCs w:val="24"/>
        </w:rPr>
      </w:pPr>
      <w:r w:rsidRPr="00C843AF">
        <w:rPr>
          <w:sz w:val="24"/>
          <w:szCs w:val="24"/>
        </w:rPr>
        <w:t>I det behandlingsnaive RCC-studie (CABOSUN) blev diarré rapporteret hos 73 % af de cabozantinib- behandlede patienter (57/78); grad 3-4-hændelser hos 10 %.</w:t>
      </w:r>
    </w:p>
    <w:p w14:paraId="1FC7E1DC" w14:textId="77777777" w:rsidR="00C843AF" w:rsidRPr="00C843AF" w:rsidRDefault="00C843AF" w:rsidP="00C843AF">
      <w:pPr>
        <w:tabs>
          <w:tab w:val="left" w:pos="851"/>
        </w:tabs>
        <w:ind w:left="851"/>
        <w:rPr>
          <w:sz w:val="24"/>
          <w:szCs w:val="24"/>
        </w:rPr>
      </w:pPr>
      <w:r w:rsidRPr="00C843AF">
        <w:rPr>
          <w:sz w:val="24"/>
          <w:szCs w:val="24"/>
        </w:rPr>
        <w:t>I HCC-studiet (CELESTIAL) blev diarré rapporteret hos 54 % af de cabozantinib-behandlede patienter (251/467); grad 3-4-hændelser hos 9,9 %. Mediantiden til opståen var 4,1 uger. Diarré førte til dosisændringer, -afbrydelser og -seponeringer hos henholdsvis 84/467 (18 %), 69/467 (15 %) og 5/467 (1 %) af studiepersonerne.</w:t>
      </w:r>
    </w:p>
    <w:p w14:paraId="5230651A" w14:textId="77777777" w:rsidR="00C843AF" w:rsidRPr="00C843AF" w:rsidRDefault="00C843AF" w:rsidP="00C843AF">
      <w:pPr>
        <w:tabs>
          <w:tab w:val="left" w:pos="851"/>
        </w:tabs>
        <w:ind w:left="851"/>
        <w:rPr>
          <w:sz w:val="24"/>
          <w:szCs w:val="24"/>
        </w:rPr>
      </w:pPr>
      <w:r w:rsidRPr="00C843AF">
        <w:rPr>
          <w:sz w:val="24"/>
          <w:szCs w:val="24"/>
        </w:rPr>
        <w:t>I DTC-studiet (COSMIC-311) blev der rapporteret diarré hos 62 % af de cabozantinib-behandlede patienter (105/170); grad 3-4-hændelser hos 7,6 %. Diarré førte til dosisreduktion og -afbrydelse hos henholdsvis 24/170 (14 %) og 36/170 (21 %) af studiepersonerne.</w:t>
      </w:r>
    </w:p>
    <w:p w14:paraId="25A3686B" w14:textId="77777777" w:rsidR="00C843AF" w:rsidRPr="00C843AF" w:rsidRDefault="00C843AF" w:rsidP="00C843AF">
      <w:pPr>
        <w:tabs>
          <w:tab w:val="left" w:pos="851"/>
        </w:tabs>
        <w:ind w:left="851"/>
        <w:rPr>
          <w:sz w:val="24"/>
          <w:szCs w:val="24"/>
        </w:rPr>
      </w:pPr>
      <w:r w:rsidRPr="00C843AF">
        <w:rPr>
          <w:sz w:val="24"/>
          <w:szCs w:val="24"/>
        </w:rPr>
        <w:lastRenderedPageBreak/>
        <w:t>I kombination med nivolumab som førstelinjebehandling ved fremskredent RCC (CA2099ER) var forekomsten af diarré rapporteret hos 64,7 % (207/320) af de behandlede patienter; grad 3-4-hændelser hos 8,4 % (27/320). Mediantid til indtræden af alle hændelser var 12,9 uger. Dosisforsinkelse eller -reduktion fandt sted hos 26,3 % (84/320) af patienterne og seponering hos 2,2 % (7/320) af patienterne med diarré.</w:t>
      </w:r>
    </w:p>
    <w:p w14:paraId="08E99FC6" w14:textId="77777777" w:rsidR="00C843AF" w:rsidRPr="00C843AF" w:rsidRDefault="00C843AF" w:rsidP="00C843AF">
      <w:pPr>
        <w:tabs>
          <w:tab w:val="left" w:pos="851"/>
        </w:tabs>
        <w:ind w:left="851"/>
        <w:rPr>
          <w:sz w:val="24"/>
          <w:szCs w:val="24"/>
        </w:rPr>
      </w:pPr>
    </w:p>
    <w:p w14:paraId="05A32CAD" w14:textId="77777777" w:rsidR="00C843AF" w:rsidRPr="00C843AF" w:rsidRDefault="00C843AF" w:rsidP="00C843AF">
      <w:pPr>
        <w:tabs>
          <w:tab w:val="left" w:pos="851"/>
        </w:tabs>
        <w:ind w:left="851"/>
        <w:rPr>
          <w:i/>
          <w:iCs/>
          <w:sz w:val="24"/>
          <w:szCs w:val="24"/>
        </w:rPr>
      </w:pPr>
      <w:r w:rsidRPr="00C843AF">
        <w:rPr>
          <w:i/>
          <w:iCs/>
          <w:sz w:val="24"/>
          <w:szCs w:val="24"/>
          <w:u w:val="single"/>
        </w:rPr>
        <w:t>Fistler (se pkt. 4.4)</w:t>
      </w:r>
    </w:p>
    <w:p w14:paraId="5FF58FBC" w14:textId="77777777" w:rsidR="00C843AF" w:rsidRPr="00C843AF" w:rsidRDefault="00C843AF" w:rsidP="00C843AF">
      <w:pPr>
        <w:tabs>
          <w:tab w:val="left" w:pos="851"/>
        </w:tabs>
        <w:ind w:left="851"/>
        <w:rPr>
          <w:sz w:val="24"/>
          <w:szCs w:val="24"/>
        </w:rPr>
      </w:pPr>
      <w:r w:rsidRPr="00C843AF">
        <w:rPr>
          <w:sz w:val="24"/>
          <w:szCs w:val="24"/>
        </w:rPr>
        <w:t>I studiet af RCC efter tidligere VEGF-målrettet behandling (METEOR) blev der rapporteret fistler hos 1,2 % (4/331) af de cabozantinib-behandlede patienter, herunder analfistler hos 0,6 % (2/331). En hændelse var grad 3, resten var grad 2. Mediantiden til opståen var 30,3 uger.</w:t>
      </w:r>
    </w:p>
    <w:p w14:paraId="6A98038C" w14:textId="77777777" w:rsidR="00C843AF" w:rsidRPr="00C843AF" w:rsidRDefault="00C843AF" w:rsidP="00C843AF">
      <w:pPr>
        <w:tabs>
          <w:tab w:val="left" w:pos="851"/>
        </w:tabs>
        <w:ind w:left="851"/>
        <w:rPr>
          <w:sz w:val="24"/>
          <w:szCs w:val="24"/>
        </w:rPr>
      </w:pPr>
      <w:r w:rsidRPr="00C843AF">
        <w:rPr>
          <w:sz w:val="24"/>
          <w:szCs w:val="24"/>
        </w:rPr>
        <w:t>I studiet af behandlingsnaivt RCC (CABOSUN) blev der ikke rapporteret tilfælde af fistler.</w:t>
      </w:r>
    </w:p>
    <w:p w14:paraId="64CD1369" w14:textId="77777777" w:rsidR="00C843AF" w:rsidRPr="00C843AF" w:rsidRDefault="00C843AF" w:rsidP="00C843AF">
      <w:pPr>
        <w:tabs>
          <w:tab w:val="left" w:pos="851"/>
        </w:tabs>
        <w:ind w:left="851"/>
        <w:rPr>
          <w:sz w:val="24"/>
          <w:szCs w:val="24"/>
        </w:rPr>
      </w:pPr>
      <w:r w:rsidRPr="00C843AF">
        <w:rPr>
          <w:sz w:val="24"/>
          <w:szCs w:val="24"/>
        </w:rPr>
        <w:t>I HCC-studiet (CELESTIAL) blev fistler rapporteret hos 1,5 % (7/467) af HCC-patienterne. Mediantiden til opståen var 14 uger.</w:t>
      </w:r>
    </w:p>
    <w:p w14:paraId="2A6E7F28" w14:textId="77777777" w:rsidR="00C843AF" w:rsidRPr="00C843AF" w:rsidRDefault="00C843AF" w:rsidP="00C843AF">
      <w:pPr>
        <w:tabs>
          <w:tab w:val="left" w:pos="851"/>
        </w:tabs>
        <w:ind w:left="851"/>
        <w:rPr>
          <w:sz w:val="24"/>
          <w:szCs w:val="24"/>
        </w:rPr>
      </w:pPr>
      <w:r w:rsidRPr="00C843AF">
        <w:rPr>
          <w:sz w:val="24"/>
          <w:szCs w:val="24"/>
        </w:rPr>
        <w:t>I DTC-studiet (COSMIC-311) blev der rapporteret tilfælde af fistler (to analfistler og en svælgfistel) hos 1,8 % (3/170) af de cabozantinib-behandlede patienter.</w:t>
      </w:r>
    </w:p>
    <w:p w14:paraId="6C10FD77" w14:textId="77777777" w:rsidR="00C843AF" w:rsidRPr="00C843AF" w:rsidRDefault="00C843AF" w:rsidP="00C843AF">
      <w:pPr>
        <w:tabs>
          <w:tab w:val="left" w:pos="851"/>
        </w:tabs>
        <w:ind w:left="851"/>
        <w:rPr>
          <w:sz w:val="24"/>
          <w:szCs w:val="24"/>
        </w:rPr>
      </w:pPr>
      <w:r w:rsidRPr="00C843AF">
        <w:rPr>
          <w:sz w:val="24"/>
          <w:szCs w:val="24"/>
        </w:rPr>
        <w:t>I kombination med nivolumab som førstelinjebehandling ved fremskredent RCC (CA2099ER) var forekomsten af fistler rapporteret hos 0,9 % (3/320) af de behandlede patienter og alvorligheden var grad 1. Letale fistler er forekommet i det kliniske program med cabozantinib.</w:t>
      </w:r>
    </w:p>
    <w:p w14:paraId="62D8B990" w14:textId="77777777" w:rsidR="00C843AF" w:rsidRPr="00C843AF" w:rsidRDefault="00C843AF" w:rsidP="00C843AF">
      <w:pPr>
        <w:tabs>
          <w:tab w:val="left" w:pos="851"/>
        </w:tabs>
        <w:ind w:left="851"/>
        <w:rPr>
          <w:sz w:val="24"/>
          <w:szCs w:val="24"/>
        </w:rPr>
      </w:pPr>
    </w:p>
    <w:p w14:paraId="2F53A28E" w14:textId="77777777" w:rsidR="00C843AF" w:rsidRPr="00C843AF" w:rsidRDefault="00C843AF" w:rsidP="00C843AF">
      <w:pPr>
        <w:tabs>
          <w:tab w:val="left" w:pos="851"/>
        </w:tabs>
        <w:ind w:left="851"/>
        <w:rPr>
          <w:i/>
          <w:iCs/>
          <w:sz w:val="24"/>
          <w:szCs w:val="24"/>
        </w:rPr>
      </w:pPr>
      <w:r w:rsidRPr="00C843AF">
        <w:rPr>
          <w:i/>
          <w:iCs/>
          <w:sz w:val="24"/>
          <w:szCs w:val="24"/>
          <w:u w:val="single"/>
        </w:rPr>
        <w:t>Hæmoragi (se pkt. 4.4)</w:t>
      </w:r>
    </w:p>
    <w:p w14:paraId="368FE1E0" w14:textId="77777777" w:rsidR="00C843AF" w:rsidRPr="00C843AF" w:rsidRDefault="00C843AF" w:rsidP="00C843AF">
      <w:pPr>
        <w:tabs>
          <w:tab w:val="left" w:pos="851"/>
        </w:tabs>
        <w:ind w:left="851"/>
        <w:rPr>
          <w:sz w:val="24"/>
          <w:szCs w:val="24"/>
        </w:rPr>
      </w:pPr>
      <w:r w:rsidRPr="00C843AF">
        <w:rPr>
          <w:sz w:val="24"/>
          <w:szCs w:val="24"/>
        </w:rPr>
        <w:t>I studiet af RCC efter tidligere VEGF-målrettet behandling (METEOR) var forekomsten af alvorlige blødningshændelser (grad ≥ 3) 2,1 % (7/331) hos cabozantinib-behandlede RCC-patienter. Mediantiden til opståen var 20,9 uger.</w:t>
      </w:r>
    </w:p>
    <w:p w14:paraId="48D9225F" w14:textId="77777777" w:rsidR="00C843AF" w:rsidRPr="00C843AF" w:rsidRDefault="00C843AF" w:rsidP="00C843AF">
      <w:pPr>
        <w:tabs>
          <w:tab w:val="left" w:pos="851"/>
        </w:tabs>
        <w:ind w:left="851"/>
        <w:rPr>
          <w:sz w:val="24"/>
          <w:szCs w:val="24"/>
        </w:rPr>
      </w:pPr>
      <w:r w:rsidRPr="00C843AF">
        <w:rPr>
          <w:sz w:val="24"/>
          <w:szCs w:val="24"/>
        </w:rPr>
        <w:t>I studiet af behandlingsnaivt RCC (CABOSUN) var forekomsten af alvorlige blødningshændelse (grad ≥ 3) 5,1 % (4/78) hos cabozantinib-behandlede RCC-patienter.</w:t>
      </w:r>
    </w:p>
    <w:p w14:paraId="4D0861BD" w14:textId="77777777" w:rsidR="00C843AF" w:rsidRPr="00C843AF" w:rsidRDefault="00C843AF" w:rsidP="00C843AF">
      <w:pPr>
        <w:tabs>
          <w:tab w:val="left" w:pos="851"/>
        </w:tabs>
        <w:ind w:left="851"/>
        <w:rPr>
          <w:sz w:val="24"/>
          <w:szCs w:val="24"/>
        </w:rPr>
      </w:pPr>
      <w:r w:rsidRPr="00C843AF">
        <w:rPr>
          <w:sz w:val="24"/>
          <w:szCs w:val="24"/>
        </w:rPr>
        <w:t>I HCC-studiet (CELESTIAL) var forekomsten af alvorlige hæmoragiske hændelser (grad ≥ 3) 7,3 % hos cabozantinib-behandlede patienter (34/467). Mediantiden til opståen var 9,1 uger.</w:t>
      </w:r>
    </w:p>
    <w:p w14:paraId="21EA8CDC" w14:textId="0CD5E2B6" w:rsidR="00C843AF" w:rsidRPr="00C843AF" w:rsidRDefault="00C843AF" w:rsidP="00C843AF">
      <w:pPr>
        <w:tabs>
          <w:tab w:val="left" w:pos="851"/>
        </w:tabs>
        <w:ind w:left="851"/>
        <w:rPr>
          <w:sz w:val="24"/>
          <w:szCs w:val="24"/>
        </w:rPr>
      </w:pPr>
      <w:r w:rsidRPr="00C843AF">
        <w:rPr>
          <w:sz w:val="24"/>
          <w:szCs w:val="24"/>
        </w:rPr>
        <w:t>I kombination med nivolumab som førstelinjebehandling ved fremskredent RCC (CA2099ER) var</w:t>
      </w:r>
      <w:r w:rsidR="004A3FFB">
        <w:rPr>
          <w:sz w:val="24"/>
          <w:szCs w:val="24"/>
        </w:rPr>
        <w:t xml:space="preserve"> </w:t>
      </w:r>
      <w:r w:rsidRPr="00C843AF">
        <w:rPr>
          <w:sz w:val="24"/>
          <w:szCs w:val="24"/>
        </w:rPr>
        <w:t>forekomsten af ≥ grad 3-hæmoragi rapporteret hos 1,9 % (6/320) af de behandlede patienter.</w:t>
      </w:r>
    </w:p>
    <w:p w14:paraId="3E2AA5D2" w14:textId="77777777" w:rsidR="00C843AF" w:rsidRPr="00C843AF" w:rsidRDefault="00C843AF" w:rsidP="00C843AF">
      <w:pPr>
        <w:tabs>
          <w:tab w:val="left" w:pos="851"/>
        </w:tabs>
        <w:ind w:left="851"/>
        <w:rPr>
          <w:sz w:val="24"/>
          <w:szCs w:val="24"/>
        </w:rPr>
      </w:pPr>
      <w:r w:rsidRPr="00C843AF">
        <w:rPr>
          <w:sz w:val="24"/>
          <w:szCs w:val="24"/>
        </w:rPr>
        <w:t>I DTC-studiet (COSMIC-311) var forekomsten af alvorlige blødningshændelser (grad ≥ 3) 2,4 % hos cabozantinib-behandlede patienter (4/170). Mediantiden til opståen var 80,5 dage.</w:t>
      </w:r>
    </w:p>
    <w:p w14:paraId="05283139" w14:textId="77777777" w:rsidR="00C843AF" w:rsidRPr="00C843AF" w:rsidRDefault="00C843AF" w:rsidP="00C843AF">
      <w:pPr>
        <w:tabs>
          <w:tab w:val="left" w:pos="851"/>
        </w:tabs>
        <w:ind w:left="851"/>
        <w:rPr>
          <w:sz w:val="24"/>
          <w:szCs w:val="24"/>
        </w:rPr>
      </w:pPr>
      <w:r w:rsidRPr="00C843AF">
        <w:rPr>
          <w:sz w:val="24"/>
          <w:szCs w:val="24"/>
        </w:rPr>
        <w:t>Der var dødelige tilfælde i det kliniske cabozantinib-program.</w:t>
      </w:r>
    </w:p>
    <w:p w14:paraId="71F51991" w14:textId="77777777" w:rsidR="00C843AF" w:rsidRPr="00C843AF" w:rsidRDefault="00C843AF" w:rsidP="00C843AF">
      <w:pPr>
        <w:tabs>
          <w:tab w:val="left" w:pos="851"/>
        </w:tabs>
        <w:ind w:left="851"/>
        <w:rPr>
          <w:sz w:val="24"/>
          <w:szCs w:val="24"/>
        </w:rPr>
      </w:pPr>
    </w:p>
    <w:p w14:paraId="62E2C2EA" w14:textId="77777777" w:rsidR="00C843AF" w:rsidRPr="00C843AF" w:rsidRDefault="00C843AF" w:rsidP="00C843AF">
      <w:pPr>
        <w:tabs>
          <w:tab w:val="left" w:pos="851"/>
        </w:tabs>
        <w:ind w:left="851"/>
        <w:rPr>
          <w:i/>
          <w:iCs/>
          <w:sz w:val="24"/>
          <w:szCs w:val="24"/>
          <w:u w:val="single"/>
        </w:rPr>
      </w:pPr>
      <w:r w:rsidRPr="00C843AF">
        <w:rPr>
          <w:i/>
          <w:iCs/>
          <w:sz w:val="24"/>
          <w:szCs w:val="24"/>
          <w:u w:val="single"/>
        </w:rPr>
        <w:t>Posteriort reversibelt encefalopatisk syndrom (PRES) (se pkt. 4.4)</w:t>
      </w:r>
      <w:r w:rsidRPr="00C843AF">
        <w:rPr>
          <w:i/>
          <w:iCs/>
          <w:sz w:val="24"/>
          <w:szCs w:val="24"/>
        </w:rPr>
        <w:t xml:space="preserve"> </w:t>
      </w:r>
    </w:p>
    <w:p w14:paraId="305C72EF" w14:textId="77777777" w:rsidR="00C843AF" w:rsidRPr="00C843AF" w:rsidRDefault="00C843AF" w:rsidP="00C843AF">
      <w:pPr>
        <w:tabs>
          <w:tab w:val="left" w:pos="851"/>
        </w:tabs>
        <w:ind w:left="851"/>
        <w:rPr>
          <w:sz w:val="24"/>
          <w:szCs w:val="24"/>
        </w:rPr>
      </w:pPr>
      <w:r w:rsidRPr="00C843AF">
        <w:rPr>
          <w:sz w:val="24"/>
          <w:szCs w:val="24"/>
        </w:rPr>
        <w:t>Der blev ikke rapporteret tilfælde af PRES i METEOR-, CABOSUN-, CA2099ER- eller CELESTIAL-studierne, men PRES er blevet rapporteret hos en patient i DTC-studiet (COSMIC-311) og i sjældne tilfælde i andre kliniske studier (hos 2/4.872 studiepersoner; 0,04 %).</w:t>
      </w:r>
    </w:p>
    <w:p w14:paraId="65B21230" w14:textId="77777777" w:rsidR="00C843AF" w:rsidRPr="00C843AF" w:rsidRDefault="00C843AF" w:rsidP="00C843AF">
      <w:pPr>
        <w:tabs>
          <w:tab w:val="left" w:pos="851"/>
        </w:tabs>
        <w:ind w:left="851"/>
        <w:rPr>
          <w:sz w:val="24"/>
          <w:szCs w:val="24"/>
        </w:rPr>
      </w:pPr>
    </w:p>
    <w:p w14:paraId="7B70B3B2" w14:textId="77777777" w:rsidR="00C843AF" w:rsidRPr="00C843AF" w:rsidRDefault="00C843AF" w:rsidP="00C843AF">
      <w:pPr>
        <w:tabs>
          <w:tab w:val="left" w:pos="851"/>
        </w:tabs>
        <w:ind w:left="851"/>
        <w:rPr>
          <w:i/>
          <w:iCs/>
          <w:sz w:val="24"/>
          <w:szCs w:val="24"/>
        </w:rPr>
      </w:pPr>
      <w:r w:rsidRPr="00C843AF">
        <w:rPr>
          <w:i/>
          <w:iCs/>
          <w:sz w:val="24"/>
          <w:szCs w:val="24"/>
          <w:u w:val="single"/>
        </w:rPr>
        <w:t>Forhøjede leverenzymer ved cabozantinib i kombination med nivolumab ved RCC</w:t>
      </w:r>
    </w:p>
    <w:p w14:paraId="06141C3C" w14:textId="03BD64FF" w:rsidR="00C843AF" w:rsidRPr="00C843AF" w:rsidRDefault="00C843AF" w:rsidP="00C843AF">
      <w:pPr>
        <w:tabs>
          <w:tab w:val="left" w:pos="851"/>
        </w:tabs>
        <w:ind w:left="851"/>
        <w:rPr>
          <w:sz w:val="24"/>
          <w:szCs w:val="24"/>
        </w:rPr>
      </w:pPr>
      <w:r w:rsidRPr="00C843AF">
        <w:rPr>
          <w:sz w:val="24"/>
          <w:szCs w:val="24"/>
        </w:rPr>
        <w:t xml:space="preserve">I et klinisk studie med tidligere ubehandlede patienter med RCC, der modtog cabozantinib i kombination med nivolumab, blev der observeret en højere forekomst af grad 3 og 4 forhøjet ALAT (10,1 %) og forhøjet ASAT (8,2 %) i forhold til cabozantinib monoterapi hos patienter med fremskredent RCC (ALAT steg med 3,6 % og ASAT steg med 3,3 % i METEOR studiet). Mediantiden til indtræden af grad ≥ 2 forhøjet ALAT eller ASAT var 10,1 uger (interval: 2,0-106,6 uger; n=85). Hos patienter med grad ≥ 2 forhøjet ALAT eller </w:t>
      </w:r>
      <w:r w:rsidRPr="00C843AF">
        <w:rPr>
          <w:sz w:val="24"/>
          <w:szCs w:val="24"/>
        </w:rPr>
        <w:lastRenderedPageBreak/>
        <w:t>ASAT forekom der resolution af forhøjelserne til grad 0-1 hos 91 % med en mediantid til resolution på</w:t>
      </w:r>
      <w:r w:rsidR="004A3FFB">
        <w:rPr>
          <w:sz w:val="24"/>
          <w:szCs w:val="24"/>
        </w:rPr>
        <w:t xml:space="preserve"> </w:t>
      </w:r>
      <w:r w:rsidRPr="00C843AF">
        <w:rPr>
          <w:sz w:val="24"/>
          <w:szCs w:val="24"/>
        </w:rPr>
        <w:t>2,29 uger (interval: 0,4-108,1 uger).</w:t>
      </w:r>
    </w:p>
    <w:p w14:paraId="4C8BD04F" w14:textId="77777777" w:rsidR="00C843AF" w:rsidRPr="00C843AF" w:rsidRDefault="00C843AF" w:rsidP="00C843AF">
      <w:pPr>
        <w:tabs>
          <w:tab w:val="left" w:pos="851"/>
        </w:tabs>
        <w:ind w:left="851"/>
        <w:rPr>
          <w:sz w:val="24"/>
          <w:szCs w:val="24"/>
        </w:rPr>
      </w:pPr>
      <w:r w:rsidRPr="00C843AF">
        <w:rPr>
          <w:sz w:val="24"/>
          <w:szCs w:val="24"/>
        </w:rPr>
        <w:t>Blandt de 45 patienter med grad ≥ 2 forhøjet ALAT eller ASAT, hvor enten cabozantinib (n=10) eller nivolumab (n=10) administreret som enkeltstof eller i kombination (n=25) blev genoptaget, blev der observeret tilbagefald af grad ≥ 2 forhøjet ALAT eller ASAT hos 4 patienter, der modtog cabozantinib, hos 3 patienter der modtog nivolumab, og hos 8 patienter der modtog både cabozantinib og nivolumab.</w:t>
      </w:r>
    </w:p>
    <w:p w14:paraId="2AC34E7A" w14:textId="77777777" w:rsidR="00C843AF" w:rsidRPr="00C843AF" w:rsidRDefault="00C843AF" w:rsidP="00C843AF">
      <w:pPr>
        <w:tabs>
          <w:tab w:val="left" w:pos="851"/>
        </w:tabs>
        <w:ind w:left="851"/>
        <w:rPr>
          <w:sz w:val="24"/>
          <w:szCs w:val="24"/>
        </w:rPr>
      </w:pPr>
    </w:p>
    <w:p w14:paraId="21A667C1" w14:textId="77777777" w:rsidR="00C843AF" w:rsidRPr="00C843AF" w:rsidRDefault="00C843AF" w:rsidP="00C843AF">
      <w:pPr>
        <w:tabs>
          <w:tab w:val="left" w:pos="851"/>
        </w:tabs>
        <w:ind w:left="851"/>
        <w:rPr>
          <w:i/>
          <w:iCs/>
          <w:sz w:val="24"/>
          <w:szCs w:val="24"/>
        </w:rPr>
      </w:pPr>
      <w:r w:rsidRPr="00C843AF">
        <w:rPr>
          <w:i/>
          <w:iCs/>
          <w:sz w:val="24"/>
          <w:szCs w:val="24"/>
          <w:u w:val="single"/>
        </w:rPr>
        <w:t>Hypothyroidisme</w:t>
      </w:r>
    </w:p>
    <w:p w14:paraId="07E70AE4" w14:textId="77777777" w:rsidR="00C843AF" w:rsidRPr="00C843AF" w:rsidRDefault="00C843AF" w:rsidP="00C843AF">
      <w:pPr>
        <w:tabs>
          <w:tab w:val="left" w:pos="851"/>
        </w:tabs>
        <w:ind w:left="851"/>
        <w:rPr>
          <w:sz w:val="24"/>
          <w:szCs w:val="24"/>
        </w:rPr>
      </w:pPr>
      <w:r w:rsidRPr="00C843AF">
        <w:rPr>
          <w:sz w:val="24"/>
          <w:szCs w:val="24"/>
        </w:rPr>
        <w:t>I studiet af RCC efter tidligere VEGF-målrettet behandling (METEOR) var forekomsten af hypothyroidisme 21 % (68/331).</w:t>
      </w:r>
    </w:p>
    <w:p w14:paraId="45999403" w14:textId="77777777" w:rsidR="00C843AF" w:rsidRPr="00C843AF" w:rsidRDefault="00C843AF" w:rsidP="00C843AF">
      <w:pPr>
        <w:tabs>
          <w:tab w:val="left" w:pos="851"/>
        </w:tabs>
        <w:ind w:left="851"/>
        <w:rPr>
          <w:sz w:val="24"/>
          <w:szCs w:val="24"/>
        </w:rPr>
      </w:pPr>
      <w:r w:rsidRPr="00C843AF">
        <w:rPr>
          <w:sz w:val="24"/>
          <w:szCs w:val="24"/>
        </w:rPr>
        <w:t>I studiet af behandlingsnaivt RCC (CABOSUN) var forekomsten af hypothyroidisme 23 % (18/78) hos cabozantinib-behandlede RCC-patienter.</w:t>
      </w:r>
    </w:p>
    <w:p w14:paraId="2FCFFFFF" w14:textId="77777777" w:rsidR="00C843AF" w:rsidRPr="00C843AF" w:rsidRDefault="00C843AF" w:rsidP="00C843AF">
      <w:pPr>
        <w:tabs>
          <w:tab w:val="left" w:pos="851"/>
        </w:tabs>
        <w:ind w:left="851"/>
        <w:rPr>
          <w:sz w:val="24"/>
          <w:szCs w:val="24"/>
        </w:rPr>
      </w:pPr>
      <w:r w:rsidRPr="00C843AF">
        <w:rPr>
          <w:sz w:val="24"/>
          <w:szCs w:val="24"/>
        </w:rPr>
        <w:t>I HCC-studiet (CELESTIAL) var forekomsten af hypothyroidisme 8,1 % (38/467) hos cabozantinib-behandlede patienter og grad 3 hændelser forekom hos 0,4 % (2/467).</w:t>
      </w:r>
    </w:p>
    <w:p w14:paraId="599CA95C" w14:textId="77777777" w:rsidR="00C843AF" w:rsidRPr="00C843AF" w:rsidRDefault="00C843AF" w:rsidP="00C843AF">
      <w:pPr>
        <w:tabs>
          <w:tab w:val="left" w:pos="851"/>
        </w:tabs>
        <w:ind w:left="851"/>
        <w:rPr>
          <w:sz w:val="24"/>
          <w:szCs w:val="24"/>
        </w:rPr>
      </w:pPr>
      <w:r w:rsidRPr="00C843AF">
        <w:rPr>
          <w:sz w:val="24"/>
          <w:szCs w:val="24"/>
        </w:rPr>
        <w:t>I DTC-studiet (COSMIC-311) var forekomsten af hypothyroidisme 2,4 % (4/170), alle grad 1-2, ingen krævede ændring af behandlingen.</w:t>
      </w:r>
    </w:p>
    <w:p w14:paraId="6A1A1273" w14:textId="77777777" w:rsidR="00C843AF" w:rsidRPr="00C843AF" w:rsidRDefault="00C843AF" w:rsidP="00C843AF">
      <w:pPr>
        <w:tabs>
          <w:tab w:val="left" w:pos="851"/>
        </w:tabs>
        <w:ind w:left="851"/>
        <w:rPr>
          <w:sz w:val="24"/>
          <w:szCs w:val="24"/>
        </w:rPr>
      </w:pPr>
      <w:r w:rsidRPr="00C843AF">
        <w:rPr>
          <w:sz w:val="24"/>
          <w:szCs w:val="24"/>
        </w:rPr>
        <w:t>I kombination med nivolumab som førstelinjebehandling ved fremskredent RCC (CA2099ER) var forekomsten af hypothyroidisme 35,6 % (114/320) hos behandlede patienter.</w:t>
      </w:r>
    </w:p>
    <w:p w14:paraId="0542B26D" w14:textId="77777777" w:rsidR="00C843AF" w:rsidRPr="00C843AF" w:rsidRDefault="00C843AF" w:rsidP="00C843AF">
      <w:pPr>
        <w:tabs>
          <w:tab w:val="left" w:pos="851"/>
        </w:tabs>
        <w:ind w:left="851"/>
        <w:rPr>
          <w:sz w:val="24"/>
          <w:szCs w:val="24"/>
        </w:rPr>
      </w:pPr>
    </w:p>
    <w:p w14:paraId="6AC3C19B" w14:textId="77777777" w:rsidR="00C843AF" w:rsidRPr="00C843AF" w:rsidRDefault="00C843AF" w:rsidP="00C843AF">
      <w:pPr>
        <w:tabs>
          <w:tab w:val="left" w:pos="851"/>
        </w:tabs>
        <w:ind w:left="851"/>
        <w:rPr>
          <w:i/>
          <w:iCs/>
          <w:sz w:val="24"/>
          <w:szCs w:val="24"/>
        </w:rPr>
      </w:pPr>
      <w:r w:rsidRPr="00C843AF">
        <w:rPr>
          <w:i/>
          <w:iCs/>
          <w:sz w:val="24"/>
          <w:szCs w:val="24"/>
        </w:rPr>
        <w:t>Pædiatrisk population (se pkt. 5.1)</w:t>
      </w:r>
    </w:p>
    <w:p w14:paraId="72E7587B" w14:textId="77777777" w:rsidR="00C843AF" w:rsidRPr="00C843AF" w:rsidRDefault="00C843AF" w:rsidP="00C843AF">
      <w:pPr>
        <w:tabs>
          <w:tab w:val="left" w:pos="851"/>
        </w:tabs>
        <w:ind w:left="851"/>
        <w:rPr>
          <w:sz w:val="24"/>
          <w:szCs w:val="24"/>
        </w:rPr>
      </w:pPr>
      <w:r w:rsidRPr="00C843AF">
        <w:rPr>
          <w:sz w:val="24"/>
          <w:szCs w:val="24"/>
        </w:rPr>
        <w:t>I ADVL1211-studiet, et begrænset dosiseskaleringsstudie af cabozantinib hos pædiatriske og unge patienter med tilbagevendende eller refraktære solide tumorer, inklusive CNS-tumorer, blev følgende hændelser: forhøjet aspartataminotransferase (ASAT) (meget almindelig, 76,9 %), forhøjet alaninaminotransferase (ALAT) (meget almindelig, 71,8 %), nedsat lymfocyttal (meget almindelig, 48,7 %), nedsat neutrofiltal (meget almindelig, 35,9 %), og forhøjet lipase (meget almindelig, 33,3 %) observeret med en højere hyppighed hos alle forsøgspersoner på tværs af alle dosisgrupper inkluderet i sikkerhedspopulationen</w:t>
      </w:r>
    </w:p>
    <w:p w14:paraId="303A6C95" w14:textId="77777777" w:rsidR="00C843AF" w:rsidRPr="00C843AF" w:rsidRDefault="00C843AF" w:rsidP="00C843AF">
      <w:pPr>
        <w:tabs>
          <w:tab w:val="left" w:pos="851"/>
        </w:tabs>
        <w:ind w:left="851"/>
        <w:rPr>
          <w:sz w:val="24"/>
          <w:szCs w:val="24"/>
        </w:rPr>
      </w:pPr>
      <w:r w:rsidRPr="00C843AF">
        <w:rPr>
          <w:sz w:val="24"/>
          <w:szCs w:val="24"/>
        </w:rPr>
        <w:t>(N = 39) sammenlignet med voksne. Den øgede hyppighed for disse Preferred Terms (PTs) vedrører enhver grad såvel som grad 3/4 af disse bivirkninger. De rapporterede bivirkninger er kvalitativt i overensstemmelse med den anerkendte sikkerhedsprofil for cabozantinib i voksne populationer. Det lille antal forsøgspersoner udelukker dog en endelig vurdering af tendenser og hyppigheder og yderligere sammenligning med den anerkendte sikkerhedsprofil for cabozantinib.</w:t>
      </w:r>
    </w:p>
    <w:p w14:paraId="4C645A62" w14:textId="77777777" w:rsidR="00C843AF" w:rsidRPr="00C843AF" w:rsidRDefault="00C843AF" w:rsidP="00C843AF">
      <w:pPr>
        <w:tabs>
          <w:tab w:val="left" w:pos="851"/>
        </w:tabs>
        <w:ind w:left="851"/>
        <w:rPr>
          <w:sz w:val="24"/>
          <w:szCs w:val="24"/>
        </w:rPr>
      </w:pPr>
    </w:p>
    <w:p w14:paraId="40EC3BAA" w14:textId="77777777" w:rsidR="00C843AF" w:rsidRPr="00C843AF" w:rsidRDefault="00C843AF" w:rsidP="00C843AF">
      <w:pPr>
        <w:tabs>
          <w:tab w:val="left" w:pos="851"/>
        </w:tabs>
        <w:ind w:left="851"/>
        <w:rPr>
          <w:sz w:val="24"/>
          <w:szCs w:val="24"/>
        </w:rPr>
      </w:pPr>
      <w:r w:rsidRPr="00C843AF">
        <w:rPr>
          <w:sz w:val="24"/>
          <w:szCs w:val="24"/>
        </w:rPr>
        <w:t>I ADVL1622-studiet af cabozantinib hos børn og unge voksne med følgende solide tumor-strata: Ewings sarkom, rhabdomyosarkom, non-rhabdomyosarkom bløddelssarkom (NRSTS), osteosarkom, Wilms tumor og andre sjældne solide tumorer (ikke-statistisk kohorte), var sikkerhedsprofilen for cabozantinib-behandlede børn og unge voksne i alle strata sammenlignelige med den, der blev observeret hos voksne behandlet med cabozantinib.</w:t>
      </w:r>
    </w:p>
    <w:p w14:paraId="41B9CF56" w14:textId="77777777" w:rsidR="00C843AF" w:rsidRPr="00C843AF" w:rsidRDefault="00C843AF" w:rsidP="00C843AF">
      <w:pPr>
        <w:tabs>
          <w:tab w:val="left" w:pos="851"/>
        </w:tabs>
        <w:ind w:left="851"/>
        <w:rPr>
          <w:sz w:val="24"/>
          <w:szCs w:val="24"/>
        </w:rPr>
      </w:pPr>
    </w:p>
    <w:p w14:paraId="1053E346" w14:textId="77777777" w:rsidR="00C843AF" w:rsidRPr="00C843AF" w:rsidRDefault="00C843AF" w:rsidP="00C843AF">
      <w:pPr>
        <w:tabs>
          <w:tab w:val="left" w:pos="851"/>
        </w:tabs>
        <w:ind w:left="851"/>
        <w:rPr>
          <w:sz w:val="24"/>
          <w:szCs w:val="24"/>
        </w:rPr>
      </w:pPr>
      <w:r w:rsidRPr="00C843AF">
        <w:rPr>
          <w:sz w:val="24"/>
          <w:szCs w:val="24"/>
        </w:rPr>
        <w:t xml:space="preserve">Der er blevet observeret epifyse-udvidelse hos børn med åbne vækstplader, når de blev behandlet med cabozantinib. </w:t>
      </w:r>
    </w:p>
    <w:p w14:paraId="7D429D69" w14:textId="77777777" w:rsidR="00C843AF" w:rsidRPr="00C843AF" w:rsidRDefault="00C843AF" w:rsidP="00C843AF">
      <w:pPr>
        <w:tabs>
          <w:tab w:val="left" w:pos="851"/>
        </w:tabs>
        <w:ind w:left="851"/>
        <w:rPr>
          <w:sz w:val="24"/>
          <w:szCs w:val="24"/>
        </w:rPr>
      </w:pPr>
    </w:p>
    <w:p w14:paraId="7F9DD30E" w14:textId="77777777" w:rsidR="00C843AF" w:rsidRPr="00C843AF" w:rsidRDefault="00C843AF" w:rsidP="00C843AF">
      <w:pPr>
        <w:tabs>
          <w:tab w:val="left" w:pos="851"/>
        </w:tabs>
        <w:ind w:left="851"/>
        <w:rPr>
          <w:sz w:val="24"/>
          <w:szCs w:val="24"/>
        </w:rPr>
      </w:pPr>
      <w:r w:rsidRPr="00C843AF">
        <w:rPr>
          <w:sz w:val="24"/>
          <w:szCs w:val="24"/>
          <w:u w:val="single"/>
        </w:rPr>
        <w:t>Indberetning af formodede bivirkninger</w:t>
      </w:r>
    </w:p>
    <w:p w14:paraId="64B6C17C" w14:textId="67C887BE" w:rsidR="00C843AF" w:rsidRPr="00C843AF" w:rsidRDefault="00C843AF" w:rsidP="00C843AF">
      <w:pPr>
        <w:tabs>
          <w:tab w:val="left" w:pos="851"/>
        </w:tabs>
        <w:ind w:left="851"/>
        <w:rPr>
          <w:sz w:val="24"/>
          <w:szCs w:val="24"/>
        </w:rPr>
      </w:pPr>
      <w:bookmarkStart w:id="2" w:name="_Hlk172016641"/>
      <w:r w:rsidRPr="00C843AF">
        <w:rPr>
          <w:sz w:val="24"/>
          <w:szCs w:val="24"/>
        </w:rPr>
        <w:t>Når lægemidlet er godkendt, er indberetning af formodede bivirkninger vigtig. Det muliggør løbende overvågning af benefit/risk-forholdet for lægemidlet. Sundhedspersoner anmodes om at indberette alle formodede bivirkninger via</w:t>
      </w:r>
      <w:r w:rsidR="004A3FFB">
        <w:rPr>
          <w:sz w:val="24"/>
          <w:szCs w:val="24"/>
        </w:rPr>
        <w:t>:</w:t>
      </w:r>
    </w:p>
    <w:p w14:paraId="5229A68F" w14:textId="5F931543" w:rsidR="00C843AF" w:rsidRPr="00C843AF" w:rsidRDefault="00C843AF" w:rsidP="00C843AF">
      <w:pPr>
        <w:tabs>
          <w:tab w:val="left" w:pos="851"/>
        </w:tabs>
        <w:ind w:left="851"/>
        <w:rPr>
          <w:sz w:val="24"/>
          <w:szCs w:val="24"/>
        </w:rPr>
      </w:pPr>
      <w:r w:rsidRPr="00C843AF">
        <w:rPr>
          <w:sz w:val="24"/>
          <w:szCs w:val="24"/>
        </w:rPr>
        <w:lastRenderedPageBreak/>
        <w:t>Lægemiddelstyrelsen</w:t>
      </w:r>
      <w:r w:rsidRPr="00C843AF">
        <w:rPr>
          <w:sz w:val="24"/>
          <w:szCs w:val="24"/>
        </w:rPr>
        <w:br/>
        <w:t>Axel Heides Gade 1</w:t>
      </w:r>
      <w:r w:rsidRPr="00C843AF">
        <w:rPr>
          <w:sz w:val="24"/>
          <w:szCs w:val="24"/>
        </w:rPr>
        <w:br/>
        <w:t>DK-2300 København S</w:t>
      </w:r>
      <w:r w:rsidRPr="00C843AF">
        <w:rPr>
          <w:sz w:val="24"/>
          <w:szCs w:val="24"/>
        </w:rPr>
        <w:br/>
        <w:t xml:space="preserve">Websted: </w:t>
      </w:r>
      <w:r w:rsidRPr="004A3FFB">
        <w:rPr>
          <w:sz w:val="24"/>
          <w:szCs w:val="24"/>
        </w:rPr>
        <w:t>www.meldenbivirkning.dk</w:t>
      </w:r>
    </w:p>
    <w:bookmarkEnd w:id="2"/>
    <w:p w14:paraId="411F18D5" w14:textId="77777777" w:rsidR="009260DE" w:rsidRPr="00A10294" w:rsidRDefault="009260DE" w:rsidP="00A10294">
      <w:pPr>
        <w:tabs>
          <w:tab w:val="left" w:pos="851"/>
        </w:tabs>
        <w:ind w:left="851"/>
        <w:rPr>
          <w:sz w:val="24"/>
          <w:szCs w:val="24"/>
        </w:rPr>
      </w:pPr>
    </w:p>
    <w:p w14:paraId="61088BAD"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5053F6A1" w14:textId="77777777" w:rsidR="00B80C33" w:rsidRPr="00B80C33" w:rsidRDefault="00B80C33" w:rsidP="00B80C33">
      <w:pPr>
        <w:tabs>
          <w:tab w:val="left" w:pos="851"/>
        </w:tabs>
        <w:ind w:left="851"/>
        <w:rPr>
          <w:sz w:val="24"/>
          <w:szCs w:val="24"/>
        </w:rPr>
      </w:pPr>
      <w:r w:rsidRPr="00B80C33">
        <w:rPr>
          <w:sz w:val="24"/>
          <w:szCs w:val="24"/>
        </w:rPr>
        <w:t>Der er ingen specifik behandling af overdosering med cabozantinib, og mulige symptomer på overdosering er ikke blevet fastlagt.</w:t>
      </w:r>
    </w:p>
    <w:p w14:paraId="4029704E" w14:textId="77777777" w:rsidR="00B80C33" w:rsidRPr="00B80C33" w:rsidRDefault="00B80C33" w:rsidP="00B80C33">
      <w:pPr>
        <w:tabs>
          <w:tab w:val="left" w:pos="851"/>
        </w:tabs>
        <w:ind w:left="851"/>
        <w:rPr>
          <w:sz w:val="24"/>
          <w:szCs w:val="24"/>
        </w:rPr>
      </w:pPr>
    </w:p>
    <w:p w14:paraId="10C636CE" w14:textId="77777777" w:rsidR="00B80C33" w:rsidRPr="00B80C33" w:rsidRDefault="00B80C33" w:rsidP="00B80C33">
      <w:pPr>
        <w:tabs>
          <w:tab w:val="left" w:pos="851"/>
        </w:tabs>
        <w:ind w:left="851"/>
        <w:rPr>
          <w:sz w:val="24"/>
          <w:szCs w:val="24"/>
        </w:rPr>
      </w:pPr>
      <w:r w:rsidRPr="00B80C33">
        <w:rPr>
          <w:sz w:val="24"/>
          <w:szCs w:val="24"/>
        </w:rPr>
        <w:t>Ved mistanke om overdosering bør behandlingen med cabozantinib afbrydes og understøttende behandling initieres. Metaboliske, kliniske laboratorieparametre bør monitoreres mindst en gang om ugen, eller hvad der anses for klinisk passende, for at vurdere mulige ændringstendenser. Bivirkninger på grund af overdosering skal behandles symptomatisk.</w:t>
      </w:r>
    </w:p>
    <w:p w14:paraId="71CF0ABD" w14:textId="77777777" w:rsidR="009260DE" w:rsidRPr="00C84483" w:rsidRDefault="009260DE" w:rsidP="009260DE">
      <w:pPr>
        <w:tabs>
          <w:tab w:val="left" w:pos="851"/>
        </w:tabs>
        <w:ind w:left="851"/>
        <w:rPr>
          <w:sz w:val="24"/>
          <w:szCs w:val="24"/>
        </w:rPr>
      </w:pPr>
    </w:p>
    <w:p w14:paraId="2EDBE4D4"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44E66FB5" w14:textId="4D6D3048" w:rsidR="009260DE" w:rsidRPr="00C84483" w:rsidRDefault="002D0357" w:rsidP="009260DE">
      <w:pPr>
        <w:tabs>
          <w:tab w:val="left" w:pos="851"/>
        </w:tabs>
        <w:ind w:left="851"/>
        <w:rPr>
          <w:sz w:val="24"/>
          <w:szCs w:val="24"/>
        </w:rPr>
      </w:pPr>
      <w:r>
        <w:rPr>
          <w:sz w:val="24"/>
          <w:szCs w:val="24"/>
        </w:rPr>
        <w:t>BEGR (kun til sygehuse)</w:t>
      </w:r>
    </w:p>
    <w:p w14:paraId="575852A9" w14:textId="77777777" w:rsidR="009260DE" w:rsidRPr="00C84483" w:rsidRDefault="009260DE" w:rsidP="009260DE">
      <w:pPr>
        <w:tabs>
          <w:tab w:val="left" w:pos="851"/>
        </w:tabs>
        <w:ind w:left="851"/>
        <w:rPr>
          <w:sz w:val="24"/>
          <w:szCs w:val="24"/>
        </w:rPr>
      </w:pPr>
    </w:p>
    <w:p w14:paraId="72680A6A" w14:textId="77777777" w:rsidR="009260DE" w:rsidRPr="00C84483" w:rsidRDefault="009260DE" w:rsidP="009260DE">
      <w:pPr>
        <w:tabs>
          <w:tab w:val="left" w:pos="851"/>
        </w:tabs>
        <w:ind w:left="851"/>
        <w:rPr>
          <w:sz w:val="24"/>
          <w:szCs w:val="24"/>
        </w:rPr>
      </w:pPr>
    </w:p>
    <w:p w14:paraId="1C64695D"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532ADB24" w14:textId="77777777" w:rsidR="009260DE" w:rsidRPr="00C84483" w:rsidRDefault="009260DE" w:rsidP="009260DE">
      <w:pPr>
        <w:tabs>
          <w:tab w:val="left" w:pos="851"/>
        </w:tabs>
        <w:ind w:left="851"/>
        <w:rPr>
          <w:sz w:val="24"/>
          <w:szCs w:val="24"/>
        </w:rPr>
      </w:pPr>
    </w:p>
    <w:p w14:paraId="2E25E36C"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178F0662" w14:textId="20F8A75E" w:rsidR="009C0C07" w:rsidRPr="009C0C07" w:rsidRDefault="009C0C07" w:rsidP="009C0C07">
      <w:pPr>
        <w:tabs>
          <w:tab w:val="left" w:pos="851"/>
        </w:tabs>
        <w:ind w:left="851"/>
        <w:rPr>
          <w:sz w:val="24"/>
          <w:szCs w:val="24"/>
        </w:rPr>
      </w:pPr>
      <w:r w:rsidRPr="009C0C07">
        <w:rPr>
          <w:sz w:val="24"/>
          <w:szCs w:val="24"/>
        </w:rPr>
        <w:t xml:space="preserve">Farmakoterapeutisk klassifikation: </w:t>
      </w:r>
      <w:r>
        <w:rPr>
          <w:sz w:val="24"/>
          <w:szCs w:val="24"/>
        </w:rPr>
        <w:t>A</w:t>
      </w:r>
      <w:r w:rsidRPr="009C0C07">
        <w:rPr>
          <w:sz w:val="24"/>
          <w:szCs w:val="24"/>
        </w:rPr>
        <w:t xml:space="preserve">ntineoplastisk middel, proteinkinase-hæmmer, ATC-kode: L01EX07. </w:t>
      </w:r>
    </w:p>
    <w:p w14:paraId="64F48DB4" w14:textId="77777777" w:rsidR="009C0C07" w:rsidRPr="009C0C07" w:rsidRDefault="009C0C07" w:rsidP="009C0C07">
      <w:pPr>
        <w:tabs>
          <w:tab w:val="left" w:pos="851"/>
        </w:tabs>
        <w:ind w:left="851"/>
        <w:rPr>
          <w:sz w:val="24"/>
          <w:szCs w:val="24"/>
        </w:rPr>
      </w:pPr>
    </w:p>
    <w:p w14:paraId="14ED23C3" w14:textId="77777777" w:rsidR="009C0C07" w:rsidRPr="009C0C07" w:rsidRDefault="009C0C07" w:rsidP="009C0C07">
      <w:pPr>
        <w:tabs>
          <w:tab w:val="left" w:pos="851"/>
        </w:tabs>
        <w:ind w:left="851"/>
        <w:rPr>
          <w:sz w:val="24"/>
          <w:szCs w:val="24"/>
        </w:rPr>
      </w:pPr>
      <w:r w:rsidRPr="009C0C07">
        <w:rPr>
          <w:sz w:val="24"/>
          <w:szCs w:val="24"/>
          <w:u w:val="single"/>
        </w:rPr>
        <w:t>Virkningsmekanisme</w:t>
      </w:r>
    </w:p>
    <w:p w14:paraId="4F5D97DE" w14:textId="7E80C12E" w:rsidR="009C0C07" w:rsidRPr="009C0C07" w:rsidRDefault="009C0C07" w:rsidP="009C0C07">
      <w:pPr>
        <w:tabs>
          <w:tab w:val="left" w:pos="851"/>
        </w:tabs>
        <w:ind w:left="851"/>
        <w:rPr>
          <w:sz w:val="24"/>
          <w:szCs w:val="24"/>
        </w:rPr>
      </w:pPr>
      <w:r w:rsidRPr="009C0C07">
        <w:rPr>
          <w:sz w:val="24"/>
          <w:szCs w:val="24"/>
        </w:rPr>
        <w:t>Cabozantinib er et lille molekyle, der hæmmer multiple receptor-tyrosinkinaser (RTK’er) impliceret i</w:t>
      </w:r>
      <w:r>
        <w:rPr>
          <w:sz w:val="24"/>
          <w:szCs w:val="24"/>
        </w:rPr>
        <w:t xml:space="preserve"> </w:t>
      </w:r>
      <w:r w:rsidRPr="009C0C07">
        <w:rPr>
          <w:sz w:val="24"/>
          <w:szCs w:val="24"/>
        </w:rPr>
        <w:t>tumorvækst og angiogenese, patologisk knogleremodellering, lægemiddelresistens og metastatisk progression af cancer. Cabozantinib er blevet evalueret for dets hæmmende aktivitet på en række kinaser og blev identificeret som en hæmmer af MET- (hepatocyt vækstfaktor-receptorprotein) og VEGF- (vaskulær endotelial vækstfaktor) receptorer. Derudover hæmmer cabozantinib andre tyrosinkinaser inklusive GAS6- receptoren (AXL), RET, ROS1, TYRO3, MER, stamcellefaktor-receptoren (KIT), TRKB, Fms-lignende tyrosinkinase-3 (FLT3) og TIE-2.</w:t>
      </w:r>
    </w:p>
    <w:p w14:paraId="5497F06C" w14:textId="77777777" w:rsidR="009C0C07" w:rsidRPr="009C0C07" w:rsidRDefault="009C0C07" w:rsidP="009C0C07">
      <w:pPr>
        <w:tabs>
          <w:tab w:val="left" w:pos="851"/>
        </w:tabs>
        <w:ind w:left="851"/>
        <w:rPr>
          <w:sz w:val="24"/>
          <w:szCs w:val="24"/>
        </w:rPr>
      </w:pPr>
    </w:p>
    <w:p w14:paraId="63EF31BB" w14:textId="77777777" w:rsidR="009C0C07" w:rsidRPr="009C0C07" w:rsidRDefault="009C0C07" w:rsidP="009C0C07">
      <w:pPr>
        <w:tabs>
          <w:tab w:val="left" w:pos="851"/>
        </w:tabs>
        <w:ind w:left="851"/>
        <w:rPr>
          <w:sz w:val="24"/>
          <w:szCs w:val="24"/>
        </w:rPr>
      </w:pPr>
      <w:r w:rsidRPr="009C0C07">
        <w:rPr>
          <w:sz w:val="24"/>
          <w:szCs w:val="24"/>
          <w:u w:val="single"/>
        </w:rPr>
        <w:t>Farmakodynamisk virkning</w:t>
      </w:r>
    </w:p>
    <w:p w14:paraId="6A53AC3F" w14:textId="77777777" w:rsidR="009C0C07" w:rsidRPr="009C0C07" w:rsidRDefault="009C0C07" w:rsidP="009C0C07">
      <w:pPr>
        <w:tabs>
          <w:tab w:val="left" w:pos="851"/>
        </w:tabs>
        <w:ind w:left="851"/>
        <w:rPr>
          <w:sz w:val="24"/>
          <w:szCs w:val="24"/>
        </w:rPr>
      </w:pPr>
      <w:r w:rsidRPr="009C0C07">
        <w:rPr>
          <w:sz w:val="24"/>
          <w:szCs w:val="24"/>
        </w:rPr>
        <w:t>Cabozantinib udviste dosisrelateret hæmning af tumorvækst og tumorregression og/eller hæmmede metastase i en lang række præ-kliniske tumormodeller.</w:t>
      </w:r>
    </w:p>
    <w:p w14:paraId="2703DA82" w14:textId="77777777" w:rsidR="009C0C07" w:rsidRPr="009C0C07" w:rsidRDefault="009C0C07" w:rsidP="009C0C07">
      <w:pPr>
        <w:tabs>
          <w:tab w:val="left" w:pos="851"/>
        </w:tabs>
        <w:ind w:left="851"/>
        <w:rPr>
          <w:sz w:val="24"/>
          <w:szCs w:val="24"/>
        </w:rPr>
      </w:pPr>
    </w:p>
    <w:p w14:paraId="59E27D19" w14:textId="77777777" w:rsidR="009C0C07" w:rsidRPr="009C0C07" w:rsidRDefault="009C0C07" w:rsidP="009C0C07">
      <w:pPr>
        <w:tabs>
          <w:tab w:val="left" w:pos="851"/>
        </w:tabs>
        <w:ind w:left="851"/>
        <w:rPr>
          <w:sz w:val="24"/>
          <w:szCs w:val="24"/>
        </w:rPr>
      </w:pPr>
      <w:r w:rsidRPr="009C0C07">
        <w:rPr>
          <w:sz w:val="24"/>
          <w:szCs w:val="24"/>
          <w:u w:val="single"/>
        </w:rPr>
        <w:t>Hjerteelektrofysiologi</w:t>
      </w:r>
    </w:p>
    <w:p w14:paraId="768222C3" w14:textId="1527BF39" w:rsidR="009C0C07" w:rsidRDefault="009C0C07" w:rsidP="00FF6DB7">
      <w:pPr>
        <w:tabs>
          <w:tab w:val="left" w:pos="851"/>
        </w:tabs>
        <w:ind w:left="851"/>
        <w:rPr>
          <w:sz w:val="24"/>
          <w:szCs w:val="24"/>
        </w:rPr>
      </w:pPr>
      <w:r w:rsidRPr="009C0C07">
        <w:rPr>
          <w:sz w:val="24"/>
          <w:szCs w:val="24"/>
        </w:rPr>
        <w:t xml:space="preserve">En forlængelse i forhold til </w:t>
      </w:r>
      <w:r w:rsidRPr="009C0C07">
        <w:rPr>
          <w:i/>
          <w:iCs/>
          <w:sz w:val="24"/>
          <w:szCs w:val="24"/>
        </w:rPr>
        <w:t xml:space="preserve">baseline </w:t>
      </w:r>
      <w:r w:rsidRPr="009C0C07">
        <w:rPr>
          <w:sz w:val="24"/>
          <w:szCs w:val="24"/>
        </w:rPr>
        <w:t>i korrigeret QT-interval efter Fridericia (QTcF) på 10-15 ms på dag 29 (men ikke på dag 1) efter indledning af behandling med cabozantinib (ved en dosis på 140 mg en gang dagligt) blev observeret i et kontrolleret klinisk studie med patienter med medullær thyreoideacancer. Denne virkning var ikke forbundet med en ændring i elektrokardiogrammets morfologi eller nye rytmer. Ingen cabozantinib-behandlede patienter i dette studie havde en bekræftet QTcF &gt;500 ms og heller ingen af de cabozantinib-behandlede patienter i RCC- eller HCC-studier (ved en dosis på 60 mg).</w:t>
      </w:r>
    </w:p>
    <w:p w14:paraId="44FBC995" w14:textId="24867814" w:rsidR="0038300E" w:rsidRDefault="0038300E">
      <w:pPr>
        <w:rPr>
          <w:sz w:val="24"/>
          <w:szCs w:val="24"/>
        </w:rPr>
      </w:pPr>
      <w:r>
        <w:rPr>
          <w:sz w:val="24"/>
          <w:szCs w:val="24"/>
        </w:rPr>
        <w:br w:type="page"/>
      </w:r>
    </w:p>
    <w:p w14:paraId="55B95ED2" w14:textId="77777777" w:rsidR="009C0C07" w:rsidRPr="009C0C07" w:rsidRDefault="009C0C07" w:rsidP="009C0C07">
      <w:pPr>
        <w:tabs>
          <w:tab w:val="left" w:pos="851"/>
        </w:tabs>
        <w:ind w:left="851"/>
        <w:rPr>
          <w:sz w:val="24"/>
          <w:szCs w:val="24"/>
        </w:rPr>
      </w:pPr>
    </w:p>
    <w:p w14:paraId="797C7BF6" w14:textId="77777777" w:rsidR="009C0C07" w:rsidRPr="009C0C07" w:rsidRDefault="009C0C07" w:rsidP="009C0C07">
      <w:pPr>
        <w:tabs>
          <w:tab w:val="left" w:pos="851"/>
        </w:tabs>
        <w:ind w:left="851"/>
        <w:rPr>
          <w:sz w:val="24"/>
          <w:szCs w:val="24"/>
        </w:rPr>
      </w:pPr>
      <w:r w:rsidRPr="009C0C07">
        <w:rPr>
          <w:sz w:val="24"/>
          <w:szCs w:val="24"/>
          <w:u w:val="single"/>
        </w:rPr>
        <w:t>Klinisk virkning og sikkerhed</w:t>
      </w:r>
    </w:p>
    <w:p w14:paraId="37AC8693" w14:textId="77777777" w:rsidR="009C0C07" w:rsidRPr="009C0C07" w:rsidRDefault="009C0C07" w:rsidP="009C0C07">
      <w:pPr>
        <w:tabs>
          <w:tab w:val="left" w:pos="851"/>
        </w:tabs>
        <w:ind w:left="851"/>
        <w:rPr>
          <w:sz w:val="24"/>
          <w:szCs w:val="24"/>
        </w:rPr>
      </w:pPr>
    </w:p>
    <w:p w14:paraId="70B39921" w14:textId="0A713FC9" w:rsidR="009C0C07" w:rsidRDefault="009C0C07" w:rsidP="009C0C07">
      <w:pPr>
        <w:tabs>
          <w:tab w:val="left" w:pos="851"/>
        </w:tabs>
        <w:ind w:left="851"/>
        <w:rPr>
          <w:i/>
          <w:iCs/>
          <w:sz w:val="24"/>
          <w:szCs w:val="24"/>
        </w:rPr>
      </w:pPr>
      <w:r w:rsidRPr="009C0C07">
        <w:rPr>
          <w:i/>
          <w:iCs/>
          <w:sz w:val="24"/>
          <w:szCs w:val="24"/>
        </w:rPr>
        <w:t>Nyrecellekarcinom</w:t>
      </w:r>
    </w:p>
    <w:p w14:paraId="35A8AFA7" w14:textId="77777777" w:rsidR="009C0C07" w:rsidRPr="009C0C07" w:rsidRDefault="009C0C07" w:rsidP="009C0C07">
      <w:pPr>
        <w:tabs>
          <w:tab w:val="left" w:pos="851"/>
        </w:tabs>
        <w:ind w:left="851"/>
        <w:rPr>
          <w:i/>
          <w:iCs/>
          <w:sz w:val="24"/>
          <w:szCs w:val="24"/>
        </w:rPr>
      </w:pPr>
    </w:p>
    <w:p w14:paraId="35067E20" w14:textId="77777777" w:rsidR="009C0C07" w:rsidRPr="009C0C07" w:rsidRDefault="009C0C07" w:rsidP="009C0C07">
      <w:pPr>
        <w:tabs>
          <w:tab w:val="left" w:pos="851"/>
        </w:tabs>
        <w:ind w:left="851"/>
        <w:rPr>
          <w:i/>
          <w:iCs/>
          <w:sz w:val="24"/>
          <w:szCs w:val="24"/>
        </w:rPr>
      </w:pPr>
      <w:r w:rsidRPr="009C0C07">
        <w:rPr>
          <w:i/>
          <w:iCs/>
          <w:sz w:val="24"/>
          <w:szCs w:val="24"/>
          <w:u w:val="single"/>
        </w:rPr>
        <w:t>Randomiseret studie hos RCC-patienter, som tidligere har modtaget vaskulær endotelial vækstfaktor (VEGF)</w:t>
      </w:r>
      <w:r w:rsidRPr="009C0C07">
        <w:rPr>
          <w:i/>
          <w:iCs/>
          <w:sz w:val="24"/>
          <w:szCs w:val="24"/>
        </w:rPr>
        <w:t xml:space="preserve"> </w:t>
      </w:r>
      <w:r w:rsidRPr="009C0C07">
        <w:rPr>
          <w:i/>
          <w:iCs/>
          <w:sz w:val="24"/>
          <w:szCs w:val="24"/>
          <w:u w:val="single"/>
        </w:rPr>
        <w:t>målrettet behandling (METEOR)</w:t>
      </w:r>
    </w:p>
    <w:p w14:paraId="55216445" w14:textId="77777777" w:rsidR="009C0C07" w:rsidRPr="009C0C07" w:rsidRDefault="009C0C07" w:rsidP="009C0C07">
      <w:pPr>
        <w:tabs>
          <w:tab w:val="left" w:pos="851"/>
        </w:tabs>
        <w:ind w:left="851"/>
        <w:rPr>
          <w:sz w:val="24"/>
          <w:szCs w:val="24"/>
        </w:rPr>
      </w:pPr>
      <w:r w:rsidRPr="009C0C07">
        <w:rPr>
          <w:sz w:val="24"/>
          <w:szCs w:val="24"/>
        </w:rPr>
        <w:t>Cabozantinibs sikkerhed og virkning, ved behandling af nyrecellekarcinom efter tidligere vaskulær endotelial vækstfaktor (VEGF) målrettet behandling, blev evalueret i et randomiseret, åbent fase III- multicenterstudie (METEOR). Patienter (N=658) med fremskreden RCC med en clearcelle-komponent, der tidligere havde fået mindst 1 VEGF-receptor-tyrosinkinasehæmmer (VEGFR TKI), blev randomiseret (1:1) til at få cabozantinib (N=330) eller everolimus (N=328). Patienterne kunne have fået andre tidligere behandlinger, herunder cytokiner, og antistoffer rettet mod VEGF- eller PD-1- (programmeret celledød-1) receptoren eller dens ligander. Patienter med behandlede hjernemetastaser blev inkluderet. Progressionsfri overlevelse (PFS) blev vurderet radiologisk af en blindet uafhængig komité, og den primære analyse blev udført blandt de første 375 randomiserede patienter. Sekundære virkningsendepunkter var objektiv responsrate (ORR) og samlet overlevelse (OS). Tumorvurdering blev udført hver 8. uge de første 12 måneder og derefter hver 12. uge.</w:t>
      </w:r>
    </w:p>
    <w:p w14:paraId="7D109250" w14:textId="77777777" w:rsidR="009C0C07" w:rsidRPr="009C0C07" w:rsidRDefault="009C0C07" w:rsidP="009C0C07">
      <w:pPr>
        <w:tabs>
          <w:tab w:val="left" w:pos="851"/>
        </w:tabs>
        <w:ind w:left="851"/>
        <w:rPr>
          <w:sz w:val="24"/>
          <w:szCs w:val="24"/>
        </w:rPr>
      </w:pPr>
    </w:p>
    <w:p w14:paraId="7FCA12CD" w14:textId="77777777" w:rsidR="009C0C07" w:rsidRPr="009C0C07" w:rsidRDefault="009C0C07" w:rsidP="009C0C07">
      <w:pPr>
        <w:tabs>
          <w:tab w:val="left" w:pos="851"/>
        </w:tabs>
        <w:ind w:left="851"/>
        <w:rPr>
          <w:sz w:val="24"/>
          <w:szCs w:val="24"/>
        </w:rPr>
      </w:pPr>
      <w:r w:rsidRPr="009C0C07">
        <w:rPr>
          <w:sz w:val="24"/>
          <w:szCs w:val="24"/>
        </w:rPr>
        <w:t xml:space="preserve">De demografiske data ved </w:t>
      </w:r>
      <w:r w:rsidRPr="009C0C07">
        <w:rPr>
          <w:i/>
          <w:iCs/>
          <w:sz w:val="24"/>
          <w:szCs w:val="24"/>
        </w:rPr>
        <w:t xml:space="preserve">baseline </w:t>
      </w:r>
      <w:r w:rsidRPr="009C0C07">
        <w:rPr>
          <w:sz w:val="24"/>
          <w:szCs w:val="24"/>
        </w:rPr>
        <w:t xml:space="preserve">og sygdomskarakteristika var sammenlignelige mellem cabozantinib- og everolimus-gruppen. Størstedelen af patienterne var mænd (75 %) med en medianalder på 62 år. 71 % havde fået kun én tidligere VEGFR TKI; 41 % af patienterne havde fået sunitinib som deres eneste tidligere VEGFR TKI. I henhold til kriterierne fra </w:t>
      </w:r>
      <w:r w:rsidRPr="009C0C07">
        <w:rPr>
          <w:i/>
          <w:iCs/>
          <w:sz w:val="24"/>
          <w:szCs w:val="24"/>
        </w:rPr>
        <w:t xml:space="preserve">Memorial Sloan Kettering Cancer Center </w:t>
      </w:r>
      <w:r w:rsidRPr="009C0C07">
        <w:rPr>
          <w:sz w:val="24"/>
          <w:szCs w:val="24"/>
        </w:rPr>
        <w:t>(MSKCC) for prognostisk risiko-kategori var 46 % i risikogruppen lav (0 risikofaktorer), 42 % var i risikogruppen middel (1 risikofaktor), og 13 % var i risikogruppen høj (2 eller 3 risikofaktorer). 54 % af patienterne havde 3 eller flere organer med metastatisk sygdom, herunder lunger (63 %), lymfekirtler (62 %), lever (29 %) og knogler (22 %). Den mediane behandlingsvarighed var 7,6 måneder (0,3-20,5) for patienter, der fik cabozantinib, og 4,4 måneder (0,21-18,9) for patienter, der fik everolimus.</w:t>
      </w:r>
    </w:p>
    <w:p w14:paraId="0640398A" w14:textId="77777777" w:rsidR="009C0C07" w:rsidRPr="009C0C07" w:rsidRDefault="009C0C07" w:rsidP="009C0C07">
      <w:pPr>
        <w:tabs>
          <w:tab w:val="left" w:pos="851"/>
        </w:tabs>
        <w:ind w:left="851"/>
        <w:rPr>
          <w:sz w:val="24"/>
          <w:szCs w:val="24"/>
        </w:rPr>
      </w:pPr>
    </w:p>
    <w:p w14:paraId="68EC085F" w14:textId="77777777" w:rsidR="009C0C07" w:rsidRPr="009C0C07" w:rsidRDefault="009C0C07" w:rsidP="009C0C07">
      <w:pPr>
        <w:tabs>
          <w:tab w:val="left" w:pos="851"/>
        </w:tabs>
        <w:ind w:left="851"/>
        <w:rPr>
          <w:sz w:val="24"/>
          <w:szCs w:val="24"/>
        </w:rPr>
      </w:pPr>
      <w:r w:rsidRPr="009C0C07">
        <w:rPr>
          <w:sz w:val="24"/>
          <w:szCs w:val="24"/>
        </w:rPr>
        <w:t xml:space="preserve">Der blev påvist en statistisk signifikant forbedring i PFS for cabozantinib sammenlignet med everolimus (figur 1 og tabel 4). En planlagt interimanalyse af OS, udført på tidspunktet for PFS-analysen, nåede ikke interimgrænsen for statistisk signifikans (202 hændelser, HR=0,68 [0,51-0,90], p=0,006). I en efterfølgende, ikke-planlagt interimanalyse af OS blev der påvist en statistisk signifikant forbedring hos patienter, der var randomiseret til cabozantinib, sammenlignet med everolimus (320 hændelser, median på 21,4 måneder </w:t>
      </w:r>
      <w:r w:rsidRPr="009C0C07">
        <w:rPr>
          <w:i/>
          <w:iCs/>
          <w:sz w:val="24"/>
          <w:szCs w:val="24"/>
        </w:rPr>
        <w:t xml:space="preserve">vs. </w:t>
      </w:r>
      <w:r w:rsidRPr="009C0C07">
        <w:rPr>
          <w:sz w:val="24"/>
          <w:szCs w:val="24"/>
        </w:rPr>
        <w:t>16,5 måneder; HR=0,66 [0,53- 0,83]; p=0,0003; figur 2). Der blev observeret sammenlignelige resultater for OS ved en follow-up-analyse (deskriptiv) i 430 hændelser.</w:t>
      </w:r>
    </w:p>
    <w:p w14:paraId="420A08EA" w14:textId="77777777" w:rsidR="009C0C07" w:rsidRPr="009C0C07" w:rsidRDefault="009C0C07" w:rsidP="009C0C07">
      <w:pPr>
        <w:tabs>
          <w:tab w:val="left" w:pos="851"/>
        </w:tabs>
        <w:ind w:left="851"/>
        <w:rPr>
          <w:sz w:val="24"/>
          <w:szCs w:val="24"/>
        </w:rPr>
      </w:pPr>
    </w:p>
    <w:p w14:paraId="1604E223" w14:textId="77777777" w:rsidR="009C0C07" w:rsidRPr="009C0C07" w:rsidRDefault="009C0C07" w:rsidP="009C0C07">
      <w:pPr>
        <w:tabs>
          <w:tab w:val="left" w:pos="851"/>
        </w:tabs>
        <w:ind w:left="851"/>
        <w:rPr>
          <w:sz w:val="24"/>
          <w:szCs w:val="24"/>
        </w:rPr>
      </w:pPr>
      <w:r w:rsidRPr="009C0C07">
        <w:rPr>
          <w:sz w:val="24"/>
          <w:szCs w:val="24"/>
        </w:rPr>
        <w:t xml:space="preserve">Eksplorative analyser af PFS og OS i </w:t>
      </w:r>
      <w:r w:rsidRPr="009C0C07">
        <w:rPr>
          <w:i/>
          <w:iCs/>
          <w:sz w:val="24"/>
          <w:szCs w:val="24"/>
        </w:rPr>
        <w:t xml:space="preserve">intent to treat </w:t>
      </w:r>
      <w:r w:rsidRPr="009C0C07">
        <w:rPr>
          <w:sz w:val="24"/>
          <w:szCs w:val="24"/>
        </w:rPr>
        <w:t xml:space="preserve">(ITT-) populationen har også vist konsistente resultater til fordel for cabozantinib sammenlignet med everolimus i forskellige undergrupper i henhold til alder (&lt;65 </w:t>
      </w:r>
      <w:r w:rsidRPr="009C0C07">
        <w:rPr>
          <w:i/>
          <w:iCs/>
          <w:sz w:val="24"/>
          <w:szCs w:val="24"/>
        </w:rPr>
        <w:t xml:space="preserve">vs. </w:t>
      </w:r>
      <w:r w:rsidRPr="009C0C07">
        <w:rPr>
          <w:sz w:val="24"/>
          <w:szCs w:val="24"/>
        </w:rPr>
        <w:t xml:space="preserve">≥65, køn, MSKCC-risikogruppe (gunstig, middel, høj), ECOG-status (0 </w:t>
      </w:r>
      <w:r w:rsidRPr="009C0C07">
        <w:rPr>
          <w:i/>
          <w:iCs/>
          <w:sz w:val="24"/>
          <w:szCs w:val="24"/>
        </w:rPr>
        <w:t xml:space="preserve">vs. </w:t>
      </w:r>
      <w:r w:rsidRPr="009C0C07">
        <w:rPr>
          <w:sz w:val="24"/>
          <w:szCs w:val="24"/>
        </w:rPr>
        <w:t xml:space="preserve">1), varighed fra diagnose til randomisering (&lt;1 år </w:t>
      </w:r>
      <w:r w:rsidRPr="009C0C07">
        <w:rPr>
          <w:i/>
          <w:iCs/>
          <w:sz w:val="24"/>
          <w:szCs w:val="24"/>
        </w:rPr>
        <w:t xml:space="preserve">vs. </w:t>
      </w:r>
      <w:r w:rsidRPr="009C0C07">
        <w:rPr>
          <w:sz w:val="24"/>
          <w:szCs w:val="24"/>
        </w:rPr>
        <w:t xml:space="preserve">≥1 år), tumor MET-status (høj </w:t>
      </w:r>
      <w:r w:rsidRPr="009C0C07">
        <w:rPr>
          <w:i/>
          <w:iCs/>
          <w:sz w:val="24"/>
          <w:szCs w:val="24"/>
        </w:rPr>
        <w:t xml:space="preserve">vs. </w:t>
      </w:r>
      <w:r w:rsidRPr="009C0C07">
        <w:rPr>
          <w:sz w:val="24"/>
          <w:szCs w:val="24"/>
        </w:rPr>
        <w:t xml:space="preserve">lav </w:t>
      </w:r>
      <w:r w:rsidRPr="009C0C07">
        <w:rPr>
          <w:i/>
          <w:iCs/>
          <w:sz w:val="24"/>
          <w:szCs w:val="24"/>
        </w:rPr>
        <w:t xml:space="preserve">vs. </w:t>
      </w:r>
      <w:r w:rsidRPr="009C0C07">
        <w:rPr>
          <w:sz w:val="24"/>
          <w:szCs w:val="24"/>
        </w:rPr>
        <w:t xml:space="preserve">ukendt), knoglemetastaser (fravær </w:t>
      </w:r>
      <w:r w:rsidRPr="009C0C07">
        <w:rPr>
          <w:i/>
          <w:iCs/>
          <w:sz w:val="24"/>
          <w:szCs w:val="24"/>
        </w:rPr>
        <w:t xml:space="preserve">vs. </w:t>
      </w:r>
      <w:r w:rsidRPr="009C0C07">
        <w:rPr>
          <w:sz w:val="24"/>
          <w:szCs w:val="24"/>
        </w:rPr>
        <w:t xml:space="preserve">tilstedeværelse), viscerale metastaser (fravær </w:t>
      </w:r>
      <w:r w:rsidRPr="009C0C07">
        <w:rPr>
          <w:i/>
          <w:iCs/>
          <w:sz w:val="24"/>
          <w:szCs w:val="24"/>
        </w:rPr>
        <w:t xml:space="preserve">vs. </w:t>
      </w:r>
      <w:r w:rsidRPr="009C0C07">
        <w:rPr>
          <w:sz w:val="24"/>
          <w:szCs w:val="24"/>
        </w:rPr>
        <w:t xml:space="preserve">tilstedeværelse), viscerale og knoglemetastaser (fravær </w:t>
      </w:r>
      <w:r w:rsidRPr="009C0C07">
        <w:rPr>
          <w:i/>
          <w:iCs/>
          <w:sz w:val="24"/>
          <w:szCs w:val="24"/>
        </w:rPr>
        <w:t xml:space="preserve">vs. </w:t>
      </w:r>
      <w:r w:rsidRPr="009C0C07">
        <w:rPr>
          <w:sz w:val="24"/>
          <w:szCs w:val="24"/>
        </w:rPr>
        <w:t xml:space="preserve">tilstedeværelse), antal tidligere VEGFR-TKIs (1 </w:t>
      </w:r>
      <w:r w:rsidRPr="009C0C07">
        <w:rPr>
          <w:i/>
          <w:iCs/>
          <w:sz w:val="24"/>
          <w:szCs w:val="24"/>
        </w:rPr>
        <w:t xml:space="preserve">vs. </w:t>
      </w:r>
      <w:r w:rsidRPr="009C0C07">
        <w:rPr>
          <w:sz w:val="24"/>
          <w:szCs w:val="24"/>
        </w:rPr>
        <w:t xml:space="preserve">≥2), varighed af første VEGFR-TKI (≤6 måneder </w:t>
      </w:r>
      <w:r w:rsidRPr="009C0C07">
        <w:rPr>
          <w:i/>
          <w:iCs/>
          <w:sz w:val="24"/>
          <w:szCs w:val="24"/>
        </w:rPr>
        <w:t>vs.</w:t>
      </w:r>
      <w:r w:rsidRPr="009C0C07">
        <w:rPr>
          <w:sz w:val="24"/>
          <w:szCs w:val="24"/>
        </w:rPr>
        <w:t>&gt;6 måneder).</w:t>
      </w:r>
    </w:p>
    <w:p w14:paraId="5464061F" w14:textId="77777777" w:rsidR="009C0C07" w:rsidRPr="009C0C07" w:rsidRDefault="009C0C07" w:rsidP="009C0C07">
      <w:pPr>
        <w:tabs>
          <w:tab w:val="left" w:pos="851"/>
        </w:tabs>
        <w:ind w:left="851"/>
        <w:rPr>
          <w:sz w:val="24"/>
          <w:szCs w:val="24"/>
        </w:rPr>
      </w:pPr>
    </w:p>
    <w:p w14:paraId="1C4BAFF3" w14:textId="77777777" w:rsidR="009C0C07" w:rsidRPr="009C0C07" w:rsidRDefault="009C0C07" w:rsidP="009C0C07">
      <w:pPr>
        <w:tabs>
          <w:tab w:val="left" w:pos="851"/>
        </w:tabs>
        <w:ind w:left="851"/>
        <w:rPr>
          <w:sz w:val="24"/>
          <w:szCs w:val="24"/>
        </w:rPr>
      </w:pPr>
      <w:r w:rsidRPr="009C0C07">
        <w:rPr>
          <w:sz w:val="24"/>
          <w:szCs w:val="24"/>
        </w:rPr>
        <w:t xml:space="preserve">Objektive responsrater er opsummeret i tabel 5. </w:t>
      </w:r>
    </w:p>
    <w:p w14:paraId="45564C30" w14:textId="77777777" w:rsidR="00821423" w:rsidRDefault="00821423" w:rsidP="009C0C07">
      <w:pPr>
        <w:tabs>
          <w:tab w:val="left" w:pos="851"/>
        </w:tabs>
        <w:ind w:left="851"/>
        <w:rPr>
          <w:sz w:val="24"/>
          <w:szCs w:val="24"/>
        </w:rPr>
      </w:pPr>
    </w:p>
    <w:p w14:paraId="60904C6E" w14:textId="7760656E" w:rsidR="00821423" w:rsidRDefault="00821423" w:rsidP="00821423">
      <w:pPr>
        <w:pStyle w:val="Brdtekst"/>
        <w:tabs>
          <w:tab w:val="left" w:pos="9781"/>
        </w:tabs>
        <w:kinsoku w:val="0"/>
        <w:overflowPunct w:val="0"/>
        <w:ind w:left="541" w:right="1114"/>
      </w:pPr>
      <w:r>
        <w:rPr>
          <w:noProof/>
        </w:rPr>
        <mc:AlternateContent>
          <mc:Choice Requires="wps">
            <w:drawing>
              <wp:anchor distT="0" distB="0" distL="114300" distR="114300" simplePos="0" relativeHeight="251660288" behindDoc="0" locked="0" layoutInCell="0" allowOverlap="1" wp14:anchorId="4A9A7D51" wp14:editId="4E178544">
                <wp:simplePos x="0" y="0"/>
                <wp:positionH relativeFrom="page">
                  <wp:posOffset>944245</wp:posOffset>
                </wp:positionH>
                <wp:positionV relativeFrom="paragraph">
                  <wp:posOffset>920115</wp:posOffset>
                </wp:positionV>
                <wp:extent cx="333375" cy="2098040"/>
                <wp:effectExtent l="0" t="0" r="9525" b="16510"/>
                <wp:wrapNone/>
                <wp:docPr id="44613173" name="Tekstfelt 44613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09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9B74A" w14:textId="77777777" w:rsidR="0054615B" w:rsidRDefault="0054615B" w:rsidP="00821423">
                            <w:pPr>
                              <w:pStyle w:val="Brdtekst"/>
                              <w:kinsoku w:val="0"/>
                              <w:overflowPunct w:val="0"/>
                              <w:spacing w:before="12" w:line="271" w:lineRule="auto"/>
                              <w:ind w:left="1109" w:right="-3" w:hanging="1090"/>
                              <w:rPr>
                                <w:rFonts w:ascii="Arial" w:hAnsi="Arial" w:cs="Arial"/>
                                <w:b/>
                                <w:bCs/>
                                <w:sz w:val="20"/>
                                <w:szCs w:val="20"/>
                              </w:rPr>
                            </w:pPr>
                            <w:bookmarkStart w:id="3" w:name="_Hlk201322312"/>
                            <w:bookmarkEnd w:id="3"/>
                            <w:r>
                              <w:rPr>
                                <w:rFonts w:ascii="Arial" w:hAnsi="Arial" w:cs="Arial"/>
                                <w:b/>
                                <w:bCs/>
                                <w:sz w:val="20"/>
                                <w:szCs w:val="20"/>
                              </w:rPr>
                              <w:t>Sandsynlighed for progressionsfri overlevelse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A7D51" id="_x0000_t202" coordsize="21600,21600" o:spt="202" path="m,l,21600r21600,l21600,xe">
                <v:stroke joinstyle="miter"/>
                <v:path gradientshapeok="t" o:connecttype="rect"/>
              </v:shapetype>
              <v:shape id="Tekstfelt 44613173" o:spid="_x0000_s1026" type="#_x0000_t202" style="position:absolute;left:0;text-align:left;margin-left:74.35pt;margin-top:72.45pt;width:26.25pt;height:165.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" o:allowincell="f" filled="f" stroked="f">
                <v:textbox style="layout-flow:vertical;mso-layout-flow-alt:bottom-to-top" inset="0,0,0,0">
                  <w:txbxContent>
                    <w:p w14:paraId="1149B74A" w14:textId="77777777" w:rsidR="0054615B" w:rsidRDefault="0054615B" w:rsidP="00821423">
                      <w:pPr>
                        <w:pStyle w:val="Brdtekst"/>
                        <w:kinsoku w:val="0"/>
                        <w:overflowPunct w:val="0"/>
                        <w:spacing w:before="12" w:line="271" w:lineRule="auto"/>
                        <w:ind w:left="1109" w:right="-3" w:hanging="1090"/>
                        <w:rPr>
                          <w:rFonts w:ascii="Arial" w:hAnsi="Arial" w:cs="Arial"/>
                          <w:b/>
                          <w:bCs/>
                          <w:sz w:val="20"/>
                          <w:szCs w:val="20"/>
                        </w:rPr>
                      </w:pPr>
                      <w:bookmarkStart w:id="3" w:name="_Hlk201322312"/>
                      <w:bookmarkEnd w:id="3"/>
                      <w:r>
                        <w:rPr>
                          <w:rFonts w:ascii="Arial" w:hAnsi="Arial" w:cs="Arial"/>
                          <w:b/>
                          <w:bCs/>
                          <w:sz w:val="20"/>
                          <w:szCs w:val="20"/>
                        </w:rPr>
                        <w:t>Sandsynlighed for progressionsfri overlevelse</w:t>
                      </w:r>
                    </w:p>
                  </w:txbxContent>
                </v:textbox>
                <w10:wrap anchorx="page"/>
              </v:shape>
            </w:pict>
          </mc:Fallback>
        </mc:AlternateContent>
      </w:r>
      <w:r>
        <w:rPr>
          <w:b/>
          <w:bCs/>
        </w:rPr>
        <w:t>Figur 1:</w:t>
      </w:r>
      <w:r>
        <w:t xml:space="preserve"> </w:t>
      </w:r>
      <w:r>
        <w:rPr>
          <w:b/>
          <w:bCs/>
        </w:rPr>
        <w:t>Kaplan-Meier-kurver for progressionsfri overlevelse bedømt radiologisk af en uafhængig komité, hos RCC-patienter efter tidligere vaskulær endotelial vækstfaktor (VEGF) målrettet behandling (første 375 randomiserede patienter) (METEOR)</w:t>
      </w:r>
    </w:p>
    <w:p w14:paraId="1AD0F733" w14:textId="77777777" w:rsidR="00821423" w:rsidRDefault="00821423" w:rsidP="00821423">
      <w:pPr>
        <w:pStyle w:val="Brdtekst"/>
        <w:tabs>
          <w:tab w:val="left" w:pos="9781"/>
        </w:tabs>
        <w:kinsoku w:val="0"/>
        <w:overflowPunct w:val="0"/>
        <w:rPr>
          <w:b/>
          <w:bCs/>
          <w:sz w:val="20"/>
          <w:szCs w:val="20"/>
        </w:rPr>
      </w:pPr>
    </w:p>
    <w:p w14:paraId="5DA80DD5" w14:textId="77777777" w:rsidR="00821423" w:rsidRDefault="00821423" w:rsidP="00821423">
      <w:pPr>
        <w:pStyle w:val="Brdtekst"/>
        <w:tabs>
          <w:tab w:val="left" w:pos="9781"/>
        </w:tabs>
        <w:kinsoku w:val="0"/>
        <w:overflowPunct w:val="0"/>
        <w:rPr>
          <w:b/>
          <w:bCs/>
          <w:sz w:val="14"/>
          <w:szCs w:val="14"/>
        </w:rPr>
      </w:pPr>
    </w:p>
    <w:p w14:paraId="132787F6" w14:textId="1674E086" w:rsidR="00821423" w:rsidRDefault="00821423" w:rsidP="00821423">
      <w:pPr>
        <w:pStyle w:val="Brdtekst"/>
        <w:tabs>
          <w:tab w:val="left" w:pos="9781"/>
        </w:tabs>
        <w:kinsoku w:val="0"/>
        <w:overflowPunct w:val="0"/>
        <w:ind w:left="1848"/>
        <w:rPr>
          <w:sz w:val="20"/>
          <w:szCs w:val="20"/>
        </w:rPr>
      </w:pPr>
      <w:r>
        <w:rPr>
          <w:noProof/>
        </w:rPr>
        <mc:AlternateContent>
          <mc:Choice Requires="wpg">
            <w:drawing>
              <wp:inline distT="0" distB="0" distL="0" distR="0" wp14:anchorId="23C67687" wp14:editId="7B5F6A10">
                <wp:extent cx="4623435" cy="2663825"/>
                <wp:effectExtent l="0" t="0" r="15240" b="3175"/>
                <wp:docPr id="763397346" name="Gruppe 7633973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3435" cy="2663825"/>
                          <a:chOff x="0" y="0"/>
                          <a:chExt cx="7281" cy="4195"/>
                        </a:xfrm>
                      </wpg:grpSpPr>
                      <wps:wsp>
                        <wps:cNvPr id="763397347" name="Freeform 9"/>
                        <wps:cNvSpPr>
                          <a:spLocks/>
                        </wps:cNvSpPr>
                        <wps:spPr bwMode="auto">
                          <a:xfrm>
                            <a:off x="416" y="3890"/>
                            <a:ext cx="6865" cy="20"/>
                          </a:xfrm>
                          <a:custGeom>
                            <a:avLst/>
                            <a:gdLst>
                              <a:gd name="T0" fmla="*/ 0 w 6865"/>
                              <a:gd name="T1" fmla="*/ 0 h 20"/>
                              <a:gd name="T2" fmla="*/ 6864 w 6865"/>
                              <a:gd name="T3" fmla="*/ 0 h 20"/>
                              <a:gd name="T4" fmla="*/ 0 60000 65536"/>
                              <a:gd name="T5" fmla="*/ 0 60000 65536"/>
                            </a:gdLst>
                            <a:ahLst/>
                            <a:cxnLst>
                              <a:cxn ang="T4">
                                <a:pos x="T0" y="T1"/>
                              </a:cxn>
                              <a:cxn ang="T5">
                                <a:pos x="T2" y="T3"/>
                              </a:cxn>
                            </a:cxnLst>
                            <a:rect l="0" t="0" r="r" b="b"/>
                            <a:pathLst>
                              <a:path w="6865" h="20">
                                <a:moveTo>
                                  <a:pt x="0" y="0"/>
                                </a:moveTo>
                                <a:lnTo>
                                  <a:pt x="6864" y="0"/>
                                </a:lnTo>
                              </a:path>
                            </a:pathLst>
                          </a:custGeom>
                          <a:noFill/>
                          <a:ln w="166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3397348" name="Freeform 10"/>
                        <wps:cNvSpPr>
                          <a:spLocks/>
                        </wps:cNvSpPr>
                        <wps:spPr bwMode="auto">
                          <a:xfrm>
                            <a:off x="429" y="3890"/>
                            <a:ext cx="20" cy="75"/>
                          </a:xfrm>
                          <a:custGeom>
                            <a:avLst/>
                            <a:gdLst>
                              <a:gd name="T0" fmla="*/ 0 w 20"/>
                              <a:gd name="T1" fmla="*/ 0 h 75"/>
                              <a:gd name="T2" fmla="*/ 0 w 20"/>
                              <a:gd name="T3" fmla="*/ 74 h 75"/>
                              <a:gd name="T4" fmla="*/ 0 60000 65536"/>
                              <a:gd name="T5" fmla="*/ 0 60000 65536"/>
                            </a:gdLst>
                            <a:ahLst/>
                            <a:cxnLst>
                              <a:cxn ang="T4">
                                <a:pos x="T0" y="T1"/>
                              </a:cxn>
                              <a:cxn ang="T5">
                                <a:pos x="T2" y="T3"/>
                              </a:cxn>
                            </a:cxnLst>
                            <a:rect l="0" t="0" r="r" b="b"/>
                            <a:pathLst>
                              <a:path w="20" h="75">
                                <a:moveTo>
                                  <a:pt x="0" y="0"/>
                                </a:moveTo>
                                <a:lnTo>
                                  <a:pt x="0" y="74"/>
                                </a:lnTo>
                              </a:path>
                            </a:pathLst>
                          </a:custGeom>
                          <a:noFill/>
                          <a:ln w="16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3397349" name="Freeform 11"/>
                        <wps:cNvSpPr>
                          <a:spLocks/>
                        </wps:cNvSpPr>
                        <wps:spPr bwMode="auto">
                          <a:xfrm>
                            <a:off x="1507" y="3890"/>
                            <a:ext cx="20" cy="75"/>
                          </a:xfrm>
                          <a:custGeom>
                            <a:avLst/>
                            <a:gdLst>
                              <a:gd name="T0" fmla="*/ 0 w 20"/>
                              <a:gd name="T1" fmla="*/ 0 h 75"/>
                              <a:gd name="T2" fmla="*/ 0 w 20"/>
                              <a:gd name="T3" fmla="*/ 74 h 75"/>
                              <a:gd name="T4" fmla="*/ 0 60000 65536"/>
                              <a:gd name="T5" fmla="*/ 0 60000 65536"/>
                            </a:gdLst>
                            <a:ahLst/>
                            <a:cxnLst>
                              <a:cxn ang="T4">
                                <a:pos x="T0" y="T1"/>
                              </a:cxn>
                              <a:cxn ang="T5">
                                <a:pos x="T2" y="T3"/>
                              </a:cxn>
                            </a:cxnLst>
                            <a:rect l="0" t="0" r="r" b="b"/>
                            <a:pathLst>
                              <a:path w="20" h="75">
                                <a:moveTo>
                                  <a:pt x="0" y="0"/>
                                </a:moveTo>
                                <a:lnTo>
                                  <a:pt x="0" y="74"/>
                                </a:lnTo>
                              </a:path>
                            </a:pathLst>
                          </a:custGeom>
                          <a:noFill/>
                          <a:ln w="16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3397350" name="Freeform 12"/>
                        <wps:cNvSpPr>
                          <a:spLocks/>
                        </wps:cNvSpPr>
                        <wps:spPr bwMode="auto">
                          <a:xfrm>
                            <a:off x="2588" y="3890"/>
                            <a:ext cx="20" cy="75"/>
                          </a:xfrm>
                          <a:custGeom>
                            <a:avLst/>
                            <a:gdLst>
                              <a:gd name="T0" fmla="*/ 0 w 20"/>
                              <a:gd name="T1" fmla="*/ 0 h 75"/>
                              <a:gd name="T2" fmla="*/ 0 w 20"/>
                              <a:gd name="T3" fmla="*/ 74 h 75"/>
                              <a:gd name="T4" fmla="*/ 0 60000 65536"/>
                              <a:gd name="T5" fmla="*/ 0 60000 65536"/>
                            </a:gdLst>
                            <a:ahLst/>
                            <a:cxnLst>
                              <a:cxn ang="T4">
                                <a:pos x="T0" y="T1"/>
                              </a:cxn>
                              <a:cxn ang="T5">
                                <a:pos x="T2" y="T3"/>
                              </a:cxn>
                            </a:cxnLst>
                            <a:rect l="0" t="0" r="r" b="b"/>
                            <a:pathLst>
                              <a:path w="20" h="75">
                                <a:moveTo>
                                  <a:pt x="0" y="0"/>
                                </a:moveTo>
                                <a:lnTo>
                                  <a:pt x="0" y="74"/>
                                </a:lnTo>
                              </a:path>
                            </a:pathLst>
                          </a:custGeom>
                          <a:noFill/>
                          <a:ln w="16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3397351" name="Freeform 13"/>
                        <wps:cNvSpPr>
                          <a:spLocks/>
                        </wps:cNvSpPr>
                        <wps:spPr bwMode="auto">
                          <a:xfrm>
                            <a:off x="3666" y="3890"/>
                            <a:ext cx="20" cy="75"/>
                          </a:xfrm>
                          <a:custGeom>
                            <a:avLst/>
                            <a:gdLst>
                              <a:gd name="T0" fmla="*/ 0 w 20"/>
                              <a:gd name="T1" fmla="*/ 0 h 75"/>
                              <a:gd name="T2" fmla="*/ 0 w 20"/>
                              <a:gd name="T3" fmla="*/ 74 h 75"/>
                              <a:gd name="T4" fmla="*/ 0 60000 65536"/>
                              <a:gd name="T5" fmla="*/ 0 60000 65536"/>
                            </a:gdLst>
                            <a:ahLst/>
                            <a:cxnLst>
                              <a:cxn ang="T4">
                                <a:pos x="T0" y="T1"/>
                              </a:cxn>
                              <a:cxn ang="T5">
                                <a:pos x="T2" y="T3"/>
                              </a:cxn>
                            </a:cxnLst>
                            <a:rect l="0" t="0" r="r" b="b"/>
                            <a:pathLst>
                              <a:path w="20" h="75">
                                <a:moveTo>
                                  <a:pt x="0" y="0"/>
                                </a:moveTo>
                                <a:lnTo>
                                  <a:pt x="0" y="74"/>
                                </a:lnTo>
                              </a:path>
                            </a:pathLst>
                          </a:custGeom>
                          <a:noFill/>
                          <a:ln w="16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3397352" name="Freeform 14"/>
                        <wps:cNvSpPr>
                          <a:spLocks/>
                        </wps:cNvSpPr>
                        <wps:spPr bwMode="auto">
                          <a:xfrm>
                            <a:off x="4747" y="3890"/>
                            <a:ext cx="20" cy="75"/>
                          </a:xfrm>
                          <a:custGeom>
                            <a:avLst/>
                            <a:gdLst>
                              <a:gd name="T0" fmla="*/ 0 w 20"/>
                              <a:gd name="T1" fmla="*/ 0 h 75"/>
                              <a:gd name="T2" fmla="*/ 0 w 20"/>
                              <a:gd name="T3" fmla="*/ 74 h 75"/>
                              <a:gd name="T4" fmla="*/ 0 60000 65536"/>
                              <a:gd name="T5" fmla="*/ 0 60000 65536"/>
                            </a:gdLst>
                            <a:ahLst/>
                            <a:cxnLst>
                              <a:cxn ang="T4">
                                <a:pos x="T0" y="T1"/>
                              </a:cxn>
                              <a:cxn ang="T5">
                                <a:pos x="T2" y="T3"/>
                              </a:cxn>
                            </a:cxnLst>
                            <a:rect l="0" t="0" r="r" b="b"/>
                            <a:pathLst>
                              <a:path w="20" h="75">
                                <a:moveTo>
                                  <a:pt x="0" y="0"/>
                                </a:moveTo>
                                <a:lnTo>
                                  <a:pt x="0" y="74"/>
                                </a:lnTo>
                              </a:path>
                            </a:pathLst>
                          </a:custGeom>
                          <a:noFill/>
                          <a:ln w="16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3397353" name="Freeform 15"/>
                        <wps:cNvSpPr>
                          <a:spLocks/>
                        </wps:cNvSpPr>
                        <wps:spPr bwMode="auto">
                          <a:xfrm>
                            <a:off x="5827" y="3890"/>
                            <a:ext cx="20" cy="75"/>
                          </a:xfrm>
                          <a:custGeom>
                            <a:avLst/>
                            <a:gdLst>
                              <a:gd name="T0" fmla="*/ 0 w 20"/>
                              <a:gd name="T1" fmla="*/ 0 h 75"/>
                              <a:gd name="T2" fmla="*/ 0 w 20"/>
                              <a:gd name="T3" fmla="*/ 74 h 75"/>
                              <a:gd name="T4" fmla="*/ 0 60000 65536"/>
                              <a:gd name="T5" fmla="*/ 0 60000 65536"/>
                            </a:gdLst>
                            <a:ahLst/>
                            <a:cxnLst>
                              <a:cxn ang="T4">
                                <a:pos x="T0" y="T1"/>
                              </a:cxn>
                              <a:cxn ang="T5">
                                <a:pos x="T2" y="T3"/>
                              </a:cxn>
                            </a:cxnLst>
                            <a:rect l="0" t="0" r="r" b="b"/>
                            <a:pathLst>
                              <a:path w="20" h="75">
                                <a:moveTo>
                                  <a:pt x="0" y="0"/>
                                </a:moveTo>
                                <a:lnTo>
                                  <a:pt x="0" y="74"/>
                                </a:lnTo>
                              </a:path>
                            </a:pathLst>
                          </a:custGeom>
                          <a:noFill/>
                          <a:ln w="16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3397354" name="Freeform 16"/>
                        <wps:cNvSpPr>
                          <a:spLocks/>
                        </wps:cNvSpPr>
                        <wps:spPr bwMode="auto">
                          <a:xfrm>
                            <a:off x="6905" y="3890"/>
                            <a:ext cx="20" cy="75"/>
                          </a:xfrm>
                          <a:custGeom>
                            <a:avLst/>
                            <a:gdLst>
                              <a:gd name="T0" fmla="*/ 0 w 20"/>
                              <a:gd name="T1" fmla="*/ 0 h 75"/>
                              <a:gd name="T2" fmla="*/ 0 w 20"/>
                              <a:gd name="T3" fmla="*/ 74 h 75"/>
                              <a:gd name="T4" fmla="*/ 0 60000 65536"/>
                              <a:gd name="T5" fmla="*/ 0 60000 65536"/>
                            </a:gdLst>
                            <a:ahLst/>
                            <a:cxnLst>
                              <a:cxn ang="T4">
                                <a:pos x="T0" y="T1"/>
                              </a:cxn>
                              <a:cxn ang="T5">
                                <a:pos x="T2" y="T3"/>
                              </a:cxn>
                            </a:cxnLst>
                            <a:rect l="0" t="0" r="r" b="b"/>
                            <a:pathLst>
                              <a:path w="20" h="75">
                                <a:moveTo>
                                  <a:pt x="0" y="0"/>
                                </a:moveTo>
                                <a:lnTo>
                                  <a:pt x="0" y="74"/>
                                </a:lnTo>
                              </a:path>
                            </a:pathLst>
                          </a:custGeom>
                          <a:noFill/>
                          <a:ln w="16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3397355" name="Freeform 17"/>
                        <wps:cNvSpPr>
                          <a:spLocks/>
                        </wps:cNvSpPr>
                        <wps:spPr bwMode="auto">
                          <a:xfrm>
                            <a:off x="429" y="94"/>
                            <a:ext cx="20" cy="3809"/>
                          </a:xfrm>
                          <a:custGeom>
                            <a:avLst/>
                            <a:gdLst>
                              <a:gd name="T0" fmla="*/ 0 w 20"/>
                              <a:gd name="T1" fmla="*/ 3808 h 3809"/>
                              <a:gd name="T2" fmla="*/ 0 w 20"/>
                              <a:gd name="T3" fmla="*/ 0 h 3809"/>
                              <a:gd name="T4" fmla="*/ 0 60000 65536"/>
                              <a:gd name="T5" fmla="*/ 0 60000 65536"/>
                            </a:gdLst>
                            <a:ahLst/>
                            <a:cxnLst>
                              <a:cxn ang="T4">
                                <a:pos x="T0" y="T1"/>
                              </a:cxn>
                              <a:cxn ang="T5">
                                <a:pos x="T2" y="T3"/>
                              </a:cxn>
                            </a:cxnLst>
                            <a:rect l="0" t="0" r="r" b="b"/>
                            <a:pathLst>
                              <a:path w="20" h="3809">
                                <a:moveTo>
                                  <a:pt x="0" y="3808"/>
                                </a:moveTo>
                                <a:lnTo>
                                  <a:pt x="0" y="0"/>
                                </a:lnTo>
                              </a:path>
                            </a:pathLst>
                          </a:custGeom>
                          <a:noFill/>
                          <a:ln w="16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3397356" name="Freeform 18"/>
                        <wps:cNvSpPr>
                          <a:spLocks/>
                        </wps:cNvSpPr>
                        <wps:spPr bwMode="auto">
                          <a:xfrm>
                            <a:off x="354" y="3890"/>
                            <a:ext cx="75" cy="20"/>
                          </a:xfrm>
                          <a:custGeom>
                            <a:avLst/>
                            <a:gdLst>
                              <a:gd name="T0" fmla="*/ 74 w 75"/>
                              <a:gd name="T1" fmla="*/ 0 h 20"/>
                              <a:gd name="T2" fmla="*/ 0 w 75"/>
                              <a:gd name="T3" fmla="*/ 0 h 20"/>
                              <a:gd name="T4" fmla="*/ 0 60000 65536"/>
                              <a:gd name="T5" fmla="*/ 0 60000 65536"/>
                            </a:gdLst>
                            <a:ahLst/>
                            <a:cxnLst>
                              <a:cxn ang="T4">
                                <a:pos x="T0" y="T1"/>
                              </a:cxn>
                              <a:cxn ang="T5">
                                <a:pos x="T2" y="T3"/>
                              </a:cxn>
                            </a:cxnLst>
                            <a:rect l="0" t="0" r="r" b="b"/>
                            <a:pathLst>
                              <a:path w="75" h="20">
                                <a:moveTo>
                                  <a:pt x="74" y="0"/>
                                </a:moveTo>
                                <a:lnTo>
                                  <a:pt x="0" y="0"/>
                                </a:lnTo>
                              </a:path>
                            </a:pathLst>
                          </a:custGeom>
                          <a:noFill/>
                          <a:ln w="166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3397357" name="Freeform 19"/>
                        <wps:cNvSpPr>
                          <a:spLocks/>
                        </wps:cNvSpPr>
                        <wps:spPr bwMode="auto">
                          <a:xfrm>
                            <a:off x="354" y="3513"/>
                            <a:ext cx="75" cy="20"/>
                          </a:xfrm>
                          <a:custGeom>
                            <a:avLst/>
                            <a:gdLst>
                              <a:gd name="T0" fmla="*/ 74 w 75"/>
                              <a:gd name="T1" fmla="*/ 0 h 20"/>
                              <a:gd name="T2" fmla="*/ 0 w 75"/>
                              <a:gd name="T3" fmla="*/ 0 h 20"/>
                              <a:gd name="T4" fmla="*/ 0 60000 65536"/>
                              <a:gd name="T5" fmla="*/ 0 60000 65536"/>
                            </a:gdLst>
                            <a:ahLst/>
                            <a:cxnLst>
                              <a:cxn ang="T4">
                                <a:pos x="T0" y="T1"/>
                              </a:cxn>
                              <a:cxn ang="T5">
                                <a:pos x="T2" y="T3"/>
                              </a:cxn>
                            </a:cxnLst>
                            <a:rect l="0" t="0" r="r" b="b"/>
                            <a:pathLst>
                              <a:path w="75" h="20">
                                <a:moveTo>
                                  <a:pt x="74" y="0"/>
                                </a:moveTo>
                                <a:lnTo>
                                  <a:pt x="0" y="0"/>
                                </a:lnTo>
                              </a:path>
                            </a:pathLst>
                          </a:custGeom>
                          <a:noFill/>
                          <a:ln w="166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3397358" name="Freeform 20"/>
                        <wps:cNvSpPr>
                          <a:spLocks/>
                        </wps:cNvSpPr>
                        <wps:spPr bwMode="auto">
                          <a:xfrm>
                            <a:off x="354" y="3134"/>
                            <a:ext cx="75" cy="20"/>
                          </a:xfrm>
                          <a:custGeom>
                            <a:avLst/>
                            <a:gdLst>
                              <a:gd name="T0" fmla="*/ 74 w 75"/>
                              <a:gd name="T1" fmla="*/ 0 h 20"/>
                              <a:gd name="T2" fmla="*/ 0 w 75"/>
                              <a:gd name="T3" fmla="*/ 0 h 20"/>
                              <a:gd name="T4" fmla="*/ 0 60000 65536"/>
                              <a:gd name="T5" fmla="*/ 0 60000 65536"/>
                            </a:gdLst>
                            <a:ahLst/>
                            <a:cxnLst>
                              <a:cxn ang="T4">
                                <a:pos x="T0" y="T1"/>
                              </a:cxn>
                              <a:cxn ang="T5">
                                <a:pos x="T2" y="T3"/>
                              </a:cxn>
                            </a:cxnLst>
                            <a:rect l="0" t="0" r="r" b="b"/>
                            <a:pathLst>
                              <a:path w="75" h="20">
                                <a:moveTo>
                                  <a:pt x="74" y="0"/>
                                </a:moveTo>
                                <a:lnTo>
                                  <a:pt x="0" y="0"/>
                                </a:lnTo>
                              </a:path>
                            </a:pathLst>
                          </a:custGeom>
                          <a:noFill/>
                          <a:ln w="166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3397359" name="Freeform 21"/>
                        <wps:cNvSpPr>
                          <a:spLocks/>
                        </wps:cNvSpPr>
                        <wps:spPr bwMode="auto">
                          <a:xfrm>
                            <a:off x="354" y="2756"/>
                            <a:ext cx="75" cy="20"/>
                          </a:xfrm>
                          <a:custGeom>
                            <a:avLst/>
                            <a:gdLst>
                              <a:gd name="T0" fmla="*/ 74 w 75"/>
                              <a:gd name="T1" fmla="*/ 0 h 20"/>
                              <a:gd name="T2" fmla="*/ 0 w 75"/>
                              <a:gd name="T3" fmla="*/ 0 h 20"/>
                              <a:gd name="T4" fmla="*/ 0 60000 65536"/>
                              <a:gd name="T5" fmla="*/ 0 60000 65536"/>
                            </a:gdLst>
                            <a:ahLst/>
                            <a:cxnLst>
                              <a:cxn ang="T4">
                                <a:pos x="T0" y="T1"/>
                              </a:cxn>
                              <a:cxn ang="T5">
                                <a:pos x="T2" y="T3"/>
                              </a:cxn>
                            </a:cxnLst>
                            <a:rect l="0" t="0" r="r" b="b"/>
                            <a:pathLst>
                              <a:path w="75" h="20">
                                <a:moveTo>
                                  <a:pt x="74" y="0"/>
                                </a:moveTo>
                                <a:lnTo>
                                  <a:pt x="0" y="0"/>
                                </a:lnTo>
                              </a:path>
                            </a:pathLst>
                          </a:custGeom>
                          <a:noFill/>
                          <a:ln w="166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3397360" name="Freeform 22"/>
                        <wps:cNvSpPr>
                          <a:spLocks/>
                        </wps:cNvSpPr>
                        <wps:spPr bwMode="auto">
                          <a:xfrm>
                            <a:off x="354" y="2377"/>
                            <a:ext cx="75" cy="20"/>
                          </a:xfrm>
                          <a:custGeom>
                            <a:avLst/>
                            <a:gdLst>
                              <a:gd name="T0" fmla="*/ 74 w 75"/>
                              <a:gd name="T1" fmla="*/ 0 h 20"/>
                              <a:gd name="T2" fmla="*/ 0 w 75"/>
                              <a:gd name="T3" fmla="*/ 0 h 20"/>
                              <a:gd name="T4" fmla="*/ 0 60000 65536"/>
                              <a:gd name="T5" fmla="*/ 0 60000 65536"/>
                            </a:gdLst>
                            <a:ahLst/>
                            <a:cxnLst>
                              <a:cxn ang="T4">
                                <a:pos x="T0" y="T1"/>
                              </a:cxn>
                              <a:cxn ang="T5">
                                <a:pos x="T2" y="T3"/>
                              </a:cxn>
                            </a:cxnLst>
                            <a:rect l="0" t="0" r="r" b="b"/>
                            <a:pathLst>
                              <a:path w="75" h="20">
                                <a:moveTo>
                                  <a:pt x="74" y="0"/>
                                </a:moveTo>
                                <a:lnTo>
                                  <a:pt x="0" y="0"/>
                                </a:lnTo>
                              </a:path>
                            </a:pathLst>
                          </a:custGeom>
                          <a:noFill/>
                          <a:ln w="166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3397361" name="Freeform 23"/>
                        <wps:cNvSpPr>
                          <a:spLocks/>
                        </wps:cNvSpPr>
                        <wps:spPr bwMode="auto">
                          <a:xfrm>
                            <a:off x="354" y="1999"/>
                            <a:ext cx="75" cy="20"/>
                          </a:xfrm>
                          <a:custGeom>
                            <a:avLst/>
                            <a:gdLst>
                              <a:gd name="T0" fmla="*/ 74 w 75"/>
                              <a:gd name="T1" fmla="*/ 0 h 20"/>
                              <a:gd name="T2" fmla="*/ 0 w 75"/>
                              <a:gd name="T3" fmla="*/ 0 h 20"/>
                              <a:gd name="T4" fmla="*/ 0 60000 65536"/>
                              <a:gd name="T5" fmla="*/ 0 60000 65536"/>
                            </a:gdLst>
                            <a:ahLst/>
                            <a:cxnLst>
                              <a:cxn ang="T4">
                                <a:pos x="T0" y="T1"/>
                              </a:cxn>
                              <a:cxn ang="T5">
                                <a:pos x="T2" y="T3"/>
                              </a:cxn>
                            </a:cxnLst>
                            <a:rect l="0" t="0" r="r" b="b"/>
                            <a:pathLst>
                              <a:path w="75" h="20">
                                <a:moveTo>
                                  <a:pt x="74" y="0"/>
                                </a:moveTo>
                                <a:lnTo>
                                  <a:pt x="0" y="0"/>
                                </a:lnTo>
                              </a:path>
                            </a:pathLst>
                          </a:custGeom>
                          <a:noFill/>
                          <a:ln w="166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3397362" name="Freeform 24"/>
                        <wps:cNvSpPr>
                          <a:spLocks/>
                        </wps:cNvSpPr>
                        <wps:spPr bwMode="auto">
                          <a:xfrm>
                            <a:off x="354" y="1622"/>
                            <a:ext cx="75" cy="20"/>
                          </a:xfrm>
                          <a:custGeom>
                            <a:avLst/>
                            <a:gdLst>
                              <a:gd name="T0" fmla="*/ 74 w 75"/>
                              <a:gd name="T1" fmla="*/ 0 h 20"/>
                              <a:gd name="T2" fmla="*/ 0 w 75"/>
                              <a:gd name="T3" fmla="*/ 0 h 20"/>
                              <a:gd name="T4" fmla="*/ 0 60000 65536"/>
                              <a:gd name="T5" fmla="*/ 0 60000 65536"/>
                            </a:gdLst>
                            <a:ahLst/>
                            <a:cxnLst>
                              <a:cxn ang="T4">
                                <a:pos x="T0" y="T1"/>
                              </a:cxn>
                              <a:cxn ang="T5">
                                <a:pos x="T2" y="T3"/>
                              </a:cxn>
                            </a:cxnLst>
                            <a:rect l="0" t="0" r="r" b="b"/>
                            <a:pathLst>
                              <a:path w="75" h="20">
                                <a:moveTo>
                                  <a:pt x="74" y="0"/>
                                </a:moveTo>
                                <a:lnTo>
                                  <a:pt x="0" y="0"/>
                                </a:lnTo>
                              </a:path>
                            </a:pathLst>
                          </a:custGeom>
                          <a:noFill/>
                          <a:ln w="166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3397363" name="Freeform 25"/>
                        <wps:cNvSpPr>
                          <a:spLocks/>
                        </wps:cNvSpPr>
                        <wps:spPr bwMode="auto">
                          <a:xfrm>
                            <a:off x="354" y="1243"/>
                            <a:ext cx="75" cy="20"/>
                          </a:xfrm>
                          <a:custGeom>
                            <a:avLst/>
                            <a:gdLst>
                              <a:gd name="T0" fmla="*/ 74 w 75"/>
                              <a:gd name="T1" fmla="*/ 0 h 20"/>
                              <a:gd name="T2" fmla="*/ 0 w 75"/>
                              <a:gd name="T3" fmla="*/ 0 h 20"/>
                              <a:gd name="T4" fmla="*/ 0 60000 65536"/>
                              <a:gd name="T5" fmla="*/ 0 60000 65536"/>
                            </a:gdLst>
                            <a:ahLst/>
                            <a:cxnLst>
                              <a:cxn ang="T4">
                                <a:pos x="T0" y="T1"/>
                              </a:cxn>
                              <a:cxn ang="T5">
                                <a:pos x="T2" y="T3"/>
                              </a:cxn>
                            </a:cxnLst>
                            <a:rect l="0" t="0" r="r" b="b"/>
                            <a:pathLst>
                              <a:path w="75" h="20">
                                <a:moveTo>
                                  <a:pt x="74" y="0"/>
                                </a:moveTo>
                                <a:lnTo>
                                  <a:pt x="0" y="0"/>
                                </a:lnTo>
                              </a:path>
                            </a:pathLst>
                          </a:custGeom>
                          <a:noFill/>
                          <a:ln w="166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3397364" name="Freeform 26"/>
                        <wps:cNvSpPr>
                          <a:spLocks/>
                        </wps:cNvSpPr>
                        <wps:spPr bwMode="auto">
                          <a:xfrm>
                            <a:off x="354" y="865"/>
                            <a:ext cx="75" cy="20"/>
                          </a:xfrm>
                          <a:custGeom>
                            <a:avLst/>
                            <a:gdLst>
                              <a:gd name="T0" fmla="*/ 74 w 75"/>
                              <a:gd name="T1" fmla="*/ 0 h 20"/>
                              <a:gd name="T2" fmla="*/ 0 w 75"/>
                              <a:gd name="T3" fmla="*/ 0 h 20"/>
                              <a:gd name="T4" fmla="*/ 0 60000 65536"/>
                              <a:gd name="T5" fmla="*/ 0 60000 65536"/>
                            </a:gdLst>
                            <a:ahLst/>
                            <a:cxnLst>
                              <a:cxn ang="T4">
                                <a:pos x="T0" y="T1"/>
                              </a:cxn>
                              <a:cxn ang="T5">
                                <a:pos x="T2" y="T3"/>
                              </a:cxn>
                            </a:cxnLst>
                            <a:rect l="0" t="0" r="r" b="b"/>
                            <a:pathLst>
                              <a:path w="75" h="20">
                                <a:moveTo>
                                  <a:pt x="74" y="0"/>
                                </a:moveTo>
                                <a:lnTo>
                                  <a:pt x="0" y="0"/>
                                </a:lnTo>
                              </a:path>
                            </a:pathLst>
                          </a:custGeom>
                          <a:noFill/>
                          <a:ln w="166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3397365" name="Freeform 27"/>
                        <wps:cNvSpPr>
                          <a:spLocks/>
                        </wps:cNvSpPr>
                        <wps:spPr bwMode="auto">
                          <a:xfrm>
                            <a:off x="354" y="486"/>
                            <a:ext cx="75" cy="20"/>
                          </a:xfrm>
                          <a:custGeom>
                            <a:avLst/>
                            <a:gdLst>
                              <a:gd name="T0" fmla="*/ 74 w 75"/>
                              <a:gd name="T1" fmla="*/ 0 h 20"/>
                              <a:gd name="T2" fmla="*/ 0 w 75"/>
                              <a:gd name="T3" fmla="*/ 0 h 20"/>
                              <a:gd name="T4" fmla="*/ 0 60000 65536"/>
                              <a:gd name="T5" fmla="*/ 0 60000 65536"/>
                            </a:gdLst>
                            <a:ahLst/>
                            <a:cxnLst>
                              <a:cxn ang="T4">
                                <a:pos x="T0" y="T1"/>
                              </a:cxn>
                              <a:cxn ang="T5">
                                <a:pos x="T2" y="T3"/>
                              </a:cxn>
                            </a:cxnLst>
                            <a:rect l="0" t="0" r="r" b="b"/>
                            <a:pathLst>
                              <a:path w="75" h="20">
                                <a:moveTo>
                                  <a:pt x="74" y="0"/>
                                </a:moveTo>
                                <a:lnTo>
                                  <a:pt x="0" y="0"/>
                                </a:lnTo>
                              </a:path>
                            </a:pathLst>
                          </a:custGeom>
                          <a:noFill/>
                          <a:ln w="166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3397366" name="Freeform 28"/>
                        <wps:cNvSpPr>
                          <a:spLocks/>
                        </wps:cNvSpPr>
                        <wps:spPr bwMode="auto">
                          <a:xfrm>
                            <a:off x="354" y="108"/>
                            <a:ext cx="75" cy="20"/>
                          </a:xfrm>
                          <a:custGeom>
                            <a:avLst/>
                            <a:gdLst>
                              <a:gd name="T0" fmla="*/ 74 w 75"/>
                              <a:gd name="T1" fmla="*/ 0 h 20"/>
                              <a:gd name="T2" fmla="*/ 0 w 75"/>
                              <a:gd name="T3" fmla="*/ 0 h 20"/>
                              <a:gd name="T4" fmla="*/ 0 60000 65536"/>
                              <a:gd name="T5" fmla="*/ 0 60000 65536"/>
                            </a:gdLst>
                            <a:ahLst/>
                            <a:cxnLst>
                              <a:cxn ang="T4">
                                <a:pos x="T0" y="T1"/>
                              </a:cxn>
                              <a:cxn ang="T5">
                                <a:pos x="T2" y="T3"/>
                              </a:cxn>
                            </a:cxnLst>
                            <a:rect l="0" t="0" r="r" b="b"/>
                            <a:pathLst>
                              <a:path w="75" h="20">
                                <a:moveTo>
                                  <a:pt x="74" y="0"/>
                                </a:moveTo>
                                <a:lnTo>
                                  <a:pt x="0" y="0"/>
                                </a:lnTo>
                              </a:path>
                            </a:pathLst>
                          </a:custGeom>
                          <a:noFill/>
                          <a:ln w="166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3397367" name="Freeform 29"/>
                        <wps:cNvSpPr>
                          <a:spLocks/>
                        </wps:cNvSpPr>
                        <wps:spPr bwMode="auto">
                          <a:xfrm>
                            <a:off x="429" y="108"/>
                            <a:ext cx="5651" cy="3198"/>
                          </a:xfrm>
                          <a:custGeom>
                            <a:avLst/>
                            <a:gdLst>
                              <a:gd name="T0" fmla="*/ 10 w 5651"/>
                              <a:gd name="T1" fmla="*/ 0 h 3198"/>
                              <a:gd name="T2" fmla="*/ 188 w 5651"/>
                              <a:gd name="T3" fmla="*/ 21 h 3198"/>
                              <a:gd name="T4" fmla="*/ 258 w 5651"/>
                              <a:gd name="T5" fmla="*/ 63 h 3198"/>
                              <a:gd name="T6" fmla="*/ 366 w 5651"/>
                              <a:gd name="T7" fmla="*/ 85 h 3198"/>
                              <a:gd name="T8" fmla="*/ 376 w 5651"/>
                              <a:gd name="T9" fmla="*/ 126 h 3198"/>
                              <a:gd name="T10" fmla="*/ 412 w 5651"/>
                              <a:gd name="T11" fmla="*/ 148 h 3198"/>
                              <a:gd name="T12" fmla="*/ 436 w 5651"/>
                              <a:gd name="T13" fmla="*/ 192 h 3198"/>
                              <a:gd name="T14" fmla="*/ 519 w 5651"/>
                              <a:gd name="T15" fmla="*/ 212 h 3198"/>
                              <a:gd name="T16" fmla="*/ 589 w 5651"/>
                              <a:gd name="T17" fmla="*/ 256 h 3198"/>
                              <a:gd name="T18" fmla="*/ 624 w 5651"/>
                              <a:gd name="T19" fmla="*/ 341 h 3198"/>
                              <a:gd name="T20" fmla="*/ 637 w 5651"/>
                              <a:gd name="T21" fmla="*/ 468 h 3198"/>
                              <a:gd name="T22" fmla="*/ 661 w 5651"/>
                              <a:gd name="T23" fmla="*/ 555 h 3198"/>
                              <a:gd name="T24" fmla="*/ 672 w 5651"/>
                              <a:gd name="T25" fmla="*/ 842 h 3198"/>
                              <a:gd name="T26" fmla="*/ 696 w 5651"/>
                              <a:gd name="T27" fmla="*/ 1004 h 3198"/>
                              <a:gd name="T28" fmla="*/ 707 w 5651"/>
                              <a:gd name="T29" fmla="*/ 1100 h 3198"/>
                              <a:gd name="T30" fmla="*/ 756 w 5651"/>
                              <a:gd name="T31" fmla="*/ 1146 h 3198"/>
                              <a:gd name="T32" fmla="*/ 791 w 5651"/>
                              <a:gd name="T33" fmla="*/ 1173 h 3198"/>
                              <a:gd name="T34" fmla="*/ 826 w 5651"/>
                              <a:gd name="T35" fmla="*/ 1221 h 3198"/>
                              <a:gd name="T36" fmla="*/ 874 w 5651"/>
                              <a:gd name="T37" fmla="*/ 1245 h 3198"/>
                              <a:gd name="T38" fmla="*/ 944 w 5651"/>
                              <a:gd name="T39" fmla="*/ 1293 h 3198"/>
                              <a:gd name="T40" fmla="*/ 1014 w 5651"/>
                              <a:gd name="T41" fmla="*/ 1319 h 3198"/>
                              <a:gd name="T42" fmla="*/ 1052 w 5651"/>
                              <a:gd name="T43" fmla="*/ 1367 h 3198"/>
                              <a:gd name="T44" fmla="*/ 1205 w 5651"/>
                              <a:gd name="T45" fmla="*/ 1391 h 3198"/>
                              <a:gd name="T46" fmla="*/ 1251 w 5651"/>
                              <a:gd name="T47" fmla="*/ 1440 h 3198"/>
                              <a:gd name="T48" fmla="*/ 1310 w 5651"/>
                              <a:gd name="T49" fmla="*/ 1490 h 3198"/>
                              <a:gd name="T50" fmla="*/ 1323 w 5651"/>
                              <a:gd name="T51" fmla="*/ 1665 h 3198"/>
                              <a:gd name="T52" fmla="*/ 1347 w 5651"/>
                              <a:gd name="T53" fmla="*/ 1766 h 3198"/>
                              <a:gd name="T54" fmla="*/ 1369 w 5651"/>
                              <a:gd name="T55" fmla="*/ 1869 h 3198"/>
                              <a:gd name="T56" fmla="*/ 1393 w 5651"/>
                              <a:gd name="T57" fmla="*/ 1893 h 3198"/>
                              <a:gd name="T58" fmla="*/ 1407 w 5651"/>
                              <a:gd name="T59" fmla="*/ 1945 h 3198"/>
                              <a:gd name="T60" fmla="*/ 1488 w 5651"/>
                              <a:gd name="T61" fmla="*/ 1971 h 3198"/>
                              <a:gd name="T62" fmla="*/ 1512 w 5651"/>
                              <a:gd name="T63" fmla="*/ 1996 h 3198"/>
                              <a:gd name="T64" fmla="*/ 1571 w 5651"/>
                              <a:gd name="T65" fmla="*/ 2048 h 3198"/>
                              <a:gd name="T66" fmla="*/ 1689 w 5651"/>
                              <a:gd name="T67" fmla="*/ 2074 h 3198"/>
                              <a:gd name="T68" fmla="*/ 1937 w 5651"/>
                              <a:gd name="T69" fmla="*/ 2101 h 3198"/>
                              <a:gd name="T70" fmla="*/ 1950 w 5651"/>
                              <a:gd name="T71" fmla="*/ 2206 h 3198"/>
                              <a:gd name="T72" fmla="*/ 1985 w 5651"/>
                              <a:gd name="T73" fmla="*/ 2232 h 3198"/>
                              <a:gd name="T74" fmla="*/ 2009 w 5651"/>
                              <a:gd name="T75" fmla="*/ 2339 h 3198"/>
                              <a:gd name="T76" fmla="*/ 2020 w 5651"/>
                              <a:gd name="T77" fmla="*/ 2422 h 3198"/>
                              <a:gd name="T78" fmla="*/ 2104 w 5651"/>
                              <a:gd name="T79" fmla="*/ 2451 h 3198"/>
                              <a:gd name="T80" fmla="*/ 2163 w 5651"/>
                              <a:gd name="T81" fmla="*/ 2508 h 3198"/>
                              <a:gd name="T82" fmla="*/ 2364 w 5651"/>
                              <a:gd name="T83" fmla="*/ 2536 h 3198"/>
                              <a:gd name="T84" fmla="*/ 2410 w 5651"/>
                              <a:gd name="T85" fmla="*/ 2565 h 3198"/>
                              <a:gd name="T86" fmla="*/ 2612 w 5651"/>
                              <a:gd name="T87" fmla="*/ 2621 h 3198"/>
                              <a:gd name="T88" fmla="*/ 2636 w 5651"/>
                              <a:gd name="T89" fmla="*/ 2681 h 3198"/>
                              <a:gd name="T90" fmla="*/ 2647 w 5651"/>
                              <a:gd name="T91" fmla="*/ 2737 h 3198"/>
                              <a:gd name="T92" fmla="*/ 2695 w 5651"/>
                              <a:gd name="T93" fmla="*/ 2770 h 3198"/>
                              <a:gd name="T94" fmla="*/ 2741 w 5651"/>
                              <a:gd name="T95" fmla="*/ 2801 h 3198"/>
                              <a:gd name="T96" fmla="*/ 3263 w 5651"/>
                              <a:gd name="T97" fmla="*/ 2867 h 3198"/>
                              <a:gd name="T98" fmla="*/ 3298 w 5651"/>
                              <a:gd name="T99" fmla="*/ 2899 h 3198"/>
                              <a:gd name="T100" fmla="*/ 3320 w 5651"/>
                              <a:gd name="T101" fmla="*/ 2972 h 3198"/>
                              <a:gd name="T102" fmla="*/ 3912 w 5651"/>
                              <a:gd name="T103" fmla="*/ 3009 h 3198"/>
                              <a:gd name="T104" fmla="*/ 3936 w 5651"/>
                              <a:gd name="T105" fmla="*/ 3083 h 3198"/>
                              <a:gd name="T106" fmla="*/ 3971 w 5651"/>
                              <a:gd name="T107" fmla="*/ 3121 h 3198"/>
                              <a:gd name="T108" fmla="*/ 3984 w 5651"/>
                              <a:gd name="T109" fmla="*/ 3197 h 3198"/>
                              <a:gd name="T110" fmla="*/ 4054 w 5651"/>
                              <a:gd name="T111" fmla="*/ 3197 h 3198"/>
                              <a:gd name="T112" fmla="*/ 4633 w 5651"/>
                              <a:gd name="T113" fmla="*/ 3197 h 3198"/>
                              <a:gd name="T114" fmla="*/ 4740 w 5651"/>
                              <a:gd name="T115" fmla="*/ 3197 h 3198"/>
                              <a:gd name="T116" fmla="*/ 5650 w 5651"/>
                              <a:gd name="T117" fmla="*/ 3197 h 3198"/>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5651" h="3198">
                                <a:moveTo>
                                  <a:pt x="0" y="0"/>
                                </a:moveTo>
                                <a:lnTo>
                                  <a:pt x="0" y="0"/>
                                </a:lnTo>
                                <a:lnTo>
                                  <a:pt x="10" y="0"/>
                                </a:lnTo>
                                <a:lnTo>
                                  <a:pt x="70" y="0"/>
                                </a:lnTo>
                                <a:lnTo>
                                  <a:pt x="70" y="21"/>
                                </a:lnTo>
                                <a:lnTo>
                                  <a:pt x="188" y="21"/>
                                </a:lnTo>
                                <a:lnTo>
                                  <a:pt x="188" y="43"/>
                                </a:lnTo>
                                <a:lnTo>
                                  <a:pt x="258" y="43"/>
                                </a:lnTo>
                                <a:lnTo>
                                  <a:pt x="258" y="63"/>
                                </a:lnTo>
                                <a:lnTo>
                                  <a:pt x="306" y="63"/>
                                </a:lnTo>
                                <a:lnTo>
                                  <a:pt x="306" y="85"/>
                                </a:lnTo>
                                <a:lnTo>
                                  <a:pt x="366" y="85"/>
                                </a:lnTo>
                                <a:lnTo>
                                  <a:pt x="366" y="107"/>
                                </a:lnTo>
                                <a:lnTo>
                                  <a:pt x="376" y="107"/>
                                </a:lnTo>
                                <a:lnTo>
                                  <a:pt x="376" y="126"/>
                                </a:lnTo>
                                <a:lnTo>
                                  <a:pt x="390" y="126"/>
                                </a:lnTo>
                                <a:lnTo>
                                  <a:pt x="390" y="148"/>
                                </a:lnTo>
                                <a:lnTo>
                                  <a:pt x="412" y="148"/>
                                </a:lnTo>
                                <a:lnTo>
                                  <a:pt x="412" y="170"/>
                                </a:lnTo>
                                <a:lnTo>
                                  <a:pt x="436" y="170"/>
                                </a:lnTo>
                                <a:lnTo>
                                  <a:pt x="436" y="192"/>
                                </a:lnTo>
                                <a:lnTo>
                                  <a:pt x="449" y="192"/>
                                </a:lnTo>
                                <a:lnTo>
                                  <a:pt x="449" y="212"/>
                                </a:lnTo>
                                <a:lnTo>
                                  <a:pt x="519" y="212"/>
                                </a:lnTo>
                                <a:lnTo>
                                  <a:pt x="519" y="234"/>
                                </a:lnTo>
                                <a:lnTo>
                                  <a:pt x="589" y="234"/>
                                </a:lnTo>
                                <a:lnTo>
                                  <a:pt x="589" y="256"/>
                                </a:lnTo>
                                <a:lnTo>
                                  <a:pt x="613" y="256"/>
                                </a:lnTo>
                                <a:lnTo>
                                  <a:pt x="613" y="341"/>
                                </a:lnTo>
                                <a:lnTo>
                                  <a:pt x="624" y="341"/>
                                </a:lnTo>
                                <a:lnTo>
                                  <a:pt x="624" y="404"/>
                                </a:lnTo>
                                <a:lnTo>
                                  <a:pt x="637" y="404"/>
                                </a:lnTo>
                                <a:lnTo>
                                  <a:pt x="637" y="468"/>
                                </a:lnTo>
                                <a:lnTo>
                                  <a:pt x="648" y="468"/>
                                </a:lnTo>
                                <a:lnTo>
                                  <a:pt x="648" y="555"/>
                                </a:lnTo>
                                <a:lnTo>
                                  <a:pt x="661" y="555"/>
                                </a:lnTo>
                                <a:lnTo>
                                  <a:pt x="661" y="665"/>
                                </a:lnTo>
                                <a:lnTo>
                                  <a:pt x="672" y="665"/>
                                </a:lnTo>
                                <a:lnTo>
                                  <a:pt x="672" y="842"/>
                                </a:lnTo>
                                <a:lnTo>
                                  <a:pt x="683" y="842"/>
                                </a:lnTo>
                                <a:lnTo>
                                  <a:pt x="683" y="1004"/>
                                </a:lnTo>
                                <a:lnTo>
                                  <a:pt x="696" y="1004"/>
                                </a:lnTo>
                                <a:lnTo>
                                  <a:pt x="696" y="1076"/>
                                </a:lnTo>
                                <a:lnTo>
                                  <a:pt x="707" y="1076"/>
                                </a:lnTo>
                                <a:lnTo>
                                  <a:pt x="707" y="1100"/>
                                </a:lnTo>
                                <a:lnTo>
                                  <a:pt x="732" y="1100"/>
                                </a:lnTo>
                                <a:lnTo>
                                  <a:pt x="732" y="1146"/>
                                </a:lnTo>
                                <a:lnTo>
                                  <a:pt x="756" y="1146"/>
                                </a:lnTo>
                                <a:lnTo>
                                  <a:pt x="780" y="1146"/>
                                </a:lnTo>
                                <a:lnTo>
                                  <a:pt x="780" y="1173"/>
                                </a:lnTo>
                                <a:lnTo>
                                  <a:pt x="791" y="1173"/>
                                </a:lnTo>
                                <a:lnTo>
                                  <a:pt x="791" y="1197"/>
                                </a:lnTo>
                                <a:lnTo>
                                  <a:pt x="826" y="1197"/>
                                </a:lnTo>
                                <a:lnTo>
                                  <a:pt x="826" y="1221"/>
                                </a:lnTo>
                                <a:lnTo>
                                  <a:pt x="839" y="1221"/>
                                </a:lnTo>
                                <a:lnTo>
                                  <a:pt x="839" y="1245"/>
                                </a:lnTo>
                                <a:lnTo>
                                  <a:pt x="874" y="1245"/>
                                </a:lnTo>
                                <a:lnTo>
                                  <a:pt x="874" y="1269"/>
                                </a:lnTo>
                                <a:lnTo>
                                  <a:pt x="944" y="1269"/>
                                </a:lnTo>
                                <a:lnTo>
                                  <a:pt x="944" y="1293"/>
                                </a:lnTo>
                                <a:lnTo>
                                  <a:pt x="979" y="1293"/>
                                </a:lnTo>
                                <a:lnTo>
                                  <a:pt x="979" y="1319"/>
                                </a:lnTo>
                                <a:lnTo>
                                  <a:pt x="1014" y="1319"/>
                                </a:lnTo>
                                <a:lnTo>
                                  <a:pt x="1014" y="1343"/>
                                </a:lnTo>
                                <a:lnTo>
                                  <a:pt x="1052" y="1343"/>
                                </a:lnTo>
                                <a:lnTo>
                                  <a:pt x="1052" y="1367"/>
                                </a:lnTo>
                                <a:lnTo>
                                  <a:pt x="1181" y="1367"/>
                                </a:lnTo>
                                <a:lnTo>
                                  <a:pt x="1181" y="1391"/>
                                </a:lnTo>
                                <a:lnTo>
                                  <a:pt x="1205" y="1391"/>
                                </a:lnTo>
                                <a:lnTo>
                                  <a:pt x="1205" y="1416"/>
                                </a:lnTo>
                                <a:lnTo>
                                  <a:pt x="1251" y="1416"/>
                                </a:lnTo>
                                <a:lnTo>
                                  <a:pt x="1251" y="1440"/>
                                </a:lnTo>
                                <a:lnTo>
                                  <a:pt x="1299" y="1440"/>
                                </a:lnTo>
                                <a:lnTo>
                                  <a:pt x="1299" y="1490"/>
                                </a:lnTo>
                                <a:lnTo>
                                  <a:pt x="1310" y="1490"/>
                                </a:lnTo>
                                <a:lnTo>
                                  <a:pt x="1310" y="1540"/>
                                </a:lnTo>
                                <a:lnTo>
                                  <a:pt x="1323" y="1540"/>
                                </a:lnTo>
                                <a:lnTo>
                                  <a:pt x="1323" y="1665"/>
                                </a:lnTo>
                                <a:lnTo>
                                  <a:pt x="1334" y="1665"/>
                                </a:lnTo>
                                <a:lnTo>
                                  <a:pt x="1334" y="1766"/>
                                </a:lnTo>
                                <a:lnTo>
                                  <a:pt x="1347" y="1766"/>
                                </a:lnTo>
                                <a:lnTo>
                                  <a:pt x="1347" y="1816"/>
                                </a:lnTo>
                                <a:lnTo>
                                  <a:pt x="1369" y="1816"/>
                                </a:lnTo>
                                <a:lnTo>
                                  <a:pt x="1369" y="1869"/>
                                </a:lnTo>
                                <a:lnTo>
                                  <a:pt x="1382" y="1869"/>
                                </a:lnTo>
                                <a:lnTo>
                                  <a:pt x="1382" y="1893"/>
                                </a:lnTo>
                                <a:lnTo>
                                  <a:pt x="1393" y="1893"/>
                                </a:lnTo>
                                <a:lnTo>
                                  <a:pt x="1393" y="1919"/>
                                </a:lnTo>
                                <a:lnTo>
                                  <a:pt x="1407" y="1919"/>
                                </a:lnTo>
                                <a:lnTo>
                                  <a:pt x="1407" y="1945"/>
                                </a:lnTo>
                                <a:lnTo>
                                  <a:pt x="1429" y="1945"/>
                                </a:lnTo>
                                <a:lnTo>
                                  <a:pt x="1488" y="1945"/>
                                </a:lnTo>
                                <a:lnTo>
                                  <a:pt x="1488" y="1971"/>
                                </a:lnTo>
                                <a:lnTo>
                                  <a:pt x="1501" y="1971"/>
                                </a:lnTo>
                                <a:lnTo>
                                  <a:pt x="1501" y="1996"/>
                                </a:lnTo>
                                <a:lnTo>
                                  <a:pt x="1512" y="1996"/>
                                </a:lnTo>
                                <a:lnTo>
                                  <a:pt x="1512" y="2022"/>
                                </a:lnTo>
                                <a:lnTo>
                                  <a:pt x="1571" y="2022"/>
                                </a:lnTo>
                                <a:lnTo>
                                  <a:pt x="1571" y="2048"/>
                                </a:lnTo>
                                <a:lnTo>
                                  <a:pt x="1678" y="2048"/>
                                </a:lnTo>
                                <a:lnTo>
                                  <a:pt x="1678" y="2074"/>
                                </a:lnTo>
                                <a:lnTo>
                                  <a:pt x="1689" y="2074"/>
                                </a:lnTo>
                                <a:lnTo>
                                  <a:pt x="1689" y="2101"/>
                                </a:lnTo>
                                <a:lnTo>
                                  <a:pt x="1913" y="2101"/>
                                </a:lnTo>
                                <a:lnTo>
                                  <a:pt x="1937" y="2101"/>
                                </a:lnTo>
                                <a:lnTo>
                                  <a:pt x="1937" y="2179"/>
                                </a:lnTo>
                                <a:lnTo>
                                  <a:pt x="1950" y="2179"/>
                                </a:lnTo>
                                <a:lnTo>
                                  <a:pt x="1950" y="2206"/>
                                </a:lnTo>
                                <a:lnTo>
                                  <a:pt x="1972" y="2206"/>
                                </a:lnTo>
                                <a:lnTo>
                                  <a:pt x="1985" y="2206"/>
                                </a:lnTo>
                                <a:lnTo>
                                  <a:pt x="1985" y="2232"/>
                                </a:lnTo>
                                <a:lnTo>
                                  <a:pt x="1996" y="2232"/>
                                </a:lnTo>
                                <a:lnTo>
                                  <a:pt x="1996" y="2339"/>
                                </a:lnTo>
                                <a:lnTo>
                                  <a:pt x="2009" y="2339"/>
                                </a:lnTo>
                                <a:lnTo>
                                  <a:pt x="2009" y="2394"/>
                                </a:lnTo>
                                <a:lnTo>
                                  <a:pt x="2020" y="2394"/>
                                </a:lnTo>
                                <a:lnTo>
                                  <a:pt x="2020" y="2422"/>
                                </a:lnTo>
                                <a:lnTo>
                                  <a:pt x="2068" y="2422"/>
                                </a:lnTo>
                                <a:lnTo>
                                  <a:pt x="2068" y="2451"/>
                                </a:lnTo>
                                <a:lnTo>
                                  <a:pt x="2104" y="2451"/>
                                </a:lnTo>
                                <a:lnTo>
                                  <a:pt x="2104" y="2479"/>
                                </a:lnTo>
                                <a:lnTo>
                                  <a:pt x="2163" y="2479"/>
                                </a:lnTo>
                                <a:lnTo>
                                  <a:pt x="2163" y="2508"/>
                                </a:lnTo>
                                <a:lnTo>
                                  <a:pt x="2281" y="2508"/>
                                </a:lnTo>
                                <a:lnTo>
                                  <a:pt x="2281" y="2536"/>
                                </a:lnTo>
                                <a:lnTo>
                                  <a:pt x="2364" y="2536"/>
                                </a:lnTo>
                                <a:lnTo>
                                  <a:pt x="2375" y="2536"/>
                                </a:lnTo>
                                <a:lnTo>
                                  <a:pt x="2375" y="2565"/>
                                </a:lnTo>
                                <a:lnTo>
                                  <a:pt x="2410" y="2565"/>
                                </a:lnTo>
                                <a:lnTo>
                                  <a:pt x="2410" y="2593"/>
                                </a:lnTo>
                                <a:lnTo>
                                  <a:pt x="2612" y="2593"/>
                                </a:lnTo>
                                <a:lnTo>
                                  <a:pt x="2612" y="2621"/>
                                </a:lnTo>
                                <a:lnTo>
                                  <a:pt x="2623" y="2621"/>
                                </a:lnTo>
                                <a:lnTo>
                                  <a:pt x="2623" y="2681"/>
                                </a:lnTo>
                                <a:lnTo>
                                  <a:pt x="2636" y="2681"/>
                                </a:lnTo>
                                <a:lnTo>
                                  <a:pt x="2636" y="2709"/>
                                </a:lnTo>
                                <a:lnTo>
                                  <a:pt x="2647" y="2709"/>
                                </a:lnTo>
                                <a:lnTo>
                                  <a:pt x="2647" y="2737"/>
                                </a:lnTo>
                                <a:lnTo>
                                  <a:pt x="2658" y="2737"/>
                                </a:lnTo>
                                <a:lnTo>
                                  <a:pt x="2658" y="2770"/>
                                </a:lnTo>
                                <a:lnTo>
                                  <a:pt x="2695" y="2770"/>
                                </a:lnTo>
                                <a:lnTo>
                                  <a:pt x="2730" y="2770"/>
                                </a:lnTo>
                                <a:lnTo>
                                  <a:pt x="2730" y="2801"/>
                                </a:lnTo>
                                <a:lnTo>
                                  <a:pt x="2741" y="2801"/>
                                </a:lnTo>
                                <a:lnTo>
                                  <a:pt x="2741" y="2834"/>
                                </a:lnTo>
                                <a:lnTo>
                                  <a:pt x="3263" y="2834"/>
                                </a:lnTo>
                                <a:lnTo>
                                  <a:pt x="3263" y="2867"/>
                                </a:lnTo>
                                <a:lnTo>
                                  <a:pt x="3285" y="2867"/>
                                </a:lnTo>
                                <a:lnTo>
                                  <a:pt x="3285" y="2899"/>
                                </a:lnTo>
                                <a:lnTo>
                                  <a:pt x="3298" y="2899"/>
                                </a:lnTo>
                                <a:lnTo>
                                  <a:pt x="3298" y="2934"/>
                                </a:lnTo>
                                <a:lnTo>
                                  <a:pt x="3320" y="2934"/>
                                </a:lnTo>
                                <a:lnTo>
                                  <a:pt x="3320" y="2972"/>
                                </a:lnTo>
                                <a:lnTo>
                                  <a:pt x="3333" y="2972"/>
                                </a:lnTo>
                                <a:lnTo>
                                  <a:pt x="3333" y="3009"/>
                                </a:lnTo>
                                <a:lnTo>
                                  <a:pt x="3912" y="3009"/>
                                </a:lnTo>
                                <a:lnTo>
                                  <a:pt x="3912" y="3046"/>
                                </a:lnTo>
                                <a:lnTo>
                                  <a:pt x="3936" y="3046"/>
                                </a:lnTo>
                                <a:lnTo>
                                  <a:pt x="3936" y="3083"/>
                                </a:lnTo>
                                <a:lnTo>
                                  <a:pt x="3947" y="3083"/>
                                </a:lnTo>
                                <a:lnTo>
                                  <a:pt x="3947" y="3121"/>
                                </a:lnTo>
                                <a:lnTo>
                                  <a:pt x="3971" y="3121"/>
                                </a:lnTo>
                                <a:lnTo>
                                  <a:pt x="3971" y="3158"/>
                                </a:lnTo>
                                <a:lnTo>
                                  <a:pt x="3984" y="3158"/>
                                </a:lnTo>
                                <a:lnTo>
                                  <a:pt x="3984" y="3197"/>
                                </a:lnTo>
                                <a:lnTo>
                                  <a:pt x="4019" y="3197"/>
                                </a:lnTo>
                                <a:lnTo>
                                  <a:pt x="4043" y="3197"/>
                                </a:lnTo>
                                <a:lnTo>
                                  <a:pt x="4054" y="3197"/>
                                </a:lnTo>
                                <a:lnTo>
                                  <a:pt x="4184" y="3197"/>
                                </a:lnTo>
                                <a:lnTo>
                                  <a:pt x="4611" y="3197"/>
                                </a:lnTo>
                                <a:lnTo>
                                  <a:pt x="4633" y="3197"/>
                                </a:lnTo>
                                <a:lnTo>
                                  <a:pt x="4646" y="3197"/>
                                </a:lnTo>
                                <a:lnTo>
                                  <a:pt x="4657" y="3197"/>
                                </a:lnTo>
                                <a:lnTo>
                                  <a:pt x="4740" y="3197"/>
                                </a:lnTo>
                                <a:lnTo>
                                  <a:pt x="5295" y="3197"/>
                                </a:lnTo>
                                <a:lnTo>
                                  <a:pt x="5545" y="3197"/>
                                </a:lnTo>
                                <a:lnTo>
                                  <a:pt x="5650" y="3197"/>
                                </a:lnTo>
                              </a:path>
                            </a:pathLst>
                          </a:custGeom>
                          <a:noFill/>
                          <a:ln w="16683">
                            <a:solidFill>
                              <a:srgbClr val="00000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3397368" name="Freeform 30"/>
                        <wps:cNvSpPr>
                          <a:spLocks/>
                        </wps:cNvSpPr>
                        <wps:spPr bwMode="auto">
                          <a:xfrm>
                            <a:off x="433" y="108"/>
                            <a:ext cx="20" cy="40"/>
                          </a:xfrm>
                          <a:custGeom>
                            <a:avLst/>
                            <a:gdLst>
                              <a:gd name="T0" fmla="*/ 0 w 20"/>
                              <a:gd name="T1" fmla="*/ 0 h 40"/>
                              <a:gd name="T2" fmla="*/ 13 w 20"/>
                              <a:gd name="T3" fmla="*/ 0 h 40"/>
                              <a:gd name="T4" fmla="*/ 13 w 20"/>
                              <a:gd name="T5" fmla="*/ 0 h 40"/>
                              <a:gd name="T6" fmla="*/ 13 w 20"/>
                              <a:gd name="T7" fmla="*/ 39 h 40"/>
                              <a:gd name="T8" fmla="*/ 0 w 20"/>
                              <a:gd name="T9" fmla="*/ 39 h 40"/>
                              <a:gd name="T10" fmla="*/ 0 w 20"/>
                              <a:gd name="T11" fmla="*/ 0 h 4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0" h="40">
                                <a:moveTo>
                                  <a:pt x="0" y="0"/>
                                </a:moveTo>
                                <a:lnTo>
                                  <a:pt x="13" y="0"/>
                                </a:lnTo>
                                <a:lnTo>
                                  <a:pt x="13" y="39"/>
                                </a:lnTo>
                                <a:lnTo>
                                  <a:pt x="0" y="3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3397369" name="Freeform 31"/>
                        <wps:cNvSpPr>
                          <a:spLocks/>
                        </wps:cNvSpPr>
                        <wps:spPr bwMode="auto">
                          <a:xfrm>
                            <a:off x="400" y="108"/>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3397370" name="Freeform 32"/>
                        <wps:cNvSpPr>
                          <a:spLocks/>
                        </wps:cNvSpPr>
                        <wps:spPr bwMode="auto">
                          <a:xfrm>
                            <a:off x="806" y="195"/>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3397371" name="Freeform 33"/>
                        <wps:cNvSpPr>
                          <a:spLocks/>
                        </wps:cNvSpPr>
                        <wps:spPr bwMode="auto">
                          <a:xfrm>
                            <a:off x="766" y="234"/>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3397372" name="Freeform 34"/>
                        <wps:cNvSpPr>
                          <a:spLocks/>
                        </wps:cNvSpPr>
                        <wps:spPr bwMode="auto">
                          <a:xfrm>
                            <a:off x="1054" y="473"/>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3397373" name="Freeform 35"/>
                        <wps:cNvSpPr>
                          <a:spLocks/>
                        </wps:cNvSpPr>
                        <wps:spPr bwMode="auto">
                          <a:xfrm>
                            <a:off x="1014" y="512"/>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3397374" name="Freeform 36"/>
                        <wps:cNvSpPr>
                          <a:spLocks/>
                        </wps:cNvSpPr>
                        <wps:spPr bwMode="auto">
                          <a:xfrm>
                            <a:off x="1067" y="537"/>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3397375" name="Freeform 37"/>
                        <wps:cNvSpPr>
                          <a:spLocks/>
                        </wps:cNvSpPr>
                        <wps:spPr bwMode="auto">
                          <a:xfrm>
                            <a:off x="1027" y="576"/>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8538560" name="Freeform 38"/>
                        <wps:cNvSpPr>
                          <a:spLocks/>
                        </wps:cNvSpPr>
                        <wps:spPr bwMode="auto">
                          <a:xfrm>
                            <a:off x="1078" y="624"/>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8538561" name="Freeform 39"/>
                        <wps:cNvSpPr>
                          <a:spLocks/>
                        </wps:cNvSpPr>
                        <wps:spPr bwMode="auto">
                          <a:xfrm>
                            <a:off x="1038" y="663"/>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8538562" name="Freeform 40"/>
                        <wps:cNvSpPr>
                          <a:spLocks/>
                        </wps:cNvSpPr>
                        <wps:spPr bwMode="auto">
                          <a:xfrm>
                            <a:off x="1091" y="733"/>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8538563" name="Freeform 41"/>
                        <wps:cNvSpPr>
                          <a:spLocks/>
                        </wps:cNvSpPr>
                        <wps:spPr bwMode="auto">
                          <a:xfrm>
                            <a:off x="1051" y="773"/>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8538564" name="Freeform 42"/>
                        <wps:cNvSpPr>
                          <a:spLocks/>
                        </wps:cNvSpPr>
                        <wps:spPr bwMode="auto">
                          <a:xfrm>
                            <a:off x="1102" y="911"/>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8538565" name="Freeform 43"/>
                        <wps:cNvSpPr>
                          <a:spLocks/>
                        </wps:cNvSpPr>
                        <wps:spPr bwMode="auto">
                          <a:xfrm>
                            <a:off x="1062" y="950"/>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8538566" name="Freeform 44"/>
                        <wps:cNvSpPr>
                          <a:spLocks/>
                        </wps:cNvSpPr>
                        <wps:spPr bwMode="auto">
                          <a:xfrm>
                            <a:off x="1113" y="1073"/>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8538567" name="Freeform 45"/>
                        <wps:cNvSpPr>
                          <a:spLocks/>
                        </wps:cNvSpPr>
                        <wps:spPr bwMode="auto">
                          <a:xfrm>
                            <a:off x="1073" y="1112"/>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8538568" name="Freeform 46"/>
                        <wps:cNvSpPr>
                          <a:spLocks/>
                        </wps:cNvSpPr>
                        <wps:spPr bwMode="auto">
                          <a:xfrm>
                            <a:off x="1137" y="1169"/>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8538569" name="Freeform 47"/>
                        <wps:cNvSpPr>
                          <a:spLocks/>
                        </wps:cNvSpPr>
                        <wps:spPr bwMode="auto">
                          <a:xfrm>
                            <a:off x="1097" y="1208"/>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8538570" name="Freeform 48"/>
                        <wps:cNvSpPr>
                          <a:spLocks/>
                        </wps:cNvSpPr>
                        <wps:spPr bwMode="auto">
                          <a:xfrm>
                            <a:off x="1161" y="1215"/>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8538571" name="Freeform 49"/>
                        <wps:cNvSpPr>
                          <a:spLocks/>
                        </wps:cNvSpPr>
                        <wps:spPr bwMode="auto">
                          <a:xfrm>
                            <a:off x="1121" y="1254"/>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8538573" name="Freeform 50"/>
                        <wps:cNvSpPr>
                          <a:spLocks/>
                        </wps:cNvSpPr>
                        <wps:spPr bwMode="auto">
                          <a:xfrm>
                            <a:off x="1185" y="1215"/>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8538574" name="Freeform 51"/>
                        <wps:cNvSpPr>
                          <a:spLocks/>
                        </wps:cNvSpPr>
                        <wps:spPr bwMode="auto">
                          <a:xfrm>
                            <a:off x="1146" y="1254"/>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8538575" name="Freeform 52"/>
                        <wps:cNvSpPr>
                          <a:spLocks/>
                        </wps:cNvSpPr>
                        <wps:spPr bwMode="auto">
                          <a:xfrm>
                            <a:off x="1680" y="1508"/>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8538576" name="Freeform 53"/>
                        <wps:cNvSpPr>
                          <a:spLocks/>
                        </wps:cNvSpPr>
                        <wps:spPr bwMode="auto">
                          <a:xfrm>
                            <a:off x="1641" y="1548"/>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8538577" name="Freeform 54"/>
                        <wps:cNvSpPr>
                          <a:spLocks/>
                        </wps:cNvSpPr>
                        <wps:spPr bwMode="auto">
                          <a:xfrm>
                            <a:off x="1729" y="1559"/>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8538578" name="Freeform 55"/>
                        <wps:cNvSpPr>
                          <a:spLocks/>
                        </wps:cNvSpPr>
                        <wps:spPr bwMode="auto">
                          <a:xfrm>
                            <a:off x="1689" y="1598"/>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8538579" name="Freeform 56"/>
                        <wps:cNvSpPr>
                          <a:spLocks/>
                        </wps:cNvSpPr>
                        <wps:spPr bwMode="auto">
                          <a:xfrm>
                            <a:off x="1753" y="1734"/>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8538580" name="Freeform 57"/>
                        <wps:cNvSpPr>
                          <a:spLocks/>
                        </wps:cNvSpPr>
                        <wps:spPr bwMode="auto">
                          <a:xfrm>
                            <a:off x="1713" y="1773"/>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8538581" name="Freeform 58"/>
                        <wps:cNvSpPr>
                          <a:spLocks/>
                        </wps:cNvSpPr>
                        <wps:spPr bwMode="auto">
                          <a:xfrm>
                            <a:off x="1858" y="2014"/>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8538582" name="Freeform 59"/>
                        <wps:cNvSpPr>
                          <a:spLocks/>
                        </wps:cNvSpPr>
                        <wps:spPr bwMode="auto">
                          <a:xfrm>
                            <a:off x="1818" y="2053"/>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8538583" name="Freeform 60"/>
                        <wps:cNvSpPr>
                          <a:spLocks/>
                        </wps:cNvSpPr>
                        <wps:spPr bwMode="auto">
                          <a:xfrm>
                            <a:off x="2342" y="2169"/>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8538584" name="Freeform 61"/>
                        <wps:cNvSpPr>
                          <a:spLocks/>
                        </wps:cNvSpPr>
                        <wps:spPr bwMode="auto">
                          <a:xfrm>
                            <a:off x="2303" y="2209"/>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8538585" name="Freeform 62"/>
                        <wps:cNvSpPr>
                          <a:spLocks/>
                        </wps:cNvSpPr>
                        <wps:spPr bwMode="auto">
                          <a:xfrm>
                            <a:off x="2401" y="2274"/>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8538586" name="Freeform 63"/>
                        <wps:cNvSpPr>
                          <a:spLocks/>
                        </wps:cNvSpPr>
                        <wps:spPr bwMode="auto">
                          <a:xfrm>
                            <a:off x="2362" y="2314"/>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8538587" name="Freeform 64"/>
                        <wps:cNvSpPr>
                          <a:spLocks/>
                        </wps:cNvSpPr>
                        <wps:spPr bwMode="auto">
                          <a:xfrm>
                            <a:off x="2426" y="2408"/>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8538588" name="Freeform 65"/>
                        <wps:cNvSpPr>
                          <a:spLocks/>
                        </wps:cNvSpPr>
                        <wps:spPr bwMode="auto">
                          <a:xfrm>
                            <a:off x="2386" y="2447"/>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8538589" name="Freeform 66"/>
                        <wps:cNvSpPr>
                          <a:spLocks/>
                        </wps:cNvSpPr>
                        <wps:spPr bwMode="auto">
                          <a:xfrm>
                            <a:off x="2450" y="2491"/>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8538590" name="Freeform 67"/>
                        <wps:cNvSpPr>
                          <a:spLocks/>
                        </wps:cNvSpPr>
                        <wps:spPr bwMode="auto">
                          <a:xfrm>
                            <a:off x="2410" y="2530"/>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8538591" name="Freeform 68"/>
                        <wps:cNvSpPr>
                          <a:spLocks/>
                        </wps:cNvSpPr>
                        <wps:spPr bwMode="auto">
                          <a:xfrm>
                            <a:off x="2794" y="2605"/>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8538592" name="Freeform 69"/>
                        <wps:cNvSpPr>
                          <a:spLocks/>
                        </wps:cNvSpPr>
                        <wps:spPr bwMode="auto">
                          <a:xfrm>
                            <a:off x="2754" y="2644"/>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8538593" name="Freeform 70"/>
                        <wps:cNvSpPr>
                          <a:spLocks/>
                        </wps:cNvSpPr>
                        <wps:spPr bwMode="auto">
                          <a:xfrm>
                            <a:off x="3076" y="2806"/>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8538594" name="Freeform 71"/>
                        <wps:cNvSpPr>
                          <a:spLocks/>
                        </wps:cNvSpPr>
                        <wps:spPr bwMode="auto">
                          <a:xfrm>
                            <a:off x="3037" y="2846"/>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8538595" name="Freeform 72"/>
                        <wps:cNvSpPr>
                          <a:spLocks/>
                        </wps:cNvSpPr>
                        <wps:spPr bwMode="auto">
                          <a:xfrm>
                            <a:off x="3087" y="2839"/>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8538596" name="Freeform 73"/>
                        <wps:cNvSpPr>
                          <a:spLocks/>
                        </wps:cNvSpPr>
                        <wps:spPr bwMode="auto">
                          <a:xfrm>
                            <a:off x="3048" y="2878"/>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8538597" name="Freeform 74"/>
                        <wps:cNvSpPr>
                          <a:spLocks/>
                        </wps:cNvSpPr>
                        <wps:spPr bwMode="auto">
                          <a:xfrm>
                            <a:off x="3125" y="2839"/>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8538598" name="Freeform 75"/>
                        <wps:cNvSpPr>
                          <a:spLocks/>
                        </wps:cNvSpPr>
                        <wps:spPr bwMode="auto">
                          <a:xfrm>
                            <a:off x="3085" y="2878"/>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8538599" name="Freeform 76"/>
                        <wps:cNvSpPr>
                          <a:spLocks/>
                        </wps:cNvSpPr>
                        <wps:spPr bwMode="auto">
                          <a:xfrm>
                            <a:off x="3714" y="2968"/>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8538600" name="Freeform 77"/>
                        <wps:cNvSpPr>
                          <a:spLocks/>
                        </wps:cNvSpPr>
                        <wps:spPr bwMode="auto">
                          <a:xfrm>
                            <a:off x="3675" y="3007"/>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8538601" name="Freeform 78"/>
                        <wps:cNvSpPr>
                          <a:spLocks/>
                        </wps:cNvSpPr>
                        <wps:spPr bwMode="auto">
                          <a:xfrm>
                            <a:off x="3727" y="3003"/>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8538602" name="Freeform 79"/>
                        <wps:cNvSpPr>
                          <a:spLocks/>
                        </wps:cNvSpPr>
                        <wps:spPr bwMode="auto">
                          <a:xfrm>
                            <a:off x="3688" y="3043"/>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8538603" name="Freeform 80"/>
                        <wps:cNvSpPr>
                          <a:spLocks/>
                        </wps:cNvSpPr>
                        <wps:spPr bwMode="auto">
                          <a:xfrm>
                            <a:off x="4376" y="3189"/>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8538604" name="Freeform 81"/>
                        <wps:cNvSpPr>
                          <a:spLocks/>
                        </wps:cNvSpPr>
                        <wps:spPr bwMode="auto">
                          <a:xfrm>
                            <a:off x="4337" y="3229"/>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8538605" name="Freeform 82"/>
                        <wps:cNvSpPr>
                          <a:spLocks/>
                        </wps:cNvSpPr>
                        <wps:spPr bwMode="auto">
                          <a:xfrm>
                            <a:off x="4413" y="3266"/>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8538606" name="Freeform 83"/>
                        <wps:cNvSpPr>
                          <a:spLocks/>
                        </wps:cNvSpPr>
                        <wps:spPr bwMode="auto">
                          <a:xfrm>
                            <a:off x="4374" y="3305"/>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8538607" name="Freeform 84"/>
                        <wps:cNvSpPr>
                          <a:spLocks/>
                        </wps:cNvSpPr>
                        <wps:spPr bwMode="auto">
                          <a:xfrm>
                            <a:off x="4449" y="3266"/>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8538608" name="Freeform 85"/>
                        <wps:cNvSpPr>
                          <a:spLocks/>
                        </wps:cNvSpPr>
                        <wps:spPr bwMode="auto">
                          <a:xfrm>
                            <a:off x="4409" y="3305"/>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8538609" name="Freeform 86"/>
                        <wps:cNvSpPr>
                          <a:spLocks/>
                        </wps:cNvSpPr>
                        <wps:spPr bwMode="auto">
                          <a:xfrm>
                            <a:off x="4473" y="3266"/>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8538610" name="Freeform 87"/>
                        <wps:cNvSpPr>
                          <a:spLocks/>
                        </wps:cNvSpPr>
                        <wps:spPr bwMode="auto">
                          <a:xfrm>
                            <a:off x="4433" y="3305"/>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8538611" name="Freeform 88"/>
                        <wps:cNvSpPr>
                          <a:spLocks/>
                        </wps:cNvSpPr>
                        <wps:spPr bwMode="auto">
                          <a:xfrm>
                            <a:off x="4484" y="3266"/>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8538612" name="Freeform 89"/>
                        <wps:cNvSpPr>
                          <a:spLocks/>
                        </wps:cNvSpPr>
                        <wps:spPr bwMode="auto">
                          <a:xfrm>
                            <a:off x="4444" y="3305"/>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8538613" name="Freeform 90"/>
                        <wps:cNvSpPr>
                          <a:spLocks/>
                        </wps:cNvSpPr>
                        <wps:spPr bwMode="auto">
                          <a:xfrm>
                            <a:off x="4613" y="3266"/>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8538614" name="Freeform 91"/>
                        <wps:cNvSpPr>
                          <a:spLocks/>
                        </wps:cNvSpPr>
                        <wps:spPr bwMode="auto">
                          <a:xfrm>
                            <a:off x="4573" y="3305"/>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8538615" name="Freeform 92"/>
                        <wps:cNvSpPr>
                          <a:spLocks/>
                        </wps:cNvSpPr>
                        <wps:spPr bwMode="auto">
                          <a:xfrm>
                            <a:off x="5040" y="3266"/>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8538616" name="Freeform 93"/>
                        <wps:cNvSpPr>
                          <a:spLocks/>
                        </wps:cNvSpPr>
                        <wps:spPr bwMode="auto">
                          <a:xfrm>
                            <a:off x="5001" y="3305"/>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8538617" name="Freeform 94"/>
                        <wps:cNvSpPr>
                          <a:spLocks/>
                        </wps:cNvSpPr>
                        <wps:spPr bwMode="auto">
                          <a:xfrm>
                            <a:off x="5062" y="3266"/>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8538618" name="Freeform 95"/>
                        <wps:cNvSpPr>
                          <a:spLocks/>
                        </wps:cNvSpPr>
                        <wps:spPr bwMode="auto">
                          <a:xfrm>
                            <a:off x="5023" y="3305"/>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8538619" name="Freeform 96"/>
                        <wps:cNvSpPr>
                          <a:spLocks/>
                        </wps:cNvSpPr>
                        <wps:spPr bwMode="auto">
                          <a:xfrm>
                            <a:off x="5075" y="3266"/>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8538620" name="Freeform 97"/>
                        <wps:cNvSpPr>
                          <a:spLocks/>
                        </wps:cNvSpPr>
                        <wps:spPr bwMode="auto">
                          <a:xfrm>
                            <a:off x="5036" y="3305"/>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8538621" name="Freeform 98"/>
                        <wps:cNvSpPr>
                          <a:spLocks/>
                        </wps:cNvSpPr>
                        <wps:spPr bwMode="auto">
                          <a:xfrm>
                            <a:off x="5086" y="3266"/>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8538622" name="Freeform 99"/>
                        <wps:cNvSpPr>
                          <a:spLocks/>
                        </wps:cNvSpPr>
                        <wps:spPr bwMode="auto">
                          <a:xfrm>
                            <a:off x="5047" y="3305"/>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8538623" name="Freeform 100"/>
                        <wps:cNvSpPr>
                          <a:spLocks/>
                        </wps:cNvSpPr>
                        <wps:spPr bwMode="auto">
                          <a:xfrm>
                            <a:off x="5170" y="3266"/>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1009792" name="Freeform 101"/>
                        <wps:cNvSpPr>
                          <a:spLocks/>
                        </wps:cNvSpPr>
                        <wps:spPr bwMode="auto">
                          <a:xfrm>
                            <a:off x="5130" y="3305"/>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1009793" name="Freeform 102"/>
                        <wps:cNvSpPr>
                          <a:spLocks/>
                        </wps:cNvSpPr>
                        <wps:spPr bwMode="auto">
                          <a:xfrm>
                            <a:off x="5724" y="3266"/>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1009794" name="Freeform 103"/>
                        <wps:cNvSpPr>
                          <a:spLocks/>
                        </wps:cNvSpPr>
                        <wps:spPr bwMode="auto">
                          <a:xfrm>
                            <a:off x="5685" y="3305"/>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1009795" name="Freeform 104"/>
                        <wps:cNvSpPr>
                          <a:spLocks/>
                        </wps:cNvSpPr>
                        <wps:spPr bwMode="auto">
                          <a:xfrm>
                            <a:off x="5974" y="3266"/>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1009796" name="Freeform 105"/>
                        <wps:cNvSpPr>
                          <a:spLocks/>
                        </wps:cNvSpPr>
                        <wps:spPr bwMode="auto">
                          <a:xfrm>
                            <a:off x="5934" y="3305"/>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1009797" name="Freeform 106"/>
                        <wps:cNvSpPr>
                          <a:spLocks/>
                        </wps:cNvSpPr>
                        <wps:spPr bwMode="auto">
                          <a:xfrm>
                            <a:off x="6079" y="3266"/>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1009798" name="Freeform 107"/>
                        <wps:cNvSpPr>
                          <a:spLocks/>
                        </wps:cNvSpPr>
                        <wps:spPr bwMode="auto">
                          <a:xfrm>
                            <a:off x="6040" y="3305"/>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1009799" name="Freeform 108"/>
                        <wps:cNvSpPr>
                          <a:spLocks/>
                        </wps:cNvSpPr>
                        <wps:spPr bwMode="auto">
                          <a:xfrm>
                            <a:off x="429" y="108"/>
                            <a:ext cx="6622" cy="3021"/>
                          </a:xfrm>
                          <a:custGeom>
                            <a:avLst/>
                            <a:gdLst>
                              <a:gd name="T0" fmla="*/ 10 w 6622"/>
                              <a:gd name="T1" fmla="*/ 0 h 3021"/>
                              <a:gd name="T2" fmla="*/ 175 w 6622"/>
                              <a:gd name="T3" fmla="*/ 21 h 3021"/>
                              <a:gd name="T4" fmla="*/ 543 w 6622"/>
                              <a:gd name="T5" fmla="*/ 61 h 3021"/>
                              <a:gd name="T6" fmla="*/ 602 w 6622"/>
                              <a:gd name="T7" fmla="*/ 83 h 3021"/>
                              <a:gd name="T8" fmla="*/ 613 w 6622"/>
                              <a:gd name="T9" fmla="*/ 144 h 3021"/>
                              <a:gd name="T10" fmla="*/ 637 w 6622"/>
                              <a:gd name="T11" fmla="*/ 203 h 3021"/>
                              <a:gd name="T12" fmla="*/ 648 w 6622"/>
                              <a:gd name="T13" fmla="*/ 264 h 3021"/>
                              <a:gd name="T14" fmla="*/ 672 w 6622"/>
                              <a:gd name="T15" fmla="*/ 326 h 3021"/>
                              <a:gd name="T16" fmla="*/ 683 w 6622"/>
                              <a:gd name="T17" fmla="*/ 470 h 3021"/>
                              <a:gd name="T18" fmla="*/ 707 w 6622"/>
                              <a:gd name="T19" fmla="*/ 531 h 3021"/>
                              <a:gd name="T20" fmla="*/ 742 w 6622"/>
                              <a:gd name="T21" fmla="*/ 573 h 3021"/>
                              <a:gd name="T22" fmla="*/ 839 w 6622"/>
                              <a:gd name="T23" fmla="*/ 595 h 3021"/>
                              <a:gd name="T24" fmla="*/ 861 w 6622"/>
                              <a:gd name="T25" fmla="*/ 636 h 3021"/>
                              <a:gd name="T26" fmla="*/ 1205 w 6622"/>
                              <a:gd name="T27" fmla="*/ 656 h 3021"/>
                              <a:gd name="T28" fmla="*/ 1251 w 6622"/>
                              <a:gd name="T29" fmla="*/ 739 h 3021"/>
                              <a:gd name="T30" fmla="*/ 1275 w 6622"/>
                              <a:gd name="T31" fmla="*/ 761 h 3021"/>
                              <a:gd name="T32" fmla="*/ 1288 w 6622"/>
                              <a:gd name="T33" fmla="*/ 822 h 3021"/>
                              <a:gd name="T34" fmla="*/ 1310 w 6622"/>
                              <a:gd name="T35" fmla="*/ 844 h 3021"/>
                              <a:gd name="T36" fmla="*/ 1323 w 6622"/>
                              <a:gd name="T37" fmla="*/ 927 h 3021"/>
                              <a:gd name="T38" fmla="*/ 1347 w 6622"/>
                              <a:gd name="T39" fmla="*/ 947 h 3021"/>
                              <a:gd name="T40" fmla="*/ 1358 w 6622"/>
                              <a:gd name="T41" fmla="*/ 1033 h 3021"/>
                              <a:gd name="T42" fmla="*/ 1382 w 6622"/>
                              <a:gd name="T43" fmla="*/ 1076 h 3021"/>
                              <a:gd name="T44" fmla="*/ 1488 w 6622"/>
                              <a:gd name="T45" fmla="*/ 1098 h 3021"/>
                              <a:gd name="T46" fmla="*/ 1630 w 6622"/>
                              <a:gd name="T47" fmla="*/ 1140 h 3021"/>
                              <a:gd name="T48" fmla="*/ 1902 w 6622"/>
                              <a:gd name="T49" fmla="*/ 1162 h 3021"/>
                              <a:gd name="T50" fmla="*/ 1913 w 6622"/>
                              <a:gd name="T51" fmla="*/ 1205 h 3021"/>
                              <a:gd name="T52" fmla="*/ 1950 w 6622"/>
                              <a:gd name="T53" fmla="*/ 1227 h 3021"/>
                              <a:gd name="T54" fmla="*/ 1961 w 6622"/>
                              <a:gd name="T55" fmla="*/ 1293 h 3021"/>
                              <a:gd name="T56" fmla="*/ 1985 w 6622"/>
                              <a:gd name="T57" fmla="*/ 1381 h 3021"/>
                              <a:gd name="T58" fmla="*/ 1996 w 6622"/>
                              <a:gd name="T59" fmla="*/ 1578 h 3021"/>
                              <a:gd name="T60" fmla="*/ 2020 w 6622"/>
                              <a:gd name="T61" fmla="*/ 1643 h 3021"/>
                              <a:gd name="T62" fmla="*/ 2055 w 6622"/>
                              <a:gd name="T63" fmla="*/ 1689 h 3021"/>
                              <a:gd name="T64" fmla="*/ 2079 w 6622"/>
                              <a:gd name="T65" fmla="*/ 1711 h 3021"/>
                              <a:gd name="T66" fmla="*/ 2257 w 6622"/>
                              <a:gd name="T67" fmla="*/ 1733 h 3021"/>
                              <a:gd name="T68" fmla="*/ 2305 w 6622"/>
                              <a:gd name="T69" fmla="*/ 1777 h 3021"/>
                              <a:gd name="T70" fmla="*/ 2364 w 6622"/>
                              <a:gd name="T71" fmla="*/ 1801 h 3021"/>
                              <a:gd name="T72" fmla="*/ 2577 w 6622"/>
                              <a:gd name="T73" fmla="*/ 1823 h 3021"/>
                              <a:gd name="T74" fmla="*/ 2612 w 6622"/>
                              <a:gd name="T75" fmla="*/ 1869 h 3021"/>
                              <a:gd name="T76" fmla="*/ 2647 w 6622"/>
                              <a:gd name="T77" fmla="*/ 1890 h 3021"/>
                              <a:gd name="T78" fmla="*/ 2658 w 6622"/>
                              <a:gd name="T79" fmla="*/ 2028 h 3021"/>
                              <a:gd name="T80" fmla="*/ 2682 w 6622"/>
                              <a:gd name="T81" fmla="*/ 2050 h 3021"/>
                              <a:gd name="T82" fmla="*/ 2836 w 6622"/>
                              <a:gd name="T83" fmla="*/ 2074 h 3021"/>
                              <a:gd name="T84" fmla="*/ 3072 w 6622"/>
                              <a:gd name="T85" fmla="*/ 2098 h 3021"/>
                              <a:gd name="T86" fmla="*/ 3226 w 6622"/>
                              <a:gd name="T87" fmla="*/ 2147 h 3021"/>
                              <a:gd name="T88" fmla="*/ 3274 w 6622"/>
                              <a:gd name="T89" fmla="*/ 2147 h 3021"/>
                              <a:gd name="T90" fmla="*/ 3285 w 6622"/>
                              <a:gd name="T91" fmla="*/ 2197 h 3021"/>
                              <a:gd name="T92" fmla="*/ 3309 w 6622"/>
                              <a:gd name="T93" fmla="*/ 2221 h 3021"/>
                              <a:gd name="T94" fmla="*/ 3320 w 6622"/>
                              <a:gd name="T95" fmla="*/ 2350 h 3021"/>
                              <a:gd name="T96" fmla="*/ 3344 w 6622"/>
                              <a:gd name="T97" fmla="*/ 2403 h 3021"/>
                              <a:gd name="T98" fmla="*/ 3723 w 6622"/>
                              <a:gd name="T99" fmla="*/ 2431 h 3021"/>
                              <a:gd name="T100" fmla="*/ 3912 w 6622"/>
                              <a:gd name="T101" fmla="*/ 2457 h 3021"/>
                              <a:gd name="T102" fmla="*/ 3936 w 6622"/>
                              <a:gd name="T103" fmla="*/ 2486 h 3021"/>
                              <a:gd name="T104" fmla="*/ 3971 w 6622"/>
                              <a:gd name="T105" fmla="*/ 2551 h 3021"/>
                              <a:gd name="T106" fmla="*/ 4006 w 6622"/>
                              <a:gd name="T107" fmla="*/ 2551 h 3021"/>
                              <a:gd name="T108" fmla="*/ 4030 w 6622"/>
                              <a:gd name="T109" fmla="*/ 2597 h 3021"/>
                              <a:gd name="T110" fmla="*/ 4043 w 6622"/>
                              <a:gd name="T111" fmla="*/ 2692 h 3021"/>
                              <a:gd name="T112" fmla="*/ 4267 w 6622"/>
                              <a:gd name="T113" fmla="*/ 2692 h 3021"/>
                              <a:gd name="T114" fmla="*/ 4611 w 6622"/>
                              <a:gd name="T115" fmla="*/ 2692 h 3021"/>
                              <a:gd name="T116" fmla="*/ 4646 w 6622"/>
                              <a:gd name="T117" fmla="*/ 2753 h 3021"/>
                              <a:gd name="T118" fmla="*/ 4859 w 6622"/>
                              <a:gd name="T119" fmla="*/ 2753 h 3021"/>
                              <a:gd name="T120" fmla="*/ 5260 w 6622"/>
                              <a:gd name="T121" fmla="*/ 2867 h 3021"/>
                              <a:gd name="T122" fmla="*/ 5615 w 6622"/>
                              <a:gd name="T123" fmla="*/ 3020 h 3021"/>
                              <a:gd name="T124" fmla="*/ 6621 w 6622"/>
                              <a:gd name="T125" fmla="*/ 3020 h 3021"/>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6622" h="3021">
                                <a:moveTo>
                                  <a:pt x="0" y="0"/>
                                </a:moveTo>
                                <a:lnTo>
                                  <a:pt x="0" y="0"/>
                                </a:lnTo>
                                <a:lnTo>
                                  <a:pt x="10" y="0"/>
                                </a:lnTo>
                                <a:lnTo>
                                  <a:pt x="21" y="0"/>
                                </a:lnTo>
                                <a:lnTo>
                                  <a:pt x="21" y="21"/>
                                </a:lnTo>
                                <a:lnTo>
                                  <a:pt x="175" y="21"/>
                                </a:lnTo>
                                <a:lnTo>
                                  <a:pt x="175" y="41"/>
                                </a:lnTo>
                                <a:lnTo>
                                  <a:pt x="543" y="41"/>
                                </a:lnTo>
                                <a:lnTo>
                                  <a:pt x="543" y="61"/>
                                </a:lnTo>
                                <a:lnTo>
                                  <a:pt x="589" y="61"/>
                                </a:lnTo>
                                <a:lnTo>
                                  <a:pt x="589" y="83"/>
                                </a:lnTo>
                                <a:lnTo>
                                  <a:pt x="602" y="83"/>
                                </a:lnTo>
                                <a:lnTo>
                                  <a:pt x="602" y="102"/>
                                </a:lnTo>
                                <a:lnTo>
                                  <a:pt x="613" y="102"/>
                                </a:lnTo>
                                <a:lnTo>
                                  <a:pt x="613" y="144"/>
                                </a:lnTo>
                                <a:lnTo>
                                  <a:pt x="624" y="144"/>
                                </a:lnTo>
                                <a:lnTo>
                                  <a:pt x="624" y="203"/>
                                </a:lnTo>
                                <a:lnTo>
                                  <a:pt x="637" y="203"/>
                                </a:lnTo>
                                <a:lnTo>
                                  <a:pt x="637" y="225"/>
                                </a:lnTo>
                                <a:lnTo>
                                  <a:pt x="648" y="225"/>
                                </a:lnTo>
                                <a:lnTo>
                                  <a:pt x="648" y="264"/>
                                </a:lnTo>
                                <a:lnTo>
                                  <a:pt x="661" y="264"/>
                                </a:lnTo>
                                <a:lnTo>
                                  <a:pt x="661" y="326"/>
                                </a:lnTo>
                                <a:lnTo>
                                  <a:pt x="672" y="326"/>
                                </a:lnTo>
                                <a:lnTo>
                                  <a:pt x="672" y="387"/>
                                </a:lnTo>
                                <a:lnTo>
                                  <a:pt x="683" y="387"/>
                                </a:lnTo>
                                <a:lnTo>
                                  <a:pt x="683" y="470"/>
                                </a:lnTo>
                                <a:lnTo>
                                  <a:pt x="696" y="470"/>
                                </a:lnTo>
                                <a:lnTo>
                                  <a:pt x="696" y="531"/>
                                </a:lnTo>
                                <a:lnTo>
                                  <a:pt x="707" y="531"/>
                                </a:lnTo>
                                <a:lnTo>
                                  <a:pt x="707" y="553"/>
                                </a:lnTo>
                                <a:lnTo>
                                  <a:pt x="742" y="553"/>
                                </a:lnTo>
                                <a:lnTo>
                                  <a:pt x="742" y="573"/>
                                </a:lnTo>
                                <a:lnTo>
                                  <a:pt x="802" y="573"/>
                                </a:lnTo>
                                <a:lnTo>
                                  <a:pt x="802" y="595"/>
                                </a:lnTo>
                                <a:lnTo>
                                  <a:pt x="839" y="595"/>
                                </a:lnTo>
                                <a:lnTo>
                                  <a:pt x="839" y="615"/>
                                </a:lnTo>
                                <a:lnTo>
                                  <a:pt x="861" y="615"/>
                                </a:lnTo>
                                <a:lnTo>
                                  <a:pt x="861" y="636"/>
                                </a:lnTo>
                                <a:lnTo>
                                  <a:pt x="1111" y="636"/>
                                </a:lnTo>
                                <a:lnTo>
                                  <a:pt x="1111" y="656"/>
                                </a:lnTo>
                                <a:lnTo>
                                  <a:pt x="1205" y="656"/>
                                </a:lnTo>
                                <a:lnTo>
                                  <a:pt x="1205" y="678"/>
                                </a:lnTo>
                                <a:lnTo>
                                  <a:pt x="1251" y="678"/>
                                </a:lnTo>
                                <a:lnTo>
                                  <a:pt x="1251" y="739"/>
                                </a:lnTo>
                                <a:lnTo>
                                  <a:pt x="1264" y="739"/>
                                </a:lnTo>
                                <a:lnTo>
                                  <a:pt x="1264" y="761"/>
                                </a:lnTo>
                                <a:lnTo>
                                  <a:pt x="1275" y="761"/>
                                </a:lnTo>
                                <a:lnTo>
                                  <a:pt x="1275" y="781"/>
                                </a:lnTo>
                                <a:lnTo>
                                  <a:pt x="1288" y="781"/>
                                </a:lnTo>
                                <a:lnTo>
                                  <a:pt x="1288" y="822"/>
                                </a:lnTo>
                                <a:lnTo>
                                  <a:pt x="1299" y="822"/>
                                </a:lnTo>
                                <a:lnTo>
                                  <a:pt x="1299" y="844"/>
                                </a:lnTo>
                                <a:lnTo>
                                  <a:pt x="1310" y="844"/>
                                </a:lnTo>
                                <a:lnTo>
                                  <a:pt x="1310" y="886"/>
                                </a:lnTo>
                                <a:lnTo>
                                  <a:pt x="1323" y="886"/>
                                </a:lnTo>
                                <a:lnTo>
                                  <a:pt x="1323" y="927"/>
                                </a:lnTo>
                                <a:lnTo>
                                  <a:pt x="1334" y="927"/>
                                </a:lnTo>
                                <a:lnTo>
                                  <a:pt x="1334" y="947"/>
                                </a:lnTo>
                                <a:lnTo>
                                  <a:pt x="1347" y="947"/>
                                </a:lnTo>
                                <a:lnTo>
                                  <a:pt x="1347" y="969"/>
                                </a:lnTo>
                                <a:lnTo>
                                  <a:pt x="1358" y="969"/>
                                </a:lnTo>
                                <a:lnTo>
                                  <a:pt x="1358" y="1033"/>
                                </a:lnTo>
                                <a:lnTo>
                                  <a:pt x="1369" y="1033"/>
                                </a:lnTo>
                                <a:lnTo>
                                  <a:pt x="1369" y="1076"/>
                                </a:lnTo>
                                <a:lnTo>
                                  <a:pt x="1382" y="1076"/>
                                </a:lnTo>
                                <a:lnTo>
                                  <a:pt x="1418" y="1076"/>
                                </a:lnTo>
                                <a:lnTo>
                                  <a:pt x="1418" y="1098"/>
                                </a:lnTo>
                                <a:lnTo>
                                  <a:pt x="1488" y="1098"/>
                                </a:lnTo>
                                <a:lnTo>
                                  <a:pt x="1488" y="1118"/>
                                </a:lnTo>
                                <a:lnTo>
                                  <a:pt x="1630" y="1118"/>
                                </a:lnTo>
                                <a:lnTo>
                                  <a:pt x="1630" y="1140"/>
                                </a:lnTo>
                                <a:lnTo>
                                  <a:pt x="1748" y="1140"/>
                                </a:lnTo>
                                <a:lnTo>
                                  <a:pt x="1748" y="1162"/>
                                </a:lnTo>
                                <a:lnTo>
                                  <a:pt x="1902" y="1162"/>
                                </a:lnTo>
                                <a:lnTo>
                                  <a:pt x="1902" y="1184"/>
                                </a:lnTo>
                                <a:lnTo>
                                  <a:pt x="1913" y="1184"/>
                                </a:lnTo>
                                <a:lnTo>
                                  <a:pt x="1913" y="1205"/>
                                </a:lnTo>
                                <a:lnTo>
                                  <a:pt x="1937" y="1205"/>
                                </a:lnTo>
                                <a:lnTo>
                                  <a:pt x="1937" y="1227"/>
                                </a:lnTo>
                                <a:lnTo>
                                  <a:pt x="1950" y="1227"/>
                                </a:lnTo>
                                <a:lnTo>
                                  <a:pt x="1950" y="1271"/>
                                </a:lnTo>
                                <a:lnTo>
                                  <a:pt x="1961" y="1271"/>
                                </a:lnTo>
                                <a:lnTo>
                                  <a:pt x="1961" y="1293"/>
                                </a:lnTo>
                                <a:lnTo>
                                  <a:pt x="1972" y="1293"/>
                                </a:lnTo>
                                <a:lnTo>
                                  <a:pt x="1972" y="1381"/>
                                </a:lnTo>
                                <a:lnTo>
                                  <a:pt x="1985" y="1381"/>
                                </a:lnTo>
                                <a:lnTo>
                                  <a:pt x="1985" y="1468"/>
                                </a:lnTo>
                                <a:lnTo>
                                  <a:pt x="1996" y="1468"/>
                                </a:lnTo>
                                <a:lnTo>
                                  <a:pt x="1996" y="1578"/>
                                </a:lnTo>
                                <a:lnTo>
                                  <a:pt x="2009" y="1578"/>
                                </a:lnTo>
                                <a:lnTo>
                                  <a:pt x="2009" y="1643"/>
                                </a:lnTo>
                                <a:lnTo>
                                  <a:pt x="2020" y="1643"/>
                                </a:lnTo>
                                <a:lnTo>
                                  <a:pt x="2020" y="1665"/>
                                </a:lnTo>
                                <a:lnTo>
                                  <a:pt x="2055" y="1665"/>
                                </a:lnTo>
                                <a:lnTo>
                                  <a:pt x="2055" y="1689"/>
                                </a:lnTo>
                                <a:lnTo>
                                  <a:pt x="2068" y="1689"/>
                                </a:lnTo>
                                <a:lnTo>
                                  <a:pt x="2068" y="1711"/>
                                </a:lnTo>
                                <a:lnTo>
                                  <a:pt x="2079" y="1711"/>
                                </a:lnTo>
                                <a:lnTo>
                                  <a:pt x="2174" y="1711"/>
                                </a:lnTo>
                                <a:lnTo>
                                  <a:pt x="2174" y="1733"/>
                                </a:lnTo>
                                <a:lnTo>
                                  <a:pt x="2257" y="1733"/>
                                </a:lnTo>
                                <a:lnTo>
                                  <a:pt x="2257" y="1755"/>
                                </a:lnTo>
                                <a:lnTo>
                                  <a:pt x="2305" y="1755"/>
                                </a:lnTo>
                                <a:lnTo>
                                  <a:pt x="2305" y="1777"/>
                                </a:lnTo>
                                <a:lnTo>
                                  <a:pt x="2327" y="1777"/>
                                </a:lnTo>
                                <a:lnTo>
                                  <a:pt x="2327" y="1801"/>
                                </a:lnTo>
                                <a:lnTo>
                                  <a:pt x="2364" y="1801"/>
                                </a:lnTo>
                                <a:lnTo>
                                  <a:pt x="2364" y="1823"/>
                                </a:lnTo>
                                <a:lnTo>
                                  <a:pt x="2518" y="1823"/>
                                </a:lnTo>
                                <a:lnTo>
                                  <a:pt x="2577" y="1823"/>
                                </a:lnTo>
                                <a:lnTo>
                                  <a:pt x="2577" y="1845"/>
                                </a:lnTo>
                                <a:lnTo>
                                  <a:pt x="2612" y="1845"/>
                                </a:lnTo>
                                <a:lnTo>
                                  <a:pt x="2612" y="1869"/>
                                </a:lnTo>
                                <a:lnTo>
                                  <a:pt x="2636" y="1869"/>
                                </a:lnTo>
                                <a:lnTo>
                                  <a:pt x="2636" y="1890"/>
                                </a:lnTo>
                                <a:lnTo>
                                  <a:pt x="2647" y="1890"/>
                                </a:lnTo>
                                <a:lnTo>
                                  <a:pt x="2647" y="1936"/>
                                </a:lnTo>
                                <a:lnTo>
                                  <a:pt x="2658" y="1936"/>
                                </a:lnTo>
                                <a:lnTo>
                                  <a:pt x="2658" y="2028"/>
                                </a:lnTo>
                                <a:lnTo>
                                  <a:pt x="2671" y="2028"/>
                                </a:lnTo>
                                <a:lnTo>
                                  <a:pt x="2671" y="2050"/>
                                </a:lnTo>
                                <a:lnTo>
                                  <a:pt x="2682" y="2050"/>
                                </a:lnTo>
                                <a:lnTo>
                                  <a:pt x="2682" y="2074"/>
                                </a:lnTo>
                                <a:lnTo>
                                  <a:pt x="2706" y="2074"/>
                                </a:lnTo>
                                <a:lnTo>
                                  <a:pt x="2836" y="2074"/>
                                </a:lnTo>
                                <a:lnTo>
                                  <a:pt x="2836" y="2098"/>
                                </a:lnTo>
                                <a:lnTo>
                                  <a:pt x="2860" y="2098"/>
                                </a:lnTo>
                                <a:lnTo>
                                  <a:pt x="3072" y="2098"/>
                                </a:lnTo>
                                <a:lnTo>
                                  <a:pt x="3072" y="2122"/>
                                </a:lnTo>
                                <a:lnTo>
                                  <a:pt x="3226" y="2122"/>
                                </a:lnTo>
                                <a:lnTo>
                                  <a:pt x="3226" y="2147"/>
                                </a:lnTo>
                                <a:lnTo>
                                  <a:pt x="3239" y="2147"/>
                                </a:lnTo>
                                <a:lnTo>
                                  <a:pt x="3263" y="2147"/>
                                </a:lnTo>
                                <a:lnTo>
                                  <a:pt x="3274" y="2147"/>
                                </a:lnTo>
                                <a:lnTo>
                                  <a:pt x="3274" y="2171"/>
                                </a:lnTo>
                                <a:lnTo>
                                  <a:pt x="3285" y="2171"/>
                                </a:lnTo>
                                <a:lnTo>
                                  <a:pt x="3285" y="2197"/>
                                </a:lnTo>
                                <a:lnTo>
                                  <a:pt x="3298" y="2197"/>
                                </a:lnTo>
                                <a:lnTo>
                                  <a:pt x="3298" y="2221"/>
                                </a:lnTo>
                                <a:lnTo>
                                  <a:pt x="3309" y="2221"/>
                                </a:lnTo>
                                <a:lnTo>
                                  <a:pt x="3309" y="2273"/>
                                </a:lnTo>
                                <a:lnTo>
                                  <a:pt x="3320" y="2273"/>
                                </a:lnTo>
                                <a:lnTo>
                                  <a:pt x="3320" y="2350"/>
                                </a:lnTo>
                                <a:lnTo>
                                  <a:pt x="3333" y="2350"/>
                                </a:lnTo>
                                <a:lnTo>
                                  <a:pt x="3333" y="2403"/>
                                </a:lnTo>
                                <a:lnTo>
                                  <a:pt x="3344" y="2403"/>
                                </a:lnTo>
                                <a:lnTo>
                                  <a:pt x="3392" y="2403"/>
                                </a:lnTo>
                                <a:lnTo>
                                  <a:pt x="3392" y="2431"/>
                                </a:lnTo>
                                <a:lnTo>
                                  <a:pt x="3723" y="2431"/>
                                </a:lnTo>
                                <a:lnTo>
                                  <a:pt x="3723" y="2457"/>
                                </a:lnTo>
                                <a:lnTo>
                                  <a:pt x="3901" y="2457"/>
                                </a:lnTo>
                                <a:lnTo>
                                  <a:pt x="3912" y="2457"/>
                                </a:lnTo>
                                <a:lnTo>
                                  <a:pt x="3912" y="2486"/>
                                </a:lnTo>
                                <a:lnTo>
                                  <a:pt x="3925" y="2486"/>
                                </a:lnTo>
                                <a:lnTo>
                                  <a:pt x="3936" y="2486"/>
                                </a:lnTo>
                                <a:lnTo>
                                  <a:pt x="3947" y="2486"/>
                                </a:lnTo>
                                <a:lnTo>
                                  <a:pt x="3971" y="2486"/>
                                </a:lnTo>
                                <a:lnTo>
                                  <a:pt x="3971" y="2551"/>
                                </a:lnTo>
                                <a:lnTo>
                                  <a:pt x="3984" y="2551"/>
                                </a:lnTo>
                                <a:lnTo>
                                  <a:pt x="3995" y="2551"/>
                                </a:lnTo>
                                <a:lnTo>
                                  <a:pt x="4006" y="2551"/>
                                </a:lnTo>
                                <a:lnTo>
                                  <a:pt x="4019" y="2551"/>
                                </a:lnTo>
                                <a:lnTo>
                                  <a:pt x="4019" y="2597"/>
                                </a:lnTo>
                                <a:lnTo>
                                  <a:pt x="4030" y="2597"/>
                                </a:lnTo>
                                <a:lnTo>
                                  <a:pt x="4030" y="2643"/>
                                </a:lnTo>
                                <a:lnTo>
                                  <a:pt x="4043" y="2643"/>
                                </a:lnTo>
                                <a:lnTo>
                                  <a:pt x="4043" y="2692"/>
                                </a:lnTo>
                                <a:lnTo>
                                  <a:pt x="4148" y="2692"/>
                                </a:lnTo>
                                <a:lnTo>
                                  <a:pt x="4184" y="2692"/>
                                </a:lnTo>
                                <a:lnTo>
                                  <a:pt x="4267" y="2692"/>
                                </a:lnTo>
                                <a:lnTo>
                                  <a:pt x="4563" y="2692"/>
                                </a:lnTo>
                                <a:lnTo>
                                  <a:pt x="4574" y="2692"/>
                                </a:lnTo>
                                <a:lnTo>
                                  <a:pt x="4611" y="2692"/>
                                </a:lnTo>
                                <a:lnTo>
                                  <a:pt x="4611" y="2753"/>
                                </a:lnTo>
                                <a:lnTo>
                                  <a:pt x="4622" y="2753"/>
                                </a:lnTo>
                                <a:lnTo>
                                  <a:pt x="4646" y="2753"/>
                                </a:lnTo>
                                <a:lnTo>
                                  <a:pt x="4716" y="2753"/>
                                </a:lnTo>
                                <a:lnTo>
                                  <a:pt x="4810" y="2753"/>
                                </a:lnTo>
                                <a:lnTo>
                                  <a:pt x="4859" y="2753"/>
                                </a:lnTo>
                                <a:lnTo>
                                  <a:pt x="4859" y="2867"/>
                                </a:lnTo>
                                <a:lnTo>
                                  <a:pt x="4953" y="2867"/>
                                </a:lnTo>
                                <a:lnTo>
                                  <a:pt x="5260" y="2867"/>
                                </a:lnTo>
                                <a:lnTo>
                                  <a:pt x="5556" y="2867"/>
                                </a:lnTo>
                                <a:lnTo>
                                  <a:pt x="5556" y="3020"/>
                                </a:lnTo>
                                <a:lnTo>
                                  <a:pt x="5615" y="3020"/>
                                </a:lnTo>
                                <a:lnTo>
                                  <a:pt x="5628" y="3020"/>
                                </a:lnTo>
                                <a:lnTo>
                                  <a:pt x="5698" y="3020"/>
                                </a:lnTo>
                                <a:lnTo>
                                  <a:pt x="6621" y="3020"/>
                                </a:lnTo>
                              </a:path>
                            </a:pathLst>
                          </a:custGeom>
                          <a:noFill/>
                          <a:ln w="166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1009800" name="Freeform 109"/>
                        <wps:cNvSpPr>
                          <a:spLocks/>
                        </wps:cNvSpPr>
                        <wps:spPr bwMode="auto">
                          <a:xfrm>
                            <a:off x="433" y="108"/>
                            <a:ext cx="20" cy="40"/>
                          </a:xfrm>
                          <a:custGeom>
                            <a:avLst/>
                            <a:gdLst>
                              <a:gd name="T0" fmla="*/ 0 w 20"/>
                              <a:gd name="T1" fmla="*/ 0 h 40"/>
                              <a:gd name="T2" fmla="*/ 13 w 20"/>
                              <a:gd name="T3" fmla="*/ 0 h 40"/>
                              <a:gd name="T4" fmla="*/ 13 w 20"/>
                              <a:gd name="T5" fmla="*/ 0 h 40"/>
                              <a:gd name="T6" fmla="*/ 13 w 20"/>
                              <a:gd name="T7" fmla="*/ 39 h 40"/>
                              <a:gd name="T8" fmla="*/ 0 w 20"/>
                              <a:gd name="T9" fmla="*/ 39 h 40"/>
                              <a:gd name="T10" fmla="*/ 0 w 20"/>
                              <a:gd name="T11" fmla="*/ 0 h 4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0" h="40">
                                <a:moveTo>
                                  <a:pt x="0" y="0"/>
                                </a:moveTo>
                                <a:lnTo>
                                  <a:pt x="13" y="0"/>
                                </a:lnTo>
                                <a:lnTo>
                                  <a:pt x="13" y="39"/>
                                </a:lnTo>
                                <a:lnTo>
                                  <a:pt x="0" y="3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1009801" name="Freeform 110"/>
                        <wps:cNvSpPr>
                          <a:spLocks/>
                        </wps:cNvSpPr>
                        <wps:spPr bwMode="auto">
                          <a:xfrm>
                            <a:off x="400" y="108"/>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1009802" name="Freeform 111"/>
                        <wps:cNvSpPr>
                          <a:spLocks/>
                        </wps:cNvSpPr>
                        <wps:spPr bwMode="auto">
                          <a:xfrm>
                            <a:off x="1054" y="272"/>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1009803" name="Freeform 112"/>
                        <wps:cNvSpPr>
                          <a:spLocks/>
                        </wps:cNvSpPr>
                        <wps:spPr bwMode="auto">
                          <a:xfrm>
                            <a:off x="1014" y="311"/>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1009804" name="Freeform 113"/>
                        <wps:cNvSpPr>
                          <a:spLocks/>
                        </wps:cNvSpPr>
                        <wps:spPr bwMode="auto">
                          <a:xfrm>
                            <a:off x="1102" y="456"/>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1009805" name="Freeform 114"/>
                        <wps:cNvSpPr>
                          <a:spLocks/>
                        </wps:cNvSpPr>
                        <wps:spPr bwMode="auto">
                          <a:xfrm>
                            <a:off x="1062" y="495"/>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1009806" name="Freeform 115"/>
                        <wps:cNvSpPr>
                          <a:spLocks/>
                        </wps:cNvSpPr>
                        <wps:spPr bwMode="auto">
                          <a:xfrm>
                            <a:off x="1113" y="539"/>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1009807" name="Freeform 116"/>
                        <wps:cNvSpPr>
                          <a:spLocks/>
                        </wps:cNvSpPr>
                        <wps:spPr bwMode="auto">
                          <a:xfrm>
                            <a:off x="1073" y="578"/>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1009808" name="Freeform 117"/>
                        <wps:cNvSpPr>
                          <a:spLocks/>
                        </wps:cNvSpPr>
                        <wps:spPr bwMode="auto">
                          <a:xfrm>
                            <a:off x="1694" y="830"/>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1009809" name="Freeform 118"/>
                        <wps:cNvSpPr>
                          <a:spLocks/>
                        </wps:cNvSpPr>
                        <wps:spPr bwMode="auto">
                          <a:xfrm>
                            <a:off x="1654" y="869"/>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1009810" name="Freeform 119"/>
                        <wps:cNvSpPr>
                          <a:spLocks/>
                        </wps:cNvSpPr>
                        <wps:spPr bwMode="auto">
                          <a:xfrm>
                            <a:off x="1753" y="996"/>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1009811" name="Freeform 120"/>
                        <wps:cNvSpPr>
                          <a:spLocks/>
                        </wps:cNvSpPr>
                        <wps:spPr bwMode="auto">
                          <a:xfrm>
                            <a:off x="1713" y="1036"/>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1009812" name="Freeform 121"/>
                        <wps:cNvSpPr>
                          <a:spLocks/>
                        </wps:cNvSpPr>
                        <wps:spPr bwMode="auto">
                          <a:xfrm>
                            <a:off x="1764" y="1016"/>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1009813" name="Freeform 122"/>
                        <wps:cNvSpPr>
                          <a:spLocks/>
                        </wps:cNvSpPr>
                        <wps:spPr bwMode="auto">
                          <a:xfrm>
                            <a:off x="1724" y="1055"/>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1009814" name="Freeform 123"/>
                        <wps:cNvSpPr>
                          <a:spLocks/>
                        </wps:cNvSpPr>
                        <wps:spPr bwMode="auto">
                          <a:xfrm>
                            <a:off x="1777" y="1038"/>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1009815" name="Freeform 124"/>
                        <wps:cNvSpPr>
                          <a:spLocks/>
                        </wps:cNvSpPr>
                        <wps:spPr bwMode="auto">
                          <a:xfrm>
                            <a:off x="1737" y="1077"/>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1009816" name="Freeform 125"/>
                        <wps:cNvSpPr>
                          <a:spLocks/>
                        </wps:cNvSpPr>
                        <wps:spPr bwMode="auto">
                          <a:xfrm>
                            <a:off x="1799" y="1145"/>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1009817" name="Freeform 126"/>
                        <wps:cNvSpPr>
                          <a:spLocks/>
                        </wps:cNvSpPr>
                        <wps:spPr bwMode="auto">
                          <a:xfrm>
                            <a:off x="1759" y="1184"/>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1009818" name="Freeform 127"/>
                        <wps:cNvSpPr>
                          <a:spLocks/>
                        </wps:cNvSpPr>
                        <wps:spPr bwMode="auto">
                          <a:xfrm>
                            <a:off x="1812" y="1145"/>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1009820" name="Freeform 128"/>
                        <wps:cNvSpPr>
                          <a:spLocks/>
                        </wps:cNvSpPr>
                        <wps:spPr bwMode="auto">
                          <a:xfrm>
                            <a:off x="1772" y="1184"/>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1009821" name="Freeform 129"/>
                        <wps:cNvSpPr>
                          <a:spLocks/>
                        </wps:cNvSpPr>
                        <wps:spPr bwMode="auto">
                          <a:xfrm>
                            <a:off x="2342" y="1274"/>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1009822" name="Freeform 130"/>
                        <wps:cNvSpPr>
                          <a:spLocks/>
                        </wps:cNvSpPr>
                        <wps:spPr bwMode="auto">
                          <a:xfrm>
                            <a:off x="2303" y="1313"/>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1009823" name="Freeform 131"/>
                        <wps:cNvSpPr>
                          <a:spLocks/>
                        </wps:cNvSpPr>
                        <wps:spPr bwMode="auto">
                          <a:xfrm>
                            <a:off x="2415" y="1537"/>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1009824" name="Freeform 132"/>
                        <wps:cNvSpPr>
                          <a:spLocks/>
                        </wps:cNvSpPr>
                        <wps:spPr bwMode="auto">
                          <a:xfrm>
                            <a:off x="2375" y="1576"/>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1009825" name="Freeform 133"/>
                        <wps:cNvSpPr>
                          <a:spLocks/>
                        </wps:cNvSpPr>
                        <wps:spPr bwMode="auto">
                          <a:xfrm>
                            <a:off x="2498" y="1780"/>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1009826" name="Freeform 134"/>
                        <wps:cNvSpPr>
                          <a:spLocks/>
                        </wps:cNvSpPr>
                        <wps:spPr bwMode="auto">
                          <a:xfrm>
                            <a:off x="2458" y="1819"/>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1009827" name="Freeform 135"/>
                        <wps:cNvSpPr>
                          <a:spLocks/>
                        </wps:cNvSpPr>
                        <wps:spPr bwMode="auto">
                          <a:xfrm>
                            <a:off x="2509" y="1780"/>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1009828" name="Freeform 136"/>
                        <wps:cNvSpPr>
                          <a:spLocks/>
                        </wps:cNvSpPr>
                        <wps:spPr bwMode="auto">
                          <a:xfrm>
                            <a:off x="2469" y="1819"/>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1009829" name="Freeform 137"/>
                        <wps:cNvSpPr>
                          <a:spLocks/>
                        </wps:cNvSpPr>
                        <wps:spPr bwMode="auto">
                          <a:xfrm>
                            <a:off x="2947" y="1891"/>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1009830" name="Freeform 138"/>
                        <wps:cNvSpPr>
                          <a:spLocks/>
                        </wps:cNvSpPr>
                        <wps:spPr bwMode="auto">
                          <a:xfrm>
                            <a:off x="2908" y="1931"/>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1009831" name="Freeform 139"/>
                        <wps:cNvSpPr>
                          <a:spLocks/>
                        </wps:cNvSpPr>
                        <wps:spPr bwMode="auto">
                          <a:xfrm>
                            <a:off x="3087" y="2097"/>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1009832" name="Freeform 140"/>
                        <wps:cNvSpPr>
                          <a:spLocks/>
                        </wps:cNvSpPr>
                        <wps:spPr bwMode="auto">
                          <a:xfrm>
                            <a:off x="3048" y="2136"/>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1009833" name="Freeform 141"/>
                        <wps:cNvSpPr>
                          <a:spLocks/>
                        </wps:cNvSpPr>
                        <wps:spPr bwMode="auto">
                          <a:xfrm>
                            <a:off x="3136" y="2143"/>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1009834" name="Freeform 142"/>
                        <wps:cNvSpPr>
                          <a:spLocks/>
                        </wps:cNvSpPr>
                        <wps:spPr bwMode="auto">
                          <a:xfrm>
                            <a:off x="3096" y="2182"/>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1009835" name="Freeform 143"/>
                        <wps:cNvSpPr>
                          <a:spLocks/>
                        </wps:cNvSpPr>
                        <wps:spPr bwMode="auto">
                          <a:xfrm>
                            <a:off x="3289" y="2167"/>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1009836" name="Freeform 144"/>
                        <wps:cNvSpPr>
                          <a:spLocks/>
                        </wps:cNvSpPr>
                        <wps:spPr bwMode="auto">
                          <a:xfrm>
                            <a:off x="3250" y="2206"/>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1009837" name="Freeform 145"/>
                        <wps:cNvSpPr>
                          <a:spLocks/>
                        </wps:cNvSpPr>
                        <wps:spPr bwMode="auto">
                          <a:xfrm>
                            <a:off x="3668" y="2215"/>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1009838" name="Freeform 146"/>
                        <wps:cNvSpPr>
                          <a:spLocks/>
                        </wps:cNvSpPr>
                        <wps:spPr bwMode="auto">
                          <a:xfrm>
                            <a:off x="3629" y="2255"/>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1009839" name="Freeform 147"/>
                        <wps:cNvSpPr>
                          <a:spLocks/>
                        </wps:cNvSpPr>
                        <wps:spPr bwMode="auto">
                          <a:xfrm>
                            <a:off x="3692" y="2215"/>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1009840" name="Freeform 148"/>
                        <wps:cNvSpPr>
                          <a:spLocks/>
                        </wps:cNvSpPr>
                        <wps:spPr bwMode="auto">
                          <a:xfrm>
                            <a:off x="3653" y="2255"/>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1009841" name="Freeform 149"/>
                        <wps:cNvSpPr>
                          <a:spLocks/>
                        </wps:cNvSpPr>
                        <wps:spPr bwMode="auto">
                          <a:xfrm>
                            <a:off x="3703" y="2239"/>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1009842" name="Freeform 150"/>
                        <wps:cNvSpPr>
                          <a:spLocks/>
                        </wps:cNvSpPr>
                        <wps:spPr bwMode="auto">
                          <a:xfrm>
                            <a:off x="3664" y="2279"/>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1009843" name="Freeform 151"/>
                        <wps:cNvSpPr>
                          <a:spLocks/>
                        </wps:cNvSpPr>
                        <wps:spPr bwMode="auto">
                          <a:xfrm>
                            <a:off x="3727" y="2290"/>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1009844" name="Freeform 152"/>
                        <wps:cNvSpPr>
                          <a:spLocks/>
                        </wps:cNvSpPr>
                        <wps:spPr bwMode="auto">
                          <a:xfrm>
                            <a:off x="3688" y="2329"/>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1009845" name="Freeform 153"/>
                        <wps:cNvSpPr>
                          <a:spLocks/>
                        </wps:cNvSpPr>
                        <wps:spPr bwMode="auto">
                          <a:xfrm>
                            <a:off x="3749" y="2419"/>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1009846" name="Freeform 154"/>
                        <wps:cNvSpPr>
                          <a:spLocks/>
                        </wps:cNvSpPr>
                        <wps:spPr bwMode="auto">
                          <a:xfrm>
                            <a:off x="3710" y="2458"/>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1009847" name="Freeform 155"/>
                        <wps:cNvSpPr>
                          <a:spLocks/>
                        </wps:cNvSpPr>
                        <wps:spPr bwMode="auto">
                          <a:xfrm>
                            <a:off x="3762" y="2471"/>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1009848" name="Freeform 156"/>
                        <wps:cNvSpPr>
                          <a:spLocks/>
                        </wps:cNvSpPr>
                        <wps:spPr bwMode="auto">
                          <a:xfrm>
                            <a:off x="3723" y="2511"/>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1009849" name="Freeform 157"/>
                        <wps:cNvSpPr>
                          <a:spLocks/>
                        </wps:cNvSpPr>
                        <wps:spPr bwMode="auto">
                          <a:xfrm>
                            <a:off x="3773" y="2471"/>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1009850" name="Freeform 158"/>
                        <wps:cNvSpPr>
                          <a:spLocks/>
                        </wps:cNvSpPr>
                        <wps:spPr bwMode="auto">
                          <a:xfrm>
                            <a:off x="3734" y="2511"/>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1009851" name="Freeform 159"/>
                        <wps:cNvSpPr>
                          <a:spLocks/>
                        </wps:cNvSpPr>
                        <wps:spPr bwMode="auto">
                          <a:xfrm>
                            <a:off x="4330" y="2526"/>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1009852" name="Freeform 160"/>
                        <wps:cNvSpPr>
                          <a:spLocks/>
                        </wps:cNvSpPr>
                        <wps:spPr bwMode="auto">
                          <a:xfrm>
                            <a:off x="4291" y="2565"/>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1009853" name="Freeform 161"/>
                        <wps:cNvSpPr>
                          <a:spLocks/>
                        </wps:cNvSpPr>
                        <wps:spPr bwMode="auto">
                          <a:xfrm>
                            <a:off x="4354" y="2554"/>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1009854" name="Freeform 162"/>
                        <wps:cNvSpPr>
                          <a:spLocks/>
                        </wps:cNvSpPr>
                        <wps:spPr bwMode="auto">
                          <a:xfrm>
                            <a:off x="4315" y="2594"/>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1009855" name="Freeform 163"/>
                        <wps:cNvSpPr>
                          <a:spLocks/>
                        </wps:cNvSpPr>
                        <wps:spPr bwMode="auto">
                          <a:xfrm>
                            <a:off x="4365" y="2554"/>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13120" name="Freeform 164"/>
                        <wps:cNvSpPr>
                          <a:spLocks/>
                        </wps:cNvSpPr>
                        <wps:spPr bwMode="auto">
                          <a:xfrm>
                            <a:off x="4326" y="2594"/>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13121" name="Freeform 165"/>
                        <wps:cNvSpPr>
                          <a:spLocks/>
                        </wps:cNvSpPr>
                        <wps:spPr bwMode="auto">
                          <a:xfrm>
                            <a:off x="4376" y="2554"/>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13122" name="Freeform 166"/>
                        <wps:cNvSpPr>
                          <a:spLocks/>
                        </wps:cNvSpPr>
                        <wps:spPr bwMode="auto">
                          <a:xfrm>
                            <a:off x="4337" y="2594"/>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13123" name="Freeform 167"/>
                        <wps:cNvSpPr>
                          <a:spLocks/>
                        </wps:cNvSpPr>
                        <wps:spPr bwMode="auto">
                          <a:xfrm>
                            <a:off x="4400" y="2620"/>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13124" name="Freeform 168"/>
                        <wps:cNvSpPr>
                          <a:spLocks/>
                        </wps:cNvSpPr>
                        <wps:spPr bwMode="auto">
                          <a:xfrm>
                            <a:off x="4361" y="2659"/>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13125" name="Freeform 169"/>
                        <wps:cNvSpPr>
                          <a:spLocks/>
                        </wps:cNvSpPr>
                        <wps:spPr bwMode="auto">
                          <a:xfrm>
                            <a:off x="4413" y="2620"/>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13126" name="Freeform 170"/>
                        <wps:cNvSpPr>
                          <a:spLocks/>
                        </wps:cNvSpPr>
                        <wps:spPr bwMode="auto">
                          <a:xfrm>
                            <a:off x="4374" y="2659"/>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13128" name="Freeform 171"/>
                        <wps:cNvSpPr>
                          <a:spLocks/>
                        </wps:cNvSpPr>
                        <wps:spPr bwMode="auto">
                          <a:xfrm>
                            <a:off x="4435" y="2620"/>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13129" name="Freeform 172"/>
                        <wps:cNvSpPr>
                          <a:spLocks/>
                        </wps:cNvSpPr>
                        <wps:spPr bwMode="auto">
                          <a:xfrm>
                            <a:off x="4396" y="2659"/>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13130" name="Freeform 173"/>
                        <wps:cNvSpPr>
                          <a:spLocks/>
                        </wps:cNvSpPr>
                        <wps:spPr bwMode="auto">
                          <a:xfrm>
                            <a:off x="4449" y="2666"/>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13131" name="Freeform 174"/>
                        <wps:cNvSpPr>
                          <a:spLocks/>
                        </wps:cNvSpPr>
                        <wps:spPr bwMode="auto">
                          <a:xfrm>
                            <a:off x="4409" y="2705"/>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13132" name="Freeform 175"/>
                        <wps:cNvSpPr>
                          <a:spLocks/>
                        </wps:cNvSpPr>
                        <wps:spPr bwMode="auto">
                          <a:xfrm>
                            <a:off x="4578" y="2760"/>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13133" name="Freeform 176"/>
                        <wps:cNvSpPr>
                          <a:spLocks/>
                        </wps:cNvSpPr>
                        <wps:spPr bwMode="auto">
                          <a:xfrm>
                            <a:off x="4538" y="2800"/>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13134" name="Freeform 177"/>
                        <wps:cNvSpPr>
                          <a:spLocks/>
                        </wps:cNvSpPr>
                        <wps:spPr bwMode="auto">
                          <a:xfrm>
                            <a:off x="4613" y="2760"/>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13135" name="Freeform 178"/>
                        <wps:cNvSpPr>
                          <a:spLocks/>
                        </wps:cNvSpPr>
                        <wps:spPr bwMode="auto">
                          <a:xfrm>
                            <a:off x="4573" y="2800"/>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13136" name="Freeform 179"/>
                        <wps:cNvSpPr>
                          <a:spLocks/>
                        </wps:cNvSpPr>
                        <wps:spPr bwMode="auto">
                          <a:xfrm>
                            <a:off x="4696" y="2760"/>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13137" name="Freeform 180"/>
                        <wps:cNvSpPr>
                          <a:spLocks/>
                        </wps:cNvSpPr>
                        <wps:spPr bwMode="auto">
                          <a:xfrm>
                            <a:off x="4657" y="2800"/>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13138" name="Freeform 181"/>
                        <wps:cNvSpPr>
                          <a:spLocks/>
                        </wps:cNvSpPr>
                        <wps:spPr bwMode="auto">
                          <a:xfrm>
                            <a:off x="4992" y="2760"/>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13139" name="Freeform 182"/>
                        <wps:cNvSpPr>
                          <a:spLocks/>
                        </wps:cNvSpPr>
                        <wps:spPr bwMode="auto">
                          <a:xfrm>
                            <a:off x="4953" y="2800"/>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13140" name="Freeform 183"/>
                        <wps:cNvSpPr>
                          <a:spLocks/>
                        </wps:cNvSpPr>
                        <wps:spPr bwMode="auto">
                          <a:xfrm>
                            <a:off x="5051" y="2821"/>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13141" name="Freeform 184"/>
                        <wps:cNvSpPr>
                          <a:spLocks/>
                        </wps:cNvSpPr>
                        <wps:spPr bwMode="auto">
                          <a:xfrm>
                            <a:off x="5012" y="2861"/>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13142" name="Freeform 185"/>
                        <wps:cNvSpPr>
                          <a:spLocks/>
                        </wps:cNvSpPr>
                        <wps:spPr bwMode="auto">
                          <a:xfrm>
                            <a:off x="5075" y="2821"/>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13143" name="Freeform 186"/>
                        <wps:cNvSpPr>
                          <a:spLocks/>
                        </wps:cNvSpPr>
                        <wps:spPr bwMode="auto">
                          <a:xfrm>
                            <a:off x="5036" y="2861"/>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13144" name="Freeform 187"/>
                        <wps:cNvSpPr>
                          <a:spLocks/>
                        </wps:cNvSpPr>
                        <wps:spPr bwMode="auto">
                          <a:xfrm>
                            <a:off x="5145" y="2821"/>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13145" name="Freeform 188"/>
                        <wps:cNvSpPr>
                          <a:spLocks/>
                        </wps:cNvSpPr>
                        <wps:spPr bwMode="auto">
                          <a:xfrm>
                            <a:off x="5106" y="2861"/>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13146" name="Freeform 189"/>
                        <wps:cNvSpPr>
                          <a:spLocks/>
                        </wps:cNvSpPr>
                        <wps:spPr bwMode="auto">
                          <a:xfrm>
                            <a:off x="5240" y="2821"/>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13147" name="Freeform 190"/>
                        <wps:cNvSpPr>
                          <a:spLocks/>
                        </wps:cNvSpPr>
                        <wps:spPr bwMode="auto">
                          <a:xfrm>
                            <a:off x="5200" y="2861"/>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13148" name="Freeform 191"/>
                        <wps:cNvSpPr>
                          <a:spLocks/>
                        </wps:cNvSpPr>
                        <wps:spPr bwMode="auto">
                          <a:xfrm>
                            <a:off x="5382" y="2935"/>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13149" name="Freeform 192"/>
                        <wps:cNvSpPr>
                          <a:spLocks/>
                        </wps:cNvSpPr>
                        <wps:spPr bwMode="auto">
                          <a:xfrm>
                            <a:off x="5343" y="2975"/>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13150" name="Freeform 193"/>
                        <wps:cNvSpPr>
                          <a:spLocks/>
                        </wps:cNvSpPr>
                        <wps:spPr bwMode="auto">
                          <a:xfrm>
                            <a:off x="5689" y="2935"/>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13151" name="Freeform 194"/>
                        <wps:cNvSpPr>
                          <a:spLocks/>
                        </wps:cNvSpPr>
                        <wps:spPr bwMode="auto">
                          <a:xfrm>
                            <a:off x="5650" y="2975"/>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13152" name="Freeform 195"/>
                        <wps:cNvSpPr>
                          <a:spLocks/>
                        </wps:cNvSpPr>
                        <wps:spPr bwMode="auto">
                          <a:xfrm>
                            <a:off x="6044" y="3088"/>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13153" name="Freeform 196"/>
                        <wps:cNvSpPr>
                          <a:spLocks/>
                        </wps:cNvSpPr>
                        <wps:spPr bwMode="auto">
                          <a:xfrm>
                            <a:off x="6005" y="3128"/>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13154" name="Freeform 197"/>
                        <wps:cNvSpPr>
                          <a:spLocks/>
                        </wps:cNvSpPr>
                        <wps:spPr bwMode="auto">
                          <a:xfrm>
                            <a:off x="6057" y="3088"/>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13155" name="Freeform 198"/>
                        <wps:cNvSpPr>
                          <a:spLocks/>
                        </wps:cNvSpPr>
                        <wps:spPr bwMode="auto">
                          <a:xfrm>
                            <a:off x="6018" y="3128"/>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13156" name="Freeform 199"/>
                        <wps:cNvSpPr>
                          <a:spLocks/>
                        </wps:cNvSpPr>
                        <wps:spPr bwMode="auto">
                          <a:xfrm>
                            <a:off x="6127" y="3088"/>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13157" name="Freeform 200"/>
                        <wps:cNvSpPr>
                          <a:spLocks/>
                        </wps:cNvSpPr>
                        <wps:spPr bwMode="auto">
                          <a:xfrm>
                            <a:off x="6088" y="3128"/>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13158" name="Freeform 201"/>
                        <wps:cNvSpPr>
                          <a:spLocks/>
                        </wps:cNvSpPr>
                        <wps:spPr bwMode="auto">
                          <a:xfrm>
                            <a:off x="7050" y="3088"/>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13159" name="Freeform 202"/>
                        <wps:cNvSpPr>
                          <a:spLocks/>
                        </wps:cNvSpPr>
                        <wps:spPr bwMode="auto">
                          <a:xfrm>
                            <a:off x="7011" y="3128"/>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13160" name="Freeform 203"/>
                        <wps:cNvSpPr>
                          <a:spLocks/>
                        </wps:cNvSpPr>
                        <wps:spPr bwMode="auto">
                          <a:xfrm>
                            <a:off x="753" y="3161"/>
                            <a:ext cx="281" cy="20"/>
                          </a:xfrm>
                          <a:custGeom>
                            <a:avLst/>
                            <a:gdLst>
                              <a:gd name="T0" fmla="*/ 0 w 281"/>
                              <a:gd name="T1" fmla="*/ 0 h 20"/>
                              <a:gd name="T2" fmla="*/ 280 w 281"/>
                              <a:gd name="T3" fmla="*/ 0 h 20"/>
                              <a:gd name="T4" fmla="*/ 0 60000 65536"/>
                              <a:gd name="T5" fmla="*/ 0 60000 65536"/>
                            </a:gdLst>
                            <a:ahLst/>
                            <a:cxnLst>
                              <a:cxn ang="T4">
                                <a:pos x="T0" y="T1"/>
                              </a:cxn>
                              <a:cxn ang="T5">
                                <a:pos x="T2" y="T3"/>
                              </a:cxn>
                            </a:cxnLst>
                            <a:rect l="0" t="0" r="r" b="b"/>
                            <a:pathLst>
                              <a:path w="281" h="20">
                                <a:moveTo>
                                  <a:pt x="0" y="0"/>
                                </a:moveTo>
                                <a:lnTo>
                                  <a:pt x="280" y="0"/>
                                </a:lnTo>
                              </a:path>
                            </a:pathLst>
                          </a:custGeom>
                          <a:noFill/>
                          <a:ln w="166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13161" name="Freeform 204"/>
                        <wps:cNvSpPr>
                          <a:spLocks/>
                        </wps:cNvSpPr>
                        <wps:spPr bwMode="auto">
                          <a:xfrm>
                            <a:off x="894" y="3121"/>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13162" name="Freeform 205"/>
                        <wps:cNvSpPr>
                          <a:spLocks/>
                        </wps:cNvSpPr>
                        <wps:spPr bwMode="auto">
                          <a:xfrm>
                            <a:off x="854" y="3161"/>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13163" name="Freeform 206"/>
                        <wps:cNvSpPr>
                          <a:spLocks/>
                        </wps:cNvSpPr>
                        <wps:spPr bwMode="auto">
                          <a:xfrm>
                            <a:off x="753" y="3463"/>
                            <a:ext cx="281" cy="20"/>
                          </a:xfrm>
                          <a:custGeom>
                            <a:avLst/>
                            <a:gdLst>
                              <a:gd name="T0" fmla="*/ 0 w 281"/>
                              <a:gd name="T1" fmla="*/ 0 h 20"/>
                              <a:gd name="T2" fmla="*/ 280 w 281"/>
                              <a:gd name="T3" fmla="*/ 0 h 20"/>
                              <a:gd name="T4" fmla="*/ 0 60000 65536"/>
                              <a:gd name="T5" fmla="*/ 0 60000 65536"/>
                            </a:gdLst>
                            <a:ahLst/>
                            <a:cxnLst>
                              <a:cxn ang="T4">
                                <a:pos x="T0" y="T1"/>
                              </a:cxn>
                              <a:cxn ang="T5">
                                <a:pos x="T2" y="T3"/>
                              </a:cxn>
                            </a:cxnLst>
                            <a:rect l="0" t="0" r="r" b="b"/>
                            <a:pathLst>
                              <a:path w="281" h="20">
                                <a:moveTo>
                                  <a:pt x="0" y="0"/>
                                </a:moveTo>
                                <a:lnTo>
                                  <a:pt x="280" y="0"/>
                                </a:lnTo>
                              </a:path>
                            </a:pathLst>
                          </a:custGeom>
                          <a:noFill/>
                          <a:ln w="16677">
                            <a:solidFill>
                              <a:srgbClr val="00000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13164" name="Freeform 207"/>
                        <wps:cNvSpPr>
                          <a:spLocks/>
                        </wps:cNvSpPr>
                        <wps:spPr bwMode="auto">
                          <a:xfrm>
                            <a:off x="894" y="3423"/>
                            <a:ext cx="20" cy="79"/>
                          </a:xfrm>
                          <a:custGeom>
                            <a:avLst/>
                            <a:gdLst>
                              <a:gd name="T0" fmla="*/ 0 w 20"/>
                              <a:gd name="T1" fmla="*/ 0 h 79"/>
                              <a:gd name="T2" fmla="*/ 0 w 20"/>
                              <a:gd name="T3" fmla="*/ 78 h 79"/>
                              <a:gd name="T4" fmla="*/ 0 60000 65536"/>
                              <a:gd name="T5" fmla="*/ 0 60000 65536"/>
                            </a:gdLst>
                            <a:ahLst/>
                            <a:cxnLst>
                              <a:cxn ang="T4">
                                <a:pos x="T0" y="T1"/>
                              </a:cxn>
                              <a:cxn ang="T5">
                                <a:pos x="T2" y="T3"/>
                              </a:cxn>
                            </a:cxnLst>
                            <a:rect l="0" t="0" r="r" b="b"/>
                            <a:pathLst>
                              <a:path w="20" h="79">
                                <a:moveTo>
                                  <a:pt x="0" y="0"/>
                                </a:moveTo>
                                <a:lnTo>
                                  <a:pt x="0" y="78"/>
                                </a:lnTo>
                              </a:path>
                            </a:pathLst>
                          </a:custGeom>
                          <a:noFill/>
                          <a:ln w="8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13165" name="Freeform 208"/>
                        <wps:cNvSpPr>
                          <a:spLocks/>
                        </wps:cNvSpPr>
                        <wps:spPr bwMode="auto">
                          <a:xfrm>
                            <a:off x="854" y="3463"/>
                            <a:ext cx="79" cy="20"/>
                          </a:xfrm>
                          <a:custGeom>
                            <a:avLst/>
                            <a:gdLst>
                              <a:gd name="T0" fmla="*/ 0 w 79"/>
                              <a:gd name="T1" fmla="*/ 0 h 20"/>
                              <a:gd name="T2" fmla="*/ 78 w 79"/>
                              <a:gd name="T3" fmla="*/ 0 h 20"/>
                              <a:gd name="T4" fmla="*/ 0 60000 65536"/>
                              <a:gd name="T5" fmla="*/ 0 60000 65536"/>
                            </a:gdLst>
                            <a:ahLst/>
                            <a:cxnLst>
                              <a:cxn ang="T4">
                                <a:pos x="T0" y="T1"/>
                              </a:cxn>
                              <a:cxn ang="T5">
                                <a:pos x="T2" y="T3"/>
                              </a:cxn>
                            </a:cxnLst>
                            <a:rect l="0" t="0" r="r" b="b"/>
                            <a:pathLst>
                              <a:path w="79" h="20">
                                <a:moveTo>
                                  <a:pt x="0" y="0"/>
                                </a:moveTo>
                                <a:lnTo>
                                  <a:pt x="78" y="0"/>
                                </a:lnTo>
                              </a:path>
                            </a:pathLst>
                          </a:custGeom>
                          <a:noFill/>
                          <a:ln w="8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13166" name="Freeform 209"/>
                        <wps:cNvSpPr>
                          <a:spLocks/>
                        </wps:cNvSpPr>
                        <wps:spPr bwMode="auto">
                          <a:xfrm>
                            <a:off x="0" y="26"/>
                            <a:ext cx="354" cy="4110"/>
                          </a:xfrm>
                          <a:custGeom>
                            <a:avLst/>
                            <a:gdLst>
                              <a:gd name="T0" fmla="*/ 0 w 354"/>
                              <a:gd name="T1" fmla="*/ 0 h 4110"/>
                              <a:gd name="T2" fmla="*/ 353 w 354"/>
                              <a:gd name="T3" fmla="*/ 0 h 4110"/>
                              <a:gd name="T4" fmla="*/ 353 w 354"/>
                              <a:gd name="T5" fmla="*/ 4110 h 4110"/>
                              <a:gd name="T6" fmla="*/ 0 w 354"/>
                              <a:gd name="T7" fmla="*/ 4110 h 4110"/>
                              <a:gd name="T8" fmla="*/ 0 w 354"/>
                              <a:gd name="T9" fmla="*/ 0 h 41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54" h="4110">
                                <a:moveTo>
                                  <a:pt x="0" y="0"/>
                                </a:moveTo>
                                <a:lnTo>
                                  <a:pt x="353" y="0"/>
                                </a:lnTo>
                                <a:lnTo>
                                  <a:pt x="353" y="4110"/>
                                </a:lnTo>
                                <a:lnTo>
                                  <a:pt x="0" y="411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613167" name="Text Box 210"/>
                        <wps:cNvSpPr txBox="1">
                          <a:spLocks noChangeArrowheads="1"/>
                        </wps:cNvSpPr>
                        <wps:spPr bwMode="auto">
                          <a:xfrm>
                            <a:off x="8" y="0"/>
                            <a:ext cx="272" cy="3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9541E" w14:textId="77777777" w:rsidR="0054615B" w:rsidRDefault="0054615B" w:rsidP="00821423">
                              <w:pPr>
                                <w:pStyle w:val="Brdtekst"/>
                                <w:kinsoku w:val="0"/>
                                <w:overflowPunct w:val="0"/>
                                <w:spacing w:line="221" w:lineRule="exact"/>
                                <w:rPr>
                                  <w:sz w:val="20"/>
                                  <w:szCs w:val="20"/>
                                </w:rPr>
                              </w:pPr>
                              <w:r>
                                <w:rPr>
                                  <w:sz w:val="20"/>
                                  <w:szCs w:val="20"/>
                                </w:rPr>
                                <w:t>1,0</w:t>
                              </w:r>
                            </w:p>
                            <w:p w14:paraId="04ECF29F" w14:textId="77777777" w:rsidR="0054615B" w:rsidRDefault="0054615B" w:rsidP="00821423">
                              <w:pPr>
                                <w:pStyle w:val="Brdtekst"/>
                                <w:kinsoku w:val="0"/>
                                <w:overflowPunct w:val="0"/>
                                <w:spacing w:before="130"/>
                                <w:rPr>
                                  <w:sz w:val="20"/>
                                  <w:szCs w:val="20"/>
                                </w:rPr>
                              </w:pPr>
                              <w:r>
                                <w:rPr>
                                  <w:sz w:val="20"/>
                                  <w:szCs w:val="20"/>
                                </w:rPr>
                                <w:t>0,9</w:t>
                              </w:r>
                            </w:p>
                            <w:p w14:paraId="11246A92" w14:textId="77777777" w:rsidR="0054615B" w:rsidRDefault="0054615B" w:rsidP="00821423">
                              <w:pPr>
                                <w:pStyle w:val="Brdtekst"/>
                                <w:kinsoku w:val="0"/>
                                <w:overflowPunct w:val="0"/>
                                <w:spacing w:before="130"/>
                                <w:rPr>
                                  <w:sz w:val="20"/>
                                  <w:szCs w:val="20"/>
                                </w:rPr>
                              </w:pPr>
                              <w:r>
                                <w:rPr>
                                  <w:sz w:val="20"/>
                                  <w:szCs w:val="20"/>
                                </w:rPr>
                                <w:t>0,8</w:t>
                              </w:r>
                            </w:p>
                            <w:p w14:paraId="3D192E58" w14:textId="77777777" w:rsidR="0054615B" w:rsidRDefault="0054615B" w:rsidP="00821423">
                              <w:pPr>
                                <w:pStyle w:val="Brdtekst"/>
                                <w:kinsoku w:val="0"/>
                                <w:overflowPunct w:val="0"/>
                                <w:spacing w:before="130"/>
                                <w:rPr>
                                  <w:sz w:val="20"/>
                                  <w:szCs w:val="20"/>
                                </w:rPr>
                              </w:pPr>
                              <w:r>
                                <w:rPr>
                                  <w:sz w:val="20"/>
                                  <w:szCs w:val="20"/>
                                </w:rPr>
                                <w:t>0,7</w:t>
                              </w:r>
                            </w:p>
                            <w:p w14:paraId="0A13AE81" w14:textId="77777777" w:rsidR="0054615B" w:rsidRDefault="0054615B" w:rsidP="00821423">
                              <w:pPr>
                                <w:pStyle w:val="Brdtekst"/>
                                <w:kinsoku w:val="0"/>
                                <w:overflowPunct w:val="0"/>
                                <w:spacing w:before="130"/>
                                <w:rPr>
                                  <w:sz w:val="20"/>
                                  <w:szCs w:val="20"/>
                                </w:rPr>
                              </w:pPr>
                              <w:r>
                                <w:rPr>
                                  <w:sz w:val="20"/>
                                  <w:szCs w:val="20"/>
                                </w:rPr>
                                <w:t>0,6</w:t>
                              </w:r>
                            </w:p>
                            <w:p w14:paraId="301A37BF" w14:textId="77777777" w:rsidR="0054615B" w:rsidRDefault="0054615B" w:rsidP="00821423">
                              <w:pPr>
                                <w:pStyle w:val="Brdtekst"/>
                                <w:kinsoku w:val="0"/>
                                <w:overflowPunct w:val="0"/>
                                <w:spacing w:before="166"/>
                                <w:rPr>
                                  <w:sz w:val="20"/>
                                  <w:szCs w:val="20"/>
                                </w:rPr>
                              </w:pPr>
                              <w:r>
                                <w:rPr>
                                  <w:sz w:val="20"/>
                                  <w:szCs w:val="20"/>
                                </w:rPr>
                                <w:t>0,5</w:t>
                              </w:r>
                            </w:p>
                            <w:p w14:paraId="78D96CA8" w14:textId="77777777" w:rsidR="0054615B" w:rsidRDefault="0054615B" w:rsidP="00821423">
                              <w:pPr>
                                <w:pStyle w:val="Brdtekst"/>
                                <w:kinsoku w:val="0"/>
                                <w:overflowPunct w:val="0"/>
                                <w:spacing w:before="171"/>
                                <w:rPr>
                                  <w:sz w:val="20"/>
                                  <w:szCs w:val="20"/>
                                </w:rPr>
                              </w:pPr>
                              <w:r>
                                <w:rPr>
                                  <w:sz w:val="20"/>
                                  <w:szCs w:val="20"/>
                                </w:rPr>
                                <w:t>0,4</w:t>
                              </w:r>
                            </w:p>
                            <w:p w14:paraId="482A53CE" w14:textId="77777777" w:rsidR="0054615B" w:rsidRDefault="0054615B" w:rsidP="00821423">
                              <w:pPr>
                                <w:pStyle w:val="Brdtekst"/>
                                <w:kinsoku w:val="0"/>
                                <w:overflowPunct w:val="0"/>
                                <w:spacing w:before="170"/>
                                <w:rPr>
                                  <w:sz w:val="20"/>
                                  <w:szCs w:val="20"/>
                                </w:rPr>
                              </w:pPr>
                              <w:r>
                                <w:rPr>
                                  <w:sz w:val="20"/>
                                  <w:szCs w:val="20"/>
                                </w:rPr>
                                <w:t>0,3</w:t>
                              </w:r>
                            </w:p>
                            <w:p w14:paraId="1ADDD989" w14:textId="77777777" w:rsidR="0054615B" w:rsidRDefault="0054615B" w:rsidP="00821423">
                              <w:pPr>
                                <w:pStyle w:val="Brdtekst"/>
                                <w:kinsoku w:val="0"/>
                                <w:overflowPunct w:val="0"/>
                                <w:spacing w:before="152"/>
                                <w:rPr>
                                  <w:sz w:val="20"/>
                                  <w:szCs w:val="20"/>
                                </w:rPr>
                              </w:pPr>
                              <w:r>
                                <w:rPr>
                                  <w:sz w:val="20"/>
                                  <w:szCs w:val="20"/>
                                </w:rPr>
                                <w:t>0,2</w:t>
                              </w:r>
                            </w:p>
                            <w:p w14:paraId="4BEF0C20" w14:textId="77777777" w:rsidR="0054615B" w:rsidRDefault="0054615B" w:rsidP="00821423">
                              <w:pPr>
                                <w:pStyle w:val="Brdtekst"/>
                                <w:kinsoku w:val="0"/>
                                <w:overflowPunct w:val="0"/>
                                <w:spacing w:before="130"/>
                                <w:rPr>
                                  <w:sz w:val="20"/>
                                  <w:szCs w:val="20"/>
                                </w:rPr>
                              </w:pPr>
                              <w:r>
                                <w:rPr>
                                  <w:sz w:val="20"/>
                                  <w:szCs w:val="20"/>
                                </w:rPr>
                                <w:t>0,1</w:t>
                              </w:r>
                            </w:p>
                            <w:p w14:paraId="2CB0F9AC" w14:textId="77777777" w:rsidR="0054615B" w:rsidRDefault="0054615B" w:rsidP="00821423">
                              <w:pPr>
                                <w:pStyle w:val="Brdtekst"/>
                                <w:kinsoku w:val="0"/>
                                <w:overflowPunct w:val="0"/>
                                <w:spacing w:before="130"/>
                                <w:rPr>
                                  <w:sz w:val="20"/>
                                  <w:szCs w:val="20"/>
                                </w:rPr>
                              </w:pPr>
                              <w:r>
                                <w:rPr>
                                  <w:sz w:val="20"/>
                                  <w:szCs w:val="20"/>
                                </w:rPr>
                                <w:t>0,0</w:t>
                              </w:r>
                            </w:p>
                          </w:txbxContent>
                        </wps:txbx>
                        <wps:bodyPr rot="0" vert="horz" wrap="square" lIns="0" tIns="0" rIns="0" bIns="0" anchor="t" anchorCtr="0" upright="1">
                          <a:noAutofit/>
                        </wps:bodyPr>
                      </wps:wsp>
                      <wps:wsp>
                        <wps:cNvPr id="44613168" name="Text Box 211"/>
                        <wps:cNvSpPr txBox="1">
                          <a:spLocks noChangeArrowheads="1"/>
                        </wps:cNvSpPr>
                        <wps:spPr bwMode="auto">
                          <a:xfrm>
                            <a:off x="1201" y="3024"/>
                            <a:ext cx="1151" cy="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7115B" w14:textId="77777777" w:rsidR="0054615B" w:rsidRDefault="0054615B" w:rsidP="00821423">
                              <w:pPr>
                                <w:pStyle w:val="Brdtekst"/>
                                <w:kinsoku w:val="0"/>
                                <w:overflowPunct w:val="0"/>
                                <w:spacing w:line="201" w:lineRule="exact"/>
                                <w:rPr>
                                  <w:rFonts w:ascii="Arial" w:hAnsi="Arial" w:cs="Arial"/>
                                  <w:sz w:val="18"/>
                                  <w:szCs w:val="18"/>
                                </w:rPr>
                              </w:pPr>
                              <w:r>
                                <w:rPr>
                                  <w:rFonts w:ascii="Arial" w:hAnsi="Arial" w:cs="Arial"/>
                                  <w:sz w:val="18"/>
                                  <w:szCs w:val="18"/>
                                </w:rPr>
                                <w:t>Cabozantinib</w:t>
                              </w:r>
                            </w:p>
                            <w:p w14:paraId="391189AE" w14:textId="77777777" w:rsidR="0054615B" w:rsidRDefault="0054615B" w:rsidP="00821423">
                              <w:pPr>
                                <w:pStyle w:val="Brdtekst"/>
                                <w:kinsoku w:val="0"/>
                                <w:overflowPunct w:val="0"/>
                                <w:spacing w:before="153"/>
                                <w:rPr>
                                  <w:rFonts w:ascii="Arial" w:hAnsi="Arial" w:cs="Arial"/>
                                  <w:sz w:val="18"/>
                                  <w:szCs w:val="18"/>
                                </w:rPr>
                              </w:pPr>
                              <w:r>
                                <w:rPr>
                                  <w:rFonts w:ascii="Arial" w:hAnsi="Arial" w:cs="Arial"/>
                                  <w:sz w:val="18"/>
                                  <w:szCs w:val="18"/>
                                </w:rPr>
                                <w:t>Everolimus</w:t>
                              </w:r>
                            </w:p>
                          </w:txbxContent>
                        </wps:txbx>
                        <wps:bodyPr rot="0" vert="horz" wrap="square" lIns="0" tIns="0" rIns="0" bIns="0" anchor="t" anchorCtr="0" upright="1">
                          <a:noAutofit/>
                        </wps:bodyPr>
                      </wps:wsp>
                      <wps:wsp>
                        <wps:cNvPr id="44613169" name="Text Box 212"/>
                        <wps:cNvSpPr txBox="1">
                          <a:spLocks noChangeArrowheads="1"/>
                        </wps:cNvSpPr>
                        <wps:spPr bwMode="auto">
                          <a:xfrm>
                            <a:off x="379" y="4043"/>
                            <a:ext cx="3333"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BA5D6" w14:textId="77777777" w:rsidR="0054615B" w:rsidRDefault="0054615B" w:rsidP="00821423">
                              <w:pPr>
                                <w:pStyle w:val="Brdtekst"/>
                                <w:tabs>
                                  <w:tab w:val="left" w:pos="1078"/>
                                  <w:tab w:val="left" w:pos="2158"/>
                                  <w:tab w:val="left" w:pos="3237"/>
                                </w:tabs>
                                <w:kinsoku w:val="0"/>
                                <w:overflowPunct w:val="0"/>
                                <w:spacing w:before="1"/>
                                <w:rPr>
                                  <w:rFonts w:ascii="Arial" w:hAnsi="Arial" w:cs="Arial"/>
                                  <w:w w:val="105"/>
                                  <w:sz w:val="13"/>
                                  <w:szCs w:val="13"/>
                                </w:rPr>
                              </w:pPr>
                              <w:r>
                                <w:rPr>
                                  <w:rFonts w:ascii="Arial" w:hAnsi="Arial" w:cs="Arial"/>
                                  <w:w w:val="105"/>
                                  <w:sz w:val="13"/>
                                  <w:szCs w:val="13"/>
                                </w:rPr>
                                <w:t>0</w:t>
                              </w:r>
                              <w:r>
                                <w:rPr>
                                  <w:rFonts w:ascii="Arial" w:hAnsi="Arial" w:cs="Arial"/>
                                  <w:w w:val="105"/>
                                  <w:sz w:val="13"/>
                                  <w:szCs w:val="13"/>
                                </w:rPr>
                                <w:tab/>
                                <w:t>3</w:t>
                              </w:r>
                              <w:r>
                                <w:rPr>
                                  <w:rFonts w:ascii="Arial" w:hAnsi="Arial" w:cs="Arial"/>
                                  <w:w w:val="105"/>
                                  <w:sz w:val="13"/>
                                  <w:szCs w:val="13"/>
                                </w:rPr>
                                <w:tab/>
                                <w:t>6</w:t>
                              </w:r>
                              <w:r>
                                <w:rPr>
                                  <w:rFonts w:ascii="Arial" w:hAnsi="Arial" w:cs="Arial"/>
                                  <w:w w:val="105"/>
                                  <w:sz w:val="13"/>
                                  <w:szCs w:val="13"/>
                                </w:rPr>
                                <w:tab/>
                                <w:t>9</w:t>
                              </w:r>
                            </w:p>
                          </w:txbxContent>
                        </wps:txbx>
                        <wps:bodyPr rot="0" vert="horz" wrap="square" lIns="0" tIns="0" rIns="0" bIns="0" anchor="t" anchorCtr="0" upright="1">
                          <a:noAutofit/>
                        </wps:bodyPr>
                      </wps:wsp>
                      <wps:wsp>
                        <wps:cNvPr id="44613170" name="Text Box 213"/>
                        <wps:cNvSpPr txBox="1">
                          <a:spLocks noChangeArrowheads="1"/>
                        </wps:cNvSpPr>
                        <wps:spPr bwMode="auto">
                          <a:xfrm>
                            <a:off x="4646" y="4043"/>
                            <a:ext cx="22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5E37A" w14:textId="77777777" w:rsidR="0054615B" w:rsidRDefault="0054615B" w:rsidP="00821423">
                              <w:pPr>
                                <w:pStyle w:val="Brdtekst"/>
                                <w:kinsoku w:val="0"/>
                                <w:overflowPunct w:val="0"/>
                                <w:spacing w:before="1"/>
                                <w:rPr>
                                  <w:rFonts w:ascii="Arial" w:hAnsi="Arial" w:cs="Arial"/>
                                  <w:sz w:val="13"/>
                                  <w:szCs w:val="13"/>
                                </w:rPr>
                              </w:pPr>
                              <w:r>
                                <w:rPr>
                                  <w:rFonts w:ascii="Arial" w:hAnsi="Arial" w:cs="Arial"/>
                                  <w:w w:val="105"/>
                                  <w:sz w:val="13"/>
                                  <w:szCs w:val="13"/>
                                </w:rPr>
                                <w:t>12</w:t>
                              </w:r>
                              <w:r>
                                <w:rPr>
                                  <w:rFonts w:ascii="Arial" w:hAnsi="Arial" w:cs="Arial"/>
                                  <w:sz w:val="13"/>
                                  <w:szCs w:val="13"/>
                                </w:rPr>
                                <w:t xml:space="preserve"> </w:t>
                              </w:r>
                            </w:p>
                          </w:txbxContent>
                        </wps:txbx>
                        <wps:bodyPr rot="0" vert="horz" wrap="square" lIns="0" tIns="0" rIns="0" bIns="0" anchor="t" anchorCtr="0" upright="1">
                          <a:noAutofit/>
                        </wps:bodyPr>
                      </wps:wsp>
                      <wps:wsp>
                        <wps:cNvPr id="44613171" name="Text Box 214"/>
                        <wps:cNvSpPr txBox="1">
                          <a:spLocks noChangeArrowheads="1"/>
                        </wps:cNvSpPr>
                        <wps:spPr bwMode="auto">
                          <a:xfrm>
                            <a:off x="5727" y="4043"/>
                            <a:ext cx="22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485FB" w14:textId="77777777" w:rsidR="0054615B" w:rsidRDefault="0054615B" w:rsidP="00821423">
                              <w:pPr>
                                <w:pStyle w:val="Brdtekst"/>
                                <w:kinsoku w:val="0"/>
                                <w:overflowPunct w:val="0"/>
                                <w:spacing w:before="1"/>
                                <w:rPr>
                                  <w:rFonts w:ascii="Arial" w:hAnsi="Arial" w:cs="Arial"/>
                                  <w:sz w:val="13"/>
                                  <w:szCs w:val="13"/>
                                </w:rPr>
                              </w:pPr>
                              <w:r>
                                <w:rPr>
                                  <w:rFonts w:ascii="Arial" w:hAnsi="Arial" w:cs="Arial"/>
                                  <w:w w:val="105"/>
                                  <w:sz w:val="13"/>
                                  <w:szCs w:val="13"/>
                                </w:rPr>
                                <w:t>15</w:t>
                              </w:r>
                              <w:r>
                                <w:rPr>
                                  <w:rFonts w:ascii="Arial" w:hAnsi="Arial" w:cs="Arial"/>
                                  <w:sz w:val="13"/>
                                  <w:szCs w:val="13"/>
                                </w:rPr>
                                <w:t xml:space="preserve"> </w:t>
                              </w:r>
                            </w:p>
                          </w:txbxContent>
                        </wps:txbx>
                        <wps:bodyPr rot="0" vert="horz" wrap="square" lIns="0" tIns="0" rIns="0" bIns="0" anchor="t" anchorCtr="0" upright="1">
                          <a:noAutofit/>
                        </wps:bodyPr>
                      </wps:wsp>
                      <wps:wsp>
                        <wps:cNvPr id="44613172" name="Text Box 215"/>
                        <wps:cNvSpPr txBox="1">
                          <a:spLocks noChangeArrowheads="1"/>
                        </wps:cNvSpPr>
                        <wps:spPr bwMode="auto">
                          <a:xfrm>
                            <a:off x="6805" y="4043"/>
                            <a:ext cx="22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4ACAC" w14:textId="77777777" w:rsidR="0054615B" w:rsidRDefault="0054615B" w:rsidP="00821423">
                              <w:pPr>
                                <w:pStyle w:val="Brdtekst"/>
                                <w:kinsoku w:val="0"/>
                                <w:overflowPunct w:val="0"/>
                                <w:spacing w:before="1"/>
                                <w:rPr>
                                  <w:rFonts w:ascii="Arial" w:hAnsi="Arial" w:cs="Arial"/>
                                  <w:sz w:val="13"/>
                                  <w:szCs w:val="13"/>
                                </w:rPr>
                              </w:pPr>
                              <w:r>
                                <w:rPr>
                                  <w:rFonts w:ascii="Arial" w:hAnsi="Arial" w:cs="Arial"/>
                                  <w:w w:val="105"/>
                                  <w:sz w:val="13"/>
                                  <w:szCs w:val="13"/>
                                </w:rPr>
                                <w:t>18</w:t>
                              </w:r>
                              <w:r>
                                <w:rPr>
                                  <w:rFonts w:ascii="Arial" w:hAnsi="Arial" w:cs="Arial"/>
                                  <w:sz w:val="13"/>
                                  <w:szCs w:val="13"/>
                                </w:rPr>
                                <w:t xml:space="preserve"> </w:t>
                              </w:r>
                            </w:p>
                          </w:txbxContent>
                        </wps:txbx>
                        <wps:bodyPr rot="0" vert="horz" wrap="square" lIns="0" tIns="0" rIns="0" bIns="0" anchor="t" anchorCtr="0" upright="1">
                          <a:noAutofit/>
                        </wps:bodyPr>
                      </wps:wsp>
                    </wpg:wgp>
                  </a:graphicData>
                </a:graphic>
              </wp:inline>
            </w:drawing>
          </mc:Choice>
          <mc:Fallback>
            <w:pict>
              <v:group w14:anchorId="23C67687" id="Gruppe 763397346" o:spid="_x0000_s1027" style="width:364.05pt;height:209.75pt;mso-position-horizontal-relative:char;mso-position-vertical-relative:line" coordsize="7281,4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">
                <v:shape id="Freeform 9" o:spid="_x0000_s1028" style="position:absolute;left:416;top:3890;width:6865;height:20;visibility:visible;mso-wrap-style:square;v-text-anchor:top" coordsize="68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" path="m,l6864,e" filled="f" strokeweight=".46325mm">
                  <v:path arrowok="t" o:connecttype="custom" o:connectlocs="0,0;6864,0" o:connectangles="0,0"/>
                </v:shape>
                <v:shape id="Freeform 10" o:spid="_x0000_s1029" style="position:absolute;left:429;top:3890;width:20;height:75;visibility:visible;mso-wrap-style:square;v-text-anchor:top" coordsize="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" path="m,l,74e" filled="f" strokeweight=".46389mm">
                  <v:path arrowok="t" o:connecttype="custom" o:connectlocs="0,0;0,74" o:connectangles="0,0"/>
                </v:shape>
                <v:shape id="Freeform 11" o:spid="_x0000_s1030" style="position:absolute;left:1507;top:3890;width:20;height:75;visibility:visible;mso-wrap-style:square;v-text-anchor:top" coordsize="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" path="m,l,74e" filled="f" strokeweight=".46389mm">
                  <v:path arrowok="t" o:connecttype="custom" o:connectlocs="0,0;0,74" o:connectangles="0,0"/>
                </v:shape>
                <v:shape id="Freeform 12" o:spid="_x0000_s1031" style="position:absolute;left:2588;top:3890;width:20;height:75;visibility:visible;mso-wrap-style:square;v-text-anchor:top" coordsize="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" path="m,l,74e" filled="f" strokeweight=".46389mm">
                  <v:path arrowok="t" o:connecttype="custom" o:connectlocs="0,0;0,74" o:connectangles="0,0"/>
                </v:shape>
                <v:shape id="Freeform 13" o:spid="_x0000_s1032" style="position:absolute;left:3666;top:3890;width:20;height:75;visibility:visible;mso-wrap-style:square;v-text-anchor:top" coordsize="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" path="m,l,74e" filled="f" strokeweight=".46389mm">
                  <v:path arrowok="t" o:connecttype="custom" o:connectlocs="0,0;0,74" o:connectangles="0,0"/>
                </v:shape>
                <v:shape id="Freeform 14" o:spid="_x0000_s1033" style="position:absolute;left:4747;top:3890;width:20;height:75;visibility:visible;mso-wrap-style:square;v-text-anchor:top" coordsize="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" path="m,l,74e" filled="f" strokeweight=".46389mm">
                  <v:path arrowok="t" o:connecttype="custom" o:connectlocs="0,0;0,74" o:connectangles="0,0"/>
                </v:shape>
                <v:shape id="Freeform 15" o:spid="_x0000_s1034" style="position:absolute;left:5827;top:3890;width:20;height:75;visibility:visible;mso-wrap-style:square;v-text-anchor:top" coordsize="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" path="m,l,74e" filled="f" strokeweight=".46389mm">
                  <v:path arrowok="t" o:connecttype="custom" o:connectlocs="0,0;0,74" o:connectangles="0,0"/>
                </v:shape>
                <v:shape id="Freeform 16" o:spid="_x0000_s1035" style="position:absolute;left:6905;top:3890;width:20;height:75;visibility:visible;mso-wrap-style:square;v-text-anchor:top" coordsize="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" path="m,l,74e" filled="f" strokeweight=".46389mm">
                  <v:path arrowok="t" o:connecttype="custom" o:connectlocs="0,0;0,74" o:connectangles="0,0"/>
                </v:shape>
                <v:shape id="Freeform 17" o:spid="_x0000_s1036" style="position:absolute;left:429;top:94;width:20;height:3809;visibility:visible;mso-wrap-style:square;v-text-anchor:top" coordsize="20,3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" path="m,3808l,e" filled="f" strokeweight=".46389mm">
                  <v:path arrowok="t" o:connecttype="custom" o:connectlocs="0,3808;0,0" o:connectangles="0,0"/>
                </v:shape>
                <v:shape id="Freeform 18" o:spid="_x0000_s1037" style="position:absolute;left:354;top:3890;width:75;height:20;visibility:visible;mso-wrap-style:square;v-text-anchor:top" coordsize="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" path="m74,l,e" filled="f" strokeweight=".46325mm">
                  <v:path arrowok="t" o:connecttype="custom" o:connectlocs="74,0;0,0" o:connectangles="0,0"/>
                </v:shape>
                <v:shape id="Freeform 19" o:spid="_x0000_s1038" style="position:absolute;left:354;top:3513;width:75;height:20;visibility:visible;mso-wrap-style:square;v-text-anchor:top" coordsize="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" path="m74,l,e" filled="f" strokeweight=".46325mm">
                  <v:path arrowok="t" o:connecttype="custom" o:connectlocs="74,0;0,0" o:connectangles="0,0"/>
                </v:shape>
                <v:shape id="Freeform 20" o:spid="_x0000_s1039" style="position:absolute;left:354;top:3134;width:75;height:20;visibility:visible;mso-wrap-style:square;v-text-anchor:top" coordsize="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" path="m74,l,e" filled="f" strokeweight=".46325mm">
                  <v:path arrowok="t" o:connecttype="custom" o:connectlocs="74,0;0,0" o:connectangles="0,0"/>
                </v:shape>
                <v:shape id="Freeform 21" o:spid="_x0000_s1040" style="position:absolute;left:354;top:2756;width:75;height:20;visibility:visible;mso-wrap-style:square;v-text-anchor:top" coordsize="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" path="m74,l,e" filled="f" strokeweight=".46325mm">
                  <v:path arrowok="t" o:connecttype="custom" o:connectlocs="74,0;0,0" o:connectangles="0,0"/>
                </v:shape>
                <v:shape id="Freeform 22" o:spid="_x0000_s1041" style="position:absolute;left:354;top:2377;width:75;height:20;visibility:visible;mso-wrap-style:square;v-text-anchor:top" coordsize="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" path="m74,l,e" filled="f" strokeweight=".46325mm">
                  <v:path arrowok="t" o:connecttype="custom" o:connectlocs="74,0;0,0" o:connectangles="0,0"/>
                </v:shape>
                <v:shape id="Freeform 23" o:spid="_x0000_s1042" style="position:absolute;left:354;top:1999;width:75;height:20;visibility:visible;mso-wrap-style:square;v-text-anchor:top" coordsize="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" path="m74,l,e" filled="f" strokeweight=".46325mm">
                  <v:path arrowok="t" o:connecttype="custom" o:connectlocs="74,0;0,0" o:connectangles="0,0"/>
                </v:shape>
                <v:shape id="Freeform 24" o:spid="_x0000_s1043" style="position:absolute;left:354;top:1622;width:75;height:20;visibility:visible;mso-wrap-style:square;v-text-anchor:top" coordsize="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" path="m74,l,e" filled="f" strokeweight=".46325mm">
                  <v:path arrowok="t" o:connecttype="custom" o:connectlocs="74,0;0,0" o:connectangles="0,0"/>
                </v:shape>
                <v:shape id="Freeform 25" o:spid="_x0000_s1044" style="position:absolute;left:354;top:1243;width:75;height:20;visibility:visible;mso-wrap-style:square;v-text-anchor:top" coordsize="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" path="m74,l,e" filled="f" strokeweight=".46325mm">
                  <v:path arrowok="t" o:connecttype="custom" o:connectlocs="74,0;0,0" o:connectangles="0,0"/>
                </v:shape>
                <v:shape id="Freeform 26" o:spid="_x0000_s1045" style="position:absolute;left:354;top:865;width:75;height:20;visibility:visible;mso-wrap-style:square;v-text-anchor:top" coordsize="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" path="m74,l,e" filled="f" strokeweight=".46325mm">
                  <v:path arrowok="t" o:connecttype="custom" o:connectlocs="74,0;0,0" o:connectangles="0,0"/>
                </v:shape>
                <v:shape id="Freeform 27" o:spid="_x0000_s1046" style="position:absolute;left:354;top:486;width:75;height:20;visibility:visible;mso-wrap-style:square;v-text-anchor:top" coordsize="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" path="m74,l,e" filled="f" strokeweight=".46325mm">
                  <v:path arrowok="t" o:connecttype="custom" o:connectlocs="74,0;0,0" o:connectangles="0,0"/>
                </v:shape>
                <v:shape id="Freeform 28" o:spid="_x0000_s1047" style="position:absolute;left:354;top:108;width:75;height:20;visibility:visible;mso-wrap-style:square;v-text-anchor:top" coordsize="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" path="m74,l,e" filled="f" strokeweight=".46325mm">
                  <v:path arrowok="t" o:connecttype="custom" o:connectlocs="74,0;0,0" o:connectangles="0,0"/>
                </v:shape>
                <v:shape id="Freeform 29" o:spid="_x0000_s1048" style="position:absolute;left:429;top:108;width:5651;height:3198;visibility:visible;mso-wrap-style:square;v-text-anchor:top" coordsize="5651,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" path="m,l,,10,,70,r,21l188,21r,22l258,43r,20l306,63r,22l366,85r,22l376,107r,19l390,126r,22l412,148r,22l436,170r,22l449,192r,20l519,212r,22l589,234r,22l613,256r,85l624,341r,63l637,404r,64l648,468r,87l661,555r,110l672,665r,177l683,842r,162l696,1004r,72l707,1076r,24l732,1100r,46l756,1146r24,l780,1173r11,l791,1197r35,l826,1221r13,l839,1245r35,l874,1269r70,l944,1293r35,l979,1319r35,l1014,1343r38,l1052,1367r129,l1181,1391r24,l1205,1416r46,l1251,1440r48,l1299,1490r11,l1310,1540r13,l1323,1665r11,l1334,1766r13,l1347,1816r22,l1369,1869r13,l1382,1893r11,l1393,1919r14,l1407,1945r22,l1488,1945r,26l1501,1971r,25l1512,1996r,26l1571,2022r,26l1678,2048r,26l1689,2074r,27l1913,2101r24,l1937,2179r13,l1950,2206r22,l1985,2206r,26l1996,2232r,107l2009,2339r,55l2020,2394r,28l2068,2422r,29l2104,2451r,28l2163,2479r,29l2281,2508r,28l2364,2536r11,l2375,2565r35,l2410,2593r202,l2612,2621r11,l2623,2681r13,l2636,2709r11,l2647,2737r11,l2658,2770r37,l2730,2770r,31l2741,2801r,33l3263,2834r,33l3285,2867r,32l3298,2899r,35l3320,2934r,38l3333,2972r,37l3912,3009r,37l3936,3046r,37l3947,3083r,38l3971,3121r,37l3984,3158r,39l4019,3197r24,l4054,3197r130,l4611,3197r22,l4646,3197r11,l4740,3197r555,l5545,3197r105,e" filled="f" strokeweight=".46342mm">
                  <v:stroke dashstyle="dot"/>
                  <v:path arrowok="t" o:connecttype="custom" o:connectlocs="10,0;188,21;258,63;366,85;376,126;412,148;436,192;519,212;589,256;624,341;637,468;661,555;672,842;696,1004;707,1100;756,1146;791,1173;826,1221;874,1245;944,1293;1014,1319;1052,1367;1205,1391;1251,1440;1310,1490;1323,1665;1347,1766;1369,1869;1393,1893;1407,1945;1488,1971;1512,1996;1571,2048;1689,2074;1937,2101;1950,2206;1985,2232;2009,2339;2020,2422;2104,2451;2163,2508;2364,2536;2410,2565;2612,2621;2636,2681;2647,2737;2695,2770;2741,2801;3263,2867;3298,2899;3320,2972;3912,3009;3936,3083;3971,3121;3984,3197;4054,3197;4633,3197;4740,3197;5650,3197" o:connectangles="0,0,0,0,0,0,0,0,0,0,0,0,0,0,0,0,0,0,0,0,0,0,0,0,0,0,0,0,0,0,0,0,0,0,0,0,0,0,0,0,0,0,0,0,0,0,0,0,0,0,0,0,0,0,0,0,0,0,0"/>
                </v:shape>
                <v:shape id="Freeform 30" o:spid="_x0000_s1049" style="position:absolute;left:433;top:108;width:20;height:40;visibility:visible;mso-wrap-style:square;v-text-anchor:top" coordsize="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" path="m,l13,r,39l,39,,xe" fillcolor="black" stroked="f">
                  <v:path arrowok="t" o:connecttype="custom" o:connectlocs="0,0;13,0;13,0;13,39;0,39;0,0" o:connectangles="0,0,0,0,0,0"/>
                </v:shape>
                <v:shape id="Freeform 31" o:spid="_x0000_s1050" style="position:absolute;left:400;top:108;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" path="m,l78,e" filled="f" strokeweight=".23161mm">
                  <v:path arrowok="t" o:connecttype="custom" o:connectlocs="0,0;78,0" o:connectangles="0,0"/>
                </v:shape>
                <v:shape id="Freeform 32" o:spid="_x0000_s1051" style="position:absolute;left:806;top:195;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" path="m,l,78e" filled="f" strokeweight=".23194mm">
                  <v:path arrowok="t" o:connecttype="custom" o:connectlocs="0,0;0,78" o:connectangles="0,0"/>
                </v:shape>
                <v:shape id="Freeform 33" o:spid="_x0000_s1052" style="position:absolute;left:766;top:234;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" path="m,l78,e" filled="f" strokeweight=".23161mm">
                  <v:path arrowok="t" o:connecttype="custom" o:connectlocs="0,0;78,0" o:connectangles="0,0"/>
                </v:shape>
                <v:shape id="Freeform 34" o:spid="_x0000_s1053" style="position:absolute;left:1054;top:473;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" path="m,l,78e" filled="f" strokeweight=".23194mm">
                  <v:path arrowok="t" o:connecttype="custom" o:connectlocs="0,0;0,78" o:connectangles="0,0"/>
                </v:shape>
                <v:shape id="Freeform 35" o:spid="_x0000_s1054" style="position:absolute;left:1014;top:512;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" path="m,l78,e" filled="f" strokeweight=".23161mm">
                  <v:path arrowok="t" o:connecttype="custom" o:connectlocs="0,0;78,0" o:connectangles="0,0"/>
                </v:shape>
                <v:shape id="Freeform 36" o:spid="_x0000_s1055" style="position:absolute;left:1067;top:537;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" path="m,l,78e" filled="f" strokeweight=".23194mm">
                  <v:path arrowok="t" o:connecttype="custom" o:connectlocs="0,0;0,78" o:connectangles="0,0"/>
                </v:shape>
                <v:shape id="Freeform 37" o:spid="_x0000_s1056" style="position:absolute;left:1027;top:576;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" path="m,l78,e" filled="f" strokeweight=".23161mm">
                  <v:path arrowok="t" o:connecttype="custom" o:connectlocs="0,0;78,0" o:connectangles="0,0"/>
                </v:shape>
                <v:shape id="Freeform 38" o:spid="_x0000_s1057" style="position:absolute;left:1078;top:624;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" path="m,l,78e" filled="f" strokeweight=".23194mm">
                  <v:path arrowok="t" o:connecttype="custom" o:connectlocs="0,0;0,78" o:connectangles="0,0"/>
                </v:shape>
                <v:shape id="Freeform 39" o:spid="_x0000_s1058" style="position:absolute;left:1038;top:663;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" path="m,l78,e" filled="f" strokeweight=".23161mm">
                  <v:path arrowok="t" o:connecttype="custom" o:connectlocs="0,0;78,0" o:connectangles="0,0"/>
                </v:shape>
                <v:shape id="Freeform 40" o:spid="_x0000_s1059" style="position:absolute;left:1091;top:733;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" path="m,l,78e" filled="f" strokeweight=".23194mm">
                  <v:path arrowok="t" o:connecttype="custom" o:connectlocs="0,0;0,78" o:connectangles="0,0"/>
                </v:shape>
                <v:shape id="Freeform 41" o:spid="_x0000_s1060" style="position:absolute;left:1051;top:773;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" path="m,l78,e" filled="f" strokeweight=".23161mm">
                  <v:path arrowok="t" o:connecttype="custom" o:connectlocs="0,0;78,0" o:connectangles="0,0"/>
                </v:shape>
                <v:shape id="Freeform 42" o:spid="_x0000_s1061" style="position:absolute;left:1102;top:911;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" path="m,l,78e" filled="f" strokeweight=".23194mm">
                  <v:path arrowok="t" o:connecttype="custom" o:connectlocs="0,0;0,78" o:connectangles="0,0"/>
                </v:shape>
                <v:shape id="Freeform 43" o:spid="_x0000_s1062" style="position:absolute;left:1062;top:950;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" path="m,l78,e" filled="f" strokeweight=".23161mm">
                  <v:path arrowok="t" o:connecttype="custom" o:connectlocs="0,0;78,0" o:connectangles="0,0"/>
                </v:shape>
                <v:shape id="Freeform 44" o:spid="_x0000_s1063" style="position:absolute;left:1113;top:1073;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" path="m,l,78e" filled="f" strokeweight=".23194mm">
                  <v:path arrowok="t" o:connecttype="custom" o:connectlocs="0,0;0,78" o:connectangles="0,0"/>
                </v:shape>
                <v:shape id="Freeform 45" o:spid="_x0000_s1064" style="position:absolute;left:1073;top:1112;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" path="m,l78,e" filled="f" strokeweight=".23161mm">
                  <v:path arrowok="t" o:connecttype="custom" o:connectlocs="0,0;78,0" o:connectangles="0,0"/>
                </v:shape>
                <v:shape id="Freeform 46" o:spid="_x0000_s1065" style="position:absolute;left:1137;top:1169;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" path="m,l,78e" filled="f" strokeweight=".23194mm">
                  <v:path arrowok="t" o:connecttype="custom" o:connectlocs="0,0;0,78" o:connectangles="0,0"/>
                </v:shape>
                <v:shape id="Freeform 47" o:spid="_x0000_s1066" style="position:absolute;left:1097;top:1208;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" path="m,l78,e" filled="f" strokeweight=".23161mm">
                  <v:path arrowok="t" o:connecttype="custom" o:connectlocs="0,0;78,0" o:connectangles="0,0"/>
                </v:shape>
                <v:shape id="Freeform 48" o:spid="_x0000_s1067" style="position:absolute;left:1161;top:1215;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" path="m,l,78e" filled="f" strokeweight=".23194mm">
                  <v:path arrowok="t" o:connecttype="custom" o:connectlocs="0,0;0,78" o:connectangles="0,0"/>
                </v:shape>
                <v:shape id="Freeform 49" o:spid="_x0000_s1068" style="position:absolute;left:1121;top:1254;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" path="m,l78,e" filled="f" strokeweight=".23161mm">
                  <v:path arrowok="t" o:connecttype="custom" o:connectlocs="0,0;78,0" o:connectangles="0,0"/>
                </v:shape>
                <v:shape id="Freeform 50" o:spid="_x0000_s1069" style="position:absolute;left:1185;top:1215;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" path="m,l,78e" filled="f" strokeweight=".23194mm">
                  <v:path arrowok="t" o:connecttype="custom" o:connectlocs="0,0;0,78" o:connectangles="0,0"/>
                </v:shape>
                <v:shape id="Freeform 51" o:spid="_x0000_s1070" style="position:absolute;left:1146;top:1254;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" path="m,l78,e" filled="f" strokeweight=".23161mm">
                  <v:path arrowok="t" o:connecttype="custom" o:connectlocs="0,0;78,0" o:connectangles="0,0"/>
                </v:shape>
                <v:shape id="Freeform 52" o:spid="_x0000_s1071" style="position:absolute;left:1680;top:1508;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" path="m,l,78e" filled="f" strokeweight=".23194mm">
                  <v:path arrowok="t" o:connecttype="custom" o:connectlocs="0,0;0,78" o:connectangles="0,0"/>
                </v:shape>
                <v:shape id="Freeform 53" o:spid="_x0000_s1072" style="position:absolute;left:1641;top:1548;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" path="m,l78,e" filled="f" strokeweight=".23161mm">
                  <v:path arrowok="t" o:connecttype="custom" o:connectlocs="0,0;78,0" o:connectangles="0,0"/>
                </v:shape>
                <v:shape id="Freeform 54" o:spid="_x0000_s1073" style="position:absolute;left:1729;top:1559;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" path="m,l,78e" filled="f" strokeweight=".23194mm">
                  <v:path arrowok="t" o:connecttype="custom" o:connectlocs="0,0;0,78" o:connectangles="0,0"/>
                </v:shape>
                <v:shape id="Freeform 55" o:spid="_x0000_s1074" style="position:absolute;left:1689;top:1598;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" path="m,l78,e" filled="f" strokeweight=".23161mm">
                  <v:path arrowok="t" o:connecttype="custom" o:connectlocs="0,0;78,0" o:connectangles="0,0"/>
                </v:shape>
                <v:shape id="Freeform 56" o:spid="_x0000_s1075" style="position:absolute;left:1753;top:1734;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" path="m,l,78e" filled="f" strokeweight=".23194mm">
                  <v:path arrowok="t" o:connecttype="custom" o:connectlocs="0,0;0,78" o:connectangles="0,0"/>
                </v:shape>
                <v:shape id="Freeform 57" o:spid="_x0000_s1076" style="position:absolute;left:1713;top:1773;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" path="m,l78,e" filled="f" strokeweight=".23161mm">
                  <v:path arrowok="t" o:connecttype="custom" o:connectlocs="0,0;78,0" o:connectangles="0,0"/>
                </v:shape>
                <v:shape id="Freeform 58" o:spid="_x0000_s1077" style="position:absolute;left:1858;top:2014;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" path="m,l,78e" filled="f" strokeweight=".23194mm">
                  <v:path arrowok="t" o:connecttype="custom" o:connectlocs="0,0;0,78" o:connectangles="0,0"/>
                </v:shape>
                <v:shape id="Freeform 59" o:spid="_x0000_s1078" style="position:absolute;left:1818;top:2053;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" path="m,l78,e" filled="f" strokeweight=".23161mm">
                  <v:path arrowok="t" o:connecttype="custom" o:connectlocs="0,0;78,0" o:connectangles="0,0"/>
                </v:shape>
                <v:shape id="Freeform 60" o:spid="_x0000_s1079" style="position:absolute;left:2342;top:2169;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" path="m,l,78e" filled="f" strokeweight=".23194mm">
                  <v:path arrowok="t" o:connecttype="custom" o:connectlocs="0,0;0,78" o:connectangles="0,0"/>
                </v:shape>
                <v:shape id="Freeform 61" o:spid="_x0000_s1080" style="position:absolute;left:2303;top:2209;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" path="m,l78,e" filled="f" strokeweight=".23161mm">
                  <v:path arrowok="t" o:connecttype="custom" o:connectlocs="0,0;78,0" o:connectangles="0,0"/>
                </v:shape>
                <v:shape id="Freeform 62" o:spid="_x0000_s1081" style="position:absolute;left:2401;top:2274;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" path="m,l,78e" filled="f" strokeweight=".23194mm">
                  <v:path arrowok="t" o:connecttype="custom" o:connectlocs="0,0;0,78" o:connectangles="0,0"/>
                </v:shape>
                <v:shape id="Freeform 63" o:spid="_x0000_s1082" style="position:absolute;left:2362;top:2314;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" path="m,l78,e" filled="f" strokeweight=".23161mm">
                  <v:path arrowok="t" o:connecttype="custom" o:connectlocs="0,0;78,0" o:connectangles="0,0"/>
                </v:shape>
                <v:shape id="Freeform 64" o:spid="_x0000_s1083" style="position:absolute;left:2426;top:2408;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" path="m,l,78e" filled="f" strokeweight=".23194mm">
                  <v:path arrowok="t" o:connecttype="custom" o:connectlocs="0,0;0,78" o:connectangles="0,0"/>
                </v:shape>
                <v:shape id="Freeform 65" o:spid="_x0000_s1084" style="position:absolute;left:2386;top:2447;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" path="m,l78,e" filled="f" strokeweight=".23161mm">
                  <v:path arrowok="t" o:connecttype="custom" o:connectlocs="0,0;78,0" o:connectangles="0,0"/>
                </v:shape>
                <v:shape id="Freeform 66" o:spid="_x0000_s1085" style="position:absolute;left:2450;top:2491;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" path="m,l,78e" filled="f" strokeweight=".23194mm">
                  <v:path arrowok="t" o:connecttype="custom" o:connectlocs="0,0;0,78" o:connectangles="0,0"/>
                </v:shape>
                <v:shape id="Freeform 67" o:spid="_x0000_s1086" style="position:absolute;left:2410;top:2530;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" path="m,l78,e" filled="f" strokeweight=".23161mm">
                  <v:path arrowok="t" o:connecttype="custom" o:connectlocs="0,0;78,0" o:connectangles="0,0"/>
                </v:shape>
                <v:shape id="Freeform 68" o:spid="_x0000_s1087" style="position:absolute;left:2794;top:2605;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" path="m,l,78e" filled="f" strokeweight=".23194mm">
                  <v:path arrowok="t" o:connecttype="custom" o:connectlocs="0,0;0,78" o:connectangles="0,0"/>
                </v:shape>
                <v:shape id="Freeform 69" o:spid="_x0000_s1088" style="position:absolute;left:2754;top:2644;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" path="m,l78,e" filled="f" strokeweight=".23161mm">
                  <v:path arrowok="t" o:connecttype="custom" o:connectlocs="0,0;78,0" o:connectangles="0,0"/>
                </v:shape>
                <v:shape id="Freeform 70" o:spid="_x0000_s1089" style="position:absolute;left:3076;top:2806;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" path="m,l,78e" filled="f" strokeweight=".23194mm">
                  <v:path arrowok="t" o:connecttype="custom" o:connectlocs="0,0;0,78" o:connectangles="0,0"/>
                </v:shape>
                <v:shape id="Freeform 71" o:spid="_x0000_s1090" style="position:absolute;left:3037;top:2846;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" path="m,l78,e" filled="f" strokeweight=".23161mm">
                  <v:path arrowok="t" o:connecttype="custom" o:connectlocs="0,0;78,0" o:connectangles="0,0"/>
                </v:shape>
                <v:shape id="Freeform 72" o:spid="_x0000_s1091" style="position:absolute;left:3087;top:2839;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" path="m,l,78e" filled="f" strokeweight=".23194mm">
                  <v:path arrowok="t" o:connecttype="custom" o:connectlocs="0,0;0,78" o:connectangles="0,0"/>
                </v:shape>
                <v:shape id="Freeform 73" o:spid="_x0000_s1092" style="position:absolute;left:3048;top:2878;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" path="m,l78,e" filled="f" strokeweight=".23161mm">
                  <v:path arrowok="t" o:connecttype="custom" o:connectlocs="0,0;78,0" o:connectangles="0,0"/>
                </v:shape>
                <v:shape id="Freeform 74" o:spid="_x0000_s1093" style="position:absolute;left:3125;top:2839;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" path="m,l,78e" filled="f" strokeweight=".23194mm">
                  <v:path arrowok="t" o:connecttype="custom" o:connectlocs="0,0;0,78" o:connectangles="0,0"/>
                </v:shape>
                <v:shape id="Freeform 75" o:spid="_x0000_s1094" style="position:absolute;left:3085;top:2878;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" path="m,l78,e" filled="f" strokeweight=".23161mm">
                  <v:path arrowok="t" o:connecttype="custom" o:connectlocs="0,0;78,0" o:connectangles="0,0"/>
                </v:shape>
                <v:shape id="Freeform 76" o:spid="_x0000_s1095" style="position:absolute;left:3714;top:2968;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" path="m,l,78e" filled="f" strokeweight=".23194mm">
                  <v:path arrowok="t" o:connecttype="custom" o:connectlocs="0,0;0,78" o:connectangles="0,0"/>
                </v:shape>
                <v:shape id="Freeform 77" o:spid="_x0000_s1096" style="position:absolute;left:3675;top:3007;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" path="m,l78,e" filled="f" strokeweight=".23161mm">
                  <v:path arrowok="t" o:connecttype="custom" o:connectlocs="0,0;78,0" o:connectangles="0,0"/>
                </v:shape>
                <v:shape id="Freeform 78" o:spid="_x0000_s1097" style="position:absolute;left:3727;top:3003;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" path="m,l,78e" filled="f" strokeweight=".23194mm">
                  <v:path arrowok="t" o:connecttype="custom" o:connectlocs="0,0;0,78" o:connectangles="0,0"/>
                </v:shape>
                <v:shape id="Freeform 79" o:spid="_x0000_s1098" style="position:absolute;left:3688;top:3043;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" path="m,l78,e" filled="f" strokeweight=".23161mm">
                  <v:path arrowok="t" o:connecttype="custom" o:connectlocs="0,0;78,0" o:connectangles="0,0"/>
                </v:shape>
                <v:shape id="Freeform 80" o:spid="_x0000_s1099" style="position:absolute;left:4376;top:3189;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" path="m,l,78e" filled="f" strokeweight=".23194mm">
                  <v:path arrowok="t" o:connecttype="custom" o:connectlocs="0,0;0,78" o:connectangles="0,0"/>
                </v:shape>
                <v:shape id="Freeform 81" o:spid="_x0000_s1100" style="position:absolute;left:4337;top:3229;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" path="m,l78,e" filled="f" strokeweight=".23161mm">
                  <v:path arrowok="t" o:connecttype="custom" o:connectlocs="0,0;78,0" o:connectangles="0,0"/>
                </v:shape>
                <v:shape id="Freeform 82" o:spid="_x0000_s1101" style="position:absolute;left:4413;top:3266;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" path="m,l,78e" filled="f" strokeweight=".23194mm">
                  <v:path arrowok="t" o:connecttype="custom" o:connectlocs="0,0;0,78" o:connectangles="0,0"/>
                </v:shape>
                <v:shape id="Freeform 83" o:spid="_x0000_s1102" style="position:absolute;left:4374;top:3305;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" path="m,l78,e" filled="f" strokeweight=".23161mm">
                  <v:path arrowok="t" o:connecttype="custom" o:connectlocs="0,0;78,0" o:connectangles="0,0"/>
                </v:shape>
                <v:shape id="Freeform 84" o:spid="_x0000_s1103" style="position:absolute;left:4449;top:3266;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" path="m,l,78e" filled="f" strokeweight=".23194mm">
                  <v:path arrowok="t" o:connecttype="custom" o:connectlocs="0,0;0,78" o:connectangles="0,0"/>
                </v:shape>
                <v:shape id="Freeform 85" o:spid="_x0000_s1104" style="position:absolute;left:4409;top:3305;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" path="m,l78,e" filled="f" strokeweight=".23161mm">
                  <v:path arrowok="t" o:connecttype="custom" o:connectlocs="0,0;78,0" o:connectangles="0,0"/>
                </v:shape>
                <v:shape id="Freeform 86" o:spid="_x0000_s1105" style="position:absolute;left:4473;top:3266;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" path="m,l,78e" filled="f" strokeweight=".23194mm">
                  <v:path arrowok="t" o:connecttype="custom" o:connectlocs="0,0;0,78" o:connectangles="0,0"/>
                </v:shape>
                <v:shape id="Freeform 87" o:spid="_x0000_s1106" style="position:absolute;left:4433;top:3305;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" path="m,l78,e" filled="f" strokeweight=".23161mm">
                  <v:path arrowok="t" o:connecttype="custom" o:connectlocs="0,0;78,0" o:connectangles="0,0"/>
                </v:shape>
                <v:shape id="Freeform 88" o:spid="_x0000_s1107" style="position:absolute;left:4484;top:3266;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" path="m,l,78e" filled="f" strokeweight=".23194mm">
                  <v:path arrowok="t" o:connecttype="custom" o:connectlocs="0,0;0,78" o:connectangles="0,0"/>
                </v:shape>
                <v:shape id="Freeform 89" o:spid="_x0000_s1108" style="position:absolute;left:4444;top:3305;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" path="m,l78,e" filled="f" strokeweight=".23161mm">
                  <v:path arrowok="t" o:connecttype="custom" o:connectlocs="0,0;78,0" o:connectangles="0,0"/>
                </v:shape>
                <v:shape id="Freeform 90" o:spid="_x0000_s1109" style="position:absolute;left:4613;top:3266;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" path="m,l,78e" filled="f" strokeweight=".23194mm">
                  <v:path arrowok="t" o:connecttype="custom" o:connectlocs="0,0;0,78" o:connectangles="0,0"/>
                </v:shape>
                <v:shape id="Freeform 91" o:spid="_x0000_s1110" style="position:absolute;left:4573;top:3305;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" path="m,l78,e" filled="f" strokeweight=".23161mm">
                  <v:path arrowok="t" o:connecttype="custom" o:connectlocs="0,0;78,0" o:connectangles="0,0"/>
                </v:shape>
                <v:shape id="Freeform 92" o:spid="_x0000_s1111" style="position:absolute;left:5040;top:3266;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" path="m,l,78e" filled="f" strokeweight=".23194mm">
                  <v:path arrowok="t" o:connecttype="custom" o:connectlocs="0,0;0,78" o:connectangles="0,0"/>
                </v:shape>
                <v:shape id="Freeform 93" o:spid="_x0000_s1112" style="position:absolute;left:5001;top:3305;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" path="m,l78,e" filled="f" strokeweight=".23161mm">
                  <v:path arrowok="t" o:connecttype="custom" o:connectlocs="0,0;78,0" o:connectangles="0,0"/>
                </v:shape>
                <v:shape id="Freeform 94" o:spid="_x0000_s1113" style="position:absolute;left:5062;top:3266;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" path="m,l,78e" filled="f" strokeweight=".23194mm">
                  <v:path arrowok="t" o:connecttype="custom" o:connectlocs="0,0;0,78" o:connectangles="0,0"/>
                </v:shape>
                <v:shape id="Freeform 95" o:spid="_x0000_s1114" style="position:absolute;left:5023;top:3305;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" path="m,l78,e" filled="f" strokeweight=".23161mm">
                  <v:path arrowok="t" o:connecttype="custom" o:connectlocs="0,0;78,0" o:connectangles="0,0"/>
                </v:shape>
                <v:shape id="Freeform 96" o:spid="_x0000_s1115" style="position:absolute;left:5075;top:3266;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" path="m,l,78e" filled="f" strokeweight=".23194mm">
                  <v:path arrowok="t" o:connecttype="custom" o:connectlocs="0,0;0,78" o:connectangles="0,0"/>
                </v:shape>
                <v:shape id="Freeform 97" o:spid="_x0000_s1116" style="position:absolute;left:5036;top:3305;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" path="m,l78,e" filled="f" strokeweight=".23161mm">
                  <v:path arrowok="t" o:connecttype="custom" o:connectlocs="0,0;78,0" o:connectangles="0,0"/>
                </v:shape>
                <v:shape id="Freeform 98" o:spid="_x0000_s1117" style="position:absolute;left:5086;top:3266;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" path="m,l,78e" filled="f" strokeweight=".23194mm">
                  <v:path arrowok="t" o:connecttype="custom" o:connectlocs="0,0;0,78" o:connectangles="0,0"/>
                </v:shape>
                <v:shape id="Freeform 99" o:spid="_x0000_s1118" style="position:absolute;left:5047;top:3305;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" path="m,l78,e" filled="f" strokeweight=".23161mm">
                  <v:path arrowok="t" o:connecttype="custom" o:connectlocs="0,0;78,0" o:connectangles="0,0"/>
                </v:shape>
                <v:shape id="Freeform 100" o:spid="_x0000_s1119" style="position:absolute;left:5170;top:3266;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" path="m,l,78e" filled="f" strokeweight=".23194mm">
                  <v:path arrowok="t" o:connecttype="custom" o:connectlocs="0,0;0,78" o:connectangles="0,0"/>
                </v:shape>
                <v:shape id="Freeform 101" o:spid="_x0000_s1120" style="position:absolute;left:5130;top:3305;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" path="m,l78,e" filled="f" strokeweight=".23161mm">
                  <v:path arrowok="t" o:connecttype="custom" o:connectlocs="0,0;78,0" o:connectangles="0,0"/>
                </v:shape>
                <v:shape id="Freeform 102" o:spid="_x0000_s1121" style="position:absolute;left:5724;top:3266;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" path="m,l,78e" filled="f" strokeweight=".23194mm">
                  <v:path arrowok="t" o:connecttype="custom" o:connectlocs="0,0;0,78" o:connectangles="0,0"/>
                </v:shape>
                <v:shape id="Freeform 103" o:spid="_x0000_s1122" style="position:absolute;left:5685;top:3305;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" path="m,l78,e" filled="f" strokeweight=".23161mm">
                  <v:path arrowok="t" o:connecttype="custom" o:connectlocs="0,0;78,0" o:connectangles="0,0"/>
                </v:shape>
                <v:shape id="Freeform 104" o:spid="_x0000_s1123" style="position:absolute;left:5974;top:3266;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" path="m,l,78e" filled="f" strokeweight=".23194mm">
                  <v:path arrowok="t" o:connecttype="custom" o:connectlocs="0,0;0,78" o:connectangles="0,0"/>
                </v:shape>
                <v:shape id="Freeform 105" o:spid="_x0000_s1124" style="position:absolute;left:5934;top:3305;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" path="m,l78,e" filled="f" strokeweight=".23161mm">
                  <v:path arrowok="t" o:connecttype="custom" o:connectlocs="0,0;78,0" o:connectangles="0,0"/>
                </v:shape>
                <v:shape id="Freeform 106" o:spid="_x0000_s1125" style="position:absolute;left:6079;top:3266;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" path="m,l,78e" filled="f" strokeweight=".23194mm">
                  <v:path arrowok="t" o:connecttype="custom" o:connectlocs="0,0;0,78" o:connectangles="0,0"/>
                </v:shape>
                <v:shape id="Freeform 107" o:spid="_x0000_s1126" style="position:absolute;left:6040;top:3305;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" path="m,l78,e" filled="f" strokeweight=".23161mm">
                  <v:path arrowok="t" o:connecttype="custom" o:connectlocs="0,0;78,0" o:connectangles="0,0"/>
                </v:shape>
                <v:shape id="Freeform 108" o:spid="_x0000_s1127" style="position:absolute;left:429;top:108;width:6622;height:3021;visibility:visible;mso-wrap-style:square;v-text-anchor:top" coordsize="6622,3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" path="m,l,,10,,21,r,21l175,21r,20l543,41r,20l589,61r,22l602,83r,19l613,102r,42l624,144r,59l637,203r,22l648,225r,39l661,264r,62l672,326r,61l683,387r,83l696,470r,61l707,531r,22l742,553r,20l802,573r,22l839,595r,20l861,615r,21l1111,636r,20l1205,656r,22l1251,678r,61l1264,739r,22l1275,761r,20l1288,781r,41l1299,822r,22l1310,844r,42l1323,886r,41l1334,927r,20l1347,947r,22l1358,969r,64l1369,1033r,43l1382,1076r36,l1418,1098r70,l1488,1118r142,l1630,1140r118,l1748,1162r154,l1902,1184r11,l1913,1205r24,l1937,1227r13,l1950,1271r11,l1961,1293r11,l1972,1381r13,l1985,1468r11,l1996,1578r13,l2009,1643r11,l2020,1665r35,l2055,1689r13,l2068,1711r11,l2174,1711r,22l2257,1733r,22l2305,1755r,22l2327,1777r,24l2364,1801r,22l2518,1823r59,l2577,1845r35,l2612,1869r24,l2636,1890r11,l2647,1936r11,l2658,2028r13,l2671,2050r11,l2682,2074r24,l2836,2074r,24l2860,2098r212,l3072,2122r154,l3226,2147r13,l3263,2147r11,l3274,2171r11,l3285,2197r13,l3298,2221r11,l3309,2273r11,l3320,2350r13,l3333,2403r11,l3392,2403r,28l3723,2431r,26l3901,2457r11,l3912,2486r13,l3936,2486r11,l3971,2486r,65l3984,2551r11,l4006,2551r13,l4019,2597r11,l4030,2643r13,l4043,2692r105,l4184,2692r83,l4563,2692r11,l4611,2692r,61l4622,2753r24,l4716,2753r94,l4859,2753r,114l4953,2867r307,l5556,2867r,153l5615,3020r13,l5698,3020r923,e" filled="f" strokeweight=".46336mm">
                  <v:path arrowok="t" o:connecttype="custom" o:connectlocs="10,0;175,21;543,61;602,83;613,144;637,203;648,264;672,326;683,470;707,531;742,573;839,595;861,636;1205,656;1251,739;1275,761;1288,822;1310,844;1323,927;1347,947;1358,1033;1382,1076;1488,1098;1630,1140;1902,1162;1913,1205;1950,1227;1961,1293;1985,1381;1996,1578;2020,1643;2055,1689;2079,1711;2257,1733;2305,1777;2364,1801;2577,1823;2612,1869;2647,1890;2658,2028;2682,2050;2836,2074;3072,2098;3226,2147;3274,2147;3285,2197;3309,2221;3320,2350;3344,2403;3723,2431;3912,2457;3936,2486;3971,2551;4006,2551;4030,2597;4043,2692;4267,2692;4611,2692;4646,2753;4859,2753;5260,2867;5615,3020;6621,3020" o:connectangles="0,0,0,0,0,0,0,0,0,0,0,0,0,0,0,0,0,0,0,0,0,0,0,0,0,0,0,0,0,0,0,0,0,0,0,0,0,0,0,0,0,0,0,0,0,0,0,0,0,0,0,0,0,0,0,0,0,0,0,0,0,0,0"/>
                </v:shape>
                <v:shape id="Freeform 109" o:spid="_x0000_s1128" style="position:absolute;left:433;top:108;width:20;height:40;visibility:visible;mso-wrap-style:square;v-text-anchor:top" coordsize="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" path="m,l13,r,39l,39,,xe" fillcolor="black" stroked="f">
                  <v:path arrowok="t" o:connecttype="custom" o:connectlocs="0,0;13,0;13,0;13,39;0,39;0,0" o:connectangles="0,0,0,0,0,0"/>
                </v:shape>
                <v:shape id="Freeform 110" o:spid="_x0000_s1129" style="position:absolute;left:400;top:108;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" path="m,l78,e" filled="f" strokeweight=".23161mm">
                  <v:path arrowok="t" o:connecttype="custom" o:connectlocs="0,0;78,0" o:connectangles="0,0"/>
                </v:shape>
                <v:shape id="Freeform 111" o:spid="_x0000_s1130" style="position:absolute;left:1054;top:272;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" path="m,l,78e" filled="f" strokeweight=".23194mm">
                  <v:path arrowok="t" o:connecttype="custom" o:connectlocs="0,0;0,78" o:connectangles="0,0"/>
                </v:shape>
                <v:shape id="Freeform 112" o:spid="_x0000_s1131" style="position:absolute;left:1014;top:311;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" path="m,l78,e" filled="f" strokeweight=".23161mm">
                  <v:path arrowok="t" o:connecttype="custom" o:connectlocs="0,0;78,0" o:connectangles="0,0"/>
                </v:shape>
                <v:shape id="Freeform 113" o:spid="_x0000_s1132" style="position:absolute;left:1102;top:456;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" path="m,l,78e" filled="f" strokeweight=".23194mm">
                  <v:path arrowok="t" o:connecttype="custom" o:connectlocs="0,0;0,78" o:connectangles="0,0"/>
                </v:shape>
                <v:shape id="Freeform 114" o:spid="_x0000_s1133" style="position:absolute;left:1062;top:495;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" path="m,l78,e" filled="f" strokeweight=".23161mm">
                  <v:path arrowok="t" o:connecttype="custom" o:connectlocs="0,0;78,0" o:connectangles="0,0"/>
                </v:shape>
                <v:shape id="Freeform 115" o:spid="_x0000_s1134" style="position:absolute;left:1113;top:539;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" path="m,l,78e" filled="f" strokeweight=".23194mm">
                  <v:path arrowok="t" o:connecttype="custom" o:connectlocs="0,0;0,78" o:connectangles="0,0"/>
                </v:shape>
                <v:shape id="Freeform 116" o:spid="_x0000_s1135" style="position:absolute;left:1073;top:578;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" path="m,l78,e" filled="f" strokeweight=".23161mm">
                  <v:path arrowok="t" o:connecttype="custom" o:connectlocs="0,0;78,0" o:connectangles="0,0"/>
                </v:shape>
                <v:shape id="Freeform 117" o:spid="_x0000_s1136" style="position:absolute;left:1694;top:830;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" path="m,l,78e" filled="f" strokeweight=".23194mm">
                  <v:path arrowok="t" o:connecttype="custom" o:connectlocs="0,0;0,78" o:connectangles="0,0"/>
                </v:shape>
                <v:shape id="Freeform 118" o:spid="_x0000_s1137" style="position:absolute;left:1654;top:869;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" path="m,l78,e" filled="f" strokeweight=".23161mm">
                  <v:path arrowok="t" o:connecttype="custom" o:connectlocs="0,0;78,0" o:connectangles="0,0"/>
                </v:shape>
                <v:shape id="Freeform 119" o:spid="_x0000_s1138" style="position:absolute;left:1753;top:996;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" path="m,l,78e" filled="f" strokeweight=".23194mm">
                  <v:path arrowok="t" o:connecttype="custom" o:connectlocs="0,0;0,78" o:connectangles="0,0"/>
                </v:shape>
                <v:shape id="Freeform 120" o:spid="_x0000_s1139" style="position:absolute;left:1713;top:1036;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" path="m,l78,e" filled="f" strokeweight=".23161mm">
                  <v:path arrowok="t" o:connecttype="custom" o:connectlocs="0,0;78,0" o:connectangles="0,0"/>
                </v:shape>
                <v:shape id="Freeform 121" o:spid="_x0000_s1140" style="position:absolute;left:1764;top:1016;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" path="m,l,78e" filled="f" strokeweight=".23194mm">
                  <v:path arrowok="t" o:connecttype="custom" o:connectlocs="0,0;0,78" o:connectangles="0,0"/>
                </v:shape>
                <v:shape id="Freeform 122" o:spid="_x0000_s1141" style="position:absolute;left:1724;top:1055;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" path="m,l78,e" filled="f" strokeweight=".23161mm">
                  <v:path arrowok="t" o:connecttype="custom" o:connectlocs="0,0;78,0" o:connectangles="0,0"/>
                </v:shape>
                <v:shape id="Freeform 123" o:spid="_x0000_s1142" style="position:absolute;left:1777;top:1038;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" path="m,l,78e" filled="f" strokeweight=".23194mm">
                  <v:path arrowok="t" o:connecttype="custom" o:connectlocs="0,0;0,78" o:connectangles="0,0"/>
                </v:shape>
                <v:shape id="Freeform 124" o:spid="_x0000_s1143" style="position:absolute;left:1737;top:1077;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" path="m,l78,e" filled="f" strokeweight=".23161mm">
                  <v:path arrowok="t" o:connecttype="custom" o:connectlocs="0,0;78,0" o:connectangles="0,0"/>
                </v:shape>
                <v:shape id="Freeform 125" o:spid="_x0000_s1144" style="position:absolute;left:1799;top:1145;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" path="m,l,78e" filled="f" strokeweight=".23194mm">
                  <v:path arrowok="t" o:connecttype="custom" o:connectlocs="0,0;0,78" o:connectangles="0,0"/>
                </v:shape>
                <v:shape id="Freeform 126" o:spid="_x0000_s1145" style="position:absolute;left:1759;top:1184;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" path="m,l78,e" filled="f" strokeweight=".23161mm">
                  <v:path arrowok="t" o:connecttype="custom" o:connectlocs="0,0;78,0" o:connectangles="0,0"/>
                </v:shape>
                <v:shape id="Freeform 127" o:spid="_x0000_s1146" style="position:absolute;left:1812;top:1145;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" path="m,l,78e" filled="f" strokeweight=".23194mm">
                  <v:path arrowok="t" o:connecttype="custom" o:connectlocs="0,0;0,78" o:connectangles="0,0"/>
                </v:shape>
                <v:shape id="Freeform 128" o:spid="_x0000_s1147" style="position:absolute;left:1772;top:1184;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" path="m,l78,e" filled="f" strokeweight=".23161mm">
                  <v:path arrowok="t" o:connecttype="custom" o:connectlocs="0,0;78,0" o:connectangles="0,0"/>
                </v:shape>
                <v:shape id="Freeform 129" o:spid="_x0000_s1148" style="position:absolute;left:2342;top:1274;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" path="m,l,78e" filled="f" strokeweight=".23194mm">
                  <v:path arrowok="t" o:connecttype="custom" o:connectlocs="0,0;0,78" o:connectangles="0,0"/>
                </v:shape>
                <v:shape id="Freeform 130" o:spid="_x0000_s1149" style="position:absolute;left:2303;top:1313;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" path="m,l78,e" filled="f" strokeweight=".23161mm">
                  <v:path arrowok="t" o:connecttype="custom" o:connectlocs="0,0;78,0" o:connectangles="0,0"/>
                </v:shape>
                <v:shape id="Freeform 131" o:spid="_x0000_s1150" style="position:absolute;left:2415;top:1537;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" path="m,l,78e" filled="f" strokeweight=".23194mm">
                  <v:path arrowok="t" o:connecttype="custom" o:connectlocs="0,0;0,78" o:connectangles="0,0"/>
                </v:shape>
                <v:shape id="Freeform 132" o:spid="_x0000_s1151" style="position:absolute;left:2375;top:1576;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" path="m,l78,e" filled="f" strokeweight=".23161mm">
                  <v:path arrowok="t" o:connecttype="custom" o:connectlocs="0,0;78,0" o:connectangles="0,0"/>
                </v:shape>
                <v:shape id="Freeform 133" o:spid="_x0000_s1152" style="position:absolute;left:2498;top:1780;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" path="m,l,78e" filled="f" strokeweight=".23194mm">
                  <v:path arrowok="t" o:connecttype="custom" o:connectlocs="0,0;0,78" o:connectangles="0,0"/>
                </v:shape>
                <v:shape id="Freeform 134" o:spid="_x0000_s1153" style="position:absolute;left:2458;top:1819;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" path="m,l78,e" filled="f" strokeweight=".23161mm">
                  <v:path arrowok="t" o:connecttype="custom" o:connectlocs="0,0;78,0" o:connectangles="0,0"/>
                </v:shape>
                <v:shape id="Freeform 135" o:spid="_x0000_s1154" style="position:absolute;left:2509;top:1780;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" path="m,l,78e" filled="f" strokeweight=".23194mm">
                  <v:path arrowok="t" o:connecttype="custom" o:connectlocs="0,0;0,78" o:connectangles="0,0"/>
                </v:shape>
                <v:shape id="Freeform 136" o:spid="_x0000_s1155" style="position:absolute;left:2469;top:1819;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" path="m,l78,e" filled="f" strokeweight=".23161mm">
                  <v:path arrowok="t" o:connecttype="custom" o:connectlocs="0,0;78,0" o:connectangles="0,0"/>
                </v:shape>
                <v:shape id="Freeform 137" o:spid="_x0000_s1156" style="position:absolute;left:2947;top:1891;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" path="m,l,78e" filled="f" strokeweight=".23194mm">
                  <v:path arrowok="t" o:connecttype="custom" o:connectlocs="0,0;0,78" o:connectangles="0,0"/>
                </v:shape>
                <v:shape id="Freeform 138" o:spid="_x0000_s1157" style="position:absolute;left:2908;top:1931;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" path="m,l78,e" filled="f" strokeweight=".23161mm">
                  <v:path arrowok="t" o:connecttype="custom" o:connectlocs="0,0;78,0" o:connectangles="0,0"/>
                </v:shape>
                <v:shape id="Freeform 139" o:spid="_x0000_s1158" style="position:absolute;left:3087;top:2097;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" path="m,l,78e" filled="f" strokeweight=".23194mm">
                  <v:path arrowok="t" o:connecttype="custom" o:connectlocs="0,0;0,78" o:connectangles="0,0"/>
                </v:shape>
                <v:shape id="Freeform 140" o:spid="_x0000_s1159" style="position:absolute;left:3048;top:2136;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" path="m,l78,e" filled="f" strokeweight=".23161mm">
                  <v:path arrowok="t" o:connecttype="custom" o:connectlocs="0,0;78,0" o:connectangles="0,0"/>
                </v:shape>
                <v:shape id="Freeform 141" o:spid="_x0000_s1160" style="position:absolute;left:3136;top:2143;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" path="m,l,78e" filled="f" strokeweight=".23194mm">
                  <v:path arrowok="t" o:connecttype="custom" o:connectlocs="0,0;0,78" o:connectangles="0,0"/>
                </v:shape>
                <v:shape id="Freeform 142" o:spid="_x0000_s1161" style="position:absolute;left:3096;top:2182;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" path="m,l78,e" filled="f" strokeweight=".23161mm">
                  <v:path arrowok="t" o:connecttype="custom" o:connectlocs="0,0;78,0" o:connectangles="0,0"/>
                </v:shape>
                <v:shape id="Freeform 143" o:spid="_x0000_s1162" style="position:absolute;left:3289;top:2167;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" path="m,l,78e" filled="f" strokeweight=".23194mm">
                  <v:path arrowok="t" o:connecttype="custom" o:connectlocs="0,0;0,78" o:connectangles="0,0"/>
                </v:shape>
                <v:shape id="Freeform 144" o:spid="_x0000_s1163" style="position:absolute;left:3250;top:2206;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" path="m,l78,e" filled="f" strokeweight=".23161mm">
                  <v:path arrowok="t" o:connecttype="custom" o:connectlocs="0,0;78,0" o:connectangles="0,0"/>
                </v:shape>
                <v:shape id="Freeform 145" o:spid="_x0000_s1164" style="position:absolute;left:3668;top:2215;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" path="m,l,78e" filled="f" strokeweight=".23194mm">
                  <v:path arrowok="t" o:connecttype="custom" o:connectlocs="0,0;0,78" o:connectangles="0,0"/>
                </v:shape>
                <v:shape id="Freeform 146" o:spid="_x0000_s1165" style="position:absolute;left:3629;top:2255;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" path="m,l78,e" filled="f" strokeweight=".23161mm">
                  <v:path arrowok="t" o:connecttype="custom" o:connectlocs="0,0;78,0" o:connectangles="0,0"/>
                </v:shape>
                <v:shape id="Freeform 147" o:spid="_x0000_s1166" style="position:absolute;left:3692;top:2215;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" path="m,l,78e" filled="f" strokeweight=".23194mm">
                  <v:path arrowok="t" o:connecttype="custom" o:connectlocs="0,0;0,78" o:connectangles="0,0"/>
                </v:shape>
                <v:shape id="Freeform 148" o:spid="_x0000_s1167" style="position:absolute;left:3653;top:2255;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" path="m,l78,e" filled="f" strokeweight=".23161mm">
                  <v:path arrowok="t" o:connecttype="custom" o:connectlocs="0,0;78,0" o:connectangles="0,0"/>
                </v:shape>
                <v:shape id="Freeform 149" o:spid="_x0000_s1168" style="position:absolute;left:3703;top:2239;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" path="m,l,78e" filled="f" strokeweight=".23194mm">
                  <v:path arrowok="t" o:connecttype="custom" o:connectlocs="0,0;0,78" o:connectangles="0,0"/>
                </v:shape>
                <v:shape id="Freeform 150" o:spid="_x0000_s1169" style="position:absolute;left:3664;top:2279;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" path="m,l78,e" filled="f" strokeweight=".23161mm">
                  <v:path arrowok="t" o:connecttype="custom" o:connectlocs="0,0;78,0" o:connectangles="0,0"/>
                </v:shape>
                <v:shape id="Freeform 151" o:spid="_x0000_s1170" style="position:absolute;left:3727;top:2290;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" path="m,l,78e" filled="f" strokeweight=".23194mm">
                  <v:path arrowok="t" o:connecttype="custom" o:connectlocs="0,0;0,78" o:connectangles="0,0"/>
                </v:shape>
                <v:shape id="Freeform 152" o:spid="_x0000_s1171" style="position:absolute;left:3688;top:2329;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" path="m,l78,e" filled="f" strokeweight=".23161mm">
                  <v:path arrowok="t" o:connecttype="custom" o:connectlocs="0,0;78,0" o:connectangles="0,0"/>
                </v:shape>
                <v:shape id="Freeform 153" o:spid="_x0000_s1172" style="position:absolute;left:3749;top:2419;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" path="m,l,78e" filled="f" strokeweight=".23194mm">
                  <v:path arrowok="t" o:connecttype="custom" o:connectlocs="0,0;0,78" o:connectangles="0,0"/>
                </v:shape>
                <v:shape id="Freeform 154" o:spid="_x0000_s1173" style="position:absolute;left:3710;top:2458;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" path="m,l78,e" filled="f" strokeweight=".23161mm">
                  <v:path arrowok="t" o:connecttype="custom" o:connectlocs="0,0;78,0" o:connectangles="0,0"/>
                </v:shape>
                <v:shape id="Freeform 155" o:spid="_x0000_s1174" style="position:absolute;left:3762;top:2471;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" path="m,l,78e" filled="f" strokeweight=".23194mm">
                  <v:path arrowok="t" o:connecttype="custom" o:connectlocs="0,0;0,78" o:connectangles="0,0"/>
                </v:shape>
                <v:shape id="Freeform 156" o:spid="_x0000_s1175" style="position:absolute;left:3723;top:2511;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" path="m,l78,e" filled="f" strokeweight=".23161mm">
                  <v:path arrowok="t" o:connecttype="custom" o:connectlocs="0,0;78,0" o:connectangles="0,0"/>
                </v:shape>
                <v:shape id="Freeform 157" o:spid="_x0000_s1176" style="position:absolute;left:3773;top:2471;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" path="m,l,78e" filled="f" strokeweight=".23194mm">
                  <v:path arrowok="t" o:connecttype="custom" o:connectlocs="0,0;0,78" o:connectangles="0,0"/>
                </v:shape>
                <v:shape id="Freeform 158" o:spid="_x0000_s1177" style="position:absolute;left:3734;top:2511;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" path="m,l78,e" filled="f" strokeweight=".23161mm">
                  <v:path arrowok="t" o:connecttype="custom" o:connectlocs="0,0;78,0" o:connectangles="0,0"/>
                </v:shape>
                <v:shape id="Freeform 159" o:spid="_x0000_s1178" style="position:absolute;left:4330;top:2526;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" path="m,l,78e" filled="f" strokeweight=".23194mm">
                  <v:path arrowok="t" o:connecttype="custom" o:connectlocs="0,0;0,78" o:connectangles="0,0"/>
                </v:shape>
                <v:shape id="Freeform 160" o:spid="_x0000_s1179" style="position:absolute;left:4291;top:2565;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" path="m,l78,e" filled="f" strokeweight=".23161mm">
                  <v:path arrowok="t" o:connecttype="custom" o:connectlocs="0,0;78,0" o:connectangles="0,0"/>
                </v:shape>
                <v:shape id="Freeform 161" o:spid="_x0000_s1180" style="position:absolute;left:4354;top:2554;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" path="m,l,78e" filled="f" strokeweight=".23194mm">
                  <v:path arrowok="t" o:connecttype="custom" o:connectlocs="0,0;0,78" o:connectangles="0,0"/>
                </v:shape>
                <v:shape id="Freeform 162" o:spid="_x0000_s1181" style="position:absolute;left:4315;top:2594;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" path="m,l78,e" filled="f" strokeweight=".23161mm">
                  <v:path arrowok="t" o:connecttype="custom" o:connectlocs="0,0;78,0" o:connectangles="0,0"/>
                </v:shape>
                <v:shape id="Freeform 163" o:spid="_x0000_s1182" style="position:absolute;left:4365;top:2554;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" path="m,l,78e" filled="f" strokeweight=".23194mm">
                  <v:path arrowok="t" o:connecttype="custom" o:connectlocs="0,0;0,78" o:connectangles="0,0"/>
                </v:shape>
                <v:shape id="Freeform 164" o:spid="_x0000_s1183" style="position:absolute;left:4326;top:2594;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" path="m,l78,e" filled="f" strokeweight=".23161mm">
                  <v:path arrowok="t" o:connecttype="custom" o:connectlocs="0,0;78,0" o:connectangles="0,0"/>
                </v:shape>
                <v:shape id="Freeform 165" o:spid="_x0000_s1184" style="position:absolute;left:4376;top:2554;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" path="m,l,78e" filled="f" strokeweight=".23194mm">
                  <v:path arrowok="t" o:connecttype="custom" o:connectlocs="0,0;0,78" o:connectangles="0,0"/>
                </v:shape>
                <v:shape id="Freeform 166" o:spid="_x0000_s1185" style="position:absolute;left:4337;top:2594;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" path="m,l78,e" filled="f" strokeweight=".23161mm">
                  <v:path arrowok="t" o:connecttype="custom" o:connectlocs="0,0;78,0" o:connectangles="0,0"/>
                </v:shape>
                <v:shape id="Freeform 167" o:spid="_x0000_s1186" style="position:absolute;left:4400;top:2620;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" path="m,l,78e" filled="f" strokeweight=".23194mm">
                  <v:path arrowok="t" o:connecttype="custom" o:connectlocs="0,0;0,78" o:connectangles="0,0"/>
                </v:shape>
                <v:shape id="Freeform 168" o:spid="_x0000_s1187" style="position:absolute;left:4361;top:2659;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" path="m,l78,e" filled="f" strokeweight=".23161mm">
                  <v:path arrowok="t" o:connecttype="custom" o:connectlocs="0,0;78,0" o:connectangles="0,0"/>
                </v:shape>
                <v:shape id="Freeform 169" o:spid="_x0000_s1188" style="position:absolute;left:4413;top:2620;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" path="m,l,78e" filled="f" strokeweight=".23194mm">
                  <v:path arrowok="t" o:connecttype="custom" o:connectlocs="0,0;0,78" o:connectangles="0,0"/>
                </v:shape>
                <v:shape id="Freeform 170" o:spid="_x0000_s1189" style="position:absolute;left:4374;top:2659;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" path="m,l78,e" filled="f" strokeweight=".23161mm">
                  <v:path arrowok="t" o:connecttype="custom" o:connectlocs="0,0;78,0" o:connectangles="0,0"/>
                </v:shape>
                <v:shape id="Freeform 171" o:spid="_x0000_s1190" style="position:absolute;left:4435;top:2620;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" path="m,l,78e" filled="f" strokeweight=".23194mm">
                  <v:path arrowok="t" o:connecttype="custom" o:connectlocs="0,0;0,78" o:connectangles="0,0"/>
                </v:shape>
                <v:shape id="Freeform 172" o:spid="_x0000_s1191" style="position:absolute;left:4396;top:2659;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" path="m,l78,e" filled="f" strokeweight=".23161mm">
                  <v:path arrowok="t" o:connecttype="custom" o:connectlocs="0,0;78,0" o:connectangles="0,0"/>
                </v:shape>
                <v:shape id="Freeform 173" o:spid="_x0000_s1192" style="position:absolute;left:4449;top:2666;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" path="m,l,78e" filled="f" strokeweight=".23194mm">
                  <v:path arrowok="t" o:connecttype="custom" o:connectlocs="0,0;0,78" o:connectangles="0,0"/>
                </v:shape>
                <v:shape id="Freeform 174" o:spid="_x0000_s1193" style="position:absolute;left:4409;top:2705;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" path="m,l78,e" filled="f" strokeweight=".23161mm">
                  <v:path arrowok="t" o:connecttype="custom" o:connectlocs="0,0;78,0" o:connectangles="0,0"/>
                </v:shape>
                <v:shape id="Freeform 175" o:spid="_x0000_s1194" style="position:absolute;left:4578;top:2760;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" path="m,l,78e" filled="f" strokeweight=".23194mm">
                  <v:path arrowok="t" o:connecttype="custom" o:connectlocs="0,0;0,78" o:connectangles="0,0"/>
                </v:shape>
                <v:shape id="Freeform 176" o:spid="_x0000_s1195" style="position:absolute;left:4538;top:2800;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" path="m,l78,e" filled="f" strokeweight=".23161mm">
                  <v:path arrowok="t" o:connecttype="custom" o:connectlocs="0,0;78,0" o:connectangles="0,0"/>
                </v:shape>
                <v:shape id="Freeform 177" o:spid="_x0000_s1196" style="position:absolute;left:4613;top:2760;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" path="m,l,78e" filled="f" strokeweight=".23194mm">
                  <v:path arrowok="t" o:connecttype="custom" o:connectlocs="0,0;0,78" o:connectangles="0,0"/>
                </v:shape>
                <v:shape id="Freeform 178" o:spid="_x0000_s1197" style="position:absolute;left:4573;top:2800;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" path="m,l78,e" filled="f" strokeweight=".23161mm">
                  <v:path arrowok="t" o:connecttype="custom" o:connectlocs="0,0;78,0" o:connectangles="0,0"/>
                </v:shape>
                <v:shape id="Freeform 179" o:spid="_x0000_s1198" style="position:absolute;left:4696;top:2760;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" path="m,l,78e" filled="f" strokeweight=".23194mm">
                  <v:path arrowok="t" o:connecttype="custom" o:connectlocs="0,0;0,78" o:connectangles="0,0"/>
                </v:shape>
                <v:shape id="Freeform 180" o:spid="_x0000_s1199" style="position:absolute;left:4657;top:2800;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" path="m,l78,e" filled="f" strokeweight=".23161mm">
                  <v:path arrowok="t" o:connecttype="custom" o:connectlocs="0,0;78,0" o:connectangles="0,0"/>
                </v:shape>
                <v:shape id="Freeform 181" o:spid="_x0000_s1200" style="position:absolute;left:4992;top:2760;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" path="m,l,78e" filled="f" strokeweight=".23194mm">
                  <v:path arrowok="t" o:connecttype="custom" o:connectlocs="0,0;0,78" o:connectangles="0,0"/>
                </v:shape>
                <v:shape id="Freeform 182" o:spid="_x0000_s1201" style="position:absolute;left:4953;top:2800;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" path="m,l78,e" filled="f" strokeweight=".23161mm">
                  <v:path arrowok="t" o:connecttype="custom" o:connectlocs="0,0;78,0" o:connectangles="0,0"/>
                </v:shape>
                <v:shape id="Freeform 183" o:spid="_x0000_s1202" style="position:absolute;left:5051;top:2821;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" path="m,l,78e" filled="f" strokeweight=".23194mm">
                  <v:path arrowok="t" o:connecttype="custom" o:connectlocs="0,0;0,78" o:connectangles="0,0"/>
                </v:shape>
                <v:shape id="Freeform 184" o:spid="_x0000_s1203" style="position:absolute;left:5012;top:2861;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" path="m,l78,e" filled="f" strokeweight=".23161mm">
                  <v:path arrowok="t" o:connecttype="custom" o:connectlocs="0,0;78,0" o:connectangles="0,0"/>
                </v:shape>
                <v:shape id="Freeform 185" o:spid="_x0000_s1204" style="position:absolute;left:5075;top:2821;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" path="m,l,78e" filled="f" strokeweight=".23194mm">
                  <v:path arrowok="t" o:connecttype="custom" o:connectlocs="0,0;0,78" o:connectangles="0,0"/>
                </v:shape>
                <v:shape id="Freeform 186" o:spid="_x0000_s1205" style="position:absolute;left:5036;top:2861;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" path="m,l78,e" filled="f" strokeweight=".23161mm">
                  <v:path arrowok="t" o:connecttype="custom" o:connectlocs="0,0;78,0" o:connectangles="0,0"/>
                </v:shape>
                <v:shape id="Freeform 187" o:spid="_x0000_s1206" style="position:absolute;left:5145;top:2821;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" path="m,l,78e" filled="f" strokeweight=".23194mm">
                  <v:path arrowok="t" o:connecttype="custom" o:connectlocs="0,0;0,78" o:connectangles="0,0"/>
                </v:shape>
                <v:shape id="Freeform 188" o:spid="_x0000_s1207" style="position:absolute;left:5106;top:2861;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" path="m,l78,e" filled="f" strokeweight=".23161mm">
                  <v:path arrowok="t" o:connecttype="custom" o:connectlocs="0,0;78,0" o:connectangles="0,0"/>
                </v:shape>
                <v:shape id="Freeform 189" o:spid="_x0000_s1208" style="position:absolute;left:5240;top:2821;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" path="m,l,78e" filled="f" strokeweight=".23194mm">
                  <v:path arrowok="t" o:connecttype="custom" o:connectlocs="0,0;0,78" o:connectangles="0,0"/>
                </v:shape>
                <v:shape id="Freeform 190" o:spid="_x0000_s1209" style="position:absolute;left:5200;top:2861;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" path="m,l78,e" filled="f" strokeweight=".23161mm">
                  <v:path arrowok="t" o:connecttype="custom" o:connectlocs="0,0;78,0" o:connectangles="0,0"/>
                </v:shape>
                <v:shape id="Freeform 191" o:spid="_x0000_s1210" style="position:absolute;left:5382;top:2935;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" path="m,l,78e" filled="f" strokeweight=".23194mm">
                  <v:path arrowok="t" o:connecttype="custom" o:connectlocs="0,0;0,78" o:connectangles="0,0"/>
                </v:shape>
                <v:shape id="Freeform 192" o:spid="_x0000_s1211" style="position:absolute;left:5343;top:2975;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" path="m,l78,e" filled="f" strokeweight=".23161mm">
                  <v:path arrowok="t" o:connecttype="custom" o:connectlocs="0,0;78,0" o:connectangles="0,0"/>
                </v:shape>
                <v:shape id="Freeform 193" o:spid="_x0000_s1212" style="position:absolute;left:5689;top:2935;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" path="m,l,78e" filled="f" strokeweight=".23194mm">
                  <v:path arrowok="t" o:connecttype="custom" o:connectlocs="0,0;0,78" o:connectangles="0,0"/>
                </v:shape>
                <v:shape id="Freeform 194" o:spid="_x0000_s1213" style="position:absolute;left:5650;top:2975;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" path="m,l78,e" filled="f" strokeweight=".23161mm">
                  <v:path arrowok="t" o:connecttype="custom" o:connectlocs="0,0;78,0" o:connectangles="0,0"/>
                </v:shape>
                <v:shape id="Freeform 195" o:spid="_x0000_s1214" style="position:absolute;left:6044;top:3088;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" path="m,l,78e" filled="f" strokeweight=".23194mm">
                  <v:path arrowok="t" o:connecttype="custom" o:connectlocs="0,0;0,78" o:connectangles="0,0"/>
                </v:shape>
                <v:shape id="Freeform 196" o:spid="_x0000_s1215" style="position:absolute;left:6005;top:3128;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" path="m,l78,e" filled="f" strokeweight=".23161mm">
                  <v:path arrowok="t" o:connecttype="custom" o:connectlocs="0,0;78,0" o:connectangles="0,0"/>
                </v:shape>
                <v:shape id="Freeform 197" o:spid="_x0000_s1216" style="position:absolute;left:6057;top:3088;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" path="m,l,78e" filled="f" strokeweight=".23194mm">
                  <v:path arrowok="t" o:connecttype="custom" o:connectlocs="0,0;0,78" o:connectangles="0,0"/>
                </v:shape>
                <v:shape id="Freeform 198" o:spid="_x0000_s1217" style="position:absolute;left:6018;top:3128;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" path="m,l78,e" filled="f" strokeweight=".23161mm">
                  <v:path arrowok="t" o:connecttype="custom" o:connectlocs="0,0;78,0" o:connectangles="0,0"/>
                </v:shape>
                <v:shape id="Freeform 199" o:spid="_x0000_s1218" style="position:absolute;left:6127;top:3088;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" path="m,l,78e" filled="f" strokeweight=".23194mm">
                  <v:path arrowok="t" o:connecttype="custom" o:connectlocs="0,0;0,78" o:connectangles="0,0"/>
                </v:shape>
                <v:shape id="Freeform 200" o:spid="_x0000_s1219" style="position:absolute;left:6088;top:3128;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" path="m,l78,e" filled="f" strokeweight=".23161mm">
                  <v:path arrowok="t" o:connecttype="custom" o:connectlocs="0,0;78,0" o:connectangles="0,0"/>
                </v:shape>
                <v:shape id="Freeform 201" o:spid="_x0000_s1220" style="position:absolute;left:7050;top:3088;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" path="m,l,78e" filled="f" strokeweight=".23194mm">
                  <v:path arrowok="t" o:connecttype="custom" o:connectlocs="0,0;0,78" o:connectangles="0,0"/>
                </v:shape>
                <v:shape id="Freeform 202" o:spid="_x0000_s1221" style="position:absolute;left:7011;top:3128;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" path="m,l78,e" filled="f" strokeweight=".23161mm">
                  <v:path arrowok="t" o:connecttype="custom" o:connectlocs="0,0;78,0" o:connectangles="0,0"/>
                </v:shape>
                <v:shape id="Freeform 203" o:spid="_x0000_s1222" style="position:absolute;left:753;top:3161;width:281;height:20;visibility:visible;mso-wrap-style:square;v-text-anchor:top" coordsize="2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" path="m,l280,e" filled="f" strokeweight=".46325mm">
                  <v:path arrowok="t" o:connecttype="custom" o:connectlocs="0,0;280,0" o:connectangles="0,0"/>
                </v:shape>
                <v:shape id="Freeform 204" o:spid="_x0000_s1223" style="position:absolute;left:894;top:3121;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" path="m,l,78e" filled="f" strokeweight=".23194mm">
                  <v:path arrowok="t" o:connecttype="custom" o:connectlocs="0,0;0,78" o:connectangles="0,0"/>
                </v:shape>
                <v:shape id="Freeform 205" o:spid="_x0000_s1224" style="position:absolute;left:854;top:3161;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" path="m,l78,e" filled="f" strokeweight=".23161mm">
                  <v:path arrowok="t" o:connecttype="custom" o:connectlocs="0,0;78,0" o:connectangles="0,0"/>
                </v:shape>
                <v:shape id="Freeform 206" o:spid="_x0000_s1225" style="position:absolute;left:753;top:3463;width:281;height:20;visibility:visible;mso-wrap-style:square;v-text-anchor:top" coordsize="2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" path="m,l280,e" filled="f" strokeweight=".46325mm">
                  <v:stroke dashstyle="dot"/>
                  <v:path arrowok="t" o:connecttype="custom" o:connectlocs="0,0;280,0" o:connectangles="0,0"/>
                </v:shape>
                <v:shape id="Freeform 207" o:spid="_x0000_s1226" style="position:absolute;left:894;top:3423;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" path="m,l,78e" filled="f" strokeweight=".23194mm">
                  <v:path arrowok="t" o:connecttype="custom" o:connectlocs="0,0;0,78" o:connectangles="0,0"/>
                </v:shape>
                <v:shape id="Freeform 208" o:spid="_x0000_s1227" style="position:absolute;left:854;top:3463;width:79;height:20;visibility:visible;mso-wrap-style:square;v-text-anchor:top" coordsize="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" path="m,l78,e" filled="f" strokeweight=".23161mm">
                  <v:path arrowok="t" o:connecttype="custom" o:connectlocs="0,0;78,0" o:connectangles="0,0"/>
                </v:shape>
                <v:shape id="Freeform 209" o:spid="_x0000_s1228" style="position:absolute;top:26;width:354;height:4110;visibility:visible;mso-wrap-style:square;v-text-anchor:top" coordsize="354,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" path="m,l353,r,4110l,4110,,xe" stroked="f">
                  <v:path arrowok="t" o:connecttype="custom" o:connectlocs="0,0;353,0;353,4110;0,4110;0,0" o:connectangles="0,0,0,0,0"/>
                </v:shape>
                <v:shape id="Text Box 210" o:spid="_x0000_s1229" type="#_x0000_t202" style="position:absolute;left:8;width:27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" filled="f" stroked="f">
                  <v:textbox inset="0,0,0,0">
                    <w:txbxContent>
                      <w:p w14:paraId="5409541E" w14:textId="77777777" w:rsidR="0054615B" w:rsidRDefault="0054615B" w:rsidP="00821423">
                        <w:pPr>
                          <w:pStyle w:val="Brdtekst"/>
                          <w:kinsoku w:val="0"/>
                          <w:overflowPunct w:val="0"/>
                          <w:spacing w:line="221" w:lineRule="exact"/>
                          <w:rPr>
                            <w:sz w:val="20"/>
                            <w:szCs w:val="20"/>
                          </w:rPr>
                        </w:pPr>
                        <w:r>
                          <w:rPr>
                            <w:sz w:val="20"/>
                            <w:szCs w:val="20"/>
                          </w:rPr>
                          <w:t>1,0</w:t>
                        </w:r>
                      </w:p>
                      <w:p w14:paraId="04ECF29F" w14:textId="77777777" w:rsidR="0054615B" w:rsidRDefault="0054615B" w:rsidP="00821423">
                        <w:pPr>
                          <w:pStyle w:val="Brdtekst"/>
                          <w:kinsoku w:val="0"/>
                          <w:overflowPunct w:val="0"/>
                          <w:spacing w:before="130"/>
                          <w:rPr>
                            <w:sz w:val="20"/>
                            <w:szCs w:val="20"/>
                          </w:rPr>
                        </w:pPr>
                        <w:r>
                          <w:rPr>
                            <w:sz w:val="20"/>
                            <w:szCs w:val="20"/>
                          </w:rPr>
                          <w:t>0,9</w:t>
                        </w:r>
                      </w:p>
                      <w:p w14:paraId="11246A92" w14:textId="77777777" w:rsidR="0054615B" w:rsidRDefault="0054615B" w:rsidP="00821423">
                        <w:pPr>
                          <w:pStyle w:val="Brdtekst"/>
                          <w:kinsoku w:val="0"/>
                          <w:overflowPunct w:val="0"/>
                          <w:spacing w:before="130"/>
                          <w:rPr>
                            <w:sz w:val="20"/>
                            <w:szCs w:val="20"/>
                          </w:rPr>
                        </w:pPr>
                        <w:r>
                          <w:rPr>
                            <w:sz w:val="20"/>
                            <w:szCs w:val="20"/>
                          </w:rPr>
                          <w:t>0,8</w:t>
                        </w:r>
                      </w:p>
                      <w:p w14:paraId="3D192E58" w14:textId="77777777" w:rsidR="0054615B" w:rsidRDefault="0054615B" w:rsidP="00821423">
                        <w:pPr>
                          <w:pStyle w:val="Brdtekst"/>
                          <w:kinsoku w:val="0"/>
                          <w:overflowPunct w:val="0"/>
                          <w:spacing w:before="130"/>
                          <w:rPr>
                            <w:sz w:val="20"/>
                            <w:szCs w:val="20"/>
                          </w:rPr>
                        </w:pPr>
                        <w:r>
                          <w:rPr>
                            <w:sz w:val="20"/>
                            <w:szCs w:val="20"/>
                          </w:rPr>
                          <w:t>0,7</w:t>
                        </w:r>
                      </w:p>
                      <w:p w14:paraId="0A13AE81" w14:textId="77777777" w:rsidR="0054615B" w:rsidRDefault="0054615B" w:rsidP="00821423">
                        <w:pPr>
                          <w:pStyle w:val="Brdtekst"/>
                          <w:kinsoku w:val="0"/>
                          <w:overflowPunct w:val="0"/>
                          <w:spacing w:before="130"/>
                          <w:rPr>
                            <w:sz w:val="20"/>
                            <w:szCs w:val="20"/>
                          </w:rPr>
                        </w:pPr>
                        <w:r>
                          <w:rPr>
                            <w:sz w:val="20"/>
                            <w:szCs w:val="20"/>
                          </w:rPr>
                          <w:t>0,6</w:t>
                        </w:r>
                      </w:p>
                      <w:p w14:paraId="301A37BF" w14:textId="77777777" w:rsidR="0054615B" w:rsidRDefault="0054615B" w:rsidP="00821423">
                        <w:pPr>
                          <w:pStyle w:val="Brdtekst"/>
                          <w:kinsoku w:val="0"/>
                          <w:overflowPunct w:val="0"/>
                          <w:spacing w:before="166"/>
                          <w:rPr>
                            <w:sz w:val="20"/>
                            <w:szCs w:val="20"/>
                          </w:rPr>
                        </w:pPr>
                        <w:r>
                          <w:rPr>
                            <w:sz w:val="20"/>
                            <w:szCs w:val="20"/>
                          </w:rPr>
                          <w:t>0,5</w:t>
                        </w:r>
                      </w:p>
                      <w:p w14:paraId="78D96CA8" w14:textId="77777777" w:rsidR="0054615B" w:rsidRDefault="0054615B" w:rsidP="00821423">
                        <w:pPr>
                          <w:pStyle w:val="Brdtekst"/>
                          <w:kinsoku w:val="0"/>
                          <w:overflowPunct w:val="0"/>
                          <w:spacing w:before="171"/>
                          <w:rPr>
                            <w:sz w:val="20"/>
                            <w:szCs w:val="20"/>
                          </w:rPr>
                        </w:pPr>
                        <w:r>
                          <w:rPr>
                            <w:sz w:val="20"/>
                            <w:szCs w:val="20"/>
                          </w:rPr>
                          <w:t>0,4</w:t>
                        </w:r>
                      </w:p>
                      <w:p w14:paraId="482A53CE" w14:textId="77777777" w:rsidR="0054615B" w:rsidRDefault="0054615B" w:rsidP="00821423">
                        <w:pPr>
                          <w:pStyle w:val="Brdtekst"/>
                          <w:kinsoku w:val="0"/>
                          <w:overflowPunct w:val="0"/>
                          <w:spacing w:before="170"/>
                          <w:rPr>
                            <w:sz w:val="20"/>
                            <w:szCs w:val="20"/>
                          </w:rPr>
                        </w:pPr>
                        <w:r>
                          <w:rPr>
                            <w:sz w:val="20"/>
                            <w:szCs w:val="20"/>
                          </w:rPr>
                          <w:t>0,3</w:t>
                        </w:r>
                      </w:p>
                      <w:p w14:paraId="1ADDD989" w14:textId="77777777" w:rsidR="0054615B" w:rsidRDefault="0054615B" w:rsidP="00821423">
                        <w:pPr>
                          <w:pStyle w:val="Brdtekst"/>
                          <w:kinsoku w:val="0"/>
                          <w:overflowPunct w:val="0"/>
                          <w:spacing w:before="152"/>
                          <w:rPr>
                            <w:sz w:val="20"/>
                            <w:szCs w:val="20"/>
                          </w:rPr>
                        </w:pPr>
                        <w:r>
                          <w:rPr>
                            <w:sz w:val="20"/>
                            <w:szCs w:val="20"/>
                          </w:rPr>
                          <w:t>0,2</w:t>
                        </w:r>
                      </w:p>
                      <w:p w14:paraId="4BEF0C20" w14:textId="77777777" w:rsidR="0054615B" w:rsidRDefault="0054615B" w:rsidP="00821423">
                        <w:pPr>
                          <w:pStyle w:val="Brdtekst"/>
                          <w:kinsoku w:val="0"/>
                          <w:overflowPunct w:val="0"/>
                          <w:spacing w:before="130"/>
                          <w:rPr>
                            <w:sz w:val="20"/>
                            <w:szCs w:val="20"/>
                          </w:rPr>
                        </w:pPr>
                        <w:r>
                          <w:rPr>
                            <w:sz w:val="20"/>
                            <w:szCs w:val="20"/>
                          </w:rPr>
                          <w:t>0,1</w:t>
                        </w:r>
                      </w:p>
                      <w:p w14:paraId="2CB0F9AC" w14:textId="77777777" w:rsidR="0054615B" w:rsidRDefault="0054615B" w:rsidP="00821423">
                        <w:pPr>
                          <w:pStyle w:val="Brdtekst"/>
                          <w:kinsoku w:val="0"/>
                          <w:overflowPunct w:val="0"/>
                          <w:spacing w:before="130"/>
                          <w:rPr>
                            <w:sz w:val="20"/>
                            <w:szCs w:val="20"/>
                          </w:rPr>
                        </w:pPr>
                        <w:r>
                          <w:rPr>
                            <w:sz w:val="20"/>
                            <w:szCs w:val="20"/>
                          </w:rPr>
                          <w:t>0,0</w:t>
                        </w:r>
                      </w:p>
                    </w:txbxContent>
                  </v:textbox>
                </v:shape>
                <v:shape id="Text Box 211" o:spid="_x0000_s1230" type="#_x0000_t202" style="position:absolute;left:1201;top:3024;width:1151;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" filled="f" stroked="f">
                  <v:textbox inset="0,0,0,0">
                    <w:txbxContent>
                      <w:p w14:paraId="1C67115B" w14:textId="77777777" w:rsidR="0054615B" w:rsidRDefault="0054615B" w:rsidP="00821423">
                        <w:pPr>
                          <w:pStyle w:val="Brdtekst"/>
                          <w:kinsoku w:val="0"/>
                          <w:overflowPunct w:val="0"/>
                          <w:spacing w:line="201" w:lineRule="exact"/>
                          <w:rPr>
                            <w:rFonts w:ascii="Arial" w:hAnsi="Arial" w:cs="Arial"/>
                            <w:sz w:val="18"/>
                            <w:szCs w:val="18"/>
                          </w:rPr>
                        </w:pPr>
                        <w:r>
                          <w:rPr>
                            <w:rFonts w:ascii="Arial" w:hAnsi="Arial" w:cs="Arial"/>
                            <w:sz w:val="18"/>
                            <w:szCs w:val="18"/>
                          </w:rPr>
                          <w:t>Cabozantinib</w:t>
                        </w:r>
                      </w:p>
                      <w:p w14:paraId="391189AE" w14:textId="77777777" w:rsidR="0054615B" w:rsidRDefault="0054615B" w:rsidP="00821423">
                        <w:pPr>
                          <w:pStyle w:val="Brdtekst"/>
                          <w:kinsoku w:val="0"/>
                          <w:overflowPunct w:val="0"/>
                          <w:spacing w:before="153"/>
                          <w:rPr>
                            <w:rFonts w:ascii="Arial" w:hAnsi="Arial" w:cs="Arial"/>
                            <w:sz w:val="18"/>
                            <w:szCs w:val="18"/>
                          </w:rPr>
                        </w:pPr>
                        <w:r>
                          <w:rPr>
                            <w:rFonts w:ascii="Arial" w:hAnsi="Arial" w:cs="Arial"/>
                            <w:sz w:val="18"/>
                            <w:szCs w:val="18"/>
                          </w:rPr>
                          <w:t>Everolimus</w:t>
                        </w:r>
                      </w:p>
                    </w:txbxContent>
                  </v:textbox>
                </v:shape>
                <v:shape id="Text Box 212" o:spid="_x0000_s1231" type="#_x0000_t202" style="position:absolute;left:379;top:4043;width:3333;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" filled="f" stroked="f">
                  <v:textbox inset="0,0,0,0">
                    <w:txbxContent>
                      <w:p w14:paraId="70DBA5D6" w14:textId="77777777" w:rsidR="0054615B" w:rsidRDefault="0054615B" w:rsidP="00821423">
                        <w:pPr>
                          <w:pStyle w:val="Brdtekst"/>
                          <w:tabs>
                            <w:tab w:val="left" w:pos="1078"/>
                            <w:tab w:val="left" w:pos="2158"/>
                            <w:tab w:val="left" w:pos="3237"/>
                          </w:tabs>
                          <w:kinsoku w:val="0"/>
                          <w:overflowPunct w:val="0"/>
                          <w:spacing w:before="1"/>
                          <w:rPr>
                            <w:rFonts w:ascii="Arial" w:hAnsi="Arial" w:cs="Arial"/>
                            <w:w w:val="105"/>
                            <w:sz w:val="13"/>
                            <w:szCs w:val="13"/>
                          </w:rPr>
                        </w:pPr>
                        <w:r>
                          <w:rPr>
                            <w:rFonts w:ascii="Arial" w:hAnsi="Arial" w:cs="Arial"/>
                            <w:w w:val="105"/>
                            <w:sz w:val="13"/>
                            <w:szCs w:val="13"/>
                          </w:rPr>
                          <w:t>0</w:t>
                        </w:r>
                        <w:r>
                          <w:rPr>
                            <w:rFonts w:ascii="Arial" w:hAnsi="Arial" w:cs="Arial"/>
                            <w:w w:val="105"/>
                            <w:sz w:val="13"/>
                            <w:szCs w:val="13"/>
                          </w:rPr>
                          <w:tab/>
                          <w:t>3</w:t>
                        </w:r>
                        <w:r>
                          <w:rPr>
                            <w:rFonts w:ascii="Arial" w:hAnsi="Arial" w:cs="Arial"/>
                            <w:w w:val="105"/>
                            <w:sz w:val="13"/>
                            <w:szCs w:val="13"/>
                          </w:rPr>
                          <w:tab/>
                          <w:t>6</w:t>
                        </w:r>
                        <w:r>
                          <w:rPr>
                            <w:rFonts w:ascii="Arial" w:hAnsi="Arial" w:cs="Arial"/>
                            <w:w w:val="105"/>
                            <w:sz w:val="13"/>
                            <w:szCs w:val="13"/>
                          </w:rPr>
                          <w:tab/>
                          <w:t>9</w:t>
                        </w:r>
                      </w:p>
                    </w:txbxContent>
                  </v:textbox>
                </v:shape>
                <v:shape id="Text Box 213" o:spid="_x0000_s1232" type="#_x0000_t202" style="position:absolute;left:4646;top:4043;width:22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" filled="f" stroked="f">
                  <v:textbox inset="0,0,0,0">
                    <w:txbxContent>
                      <w:p w14:paraId="3575E37A" w14:textId="77777777" w:rsidR="0054615B" w:rsidRDefault="0054615B" w:rsidP="00821423">
                        <w:pPr>
                          <w:pStyle w:val="Brdtekst"/>
                          <w:kinsoku w:val="0"/>
                          <w:overflowPunct w:val="0"/>
                          <w:spacing w:before="1"/>
                          <w:rPr>
                            <w:rFonts w:ascii="Arial" w:hAnsi="Arial" w:cs="Arial"/>
                            <w:sz w:val="13"/>
                            <w:szCs w:val="13"/>
                          </w:rPr>
                        </w:pPr>
                        <w:r>
                          <w:rPr>
                            <w:rFonts w:ascii="Arial" w:hAnsi="Arial" w:cs="Arial"/>
                            <w:w w:val="105"/>
                            <w:sz w:val="13"/>
                            <w:szCs w:val="13"/>
                          </w:rPr>
                          <w:t>12</w:t>
                        </w:r>
                        <w:r>
                          <w:rPr>
                            <w:rFonts w:ascii="Arial" w:hAnsi="Arial" w:cs="Arial"/>
                            <w:sz w:val="13"/>
                            <w:szCs w:val="13"/>
                          </w:rPr>
                          <w:t xml:space="preserve"> </w:t>
                        </w:r>
                      </w:p>
                    </w:txbxContent>
                  </v:textbox>
                </v:shape>
                <v:shape id="Text Box 214" o:spid="_x0000_s1233" type="#_x0000_t202" style="position:absolute;left:5727;top:4043;width:22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" filled="f" stroked="f">
                  <v:textbox inset="0,0,0,0">
                    <w:txbxContent>
                      <w:p w14:paraId="06A485FB" w14:textId="77777777" w:rsidR="0054615B" w:rsidRDefault="0054615B" w:rsidP="00821423">
                        <w:pPr>
                          <w:pStyle w:val="Brdtekst"/>
                          <w:kinsoku w:val="0"/>
                          <w:overflowPunct w:val="0"/>
                          <w:spacing w:before="1"/>
                          <w:rPr>
                            <w:rFonts w:ascii="Arial" w:hAnsi="Arial" w:cs="Arial"/>
                            <w:sz w:val="13"/>
                            <w:szCs w:val="13"/>
                          </w:rPr>
                        </w:pPr>
                        <w:r>
                          <w:rPr>
                            <w:rFonts w:ascii="Arial" w:hAnsi="Arial" w:cs="Arial"/>
                            <w:w w:val="105"/>
                            <w:sz w:val="13"/>
                            <w:szCs w:val="13"/>
                          </w:rPr>
                          <w:t>15</w:t>
                        </w:r>
                        <w:r>
                          <w:rPr>
                            <w:rFonts w:ascii="Arial" w:hAnsi="Arial" w:cs="Arial"/>
                            <w:sz w:val="13"/>
                            <w:szCs w:val="13"/>
                          </w:rPr>
                          <w:t xml:space="preserve"> </w:t>
                        </w:r>
                      </w:p>
                    </w:txbxContent>
                  </v:textbox>
                </v:shape>
                <v:shape id="Text Box 215" o:spid="_x0000_s1234" type="#_x0000_t202" style="position:absolute;left:6805;top:4043;width:22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" filled="f" stroked="f">
                  <v:textbox inset="0,0,0,0">
                    <w:txbxContent>
                      <w:p w14:paraId="70B4ACAC" w14:textId="77777777" w:rsidR="0054615B" w:rsidRDefault="0054615B" w:rsidP="00821423">
                        <w:pPr>
                          <w:pStyle w:val="Brdtekst"/>
                          <w:kinsoku w:val="0"/>
                          <w:overflowPunct w:val="0"/>
                          <w:spacing w:before="1"/>
                          <w:rPr>
                            <w:rFonts w:ascii="Arial" w:hAnsi="Arial" w:cs="Arial"/>
                            <w:sz w:val="13"/>
                            <w:szCs w:val="13"/>
                          </w:rPr>
                        </w:pPr>
                        <w:r>
                          <w:rPr>
                            <w:rFonts w:ascii="Arial" w:hAnsi="Arial" w:cs="Arial"/>
                            <w:w w:val="105"/>
                            <w:sz w:val="13"/>
                            <w:szCs w:val="13"/>
                          </w:rPr>
                          <w:t>18</w:t>
                        </w:r>
                        <w:r>
                          <w:rPr>
                            <w:rFonts w:ascii="Arial" w:hAnsi="Arial" w:cs="Arial"/>
                            <w:sz w:val="13"/>
                            <w:szCs w:val="13"/>
                          </w:rPr>
                          <w:t xml:space="preserve"> </w:t>
                        </w:r>
                      </w:p>
                    </w:txbxContent>
                  </v:textbox>
                </v:shape>
                <w10:anchorlock/>
              </v:group>
            </w:pict>
          </mc:Fallback>
        </mc:AlternateContent>
      </w:r>
    </w:p>
    <w:p w14:paraId="364291E8" w14:textId="77777777" w:rsidR="00821423" w:rsidRDefault="00821423" w:rsidP="00821423">
      <w:pPr>
        <w:rPr>
          <w:sz w:val="20"/>
        </w:rPr>
      </w:pPr>
    </w:p>
    <w:tbl>
      <w:tblPr>
        <w:tblW w:w="0" w:type="auto"/>
        <w:tblInd w:w="709" w:type="dxa"/>
        <w:tblLayout w:type="fixed"/>
        <w:tblCellMar>
          <w:left w:w="0" w:type="dxa"/>
          <w:right w:w="0" w:type="dxa"/>
        </w:tblCellMar>
        <w:tblLook w:val="04A0" w:firstRow="1" w:lastRow="0" w:firstColumn="1" w:lastColumn="0" w:noHBand="0" w:noVBand="1"/>
      </w:tblPr>
      <w:tblGrid>
        <w:gridCol w:w="1201"/>
        <w:gridCol w:w="796"/>
        <w:gridCol w:w="1120"/>
        <w:gridCol w:w="1076"/>
        <w:gridCol w:w="1077"/>
        <w:gridCol w:w="1122"/>
        <w:gridCol w:w="1077"/>
        <w:gridCol w:w="633"/>
      </w:tblGrid>
      <w:tr w:rsidR="00821423" w14:paraId="6E071D32" w14:textId="77777777" w:rsidTr="00821423">
        <w:trPr>
          <w:trHeight w:val="255"/>
        </w:trPr>
        <w:tc>
          <w:tcPr>
            <w:tcW w:w="1201" w:type="dxa"/>
            <w:tcBorders>
              <w:top w:val="nil"/>
              <w:left w:val="nil"/>
              <w:bottom w:val="nil"/>
              <w:right w:val="nil"/>
            </w:tcBorders>
            <w:hideMark/>
          </w:tcPr>
          <w:p w14:paraId="35D1EED5" w14:textId="16A44DB0" w:rsidR="00821423" w:rsidRDefault="00821423">
            <w:pPr>
              <w:pStyle w:val="TableParagraph"/>
              <w:kinsoku w:val="0"/>
              <w:overflowPunct w:val="0"/>
              <w:spacing w:before="45" w:line="240" w:lineRule="auto"/>
              <w:ind w:left="50"/>
              <w:rPr>
                <w:rFonts w:ascii="Arial" w:hAnsi="Arial" w:cs="Arial"/>
                <w:b/>
                <w:bCs/>
                <w:kern w:val="2"/>
                <w:sz w:val="16"/>
                <w:szCs w:val="16"/>
              </w:rPr>
            </w:pPr>
            <w:r>
              <w:rPr>
                <w:rFonts w:ascii="Arial" w:hAnsi="Arial" w:cs="Arial"/>
                <w:b/>
                <w:bCs/>
                <w:kern w:val="2"/>
                <w:sz w:val="16"/>
                <w:szCs w:val="16"/>
              </w:rPr>
              <w:t>Antal i risikogruppe:</w:t>
            </w:r>
          </w:p>
        </w:tc>
        <w:tc>
          <w:tcPr>
            <w:tcW w:w="6901" w:type="dxa"/>
            <w:gridSpan w:val="7"/>
            <w:tcBorders>
              <w:top w:val="nil"/>
              <w:left w:val="nil"/>
              <w:bottom w:val="nil"/>
              <w:right w:val="nil"/>
            </w:tcBorders>
          </w:tcPr>
          <w:p w14:paraId="51C42D35" w14:textId="31D42984" w:rsidR="00821423" w:rsidRPr="00821423" w:rsidRDefault="00821423" w:rsidP="00821423">
            <w:pPr>
              <w:pStyle w:val="TableParagraph"/>
              <w:tabs>
                <w:tab w:val="left" w:pos="2343"/>
              </w:tabs>
              <w:kinsoku w:val="0"/>
              <w:overflowPunct w:val="0"/>
              <w:spacing w:line="240" w:lineRule="auto"/>
              <w:ind w:left="0"/>
              <w:rPr>
                <w:b/>
                <w:kern w:val="2"/>
              </w:rPr>
            </w:pPr>
            <w:r>
              <w:rPr>
                <w:kern w:val="2"/>
                <w:sz w:val="18"/>
                <w:szCs w:val="18"/>
              </w:rPr>
              <w:tab/>
            </w:r>
            <w:r w:rsidRPr="00821423">
              <w:rPr>
                <w:b/>
                <w:kern w:val="2"/>
              </w:rPr>
              <w:t>Måneder</w:t>
            </w:r>
          </w:p>
        </w:tc>
      </w:tr>
      <w:tr w:rsidR="00821423" w14:paraId="4F331281" w14:textId="77777777" w:rsidTr="00821423">
        <w:trPr>
          <w:trHeight w:val="212"/>
        </w:trPr>
        <w:tc>
          <w:tcPr>
            <w:tcW w:w="1201" w:type="dxa"/>
            <w:tcBorders>
              <w:top w:val="nil"/>
              <w:left w:val="nil"/>
              <w:bottom w:val="nil"/>
              <w:right w:val="nil"/>
            </w:tcBorders>
            <w:hideMark/>
          </w:tcPr>
          <w:p w14:paraId="21F80A4A" w14:textId="77777777" w:rsidR="00821423" w:rsidRDefault="00821423">
            <w:pPr>
              <w:pStyle w:val="TableParagraph"/>
              <w:kinsoku w:val="0"/>
              <w:overflowPunct w:val="0"/>
              <w:spacing w:before="35" w:line="158" w:lineRule="exact"/>
              <w:ind w:left="50"/>
              <w:rPr>
                <w:rFonts w:ascii="Arial" w:hAnsi="Arial" w:cs="Arial"/>
                <w:kern w:val="2"/>
                <w:sz w:val="16"/>
                <w:szCs w:val="16"/>
              </w:rPr>
            </w:pPr>
            <w:r>
              <w:rPr>
                <w:rFonts w:ascii="Arial" w:hAnsi="Arial" w:cs="Arial"/>
                <w:kern w:val="2"/>
                <w:sz w:val="16"/>
                <w:szCs w:val="16"/>
              </w:rPr>
              <w:t xml:space="preserve">Cabozantinib </w:t>
            </w:r>
          </w:p>
        </w:tc>
        <w:tc>
          <w:tcPr>
            <w:tcW w:w="796" w:type="dxa"/>
            <w:tcBorders>
              <w:top w:val="nil"/>
              <w:left w:val="nil"/>
              <w:bottom w:val="nil"/>
              <w:right w:val="nil"/>
            </w:tcBorders>
            <w:hideMark/>
          </w:tcPr>
          <w:p w14:paraId="43AF8DED" w14:textId="77777777" w:rsidR="00821423" w:rsidRDefault="00821423">
            <w:pPr>
              <w:pStyle w:val="TableParagraph"/>
              <w:kinsoku w:val="0"/>
              <w:overflowPunct w:val="0"/>
              <w:spacing w:before="26" w:line="166" w:lineRule="exact"/>
              <w:ind w:left="125"/>
              <w:rPr>
                <w:rFonts w:ascii="Arial" w:hAnsi="Arial" w:cs="Arial"/>
                <w:w w:val="105"/>
                <w:kern w:val="2"/>
                <w:sz w:val="15"/>
                <w:szCs w:val="15"/>
              </w:rPr>
            </w:pPr>
            <w:r>
              <w:rPr>
                <w:rFonts w:ascii="Arial" w:hAnsi="Arial" w:cs="Arial"/>
                <w:w w:val="105"/>
                <w:kern w:val="2"/>
                <w:sz w:val="15"/>
                <w:szCs w:val="15"/>
              </w:rPr>
              <w:t>187</w:t>
            </w:r>
          </w:p>
        </w:tc>
        <w:tc>
          <w:tcPr>
            <w:tcW w:w="1120" w:type="dxa"/>
            <w:tcBorders>
              <w:top w:val="nil"/>
              <w:left w:val="nil"/>
              <w:bottom w:val="nil"/>
              <w:right w:val="nil"/>
            </w:tcBorders>
            <w:hideMark/>
          </w:tcPr>
          <w:p w14:paraId="40E49D28" w14:textId="77777777" w:rsidR="00821423" w:rsidRDefault="00821423">
            <w:pPr>
              <w:pStyle w:val="TableParagraph"/>
              <w:kinsoku w:val="0"/>
              <w:overflowPunct w:val="0"/>
              <w:spacing w:before="26" w:line="166" w:lineRule="exact"/>
              <w:ind w:left="0" w:right="447"/>
              <w:jc w:val="right"/>
              <w:rPr>
                <w:rFonts w:ascii="Arial" w:hAnsi="Arial" w:cs="Arial"/>
                <w:w w:val="105"/>
                <w:kern w:val="2"/>
                <w:sz w:val="15"/>
                <w:szCs w:val="15"/>
              </w:rPr>
            </w:pPr>
            <w:r>
              <w:rPr>
                <w:rFonts w:ascii="Arial" w:hAnsi="Arial" w:cs="Arial"/>
                <w:w w:val="105"/>
                <w:kern w:val="2"/>
                <w:sz w:val="15"/>
                <w:szCs w:val="15"/>
              </w:rPr>
              <w:t>152</w:t>
            </w:r>
          </w:p>
        </w:tc>
        <w:tc>
          <w:tcPr>
            <w:tcW w:w="1076" w:type="dxa"/>
            <w:tcBorders>
              <w:top w:val="nil"/>
              <w:left w:val="nil"/>
              <w:bottom w:val="nil"/>
              <w:right w:val="nil"/>
            </w:tcBorders>
            <w:hideMark/>
          </w:tcPr>
          <w:p w14:paraId="1D6DDC21" w14:textId="77777777" w:rsidR="00821423" w:rsidRDefault="00821423">
            <w:pPr>
              <w:pStyle w:val="TableParagraph"/>
              <w:kinsoku w:val="0"/>
              <w:overflowPunct w:val="0"/>
              <w:spacing w:before="26" w:line="166" w:lineRule="exact"/>
              <w:ind w:left="429" w:right="430"/>
              <w:jc w:val="center"/>
              <w:rPr>
                <w:rFonts w:ascii="Arial" w:hAnsi="Arial" w:cs="Arial"/>
                <w:w w:val="105"/>
                <w:kern w:val="2"/>
                <w:sz w:val="15"/>
                <w:szCs w:val="15"/>
              </w:rPr>
            </w:pPr>
            <w:r>
              <w:rPr>
                <w:rFonts w:ascii="Arial" w:hAnsi="Arial" w:cs="Arial"/>
                <w:w w:val="105"/>
                <w:kern w:val="2"/>
                <w:sz w:val="15"/>
                <w:szCs w:val="15"/>
              </w:rPr>
              <w:t>92</w:t>
            </w:r>
          </w:p>
        </w:tc>
        <w:tc>
          <w:tcPr>
            <w:tcW w:w="1077" w:type="dxa"/>
            <w:tcBorders>
              <w:top w:val="nil"/>
              <w:left w:val="nil"/>
              <w:bottom w:val="nil"/>
              <w:right w:val="nil"/>
            </w:tcBorders>
            <w:hideMark/>
          </w:tcPr>
          <w:p w14:paraId="1AA2943D" w14:textId="77777777" w:rsidR="00821423" w:rsidRDefault="00821423">
            <w:pPr>
              <w:pStyle w:val="TableParagraph"/>
              <w:kinsoku w:val="0"/>
              <w:overflowPunct w:val="0"/>
              <w:spacing w:before="26" w:line="166" w:lineRule="exact"/>
              <w:ind w:left="446"/>
              <w:rPr>
                <w:rFonts w:ascii="Arial" w:hAnsi="Arial" w:cs="Arial"/>
                <w:w w:val="105"/>
                <w:kern w:val="2"/>
                <w:sz w:val="15"/>
                <w:szCs w:val="15"/>
              </w:rPr>
            </w:pPr>
            <w:r>
              <w:rPr>
                <w:rFonts w:ascii="Arial" w:hAnsi="Arial" w:cs="Arial"/>
                <w:w w:val="105"/>
                <w:kern w:val="2"/>
                <w:sz w:val="15"/>
                <w:szCs w:val="15"/>
              </w:rPr>
              <w:t>68</w:t>
            </w:r>
          </w:p>
        </w:tc>
        <w:tc>
          <w:tcPr>
            <w:tcW w:w="1122" w:type="dxa"/>
            <w:tcBorders>
              <w:top w:val="nil"/>
              <w:left w:val="nil"/>
              <w:bottom w:val="nil"/>
              <w:right w:val="nil"/>
            </w:tcBorders>
            <w:hideMark/>
          </w:tcPr>
          <w:p w14:paraId="6A1DAF1D" w14:textId="77777777" w:rsidR="00821423" w:rsidRDefault="00821423">
            <w:pPr>
              <w:pStyle w:val="TableParagraph"/>
              <w:kinsoku w:val="0"/>
              <w:overflowPunct w:val="0"/>
              <w:spacing w:before="26" w:line="166" w:lineRule="exact"/>
              <w:ind w:left="428" w:right="477"/>
              <w:jc w:val="center"/>
              <w:rPr>
                <w:rFonts w:ascii="Arial" w:hAnsi="Arial" w:cs="Arial"/>
                <w:w w:val="105"/>
                <w:kern w:val="2"/>
                <w:sz w:val="15"/>
                <w:szCs w:val="15"/>
              </w:rPr>
            </w:pPr>
            <w:r>
              <w:rPr>
                <w:rFonts w:ascii="Arial" w:hAnsi="Arial" w:cs="Arial"/>
                <w:w w:val="105"/>
                <w:kern w:val="2"/>
                <w:sz w:val="15"/>
                <w:szCs w:val="15"/>
              </w:rPr>
              <w:t>20</w:t>
            </w:r>
          </w:p>
        </w:tc>
        <w:tc>
          <w:tcPr>
            <w:tcW w:w="1077" w:type="dxa"/>
            <w:tcBorders>
              <w:top w:val="nil"/>
              <w:left w:val="nil"/>
              <w:bottom w:val="nil"/>
              <w:right w:val="nil"/>
            </w:tcBorders>
            <w:hideMark/>
          </w:tcPr>
          <w:p w14:paraId="0FD3EC44" w14:textId="77777777" w:rsidR="00821423" w:rsidRDefault="00821423">
            <w:pPr>
              <w:pStyle w:val="TableParagraph"/>
              <w:kinsoku w:val="0"/>
              <w:overflowPunct w:val="0"/>
              <w:spacing w:before="26" w:line="166" w:lineRule="exact"/>
              <w:ind w:left="490"/>
              <w:rPr>
                <w:rFonts w:ascii="Arial" w:hAnsi="Arial" w:cs="Arial"/>
                <w:w w:val="106"/>
                <w:kern w:val="2"/>
                <w:sz w:val="15"/>
                <w:szCs w:val="15"/>
              </w:rPr>
            </w:pPr>
            <w:r>
              <w:rPr>
                <w:rFonts w:ascii="Arial" w:hAnsi="Arial" w:cs="Arial"/>
                <w:w w:val="106"/>
                <w:kern w:val="2"/>
                <w:sz w:val="15"/>
                <w:szCs w:val="15"/>
              </w:rPr>
              <w:t>6</w:t>
            </w:r>
          </w:p>
        </w:tc>
        <w:tc>
          <w:tcPr>
            <w:tcW w:w="633" w:type="dxa"/>
            <w:tcBorders>
              <w:top w:val="nil"/>
              <w:left w:val="nil"/>
              <w:bottom w:val="nil"/>
              <w:right w:val="nil"/>
            </w:tcBorders>
            <w:hideMark/>
          </w:tcPr>
          <w:p w14:paraId="501BA26D" w14:textId="77777777" w:rsidR="00821423" w:rsidRDefault="00821423">
            <w:pPr>
              <w:pStyle w:val="TableParagraph"/>
              <w:kinsoku w:val="0"/>
              <w:overflowPunct w:val="0"/>
              <w:spacing w:before="26" w:line="166" w:lineRule="exact"/>
              <w:ind w:left="0" w:right="53"/>
              <w:jc w:val="right"/>
              <w:rPr>
                <w:rFonts w:ascii="Arial" w:hAnsi="Arial" w:cs="Arial"/>
                <w:w w:val="106"/>
                <w:kern w:val="2"/>
                <w:sz w:val="15"/>
                <w:szCs w:val="15"/>
              </w:rPr>
            </w:pPr>
            <w:r>
              <w:rPr>
                <w:rFonts w:ascii="Arial" w:hAnsi="Arial" w:cs="Arial"/>
                <w:w w:val="106"/>
                <w:kern w:val="2"/>
                <w:sz w:val="15"/>
                <w:szCs w:val="15"/>
              </w:rPr>
              <w:t>2</w:t>
            </w:r>
          </w:p>
        </w:tc>
      </w:tr>
      <w:tr w:rsidR="00821423" w14:paraId="7C819632" w14:textId="77777777" w:rsidTr="00821423">
        <w:trPr>
          <w:trHeight w:val="260"/>
        </w:trPr>
        <w:tc>
          <w:tcPr>
            <w:tcW w:w="1201" w:type="dxa"/>
            <w:tcBorders>
              <w:top w:val="nil"/>
              <w:left w:val="nil"/>
              <w:bottom w:val="nil"/>
              <w:right w:val="nil"/>
            </w:tcBorders>
            <w:hideMark/>
          </w:tcPr>
          <w:p w14:paraId="7559AFB5" w14:textId="77777777" w:rsidR="00821423" w:rsidRDefault="00821423">
            <w:pPr>
              <w:pStyle w:val="TableParagraph"/>
              <w:kinsoku w:val="0"/>
              <w:overflowPunct w:val="0"/>
              <w:spacing w:before="26" w:line="240" w:lineRule="auto"/>
              <w:ind w:left="50"/>
              <w:rPr>
                <w:rFonts w:ascii="Arial" w:hAnsi="Arial" w:cs="Arial"/>
                <w:kern w:val="2"/>
                <w:sz w:val="16"/>
                <w:szCs w:val="16"/>
              </w:rPr>
            </w:pPr>
            <w:r>
              <w:rPr>
                <w:rFonts w:ascii="Arial" w:hAnsi="Arial" w:cs="Arial"/>
                <w:kern w:val="2"/>
                <w:sz w:val="16"/>
                <w:szCs w:val="16"/>
              </w:rPr>
              <w:t>Everolimus</w:t>
            </w:r>
          </w:p>
        </w:tc>
        <w:tc>
          <w:tcPr>
            <w:tcW w:w="796" w:type="dxa"/>
            <w:tcBorders>
              <w:top w:val="nil"/>
              <w:left w:val="nil"/>
              <w:bottom w:val="nil"/>
              <w:right w:val="nil"/>
            </w:tcBorders>
            <w:hideMark/>
          </w:tcPr>
          <w:p w14:paraId="0CB6B296" w14:textId="77777777" w:rsidR="00821423" w:rsidRDefault="00821423">
            <w:pPr>
              <w:pStyle w:val="TableParagraph"/>
              <w:kinsoku w:val="0"/>
              <w:overflowPunct w:val="0"/>
              <w:spacing w:line="167" w:lineRule="exact"/>
              <w:ind w:left="125"/>
              <w:rPr>
                <w:rFonts w:ascii="Arial" w:hAnsi="Arial" w:cs="Arial"/>
                <w:w w:val="105"/>
                <w:kern w:val="2"/>
                <w:sz w:val="15"/>
                <w:szCs w:val="15"/>
              </w:rPr>
            </w:pPr>
            <w:r>
              <w:rPr>
                <w:rFonts w:ascii="Arial" w:hAnsi="Arial" w:cs="Arial"/>
                <w:w w:val="105"/>
                <w:kern w:val="2"/>
                <w:sz w:val="15"/>
                <w:szCs w:val="15"/>
              </w:rPr>
              <w:t>188</w:t>
            </w:r>
          </w:p>
        </w:tc>
        <w:tc>
          <w:tcPr>
            <w:tcW w:w="1120" w:type="dxa"/>
            <w:tcBorders>
              <w:top w:val="nil"/>
              <w:left w:val="nil"/>
              <w:bottom w:val="nil"/>
              <w:right w:val="nil"/>
            </w:tcBorders>
            <w:hideMark/>
          </w:tcPr>
          <w:p w14:paraId="57EDD379" w14:textId="77777777" w:rsidR="00821423" w:rsidRDefault="00821423">
            <w:pPr>
              <w:pStyle w:val="TableParagraph"/>
              <w:kinsoku w:val="0"/>
              <w:overflowPunct w:val="0"/>
              <w:spacing w:line="167" w:lineRule="exact"/>
              <w:ind w:left="0" w:right="447"/>
              <w:jc w:val="right"/>
              <w:rPr>
                <w:rFonts w:ascii="Arial" w:hAnsi="Arial" w:cs="Arial"/>
                <w:w w:val="105"/>
                <w:kern w:val="2"/>
                <w:sz w:val="15"/>
                <w:szCs w:val="15"/>
              </w:rPr>
            </w:pPr>
            <w:r>
              <w:rPr>
                <w:rFonts w:ascii="Arial" w:hAnsi="Arial" w:cs="Arial"/>
                <w:w w:val="105"/>
                <w:kern w:val="2"/>
                <w:sz w:val="15"/>
                <w:szCs w:val="15"/>
              </w:rPr>
              <w:t>99</w:t>
            </w:r>
          </w:p>
        </w:tc>
        <w:tc>
          <w:tcPr>
            <w:tcW w:w="1076" w:type="dxa"/>
            <w:tcBorders>
              <w:top w:val="nil"/>
              <w:left w:val="nil"/>
              <w:bottom w:val="nil"/>
              <w:right w:val="nil"/>
            </w:tcBorders>
            <w:hideMark/>
          </w:tcPr>
          <w:p w14:paraId="59D69E86" w14:textId="77777777" w:rsidR="00821423" w:rsidRDefault="00821423">
            <w:pPr>
              <w:pStyle w:val="TableParagraph"/>
              <w:kinsoku w:val="0"/>
              <w:overflowPunct w:val="0"/>
              <w:spacing w:line="167" w:lineRule="exact"/>
              <w:ind w:left="429" w:right="430"/>
              <w:jc w:val="center"/>
              <w:rPr>
                <w:rFonts w:ascii="Arial" w:hAnsi="Arial" w:cs="Arial"/>
                <w:w w:val="105"/>
                <w:kern w:val="2"/>
                <w:sz w:val="15"/>
                <w:szCs w:val="15"/>
              </w:rPr>
            </w:pPr>
            <w:r>
              <w:rPr>
                <w:rFonts w:ascii="Arial" w:hAnsi="Arial" w:cs="Arial"/>
                <w:w w:val="105"/>
                <w:kern w:val="2"/>
                <w:sz w:val="15"/>
                <w:szCs w:val="15"/>
              </w:rPr>
              <w:t>46</w:t>
            </w:r>
          </w:p>
        </w:tc>
        <w:tc>
          <w:tcPr>
            <w:tcW w:w="1077" w:type="dxa"/>
            <w:tcBorders>
              <w:top w:val="nil"/>
              <w:left w:val="nil"/>
              <w:bottom w:val="nil"/>
              <w:right w:val="nil"/>
            </w:tcBorders>
            <w:hideMark/>
          </w:tcPr>
          <w:p w14:paraId="198C6528" w14:textId="77777777" w:rsidR="00821423" w:rsidRDefault="00821423">
            <w:pPr>
              <w:pStyle w:val="TableParagraph"/>
              <w:kinsoku w:val="0"/>
              <w:overflowPunct w:val="0"/>
              <w:spacing w:line="167" w:lineRule="exact"/>
              <w:ind w:left="446"/>
              <w:rPr>
                <w:rFonts w:ascii="Arial" w:hAnsi="Arial" w:cs="Arial"/>
                <w:w w:val="105"/>
                <w:kern w:val="2"/>
                <w:sz w:val="15"/>
                <w:szCs w:val="15"/>
              </w:rPr>
            </w:pPr>
            <w:r>
              <w:rPr>
                <w:rFonts w:ascii="Arial" w:hAnsi="Arial" w:cs="Arial"/>
                <w:w w:val="105"/>
                <w:kern w:val="2"/>
                <w:sz w:val="15"/>
                <w:szCs w:val="15"/>
              </w:rPr>
              <w:t>29</w:t>
            </w:r>
          </w:p>
        </w:tc>
        <w:tc>
          <w:tcPr>
            <w:tcW w:w="1122" w:type="dxa"/>
            <w:tcBorders>
              <w:top w:val="nil"/>
              <w:left w:val="nil"/>
              <w:bottom w:val="nil"/>
              <w:right w:val="nil"/>
            </w:tcBorders>
            <w:hideMark/>
          </w:tcPr>
          <w:p w14:paraId="3A116747" w14:textId="77777777" w:rsidR="00821423" w:rsidRDefault="00821423">
            <w:pPr>
              <w:pStyle w:val="TableParagraph"/>
              <w:kinsoku w:val="0"/>
              <w:overflowPunct w:val="0"/>
              <w:spacing w:line="167" w:lineRule="exact"/>
              <w:ind w:left="428" w:right="477"/>
              <w:jc w:val="center"/>
              <w:rPr>
                <w:rFonts w:ascii="Arial" w:hAnsi="Arial" w:cs="Arial"/>
                <w:w w:val="105"/>
                <w:kern w:val="2"/>
                <w:sz w:val="15"/>
                <w:szCs w:val="15"/>
              </w:rPr>
            </w:pPr>
            <w:r>
              <w:rPr>
                <w:rFonts w:ascii="Arial" w:hAnsi="Arial" w:cs="Arial"/>
                <w:w w:val="105"/>
                <w:kern w:val="2"/>
                <w:sz w:val="15"/>
                <w:szCs w:val="15"/>
              </w:rPr>
              <w:t>10</w:t>
            </w:r>
          </w:p>
        </w:tc>
        <w:tc>
          <w:tcPr>
            <w:tcW w:w="1077" w:type="dxa"/>
            <w:tcBorders>
              <w:top w:val="nil"/>
              <w:left w:val="nil"/>
              <w:bottom w:val="nil"/>
              <w:right w:val="nil"/>
            </w:tcBorders>
            <w:hideMark/>
          </w:tcPr>
          <w:p w14:paraId="48B3EE07" w14:textId="77777777" w:rsidR="00821423" w:rsidRDefault="00821423">
            <w:pPr>
              <w:pStyle w:val="TableParagraph"/>
              <w:kinsoku w:val="0"/>
              <w:overflowPunct w:val="0"/>
              <w:spacing w:line="167" w:lineRule="exact"/>
              <w:ind w:left="490"/>
              <w:rPr>
                <w:rFonts w:ascii="Arial" w:hAnsi="Arial" w:cs="Arial"/>
                <w:w w:val="106"/>
                <w:kern w:val="2"/>
                <w:sz w:val="15"/>
                <w:szCs w:val="15"/>
              </w:rPr>
            </w:pPr>
            <w:r>
              <w:rPr>
                <w:rFonts w:ascii="Arial" w:hAnsi="Arial" w:cs="Arial"/>
                <w:w w:val="106"/>
                <w:kern w:val="2"/>
                <w:sz w:val="15"/>
                <w:szCs w:val="15"/>
              </w:rPr>
              <w:t>2</w:t>
            </w:r>
          </w:p>
        </w:tc>
        <w:tc>
          <w:tcPr>
            <w:tcW w:w="633" w:type="dxa"/>
            <w:tcBorders>
              <w:top w:val="nil"/>
              <w:left w:val="nil"/>
              <w:bottom w:val="nil"/>
              <w:right w:val="nil"/>
            </w:tcBorders>
            <w:hideMark/>
          </w:tcPr>
          <w:p w14:paraId="39BF5736" w14:textId="77777777" w:rsidR="00821423" w:rsidRDefault="00821423">
            <w:pPr>
              <w:pStyle w:val="TableParagraph"/>
              <w:kinsoku w:val="0"/>
              <w:overflowPunct w:val="0"/>
              <w:spacing w:line="167" w:lineRule="exact"/>
              <w:ind w:left="0" w:right="53"/>
              <w:jc w:val="right"/>
              <w:rPr>
                <w:rFonts w:ascii="Arial" w:hAnsi="Arial" w:cs="Arial"/>
                <w:w w:val="106"/>
                <w:kern w:val="2"/>
                <w:sz w:val="15"/>
                <w:szCs w:val="15"/>
              </w:rPr>
            </w:pPr>
            <w:r>
              <w:rPr>
                <w:rFonts w:ascii="Arial" w:hAnsi="Arial" w:cs="Arial"/>
                <w:w w:val="106"/>
                <w:kern w:val="2"/>
                <w:sz w:val="15"/>
                <w:szCs w:val="15"/>
              </w:rPr>
              <w:t>0</w:t>
            </w:r>
          </w:p>
        </w:tc>
      </w:tr>
    </w:tbl>
    <w:p w14:paraId="53EDF01C" w14:textId="77777777" w:rsidR="00821423" w:rsidRPr="00B519B1" w:rsidRDefault="00821423" w:rsidP="00821423">
      <w:pPr>
        <w:rPr>
          <w:sz w:val="24"/>
          <w:szCs w:val="24"/>
        </w:rPr>
      </w:pPr>
    </w:p>
    <w:p w14:paraId="18B1A922" w14:textId="77777777" w:rsidR="00821423" w:rsidRPr="00B519B1" w:rsidRDefault="00821423" w:rsidP="00821423">
      <w:pPr>
        <w:rPr>
          <w:sz w:val="24"/>
          <w:szCs w:val="24"/>
        </w:rPr>
      </w:pPr>
    </w:p>
    <w:p w14:paraId="2E637E46" w14:textId="77777777" w:rsidR="005F5A71" w:rsidRPr="005F5A71" w:rsidRDefault="005F5A71" w:rsidP="005F5A71">
      <w:pPr>
        <w:rPr>
          <w:b/>
          <w:bCs/>
          <w:sz w:val="24"/>
          <w:szCs w:val="24"/>
        </w:rPr>
      </w:pPr>
      <w:r w:rsidRPr="005F5A71">
        <w:rPr>
          <w:b/>
          <w:bCs/>
          <w:sz w:val="24"/>
          <w:szCs w:val="24"/>
        </w:rPr>
        <w:t xml:space="preserve">Tabel 4: Oversigt over PFS, bedømt radiologisk af en uafhængig komité </w:t>
      </w:r>
      <w:r w:rsidRPr="005F5A71">
        <w:rPr>
          <w:sz w:val="24"/>
          <w:szCs w:val="24"/>
        </w:rPr>
        <w:t xml:space="preserve">hos RCC-patienter efter tidligere vaskulær endotelial vækstfaktor (VEGF) målrettet behandling </w:t>
      </w:r>
      <w:r w:rsidRPr="005F5A71">
        <w:rPr>
          <w:b/>
          <w:bCs/>
          <w:sz w:val="24"/>
          <w:szCs w:val="24"/>
        </w:rPr>
        <w:t>(METEOR)</w:t>
      </w:r>
    </w:p>
    <w:p w14:paraId="39F00D76" w14:textId="77777777" w:rsidR="005F5A71" w:rsidRPr="005F5A71" w:rsidRDefault="005F5A71" w:rsidP="005F5A71">
      <w:pPr>
        <w:rPr>
          <w:sz w:val="20"/>
        </w:rPr>
      </w:pPr>
    </w:p>
    <w:tbl>
      <w:tblPr>
        <w:tblW w:w="0" w:type="auto"/>
        <w:tblInd w:w="-5" w:type="dxa"/>
        <w:tblLayout w:type="fixed"/>
        <w:tblCellMar>
          <w:left w:w="0" w:type="dxa"/>
          <w:right w:w="0" w:type="dxa"/>
        </w:tblCellMar>
        <w:tblLook w:val="04A0" w:firstRow="1" w:lastRow="0" w:firstColumn="1" w:lastColumn="0" w:noHBand="0" w:noVBand="1"/>
      </w:tblPr>
      <w:tblGrid>
        <w:gridCol w:w="1999"/>
        <w:gridCol w:w="1800"/>
        <w:gridCol w:w="1627"/>
        <w:gridCol w:w="1793"/>
        <w:gridCol w:w="1853"/>
      </w:tblGrid>
      <w:tr w:rsidR="005F5A71" w:rsidRPr="005F5A71" w14:paraId="55B1742C" w14:textId="77777777" w:rsidTr="005F5A71">
        <w:trPr>
          <w:trHeight w:val="505"/>
        </w:trPr>
        <w:tc>
          <w:tcPr>
            <w:tcW w:w="1999" w:type="dxa"/>
            <w:tcBorders>
              <w:top w:val="single" w:sz="4" w:space="0" w:color="000000"/>
              <w:left w:val="single" w:sz="4" w:space="0" w:color="000000"/>
              <w:bottom w:val="single" w:sz="4" w:space="0" w:color="000000"/>
              <w:right w:val="single" w:sz="4" w:space="0" w:color="000000"/>
            </w:tcBorders>
          </w:tcPr>
          <w:p w14:paraId="49412D07" w14:textId="77777777" w:rsidR="005F5A71" w:rsidRPr="005F5A71" w:rsidRDefault="005F5A71" w:rsidP="00FF6DB7">
            <w:pPr>
              <w:jc w:val="center"/>
              <w:rPr>
                <w:sz w:val="24"/>
                <w:szCs w:val="24"/>
              </w:rPr>
            </w:pPr>
          </w:p>
        </w:tc>
        <w:tc>
          <w:tcPr>
            <w:tcW w:w="3427" w:type="dxa"/>
            <w:gridSpan w:val="2"/>
            <w:tcBorders>
              <w:top w:val="single" w:sz="4" w:space="0" w:color="000000"/>
              <w:left w:val="single" w:sz="4" w:space="0" w:color="000000"/>
              <w:bottom w:val="single" w:sz="4" w:space="0" w:color="000000"/>
              <w:right w:val="single" w:sz="4" w:space="0" w:color="000000"/>
            </w:tcBorders>
            <w:hideMark/>
          </w:tcPr>
          <w:p w14:paraId="6469321E" w14:textId="77777777" w:rsidR="005F5A71" w:rsidRPr="005F5A71" w:rsidRDefault="005F5A71" w:rsidP="00FF6DB7">
            <w:pPr>
              <w:jc w:val="center"/>
              <w:rPr>
                <w:b/>
                <w:bCs/>
                <w:sz w:val="24"/>
                <w:szCs w:val="24"/>
              </w:rPr>
            </w:pPr>
            <w:r w:rsidRPr="005F5A71">
              <w:rPr>
                <w:b/>
                <w:bCs/>
                <w:sz w:val="24"/>
                <w:szCs w:val="24"/>
              </w:rPr>
              <w:t>Population ved den primære PFS-analyse</w:t>
            </w:r>
          </w:p>
        </w:tc>
        <w:tc>
          <w:tcPr>
            <w:tcW w:w="3646" w:type="dxa"/>
            <w:gridSpan w:val="2"/>
            <w:tcBorders>
              <w:top w:val="single" w:sz="4" w:space="0" w:color="000000"/>
              <w:left w:val="single" w:sz="4" w:space="0" w:color="000000"/>
              <w:bottom w:val="single" w:sz="4" w:space="0" w:color="000000"/>
              <w:right w:val="single" w:sz="4" w:space="0" w:color="000000"/>
            </w:tcBorders>
            <w:hideMark/>
          </w:tcPr>
          <w:p w14:paraId="32B49B2A" w14:textId="77777777" w:rsidR="005F5A71" w:rsidRPr="005F5A71" w:rsidRDefault="005F5A71" w:rsidP="00FF6DB7">
            <w:pPr>
              <w:jc w:val="center"/>
              <w:rPr>
                <w:b/>
                <w:bCs/>
                <w:sz w:val="24"/>
                <w:szCs w:val="24"/>
              </w:rPr>
            </w:pPr>
            <w:r w:rsidRPr="005F5A71">
              <w:rPr>
                <w:b/>
                <w:bCs/>
                <w:sz w:val="24"/>
                <w:szCs w:val="24"/>
              </w:rPr>
              <w:t>ITT-population</w:t>
            </w:r>
          </w:p>
        </w:tc>
      </w:tr>
      <w:tr w:rsidR="005F5A71" w:rsidRPr="005F5A71" w14:paraId="708D6ED7" w14:textId="77777777" w:rsidTr="005F5A71">
        <w:trPr>
          <w:trHeight w:val="252"/>
        </w:trPr>
        <w:tc>
          <w:tcPr>
            <w:tcW w:w="1999" w:type="dxa"/>
            <w:tcBorders>
              <w:top w:val="single" w:sz="4" w:space="0" w:color="000000"/>
              <w:left w:val="single" w:sz="4" w:space="0" w:color="000000"/>
              <w:bottom w:val="single" w:sz="4" w:space="0" w:color="000000"/>
              <w:right w:val="single" w:sz="4" w:space="0" w:color="000000"/>
            </w:tcBorders>
            <w:hideMark/>
          </w:tcPr>
          <w:p w14:paraId="13C294A1" w14:textId="77777777" w:rsidR="005F5A71" w:rsidRPr="005F5A71" w:rsidRDefault="005F5A71" w:rsidP="005F5A71">
            <w:pPr>
              <w:rPr>
                <w:b/>
                <w:bCs/>
                <w:sz w:val="24"/>
                <w:szCs w:val="24"/>
              </w:rPr>
            </w:pPr>
            <w:r w:rsidRPr="005F5A71">
              <w:rPr>
                <w:b/>
                <w:bCs/>
                <w:sz w:val="24"/>
                <w:szCs w:val="24"/>
              </w:rPr>
              <w:t>Endepunkt</w:t>
            </w:r>
          </w:p>
        </w:tc>
        <w:tc>
          <w:tcPr>
            <w:tcW w:w="1800" w:type="dxa"/>
            <w:tcBorders>
              <w:top w:val="single" w:sz="4" w:space="0" w:color="000000"/>
              <w:left w:val="single" w:sz="4" w:space="0" w:color="000000"/>
              <w:bottom w:val="single" w:sz="4" w:space="0" w:color="000000"/>
              <w:right w:val="single" w:sz="4" w:space="0" w:color="000000"/>
            </w:tcBorders>
            <w:hideMark/>
          </w:tcPr>
          <w:p w14:paraId="2ACC9365" w14:textId="429F79CB" w:rsidR="005F5A71" w:rsidRPr="005F5A71" w:rsidRDefault="005F5A71" w:rsidP="00FF6DB7">
            <w:pPr>
              <w:jc w:val="center"/>
              <w:rPr>
                <w:b/>
                <w:bCs/>
                <w:sz w:val="24"/>
                <w:szCs w:val="24"/>
              </w:rPr>
            </w:pPr>
            <w:r w:rsidRPr="005F5A71">
              <w:rPr>
                <w:b/>
                <w:bCs/>
                <w:sz w:val="24"/>
                <w:szCs w:val="24"/>
              </w:rPr>
              <w:t>Cabozantinib</w:t>
            </w:r>
          </w:p>
        </w:tc>
        <w:tc>
          <w:tcPr>
            <w:tcW w:w="1627" w:type="dxa"/>
            <w:tcBorders>
              <w:top w:val="single" w:sz="4" w:space="0" w:color="000000"/>
              <w:left w:val="single" w:sz="4" w:space="0" w:color="000000"/>
              <w:bottom w:val="single" w:sz="4" w:space="0" w:color="000000"/>
              <w:right w:val="single" w:sz="4" w:space="0" w:color="000000"/>
            </w:tcBorders>
            <w:hideMark/>
          </w:tcPr>
          <w:p w14:paraId="053F584C" w14:textId="77777777" w:rsidR="005F5A71" w:rsidRPr="005F5A71" w:rsidRDefault="005F5A71" w:rsidP="00FF6DB7">
            <w:pPr>
              <w:jc w:val="center"/>
              <w:rPr>
                <w:b/>
                <w:bCs/>
                <w:sz w:val="24"/>
                <w:szCs w:val="24"/>
              </w:rPr>
            </w:pPr>
            <w:r w:rsidRPr="005F5A71">
              <w:rPr>
                <w:b/>
                <w:bCs/>
                <w:sz w:val="24"/>
                <w:szCs w:val="24"/>
              </w:rPr>
              <w:t>Everolimus</w:t>
            </w:r>
          </w:p>
        </w:tc>
        <w:tc>
          <w:tcPr>
            <w:tcW w:w="1793" w:type="dxa"/>
            <w:tcBorders>
              <w:top w:val="single" w:sz="4" w:space="0" w:color="000000"/>
              <w:left w:val="single" w:sz="4" w:space="0" w:color="000000"/>
              <w:bottom w:val="single" w:sz="4" w:space="0" w:color="000000"/>
              <w:right w:val="single" w:sz="4" w:space="0" w:color="000000"/>
            </w:tcBorders>
            <w:hideMark/>
          </w:tcPr>
          <w:p w14:paraId="6A2AFD7A" w14:textId="7B1047EB" w:rsidR="005F5A71" w:rsidRPr="005F5A71" w:rsidRDefault="005F5A71" w:rsidP="00FF6DB7">
            <w:pPr>
              <w:jc w:val="center"/>
              <w:rPr>
                <w:b/>
                <w:bCs/>
                <w:sz w:val="24"/>
                <w:szCs w:val="24"/>
              </w:rPr>
            </w:pPr>
            <w:r w:rsidRPr="005F5A71">
              <w:rPr>
                <w:b/>
                <w:bCs/>
                <w:sz w:val="24"/>
                <w:szCs w:val="24"/>
              </w:rPr>
              <w:t>Cabozantinib</w:t>
            </w:r>
          </w:p>
        </w:tc>
        <w:tc>
          <w:tcPr>
            <w:tcW w:w="1853" w:type="dxa"/>
            <w:tcBorders>
              <w:top w:val="single" w:sz="4" w:space="0" w:color="000000"/>
              <w:left w:val="single" w:sz="4" w:space="0" w:color="000000"/>
              <w:bottom w:val="single" w:sz="4" w:space="0" w:color="000000"/>
              <w:right w:val="single" w:sz="4" w:space="0" w:color="000000"/>
            </w:tcBorders>
            <w:hideMark/>
          </w:tcPr>
          <w:p w14:paraId="0E4B0F0F" w14:textId="77777777" w:rsidR="005F5A71" w:rsidRPr="005F5A71" w:rsidRDefault="005F5A71" w:rsidP="00FF6DB7">
            <w:pPr>
              <w:jc w:val="center"/>
              <w:rPr>
                <w:b/>
                <w:bCs/>
                <w:sz w:val="24"/>
                <w:szCs w:val="24"/>
              </w:rPr>
            </w:pPr>
            <w:r w:rsidRPr="005F5A71">
              <w:rPr>
                <w:b/>
                <w:bCs/>
                <w:sz w:val="24"/>
                <w:szCs w:val="24"/>
              </w:rPr>
              <w:t>Everolimus</w:t>
            </w:r>
          </w:p>
        </w:tc>
      </w:tr>
      <w:tr w:rsidR="005F5A71" w:rsidRPr="005F5A71" w14:paraId="1D260658" w14:textId="77777777" w:rsidTr="005F5A71">
        <w:trPr>
          <w:trHeight w:val="251"/>
        </w:trPr>
        <w:tc>
          <w:tcPr>
            <w:tcW w:w="1999" w:type="dxa"/>
            <w:tcBorders>
              <w:top w:val="single" w:sz="4" w:space="0" w:color="000000"/>
              <w:left w:val="single" w:sz="4" w:space="0" w:color="000000"/>
              <w:bottom w:val="single" w:sz="4" w:space="0" w:color="000000"/>
              <w:right w:val="single" w:sz="4" w:space="0" w:color="000000"/>
            </w:tcBorders>
          </w:tcPr>
          <w:p w14:paraId="7CE21760" w14:textId="77777777" w:rsidR="005F5A71" w:rsidRPr="005F5A71" w:rsidRDefault="005F5A71" w:rsidP="005F5A71">
            <w:pPr>
              <w:rPr>
                <w:sz w:val="24"/>
                <w:szCs w:val="24"/>
              </w:rPr>
            </w:pPr>
          </w:p>
        </w:tc>
        <w:tc>
          <w:tcPr>
            <w:tcW w:w="1800" w:type="dxa"/>
            <w:tcBorders>
              <w:top w:val="single" w:sz="4" w:space="0" w:color="000000"/>
              <w:left w:val="single" w:sz="4" w:space="0" w:color="000000"/>
              <w:bottom w:val="single" w:sz="4" w:space="0" w:color="000000"/>
              <w:right w:val="single" w:sz="4" w:space="0" w:color="000000"/>
            </w:tcBorders>
            <w:hideMark/>
          </w:tcPr>
          <w:p w14:paraId="08A7C606" w14:textId="77777777" w:rsidR="005F5A71" w:rsidRPr="005F5A71" w:rsidRDefault="005F5A71" w:rsidP="005F5A71">
            <w:pPr>
              <w:jc w:val="center"/>
              <w:rPr>
                <w:sz w:val="24"/>
                <w:szCs w:val="24"/>
              </w:rPr>
            </w:pPr>
            <w:r w:rsidRPr="005F5A71">
              <w:rPr>
                <w:sz w:val="24"/>
                <w:szCs w:val="24"/>
              </w:rPr>
              <w:t>N = 187</w:t>
            </w:r>
          </w:p>
        </w:tc>
        <w:tc>
          <w:tcPr>
            <w:tcW w:w="1627" w:type="dxa"/>
            <w:tcBorders>
              <w:top w:val="single" w:sz="4" w:space="0" w:color="000000"/>
              <w:left w:val="single" w:sz="4" w:space="0" w:color="000000"/>
              <w:bottom w:val="single" w:sz="4" w:space="0" w:color="000000"/>
              <w:right w:val="single" w:sz="4" w:space="0" w:color="000000"/>
            </w:tcBorders>
            <w:hideMark/>
          </w:tcPr>
          <w:p w14:paraId="2764894E" w14:textId="77777777" w:rsidR="005F5A71" w:rsidRPr="005F5A71" w:rsidRDefault="005F5A71" w:rsidP="005F5A71">
            <w:pPr>
              <w:jc w:val="center"/>
              <w:rPr>
                <w:sz w:val="24"/>
                <w:szCs w:val="24"/>
              </w:rPr>
            </w:pPr>
            <w:r w:rsidRPr="005F5A71">
              <w:rPr>
                <w:sz w:val="24"/>
                <w:szCs w:val="24"/>
              </w:rPr>
              <w:t>N = 188</w:t>
            </w:r>
          </w:p>
        </w:tc>
        <w:tc>
          <w:tcPr>
            <w:tcW w:w="1793" w:type="dxa"/>
            <w:tcBorders>
              <w:top w:val="single" w:sz="4" w:space="0" w:color="000000"/>
              <w:left w:val="single" w:sz="4" w:space="0" w:color="000000"/>
              <w:bottom w:val="single" w:sz="4" w:space="0" w:color="000000"/>
              <w:right w:val="single" w:sz="4" w:space="0" w:color="000000"/>
            </w:tcBorders>
            <w:hideMark/>
          </w:tcPr>
          <w:p w14:paraId="56F446DB" w14:textId="77777777" w:rsidR="005F5A71" w:rsidRPr="005F5A71" w:rsidRDefault="005F5A71" w:rsidP="005F5A71">
            <w:pPr>
              <w:jc w:val="center"/>
              <w:rPr>
                <w:sz w:val="24"/>
                <w:szCs w:val="24"/>
              </w:rPr>
            </w:pPr>
            <w:r w:rsidRPr="005F5A71">
              <w:rPr>
                <w:sz w:val="24"/>
                <w:szCs w:val="24"/>
              </w:rPr>
              <w:t>N = 330</w:t>
            </w:r>
          </w:p>
        </w:tc>
        <w:tc>
          <w:tcPr>
            <w:tcW w:w="1853" w:type="dxa"/>
            <w:tcBorders>
              <w:top w:val="single" w:sz="4" w:space="0" w:color="000000"/>
              <w:left w:val="single" w:sz="4" w:space="0" w:color="000000"/>
              <w:bottom w:val="single" w:sz="4" w:space="0" w:color="000000"/>
              <w:right w:val="single" w:sz="4" w:space="0" w:color="000000"/>
            </w:tcBorders>
            <w:hideMark/>
          </w:tcPr>
          <w:p w14:paraId="744F315F" w14:textId="77777777" w:rsidR="005F5A71" w:rsidRPr="005F5A71" w:rsidRDefault="005F5A71" w:rsidP="005F5A71">
            <w:pPr>
              <w:jc w:val="center"/>
              <w:rPr>
                <w:sz w:val="24"/>
                <w:szCs w:val="24"/>
              </w:rPr>
            </w:pPr>
            <w:r w:rsidRPr="005F5A71">
              <w:rPr>
                <w:sz w:val="24"/>
                <w:szCs w:val="24"/>
              </w:rPr>
              <w:t>N = 328</w:t>
            </w:r>
          </w:p>
        </w:tc>
      </w:tr>
      <w:tr w:rsidR="005F5A71" w:rsidRPr="005F5A71" w14:paraId="3AA869FB" w14:textId="77777777" w:rsidTr="005F5A71">
        <w:trPr>
          <w:trHeight w:val="506"/>
        </w:trPr>
        <w:tc>
          <w:tcPr>
            <w:tcW w:w="1999" w:type="dxa"/>
            <w:tcBorders>
              <w:top w:val="single" w:sz="4" w:space="0" w:color="000000"/>
              <w:left w:val="single" w:sz="4" w:space="0" w:color="000000"/>
              <w:bottom w:val="single" w:sz="4" w:space="0" w:color="000000"/>
              <w:right w:val="single" w:sz="4" w:space="0" w:color="000000"/>
            </w:tcBorders>
            <w:hideMark/>
          </w:tcPr>
          <w:p w14:paraId="56CE291F" w14:textId="77777777" w:rsidR="005F5A71" w:rsidRPr="005F5A71" w:rsidRDefault="005F5A71" w:rsidP="005F5A71">
            <w:pPr>
              <w:rPr>
                <w:sz w:val="24"/>
                <w:szCs w:val="24"/>
              </w:rPr>
            </w:pPr>
            <w:r w:rsidRPr="005F5A71">
              <w:rPr>
                <w:sz w:val="24"/>
                <w:szCs w:val="24"/>
              </w:rPr>
              <w:t>Middel-PFS (95 % CI), måneder</w:t>
            </w:r>
          </w:p>
        </w:tc>
        <w:tc>
          <w:tcPr>
            <w:tcW w:w="1800" w:type="dxa"/>
            <w:tcBorders>
              <w:top w:val="single" w:sz="4" w:space="0" w:color="000000"/>
              <w:left w:val="single" w:sz="4" w:space="0" w:color="000000"/>
              <w:bottom w:val="single" w:sz="4" w:space="0" w:color="000000"/>
              <w:right w:val="single" w:sz="4" w:space="0" w:color="000000"/>
            </w:tcBorders>
            <w:hideMark/>
          </w:tcPr>
          <w:p w14:paraId="3E0C6B38" w14:textId="77777777" w:rsidR="005F5A71" w:rsidRPr="005F5A71" w:rsidRDefault="005F5A71" w:rsidP="005F5A71">
            <w:pPr>
              <w:jc w:val="center"/>
              <w:rPr>
                <w:sz w:val="24"/>
                <w:szCs w:val="24"/>
              </w:rPr>
            </w:pPr>
            <w:r w:rsidRPr="005F5A71">
              <w:rPr>
                <w:sz w:val="24"/>
                <w:szCs w:val="24"/>
              </w:rPr>
              <w:t>7,4 (5,6-9,1)</w:t>
            </w:r>
          </w:p>
        </w:tc>
        <w:tc>
          <w:tcPr>
            <w:tcW w:w="1627" w:type="dxa"/>
            <w:tcBorders>
              <w:top w:val="single" w:sz="4" w:space="0" w:color="000000"/>
              <w:left w:val="single" w:sz="4" w:space="0" w:color="000000"/>
              <w:bottom w:val="single" w:sz="4" w:space="0" w:color="000000"/>
              <w:right w:val="single" w:sz="4" w:space="0" w:color="000000"/>
            </w:tcBorders>
            <w:hideMark/>
          </w:tcPr>
          <w:p w14:paraId="7D7A1ED4" w14:textId="77777777" w:rsidR="005F5A71" w:rsidRPr="005F5A71" w:rsidRDefault="005F5A71" w:rsidP="005F5A71">
            <w:pPr>
              <w:jc w:val="center"/>
              <w:rPr>
                <w:sz w:val="24"/>
                <w:szCs w:val="24"/>
              </w:rPr>
            </w:pPr>
            <w:r w:rsidRPr="005F5A71">
              <w:rPr>
                <w:sz w:val="24"/>
                <w:szCs w:val="24"/>
              </w:rPr>
              <w:t>3,8 (3,7-5,4)</w:t>
            </w:r>
          </w:p>
        </w:tc>
        <w:tc>
          <w:tcPr>
            <w:tcW w:w="1793" w:type="dxa"/>
            <w:tcBorders>
              <w:top w:val="single" w:sz="4" w:space="0" w:color="000000"/>
              <w:left w:val="single" w:sz="4" w:space="0" w:color="000000"/>
              <w:bottom w:val="single" w:sz="4" w:space="0" w:color="000000"/>
              <w:right w:val="single" w:sz="4" w:space="0" w:color="000000"/>
            </w:tcBorders>
            <w:hideMark/>
          </w:tcPr>
          <w:p w14:paraId="50FDA2E6" w14:textId="77777777" w:rsidR="005F5A71" w:rsidRPr="005F5A71" w:rsidRDefault="005F5A71" w:rsidP="005F5A71">
            <w:pPr>
              <w:jc w:val="center"/>
              <w:rPr>
                <w:sz w:val="24"/>
                <w:szCs w:val="24"/>
              </w:rPr>
            </w:pPr>
            <w:r w:rsidRPr="005F5A71">
              <w:rPr>
                <w:sz w:val="24"/>
                <w:szCs w:val="24"/>
              </w:rPr>
              <w:t>7,4 (6,6-9,1)</w:t>
            </w:r>
          </w:p>
        </w:tc>
        <w:tc>
          <w:tcPr>
            <w:tcW w:w="1853" w:type="dxa"/>
            <w:tcBorders>
              <w:top w:val="single" w:sz="4" w:space="0" w:color="000000"/>
              <w:left w:val="single" w:sz="4" w:space="0" w:color="000000"/>
              <w:bottom w:val="single" w:sz="4" w:space="0" w:color="000000"/>
              <w:right w:val="single" w:sz="4" w:space="0" w:color="000000"/>
            </w:tcBorders>
            <w:hideMark/>
          </w:tcPr>
          <w:p w14:paraId="2D5F435F" w14:textId="77777777" w:rsidR="005F5A71" w:rsidRPr="005F5A71" w:rsidRDefault="005F5A71" w:rsidP="005F5A71">
            <w:pPr>
              <w:jc w:val="center"/>
              <w:rPr>
                <w:sz w:val="24"/>
                <w:szCs w:val="24"/>
              </w:rPr>
            </w:pPr>
            <w:r w:rsidRPr="005F5A71">
              <w:rPr>
                <w:sz w:val="24"/>
                <w:szCs w:val="24"/>
              </w:rPr>
              <w:t>3,9 (3,7-5,1)</w:t>
            </w:r>
          </w:p>
        </w:tc>
      </w:tr>
      <w:tr w:rsidR="005F5A71" w:rsidRPr="005F5A71" w14:paraId="4EC98689" w14:textId="77777777" w:rsidTr="005F5A71">
        <w:trPr>
          <w:trHeight w:val="503"/>
        </w:trPr>
        <w:tc>
          <w:tcPr>
            <w:tcW w:w="1999" w:type="dxa"/>
            <w:tcBorders>
              <w:top w:val="single" w:sz="4" w:space="0" w:color="000000"/>
              <w:left w:val="single" w:sz="4" w:space="0" w:color="000000"/>
              <w:bottom w:val="single" w:sz="4" w:space="0" w:color="000000"/>
              <w:right w:val="single" w:sz="4" w:space="0" w:color="000000"/>
            </w:tcBorders>
            <w:hideMark/>
          </w:tcPr>
          <w:p w14:paraId="69F68D2F" w14:textId="77777777" w:rsidR="005F5A71" w:rsidRPr="005F5A71" w:rsidRDefault="005F5A71" w:rsidP="005F5A71">
            <w:pPr>
              <w:rPr>
                <w:sz w:val="24"/>
                <w:szCs w:val="24"/>
              </w:rPr>
            </w:pPr>
            <w:r w:rsidRPr="005F5A71">
              <w:rPr>
                <w:sz w:val="24"/>
                <w:szCs w:val="24"/>
              </w:rPr>
              <w:t>HR (95 % CI),</w:t>
            </w:r>
          </w:p>
          <w:p w14:paraId="32933D76" w14:textId="77777777" w:rsidR="005F5A71" w:rsidRPr="005F5A71" w:rsidRDefault="005F5A71" w:rsidP="005F5A71">
            <w:pPr>
              <w:rPr>
                <w:sz w:val="24"/>
                <w:szCs w:val="24"/>
              </w:rPr>
            </w:pPr>
            <w:r w:rsidRPr="005F5A71">
              <w:rPr>
                <w:sz w:val="24"/>
                <w:szCs w:val="24"/>
              </w:rPr>
              <w:t>p-værdi1</w:t>
            </w:r>
          </w:p>
        </w:tc>
        <w:tc>
          <w:tcPr>
            <w:tcW w:w="3427" w:type="dxa"/>
            <w:gridSpan w:val="2"/>
            <w:tcBorders>
              <w:top w:val="single" w:sz="4" w:space="0" w:color="000000"/>
              <w:left w:val="single" w:sz="4" w:space="0" w:color="000000"/>
              <w:bottom w:val="single" w:sz="4" w:space="0" w:color="000000"/>
              <w:right w:val="single" w:sz="4" w:space="0" w:color="000000"/>
            </w:tcBorders>
            <w:hideMark/>
          </w:tcPr>
          <w:p w14:paraId="55A9953C" w14:textId="77777777" w:rsidR="005F5A71" w:rsidRPr="005F5A71" w:rsidRDefault="005F5A71" w:rsidP="005F5A71">
            <w:pPr>
              <w:jc w:val="center"/>
              <w:rPr>
                <w:sz w:val="24"/>
                <w:szCs w:val="24"/>
              </w:rPr>
            </w:pPr>
            <w:r w:rsidRPr="005F5A71">
              <w:rPr>
                <w:sz w:val="24"/>
                <w:szCs w:val="24"/>
              </w:rPr>
              <w:t>0,58 (0,45-0,74), p&lt;0,0001</w:t>
            </w:r>
          </w:p>
        </w:tc>
        <w:tc>
          <w:tcPr>
            <w:tcW w:w="3646" w:type="dxa"/>
            <w:gridSpan w:val="2"/>
            <w:tcBorders>
              <w:top w:val="single" w:sz="4" w:space="0" w:color="000000"/>
              <w:left w:val="single" w:sz="4" w:space="0" w:color="000000"/>
              <w:bottom w:val="single" w:sz="4" w:space="0" w:color="000000"/>
              <w:right w:val="single" w:sz="4" w:space="0" w:color="000000"/>
            </w:tcBorders>
            <w:hideMark/>
          </w:tcPr>
          <w:p w14:paraId="65CEEF91" w14:textId="77777777" w:rsidR="005F5A71" w:rsidRPr="005F5A71" w:rsidRDefault="005F5A71" w:rsidP="005F5A71">
            <w:pPr>
              <w:jc w:val="center"/>
              <w:rPr>
                <w:sz w:val="24"/>
                <w:szCs w:val="24"/>
              </w:rPr>
            </w:pPr>
            <w:r w:rsidRPr="005F5A71">
              <w:rPr>
                <w:sz w:val="24"/>
                <w:szCs w:val="24"/>
              </w:rPr>
              <w:t>0,51 (0,41-0,62), p&lt;0,0001</w:t>
            </w:r>
          </w:p>
        </w:tc>
      </w:tr>
    </w:tbl>
    <w:p w14:paraId="243B0F16" w14:textId="77777777" w:rsidR="005F5A71" w:rsidRPr="005F5A71" w:rsidRDefault="005F5A71" w:rsidP="005F5A71">
      <w:pPr>
        <w:rPr>
          <w:sz w:val="20"/>
        </w:rPr>
      </w:pPr>
      <w:r w:rsidRPr="005F5A71">
        <w:rPr>
          <w:sz w:val="20"/>
          <w:vertAlign w:val="superscript"/>
        </w:rPr>
        <w:t>1</w:t>
      </w:r>
      <w:r w:rsidRPr="005F5A71">
        <w:rPr>
          <w:sz w:val="20"/>
        </w:rPr>
        <w:t xml:space="preserve"> stratificeret log-ranktest.</w:t>
      </w:r>
    </w:p>
    <w:p w14:paraId="08BE8641" w14:textId="0E400B8F" w:rsidR="005F5A71" w:rsidRDefault="005F5A71">
      <w:pPr>
        <w:rPr>
          <w:sz w:val="20"/>
        </w:rPr>
      </w:pPr>
      <w:r>
        <w:rPr>
          <w:sz w:val="20"/>
        </w:rPr>
        <w:br w:type="page"/>
      </w:r>
    </w:p>
    <w:p w14:paraId="4A0814D0" w14:textId="77777777" w:rsidR="005F5A71" w:rsidRPr="005F5A71" w:rsidRDefault="005F5A71" w:rsidP="005F5A71">
      <w:pPr>
        <w:rPr>
          <w:sz w:val="20"/>
        </w:rPr>
      </w:pPr>
    </w:p>
    <w:p w14:paraId="10311520" w14:textId="77777777" w:rsidR="005F5A71" w:rsidRPr="005F5A71" w:rsidRDefault="005F5A71" w:rsidP="005F5A71">
      <w:pPr>
        <w:ind w:left="567"/>
        <w:rPr>
          <w:b/>
          <w:bCs/>
          <w:sz w:val="24"/>
          <w:szCs w:val="24"/>
        </w:rPr>
      </w:pPr>
      <w:r w:rsidRPr="005F5A71">
        <w:rPr>
          <w:b/>
          <w:bCs/>
          <w:sz w:val="24"/>
          <w:szCs w:val="24"/>
        </w:rPr>
        <w:t>Figur 2: Kaplan-Meier-kurver for samlet overlevelse hos RCC-patienter efter tidligere vaskulær endotelial vækstfaktor (VEGF) målrettet behandling (METEOR)</w:t>
      </w:r>
    </w:p>
    <w:p w14:paraId="4E570005" w14:textId="77777777" w:rsidR="005F5A71" w:rsidRDefault="005F5A71" w:rsidP="005F5A71">
      <w:pPr>
        <w:tabs>
          <w:tab w:val="left" w:pos="9781"/>
        </w:tabs>
        <w:rPr>
          <w:sz w:val="22"/>
          <w:lang w:eastAsia="da-DK"/>
        </w:rPr>
      </w:pPr>
    </w:p>
    <w:p w14:paraId="7AA8984E" w14:textId="3D48E138" w:rsidR="005F5A71" w:rsidRDefault="005F5A71" w:rsidP="005F5A71">
      <w:pPr>
        <w:tabs>
          <w:tab w:val="left" w:pos="9781"/>
        </w:tabs>
      </w:pPr>
      <w:r>
        <w:rPr>
          <w:noProof/>
        </w:rPr>
        <w:drawing>
          <wp:inline distT="0" distB="0" distL="0" distR="0" wp14:anchorId="1142E4FA" wp14:editId="6B7D3436">
            <wp:extent cx="5873750" cy="3613150"/>
            <wp:effectExtent l="0" t="0" r="0" b="0"/>
            <wp:docPr id="44613174" name="Billede 44613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1784" t="8333" r="16681" b="2872"/>
                    <a:stretch>
                      <a:fillRect/>
                    </a:stretch>
                  </pic:blipFill>
                  <pic:spPr bwMode="auto">
                    <a:xfrm>
                      <a:off x="0" y="0"/>
                      <a:ext cx="5873750" cy="3613150"/>
                    </a:xfrm>
                    <a:prstGeom prst="rect">
                      <a:avLst/>
                    </a:prstGeom>
                    <a:noFill/>
                    <a:ln>
                      <a:noFill/>
                    </a:ln>
                  </pic:spPr>
                </pic:pic>
              </a:graphicData>
            </a:graphic>
          </wp:inline>
        </w:drawing>
      </w:r>
    </w:p>
    <w:p w14:paraId="196F360B" w14:textId="5A78FC31" w:rsidR="005F5A71" w:rsidRPr="005F5A71" w:rsidRDefault="005F5A71" w:rsidP="00821423">
      <w:pPr>
        <w:rPr>
          <w:sz w:val="24"/>
          <w:szCs w:val="24"/>
        </w:rPr>
      </w:pPr>
    </w:p>
    <w:p w14:paraId="350E5AC8" w14:textId="77777777" w:rsidR="00FF6DB7" w:rsidRDefault="00FF6DB7" w:rsidP="00FF6DB7">
      <w:pPr>
        <w:tabs>
          <w:tab w:val="left" w:pos="9781"/>
        </w:tabs>
        <w:rPr>
          <w:sz w:val="22"/>
          <w:lang w:eastAsia="da-DK"/>
        </w:rPr>
      </w:pPr>
    </w:p>
    <w:p w14:paraId="02BD85B3" w14:textId="77777777" w:rsidR="00FF6DB7" w:rsidRPr="00FF6DB7" w:rsidRDefault="00FF6DB7" w:rsidP="00FF6DB7">
      <w:pPr>
        <w:ind w:left="567"/>
        <w:rPr>
          <w:rFonts w:eastAsiaTheme="minorEastAsia"/>
          <w:b/>
          <w:sz w:val="24"/>
          <w:szCs w:val="24"/>
        </w:rPr>
      </w:pPr>
      <w:r w:rsidRPr="00FF6DB7">
        <w:rPr>
          <w:rFonts w:eastAsiaTheme="minorEastAsia"/>
          <w:b/>
          <w:sz w:val="24"/>
          <w:szCs w:val="24"/>
        </w:rPr>
        <w:t>Tabel 5: Oversigt over ORR-resultater iht. en uafhængig radiologisk komité (IRC) og investigator, hos RCC-patienter efter tidligere vaskulær endotelial vækstfaktor (VEGF) målrettet behandling</w:t>
      </w:r>
    </w:p>
    <w:p w14:paraId="3BBECBBD" w14:textId="77777777" w:rsidR="00FF6DB7" w:rsidRDefault="00FF6DB7" w:rsidP="00FF6DB7">
      <w:pPr>
        <w:pStyle w:val="Brdtekst"/>
        <w:tabs>
          <w:tab w:val="left" w:pos="9781"/>
        </w:tabs>
        <w:kinsoku w:val="0"/>
        <w:overflowPunct w:val="0"/>
        <w:rPr>
          <w:b/>
          <w:bCs/>
        </w:rPr>
      </w:pPr>
    </w:p>
    <w:tbl>
      <w:tblPr>
        <w:tblW w:w="0" w:type="auto"/>
        <w:tblInd w:w="551" w:type="dxa"/>
        <w:tblLayout w:type="fixed"/>
        <w:tblCellMar>
          <w:left w:w="0" w:type="dxa"/>
          <w:right w:w="0" w:type="dxa"/>
        </w:tblCellMar>
        <w:tblLook w:val="04A0" w:firstRow="1" w:lastRow="0" w:firstColumn="1" w:lastColumn="0" w:noHBand="0" w:noVBand="1"/>
      </w:tblPr>
      <w:tblGrid>
        <w:gridCol w:w="1999"/>
        <w:gridCol w:w="1800"/>
        <w:gridCol w:w="1627"/>
        <w:gridCol w:w="1793"/>
        <w:gridCol w:w="1637"/>
      </w:tblGrid>
      <w:tr w:rsidR="00FF6DB7" w:rsidRPr="00E7162B" w14:paraId="49BC51E0" w14:textId="77777777" w:rsidTr="00FF6DB7">
        <w:trPr>
          <w:trHeight w:val="758"/>
        </w:trPr>
        <w:tc>
          <w:tcPr>
            <w:tcW w:w="1999" w:type="dxa"/>
            <w:tcBorders>
              <w:top w:val="single" w:sz="4" w:space="0" w:color="000000"/>
              <w:left w:val="single" w:sz="4" w:space="0" w:color="000000"/>
              <w:bottom w:val="single" w:sz="4" w:space="0" w:color="000000"/>
              <w:right w:val="single" w:sz="4" w:space="0" w:color="000000"/>
            </w:tcBorders>
          </w:tcPr>
          <w:p w14:paraId="219AF5D8" w14:textId="77777777" w:rsidR="00FF6DB7" w:rsidRDefault="00FF6DB7">
            <w:pPr>
              <w:pStyle w:val="TableParagraph"/>
              <w:tabs>
                <w:tab w:val="left" w:pos="9781"/>
              </w:tabs>
              <w:kinsoku w:val="0"/>
              <w:overflowPunct w:val="0"/>
              <w:spacing w:line="240" w:lineRule="auto"/>
              <w:ind w:left="0"/>
              <w:rPr>
                <w:kern w:val="2"/>
                <w:sz w:val="20"/>
                <w:szCs w:val="20"/>
              </w:rPr>
            </w:pPr>
          </w:p>
        </w:tc>
        <w:tc>
          <w:tcPr>
            <w:tcW w:w="3427" w:type="dxa"/>
            <w:gridSpan w:val="2"/>
            <w:tcBorders>
              <w:top w:val="single" w:sz="4" w:space="0" w:color="000000"/>
              <w:left w:val="single" w:sz="4" w:space="0" w:color="000000"/>
              <w:bottom w:val="single" w:sz="4" w:space="0" w:color="000000"/>
              <w:right w:val="single" w:sz="4" w:space="0" w:color="000000"/>
            </w:tcBorders>
            <w:hideMark/>
          </w:tcPr>
          <w:p w14:paraId="50D62454" w14:textId="77777777" w:rsidR="00FF6DB7" w:rsidRDefault="00FF6DB7">
            <w:pPr>
              <w:pStyle w:val="TableParagraph"/>
              <w:tabs>
                <w:tab w:val="left" w:pos="9781"/>
              </w:tabs>
              <w:kinsoku w:val="0"/>
              <w:overflowPunct w:val="0"/>
              <w:spacing w:line="240" w:lineRule="auto"/>
              <w:ind w:left="724"/>
              <w:rPr>
                <w:b/>
                <w:bCs/>
                <w:kern w:val="2"/>
                <w:sz w:val="22"/>
                <w:szCs w:val="22"/>
              </w:rPr>
            </w:pPr>
            <w:r>
              <w:rPr>
                <w:b/>
                <w:bCs/>
                <w:kern w:val="2"/>
                <w:sz w:val="22"/>
                <w:szCs w:val="22"/>
              </w:rPr>
              <w:t>Primæranalyse</w:t>
            </w:r>
            <w:r>
              <w:rPr>
                <w:b/>
                <w:bCs/>
                <w:spacing w:val="-4"/>
                <w:kern w:val="2"/>
                <w:sz w:val="22"/>
                <w:szCs w:val="22"/>
              </w:rPr>
              <w:t xml:space="preserve"> </w:t>
            </w:r>
            <w:r>
              <w:rPr>
                <w:b/>
                <w:bCs/>
                <w:kern w:val="2"/>
                <w:sz w:val="22"/>
                <w:szCs w:val="22"/>
              </w:rPr>
              <w:t>ORR</w:t>
            </w:r>
          </w:p>
          <w:p w14:paraId="423C8195" w14:textId="77777777" w:rsidR="00FF6DB7" w:rsidRDefault="00FF6DB7">
            <w:pPr>
              <w:pStyle w:val="TableParagraph"/>
              <w:tabs>
                <w:tab w:val="left" w:pos="9781"/>
              </w:tabs>
              <w:kinsoku w:val="0"/>
              <w:overflowPunct w:val="0"/>
              <w:spacing w:line="240" w:lineRule="auto"/>
              <w:ind w:left="688"/>
              <w:rPr>
                <w:b/>
                <w:bCs/>
                <w:kern w:val="2"/>
                <w:sz w:val="22"/>
                <w:szCs w:val="22"/>
              </w:rPr>
            </w:pPr>
            <w:r>
              <w:rPr>
                <w:b/>
                <w:bCs/>
                <w:kern w:val="2"/>
                <w:sz w:val="22"/>
                <w:szCs w:val="22"/>
              </w:rPr>
              <w:t>ITT</w:t>
            </w:r>
            <w:r>
              <w:rPr>
                <w:b/>
                <w:bCs/>
                <w:i/>
                <w:iCs/>
                <w:kern w:val="2"/>
                <w:sz w:val="22"/>
                <w:szCs w:val="22"/>
              </w:rPr>
              <w:t>-</w:t>
            </w:r>
            <w:r>
              <w:rPr>
                <w:b/>
                <w:bCs/>
                <w:kern w:val="2"/>
                <w:sz w:val="22"/>
                <w:szCs w:val="22"/>
              </w:rPr>
              <w:t>population</w:t>
            </w:r>
            <w:r>
              <w:rPr>
                <w:b/>
                <w:bCs/>
                <w:spacing w:val="-8"/>
                <w:kern w:val="2"/>
                <w:sz w:val="22"/>
                <w:szCs w:val="22"/>
              </w:rPr>
              <w:t xml:space="preserve"> </w:t>
            </w:r>
            <w:r>
              <w:rPr>
                <w:b/>
                <w:bCs/>
                <w:kern w:val="2"/>
                <w:sz w:val="22"/>
                <w:szCs w:val="22"/>
              </w:rPr>
              <w:t>(IRC)</w:t>
            </w:r>
          </w:p>
        </w:tc>
        <w:tc>
          <w:tcPr>
            <w:tcW w:w="3430" w:type="dxa"/>
            <w:gridSpan w:val="2"/>
            <w:tcBorders>
              <w:top w:val="single" w:sz="4" w:space="0" w:color="000000"/>
              <w:left w:val="single" w:sz="4" w:space="0" w:color="000000"/>
              <w:bottom w:val="single" w:sz="4" w:space="0" w:color="000000"/>
              <w:right w:val="single" w:sz="4" w:space="0" w:color="000000"/>
            </w:tcBorders>
            <w:hideMark/>
          </w:tcPr>
          <w:p w14:paraId="26440D84" w14:textId="77777777" w:rsidR="00FF6DB7" w:rsidRDefault="00FF6DB7">
            <w:pPr>
              <w:pStyle w:val="TableParagraph"/>
              <w:tabs>
                <w:tab w:val="left" w:pos="9781"/>
              </w:tabs>
              <w:kinsoku w:val="0"/>
              <w:overflowPunct w:val="0"/>
              <w:spacing w:line="240" w:lineRule="auto"/>
              <w:ind w:left="974" w:right="960"/>
              <w:jc w:val="center"/>
              <w:rPr>
                <w:b/>
                <w:bCs/>
                <w:kern w:val="2"/>
                <w:sz w:val="22"/>
                <w:szCs w:val="22"/>
                <w:lang w:val="en-US"/>
              </w:rPr>
            </w:pPr>
            <w:r>
              <w:rPr>
                <w:b/>
                <w:bCs/>
                <w:kern w:val="2"/>
                <w:sz w:val="22"/>
                <w:szCs w:val="22"/>
                <w:lang w:val="en-US"/>
              </w:rPr>
              <w:t>ORR iht. investigator</w:t>
            </w:r>
          </w:p>
          <w:p w14:paraId="1BC7595F" w14:textId="77777777" w:rsidR="00FF6DB7" w:rsidRDefault="00FF6DB7">
            <w:pPr>
              <w:pStyle w:val="TableParagraph"/>
              <w:tabs>
                <w:tab w:val="left" w:pos="9781"/>
              </w:tabs>
              <w:kinsoku w:val="0"/>
              <w:overflowPunct w:val="0"/>
              <w:spacing w:line="240" w:lineRule="auto"/>
              <w:ind w:left="974" w:right="962"/>
              <w:jc w:val="center"/>
              <w:rPr>
                <w:b/>
                <w:bCs/>
                <w:kern w:val="2"/>
                <w:sz w:val="22"/>
                <w:szCs w:val="22"/>
                <w:lang w:val="en-US"/>
              </w:rPr>
            </w:pPr>
            <w:r>
              <w:rPr>
                <w:b/>
                <w:bCs/>
                <w:kern w:val="2"/>
                <w:sz w:val="22"/>
                <w:szCs w:val="22"/>
                <w:lang w:val="en-US"/>
              </w:rPr>
              <w:t>ITT</w:t>
            </w:r>
            <w:r>
              <w:rPr>
                <w:b/>
                <w:bCs/>
                <w:i/>
                <w:iCs/>
                <w:kern w:val="2"/>
                <w:sz w:val="22"/>
                <w:szCs w:val="22"/>
                <w:lang w:val="en-US"/>
              </w:rPr>
              <w:t>-</w:t>
            </w:r>
            <w:r>
              <w:rPr>
                <w:b/>
                <w:bCs/>
                <w:kern w:val="2"/>
                <w:sz w:val="22"/>
                <w:szCs w:val="22"/>
                <w:lang w:val="en-US"/>
              </w:rPr>
              <w:t>population</w:t>
            </w:r>
          </w:p>
        </w:tc>
      </w:tr>
      <w:tr w:rsidR="00FF6DB7" w14:paraId="7CA56F84" w14:textId="77777777" w:rsidTr="00FF6DB7">
        <w:trPr>
          <w:trHeight w:val="253"/>
        </w:trPr>
        <w:tc>
          <w:tcPr>
            <w:tcW w:w="1999" w:type="dxa"/>
            <w:tcBorders>
              <w:top w:val="single" w:sz="4" w:space="0" w:color="000000"/>
              <w:left w:val="single" w:sz="4" w:space="0" w:color="000000"/>
              <w:bottom w:val="single" w:sz="4" w:space="0" w:color="000000"/>
              <w:right w:val="single" w:sz="4" w:space="0" w:color="000000"/>
            </w:tcBorders>
            <w:hideMark/>
          </w:tcPr>
          <w:p w14:paraId="589DD956" w14:textId="77777777" w:rsidR="00FF6DB7" w:rsidRDefault="00FF6DB7">
            <w:pPr>
              <w:pStyle w:val="TableParagraph"/>
              <w:tabs>
                <w:tab w:val="left" w:pos="9781"/>
              </w:tabs>
              <w:kinsoku w:val="0"/>
              <w:overflowPunct w:val="0"/>
              <w:spacing w:line="240" w:lineRule="auto"/>
              <w:rPr>
                <w:b/>
                <w:bCs/>
                <w:kern w:val="2"/>
                <w:sz w:val="22"/>
                <w:szCs w:val="22"/>
              </w:rPr>
            </w:pPr>
            <w:r>
              <w:rPr>
                <w:b/>
                <w:bCs/>
                <w:kern w:val="2"/>
                <w:sz w:val="22"/>
                <w:szCs w:val="22"/>
              </w:rPr>
              <w:t>Endepunkt</w:t>
            </w:r>
          </w:p>
        </w:tc>
        <w:tc>
          <w:tcPr>
            <w:tcW w:w="1800" w:type="dxa"/>
            <w:tcBorders>
              <w:top w:val="single" w:sz="4" w:space="0" w:color="000000"/>
              <w:left w:val="single" w:sz="4" w:space="0" w:color="000000"/>
              <w:bottom w:val="single" w:sz="4" w:space="0" w:color="000000"/>
              <w:right w:val="single" w:sz="4" w:space="0" w:color="000000"/>
            </w:tcBorders>
            <w:hideMark/>
          </w:tcPr>
          <w:p w14:paraId="3AA7A5B7" w14:textId="77777777" w:rsidR="00FF6DB7" w:rsidRDefault="00FF6DB7">
            <w:pPr>
              <w:pStyle w:val="TableParagraph"/>
              <w:tabs>
                <w:tab w:val="left" w:pos="9781"/>
              </w:tabs>
              <w:kinsoku w:val="0"/>
              <w:overflowPunct w:val="0"/>
              <w:spacing w:line="240" w:lineRule="auto"/>
              <w:ind w:left="0" w:right="163"/>
              <w:jc w:val="right"/>
              <w:rPr>
                <w:b/>
                <w:bCs/>
                <w:kern w:val="2"/>
                <w:sz w:val="22"/>
                <w:szCs w:val="22"/>
              </w:rPr>
            </w:pPr>
            <w:r>
              <w:rPr>
                <w:b/>
                <w:bCs/>
                <w:kern w:val="2"/>
                <w:sz w:val="22"/>
                <w:szCs w:val="22"/>
              </w:rPr>
              <w:t xml:space="preserve">Cabozantinib </w:t>
            </w:r>
          </w:p>
        </w:tc>
        <w:tc>
          <w:tcPr>
            <w:tcW w:w="1627" w:type="dxa"/>
            <w:tcBorders>
              <w:top w:val="single" w:sz="4" w:space="0" w:color="000000"/>
              <w:left w:val="single" w:sz="4" w:space="0" w:color="000000"/>
              <w:bottom w:val="single" w:sz="4" w:space="0" w:color="000000"/>
              <w:right w:val="single" w:sz="4" w:space="0" w:color="000000"/>
            </w:tcBorders>
            <w:hideMark/>
          </w:tcPr>
          <w:p w14:paraId="4C8D1F6B" w14:textId="77777777" w:rsidR="00FF6DB7" w:rsidRDefault="00FF6DB7">
            <w:pPr>
              <w:pStyle w:val="TableParagraph"/>
              <w:tabs>
                <w:tab w:val="left" w:pos="9781"/>
              </w:tabs>
              <w:kinsoku w:val="0"/>
              <w:overflowPunct w:val="0"/>
              <w:spacing w:line="240" w:lineRule="auto"/>
              <w:ind w:left="273"/>
              <w:rPr>
                <w:b/>
                <w:bCs/>
                <w:kern w:val="2"/>
                <w:sz w:val="22"/>
                <w:szCs w:val="22"/>
              </w:rPr>
            </w:pPr>
            <w:r>
              <w:rPr>
                <w:b/>
                <w:bCs/>
                <w:kern w:val="2"/>
                <w:sz w:val="22"/>
                <w:szCs w:val="22"/>
              </w:rPr>
              <w:t>Everolimus</w:t>
            </w:r>
          </w:p>
        </w:tc>
        <w:tc>
          <w:tcPr>
            <w:tcW w:w="1793" w:type="dxa"/>
            <w:tcBorders>
              <w:top w:val="single" w:sz="4" w:space="0" w:color="000000"/>
              <w:left w:val="single" w:sz="4" w:space="0" w:color="000000"/>
              <w:bottom w:val="single" w:sz="4" w:space="0" w:color="000000"/>
              <w:right w:val="single" w:sz="4" w:space="0" w:color="000000"/>
            </w:tcBorders>
            <w:hideMark/>
          </w:tcPr>
          <w:p w14:paraId="5CFB1FB7" w14:textId="77777777" w:rsidR="00FF6DB7" w:rsidRDefault="00FF6DB7">
            <w:pPr>
              <w:pStyle w:val="TableParagraph"/>
              <w:tabs>
                <w:tab w:val="left" w:pos="9781"/>
              </w:tabs>
              <w:kinsoku w:val="0"/>
              <w:overflowPunct w:val="0"/>
              <w:spacing w:line="240" w:lineRule="auto"/>
              <w:ind w:left="147" w:right="140"/>
              <w:jc w:val="center"/>
              <w:rPr>
                <w:b/>
                <w:bCs/>
                <w:kern w:val="2"/>
                <w:sz w:val="22"/>
                <w:szCs w:val="22"/>
              </w:rPr>
            </w:pPr>
            <w:r>
              <w:rPr>
                <w:b/>
                <w:bCs/>
                <w:kern w:val="2"/>
                <w:sz w:val="22"/>
                <w:szCs w:val="22"/>
              </w:rPr>
              <w:t xml:space="preserve">Cabozantinib </w:t>
            </w:r>
          </w:p>
        </w:tc>
        <w:tc>
          <w:tcPr>
            <w:tcW w:w="1637" w:type="dxa"/>
            <w:tcBorders>
              <w:top w:val="single" w:sz="4" w:space="0" w:color="000000"/>
              <w:left w:val="single" w:sz="4" w:space="0" w:color="000000"/>
              <w:bottom w:val="single" w:sz="4" w:space="0" w:color="000000"/>
              <w:right w:val="single" w:sz="4" w:space="0" w:color="000000"/>
            </w:tcBorders>
            <w:hideMark/>
          </w:tcPr>
          <w:p w14:paraId="28FC9323" w14:textId="77777777" w:rsidR="00FF6DB7" w:rsidRDefault="00FF6DB7">
            <w:pPr>
              <w:pStyle w:val="TableParagraph"/>
              <w:tabs>
                <w:tab w:val="left" w:pos="9781"/>
              </w:tabs>
              <w:kinsoku w:val="0"/>
              <w:overflowPunct w:val="0"/>
              <w:spacing w:line="240" w:lineRule="auto"/>
              <w:ind w:left="191" w:right="185"/>
              <w:jc w:val="center"/>
              <w:rPr>
                <w:b/>
                <w:bCs/>
                <w:kern w:val="2"/>
                <w:sz w:val="22"/>
                <w:szCs w:val="22"/>
              </w:rPr>
            </w:pPr>
            <w:r>
              <w:rPr>
                <w:b/>
                <w:bCs/>
                <w:kern w:val="2"/>
                <w:sz w:val="22"/>
                <w:szCs w:val="22"/>
              </w:rPr>
              <w:t>Everolimus</w:t>
            </w:r>
          </w:p>
        </w:tc>
      </w:tr>
      <w:tr w:rsidR="00FF6DB7" w14:paraId="5C598C56" w14:textId="77777777" w:rsidTr="00FF6DB7">
        <w:trPr>
          <w:trHeight w:val="251"/>
        </w:trPr>
        <w:tc>
          <w:tcPr>
            <w:tcW w:w="1999" w:type="dxa"/>
            <w:tcBorders>
              <w:top w:val="single" w:sz="4" w:space="0" w:color="000000"/>
              <w:left w:val="single" w:sz="4" w:space="0" w:color="000000"/>
              <w:bottom w:val="single" w:sz="4" w:space="0" w:color="000000"/>
              <w:right w:val="single" w:sz="4" w:space="0" w:color="000000"/>
            </w:tcBorders>
          </w:tcPr>
          <w:p w14:paraId="71B417EE" w14:textId="77777777" w:rsidR="00FF6DB7" w:rsidRDefault="00FF6DB7">
            <w:pPr>
              <w:pStyle w:val="TableParagraph"/>
              <w:tabs>
                <w:tab w:val="left" w:pos="9781"/>
              </w:tabs>
              <w:kinsoku w:val="0"/>
              <w:overflowPunct w:val="0"/>
              <w:spacing w:line="240" w:lineRule="auto"/>
              <w:ind w:left="0"/>
              <w:rPr>
                <w:kern w:val="2"/>
                <w:sz w:val="18"/>
                <w:szCs w:val="18"/>
              </w:rPr>
            </w:pPr>
          </w:p>
        </w:tc>
        <w:tc>
          <w:tcPr>
            <w:tcW w:w="1800" w:type="dxa"/>
            <w:tcBorders>
              <w:top w:val="single" w:sz="4" w:space="0" w:color="000000"/>
              <w:left w:val="single" w:sz="4" w:space="0" w:color="000000"/>
              <w:bottom w:val="single" w:sz="4" w:space="0" w:color="000000"/>
              <w:right w:val="single" w:sz="4" w:space="0" w:color="000000"/>
            </w:tcBorders>
            <w:hideMark/>
          </w:tcPr>
          <w:p w14:paraId="250704C4" w14:textId="77777777" w:rsidR="00FF6DB7" w:rsidRDefault="00FF6DB7">
            <w:pPr>
              <w:pStyle w:val="TableParagraph"/>
              <w:tabs>
                <w:tab w:val="left" w:pos="9781"/>
              </w:tabs>
              <w:kinsoku w:val="0"/>
              <w:overflowPunct w:val="0"/>
              <w:spacing w:line="240" w:lineRule="auto"/>
              <w:ind w:left="535"/>
              <w:rPr>
                <w:kern w:val="2"/>
                <w:sz w:val="22"/>
                <w:szCs w:val="22"/>
              </w:rPr>
            </w:pPr>
            <w:r>
              <w:rPr>
                <w:kern w:val="2"/>
                <w:sz w:val="22"/>
                <w:szCs w:val="22"/>
              </w:rPr>
              <w:t>N = 330</w:t>
            </w:r>
          </w:p>
        </w:tc>
        <w:tc>
          <w:tcPr>
            <w:tcW w:w="1627" w:type="dxa"/>
            <w:tcBorders>
              <w:top w:val="single" w:sz="4" w:space="0" w:color="000000"/>
              <w:left w:val="single" w:sz="4" w:space="0" w:color="000000"/>
              <w:bottom w:val="single" w:sz="4" w:space="0" w:color="000000"/>
              <w:right w:val="single" w:sz="4" w:space="0" w:color="000000"/>
            </w:tcBorders>
            <w:hideMark/>
          </w:tcPr>
          <w:p w14:paraId="194E9E0F" w14:textId="77777777" w:rsidR="00FF6DB7" w:rsidRDefault="00FF6DB7">
            <w:pPr>
              <w:pStyle w:val="TableParagraph"/>
              <w:tabs>
                <w:tab w:val="left" w:pos="9781"/>
              </w:tabs>
              <w:kinsoku w:val="0"/>
              <w:overflowPunct w:val="0"/>
              <w:spacing w:line="240" w:lineRule="auto"/>
              <w:ind w:left="451"/>
              <w:rPr>
                <w:kern w:val="2"/>
                <w:sz w:val="22"/>
                <w:szCs w:val="22"/>
              </w:rPr>
            </w:pPr>
            <w:r>
              <w:rPr>
                <w:kern w:val="2"/>
                <w:sz w:val="22"/>
                <w:szCs w:val="22"/>
              </w:rPr>
              <w:t>N = 328</w:t>
            </w:r>
          </w:p>
        </w:tc>
        <w:tc>
          <w:tcPr>
            <w:tcW w:w="1793" w:type="dxa"/>
            <w:tcBorders>
              <w:top w:val="single" w:sz="4" w:space="0" w:color="000000"/>
              <w:left w:val="single" w:sz="4" w:space="0" w:color="000000"/>
              <w:bottom w:val="single" w:sz="4" w:space="0" w:color="000000"/>
              <w:right w:val="single" w:sz="4" w:space="0" w:color="000000"/>
            </w:tcBorders>
            <w:hideMark/>
          </w:tcPr>
          <w:p w14:paraId="78126A88" w14:textId="77777777" w:rsidR="00FF6DB7" w:rsidRDefault="00FF6DB7">
            <w:pPr>
              <w:pStyle w:val="TableParagraph"/>
              <w:tabs>
                <w:tab w:val="left" w:pos="9781"/>
              </w:tabs>
              <w:kinsoku w:val="0"/>
              <w:overflowPunct w:val="0"/>
              <w:spacing w:line="240" w:lineRule="auto"/>
              <w:ind w:left="147" w:right="140"/>
              <w:jc w:val="center"/>
              <w:rPr>
                <w:kern w:val="2"/>
                <w:sz w:val="22"/>
                <w:szCs w:val="22"/>
              </w:rPr>
            </w:pPr>
            <w:r>
              <w:rPr>
                <w:kern w:val="2"/>
                <w:sz w:val="22"/>
                <w:szCs w:val="22"/>
              </w:rPr>
              <w:t>N = 330</w:t>
            </w:r>
          </w:p>
        </w:tc>
        <w:tc>
          <w:tcPr>
            <w:tcW w:w="1637" w:type="dxa"/>
            <w:tcBorders>
              <w:top w:val="single" w:sz="4" w:space="0" w:color="000000"/>
              <w:left w:val="single" w:sz="4" w:space="0" w:color="000000"/>
              <w:bottom w:val="single" w:sz="4" w:space="0" w:color="000000"/>
              <w:right w:val="single" w:sz="4" w:space="0" w:color="000000"/>
            </w:tcBorders>
            <w:hideMark/>
          </w:tcPr>
          <w:p w14:paraId="758DCF60" w14:textId="77777777" w:rsidR="00FF6DB7" w:rsidRDefault="00FF6DB7">
            <w:pPr>
              <w:pStyle w:val="TableParagraph"/>
              <w:tabs>
                <w:tab w:val="left" w:pos="9781"/>
              </w:tabs>
              <w:kinsoku w:val="0"/>
              <w:overflowPunct w:val="0"/>
              <w:spacing w:line="240" w:lineRule="auto"/>
              <w:ind w:left="191" w:right="182"/>
              <w:jc w:val="center"/>
              <w:rPr>
                <w:kern w:val="2"/>
                <w:sz w:val="22"/>
                <w:szCs w:val="22"/>
              </w:rPr>
            </w:pPr>
            <w:r>
              <w:rPr>
                <w:kern w:val="2"/>
                <w:sz w:val="22"/>
                <w:szCs w:val="22"/>
              </w:rPr>
              <w:t>N = 328</w:t>
            </w:r>
          </w:p>
        </w:tc>
      </w:tr>
      <w:tr w:rsidR="00FF6DB7" w14:paraId="2AC39F07" w14:textId="77777777" w:rsidTr="00FF6DB7">
        <w:trPr>
          <w:trHeight w:val="760"/>
        </w:trPr>
        <w:tc>
          <w:tcPr>
            <w:tcW w:w="1999" w:type="dxa"/>
            <w:tcBorders>
              <w:top w:val="single" w:sz="4" w:space="0" w:color="000000"/>
              <w:left w:val="single" w:sz="4" w:space="0" w:color="000000"/>
              <w:bottom w:val="single" w:sz="4" w:space="0" w:color="000000"/>
              <w:right w:val="single" w:sz="4" w:space="0" w:color="000000"/>
            </w:tcBorders>
            <w:hideMark/>
          </w:tcPr>
          <w:p w14:paraId="72699FD2" w14:textId="77777777" w:rsidR="00FF6DB7" w:rsidRDefault="00FF6DB7">
            <w:pPr>
              <w:pStyle w:val="TableParagraph"/>
              <w:tabs>
                <w:tab w:val="left" w:pos="9781"/>
              </w:tabs>
              <w:kinsoku w:val="0"/>
              <w:overflowPunct w:val="0"/>
              <w:spacing w:line="240" w:lineRule="auto"/>
              <w:ind w:right="273"/>
              <w:rPr>
                <w:kern w:val="2"/>
                <w:sz w:val="22"/>
                <w:szCs w:val="22"/>
              </w:rPr>
            </w:pPr>
            <w:r>
              <w:rPr>
                <w:kern w:val="2"/>
                <w:sz w:val="22"/>
                <w:szCs w:val="22"/>
              </w:rPr>
              <w:t>ORR (kun delvise responser) (95 % CI)</w:t>
            </w:r>
          </w:p>
        </w:tc>
        <w:tc>
          <w:tcPr>
            <w:tcW w:w="1800" w:type="dxa"/>
            <w:tcBorders>
              <w:top w:val="single" w:sz="4" w:space="0" w:color="000000"/>
              <w:left w:val="single" w:sz="4" w:space="0" w:color="000000"/>
              <w:bottom w:val="single" w:sz="4" w:space="0" w:color="000000"/>
              <w:right w:val="single" w:sz="4" w:space="0" w:color="000000"/>
            </w:tcBorders>
            <w:hideMark/>
          </w:tcPr>
          <w:p w14:paraId="592540A9" w14:textId="77777777" w:rsidR="00FF6DB7" w:rsidRDefault="00FF6DB7">
            <w:pPr>
              <w:pStyle w:val="TableParagraph"/>
              <w:tabs>
                <w:tab w:val="left" w:pos="9781"/>
              </w:tabs>
              <w:kinsoku w:val="0"/>
              <w:overflowPunct w:val="0"/>
              <w:spacing w:line="240" w:lineRule="auto"/>
              <w:ind w:left="0" w:right="183"/>
              <w:jc w:val="right"/>
              <w:rPr>
                <w:kern w:val="2"/>
                <w:sz w:val="22"/>
                <w:szCs w:val="22"/>
              </w:rPr>
            </w:pPr>
            <w:r>
              <w:rPr>
                <w:kern w:val="2"/>
                <w:sz w:val="22"/>
                <w:szCs w:val="22"/>
              </w:rPr>
              <w:t>17 % (13-22 %)</w:t>
            </w:r>
          </w:p>
        </w:tc>
        <w:tc>
          <w:tcPr>
            <w:tcW w:w="1627" w:type="dxa"/>
            <w:tcBorders>
              <w:top w:val="single" w:sz="4" w:space="0" w:color="000000"/>
              <w:left w:val="single" w:sz="4" w:space="0" w:color="000000"/>
              <w:bottom w:val="single" w:sz="4" w:space="0" w:color="000000"/>
              <w:right w:val="single" w:sz="4" w:space="0" w:color="000000"/>
            </w:tcBorders>
            <w:hideMark/>
          </w:tcPr>
          <w:p w14:paraId="052E7987" w14:textId="77777777" w:rsidR="00FF6DB7" w:rsidRDefault="00FF6DB7">
            <w:pPr>
              <w:pStyle w:val="TableParagraph"/>
              <w:tabs>
                <w:tab w:val="left" w:pos="9781"/>
              </w:tabs>
              <w:kinsoku w:val="0"/>
              <w:overflowPunct w:val="0"/>
              <w:spacing w:line="240" w:lineRule="auto"/>
              <w:ind w:left="271"/>
              <w:rPr>
                <w:kern w:val="2"/>
                <w:sz w:val="22"/>
                <w:szCs w:val="22"/>
              </w:rPr>
            </w:pPr>
            <w:r>
              <w:rPr>
                <w:kern w:val="2"/>
                <w:sz w:val="22"/>
                <w:szCs w:val="22"/>
              </w:rPr>
              <w:t>3 % (2-6 %)</w:t>
            </w:r>
          </w:p>
        </w:tc>
        <w:tc>
          <w:tcPr>
            <w:tcW w:w="1793" w:type="dxa"/>
            <w:tcBorders>
              <w:top w:val="single" w:sz="4" w:space="0" w:color="000000"/>
              <w:left w:val="single" w:sz="4" w:space="0" w:color="000000"/>
              <w:bottom w:val="single" w:sz="4" w:space="0" w:color="000000"/>
              <w:right w:val="single" w:sz="4" w:space="0" w:color="000000"/>
            </w:tcBorders>
            <w:hideMark/>
          </w:tcPr>
          <w:p w14:paraId="62F8D342" w14:textId="77777777" w:rsidR="00FF6DB7" w:rsidRDefault="00FF6DB7">
            <w:pPr>
              <w:pStyle w:val="TableParagraph"/>
              <w:tabs>
                <w:tab w:val="left" w:pos="9781"/>
              </w:tabs>
              <w:kinsoku w:val="0"/>
              <w:overflowPunct w:val="0"/>
              <w:spacing w:line="240" w:lineRule="auto"/>
              <w:ind w:left="147" w:right="138"/>
              <w:jc w:val="center"/>
              <w:rPr>
                <w:kern w:val="2"/>
                <w:sz w:val="22"/>
                <w:szCs w:val="22"/>
              </w:rPr>
            </w:pPr>
            <w:r>
              <w:rPr>
                <w:kern w:val="2"/>
                <w:sz w:val="22"/>
                <w:szCs w:val="22"/>
              </w:rPr>
              <w:t>24 % (19-29 %)</w:t>
            </w:r>
          </w:p>
        </w:tc>
        <w:tc>
          <w:tcPr>
            <w:tcW w:w="1637" w:type="dxa"/>
            <w:tcBorders>
              <w:top w:val="single" w:sz="4" w:space="0" w:color="000000"/>
              <w:left w:val="single" w:sz="4" w:space="0" w:color="000000"/>
              <w:bottom w:val="single" w:sz="4" w:space="0" w:color="000000"/>
              <w:right w:val="single" w:sz="4" w:space="0" w:color="000000"/>
            </w:tcBorders>
            <w:hideMark/>
          </w:tcPr>
          <w:p w14:paraId="7ECD730C" w14:textId="77777777" w:rsidR="00FF6DB7" w:rsidRDefault="00FF6DB7">
            <w:pPr>
              <w:pStyle w:val="TableParagraph"/>
              <w:tabs>
                <w:tab w:val="left" w:pos="9781"/>
              </w:tabs>
              <w:kinsoku w:val="0"/>
              <w:overflowPunct w:val="0"/>
              <w:spacing w:line="240" w:lineRule="auto"/>
              <w:ind w:left="191" w:right="183"/>
              <w:jc w:val="center"/>
              <w:rPr>
                <w:kern w:val="2"/>
                <w:sz w:val="22"/>
                <w:szCs w:val="22"/>
              </w:rPr>
            </w:pPr>
            <w:r>
              <w:rPr>
                <w:kern w:val="2"/>
                <w:sz w:val="22"/>
                <w:szCs w:val="22"/>
              </w:rPr>
              <w:t>4 % (2-7 %)</w:t>
            </w:r>
          </w:p>
        </w:tc>
      </w:tr>
      <w:tr w:rsidR="00FF6DB7" w14:paraId="6A7F6EB7" w14:textId="77777777" w:rsidTr="00FF6DB7">
        <w:trPr>
          <w:trHeight w:val="251"/>
        </w:trPr>
        <w:tc>
          <w:tcPr>
            <w:tcW w:w="1999" w:type="dxa"/>
            <w:tcBorders>
              <w:top w:val="single" w:sz="4" w:space="0" w:color="000000"/>
              <w:left w:val="single" w:sz="4" w:space="0" w:color="000000"/>
              <w:bottom w:val="single" w:sz="4" w:space="0" w:color="000000"/>
              <w:right w:val="single" w:sz="4" w:space="0" w:color="000000"/>
            </w:tcBorders>
            <w:hideMark/>
          </w:tcPr>
          <w:p w14:paraId="2DB89933" w14:textId="77777777" w:rsidR="00FF6DB7" w:rsidRDefault="00FF6DB7">
            <w:pPr>
              <w:pStyle w:val="TableParagraph"/>
              <w:tabs>
                <w:tab w:val="left" w:pos="9781"/>
              </w:tabs>
              <w:kinsoku w:val="0"/>
              <w:overflowPunct w:val="0"/>
              <w:spacing w:line="240" w:lineRule="auto"/>
              <w:rPr>
                <w:kern w:val="2"/>
                <w:position w:val="8"/>
                <w:sz w:val="14"/>
                <w:szCs w:val="14"/>
              </w:rPr>
            </w:pPr>
            <w:r>
              <w:rPr>
                <w:kern w:val="2"/>
                <w:sz w:val="22"/>
                <w:szCs w:val="22"/>
              </w:rPr>
              <w:t>p-værdi</w:t>
            </w:r>
            <w:r>
              <w:rPr>
                <w:kern w:val="2"/>
                <w:position w:val="8"/>
                <w:sz w:val="14"/>
                <w:szCs w:val="14"/>
              </w:rPr>
              <w:t>1</w:t>
            </w:r>
          </w:p>
        </w:tc>
        <w:tc>
          <w:tcPr>
            <w:tcW w:w="3427" w:type="dxa"/>
            <w:gridSpan w:val="2"/>
            <w:tcBorders>
              <w:top w:val="single" w:sz="4" w:space="0" w:color="000000"/>
              <w:left w:val="single" w:sz="4" w:space="0" w:color="000000"/>
              <w:bottom w:val="single" w:sz="4" w:space="0" w:color="000000"/>
              <w:right w:val="single" w:sz="4" w:space="0" w:color="000000"/>
            </w:tcBorders>
            <w:hideMark/>
          </w:tcPr>
          <w:p w14:paraId="1DDA0236" w14:textId="77777777" w:rsidR="00FF6DB7" w:rsidRDefault="00FF6DB7">
            <w:pPr>
              <w:pStyle w:val="TableParagraph"/>
              <w:tabs>
                <w:tab w:val="left" w:pos="9781"/>
              </w:tabs>
              <w:kinsoku w:val="0"/>
              <w:overflowPunct w:val="0"/>
              <w:spacing w:line="240" w:lineRule="auto"/>
              <w:ind w:left="1272" w:right="1265"/>
              <w:jc w:val="center"/>
              <w:rPr>
                <w:kern w:val="2"/>
                <w:sz w:val="22"/>
                <w:szCs w:val="22"/>
              </w:rPr>
            </w:pPr>
            <w:r>
              <w:rPr>
                <w:kern w:val="2"/>
                <w:sz w:val="22"/>
                <w:szCs w:val="22"/>
              </w:rPr>
              <w:t>p&lt;0,0001</w:t>
            </w:r>
          </w:p>
        </w:tc>
        <w:tc>
          <w:tcPr>
            <w:tcW w:w="3430" w:type="dxa"/>
            <w:gridSpan w:val="2"/>
            <w:tcBorders>
              <w:top w:val="single" w:sz="4" w:space="0" w:color="000000"/>
              <w:left w:val="single" w:sz="4" w:space="0" w:color="000000"/>
              <w:bottom w:val="single" w:sz="4" w:space="0" w:color="000000"/>
              <w:right w:val="single" w:sz="4" w:space="0" w:color="000000"/>
            </w:tcBorders>
            <w:hideMark/>
          </w:tcPr>
          <w:p w14:paraId="4F938C6F" w14:textId="77777777" w:rsidR="00FF6DB7" w:rsidRDefault="00FF6DB7">
            <w:pPr>
              <w:pStyle w:val="TableParagraph"/>
              <w:tabs>
                <w:tab w:val="left" w:pos="9781"/>
              </w:tabs>
              <w:kinsoku w:val="0"/>
              <w:overflowPunct w:val="0"/>
              <w:spacing w:line="240" w:lineRule="auto"/>
              <w:ind w:left="971" w:right="962"/>
              <w:jc w:val="center"/>
              <w:rPr>
                <w:kern w:val="2"/>
                <w:sz w:val="22"/>
                <w:szCs w:val="22"/>
              </w:rPr>
            </w:pPr>
            <w:r>
              <w:rPr>
                <w:kern w:val="2"/>
                <w:sz w:val="22"/>
                <w:szCs w:val="22"/>
              </w:rPr>
              <w:t>p&lt;0,0001</w:t>
            </w:r>
          </w:p>
        </w:tc>
      </w:tr>
      <w:tr w:rsidR="00FF6DB7" w14:paraId="071CB2D8" w14:textId="77777777" w:rsidTr="00FF6DB7">
        <w:trPr>
          <w:trHeight w:val="253"/>
        </w:trPr>
        <w:tc>
          <w:tcPr>
            <w:tcW w:w="1999" w:type="dxa"/>
            <w:tcBorders>
              <w:top w:val="single" w:sz="4" w:space="0" w:color="000000"/>
              <w:left w:val="single" w:sz="4" w:space="0" w:color="000000"/>
              <w:bottom w:val="single" w:sz="4" w:space="0" w:color="000000"/>
              <w:right w:val="single" w:sz="4" w:space="0" w:color="000000"/>
            </w:tcBorders>
            <w:hideMark/>
          </w:tcPr>
          <w:p w14:paraId="35C74E01" w14:textId="77777777" w:rsidR="00FF6DB7" w:rsidRDefault="00FF6DB7">
            <w:pPr>
              <w:pStyle w:val="TableParagraph"/>
              <w:tabs>
                <w:tab w:val="left" w:pos="9781"/>
              </w:tabs>
              <w:kinsoku w:val="0"/>
              <w:overflowPunct w:val="0"/>
              <w:spacing w:line="240" w:lineRule="auto"/>
              <w:rPr>
                <w:kern w:val="2"/>
                <w:sz w:val="22"/>
                <w:szCs w:val="22"/>
              </w:rPr>
            </w:pPr>
            <w:r>
              <w:rPr>
                <w:kern w:val="2"/>
                <w:sz w:val="22"/>
                <w:szCs w:val="22"/>
              </w:rPr>
              <w:t>Delvist respons</w:t>
            </w:r>
          </w:p>
        </w:tc>
        <w:tc>
          <w:tcPr>
            <w:tcW w:w="1800" w:type="dxa"/>
            <w:tcBorders>
              <w:top w:val="single" w:sz="4" w:space="0" w:color="000000"/>
              <w:left w:val="single" w:sz="4" w:space="0" w:color="000000"/>
              <w:bottom w:val="single" w:sz="4" w:space="0" w:color="000000"/>
              <w:right w:val="single" w:sz="4" w:space="0" w:color="000000"/>
            </w:tcBorders>
            <w:hideMark/>
          </w:tcPr>
          <w:p w14:paraId="3A0848F1" w14:textId="77777777" w:rsidR="00FF6DB7" w:rsidRDefault="00FF6DB7">
            <w:pPr>
              <w:pStyle w:val="TableParagraph"/>
              <w:tabs>
                <w:tab w:val="left" w:pos="9781"/>
              </w:tabs>
              <w:kinsoku w:val="0"/>
              <w:overflowPunct w:val="0"/>
              <w:spacing w:line="240" w:lineRule="auto"/>
              <w:ind w:left="149" w:right="145"/>
              <w:jc w:val="center"/>
              <w:rPr>
                <w:kern w:val="2"/>
                <w:sz w:val="22"/>
                <w:szCs w:val="22"/>
              </w:rPr>
            </w:pPr>
            <w:r>
              <w:rPr>
                <w:kern w:val="2"/>
                <w:sz w:val="22"/>
                <w:szCs w:val="22"/>
              </w:rPr>
              <w:t>17 %</w:t>
            </w:r>
          </w:p>
        </w:tc>
        <w:tc>
          <w:tcPr>
            <w:tcW w:w="1627" w:type="dxa"/>
            <w:tcBorders>
              <w:top w:val="single" w:sz="4" w:space="0" w:color="000000"/>
              <w:left w:val="single" w:sz="4" w:space="0" w:color="000000"/>
              <w:bottom w:val="single" w:sz="4" w:space="0" w:color="000000"/>
              <w:right w:val="single" w:sz="4" w:space="0" w:color="000000"/>
            </w:tcBorders>
            <w:hideMark/>
          </w:tcPr>
          <w:p w14:paraId="6AE31173" w14:textId="77777777" w:rsidR="00FF6DB7" w:rsidRDefault="00FF6DB7">
            <w:pPr>
              <w:pStyle w:val="TableParagraph"/>
              <w:tabs>
                <w:tab w:val="left" w:pos="9781"/>
              </w:tabs>
              <w:kinsoku w:val="0"/>
              <w:overflowPunct w:val="0"/>
              <w:spacing w:line="240" w:lineRule="auto"/>
              <w:ind w:left="241" w:right="232"/>
              <w:jc w:val="center"/>
              <w:rPr>
                <w:kern w:val="2"/>
                <w:sz w:val="22"/>
                <w:szCs w:val="22"/>
              </w:rPr>
            </w:pPr>
            <w:r>
              <w:rPr>
                <w:kern w:val="2"/>
                <w:sz w:val="22"/>
                <w:szCs w:val="22"/>
              </w:rPr>
              <w:t>3 %</w:t>
            </w:r>
          </w:p>
        </w:tc>
        <w:tc>
          <w:tcPr>
            <w:tcW w:w="1793" w:type="dxa"/>
            <w:tcBorders>
              <w:top w:val="single" w:sz="4" w:space="0" w:color="000000"/>
              <w:left w:val="single" w:sz="4" w:space="0" w:color="000000"/>
              <w:bottom w:val="single" w:sz="4" w:space="0" w:color="000000"/>
              <w:right w:val="single" w:sz="4" w:space="0" w:color="000000"/>
            </w:tcBorders>
            <w:hideMark/>
          </w:tcPr>
          <w:p w14:paraId="2421690E" w14:textId="77777777" w:rsidR="00FF6DB7" w:rsidRDefault="00FF6DB7">
            <w:pPr>
              <w:pStyle w:val="TableParagraph"/>
              <w:tabs>
                <w:tab w:val="left" w:pos="9781"/>
              </w:tabs>
              <w:kinsoku w:val="0"/>
              <w:overflowPunct w:val="0"/>
              <w:spacing w:line="240" w:lineRule="auto"/>
              <w:ind w:left="146" w:right="140"/>
              <w:jc w:val="center"/>
              <w:rPr>
                <w:kern w:val="2"/>
                <w:sz w:val="22"/>
                <w:szCs w:val="22"/>
              </w:rPr>
            </w:pPr>
            <w:r>
              <w:rPr>
                <w:kern w:val="2"/>
                <w:sz w:val="22"/>
                <w:szCs w:val="22"/>
              </w:rPr>
              <w:t>24 %</w:t>
            </w:r>
          </w:p>
        </w:tc>
        <w:tc>
          <w:tcPr>
            <w:tcW w:w="1637" w:type="dxa"/>
            <w:tcBorders>
              <w:top w:val="single" w:sz="4" w:space="0" w:color="000000"/>
              <w:left w:val="single" w:sz="4" w:space="0" w:color="000000"/>
              <w:bottom w:val="single" w:sz="4" w:space="0" w:color="000000"/>
              <w:right w:val="single" w:sz="4" w:space="0" w:color="000000"/>
            </w:tcBorders>
            <w:hideMark/>
          </w:tcPr>
          <w:p w14:paraId="30C816BA" w14:textId="77777777" w:rsidR="00FF6DB7" w:rsidRDefault="00FF6DB7">
            <w:pPr>
              <w:pStyle w:val="TableParagraph"/>
              <w:tabs>
                <w:tab w:val="left" w:pos="9781"/>
              </w:tabs>
              <w:kinsoku w:val="0"/>
              <w:overflowPunct w:val="0"/>
              <w:spacing w:line="240" w:lineRule="auto"/>
              <w:ind w:left="191" w:right="183"/>
              <w:jc w:val="center"/>
              <w:rPr>
                <w:kern w:val="2"/>
                <w:sz w:val="22"/>
                <w:szCs w:val="22"/>
              </w:rPr>
            </w:pPr>
            <w:r>
              <w:rPr>
                <w:kern w:val="2"/>
                <w:sz w:val="22"/>
                <w:szCs w:val="22"/>
              </w:rPr>
              <w:t>4 %</w:t>
            </w:r>
          </w:p>
        </w:tc>
      </w:tr>
      <w:tr w:rsidR="00FF6DB7" w14:paraId="6EA86BB5" w14:textId="77777777" w:rsidTr="00FF6DB7">
        <w:trPr>
          <w:trHeight w:val="757"/>
        </w:trPr>
        <w:tc>
          <w:tcPr>
            <w:tcW w:w="1999" w:type="dxa"/>
            <w:tcBorders>
              <w:top w:val="single" w:sz="4" w:space="0" w:color="000000"/>
              <w:left w:val="single" w:sz="4" w:space="0" w:color="000000"/>
              <w:bottom w:val="single" w:sz="4" w:space="0" w:color="000000"/>
              <w:right w:val="single" w:sz="4" w:space="0" w:color="000000"/>
            </w:tcBorders>
            <w:hideMark/>
          </w:tcPr>
          <w:p w14:paraId="7305B0B4" w14:textId="77777777" w:rsidR="00FF6DB7" w:rsidRDefault="00FF6DB7">
            <w:pPr>
              <w:pStyle w:val="TableParagraph"/>
              <w:tabs>
                <w:tab w:val="left" w:pos="9781"/>
              </w:tabs>
              <w:kinsoku w:val="0"/>
              <w:overflowPunct w:val="0"/>
              <w:spacing w:line="240" w:lineRule="auto"/>
              <w:rPr>
                <w:kern w:val="2"/>
                <w:sz w:val="22"/>
                <w:szCs w:val="22"/>
              </w:rPr>
            </w:pPr>
            <w:r>
              <w:rPr>
                <w:kern w:val="2"/>
                <w:sz w:val="22"/>
                <w:szCs w:val="22"/>
              </w:rPr>
              <w:t>Mediantid til første</w:t>
            </w:r>
          </w:p>
          <w:p w14:paraId="3C58D7FC" w14:textId="77777777" w:rsidR="00FF6DB7" w:rsidRDefault="00FF6DB7">
            <w:pPr>
              <w:pStyle w:val="TableParagraph"/>
              <w:tabs>
                <w:tab w:val="left" w:pos="9781"/>
              </w:tabs>
              <w:kinsoku w:val="0"/>
              <w:overflowPunct w:val="0"/>
              <w:spacing w:line="240" w:lineRule="auto"/>
              <w:ind w:right="322"/>
              <w:rPr>
                <w:kern w:val="2"/>
                <w:sz w:val="22"/>
                <w:szCs w:val="22"/>
              </w:rPr>
            </w:pPr>
            <w:r>
              <w:rPr>
                <w:kern w:val="2"/>
                <w:sz w:val="22"/>
                <w:szCs w:val="22"/>
              </w:rPr>
              <w:t>respons, måneder (95 % CI)</w:t>
            </w:r>
          </w:p>
        </w:tc>
        <w:tc>
          <w:tcPr>
            <w:tcW w:w="1800" w:type="dxa"/>
            <w:tcBorders>
              <w:top w:val="single" w:sz="4" w:space="0" w:color="000000"/>
              <w:left w:val="single" w:sz="4" w:space="0" w:color="000000"/>
              <w:bottom w:val="single" w:sz="4" w:space="0" w:color="000000"/>
              <w:right w:val="single" w:sz="4" w:space="0" w:color="000000"/>
            </w:tcBorders>
            <w:hideMark/>
          </w:tcPr>
          <w:p w14:paraId="3762BC48" w14:textId="77777777" w:rsidR="00FF6DB7" w:rsidRDefault="00FF6DB7">
            <w:pPr>
              <w:pStyle w:val="TableParagraph"/>
              <w:tabs>
                <w:tab w:val="left" w:pos="9781"/>
              </w:tabs>
              <w:kinsoku w:val="0"/>
              <w:overflowPunct w:val="0"/>
              <w:spacing w:line="240" w:lineRule="auto"/>
              <w:ind w:left="0" w:right="228"/>
              <w:jc w:val="right"/>
              <w:rPr>
                <w:kern w:val="2"/>
                <w:sz w:val="22"/>
                <w:szCs w:val="22"/>
              </w:rPr>
            </w:pPr>
            <w:r>
              <w:rPr>
                <w:kern w:val="2"/>
                <w:sz w:val="22"/>
                <w:szCs w:val="22"/>
              </w:rPr>
              <w:t>1,91 (1,6-11,0)</w:t>
            </w:r>
          </w:p>
        </w:tc>
        <w:tc>
          <w:tcPr>
            <w:tcW w:w="1627" w:type="dxa"/>
            <w:tcBorders>
              <w:top w:val="single" w:sz="4" w:space="0" w:color="000000"/>
              <w:left w:val="single" w:sz="4" w:space="0" w:color="000000"/>
              <w:bottom w:val="single" w:sz="4" w:space="0" w:color="000000"/>
              <w:right w:val="single" w:sz="4" w:space="0" w:color="000000"/>
            </w:tcBorders>
            <w:hideMark/>
          </w:tcPr>
          <w:p w14:paraId="61DDF8E9" w14:textId="77777777" w:rsidR="00FF6DB7" w:rsidRDefault="00FF6DB7">
            <w:pPr>
              <w:pStyle w:val="TableParagraph"/>
              <w:tabs>
                <w:tab w:val="left" w:pos="9781"/>
              </w:tabs>
              <w:kinsoku w:val="0"/>
              <w:overflowPunct w:val="0"/>
              <w:spacing w:line="240" w:lineRule="auto"/>
              <w:ind w:left="206"/>
              <w:rPr>
                <w:kern w:val="2"/>
                <w:sz w:val="22"/>
                <w:szCs w:val="22"/>
              </w:rPr>
            </w:pPr>
            <w:r>
              <w:rPr>
                <w:kern w:val="2"/>
                <w:sz w:val="22"/>
                <w:szCs w:val="22"/>
              </w:rPr>
              <w:t>2,14 (1,9-9,2)</w:t>
            </w:r>
          </w:p>
        </w:tc>
        <w:tc>
          <w:tcPr>
            <w:tcW w:w="1793" w:type="dxa"/>
            <w:tcBorders>
              <w:top w:val="single" w:sz="4" w:space="0" w:color="000000"/>
              <w:left w:val="single" w:sz="4" w:space="0" w:color="000000"/>
              <w:bottom w:val="single" w:sz="4" w:space="0" w:color="000000"/>
              <w:right w:val="single" w:sz="4" w:space="0" w:color="000000"/>
            </w:tcBorders>
            <w:hideMark/>
          </w:tcPr>
          <w:p w14:paraId="1BA2EBEC" w14:textId="77777777" w:rsidR="00FF6DB7" w:rsidRDefault="00FF6DB7">
            <w:pPr>
              <w:pStyle w:val="TableParagraph"/>
              <w:tabs>
                <w:tab w:val="left" w:pos="9781"/>
              </w:tabs>
              <w:kinsoku w:val="0"/>
              <w:overflowPunct w:val="0"/>
              <w:spacing w:line="240" w:lineRule="auto"/>
              <w:ind w:left="147" w:right="138"/>
              <w:jc w:val="center"/>
              <w:rPr>
                <w:kern w:val="2"/>
                <w:sz w:val="22"/>
                <w:szCs w:val="22"/>
              </w:rPr>
            </w:pPr>
            <w:r>
              <w:rPr>
                <w:kern w:val="2"/>
                <w:sz w:val="22"/>
                <w:szCs w:val="22"/>
              </w:rPr>
              <w:t>1,91 (1,3-9,8)</w:t>
            </w:r>
          </w:p>
        </w:tc>
        <w:tc>
          <w:tcPr>
            <w:tcW w:w="1637" w:type="dxa"/>
            <w:tcBorders>
              <w:top w:val="single" w:sz="4" w:space="0" w:color="000000"/>
              <w:left w:val="single" w:sz="4" w:space="0" w:color="000000"/>
              <w:bottom w:val="single" w:sz="4" w:space="0" w:color="000000"/>
              <w:right w:val="single" w:sz="4" w:space="0" w:color="000000"/>
            </w:tcBorders>
            <w:hideMark/>
          </w:tcPr>
          <w:p w14:paraId="54417814" w14:textId="77777777" w:rsidR="00FF6DB7" w:rsidRDefault="00FF6DB7">
            <w:pPr>
              <w:pStyle w:val="TableParagraph"/>
              <w:tabs>
                <w:tab w:val="left" w:pos="9781"/>
              </w:tabs>
              <w:kinsoku w:val="0"/>
              <w:overflowPunct w:val="0"/>
              <w:spacing w:line="240" w:lineRule="auto"/>
              <w:ind w:left="191" w:right="185"/>
              <w:jc w:val="center"/>
              <w:rPr>
                <w:kern w:val="2"/>
                <w:sz w:val="22"/>
                <w:szCs w:val="22"/>
              </w:rPr>
            </w:pPr>
            <w:r>
              <w:rPr>
                <w:kern w:val="2"/>
                <w:sz w:val="22"/>
                <w:szCs w:val="22"/>
              </w:rPr>
              <w:t>3,50 (1,8-5,6)</w:t>
            </w:r>
          </w:p>
        </w:tc>
      </w:tr>
      <w:tr w:rsidR="00FF6DB7" w14:paraId="692B7B6E" w14:textId="77777777" w:rsidTr="00FF6DB7">
        <w:trPr>
          <w:trHeight w:val="504"/>
        </w:trPr>
        <w:tc>
          <w:tcPr>
            <w:tcW w:w="1999" w:type="dxa"/>
            <w:tcBorders>
              <w:top w:val="single" w:sz="4" w:space="0" w:color="000000"/>
              <w:left w:val="single" w:sz="4" w:space="0" w:color="000000"/>
              <w:bottom w:val="single" w:sz="4" w:space="0" w:color="000000"/>
              <w:right w:val="single" w:sz="4" w:space="0" w:color="000000"/>
            </w:tcBorders>
            <w:hideMark/>
          </w:tcPr>
          <w:p w14:paraId="4E38F3CB" w14:textId="77777777" w:rsidR="00FF6DB7" w:rsidRDefault="00FF6DB7">
            <w:pPr>
              <w:pStyle w:val="TableParagraph"/>
              <w:tabs>
                <w:tab w:val="left" w:pos="9781"/>
              </w:tabs>
              <w:kinsoku w:val="0"/>
              <w:overflowPunct w:val="0"/>
              <w:spacing w:line="240" w:lineRule="auto"/>
              <w:ind w:right="175"/>
              <w:rPr>
                <w:kern w:val="2"/>
                <w:sz w:val="22"/>
                <w:szCs w:val="22"/>
              </w:rPr>
            </w:pPr>
            <w:r>
              <w:rPr>
                <w:kern w:val="2"/>
                <w:sz w:val="22"/>
                <w:szCs w:val="22"/>
              </w:rPr>
              <w:t>Stabil sygdom som bedste respons</w:t>
            </w:r>
          </w:p>
        </w:tc>
        <w:tc>
          <w:tcPr>
            <w:tcW w:w="1800" w:type="dxa"/>
            <w:tcBorders>
              <w:top w:val="single" w:sz="4" w:space="0" w:color="000000"/>
              <w:left w:val="single" w:sz="4" w:space="0" w:color="000000"/>
              <w:bottom w:val="single" w:sz="4" w:space="0" w:color="000000"/>
              <w:right w:val="single" w:sz="4" w:space="0" w:color="000000"/>
            </w:tcBorders>
            <w:hideMark/>
          </w:tcPr>
          <w:p w14:paraId="79ED8218" w14:textId="77777777" w:rsidR="00FF6DB7" w:rsidRDefault="00FF6DB7">
            <w:pPr>
              <w:pStyle w:val="TableParagraph"/>
              <w:tabs>
                <w:tab w:val="left" w:pos="9781"/>
              </w:tabs>
              <w:kinsoku w:val="0"/>
              <w:overflowPunct w:val="0"/>
              <w:spacing w:line="240" w:lineRule="auto"/>
              <w:ind w:left="149" w:right="145"/>
              <w:jc w:val="center"/>
              <w:rPr>
                <w:kern w:val="2"/>
                <w:sz w:val="22"/>
                <w:szCs w:val="22"/>
              </w:rPr>
            </w:pPr>
            <w:r>
              <w:rPr>
                <w:kern w:val="2"/>
                <w:sz w:val="22"/>
                <w:szCs w:val="22"/>
              </w:rPr>
              <w:t>65 %</w:t>
            </w:r>
          </w:p>
        </w:tc>
        <w:tc>
          <w:tcPr>
            <w:tcW w:w="1627" w:type="dxa"/>
            <w:tcBorders>
              <w:top w:val="single" w:sz="4" w:space="0" w:color="000000"/>
              <w:left w:val="single" w:sz="4" w:space="0" w:color="000000"/>
              <w:bottom w:val="single" w:sz="4" w:space="0" w:color="000000"/>
              <w:right w:val="single" w:sz="4" w:space="0" w:color="000000"/>
            </w:tcBorders>
            <w:hideMark/>
          </w:tcPr>
          <w:p w14:paraId="27A4BA45" w14:textId="77777777" w:rsidR="00FF6DB7" w:rsidRDefault="00FF6DB7">
            <w:pPr>
              <w:pStyle w:val="TableParagraph"/>
              <w:tabs>
                <w:tab w:val="left" w:pos="9781"/>
              </w:tabs>
              <w:kinsoku w:val="0"/>
              <w:overflowPunct w:val="0"/>
              <w:spacing w:line="240" w:lineRule="auto"/>
              <w:ind w:left="241" w:right="232"/>
              <w:jc w:val="center"/>
              <w:rPr>
                <w:kern w:val="2"/>
                <w:sz w:val="22"/>
                <w:szCs w:val="22"/>
              </w:rPr>
            </w:pPr>
            <w:r>
              <w:rPr>
                <w:kern w:val="2"/>
                <w:sz w:val="22"/>
                <w:szCs w:val="22"/>
              </w:rPr>
              <w:t>62 %</w:t>
            </w:r>
          </w:p>
        </w:tc>
        <w:tc>
          <w:tcPr>
            <w:tcW w:w="1793" w:type="dxa"/>
            <w:tcBorders>
              <w:top w:val="single" w:sz="4" w:space="0" w:color="000000"/>
              <w:left w:val="single" w:sz="4" w:space="0" w:color="000000"/>
              <w:bottom w:val="single" w:sz="4" w:space="0" w:color="000000"/>
              <w:right w:val="single" w:sz="4" w:space="0" w:color="000000"/>
            </w:tcBorders>
            <w:hideMark/>
          </w:tcPr>
          <w:p w14:paraId="758AC41A" w14:textId="77777777" w:rsidR="00FF6DB7" w:rsidRDefault="00FF6DB7">
            <w:pPr>
              <w:pStyle w:val="TableParagraph"/>
              <w:tabs>
                <w:tab w:val="left" w:pos="9781"/>
              </w:tabs>
              <w:kinsoku w:val="0"/>
              <w:overflowPunct w:val="0"/>
              <w:spacing w:line="240" w:lineRule="auto"/>
              <w:ind w:left="146" w:right="140"/>
              <w:jc w:val="center"/>
              <w:rPr>
                <w:kern w:val="2"/>
                <w:sz w:val="22"/>
                <w:szCs w:val="22"/>
              </w:rPr>
            </w:pPr>
            <w:r>
              <w:rPr>
                <w:kern w:val="2"/>
                <w:sz w:val="22"/>
                <w:szCs w:val="22"/>
              </w:rPr>
              <w:t>63 %</w:t>
            </w:r>
          </w:p>
        </w:tc>
        <w:tc>
          <w:tcPr>
            <w:tcW w:w="1637" w:type="dxa"/>
            <w:tcBorders>
              <w:top w:val="single" w:sz="4" w:space="0" w:color="000000"/>
              <w:left w:val="single" w:sz="4" w:space="0" w:color="000000"/>
              <w:bottom w:val="single" w:sz="4" w:space="0" w:color="000000"/>
              <w:right w:val="single" w:sz="4" w:space="0" w:color="000000"/>
            </w:tcBorders>
            <w:hideMark/>
          </w:tcPr>
          <w:p w14:paraId="67920DE2" w14:textId="77777777" w:rsidR="00FF6DB7" w:rsidRDefault="00FF6DB7">
            <w:pPr>
              <w:pStyle w:val="TableParagraph"/>
              <w:tabs>
                <w:tab w:val="left" w:pos="9781"/>
              </w:tabs>
              <w:kinsoku w:val="0"/>
              <w:overflowPunct w:val="0"/>
              <w:spacing w:line="240" w:lineRule="auto"/>
              <w:ind w:left="191" w:right="183"/>
              <w:jc w:val="center"/>
              <w:rPr>
                <w:kern w:val="2"/>
                <w:sz w:val="22"/>
                <w:szCs w:val="22"/>
              </w:rPr>
            </w:pPr>
            <w:r>
              <w:rPr>
                <w:kern w:val="2"/>
                <w:sz w:val="22"/>
                <w:szCs w:val="22"/>
              </w:rPr>
              <w:t>63 %</w:t>
            </w:r>
          </w:p>
        </w:tc>
      </w:tr>
      <w:tr w:rsidR="00FF6DB7" w14:paraId="4562F568" w14:textId="77777777" w:rsidTr="00FF6DB7">
        <w:trPr>
          <w:trHeight w:val="506"/>
        </w:trPr>
        <w:tc>
          <w:tcPr>
            <w:tcW w:w="1999" w:type="dxa"/>
            <w:tcBorders>
              <w:top w:val="single" w:sz="4" w:space="0" w:color="000000"/>
              <w:left w:val="single" w:sz="4" w:space="0" w:color="000000"/>
              <w:bottom w:val="single" w:sz="4" w:space="0" w:color="000000"/>
              <w:right w:val="single" w:sz="4" w:space="0" w:color="000000"/>
            </w:tcBorders>
            <w:hideMark/>
          </w:tcPr>
          <w:p w14:paraId="442B0D1E" w14:textId="77777777" w:rsidR="00FF6DB7" w:rsidRDefault="00FF6DB7">
            <w:pPr>
              <w:pStyle w:val="TableParagraph"/>
              <w:tabs>
                <w:tab w:val="left" w:pos="9781"/>
              </w:tabs>
              <w:kinsoku w:val="0"/>
              <w:overflowPunct w:val="0"/>
              <w:spacing w:line="240" w:lineRule="auto"/>
              <w:ind w:right="151"/>
              <w:rPr>
                <w:kern w:val="2"/>
                <w:sz w:val="22"/>
                <w:szCs w:val="22"/>
              </w:rPr>
            </w:pPr>
            <w:r>
              <w:rPr>
                <w:kern w:val="2"/>
                <w:sz w:val="22"/>
                <w:szCs w:val="22"/>
              </w:rPr>
              <w:t>Progressiv sygdom som bedste respons</w:t>
            </w:r>
          </w:p>
        </w:tc>
        <w:tc>
          <w:tcPr>
            <w:tcW w:w="1800" w:type="dxa"/>
            <w:tcBorders>
              <w:top w:val="single" w:sz="4" w:space="0" w:color="000000"/>
              <w:left w:val="single" w:sz="4" w:space="0" w:color="000000"/>
              <w:bottom w:val="single" w:sz="4" w:space="0" w:color="000000"/>
              <w:right w:val="single" w:sz="4" w:space="0" w:color="000000"/>
            </w:tcBorders>
            <w:hideMark/>
          </w:tcPr>
          <w:p w14:paraId="42A30FCA" w14:textId="77777777" w:rsidR="00FF6DB7" w:rsidRDefault="00FF6DB7">
            <w:pPr>
              <w:pStyle w:val="TableParagraph"/>
              <w:tabs>
                <w:tab w:val="left" w:pos="9781"/>
              </w:tabs>
              <w:kinsoku w:val="0"/>
              <w:overflowPunct w:val="0"/>
              <w:spacing w:line="240" w:lineRule="auto"/>
              <w:ind w:left="149" w:right="145"/>
              <w:jc w:val="center"/>
              <w:rPr>
                <w:kern w:val="2"/>
                <w:sz w:val="22"/>
                <w:szCs w:val="22"/>
              </w:rPr>
            </w:pPr>
            <w:r>
              <w:rPr>
                <w:kern w:val="2"/>
                <w:sz w:val="22"/>
                <w:szCs w:val="22"/>
              </w:rPr>
              <w:t>12 %</w:t>
            </w:r>
          </w:p>
        </w:tc>
        <w:tc>
          <w:tcPr>
            <w:tcW w:w="1627" w:type="dxa"/>
            <w:tcBorders>
              <w:top w:val="single" w:sz="4" w:space="0" w:color="000000"/>
              <w:left w:val="single" w:sz="4" w:space="0" w:color="000000"/>
              <w:bottom w:val="single" w:sz="4" w:space="0" w:color="000000"/>
              <w:right w:val="single" w:sz="4" w:space="0" w:color="000000"/>
            </w:tcBorders>
            <w:hideMark/>
          </w:tcPr>
          <w:p w14:paraId="04A194B3" w14:textId="77777777" w:rsidR="00FF6DB7" w:rsidRDefault="00FF6DB7">
            <w:pPr>
              <w:pStyle w:val="TableParagraph"/>
              <w:tabs>
                <w:tab w:val="left" w:pos="9781"/>
              </w:tabs>
              <w:kinsoku w:val="0"/>
              <w:overflowPunct w:val="0"/>
              <w:spacing w:line="240" w:lineRule="auto"/>
              <w:ind w:left="241" w:right="232"/>
              <w:jc w:val="center"/>
              <w:rPr>
                <w:kern w:val="2"/>
                <w:sz w:val="22"/>
                <w:szCs w:val="22"/>
              </w:rPr>
            </w:pPr>
            <w:r>
              <w:rPr>
                <w:kern w:val="2"/>
                <w:sz w:val="22"/>
                <w:szCs w:val="22"/>
              </w:rPr>
              <w:t>27 %</w:t>
            </w:r>
          </w:p>
        </w:tc>
        <w:tc>
          <w:tcPr>
            <w:tcW w:w="1793" w:type="dxa"/>
            <w:tcBorders>
              <w:top w:val="single" w:sz="4" w:space="0" w:color="000000"/>
              <w:left w:val="single" w:sz="4" w:space="0" w:color="000000"/>
              <w:bottom w:val="single" w:sz="4" w:space="0" w:color="000000"/>
              <w:right w:val="single" w:sz="4" w:space="0" w:color="000000"/>
            </w:tcBorders>
            <w:hideMark/>
          </w:tcPr>
          <w:p w14:paraId="45D2421C" w14:textId="77777777" w:rsidR="00FF6DB7" w:rsidRDefault="00FF6DB7">
            <w:pPr>
              <w:pStyle w:val="TableParagraph"/>
              <w:tabs>
                <w:tab w:val="left" w:pos="9781"/>
              </w:tabs>
              <w:kinsoku w:val="0"/>
              <w:overflowPunct w:val="0"/>
              <w:spacing w:line="240" w:lineRule="auto"/>
              <w:ind w:left="146" w:right="140"/>
              <w:jc w:val="center"/>
              <w:rPr>
                <w:kern w:val="2"/>
                <w:sz w:val="22"/>
                <w:szCs w:val="22"/>
              </w:rPr>
            </w:pPr>
            <w:r>
              <w:rPr>
                <w:kern w:val="2"/>
                <w:sz w:val="22"/>
                <w:szCs w:val="22"/>
              </w:rPr>
              <w:t>9 %</w:t>
            </w:r>
          </w:p>
        </w:tc>
        <w:tc>
          <w:tcPr>
            <w:tcW w:w="1637" w:type="dxa"/>
            <w:tcBorders>
              <w:top w:val="single" w:sz="4" w:space="0" w:color="000000"/>
              <w:left w:val="single" w:sz="4" w:space="0" w:color="000000"/>
              <w:bottom w:val="single" w:sz="4" w:space="0" w:color="000000"/>
              <w:right w:val="single" w:sz="4" w:space="0" w:color="000000"/>
            </w:tcBorders>
            <w:hideMark/>
          </w:tcPr>
          <w:p w14:paraId="2E3F1705" w14:textId="77777777" w:rsidR="00FF6DB7" w:rsidRDefault="00FF6DB7">
            <w:pPr>
              <w:pStyle w:val="TableParagraph"/>
              <w:tabs>
                <w:tab w:val="left" w:pos="9781"/>
              </w:tabs>
              <w:kinsoku w:val="0"/>
              <w:overflowPunct w:val="0"/>
              <w:spacing w:line="240" w:lineRule="auto"/>
              <w:ind w:left="191" w:right="183"/>
              <w:jc w:val="center"/>
              <w:rPr>
                <w:kern w:val="2"/>
                <w:sz w:val="22"/>
                <w:szCs w:val="22"/>
              </w:rPr>
            </w:pPr>
            <w:r>
              <w:rPr>
                <w:kern w:val="2"/>
                <w:sz w:val="22"/>
                <w:szCs w:val="22"/>
              </w:rPr>
              <w:t>27 %</w:t>
            </w:r>
          </w:p>
        </w:tc>
      </w:tr>
    </w:tbl>
    <w:p w14:paraId="006D616A" w14:textId="77777777" w:rsidR="00FF6DB7" w:rsidRDefault="00FF6DB7" w:rsidP="00FF6DB7">
      <w:pPr>
        <w:pStyle w:val="Brdtekst"/>
        <w:tabs>
          <w:tab w:val="left" w:pos="9781"/>
        </w:tabs>
        <w:kinsoku w:val="0"/>
        <w:overflowPunct w:val="0"/>
        <w:ind w:left="540"/>
        <w:rPr>
          <w:sz w:val="18"/>
          <w:szCs w:val="18"/>
        </w:rPr>
      </w:pPr>
      <w:r>
        <w:rPr>
          <w:position w:val="8"/>
          <w:sz w:val="18"/>
          <w:szCs w:val="18"/>
        </w:rPr>
        <w:t xml:space="preserve">1 </w:t>
      </w:r>
      <w:r>
        <w:rPr>
          <w:sz w:val="18"/>
          <w:szCs w:val="18"/>
        </w:rPr>
        <w:t>chi i anden-test.</w:t>
      </w:r>
    </w:p>
    <w:p w14:paraId="7F3ECFAF" w14:textId="77777777" w:rsidR="00FF6DB7" w:rsidRDefault="00FF6DB7" w:rsidP="00FF6DB7">
      <w:pPr>
        <w:pStyle w:val="Brdtekst"/>
        <w:tabs>
          <w:tab w:val="left" w:pos="9781"/>
        </w:tabs>
        <w:kinsoku w:val="0"/>
        <w:overflowPunct w:val="0"/>
        <w:rPr>
          <w:sz w:val="21"/>
          <w:szCs w:val="21"/>
        </w:rPr>
      </w:pPr>
    </w:p>
    <w:p w14:paraId="27B264E9" w14:textId="77777777" w:rsidR="00FF6DB7" w:rsidRPr="00FF6DB7" w:rsidRDefault="00FF6DB7" w:rsidP="00FF6DB7">
      <w:pPr>
        <w:pStyle w:val="Brdtekst"/>
        <w:tabs>
          <w:tab w:val="left" w:pos="9781"/>
        </w:tabs>
        <w:kinsoku w:val="0"/>
        <w:overflowPunct w:val="0"/>
        <w:ind w:left="851"/>
        <w:rPr>
          <w:i/>
          <w:iCs/>
          <w:sz w:val="24"/>
          <w:szCs w:val="24"/>
        </w:rPr>
      </w:pPr>
      <w:r w:rsidRPr="00FF6DB7">
        <w:rPr>
          <w:i/>
          <w:iCs/>
          <w:sz w:val="24"/>
          <w:szCs w:val="24"/>
          <w:u w:val="single" w:color="000000"/>
        </w:rPr>
        <w:t>Randomiseret studie hos behandlingsnaive nyrecellekarcinom patienter (CABOSUN)</w:t>
      </w:r>
    </w:p>
    <w:p w14:paraId="01D61916" w14:textId="77777777" w:rsidR="00FF6DB7" w:rsidRPr="00FF6DB7" w:rsidRDefault="00FF6DB7" w:rsidP="00FF6DB7">
      <w:pPr>
        <w:pStyle w:val="Brdtekst"/>
        <w:tabs>
          <w:tab w:val="left" w:pos="9781"/>
        </w:tabs>
        <w:kinsoku w:val="0"/>
        <w:overflowPunct w:val="0"/>
        <w:ind w:left="851"/>
        <w:rPr>
          <w:sz w:val="24"/>
          <w:szCs w:val="24"/>
        </w:rPr>
      </w:pPr>
      <w:r w:rsidRPr="00FF6DB7">
        <w:rPr>
          <w:sz w:val="24"/>
          <w:szCs w:val="24"/>
        </w:rPr>
        <w:t xml:space="preserve">Sikkerhed og effekt af cabozantinib til behandling af behandlingsnaivt nyrecellekarcinom blev evalueret i et randomiseret, open-label, multicenter studie (CABOSUN). Patienter </w:t>
      </w:r>
      <w:r w:rsidRPr="00FF6DB7">
        <w:rPr>
          <w:sz w:val="24"/>
          <w:szCs w:val="24"/>
        </w:rPr>
        <w:lastRenderedPageBreak/>
        <w:t xml:space="preserve">(N=157) med tidligere ubehandlet, lokal fremskreden eller metastatisk RCC med en klar cellekomponent blev randomiseret (1:1) til behandling med cabozantinib (N=79) eller sunitinib (N=78). Patienterne skulle have middel eller høj sygdomsrisiko som defineret </w:t>
      </w:r>
      <w:r w:rsidRPr="00FF6DB7">
        <w:rPr>
          <w:i/>
          <w:iCs/>
          <w:sz w:val="24"/>
          <w:szCs w:val="24"/>
        </w:rPr>
        <w:t>af International Metastatic RCC Database Consortium</w:t>
      </w:r>
      <w:r w:rsidRPr="00FF6DB7">
        <w:rPr>
          <w:sz w:val="24"/>
          <w:szCs w:val="24"/>
        </w:rPr>
        <w:t>´s (IMDC) risikogruppekategorier. Patienterne blev stratificeret efter IMDC-risikogruppe og tilstedeværelse af knoglemetastaser (ja/nej). Ca. 75 % af patienterne havde fået foretaget nefrektomi før behandlingens start.</w:t>
      </w:r>
    </w:p>
    <w:p w14:paraId="0D8D1DB0" w14:textId="77777777" w:rsidR="00FF6DB7" w:rsidRPr="00FF6DB7" w:rsidRDefault="00FF6DB7" w:rsidP="00FF6DB7">
      <w:pPr>
        <w:pStyle w:val="Brdtekst"/>
        <w:tabs>
          <w:tab w:val="left" w:pos="9781"/>
        </w:tabs>
        <w:kinsoku w:val="0"/>
        <w:overflowPunct w:val="0"/>
        <w:ind w:left="851"/>
        <w:rPr>
          <w:sz w:val="24"/>
          <w:szCs w:val="24"/>
        </w:rPr>
      </w:pPr>
    </w:p>
    <w:p w14:paraId="3B132EA6" w14:textId="6A8C4BF9" w:rsidR="00FF6DB7" w:rsidRPr="00FF6DB7" w:rsidRDefault="00FF6DB7" w:rsidP="00FF6DB7">
      <w:pPr>
        <w:pStyle w:val="Brdtekst"/>
        <w:tabs>
          <w:tab w:val="left" w:pos="9781"/>
        </w:tabs>
        <w:kinsoku w:val="0"/>
        <w:overflowPunct w:val="0"/>
        <w:ind w:left="851"/>
        <w:rPr>
          <w:sz w:val="24"/>
          <w:szCs w:val="24"/>
        </w:rPr>
      </w:pPr>
      <w:r w:rsidRPr="00FF6DB7">
        <w:rPr>
          <w:sz w:val="24"/>
          <w:szCs w:val="24"/>
        </w:rPr>
        <w:t>For middel sygdomsrisiko blev en eller to af de følgende faktorer mødt, mens der for høj risiko blev mødt tre eller flere faktorer: tid fra diagnose af RCC til systemisk behandling &lt; 1 år, Hgb &lt; LLN, korrigeret calcium</w:t>
      </w:r>
      <w:r>
        <w:rPr>
          <w:sz w:val="24"/>
          <w:szCs w:val="24"/>
        </w:rPr>
        <w:t xml:space="preserve"> </w:t>
      </w:r>
      <w:r w:rsidRPr="00FF6DB7">
        <w:rPr>
          <w:sz w:val="24"/>
          <w:szCs w:val="24"/>
        </w:rPr>
        <w:t>&gt; ULN, KPS &lt; 80 %, neutrofiltælling &gt; ULN og trombocyttal &gt; ULN.</w:t>
      </w:r>
    </w:p>
    <w:p w14:paraId="69F16341" w14:textId="77777777" w:rsidR="00FF6DB7" w:rsidRPr="00FF6DB7" w:rsidRDefault="00FF6DB7" w:rsidP="00FF6DB7">
      <w:pPr>
        <w:pStyle w:val="Brdtekst"/>
        <w:tabs>
          <w:tab w:val="left" w:pos="9781"/>
        </w:tabs>
        <w:kinsoku w:val="0"/>
        <w:overflowPunct w:val="0"/>
        <w:ind w:left="851"/>
        <w:rPr>
          <w:sz w:val="24"/>
          <w:szCs w:val="24"/>
        </w:rPr>
      </w:pPr>
    </w:p>
    <w:p w14:paraId="6C79A35B" w14:textId="77777777" w:rsidR="00FF6DB7" w:rsidRPr="00FF6DB7" w:rsidRDefault="00FF6DB7" w:rsidP="00FF6DB7">
      <w:pPr>
        <w:pStyle w:val="Brdtekst"/>
        <w:tabs>
          <w:tab w:val="left" w:pos="9781"/>
        </w:tabs>
        <w:kinsoku w:val="0"/>
        <w:overflowPunct w:val="0"/>
        <w:ind w:left="851"/>
        <w:rPr>
          <w:sz w:val="24"/>
          <w:szCs w:val="24"/>
        </w:rPr>
      </w:pPr>
      <w:r w:rsidRPr="00FF6DB7">
        <w:rPr>
          <w:sz w:val="24"/>
          <w:szCs w:val="24"/>
        </w:rPr>
        <w:t>Det primære endepunkt var progressionsfri overlevelse (PFS). Sekundære effekt-endepunkter var objektiv responsrate (ORR) og samlet overlevelse (OS). Vurdering af tumor blev udført hver 12. uge.</w:t>
      </w:r>
    </w:p>
    <w:p w14:paraId="117CC5BC" w14:textId="77777777" w:rsidR="00FF6DB7" w:rsidRPr="00FF6DB7" w:rsidRDefault="00FF6DB7" w:rsidP="00FF6DB7">
      <w:pPr>
        <w:pStyle w:val="Brdtekst"/>
        <w:tabs>
          <w:tab w:val="left" w:pos="9781"/>
        </w:tabs>
        <w:kinsoku w:val="0"/>
        <w:overflowPunct w:val="0"/>
        <w:ind w:left="851"/>
        <w:rPr>
          <w:sz w:val="24"/>
          <w:szCs w:val="24"/>
        </w:rPr>
      </w:pPr>
    </w:p>
    <w:p w14:paraId="7ABA7185" w14:textId="77777777" w:rsidR="00FF6DB7" w:rsidRPr="00FF6DB7" w:rsidRDefault="00FF6DB7" w:rsidP="00FF6DB7">
      <w:pPr>
        <w:pStyle w:val="Brdtekst"/>
        <w:tabs>
          <w:tab w:val="left" w:pos="9781"/>
        </w:tabs>
        <w:kinsoku w:val="0"/>
        <w:overflowPunct w:val="0"/>
        <w:ind w:left="851"/>
        <w:rPr>
          <w:sz w:val="24"/>
          <w:szCs w:val="24"/>
        </w:rPr>
      </w:pPr>
      <w:r w:rsidRPr="00FF6DB7">
        <w:rPr>
          <w:sz w:val="24"/>
          <w:szCs w:val="24"/>
        </w:rPr>
        <w:t xml:space="preserve">De grundlæggende demografiske og sygdomskarakteristika var ens mellem cabozantinib- og sunitinib-armene ved </w:t>
      </w:r>
      <w:r w:rsidRPr="00FF6DB7">
        <w:rPr>
          <w:i/>
          <w:iCs/>
          <w:sz w:val="24"/>
          <w:szCs w:val="24"/>
        </w:rPr>
        <w:t>baseline</w:t>
      </w:r>
      <w:r w:rsidRPr="00FF6DB7">
        <w:rPr>
          <w:sz w:val="24"/>
          <w:szCs w:val="24"/>
        </w:rPr>
        <w:t xml:space="preserve">. Størstedelen af patienterne var mænd (78 %) med en medianalder på 62 år. Patientfordelingen ifølge IMDC-risikogrupperne var 81 % middel risiko (1-2 risikofaktorer) og 19 % høj risiko (≥ 3 risikofaktorer). De fleste patienter (87 %) havde en </w:t>
      </w:r>
      <w:r w:rsidRPr="00FF6DB7">
        <w:rPr>
          <w:i/>
          <w:iCs/>
          <w:sz w:val="24"/>
          <w:szCs w:val="24"/>
        </w:rPr>
        <w:t>Eastern Cooperative Oncology Group</w:t>
      </w:r>
      <w:r w:rsidRPr="00FF6DB7">
        <w:rPr>
          <w:sz w:val="24"/>
          <w:szCs w:val="24"/>
        </w:rPr>
        <w:t xml:space="preserve"> (ECOG) performancestatus på 0 eller 1; 13 % havde en ECOG-performancestatus på 2. 36 % af patienterne havde knoglemetastaser.</w:t>
      </w:r>
    </w:p>
    <w:p w14:paraId="5DA1EC4F" w14:textId="77777777" w:rsidR="00FF6DB7" w:rsidRPr="00FF6DB7" w:rsidRDefault="00FF6DB7" w:rsidP="00FF6DB7">
      <w:pPr>
        <w:pStyle w:val="Brdtekst"/>
        <w:tabs>
          <w:tab w:val="left" w:pos="9781"/>
        </w:tabs>
        <w:kinsoku w:val="0"/>
        <w:overflowPunct w:val="0"/>
        <w:ind w:left="851"/>
        <w:rPr>
          <w:sz w:val="24"/>
          <w:szCs w:val="24"/>
        </w:rPr>
      </w:pPr>
    </w:p>
    <w:p w14:paraId="27F3693E" w14:textId="77777777" w:rsidR="00FF6DB7" w:rsidRPr="00FF6DB7" w:rsidRDefault="00FF6DB7" w:rsidP="00FF6DB7">
      <w:pPr>
        <w:pStyle w:val="Brdtekst"/>
        <w:tabs>
          <w:tab w:val="left" w:pos="9781"/>
        </w:tabs>
        <w:kinsoku w:val="0"/>
        <w:overflowPunct w:val="0"/>
        <w:ind w:left="851"/>
        <w:rPr>
          <w:sz w:val="24"/>
          <w:szCs w:val="24"/>
        </w:rPr>
      </w:pPr>
      <w:r w:rsidRPr="00FF6DB7">
        <w:rPr>
          <w:sz w:val="24"/>
          <w:szCs w:val="24"/>
        </w:rPr>
        <w:t>En statistisk signifikant forbedring i PFS, som efterfølgende blev vurderet af en blindet, uafhængig radiologisk komité (IRC), blev påvist for cabozantinib sammenlignet med sunitinib (figur 3 og tabel 6). Resultaterne af de analyser af PFS, som investigatorerne fastlagde og de analyser, der blev fastlagt af IRC, var konsistente.</w:t>
      </w:r>
    </w:p>
    <w:p w14:paraId="4019417F" w14:textId="77777777" w:rsidR="00FF6DB7" w:rsidRPr="00FF6DB7" w:rsidRDefault="00FF6DB7" w:rsidP="00FF6DB7">
      <w:pPr>
        <w:pStyle w:val="Brdtekst"/>
        <w:tabs>
          <w:tab w:val="left" w:pos="9781"/>
        </w:tabs>
        <w:kinsoku w:val="0"/>
        <w:overflowPunct w:val="0"/>
        <w:ind w:left="851"/>
        <w:rPr>
          <w:sz w:val="24"/>
          <w:szCs w:val="24"/>
        </w:rPr>
      </w:pPr>
    </w:p>
    <w:p w14:paraId="23F2740A" w14:textId="77777777" w:rsidR="00FF6DB7" w:rsidRPr="00FF6DB7" w:rsidRDefault="00FF6DB7" w:rsidP="00FF6DB7">
      <w:pPr>
        <w:pStyle w:val="Brdtekst"/>
        <w:tabs>
          <w:tab w:val="left" w:pos="9781"/>
        </w:tabs>
        <w:kinsoku w:val="0"/>
        <w:overflowPunct w:val="0"/>
        <w:ind w:left="851"/>
        <w:rPr>
          <w:sz w:val="24"/>
          <w:szCs w:val="24"/>
        </w:rPr>
      </w:pPr>
      <w:r w:rsidRPr="00FF6DB7">
        <w:rPr>
          <w:sz w:val="24"/>
          <w:szCs w:val="24"/>
        </w:rPr>
        <w:t xml:space="preserve">Både patienter med positiv og negativ MET-status opnåede en gunstig effekt af cabozantinib sammenlignet med sunitinib, med større aktivitet hos patienter med positiv MET-status sammenlignet med patienter med negativ MET-status (HR = 0,32 (0,16; 0,63) </w:t>
      </w:r>
      <w:r w:rsidRPr="00FF6DB7">
        <w:rPr>
          <w:i/>
          <w:iCs/>
          <w:sz w:val="24"/>
          <w:szCs w:val="24"/>
        </w:rPr>
        <w:t>vs.</w:t>
      </w:r>
      <w:r w:rsidRPr="00FF6DB7">
        <w:rPr>
          <w:sz w:val="24"/>
          <w:szCs w:val="24"/>
        </w:rPr>
        <w:t xml:space="preserve"> 0,67 (0,37; 1.23)).</w:t>
      </w:r>
    </w:p>
    <w:p w14:paraId="275A6160" w14:textId="77777777" w:rsidR="00FF6DB7" w:rsidRPr="00FF6DB7" w:rsidRDefault="00FF6DB7" w:rsidP="00FF6DB7">
      <w:pPr>
        <w:pStyle w:val="Brdtekst"/>
        <w:tabs>
          <w:tab w:val="left" w:pos="9781"/>
        </w:tabs>
        <w:kinsoku w:val="0"/>
        <w:overflowPunct w:val="0"/>
        <w:ind w:left="851"/>
        <w:rPr>
          <w:sz w:val="24"/>
          <w:szCs w:val="24"/>
        </w:rPr>
      </w:pPr>
    </w:p>
    <w:p w14:paraId="51566D20" w14:textId="77777777" w:rsidR="00FF6DB7" w:rsidRPr="00FF6DB7" w:rsidRDefault="00FF6DB7" w:rsidP="00FF6DB7">
      <w:pPr>
        <w:pStyle w:val="Brdtekst"/>
        <w:tabs>
          <w:tab w:val="left" w:pos="9781"/>
        </w:tabs>
        <w:kinsoku w:val="0"/>
        <w:overflowPunct w:val="0"/>
        <w:ind w:left="851"/>
        <w:rPr>
          <w:sz w:val="24"/>
          <w:szCs w:val="24"/>
        </w:rPr>
      </w:pPr>
      <w:r w:rsidRPr="00FF6DB7">
        <w:rPr>
          <w:sz w:val="24"/>
          <w:szCs w:val="24"/>
        </w:rPr>
        <w:t>Cabozantinib-behandling var forbundet med en tendens til længere overlevelse sammenlignet med sunitinib (tabel 6). Undersøgelsen var ikke designet med henblik på OS-analyse og data er ikke fuldt udviklet.</w:t>
      </w:r>
    </w:p>
    <w:p w14:paraId="7BA548E0" w14:textId="77777777" w:rsidR="00FF6DB7" w:rsidRPr="00FF6DB7" w:rsidRDefault="00FF6DB7" w:rsidP="00FF6DB7">
      <w:pPr>
        <w:pStyle w:val="Brdtekst"/>
        <w:tabs>
          <w:tab w:val="left" w:pos="9781"/>
        </w:tabs>
        <w:kinsoku w:val="0"/>
        <w:overflowPunct w:val="0"/>
        <w:ind w:left="851"/>
        <w:rPr>
          <w:sz w:val="24"/>
          <w:szCs w:val="24"/>
        </w:rPr>
      </w:pPr>
    </w:p>
    <w:p w14:paraId="0EE9BAEE" w14:textId="77777777" w:rsidR="00FF6DB7" w:rsidRPr="00FF6DB7" w:rsidRDefault="00FF6DB7" w:rsidP="00FF6DB7">
      <w:pPr>
        <w:pStyle w:val="Brdtekst"/>
        <w:tabs>
          <w:tab w:val="left" w:pos="9781"/>
        </w:tabs>
        <w:kinsoku w:val="0"/>
        <w:overflowPunct w:val="0"/>
        <w:ind w:left="851"/>
        <w:rPr>
          <w:sz w:val="24"/>
          <w:szCs w:val="24"/>
        </w:rPr>
      </w:pPr>
      <w:r w:rsidRPr="00FF6DB7">
        <w:rPr>
          <w:sz w:val="24"/>
          <w:szCs w:val="24"/>
        </w:rPr>
        <w:t xml:space="preserve">Objektive responsrate-værdier (ORR) er opsummeret i tabel 6. </w:t>
      </w:r>
    </w:p>
    <w:p w14:paraId="37B4F22F" w14:textId="628109BE" w:rsidR="00C06BE9" w:rsidRDefault="00C06BE9">
      <w:r>
        <w:br w:type="page"/>
      </w:r>
    </w:p>
    <w:p w14:paraId="6E5C181D" w14:textId="04201C41" w:rsidR="00C06BE9" w:rsidRDefault="00C06BE9" w:rsidP="00C06BE9">
      <w:pPr>
        <w:tabs>
          <w:tab w:val="left" w:pos="1418"/>
        </w:tabs>
        <w:ind w:left="1418" w:hanging="851"/>
        <w:rPr>
          <w:b/>
          <w:bCs/>
          <w:sz w:val="24"/>
          <w:szCs w:val="24"/>
        </w:rPr>
      </w:pPr>
      <w:r w:rsidRPr="00E5614D">
        <w:rPr>
          <w:b/>
          <w:bCs/>
          <w:sz w:val="24"/>
          <w:szCs w:val="24"/>
        </w:rPr>
        <w:lastRenderedPageBreak/>
        <w:t>Figur 3:</w:t>
      </w:r>
      <w:r>
        <w:rPr>
          <w:b/>
          <w:bCs/>
          <w:sz w:val="24"/>
          <w:szCs w:val="24"/>
        </w:rPr>
        <w:tab/>
      </w:r>
      <w:r w:rsidRPr="00E5614D">
        <w:rPr>
          <w:b/>
          <w:bCs/>
          <w:sz w:val="24"/>
          <w:szCs w:val="24"/>
        </w:rPr>
        <w:t>Kaplan-Meier-kurve for progressionsfri overlevelse ved IRC hos behandlings-naive</w:t>
      </w:r>
      <w:r>
        <w:rPr>
          <w:b/>
          <w:bCs/>
          <w:sz w:val="24"/>
          <w:szCs w:val="24"/>
        </w:rPr>
        <w:t xml:space="preserve"> </w:t>
      </w:r>
      <w:r w:rsidRPr="00E5614D">
        <w:rPr>
          <w:b/>
          <w:bCs/>
          <w:sz w:val="24"/>
          <w:szCs w:val="24"/>
        </w:rPr>
        <w:t>RCC- patienter</w:t>
      </w:r>
    </w:p>
    <w:p w14:paraId="5EE88FE6" w14:textId="450088A1" w:rsidR="00C06BE9" w:rsidRDefault="00C06BE9" w:rsidP="00C06BE9">
      <w:pPr>
        <w:tabs>
          <w:tab w:val="left" w:pos="1418"/>
        </w:tabs>
        <w:ind w:left="1418" w:hanging="851"/>
        <w:rPr>
          <w:b/>
          <w:bCs/>
          <w:sz w:val="24"/>
          <w:szCs w:val="24"/>
        </w:rPr>
      </w:pPr>
      <w:r w:rsidRPr="00E5614D">
        <w:rPr>
          <w:noProof/>
        </w:rPr>
        <mc:AlternateContent>
          <mc:Choice Requires="wps">
            <w:drawing>
              <wp:anchor distT="0" distB="0" distL="114300" distR="114300" simplePos="0" relativeHeight="251662336" behindDoc="0" locked="0" layoutInCell="0" allowOverlap="1" wp14:anchorId="3B35B188" wp14:editId="46B5AF90">
                <wp:simplePos x="0" y="0"/>
                <wp:positionH relativeFrom="page">
                  <wp:posOffset>641350</wp:posOffset>
                </wp:positionH>
                <wp:positionV relativeFrom="paragraph">
                  <wp:posOffset>125095</wp:posOffset>
                </wp:positionV>
                <wp:extent cx="264795" cy="2959100"/>
                <wp:effectExtent l="0" t="0" r="1905" b="12700"/>
                <wp:wrapNone/>
                <wp:docPr id="2018334839" name="Text Box 7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295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90922" w14:textId="77777777" w:rsidR="0054615B" w:rsidRPr="009B0341" w:rsidRDefault="0054615B" w:rsidP="00C06BE9">
                            <w:pPr>
                              <w:pStyle w:val="Brdtekst"/>
                              <w:kinsoku w:val="0"/>
                              <w:overflowPunct w:val="0"/>
                              <w:spacing w:before="11"/>
                              <w:ind w:left="20"/>
                              <w:rPr>
                                <w:b/>
                                <w:bCs/>
                              </w:rPr>
                            </w:pPr>
                            <w:r w:rsidRPr="009B0341">
                              <w:rPr>
                                <w:b/>
                                <w:bCs/>
                              </w:rPr>
                              <w:t>Sandsynlighed for progressionsfri overlevelse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5B188" id="Text Box 757" o:spid="_x0000_s1235" type="#_x0000_t202" style="position:absolute;left:0;text-align:left;margin-left:50.5pt;margin-top:9.85pt;width:20.85pt;height:23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" o:allowincell="f" filled="f" stroked="f">
                <v:textbox style="layout-flow:vertical;mso-layout-flow-alt:bottom-to-top" inset="0,0,0,0">
                  <w:txbxContent>
                    <w:p w14:paraId="54490922" w14:textId="77777777" w:rsidR="0054615B" w:rsidRPr="009B0341" w:rsidRDefault="0054615B" w:rsidP="00C06BE9">
                      <w:pPr>
                        <w:pStyle w:val="Brdtekst"/>
                        <w:kinsoku w:val="0"/>
                        <w:overflowPunct w:val="0"/>
                        <w:spacing w:before="11"/>
                        <w:ind w:left="20"/>
                        <w:rPr>
                          <w:b/>
                          <w:bCs/>
                        </w:rPr>
                      </w:pPr>
                      <w:r w:rsidRPr="009B0341">
                        <w:rPr>
                          <w:b/>
                          <w:bCs/>
                        </w:rPr>
                        <w:t>Sandsynlighed for progressionsfri overlevelse</w:t>
                      </w:r>
                    </w:p>
                  </w:txbxContent>
                </v:textbox>
                <w10:wrap anchorx="page"/>
              </v:shape>
            </w:pict>
          </mc:Fallback>
        </mc:AlternateContent>
      </w:r>
    </w:p>
    <w:p w14:paraId="6D32122C" w14:textId="36733A2A" w:rsidR="00C06BE9" w:rsidRPr="00E5614D" w:rsidRDefault="00C06BE9" w:rsidP="00C06BE9">
      <w:pPr>
        <w:tabs>
          <w:tab w:val="left" w:pos="1418"/>
        </w:tabs>
        <w:ind w:left="1418" w:hanging="851"/>
        <w:rPr>
          <w:b/>
          <w:bCs/>
          <w:sz w:val="24"/>
          <w:szCs w:val="24"/>
        </w:rPr>
      </w:pPr>
    </w:p>
    <w:p w14:paraId="5E15EFD8" w14:textId="5443B841" w:rsidR="00C06BE9" w:rsidRDefault="00C06BE9" w:rsidP="00C06BE9">
      <w:pPr>
        <w:rPr>
          <w:b/>
          <w:bCs/>
        </w:rPr>
      </w:pPr>
      <w:r>
        <w:rPr>
          <w:noProof/>
          <w:sz w:val="24"/>
          <w:szCs w:val="24"/>
        </w:rPr>
        <w:drawing>
          <wp:anchor distT="0" distB="0" distL="114300" distR="114300" simplePos="0" relativeHeight="251663360" behindDoc="1" locked="0" layoutInCell="1" allowOverlap="1" wp14:anchorId="14696E71" wp14:editId="3E257880">
            <wp:simplePos x="0" y="0"/>
            <wp:positionH relativeFrom="page">
              <wp:posOffset>1473200</wp:posOffset>
            </wp:positionH>
            <wp:positionV relativeFrom="paragraph">
              <wp:posOffset>168275</wp:posOffset>
            </wp:positionV>
            <wp:extent cx="5289550" cy="3455670"/>
            <wp:effectExtent l="0" t="0" r="6350" b="0"/>
            <wp:wrapNone/>
            <wp:docPr id="161593072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0064" cy="345600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9F0D1C" w14:textId="77777777" w:rsidR="00C06BE9" w:rsidRDefault="00C06BE9" w:rsidP="00C06BE9">
      <w:pPr>
        <w:ind w:left="1134"/>
        <w:rPr>
          <w:b/>
          <w:bCs/>
        </w:rPr>
      </w:pPr>
    </w:p>
    <w:p w14:paraId="12C6A445" w14:textId="77777777" w:rsidR="00C06BE9" w:rsidRPr="00E5614D" w:rsidRDefault="00C06BE9" w:rsidP="00C06BE9">
      <w:pPr>
        <w:spacing w:after="160" w:line="259" w:lineRule="auto"/>
        <w:ind w:left="1134"/>
        <w:rPr>
          <w:b/>
          <w:bCs/>
        </w:rPr>
      </w:pPr>
    </w:p>
    <w:p w14:paraId="6998AE46" w14:textId="77777777" w:rsidR="00C06BE9" w:rsidRPr="00E5614D" w:rsidRDefault="00C06BE9" w:rsidP="00C06BE9">
      <w:pPr>
        <w:spacing w:after="160" w:line="259" w:lineRule="auto"/>
        <w:rPr>
          <w:b/>
          <w:bCs/>
        </w:rPr>
      </w:pPr>
    </w:p>
    <w:p w14:paraId="2162B103" w14:textId="77777777" w:rsidR="00C06BE9" w:rsidRPr="00E5614D" w:rsidRDefault="00C06BE9" w:rsidP="00C06BE9">
      <w:pPr>
        <w:spacing w:after="160" w:line="259" w:lineRule="auto"/>
        <w:rPr>
          <w:b/>
          <w:bCs/>
        </w:rPr>
      </w:pPr>
    </w:p>
    <w:p w14:paraId="622D840C" w14:textId="77777777" w:rsidR="00C06BE9" w:rsidRPr="00E5614D" w:rsidRDefault="00C06BE9" w:rsidP="00C06BE9">
      <w:pPr>
        <w:spacing w:after="160" w:line="259" w:lineRule="auto"/>
        <w:rPr>
          <w:b/>
          <w:bCs/>
        </w:rPr>
      </w:pPr>
    </w:p>
    <w:p w14:paraId="072FB6E6" w14:textId="77777777" w:rsidR="00C06BE9" w:rsidRPr="00E5614D" w:rsidRDefault="00C06BE9" w:rsidP="00C06BE9">
      <w:pPr>
        <w:spacing w:after="160" w:line="259" w:lineRule="auto"/>
        <w:rPr>
          <w:b/>
          <w:bCs/>
        </w:rPr>
      </w:pPr>
    </w:p>
    <w:p w14:paraId="4C8856AB" w14:textId="77777777" w:rsidR="00C06BE9" w:rsidRPr="00E5614D" w:rsidRDefault="00C06BE9" w:rsidP="00C06BE9">
      <w:pPr>
        <w:spacing w:after="160" w:line="259" w:lineRule="auto"/>
        <w:rPr>
          <w:b/>
          <w:bCs/>
        </w:rPr>
      </w:pPr>
    </w:p>
    <w:p w14:paraId="2571B20B" w14:textId="77777777" w:rsidR="00C06BE9" w:rsidRPr="00E5614D" w:rsidRDefault="00C06BE9" w:rsidP="00C06BE9">
      <w:pPr>
        <w:spacing w:after="160" w:line="259" w:lineRule="auto"/>
        <w:rPr>
          <w:b/>
          <w:bCs/>
        </w:rPr>
      </w:pPr>
    </w:p>
    <w:p w14:paraId="15C81442" w14:textId="77777777" w:rsidR="00C06BE9" w:rsidRPr="00E5614D" w:rsidRDefault="00C06BE9" w:rsidP="00C06BE9">
      <w:pPr>
        <w:spacing w:after="160" w:line="259" w:lineRule="auto"/>
        <w:rPr>
          <w:b/>
          <w:bCs/>
        </w:rPr>
      </w:pPr>
    </w:p>
    <w:p w14:paraId="7D6BAE36" w14:textId="77777777" w:rsidR="00C06BE9" w:rsidRDefault="00C06BE9" w:rsidP="00C06BE9">
      <w:pPr>
        <w:spacing w:after="160" w:line="259" w:lineRule="auto"/>
        <w:rPr>
          <w:b/>
          <w:bCs/>
        </w:rPr>
      </w:pPr>
    </w:p>
    <w:p w14:paraId="37BDEDA9" w14:textId="40865B5C" w:rsidR="00C06BE9" w:rsidRPr="00E5614D" w:rsidRDefault="00C06BE9" w:rsidP="00C06BE9">
      <w:pPr>
        <w:spacing w:after="160" w:line="259" w:lineRule="auto"/>
        <w:rPr>
          <w:b/>
          <w:bCs/>
        </w:rPr>
      </w:pPr>
      <w:r>
        <w:rPr>
          <w:b/>
          <w:bCs/>
        </w:rPr>
        <w:t>Måneder</w:t>
      </w:r>
    </w:p>
    <w:p w14:paraId="0C534364" w14:textId="77777777" w:rsidR="00C06BE9" w:rsidRPr="00C06BE9" w:rsidRDefault="00C06BE9" w:rsidP="00C06BE9">
      <w:pPr>
        <w:rPr>
          <w:b/>
          <w:bCs/>
          <w:sz w:val="20"/>
        </w:rPr>
      </w:pPr>
      <w:r w:rsidRPr="00C06BE9">
        <w:rPr>
          <w:b/>
          <w:bCs/>
          <w:sz w:val="20"/>
        </w:rPr>
        <w:t>Antal i risiko</w:t>
      </w:r>
    </w:p>
    <w:p w14:paraId="714D0261" w14:textId="77777777" w:rsidR="00C06BE9" w:rsidRPr="00C06BE9" w:rsidRDefault="00C06BE9" w:rsidP="00C06BE9">
      <w:pPr>
        <w:rPr>
          <w:bCs/>
          <w:sz w:val="20"/>
        </w:rPr>
      </w:pPr>
      <w:r w:rsidRPr="00C06BE9">
        <w:rPr>
          <w:bCs/>
          <w:sz w:val="20"/>
        </w:rPr>
        <w:t>Cabozantinib</w:t>
      </w:r>
    </w:p>
    <w:p w14:paraId="32614624" w14:textId="77777777" w:rsidR="00C06BE9" w:rsidRPr="00C06BE9" w:rsidRDefault="00C06BE9" w:rsidP="00C06BE9">
      <w:pPr>
        <w:rPr>
          <w:bCs/>
          <w:sz w:val="20"/>
        </w:rPr>
      </w:pPr>
      <w:r w:rsidRPr="00C06BE9">
        <w:rPr>
          <w:bCs/>
          <w:sz w:val="20"/>
        </w:rPr>
        <w:t>Sunitinib</w:t>
      </w:r>
    </w:p>
    <w:p w14:paraId="58CC9324" w14:textId="77777777" w:rsidR="00C06BE9" w:rsidRPr="00E5614D" w:rsidRDefault="00C06BE9" w:rsidP="00C06BE9">
      <w:pPr>
        <w:spacing w:after="160" w:line="259" w:lineRule="auto"/>
        <w:rPr>
          <w:b/>
          <w:bCs/>
        </w:rPr>
      </w:pPr>
    </w:p>
    <w:p w14:paraId="6650F185" w14:textId="77777777" w:rsidR="00E27199" w:rsidRPr="00E27199" w:rsidRDefault="00E27199" w:rsidP="00E27199">
      <w:pPr>
        <w:rPr>
          <w:b/>
        </w:rPr>
      </w:pPr>
    </w:p>
    <w:p w14:paraId="4A4E5801" w14:textId="77777777" w:rsidR="00E27199" w:rsidRPr="00E27199" w:rsidRDefault="00E27199" w:rsidP="00E27199">
      <w:pPr>
        <w:rPr>
          <w:b/>
          <w:sz w:val="24"/>
          <w:szCs w:val="24"/>
        </w:rPr>
      </w:pPr>
      <w:bookmarkStart w:id="4" w:name="_Hlk201241841"/>
      <w:r w:rsidRPr="00E27199">
        <w:rPr>
          <w:b/>
          <w:sz w:val="24"/>
          <w:szCs w:val="24"/>
        </w:rPr>
        <w:t>Tabel 6: Resultat af effekt på behandlingsnaive RCC-patienter (ITT-population, CABOSUN)</w:t>
      </w:r>
    </w:p>
    <w:p w14:paraId="3A92EC4A" w14:textId="77777777" w:rsidR="00E27199" w:rsidRPr="00E27199" w:rsidRDefault="00E27199" w:rsidP="00E27199">
      <w:pPr>
        <w:rPr>
          <w:b/>
          <w:lang w:eastAsia="da-DK"/>
        </w:rPr>
      </w:pPr>
    </w:p>
    <w:tbl>
      <w:tblPr>
        <w:tblW w:w="9652" w:type="dxa"/>
        <w:tblInd w:w="-5" w:type="dxa"/>
        <w:tblLayout w:type="fixed"/>
        <w:tblCellMar>
          <w:left w:w="0" w:type="dxa"/>
          <w:right w:w="0" w:type="dxa"/>
        </w:tblCellMar>
        <w:tblLook w:val="0000" w:firstRow="0" w:lastRow="0" w:firstColumn="0" w:lastColumn="0" w:noHBand="0" w:noVBand="0"/>
      </w:tblPr>
      <w:tblGrid>
        <w:gridCol w:w="3730"/>
        <w:gridCol w:w="2943"/>
        <w:gridCol w:w="2979"/>
      </w:tblGrid>
      <w:tr w:rsidR="00E27199" w:rsidRPr="00E8404F" w14:paraId="76C8197A" w14:textId="77777777" w:rsidTr="00E27199">
        <w:trPr>
          <w:trHeight w:val="505"/>
        </w:trPr>
        <w:tc>
          <w:tcPr>
            <w:tcW w:w="3730" w:type="dxa"/>
            <w:tcBorders>
              <w:top w:val="single" w:sz="4" w:space="0" w:color="000000"/>
              <w:left w:val="single" w:sz="4" w:space="0" w:color="000000"/>
              <w:bottom w:val="single" w:sz="4" w:space="0" w:color="000000"/>
              <w:right w:val="single" w:sz="4" w:space="0" w:color="000000"/>
            </w:tcBorders>
          </w:tcPr>
          <w:p w14:paraId="317FA920" w14:textId="77777777" w:rsidR="00E27199" w:rsidRPr="00E8404F" w:rsidRDefault="00E27199" w:rsidP="00725429">
            <w:pPr>
              <w:pStyle w:val="TableParagraph"/>
              <w:tabs>
                <w:tab w:val="left" w:pos="9781"/>
              </w:tabs>
              <w:kinsoku w:val="0"/>
              <w:overflowPunct w:val="0"/>
              <w:spacing w:line="240" w:lineRule="auto"/>
              <w:ind w:left="0"/>
              <w:rPr>
                <w:sz w:val="20"/>
                <w:szCs w:val="20"/>
              </w:rPr>
            </w:pPr>
            <w:bookmarkStart w:id="5" w:name="_Hlk201241858"/>
            <w:bookmarkEnd w:id="4"/>
          </w:p>
        </w:tc>
        <w:tc>
          <w:tcPr>
            <w:tcW w:w="2943" w:type="dxa"/>
            <w:tcBorders>
              <w:top w:val="single" w:sz="4" w:space="0" w:color="000000"/>
              <w:left w:val="single" w:sz="4" w:space="0" w:color="000000"/>
              <w:bottom w:val="single" w:sz="4" w:space="0" w:color="000000"/>
              <w:right w:val="single" w:sz="4" w:space="0" w:color="000000"/>
            </w:tcBorders>
          </w:tcPr>
          <w:p w14:paraId="09880D17" w14:textId="77777777" w:rsidR="00E27199" w:rsidRPr="00E8404F" w:rsidRDefault="00E27199" w:rsidP="00725429">
            <w:pPr>
              <w:pStyle w:val="TableParagraph"/>
              <w:tabs>
                <w:tab w:val="left" w:pos="9781"/>
              </w:tabs>
              <w:kinsoku w:val="0"/>
              <w:overflowPunct w:val="0"/>
              <w:spacing w:line="240" w:lineRule="auto"/>
              <w:ind w:left="1141" w:right="718" w:hanging="401"/>
              <w:rPr>
                <w:b/>
                <w:bCs/>
                <w:sz w:val="22"/>
                <w:szCs w:val="22"/>
              </w:rPr>
            </w:pPr>
            <w:r w:rsidRPr="00E8404F">
              <w:rPr>
                <w:b/>
                <w:bCs/>
                <w:sz w:val="22"/>
                <w:szCs w:val="22"/>
              </w:rPr>
              <w:t>Cabozantinib (N=79)</w:t>
            </w:r>
          </w:p>
        </w:tc>
        <w:tc>
          <w:tcPr>
            <w:tcW w:w="2979" w:type="dxa"/>
            <w:tcBorders>
              <w:top w:val="single" w:sz="4" w:space="0" w:color="000000"/>
              <w:left w:val="single" w:sz="4" w:space="0" w:color="000000"/>
              <w:bottom w:val="single" w:sz="4" w:space="0" w:color="000000"/>
              <w:right w:val="single" w:sz="4" w:space="0" w:color="000000"/>
            </w:tcBorders>
          </w:tcPr>
          <w:p w14:paraId="436AE460" w14:textId="77777777" w:rsidR="00E27199" w:rsidRPr="00E8404F" w:rsidRDefault="00E27199" w:rsidP="00725429">
            <w:pPr>
              <w:pStyle w:val="TableParagraph"/>
              <w:tabs>
                <w:tab w:val="left" w:pos="9781"/>
              </w:tabs>
              <w:kinsoku w:val="0"/>
              <w:overflowPunct w:val="0"/>
              <w:spacing w:line="240" w:lineRule="auto"/>
              <w:ind w:left="894" w:right="885"/>
              <w:jc w:val="center"/>
              <w:rPr>
                <w:b/>
                <w:bCs/>
                <w:sz w:val="22"/>
                <w:szCs w:val="22"/>
              </w:rPr>
            </w:pPr>
            <w:r w:rsidRPr="00E8404F">
              <w:rPr>
                <w:b/>
                <w:bCs/>
                <w:sz w:val="22"/>
                <w:szCs w:val="22"/>
              </w:rPr>
              <w:t>Sunitinib (N=78)</w:t>
            </w:r>
          </w:p>
        </w:tc>
      </w:tr>
      <w:tr w:rsidR="00E27199" w:rsidRPr="00E8404F" w14:paraId="3EF82CD7" w14:textId="77777777" w:rsidTr="00E27199">
        <w:trPr>
          <w:trHeight w:val="252"/>
        </w:trPr>
        <w:tc>
          <w:tcPr>
            <w:tcW w:w="9652" w:type="dxa"/>
            <w:gridSpan w:val="3"/>
            <w:tcBorders>
              <w:top w:val="single" w:sz="4" w:space="0" w:color="000000"/>
              <w:left w:val="single" w:sz="4" w:space="0" w:color="000000"/>
              <w:bottom w:val="single" w:sz="4" w:space="0" w:color="000000"/>
              <w:right w:val="single" w:sz="4" w:space="0" w:color="000000"/>
            </w:tcBorders>
          </w:tcPr>
          <w:p w14:paraId="75865F05" w14:textId="77777777" w:rsidR="00E27199" w:rsidRPr="00E8404F" w:rsidRDefault="00E27199" w:rsidP="00725429">
            <w:pPr>
              <w:pStyle w:val="TableParagraph"/>
              <w:tabs>
                <w:tab w:val="left" w:pos="9781"/>
              </w:tabs>
              <w:kinsoku w:val="0"/>
              <w:overflowPunct w:val="0"/>
              <w:spacing w:line="240" w:lineRule="auto"/>
              <w:rPr>
                <w:b/>
                <w:bCs/>
                <w:position w:val="8"/>
                <w:sz w:val="14"/>
                <w:szCs w:val="14"/>
                <w:u w:val="single"/>
              </w:rPr>
            </w:pPr>
            <w:r w:rsidRPr="00E8404F">
              <w:rPr>
                <w:b/>
                <w:bCs/>
                <w:sz w:val="22"/>
                <w:szCs w:val="22"/>
                <w:u w:val="single"/>
              </w:rPr>
              <w:t>Progressionsfri overlevelse (PFS) pr. IRC</w:t>
            </w:r>
            <w:r w:rsidRPr="00E8404F">
              <w:rPr>
                <w:b/>
                <w:bCs/>
                <w:position w:val="8"/>
                <w:sz w:val="14"/>
                <w:szCs w:val="14"/>
                <w:u w:val="single"/>
              </w:rPr>
              <w:t>a</w:t>
            </w:r>
          </w:p>
        </w:tc>
      </w:tr>
      <w:tr w:rsidR="00E27199" w:rsidRPr="00E8404F" w14:paraId="206D53C3" w14:textId="77777777" w:rsidTr="00E27199">
        <w:trPr>
          <w:trHeight w:val="251"/>
        </w:trPr>
        <w:tc>
          <w:tcPr>
            <w:tcW w:w="3730" w:type="dxa"/>
            <w:tcBorders>
              <w:top w:val="single" w:sz="4" w:space="0" w:color="000000"/>
              <w:left w:val="single" w:sz="4" w:space="0" w:color="000000"/>
              <w:bottom w:val="single" w:sz="4" w:space="0" w:color="000000"/>
              <w:right w:val="single" w:sz="4" w:space="0" w:color="000000"/>
            </w:tcBorders>
          </w:tcPr>
          <w:p w14:paraId="51DD0ED8" w14:textId="77777777" w:rsidR="00E27199" w:rsidRPr="00E8404F" w:rsidRDefault="00E27199" w:rsidP="00725429">
            <w:pPr>
              <w:pStyle w:val="TableParagraph"/>
              <w:tabs>
                <w:tab w:val="left" w:pos="9781"/>
              </w:tabs>
              <w:kinsoku w:val="0"/>
              <w:overflowPunct w:val="0"/>
              <w:spacing w:line="240" w:lineRule="auto"/>
              <w:rPr>
                <w:b/>
                <w:bCs/>
                <w:sz w:val="22"/>
                <w:szCs w:val="22"/>
              </w:rPr>
            </w:pPr>
            <w:r w:rsidRPr="00E8404F">
              <w:rPr>
                <w:b/>
                <w:bCs/>
                <w:sz w:val="22"/>
                <w:szCs w:val="22"/>
              </w:rPr>
              <w:t>Median PFS i måneder (95 % CI)</w:t>
            </w:r>
          </w:p>
        </w:tc>
        <w:tc>
          <w:tcPr>
            <w:tcW w:w="2943" w:type="dxa"/>
            <w:tcBorders>
              <w:top w:val="single" w:sz="4" w:space="0" w:color="000000"/>
              <w:left w:val="single" w:sz="4" w:space="0" w:color="000000"/>
              <w:bottom w:val="single" w:sz="4" w:space="0" w:color="000000"/>
              <w:right w:val="single" w:sz="4" w:space="0" w:color="000000"/>
            </w:tcBorders>
          </w:tcPr>
          <w:p w14:paraId="288F4D09" w14:textId="77777777" w:rsidR="00E27199" w:rsidRPr="00E8404F" w:rsidRDefault="00E27199" w:rsidP="00725429">
            <w:pPr>
              <w:pStyle w:val="TableParagraph"/>
              <w:tabs>
                <w:tab w:val="left" w:pos="9781"/>
              </w:tabs>
              <w:kinsoku w:val="0"/>
              <w:overflowPunct w:val="0"/>
              <w:spacing w:line="240" w:lineRule="auto"/>
              <w:ind w:left="756" w:right="752"/>
              <w:jc w:val="center"/>
              <w:rPr>
                <w:b/>
                <w:bCs/>
                <w:sz w:val="22"/>
                <w:szCs w:val="22"/>
              </w:rPr>
            </w:pPr>
            <w:r w:rsidRPr="00E8404F">
              <w:rPr>
                <w:b/>
                <w:bCs/>
                <w:sz w:val="22"/>
                <w:szCs w:val="22"/>
              </w:rPr>
              <w:t>8,6 (6,2; 14,0)</w:t>
            </w:r>
          </w:p>
        </w:tc>
        <w:tc>
          <w:tcPr>
            <w:tcW w:w="2979" w:type="dxa"/>
            <w:tcBorders>
              <w:top w:val="single" w:sz="4" w:space="0" w:color="000000"/>
              <w:left w:val="single" w:sz="4" w:space="0" w:color="000000"/>
              <w:bottom w:val="single" w:sz="4" w:space="0" w:color="000000"/>
              <w:right w:val="single" w:sz="4" w:space="0" w:color="000000"/>
            </w:tcBorders>
          </w:tcPr>
          <w:p w14:paraId="1C8B2092" w14:textId="77777777" w:rsidR="00E27199" w:rsidRPr="00E8404F" w:rsidRDefault="00E27199" w:rsidP="00725429">
            <w:pPr>
              <w:pStyle w:val="TableParagraph"/>
              <w:tabs>
                <w:tab w:val="left" w:pos="9781"/>
              </w:tabs>
              <w:kinsoku w:val="0"/>
              <w:overflowPunct w:val="0"/>
              <w:spacing w:line="240" w:lineRule="auto"/>
              <w:ind w:left="894" w:right="891"/>
              <w:jc w:val="center"/>
              <w:rPr>
                <w:b/>
                <w:bCs/>
                <w:sz w:val="22"/>
                <w:szCs w:val="22"/>
              </w:rPr>
            </w:pPr>
            <w:r w:rsidRPr="00E8404F">
              <w:rPr>
                <w:b/>
                <w:bCs/>
                <w:sz w:val="22"/>
                <w:szCs w:val="22"/>
              </w:rPr>
              <w:t>5,3 (3,0; 8,2)</w:t>
            </w:r>
          </w:p>
        </w:tc>
      </w:tr>
      <w:tr w:rsidR="00E27199" w:rsidRPr="00E8404F" w14:paraId="217106BC" w14:textId="77777777" w:rsidTr="00E27199">
        <w:trPr>
          <w:trHeight w:val="254"/>
        </w:trPr>
        <w:tc>
          <w:tcPr>
            <w:tcW w:w="3730" w:type="dxa"/>
            <w:tcBorders>
              <w:top w:val="single" w:sz="4" w:space="0" w:color="000000"/>
              <w:left w:val="single" w:sz="4" w:space="0" w:color="000000"/>
              <w:bottom w:val="single" w:sz="4" w:space="0" w:color="000000"/>
              <w:right w:val="single" w:sz="4" w:space="0" w:color="000000"/>
            </w:tcBorders>
          </w:tcPr>
          <w:p w14:paraId="1D3327B3" w14:textId="77777777" w:rsidR="00E27199" w:rsidRPr="00E8404F" w:rsidRDefault="00E27199" w:rsidP="00725429">
            <w:pPr>
              <w:pStyle w:val="TableParagraph"/>
              <w:tabs>
                <w:tab w:val="left" w:pos="9781"/>
              </w:tabs>
              <w:kinsoku w:val="0"/>
              <w:overflowPunct w:val="0"/>
              <w:spacing w:line="240" w:lineRule="auto"/>
              <w:rPr>
                <w:position w:val="8"/>
                <w:sz w:val="14"/>
                <w:szCs w:val="14"/>
              </w:rPr>
            </w:pPr>
            <w:r w:rsidRPr="00E8404F">
              <w:rPr>
                <w:sz w:val="22"/>
                <w:szCs w:val="22"/>
              </w:rPr>
              <w:t xml:space="preserve">HR (95 % CI); stratificeret </w:t>
            </w:r>
            <w:r w:rsidRPr="00E8404F">
              <w:rPr>
                <w:position w:val="8"/>
                <w:sz w:val="14"/>
                <w:szCs w:val="14"/>
              </w:rPr>
              <w:t>b,c</w:t>
            </w:r>
          </w:p>
        </w:tc>
        <w:tc>
          <w:tcPr>
            <w:tcW w:w="5922" w:type="dxa"/>
            <w:gridSpan w:val="2"/>
            <w:tcBorders>
              <w:top w:val="single" w:sz="4" w:space="0" w:color="000000"/>
              <w:left w:val="single" w:sz="4" w:space="0" w:color="000000"/>
              <w:bottom w:val="single" w:sz="4" w:space="0" w:color="000000"/>
              <w:right w:val="single" w:sz="4" w:space="0" w:color="000000"/>
            </w:tcBorders>
          </w:tcPr>
          <w:p w14:paraId="4E86B8EC" w14:textId="77777777" w:rsidR="00E27199" w:rsidRPr="00E8404F" w:rsidRDefault="00E27199" w:rsidP="00725429">
            <w:pPr>
              <w:pStyle w:val="TableParagraph"/>
              <w:tabs>
                <w:tab w:val="left" w:pos="9781"/>
              </w:tabs>
              <w:kinsoku w:val="0"/>
              <w:overflowPunct w:val="0"/>
              <w:spacing w:line="240" w:lineRule="auto"/>
              <w:ind w:left="2200" w:right="2199"/>
              <w:jc w:val="center"/>
              <w:rPr>
                <w:sz w:val="22"/>
                <w:szCs w:val="22"/>
              </w:rPr>
            </w:pPr>
            <w:r w:rsidRPr="00E8404F">
              <w:rPr>
                <w:sz w:val="22"/>
                <w:szCs w:val="22"/>
                <w:u w:val="single" w:color="000000"/>
              </w:rPr>
              <w:t>0,48 (0,32; 0,73)</w:t>
            </w:r>
          </w:p>
        </w:tc>
      </w:tr>
      <w:tr w:rsidR="00E27199" w:rsidRPr="00E8404F" w14:paraId="0689698C" w14:textId="77777777" w:rsidTr="00E27199">
        <w:trPr>
          <w:trHeight w:val="251"/>
        </w:trPr>
        <w:tc>
          <w:tcPr>
            <w:tcW w:w="3730" w:type="dxa"/>
            <w:tcBorders>
              <w:top w:val="single" w:sz="4" w:space="0" w:color="000000"/>
              <w:left w:val="single" w:sz="4" w:space="0" w:color="000000"/>
              <w:bottom w:val="single" w:sz="4" w:space="0" w:color="000000"/>
              <w:right w:val="single" w:sz="4" w:space="0" w:color="000000"/>
            </w:tcBorders>
          </w:tcPr>
          <w:p w14:paraId="081C1B57" w14:textId="77777777" w:rsidR="00E27199" w:rsidRPr="00E8404F" w:rsidRDefault="00E27199" w:rsidP="00725429">
            <w:pPr>
              <w:pStyle w:val="TableParagraph"/>
              <w:tabs>
                <w:tab w:val="left" w:pos="9781"/>
              </w:tabs>
              <w:kinsoku w:val="0"/>
              <w:overflowPunct w:val="0"/>
              <w:spacing w:line="240" w:lineRule="auto"/>
              <w:rPr>
                <w:position w:val="8"/>
                <w:sz w:val="14"/>
                <w:szCs w:val="14"/>
              </w:rPr>
            </w:pPr>
            <w:r w:rsidRPr="00E8404F">
              <w:rPr>
                <w:sz w:val="22"/>
                <w:szCs w:val="22"/>
              </w:rPr>
              <w:t xml:space="preserve">Tosidet stratificeret log-rank p-værdi </w:t>
            </w:r>
            <w:r w:rsidRPr="00E8404F">
              <w:rPr>
                <w:position w:val="8"/>
                <w:sz w:val="14"/>
                <w:szCs w:val="14"/>
              </w:rPr>
              <w:t>b</w:t>
            </w:r>
          </w:p>
        </w:tc>
        <w:tc>
          <w:tcPr>
            <w:tcW w:w="5922" w:type="dxa"/>
            <w:gridSpan w:val="2"/>
            <w:tcBorders>
              <w:top w:val="single" w:sz="4" w:space="0" w:color="000000"/>
              <w:left w:val="single" w:sz="4" w:space="0" w:color="000000"/>
              <w:bottom w:val="single" w:sz="4" w:space="0" w:color="000000"/>
              <w:right w:val="single" w:sz="4" w:space="0" w:color="000000"/>
            </w:tcBorders>
          </w:tcPr>
          <w:p w14:paraId="39517F32" w14:textId="77777777" w:rsidR="00E27199" w:rsidRPr="00E8404F" w:rsidRDefault="00E27199" w:rsidP="00725429">
            <w:pPr>
              <w:pStyle w:val="TableParagraph"/>
              <w:tabs>
                <w:tab w:val="left" w:pos="9781"/>
              </w:tabs>
              <w:kinsoku w:val="0"/>
              <w:overflowPunct w:val="0"/>
              <w:spacing w:line="240" w:lineRule="auto"/>
              <w:ind w:left="2200" w:right="2198"/>
              <w:jc w:val="center"/>
              <w:rPr>
                <w:sz w:val="22"/>
                <w:szCs w:val="22"/>
              </w:rPr>
            </w:pPr>
            <w:r w:rsidRPr="00E8404F">
              <w:rPr>
                <w:sz w:val="22"/>
                <w:szCs w:val="22"/>
              </w:rPr>
              <w:t>p=0,0005</w:t>
            </w:r>
          </w:p>
        </w:tc>
      </w:tr>
      <w:tr w:rsidR="00E27199" w:rsidRPr="00E8404F" w14:paraId="643E7D22" w14:textId="77777777" w:rsidTr="00E27199">
        <w:trPr>
          <w:trHeight w:val="254"/>
        </w:trPr>
        <w:tc>
          <w:tcPr>
            <w:tcW w:w="9652" w:type="dxa"/>
            <w:gridSpan w:val="3"/>
            <w:tcBorders>
              <w:top w:val="single" w:sz="4" w:space="0" w:color="000000"/>
              <w:left w:val="single" w:sz="4" w:space="0" w:color="000000"/>
              <w:bottom w:val="single" w:sz="4" w:space="0" w:color="000000"/>
              <w:right w:val="single" w:sz="4" w:space="0" w:color="000000"/>
            </w:tcBorders>
          </w:tcPr>
          <w:p w14:paraId="60A2E52B" w14:textId="77777777" w:rsidR="00E27199" w:rsidRPr="00E8404F" w:rsidRDefault="00E27199" w:rsidP="00725429">
            <w:pPr>
              <w:pStyle w:val="TableParagraph"/>
              <w:tabs>
                <w:tab w:val="left" w:pos="9781"/>
              </w:tabs>
              <w:kinsoku w:val="0"/>
              <w:overflowPunct w:val="0"/>
              <w:spacing w:line="240" w:lineRule="auto"/>
              <w:rPr>
                <w:b/>
                <w:bCs/>
                <w:sz w:val="22"/>
                <w:szCs w:val="22"/>
              </w:rPr>
            </w:pPr>
            <w:r w:rsidRPr="00E8404F">
              <w:rPr>
                <w:b/>
                <w:bCs/>
                <w:sz w:val="22"/>
                <w:szCs w:val="22"/>
              </w:rPr>
              <w:t>Progressionsfri overlevelse (PFS) pr. investigator</w:t>
            </w:r>
          </w:p>
        </w:tc>
      </w:tr>
      <w:tr w:rsidR="00E27199" w:rsidRPr="00E8404F" w14:paraId="30D2F75B" w14:textId="77777777" w:rsidTr="00E27199">
        <w:trPr>
          <w:trHeight w:val="253"/>
        </w:trPr>
        <w:tc>
          <w:tcPr>
            <w:tcW w:w="3730" w:type="dxa"/>
            <w:tcBorders>
              <w:top w:val="single" w:sz="4" w:space="0" w:color="000000"/>
              <w:left w:val="single" w:sz="4" w:space="0" w:color="000000"/>
              <w:bottom w:val="single" w:sz="4" w:space="0" w:color="000000"/>
              <w:right w:val="single" w:sz="4" w:space="0" w:color="000000"/>
            </w:tcBorders>
          </w:tcPr>
          <w:p w14:paraId="4C536B60" w14:textId="77777777" w:rsidR="00E27199" w:rsidRPr="00E8404F" w:rsidRDefault="00E27199" w:rsidP="00725429">
            <w:pPr>
              <w:pStyle w:val="TableParagraph"/>
              <w:tabs>
                <w:tab w:val="left" w:pos="9781"/>
              </w:tabs>
              <w:kinsoku w:val="0"/>
              <w:overflowPunct w:val="0"/>
              <w:spacing w:line="240" w:lineRule="auto"/>
              <w:rPr>
                <w:sz w:val="22"/>
                <w:szCs w:val="22"/>
              </w:rPr>
            </w:pPr>
            <w:r w:rsidRPr="00E8404F">
              <w:rPr>
                <w:sz w:val="22"/>
                <w:szCs w:val="22"/>
              </w:rPr>
              <w:t>Median PFS i måneder (95 % CI)</w:t>
            </w:r>
          </w:p>
        </w:tc>
        <w:tc>
          <w:tcPr>
            <w:tcW w:w="2943" w:type="dxa"/>
            <w:tcBorders>
              <w:top w:val="single" w:sz="4" w:space="0" w:color="000000"/>
              <w:left w:val="single" w:sz="4" w:space="0" w:color="000000"/>
              <w:bottom w:val="single" w:sz="4" w:space="0" w:color="000000"/>
              <w:right w:val="single" w:sz="4" w:space="0" w:color="000000"/>
            </w:tcBorders>
          </w:tcPr>
          <w:p w14:paraId="374B1C8A" w14:textId="77777777" w:rsidR="00E27199" w:rsidRPr="00E8404F" w:rsidRDefault="00E27199" w:rsidP="00725429">
            <w:pPr>
              <w:pStyle w:val="TableParagraph"/>
              <w:tabs>
                <w:tab w:val="left" w:pos="9781"/>
              </w:tabs>
              <w:kinsoku w:val="0"/>
              <w:overflowPunct w:val="0"/>
              <w:spacing w:line="240" w:lineRule="auto"/>
              <w:ind w:left="756" w:right="752"/>
              <w:jc w:val="center"/>
              <w:rPr>
                <w:sz w:val="22"/>
                <w:szCs w:val="22"/>
              </w:rPr>
            </w:pPr>
            <w:r w:rsidRPr="00E8404F">
              <w:rPr>
                <w:sz w:val="22"/>
                <w:szCs w:val="22"/>
              </w:rPr>
              <w:t>8,3 (6,5; 12,4)</w:t>
            </w:r>
          </w:p>
        </w:tc>
        <w:tc>
          <w:tcPr>
            <w:tcW w:w="2979" w:type="dxa"/>
            <w:tcBorders>
              <w:top w:val="single" w:sz="4" w:space="0" w:color="000000"/>
              <w:left w:val="single" w:sz="4" w:space="0" w:color="000000"/>
              <w:bottom w:val="single" w:sz="4" w:space="0" w:color="000000"/>
              <w:right w:val="single" w:sz="4" w:space="0" w:color="000000"/>
            </w:tcBorders>
          </w:tcPr>
          <w:p w14:paraId="5792ABBB" w14:textId="77777777" w:rsidR="00E27199" w:rsidRPr="00E8404F" w:rsidRDefault="00E27199" w:rsidP="00725429">
            <w:pPr>
              <w:pStyle w:val="TableParagraph"/>
              <w:tabs>
                <w:tab w:val="left" w:pos="9781"/>
              </w:tabs>
              <w:kinsoku w:val="0"/>
              <w:overflowPunct w:val="0"/>
              <w:spacing w:line="240" w:lineRule="auto"/>
              <w:ind w:left="894" w:right="891"/>
              <w:jc w:val="center"/>
              <w:rPr>
                <w:sz w:val="22"/>
                <w:szCs w:val="22"/>
              </w:rPr>
            </w:pPr>
            <w:r w:rsidRPr="00E8404F">
              <w:rPr>
                <w:sz w:val="22"/>
                <w:szCs w:val="22"/>
              </w:rPr>
              <w:t>5,4 (3,4; 8,2)</w:t>
            </w:r>
          </w:p>
        </w:tc>
      </w:tr>
      <w:tr w:rsidR="00E27199" w:rsidRPr="00E8404F" w14:paraId="2005E165" w14:textId="77777777" w:rsidTr="00E27199">
        <w:trPr>
          <w:trHeight w:val="251"/>
        </w:trPr>
        <w:tc>
          <w:tcPr>
            <w:tcW w:w="3730" w:type="dxa"/>
            <w:tcBorders>
              <w:top w:val="single" w:sz="4" w:space="0" w:color="000000"/>
              <w:left w:val="single" w:sz="4" w:space="0" w:color="000000"/>
              <w:bottom w:val="single" w:sz="4" w:space="0" w:color="000000"/>
              <w:right w:val="single" w:sz="4" w:space="0" w:color="000000"/>
            </w:tcBorders>
          </w:tcPr>
          <w:p w14:paraId="28683068" w14:textId="77777777" w:rsidR="00E27199" w:rsidRPr="00E8404F" w:rsidRDefault="00E27199" w:rsidP="00725429">
            <w:pPr>
              <w:pStyle w:val="TableParagraph"/>
              <w:tabs>
                <w:tab w:val="left" w:pos="9781"/>
              </w:tabs>
              <w:kinsoku w:val="0"/>
              <w:overflowPunct w:val="0"/>
              <w:spacing w:line="240" w:lineRule="auto"/>
              <w:rPr>
                <w:position w:val="8"/>
                <w:sz w:val="14"/>
                <w:szCs w:val="14"/>
              </w:rPr>
            </w:pPr>
            <w:r w:rsidRPr="00E8404F">
              <w:rPr>
                <w:sz w:val="22"/>
                <w:szCs w:val="22"/>
              </w:rPr>
              <w:t xml:space="preserve">HR (95 % CI); stratificeret </w:t>
            </w:r>
            <w:r w:rsidRPr="00E8404F">
              <w:rPr>
                <w:position w:val="8"/>
                <w:sz w:val="14"/>
                <w:szCs w:val="14"/>
              </w:rPr>
              <w:t>b,c</w:t>
            </w:r>
          </w:p>
        </w:tc>
        <w:tc>
          <w:tcPr>
            <w:tcW w:w="5922" w:type="dxa"/>
            <w:gridSpan w:val="2"/>
            <w:tcBorders>
              <w:top w:val="single" w:sz="4" w:space="0" w:color="000000"/>
              <w:left w:val="single" w:sz="4" w:space="0" w:color="000000"/>
              <w:bottom w:val="single" w:sz="4" w:space="0" w:color="000000"/>
              <w:right w:val="single" w:sz="4" w:space="0" w:color="000000"/>
            </w:tcBorders>
          </w:tcPr>
          <w:p w14:paraId="4015D129" w14:textId="77777777" w:rsidR="00E27199" w:rsidRPr="00E8404F" w:rsidRDefault="00E27199" w:rsidP="00725429">
            <w:pPr>
              <w:pStyle w:val="TableParagraph"/>
              <w:tabs>
                <w:tab w:val="left" w:pos="9781"/>
              </w:tabs>
              <w:kinsoku w:val="0"/>
              <w:overflowPunct w:val="0"/>
              <w:spacing w:line="240" w:lineRule="auto"/>
              <w:ind w:left="2200" w:right="2199"/>
              <w:jc w:val="center"/>
              <w:rPr>
                <w:sz w:val="22"/>
                <w:szCs w:val="22"/>
              </w:rPr>
            </w:pPr>
            <w:r w:rsidRPr="00E8404F">
              <w:rPr>
                <w:sz w:val="22"/>
                <w:szCs w:val="22"/>
              </w:rPr>
              <w:t>0,56 (0,37; 0,83)</w:t>
            </w:r>
          </w:p>
        </w:tc>
      </w:tr>
      <w:tr w:rsidR="00E27199" w:rsidRPr="00E8404F" w14:paraId="6B467A4A" w14:textId="77777777" w:rsidTr="00E27199">
        <w:trPr>
          <w:trHeight w:val="254"/>
        </w:trPr>
        <w:tc>
          <w:tcPr>
            <w:tcW w:w="3730" w:type="dxa"/>
            <w:tcBorders>
              <w:top w:val="single" w:sz="4" w:space="0" w:color="000000"/>
              <w:left w:val="single" w:sz="4" w:space="0" w:color="000000"/>
              <w:bottom w:val="single" w:sz="4" w:space="0" w:color="000000"/>
              <w:right w:val="single" w:sz="4" w:space="0" w:color="000000"/>
            </w:tcBorders>
          </w:tcPr>
          <w:p w14:paraId="1CA4AED1" w14:textId="77777777" w:rsidR="00E27199" w:rsidRPr="00E8404F" w:rsidRDefault="00E27199" w:rsidP="00725429">
            <w:pPr>
              <w:pStyle w:val="TableParagraph"/>
              <w:tabs>
                <w:tab w:val="left" w:pos="9781"/>
              </w:tabs>
              <w:kinsoku w:val="0"/>
              <w:overflowPunct w:val="0"/>
              <w:spacing w:line="240" w:lineRule="auto"/>
              <w:rPr>
                <w:position w:val="8"/>
                <w:sz w:val="14"/>
                <w:szCs w:val="14"/>
              </w:rPr>
            </w:pPr>
            <w:r w:rsidRPr="00E8404F">
              <w:rPr>
                <w:sz w:val="22"/>
                <w:szCs w:val="22"/>
              </w:rPr>
              <w:t xml:space="preserve">Tosidet stratificeret log-rank p-værdi </w:t>
            </w:r>
            <w:r w:rsidRPr="00E8404F">
              <w:rPr>
                <w:position w:val="8"/>
                <w:sz w:val="14"/>
                <w:szCs w:val="14"/>
              </w:rPr>
              <w:t>b</w:t>
            </w:r>
          </w:p>
        </w:tc>
        <w:tc>
          <w:tcPr>
            <w:tcW w:w="5922" w:type="dxa"/>
            <w:gridSpan w:val="2"/>
            <w:tcBorders>
              <w:top w:val="single" w:sz="4" w:space="0" w:color="000000"/>
              <w:left w:val="single" w:sz="4" w:space="0" w:color="000000"/>
              <w:bottom w:val="single" w:sz="4" w:space="0" w:color="000000"/>
              <w:right w:val="single" w:sz="4" w:space="0" w:color="000000"/>
            </w:tcBorders>
          </w:tcPr>
          <w:p w14:paraId="74D35A92" w14:textId="77777777" w:rsidR="00E27199" w:rsidRPr="00E8404F" w:rsidRDefault="00E27199" w:rsidP="00725429">
            <w:pPr>
              <w:pStyle w:val="TableParagraph"/>
              <w:tabs>
                <w:tab w:val="left" w:pos="9781"/>
              </w:tabs>
              <w:kinsoku w:val="0"/>
              <w:overflowPunct w:val="0"/>
              <w:spacing w:line="240" w:lineRule="auto"/>
              <w:ind w:left="2200" w:right="2198"/>
              <w:jc w:val="center"/>
              <w:rPr>
                <w:sz w:val="22"/>
                <w:szCs w:val="22"/>
              </w:rPr>
            </w:pPr>
            <w:r w:rsidRPr="00E8404F">
              <w:rPr>
                <w:sz w:val="22"/>
                <w:szCs w:val="22"/>
              </w:rPr>
              <w:t>p=0,0042</w:t>
            </w:r>
          </w:p>
        </w:tc>
      </w:tr>
      <w:tr w:rsidR="00E27199" w:rsidRPr="00E8404F" w14:paraId="4AA2F0C7" w14:textId="77777777" w:rsidTr="00E27199">
        <w:trPr>
          <w:trHeight w:val="251"/>
        </w:trPr>
        <w:tc>
          <w:tcPr>
            <w:tcW w:w="9652" w:type="dxa"/>
            <w:gridSpan w:val="3"/>
            <w:tcBorders>
              <w:top w:val="single" w:sz="4" w:space="0" w:color="000000"/>
              <w:left w:val="single" w:sz="4" w:space="0" w:color="000000"/>
              <w:bottom w:val="single" w:sz="4" w:space="0" w:color="000000"/>
              <w:right w:val="single" w:sz="4" w:space="0" w:color="000000"/>
            </w:tcBorders>
          </w:tcPr>
          <w:p w14:paraId="09CE4E6A" w14:textId="77777777" w:rsidR="00E27199" w:rsidRPr="00E8404F" w:rsidRDefault="00E27199" w:rsidP="00725429">
            <w:pPr>
              <w:pStyle w:val="TableParagraph"/>
              <w:tabs>
                <w:tab w:val="left" w:pos="9781"/>
              </w:tabs>
              <w:kinsoku w:val="0"/>
              <w:overflowPunct w:val="0"/>
              <w:spacing w:line="240" w:lineRule="auto"/>
              <w:rPr>
                <w:b/>
                <w:bCs/>
                <w:sz w:val="22"/>
                <w:szCs w:val="22"/>
                <w:u w:val="single"/>
              </w:rPr>
            </w:pPr>
            <w:r w:rsidRPr="00E8404F">
              <w:rPr>
                <w:b/>
                <w:bCs/>
                <w:sz w:val="22"/>
                <w:szCs w:val="22"/>
                <w:u w:val="single"/>
              </w:rPr>
              <w:t>Samlet overlevelse</w:t>
            </w:r>
          </w:p>
        </w:tc>
      </w:tr>
      <w:tr w:rsidR="00E27199" w:rsidRPr="00E8404F" w14:paraId="61FF330C" w14:textId="77777777" w:rsidTr="00E27199">
        <w:trPr>
          <w:trHeight w:val="254"/>
        </w:trPr>
        <w:tc>
          <w:tcPr>
            <w:tcW w:w="3730" w:type="dxa"/>
            <w:tcBorders>
              <w:top w:val="single" w:sz="4" w:space="0" w:color="000000"/>
              <w:left w:val="single" w:sz="4" w:space="0" w:color="000000"/>
              <w:bottom w:val="single" w:sz="4" w:space="0" w:color="000000"/>
              <w:right w:val="single" w:sz="4" w:space="0" w:color="000000"/>
            </w:tcBorders>
          </w:tcPr>
          <w:p w14:paraId="67FBEBF1" w14:textId="77777777" w:rsidR="00E27199" w:rsidRPr="00E8404F" w:rsidRDefault="00E27199" w:rsidP="00725429">
            <w:pPr>
              <w:pStyle w:val="TableParagraph"/>
              <w:tabs>
                <w:tab w:val="left" w:pos="9781"/>
              </w:tabs>
              <w:kinsoku w:val="0"/>
              <w:overflowPunct w:val="0"/>
              <w:spacing w:line="240" w:lineRule="auto"/>
              <w:rPr>
                <w:sz w:val="22"/>
                <w:szCs w:val="22"/>
              </w:rPr>
            </w:pPr>
            <w:r w:rsidRPr="00E8404F">
              <w:rPr>
                <w:sz w:val="22"/>
                <w:szCs w:val="22"/>
              </w:rPr>
              <w:t>Median OS i måneder (95 % CI)</w:t>
            </w:r>
          </w:p>
        </w:tc>
        <w:tc>
          <w:tcPr>
            <w:tcW w:w="2943" w:type="dxa"/>
            <w:tcBorders>
              <w:top w:val="single" w:sz="4" w:space="0" w:color="000000"/>
              <w:left w:val="single" w:sz="4" w:space="0" w:color="000000"/>
              <w:bottom w:val="single" w:sz="4" w:space="0" w:color="000000"/>
              <w:right w:val="single" w:sz="4" w:space="0" w:color="000000"/>
            </w:tcBorders>
          </w:tcPr>
          <w:p w14:paraId="46975ABC" w14:textId="77777777" w:rsidR="00E27199" w:rsidRPr="00E8404F" w:rsidRDefault="00E27199" w:rsidP="00725429">
            <w:pPr>
              <w:pStyle w:val="TableParagraph"/>
              <w:tabs>
                <w:tab w:val="left" w:pos="9781"/>
              </w:tabs>
              <w:kinsoku w:val="0"/>
              <w:overflowPunct w:val="0"/>
              <w:spacing w:line="240" w:lineRule="auto"/>
              <w:ind w:left="756" w:right="756"/>
              <w:jc w:val="center"/>
              <w:rPr>
                <w:sz w:val="22"/>
                <w:szCs w:val="22"/>
              </w:rPr>
            </w:pPr>
            <w:r w:rsidRPr="00E8404F">
              <w:rPr>
                <w:sz w:val="22"/>
                <w:szCs w:val="22"/>
              </w:rPr>
              <w:t>30,3 (14,6; NE)</w:t>
            </w:r>
          </w:p>
        </w:tc>
        <w:tc>
          <w:tcPr>
            <w:tcW w:w="2979" w:type="dxa"/>
            <w:tcBorders>
              <w:top w:val="single" w:sz="4" w:space="0" w:color="000000"/>
              <w:left w:val="single" w:sz="4" w:space="0" w:color="000000"/>
              <w:bottom w:val="single" w:sz="4" w:space="0" w:color="000000"/>
              <w:right w:val="single" w:sz="4" w:space="0" w:color="000000"/>
            </w:tcBorders>
          </w:tcPr>
          <w:p w14:paraId="3780C480" w14:textId="77777777" w:rsidR="00E27199" w:rsidRPr="00E8404F" w:rsidRDefault="00E27199" w:rsidP="00725429">
            <w:pPr>
              <w:pStyle w:val="TableParagraph"/>
              <w:tabs>
                <w:tab w:val="left" w:pos="9781"/>
              </w:tabs>
              <w:kinsoku w:val="0"/>
              <w:overflowPunct w:val="0"/>
              <w:spacing w:line="240" w:lineRule="auto"/>
              <w:ind w:left="731" w:right="725"/>
              <w:jc w:val="center"/>
              <w:rPr>
                <w:sz w:val="22"/>
                <w:szCs w:val="22"/>
              </w:rPr>
            </w:pPr>
            <w:r w:rsidRPr="00E8404F">
              <w:rPr>
                <w:sz w:val="22"/>
                <w:szCs w:val="22"/>
              </w:rPr>
              <w:t>21,0 (16,3; 27,0)</w:t>
            </w:r>
          </w:p>
        </w:tc>
      </w:tr>
      <w:tr w:rsidR="00E27199" w:rsidRPr="00E8404F" w14:paraId="5E0B8828" w14:textId="77777777" w:rsidTr="00E27199">
        <w:trPr>
          <w:trHeight w:val="251"/>
        </w:trPr>
        <w:tc>
          <w:tcPr>
            <w:tcW w:w="3730" w:type="dxa"/>
            <w:tcBorders>
              <w:top w:val="single" w:sz="4" w:space="0" w:color="000000"/>
              <w:left w:val="single" w:sz="4" w:space="0" w:color="000000"/>
              <w:bottom w:val="single" w:sz="4" w:space="0" w:color="000000"/>
              <w:right w:val="single" w:sz="4" w:space="0" w:color="000000"/>
            </w:tcBorders>
          </w:tcPr>
          <w:p w14:paraId="16563751" w14:textId="77777777" w:rsidR="00E27199" w:rsidRPr="00E8404F" w:rsidRDefault="00E27199" w:rsidP="00725429">
            <w:pPr>
              <w:pStyle w:val="TableParagraph"/>
              <w:tabs>
                <w:tab w:val="left" w:pos="9781"/>
              </w:tabs>
              <w:kinsoku w:val="0"/>
              <w:overflowPunct w:val="0"/>
              <w:spacing w:line="240" w:lineRule="auto"/>
              <w:rPr>
                <w:position w:val="8"/>
                <w:sz w:val="14"/>
                <w:szCs w:val="14"/>
              </w:rPr>
            </w:pPr>
            <w:r w:rsidRPr="00E8404F">
              <w:rPr>
                <w:sz w:val="22"/>
                <w:szCs w:val="22"/>
              </w:rPr>
              <w:t xml:space="preserve">HR (95 % CI); stratificeret </w:t>
            </w:r>
            <w:r w:rsidRPr="00E8404F">
              <w:rPr>
                <w:position w:val="8"/>
                <w:sz w:val="14"/>
                <w:szCs w:val="14"/>
              </w:rPr>
              <w:t>b,c</w:t>
            </w:r>
          </w:p>
        </w:tc>
        <w:tc>
          <w:tcPr>
            <w:tcW w:w="5922" w:type="dxa"/>
            <w:gridSpan w:val="2"/>
            <w:tcBorders>
              <w:top w:val="single" w:sz="4" w:space="0" w:color="000000"/>
              <w:left w:val="single" w:sz="4" w:space="0" w:color="000000"/>
              <w:bottom w:val="single" w:sz="4" w:space="0" w:color="000000"/>
              <w:right w:val="single" w:sz="4" w:space="0" w:color="000000"/>
            </w:tcBorders>
          </w:tcPr>
          <w:p w14:paraId="0494DDBF" w14:textId="77777777" w:rsidR="00E27199" w:rsidRPr="00E8404F" w:rsidRDefault="00E27199" w:rsidP="00725429">
            <w:pPr>
              <w:pStyle w:val="TableParagraph"/>
              <w:tabs>
                <w:tab w:val="left" w:pos="9781"/>
              </w:tabs>
              <w:kinsoku w:val="0"/>
              <w:overflowPunct w:val="0"/>
              <w:spacing w:line="240" w:lineRule="auto"/>
              <w:ind w:left="2200" w:right="2199"/>
              <w:jc w:val="center"/>
              <w:rPr>
                <w:sz w:val="22"/>
                <w:szCs w:val="22"/>
              </w:rPr>
            </w:pPr>
            <w:r w:rsidRPr="00E8404F">
              <w:rPr>
                <w:sz w:val="22"/>
                <w:szCs w:val="22"/>
              </w:rPr>
              <w:t>0,74 (0,47; 1,14)</w:t>
            </w:r>
          </w:p>
        </w:tc>
      </w:tr>
      <w:tr w:rsidR="00E27199" w:rsidRPr="00E8404F" w14:paraId="0F904D27" w14:textId="77777777" w:rsidTr="00E27199">
        <w:trPr>
          <w:trHeight w:val="253"/>
        </w:trPr>
        <w:tc>
          <w:tcPr>
            <w:tcW w:w="9652" w:type="dxa"/>
            <w:gridSpan w:val="3"/>
            <w:tcBorders>
              <w:top w:val="single" w:sz="4" w:space="0" w:color="000000"/>
              <w:left w:val="single" w:sz="4" w:space="0" w:color="000000"/>
              <w:bottom w:val="single" w:sz="4" w:space="0" w:color="000000"/>
              <w:right w:val="single" w:sz="4" w:space="0" w:color="000000"/>
            </w:tcBorders>
          </w:tcPr>
          <w:p w14:paraId="7B7340F7" w14:textId="77777777" w:rsidR="00E27199" w:rsidRPr="00E8404F" w:rsidRDefault="00E27199" w:rsidP="00725429">
            <w:pPr>
              <w:pStyle w:val="TableParagraph"/>
              <w:tabs>
                <w:tab w:val="left" w:pos="9781"/>
              </w:tabs>
              <w:kinsoku w:val="0"/>
              <w:overflowPunct w:val="0"/>
              <w:spacing w:line="240" w:lineRule="auto"/>
              <w:rPr>
                <w:b/>
                <w:bCs/>
                <w:sz w:val="22"/>
                <w:szCs w:val="22"/>
              </w:rPr>
            </w:pPr>
            <w:r w:rsidRPr="00E8404F">
              <w:rPr>
                <w:b/>
                <w:bCs/>
                <w:sz w:val="22"/>
                <w:szCs w:val="22"/>
              </w:rPr>
              <w:t>Objektiv responsrate n (%) pr. IRC</w:t>
            </w:r>
          </w:p>
        </w:tc>
      </w:tr>
      <w:tr w:rsidR="00E27199" w:rsidRPr="00E8404F" w14:paraId="73B1089C" w14:textId="77777777" w:rsidTr="00E27199">
        <w:trPr>
          <w:trHeight w:val="253"/>
        </w:trPr>
        <w:tc>
          <w:tcPr>
            <w:tcW w:w="3730" w:type="dxa"/>
            <w:tcBorders>
              <w:top w:val="single" w:sz="4" w:space="0" w:color="000000"/>
              <w:left w:val="single" w:sz="4" w:space="0" w:color="000000"/>
              <w:bottom w:val="single" w:sz="4" w:space="0" w:color="000000"/>
              <w:right w:val="single" w:sz="4" w:space="0" w:color="000000"/>
            </w:tcBorders>
          </w:tcPr>
          <w:p w14:paraId="2DEC89BE" w14:textId="77777777" w:rsidR="00E27199" w:rsidRPr="00E8404F" w:rsidRDefault="00E27199" w:rsidP="00725429">
            <w:pPr>
              <w:pStyle w:val="TableParagraph"/>
              <w:tabs>
                <w:tab w:val="left" w:pos="9781"/>
              </w:tabs>
              <w:kinsoku w:val="0"/>
              <w:overflowPunct w:val="0"/>
              <w:spacing w:line="240" w:lineRule="auto"/>
              <w:rPr>
                <w:sz w:val="22"/>
                <w:szCs w:val="22"/>
              </w:rPr>
            </w:pPr>
            <w:r w:rsidRPr="00E8404F">
              <w:rPr>
                <w:sz w:val="22"/>
                <w:szCs w:val="22"/>
              </w:rPr>
              <w:t>Fuldstændig respons</w:t>
            </w:r>
          </w:p>
        </w:tc>
        <w:tc>
          <w:tcPr>
            <w:tcW w:w="2943" w:type="dxa"/>
            <w:tcBorders>
              <w:top w:val="single" w:sz="4" w:space="0" w:color="000000"/>
              <w:left w:val="single" w:sz="4" w:space="0" w:color="000000"/>
              <w:bottom w:val="single" w:sz="4" w:space="0" w:color="000000"/>
              <w:right w:val="single" w:sz="4" w:space="0" w:color="000000"/>
            </w:tcBorders>
          </w:tcPr>
          <w:p w14:paraId="666CF6D1" w14:textId="77777777" w:rsidR="00E27199" w:rsidRPr="00E8404F" w:rsidRDefault="00E27199" w:rsidP="00725429">
            <w:pPr>
              <w:pStyle w:val="TableParagraph"/>
              <w:tabs>
                <w:tab w:val="left" w:pos="9781"/>
              </w:tabs>
              <w:kinsoku w:val="0"/>
              <w:overflowPunct w:val="0"/>
              <w:spacing w:line="240" w:lineRule="auto"/>
              <w:ind w:left="3"/>
              <w:jc w:val="center"/>
              <w:rPr>
                <w:sz w:val="22"/>
                <w:szCs w:val="22"/>
              </w:rPr>
            </w:pPr>
            <w:r w:rsidRPr="00E8404F">
              <w:rPr>
                <w:sz w:val="22"/>
                <w:szCs w:val="22"/>
              </w:rPr>
              <w:t>0</w:t>
            </w:r>
          </w:p>
        </w:tc>
        <w:tc>
          <w:tcPr>
            <w:tcW w:w="2979" w:type="dxa"/>
            <w:tcBorders>
              <w:top w:val="single" w:sz="4" w:space="0" w:color="000000"/>
              <w:left w:val="single" w:sz="4" w:space="0" w:color="000000"/>
              <w:bottom w:val="single" w:sz="4" w:space="0" w:color="000000"/>
              <w:right w:val="single" w:sz="4" w:space="0" w:color="000000"/>
            </w:tcBorders>
          </w:tcPr>
          <w:p w14:paraId="7D45A3FC" w14:textId="77777777" w:rsidR="00E27199" w:rsidRPr="00E8404F" w:rsidRDefault="00E27199" w:rsidP="00725429">
            <w:pPr>
              <w:pStyle w:val="TableParagraph"/>
              <w:tabs>
                <w:tab w:val="left" w:pos="9781"/>
              </w:tabs>
              <w:kinsoku w:val="0"/>
              <w:overflowPunct w:val="0"/>
              <w:spacing w:line="240" w:lineRule="auto"/>
              <w:ind w:left="4"/>
              <w:jc w:val="center"/>
              <w:rPr>
                <w:sz w:val="22"/>
                <w:szCs w:val="22"/>
              </w:rPr>
            </w:pPr>
            <w:r w:rsidRPr="00E8404F">
              <w:rPr>
                <w:sz w:val="22"/>
                <w:szCs w:val="22"/>
              </w:rPr>
              <w:t>0</w:t>
            </w:r>
          </w:p>
        </w:tc>
      </w:tr>
      <w:tr w:rsidR="00E27199" w:rsidRPr="00E8404F" w14:paraId="3936529A" w14:textId="77777777" w:rsidTr="00E27199">
        <w:trPr>
          <w:trHeight w:val="251"/>
        </w:trPr>
        <w:tc>
          <w:tcPr>
            <w:tcW w:w="3730" w:type="dxa"/>
            <w:tcBorders>
              <w:top w:val="single" w:sz="4" w:space="0" w:color="000000"/>
              <w:left w:val="single" w:sz="4" w:space="0" w:color="000000"/>
              <w:bottom w:val="single" w:sz="4" w:space="0" w:color="000000"/>
              <w:right w:val="single" w:sz="4" w:space="0" w:color="000000"/>
            </w:tcBorders>
          </w:tcPr>
          <w:p w14:paraId="69A4317F" w14:textId="77777777" w:rsidR="00E27199" w:rsidRPr="00E8404F" w:rsidRDefault="00E27199" w:rsidP="00725429">
            <w:pPr>
              <w:pStyle w:val="TableParagraph"/>
              <w:tabs>
                <w:tab w:val="left" w:pos="9781"/>
              </w:tabs>
              <w:kinsoku w:val="0"/>
              <w:overflowPunct w:val="0"/>
              <w:spacing w:line="240" w:lineRule="auto"/>
              <w:rPr>
                <w:sz w:val="22"/>
                <w:szCs w:val="22"/>
              </w:rPr>
            </w:pPr>
            <w:r w:rsidRPr="00E8404F">
              <w:rPr>
                <w:sz w:val="22"/>
                <w:szCs w:val="22"/>
              </w:rPr>
              <w:t>Delvis respons</w:t>
            </w:r>
          </w:p>
        </w:tc>
        <w:tc>
          <w:tcPr>
            <w:tcW w:w="2943" w:type="dxa"/>
            <w:tcBorders>
              <w:top w:val="single" w:sz="4" w:space="0" w:color="000000"/>
              <w:left w:val="single" w:sz="4" w:space="0" w:color="000000"/>
              <w:bottom w:val="single" w:sz="4" w:space="0" w:color="000000"/>
              <w:right w:val="single" w:sz="4" w:space="0" w:color="000000"/>
            </w:tcBorders>
          </w:tcPr>
          <w:p w14:paraId="5B0BB378" w14:textId="77777777" w:rsidR="00E27199" w:rsidRPr="00E8404F" w:rsidRDefault="00E27199" w:rsidP="00725429">
            <w:pPr>
              <w:pStyle w:val="TableParagraph"/>
              <w:tabs>
                <w:tab w:val="left" w:pos="9781"/>
              </w:tabs>
              <w:kinsoku w:val="0"/>
              <w:overflowPunct w:val="0"/>
              <w:spacing w:line="240" w:lineRule="auto"/>
              <w:ind w:left="756" w:right="754"/>
              <w:jc w:val="center"/>
              <w:rPr>
                <w:sz w:val="22"/>
                <w:szCs w:val="22"/>
              </w:rPr>
            </w:pPr>
            <w:r w:rsidRPr="00E8404F">
              <w:rPr>
                <w:sz w:val="22"/>
                <w:szCs w:val="22"/>
              </w:rPr>
              <w:t>16 (20)</w:t>
            </w:r>
          </w:p>
        </w:tc>
        <w:tc>
          <w:tcPr>
            <w:tcW w:w="2979" w:type="dxa"/>
            <w:tcBorders>
              <w:top w:val="single" w:sz="4" w:space="0" w:color="000000"/>
              <w:left w:val="single" w:sz="4" w:space="0" w:color="000000"/>
              <w:bottom w:val="single" w:sz="4" w:space="0" w:color="000000"/>
              <w:right w:val="single" w:sz="4" w:space="0" w:color="000000"/>
            </w:tcBorders>
          </w:tcPr>
          <w:p w14:paraId="6AF0F6BB" w14:textId="77777777" w:rsidR="00E27199" w:rsidRPr="00E8404F" w:rsidRDefault="00E27199" w:rsidP="00725429">
            <w:pPr>
              <w:pStyle w:val="TableParagraph"/>
              <w:tabs>
                <w:tab w:val="left" w:pos="9781"/>
              </w:tabs>
              <w:kinsoku w:val="0"/>
              <w:overflowPunct w:val="0"/>
              <w:spacing w:line="240" w:lineRule="auto"/>
              <w:ind w:left="894" w:right="888"/>
              <w:jc w:val="center"/>
              <w:rPr>
                <w:sz w:val="22"/>
                <w:szCs w:val="22"/>
              </w:rPr>
            </w:pPr>
            <w:r w:rsidRPr="00E8404F">
              <w:rPr>
                <w:sz w:val="22"/>
                <w:szCs w:val="22"/>
              </w:rPr>
              <w:t>7 (9)</w:t>
            </w:r>
          </w:p>
        </w:tc>
      </w:tr>
      <w:tr w:rsidR="00E27199" w:rsidRPr="00E8404F" w14:paraId="0A2D9823" w14:textId="77777777" w:rsidTr="00E27199">
        <w:trPr>
          <w:trHeight w:val="253"/>
        </w:trPr>
        <w:tc>
          <w:tcPr>
            <w:tcW w:w="3730" w:type="dxa"/>
            <w:tcBorders>
              <w:top w:val="single" w:sz="4" w:space="0" w:color="000000"/>
              <w:left w:val="single" w:sz="4" w:space="0" w:color="000000"/>
              <w:bottom w:val="single" w:sz="4" w:space="0" w:color="000000"/>
              <w:right w:val="single" w:sz="4" w:space="0" w:color="000000"/>
            </w:tcBorders>
          </w:tcPr>
          <w:p w14:paraId="740BC2B9" w14:textId="77777777" w:rsidR="00E27199" w:rsidRPr="00E8404F" w:rsidRDefault="00E27199" w:rsidP="00725429">
            <w:pPr>
              <w:pStyle w:val="TableParagraph"/>
              <w:tabs>
                <w:tab w:val="left" w:pos="9781"/>
              </w:tabs>
              <w:kinsoku w:val="0"/>
              <w:overflowPunct w:val="0"/>
              <w:spacing w:line="240" w:lineRule="auto"/>
              <w:rPr>
                <w:sz w:val="22"/>
                <w:szCs w:val="22"/>
              </w:rPr>
            </w:pPr>
            <w:r w:rsidRPr="00E8404F">
              <w:rPr>
                <w:sz w:val="22"/>
                <w:szCs w:val="22"/>
              </w:rPr>
              <w:t>ORR (Kun delvis respons)</w:t>
            </w:r>
          </w:p>
        </w:tc>
        <w:tc>
          <w:tcPr>
            <w:tcW w:w="2943" w:type="dxa"/>
            <w:tcBorders>
              <w:top w:val="single" w:sz="4" w:space="0" w:color="000000"/>
              <w:left w:val="single" w:sz="4" w:space="0" w:color="000000"/>
              <w:bottom w:val="single" w:sz="4" w:space="0" w:color="000000"/>
              <w:right w:val="single" w:sz="4" w:space="0" w:color="000000"/>
            </w:tcBorders>
          </w:tcPr>
          <w:p w14:paraId="023A18D0" w14:textId="77777777" w:rsidR="00E27199" w:rsidRPr="00E8404F" w:rsidRDefault="00E27199" w:rsidP="00725429">
            <w:pPr>
              <w:pStyle w:val="TableParagraph"/>
              <w:tabs>
                <w:tab w:val="left" w:pos="9781"/>
              </w:tabs>
              <w:kinsoku w:val="0"/>
              <w:overflowPunct w:val="0"/>
              <w:spacing w:line="240" w:lineRule="auto"/>
              <w:ind w:left="756" w:right="754"/>
              <w:jc w:val="center"/>
              <w:rPr>
                <w:sz w:val="22"/>
                <w:szCs w:val="22"/>
              </w:rPr>
            </w:pPr>
            <w:r w:rsidRPr="00E8404F">
              <w:rPr>
                <w:sz w:val="22"/>
                <w:szCs w:val="22"/>
              </w:rPr>
              <w:t>16 (20)</w:t>
            </w:r>
          </w:p>
        </w:tc>
        <w:tc>
          <w:tcPr>
            <w:tcW w:w="2979" w:type="dxa"/>
            <w:tcBorders>
              <w:top w:val="single" w:sz="4" w:space="0" w:color="000000"/>
              <w:left w:val="single" w:sz="4" w:space="0" w:color="000000"/>
              <w:bottom w:val="single" w:sz="4" w:space="0" w:color="000000"/>
              <w:right w:val="single" w:sz="4" w:space="0" w:color="000000"/>
            </w:tcBorders>
          </w:tcPr>
          <w:p w14:paraId="09D6A2BB" w14:textId="77777777" w:rsidR="00E27199" w:rsidRPr="00E8404F" w:rsidRDefault="00E27199" w:rsidP="00725429">
            <w:pPr>
              <w:pStyle w:val="TableParagraph"/>
              <w:tabs>
                <w:tab w:val="left" w:pos="9781"/>
              </w:tabs>
              <w:kinsoku w:val="0"/>
              <w:overflowPunct w:val="0"/>
              <w:spacing w:line="240" w:lineRule="auto"/>
              <w:ind w:left="894" w:right="888"/>
              <w:jc w:val="center"/>
              <w:rPr>
                <w:sz w:val="22"/>
                <w:szCs w:val="22"/>
              </w:rPr>
            </w:pPr>
            <w:r w:rsidRPr="00E8404F">
              <w:rPr>
                <w:sz w:val="22"/>
                <w:szCs w:val="22"/>
              </w:rPr>
              <w:t>7 (9)</w:t>
            </w:r>
          </w:p>
        </w:tc>
      </w:tr>
      <w:tr w:rsidR="00E27199" w:rsidRPr="00E8404F" w14:paraId="0528E6E1" w14:textId="77777777" w:rsidTr="00E27199">
        <w:trPr>
          <w:trHeight w:val="251"/>
        </w:trPr>
        <w:tc>
          <w:tcPr>
            <w:tcW w:w="3730" w:type="dxa"/>
            <w:tcBorders>
              <w:top w:val="single" w:sz="4" w:space="0" w:color="000000"/>
              <w:left w:val="single" w:sz="4" w:space="0" w:color="000000"/>
              <w:bottom w:val="single" w:sz="4" w:space="0" w:color="000000"/>
              <w:right w:val="single" w:sz="4" w:space="0" w:color="000000"/>
            </w:tcBorders>
          </w:tcPr>
          <w:p w14:paraId="123223AA" w14:textId="77777777" w:rsidR="00E27199" w:rsidRPr="00E8404F" w:rsidRDefault="00E27199" w:rsidP="00725429">
            <w:pPr>
              <w:pStyle w:val="TableParagraph"/>
              <w:tabs>
                <w:tab w:val="left" w:pos="9781"/>
              </w:tabs>
              <w:kinsoku w:val="0"/>
              <w:overflowPunct w:val="0"/>
              <w:spacing w:line="240" w:lineRule="auto"/>
              <w:rPr>
                <w:sz w:val="22"/>
                <w:szCs w:val="22"/>
              </w:rPr>
            </w:pPr>
            <w:r w:rsidRPr="00E8404F">
              <w:rPr>
                <w:sz w:val="22"/>
                <w:szCs w:val="22"/>
              </w:rPr>
              <w:t>Stabil sygdom</w:t>
            </w:r>
          </w:p>
        </w:tc>
        <w:tc>
          <w:tcPr>
            <w:tcW w:w="2943" w:type="dxa"/>
            <w:tcBorders>
              <w:top w:val="single" w:sz="4" w:space="0" w:color="000000"/>
              <w:left w:val="single" w:sz="4" w:space="0" w:color="000000"/>
              <w:bottom w:val="single" w:sz="4" w:space="0" w:color="000000"/>
              <w:right w:val="single" w:sz="4" w:space="0" w:color="000000"/>
            </w:tcBorders>
          </w:tcPr>
          <w:p w14:paraId="288EFABE" w14:textId="77777777" w:rsidR="00E27199" w:rsidRPr="00E8404F" w:rsidRDefault="00E27199" w:rsidP="00725429">
            <w:pPr>
              <w:pStyle w:val="TableParagraph"/>
              <w:tabs>
                <w:tab w:val="left" w:pos="9781"/>
              </w:tabs>
              <w:kinsoku w:val="0"/>
              <w:overflowPunct w:val="0"/>
              <w:spacing w:line="240" w:lineRule="auto"/>
              <w:ind w:left="756" w:right="756"/>
              <w:jc w:val="center"/>
              <w:rPr>
                <w:sz w:val="22"/>
                <w:szCs w:val="22"/>
              </w:rPr>
            </w:pPr>
            <w:r w:rsidRPr="00E8404F">
              <w:rPr>
                <w:sz w:val="22"/>
                <w:szCs w:val="22"/>
              </w:rPr>
              <w:t>43 (54)</w:t>
            </w:r>
          </w:p>
        </w:tc>
        <w:tc>
          <w:tcPr>
            <w:tcW w:w="2979" w:type="dxa"/>
            <w:tcBorders>
              <w:top w:val="single" w:sz="4" w:space="0" w:color="000000"/>
              <w:left w:val="single" w:sz="4" w:space="0" w:color="000000"/>
              <w:bottom w:val="single" w:sz="4" w:space="0" w:color="000000"/>
              <w:right w:val="single" w:sz="4" w:space="0" w:color="000000"/>
            </w:tcBorders>
          </w:tcPr>
          <w:p w14:paraId="103610A3" w14:textId="77777777" w:rsidR="00E27199" w:rsidRPr="00E8404F" w:rsidRDefault="00E27199" w:rsidP="00725429">
            <w:pPr>
              <w:pStyle w:val="TableParagraph"/>
              <w:tabs>
                <w:tab w:val="left" w:pos="9781"/>
              </w:tabs>
              <w:kinsoku w:val="0"/>
              <w:overflowPunct w:val="0"/>
              <w:spacing w:line="240" w:lineRule="auto"/>
              <w:ind w:left="894" w:right="886"/>
              <w:jc w:val="center"/>
              <w:rPr>
                <w:sz w:val="22"/>
                <w:szCs w:val="22"/>
              </w:rPr>
            </w:pPr>
            <w:r w:rsidRPr="00E8404F">
              <w:rPr>
                <w:sz w:val="22"/>
                <w:szCs w:val="22"/>
              </w:rPr>
              <w:t>30 (38)</w:t>
            </w:r>
          </w:p>
        </w:tc>
      </w:tr>
      <w:tr w:rsidR="00E27199" w:rsidRPr="00E8404F" w14:paraId="71E9D0DC" w14:textId="77777777" w:rsidTr="00E27199">
        <w:trPr>
          <w:trHeight w:val="253"/>
        </w:trPr>
        <w:tc>
          <w:tcPr>
            <w:tcW w:w="3730" w:type="dxa"/>
            <w:tcBorders>
              <w:top w:val="single" w:sz="4" w:space="0" w:color="000000"/>
              <w:left w:val="single" w:sz="4" w:space="0" w:color="000000"/>
              <w:bottom w:val="single" w:sz="4" w:space="0" w:color="000000"/>
              <w:right w:val="single" w:sz="4" w:space="0" w:color="000000"/>
            </w:tcBorders>
          </w:tcPr>
          <w:p w14:paraId="0D2DF8EB" w14:textId="77777777" w:rsidR="00E27199" w:rsidRPr="00E8404F" w:rsidRDefault="00E27199" w:rsidP="00725429">
            <w:pPr>
              <w:pStyle w:val="TableParagraph"/>
              <w:tabs>
                <w:tab w:val="left" w:pos="9781"/>
              </w:tabs>
              <w:kinsoku w:val="0"/>
              <w:overflowPunct w:val="0"/>
              <w:spacing w:line="240" w:lineRule="auto"/>
              <w:rPr>
                <w:sz w:val="22"/>
                <w:szCs w:val="22"/>
              </w:rPr>
            </w:pPr>
            <w:r w:rsidRPr="00E8404F">
              <w:rPr>
                <w:sz w:val="22"/>
                <w:szCs w:val="22"/>
              </w:rPr>
              <w:t>Progressiv sygdom</w:t>
            </w:r>
          </w:p>
        </w:tc>
        <w:tc>
          <w:tcPr>
            <w:tcW w:w="2943" w:type="dxa"/>
            <w:tcBorders>
              <w:top w:val="single" w:sz="4" w:space="0" w:color="000000"/>
              <w:left w:val="single" w:sz="4" w:space="0" w:color="000000"/>
              <w:bottom w:val="single" w:sz="4" w:space="0" w:color="000000"/>
              <w:right w:val="single" w:sz="4" w:space="0" w:color="000000"/>
            </w:tcBorders>
          </w:tcPr>
          <w:p w14:paraId="37B3052C" w14:textId="77777777" w:rsidR="00E27199" w:rsidRPr="00E8404F" w:rsidRDefault="00E27199" w:rsidP="00725429">
            <w:pPr>
              <w:pStyle w:val="TableParagraph"/>
              <w:tabs>
                <w:tab w:val="left" w:pos="9781"/>
              </w:tabs>
              <w:kinsoku w:val="0"/>
              <w:overflowPunct w:val="0"/>
              <w:spacing w:line="240" w:lineRule="auto"/>
              <w:ind w:left="756" w:right="754"/>
              <w:jc w:val="center"/>
              <w:rPr>
                <w:sz w:val="22"/>
                <w:szCs w:val="22"/>
              </w:rPr>
            </w:pPr>
            <w:r w:rsidRPr="00E8404F">
              <w:rPr>
                <w:sz w:val="22"/>
                <w:szCs w:val="22"/>
              </w:rPr>
              <w:t>14 (18)</w:t>
            </w:r>
          </w:p>
        </w:tc>
        <w:tc>
          <w:tcPr>
            <w:tcW w:w="2979" w:type="dxa"/>
            <w:tcBorders>
              <w:top w:val="single" w:sz="4" w:space="0" w:color="000000"/>
              <w:left w:val="single" w:sz="4" w:space="0" w:color="000000"/>
              <w:bottom w:val="single" w:sz="4" w:space="0" w:color="000000"/>
              <w:right w:val="single" w:sz="4" w:space="0" w:color="000000"/>
            </w:tcBorders>
          </w:tcPr>
          <w:p w14:paraId="69DA2C7E" w14:textId="77777777" w:rsidR="00E27199" w:rsidRPr="00E8404F" w:rsidRDefault="00E27199" w:rsidP="00725429">
            <w:pPr>
              <w:pStyle w:val="TableParagraph"/>
              <w:tabs>
                <w:tab w:val="left" w:pos="9781"/>
              </w:tabs>
              <w:kinsoku w:val="0"/>
              <w:overflowPunct w:val="0"/>
              <w:spacing w:line="240" w:lineRule="auto"/>
              <w:ind w:left="894" w:right="886"/>
              <w:jc w:val="center"/>
              <w:rPr>
                <w:sz w:val="22"/>
                <w:szCs w:val="22"/>
              </w:rPr>
            </w:pPr>
            <w:r w:rsidRPr="00E8404F">
              <w:rPr>
                <w:sz w:val="22"/>
                <w:szCs w:val="22"/>
              </w:rPr>
              <w:t>23 (29)</w:t>
            </w:r>
          </w:p>
        </w:tc>
      </w:tr>
      <w:tr w:rsidR="00E27199" w:rsidRPr="00E8404F" w14:paraId="0CB90560" w14:textId="77777777" w:rsidTr="00E27199">
        <w:trPr>
          <w:trHeight w:val="251"/>
        </w:trPr>
        <w:tc>
          <w:tcPr>
            <w:tcW w:w="9652" w:type="dxa"/>
            <w:gridSpan w:val="3"/>
            <w:tcBorders>
              <w:top w:val="single" w:sz="4" w:space="0" w:color="000000"/>
              <w:left w:val="single" w:sz="4" w:space="0" w:color="000000"/>
              <w:bottom w:val="single" w:sz="4" w:space="0" w:color="000000"/>
              <w:right w:val="single" w:sz="4" w:space="0" w:color="000000"/>
            </w:tcBorders>
          </w:tcPr>
          <w:p w14:paraId="31FE8820" w14:textId="77777777" w:rsidR="00E27199" w:rsidRPr="00E8404F" w:rsidRDefault="00E27199" w:rsidP="00725429">
            <w:pPr>
              <w:pStyle w:val="TableParagraph"/>
              <w:tabs>
                <w:tab w:val="left" w:pos="9781"/>
              </w:tabs>
              <w:kinsoku w:val="0"/>
              <w:overflowPunct w:val="0"/>
              <w:spacing w:line="240" w:lineRule="auto"/>
              <w:rPr>
                <w:b/>
                <w:bCs/>
                <w:sz w:val="22"/>
                <w:szCs w:val="22"/>
              </w:rPr>
            </w:pPr>
            <w:r w:rsidRPr="00E8404F">
              <w:rPr>
                <w:b/>
                <w:bCs/>
                <w:sz w:val="22"/>
                <w:szCs w:val="22"/>
              </w:rPr>
              <w:t>Objektiv responsrate n (%) pr. investigator</w:t>
            </w:r>
          </w:p>
        </w:tc>
      </w:tr>
      <w:tr w:rsidR="00E27199" w:rsidRPr="00E8404F" w14:paraId="3E585200" w14:textId="77777777" w:rsidTr="00E27199">
        <w:trPr>
          <w:trHeight w:val="253"/>
        </w:trPr>
        <w:tc>
          <w:tcPr>
            <w:tcW w:w="3730" w:type="dxa"/>
            <w:tcBorders>
              <w:top w:val="single" w:sz="4" w:space="0" w:color="000000"/>
              <w:left w:val="single" w:sz="4" w:space="0" w:color="000000"/>
              <w:bottom w:val="single" w:sz="4" w:space="0" w:color="000000"/>
              <w:right w:val="single" w:sz="4" w:space="0" w:color="000000"/>
            </w:tcBorders>
          </w:tcPr>
          <w:p w14:paraId="310FEDDF" w14:textId="77777777" w:rsidR="00E27199" w:rsidRPr="00E8404F" w:rsidRDefault="00E27199" w:rsidP="00725429">
            <w:pPr>
              <w:pStyle w:val="TableParagraph"/>
              <w:tabs>
                <w:tab w:val="left" w:pos="9781"/>
              </w:tabs>
              <w:kinsoku w:val="0"/>
              <w:overflowPunct w:val="0"/>
              <w:spacing w:line="240" w:lineRule="auto"/>
              <w:rPr>
                <w:sz w:val="22"/>
                <w:szCs w:val="22"/>
              </w:rPr>
            </w:pPr>
            <w:r w:rsidRPr="00E8404F">
              <w:rPr>
                <w:sz w:val="22"/>
                <w:szCs w:val="22"/>
              </w:rPr>
              <w:t>Fuldstændig respons</w:t>
            </w:r>
          </w:p>
        </w:tc>
        <w:tc>
          <w:tcPr>
            <w:tcW w:w="2943" w:type="dxa"/>
            <w:tcBorders>
              <w:top w:val="single" w:sz="4" w:space="0" w:color="000000"/>
              <w:left w:val="single" w:sz="4" w:space="0" w:color="000000"/>
              <w:bottom w:val="single" w:sz="4" w:space="0" w:color="000000"/>
              <w:right w:val="single" w:sz="4" w:space="0" w:color="000000"/>
            </w:tcBorders>
          </w:tcPr>
          <w:p w14:paraId="4B254E1E" w14:textId="77777777" w:rsidR="00E27199" w:rsidRPr="00E8404F" w:rsidRDefault="00E27199" w:rsidP="00725429">
            <w:pPr>
              <w:pStyle w:val="TableParagraph"/>
              <w:tabs>
                <w:tab w:val="left" w:pos="9781"/>
              </w:tabs>
              <w:kinsoku w:val="0"/>
              <w:overflowPunct w:val="0"/>
              <w:spacing w:line="240" w:lineRule="auto"/>
              <w:ind w:left="756" w:right="752"/>
              <w:jc w:val="center"/>
              <w:rPr>
                <w:sz w:val="22"/>
                <w:szCs w:val="22"/>
              </w:rPr>
            </w:pPr>
            <w:r w:rsidRPr="00E8404F">
              <w:rPr>
                <w:sz w:val="22"/>
                <w:szCs w:val="22"/>
              </w:rPr>
              <w:t>1 (1)</w:t>
            </w:r>
          </w:p>
        </w:tc>
        <w:tc>
          <w:tcPr>
            <w:tcW w:w="2979" w:type="dxa"/>
            <w:tcBorders>
              <w:top w:val="single" w:sz="4" w:space="0" w:color="000000"/>
              <w:left w:val="single" w:sz="4" w:space="0" w:color="000000"/>
              <w:bottom w:val="single" w:sz="4" w:space="0" w:color="000000"/>
              <w:right w:val="single" w:sz="4" w:space="0" w:color="000000"/>
            </w:tcBorders>
          </w:tcPr>
          <w:p w14:paraId="7132A106" w14:textId="77777777" w:rsidR="00E27199" w:rsidRPr="00E8404F" w:rsidRDefault="00E27199" w:rsidP="00725429">
            <w:pPr>
              <w:pStyle w:val="TableParagraph"/>
              <w:tabs>
                <w:tab w:val="left" w:pos="9781"/>
              </w:tabs>
              <w:kinsoku w:val="0"/>
              <w:overflowPunct w:val="0"/>
              <w:spacing w:line="240" w:lineRule="auto"/>
              <w:ind w:left="4"/>
              <w:jc w:val="center"/>
              <w:rPr>
                <w:sz w:val="22"/>
                <w:szCs w:val="22"/>
              </w:rPr>
            </w:pPr>
            <w:r w:rsidRPr="00E8404F">
              <w:rPr>
                <w:sz w:val="22"/>
                <w:szCs w:val="22"/>
              </w:rPr>
              <w:t>0</w:t>
            </w:r>
          </w:p>
        </w:tc>
      </w:tr>
      <w:tr w:rsidR="00E27199" w:rsidRPr="00E8404F" w14:paraId="6543024D" w14:textId="77777777" w:rsidTr="00E27199">
        <w:trPr>
          <w:trHeight w:val="254"/>
        </w:trPr>
        <w:tc>
          <w:tcPr>
            <w:tcW w:w="3730" w:type="dxa"/>
            <w:tcBorders>
              <w:top w:val="single" w:sz="4" w:space="0" w:color="000000"/>
              <w:left w:val="single" w:sz="4" w:space="0" w:color="000000"/>
              <w:bottom w:val="single" w:sz="4" w:space="0" w:color="000000"/>
              <w:right w:val="single" w:sz="4" w:space="0" w:color="000000"/>
            </w:tcBorders>
          </w:tcPr>
          <w:p w14:paraId="5D4E965A" w14:textId="77777777" w:rsidR="00E27199" w:rsidRPr="00E8404F" w:rsidRDefault="00E27199" w:rsidP="00725429">
            <w:pPr>
              <w:pStyle w:val="TableParagraph"/>
              <w:tabs>
                <w:tab w:val="left" w:pos="9781"/>
              </w:tabs>
              <w:kinsoku w:val="0"/>
              <w:overflowPunct w:val="0"/>
              <w:spacing w:line="240" w:lineRule="auto"/>
              <w:rPr>
                <w:sz w:val="22"/>
                <w:szCs w:val="22"/>
              </w:rPr>
            </w:pPr>
            <w:r w:rsidRPr="00E8404F">
              <w:rPr>
                <w:sz w:val="22"/>
                <w:szCs w:val="22"/>
              </w:rPr>
              <w:t>Delvis respons</w:t>
            </w:r>
          </w:p>
        </w:tc>
        <w:tc>
          <w:tcPr>
            <w:tcW w:w="2943" w:type="dxa"/>
            <w:tcBorders>
              <w:top w:val="single" w:sz="4" w:space="0" w:color="000000"/>
              <w:left w:val="single" w:sz="4" w:space="0" w:color="000000"/>
              <w:bottom w:val="single" w:sz="4" w:space="0" w:color="000000"/>
              <w:right w:val="single" w:sz="4" w:space="0" w:color="000000"/>
            </w:tcBorders>
          </w:tcPr>
          <w:p w14:paraId="2AEAD80F" w14:textId="77777777" w:rsidR="00E27199" w:rsidRPr="00E8404F" w:rsidRDefault="00E27199" w:rsidP="00725429">
            <w:pPr>
              <w:pStyle w:val="TableParagraph"/>
              <w:tabs>
                <w:tab w:val="left" w:pos="9781"/>
              </w:tabs>
              <w:kinsoku w:val="0"/>
              <w:overflowPunct w:val="0"/>
              <w:spacing w:line="240" w:lineRule="auto"/>
              <w:ind w:left="756" w:right="754"/>
              <w:jc w:val="center"/>
              <w:rPr>
                <w:sz w:val="22"/>
                <w:szCs w:val="22"/>
              </w:rPr>
            </w:pPr>
            <w:r w:rsidRPr="00E8404F">
              <w:rPr>
                <w:sz w:val="22"/>
                <w:szCs w:val="22"/>
              </w:rPr>
              <w:t>25 (32)</w:t>
            </w:r>
          </w:p>
        </w:tc>
        <w:tc>
          <w:tcPr>
            <w:tcW w:w="2979" w:type="dxa"/>
            <w:tcBorders>
              <w:top w:val="single" w:sz="4" w:space="0" w:color="000000"/>
              <w:left w:val="single" w:sz="4" w:space="0" w:color="000000"/>
              <w:bottom w:val="single" w:sz="4" w:space="0" w:color="000000"/>
              <w:right w:val="single" w:sz="4" w:space="0" w:color="000000"/>
            </w:tcBorders>
          </w:tcPr>
          <w:p w14:paraId="0E6F775E" w14:textId="77777777" w:rsidR="00E27199" w:rsidRPr="00E8404F" w:rsidRDefault="00E27199" w:rsidP="00725429">
            <w:pPr>
              <w:pStyle w:val="TableParagraph"/>
              <w:tabs>
                <w:tab w:val="left" w:pos="9781"/>
              </w:tabs>
              <w:kinsoku w:val="0"/>
              <w:overflowPunct w:val="0"/>
              <w:spacing w:line="240" w:lineRule="auto"/>
              <w:ind w:left="894" w:right="886"/>
              <w:jc w:val="center"/>
              <w:rPr>
                <w:sz w:val="22"/>
                <w:szCs w:val="22"/>
              </w:rPr>
            </w:pPr>
            <w:r w:rsidRPr="00E8404F">
              <w:rPr>
                <w:sz w:val="22"/>
                <w:szCs w:val="22"/>
              </w:rPr>
              <w:t>9 (12)</w:t>
            </w:r>
          </w:p>
        </w:tc>
      </w:tr>
      <w:tr w:rsidR="00E27199" w:rsidRPr="00E8404F" w14:paraId="596D60E2" w14:textId="77777777" w:rsidTr="00E27199">
        <w:trPr>
          <w:trHeight w:val="251"/>
        </w:trPr>
        <w:tc>
          <w:tcPr>
            <w:tcW w:w="3730" w:type="dxa"/>
            <w:tcBorders>
              <w:top w:val="single" w:sz="4" w:space="0" w:color="000000"/>
              <w:left w:val="single" w:sz="4" w:space="0" w:color="000000"/>
              <w:bottom w:val="single" w:sz="4" w:space="0" w:color="000000"/>
              <w:right w:val="single" w:sz="4" w:space="0" w:color="000000"/>
            </w:tcBorders>
          </w:tcPr>
          <w:p w14:paraId="56BC23CE" w14:textId="77777777" w:rsidR="00E27199" w:rsidRPr="00E8404F" w:rsidRDefault="00E27199" w:rsidP="00725429">
            <w:pPr>
              <w:pStyle w:val="TableParagraph"/>
              <w:tabs>
                <w:tab w:val="left" w:pos="9781"/>
              </w:tabs>
              <w:kinsoku w:val="0"/>
              <w:overflowPunct w:val="0"/>
              <w:spacing w:line="240" w:lineRule="auto"/>
              <w:rPr>
                <w:sz w:val="22"/>
                <w:szCs w:val="22"/>
              </w:rPr>
            </w:pPr>
            <w:r w:rsidRPr="00E8404F">
              <w:rPr>
                <w:sz w:val="22"/>
                <w:szCs w:val="22"/>
              </w:rPr>
              <w:t>ORR (Kun delvist respons)</w:t>
            </w:r>
          </w:p>
        </w:tc>
        <w:tc>
          <w:tcPr>
            <w:tcW w:w="2943" w:type="dxa"/>
            <w:tcBorders>
              <w:top w:val="single" w:sz="4" w:space="0" w:color="000000"/>
              <w:left w:val="single" w:sz="4" w:space="0" w:color="000000"/>
              <w:bottom w:val="single" w:sz="4" w:space="0" w:color="000000"/>
              <w:right w:val="single" w:sz="4" w:space="0" w:color="000000"/>
            </w:tcBorders>
          </w:tcPr>
          <w:p w14:paraId="0AB67BE4" w14:textId="77777777" w:rsidR="00E27199" w:rsidRPr="00E8404F" w:rsidRDefault="00E27199" w:rsidP="00725429">
            <w:pPr>
              <w:pStyle w:val="TableParagraph"/>
              <w:tabs>
                <w:tab w:val="left" w:pos="9781"/>
              </w:tabs>
              <w:kinsoku w:val="0"/>
              <w:overflowPunct w:val="0"/>
              <w:spacing w:line="240" w:lineRule="auto"/>
              <w:ind w:left="756" w:right="754"/>
              <w:jc w:val="center"/>
              <w:rPr>
                <w:sz w:val="22"/>
                <w:szCs w:val="22"/>
              </w:rPr>
            </w:pPr>
            <w:r w:rsidRPr="00E8404F">
              <w:rPr>
                <w:sz w:val="22"/>
                <w:szCs w:val="22"/>
              </w:rPr>
              <w:t>26 (33)</w:t>
            </w:r>
          </w:p>
        </w:tc>
        <w:tc>
          <w:tcPr>
            <w:tcW w:w="2979" w:type="dxa"/>
            <w:tcBorders>
              <w:top w:val="single" w:sz="4" w:space="0" w:color="000000"/>
              <w:left w:val="single" w:sz="4" w:space="0" w:color="000000"/>
              <w:bottom w:val="single" w:sz="4" w:space="0" w:color="000000"/>
              <w:right w:val="single" w:sz="4" w:space="0" w:color="000000"/>
            </w:tcBorders>
          </w:tcPr>
          <w:p w14:paraId="15BB9C71" w14:textId="77777777" w:rsidR="00E27199" w:rsidRPr="00E8404F" w:rsidRDefault="00E27199" w:rsidP="00725429">
            <w:pPr>
              <w:pStyle w:val="TableParagraph"/>
              <w:tabs>
                <w:tab w:val="left" w:pos="9781"/>
              </w:tabs>
              <w:kinsoku w:val="0"/>
              <w:overflowPunct w:val="0"/>
              <w:spacing w:line="240" w:lineRule="auto"/>
              <w:ind w:left="894" w:right="886"/>
              <w:jc w:val="center"/>
              <w:rPr>
                <w:sz w:val="22"/>
                <w:szCs w:val="22"/>
              </w:rPr>
            </w:pPr>
            <w:r w:rsidRPr="00E8404F">
              <w:rPr>
                <w:sz w:val="22"/>
                <w:szCs w:val="22"/>
              </w:rPr>
              <w:t>9 (12)</w:t>
            </w:r>
          </w:p>
        </w:tc>
      </w:tr>
      <w:tr w:rsidR="00E27199" w:rsidRPr="00E8404F" w14:paraId="3177D952" w14:textId="77777777" w:rsidTr="00E27199">
        <w:trPr>
          <w:trHeight w:val="254"/>
        </w:trPr>
        <w:tc>
          <w:tcPr>
            <w:tcW w:w="3730" w:type="dxa"/>
            <w:tcBorders>
              <w:top w:val="single" w:sz="4" w:space="0" w:color="000000"/>
              <w:left w:val="single" w:sz="4" w:space="0" w:color="000000"/>
              <w:bottom w:val="single" w:sz="4" w:space="0" w:color="000000"/>
              <w:right w:val="single" w:sz="4" w:space="0" w:color="000000"/>
            </w:tcBorders>
          </w:tcPr>
          <w:p w14:paraId="542AA307" w14:textId="77777777" w:rsidR="00E27199" w:rsidRPr="00E8404F" w:rsidRDefault="00E27199" w:rsidP="00725429">
            <w:pPr>
              <w:pStyle w:val="TableParagraph"/>
              <w:tabs>
                <w:tab w:val="left" w:pos="9781"/>
              </w:tabs>
              <w:kinsoku w:val="0"/>
              <w:overflowPunct w:val="0"/>
              <w:spacing w:line="240" w:lineRule="auto"/>
              <w:rPr>
                <w:sz w:val="22"/>
                <w:szCs w:val="22"/>
              </w:rPr>
            </w:pPr>
            <w:r w:rsidRPr="00E8404F">
              <w:rPr>
                <w:sz w:val="22"/>
                <w:szCs w:val="22"/>
              </w:rPr>
              <w:lastRenderedPageBreak/>
              <w:t>Stabil sygdom</w:t>
            </w:r>
          </w:p>
        </w:tc>
        <w:tc>
          <w:tcPr>
            <w:tcW w:w="2943" w:type="dxa"/>
            <w:tcBorders>
              <w:top w:val="single" w:sz="4" w:space="0" w:color="000000"/>
              <w:left w:val="single" w:sz="4" w:space="0" w:color="000000"/>
              <w:bottom w:val="single" w:sz="4" w:space="0" w:color="000000"/>
              <w:right w:val="single" w:sz="4" w:space="0" w:color="000000"/>
            </w:tcBorders>
          </w:tcPr>
          <w:p w14:paraId="02BD3716" w14:textId="77777777" w:rsidR="00E27199" w:rsidRPr="00E8404F" w:rsidRDefault="00E27199" w:rsidP="00725429">
            <w:pPr>
              <w:pStyle w:val="TableParagraph"/>
              <w:tabs>
                <w:tab w:val="left" w:pos="9781"/>
              </w:tabs>
              <w:kinsoku w:val="0"/>
              <w:overflowPunct w:val="0"/>
              <w:spacing w:line="240" w:lineRule="auto"/>
              <w:ind w:left="756" w:right="754"/>
              <w:jc w:val="center"/>
              <w:rPr>
                <w:sz w:val="22"/>
                <w:szCs w:val="22"/>
              </w:rPr>
            </w:pPr>
            <w:r w:rsidRPr="00E8404F">
              <w:rPr>
                <w:sz w:val="22"/>
                <w:szCs w:val="22"/>
              </w:rPr>
              <w:t>34 (43)</w:t>
            </w:r>
          </w:p>
        </w:tc>
        <w:tc>
          <w:tcPr>
            <w:tcW w:w="2979" w:type="dxa"/>
            <w:tcBorders>
              <w:top w:val="single" w:sz="4" w:space="0" w:color="000000"/>
              <w:left w:val="single" w:sz="4" w:space="0" w:color="000000"/>
              <w:bottom w:val="single" w:sz="4" w:space="0" w:color="000000"/>
              <w:right w:val="single" w:sz="4" w:space="0" w:color="000000"/>
            </w:tcBorders>
          </w:tcPr>
          <w:p w14:paraId="2FF6FDEA" w14:textId="77777777" w:rsidR="00E27199" w:rsidRPr="00E8404F" w:rsidRDefault="00E27199" w:rsidP="00725429">
            <w:pPr>
              <w:pStyle w:val="TableParagraph"/>
              <w:tabs>
                <w:tab w:val="left" w:pos="9781"/>
              </w:tabs>
              <w:kinsoku w:val="0"/>
              <w:overflowPunct w:val="0"/>
              <w:spacing w:line="240" w:lineRule="auto"/>
              <w:ind w:left="894" w:right="886"/>
              <w:jc w:val="center"/>
              <w:rPr>
                <w:sz w:val="22"/>
                <w:szCs w:val="22"/>
              </w:rPr>
            </w:pPr>
            <w:r w:rsidRPr="00E8404F">
              <w:rPr>
                <w:sz w:val="22"/>
                <w:szCs w:val="22"/>
              </w:rPr>
              <w:t>29 (37)</w:t>
            </w:r>
          </w:p>
        </w:tc>
      </w:tr>
      <w:tr w:rsidR="00E27199" w:rsidRPr="00E8404F" w14:paraId="51662A0B" w14:textId="77777777" w:rsidTr="00E27199">
        <w:trPr>
          <w:trHeight w:val="253"/>
        </w:trPr>
        <w:tc>
          <w:tcPr>
            <w:tcW w:w="3730" w:type="dxa"/>
            <w:tcBorders>
              <w:top w:val="single" w:sz="4" w:space="0" w:color="000000"/>
              <w:left w:val="single" w:sz="4" w:space="0" w:color="000000"/>
              <w:bottom w:val="single" w:sz="4" w:space="0" w:color="000000"/>
              <w:right w:val="single" w:sz="4" w:space="0" w:color="000000"/>
            </w:tcBorders>
          </w:tcPr>
          <w:p w14:paraId="5DD8EB11" w14:textId="77777777" w:rsidR="00E27199" w:rsidRPr="00E8404F" w:rsidRDefault="00E27199" w:rsidP="00725429">
            <w:pPr>
              <w:pStyle w:val="TableParagraph"/>
              <w:tabs>
                <w:tab w:val="left" w:pos="9781"/>
              </w:tabs>
              <w:kinsoku w:val="0"/>
              <w:overflowPunct w:val="0"/>
              <w:spacing w:line="240" w:lineRule="auto"/>
              <w:rPr>
                <w:sz w:val="22"/>
                <w:szCs w:val="22"/>
              </w:rPr>
            </w:pPr>
            <w:r w:rsidRPr="00E8404F">
              <w:rPr>
                <w:sz w:val="22"/>
                <w:szCs w:val="22"/>
              </w:rPr>
              <w:t>Progressiv sygdom</w:t>
            </w:r>
          </w:p>
        </w:tc>
        <w:tc>
          <w:tcPr>
            <w:tcW w:w="2943" w:type="dxa"/>
            <w:tcBorders>
              <w:top w:val="single" w:sz="4" w:space="0" w:color="000000"/>
              <w:left w:val="single" w:sz="4" w:space="0" w:color="000000"/>
              <w:bottom w:val="single" w:sz="4" w:space="0" w:color="000000"/>
              <w:right w:val="single" w:sz="4" w:space="0" w:color="000000"/>
            </w:tcBorders>
          </w:tcPr>
          <w:p w14:paraId="65BEC191" w14:textId="77777777" w:rsidR="00E27199" w:rsidRPr="00E8404F" w:rsidRDefault="00E27199" w:rsidP="00725429">
            <w:pPr>
              <w:pStyle w:val="TableParagraph"/>
              <w:tabs>
                <w:tab w:val="left" w:pos="9781"/>
              </w:tabs>
              <w:kinsoku w:val="0"/>
              <w:overflowPunct w:val="0"/>
              <w:spacing w:line="240" w:lineRule="auto"/>
              <w:ind w:left="756" w:right="754"/>
              <w:jc w:val="center"/>
              <w:rPr>
                <w:sz w:val="22"/>
                <w:szCs w:val="22"/>
              </w:rPr>
            </w:pPr>
            <w:r w:rsidRPr="00E8404F">
              <w:rPr>
                <w:sz w:val="22"/>
                <w:szCs w:val="22"/>
              </w:rPr>
              <w:t>14 (18)</w:t>
            </w:r>
          </w:p>
        </w:tc>
        <w:tc>
          <w:tcPr>
            <w:tcW w:w="2979" w:type="dxa"/>
            <w:tcBorders>
              <w:top w:val="single" w:sz="4" w:space="0" w:color="000000"/>
              <w:left w:val="single" w:sz="4" w:space="0" w:color="000000"/>
              <w:bottom w:val="single" w:sz="4" w:space="0" w:color="000000"/>
              <w:right w:val="single" w:sz="4" w:space="0" w:color="000000"/>
            </w:tcBorders>
          </w:tcPr>
          <w:p w14:paraId="6214C212" w14:textId="77777777" w:rsidR="00E27199" w:rsidRPr="00E8404F" w:rsidRDefault="00E27199" w:rsidP="00725429">
            <w:pPr>
              <w:pStyle w:val="TableParagraph"/>
              <w:tabs>
                <w:tab w:val="left" w:pos="9781"/>
              </w:tabs>
              <w:kinsoku w:val="0"/>
              <w:overflowPunct w:val="0"/>
              <w:spacing w:line="240" w:lineRule="auto"/>
              <w:ind w:left="894" w:right="886"/>
              <w:jc w:val="center"/>
              <w:rPr>
                <w:sz w:val="22"/>
                <w:szCs w:val="22"/>
              </w:rPr>
            </w:pPr>
            <w:r w:rsidRPr="00E8404F">
              <w:rPr>
                <w:sz w:val="22"/>
                <w:szCs w:val="22"/>
              </w:rPr>
              <w:t>19 (24)</w:t>
            </w:r>
          </w:p>
        </w:tc>
      </w:tr>
    </w:tbl>
    <w:bookmarkEnd w:id="5"/>
    <w:p w14:paraId="5767CB5A" w14:textId="77777777" w:rsidR="00E27199" w:rsidRPr="00E8404F" w:rsidRDefault="00E27199" w:rsidP="00E27199">
      <w:pPr>
        <w:pStyle w:val="Brdtekst"/>
        <w:tabs>
          <w:tab w:val="left" w:pos="9781"/>
        </w:tabs>
        <w:kinsoku w:val="0"/>
        <w:overflowPunct w:val="0"/>
        <w:rPr>
          <w:sz w:val="18"/>
          <w:szCs w:val="18"/>
        </w:rPr>
      </w:pPr>
      <w:r w:rsidRPr="004C067E">
        <w:rPr>
          <w:sz w:val="18"/>
          <w:szCs w:val="18"/>
          <w:vertAlign w:val="superscript"/>
        </w:rPr>
        <w:t>a</w:t>
      </w:r>
      <w:r>
        <w:rPr>
          <w:sz w:val="18"/>
          <w:szCs w:val="18"/>
        </w:rPr>
        <w:t xml:space="preserve"> I </w:t>
      </w:r>
      <w:r w:rsidRPr="00E8404F">
        <w:rPr>
          <w:sz w:val="18"/>
          <w:szCs w:val="18"/>
        </w:rPr>
        <w:t>overensstemmelse med EU-censurering.</w:t>
      </w:r>
    </w:p>
    <w:p w14:paraId="43F10FFD" w14:textId="77777777" w:rsidR="00E27199" w:rsidRPr="00E8404F" w:rsidRDefault="00E27199" w:rsidP="00E27199">
      <w:pPr>
        <w:pStyle w:val="Brdtekst"/>
        <w:tabs>
          <w:tab w:val="left" w:pos="9781"/>
        </w:tabs>
        <w:kinsoku w:val="0"/>
        <w:overflowPunct w:val="0"/>
        <w:rPr>
          <w:sz w:val="18"/>
          <w:szCs w:val="18"/>
        </w:rPr>
      </w:pPr>
      <w:r w:rsidRPr="00E8404F">
        <w:rPr>
          <w:position w:val="6"/>
          <w:sz w:val="18"/>
          <w:szCs w:val="18"/>
        </w:rPr>
        <w:t xml:space="preserve">b </w:t>
      </w:r>
      <w:r w:rsidRPr="00E8404F">
        <w:rPr>
          <w:sz w:val="18"/>
          <w:szCs w:val="18"/>
        </w:rPr>
        <w:t>Stratificeringsfaktorer pr. IxRS omfatter IMDC-risikokategorier (middel risiko, høj risiko og knoglemetastaser (ja,nej).</w:t>
      </w:r>
    </w:p>
    <w:p w14:paraId="11FF4404" w14:textId="77777777" w:rsidR="00E27199" w:rsidRDefault="00E27199" w:rsidP="00E27199">
      <w:pPr>
        <w:pStyle w:val="Brdtekst"/>
        <w:tabs>
          <w:tab w:val="left" w:pos="9781"/>
        </w:tabs>
        <w:kinsoku w:val="0"/>
        <w:overflowPunct w:val="0"/>
        <w:ind w:right="1760"/>
        <w:rPr>
          <w:sz w:val="18"/>
          <w:szCs w:val="18"/>
        </w:rPr>
      </w:pPr>
      <w:r w:rsidRPr="00E8404F">
        <w:rPr>
          <w:sz w:val="18"/>
          <w:szCs w:val="18"/>
        </w:rPr>
        <w:t>c Estimeret ved hjælp af Cox proportionel risikomodel justeret for stratificeringsfaktorer pr. IxRS. Hazard Ratio &lt;1 indikerer progressionsfri overlevelse til fordel for cabozantinib.</w:t>
      </w:r>
    </w:p>
    <w:p w14:paraId="08E0FE89" w14:textId="77777777" w:rsidR="00E27199" w:rsidRDefault="00E27199" w:rsidP="00E27199">
      <w:pPr>
        <w:pStyle w:val="Brdtekst"/>
        <w:tabs>
          <w:tab w:val="left" w:pos="9781"/>
        </w:tabs>
        <w:kinsoku w:val="0"/>
        <w:overflowPunct w:val="0"/>
        <w:ind w:left="540" w:right="140"/>
        <w:rPr>
          <w:sz w:val="18"/>
          <w:szCs w:val="18"/>
        </w:rPr>
      </w:pPr>
    </w:p>
    <w:p w14:paraId="3A918046" w14:textId="77777777" w:rsidR="00E27199" w:rsidRPr="00E27199" w:rsidRDefault="00E27199" w:rsidP="00E27199">
      <w:pPr>
        <w:pStyle w:val="Brdtekst"/>
        <w:tabs>
          <w:tab w:val="left" w:pos="9781"/>
        </w:tabs>
        <w:kinsoku w:val="0"/>
        <w:overflowPunct w:val="0"/>
        <w:ind w:left="851" w:right="140"/>
        <w:rPr>
          <w:i/>
          <w:iCs/>
          <w:sz w:val="24"/>
          <w:szCs w:val="24"/>
        </w:rPr>
      </w:pPr>
      <w:bookmarkStart w:id="6" w:name="_Hlk201242224"/>
      <w:r w:rsidRPr="00E27199">
        <w:rPr>
          <w:i/>
          <w:iCs/>
          <w:sz w:val="24"/>
          <w:szCs w:val="24"/>
          <w:u w:val="single" w:color="000000"/>
        </w:rPr>
        <w:t>Randomiseret fase 3-studie med cabozantinib i kombination med nivolumab vs. sunitinib (CA2099ER)</w:t>
      </w:r>
    </w:p>
    <w:p w14:paraId="7AF2C13D" w14:textId="77777777" w:rsidR="00E27199" w:rsidRPr="00E27199" w:rsidRDefault="00E27199" w:rsidP="00E27199">
      <w:pPr>
        <w:pStyle w:val="Brdtekst"/>
        <w:tabs>
          <w:tab w:val="left" w:pos="9781"/>
        </w:tabs>
        <w:kinsoku w:val="0"/>
        <w:overflowPunct w:val="0"/>
        <w:ind w:left="851" w:right="140"/>
        <w:rPr>
          <w:sz w:val="24"/>
          <w:szCs w:val="24"/>
        </w:rPr>
      </w:pPr>
      <w:r w:rsidRPr="00E27199">
        <w:rPr>
          <w:sz w:val="24"/>
          <w:szCs w:val="24"/>
        </w:rPr>
        <w:t xml:space="preserve">Sikkerhed og virkning af cabozantinib 40 mg oralt dagligt i kombination med nivolumab 240 mg administreret intravenøst hver 2. uge som førstelinjebehandling af fremskredent/metastatisk RCC blev undersøgt i et randomiseret, åbent fase 3-studie (CA2099ER). Studiet inkluderede patienter (18 år eller derover) med fremskredent eller metastatisk RCC med en </w:t>
      </w:r>
      <w:r w:rsidRPr="00E27199">
        <w:rPr>
          <w:i/>
          <w:iCs/>
          <w:sz w:val="24"/>
          <w:szCs w:val="24"/>
        </w:rPr>
        <w:t>clear cell</w:t>
      </w:r>
      <w:r w:rsidRPr="00E27199">
        <w:rPr>
          <w:sz w:val="24"/>
          <w:szCs w:val="24"/>
        </w:rPr>
        <w:t xml:space="preserve">-komponent, </w:t>
      </w:r>
      <w:r w:rsidRPr="00E27199">
        <w:rPr>
          <w:i/>
          <w:iCs/>
          <w:sz w:val="24"/>
          <w:szCs w:val="24"/>
        </w:rPr>
        <w:t xml:space="preserve">Karnofsky Perfomance Status </w:t>
      </w:r>
      <w:r w:rsidRPr="00E27199">
        <w:rPr>
          <w:sz w:val="24"/>
          <w:szCs w:val="24"/>
        </w:rPr>
        <w:t xml:space="preserve">(KPS) </w:t>
      </w:r>
      <w:r w:rsidRPr="00E27199">
        <w:rPr>
          <w:rFonts w:ascii="Symbol" w:hAnsi="Symbol" w:cs="Symbol"/>
          <w:sz w:val="24"/>
          <w:szCs w:val="24"/>
        </w:rPr>
        <w:t></w:t>
      </w:r>
      <w:r w:rsidRPr="00E27199">
        <w:rPr>
          <w:sz w:val="24"/>
          <w:szCs w:val="24"/>
        </w:rPr>
        <w:t xml:space="preserve"> 70 % og målbar sygdom iht. RECIST v1.1, uanset PD-L1-status eller IMDC-risikogruppe. Patienter med autoimmun sygdom eller en sygdomstilstand, der krævede systemisk immunsuppression, patienter der tidligere blev behandlet med en anti-PD-1, anti-PD-L1, anti-PD-L2, anti-CD137 eller et anti- CTLA-4 antistof, patienter med dårligt kontrolleret hypertension trods antihypertensiv behandling, patienter med aktive hjernemetastaser samt patienter med ukontrolleret binyrebarkinsufficiens blev udelukket fra studiet. Patienterne blev stratificeret efter IMDC-prognosescore, PD-L1 tumorekspression og region.</w:t>
      </w:r>
    </w:p>
    <w:p w14:paraId="4DEC29C2" w14:textId="77777777" w:rsidR="00E27199" w:rsidRPr="00E27199" w:rsidRDefault="00E27199" w:rsidP="00E27199">
      <w:pPr>
        <w:pStyle w:val="Brdtekst"/>
        <w:tabs>
          <w:tab w:val="left" w:pos="9781"/>
        </w:tabs>
        <w:kinsoku w:val="0"/>
        <w:overflowPunct w:val="0"/>
        <w:ind w:left="851" w:right="140"/>
        <w:rPr>
          <w:sz w:val="24"/>
          <w:szCs w:val="24"/>
        </w:rPr>
      </w:pPr>
    </w:p>
    <w:p w14:paraId="780AE731" w14:textId="77777777" w:rsidR="00E27199" w:rsidRPr="00E27199" w:rsidRDefault="00E27199" w:rsidP="00E27199">
      <w:pPr>
        <w:pStyle w:val="Brdtekst"/>
        <w:tabs>
          <w:tab w:val="left" w:pos="9781"/>
        </w:tabs>
        <w:kinsoku w:val="0"/>
        <w:overflowPunct w:val="0"/>
        <w:ind w:left="851" w:right="140"/>
        <w:rPr>
          <w:sz w:val="24"/>
          <w:szCs w:val="24"/>
        </w:rPr>
      </w:pPr>
      <w:r w:rsidRPr="00E27199">
        <w:rPr>
          <w:sz w:val="24"/>
          <w:szCs w:val="24"/>
        </w:rPr>
        <w:t xml:space="preserve">I alt blev 651 patienter randomiseret til at modtage enten cabozantinib 40 mg oralt en gang dagligt i kombination med nivolumab 240 mg (n = 323) administreret intravenøst hver 2. uge, eller sunitinib (n = 328) 50 mg dagligt, administreret oralt i 4 uger efterfulgt af 2 ugers pause. Behandlingen fortsatte indtil sygdomsprogression eller uacceptabel toksicitet med nivolumab administreret op til 24 måneder. Behandling efter initial investigatorvurderet RECIST, version 1.1-defineret progression var tilladt, hvis patienten efter investigators vurdering oplevede klinisk fordel og tolererede studiemedicinen. Den første tumorvurdering efter </w:t>
      </w:r>
      <w:r w:rsidRPr="00E27199">
        <w:rPr>
          <w:i/>
          <w:iCs/>
          <w:sz w:val="24"/>
          <w:szCs w:val="24"/>
        </w:rPr>
        <w:t xml:space="preserve">baseline </w:t>
      </w:r>
      <w:r w:rsidRPr="00E27199">
        <w:rPr>
          <w:sz w:val="24"/>
          <w:szCs w:val="24"/>
        </w:rPr>
        <w:t xml:space="preserve">blev udført 12 uger (± 7 dage) efter randomisering. Efterfølgende tumorvurderinger blev foretaget hver 6. uge (± 7 dage) indtil uge 60 og herefter hver 12. uge (± 14 dage) indtil radiografisk progression, bekræftet ved </w:t>
      </w:r>
      <w:r w:rsidRPr="00E27199">
        <w:rPr>
          <w:i/>
          <w:iCs/>
          <w:sz w:val="24"/>
          <w:szCs w:val="24"/>
        </w:rPr>
        <w:t xml:space="preserve">Blinded Independent Central Review </w:t>
      </w:r>
      <w:r w:rsidRPr="00E27199">
        <w:rPr>
          <w:sz w:val="24"/>
          <w:szCs w:val="24"/>
        </w:rPr>
        <w:t>(BICR). Den primære virkningsparameter var PFS som bestemt ved BICR. Yderligere virkningsparametre inkluderede OS og ORR som sekundære endepunkter.</w:t>
      </w:r>
    </w:p>
    <w:p w14:paraId="55543C55" w14:textId="77777777" w:rsidR="00E27199" w:rsidRPr="00E27199" w:rsidRDefault="00E27199" w:rsidP="00E27199">
      <w:pPr>
        <w:pStyle w:val="Brdtekst"/>
        <w:tabs>
          <w:tab w:val="left" w:pos="9781"/>
        </w:tabs>
        <w:kinsoku w:val="0"/>
        <w:overflowPunct w:val="0"/>
        <w:ind w:left="851" w:right="140"/>
        <w:rPr>
          <w:sz w:val="24"/>
          <w:szCs w:val="24"/>
        </w:rPr>
      </w:pPr>
    </w:p>
    <w:p w14:paraId="1B9B7AB3" w14:textId="77777777" w:rsidR="00E27199" w:rsidRPr="00E27199" w:rsidRDefault="00E27199" w:rsidP="00E27199">
      <w:pPr>
        <w:pStyle w:val="Brdtekst"/>
        <w:tabs>
          <w:tab w:val="left" w:pos="9781"/>
        </w:tabs>
        <w:kinsoku w:val="0"/>
        <w:overflowPunct w:val="0"/>
        <w:ind w:left="851" w:right="140"/>
        <w:rPr>
          <w:sz w:val="24"/>
          <w:szCs w:val="24"/>
        </w:rPr>
      </w:pPr>
      <w:r w:rsidRPr="00E27199">
        <w:rPr>
          <w:i/>
          <w:iCs/>
          <w:sz w:val="24"/>
          <w:szCs w:val="24"/>
        </w:rPr>
        <w:t>Baseline</w:t>
      </w:r>
      <w:r w:rsidRPr="00E27199">
        <w:rPr>
          <w:sz w:val="24"/>
          <w:szCs w:val="24"/>
        </w:rPr>
        <w:t xml:space="preserve">-karakteristika var generelt velbalancerede mellem de to grupper. Medianalderen var 61 år (28-90) med 38,4 % </w:t>
      </w:r>
      <w:r w:rsidRPr="00E27199">
        <w:rPr>
          <w:rFonts w:ascii="Symbol" w:hAnsi="Symbol" w:cs="Symbol"/>
          <w:sz w:val="24"/>
          <w:szCs w:val="24"/>
        </w:rPr>
        <w:t></w:t>
      </w:r>
      <w:r w:rsidRPr="00E27199">
        <w:rPr>
          <w:sz w:val="24"/>
          <w:szCs w:val="24"/>
        </w:rPr>
        <w:t xml:space="preserve"> 65 år og 9,5 % </w:t>
      </w:r>
      <w:r w:rsidRPr="00E27199">
        <w:rPr>
          <w:rFonts w:ascii="Symbol" w:hAnsi="Symbol" w:cs="Symbol"/>
          <w:sz w:val="24"/>
          <w:szCs w:val="24"/>
        </w:rPr>
        <w:t></w:t>
      </w:r>
      <w:r w:rsidRPr="00E27199">
        <w:rPr>
          <w:sz w:val="24"/>
          <w:szCs w:val="24"/>
        </w:rPr>
        <w:t xml:space="preserve"> 75 år. Størstedelen af patienterne var mænd (73,9 %) og kaukasiere (81 %). Otte procent af patienterne var asiater, 23,2 % og 76,5 % af patienterne havde en KPS ved </w:t>
      </w:r>
      <w:r w:rsidRPr="00E27199">
        <w:rPr>
          <w:i/>
          <w:iCs/>
          <w:sz w:val="24"/>
          <w:szCs w:val="24"/>
        </w:rPr>
        <w:t xml:space="preserve">baseline </w:t>
      </w:r>
      <w:r w:rsidRPr="00E27199">
        <w:rPr>
          <w:sz w:val="24"/>
          <w:szCs w:val="24"/>
        </w:rPr>
        <w:t xml:space="preserve">på henholdsvis 70 til 80 % og 90 til 100 %. Patientdistributionen baseret på IMDC-risikogrupper var 22,6 % lav, 57,6 % mellem og 19,7 % høj. 72,5 % af patienterne havde PD-L1-tumorekspression &lt; 1 % eller ubestemmelig, og 24,9 % af patienterne havde PD-L1-tumorekspression </w:t>
      </w:r>
      <w:r w:rsidRPr="00E27199">
        <w:rPr>
          <w:rFonts w:ascii="Symbol" w:hAnsi="Symbol" w:cs="Symbol"/>
          <w:sz w:val="24"/>
          <w:szCs w:val="24"/>
        </w:rPr>
        <w:t></w:t>
      </w:r>
      <w:r w:rsidRPr="00E27199">
        <w:rPr>
          <w:sz w:val="24"/>
          <w:szCs w:val="24"/>
        </w:rPr>
        <w:t xml:space="preserve"> 1 %. 11,5 % af patienterne havde tumorer med sarkomatoid uddifferentiering. Den mediane behandlingsvarighed var 14,26 måneder (0,2-27,3 måneder) hos patienter behandlet med cabozantinib i kombination med nivolumab og 9,23 måneder (0,8 -27,6 måneder) hos patienter behandlet med sunitinib.</w:t>
      </w:r>
    </w:p>
    <w:p w14:paraId="36BED522" w14:textId="77777777" w:rsidR="00E27199" w:rsidRPr="00E27199" w:rsidRDefault="00E27199" w:rsidP="00E27199">
      <w:pPr>
        <w:pStyle w:val="Brdtekst"/>
        <w:tabs>
          <w:tab w:val="left" w:pos="9781"/>
        </w:tabs>
        <w:kinsoku w:val="0"/>
        <w:overflowPunct w:val="0"/>
        <w:ind w:left="851" w:right="140"/>
        <w:rPr>
          <w:sz w:val="24"/>
          <w:szCs w:val="24"/>
        </w:rPr>
      </w:pPr>
    </w:p>
    <w:p w14:paraId="5203445B" w14:textId="77777777" w:rsidR="00E27199" w:rsidRPr="00E27199" w:rsidRDefault="00E27199" w:rsidP="00E27199">
      <w:pPr>
        <w:pStyle w:val="Brdtekst"/>
        <w:tabs>
          <w:tab w:val="left" w:pos="9781"/>
        </w:tabs>
        <w:kinsoku w:val="0"/>
        <w:overflowPunct w:val="0"/>
        <w:ind w:left="851" w:right="140"/>
        <w:rPr>
          <w:sz w:val="24"/>
          <w:szCs w:val="24"/>
        </w:rPr>
      </w:pPr>
      <w:r w:rsidRPr="00E27199">
        <w:rPr>
          <w:sz w:val="24"/>
          <w:szCs w:val="24"/>
        </w:rPr>
        <w:t xml:space="preserve">Studiet viste en statistisk signifikant fordel i PFS, OS og ORR for patienter randomiseret til cabozantinib i kombination med nivolumab sammenlignet med patienter randomiseret til sunitinib. Virkningsresultater fra den primære analyse (minimum opfølgningsperiode </w:t>
      </w:r>
      <w:r w:rsidRPr="00E27199">
        <w:rPr>
          <w:sz w:val="24"/>
          <w:szCs w:val="24"/>
        </w:rPr>
        <w:lastRenderedPageBreak/>
        <w:t>på 10,6 måneder), median opfølgningsperiode på 18,1 måneder) er vist i tabel 7.</w:t>
      </w:r>
    </w:p>
    <w:p w14:paraId="62622A14" w14:textId="77777777" w:rsidR="00E27199" w:rsidRDefault="00E27199" w:rsidP="00E27199">
      <w:pPr>
        <w:pStyle w:val="Brdtekst"/>
        <w:tabs>
          <w:tab w:val="left" w:pos="9781"/>
        </w:tabs>
        <w:kinsoku w:val="0"/>
        <w:overflowPunct w:val="0"/>
        <w:ind w:left="540" w:right="140"/>
      </w:pPr>
    </w:p>
    <w:p w14:paraId="6AF524FE" w14:textId="77777777" w:rsidR="00E27199" w:rsidRPr="00E27199" w:rsidRDefault="00E27199" w:rsidP="00E27199">
      <w:pPr>
        <w:ind w:left="426"/>
        <w:rPr>
          <w:b/>
          <w:sz w:val="24"/>
          <w:szCs w:val="24"/>
        </w:rPr>
      </w:pPr>
      <w:r w:rsidRPr="00E27199">
        <w:rPr>
          <w:b/>
          <w:sz w:val="24"/>
          <w:szCs w:val="24"/>
        </w:rPr>
        <w:t>Tabel 7: Virkningsresultater (CA2099ER)</w:t>
      </w:r>
    </w:p>
    <w:p w14:paraId="59991B68" w14:textId="77777777" w:rsidR="00E27199" w:rsidRDefault="00E27199" w:rsidP="00E27199">
      <w:pPr>
        <w:pStyle w:val="Brdtekst"/>
        <w:tabs>
          <w:tab w:val="left" w:pos="9781"/>
        </w:tabs>
        <w:kinsoku w:val="0"/>
        <w:overflowPunct w:val="0"/>
        <w:ind w:left="540" w:right="140"/>
      </w:pPr>
    </w:p>
    <w:tbl>
      <w:tblPr>
        <w:tblW w:w="9288" w:type="dxa"/>
        <w:tblInd w:w="421" w:type="dxa"/>
        <w:tblLayout w:type="fixed"/>
        <w:tblCellMar>
          <w:left w:w="0" w:type="dxa"/>
          <w:right w:w="0" w:type="dxa"/>
        </w:tblCellMar>
        <w:tblLook w:val="0000" w:firstRow="0" w:lastRow="0" w:firstColumn="0" w:lastColumn="0" w:noHBand="0" w:noVBand="0"/>
      </w:tblPr>
      <w:tblGrid>
        <w:gridCol w:w="3228"/>
        <w:gridCol w:w="2976"/>
        <w:gridCol w:w="3084"/>
      </w:tblGrid>
      <w:tr w:rsidR="00E27199" w:rsidRPr="00E8404F" w14:paraId="04DB010F" w14:textId="77777777" w:rsidTr="00E27199">
        <w:trPr>
          <w:trHeight w:val="505"/>
        </w:trPr>
        <w:tc>
          <w:tcPr>
            <w:tcW w:w="3228" w:type="dxa"/>
            <w:tcBorders>
              <w:top w:val="single" w:sz="4" w:space="0" w:color="000000"/>
              <w:left w:val="single" w:sz="4" w:space="0" w:color="000000"/>
              <w:bottom w:val="single" w:sz="4" w:space="0" w:color="000000"/>
              <w:right w:val="single" w:sz="4" w:space="0" w:color="000000"/>
            </w:tcBorders>
          </w:tcPr>
          <w:p w14:paraId="61BD5DCA" w14:textId="77777777" w:rsidR="00E27199" w:rsidRPr="00E8404F" w:rsidRDefault="00E27199" w:rsidP="00725429">
            <w:pPr>
              <w:pStyle w:val="TableParagraph"/>
              <w:tabs>
                <w:tab w:val="left" w:pos="9781"/>
              </w:tabs>
              <w:kinsoku w:val="0"/>
              <w:overflowPunct w:val="0"/>
              <w:spacing w:line="240" w:lineRule="auto"/>
              <w:ind w:left="0"/>
              <w:rPr>
                <w:sz w:val="20"/>
                <w:szCs w:val="20"/>
              </w:rPr>
            </w:pPr>
          </w:p>
        </w:tc>
        <w:tc>
          <w:tcPr>
            <w:tcW w:w="2976" w:type="dxa"/>
            <w:tcBorders>
              <w:top w:val="single" w:sz="4" w:space="0" w:color="000000"/>
              <w:left w:val="single" w:sz="4" w:space="0" w:color="000000"/>
              <w:bottom w:val="single" w:sz="4" w:space="0" w:color="000000"/>
              <w:right w:val="single" w:sz="4" w:space="0" w:color="000000"/>
            </w:tcBorders>
          </w:tcPr>
          <w:p w14:paraId="38C3F5A2" w14:textId="77777777" w:rsidR="00E27199" w:rsidRPr="00E8404F" w:rsidRDefault="00E27199" w:rsidP="00725429">
            <w:pPr>
              <w:pStyle w:val="TableParagraph"/>
              <w:tabs>
                <w:tab w:val="left" w:pos="9781"/>
              </w:tabs>
              <w:kinsoku w:val="0"/>
              <w:overflowPunct w:val="0"/>
              <w:spacing w:line="240" w:lineRule="auto"/>
              <w:ind w:left="1067" w:right="220" w:hanging="826"/>
              <w:rPr>
                <w:b/>
                <w:bCs/>
                <w:sz w:val="22"/>
                <w:szCs w:val="22"/>
              </w:rPr>
            </w:pPr>
            <w:r w:rsidRPr="00E8404F">
              <w:rPr>
                <w:b/>
                <w:bCs/>
                <w:sz w:val="22"/>
                <w:szCs w:val="22"/>
              </w:rPr>
              <w:t>Nivolumab + cabozantinib (n = 323)</w:t>
            </w:r>
          </w:p>
        </w:tc>
        <w:tc>
          <w:tcPr>
            <w:tcW w:w="3084" w:type="dxa"/>
            <w:tcBorders>
              <w:top w:val="single" w:sz="4" w:space="0" w:color="000000"/>
              <w:left w:val="single" w:sz="4" w:space="0" w:color="000000"/>
              <w:bottom w:val="single" w:sz="4" w:space="0" w:color="000000"/>
              <w:right w:val="single" w:sz="4" w:space="0" w:color="000000"/>
            </w:tcBorders>
          </w:tcPr>
          <w:p w14:paraId="50B32D3B" w14:textId="77777777" w:rsidR="00E27199" w:rsidRPr="00E8404F" w:rsidRDefault="00E27199" w:rsidP="00725429">
            <w:pPr>
              <w:pStyle w:val="TableParagraph"/>
              <w:tabs>
                <w:tab w:val="left" w:pos="9781"/>
              </w:tabs>
              <w:kinsoku w:val="0"/>
              <w:overflowPunct w:val="0"/>
              <w:spacing w:line="240" w:lineRule="auto"/>
              <w:ind w:left="1054" w:right="1042"/>
              <w:jc w:val="center"/>
              <w:rPr>
                <w:b/>
                <w:bCs/>
                <w:sz w:val="22"/>
                <w:szCs w:val="22"/>
              </w:rPr>
            </w:pPr>
            <w:r w:rsidRPr="00E8404F">
              <w:rPr>
                <w:b/>
                <w:bCs/>
                <w:sz w:val="22"/>
                <w:szCs w:val="22"/>
              </w:rPr>
              <w:t>Sunitinib (n = 328)</w:t>
            </w:r>
          </w:p>
        </w:tc>
      </w:tr>
      <w:tr w:rsidR="00E27199" w:rsidRPr="00E8404F" w14:paraId="04C26177" w14:textId="77777777" w:rsidTr="00E27199">
        <w:trPr>
          <w:trHeight w:val="252"/>
        </w:trPr>
        <w:tc>
          <w:tcPr>
            <w:tcW w:w="3228" w:type="dxa"/>
            <w:tcBorders>
              <w:top w:val="single" w:sz="4" w:space="0" w:color="000000"/>
              <w:left w:val="single" w:sz="4" w:space="0" w:color="000000"/>
              <w:bottom w:val="single" w:sz="4" w:space="0" w:color="000000"/>
              <w:right w:val="single" w:sz="4" w:space="0" w:color="000000"/>
            </w:tcBorders>
          </w:tcPr>
          <w:p w14:paraId="60C46102" w14:textId="77777777" w:rsidR="00E27199" w:rsidRPr="00E8404F" w:rsidRDefault="00E27199" w:rsidP="00725429">
            <w:pPr>
              <w:pStyle w:val="TableParagraph"/>
              <w:tabs>
                <w:tab w:val="left" w:pos="9781"/>
              </w:tabs>
              <w:kinsoku w:val="0"/>
              <w:overflowPunct w:val="0"/>
              <w:spacing w:line="240" w:lineRule="auto"/>
              <w:rPr>
                <w:b/>
                <w:bCs/>
                <w:sz w:val="22"/>
                <w:szCs w:val="22"/>
              </w:rPr>
            </w:pPr>
            <w:r w:rsidRPr="00E8404F">
              <w:rPr>
                <w:b/>
                <w:bCs/>
                <w:sz w:val="22"/>
                <w:szCs w:val="22"/>
              </w:rPr>
              <w:t>PFS pr. BICR</w:t>
            </w:r>
          </w:p>
        </w:tc>
        <w:tc>
          <w:tcPr>
            <w:tcW w:w="2976" w:type="dxa"/>
            <w:tcBorders>
              <w:top w:val="single" w:sz="4" w:space="0" w:color="000000"/>
              <w:left w:val="single" w:sz="4" w:space="0" w:color="000000"/>
              <w:bottom w:val="single" w:sz="4" w:space="0" w:color="000000"/>
              <w:right w:val="single" w:sz="4" w:space="0" w:color="000000"/>
            </w:tcBorders>
          </w:tcPr>
          <w:p w14:paraId="68CA6B48" w14:textId="77777777" w:rsidR="00E27199" w:rsidRPr="00E8404F" w:rsidRDefault="00E27199" w:rsidP="00725429">
            <w:pPr>
              <w:pStyle w:val="TableParagraph"/>
              <w:tabs>
                <w:tab w:val="left" w:pos="9781"/>
              </w:tabs>
              <w:kinsoku w:val="0"/>
              <w:overflowPunct w:val="0"/>
              <w:spacing w:line="240" w:lineRule="auto"/>
              <w:ind w:left="0"/>
              <w:rPr>
                <w:sz w:val="18"/>
                <w:szCs w:val="18"/>
              </w:rPr>
            </w:pPr>
          </w:p>
        </w:tc>
        <w:tc>
          <w:tcPr>
            <w:tcW w:w="3084" w:type="dxa"/>
            <w:tcBorders>
              <w:top w:val="single" w:sz="4" w:space="0" w:color="000000"/>
              <w:left w:val="single" w:sz="4" w:space="0" w:color="000000"/>
              <w:bottom w:val="single" w:sz="4" w:space="0" w:color="000000"/>
              <w:right w:val="single" w:sz="4" w:space="0" w:color="000000"/>
            </w:tcBorders>
          </w:tcPr>
          <w:p w14:paraId="38829607" w14:textId="77777777" w:rsidR="00E27199" w:rsidRPr="00E8404F" w:rsidRDefault="00E27199" w:rsidP="00725429">
            <w:pPr>
              <w:pStyle w:val="TableParagraph"/>
              <w:tabs>
                <w:tab w:val="left" w:pos="9781"/>
              </w:tabs>
              <w:kinsoku w:val="0"/>
              <w:overflowPunct w:val="0"/>
              <w:spacing w:line="240" w:lineRule="auto"/>
              <w:ind w:left="0"/>
              <w:rPr>
                <w:sz w:val="18"/>
                <w:szCs w:val="18"/>
              </w:rPr>
            </w:pPr>
          </w:p>
        </w:tc>
      </w:tr>
      <w:tr w:rsidR="00E27199" w:rsidRPr="00E8404F" w14:paraId="242AE151" w14:textId="77777777" w:rsidTr="00E27199">
        <w:trPr>
          <w:trHeight w:val="258"/>
        </w:trPr>
        <w:tc>
          <w:tcPr>
            <w:tcW w:w="3228" w:type="dxa"/>
            <w:tcBorders>
              <w:top w:val="single" w:sz="4" w:space="0" w:color="000000"/>
              <w:left w:val="single" w:sz="4" w:space="0" w:color="000000"/>
              <w:bottom w:val="single" w:sz="4" w:space="0" w:color="000000"/>
              <w:right w:val="single" w:sz="4" w:space="0" w:color="000000"/>
            </w:tcBorders>
          </w:tcPr>
          <w:p w14:paraId="3021BA52" w14:textId="77777777" w:rsidR="00E27199" w:rsidRPr="00E8404F" w:rsidRDefault="00E27199" w:rsidP="00725429">
            <w:pPr>
              <w:pStyle w:val="TableParagraph"/>
              <w:tabs>
                <w:tab w:val="left" w:pos="9781"/>
              </w:tabs>
              <w:kinsoku w:val="0"/>
              <w:overflowPunct w:val="0"/>
              <w:spacing w:line="240" w:lineRule="auto"/>
              <w:ind w:left="287"/>
              <w:rPr>
                <w:sz w:val="22"/>
                <w:szCs w:val="22"/>
              </w:rPr>
            </w:pPr>
            <w:r w:rsidRPr="00E8404F">
              <w:rPr>
                <w:sz w:val="22"/>
                <w:szCs w:val="22"/>
              </w:rPr>
              <w:t>Hændelser</w:t>
            </w:r>
          </w:p>
        </w:tc>
        <w:tc>
          <w:tcPr>
            <w:tcW w:w="2976" w:type="dxa"/>
            <w:tcBorders>
              <w:top w:val="single" w:sz="4" w:space="0" w:color="000000"/>
              <w:left w:val="single" w:sz="4" w:space="0" w:color="000000"/>
              <w:bottom w:val="single" w:sz="4" w:space="0" w:color="000000"/>
              <w:right w:val="single" w:sz="4" w:space="0" w:color="000000"/>
            </w:tcBorders>
          </w:tcPr>
          <w:p w14:paraId="18F59616" w14:textId="77777777" w:rsidR="00E27199" w:rsidRPr="00E8404F" w:rsidRDefault="00E27199" w:rsidP="00725429">
            <w:pPr>
              <w:pStyle w:val="TableParagraph"/>
              <w:tabs>
                <w:tab w:val="left" w:pos="9781"/>
              </w:tabs>
              <w:kinsoku w:val="0"/>
              <w:overflowPunct w:val="0"/>
              <w:spacing w:line="240" w:lineRule="auto"/>
              <w:ind w:left="562" w:right="560"/>
              <w:jc w:val="center"/>
              <w:rPr>
                <w:sz w:val="22"/>
                <w:szCs w:val="22"/>
              </w:rPr>
            </w:pPr>
            <w:r w:rsidRPr="00E8404F">
              <w:rPr>
                <w:sz w:val="22"/>
                <w:szCs w:val="22"/>
              </w:rPr>
              <w:t>144 (44,6 %)</w:t>
            </w:r>
          </w:p>
        </w:tc>
        <w:tc>
          <w:tcPr>
            <w:tcW w:w="3084" w:type="dxa"/>
            <w:tcBorders>
              <w:top w:val="single" w:sz="4" w:space="0" w:color="000000"/>
              <w:left w:val="single" w:sz="4" w:space="0" w:color="000000"/>
              <w:bottom w:val="single" w:sz="4" w:space="0" w:color="000000"/>
              <w:right w:val="single" w:sz="4" w:space="0" w:color="000000"/>
            </w:tcBorders>
          </w:tcPr>
          <w:p w14:paraId="208B899C" w14:textId="77777777" w:rsidR="00E27199" w:rsidRPr="00E8404F" w:rsidRDefault="00E27199" w:rsidP="00725429">
            <w:pPr>
              <w:pStyle w:val="TableParagraph"/>
              <w:tabs>
                <w:tab w:val="left" w:pos="9781"/>
              </w:tabs>
              <w:kinsoku w:val="0"/>
              <w:overflowPunct w:val="0"/>
              <w:spacing w:line="240" w:lineRule="auto"/>
              <w:ind w:left="674" w:right="665"/>
              <w:jc w:val="center"/>
              <w:rPr>
                <w:sz w:val="22"/>
                <w:szCs w:val="22"/>
              </w:rPr>
            </w:pPr>
            <w:r w:rsidRPr="00E8404F">
              <w:rPr>
                <w:sz w:val="22"/>
                <w:szCs w:val="22"/>
              </w:rPr>
              <w:t>191 (58,2 %)</w:t>
            </w:r>
          </w:p>
        </w:tc>
      </w:tr>
      <w:tr w:rsidR="00E27199" w:rsidRPr="00E8404F" w14:paraId="2E794F72" w14:textId="77777777" w:rsidTr="00E27199">
        <w:trPr>
          <w:trHeight w:val="261"/>
        </w:trPr>
        <w:tc>
          <w:tcPr>
            <w:tcW w:w="3228" w:type="dxa"/>
            <w:tcBorders>
              <w:top w:val="single" w:sz="4" w:space="0" w:color="000000"/>
              <w:left w:val="single" w:sz="4" w:space="0" w:color="000000"/>
              <w:bottom w:val="single" w:sz="4" w:space="0" w:color="000000"/>
              <w:right w:val="single" w:sz="4" w:space="0" w:color="000000"/>
            </w:tcBorders>
          </w:tcPr>
          <w:p w14:paraId="1C12AA62" w14:textId="77777777" w:rsidR="00E27199" w:rsidRPr="00E8404F" w:rsidRDefault="00E27199" w:rsidP="00725429">
            <w:pPr>
              <w:pStyle w:val="TableParagraph"/>
              <w:tabs>
                <w:tab w:val="left" w:pos="9781"/>
              </w:tabs>
              <w:kinsoku w:val="0"/>
              <w:overflowPunct w:val="0"/>
              <w:spacing w:line="240" w:lineRule="auto"/>
              <w:ind w:left="1007"/>
              <w:rPr>
                <w:i/>
                <w:iCs/>
                <w:sz w:val="22"/>
                <w:szCs w:val="22"/>
                <w:vertAlign w:val="superscript"/>
              </w:rPr>
            </w:pPr>
            <w:r w:rsidRPr="00E8404F">
              <w:rPr>
                <w:i/>
                <w:iCs/>
                <w:sz w:val="22"/>
                <w:szCs w:val="22"/>
              </w:rPr>
              <w:t>Hazard ratio</w:t>
            </w:r>
            <w:r w:rsidRPr="00E8404F">
              <w:rPr>
                <w:i/>
                <w:iCs/>
                <w:sz w:val="22"/>
                <w:szCs w:val="22"/>
                <w:vertAlign w:val="superscript"/>
              </w:rPr>
              <w:t>a</w:t>
            </w:r>
          </w:p>
        </w:tc>
        <w:tc>
          <w:tcPr>
            <w:tcW w:w="6060" w:type="dxa"/>
            <w:gridSpan w:val="2"/>
            <w:tcBorders>
              <w:top w:val="single" w:sz="4" w:space="0" w:color="000000"/>
              <w:left w:val="single" w:sz="4" w:space="0" w:color="000000"/>
              <w:bottom w:val="single" w:sz="4" w:space="0" w:color="000000"/>
              <w:right w:val="single" w:sz="4" w:space="0" w:color="000000"/>
            </w:tcBorders>
          </w:tcPr>
          <w:p w14:paraId="131F2FCC" w14:textId="77777777" w:rsidR="00E27199" w:rsidRPr="00E8404F" w:rsidRDefault="00E27199" w:rsidP="00725429">
            <w:pPr>
              <w:pStyle w:val="TableParagraph"/>
              <w:tabs>
                <w:tab w:val="left" w:pos="9781"/>
              </w:tabs>
              <w:kinsoku w:val="0"/>
              <w:overflowPunct w:val="0"/>
              <w:spacing w:line="240" w:lineRule="auto"/>
              <w:ind w:left="2270" w:right="2266"/>
              <w:jc w:val="center"/>
              <w:rPr>
                <w:sz w:val="22"/>
                <w:szCs w:val="22"/>
              </w:rPr>
            </w:pPr>
            <w:r w:rsidRPr="00E8404F">
              <w:rPr>
                <w:sz w:val="22"/>
                <w:szCs w:val="22"/>
              </w:rPr>
              <w:t>0,51</w:t>
            </w:r>
          </w:p>
        </w:tc>
      </w:tr>
      <w:tr w:rsidR="00E27199" w:rsidRPr="00E8404F" w14:paraId="0504EDDF" w14:textId="77777777" w:rsidTr="00E27199">
        <w:trPr>
          <w:trHeight w:val="258"/>
        </w:trPr>
        <w:tc>
          <w:tcPr>
            <w:tcW w:w="3228" w:type="dxa"/>
            <w:tcBorders>
              <w:top w:val="single" w:sz="4" w:space="0" w:color="000000"/>
              <w:left w:val="single" w:sz="4" w:space="0" w:color="000000"/>
              <w:bottom w:val="single" w:sz="4" w:space="0" w:color="000000"/>
              <w:right w:val="single" w:sz="4" w:space="0" w:color="000000"/>
            </w:tcBorders>
          </w:tcPr>
          <w:p w14:paraId="7EE993F0" w14:textId="77777777" w:rsidR="00E27199" w:rsidRPr="00E8404F" w:rsidRDefault="00E27199" w:rsidP="00725429">
            <w:pPr>
              <w:pStyle w:val="TableParagraph"/>
              <w:tabs>
                <w:tab w:val="left" w:pos="9781"/>
              </w:tabs>
              <w:kinsoku w:val="0"/>
              <w:overflowPunct w:val="0"/>
              <w:spacing w:line="240" w:lineRule="auto"/>
              <w:ind w:left="1082" w:right="1075"/>
              <w:jc w:val="center"/>
              <w:rPr>
                <w:sz w:val="22"/>
                <w:szCs w:val="22"/>
              </w:rPr>
            </w:pPr>
            <w:r w:rsidRPr="00E8404F">
              <w:rPr>
                <w:sz w:val="22"/>
                <w:szCs w:val="22"/>
              </w:rPr>
              <w:t>95 % CI</w:t>
            </w:r>
          </w:p>
        </w:tc>
        <w:tc>
          <w:tcPr>
            <w:tcW w:w="6060" w:type="dxa"/>
            <w:gridSpan w:val="2"/>
            <w:tcBorders>
              <w:top w:val="single" w:sz="4" w:space="0" w:color="000000"/>
              <w:left w:val="single" w:sz="4" w:space="0" w:color="000000"/>
              <w:bottom w:val="single" w:sz="4" w:space="0" w:color="000000"/>
              <w:right w:val="single" w:sz="4" w:space="0" w:color="000000"/>
            </w:tcBorders>
          </w:tcPr>
          <w:p w14:paraId="61DD61FC" w14:textId="77777777" w:rsidR="00E27199" w:rsidRPr="00E8404F" w:rsidRDefault="00E27199" w:rsidP="00725429">
            <w:pPr>
              <w:pStyle w:val="TableParagraph"/>
              <w:tabs>
                <w:tab w:val="left" w:pos="9781"/>
              </w:tabs>
              <w:kinsoku w:val="0"/>
              <w:overflowPunct w:val="0"/>
              <w:spacing w:line="240" w:lineRule="auto"/>
              <w:ind w:left="2270" w:right="2267"/>
              <w:jc w:val="center"/>
              <w:rPr>
                <w:sz w:val="22"/>
                <w:szCs w:val="22"/>
              </w:rPr>
            </w:pPr>
            <w:r w:rsidRPr="00E8404F">
              <w:rPr>
                <w:sz w:val="22"/>
                <w:szCs w:val="22"/>
              </w:rPr>
              <w:t>(0,41; 0,64)</w:t>
            </w:r>
          </w:p>
        </w:tc>
      </w:tr>
      <w:tr w:rsidR="00E27199" w:rsidRPr="00E8404F" w14:paraId="36FD4C41" w14:textId="77777777" w:rsidTr="00E27199">
        <w:trPr>
          <w:trHeight w:val="261"/>
        </w:trPr>
        <w:tc>
          <w:tcPr>
            <w:tcW w:w="3228" w:type="dxa"/>
            <w:tcBorders>
              <w:top w:val="single" w:sz="4" w:space="0" w:color="000000"/>
              <w:left w:val="single" w:sz="4" w:space="0" w:color="000000"/>
              <w:bottom w:val="single" w:sz="4" w:space="0" w:color="000000"/>
              <w:right w:val="single" w:sz="4" w:space="0" w:color="000000"/>
            </w:tcBorders>
          </w:tcPr>
          <w:p w14:paraId="29263804" w14:textId="77777777" w:rsidR="00E27199" w:rsidRPr="00E8404F" w:rsidRDefault="00E27199" w:rsidP="00725429">
            <w:pPr>
              <w:pStyle w:val="TableParagraph"/>
              <w:tabs>
                <w:tab w:val="left" w:pos="9781"/>
              </w:tabs>
              <w:kinsoku w:val="0"/>
              <w:overflowPunct w:val="0"/>
              <w:spacing w:line="240" w:lineRule="auto"/>
              <w:ind w:left="1083" w:right="1072"/>
              <w:jc w:val="center"/>
              <w:rPr>
                <w:position w:val="8"/>
                <w:sz w:val="14"/>
                <w:szCs w:val="14"/>
              </w:rPr>
            </w:pPr>
            <w:r w:rsidRPr="00E8404F">
              <w:rPr>
                <w:sz w:val="22"/>
                <w:szCs w:val="22"/>
              </w:rPr>
              <w:t>p-værdi</w:t>
            </w:r>
            <w:r w:rsidRPr="00E8404F">
              <w:rPr>
                <w:position w:val="8"/>
                <w:sz w:val="14"/>
                <w:szCs w:val="14"/>
              </w:rPr>
              <w:t>b, c</w:t>
            </w:r>
          </w:p>
        </w:tc>
        <w:tc>
          <w:tcPr>
            <w:tcW w:w="6060" w:type="dxa"/>
            <w:gridSpan w:val="2"/>
            <w:tcBorders>
              <w:top w:val="single" w:sz="4" w:space="0" w:color="000000"/>
              <w:left w:val="single" w:sz="4" w:space="0" w:color="000000"/>
              <w:bottom w:val="single" w:sz="4" w:space="0" w:color="000000"/>
              <w:right w:val="single" w:sz="4" w:space="0" w:color="000000"/>
            </w:tcBorders>
          </w:tcPr>
          <w:p w14:paraId="3A3FA72D" w14:textId="77777777" w:rsidR="00E27199" w:rsidRPr="00E8404F" w:rsidRDefault="00E27199" w:rsidP="00725429">
            <w:pPr>
              <w:pStyle w:val="TableParagraph"/>
              <w:tabs>
                <w:tab w:val="left" w:pos="9781"/>
              </w:tabs>
              <w:kinsoku w:val="0"/>
              <w:overflowPunct w:val="0"/>
              <w:spacing w:line="240" w:lineRule="auto"/>
              <w:ind w:left="2270" w:right="2263"/>
              <w:jc w:val="center"/>
              <w:rPr>
                <w:sz w:val="22"/>
                <w:szCs w:val="22"/>
              </w:rPr>
            </w:pPr>
            <w:r w:rsidRPr="00E8404F">
              <w:rPr>
                <w:sz w:val="22"/>
                <w:szCs w:val="22"/>
              </w:rPr>
              <w:t>&lt; 0.0001</w:t>
            </w:r>
          </w:p>
        </w:tc>
      </w:tr>
      <w:tr w:rsidR="00E27199" w:rsidRPr="00E8404F" w14:paraId="0B26448A" w14:textId="77777777" w:rsidTr="00E27199">
        <w:trPr>
          <w:trHeight w:val="258"/>
        </w:trPr>
        <w:tc>
          <w:tcPr>
            <w:tcW w:w="3228" w:type="dxa"/>
            <w:tcBorders>
              <w:top w:val="single" w:sz="4" w:space="0" w:color="000000"/>
              <w:left w:val="single" w:sz="4" w:space="0" w:color="000000"/>
              <w:bottom w:val="single" w:sz="4" w:space="0" w:color="000000"/>
              <w:right w:val="single" w:sz="4" w:space="0" w:color="000000"/>
            </w:tcBorders>
          </w:tcPr>
          <w:p w14:paraId="2E632A76" w14:textId="77777777" w:rsidR="00E27199" w:rsidRPr="00E8404F" w:rsidRDefault="00E27199" w:rsidP="00725429">
            <w:pPr>
              <w:pStyle w:val="TableParagraph"/>
              <w:tabs>
                <w:tab w:val="left" w:pos="9781"/>
              </w:tabs>
              <w:kinsoku w:val="0"/>
              <w:overflowPunct w:val="0"/>
              <w:spacing w:line="240" w:lineRule="auto"/>
              <w:ind w:left="287"/>
              <w:rPr>
                <w:position w:val="8"/>
                <w:sz w:val="14"/>
                <w:szCs w:val="14"/>
              </w:rPr>
            </w:pPr>
            <w:r w:rsidRPr="00E8404F">
              <w:rPr>
                <w:sz w:val="22"/>
                <w:szCs w:val="22"/>
              </w:rPr>
              <w:t>Median (95 % CI)</w:t>
            </w:r>
            <w:r w:rsidRPr="00E8404F">
              <w:rPr>
                <w:position w:val="8"/>
                <w:sz w:val="14"/>
                <w:szCs w:val="14"/>
              </w:rPr>
              <w:t>d</w:t>
            </w:r>
          </w:p>
        </w:tc>
        <w:tc>
          <w:tcPr>
            <w:tcW w:w="2976" w:type="dxa"/>
            <w:tcBorders>
              <w:top w:val="single" w:sz="4" w:space="0" w:color="000000"/>
              <w:left w:val="single" w:sz="4" w:space="0" w:color="000000"/>
              <w:bottom w:val="single" w:sz="4" w:space="0" w:color="000000"/>
              <w:right w:val="single" w:sz="4" w:space="0" w:color="000000"/>
            </w:tcBorders>
          </w:tcPr>
          <w:p w14:paraId="2D60CA55" w14:textId="77777777" w:rsidR="00E27199" w:rsidRPr="00E8404F" w:rsidRDefault="00E27199" w:rsidP="00725429">
            <w:pPr>
              <w:pStyle w:val="TableParagraph"/>
              <w:tabs>
                <w:tab w:val="left" w:pos="9781"/>
              </w:tabs>
              <w:kinsoku w:val="0"/>
              <w:overflowPunct w:val="0"/>
              <w:spacing w:line="240" w:lineRule="auto"/>
              <w:ind w:left="563" w:right="560"/>
              <w:jc w:val="center"/>
              <w:rPr>
                <w:sz w:val="22"/>
                <w:szCs w:val="22"/>
              </w:rPr>
            </w:pPr>
            <w:r w:rsidRPr="00E8404F">
              <w:rPr>
                <w:sz w:val="22"/>
                <w:szCs w:val="22"/>
              </w:rPr>
              <w:t>16,59 (12,45; 24,94)</w:t>
            </w:r>
          </w:p>
        </w:tc>
        <w:tc>
          <w:tcPr>
            <w:tcW w:w="3084" w:type="dxa"/>
            <w:tcBorders>
              <w:top w:val="single" w:sz="4" w:space="0" w:color="000000"/>
              <w:left w:val="single" w:sz="4" w:space="0" w:color="000000"/>
              <w:bottom w:val="single" w:sz="4" w:space="0" w:color="000000"/>
              <w:right w:val="single" w:sz="4" w:space="0" w:color="000000"/>
            </w:tcBorders>
          </w:tcPr>
          <w:p w14:paraId="753EF412" w14:textId="77777777" w:rsidR="00E27199" w:rsidRPr="00E8404F" w:rsidRDefault="00E27199" w:rsidP="00725429">
            <w:pPr>
              <w:pStyle w:val="TableParagraph"/>
              <w:tabs>
                <w:tab w:val="left" w:pos="9781"/>
              </w:tabs>
              <w:kinsoku w:val="0"/>
              <w:overflowPunct w:val="0"/>
              <w:spacing w:line="240" w:lineRule="auto"/>
              <w:ind w:left="676" w:right="665"/>
              <w:jc w:val="center"/>
              <w:rPr>
                <w:sz w:val="22"/>
                <w:szCs w:val="22"/>
              </w:rPr>
            </w:pPr>
            <w:r w:rsidRPr="00E8404F">
              <w:rPr>
                <w:sz w:val="22"/>
                <w:szCs w:val="22"/>
              </w:rPr>
              <w:t>8,31 (6,97; 9,69)</w:t>
            </w:r>
          </w:p>
        </w:tc>
      </w:tr>
      <w:tr w:rsidR="00E27199" w:rsidRPr="00E8404F" w14:paraId="639B2326" w14:textId="77777777" w:rsidTr="00E27199">
        <w:trPr>
          <w:trHeight w:val="254"/>
        </w:trPr>
        <w:tc>
          <w:tcPr>
            <w:tcW w:w="3228" w:type="dxa"/>
            <w:tcBorders>
              <w:top w:val="single" w:sz="4" w:space="0" w:color="000000"/>
              <w:left w:val="single" w:sz="4" w:space="0" w:color="000000"/>
              <w:bottom w:val="single" w:sz="4" w:space="0" w:color="000000"/>
              <w:right w:val="single" w:sz="4" w:space="0" w:color="000000"/>
            </w:tcBorders>
          </w:tcPr>
          <w:p w14:paraId="5620081F" w14:textId="77777777" w:rsidR="00E27199" w:rsidRPr="00E8404F" w:rsidRDefault="00E27199" w:rsidP="00725429">
            <w:pPr>
              <w:pStyle w:val="TableParagraph"/>
              <w:tabs>
                <w:tab w:val="left" w:pos="9781"/>
              </w:tabs>
              <w:kinsoku w:val="0"/>
              <w:overflowPunct w:val="0"/>
              <w:spacing w:line="240" w:lineRule="auto"/>
              <w:rPr>
                <w:b/>
                <w:bCs/>
                <w:sz w:val="22"/>
                <w:szCs w:val="22"/>
              </w:rPr>
            </w:pPr>
            <w:r w:rsidRPr="00E8404F">
              <w:rPr>
                <w:b/>
                <w:bCs/>
                <w:sz w:val="22"/>
                <w:szCs w:val="22"/>
              </w:rPr>
              <w:t>OS</w:t>
            </w:r>
          </w:p>
        </w:tc>
        <w:tc>
          <w:tcPr>
            <w:tcW w:w="2976" w:type="dxa"/>
            <w:tcBorders>
              <w:top w:val="single" w:sz="4" w:space="0" w:color="000000"/>
              <w:left w:val="single" w:sz="4" w:space="0" w:color="000000"/>
              <w:bottom w:val="single" w:sz="4" w:space="0" w:color="000000"/>
              <w:right w:val="single" w:sz="4" w:space="0" w:color="000000"/>
            </w:tcBorders>
          </w:tcPr>
          <w:p w14:paraId="25E46AA0" w14:textId="77777777" w:rsidR="00E27199" w:rsidRPr="00E8404F" w:rsidRDefault="00E27199" w:rsidP="00725429">
            <w:pPr>
              <w:pStyle w:val="TableParagraph"/>
              <w:tabs>
                <w:tab w:val="left" w:pos="9781"/>
              </w:tabs>
              <w:kinsoku w:val="0"/>
              <w:overflowPunct w:val="0"/>
              <w:spacing w:line="240" w:lineRule="auto"/>
              <w:ind w:left="0"/>
              <w:rPr>
                <w:sz w:val="18"/>
                <w:szCs w:val="18"/>
              </w:rPr>
            </w:pPr>
          </w:p>
        </w:tc>
        <w:tc>
          <w:tcPr>
            <w:tcW w:w="3084" w:type="dxa"/>
            <w:tcBorders>
              <w:top w:val="single" w:sz="4" w:space="0" w:color="000000"/>
              <w:left w:val="single" w:sz="4" w:space="0" w:color="000000"/>
              <w:bottom w:val="single" w:sz="4" w:space="0" w:color="000000"/>
              <w:right w:val="single" w:sz="4" w:space="0" w:color="000000"/>
            </w:tcBorders>
          </w:tcPr>
          <w:p w14:paraId="46DB3C0A" w14:textId="77777777" w:rsidR="00E27199" w:rsidRPr="00E8404F" w:rsidRDefault="00E27199" w:rsidP="00725429">
            <w:pPr>
              <w:pStyle w:val="TableParagraph"/>
              <w:tabs>
                <w:tab w:val="left" w:pos="9781"/>
              </w:tabs>
              <w:kinsoku w:val="0"/>
              <w:overflowPunct w:val="0"/>
              <w:spacing w:line="240" w:lineRule="auto"/>
              <w:ind w:left="0"/>
              <w:rPr>
                <w:sz w:val="18"/>
                <w:szCs w:val="18"/>
              </w:rPr>
            </w:pPr>
          </w:p>
        </w:tc>
      </w:tr>
      <w:tr w:rsidR="00E27199" w:rsidRPr="00E8404F" w14:paraId="5437810B" w14:textId="77777777" w:rsidTr="00E27199">
        <w:trPr>
          <w:trHeight w:val="258"/>
        </w:trPr>
        <w:tc>
          <w:tcPr>
            <w:tcW w:w="3228" w:type="dxa"/>
            <w:tcBorders>
              <w:top w:val="single" w:sz="4" w:space="0" w:color="000000"/>
              <w:left w:val="single" w:sz="4" w:space="0" w:color="000000"/>
              <w:bottom w:val="single" w:sz="4" w:space="0" w:color="000000"/>
              <w:right w:val="single" w:sz="4" w:space="0" w:color="000000"/>
            </w:tcBorders>
          </w:tcPr>
          <w:p w14:paraId="51A048A3" w14:textId="77777777" w:rsidR="00E27199" w:rsidRPr="00E8404F" w:rsidRDefault="00E27199" w:rsidP="00725429">
            <w:pPr>
              <w:pStyle w:val="TableParagraph"/>
              <w:tabs>
                <w:tab w:val="left" w:pos="9781"/>
              </w:tabs>
              <w:kinsoku w:val="0"/>
              <w:overflowPunct w:val="0"/>
              <w:spacing w:line="240" w:lineRule="auto"/>
              <w:ind w:left="287"/>
              <w:rPr>
                <w:sz w:val="22"/>
                <w:szCs w:val="22"/>
              </w:rPr>
            </w:pPr>
            <w:r w:rsidRPr="00E8404F">
              <w:rPr>
                <w:sz w:val="22"/>
                <w:szCs w:val="22"/>
              </w:rPr>
              <w:t>Hændelser</w:t>
            </w:r>
          </w:p>
        </w:tc>
        <w:tc>
          <w:tcPr>
            <w:tcW w:w="2976" w:type="dxa"/>
            <w:tcBorders>
              <w:top w:val="single" w:sz="4" w:space="0" w:color="000000"/>
              <w:left w:val="single" w:sz="4" w:space="0" w:color="000000"/>
              <w:bottom w:val="single" w:sz="4" w:space="0" w:color="000000"/>
              <w:right w:val="single" w:sz="4" w:space="0" w:color="000000"/>
            </w:tcBorders>
          </w:tcPr>
          <w:p w14:paraId="0D0F7B45" w14:textId="77777777" w:rsidR="00E27199" w:rsidRPr="00E8404F" w:rsidRDefault="00E27199" w:rsidP="00725429">
            <w:pPr>
              <w:pStyle w:val="TableParagraph"/>
              <w:tabs>
                <w:tab w:val="left" w:pos="9781"/>
              </w:tabs>
              <w:kinsoku w:val="0"/>
              <w:overflowPunct w:val="0"/>
              <w:spacing w:line="240" w:lineRule="auto"/>
              <w:ind w:left="562" w:right="560"/>
              <w:jc w:val="center"/>
              <w:rPr>
                <w:sz w:val="22"/>
                <w:szCs w:val="22"/>
              </w:rPr>
            </w:pPr>
            <w:r w:rsidRPr="00E8404F">
              <w:rPr>
                <w:sz w:val="22"/>
                <w:szCs w:val="22"/>
              </w:rPr>
              <w:t>67 (20,7 %)</w:t>
            </w:r>
          </w:p>
        </w:tc>
        <w:tc>
          <w:tcPr>
            <w:tcW w:w="3084" w:type="dxa"/>
            <w:tcBorders>
              <w:top w:val="single" w:sz="4" w:space="0" w:color="000000"/>
              <w:left w:val="single" w:sz="4" w:space="0" w:color="000000"/>
              <w:bottom w:val="single" w:sz="4" w:space="0" w:color="000000"/>
              <w:right w:val="single" w:sz="4" w:space="0" w:color="000000"/>
            </w:tcBorders>
          </w:tcPr>
          <w:p w14:paraId="25F8C8AE" w14:textId="77777777" w:rsidR="00E27199" w:rsidRPr="00E8404F" w:rsidRDefault="00E27199" w:rsidP="00725429">
            <w:pPr>
              <w:pStyle w:val="TableParagraph"/>
              <w:tabs>
                <w:tab w:val="left" w:pos="9781"/>
              </w:tabs>
              <w:kinsoku w:val="0"/>
              <w:overflowPunct w:val="0"/>
              <w:spacing w:line="240" w:lineRule="auto"/>
              <w:ind w:left="674" w:right="665"/>
              <w:jc w:val="center"/>
              <w:rPr>
                <w:sz w:val="22"/>
                <w:szCs w:val="22"/>
              </w:rPr>
            </w:pPr>
            <w:r w:rsidRPr="00E8404F">
              <w:rPr>
                <w:sz w:val="22"/>
                <w:szCs w:val="22"/>
              </w:rPr>
              <w:t>99 (30,2 %)</w:t>
            </w:r>
          </w:p>
        </w:tc>
      </w:tr>
      <w:tr w:rsidR="00E27199" w:rsidRPr="00E8404F" w14:paraId="6CD4A6DD" w14:textId="77777777" w:rsidTr="00E27199">
        <w:trPr>
          <w:trHeight w:val="261"/>
        </w:trPr>
        <w:tc>
          <w:tcPr>
            <w:tcW w:w="3228" w:type="dxa"/>
            <w:tcBorders>
              <w:top w:val="single" w:sz="4" w:space="0" w:color="000000"/>
              <w:left w:val="single" w:sz="4" w:space="0" w:color="000000"/>
              <w:bottom w:val="single" w:sz="4" w:space="0" w:color="000000"/>
              <w:right w:val="single" w:sz="4" w:space="0" w:color="000000"/>
            </w:tcBorders>
          </w:tcPr>
          <w:p w14:paraId="705E67EC" w14:textId="77777777" w:rsidR="00E27199" w:rsidRPr="00E8404F" w:rsidRDefault="00E27199" w:rsidP="00725429">
            <w:pPr>
              <w:pStyle w:val="TableParagraph"/>
              <w:tabs>
                <w:tab w:val="left" w:pos="9781"/>
              </w:tabs>
              <w:kinsoku w:val="0"/>
              <w:overflowPunct w:val="0"/>
              <w:spacing w:line="240" w:lineRule="auto"/>
              <w:ind w:left="1007"/>
              <w:rPr>
                <w:i/>
                <w:iCs/>
                <w:sz w:val="22"/>
                <w:szCs w:val="22"/>
                <w:vertAlign w:val="superscript"/>
              </w:rPr>
            </w:pPr>
            <w:r w:rsidRPr="00E8404F">
              <w:rPr>
                <w:i/>
                <w:iCs/>
                <w:sz w:val="22"/>
                <w:szCs w:val="22"/>
              </w:rPr>
              <w:t>Hazard ratio</w:t>
            </w:r>
            <w:r w:rsidRPr="00E8404F">
              <w:rPr>
                <w:i/>
                <w:iCs/>
                <w:sz w:val="22"/>
                <w:szCs w:val="22"/>
                <w:vertAlign w:val="superscript"/>
              </w:rPr>
              <w:t>a</w:t>
            </w:r>
          </w:p>
        </w:tc>
        <w:tc>
          <w:tcPr>
            <w:tcW w:w="6060" w:type="dxa"/>
            <w:gridSpan w:val="2"/>
            <w:tcBorders>
              <w:top w:val="single" w:sz="4" w:space="0" w:color="000000"/>
              <w:left w:val="single" w:sz="4" w:space="0" w:color="000000"/>
              <w:bottom w:val="single" w:sz="4" w:space="0" w:color="000000"/>
              <w:right w:val="single" w:sz="4" w:space="0" w:color="000000"/>
            </w:tcBorders>
          </w:tcPr>
          <w:p w14:paraId="70C5BC45" w14:textId="77777777" w:rsidR="00E27199" w:rsidRPr="00E8404F" w:rsidRDefault="00E27199" w:rsidP="00725429">
            <w:pPr>
              <w:pStyle w:val="TableParagraph"/>
              <w:tabs>
                <w:tab w:val="left" w:pos="9781"/>
              </w:tabs>
              <w:kinsoku w:val="0"/>
              <w:overflowPunct w:val="0"/>
              <w:spacing w:line="240" w:lineRule="auto"/>
              <w:ind w:left="2270" w:right="2266"/>
              <w:jc w:val="center"/>
              <w:rPr>
                <w:sz w:val="22"/>
                <w:szCs w:val="22"/>
              </w:rPr>
            </w:pPr>
            <w:r w:rsidRPr="00E8404F">
              <w:rPr>
                <w:sz w:val="22"/>
                <w:szCs w:val="22"/>
              </w:rPr>
              <w:t>0,60</w:t>
            </w:r>
          </w:p>
        </w:tc>
      </w:tr>
      <w:tr w:rsidR="00E27199" w:rsidRPr="00E8404F" w14:paraId="7059A770" w14:textId="77777777" w:rsidTr="00E27199">
        <w:trPr>
          <w:trHeight w:val="258"/>
        </w:trPr>
        <w:tc>
          <w:tcPr>
            <w:tcW w:w="3228" w:type="dxa"/>
            <w:tcBorders>
              <w:top w:val="single" w:sz="4" w:space="0" w:color="000000"/>
              <w:left w:val="single" w:sz="4" w:space="0" w:color="000000"/>
              <w:bottom w:val="single" w:sz="4" w:space="0" w:color="000000"/>
              <w:right w:val="single" w:sz="4" w:space="0" w:color="000000"/>
            </w:tcBorders>
          </w:tcPr>
          <w:p w14:paraId="3512599B" w14:textId="77777777" w:rsidR="00E27199" w:rsidRPr="00E8404F" w:rsidRDefault="00E27199" w:rsidP="00725429">
            <w:pPr>
              <w:pStyle w:val="TableParagraph"/>
              <w:tabs>
                <w:tab w:val="left" w:pos="9781"/>
              </w:tabs>
              <w:kinsoku w:val="0"/>
              <w:overflowPunct w:val="0"/>
              <w:spacing w:line="240" w:lineRule="auto"/>
              <w:ind w:left="1082" w:right="1075"/>
              <w:jc w:val="center"/>
              <w:rPr>
                <w:sz w:val="22"/>
                <w:szCs w:val="22"/>
              </w:rPr>
            </w:pPr>
            <w:r w:rsidRPr="00E8404F">
              <w:rPr>
                <w:sz w:val="22"/>
                <w:szCs w:val="22"/>
              </w:rPr>
              <w:t>98,89 % CI</w:t>
            </w:r>
          </w:p>
        </w:tc>
        <w:tc>
          <w:tcPr>
            <w:tcW w:w="6060" w:type="dxa"/>
            <w:gridSpan w:val="2"/>
            <w:tcBorders>
              <w:top w:val="single" w:sz="4" w:space="0" w:color="000000"/>
              <w:left w:val="single" w:sz="4" w:space="0" w:color="000000"/>
              <w:bottom w:val="single" w:sz="4" w:space="0" w:color="000000"/>
              <w:right w:val="single" w:sz="4" w:space="0" w:color="000000"/>
            </w:tcBorders>
          </w:tcPr>
          <w:p w14:paraId="1C0469C0" w14:textId="77777777" w:rsidR="00E27199" w:rsidRPr="00E8404F" w:rsidRDefault="00E27199" w:rsidP="00725429">
            <w:pPr>
              <w:pStyle w:val="TableParagraph"/>
              <w:tabs>
                <w:tab w:val="left" w:pos="9781"/>
              </w:tabs>
              <w:kinsoku w:val="0"/>
              <w:overflowPunct w:val="0"/>
              <w:spacing w:line="240" w:lineRule="auto"/>
              <w:ind w:left="2270" w:right="2267"/>
              <w:jc w:val="center"/>
              <w:rPr>
                <w:sz w:val="22"/>
                <w:szCs w:val="22"/>
              </w:rPr>
            </w:pPr>
            <w:r w:rsidRPr="00E8404F">
              <w:rPr>
                <w:sz w:val="22"/>
                <w:szCs w:val="22"/>
              </w:rPr>
              <w:t>(0,40; 0,89)</w:t>
            </w:r>
          </w:p>
        </w:tc>
      </w:tr>
      <w:tr w:rsidR="00E27199" w:rsidRPr="00E8404F" w14:paraId="43060B8B" w14:textId="77777777" w:rsidTr="00E27199">
        <w:trPr>
          <w:trHeight w:val="261"/>
        </w:trPr>
        <w:tc>
          <w:tcPr>
            <w:tcW w:w="3228" w:type="dxa"/>
            <w:tcBorders>
              <w:top w:val="single" w:sz="4" w:space="0" w:color="000000"/>
              <w:left w:val="single" w:sz="4" w:space="0" w:color="000000"/>
              <w:bottom w:val="single" w:sz="4" w:space="0" w:color="000000"/>
              <w:right w:val="single" w:sz="4" w:space="0" w:color="000000"/>
            </w:tcBorders>
          </w:tcPr>
          <w:p w14:paraId="3A7978D6" w14:textId="77777777" w:rsidR="00E27199" w:rsidRPr="00E8404F" w:rsidRDefault="00E27199" w:rsidP="00725429">
            <w:pPr>
              <w:pStyle w:val="TableParagraph"/>
              <w:tabs>
                <w:tab w:val="left" w:pos="9781"/>
              </w:tabs>
              <w:kinsoku w:val="0"/>
              <w:overflowPunct w:val="0"/>
              <w:spacing w:line="240" w:lineRule="auto"/>
              <w:ind w:left="1083" w:right="1075"/>
              <w:jc w:val="center"/>
              <w:rPr>
                <w:position w:val="8"/>
                <w:sz w:val="14"/>
                <w:szCs w:val="14"/>
              </w:rPr>
            </w:pPr>
            <w:r w:rsidRPr="00E8404F">
              <w:rPr>
                <w:sz w:val="22"/>
                <w:szCs w:val="22"/>
              </w:rPr>
              <w:t>p-værdi</w:t>
            </w:r>
            <w:r w:rsidRPr="00E8404F">
              <w:rPr>
                <w:position w:val="8"/>
                <w:sz w:val="14"/>
                <w:szCs w:val="14"/>
              </w:rPr>
              <w:t>b, c, e</w:t>
            </w:r>
          </w:p>
        </w:tc>
        <w:tc>
          <w:tcPr>
            <w:tcW w:w="6060" w:type="dxa"/>
            <w:gridSpan w:val="2"/>
            <w:tcBorders>
              <w:top w:val="single" w:sz="4" w:space="0" w:color="000000"/>
              <w:left w:val="single" w:sz="4" w:space="0" w:color="000000"/>
              <w:bottom w:val="single" w:sz="4" w:space="0" w:color="000000"/>
              <w:right w:val="single" w:sz="4" w:space="0" w:color="000000"/>
            </w:tcBorders>
          </w:tcPr>
          <w:p w14:paraId="611D7B0A" w14:textId="77777777" w:rsidR="00E27199" w:rsidRPr="00E8404F" w:rsidRDefault="00E27199" w:rsidP="00725429">
            <w:pPr>
              <w:pStyle w:val="TableParagraph"/>
              <w:tabs>
                <w:tab w:val="left" w:pos="9781"/>
              </w:tabs>
              <w:kinsoku w:val="0"/>
              <w:overflowPunct w:val="0"/>
              <w:spacing w:line="240" w:lineRule="auto"/>
              <w:ind w:left="2270" w:right="2266"/>
              <w:jc w:val="center"/>
              <w:rPr>
                <w:sz w:val="22"/>
                <w:szCs w:val="22"/>
              </w:rPr>
            </w:pPr>
            <w:r w:rsidRPr="00E8404F">
              <w:rPr>
                <w:sz w:val="22"/>
                <w:szCs w:val="22"/>
              </w:rPr>
              <w:t>0,0010</w:t>
            </w:r>
          </w:p>
        </w:tc>
      </w:tr>
      <w:tr w:rsidR="00E27199" w:rsidRPr="00E8404F" w14:paraId="790C669C" w14:textId="77777777" w:rsidTr="00E27199">
        <w:trPr>
          <w:trHeight w:val="258"/>
        </w:trPr>
        <w:tc>
          <w:tcPr>
            <w:tcW w:w="3228" w:type="dxa"/>
            <w:tcBorders>
              <w:top w:val="single" w:sz="4" w:space="0" w:color="000000"/>
              <w:left w:val="single" w:sz="4" w:space="0" w:color="000000"/>
              <w:bottom w:val="single" w:sz="4" w:space="0" w:color="000000"/>
              <w:right w:val="single" w:sz="4" w:space="0" w:color="000000"/>
            </w:tcBorders>
          </w:tcPr>
          <w:p w14:paraId="59F5B653" w14:textId="77777777" w:rsidR="00E27199" w:rsidRPr="00E8404F" w:rsidRDefault="00E27199" w:rsidP="00725429">
            <w:pPr>
              <w:pStyle w:val="TableParagraph"/>
              <w:tabs>
                <w:tab w:val="left" w:pos="9781"/>
              </w:tabs>
              <w:kinsoku w:val="0"/>
              <w:overflowPunct w:val="0"/>
              <w:spacing w:line="240" w:lineRule="auto"/>
              <w:ind w:left="287"/>
              <w:rPr>
                <w:sz w:val="22"/>
                <w:szCs w:val="22"/>
              </w:rPr>
            </w:pPr>
            <w:r w:rsidRPr="00E8404F">
              <w:rPr>
                <w:sz w:val="22"/>
                <w:szCs w:val="22"/>
              </w:rPr>
              <w:t>Median (95 % CI)</w:t>
            </w:r>
          </w:p>
        </w:tc>
        <w:tc>
          <w:tcPr>
            <w:tcW w:w="2976" w:type="dxa"/>
            <w:tcBorders>
              <w:top w:val="single" w:sz="4" w:space="0" w:color="000000"/>
              <w:left w:val="single" w:sz="4" w:space="0" w:color="000000"/>
              <w:bottom w:val="single" w:sz="4" w:space="0" w:color="000000"/>
              <w:right w:val="single" w:sz="4" w:space="0" w:color="000000"/>
            </w:tcBorders>
          </w:tcPr>
          <w:p w14:paraId="42607E65" w14:textId="77777777" w:rsidR="00E27199" w:rsidRPr="00E8404F" w:rsidRDefault="00E27199" w:rsidP="00725429">
            <w:pPr>
              <w:pStyle w:val="TableParagraph"/>
              <w:tabs>
                <w:tab w:val="left" w:pos="9781"/>
              </w:tabs>
              <w:kinsoku w:val="0"/>
              <w:overflowPunct w:val="0"/>
              <w:spacing w:line="240" w:lineRule="auto"/>
              <w:ind w:left="563" w:right="559"/>
              <w:jc w:val="center"/>
              <w:rPr>
                <w:sz w:val="22"/>
                <w:szCs w:val="22"/>
              </w:rPr>
            </w:pPr>
            <w:r w:rsidRPr="00E8404F">
              <w:rPr>
                <w:sz w:val="22"/>
                <w:szCs w:val="22"/>
              </w:rPr>
              <w:t>N.E.</w:t>
            </w:r>
          </w:p>
        </w:tc>
        <w:tc>
          <w:tcPr>
            <w:tcW w:w="3084" w:type="dxa"/>
            <w:tcBorders>
              <w:top w:val="single" w:sz="4" w:space="0" w:color="000000"/>
              <w:left w:val="single" w:sz="4" w:space="0" w:color="000000"/>
              <w:bottom w:val="single" w:sz="4" w:space="0" w:color="000000"/>
              <w:right w:val="single" w:sz="4" w:space="0" w:color="000000"/>
            </w:tcBorders>
          </w:tcPr>
          <w:p w14:paraId="0ADDC648" w14:textId="77777777" w:rsidR="00E27199" w:rsidRPr="00E8404F" w:rsidRDefault="00E27199" w:rsidP="00725429">
            <w:pPr>
              <w:pStyle w:val="TableParagraph"/>
              <w:tabs>
                <w:tab w:val="left" w:pos="9781"/>
              </w:tabs>
              <w:kinsoku w:val="0"/>
              <w:overflowPunct w:val="0"/>
              <w:spacing w:line="240" w:lineRule="auto"/>
              <w:ind w:left="673" w:right="665"/>
              <w:jc w:val="center"/>
              <w:rPr>
                <w:sz w:val="22"/>
                <w:szCs w:val="22"/>
              </w:rPr>
            </w:pPr>
            <w:r w:rsidRPr="00E8404F">
              <w:rPr>
                <w:sz w:val="22"/>
                <w:szCs w:val="22"/>
              </w:rPr>
              <w:t>N.E. (22,6 ; N.E.)</w:t>
            </w:r>
          </w:p>
        </w:tc>
      </w:tr>
      <w:tr w:rsidR="00E27199" w:rsidRPr="00E8404F" w14:paraId="1A3747FF" w14:textId="77777777" w:rsidTr="00E27199">
        <w:trPr>
          <w:trHeight w:val="261"/>
        </w:trPr>
        <w:tc>
          <w:tcPr>
            <w:tcW w:w="3228" w:type="dxa"/>
            <w:tcBorders>
              <w:top w:val="single" w:sz="4" w:space="0" w:color="000000"/>
              <w:left w:val="single" w:sz="4" w:space="0" w:color="000000"/>
              <w:bottom w:val="single" w:sz="4" w:space="0" w:color="000000"/>
              <w:right w:val="single" w:sz="4" w:space="0" w:color="000000"/>
            </w:tcBorders>
          </w:tcPr>
          <w:p w14:paraId="6BC96030" w14:textId="77777777" w:rsidR="00E27199" w:rsidRPr="00E8404F" w:rsidRDefault="00E27199" w:rsidP="00725429">
            <w:pPr>
              <w:pStyle w:val="TableParagraph"/>
              <w:tabs>
                <w:tab w:val="left" w:pos="9781"/>
              </w:tabs>
              <w:kinsoku w:val="0"/>
              <w:overflowPunct w:val="0"/>
              <w:spacing w:line="240" w:lineRule="auto"/>
              <w:ind w:left="273"/>
              <w:rPr>
                <w:sz w:val="22"/>
                <w:szCs w:val="22"/>
              </w:rPr>
            </w:pPr>
            <w:r w:rsidRPr="00E8404F">
              <w:rPr>
                <w:sz w:val="22"/>
                <w:szCs w:val="22"/>
              </w:rPr>
              <w:t>Hyppighed (95 % CI)</w:t>
            </w:r>
          </w:p>
        </w:tc>
        <w:tc>
          <w:tcPr>
            <w:tcW w:w="2976" w:type="dxa"/>
            <w:tcBorders>
              <w:top w:val="single" w:sz="4" w:space="0" w:color="000000"/>
              <w:left w:val="single" w:sz="4" w:space="0" w:color="000000"/>
              <w:bottom w:val="single" w:sz="4" w:space="0" w:color="000000"/>
              <w:right w:val="single" w:sz="4" w:space="0" w:color="000000"/>
            </w:tcBorders>
          </w:tcPr>
          <w:p w14:paraId="277BF279" w14:textId="77777777" w:rsidR="00E27199" w:rsidRPr="00E8404F" w:rsidRDefault="00E27199" w:rsidP="00725429">
            <w:pPr>
              <w:pStyle w:val="TableParagraph"/>
              <w:tabs>
                <w:tab w:val="left" w:pos="9781"/>
              </w:tabs>
              <w:kinsoku w:val="0"/>
              <w:overflowPunct w:val="0"/>
              <w:spacing w:line="240" w:lineRule="auto"/>
              <w:ind w:left="0"/>
              <w:rPr>
                <w:sz w:val="18"/>
                <w:szCs w:val="18"/>
              </w:rPr>
            </w:pPr>
          </w:p>
        </w:tc>
        <w:tc>
          <w:tcPr>
            <w:tcW w:w="3084" w:type="dxa"/>
            <w:tcBorders>
              <w:top w:val="single" w:sz="4" w:space="0" w:color="000000"/>
              <w:left w:val="single" w:sz="4" w:space="0" w:color="000000"/>
              <w:bottom w:val="single" w:sz="4" w:space="0" w:color="000000"/>
              <w:right w:val="single" w:sz="4" w:space="0" w:color="000000"/>
            </w:tcBorders>
          </w:tcPr>
          <w:p w14:paraId="5911C820" w14:textId="77777777" w:rsidR="00E27199" w:rsidRPr="00E8404F" w:rsidRDefault="00E27199" w:rsidP="00725429">
            <w:pPr>
              <w:pStyle w:val="TableParagraph"/>
              <w:tabs>
                <w:tab w:val="left" w:pos="9781"/>
              </w:tabs>
              <w:kinsoku w:val="0"/>
              <w:overflowPunct w:val="0"/>
              <w:spacing w:line="240" w:lineRule="auto"/>
              <w:ind w:left="0"/>
              <w:rPr>
                <w:sz w:val="18"/>
                <w:szCs w:val="18"/>
              </w:rPr>
            </w:pPr>
          </w:p>
        </w:tc>
      </w:tr>
      <w:tr w:rsidR="00E27199" w:rsidRPr="00E8404F" w14:paraId="762803FC" w14:textId="77777777" w:rsidTr="00E27199">
        <w:trPr>
          <w:trHeight w:val="258"/>
        </w:trPr>
        <w:tc>
          <w:tcPr>
            <w:tcW w:w="3228" w:type="dxa"/>
            <w:tcBorders>
              <w:top w:val="single" w:sz="4" w:space="0" w:color="000000"/>
              <w:left w:val="single" w:sz="4" w:space="0" w:color="000000"/>
              <w:bottom w:val="single" w:sz="4" w:space="0" w:color="000000"/>
              <w:right w:val="single" w:sz="4" w:space="0" w:color="000000"/>
            </w:tcBorders>
          </w:tcPr>
          <w:p w14:paraId="55D1C958" w14:textId="77777777" w:rsidR="00E27199" w:rsidRPr="00E8404F" w:rsidRDefault="00E27199" w:rsidP="00725429">
            <w:pPr>
              <w:pStyle w:val="TableParagraph"/>
              <w:tabs>
                <w:tab w:val="left" w:pos="9781"/>
              </w:tabs>
              <w:kinsoku w:val="0"/>
              <w:overflowPunct w:val="0"/>
              <w:spacing w:line="240" w:lineRule="auto"/>
              <w:ind w:left="273"/>
              <w:rPr>
                <w:sz w:val="22"/>
                <w:szCs w:val="22"/>
              </w:rPr>
            </w:pPr>
            <w:r w:rsidRPr="00E8404F">
              <w:rPr>
                <w:sz w:val="22"/>
                <w:szCs w:val="22"/>
              </w:rPr>
              <w:t>Ved 6 måneder</w:t>
            </w:r>
          </w:p>
        </w:tc>
        <w:tc>
          <w:tcPr>
            <w:tcW w:w="2976" w:type="dxa"/>
            <w:tcBorders>
              <w:top w:val="single" w:sz="4" w:space="0" w:color="000000"/>
              <w:left w:val="single" w:sz="4" w:space="0" w:color="000000"/>
              <w:bottom w:val="single" w:sz="4" w:space="0" w:color="000000"/>
              <w:right w:val="single" w:sz="4" w:space="0" w:color="000000"/>
            </w:tcBorders>
          </w:tcPr>
          <w:p w14:paraId="6C260849" w14:textId="77777777" w:rsidR="00E27199" w:rsidRPr="00E8404F" w:rsidRDefault="00E27199" w:rsidP="00725429">
            <w:pPr>
              <w:pStyle w:val="TableParagraph"/>
              <w:tabs>
                <w:tab w:val="left" w:pos="9781"/>
              </w:tabs>
              <w:kinsoku w:val="0"/>
              <w:overflowPunct w:val="0"/>
              <w:spacing w:line="240" w:lineRule="auto"/>
              <w:ind w:left="563" w:right="557"/>
              <w:jc w:val="center"/>
              <w:rPr>
                <w:sz w:val="22"/>
                <w:szCs w:val="22"/>
              </w:rPr>
            </w:pPr>
            <w:r w:rsidRPr="00E8404F">
              <w:rPr>
                <w:sz w:val="22"/>
                <w:szCs w:val="22"/>
              </w:rPr>
              <w:t>93,1 (89,7; 95,4)</w:t>
            </w:r>
          </w:p>
        </w:tc>
        <w:tc>
          <w:tcPr>
            <w:tcW w:w="3084" w:type="dxa"/>
            <w:tcBorders>
              <w:top w:val="single" w:sz="4" w:space="0" w:color="000000"/>
              <w:left w:val="single" w:sz="4" w:space="0" w:color="000000"/>
              <w:bottom w:val="single" w:sz="4" w:space="0" w:color="000000"/>
              <w:right w:val="single" w:sz="4" w:space="0" w:color="000000"/>
            </w:tcBorders>
          </w:tcPr>
          <w:p w14:paraId="0A18D820" w14:textId="77777777" w:rsidR="00E27199" w:rsidRPr="00E8404F" w:rsidRDefault="00E27199" w:rsidP="00725429">
            <w:pPr>
              <w:pStyle w:val="TableParagraph"/>
              <w:tabs>
                <w:tab w:val="left" w:pos="9781"/>
              </w:tabs>
              <w:kinsoku w:val="0"/>
              <w:overflowPunct w:val="0"/>
              <w:spacing w:line="240" w:lineRule="auto"/>
              <w:ind w:left="673" w:right="665"/>
              <w:jc w:val="center"/>
              <w:rPr>
                <w:sz w:val="22"/>
                <w:szCs w:val="22"/>
              </w:rPr>
            </w:pPr>
            <w:r w:rsidRPr="00E8404F">
              <w:rPr>
                <w:sz w:val="22"/>
                <w:szCs w:val="22"/>
              </w:rPr>
              <w:t>86,2 (81,9; 89,5)</w:t>
            </w:r>
          </w:p>
        </w:tc>
      </w:tr>
      <w:tr w:rsidR="00E27199" w:rsidRPr="00E8404F" w14:paraId="5C40E80B" w14:textId="77777777" w:rsidTr="00E27199">
        <w:trPr>
          <w:trHeight w:val="506"/>
        </w:trPr>
        <w:tc>
          <w:tcPr>
            <w:tcW w:w="3228" w:type="dxa"/>
            <w:tcBorders>
              <w:top w:val="single" w:sz="4" w:space="0" w:color="000000"/>
              <w:left w:val="single" w:sz="4" w:space="0" w:color="000000"/>
              <w:bottom w:val="single" w:sz="4" w:space="0" w:color="000000"/>
              <w:right w:val="single" w:sz="4" w:space="0" w:color="000000"/>
            </w:tcBorders>
          </w:tcPr>
          <w:p w14:paraId="782DDBDF" w14:textId="77777777" w:rsidR="00E27199" w:rsidRPr="00E8404F" w:rsidRDefault="00E27199" w:rsidP="00725429">
            <w:pPr>
              <w:pStyle w:val="TableParagraph"/>
              <w:tabs>
                <w:tab w:val="left" w:pos="9781"/>
              </w:tabs>
              <w:kinsoku w:val="0"/>
              <w:overflowPunct w:val="0"/>
              <w:spacing w:line="240" w:lineRule="auto"/>
              <w:ind w:right="1661"/>
              <w:rPr>
                <w:b/>
                <w:bCs/>
                <w:sz w:val="22"/>
                <w:szCs w:val="22"/>
              </w:rPr>
            </w:pPr>
            <w:r w:rsidRPr="00E8404F">
              <w:rPr>
                <w:b/>
                <w:bCs/>
                <w:sz w:val="22"/>
                <w:szCs w:val="22"/>
              </w:rPr>
              <w:t>PRR pr. BICR (CR +PR)</w:t>
            </w:r>
          </w:p>
        </w:tc>
        <w:tc>
          <w:tcPr>
            <w:tcW w:w="2976" w:type="dxa"/>
            <w:tcBorders>
              <w:top w:val="single" w:sz="4" w:space="0" w:color="000000"/>
              <w:left w:val="single" w:sz="4" w:space="0" w:color="000000"/>
              <w:bottom w:val="single" w:sz="4" w:space="0" w:color="000000"/>
              <w:right w:val="single" w:sz="4" w:space="0" w:color="000000"/>
            </w:tcBorders>
          </w:tcPr>
          <w:p w14:paraId="1258E7A3" w14:textId="77777777" w:rsidR="00E27199" w:rsidRPr="00E8404F" w:rsidRDefault="00E27199" w:rsidP="00725429">
            <w:pPr>
              <w:pStyle w:val="TableParagraph"/>
              <w:tabs>
                <w:tab w:val="left" w:pos="9781"/>
              </w:tabs>
              <w:kinsoku w:val="0"/>
              <w:overflowPunct w:val="0"/>
              <w:spacing w:line="240" w:lineRule="auto"/>
              <w:ind w:left="562" w:right="560"/>
              <w:jc w:val="center"/>
              <w:rPr>
                <w:sz w:val="22"/>
                <w:szCs w:val="22"/>
              </w:rPr>
            </w:pPr>
            <w:r w:rsidRPr="00E8404F">
              <w:rPr>
                <w:sz w:val="22"/>
                <w:szCs w:val="22"/>
              </w:rPr>
              <w:t>180 (55,7 %)</w:t>
            </w:r>
          </w:p>
        </w:tc>
        <w:tc>
          <w:tcPr>
            <w:tcW w:w="3084" w:type="dxa"/>
            <w:tcBorders>
              <w:top w:val="single" w:sz="4" w:space="0" w:color="000000"/>
              <w:left w:val="single" w:sz="4" w:space="0" w:color="000000"/>
              <w:bottom w:val="single" w:sz="4" w:space="0" w:color="000000"/>
              <w:right w:val="single" w:sz="4" w:space="0" w:color="000000"/>
            </w:tcBorders>
          </w:tcPr>
          <w:p w14:paraId="77BB01CC" w14:textId="77777777" w:rsidR="00E27199" w:rsidRPr="00E8404F" w:rsidRDefault="00E27199" w:rsidP="00725429">
            <w:pPr>
              <w:pStyle w:val="TableParagraph"/>
              <w:tabs>
                <w:tab w:val="left" w:pos="9781"/>
              </w:tabs>
              <w:kinsoku w:val="0"/>
              <w:overflowPunct w:val="0"/>
              <w:spacing w:line="240" w:lineRule="auto"/>
              <w:ind w:left="674" w:right="665"/>
              <w:jc w:val="center"/>
              <w:rPr>
                <w:sz w:val="22"/>
                <w:szCs w:val="22"/>
              </w:rPr>
            </w:pPr>
            <w:r w:rsidRPr="00E8404F">
              <w:rPr>
                <w:sz w:val="22"/>
                <w:szCs w:val="22"/>
              </w:rPr>
              <w:t>89 (27,1 %)</w:t>
            </w:r>
          </w:p>
        </w:tc>
      </w:tr>
      <w:tr w:rsidR="00E27199" w:rsidRPr="00E8404F" w14:paraId="2747E4A0" w14:textId="77777777" w:rsidTr="00E27199">
        <w:trPr>
          <w:trHeight w:val="259"/>
        </w:trPr>
        <w:tc>
          <w:tcPr>
            <w:tcW w:w="3228" w:type="dxa"/>
            <w:tcBorders>
              <w:top w:val="single" w:sz="4" w:space="0" w:color="000000"/>
              <w:left w:val="single" w:sz="4" w:space="0" w:color="000000"/>
              <w:bottom w:val="single" w:sz="4" w:space="0" w:color="000000"/>
              <w:right w:val="single" w:sz="4" w:space="0" w:color="000000"/>
            </w:tcBorders>
          </w:tcPr>
          <w:p w14:paraId="4112CE6E" w14:textId="77777777" w:rsidR="00E27199" w:rsidRPr="00E8404F" w:rsidRDefault="00E27199" w:rsidP="00725429">
            <w:pPr>
              <w:pStyle w:val="TableParagraph"/>
              <w:tabs>
                <w:tab w:val="left" w:pos="9781"/>
              </w:tabs>
              <w:kinsoku w:val="0"/>
              <w:overflowPunct w:val="0"/>
              <w:spacing w:line="240" w:lineRule="auto"/>
              <w:ind w:left="1082" w:right="1075"/>
              <w:jc w:val="center"/>
              <w:rPr>
                <w:position w:val="8"/>
                <w:sz w:val="14"/>
                <w:szCs w:val="14"/>
              </w:rPr>
            </w:pPr>
            <w:r w:rsidRPr="00E8404F">
              <w:rPr>
                <w:sz w:val="22"/>
                <w:szCs w:val="22"/>
              </w:rPr>
              <w:t>(95 % CI)</w:t>
            </w:r>
            <w:r w:rsidRPr="00E8404F">
              <w:rPr>
                <w:position w:val="8"/>
                <w:sz w:val="14"/>
                <w:szCs w:val="14"/>
              </w:rPr>
              <w:t>f</w:t>
            </w:r>
          </w:p>
        </w:tc>
        <w:tc>
          <w:tcPr>
            <w:tcW w:w="2976" w:type="dxa"/>
            <w:tcBorders>
              <w:top w:val="single" w:sz="4" w:space="0" w:color="000000"/>
              <w:left w:val="single" w:sz="4" w:space="0" w:color="000000"/>
              <w:bottom w:val="single" w:sz="4" w:space="0" w:color="000000"/>
              <w:right w:val="single" w:sz="4" w:space="0" w:color="000000"/>
            </w:tcBorders>
          </w:tcPr>
          <w:p w14:paraId="09862309" w14:textId="77777777" w:rsidR="00E27199" w:rsidRPr="00E8404F" w:rsidRDefault="00E27199" w:rsidP="00725429">
            <w:pPr>
              <w:pStyle w:val="TableParagraph"/>
              <w:tabs>
                <w:tab w:val="left" w:pos="9781"/>
              </w:tabs>
              <w:kinsoku w:val="0"/>
              <w:overflowPunct w:val="0"/>
              <w:spacing w:line="240" w:lineRule="auto"/>
              <w:ind w:left="563" w:right="557"/>
              <w:jc w:val="center"/>
              <w:rPr>
                <w:sz w:val="22"/>
                <w:szCs w:val="22"/>
              </w:rPr>
            </w:pPr>
            <w:r w:rsidRPr="00E8404F">
              <w:rPr>
                <w:sz w:val="22"/>
                <w:szCs w:val="22"/>
              </w:rPr>
              <w:t>(50,1; 61,2)</w:t>
            </w:r>
          </w:p>
        </w:tc>
        <w:tc>
          <w:tcPr>
            <w:tcW w:w="3084" w:type="dxa"/>
            <w:tcBorders>
              <w:top w:val="single" w:sz="4" w:space="0" w:color="000000"/>
              <w:left w:val="single" w:sz="4" w:space="0" w:color="000000"/>
              <w:bottom w:val="single" w:sz="4" w:space="0" w:color="000000"/>
              <w:right w:val="single" w:sz="4" w:space="0" w:color="000000"/>
            </w:tcBorders>
          </w:tcPr>
          <w:p w14:paraId="79FAD846" w14:textId="77777777" w:rsidR="00E27199" w:rsidRPr="00E8404F" w:rsidRDefault="00E27199" w:rsidP="00725429">
            <w:pPr>
              <w:pStyle w:val="TableParagraph"/>
              <w:tabs>
                <w:tab w:val="left" w:pos="9781"/>
              </w:tabs>
              <w:kinsoku w:val="0"/>
              <w:overflowPunct w:val="0"/>
              <w:spacing w:line="240" w:lineRule="auto"/>
              <w:ind w:left="673" w:right="665"/>
              <w:jc w:val="center"/>
              <w:rPr>
                <w:sz w:val="22"/>
                <w:szCs w:val="22"/>
              </w:rPr>
            </w:pPr>
            <w:r w:rsidRPr="00E8404F">
              <w:rPr>
                <w:sz w:val="22"/>
                <w:szCs w:val="22"/>
              </w:rPr>
              <w:t>(22,4; 32,3)</w:t>
            </w:r>
          </w:p>
        </w:tc>
      </w:tr>
      <w:tr w:rsidR="00E27199" w:rsidRPr="00E8404F" w14:paraId="725679BC" w14:textId="77777777" w:rsidTr="00E27199">
        <w:trPr>
          <w:trHeight w:val="258"/>
        </w:trPr>
        <w:tc>
          <w:tcPr>
            <w:tcW w:w="3228" w:type="dxa"/>
            <w:tcBorders>
              <w:top w:val="single" w:sz="4" w:space="0" w:color="000000"/>
              <w:left w:val="single" w:sz="4" w:space="0" w:color="000000"/>
              <w:bottom w:val="single" w:sz="4" w:space="0" w:color="000000"/>
              <w:right w:val="single" w:sz="4" w:space="0" w:color="000000"/>
            </w:tcBorders>
          </w:tcPr>
          <w:p w14:paraId="0C1A96E2" w14:textId="77777777" w:rsidR="00E27199" w:rsidRPr="00E8404F" w:rsidRDefault="00E27199" w:rsidP="00725429">
            <w:pPr>
              <w:pStyle w:val="TableParagraph"/>
              <w:tabs>
                <w:tab w:val="left" w:pos="9781"/>
              </w:tabs>
              <w:kinsoku w:val="0"/>
              <w:overflowPunct w:val="0"/>
              <w:spacing w:line="240" w:lineRule="auto"/>
              <w:ind w:left="467"/>
              <w:rPr>
                <w:position w:val="8"/>
                <w:sz w:val="14"/>
                <w:szCs w:val="14"/>
              </w:rPr>
            </w:pPr>
            <w:r w:rsidRPr="00E8404F">
              <w:rPr>
                <w:sz w:val="22"/>
                <w:szCs w:val="22"/>
              </w:rPr>
              <w:t>Forskel i ORR (95 % CI)</w:t>
            </w:r>
            <w:r w:rsidRPr="00E8404F">
              <w:rPr>
                <w:position w:val="8"/>
                <w:sz w:val="14"/>
                <w:szCs w:val="14"/>
              </w:rPr>
              <w:t>g</w:t>
            </w:r>
          </w:p>
        </w:tc>
        <w:tc>
          <w:tcPr>
            <w:tcW w:w="6060" w:type="dxa"/>
            <w:gridSpan w:val="2"/>
            <w:tcBorders>
              <w:top w:val="single" w:sz="4" w:space="0" w:color="000000"/>
              <w:left w:val="single" w:sz="4" w:space="0" w:color="000000"/>
              <w:bottom w:val="single" w:sz="4" w:space="0" w:color="000000"/>
              <w:right w:val="single" w:sz="4" w:space="0" w:color="000000"/>
            </w:tcBorders>
          </w:tcPr>
          <w:p w14:paraId="731B1DE3" w14:textId="77777777" w:rsidR="00E27199" w:rsidRPr="00E8404F" w:rsidRDefault="00E27199" w:rsidP="00725429">
            <w:pPr>
              <w:pStyle w:val="TableParagraph"/>
              <w:tabs>
                <w:tab w:val="left" w:pos="9781"/>
              </w:tabs>
              <w:kinsoku w:val="0"/>
              <w:overflowPunct w:val="0"/>
              <w:spacing w:line="240" w:lineRule="auto"/>
              <w:ind w:left="2270" w:right="2267"/>
              <w:jc w:val="center"/>
              <w:rPr>
                <w:sz w:val="22"/>
                <w:szCs w:val="22"/>
              </w:rPr>
            </w:pPr>
            <w:r w:rsidRPr="00E8404F">
              <w:rPr>
                <w:sz w:val="22"/>
                <w:szCs w:val="22"/>
              </w:rPr>
              <w:t>28,6 (21,7; 35,6)</w:t>
            </w:r>
          </w:p>
        </w:tc>
      </w:tr>
      <w:tr w:rsidR="00E27199" w:rsidRPr="00E8404F" w14:paraId="797A8BD6" w14:textId="77777777" w:rsidTr="00E27199">
        <w:trPr>
          <w:trHeight w:val="253"/>
        </w:trPr>
        <w:tc>
          <w:tcPr>
            <w:tcW w:w="3228" w:type="dxa"/>
            <w:tcBorders>
              <w:top w:val="single" w:sz="4" w:space="0" w:color="000000"/>
              <w:left w:val="single" w:sz="4" w:space="0" w:color="000000"/>
              <w:bottom w:val="single" w:sz="4" w:space="0" w:color="000000"/>
              <w:right w:val="single" w:sz="4" w:space="0" w:color="000000"/>
            </w:tcBorders>
          </w:tcPr>
          <w:p w14:paraId="7A890D44" w14:textId="77777777" w:rsidR="00E27199" w:rsidRPr="00E8404F" w:rsidRDefault="00E27199" w:rsidP="00725429">
            <w:pPr>
              <w:pStyle w:val="TableParagraph"/>
              <w:tabs>
                <w:tab w:val="left" w:pos="9781"/>
              </w:tabs>
              <w:kinsoku w:val="0"/>
              <w:overflowPunct w:val="0"/>
              <w:spacing w:line="240" w:lineRule="auto"/>
              <w:ind w:left="1083" w:right="1074"/>
              <w:jc w:val="center"/>
              <w:rPr>
                <w:position w:val="8"/>
                <w:sz w:val="14"/>
                <w:szCs w:val="14"/>
              </w:rPr>
            </w:pPr>
            <w:r w:rsidRPr="00E8404F">
              <w:rPr>
                <w:sz w:val="22"/>
                <w:szCs w:val="22"/>
              </w:rPr>
              <w:t>p-værdi</w:t>
            </w:r>
            <w:r w:rsidRPr="00E8404F">
              <w:rPr>
                <w:position w:val="8"/>
                <w:sz w:val="14"/>
                <w:szCs w:val="14"/>
              </w:rPr>
              <w:t>h</w:t>
            </w:r>
          </w:p>
        </w:tc>
        <w:tc>
          <w:tcPr>
            <w:tcW w:w="6060" w:type="dxa"/>
            <w:gridSpan w:val="2"/>
            <w:tcBorders>
              <w:top w:val="single" w:sz="4" w:space="0" w:color="000000"/>
              <w:left w:val="single" w:sz="4" w:space="0" w:color="000000"/>
              <w:bottom w:val="single" w:sz="4" w:space="0" w:color="000000"/>
              <w:right w:val="single" w:sz="4" w:space="0" w:color="000000"/>
            </w:tcBorders>
          </w:tcPr>
          <w:p w14:paraId="76CEE029" w14:textId="77777777" w:rsidR="00E27199" w:rsidRPr="00E8404F" w:rsidRDefault="00E27199" w:rsidP="00725429">
            <w:pPr>
              <w:pStyle w:val="TableParagraph"/>
              <w:tabs>
                <w:tab w:val="left" w:pos="9781"/>
              </w:tabs>
              <w:kinsoku w:val="0"/>
              <w:overflowPunct w:val="0"/>
              <w:spacing w:line="240" w:lineRule="auto"/>
              <w:ind w:left="2270" w:right="2263"/>
              <w:jc w:val="center"/>
              <w:rPr>
                <w:sz w:val="22"/>
                <w:szCs w:val="22"/>
              </w:rPr>
            </w:pPr>
            <w:r w:rsidRPr="00E8404F">
              <w:rPr>
                <w:sz w:val="22"/>
                <w:szCs w:val="22"/>
              </w:rPr>
              <w:t>&lt; 0,0001</w:t>
            </w:r>
          </w:p>
        </w:tc>
      </w:tr>
      <w:tr w:rsidR="00E27199" w:rsidRPr="00E8404F" w14:paraId="66A95848" w14:textId="77777777" w:rsidTr="00E27199">
        <w:trPr>
          <w:trHeight w:val="258"/>
        </w:trPr>
        <w:tc>
          <w:tcPr>
            <w:tcW w:w="3228" w:type="dxa"/>
            <w:tcBorders>
              <w:top w:val="single" w:sz="4" w:space="0" w:color="000000"/>
              <w:left w:val="single" w:sz="4" w:space="0" w:color="000000"/>
              <w:bottom w:val="single" w:sz="4" w:space="0" w:color="000000"/>
              <w:right w:val="single" w:sz="4" w:space="0" w:color="000000"/>
            </w:tcBorders>
          </w:tcPr>
          <w:p w14:paraId="6D539630" w14:textId="77777777" w:rsidR="00E27199" w:rsidRPr="00E8404F" w:rsidRDefault="00E27199" w:rsidP="00725429">
            <w:pPr>
              <w:pStyle w:val="TableParagraph"/>
              <w:tabs>
                <w:tab w:val="left" w:pos="9781"/>
              </w:tabs>
              <w:kinsoku w:val="0"/>
              <w:overflowPunct w:val="0"/>
              <w:spacing w:line="240" w:lineRule="auto"/>
              <w:ind w:left="390"/>
              <w:rPr>
                <w:sz w:val="22"/>
                <w:szCs w:val="22"/>
              </w:rPr>
            </w:pPr>
            <w:r>
              <w:rPr>
                <w:sz w:val="22"/>
                <w:szCs w:val="22"/>
              </w:rPr>
              <w:t>Komplet</w:t>
            </w:r>
            <w:r w:rsidRPr="00E8404F">
              <w:rPr>
                <w:sz w:val="22"/>
                <w:szCs w:val="22"/>
              </w:rPr>
              <w:t xml:space="preserve"> respons (CR)</w:t>
            </w:r>
          </w:p>
        </w:tc>
        <w:tc>
          <w:tcPr>
            <w:tcW w:w="2976" w:type="dxa"/>
            <w:tcBorders>
              <w:top w:val="single" w:sz="4" w:space="0" w:color="000000"/>
              <w:left w:val="single" w:sz="4" w:space="0" w:color="000000"/>
              <w:bottom w:val="single" w:sz="4" w:space="0" w:color="000000"/>
              <w:right w:val="single" w:sz="4" w:space="0" w:color="000000"/>
            </w:tcBorders>
          </w:tcPr>
          <w:p w14:paraId="3AB59C9C" w14:textId="77777777" w:rsidR="00E27199" w:rsidRPr="00E8404F" w:rsidRDefault="00E27199" w:rsidP="00725429">
            <w:pPr>
              <w:pStyle w:val="TableParagraph"/>
              <w:tabs>
                <w:tab w:val="left" w:pos="9781"/>
              </w:tabs>
              <w:kinsoku w:val="0"/>
              <w:overflowPunct w:val="0"/>
              <w:spacing w:line="240" w:lineRule="auto"/>
              <w:ind w:left="563" w:right="556"/>
              <w:jc w:val="center"/>
              <w:rPr>
                <w:sz w:val="22"/>
                <w:szCs w:val="22"/>
              </w:rPr>
            </w:pPr>
            <w:r w:rsidRPr="00E8404F">
              <w:rPr>
                <w:sz w:val="22"/>
                <w:szCs w:val="22"/>
              </w:rPr>
              <w:t>26 (8,0 %)</w:t>
            </w:r>
          </w:p>
        </w:tc>
        <w:tc>
          <w:tcPr>
            <w:tcW w:w="3084" w:type="dxa"/>
            <w:tcBorders>
              <w:top w:val="single" w:sz="4" w:space="0" w:color="000000"/>
              <w:left w:val="single" w:sz="4" w:space="0" w:color="000000"/>
              <w:bottom w:val="single" w:sz="4" w:space="0" w:color="000000"/>
              <w:right w:val="single" w:sz="4" w:space="0" w:color="000000"/>
            </w:tcBorders>
          </w:tcPr>
          <w:p w14:paraId="6445D92C" w14:textId="77777777" w:rsidR="00E27199" w:rsidRPr="00E8404F" w:rsidRDefault="00E27199" w:rsidP="00725429">
            <w:pPr>
              <w:pStyle w:val="TableParagraph"/>
              <w:tabs>
                <w:tab w:val="left" w:pos="9781"/>
              </w:tabs>
              <w:kinsoku w:val="0"/>
              <w:overflowPunct w:val="0"/>
              <w:spacing w:line="240" w:lineRule="auto"/>
              <w:ind w:left="1054" w:right="1045"/>
              <w:jc w:val="center"/>
              <w:rPr>
                <w:sz w:val="22"/>
                <w:szCs w:val="22"/>
              </w:rPr>
            </w:pPr>
            <w:r w:rsidRPr="00E8404F">
              <w:rPr>
                <w:sz w:val="22"/>
                <w:szCs w:val="22"/>
              </w:rPr>
              <w:t>15 (4,6 %)</w:t>
            </w:r>
          </w:p>
        </w:tc>
      </w:tr>
      <w:tr w:rsidR="00E27199" w:rsidRPr="00E8404F" w14:paraId="204A0AF0" w14:textId="77777777" w:rsidTr="00E27199">
        <w:trPr>
          <w:trHeight w:val="261"/>
        </w:trPr>
        <w:tc>
          <w:tcPr>
            <w:tcW w:w="3228" w:type="dxa"/>
            <w:tcBorders>
              <w:top w:val="single" w:sz="4" w:space="0" w:color="000000"/>
              <w:left w:val="single" w:sz="4" w:space="0" w:color="000000"/>
              <w:bottom w:val="single" w:sz="4" w:space="0" w:color="000000"/>
              <w:right w:val="single" w:sz="4" w:space="0" w:color="000000"/>
            </w:tcBorders>
          </w:tcPr>
          <w:p w14:paraId="09ACA032" w14:textId="77777777" w:rsidR="00E27199" w:rsidRPr="00E8404F" w:rsidRDefault="00E27199" w:rsidP="00725429">
            <w:pPr>
              <w:pStyle w:val="TableParagraph"/>
              <w:tabs>
                <w:tab w:val="left" w:pos="9781"/>
              </w:tabs>
              <w:kinsoku w:val="0"/>
              <w:overflowPunct w:val="0"/>
              <w:spacing w:line="240" w:lineRule="auto"/>
              <w:ind w:left="390"/>
              <w:rPr>
                <w:sz w:val="22"/>
                <w:szCs w:val="22"/>
              </w:rPr>
            </w:pPr>
            <w:r>
              <w:rPr>
                <w:sz w:val="22"/>
                <w:szCs w:val="22"/>
              </w:rPr>
              <w:t>Paetielt</w:t>
            </w:r>
            <w:r w:rsidRPr="00E8404F">
              <w:rPr>
                <w:sz w:val="22"/>
                <w:szCs w:val="22"/>
              </w:rPr>
              <w:t xml:space="preserve"> respons (PR)</w:t>
            </w:r>
          </w:p>
        </w:tc>
        <w:tc>
          <w:tcPr>
            <w:tcW w:w="2976" w:type="dxa"/>
            <w:tcBorders>
              <w:top w:val="single" w:sz="4" w:space="0" w:color="000000"/>
              <w:left w:val="single" w:sz="4" w:space="0" w:color="000000"/>
              <w:bottom w:val="single" w:sz="4" w:space="0" w:color="000000"/>
              <w:right w:val="single" w:sz="4" w:space="0" w:color="000000"/>
            </w:tcBorders>
          </w:tcPr>
          <w:p w14:paraId="3E8A5011" w14:textId="77777777" w:rsidR="00E27199" w:rsidRPr="00E8404F" w:rsidRDefault="00E27199" w:rsidP="00725429">
            <w:pPr>
              <w:pStyle w:val="TableParagraph"/>
              <w:tabs>
                <w:tab w:val="left" w:pos="9781"/>
              </w:tabs>
              <w:kinsoku w:val="0"/>
              <w:overflowPunct w:val="0"/>
              <w:spacing w:line="240" w:lineRule="auto"/>
              <w:ind w:left="562" w:right="560"/>
              <w:jc w:val="center"/>
              <w:rPr>
                <w:sz w:val="22"/>
                <w:szCs w:val="22"/>
              </w:rPr>
            </w:pPr>
            <w:r w:rsidRPr="00E8404F">
              <w:rPr>
                <w:sz w:val="22"/>
                <w:szCs w:val="22"/>
              </w:rPr>
              <w:t>154 (47,7 %)</w:t>
            </w:r>
          </w:p>
        </w:tc>
        <w:tc>
          <w:tcPr>
            <w:tcW w:w="3084" w:type="dxa"/>
            <w:tcBorders>
              <w:top w:val="single" w:sz="4" w:space="0" w:color="000000"/>
              <w:left w:val="single" w:sz="4" w:space="0" w:color="000000"/>
              <w:bottom w:val="single" w:sz="4" w:space="0" w:color="000000"/>
              <w:right w:val="single" w:sz="4" w:space="0" w:color="000000"/>
            </w:tcBorders>
          </w:tcPr>
          <w:p w14:paraId="5B2E74F7" w14:textId="77777777" w:rsidR="00E27199" w:rsidRPr="00E8404F" w:rsidRDefault="00E27199" w:rsidP="00725429">
            <w:pPr>
              <w:pStyle w:val="TableParagraph"/>
              <w:tabs>
                <w:tab w:val="left" w:pos="9781"/>
              </w:tabs>
              <w:kinsoku w:val="0"/>
              <w:overflowPunct w:val="0"/>
              <w:spacing w:line="240" w:lineRule="auto"/>
              <w:ind w:left="674" w:right="665"/>
              <w:jc w:val="center"/>
              <w:rPr>
                <w:sz w:val="22"/>
                <w:szCs w:val="22"/>
              </w:rPr>
            </w:pPr>
            <w:r w:rsidRPr="00E8404F">
              <w:rPr>
                <w:sz w:val="22"/>
                <w:szCs w:val="22"/>
              </w:rPr>
              <w:t>74 (22,6 %)</w:t>
            </w:r>
          </w:p>
        </w:tc>
      </w:tr>
      <w:tr w:rsidR="00E27199" w:rsidRPr="00E8404F" w14:paraId="2B2A7E05" w14:textId="77777777" w:rsidTr="00E27199">
        <w:trPr>
          <w:trHeight w:val="261"/>
        </w:trPr>
        <w:tc>
          <w:tcPr>
            <w:tcW w:w="3228" w:type="dxa"/>
            <w:tcBorders>
              <w:top w:val="single" w:sz="4" w:space="0" w:color="000000"/>
              <w:left w:val="single" w:sz="4" w:space="0" w:color="000000"/>
              <w:bottom w:val="single" w:sz="4" w:space="0" w:color="000000"/>
              <w:right w:val="single" w:sz="4" w:space="0" w:color="000000"/>
            </w:tcBorders>
          </w:tcPr>
          <w:p w14:paraId="53925F8B" w14:textId="77777777" w:rsidR="00E27199" w:rsidRPr="00E8404F" w:rsidRDefault="00E27199" w:rsidP="00725429">
            <w:pPr>
              <w:pStyle w:val="TableParagraph"/>
              <w:tabs>
                <w:tab w:val="left" w:pos="9781"/>
              </w:tabs>
              <w:kinsoku w:val="0"/>
              <w:overflowPunct w:val="0"/>
              <w:spacing w:line="240" w:lineRule="auto"/>
              <w:ind w:left="390"/>
              <w:rPr>
                <w:sz w:val="22"/>
                <w:szCs w:val="22"/>
              </w:rPr>
            </w:pPr>
            <w:r w:rsidRPr="00E8404F">
              <w:rPr>
                <w:sz w:val="22"/>
                <w:szCs w:val="22"/>
              </w:rPr>
              <w:t>Stabil sygdom (SD)</w:t>
            </w:r>
          </w:p>
        </w:tc>
        <w:tc>
          <w:tcPr>
            <w:tcW w:w="2976" w:type="dxa"/>
            <w:tcBorders>
              <w:top w:val="single" w:sz="4" w:space="0" w:color="000000"/>
              <w:left w:val="single" w:sz="4" w:space="0" w:color="000000"/>
              <w:bottom w:val="single" w:sz="4" w:space="0" w:color="000000"/>
              <w:right w:val="single" w:sz="4" w:space="0" w:color="000000"/>
            </w:tcBorders>
          </w:tcPr>
          <w:p w14:paraId="316846D7" w14:textId="77777777" w:rsidR="00E27199" w:rsidRPr="00E8404F" w:rsidRDefault="00E27199" w:rsidP="00725429">
            <w:pPr>
              <w:pStyle w:val="TableParagraph"/>
              <w:tabs>
                <w:tab w:val="left" w:pos="9781"/>
              </w:tabs>
              <w:kinsoku w:val="0"/>
              <w:overflowPunct w:val="0"/>
              <w:spacing w:line="240" w:lineRule="auto"/>
              <w:ind w:left="562" w:right="560"/>
              <w:jc w:val="center"/>
              <w:rPr>
                <w:sz w:val="22"/>
                <w:szCs w:val="22"/>
              </w:rPr>
            </w:pPr>
            <w:r w:rsidRPr="00E8404F">
              <w:rPr>
                <w:sz w:val="22"/>
                <w:szCs w:val="22"/>
              </w:rPr>
              <w:t>104 (32,2 %)</w:t>
            </w:r>
          </w:p>
        </w:tc>
        <w:tc>
          <w:tcPr>
            <w:tcW w:w="3084" w:type="dxa"/>
            <w:tcBorders>
              <w:top w:val="single" w:sz="4" w:space="0" w:color="000000"/>
              <w:left w:val="single" w:sz="4" w:space="0" w:color="000000"/>
              <w:bottom w:val="single" w:sz="4" w:space="0" w:color="000000"/>
              <w:right w:val="single" w:sz="4" w:space="0" w:color="000000"/>
            </w:tcBorders>
          </w:tcPr>
          <w:p w14:paraId="08727CCD" w14:textId="77777777" w:rsidR="00E27199" w:rsidRPr="00E8404F" w:rsidRDefault="00E27199" w:rsidP="00725429">
            <w:pPr>
              <w:pStyle w:val="TableParagraph"/>
              <w:tabs>
                <w:tab w:val="left" w:pos="9781"/>
              </w:tabs>
              <w:kinsoku w:val="0"/>
              <w:overflowPunct w:val="0"/>
              <w:spacing w:line="240" w:lineRule="auto"/>
              <w:ind w:left="674" w:right="665"/>
              <w:jc w:val="center"/>
              <w:rPr>
                <w:sz w:val="22"/>
                <w:szCs w:val="22"/>
              </w:rPr>
            </w:pPr>
            <w:r w:rsidRPr="00E8404F">
              <w:rPr>
                <w:sz w:val="22"/>
                <w:szCs w:val="22"/>
              </w:rPr>
              <w:t>138 (42,1 %)</w:t>
            </w:r>
          </w:p>
        </w:tc>
      </w:tr>
      <w:tr w:rsidR="00E27199" w:rsidRPr="00E8404F" w14:paraId="4D0725F9" w14:textId="77777777" w:rsidTr="00E27199">
        <w:trPr>
          <w:trHeight w:val="261"/>
        </w:trPr>
        <w:tc>
          <w:tcPr>
            <w:tcW w:w="3228" w:type="dxa"/>
            <w:tcBorders>
              <w:top w:val="single" w:sz="4" w:space="0" w:color="000000"/>
              <w:left w:val="single" w:sz="4" w:space="0" w:color="000000"/>
              <w:bottom w:val="single" w:sz="4" w:space="0" w:color="000000"/>
              <w:right w:val="single" w:sz="4" w:space="0" w:color="000000"/>
            </w:tcBorders>
          </w:tcPr>
          <w:p w14:paraId="18314C7A" w14:textId="77777777" w:rsidR="00E27199" w:rsidRPr="00E8404F" w:rsidRDefault="00E27199" w:rsidP="00725429">
            <w:pPr>
              <w:pStyle w:val="TableParagraph"/>
              <w:tabs>
                <w:tab w:val="left" w:pos="9781"/>
              </w:tabs>
              <w:kinsoku w:val="0"/>
              <w:overflowPunct w:val="0"/>
              <w:spacing w:line="240" w:lineRule="auto"/>
              <w:rPr>
                <w:b/>
                <w:bCs/>
                <w:position w:val="8"/>
                <w:sz w:val="14"/>
                <w:szCs w:val="14"/>
              </w:rPr>
            </w:pPr>
            <w:r w:rsidRPr="00E8404F">
              <w:rPr>
                <w:b/>
                <w:bCs/>
                <w:sz w:val="22"/>
                <w:szCs w:val="22"/>
              </w:rPr>
              <w:t>Median responsvarighed</w:t>
            </w:r>
            <w:r w:rsidRPr="00E8404F">
              <w:rPr>
                <w:b/>
                <w:bCs/>
                <w:position w:val="8"/>
                <w:sz w:val="14"/>
                <w:szCs w:val="14"/>
              </w:rPr>
              <w:t>d</w:t>
            </w:r>
          </w:p>
        </w:tc>
        <w:tc>
          <w:tcPr>
            <w:tcW w:w="2976" w:type="dxa"/>
            <w:tcBorders>
              <w:top w:val="single" w:sz="4" w:space="0" w:color="000000"/>
              <w:left w:val="single" w:sz="4" w:space="0" w:color="000000"/>
              <w:bottom w:val="single" w:sz="4" w:space="0" w:color="000000"/>
              <w:right w:val="single" w:sz="4" w:space="0" w:color="000000"/>
            </w:tcBorders>
          </w:tcPr>
          <w:p w14:paraId="364FA2D0" w14:textId="77777777" w:rsidR="00E27199" w:rsidRPr="00E8404F" w:rsidRDefault="00E27199" w:rsidP="00725429">
            <w:pPr>
              <w:pStyle w:val="TableParagraph"/>
              <w:tabs>
                <w:tab w:val="left" w:pos="9781"/>
              </w:tabs>
              <w:kinsoku w:val="0"/>
              <w:overflowPunct w:val="0"/>
              <w:spacing w:line="240" w:lineRule="auto"/>
              <w:ind w:left="0"/>
              <w:rPr>
                <w:sz w:val="18"/>
                <w:szCs w:val="18"/>
              </w:rPr>
            </w:pPr>
          </w:p>
        </w:tc>
        <w:tc>
          <w:tcPr>
            <w:tcW w:w="3084" w:type="dxa"/>
            <w:tcBorders>
              <w:top w:val="single" w:sz="4" w:space="0" w:color="000000"/>
              <w:left w:val="single" w:sz="4" w:space="0" w:color="000000"/>
              <w:bottom w:val="single" w:sz="4" w:space="0" w:color="000000"/>
              <w:right w:val="single" w:sz="4" w:space="0" w:color="000000"/>
            </w:tcBorders>
          </w:tcPr>
          <w:p w14:paraId="2825CBC6" w14:textId="77777777" w:rsidR="00E27199" w:rsidRPr="00E8404F" w:rsidRDefault="00E27199" w:rsidP="00725429">
            <w:pPr>
              <w:pStyle w:val="TableParagraph"/>
              <w:tabs>
                <w:tab w:val="left" w:pos="9781"/>
              </w:tabs>
              <w:kinsoku w:val="0"/>
              <w:overflowPunct w:val="0"/>
              <w:spacing w:line="240" w:lineRule="auto"/>
              <w:ind w:left="0"/>
              <w:rPr>
                <w:sz w:val="18"/>
                <w:szCs w:val="18"/>
              </w:rPr>
            </w:pPr>
          </w:p>
        </w:tc>
      </w:tr>
      <w:tr w:rsidR="00E27199" w:rsidRPr="00E8404F" w14:paraId="3ED4F1DF" w14:textId="77777777" w:rsidTr="00E27199">
        <w:trPr>
          <w:trHeight w:val="261"/>
        </w:trPr>
        <w:tc>
          <w:tcPr>
            <w:tcW w:w="3228" w:type="dxa"/>
            <w:tcBorders>
              <w:top w:val="single" w:sz="4" w:space="0" w:color="000000"/>
              <w:left w:val="single" w:sz="4" w:space="0" w:color="000000"/>
              <w:bottom w:val="single" w:sz="4" w:space="0" w:color="000000"/>
              <w:right w:val="single" w:sz="4" w:space="0" w:color="000000"/>
            </w:tcBorders>
          </w:tcPr>
          <w:p w14:paraId="2648A065" w14:textId="77777777" w:rsidR="00E27199" w:rsidRPr="00E8404F" w:rsidRDefault="00E27199" w:rsidP="00725429">
            <w:pPr>
              <w:pStyle w:val="TableParagraph"/>
              <w:tabs>
                <w:tab w:val="left" w:pos="9781"/>
              </w:tabs>
              <w:kinsoku w:val="0"/>
              <w:overflowPunct w:val="0"/>
              <w:spacing w:line="240" w:lineRule="auto"/>
              <w:ind w:left="287"/>
              <w:rPr>
                <w:sz w:val="22"/>
                <w:szCs w:val="22"/>
              </w:rPr>
            </w:pPr>
            <w:r w:rsidRPr="00E8404F">
              <w:rPr>
                <w:sz w:val="22"/>
                <w:szCs w:val="22"/>
              </w:rPr>
              <w:t>Måneder (interval)</w:t>
            </w:r>
          </w:p>
        </w:tc>
        <w:tc>
          <w:tcPr>
            <w:tcW w:w="2976" w:type="dxa"/>
            <w:tcBorders>
              <w:top w:val="single" w:sz="4" w:space="0" w:color="000000"/>
              <w:left w:val="single" w:sz="4" w:space="0" w:color="000000"/>
              <w:bottom w:val="single" w:sz="4" w:space="0" w:color="000000"/>
              <w:right w:val="single" w:sz="4" w:space="0" w:color="000000"/>
            </w:tcBorders>
          </w:tcPr>
          <w:p w14:paraId="4B3DFB7D" w14:textId="77777777" w:rsidR="00E27199" w:rsidRPr="00E8404F" w:rsidRDefault="00E27199" w:rsidP="00725429">
            <w:pPr>
              <w:pStyle w:val="TableParagraph"/>
              <w:tabs>
                <w:tab w:val="left" w:pos="9781"/>
              </w:tabs>
              <w:kinsoku w:val="0"/>
              <w:overflowPunct w:val="0"/>
              <w:spacing w:line="240" w:lineRule="auto"/>
              <w:ind w:left="563" w:right="560"/>
              <w:jc w:val="center"/>
              <w:rPr>
                <w:sz w:val="22"/>
                <w:szCs w:val="22"/>
              </w:rPr>
            </w:pPr>
            <w:r w:rsidRPr="00E8404F">
              <w:rPr>
                <w:sz w:val="22"/>
                <w:szCs w:val="22"/>
              </w:rPr>
              <w:t>20,17 (17,31; N.E.)</w:t>
            </w:r>
          </w:p>
        </w:tc>
        <w:tc>
          <w:tcPr>
            <w:tcW w:w="3084" w:type="dxa"/>
            <w:tcBorders>
              <w:top w:val="single" w:sz="4" w:space="0" w:color="000000"/>
              <w:left w:val="single" w:sz="4" w:space="0" w:color="000000"/>
              <w:bottom w:val="single" w:sz="4" w:space="0" w:color="000000"/>
              <w:right w:val="single" w:sz="4" w:space="0" w:color="000000"/>
            </w:tcBorders>
          </w:tcPr>
          <w:p w14:paraId="23E5B81D" w14:textId="77777777" w:rsidR="00E27199" w:rsidRPr="00E8404F" w:rsidRDefault="00E27199" w:rsidP="00725429">
            <w:pPr>
              <w:pStyle w:val="TableParagraph"/>
              <w:tabs>
                <w:tab w:val="left" w:pos="9781"/>
              </w:tabs>
              <w:kinsoku w:val="0"/>
              <w:overflowPunct w:val="0"/>
              <w:spacing w:line="240" w:lineRule="auto"/>
              <w:ind w:left="676" w:right="665"/>
              <w:jc w:val="center"/>
              <w:rPr>
                <w:sz w:val="22"/>
                <w:szCs w:val="22"/>
              </w:rPr>
            </w:pPr>
            <w:r w:rsidRPr="00E8404F">
              <w:rPr>
                <w:sz w:val="22"/>
                <w:szCs w:val="22"/>
              </w:rPr>
              <w:t>11,47 (8,31; 18,43)</w:t>
            </w:r>
          </w:p>
        </w:tc>
      </w:tr>
      <w:tr w:rsidR="00E27199" w:rsidRPr="00E8404F" w14:paraId="27FB4D6A" w14:textId="77777777" w:rsidTr="00E27199">
        <w:trPr>
          <w:trHeight w:val="261"/>
        </w:trPr>
        <w:tc>
          <w:tcPr>
            <w:tcW w:w="3228" w:type="dxa"/>
            <w:tcBorders>
              <w:top w:val="single" w:sz="4" w:space="0" w:color="000000"/>
              <w:left w:val="single" w:sz="4" w:space="0" w:color="000000"/>
              <w:bottom w:val="single" w:sz="4" w:space="0" w:color="000000"/>
              <w:right w:val="single" w:sz="4" w:space="0" w:color="000000"/>
            </w:tcBorders>
          </w:tcPr>
          <w:p w14:paraId="0A4FE0D7" w14:textId="77777777" w:rsidR="00E27199" w:rsidRPr="00E8404F" w:rsidRDefault="00E27199" w:rsidP="00725429">
            <w:pPr>
              <w:pStyle w:val="TableParagraph"/>
              <w:tabs>
                <w:tab w:val="left" w:pos="9781"/>
              </w:tabs>
              <w:kinsoku w:val="0"/>
              <w:overflowPunct w:val="0"/>
              <w:spacing w:line="240" w:lineRule="auto"/>
              <w:rPr>
                <w:b/>
                <w:bCs/>
                <w:sz w:val="22"/>
                <w:szCs w:val="22"/>
              </w:rPr>
            </w:pPr>
            <w:r w:rsidRPr="00E8404F">
              <w:rPr>
                <w:b/>
                <w:bCs/>
                <w:sz w:val="22"/>
                <w:szCs w:val="22"/>
              </w:rPr>
              <w:t>Mediantid til respons</w:t>
            </w:r>
          </w:p>
        </w:tc>
        <w:tc>
          <w:tcPr>
            <w:tcW w:w="2976" w:type="dxa"/>
            <w:tcBorders>
              <w:top w:val="single" w:sz="4" w:space="0" w:color="000000"/>
              <w:left w:val="single" w:sz="4" w:space="0" w:color="000000"/>
              <w:bottom w:val="single" w:sz="4" w:space="0" w:color="000000"/>
              <w:right w:val="single" w:sz="4" w:space="0" w:color="000000"/>
            </w:tcBorders>
          </w:tcPr>
          <w:p w14:paraId="35715001" w14:textId="77777777" w:rsidR="00E27199" w:rsidRPr="00E8404F" w:rsidRDefault="00E27199" w:rsidP="00725429">
            <w:pPr>
              <w:pStyle w:val="TableParagraph"/>
              <w:tabs>
                <w:tab w:val="left" w:pos="9781"/>
              </w:tabs>
              <w:kinsoku w:val="0"/>
              <w:overflowPunct w:val="0"/>
              <w:spacing w:line="240" w:lineRule="auto"/>
              <w:ind w:left="0"/>
              <w:rPr>
                <w:sz w:val="18"/>
                <w:szCs w:val="18"/>
              </w:rPr>
            </w:pPr>
          </w:p>
        </w:tc>
        <w:tc>
          <w:tcPr>
            <w:tcW w:w="3084" w:type="dxa"/>
            <w:tcBorders>
              <w:top w:val="single" w:sz="4" w:space="0" w:color="000000"/>
              <w:left w:val="single" w:sz="4" w:space="0" w:color="000000"/>
              <w:bottom w:val="single" w:sz="4" w:space="0" w:color="000000"/>
              <w:right w:val="single" w:sz="4" w:space="0" w:color="000000"/>
            </w:tcBorders>
          </w:tcPr>
          <w:p w14:paraId="5716FD2B" w14:textId="77777777" w:rsidR="00E27199" w:rsidRPr="00E8404F" w:rsidRDefault="00E27199" w:rsidP="00725429">
            <w:pPr>
              <w:pStyle w:val="TableParagraph"/>
              <w:tabs>
                <w:tab w:val="left" w:pos="9781"/>
              </w:tabs>
              <w:kinsoku w:val="0"/>
              <w:overflowPunct w:val="0"/>
              <w:spacing w:line="240" w:lineRule="auto"/>
              <w:ind w:left="0"/>
              <w:rPr>
                <w:sz w:val="18"/>
                <w:szCs w:val="18"/>
              </w:rPr>
            </w:pPr>
          </w:p>
        </w:tc>
      </w:tr>
      <w:tr w:rsidR="00E27199" w:rsidRPr="00E8404F" w14:paraId="4F8382A6" w14:textId="77777777" w:rsidTr="00E27199">
        <w:trPr>
          <w:trHeight w:val="261"/>
        </w:trPr>
        <w:tc>
          <w:tcPr>
            <w:tcW w:w="3228" w:type="dxa"/>
            <w:tcBorders>
              <w:top w:val="single" w:sz="4" w:space="0" w:color="000000"/>
              <w:left w:val="single" w:sz="4" w:space="0" w:color="000000"/>
              <w:bottom w:val="single" w:sz="4" w:space="0" w:color="000000"/>
              <w:right w:val="single" w:sz="4" w:space="0" w:color="000000"/>
            </w:tcBorders>
          </w:tcPr>
          <w:p w14:paraId="6ED59979" w14:textId="77777777" w:rsidR="00E27199" w:rsidRPr="00E8404F" w:rsidRDefault="00E27199" w:rsidP="00725429">
            <w:pPr>
              <w:pStyle w:val="TableParagraph"/>
              <w:tabs>
                <w:tab w:val="left" w:pos="9781"/>
              </w:tabs>
              <w:kinsoku w:val="0"/>
              <w:overflowPunct w:val="0"/>
              <w:spacing w:line="240" w:lineRule="auto"/>
              <w:ind w:left="287"/>
              <w:rPr>
                <w:sz w:val="22"/>
                <w:szCs w:val="22"/>
              </w:rPr>
            </w:pPr>
            <w:r w:rsidRPr="00E8404F">
              <w:rPr>
                <w:sz w:val="22"/>
                <w:szCs w:val="22"/>
              </w:rPr>
              <w:t>Måneder (interval)</w:t>
            </w:r>
          </w:p>
        </w:tc>
        <w:tc>
          <w:tcPr>
            <w:tcW w:w="2976" w:type="dxa"/>
            <w:tcBorders>
              <w:top w:val="single" w:sz="4" w:space="0" w:color="000000"/>
              <w:left w:val="single" w:sz="4" w:space="0" w:color="000000"/>
              <w:bottom w:val="single" w:sz="4" w:space="0" w:color="000000"/>
              <w:right w:val="single" w:sz="4" w:space="0" w:color="000000"/>
            </w:tcBorders>
          </w:tcPr>
          <w:p w14:paraId="136D991E" w14:textId="77777777" w:rsidR="00E27199" w:rsidRPr="00E8404F" w:rsidRDefault="00E27199" w:rsidP="00725429">
            <w:pPr>
              <w:pStyle w:val="TableParagraph"/>
              <w:tabs>
                <w:tab w:val="left" w:pos="9781"/>
              </w:tabs>
              <w:kinsoku w:val="0"/>
              <w:overflowPunct w:val="0"/>
              <w:spacing w:line="240" w:lineRule="auto"/>
              <w:ind w:left="563" w:right="557"/>
              <w:jc w:val="center"/>
              <w:rPr>
                <w:sz w:val="22"/>
                <w:szCs w:val="22"/>
              </w:rPr>
            </w:pPr>
            <w:r w:rsidRPr="00E8404F">
              <w:rPr>
                <w:sz w:val="22"/>
                <w:szCs w:val="22"/>
              </w:rPr>
              <w:t>2,83 (1,0-19,4)</w:t>
            </w:r>
          </w:p>
        </w:tc>
        <w:tc>
          <w:tcPr>
            <w:tcW w:w="3084" w:type="dxa"/>
            <w:tcBorders>
              <w:top w:val="single" w:sz="4" w:space="0" w:color="000000"/>
              <w:left w:val="single" w:sz="4" w:space="0" w:color="000000"/>
              <w:bottom w:val="single" w:sz="4" w:space="0" w:color="000000"/>
              <w:right w:val="single" w:sz="4" w:space="0" w:color="000000"/>
            </w:tcBorders>
          </w:tcPr>
          <w:p w14:paraId="6E97C593" w14:textId="77777777" w:rsidR="00E27199" w:rsidRPr="00E8404F" w:rsidRDefault="00E27199" w:rsidP="00725429">
            <w:pPr>
              <w:pStyle w:val="TableParagraph"/>
              <w:tabs>
                <w:tab w:val="left" w:pos="9781"/>
              </w:tabs>
              <w:kinsoku w:val="0"/>
              <w:overflowPunct w:val="0"/>
              <w:spacing w:line="240" w:lineRule="auto"/>
              <w:ind w:left="673" w:right="665"/>
              <w:jc w:val="center"/>
              <w:rPr>
                <w:sz w:val="22"/>
                <w:szCs w:val="22"/>
              </w:rPr>
            </w:pPr>
            <w:r w:rsidRPr="00E8404F">
              <w:rPr>
                <w:sz w:val="22"/>
                <w:szCs w:val="22"/>
              </w:rPr>
              <w:t>4,17 (1,7-12,3)</w:t>
            </w:r>
          </w:p>
        </w:tc>
      </w:tr>
    </w:tbl>
    <w:p w14:paraId="17E55B5A" w14:textId="77777777" w:rsidR="00E27199" w:rsidRPr="00E8404F" w:rsidRDefault="00E27199" w:rsidP="00E27199">
      <w:pPr>
        <w:pStyle w:val="Brdtekst"/>
        <w:tabs>
          <w:tab w:val="left" w:pos="9781"/>
        </w:tabs>
        <w:kinsoku w:val="0"/>
        <w:overflowPunct w:val="0"/>
        <w:ind w:left="540"/>
        <w:rPr>
          <w:sz w:val="18"/>
          <w:szCs w:val="18"/>
        </w:rPr>
      </w:pPr>
      <w:r w:rsidRPr="00044F9C">
        <w:rPr>
          <w:position w:val="7"/>
          <w:sz w:val="18"/>
          <w:szCs w:val="18"/>
          <w:lang w:val="en-US"/>
        </w:rPr>
        <w:t xml:space="preserve">a </w:t>
      </w:r>
      <w:r w:rsidRPr="00044F9C">
        <w:rPr>
          <w:sz w:val="18"/>
          <w:szCs w:val="18"/>
          <w:lang w:val="en-US"/>
        </w:rPr>
        <w:t xml:space="preserve">Stratificeret Cox proportional risikomodel. </w:t>
      </w:r>
      <w:r w:rsidRPr="00E8404F">
        <w:rPr>
          <w:i/>
          <w:iCs/>
          <w:sz w:val="18"/>
          <w:szCs w:val="18"/>
        </w:rPr>
        <w:t xml:space="preserve">Hazard ratio </w:t>
      </w:r>
      <w:r w:rsidRPr="00E8404F">
        <w:rPr>
          <w:sz w:val="18"/>
          <w:szCs w:val="18"/>
        </w:rPr>
        <w:t>er nivolumab og cabozantinib over sunitinib.</w:t>
      </w:r>
    </w:p>
    <w:p w14:paraId="54EE5700" w14:textId="77777777" w:rsidR="00E27199" w:rsidRPr="00E8404F" w:rsidRDefault="00E27199" w:rsidP="00E27199">
      <w:pPr>
        <w:pStyle w:val="Brdtekst"/>
        <w:tabs>
          <w:tab w:val="left" w:pos="9781"/>
        </w:tabs>
        <w:kinsoku w:val="0"/>
        <w:overflowPunct w:val="0"/>
        <w:ind w:left="540"/>
        <w:rPr>
          <w:sz w:val="18"/>
          <w:szCs w:val="18"/>
        </w:rPr>
      </w:pPr>
      <w:r w:rsidRPr="00E8404F">
        <w:rPr>
          <w:position w:val="7"/>
          <w:sz w:val="18"/>
          <w:szCs w:val="18"/>
        </w:rPr>
        <w:t xml:space="preserve">b </w:t>
      </w:r>
      <w:r w:rsidRPr="00E8404F">
        <w:rPr>
          <w:sz w:val="18"/>
          <w:szCs w:val="18"/>
        </w:rPr>
        <w:t>2-sidet p-værdi fra stratificeret regulær log-rank test.</w:t>
      </w:r>
    </w:p>
    <w:p w14:paraId="568C7A88" w14:textId="77777777" w:rsidR="00E27199" w:rsidRPr="00E8404F" w:rsidRDefault="00E27199" w:rsidP="00E27199">
      <w:pPr>
        <w:pStyle w:val="Brdtekst"/>
        <w:tabs>
          <w:tab w:val="left" w:pos="9781"/>
        </w:tabs>
        <w:kinsoku w:val="0"/>
        <w:overflowPunct w:val="0"/>
        <w:ind w:left="540"/>
        <w:rPr>
          <w:sz w:val="18"/>
          <w:szCs w:val="18"/>
        </w:rPr>
      </w:pPr>
      <w:r w:rsidRPr="00E8404F">
        <w:rPr>
          <w:position w:val="7"/>
          <w:sz w:val="18"/>
          <w:szCs w:val="18"/>
        </w:rPr>
        <w:t xml:space="preserve">c </w:t>
      </w:r>
      <w:r w:rsidRPr="00E8404F">
        <w:rPr>
          <w:sz w:val="18"/>
          <w:szCs w:val="18"/>
        </w:rPr>
        <w:t>Log-rank test stratificeret efter IMDC prognostisk risikoscore (0, 1-2, 3-6), PD-L1 tumor-ekspression (</w:t>
      </w:r>
      <w:r w:rsidRPr="00E8404F">
        <w:rPr>
          <w:rFonts w:ascii="Symbol" w:hAnsi="Symbol" w:cs="Symbol"/>
          <w:sz w:val="18"/>
          <w:szCs w:val="18"/>
        </w:rPr>
        <w:t></w:t>
      </w:r>
      <w:r w:rsidRPr="00E8404F">
        <w:rPr>
          <w:sz w:val="18"/>
          <w:szCs w:val="18"/>
        </w:rPr>
        <w:t xml:space="preserve">1 % </w:t>
      </w:r>
      <w:r w:rsidRPr="00E8404F">
        <w:rPr>
          <w:i/>
          <w:iCs/>
          <w:sz w:val="18"/>
          <w:szCs w:val="18"/>
        </w:rPr>
        <w:t>vs.</w:t>
      </w:r>
    </w:p>
    <w:p w14:paraId="6645A3F2" w14:textId="77777777" w:rsidR="00E27199" w:rsidRPr="00E8404F" w:rsidRDefault="00E27199" w:rsidP="00E27199">
      <w:pPr>
        <w:pStyle w:val="Brdtekst"/>
        <w:tabs>
          <w:tab w:val="left" w:pos="9781"/>
        </w:tabs>
        <w:kinsoku w:val="0"/>
        <w:overflowPunct w:val="0"/>
        <w:ind w:left="540"/>
        <w:rPr>
          <w:sz w:val="18"/>
          <w:szCs w:val="18"/>
        </w:rPr>
      </w:pPr>
      <w:r w:rsidRPr="00E8404F">
        <w:rPr>
          <w:sz w:val="18"/>
          <w:szCs w:val="18"/>
        </w:rPr>
        <w:t>&lt;1 % eller ubestemmelig) og region (USA/Canada/Vesteuropa/Nordeuropa, ROW) som angivet i IRT.</w:t>
      </w:r>
    </w:p>
    <w:p w14:paraId="18AF7460" w14:textId="77777777" w:rsidR="00E27199" w:rsidRPr="00E8404F" w:rsidRDefault="00E27199" w:rsidP="00E27199">
      <w:pPr>
        <w:pStyle w:val="Brdtekst"/>
        <w:tabs>
          <w:tab w:val="left" w:pos="9781"/>
        </w:tabs>
        <w:kinsoku w:val="0"/>
        <w:overflowPunct w:val="0"/>
        <w:ind w:left="540"/>
        <w:rPr>
          <w:sz w:val="18"/>
          <w:szCs w:val="18"/>
        </w:rPr>
      </w:pPr>
      <w:r w:rsidRPr="00E8404F">
        <w:rPr>
          <w:position w:val="7"/>
          <w:sz w:val="18"/>
          <w:szCs w:val="18"/>
        </w:rPr>
        <w:t xml:space="preserve">d </w:t>
      </w:r>
      <w:r w:rsidRPr="00E8404F">
        <w:rPr>
          <w:sz w:val="18"/>
          <w:szCs w:val="18"/>
        </w:rPr>
        <w:t>Baseret på Kaplan-Meier-estimater.</w:t>
      </w:r>
    </w:p>
    <w:p w14:paraId="1E104B36" w14:textId="77777777" w:rsidR="00E27199" w:rsidRPr="00E8404F" w:rsidRDefault="00E27199" w:rsidP="00E27199">
      <w:pPr>
        <w:pStyle w:val="Brdtekst"/>
        <w:tabs>
          <w:tab w:val="left" w:pos="9781"/>
        </w:tabs>
        <w:kinsoku w:val="0"/>
        <w:overflowPunct w:val="0"/>
        <w:ind w:left="540"/>
        <w:rPr>
          <w:sz w:val="18"/>
          <w:szCs w:val="18"/>
        </w:rPr>
      </w:pPr>
      <w:r w:rsidRPr="00E8404F">
        <w:rPr>
          <w:position w:val="7"/>
          <w:sz w:val="18"/>
          <w:szCs w:val="18"/>
        </w:rPr>
        <w:t xml:space="preserve">e </w:t>
      </w:r>
      <w:r w:rsidRPr="00E8404F">
        <w:rPr>
          <w:sz w:val="18"/>
          <w:szCs w:val="18"/>
        </w:rPr>
        <w:t xml:space="preserve">Grænse for statistisk signifikant p-værdi &lt; 0,0111. </w:t>
      </w:r>
    </w:p>
    <w:p w14:paraId="72222344" w14:textId="77777777" w:rsidR="00E27199" w:rsidRPr="00E8404F" w:rsidRDefault="00E27199" w:rsidP="00E27199">
      <w:pPr>
        <w:pStyle w:val="Brdtekst"/>
        <w:tabs>
          <w:tab w:val="left" w:pos="9781"/>
        </w:tabs>
        <w:kinsoku w:val="0"/>
        <w:overflowPunct w:val="0"/>
        <w:ind w:left="540"/>
        <w:rPr>
          <w:sz w:val="18"/>
          <w:szCs w:val="18"/>
        </w:rPr>
      </w:pPr>
      <w:r w:rsidRPr="00E8404F">
        <w:rPr>
          <w:position w:val="7"/>
          <w:sz w:val="18"/>
          <w:szCs w:val="18"/>
        </w:rPr>
        <w:t xml:space="preserve">f </w:t>
      </w:r>
      <w:r w:rsidRPr="00E8404F">
        <w:rPr>
          <w:sz w:val="18"/>
          <w:szCs w:val="18"/>
        </w:rPr>
        <w:t>CI baseret på Clopper and Pearson-metoden.</w:t>
      </w:r>
    </w:p>
    <w:p w14:paraId="22AFE0F0" w14:textId="77777777" w:rsidR="00E27199" w:rsidRPr="00E8404F" w:rsidRDefault="00E27199" w:rsidP="00E27199">
      <w:pPr>
        <w:pStyle w:val="Brdtekst"/>
        <w:tabs>
          <w:tab w:val="left" w:pos="9781"/>
        </w:tabs>
        <w:kinsoku w:val="0"/>
        <w:overflowPunct w:val="0"/>
        <w:ind w:left="540"/>
        <w:rPr>
          <w:sz w:val="18"/>
          <w:szCs w:val="18"/>
        </w:rPr>
      </w:pPr>
      <w:r w:rsidRPr="00E8404F">
        <w:rPr>
          <w:position w:val="7"/>
          <w:sz w:val="18"/>
          <w:szCs w:val="18"/>
        </w:rPr>
        <w:t xml:space="preserve">g </w:t>
      </w:r>
      <w:r w:rsidRPr="00E8404F">
        <w:rPr>
          <w:sz w:val="18"/>
          <w:szCs w:val="18"/>
        </w:rPr>
        <w:t>Strata justeret forskel i objektiv responsrate (nivolumab + cabozantinib - sunitinib) baseret på DerSimonian and Laird.</w:t>
      </w:r>
    </w:p>
    <w:p w14:paraId="50552D21" w14:textId="77777777" w:rsidR="00E27199" w:rsidRPr="00E8404F" w:rsidRDefault="00E27199" w:rsidP="00E27199">
      <w:pPr>
        <w:pStyle w:val="Brdtekst"/>
        <w:tabs>
          <w:tab w:val="left" w:pos="9781"/>
        </w:tabs>
        <w:kinsoku w:val="0"/>
        <w:overflowPunct w:val="0"/>
        <w:ind w:left="540"/>
        <w:rPr>
          <w:sz w:val="18"/>
          <w:szCs w:val="18"/>
        </w:rPr>
      </w:pPr>
      <w:r w:rsidRPr="00E8404F">
        <w:rPr>
          <w:position w:val="7"/>
          <w:sz w:val="18"/>
          <w:szCs w:val="18"/>
        </w:rPr>
        <w:t xml:space="preserve">h </w:t>
      </w:r>
      <w:r w:rsidRPr="00E8404F">
        <w:rPr>
          <w:sz w:val="18"/>
          <w:szCs w:val="18"/>
        </w:rPr>
        <w:t>2-sidet p-værdi fra CMH-test. NE = ikke estimerbar.</w:t>
      </w:r>
    </w:p>
    <w:p w14:paraId="6EB131F0" w14:textId="77777777" w:rsidR="00E27199" w:rsidRPr="00E27199" w:rsidRDefault="00E27199" w:rsidP="00E27199">
      <w:pPr>
        <w:pStyle w:val="Brdtekst"/>
        <w:tabs>
          <w:tab w:val="left" w:pos="9781"/>
        </w:tabs>
        <w:kinsoku w:val="0"/>
        <w:overflowPunct w:val="0"/>
        <w:ind w:left="851"/>
        <w:rPr>
          <w:sz w:val="24"/>
          <w:szCs w:val="24"/>
        </w:rPr>
      </w:pPr>
    </w:p>
    <w:p w14:paraId="1ED5B40F" w14:textId="77777777" w:rsidR="00E27199" w:rsidRPr="00E27199" w:rsidRDefault="00E27199" w:rsidP="00E27199">
      <w:pPr>
        <w:pStyle w:val="Brdtekst"/>
        <w:tabs>
          <w:tab w:val="left" w:pos="9781"/>
        </w:tabs>
        <w:kinsoku w:val="0"/>
        <w:overflowPunct w:val="0"/>
        <w:ind w:left="851"/>
        <w:rPr>
          <w:sz w:val="24"/>
          <w:szCs w:val="24"/>
        </w:rPr>
      </w:pPr>
      <w:r w:rsidRPr="00E27199">
        <w:rPr>
          <w:sz w:val="24"/>
          <w:szCs w:val="24"/>
        </w:rPr>
        <w:t>Primæranalysen af PFS inkluderede censurering af ny anti-cancer-behandling (tabel 7). Resultaterne for PFS med og uden censurering af ny anti-cancer-behandling var konsistente.</w:t>
      </w:r>
    </w:p>
    <w:p w14:paraId="07695E46" w14:textId="77777777" w:rsidR="00E27199" w:rsidRPr="00E27199" w:rsidRDefault="00E27199" w:rsidP="00E27199">
      <w:pPr>
        <w:pStyle w:val="Brdtekst"/>
        <w:tabs>
          <w:tab w:val="left" w:pos="9781"/>
        </w:tabs>
        <w:kinsoku w:val="0"/>
        <w:overflowPunct w:val="0"/>
        <w:ind w:left="851"/>
        <w:rPr>
          <w:sz w:val="24"/>
          <w:szCs w:val="24"/>
        </w:rPr>
      </w:pPr>
    </w:p>
    <w:p w14:paraId="70524718" w14:textId="77777777" w:rsidR="00E27199" w:rsidRPr="00E27199" w:rsidRDefault="00E27199" w:rsidP="00E27199">
      <w:pPr>
        <w:pStyle w:val="Brdtekst"/>
        <w:tabs>
          <w:tab w:val="left" w:pos="9781"/>
        </w:tabs>
        <w:kinsoku w:val="0"/>
        <w:overflowPunct w:val="0"/>
        <w:ind w:left="851"/>
        <w:rPr>
          <w:sz w:val="24"/>
          <w:szCs w:val="24"/>
        </w:rPr>
      </w:pPr>
      <w:r w:rsidRPr="00E27199">
        <w:rPr>
          <w:sz w:val="24"/>
          <w:szCs w:val="24"/>
        </w:rPr>
        <w:t xml:space="preserve">Der blev observeret PFS-fordel i cabozantinib i kombination med nivolumab-armen </w:t>
      </w:r>
      <w:r w:rsidRPr="00E27199">
        <w:rPr>
          <w:i/>
          <w:iCs/>
          <w:sz w:val="24"/>
          <w:szCs w:val="24"/>
        </w:rPr>
        <w:t xml:space="preserve">vs. </w:t>
      </w:r>
      <w:r w:rsidRPr="00E27199">
        <w:rPr>
          <w:sz w:val="24"/>
          <w:szCs w:val="24"/>
        </w:rPr>
        <w:t>sunitinib uanset PD-L1-tumorekspression. Median-PFS for PD-L1-tumorekspression ≥ 1% var 13,08 måneder for cabozantinib i kombination med nivolumab, og 4,67 måneder i sunitinib-armen (HR = 0,45, 95 % CI: 0,29; 0,68). For PD-L1-tumorekspression &lt; 1% var median-PFS 19,84 måneder for cabozantinib i kombination med nivolumab, og 9,26 måneder i sunitinib-armen (HR = 0,50, 95 % CI: 0,38; 0,65).</w:t>
      </w:r>
    </w:p>
    <w:p w14:paraId="1F7E4F3E" w14:textId="77777777" w:rsidR="00E27199" w:rsidRPr="00E27199" w:rsidRDefault="00E27199" w:rsidP="00E27199">
      <w:pPr>
        <w:pStyle w:val="Brdtekst"/>
        <w:tabs>
          <w:tab w:val="left" w:pos="9781"/>
        </w:tabs>
        <w:kinsoku w:val="0"/>
        <w:overflowPunct w:val="0"/>
        <w:ind w:left="851"/>
        <w:rPr>
          <w:sz w:val="24"/>
          <w:szCs w:val="24"/>
        </w:rPr>
      </w:pPr>
    </w:p>
    <w:p w14:paraId="4BB2CA2D" w14:textId="77777777" w:rsidR="00E27199" w:rsidRPr="00E27199" w:rsidRDefault="00E27199" w:rsidP="00E27199">
      <w:pPr>
        <w:pStyle w:val="Brdtekst"/>
        <w:tabs>
          <w:tab w:val="left" w:pos="9781"/>
        </w:tabs>
        <w:kinsoku w:val="0"/>
        <w:overflowPunct w:val="0"/>
        <w:ind w:left="851"/>
        <w:rPr>
          <w:sz w:val="24"/>
          <w:szCs w:val="24"/>
        </w:rPr>
      </w:pPr>
      <w:r w:rsidRPr="00E27199">
        <w:rPr>
          <w:sz w:val="24"/>
          <w:szCs w:val="24"/>
        </w:rPr>
        <w:t xml:space="preserve">Der blev observeret PFS-fordel i cabozantinib i kombination med nivolumab-armen </w:t>
      </w:r>
      <w:r w:rsidRPr="00E27199">
        <w:rPr>
          <w:i/>
          <w:iCs/>
          <w:sz w:val="24"/>
          <w:szCs w:val="24"/>
        </w:rPr>
        <w:t xml:space="preserve">vs. </w:t>
      </w:r>
      <w:r w:rsidRPr="00E27199">
        <w:rPr>
          <w:sz w:val="24"/>
          <w:szCs w:val="24"/>
        </w:rPr>
        <w:t>sunitinib uanset IMDC-risikogruppe. Median-PFS i lavrisikogruppen blev ikke nået for cabozantinib i kombination med nivolumab og var 12,81 måneder i sunitinib-armen (HR = 0,60, 95 % CI: 0,37; 0,98). Median-PFS i mellemrisikogruppen var 17,71 måneder for cabozantinib i kombination med nivolumab og 8,38 måneder i sunitinib-armen (HR = 0,54, 95 % CI: 0,41; 0,73). Median PFS i højrisikogruppen var 12,29 måneder for cabozantinib i kombination med nivolumab og 4,21 måneder i sunitinib-armen (HR = 0,36, 95 % CI: 0,23; 0,58).</w:t>
      </w:r>
    </w:p>
    <w:p w14:paraId="2502F338" w14:textId="77777777" w:rsidR="00E27199" w:rsidRPr="00E27199" w:rsidRDefault="00E27199" w:rsidP="00E27199">
      <w:pPr>
        <w:pStyle w:val="Brdtekst"/>
        <w:tabs>
          <w:tab w:val="left" w:pos="9781"/>
        </w:tabs>
        <w:kinsoku w:val="0"/>
        <w:overflowPunct w:val="0"/>
        <w:ind w:left="851"/>
        <w:rPr>
          <w:sz w:val="24"/>
          <w:szCs w:val="24"/>
        </w:rPr>
      </w:pPr>
    </w:p>
    <w:p w14:paraId="7D398122" w14:textId="77777777" w:rsidR="00E27199" w:rsidRPr="00E27199" w:rsidRDefault="00E27199" w:rsidP="00E27199">
      <w:pPr>
        <w:pStyle w:val="Brdtekst"/>
        <w:tabs>
          <w:tab w:val="left" w:pos="9781"/>
        </w:tabs>
        <w:kinsoku w:val="0"/>
        <w:overflowPunct w:val="0"/>
        <w:ind w:left="851"/>
        <w:rPr>
          <w:sz w:val="24"/>
          <w:szCs w:val="24"/>
        </w:rPr>
      </w:pPr>
      <w:r w:rsidRPr="00E27199">
        <w:rPr>
          <w:sz w:val="24"/>
          <w:szCs w:val="24"/>
        </w:rPr>
        <w:t xml:space="preserve">Der blev udført en opdateret PFS- og OS-analyse, da alle patienter havde en minimum opfølgningsperiode på 16,0 måneder og en median opfølgningsperiode på 23,5 måneder (se figur 4 og 5). PFS </w:t>
      </w:r>
      <w:r w:rsidRPr="00E27199">
        <w:rPr>
          <w:i/>
          <w:iCs/>
          <w:sz w:val="24"/>
          <w:szCs w:val="24"/>
        </w:rPr>
        <w:t xml:space="preserve">hazard ratio </w:t>
      </w:r>
      <w:r w:rsidRPr="00E27199">
        <w:rPr>
          <w:sz w:val="24"/>
          <w:szCs w:val="24"/>
        </w:rPr>
        <w:t xml:space="preserve">var 0,52 (95 % CI: 0,43; 0,64). OS </w:t>
      </w:r>
      <w:r w:rsidRPr="00E27199">
        <w:rPr>
          <w:i/>
          <w:iCs/>
          <w:sz w:val="24"/>
          <w:szCs w:val="24"/>
        </w:rPr>
        <w:t xml:space="preserve">hazard ratio </w:t>
      </w:r>
      <w:r w:rsidRPr="00E27199">
        <w:rPr>
          <w:sz w:val="24"/>
          <w:szCs w:val="24"/>
        </w:rPr>
        <w:t xml:space="preserve">var 0,66 (95 % CI: 0,50; 0,87). Opdaterede virkningsdata (PFS og OS) i undergrupperne for IMDC-risikogrupper og PD-L1-ekspressionsniveauer bekræftede de originale resultater. Med den opdaterede analyse blev median-PFA nået for lavrisikogruppen. </w:t>
      </w:r>
    </w:p>
    <w:p w14:paraId="221BF4BB" w14:textId="77777777" w:rsidR="00E27199" w:rsidRPr="00E27199" w:rsidRDefault="00E27199" w:rsidP="00E27199">
      <w:pPr>
        <w:pStyle w:val="Brdtekst"/>
        <w:tabs>
          <w:tab w:val="left" w:pos="9781"/>
        </w:tabs>
        <w:kinsoku w:val="0"/>
        <w:overflowPunct w:val="0"/>
        <w:ind w:left="851" w:right="140"/>
        <w:rPr>
          <w:sz w:val="24"/>
          <w:szCs w:val="24"/>
        </w:rPr>
      </w:pPr>
    </w:p>
    <w:bookmarkEnd w:id="6"/>
    <w:p w14:paraId="25887BAF" w14:textId="77777777" w:rsidR="00E27199" w:rsidRPr="00E8404F" w:rsidRDefault="00E27199" w:rsidP="00E27199">
      <w:pPr>
        <w:pStyle w:val="Brdtekst"/>
        <w:tabs>
          <w:tab w:val="left" w:pos="9781"/>
        </w:tabs>
        <w:kinsoku w:val="0"/>
        <w:overflowPunct w:val="0"/>
        <w:ind w:left="540" w:right="1133"/>
        <w:rPr>
          <w:sz w:val="18"/>
          <w:szCs w:val="18"/>
        </w:rPr>
      </w:pPr>
    </w:p>
    <w:p w14:paraId="6CE38D2E" w14:textId="77777777" w:rsidR="002114D8" w:rsidRPr="002114D8" w:rsidRDefault="002114D8" w:rsidP="002114D8">
      <w:pPr>
        <w:pStyle w:val="Brdtekst"/>
        <w:tabs>
          <w:tab w:val="left" w:pos="9781"/>
        </w:tabs>
        <w:kinsoku w:val="0"/>
        <w:overflowPunct w:val="0"/>
        <w:ind w:left="540" w:right="1143"/>
        <w:rPr>
          <w:b/>
          <w:bCs/>
          <w:sz w:val="24"/>
          <w:szCs w:val="24"/>
        </w:rPr>
      </w:pPr>
      <w:r w:rsidRPr="002114D8">
        <w:rPr>
          <w:b/>
          <w:bCs/>
          <w:noProof/>
          <w:sz w:val="24"/>
          <w:szCs w:val="24"/>
        </w:rPr>
        <mc:AlternateContent>
          <mc:Choice Requires="wps">
            <w:drawing>
              <wp:anchor distT="0" distB="0" distL="114300" distR="114300" simplePos="0" relativeHeight="251665408" behindDoc="0" locked="0" layoutInCell="0" allowOverlap="1" wp14:anchorId="15CDCE24" wp14:editId="1369EFC1">
                <wp:simplePos x="0" y="0"/>
                <wp:positionH relativeFrom="page">
                  <wp:posOffset>657860</wp:posOffset>
                </wp:positionH>
                <wp:positionV relativeFrom="paragraph">
                  <wp:posOffset>732790</wp:posOffset>
                </wp:positionV>
                <wp:extent cx="180975" cy="2592070"/>
                <wp:effectExtent l="0" t="0" r="0" b="0"/>
                <wp:wrapNone/>
                <wp:docPr id="1141009819" name="Text Box 7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592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5E539" w14:textId="77777777" w:rsidR="0054615B" w:rsidRDefault="0054615B" w:rsidP="002114D8">
                            <w:pPr>
                              <w:pStyle w:val="Brdtekst"/>
                              <w:kinsoku w:val="0"/>
                              <w:overflowPunct w:val="0"/>
                              <w:spacing w:before="11"/>
                              <w:ind w:left="20"/>
                            </w:pPr>
                            <w:r>
                              <w:t>Sandsynlighed for progressionsfri overlevelse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DCE24" id="Text Box 759" o:spid="_x0000_s1236" type="#_x0000_t202" style="position:absolute;left:0;text-align:left;margin-left:51.8pt;margin-top:57.7pt;width:14.25pt;height:204.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" o:allowincell="f" filled="f" stroked="f">
                <v:textbox style="layout-flow:vertical;mso-layout-flow-alt:bottom-to-top" inset="0,0,0,0">
                  <w:txbxContent>
                    <w:p w14:paraId="0D45E539" w14:textId="77777777" w:rsidR="0054615B" w:rsidRDefault="0054615B" w:rsidP="002114D8">
                      <w:pPr>
                        <w:pStyle w:val="Brdtekst"/>
                        <w:kinsoku w:val="0"/>
                        <w:overflowPunct w:val="0"/>
                        <w:spacing w:before="11"/>
                        <w:ind w:left="20"/>
                      </w:pPr>
                      <w:r>
                        <w:t>Sandsynlighed for progressionsfri overlevelse</w:t>
                      </w:r>
                    </w:p>
                  </w:txbxContent>
                </v:textbox>
                <w10:wrap anchorx="page"/>
              </v:shape>
            </w:pict>
          </mc:Fallback>
        </mc:AlternateContent>
      </w:r>
      <w:r w:rsidRPr="002114D8">
        <w:rPr>
          <w:b/>
          <w:bCs/>
          <w:sz w:val="24"/>
          <w:szCs w:val="24"/>
        </w:rPr>
        <w:t>Figur</w:t>
      </w:r>
      <w:r w:rsidRPr="002114D8">
        <w:rPr>
          <w:sz w:val="24"/>
          <w:szCs w:val="24"/>
        </w:rPr>
        <w:t xml:space="preserve"> </w:t>
      </w:r>
      <w:r w:rsidRPr="002114D8">
        <w:rPr>
          <w:b/>
          <w:bCs/>
          <w:sz w:val="24"/>
          <w:szCs w:val="24"/>
        </w:rPr>
        <w:t>4: Kaplan-Meier kurver for PFS (CA2099ER)</w:t>
      </w:r>
    </w:p>
    <w:p w14:paraId="70AC1C7D" w14:textId="77777777" w:rsidR="002114D8" w:rsidRPr="00E8404F" w:rsidRDefault="002114D8" w:rsidP="002114D8">
      <w:pPr>
        <w:pStyle w:val="Brdtekst"/>
        <w:tabs>
          <w:tab w:val="left" w:pos="9781"/>
        </w:tabs>
        <w:kinsoku w:val="0"/>
        <w:overflowPunct w:val="0"/>
        <w:rPr>
          <w:b/>
          <w:bCs/>
          <w:sz w:val="21"/>
          <w:szCs w:val="21"/>
        </w:rPr>
      </w:pPr>
      <w:r w:rsidRPr="00E8404F">
        <w:rPr>
          <w:noProof/>
        </w:rPr>
        <mc:AlternateContent>
          <mc:Choice Requires="wps">
            <w:drawing>
              <wp:anchor distT="0" distB="0" distL="0" distR="0" simplePos="0" relativeHeight="251666432" behindDoc="0" locked="0" layoutInCell="0" allowOverlap="1" wp14:anchorId="621F8D30" wp14:editId="6F784E9D">
                <wp:simplePos x="0" y="0"/>
                <wp:positionH relativeFrom="page">
                  <wp:posOffset>1289685</wp:posOffset>
                </wp:positionH>
                <wp:positionV relativeFrom="paragraph">
                  <wp:posOffset>179705</wp:posOffset>
                </wp:positionV>
                <wp:extent cx="5016500" cy="3492500"/>
                <wp:effectExtent l="0" t="0" r="0" b="0"/>
                <wp:wrapTopAndBottom/>
                <wp:docPr id="896448591" name="Rectangle 7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00" cy="349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FFAEC" w14:textId="77777777" w:rsidR="0054615B" w:rsidRDefault="0054615B" w:rsidP="002114D8">
                            <w:pPr>
                              <w:spacing w:line="5500" w:lineRule="atLeast"/>
                              <w:rPr>
                                <w:sz w:val="24"/>
                                <w:szCs w:val="24"/>
                              </w:rPr>
                            </w:pPr>
                            <w:r>
                              <w:rPr>
                                <w:b/>
                                <w:bCs/>
                                <w:noProof/>
                                <w:sz w:val="24"/>
                                <w:szCs w:val="24"/>
                              </w:rPr>
                              <w:drawing>
                                <wp:inline distT="0" distB="0" distL="0" distR="0" wp14:anchorId="7D1F2F37" wp14:editId="30634F3C">
                                  <wp:extent cx="5019675" cy="3495675"/>
                                  <wp:effectExtent l="0" t="0" r="0" b="0"/>
                                  <wp:docPr id="9819587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9675" cy="3495675"/>
                                          </a:xfrm>
                                          <a:prstGeom prst="rect">
                                            <a:avLst/>
                                          </a:prstGeom>
                                          <a:noFill/>
                                          <a:ln>
                                            <a:noFill/>
                                          </a:ln>
                                        </pic:spPr>
                                      </pic:pic>
                                    </a:graphicData>
                                  </a:graphic>
                                </wp:inline>
                              </w:drawing>
                            </w:r>
                          </w:p>
                          <w:p w14:paraId="0F0A242D" w14:textId="77777777" w:rsidR="0054615B" w:rsidRDefault="0054615B" w:rsidP="002114D8">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F8D30" id="Rectangle 760" o:spid="_x0000_s1237" style="position:absolute;margin-left:101.55pt;margin-top:14.15pt;width:395pt;height:27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" o:allowincell="f" filled="f" stroked="f">
                <v:textbox inset="0,0,0,0">
                  <w:txbxContent>
                    <w:p w14:paraId="7BBFFAEC" w14:textId="77777777" w:rsidR="0054615B" w:rsidRDefault="0054615B" w:rsidP="002114D8">
                      <w:pPr>
                        <w:spacing w:line="5500" w:lineRule="atLeast"/>
                        <w:rPr>
                          <w:sz w:val="24"/>
                          <w:szCs w:val="24"/>
                        </w:rPr>
                      </w:pPr>
                      <w:r>
                        <w:rPr>
                          <w:b/>
                          <w:bCs/>
                          <w:noProof/>
                          <w:sz w:val="24"/>
                          <w:szCs w:val="24"/>
                        </w:rPr>
                        <w:drawing>
                          <wp:inline distT="0" distB="0" distL="0" distR="0" wp14:anchorId="7D1F2F37" wp14:editId="30634F3C">
                            <wp:extent cx="5019675" cy="3495675"/>
                            <wp:effectExtent l="0" t="0" r="0" b="0"/>
                            <wp:docPr id="9819587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9675" cy="3495675"/>
                                    </a:xfrm>
                                    <a:prstGeom prst="rect">
                                      <a:avLst/>
                                    </a:prstGeom>
                                    <a:noFill/>
                                    <a:ln>
                                      <a:noFill/>
                                    </a:ln>
                                  </pic:spPr>
                                </pic:pic>
                              </a:graphicData>
                            </a:graphic>
                          </wp:inline>
                        </w:drawing>
                      </w:r>
                    </w:p>
                    <w:p w14:paraId="0F0A242D" w14:textId="77777777" w:rsidR="0054615B" w:rsidRDefault="0054615B" w:rsidP="002114D8">
                      <w:pPr>
                        <w:rPr>
                          <w:sz w:val="24"/>
                          <w:szCs w:val="24"/>
                        </w:rPr>
                      </w:pPr>
                    </w:p>
                  </w:txbxContent>
                </v:textbox>
                <w10:wrap type="topAndBottom" anchorx="page"/>
              </v:rect>
            </w:pict>
          </mc:Fallback>
        </mc:AlternateContent>
      </w:r>
    </w:p>
    <w:p w14:paraId="0A72CCDB" w14:textId="7129B184" w:rsidR="00C6779C" w:rsidRDefault="00C6779C" w:rsidP="00E27199"/>
    <w:p w14:paraId="235201D4" w14:textId="3F521D01" w:rsidR="002114D8" w:rsidRDefault="002114D8" w:rsidP="002114D8">
      <w:pPr>
        <w:pStyle w:val="Brdtekst"/>
        <w:tabs>
          <w:tab w:val="left" w:pos="9781"/>
        </w:tabs>
        <w:kinsoku w:val="0"/>
        <w:overflowPunct w:val="0"/>
        <w:ind w:right="140" w:firstLine="2410"/>
      </w:pPr>
      <w:r w:rsidRPr="00E8404F">
        <w:t>Progressionsfri overlevelse</w:t>
      </w:r>
      <w:r>
        <w:t xml:space="preserve"> </w:t>
      </w:r>
      <w:r w:rsidRPr="00E8404F">
        <w:t>per BICR (måneder)</w:t>
      </w:r>
    </w:p>
    <w:p w14:paraId="4C2F81EF" w14:textId="77777777" w:rsidR="002114D8" w:rsidRDefault="002114D8" w:rsidP="002114D8">
      <w:pPr>
        <w:pStyle w:val="Brdtekst"/>
        <w:tabs>
          <w:tab w:val="left" w:pos="9781"/>
        </w:tabs>
        <w:kinsoku w:val="0"/>
        <w:overflowPunct w:val="0"/>
        <w:ind w:right="140" w:firstLine="1418"/>
      </w:pPr>
    </w:p>
    <w:p w14:paraId="6CB9E074" w14:textId="327A9279" w:rsidR="002114D8" w:rsidRPr="00E8404F" w:rsidRDefault="002114D8" w:rsidP="002114D8">
      <w:pPr>
        <w:pStyle w:val="Brdtekst"/>
        <w:tabs>
          <w:tab w:val="left" w:pos="9781"/>
        </w:tabs>
        <w:kinsoku w:val="0"/>
        <w:overflowPunct w:val="0"/>
        <w:ind w:right="140"/>
      </w:pPr>
      <w:r w:rsidRPr="00E8404F">
        <w:t>Antal studiepersoner i risikogruppe</w:t>
      </w:r>
    </w:p>
    <w:p w14:paraId="31E4A1C0" w14:textId="77777777" w:rsidR="002114D8" w:rsidRPr="00E8404F" w:rsidRDefault="002114D8" w:rsidP="002114D8">
      <w:pPr>
        <w:pStyle w:val="Brdtekst"/>
        <w:tabs>
          <w:tab w:val="left" w:pos="9781"/>
        </w:tabs>
        <w:kinsoku w:val="0"/>
        <w:overflowPunct w:val="0"/>
        <w:ind w:left="709"/>
      </w:pPr>
      <w:r w:rsidRPr="00E8404F">
        <w:t>Nivolumab + cabozantinib</w:t>
      </w:r>
    </w:p>
    <w:p w14:paraId="2B1E13E6" w14:textId="77777777" w:rsidR="002114D8" w:rsidRPr="00E8404F" w:rsidRDefault="002114D8" w:rsidP="002114D8">
      <w:pPr>
        <w:pStyle w:val="Brdtekst"/>
        <w:tabs>
          <w:tab w:val="left" w:pos="2470"/>
          <w:tab w:val="left" w:pos="3135"/>
          <w:tab w:val="left" w:pos="3799"/>
          <w:tab w:val="left" w:pos="4464"/>
          <w:tab w:val="left" w:pos="5129"/>
          <w:tab w:val="left" w:pos="5794"/>
          <w:tab w:val="left" w:pos="6516"/>
          <w:tab w:val="left" w:pos="7181"/>
          <w:tab w:val="left" w:pos="7901"/>
          <w:tab w:val="left" w:pos="8566"/>
          <w:tab w:val="left" w:pos="9231"/>
          <w:tab w:val="left" w:pos="9781"/>
        </w:tabs>
        <w:kinsoku w:val="0"/>
        <w:overflowPunct w:val="0"/>
        <w:ind w:left="1822"/>
      </w:pPr>
      <w:r w:rsidRPr="00E8404F">
        <w:t>323</w:t>
      </w:r>
      <w:r w:rsidRPr="00E8404F">
        <w:tab/>
        <w:t>280</w:t>
      </w:r>
      <w:r w:rsidRPr="00E8404F">
        <w:tab/>
        <w:t>236</w:t>
      </w:r>
      <w:r w:rsidRPr="00E8404F">
        <w:tab/>
        <w:t>201</w:t>
      </w:r>
      <w:r w:rsidRPr="00E8404F">
        <w:tab/>
        <w:t>166</w:t>
      </w:r>
      <w:r w:rsidRPr="00E8404F">
        <w:tab/>
        <w:t>145</w:t>
      </w:r>
      <w:r w:rsidRPr="00E8404F">
        <w:tab/>
        <w:t>102</w:t>
      </w:r>
      <w:r w:rsidRPr="00E8404F">
        <w:tab/>
        <w:t>56</w:t>
      </w:r>
      <w:r w:rsidRPr="00E8404F">
        <w:tab/>
        <w:t>26</w:t>
      </w:r>
      <w:r w:rsidRPr="00E8404F">
        <w:tab/>
        <w:t>5</w:t>
      </w:r>
      <w:r w:rsidRPr="00E8404F">
        <w:tab/>
        <w:t>2</w:t>
      </w:r>
      <w:r w:rsidRPr="00E8404F">
        <w:tab/>
        <w:t>0</w:t>
      </w:r>
    </w:p>
    <w:p w14:paraId="3BEE2D88" w14:textId="77777777" w:rsidR="002114D8" w:rsidRPr="00E8404F" w:rsidRDefault="002114D8" w:rsidP="002114D8">
      <w:pPr>
        <w:pStyle w:val="Brdtekst"/>
        <w:tabs>
          <w:tab w:val="left" w:pos="9781"/>
        </w:tabs>
        <w:kinsoku w:val="0"/>
        <w:overflowPunct w:val="0"/>
        <w:ind w:left="709"/>
      </w:pPr>
      <w:r w:rsidRPr="00E8404F">
        <w:t>Sunitinib</w:t>
      </w:r>
    </w:p>
    <w:p w14:paraId="3B557F1E" w14:textId="55999B2B" w:rsidR="002114D8" w:rsidRDefault="002114D8" w:rsidP="002114D8">
      <w:pPr>
        <w:pStyle w:val="Brdtekst"/>
        <w:tabs>
          <w:tab w:val="left" w:pos="2470"/>
          <w:tab w:val="left" w:pos="3135"/>
          <w:tab w:val="left" w:pos="3799"/>
          <w:tab w:val="left" w:pos="4519"/>
          <w:tab w:val="left" w:pos="5184"/>
          <w:tab w:val="left" w:pos="5849"/>
          <w:tab w:val="left" w:pos="6516"/>
          <w:tab w:val="left" w:pos="7236"/>
          <w:tab w:val="left" w:pos="7901"/>
          <w:tab w:val="left" w:pos="8566"/>
          <w:tab w:val="left" w:pos="9231"/>
          <w:tab w:val="left" w:pos="9781"/>
        </w:tabs>
        <w:kinsoku w:val="0"/>
        <w:overflowPunct w:val="0"/>
        <w:ind w:left="1822"/>
      </w:pPr>
      <w:r w:rsidRPr="00E8404F">
        <w:t>328</w:t>
      </w:r>
      <w:r w:rsidRPr="00E8404F">
        <w:tab/>
        <w:t>230</w:t>
      </w:r>
      <w:r w:rsidRPr="00E8404F">
        <w:tab/>
        <w:t>160</w:t>
      </w:r>
      <w:r w:rsidRPr="00E8404F">
        <w:tab/>
        <w:t>122</w:t>
      </w:r>
      <w:r w:rsidRPr="00E8404F">
        <w:tab/>
        <w:t>87</w:t>
      </w:r>
      <w:r w:rsidRPr="00E8404F">
        <w:tab/>
        <w:t>61</w:t>
      </w:r>
      <w:r w:rsidRPr="00E8404F">
        <w:tab/>
        <w:t>37</w:t>
      </w:r>
      <w:r w:rsidRPr="00E8404F">
        <w:tab/>
        <w:t>17</w:t>
      </w:r>
      <w:r w:rsidRPr="00E8404F">
        <w:tab/>
        <w:t>7</w:t>
      </w:r>
      <w:r w:rsidRPr="00E8404F">
        <w:tab/>
        <w:t>2</w:t>
      </w:r>
      <w:r w:rsidRPr="00E8404F">
        <w:tab/>
        <w:t>1</w:t>
      </w:r>
      <w:r w:rsidRPr="00E8404F">
        <w:tab/>
        <w:t>0</w:t>
      </w:r>
    </w:p>
    <w:p w14:paraId="00E295E5" w14:textId="77777777" w:rsidR="002114D8" w:rsidRPr="00E8404F" w:rsidRDefault="002114D8" w:rsidP="002114D8">
      <w:pPr>
        <w:pStyle w:val="Brdtekst"/>
        <w:tabs>
          <w:tab w:val="left" w:pos="2470"/>
          <w:tab w:val="left" w:pos="3135"/>
          <w:tab w:val="left" w:pos="3799"/>
          <w:tab w:val="left" w:pos="4519"/>
          <w:tab w:val="left" w:pos="5184"/>
          <w:tab w:val="left" w:pos="5849"/>
          <w:tab w:val="left" w:pos="6516"/>
          <w:tab w:val="left" w:pos="7236"/>
          <w:tab w:val="left" w:pos="7901"/>
          <w:tab w:val="left" w:pos="8566"/>
          <w:tab w:val="left" w:pos="9231"/>
          <w:tab w:val="left" w:pos="9781"/>
        </w:tabs>
        <w:kinsoku w:val="0"/>
        <w:overflowPunct w:val="0"/>
        <w:ind w:left="1822"/>
      </w:pPr>
    </w:p>
    <w:p w14:paraId="59FA6B07" w14:textId="77777777" w:rsidR="002114D8" w:rsidRPr="00E8404F" w:rsidRDefault="002114D8" w:rsidP="002114D8">
      <w:pPr>
        <w:pStyle w:val="Brdtekst"/>
        <w:tabs>
          <w:tab w:val="left" w:pos="9781"/>
        </w:tabs>
        <w:kinsoku w:val="0"/>
        <w:overflowPunct w:val="0"/>
        <w:ind w:left="1260"/>
      </w:pPr>
      <w:r w:rsidRPr="00E8404F">
        <w:rPr>
          <w:noProof/>
        </w:rPr>
        <mc:AlternateContent>
          <mc:Choice Requires="wpg">
            <w:drawing>
              <wp:anchor distT="0" distB="0" distL="114300" distR="114300" simplePos="0" relativeHeight="251668480" behindDoc="0" locked="0" layoutInCell="0" allowOverlap="1" wp14:anchorId="420A713A" wp14:editId="25A68375">
                <wp:simplePos x="0" y="0"/>
                <wp:positionH relativeFrom="page">
                  <wp:posOffset>734695</wp:posOffset>
                </wp:positionH>
                <wp:positionV relativeFrom="paragraph">
                  <wp:posOffset>118110</wp:posOffset>
                </wp:positionV>
                <wp:extent cx="404495" cy="289560"/>
                <wp:effectExtent l="0" t="0" r="0" b="0"/>
                <wp:wrapNone/>
                <wp:docPr id="78612554" name="Group 7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495" cy="289560"/>
                          <a:chOff x="1157" y="186"/>
                          <a:chExt cx="637" cy="456"/>
                        </a:xfrm>
                      </wpg:grpSpPr>
                      <pic:pic xmlns:pic="http://schemas.openxmlformats.org/drawingml/2006/picture">
                        <pic:nvPicPr>
                          <pic:cNvPr id="379089009" name="Picture 76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85" y="186"/>
                            <a:ext cx="60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8341395" name="Picture 76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158" y="370"/>
                            <a:ext cx="64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721136E" id="Group 761" o:spid="_x0000_s1026" style="position:absolute;margin-left:57.85pt;margin-top:9.3pt;width:31.85pt;height:22.8pt;z-index:251668480;mso-position-horizontal-relative:page" coordorigin="1157,186" coordsize="637,4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2" o:spid="_x0000_s1027" type="#_x0000_t75" style="position:absolute;left:1185;top:186;width:60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">
                  <v:imagedata r:id="rId14" o:title=""/>
                </v:shape>
                <v:shape id="Picture 763" o:spid="_x0000_s1028" type="#_x0000_t75" style="position:absolute;left:1158;top:370;width:640;height: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">
                  <v:imagedata r:id="rId15" o:title=""/>
                </v:shape>
                <w10:wrap anchorx="page"/>
              </v:group>
            </w:pict>
          </mc:Fallback>
        </mc:AlternateContent>
      </w:r>
      <w:r w:rsidRPr="00E8404F">
        <w:t>Nivolumab + cabozantinib (hændelser: 175/323), median og 95,0 % CI: 16,95 (12,58; 19,38)</w:t>
      </w:r>
    </w:p>
    <w:p w14:paraId="76E8D02B" w14:textId="77777777" w:rsidR="002114D8" w:rsidRPr="00E8404F" w:rsidRDefault="002114D8" w:rsidP="002114D8">
      <w:pPr>
        <w:pStyle w:val="Brdtekst"/>
        <w:tabs>
          <w:tab w:val="left" w:pos="9781"/>
        </w:tabs>
        <w:kinsoku w:val="0"/>
        <w:overflowPunct w:val="0"/>
        <w:ind w:left="1316"/>
      </w:pPr>
    </w:p>
    <w:p w14:paraId="5C86FFA6" w14:textId="77777777" w:rsidR="002114D8" w:rsidRPr="00E8404F" w:rsidRDefault="002114D8" w:rsidP="002114D8">
      <w:pPr>
        <w:pStyle w:val="Brdtekst"/>
        <w:tabs>
          <w:tab w:val="left" w:pos="9781"/>
        </w:tabs>
        <w:kinsoku w:val="0"/>
        <w:overflowPunct w:val="0"/>
        <w:ind w:left="1316"/>
      </w:pPr>
      <w:r w:rsidRPr="00E8404F">
        <w:t>Sunitinib (hændelser: 206/328), median og 95,0 % CI: 8,31 (6,93; 9,69)</w:t>
      </w:r>
    </w:p>
    <w:p w14:paraId="0DD21521" w14:textId="4F814F02" w:rsidR="00C6779C" w:rsidRDefault="00C6779C" w:rsidP="00E27199"/>
    <w:p w14:paraId="417F96DC" w14:textId="77777777" w:rsidR="002114D8" w:rsidRPr="002114D8" w:rsidRDefault="002114D8" w:rsidP="002114D8">
      <w:pPr>
        <w:rPr>
          <w:b/>
          <w:sz w:val="24"/>
          <w:szCs w:val="24"/>
        </w:rPr>
      </w:pPr>
      <w:r w:rsidRPr="002114D8">
        <w:rPr>
          <w:b/>
          <w:noProof/>
          <w:sz w:val="24"/>
          <w:szCs w:val="24"/>
        </w:rPr>
        <w:lastRenderedPageBreak/>
        <mc:AlternateContent>
          <mc:Choice Requires="wps">
            <w:drawing>
              <wp:anchor distT="0" distB="0" distL="114300" distR="114300" simplePos="0" relativeHeight="251670528" behindDoc="0" locked="0" layoutInCell="0" allowOverlap="1" wp14:anchorId="4DF9BD74" wp14:editId="00E5F8FD">
                <wp:simplePos x="0" y="0"/>
                <wp:positionH relativeFrom="page">
                  <wp:posOffset>842010</wp:posOffset>
                </wp:positionH>
                <wp:positionV relativeFrom="paragraph">
                  <wp:posOffset>946150</wp:posOffset>
                </wp:positionV>
                <wp:extent cx="180975" cy="1718310"/>
                <wp:effectExtent l="0" t="0" r="0" b="0"/>
                <wp:wrapNone/>
                <wp:docPr id="279850557" name="Text Box 7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71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96B81" w14:textId="77777777" w:rsidR="0054615B" w:rsidRDefault="0054615B" w:rsidP="002114D8">
                            <w:pPr>
                              <w:pStyle w:val="Brdtekst"/>
                              <w:kinsoku w:val="0"/>
                              <w:overflowPunct w:val="0"/>
                              <w:spacing w:before="11"/>
                              <w:ind w:left="20"/>
                            </w:pPr>
                            <w:r>
                              <w:t>Sandsynlighed for overlevelse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9BD74" id="Text Box 764" o:spid="_x0000_s1238" type="#_x0000_t202" style="position:absolute;margin-left:66.3pt;margin-top:74.5pt;width:14.25pt;height:135.3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" o:allowincell="f" filled="f" stroked="f">
                <v:textbox style="layout-flow:vertical;mso-layout-flow-alt:bottom-to-top" inset="0,0,0,0">
                  <w:txbxContent>
                    <w:p w14:paraId="03696B81" w14:textId="77777777" w:rsidR="0054615B" w:rsidRDefault="0054615B" w:rsidP="002114D8">
                      <w:pPr>
                        <w:pStyle w:val="Brdtekst"/>
                        <w:kinsoku w:val="0"/>
                        <w:overflowPunct w:val="0"/>
                        <w:spacing w:before="11"/>
                        <w:ind w:left="20"/>
                      </w:pPr>
                      <w:r>
                        <w:t>Sandsynlighed for overlevelse</w:t>
                      </w:r>
                    </w:p>
                  </w:txbxContent>
                </v:textbox>
                <w10:wrap anchorx="page"/>
              </v:shape>
            </w:pict>
          </mc:Fallback>
        </mc:AlternateContent>
      </w:r>
      <w:r w:rsidRPr="002114D8">
        <w:rPr>
          <w:b/>
          <w:sz w:val="24"/>
          <w:szCs w:val="24"/>
        </w:rPr>
        <w:t>Figur 5: Kaplan-Meier kurver for OS (CA2099ER)</w:t>
      </w:r>
    </w:p>
    <w:p w14:paraId="56CB3D41" w14:textId="77777777" w:rsidR="002114D8" w:rsidRPr="00E8404F" w:rsidRDefault="002114D8" w:rsidP="002114D8">
      <w:pPr>
        <w:pStyle w:val="Brdtekst"/>
        <w:tabs>
          <w:tab w:val="left" w:pos="9781"/>
        </w:tabs>
        <w:kinsoku w:val="0"/>
        <w:overflowPunct w:val="0"/>
        <w:rPr>
          <w:b/>
          <w:bCs/>
          <w:sz w:val="21"/>
          <w:szCs w:val="21"/>
        </w:rPr>
      </w:pPr>
      <w:r w:rsidRPr="00E8404F">
        <w:rPr>
          <w:noProof/>
        </w:rPr>
        <mc:AlternateContent>
          <mc:Choice Requires="wps">
            <w:drawing>
              <wp:anchor distT="0" distB="0" distL="0" distR="0" simplePos="0" relativeHeight="251671552" behindDoc="0" locked="0" layoutInCell="0" allowOverlap="1" wp14:anchorId="118DC054" wp14:editId="061815C3">
                <wp:simplePos x="0" y="0"/>
                <wp:positionH relativeFrom="page">
                  <wp:posOffset>1136015</wp:posOffset>
                </wp:positionH>
                <wp:positionV relativeFrom="paragraph">
                  <wp:posOffset>180975</wp:posOffset>
                </wp:positionV>
                <wp:extent cx="5346700" cy="3721100"/>
                <wp:effectExtent l="0" t="0" r="0" b="0"/>
                <wp:wrapTopAndBottom/>
                <wp:docPr id="446961367" name="Rectangle 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0" cy="372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510E3" w14:textId="77777777" w:rsidR="0054615B" w:rsidRDefault="0054615B" w:rsidP="002114D8">
                            <w:pPr>
                              <w:spacing w:line="5860" w:lineRule="atLeast"/>
                              <w:rPr>
                                <w:sz w:val="24"/>
                                <w:szCs w:val="24"/>
                              </w:rPr>
                            </w:pPr>
                            <w:r>
                              <w:rPr>
                                <w:b/>
                                <w:bCs/>
                                <w:noProof/>
                                <w:sz w:val="24"/>
                                <w:szCs w:val="24"/>
                              </w:rPr>
                              <w:drawing>
                                <wp:inline distT="0" distB="0" distL="0" distR="0" wp14:anchorId="34DD319E" wp14:editId="24C555F6">
                                  <wp:extent cx="5343525" cy="3714750"/>
                                  <wp:effectExtent l="0" t="0" r="0" b="0"/>
                                  <wp:docPr id="15214954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43525" cy="3714750"/>
                                          </a:xfrm>
                                          <a:prstGeom prst="rect">
                                            <a:avLst/>
                                          </a:prstGeom>
                                          <a:noFill/>
                                          <a:ln>
                                            <a:noFill/>
                                          </a:ln>
                                        </pic:spPr>
                                      </pic:pic>
                                    </a:graphicData>
                                  </a:graphic>
                                </wp:inline>
                              </w:drawing>
                            </w:r>
                          </w:p>
                          <w:p w14:paraId="7F258025" w14:textId="77777777" w:rsidR="0054615B" w:rsidRDefault="0054615B" w:rsidP="002114D8">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DC054" id="Rectangle 765" o:spid="_x0000_s1239" style="position:absolute;margin-left:89.45pt;margin-top:14.25pt;width:421pt;height:293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" o:allowincell="f" filled="f" stroked="f">
                <v:textbox inset="0,0,0,0">
                  <w:txbxContent>
                    <w:p w14:paraId="0CC510E3" w14:textId="77777777" w:rsidR="0054615B" w:rsidRDefault="0054615B" w:rsidP="002114D8">
                      <w:pPr>
                        <w:spacing w:line="5860" w:lineRule="atLeast"/>
                        <w:rPr>
                          <w:sz w:val="24"/>
                          <w:szCs w:val="24"/>
                        </w:rPr>
                      </w:pPr>
                      <w:r>
                        <w:rPr>
                          <w:b/>
                          <w:bCs/>
                          <w:noProof/>
                          <w:sz w:val="24"/>
                          <w:szCs w:val="24"/>
                        </w:rPr>
                        <w:drawing>
                          <wp:inline distT="0" distB="0" distL="0" distR="0" wp14:anchorId="34DD319E" wp14:editId="24C555F6">
                            <wp:extent cx="5343525" cy="3714750"/>
                            <wp:effectExtent l="0" t="0" r="0" b="0"/>
                            <wp:docPr id="15214954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43525" cy="3714750"/>
                                    </a:xfrm>
                                    <a:prstGeom prst="rect">
                                      <a:avLst/>
                                    </a:prstGeom>
                                    <a:noFill/>
                                    <a:ln>
                                      <a:noFill/>
                                    </a:ln>
                                  </pic:spPr>
                                </pic:pic>
                              </a:graphicData>
                            </a:graphic>
                          </wp:inline>
                        </w:drawing>
                      </w:r>
                    </w:p>
                    <w:p w14:paraId="7F258025" w14:textId="77777777" w:rsidR="0054615B" w:rsidRDefault="0054615B" w:rsidP="002114D8">
                      <w:pPr>
                        <w:rPr>
                          <w:sz w:val="24"/>
                          <w:szCs w:val="24"/>
                        </w:rPr>
                      </w:pPr>
                    </w:p>
                  </w:txbxContent>
                </v:textbox>
                <w10:wrap type="topAndBottom" anchorx="page"/>
              </v:rect>
            </w:pict>
          </mc:Fallback>
        </mc:AlternateContent>
      </w:r>
    </w:p>
    <w:p w14:paraId="2EC0DD2A" w14:textId="37F15B24" w:rsidR="00C6779C" w:rsidRDefault="00C6779C" w:rsidP="00E27199"/>
    <w:p w14:paraId="57BAD80D" w14:textId="77777777" w:rsidR="002114D8" w:rsidRPr="00E8404F" w:rsidRDefault="002114D8" w:rsidP="002114D8">
      <w:pPr>
        <w:pStyle w:val="Brdtekst"/>
        <w:tabs>
          <w:tab w:val="left" w:pos="9781"/>
        </w:tabs>
        <w:kinsoku w:val="0"/>
        <w:overflowPunct w:val="0"/>
        <w:ind w:left="3119" w:right="3826"/>
      </w:pPr>
      <w:r w:rsidRPr="00E8404F">
        <w:t>Samlet overlevelse (Måneder)</w:t>
      </w:r>
    </w:p>
    <w:p w14:paraId="35FF3CB2" w14:textId="77777777" w:rsidR="002114D8" w:rsidRPr="00E8404F" w:rsidRDefault="002114D8" w:rsidP="002114D8">
      <w:pPr>
        <w:pStyle w:val="Brdtekst"/>
        <w:tabs>
          <w:tab w:val="left" w:pos="9781"/>
        </w:tabs>
        <w:kinsoku w:val="0"/>
        <w:overflowPunct w:val="0"/>
      </w:pPr>
    </w:p>
    <w:p w14:paraId="1BC84791" w14:textId="77777777" w:rsidR="002114D8" w:rsidRPr="00E8404F" w:rsidRDefault="002114D8" w:rsidP="002114D8">
      <w:pPr>
        <w:pStyle w:val="Brdtekst"/>
        <w:tabs>
          <w:tab w:val="left" w:pos="9781"/>
        </w:tabs>
        <w:kinsoku w:val="0"/>
        <w:overflowPunct w:val="0"/>
        <w:ind w:left="142"/>
      </w:pPr>
      <w:r w:rsidRPr="00E8404F">
        <w:t>Antal studiepersoner i risikogruppe</w:t>
      </w:r>
    </w:p>
    <w:p w14:paraId="6D6E436A" w14:textId="77777777" w:rsidR="002114D8" w:rsidRPr="00E8404F" w:rsidRDefault="002114D8" w:rsidP="002114D8">
      <w:pPr>
        <w:pStyle w:val="Brdtekst"/>
        <w:tabs>
          <w:tab w:val="left" w:pos="9781"/>
        </w:tabs>
        <w:kinsoku w:val="0"/>
        <w:overflowPunct w:val="0"/>
        <w:ind w:left="426"/>
      </w:pPr>
      <w:r w:rsidRPr="00E8404F">
        <w:t>Nivolumab + cabozantinib</w:t>
      </w:r>
    </w:p>
    <w:p w14:paraId="3A1D2D1F" w14:textId="77777777" w:rsidR="002114D8" w:rsidRPr="00E8404F" w:rsidRDefault="002114D8" w:rsidP="002114D8">
      <w:pPr>
        <w:pStyle w:val="Brdtekst"/>
        <w:tabs>
          <w:tab w:val="left" w:pos="1701"/>
          <w:tab w:val="left" w:pos="2393"/>
          <w:tab w:val="left" w:pos="3103"/>
          <w:tab w:val="left" w:pos="3811"/>
          <w:tab w:val="left" w:pos="4519"/>
          <w:tab w:val="left" w:pos="5230"/>
          <w:tab w:val="left" w:pos="5938"/>
          <w:tab w:val="left" w:pos="6718"/>
          <w:tab w:val="left" w:pos="7481"/>
          <w:tab w:val="left" w:pos="8191"/>
          <w:tab w:val="left" w:pos="8899"/>
          <w:tab w:val="left" w:pos="9627"/>
          <w:tab w:val="left" w:pos="9781"/>
        </w:tabs>
        <w:kinsoku w:val="0"/>
        <w:overflowPunct w:val="0"/>
        <w:ind w:left="1134"/>
      </w:pPr>
      <w:r w:rsidRPr="00E8404F">
        <w:t>323</w:t>
      </w:r>
      <w:r w:rsidRPr="00E8404F">
        <w:tab/>
        <w:t>308</w:t>
      </w:r>
      <w:r w:rsidRPr="00E8404F">
        <w:tab/>
        <w:t>295</w:t>
      </w:r>
      <w:r w:rsidRPr="00E8404F">
        <w:tab/>
        <w:t>283</w:t>
      </w:r>
      <w:r w:rsidRPr="00E8404F">
        <w:tab/>
        <w:t>269</w:t>
      </w:r>
      <w:r w:rsidRPr="00E8404F">
        <w:tab/>
        <w:t>255</w:t>
      </w:r>
      <w:r w:rsidRPr="00E8404F">
        <w:tab/>
        <w:t>220</w:t>
      </w:r>
      <w:r w:rsidRPr="00E8404F">
        <w:tab/>
        <w:t>147</w:t>
      </w:r>
      <w:r w:rsidRPr="00E8404F">
        <w:tab/>
        <w:t>84</w:t>
      </w:r>
      <w:r w:rsidRPr="00E8404F">
        <w:tab/>
        <w:t>40</w:t>
      </w:r>
      <w:r w:rsidRPr="00E8404F">
        <w:tab/>
        <w:t>10</w:t>
      </w:r>
      <w:r w:rsidRPr="00E8404F">
        <w:tab/>
        <w:t>0</w:t>
      </w:r>
    </w:p>
    <w:p w14:paraId="0C58E298" w14:textId="77777777" w:rsidR="002114D8" w:rsidRPr="00E8404F" w:rsidRDefault="002114D8" w:rsidP="002114D8">
      <w:pPr>
        <w:pStyle w:val="Brdtekst"/>
        <w:tabs>
          <w:tab w:val="left" w:pos="9781"/>
        </w:tabs>
        <w:kinsoku w:val="0"/>
        <w:overflowPunct w:val="0"/>
        <w:ind w:left="426"/>
      </w:pPr>
      <w:r w:rsidRPr="00E8404F">
        <w:t>Sunitinib</w:t>
      </w:r>
    </w:p>
    <w:p w14:paraId="48F99D03" w14:textId="360B5705" w:rsidR="002114D8" w:rsidRDefault="002114D8" w:rsidP="002114D8">
      <w:pPr>
        <w:pStyle w:val="Brdtekst"/>
        <w:tabs>
          <w:tab w:val="left" w:pos="1701"/>
          <w:tab w:val="left" w:pos="2393"/>
          <w:tab w:val="left" w:pos="3103"/>
          <w:tab w:val="left" w:pos="3811"/>
          <w:tab w:val="left" w:pos="4519"/>
          <w:tab w:val="left" w:pos="5230"/>
          <w:tab w:val="left" w:pos="5938"/>
          <w:tab w:val="left" w:pos="6718"/>
          <w:tab w:val="left" w:pos="7481"/>
          <w:tab w:val="left" w:pos="8191"/>
          <w:tab w:val="left" w:pos="8931"/>
          <w:tab w:val="left" w:pos="9627"/>
          <w:tab w:val="left" w:pos="9781"/>
        </w:tabs>
        <w:kinsoku w:val="0"/>
        <w:overflowPunct w:val="0"/>
        <w:ind w:left="1134"/>
      </w:pPr>
      <w:r w:rsidRPr="00E8404F">
        <w:t>328</w:t>
      </w:r>
      <w:r w:rsidRPr="00E8404F">
        <w:tab/>
        <w:t>295</w:t>
      </w:r>
      <w:r w:rsidRPr="00E8404F">
        <w:tab/>
        <w:t>272</w:t>
      </w:r>
      <w:r w:rsidRPr="00E8404F">
        <w:tab/>
        <w:t>254</w:t>
      </w:r>
      <w:r w:rsidRPr="00E8404F">
        <w:tab/>
        <w:t>236</w:t>
      </w:r>
      <w:r w:rsidRPr="00E8404F">
        <w:tab/>
        <w:t>217</w:t>
      </w:r>
      <w:r w:rsidRPr="00E8404F">
        <w:tab/>
        <w:t>189</w:t>
      </w:r>
      <w:r w:rsidRPr="00E8404F">
        <w:tab/>
        <w:t>118</w:t>
      </w:r>
      <w:r w:rsidRPr="00E8404F">
        <w:tab/>
        <w:t>62</w:t>
      </w:r>
      <w:r w:rsidRPr="00E8404F">
        <w:tab/>
        <w:t>22</w:t>
      </w:r>
      <w:r w:rsidRPr="00E8404F">
        <w:tab/>
        <w:t>4</w:t>
      </w:r>
      <w:r w:rsidRPr="00E8404F">
        <w:tab/>
        <w:t>0</w:t>
      </w:r>
    </w:p>
    <w:p w14:paraId="6C1635ED" w14:textId="77777777" w:rsidR="002114D8" w:rsidRPr="00E8404F" w:rsidRDefault="002114D8" w:rsidP="002114D8">
      <w:pPr>
        <w:pStyle w:val="Brdtekst"/>
        <w:tabs>
          <w:tab w:val="left" w:pos="1701"/>
          <w:tab w:val="left" w:pos="2393"/>
          <w:tab w:val="left" w:pos="3103"/>
          <w:tab w:val="left" w:pos="3811"/>
          <w:tab w:val="left" w:pos="4519"/>
          <w:tab w:val="left" w:pos="5230"/>
          <w:tab w:val="left" w:pos="5938"/>
          <w:tab w:val="left" w:pos="6718"/>
          <w:tab w:val="left" w:pos="7481"/>
          <w:tab w:val="left" w:pos="8191"/>
          <w:tab w:val="left" w:pos="8955"/>
          <w:tab w:val="left" w:pos="9627"/>
          <w:tab w:val="left" w:pos="9781"/>
        </w:tabs>
        <w:kinsoku w:val="0"/>
        <w:overflowPunct w:val="0"/>
        <w:ind w:left="1134"/>
      </w:pPr>
    </w:p>
    <w:p w14:paraId="2B0953FB" w14:textId="77777777" w:rsidR="002114D8" w:rsidRPr="00E8404F" w:rsidRDefault="002114D8" w:rsidP="00396EB1">
      <w:pPr>
        <w:pStyle w:val="Brdtekst"/>
        <w:tabs>
          <w:tab w:val="left" w:pos="9781"/>
        </w:tabs>
        <w:kinsoku w:val="0"/>
        <w:overflowPunct w:val="0"/>
        <w:ind w:left="1316" w:right="1869" w:hanging="56"/>
      </w:pPr>
      <w:r w:rsidRPr="00E8404F">
        <w:rPr>
          <w:noProof/>
        </w:rPr>
        <mc:AlternateContent>
          <mc:Choice Requires="wpg">
            <w:drawing>
              <wp:anchor distT="0" distB="0" distL="114300" distR="114300" simplePos="0" relativeHeight="251673600" behindDoc="0" locked="0" layoutInCell="0" allowOverlap="1" wp14:anchorId="5CF05868" wp14:editId="0B7C7EC7">
                <wp:simplePos x="0" y="0"/>
                <wp:positionH relativeFrom="page">
                  <wp:posOffset>734695</wp:posOffset>
                </wp:positionH>
                <wp:positionV relativeFrom="paragraph">
                  <wp:posOffset>95250</wp:posOffset>
                </wp:positionV>
                <wp:extent cx="404495" cy="289560"/>
                <wp:effectExtent l="0" t="0" r="0" b="0"/>
                <wp:wrapNone/>
                <wp:docPr id="932182253" name="Group 7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495" cy="289560"/>
                          <a:chOff x="1157" y="150"/>
                          <a:chExt cx="637" cy="456"/>
                        </a:xfrm>
                      </wpg:grpSpPr>
                      <pic:pic xmlns:pic="http://schemas.openxmlformats.org/drawingml/2006/picture">
                        <pic:nvPicPr>
                          <pic:cNvPr id="1576568328" name="Picture 76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85" y="150"/>
                            <a:ext cx="60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86411638" name="Picture 76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58" y="334"/>
                            <a:ext cx="64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F51487D" id="Group 766" o:spid="_x0000_s1026" style="position:absolute;margin-left:57.85pt;margin-top:7.5pt;width:31.85pt;height:22.8pt;z-index:251673600;mso-position-horizontal-relative:page" coordorigin="1157,150" coordsize="637,4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" o:allowincell="f">
                <v:shape id="Picture 767" o:spid="_x0000_s1027" type="#_x0000_t75" style="position:absolute;left:1185;top:150;width:60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">
                  <v:imagedata r:id="rId14" o:title=""/>
                </v:shape>
                <v:shape id="Picture 768" o:spid="_x0000_s1028" type="#_x0000_t75" style="position:absolute;left:1158;top:334;width:640;height: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">
                  <v:imagedata r:id="rId14" o:title=""/>
                </v:shape>
                <w10:wrap anchorx="page"/>
              </v:group>
            </w:pict>
          </mc:Fallback>
        </mc:AlternateContent>
      </w:r>
      <w:r w:rsidRPr="00E8404F">
        <w:t xml:space="preserve">Nivolumab + cabozantinib (hændelser: 86/323), median og 95 % CI: NE </w:t>
      </w:r>
    </w:p>
    <w:p w14:paraId="1FE7A07F" w14:textId="77777777" w:rsidR="002114D8" w:rsidRPr="00E8404F" w:rsidRDefault="002114D8" w:rsidP="002114D8">
      <w:pPr>
        <w:pStyle w:val="Brdtekst"/>
        <w:tabs>
          <w:tab w:val="left" w:pos="9781"/>
        </w:tabs>
        <w:kinsoku w:val="0"/>
        <w:overflowPunct w:val="0"/>
        <w:ind w:left="1316" w:right="3641" w:hanging="56"/>
      </w:pPr>
    </w:p>
    <w:p w14:paraId="1404F996" w14:textId="77777777" w:rsidR="002114D8" w:rsidRPr="00E8404F" w:rsidRDefault="002114D8" w:rsidP="00396EB1">
      <w:pPr>
        <w:pStyle w:val="Brdtekst"/>
        <w:tabs>
          <w:tab w:val="left" w:pos="9781"/>
        </w:tabs>
        <w:kinsoku w:val="0"/>
        <w:overflowPunct w:val="0"/>
        <w:ind w:left="1316" w:right="1911" w:hanging="56"/>
      </w:pPr>
      <w:r w:rsidRPr="00E8404F">
        <w:t>Sunitinib (hændelser: 116/328), median og 95 % CI: 29,47 (28,35; NE)</w:t>
      </w:r>
    </w:p>
    <w:p w14:paraId="55442A48" w14:textId="2F2D3E04" w:rsidR="005902E8" w:rsidRDefault="005902E8" w:rsidP="009260DE">
      <w:pPr>
        <w:tabs>
          <w:tab w:val="left" w:pos="851"/>
        </w:tabs>
        <w:ind w:left="851"/>
        <w:rPr>
          <w:sz w:val="24"/>
          <w:szCs w:val="24"/>
        </w:rPr>
      </w:pPr>
    </w:p>
    <w:p w14:paraId="75B0F3D2" w14:textId="77777777" w:rsidR="00396EB1" w:rsidRDefault="00396EB1" w:rsidP="009260DE">
      <w:pPr>
        <w:tabs>
          <w:tab w:val="left" w:pos="851"/>
        </w:tabs>
        <w:ind w:left="851"/>
        <w:rPr>
          <w:sz w:val="24"/>
          <w:szCs w:val="24"/>
        </w:rPr>
      </w:pPr>
    </w:p>
    <w:p w14:paraId="12A036F4" w14:textId="77777777" w:rsidR="005902E8" w:rsidRPr="005902E8" w:rsidRDefault="005902E8" w:rsidP="005902E8">
      <w:pPr>
        <w:tabs>
          <w:tab w:val="left" w:pos="851"/>
        </w:tabs>
        <w:ind w:left="851"/>
        <w:rPr>
          <w:i/>
          <w:iCs/>
          <w:sz w:val="24"/>
          <w:szCs w:val="24"/>
        </w:rPr>
      </w:pPr>
      <w:r w:rsidRPr="005902E8">
        <w:rPr>
          <w:i/>
          <w:iCs/>
          <w:sz w:val="24"/>
          <w:szCs w:val="24"/>
        </w:rPr>
        <w:t>Levercellekræft</w:t>
      </w:r>
    </w:p>
    <w:p w14:paraId="18EB339B" w14:textId="77777777" w:rsidR="005902E8" w:rsidRDefault="005902E8" w:rsidP="005902E8">
      <w:pPr>
        <w:tabs>
          <w:tab w:val="left" w:pos="851"/>
        </w:tabs>
        <w:ind w:left="851"/>
        <w:rPr>
          <w:i/>
          <w:iCs/>
          <w:sz w:val="24"/>
          <w:szCs w:val="24"/>
          <w:u w:val="single"/>
        </w:rPr>
      </w:pPr>
    </w:p>
    <w:p w14:paraId="2768E8B6" w14:textId="677BF176" w:rsidR="005902E8" w:rsidRPr="005902E8" w:rsidRDefault="005902E8" w:rsidP="005902E8">
      <w:pPr>
        <w:tabs>
          <w:tab w:val="left" w:pos="851"/>
        </w:tabs>
        <w:ind w:left="851"/>
        <w:rPr>
          <w:i/>
          <w:iCs/>
          <w:sz w:val="24"/>
          <w:szCs w:val="24"/>
        </w:rPr>
      </w:pPr>
      <w:r w:rsidRPr="005902E8">
        <w:rPr>
          <w:i/>
          <w:iCs/>
          <w:sz w:val="24"/>
          <w:szCs w:val="24"/>
          <w:u w:val="single"/>
        </w:rPr>
        <w:t>Kontrolleret studie med patienter, som modtog sorafenib (CELESTIAL)</w:t>
      </w:r>
    </w:p>
    <w:p w14:paraId="7EB45F30" w14:textId="77777777" w:rsidR="005902E8" w:rsidRPr="005902E8" w:rsidRDefault="005902E8" w:rsidP="005902E8">
      <w:pPr>
        <w:tabs>
          <w:tab w:val="left" w:pos="851"/>
        </w:tabs>
        <w:ind w:left="851"/>
        <w:rPr>
          <w:sz w:val="24"/>
          <w:szCs w:val="24"/>
        </w:rPr>
      </w:pPr>
      <w:r w:rsidRPr="005902E8">
        <w:rPr>
          <w:sz w:val="24"/>
          <w:szCs w:val="24"/>
        </w:rPr>
        <w:t>Sikkerheden og virkningen af cabozantinib blev undersøgt i et randomiseret, dobbeltblindet, placebokontrolleret fase 3-studie (CELESTIAL). Patienter (n=707) med HCC, der ikke kan behandles med kurativ behandling og som tidligere havde fået sorafenib til fremskreden sygdom, blev randomiseret (2:1) til at få cabozantinib (n=470) eller placebo (n=237). Patienterne måtte gerne have fået en anden tidligere systemisk behandling for fremskreden sygdom ud over sorafenib. Randomisering blev stratificeret ved sygdomsætiologi (HBV [med eller uden HCV], HCV [uden HBV] eller andet), geografisk region (Asien, andre regioner) og ved forekomst af ekstrahepatisk sygdomsspredning og/eller makrovaskulære invasioner (Ja/Nej).</w:t>
      </w:r>
    </w:p>
    <w:p w14:paraId="68B4A2CE" w14:textId="77777777" w:rsidR="005902E8" w:rsidRPr="005902E8" w:rsidRDefault="005902E8" w:rsidP="005902E8">
      <w:pPr>
        <w:tabs>
          <w:tab w:val="left" w:pos="851"/>
        </w:tabs>
        <w:ind w:left="851"/>
        <w:rPr>
          <w:sz w:val="24"/>
          <w:szCs w:val="24"/>
        </w:rPr>
      </w:pPr>
    </w:p>
    <w:p w14:paraId="74D6A81A" w14:textId="77777777" w:rsidR="005902E8" w:rsidRPr="005902E8" w:rsidRDefault="005902E8" w:rsidP="005902E8">
      <w:pPr>
        <w:tabs>
          <w:tab w:val="left" w:pos="851"/>
        </w:tabs>
        <w:ind w:left="851"/>
        <w:rPr>
          <w:sz w:val="24"/>
          <w:szCs w:val="24"/>
        </w:rPr>
      </w:pPr>
      <w:r w:rsidRPr="005902E8">
        <w:rPr>
          <w:sz w:val="24"/>
          <w:szCs w:val="24"/>
        </w:rPr>
        <w:t xml:space="preserve">Det primære effekt-endpoint var samlet overlevelse (OS). Sekundære effekt-endpoints var progressionsfri overlevelse (PFS) og objektiv responsrate (ORR), som vurderet af </w:t>
      </w:r>
      <w:r w:rsidRPr="005902E8">
        <w:rPr>
          <w:sz w:val="24"/>
          <w:szCs w:val="24"/>
        </w:rPr>
        <w:lastRenderedPageBreak/>
        <w:t xml:space="preserve">investigator ved anvendelse af </w:t>
      </w:r>
      <w:r w:rsidRPr="005902E8">
        <w:rPr>
          <w:i/>
          <w:iCs/>
          <w:sz w:val="24"/>
          <w:szCs w:val="24"/>
        </w:rPr>
        <w:t>Response Evaluation Criteria in Solid Tumours</w:t>
      </w:r>
      <w:r w:rsidRPr="005902E8">
        <w:rPr>
          <w:sz w:val="24"/>
          <w:szCs w:val="24"/>
        </w:rPr>
        <w:t xml:space="preserve"> (RECIST) 1.1. Tumorvurderinger blev udført hver 8. uge.</w:t>
      </w:r>
    </w:p>
    <w:p w14:paraId="69FBE388" w14:textId="77777777" w:rsidR="005902E8" w:rsidRPr="005902E8" w:rsidRDefault="005902E8" w:rsidP="005902E8">
      <w:pPr>
        <w:tabs>
          <w:tab w:val="left" w:pos="851"/>
        </w:tabs>
        <w:ind w:left="851"/>
        <w:rPr>
          <w:sz w:val="24"/>
          <w:szCs w:val="24"/>
        </w:rPr>
      </w:pPr>
      <w:r w:rsidRPr="005902E8">
        <w:rPr>
          <w:sz w:val="24"/>
          <w:szCs w:val="24"/>
        </w:rPr>
        <w:t>Studiepersonerne fortsatte blindet studiebehandling efter radiologisk sygdomsprogression, såfremt de oplevede klinisk effekt eller indtil behov for efterfølgende systemisk eller leverrettet lokal anti-cancer- behandling. Crossover fra placebo til cabozantinib var ikke tilladt i den blindede behandlingsfase.</w:t>
      </w:r>
    </w:p>
    <w:p w14:paraId="7F54BC6F" w14:textId="77777777" w:rsidR="005902E8" w:rsidRPr="005902E8" w:rsidRDefault="005902E8" w:rsidP="005902E8">
      <w:pPr>
        <w:tabs>
          <w:tab w:val="left" w:pos="851"/>
        </w:tabs>
        <w:ind w:left="851"/>
        <w:rPr>
          <w:sz w:val="24"/>
          <w:szCs w:val="24"/>
        </w:rPr>
      </w:pPr>
    </w:p>
    <w:p w14:paraId="70CDDAF8" w14:textId="12277ED4" w:rsidR="005902E8" w:rsidRDefault="005902E8" w:rsidP="005902E8">
      <w:pPr>
        <w:tabs>
          <w:tab w:val="left" w:pos="851"/>
        </w:tabs>
        <w:ind w:left="851"/>
        <w:rPr>
          <w:sz w:val="24"/>
          <w:szCs w:val="24"/>
        </w:rPr>
      </w:pPr>
      <w:r w:rsidRPr="005902E8">
        <w:rPr>
          <w:sz w:val="24"/>
          <w:szCs w:val="24"/>
        </w:rPr>
        <w:t>Demografiske og sygdomskarakteristika ved baseline var ens for cabozantinib- og placebo-armene og er vist nedenfor for alle 707 randomiserede patienter.</w:t>
      </w:r>
    </w:p>
    <w:p w14:paraId="1039435D" w14:textId="7FDA1109" w:rsidR="005902E8" w:rsidRPr="005902E8" w:rsidRDefault="005902E8" w:rsidP="005902E8">
      <w:pPr>
        <w:tabs>
          <w:tab w:val="left" w:pos="851"/>
        </w:tabs>
        <w:ind w:left="851"/>
        <w:rPr>
          <w:sz w:val="24"/>
          <w:szCs w:val="24"/>
        </w:rPr>
      </w:pPr>
    </w:p>
    <w:p w14:paraId="2FF7C35E" w14:textId="77777777" w:rsidR="005902E8" w:rsidRPr="005902E8" w:rsidRDefault="005902E8" w:rsidP="005902E8">
      <w:pPr>
        <w:pStyle w:val="Brdtekst"/>
        <w:tabs>
          <w:tab w:val="left" w:pos="9781"/>
        </w:tabs>
        <w:kinsoku w:val="0"/>
        <w:overflowPunct w:val="0"/>
        <w:ind w:left="851"/>
        <w:rPr>
          <w:sz w:val="24"/>
          <w:szCs w:val="24"/>
        </w:rPr>
      </w:pPr>
      <w:r w:rsidRPr="005902E8">
        <w:rPr>
          <w:sz w:val="24"/>
          <w:szCs w:val="24"/>
        </w:rPr>
        <w:t>Størstedelen af patienterne (82 %) var mænd: medianalderen var 64 år. Størstedelen af patienterne (56 %) var kaukasiske og 34 % af patienterne var asiatiske. 53 % af patienterne havde ECOG performance status (PS) 0 og 47 % havde ECOG PS 1. Næsten alle patienter (99 %) var Child Pugh A og 1 % var Child Pugh B. Ætiologi for HCC omfattede 38 % hepatitis B-virus (HBV), 21 % hepatitis C-virus (HCV), 40 % andet (hverken HBV eller HCV). 78 % havde tilstedeværelse af makroskopisk vaskulær invasion og/eller ekstrahepatisk tumorspredning, 41 % havde alfa-fetoprotein (AFP)-niveauer ≥400 µg/l, 44 % havde været behandlet med lokalregionale transarterielle emboliseringsprocedurer eller infusion af kemoterapi, 37 % havde fået strålebehandling før cabozantinib-behandling. Median varighed af sorafenib-behandling var</w:t>
      </w:r>
    </w:p>
    <w:p w14:paraId="4F0EC27E" w14:textId="77777777" w:rsidR="005902E8" w:rsidRPr="005902E8" w:rsidRDefault="005902E8" w:rsidP="005902E8">
      <w:pPr>
        <w:pStyle w:val="Brdtekst"/>
        <w:tabs>
          <w:tab w:val="left" w:pos="9781"/>
        </w:tabs>
        <w:kinsoku w:val="0"/>
        <w:overflowPunct w:val="0"/>
        <w:ind w:left="851"/>
        <w:rPr>
          <w:sz w:val="24"/>
          <w:szCs w:val="24"/>
        </w:rPr>
      </w:pPr>
      <w:r w:rsidRPr="005902E8">
        <w:rPr>
          <w:sz w:val="24"/>
          <w:szCs w:val="24"/>
        </w:rPr>
        <w:t>5,32 måneder. 72 % af patienterne havde tidligere modtaget én og 28 % havde tidligere modtaget to systemiske behandlingsregimer for fremskreden sygdom.</w:t>
      </w:r>
    </w:p>
    <w:p w14:paraId="04483158" w14:textId="77777777" w:rsidR="005902E8" w:rsidRPr="005902E8" w:rsidRDefault="005902E8" w:rsidP="005902E8">
      <w:pPr>
        <w:pStyle w:val="Brdtekst"/>
        <w:tabs>
          <w:tab w:val="left" w:pos="9781"/>
        </w:tabs>
        <w:kinsoku w:val="0"/>
        <w:overflowPunct w:val="0"/>
        <w:ind w:left="851"/>
        <w:rPr>
          <w:sz w:val="24"/>
          <w:szCs w:val="24"/>
        </w:rPr>
      </w:pPr>
      <w:r w:rsidRPr="005902E8">
        <w:rPr>
          <w:sz w:val="24"/>
          <w:szCs w:val="24"/>
        </w:rPr>
        <w:t>En statistisk signifikant forbedring i OS blev påvist for cabozantinib sammenlignet med placebo (tabel 8 og figur 6).</w:t>
      </w:r>
    </w:p>
    <w:p w14:paraId="6099C114" w14:textId="77777777" w:rsidR="005902E8" w:rsidRPr="005902E8" w:rsidRDefault="005902E8" w:rsidP="005902E8">
      <w:pPr>
        <w:pStyle w:val="Brdtekst"/>
        <w:tabs>
          <w:tab w:val="left" w:pos="9781"/>
        </w:tabs>
        <w:kinsoku w:val="0"/>
        <w:overflowPunct w:val="0"/>
        <w:ind w:left="851"/>
        <w:rPr>
          <w:sz w:val="24"/>
          <w:szCs w:val="24"/>
        </w:rPr>
      </w:pPr>
    </w:p>
    <w:p w14:paraId="0590FA61" w14:textId="77777777" w:rsidR="005902E8" w:rsidRPr="005902E8" w:rsidRDefault="005902E8" w:rsidP="005902E8">
      <w:pPr>
        <w:pStyle w:val="Brdtekst"/>
        <w:tabs>
          <w:tab w:val="left" w:pos="9781"/>
        </w:tabs>
        <w:kinsoku w:val="0"/>
        <w:overflowPunct w:val="0"/>
        <w:ind w:left="851"/>
        <w:rPr>
          <w:sz w:val="24"/>
          <w:szCs w:val="24"/>
        </w:rPr>
      </w:pPr>
      <w:r w:rsidRPr="005902E8">
        <w:rPr>
          <w:sz w:val="24"/>
          <w:szCs w:val="24"/>
        </w:rPr>
        <w:t>PFS og ORR-fund er opsummeret i tabel 8.</w:t>
      </w:r>
    </w:p>
    <w:p w14:paraId="25E2141C" w14:textId="77777777" w:rsidR="005902E8" w:rsidRPr="00E8404F" w:rsidRDefault="005902E8" w:rsidP="005902E8">
      <w:pPr>
        <w:pStyle w:val="Brdtekst"/>
        <w:tabs>
          <w:tab w:val="left" w:pos="9781"/>
        </w:tabs>
        <w:kinsoku w:val="0"/>
        <w:overflowPunct w:val="0"/>
      </w:pPr>
    </w:p>
    <w:p w14:paraId="6D2A4AD7" w14:textId="77777777" w:rsidR="005902E8" w:rsidRPr="005902E8" w:rsidRDefault="005902E8" w:rsidP="005902E8">
      <w:pPr>
        <w:ind w:left="567"/>
        <w:rPr>
          <w:b/>
        </w:rPr>
      </w:pPr>
      <w:r w:rsidRPr="005902E8">
        <w:rPr>
          <w:b/>
        </w:rPr>
        <w:t>Tabel 8: Effektresultater ved HCC (ITT-population, CELESTIAL)</w:t>
      </w:r>
    </w:p>
    <w:p w14:paraId="0A85FDB0" w14:textId="77777777" w:rsidR="005902E8" w:rsidRPr="00E8404F" w:rsidRDefault="005902E8" w:rsidP="005902E8">
      <w:pPr>
        <w:pStyle w:val="Brdtekst"/>
        <w:tabs>
          <w:tab w:val="left" w:pos="9781"/>
        </w:tabs>
        <w:kinsoku w:val="0"/>
        <w:overflowPunct w:val="0"/>
        <w:rPr>
          <w:b/>
          <w:bCs/>
        </w:rPr>
      </w:pPr>
    </w:p>
    <w:tbl>
      <w:tblPr>
        <w:tblW w:w="0" w:type="auto"/>
        <w:tblInd w:w="551" w:type="dxa"/>
        <w:tblLayout w:type="fixed"/>
        <w:tblCellMar>
          <w:left w:w="0" w:type="dxa"/>
          <w:right w:w="0" w:type="dxa"/>
        </w:tblCellMar>
        <w:tblLook w:val="0000" w:firstRow="0" w:lastRow="0" w:firstColumn="0" w:lastColumn="0" w:noHBand="0" w:noVBand="0"/>
      </w:tblPr>
      <w:tblGrid>
        <w:gridCol w:w="3730"/>
        <w:gridCol w:w="2948"/>
        <w:gridCol w:w="2974"/>
      </w:tblGrid>
      <w:tr w:rsidR="005902E8" w:rsidRPr="00E8404F" w14:paraId="25108371" w14:textId="77777777" w:rsidTr="00725429">
        <w:trPr>
          <w:trHeight w:val="505"/>
        </w:trPr>
        <w:tc>
          <w:tcPr>
            <w:tcW w:w="3730" w:type="dxa"/>
            <w:tcBorders>
              <w:top w:val="single" w:sz="4" w:space="0" w:color="000000"/>
              <w:left w:val="single" w:sz="4" w:space="0" w:color="000000"/>
              <w:bottom w:val="single" w:sz="4" w:space="0" w:color="000000"/>
              <w:right w:val="single" w:sz="4" w:space="0" w:color="000000"/>
            </w:tcBorders>
          </w:tcPr>
          <w:p w14:paraId="51620BD9" w14:textId="77777777" w:rsidR="005902E8" w:rsidRPr="00E8404F" w:rsidRDefault="005902E8" w:rsidP="00725429">
            <w:pPr>
              <w:pStyle w:val="TableParagraph"/>
              <w:tabs>
                <w:tab w:val="left" w:pos="9781"/>
              </w:tabs>
              <w:kinsoku w:val="0"/>
              <w:overflowPunct w:val="0"/>
              <w:spacing w:line="240" w:lineRule="auto"/>
              <w:ind w:left="0"/>
              <w:rPr>
                <w:sz w:val="20"/>
                <w:szCs w:val="20"/>
              </w:rPr>
            </w:pPr>
          </w:p>
        </w:tc>
        <w:tc>
          <w:tcPr>
            <w:tcW w:w="2948" w:type="dxa"/>
            <w:tcBorders>
              <w:top w:val="single" w:sz="4" w:space="0" w:color="000000"/>
              <w:left w:val="single" w:sz="4" w:space="0" w:color="000000"/>
              <w:bottom w:val="single" w:sz="4" w:space="0" w:color="000000"/>
              <w:right w:val="single" w:sz="4" w:space="0" w:color="000000"/>
            </w:tcBorders>
          </w:tcPr>
          <w:p w14:paraId="396D658A" w14:textId="77777777" w:rsidR="005902E8" w:rsidRPr="00E8404F" w:rsidRDefault="005902E8" w:rsidP="00725429">
            <w:pPr>
              <w:pStyle w:val="TableParagraph"/>
              <w:tabs>
                <w:tab w:val="left" w:pos="9781"/>
              </w:tabs>
              <w:kinsoku w:val="0"/>
              <w:overflowPunct w:val="0"/>
              <w:spacing w:line="240" w:lineRule="auto"/>
              <w:ind w:left="1088" w:right="723" w:hanging="348"/>
              <w:rPr>
                <w:b/>
                <w:bCs/>
                <w:sz w:val="22"/>
                <w:szCs w:val="22"/>
              </w:rPr>
            </w:pPr>
            <w:r w:rsidRPr="00E8404F">
              <w:rPr>
                <w:b/>
                <w:bCs/>
                <w:sz w:val="22"/>
                <w:szCs w:val="22"/>
              </w:rPr>
              <w:t>Cabozantinib (N=470)</w:t>
            </w:r>
          </w:p>
        </w:tc>
        <w:tc>
          <w:tcPr>
            <w:tcW w:w="2974" w:type="dxa"/>
            <w:tcBorders>
              <w:top w:val="single" w:sz="4" w:space="0" w:color="000000"/>
              <w:left w:val="single" w:sz="4" w:space="0" w:color="000000"/>
              <w:bottom w:val="single" w:sz="4" w:space="0" w:color="000000"/>
              <w:right w:val="single" w:sz="4" w:space="0" w:color="000000"/>
            </w:tcBorders>
          </w:tcPr>
          <w:p w14:paraId="34DD3394" w14:textId="77777777" w:rsidR="005902E8" w:rsidRPr="00E8404F" w:rsidRDefault="005902E8" w:rsidP="00725429">
            <w:pPr>
              <w:pStyle w:val="TableParagraph"/>
              <w:tabs>
                <w:tab w:val="left" w:pos="9781"/>
              </w:tabs>
              <w:kinsoku w:val="0"/>
              <w:overflowPunct w:val="0"/>
              <w:spacing w:line="240" w:lineRule="auto"/>
              <w:ind w:left="1100" w:right="1099" w:firstLine="2"/>
              <w:jc w:val="center"/>
              <w:rPr>
                <w:b/>
                <w:bCs/>
                <w:sz w:val="22"/>
                <w:szCs w:val="22"/>
              </w:rPr>
            </w:pPr>
            <w:r w:rsidRPr="00E8404F">
              <w:rPr>
                <w:b/>
                <w:bCs/>
                <w:sz w:val="22"/>
                <w:szCs w:val="22"/>
              </w:rPr>
              <w:t>Placebo (N=237)</w:t>
            </w:r>
          </w:p>
        </w:tc>
      </w:tr>
      <w:tr w:rsidR="005902E8" w:rsidRPr="00E8404F" w14:paraId="66C651DD" w14:textId="77777777" w:rsidTr="00725429">
        <w:trPr>
          <w:trHeight w:val="251"/>
        </w:trPr>
        <w:tc>
          <w:tcPr>
            <w:tcW w:w="9652" w:type="dxa"/>
            <w:gridSpan w:val="3"/>
            <w:tcBorders>
              <w:top w:val="single" w:sz="4" w:space="0" w:color="000000"/>
              <w:left w:val="single" w:sz="4" w:space="0" w:color="000000"/>
              <w:bottom w:val="single" w:sz="4" w:space="0" w:color="000000"/>
              <w:right w:val="single" w:sz="4" w:space="0" w:color="000000"/>
            </w:tcBorders>
          </w:tcPr>
          <w:p w14:paraId="058F5541" w14:textId="77777777" w:rsidR="005902E8" w:rsidRPr="00E8404F" w:rsidRDefault="005902E8" w:rsidP="00725429">
            <w:pPr>
              <w:pStyle w:val="TableParagraph"/>
              <w:tabs>
                <w:tab w:val="left" w:pos="9781"/>
              </w:tabs>
              <w:kinsoku w:val="0"/>
              <w:overflowPunct w:val="0"/>
              <w:spacing w:line="240" w:lineRule="auto"/>
              <w:rPr>
                <w:b/>
                <w:bCs/>
                <w:sz w:val="22"/>
                <w:szCs w:val="22"/>
                <w:u w:val="single"/>
              </w:rPr>
            </w:pPr>
            <w:r w:rsidRPr="00E8404F">
              <w:rPr>
                <w:b/>
                <w:bCs/>
                <w:sz w:val="22"/>
                <w:szCs w:val="22"/>
                <w:u w:val="single"/>
              </w:rPr>
              <w:t>Samlet overlevelse (OS)</w:t>
            </w:r>
          </w:p>
        </w:tc>
      </w:tr>
      <w:tr w:rsidR="005902E8" w:rsidRPr="00E8404F" w14:paraId="35C20E5E" w14:textId="77777777" w:rsidTr="00725429">
        <w:trPr>
          <w:trHeight w:val="254"/>
        </w:trPr>
        <w:tc>
          <w:tcPr>
            <w:tcW w:w="3730" w:type="dxa"/>
            <w:tcBorders>
              <w:top w:val="single" w:sz="4" w:space="0" w:color="000000"/>
              <w:left w:val="single" w:sz="4" w:space="0" w:color="000000"/>
              <w:bottom w:val="single" w:sz="4" w:space="0" w:color="000000"/>
              <w:right w:val="single" w:sz="4" w:space="0" w:color="000000"/>
            </w:tcBorders>
          </w:tcPr>
          <w:p w14:paraId="613F6E6A" w14:textId="77777777" w:rsidR="005902E8" w:rsidRPr="00E8404F" w:rsidRDefault="005902E8" w:rsidP="00725429">
            <w:pPr>
              <w:pStyle w:val="TableParagraph"/>
              <w:tabs>
                <w:tab w:val="left" w:pos="9781"/>
              </w:tabs>
              <w:kinsoku w:val="0"/>
              <w:overflowPunct w:val="0"/>
              <w:spacing w:line="240" w:lineRule="auto"/>
              <w:rPr>
                <w:sz w:val="22"/>
                <w:szCs w:val="22"/>
              </w:rPr>
            </w:pPr>
            <w:r w:rsidRPr="00E8404F">
              <w:rPr>
                <w:sz w:val="22"/>
                <w:szCs w:val="22"/>
              </w:rPr>
              <w:t>Median OS (95% CI), måneder</w:t>
            </w:r>
          </w:p>
        </w:tc>
        <w:tc>
          <w:tcPr>
            <w:tcW w:w="2948" w:type="dxa"/>
            <w:tcBorders>
              <w:top w:val="single" w:sz="4" w:space="0" w:color="000000"/>
              <w:left w:val="single" w:sz="4" w:space="0" w:color="000000"/>
              <w:bottom w:val="single" w:sz="4" w:space="0" w:color="000000"/>
              <w:right w:val="single" w:sz="4" w:space="0" w:color="000000"/>
            </w:tcBorders>
          </w:tcPr>
          <w:p w14:paraId="597BBE42" w14:textId="77777777" w:rsidR="005902E8" w:rsidRPr="00E8404F" w:rsidRDefault="005902E8" w:rsidP="00725429">
            <w:pPr>
              <w:pStyle w:val="TableParagraph"/>
              <w:tabs>
                <w:tab w:val="left" w:pos="9781"/>
              </w:tabs>
              <w:kinsoku w:val="0"/>
              <w:overflowPunct w:val="0"/>
              <w:spacing w:line="240" w:lineRule="auto"/>
              <w:ind w:left="347" w:right="347"/>
              <w:jc w:val="center"/>
              <w:rPr>
                <w:sz w:val="22"/>
                <w:szCs w:val="22"/>
              </w:rPr>
            </w:pPr>
            <w:r w:rsidRPr="00E8404F">
              <w:rPr>
                <w:sz w:val="22"/>
                <w:szCs w:val="22"/>
              </w:rPr>
              <w:t>10,2 (9,1; 12,0)</w:t>
            </w:r>
          </w:p>
        </w:tc>
        <w:tc>
          <w:tcPr>
            <w:tcW w:w="2974" w:type="dxa"/>
            <w:tcBorders>
              <w:top w:val="single" w:sz="4" w:space="0" w:color="000000"/>
              <w:left w:val="single" w:sz="4" w:space="0" w:color="000000"/>
              <w:bottom w:val="single" w:sz="4" w:space="0" w:color="000000"/>
              <w:right w:val="single" w:sz="4" w:space="0" w:color="000000"/>
            </w:tcBorders>
          </w:tcPr>
          <w:p w14:paraId="7B3EDD70" w14:textId="77777777" w:rsidR="005902E8" w:rsidRPr="00E8404F" w:rsidRDefault="005902E8" w:rsidP="00725429">
            <w:pPr>
              <w:pStyle w:val="TableParagraph"/>
              <w:tabs>
                <w:tab w:val="left" w:pos="9781"/>
              </w:tabs>
              <w:kinsoku w:val="0"/>
              <w:overflowPunct w:val="0"/>
              <w:spacing w:line="240" w:lineRule="auto"/>
              <w:ind w:left="358" w:right="357"/>
              <w:jc w:val="center"/>
              <w:rPr>
                <w:sz w:val="22"/>
                <w:szCs w:val="22"/>
              </w:rPr>
            </w:pPr>
            <w:r w:rsidRPr="00E8404F">
              <w:rPr>
                <w:sz w:val="22"/>
                <w:szCs w:val="22"/>
              </w:rPr>
              <w:t>8,0 (6,8; 9,4)</w:t>
            </w:r>
          </w:p>
        </w:tc>
      </w:tr>
      <w:tr w:rsidR="005902E8" w:rsidRPr="00E8404F" w14:paraId="54DAFBAC" w14:textId="77777777" w:rsidTr="00725429">
        <w:trPr>
          <w:trHeight w:val="251"/>
        </w:trPr>
        <w:tc>
          <w:tcPr>
            <w:tcW w:w="3730" w:type="dxa"/>
            <w:tcBorders>
              <w:top w:val="single" w:sz="4" w:space="0" w:color="000000"/>
              <w:left w:val="single" w:sz="4" w:space="0" w:color="000000"/>
              <w:bottom w:val="single" w:sz="4" w:space="0" w:color="000000"/>
              <w:right w:val="single" w:sz="4" w:space="0" w:color="000000"/>
            </w:tcBorders>
          </w:tcPr>
          <w:p w14:paraId="70AE0F93" w14:textId="77777777" w:rsidR="005902E8" w:rsidRPr="00E8404F" w:rsidRDefault="005902E8" w:rsidP="00725429">
            <w:pPr>
              <w:pStyle w:val="TableParagraph"/>
              <w:tabs>
                <w:tab w:val="left" w:pos="9781"/>
              </w:tabs>
              <w:kinsoku w:val="0"/>
              <w:overflowPunct w:val="0"/>
              <w:spacing w:line="240" w:lineRule="auto"/>
              <w:rPr>
                <w:position w:val="8"/>
                <w:sz w:val="14"/>
                <w:szCs w:val="14"/>
              </w:rPr>
            </w:pPr>
            <w:r w:rsidRPr="00E8404F">
              <w:rPr>
                <w:sz w:val="22"/>
                <w:szCs w:val="22"/>
              </w:rPr>
              <w:t>HR (95 % CI)</w:t>
            </w:r>
            <w:r w:rsidRPr="00E8404F">
              <w:rPr>
                <w:position w:val="8"/>
                <w:sz w:val="14"/>
                <w:szCs w:val="14"/>
              </w:rPr>
              <w:t>1,2</w:t>
            </w:r>
          </w:p>
        </w:tc>
        <w:tc>
          <w:tcPr>
            <w:tcW w:w="5922" w:type="dxa"/>
            <w:gridSpan w:val="2"/>
            <w:tcBorders>
              <w:top w:val="single" w:sz="4" w:space="0" w:color="000000"/>
              <w:left w:val="single" w:sz="4" w:space="0" w:color="000000"/>
              <w:bottom w:val="single" w:sz="4" w:space="0" w:color="000000"/>
              <w:right w:val="single" w:sz="4" w:space="0" w:color="000000"/>
            </w:tcBorders>
          </w:tcPr>
          <w:p w14:paraId="60987C07" w14:textId="77777777" w:rsidR="005902E8" w:rsidRPr="00E8404F" w:rsidRDefault="005902E8" w:rsidP="00725429">
            <w:pPr>
              <w:pStyle w:val="TableParagraph"/>
              <w:tabs>
                <w:tab w:val="left" w:pos="9781"/>
              </w:tabs>
              <w:kinsoku w:val="0"/>
              <w:overflowPunct w:val="0"/>
              <w:spacing w:line="240" w:lineRule="auto"/>
              <w:ind w:left="2200" w:right="2199"/>
              <w:jc w:val="center"/>
              <w:rPr>
                <w:sz w:val="22"/>
                <w:szCs w:val="22"/>
              </w:rPr>
            </w:pPr>
            <w:r w:rsidRPr="00E8404F">
              <w:rPr>
                <w:sz w:val="22"/>
                <w:szCs w:val="22"/>
              </w:rPr>
              <w:t>0,76 (0,63; 0,92)</w:t>
            </w:r>
          </w:p>
        </w:tc>
      </w:tr>
      <w:tr w:rsidR="005902E8" w:rsidRPr="00E8404F" w14:paraId="038D60BC" w14:textId="77777777" w:rsidTr="00725429">
        <w:trPr>
          <w:trHeight w:val="254"/>
        </w:trPr>
        <w:tc>
          <w:tcPr>
            <w:tcW w:w="3730" w:type="dxa"/>
            <w:tcBorders>
              <w:top w:val="single" w:sz="4" w:space="0" w:color="000000"/>
              <w:left w:val="single" w:sz="4" w:space="0" w:color="000000"/>
              <w:bottom w:val="single" w:sz="4" w:space="0" w:color="000000"/>
              <w:right w:val="single" w:sz="4" w:space="0" w:color="000000"/>
            </w:tcBorders>
          </w:tcPr>
          <w:p w14:paraId="6FF5DB3C" w14:textId="77777777" w:rsidR="005902E8" w:rsidRPr="00E8404F" w:rsidRDefault="005902E8" w:rsidP="00725429">
            <w:pPr>
              <w:pStyle w:val="TableParagraph"/>
              <w:tabs>
                <w:tab w:val="left" w:pos="9781"/>
              </w:tabs>
              <w:kinsoku w:val="0"/>
              <w:overflowPunct w:val="0"/>
              <w:spacing w:line="240" w:lineRule="auto"/>
              <w:rPr>
                <w:position w:val="8"/>
                <w:sz w:val="14"/>
                <w:szCs w:val="14"/>
              </w:rPr>
            </w:pPr>
            <w:r w:rsidRPr="00E8404F">
              <w:rPr>
                <w:sz w:val="22"/>
                <w:szCs w:val="22"/>
              </w:rPr>
              <w:t>p-værdi</w:t>
            </w:r>
            <w:r w:rsidRPr="00E8404F">
              <w:rPr>
                <w:position w:val="8"/>
                <w:sz w:val="14"/>
                <w:szCs w:val="14"/>
              </w:rPr>
              <w:t>1</w:t>
            </w:r>
          </w:p>
        </w:tc>
        <w:tc>
          <w:tcPr>
            <w:tcW w:w="5922" w:type="dxa"/>
            <w:gridSpan w:val="2"/>
            <w:tcBorders>
              <w:top w:val="single" w:sz="4" w:space="0" w:color="000000"/>
              <w:left w:val="single" w:sz="4" w:space="0" w:color="000000"/>
              <w:bottom w:val="single" w:sz="4" w:space="0" w:color="000000"/>
              <w:right w:val="single" w:sz="4" w:space="0" w:color="000000"/>
            </w:tcBorders>
          </w:tcPr>
          <w:p w14:paraId="45E88043" w14:textId="77777777" w:rsidR="005902E8" w:rsidRPr="00E8404F" w:rsidRDefault="005902E8" w:rsidP="00725429">
            <w:pPr>
              <w:pStyle w:val="TableParagraph"/>
              <w:tabs>
                <w:tab w:val="left" w:pos="9781"/>
              </w:tabs>
              <w:kinsoku w:val="0"/>
              <w:overflowPunct w:val="0"/>
              <w:spacing w:line="240" w:lineRule="auto"/>
              <w:ind w:left="2200" w:right="2198"/>
              <w:jc w:val="center"/>
              <w:rPr>
                <w:sz w:val="22"/>
                <w:szCs w:val="22"/>
              </w:rPr>
            </w:pPr>
            <w:r w:rsidRPr="00E8404F">
              <w:rPr>
                <w:sz w:val="22"/>
                <w:szCs w:val="22"/>
              </w:rPr>
              <w:t>p=0,0049</w:t>
            </w:r>
          </w:p>
        </w:tc>
      </w:tr>
      <w:tr w:rsidR="005902E8" w:rsidRPr="00E8404F" w14:paraId="56792405" w14:textId="77777777" w:rsidTr="00725429">
        <w:trPr>
          <w:trHeight w:val="251"/>
        </w:trPr>
        <w:tc>
          <w:tcPr>
            <w:tcW w:w="9652" w:type="dxa"/>
            <w:gridSpan w:val="3"/>
            <w:tcBorders>
              <w:top w:val="single" w:sz="4" w:space="0" w:color="000000"/>
              <w:left w:val="single" w:sz="4" w:space="0" w:color="000000"/>
              <w:bottom w:val="single" w:sz="4" w:space="0" w:color="000000"/>
              <w:right w:val="single" w:sz="4" w:space="0" w:color="000000"/>
            </w:tcBorders>
          </w:tcPr>
          <w:p w14:paraId="61C4D054" w14:textId="77777777" w:rsidR="005902E8" w:rsidRPr="00E8404F" w:rsidRDefault="005902E8" w:rsidP="00725429">
            <w:pPr>
              <w:pStyle w:val="TableParagraph"/>
              <w:tabs>
                <w:tab w:val="left" w:pos="9781"/>
              </w:tabs>
              <w:kinsoku w:val="0"/>
              <w:overflowPunct w:val="0"/>
              <w:spacing w:line="240" w:lineRule="auto"/>
              <w:rPr>
                <w:b/>
                <w:bCs/>
                <w:position w:val="8"/>
                <w:sz w:val="14"/>
                <w:szCs w:val="14"/>
              </w:rPr>
            </w:pPr>
            <w:r w:rsidRPr="00E8404F">
              <w:rPr>
                <w:b/>
                <w:bCs/>
                <w:sz w:val="22"/>
                <w:szCs w:val="22"/>
              </w:rPr>
              <w:t>Progressionsfri overlevelse (PFS)</w:t>
            </w:r>
            <w:r w:rsidRPr="00E8404F">
              <w:rPr>
                <w:b/>
                <w:bCs/>
                <w:position w:val="8"/>
                <w:sz w:val="14"/>
                <w:szCs w:val="14"/>
              </w:rPr>
              <w:t>3</w:t>
            </w:r>
          </w:p>
        </w:tc>
      </w:tr>
      <w:tr w:rsidR="005902E8" w:rsidRPr="00E8404F" w14:paraId="7C32B804" w14:textId="77777777" w:rsidTr="00725429">
        <w:trPr>
          <w:trHeight w:val="254"/>
        </w:trPr>
        <w:tc>
          <w:tcPr>
            <w:tcW w:w="3730" w:type="dxa"/>
            <w:tcBorders>
              <w:top w:val="single" w:sz="4" w:space="0" w:color="000000"/>
              <w:left w:val="single" w:sz="4" w:space="0" w:color="000000"/>
              <w:bottom w:val="single" w:sz="4" w:space="0" w:color="000000"/>
              <w:right w:val="single" w:sz="4" w:space="0" w:color="000000"/>
            </w:tcBorders>
          </w:tcPr>
          <w:p w14:paraId="0067B72D" w14:textId="77777777" w:rsidR="005902E8" w:rsidRPr="00E8404F" w:rsidRDefault="005902E8" w:rsidP="00725429">
            <w:pPr>
              <w:pStyle w:val="TableParagraph"/>
              <w:tabs>
                <w:tab w:val="left" w:pos="9781"/>
              </w:tabs>
              <w:kinsoku w:val="0"/>
              <w:overflowPunct w:val="0"/>
              <w:spacing w:line="240" w:lineRule="auto"/>
              <w:rPr>
                <w:sz w:val="22"/>
                <w:szCs w:val="22"/>
              </w:rPr>
            </w:pPr>
            <w:r w:rsidRPr="00E8404F">
              <w:rPr>
                <w:sz w:val="22"/>
                <w:szCs w:val="22"/>
              </w:rPr>
              <w:t>Median PFS i måneder (95 % CI)</w:t>
            </w:r>
          </w:p>
        </w:tc>
        <w:tc>
          <w:tcPr>
            <w:tcW w:w="2948" w:type="dxa"/>
            <w:tcBorders>
              <w:top w:val="single" w:sz="4" w:space="0" w:color="000000"/>
              <w:left w:val="single" w:sz="4" w:space="0" w:color="000000"/>
              <w:bottom w:val="single" w:sz="4" w:space="0" w:color="000000"/>
              <w:right w:val="single" w:sz="4" w:space="0" w:color="000000"/>
            </w:tcBorders>
          </w:tcPr>
          <w:p w14:paraId="25EAE748" w14:textId="77777777" w:rsidR="005902E8" w:rsidRPr="00E8404F" w:rsidRDefault="005902E8" w:rsidP="00725429">
            <w:pPr>
              <w:pStyle w:val="TableParagraph"/>
              <w:tabs>
                <w:tab w:val="left" w:pos="9781"/>
              </w:tabs>
              <w:kinsoku w:val="0"/>
              <w:overflowPunct w:val="0"/>
              <w:spacing w:line="240" w:lineRule="auto"/>
              <w:ind w:left="347" w:right="347"/>
              <w:jc w:val="center"/>
              <w:rPr>
                <w:sz w:val="22"/>
                <w:szCs w:val="22"/>
              </w:rPr>
            </w:pPr>
            <w:r w:rsidRPr="00E8404F">
              <w:rPr>
                <w:sz w:val="22"/>
                <w:szCs w:val="22"/>
              </w:rPr>
              <w:t>5,2 (4,0; 5,5)</w:t>
            </w:r>
          </w:p>
        </w:tc>
        <w:tc>
          <w:tcPr>
            <w:tcW w:w="2974" w:type="dxa"/>
            <w:tcBorders>
              <w:top w:val="single" w:sz="4" w:space="0" w:color="000000"/>
              <w:left w:val="single" w:sz="4" w:space="0" w:color="000000"/>
              <w:bottom w:val="single" w:sz="4" w:space="0" w:color="000000"/>
              <w:right w:val="single" w:sz="4" w:space="0" w:color="000000"/>
            </w:tcBorders>
          </w:tcPr>
          <w:p w14:paraId="3FB775E5" w14:textId="77777777" w:rsidR="005902E8" w:rsidRPr="00E8404F" w:rsidRDefault="005902E8" w:rsidP="00725429">
            <w:pPr>
              <w:pStyle w:val="TableParagraph"/>
              <w:tabs>
                <w:tab w:val="left" w:pos="9781"/>
              </w:tabs>
              <w:kinsoku w:val="0"/>
              <w:overflowPunct w:val="0"/>
              <w:spacing w:line="240" w:lineRule="auto"/>
              <w:ind w:left="356" w:right="357"/>
              <w:jc w:val="center"/>
              <w:rPr>
                <w:sz w:val="22"/>
                <w:szCs w:val="22"/>
              </w:rPr>
            </w:pPr>
            <w:r w:rsidRPr="00E8404F">
              <w:rPr>
                <w:sz w:val="22"/>
                <w:szCs w:val="22"/>
              </w:rPr>
              <w:t>1,9 (1,9; 1,9)</w:t>
            </w:r>
          </w:p>
        </w:tc>
      </w:tr>
      <w:tr w:rsidR="005902E8" w:rsidRPr="00E8404F" w14:paraId="13E0B7F2" w14:textId="77777777" w:rsidTr="00725429">
        <w:trPr>
          <w:trHeight w:val="251"/>
        </w:trPr>
        <w:tc>
          <w:tcPr>
            <w:tcW w:w="3730" w:type="dxa"/>
            <w:tcBorders>
              <w:top w:val="single" w:sz="4" w:space="0" w:color="000000"/>
              <w:left w:val="single" w:sz="4" w:space="0" w:color="000000"/>
              <w:bottom w:val="single" w:sz="4" w:space="0" w:color="000000"/>
              <w:right w:val="single" w:sz="4" w:space="0" w:color="000000"/>
            </w:tcBorders>
          </w:tcPr>
          <w:p w14:paraId="40CA6BE3" w14:textId="77777777" w:rsidR="005902E8" w:rsidRPr="00E8404F" w:rsidRDefault="005902E8" w:rsidP="00725429">
            <w:pPr>
              <w:pStyle w:val="TableParagraph"/>
              <w:tabs>
                <w:tab w:val="left" w:pos="9781"/>
              </w:tabs>
              <w:kinsoku w:val="0"/>
              <w:overflowPunct w:val="0"/>
              <w:spacing w:line="240" w:lineRule="auto"/>
              <w:rPr>
                <w:position w:val="8"/>
                <w:sz w:val="14"/>
                <w:szCs w:val="14"/>
              </w:rPr>
            </w:pPr>
            <w:r w:rsidRPr="00E8404F">
              <w:rPr>
                <w:sz w:val="22"/>
                <w:szCs w:val="22"/>
              </w:rPr>
              <w:t>HR (95 % CI)</w:t>
            </w:r>
            <w:r w:rsidRPr="00E8404F">
              <w:rPr>
                <w:position w:val="8"/>
                <w:sz w:val="14"/>
                <w:szCs w:val="14"/>
              </w:rPr>
              <w:t>1</w:t>
            </w:r>
          </w:p>
        </w:tc>
        <w:tc>
          <w:tcPr>
            <w:tcW w:w="5922" w:type="dxa"/>
            <w:gridSpan w:val="2"/>
            <w:tcBorders>
              <w:top w:val="single" w:sz="4" w:space="0" w:color="000000"/>
              <w:left w:val="single" w:sz="4" w:space="0" w:color="000000"/>
              <w:bottom w:val="single" w:sz="4" w:space="0" w:color="000000"/>
              <w:right w:val="single" w:sz="4" w:space="0" w:color="000000"/>
            </w:tcBorders>
          </w:tcPr>
          <w:p w14:paraId="3099B5D0" w14:textId="77777777" w:rsidR="005902E8" w:rsidRPr="00E8404F" w:rsidRDefault="005902E8" w:rsidP="00725429">
            <w:pPr>
              <w:pStyle w:val="TableParagraph"/>
              <w:tabs>
                <w:tab w:val="left" w:pos="9781"/>
              </w:tabs>
              <w:kinsoku w:val="0"/>
              <w:overflowPunct w:val="0"/>
              <w:spacing w:line="240" w:lineRule="auto"/>
              <w:ind w:left="2200" w:right="2199"/>
              <w:jc w:val="center"/>
              <w:rPr>
                <w:sz w:val="22"/>
                <w:szCs w:val="22"/>
              </w:rPr>
            </w:pPr>
            <w:r w:rsidRPr="00E8404F">
              <w:rPr>
                <w:sz w:val="22"/>
                <w:szCs w:val="22"/>
              </w:rPr>
              <w:t>0,44 (0,36; 0,52)</w:t>
            </w:r>
          </w:p>
        </w:tc>
      </w:tr>
      <w:tr w:rsidR="005902E8" w:rsidRPr="00E8404F" w14:paraId="32EE1C7B" w14:textId="77777777" w:rsidTr="00725429">
        <w:trPr>
          <w:trHeight w:val="254"/>
        </w:trPr>
        <w:tc>
          <w:tcPr>
            <w:tcW w:w="3730" w:type="dxa"/>
            <w:tcBorders>
              <w:top w:val="single" w:sz="4" w:space="0" w:color="000000"/>
              <w:left w:val="single" w:sz="4" w:space="0" w:color="000000"/>
              <w:bottom w:val="single" w:sz="4" w:space="0" w:color="000000"/>
              <w:right w:val="single" w:sz="4" w:space="0" w:color="000000"/>
            </w:tcBorders>
          </w:tcPr>
          <w:p w14:paraId="2EFD680D" w14:textId="77777777" w:rsidR="005902E8" w:rsidRPr="00E8404F" w:rsidRDefault="005902E8" w:rsidP="00725429">
            <w:pPr>
              <w:pStyle w:val="TableParagraph"/>
              <w:tabs>
                <w:tab w:val="left" w:pos="9781"/>
              </w:tabs>
              <w:kinsoku w:val="0"/>
              <w:overflowPunct w:val="0"/>
              <w:spacing w:line="240" w:lineRule="auto"/>
              <w:rPr>
                <w:position w:val="8"/>
                <w:sz w:val="14"/>
                <w:szCs w:val="14"/>
              </w:rPr>
            </w:pPr>
            <w:r w:rsidRPr="00E8404F">
              <w:rPr>
                <w:sz w:val="22"/>
                <w:szCs w:val="22"/>
              </w:rPr>
              <w:t>p-værdi</w:t>
            </w:r>
            <w:r w:rsidRPr="00E8404F">
              <w:rPr>
                <w:position w:val="8"/>
                <w:sz w:val="14"/>
                <w:szCs w:val="14"/>
              </w:rPr>
              <w:t>1</w:t>
            </w:r>
          </w:p>
        </w:tc>
        <w:tc>
          <w:tcPr>
            <w:tcW w:w="5922" w:type="dxa"/>
            <w:gridSpan w:val="2"/>
            <w:tcBorders>
              <w:top w:val="single" w:sz="4" w:space="0" w:color="000000"/>
              <w:left w:val="single" w:sz="4" w:space="0" w:color="000000"/>
              <w:bottom w:val="single" w:sz="4" w:space="0" w:color="000000"/>
              <w:right w:val="single" w:sz="4" w:space="0" w:color="000000"/>
            </w:tcBorders>
          </w:tcPr>
          <w:p w14:paraId="4A8D89D9" w14:textId="77777777" w:rsidR="005902E8" w:rsidRPr="00E8404F" w:rsidRDefault="005902E8" w:rsidP="00725429">
            <w:pPr>
              <w:pStyle w:val="TableParagraph"/>
              <w:tabs>
                <w:tab w:val="left" w:pos="9781"/>
              </w:tabs>
              <w:kinsoku w:val="0"/>
              <w:overflowPunct w:val="0"/>
              <w:spacing w:line="240" w:lineRule="auto"/>
              <w:ind w:left="2200" w:right="2198"/>
              <w:jc w:val="center"/>
              <w:rPr>
                <w:sz w:val="22"/>
                <w:szCs w:val="22"/>
              </w:rPr>
            </w:pPr>
            <w:r w:rsidRPr="00E8404F">
              <w:rPr>
                <w:sz w:val="22"/>
                <w:szCs w:val="22"/>
              </w:rPr>
              <w:t>p&lt;0,0001</w:t>
            </w:r>
          </w:p>
        </w:tc>
      </w:tr>
      <w:tr w:rsidR="005902E8" w:rsidRPr="00E8404F" w14:paraId="744BBE90" w14:textId="77777777" w:rsidTr="00725429">
        <w:trPr>
          <w:trHeight w:val="757"/>
        </w:trPr>
        <w:tc>
          <w:tcPr>
            <w:tcW w:w="3730" w:type="dxa"/>
            <w:tcBorders>
              <w:top w:val="single" w:sz="4" w:space="0" w:color="000000"/>
              <w:left w:val="single" w:sz="4" w:space="0" w:color="000000"/>
              <w:bottom w:val="single" w:sz="4" w:space="0" w:color="000000"/>
              <w:right w:val="single" w:sz="4" w:space="0" w:color="000000"/>
            </w:tcBorders>
          </w:tcPr>
          <w:p w14:paraId="73C75B92" w14:textId="77777777" w:rsidR="005902E8" w:rsidRPr="00E8404F" w:rsidRDefault="005902E8" w:rsidP="00725429">
            <w:pPr>
              <w:pStyle w:val="TableParagraph"/>
              <w:tabs>
                <w:tab w:val="left" w:pos="9781"/>
              </w:tabs>
              <w:kinsoku w:val="0"/>
              <w:overflowPunct w:val="0"/>
              <w:spacing w:line="240" w:lineRule="auto"/>
              <w:rPr>
                <w:b/>
                <w:bCs/>
                <w:sz w:val="22"/>
                <w:szCs w:val="22"/>
                <w:u w:val="single"/>
              </w:rPr>
            </w:pPr>
            <w:r w:rsidRPr="00E8404F">
              <w:rPr>
                <w:b/>
                <w:bCs/>
                <w:sz w:val="22"/>
                <w:szCs w:val="22"/>
                <w:u w:val="single"/>
              </w:rPr>
              <w:t>Kaplan-Meier-estimater af antal</w:t>
            </w:r>
          </w:p>
          <w:p w14:paraId="4210D56B" w14:textId="77777777" w:rsidR="005902E8" w:rsidRPr="00E8404F" w:rsidRDefault="005902E8" w:rsidP="00725429">
            <w:pPr>
              <w:pStyle w:val="TableParagraph"/>
              <w:tabs>
                <w:tab w:val="left" w:pos="9781"/>
              </w:tabs>
              <w:kinsoku w:val="0"/>
              <w:overflowPunct w:val="0"/>
              <w:spacing w:line="240" w:lineRule="auto"/>
              <w:ind w:right="268"/>
              <w:rPr>
                <w:b/>
                <w:bCs/>
                <w:sz w:val="22"/>
                <w:szCs w:val="22"/>
              </w:rPr>
            </w:pPr>
            <w:r w:rsidRPr="00E8404F">
              <w:rPr>
                <w:b/>
                <w:bCs/>
                <w:sz w:val="22"/>
                <w:szCs w:val="22"/>
                <w:u w:val="single"/>
              </w:rPr>
              <w:t>studiepersoner uden hændelser i % efter 3 måneder</w:t>
            </w:r>
          </w:p>
        </w:tc>
        <w:tc>
          <w:tcPr>
            <w:tcW w:w="5922" w:type="dxa"/>
            <w:gridSpan w:val="2"/>
            <w:tcBorders>
              <w:top w:val="single" w:sz="4" w:space="0" w:color="000000"/>
              <w:left w:val="single" w:sz="4" w:space="0" w:color="000000"/>
              <w:bottom w:val="single" w:sz="4" w:space="0" w:color="000000"/>
              <w:right w:val="single" w:sz="4" w:space="0" w:color="000000"/>
            </w:tcBorders>
          </w:tcPr>
          <w:p w14:paraId="1AD83A92" w14:textId="77777777" w:rsidR="005902E8" w:rsidRPr="00E8404F" w:rsidRDefault="005902E8" w:rsidP="00725429">
            <w:pPr>
              <w:pStyle w:val="TableParagraph"/>
              <w:tabs>
                <w:tab w:val="left" w:pos="9781"/>
              </w:tabs>
              <w:kinsoku w:val="0"/>
              <w:overflowPunct w:val="0"/>
              <w:spacing w:line="240" w:lineRule="auto"/>
              <w:ind w:left="0"/>
              <w:rPr>
                <w:sz w:val="20"/>
                <w:szCs w:val="20"/>
              </w:rPr>
            </w:pPr>
          </w:p>
        </w:tc>
      </w:tr>
      <w:tr w:rsidR="005902E8" w:rsidRPr="00E8404F" w14:paraId="328AD3CE" w14:textId="77777777" w:rsidTr="00725429">
        <w:trPr>
          <w:trHeight w:val="251"/>
        </w:trPr>
        <w:tc>
          <w:tcPr>
            <w:tcW w:w="3730" w:type="dxa"/>
            <w:tcBorders>
              <w:top w:val="single" w:sz="4" w:space="0" w:color="000000"/>
              <w:left w:val="single" w:sz="4" w:space="0" w:color="000000"/>
              <w:bottom w:val="single" w:sz="4" w:space="0" w:color="000000"/>
              <w:right w:val="single" w:sz="4" w:space="0" w:color="000000"/>
            </w:tcBorders>
          </w:tcPr>
          <w:p w14:paraId="18DA9E1D" w14:textId="77777777" w:rsidR="005902E8" w:rsidRPr="00E8404F" w:rsidRDefault="005902E8" w:rsidP="00725429">
            <w:pPr>
              <w:pStyle w:val="TableParagraph"/>
              <w:tabs>
                <w:tab w:val="left" w:pos="9781"/>
              </w:tabs>
              <w:kinsoku w:val="0"/>
              <w:overflowPunct w:val="0"/>
              <w:spacing w:line="240" w:lineRule="auto"/>
              <w:rPr>
                <w:sz w:val="22"/>
                <w:szCs w:val="22"/>
              </w:rPr>
            </w:pPr>
            <w:r w:rsidRPr="00E8404F">
              <w:rPr>
                <w:sz w:val="22"/>
                <w:szCs w:val="22"/>
              </w:rPr>
              <w:t>% (95 % CI)</w:t>
            </w:r>
          </w:p>
        </w:tc>
        <w:tc>
          <w:tcPr>
            <w:tcW w:w="2948" w:type="dxa"/>
            <w:tcBorders>
              <w:top w:val="single" w:sz="4" w:space="0" w:color="000000"/>
              <w:left w:val="single" w:sz="4" w:space="0" w:color="000000"/>
              <w:bottom w:val="single" w:sz="4" w:space="0" w:color="000000"/>
              <w:right w:val="single" w:sz="4" w:space="0" w:color="000000"/>
            </w:tcBorders>
          </w:tcPr>
          <w:p w14:paraId="15F0857F" w14:textId="77777777" w:rsidR="005902E8" w:rsidRPr="00E8404F" w:rsidRDefault="005902E8" w:rsidP="00725429">
            <w:pPr>
              <w:pStyle w:val="TableParagraph"/>
              <w:tabs>
                <w:tab w:val="left" w:pos="9781"/>
              </w:tabs>
              <w:kinsoku w:val="0"/>
              <w:overflowPunct w:val="0"/>
              <w:spacing w:line="240" w:lineRule="auto"/>
              <w:ind w:left="362" w:right="347"/>
              <w:jc w:val="center"/>
              <w:rPr>
                <w:sz w:val="22"/>
                <w:szCs w:val="22"/>
              </w:rPr>
            </w:pPr>
            <w:r w:rsidRPr="00E8404F">
              <w:rPr>
                <w:sz w:val="22"/>
                <w:szCs w:val="22"/>
              </w:rPr>
              <w:t>67,0 % (62,2 %; 71,3 %)</w:t>
            </w:r>
          </w:p>
        </w:tc>
        <w:tc>
          <w:tcPr>
            <w:tcW w:w="2974" w:type="dxa"/>
            <w:tcBorders>
              <w:top w:val="single" w:sz="4" w:space="0" w:color="000000"/>
              <w:left w:val="single" w:sz="4" w:space="0" w:color="000000"/>
              <w:bottom w:val="single" w:sz="4" w:space="0" w:color="000000"/>
              <w:right w:val="single" w:sz="4" w:space="0" w:color="000000"/>
            </w:tcBorders>
          </w:tcPr>
          <w:p w14:paraId="473E0D23" w14:textId="77777777" w:rsidR="005902E8" w:rsidRPr="00E8404F" w:rsidRDefault="005902E8" w:rsidP="00725429">
            <w:pPr>
              <w:pStyle w:val="TableParagraph"/>
              <w:tabs>
                <w:tab w:val="left" w:pos="9781"/>
              </w:tabs>
              <w:kinsoku w:val="0"/>
              <w:overflowPunct w:val="0"/>
              <w:spacing w:line="240" w:lineRule="auto"/>
              <w:ind w:left="378" w:right="357"/>
              <w:jc w:val="center"/>
              <w:rPr>
                <w:sz w:val="22"/>
                <w:szCs w:val="22"/>
              </w:rPr>
            </w:pPr>
            <w:r w:rsidRPr="00E8404F">
              <w:rPr>
                <w:sz w:val="22"/>
                <w:szCs w:val="22"/>
              </w:rPr>
              <w:t>33,3 % (27,1 %; 39,7 %)</w:t>
            </w:r>
          </w:p>
        </w:tc>
      </w:tr>
      <w:tr w:rsidR="005902E8" w:rsidRPr="00E8404F" w14:paraId="0CBB5417" w14:textId="77777777" w:rsidTr="00725429">
        <w:trPr>
          <w:trHeight w:val="254"/>
        </w:trPr>
        <w:tc>
          <w:tcPr>
            <w:tcW w:w="9652" w:type="dxa"/>
            <w:gridSpan w:val="3"/>
            <w:tcBorders>
              <w:top w:val="single" w:sz="4" w:space="0" w:color="000000"/>
              <w:left w:val="single" w:sz="4" w:space="0" w:color="000000"/>
              <w:bottom w:val="single" w:sz="4" w:space="0" w:color="000000"/>
              <w:right w:val="single" w:sz="4" w:space="0" w:color="000000"/>
            </w:tcBorders>
          </w:tcPr>
          <w:p w14:paraId="12EC4262" w14:textId="77777777" w:rsidR="005902E8" w:rsidRPr="00E8404F" w:rsidRDefault="005902E8" w:rsidP="00725429">
            <w:pPr>
              <w:pStyle w:val="TableParagraph"/>
              <w:tabs>
                <w:tab w:val="left" w:pos="9781"/>
              </w:tabs>
              <w:kinsoku w:val="0"/>
              <w:overflowPunct w:val="0"/>
              <w:spacing w:line="240" w:lineRule="auto"/>
              <w:rPr>
                <w:b/>
                <w:bCs/>
                <w:position w:val="8"/>
                <w:sz w:val="14"/>
                <w:szCs w:val="14"/>
              </w:rPr>
            </w:pPr>
            <w:r w:rsidRPr="00E8404F">
              <w:rPr>
                <w:b/>
                <w:bCs/>
                <w:sz w:val="22"/>
                <w:szCs w:val="22"/>
              </w:rPr>
              <w:t>Objektiv responsrate n (%)</w:t>
            </w:r>
            <w:r w:rsidRPr="00E8404F">
              <w:rPr>
                <w:b/>
                <w:bCs/>
                <w:position w:val="8"/>
                <w:sz w:val="14"/>
                <w:szCs w:val="14"/>
              </w:rPr>
              <w:t>3</w:t>
            </w:r>
          </w:p>
        </w:tc>
      </w:tr>
      <w:tr w:rsidR="005902E8" w:rsidRPr="00E8404F" w14:paraId="58D963BF" w14:textId="77777777" w:rsidTr="00725429">
        <w:trPr>
          <w:trHeight w:val="251"/>
        </w:trPr>
        <w:tc>
          <w:tcPr>
            <w:tcW w:w="3730" w:type="dxa"/>
            <w:tcBorders>
              <w:top w:val="single" w:sz="4" w:space="0" w:color="000000"/>
              <w:left w:val="single" w:sz="4" w:space="0" w:color="000000"/>
              <w:bottom w:val="single" w:sz="4" w:space="0" w:color="000000"/>
              <w:right w:val="single" w:sz="4" w:space="0" w:color="000000"/>
            </w:tcBorders>
          </w:tcPr>
          <w:p w14:paraId="0995A976" w14:textId="77777777" w:rsidR="005902E8" w:rsidRPr="00E8404F" w:rsidRDefault="005902E8" w:rsidP="00725429">
            <w:pPr>
              <w:pStyle w:val="TableParagraph"/>
              <w:tabs>
                <w:tab w:val="left" w:pos="9781"/>
              </w:tabs>
              <w:kinsoku w:val="0"/>
              <w:overflowPunct w:val="0"/>
              <w:spacing w:line="240" w:lineRule="auto"/>
              <w:rPr>
                <w:sz w:val="22"/>
                <w:szCs w:val="22"/>
              </w:rPr>
            </w:pPr>
            <w:r w:rsidRPr="00E8404F">
              <w:rPr>
                <w:sz w:val="22"/>
                <w:szCs w:val="22"/>
              </w:rPr>
              <w:t>Fuldstændigt respons (CR)</w:t>
            </w:r>
          </w:p>
        </w:tc>
        <w:tc>
          <w:tcPr>
            <w:tcW w:w="2948" w:type="dxa"/>
            <w:tcBorders>
              <w:top w:val="single" w:sz="4" w:space="0" w:color="000000"/>
              <w:left w:val="single" w:sz="4" w:space="0" w:color="000000"/>
              <w:bottom w:val="single" w:sz="4" w:space="0" w:color="000000"/>
              <w:right w:val="single" w:sz="4" w:space="0" w:color="000000"/>
            </w:tcBorders>
          </w:tcPr>
          <w:p w14:paraId="4D92C2B2" w14:textId="77777777" w:rsidR="005902E8" w:rsidRPr="00E8404F" w:rsidRDefault="005902E8" w:rsidP="00725429">
            <w:pPr>
              <w:pStyle w:val="TableParagraph"/>
              <w:tabs>
                <w:tab w:val="left" w:pos="9781"/>
              </w:tabs>
              <w:kinsoku w:val="0"/>
              <w:overflowPunct w:val="0"/>
              <w:spacing w:line="240" w:lineRule="auto"/>
              <w:ind w:left="0" w:right="1"/>
              <w:jc w:val="center"/>
              <w:rPr>
                <w:sz w:val="22"/>
                <w:szCs w:val="22"/>
              </w:rPr>
            </w:pPr>
            <w:r w:rsidRPr="00E8404F">
              <w:rPr>
                <w:sz w:val="22"/>
                <w:szCs w:val="22"/>
              </w:rPr>
              <w:t>0</w:t>
            </w:r>
          </w:p>
        </w:tc>
        <w:tc>
          <w:tcPr>
            <w:tcW w:w="2974" w:type="dxa"/>
            <w:tcBorders>
              <w:top w:val="single" w:sz="4" w:space="0" w:color="000000"/>
              <w:left w:val="single" w:sz="4" w:space="0" w:color="000000"/>
              <w:bottom w:val="single" w:sz="4" w:space="0" w:color="000000"/>
              <w:right w:val="single" w:sz="4" w:space="0" w:color="000000"/>
            </w:tcBorders>
          </w:tcPr>
          <w:p w14:paraId="124414A9" w14:textId="77777777" w:rsidR="005902E8" w:rsidRPr="00E8404F" w:rsidRDefault="005902E8" w:rsidP="00725429">
            <w:pPr>
              <w:pStyle w:val="TableParagraph"/>
              <w:tabs>
                <w:tab w:val="left" w:pos="9781"/>
              </w:tabs>
              <w:kinsoku w:val="0"/>
              <w:overflowPunct w:val="0"/>
              <w:spacing w:line="240" w:lineRule="auto"/>
              <w:ind w:left="0"/>
              <w:jc w:val="center"/>
              <w:rPr>
                <w:sz w:val="22"/>
                <w:szCs w:val="22"/>
              </w:rPr>
            </w:pPr>
            <w:r w:rsidRPr="00E8404F">
              <w:rPr>
                <w:sz w:val="22"/>
                <w:szCs w:val="22"/>
              </w:rPr>
              <w:t>0</w:t>
            </w:r>
          </w:p>
        </w:tc>
      </w:tr>
      <w:tr w:rsidR="005902E8" w:rsidRPr="00E8404F" w14:paraId="62D17643" w14:textId="77777777" w:rsidTr="00725429">
        <w:trPr>
          <w:trHeight w:val="254"/>
        </w:trPr>
        <w:tc>
          <w:tcPr>
            <w:tcW w:w="3730" w:type="dxa"/>
            <w:tcBorders>
              <w:top w:val="single" w:sz="4" w:space="0" w:color="000000"/>
              <w:left w:val="single" w:sz="4" w:space="0" w:color="000000"/>
              <w:bottom w:val="single" w:sz="4" w:space="0" w:color="000000"/>
              <w:right w:val="single" w:sz="4" w:space="0" w:color="000000"/>
            </w:tcBorders>
          </w:tcPr>
          <w:p w14:paraId="26D473C0" w14:textId="77777777" w:rsidR="005902E8" w:rsidRPr="00E8404F" w:rsidRDefault="005902E8" w:rsidP="00725429">
            <w:pPr>
              <w:pStyle w:val="TableParagraph"/>
              <w:tabs>
                <w:tab w:val="left" w:pos="9781"/>
              </w:tabs>
              <w:kinsoku w:val="0"/>
              <w:overflowPunct w:val="0"/>
              <w:spacing w:line="240" w:lineRule="auto"/>
              <w:rPr>
                <w:sz w:val="22"/>
                <w:szCs w:val="22"/>
              </w:rPr>
            </w:pPr>
            <w:r w:rsidRPr="00E8404F">
              <w:rPr>
                <w:sz w:val="22"/>
                <w:szCs w:val="22"/>
              </w:rPr>
              <w:t>Delvist respons (PR)</w:t>
            </w:r>
          </w:p>
        </w:tc>
        <w:tc>
          <w:tcPr>
            <w:tcW w:w="2948" w:type="dxa"/>
            <w:tcBorders>
              <w:top w:val="single" w:sz="4" w:space="0" w:color="000000"/>
              <w:left w:val="single" w:sz="4" w:space="0" w:color="000000"/>
              <w:bottom w:val="single" w:sz="4" w:space="0" w:color="000000"/>
              <w:right w:val="single" w:sz="4" w:space="0" w:color="000000"/>
            </w:tcBorders>
          </w:tcPr>
          <w:p w14:paraId="3F694CAA" w14:textId="77777777" w:rsidR="005902E8" w:rsidRPr="00E8404F" w:rsidRDefault="005902E8" w:rsidP="00725429">
            <w:pPr>
              <w:pStyle w:val="TableParagraph"/>
              <w:tabs>
                <w:tab w:val="left" w:pos="9781"/>
              </w:tabs>
              <w:kinsoku w:val="0"/>
              <w:overflowPunct w:val="0"/>
              <w:spacing w:line="240" w:lineRule="auto"/>
              <w:ind w:left="349" w:right="347"/>
              <w:jc w:val="center"/>
              <w:rPr>
                <w:sz w:val="22"/>
                <w:szCs w:val="22"/>
              </w:rPr>
            </w:pPr>
            <w:r w:rsidRPr="00E8404F">
              <w:rPr>
                <w:sz w:val="22"/>
                <w:szCs w:val="22"/>
              </w:rPr>
              <w:t>18 (4)</w:t>
            </w:r>
          </w:p>
        </w:tc>
        <w:tc>
          <w:tcPr>
            <w:tcW w:w="2974" w:type="dxa"/>
            <w:tcBorders>
              <w:top w:val="single" w:sz="4" w:space="0" w:color="000000"/>
              <w:left w:val="single" w:sz="4" w:space="0" w:color="000000"/>
              <w:bottom w:val="single" w:sz="4" w:space="0" w:color="000000"/>
              <w:right w:val="single" w:sz="4" w:space="0" w:color="000000"/>
            </w:tcBorders>
          </w:tcPr>
          <w:p w14:paraId="45AEED46" w14:textId="77777777" w:rsidR="005902E8" w:rsidRPr="00E8404F" w:rsidRDefault="005902E8" w:rsidP="00725429">
            <w:pPr>
              <w:pStyle w:val="TableParagraph"/>
              <w:tabs>
                <w:tab w:val="left" w:pos="9781"/>
              </w:tabs>
              <w:kinsoku w:val="0"/>
              <w:overflowPunct w:val="0"/>
              <w:spacing w:line="240" w:lineRule="auto"/>
              <w:ind w:left="356" w:right="357"/>
              <w:jc w:val="center"/>
              <w:rPr>
                <w:sz w:val="22"/>
                <w:szCs w:val="22"/>
              </w:rPr>
            </w:pPr>
            <w:r w:rsidRPr="00E8404F">
              <w:rPr>
                <w:sz w:val="22"/>
                <w:szCs w:val="22"/>
              </w:rPr>
              <w:t>1 (0,4)</w:t>
            </w:r>
          </w:p>
        </w:tc>
      </w:tr>
      <w:tr w:rsidR="005902E8" w:rsidRPr="00E8404F" w14:paraId="46E0078D" w14:textId="77777777" w:rsidTr="00725429">
        <w:trPr>
          <w:trHeight w:val="251"/>
        </w:trPr>
        <w:tc>
          <w:tcPr>
            <w:tcW w:w="3730" w:type="dxa"/>
            <w:tcBorders>
              <w:top w:val="single" w:sz="4" w:space="0" w:color="000000"/>
              <w:left w:val="single" w:sz="4" w:space="0" w:color="000000"/>
              <w:bottom w:val="single" w:sz="4" w:space="0" w:color="000000"/>
              <w:right w:val="single" w:sz="4" w:space="0" w:color="000000"/>
            </w:tcBorders>
          </w:tcPr>
          <w:p w14:paraId="18B2CE65" w14:textId="77777777" w:rsidR="005902E8" w:rsidRPr="00E8404F" w:rsidRDefault="005902E8" w:rsidP="00725429">
            <w:pPr>
              <w:pStyle w:val="TableParagraph"/>
              <w:tabs>
                <w:tab w:val="left" w:pos="9781"/>
              </w:tabs>
              <w:kinsoku w:val="0"/>
              <w:overflowPunct w:val="0"/>
              <w:spacing w:line="240" w:lineRule="auto"/>
              <w:rPr>
                <w:sz w:val="22"/>
                <w:szCs w:val="22"/>
              </w:rPr>
            </w:pPr>
            <w:r w:rsidRPr="00E8404F">
              <w:rPr>
                <w:sz w:val="22"/>
                <w:szCs w:val="22"/>
              </w:rPr>
              <w:t>ORR (CR+PR)</w:t>
            </w:r>
          </w:p>
        </w:tc>
        <w:tc>
          <w:tcPr>
            <w:tcW w:w="2948" w:type="dxa"/>
            <w:tcBorders>
              <w:top w:val="single" w:sz="4" w:space="0" w:color="000000"/>
              <w:left w:val="single" w:sz="4" w:space="0" w:color="000000"/>
              <w:bottom w:val="single" w:sz="4" w:space="0" w:color="000000"/>
              <w:right w:val="single" w:sz="4" w:space="0" w:color="000000"/>
            </w:tcBorders>
          </w:tcPr>
          <w:p w14:paraId="1EA4BB4E" w14:textId="77777777" w:rsidR="005902E8" w:rsidRPr="00E8404F" w:rsidRDefault="005902E8" w:rsidP="00725429">
            <w:pPr>
              <w:pStyle w:val="TableParagraph"/>
              <w:tabs>
                <w:tab w:val="left" w:pos="9781"/>
              </w:tabs>
              <w:kinsoku w:val="0"/>
              <w:overflowPunct w:val="0"/>
              <w:spacing w:line="240" w:lineRule="auto"/>
              <w:ind w:left="349" w:right="347"/>
              <w:jc w:val="center"/>
              <w:rPr>
                <w:sz w:val="22"/>
                <w:szCs w:val="22"/>
              </w:rPr>
            </w:pPr>
            <w:r w:rsidRPr="00E8404F">
              <w:rPr>
                <w:sz w:val="22"/>
                <w:szCs w:val="22"/>
              </w:rPr>
              <w:t>18 (4)</w:t>
            </w:r>
          </w:p>
        </w:tc>
        <w:tc>
          <w:tcPr>
            <w:tcW w:w="2974" w:type="dxa"/>
            <w:tcBorders>
              <w:top w:val="single" w:sz="4" w:space="0" w:color="000000"/>
              <w:left w:val="single" w:sz="4" w:space="0" w:color="000000"/>
              <w:bottom w:val="single" w:sz="4" w:space="0" w:color="000000"/>
              <w:right w:val="single" w:sz="4" w:space="0" w:color="000000"/>
            </w:tcBorders>
          </w:tcPr>
          <w:p w14:paraId="30B2652C" w14:textId="77777777" w:rsidR="005902E8" w:rsidRPr="00E8404F" w:rsidRDefault="005902E8" w:rsidP="00725429">
            <w:pPr>
              <w:pStyle w:val="TableParagraph"/>
              <w:tabs>
                <w:tab w:val="left" w:pos="9781"/>
              </w:tabs>
              <w:kinsoku w:val="0"/>
              <w:overflowPunct w:val="0"/>
              <w:spacing w:line="240" w:lineRule="auto"/>
              <w:ind w:left="356" w:right="357"/>
              <w:jc w:val="center"/>
              <w:rPr>
                <w:sz w:val="22"/>
                <w:szCs w:val="22"/>
              </w:rPr>
            </w:pPr>
            <w:r w:rsidRPr="00E8404F">
              <w:rPr>
                <w:sz w:val="22"/>
                <w:szCs w:val="22"/>
              </w:rPr>
              <w:t>1 (0,4)</w:t>
            </w:r>
          </w:p>
        </w:tc>
      </w:tr>
      <w:tr w:rsidR="005902E8" w:rsidRPr="00E8404F" w14:paraId="3B29B7EA" w14:textId="77777777" w:rsidTr="00725429">
        <w:trPr>
          <w:trHeight w:val="254"/>
        </w:trPr>
        <w:tc>
          <w:tcPr>
            <w:tcW w:w="3730" w:type="dxa"/>
            <w:tcBorders>
              <w:top w:val="single" w:sz="4" w:space="0" w:color="000000"/>
              <w:left w:val="single" w:sz="4" w:space="0" w:color="000000"/>
              <w:bottom w:val="single" w:sz="4" w:space="0" w:color="000000"/>
              <w:right w:val="single" w:sz="4" w:space="0" w:color="000000"/>
            </w:tcBorders>
          </w:tcPr>
          <w:p w14:paraId="1B8E7967" w14:textId="77777777" w:rsidR="005902E8" w:rsidRPr="00E8404F" w:rsidRDefault="005902E8" w:rsidP="00725429">
            <w:pPr>
              <w:pStyle w:val="TableParagraph"/>
              <w:tabs>
                <w:tab w:val="left" w:pos="9781"/>
              </w:tabs>
              <w:kinsoku w:val="0"/>
              <w:overflowPunct w:val="0"/>
              <w:spacing w:line="240" w:lineRule="auto"/>
              <w:rPr>
                <w:position w:val="8"/>
                <w:sz w:val="14"/>
                <w:szCs w:val="14"/>
              </w:rPr>
            </w:pPr>
            <w:r w:rsidRPr="00E8404F">
              <w:rPr>
                <w:sz w:val="22"/>
                <w:szCs w:val="22"/>
              </w:rPr>
              <w:t>p-værdi</w:t>
            </w:r>
            <w:r w:rsidRPr="00E8404F">
              <w:rPr>
                <w:position w:val="8"/>
                <w:sz w:val="14"/>
                <w:szCs w:val="14"/>
              </w:rPr>
              <w:t>1,4</w:t>
            </w:r>
          </w:p>
        </w:tc>
        <w:tc>
          <w:tcPr>
            <w:tcW w:w="5922" w:type="dxa"/>
            <w:gridSpan w:val="2"/>
            <w:tcBorders>
              <w:top w:val="single" w:sz="4" w:space="0" w:color="000000"/>
              <w:left w:val="single" w:sz="4" w:space="0" w:color="000000"/>
              <w:bottom w:val="single" w:sz="4" w:space="0" w:color="000000"/>
              <w:right w:val="single" w:sz="4" w:space="0" w:color="000000"/>
            </w:tcBorders>
          </w:tcPr>
          <w:p w14:paraId="43D41B57" w14:textId="77777777" w:rsidR="005902E8" w:rsidRPr="00E8404F" w:rsidRDefault="005902E8" w:rsidP="00725429">
            <w:pPr>
              <w:pStyle w:val="TableParagraph"/>
              <w:tabs>
                <w:tab w:val="left" w:pos="9781"/>
              </w:tabs>
              <w:kinsoku w:val="0"/>
              <w:overflowPunct w:val="0"/>
              <w:spacing w:line="240" w:lineRule="auto"/>
              <w:ind w:left="2200" w:right="2198"/>
              <w:jc w:val="center"/>
              <w:rPr>
                <w:sz w:val="22"/>
                <w:szCs w:val="22"/>
              </w:rPr>
            </w:pPr>
            <w:r w:rsidRPr="00E8404F">
              <w:rPr>
                <w:sz w:val="22"/>
                <w:szCs w:val="22"/>
              </w:rPr>
              <w:t>p=0,0086</w:t>
            </w:r>
          </w:p>
        </w:tc>
      </w:tr>
      <w:tr w:rsidR="005902E8" w:rsidRPr="00E8404F" w14:paraId="4F4845B4" w14:textId="77777777" w:rsidTr="00725429">
        <w:trPr>
          <w:trHeight w:val="251"/>
        </w:trPr>
        <w:tc>
          <w:tcPr>
            <w:tcW w:w="3730" w:type="dxa"/>
            <w:tcBorders>
              <w:top w:val="single" w:sz="4" w:space="0" w:color="000000"/>
              <w:left w:val="single" w:sz="4" w:space="0" w:color="000000"/>
              <w:bottom w:val="single" w:sz="4" w:space="0" w:color="000000"/>
              <w:right w:val="single" w:sz="4" w:space="0" w:color="000000"/>
            </w:tcBorders>
          </w:tcPr>
          <w:p w14:paraId="4A8167A5" w14:textId="77777777" w:rsidR="005902E8" w:rsidRPr="00E8404F" w:rsidRDefault="005902E8" w:rsidP="00725429">
            <w:pPr>
              <w:pStyle w:val="TableParagraph"/>
              <w:tabs>
                <w:tab w:val="left" w:pos="9781"/>
              </w:tabs>
              <w:kinsoku w:val="0"/>
              <w:overflowPunct w:val="0"/>
              <w:spacing w:line="240" w:lineRule="auto"/>
              <w:rPr>
                <w:sz w:val="22"/>
                <w:szCs w:val="22"/>
              </w:rPr>
            </w:pPr>
            <w:r w:rsidRPr="00E8404F">
              <w:rPr>
                <w:sz w:val="22"/>
                <w:szCs w:val="22"/>
              </w:rPr>
              <w:t>Stabil sygdom</w:t>
            </w:r>
          </w:p>
        </w:tc>
        <w:tc>
          <w:tcPr>
            <w:tcW w:w="2948" w:type="dxa"/>
            <w:tcBorders>
              <w:top w:val="single" w:sz="4" w:space="0" w:color="000000"/>
              <w:left w:val="single" w:sz="4" w:space="0" w:color="000000"/>
              <w:bottom w:val="single" w:sz="4" w:space="0" w:color="000000"/>
              <w:right w:val="single" w:sz="4" w:space="0" w:color="000000"/>
            </w:tcBorders>
          </w:tcPr>
          <w:p w14:paraId="61720466" w14:textId="77777777" w:rsidR="005902E8" w:rsidRPr="00E8404F" w:rsidRDefault="005902E8" w:rsidP="00725429">
            <w:pPr>
              <w:pStyle w:val="TableParagraph"/>
              <w:tabs>
                <w:tab w:val="left" w:pos="9781"/>
              </w:tabs>
              <w:kinsoku w:val="0"/>
              <w:overflowPunct w:val="0"/>
              <w:spacing w:line="240" w:lineRule="auto"/>
              <w:ind w:left="349" w:right="347"/>
              <w:jc w:val="center"/>
              <w:rPr>
                <w:sz w:val="22"/>
                <w:szCs w:val="22"/>
              </w:rPr>
            </w:pPr>
            <w:r w:rsidRPr="00E8404F">
              <w:rPr>
                <w:sz w:val="22"/>
                <w:szCs w:val="22"/>
              </w:rPr>
              <w:t>282 (60)</w:t>
            </w:r>
          </w:p>
        </w:tc>
        <w:tc>
          <w:tcPr>
            <w:tcW w:w="2974" w:type="dxa"/>
            <w:tcBorders>
              <w:top w:val="single" w:sz="4" w:space="0" w:color="000000"/>
              <w:left w:val="single" w:sz="4" w:space="0" w:color="000000"/>
              <w:bottom w:val="single" w:sz="4" w:space="0" w:color="000000"/>
              <w:right w:val="single" w:sz="4" w:space="0" w:color="000000"/>
            </w:tcBorders>
          </w:tcPr>
          <w:p w14:paraId="6E1FA6A0" w14:textId="77777777" w:rsidR="005902E8" w:rsidRPr="00E8404F" w:rsidRDefault="005902E8" w:rsidP="00725429">
            <w:pPr>
              <w:pStyle w:val="TableParagraph"/>
              <w:tabs>
                <w:tab w:val="left" w:pos="9781"/>
              </w:tabs>
              <w:kinsoku w:val="0"/>
              <w:overflowPunct w:val="0"/>
              <w:spacing w:line="240" w:lineRule="auto"/>
              <w:ind w:left="356" w:right="357"/>
              <w:jc w:val="center"/>
              <w:rPr>
                <w:sz w:val="22"/>
                <w:szCs w:val="22"/>
              </w:rPr>
            </w:pPr>
            <w:r w:rsidRPr="00E8404F">
              <w:rPr>
                <w:sz w:val="22"/>
                <w:szCs w:val="22"/>
              </w:rPr>
              <w:t>78 (33)</w:t>
            </w:r>
          </w:p>
        </w:tc>
      </w:tr>
      <w:tr w:rsidR="005902E8" w:rsidRPr="00E8404F" w14:paraId="1BF3B570" w14:textId="77777777" w:rsidTr="00725429">
        <w:trPr>
          <w:trHeight w:val="254"/>
        </w:trPr>
        <w:tc>
          <w:tcPr>
            <w:tcW w:w="3730" w:type="dxa"/>
            <w:tcBorders>
              <w:top w:val="single" w:sz="4" w:space="0" w:color="000000"/>
              <w:left w:val="single" w:sz="4" w:space="0" w:color="000000"/>
              <w:bottom w:val="single" w:sz="4" w:space="0" w:color="000000"/>
              <w:right w:val="single" w:sz="4" w:space="0" w:color="000000"/>
            </w:tcBorders>
          </w:tcPr>
          <w:p w14:paraId="22A6F4B7" w14:textId="77777777" w:rsidR="005902E8" w:rsidRPr="00E8404F" w:rsidRDefault="005902E8" w:rsidP="00725429">
            <w:pPr>
              <w:pStyle w:val="TableParagraph"/>
              <w:tabs>
                <w:tab w:val="left" w:pos="9781"/>
              </w:tabs>
              <w:kinsoku w:val="0"/>
              <w:overflowPunct w:val="0"/>
              <w:spacing w:line="240" w:lineRule="auto"/>
              <w:rPr>
                <w:sz w:val="22"/>
                <w:szCs w:val="22"/>
              </w:rPr>
            </w:pPr>
            <w:r w:rsidRPr="00E8404F">
              <w:rPr>
                <w:sz w:val="22"/>
                <w:szCs w:val="22"/>
              </w:rPr>
              <w:t>Progredierende sygdom</w:t>
            </w:r>
          </w:p>
        </w:tc>
        <w:tc>
          <w:tcPr>
            <w:tcW w:w="2948" w:type="dxa"/>
            <w:tcBorders>
              <w:top w:val="single" w:sz="4" w:space="0" w:color="000000"/>
              <w:left w:val="single" w:sz="4" w:space="0" w:color="000000"/>
              <w:bottom w:val="single" w:sz="4" w:space="0" w:color="000000"/>
              <w:right w:val="single" w:sz="4" w:space="0" w:color="000000"/>
            </w:tcBorders>
          </w:tcPr>
          <w:p w14:paraId="7A06E0A7" w14:textId="77777777" w:rsidR="005902E8" w:rsidRPr="00E8404F" w:rsidRDefault="005902E8" w:rsidP="00725429">
            <w:pPr>
              <w:pStyle w:val="TableParagraph"/>
              <w:tabs>
                <w:tab w:val="left" w:pos="9781"/>
              </w:tabs>
              <w:kinsoku w:val="0"/>
              <w:overflowPunct w:val="0"/>
              <w:spacing w:line="240" w:lineRule="auto"/>
              <w:ind w:left="347" w:right="347"/>
              <w:jc w:val="center"/>
              <w:rPr>
                <w:sz w:val="22"/>
                <w:szCs w:val="22"/>
              </w:rPr>
            </w:pPr>
            <w:r w:rsidRPr="00E8404F">
              <w:rPr>
                <w:sz w:val="22"/>
                <w:szCs w:val="22"/>
              </w:rPr>
              <w:t>98 (21)</w:t>
            </w:r>
          </w:p>
        </w:tc>
        <w:tc>
          <w:tcPr>
            <w:tcW w:w="2974" w:type="dxa"/>
            <w:tcBorders>
              <w:top w:val="single" w:sz="4" w:space="0" w:color="000000"/>
              <w:left w:val="single" w:sz="4" w:space="0" w:color="000000"/>
              <w:bottom w:val="single" w:sz="4" w:space="0" w:color="000000"/>
              <w:right w:val="single" w:sz="4" w:space="0" w:color="000000"/>
            </w:tcBorders>
          </w:tcPr>
          <w:p w14:paraId="74E54E24" w14:textId="77777777" w:rsidR="005902E8" w:rsidRPr="00E8404F" w:rsidRDefault="005902E8" w:rsidP="00725429">
            <w:pPr>
              <w:pStyle w:val="TableParagraph"/>
              <w:tabs>
                <w:tab w:val="left" w:pos="9781"/>
              </w:tabs>
              <w:kinsoku w:val="0"/>
              <w:overflowPunct w:val="0"/>
              <w:spacing w:line="240" w:lineRule="auto"/>
              <w:ind w:left="356" w:right="357"/>
              <w:jc w:val="center"/>
              <w:rPr>
                <w:sz w:val="22"/>
                <w:szCs w:val="22"/>
              </w:rPr>
            </w:pPr>
            <w:r w:rsidRPr="00E8404F">
              <w:rPr>
                <w:sz w:val="22"/>
                <w:szCs w:val="22"/>
              </w:rPr>
              <w:t>131 (55)</w:t>
            </w:r>
          </w:p>
        </w:tc>
      </w:tr>
    </w:tbl>
    <w:p w14:paraId="6F8454FD" w14:textId="77777777" w:rsidR="005902E8" w:rsidRPr="00E8404F" w:rsidRDefault="005902E8" w:rsidP="005902E8">
      <w:pPr>
        <w:pStyle w:val="Brdtekst"/>
        <w:tabs>
          <w:tab w:val="left" w:pos="9781"/>
        </w:tabs>
        <w:kinsoku w:val="0"/>
        <w:overflowPunct w:val="0"/>
        <w:ind w:left="567" w:right="1117"/>
        <w:rPr>
          <w:sz w:val="18"/>
          <w:szCs w:val="18"/>
        </w:rPr>
      </w:pPr>
      <w:r w:rsidRPr="00E8404F">
        <w:rPr>
          <w:position w:val="6"/>
          <w:sz w:val="18"/>
          <w:szCs w:val="18"/>
        </w:rPr>
        <w:t xml:space="preserve">1 </w:t>
      </w:r>
      <w:r w:rsidRPr="00E8404F">
        <w:rPr>
          <w:sz w:val="18"/>
          <w:szCs w:val="18"/>
        </w:rPr>
        <w:t>2-sidet stratificeret log-rank test med sygdommens ætiologi (HBV [med eller uden HCV], HCV [uden HBV] eller andet), geografisk region (Asien, andre regioner) og tilstedeværelse af ekstrahepatisk spredning af sygdom og/eller makrovaskulær invasion (Ja/Nej) som stratifikationsfaktorer (pr. IVRS-data).</w:t>
      </w:r>
    </w:p>
    <w:p w14:paraId="42BD5CCE" w14:textId="77777777" w:rsidR="005902E8" w:rsidRPr="00E8404F" w:rsidRDefault="005902E8" w:rsidP="005902E8">
      <w:pPr>
        <w:pStyle w:val="Brdtekst"/>
        <w:tabs>
          <w:tab w:val="left" w:pos="9781"/>
        </w:tabs>
        <w:kinsoku w:val="0"/>
        <w:overflowPunct w:val="0"/>
        <w:ind w:left="567"/>
        <w:rPr>
          <w:sz w:val="18"/>
          <w:szCs w:val="18"/>
        </w:rPr>
      </w:pPr>
      <w:r w:rsidRPr="00E8404F">
        <w:rPr>
          <w:position w:val="6"/>
          <w:sz w:val="18"/>
          <w:szCs w:val="18"/>
        </w:rPr>
        <w:lastRenderedPageBreak/>
        <w:t xml:space="preserve">2 </w:t>
      </w:r>
      <w:r w:rsidRPr="00E8404F">
        <w:rPr>
          <w:sz w:val="18"/>
          <w:szCs w:val="18"/>
        </w:rPr>
        <w:t>estimeret ved hjælp af Cox proportional-hazard-modellen.</w:t>
      </w:r>
    </w:p>
    <w:p w14:paraId="759E1E14" w14:textId="77777777" w:rsidR="005902E8" w:rsidRPr="00E8404F" w:rsidRDefault="005902E8" w:rsidP="005902E8">
      <w:pPr>
        <w:pStyle w:val="Brdtekst"/>
        <w:tabs>
          <w:tab w:val="left" w:pos="9781"/>
        </w:tabs>
        <w:kinsoku w:val="0"/>
        <w:overflowPunct w:val="0"/>
        <w:ind w:left="567"/>
        <w:rPr>
          <w:sz w:val="18"/>
          <w:szCs w:val="18"/>
        </w:rPr>
      </w:pPr>
      <w:r w:rsidRPr="00E8404F">
        <w:rPr>
          <w:position w:val="6"/>
          <w:sz w:val="18"/>
          <w:szCs w:val="18"/>
        </w:rPr>
        <w:t xml:space="preserve">3 </w:t>
      </w:r>
      <w:r w:rsidRPr="00E8404F">
        <w:rPr>
          <w:sz w:val="18"/>
          <w:szCs w:val="18"/>
        </w:rPr>
        <w:t>som vurderet af investigator ifølge RECIST 1.1.</w:t>
      </w:r>
    </w:p>
    <w:p w14:paraId="6BCC86B2" w14:textId="61BA95CD" w:rsidR="005902E8" w:rsidRDefault="005902E8" w:rsidP="005902E8">
      <w:pPr>
        <w:tabs>
          <w:tab w:val="left" w:pos="851"/>
        </w:tabs>
        <w:ind w:left="567"/>
        <w:rPr>
          <w:sz w:val="18"/>
          <w:szCs w:val="18"/>
          <w:lang w:val="en-US"/>
        </w:rPr>
      </w:pPr>
      <w:r w:rsidRPr="00044F9C">
        <w:rPr>
          <w:position w:val="6"/>
          <w:sz w:val="18"/>
          <w:szCs w:val="18"/>
          <w:lang w:val="en-US"/>
        </w:rPr>
        <w:t xml:space="preserve">4 </w:t>
      </w:r>
      <w:r w:rsidRPr="00044F9C">
        <w:rPr>
          <w:sz w:val="18"/>
          <w:szCs w:val="18"/>
          <w:lang w:val="en-US"/>
        </w:rPr>
        <w:t>stratificeret Cochran-Mantel-Haenszel (CMH)-test</w:t>
      </w:r>
      <w:r>
        <w:rPr>
          <w:sz w:val="18"/>
          <w:szCs w:val="18"/>
          <w:lang w:val="en-US"/>
        </w:rPr>
        <w:t>.</w:t>
      </w:r>
    </w:p>
    <w:p w14:paraId="4E11CE49" w14:textId="1C23B2A5" w:rsidR="005902E8" w:rsidRDefault="005902E8" w:rsidP="005902E8">
      <w:pPr>
        <w:tabs>
          <w:tab w:val="left" w:pos="851"/>
        </w:tabs>
        <w:ind w:left="851"/>
        <w:rPr>
          <w:sz w:val="24"/>
          <w:szCs w:val="24"/>
          <w:lang w:val="en-US"/>
        </w:rPr>
      </w:pPr>
    </w:p>
    <w:p w14:paraId="7D6DAAEE" w14:textId="77777777" w:rsidR="00B8571F" w:rsidRPr="00B8571F" w:rsidRDefault="00B8571F" w:rsidP="00B8571F">
      <w:pPr>
        <w:ind w:left="142"/>
        <w:rPr>
          <w:b/>
          <w:bCs/>
          <w:sz w:val="24"/>
          <w:szCs w:val="24"/>
        </w:rPr>
      </w:pPr>
      <w:r w:rsidRPr="00B8571F">
        <w:rPr>
          <w:b/>
          <w:bCs/>
          <w:sz w:val="24"/>
          <w:szCs w:val="24"/>
        </w:rPr>
        <w:t>Figur 6: Kaplan-Meier-kurve for samlet overlevelse (CELESTIAL)</w:t>
      </w:r>
    </w:p>
    <w:p w14:paraId="2BDE463B" w14:textId="09391263" w:rsidR="00B8571F" w:rsidRPr="00B8571F" w:rsidRDefault="00B8571F" w:rsidP="005902E8">
      <w:pPr>
        <w:tabs>
          <w:tab w:val="left" w:pos="851"/>
        </w:tabs>
        <w:ind w:left="851"/>
        <w:rPr>
          <w:sz w:val="24"/>
          <w:szCs w:val="24"/>
        </w:rPr>
      </w:pPr>
    </w:p>
    <w:p w14:paraId="07B0F5EE" w14:textId="1850E4E3" w:rsidR="00B8571F" w:rsidRPr="00E8404F" w:rsidRDefault="00114DD0" w:rsidP="00B8571F">
      <w:pPr>
        <w:tabs>
          <w:tab w:val="left" w:pos="9781"/>
        </w:tabs>
      </w:pPr>
      <w:r w:rsidRPr="00E8404F">
        <w:rPr>
          <w:noProof/>
        </w:rPr>
        <mc:AlternateContent>
          <mc:Choice Requires="wps">
            <w:drawing>
              <wp:anchor distT="45720" distB="45720" distL="114300" distR="114300" simplePos="0" relativeHeight="251677696" behindDoc="0" locked="0" layoutInCell="1" allowOverlap="1" wp14:anchorId="43984742" wp14:editId="38887077">
                <wp:simplePos x="0" y="0"/>
                <wp:positionH relativeFrom="column">
                  <wp:posOffset>245110</wp:posOffset>
                </wp:positionH>
                <wp:positionV relativeFrom="paragraph">
                  <wp:posOffset>81915</wp:posOffset>
                </wp:positionV>
                <wp:extent cx="396240" cy="2180590"/>
                <wp:effectExtent l="0" t="0" r="3810" b="0"/>
                <wp:wrapNone/>
                <wp:docPr id="4283613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2180590"/>
                        </a:xfrm>
                        <a:prstGeom prst="rect">
                          <a:avLst/>
                        </a:prstGeom>
                        <a:solidFill>
                          <a:srgbClr val="FFFFFF"/>
                        </a:solidFill>
                        <a:ln w="9525">
                          <a:noFill/>
                          <a:miter lim="800000"/>
                          <a:headEnd/>
                          <a:tailEnd/>
                        </a:ln>
                      </wps:spPr>
                      <wps:txbx>
                        <w:txbxContent>
                          <w:p w14:paraId="5284FEA4" w14:textId="77777777" w:rsidR="0054615B" w:rsidRPr="00114DD0" w:rsidRDefault="0054615B" w:rsidP="00B8571F">
                            <w:pPr>
                              <w:rPr>
                                <w:b/>
                                <w:bCs/>
                                <w:sz w:val="22"/>
                                <w:szCs w:val="22"/>
                              </w:rPr>
                            </w:pPr>
                            <w:r w:rsidRPr="00114DD0">
                              <w:rPr>
                                <w:b/>
                                <w:bCs/>
                                <w:sz w:val="22"/>
                                <w:szCs w:val="22"/>
                              </w:rPr>
                              <w:t>Sandsynlighed for overlevelse</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84742" id="Text Box 2" o:spid="_x0000_s1240" type="#_x0000_t202" style="position:absolute;margin-left:19.3pt;margin-top:6.45pt;width:31.2pt;height:171.7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" stroked="f">
                <v:textbox style="layout-flow:vertical;mso-layout-flow-alt:bottom-to-top">
                  <w:txbxContent>
                    <w:p w14:paraId="5284FEA4" w14:textId="77777777" w:rsidR="0054615B" w:rsidRPr="00114DD0" w:rsidRDefault="0054615B" w:rsidP="00B8571F">
                      <w:pPr>
                        <w:rPr>
                          <w:b/>
                          <w:bCs/>
                          <w:sz w:val="22"/>
                          <w:szCs w:val="22"/>
                        </w:rPr>
                      </w:pPr>
                      <w:r w:rsidRPr="00114DD0">
                        <w:rPr>
                          <w:b/>
                          <w:bCs/>
                          <w:sz w:val="22"/>
                          <w:szCs w:val="22"/>
                        </w:rPr>
                        <w:t>Sandsynlighed for overlevelse</w:t>
                      </w:r>
                    </w:p>
                  </w:txbxContent>
                </v:textbox>
              </v:shape>
            </w:pict>
          </mc:Fallback>
        </mc:AlternateContent>
      </w:r>
      <w:r w:rsidR="00B8571F" w:rsidRPr="00E8404F">
        <w:rPr>
          <w:noProof/>
        </w:rPr>
        <mc:AlternateContent>
          <mc:Choice Requires="wps">
            <w:drawing>
              <wp:anchor distT="45720" distB="45720" distL="114300" distR="114300" simplePos="0" relativeHeight="251676672" behindDoc="0" locked="0" layoutInCell="1" allowOverlap="1" wp14:anchorId="2AD76F6C" wp14:editId="7E3A8CA3">
                <wp:simplePos x="0" y="0"/>
                <wp:positionH relativeFrom="column">
                  <wp:posOffset>13108</wp:posOffset>
                </wp:positionH>
                <wp:positionV relativeFrom="paragraph">
                  <wp:posOffset>2769951</wp:posOffset>
                </wp:positionV>
                <wp:extent cx="929070" cy="233045"/>
                <wp:effectExtent l="0" t="0" r="4445" b="0"/>
                <wp:wrapNone/>
                <wp:docPr id="12901404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70" cy="233045"/>
                        </a:xfrm>
                        <a:prstGeom prst="rect">
                          <a:avLst/>
                        </a:prstGeom>
                        <a:solidFill>
                          <a:srgbClr val="FFFFFF"/>
                        </a:solidFill>
                        <a:ln w="9525">
                          <a:noFill/>
                          <a:miter lim="800000"/>
                          <a:headEnd/>
                          <a:tailEnd/>
                        </a:ln>
                      </wps:spPr>
                      <wps:txbx>
                        <w:txbxContent>
                          <w:p w14:paraId="5F83147C" w14:textId="77777777" w:rsidR="0054615B" w:rsidRPr="009B0341" w:rsidRDefault="0054615B" w:rsidP="00B8571F">
                            <w:pPr>
                              <w:rPr>
                                <w:b/>
                                <w:bCs/>
                                <w:sz w:val="18"/>
                                <w:szCs w:val="18"/>
                              </w:rPr>
                            </w:pPr>
                            <w:r w:rsidRPr="009B0341">
                              <w:rPr>
                                <w:b/>
                                <w:bCs/>
                                <w:sz w:val="18"/>
                                <w:szCs w:val="18"/>
                              </w:rPr>
                              <w:t>Antal i risiko</w:t>
                            </w:r>
                            <w:r>
                              <w:rPr>
                                <w:b/>
                                <w:bCs/>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D76F6C" id="_x0000_s1241" type="#_x0000_t202" style="position:absolute;margin-left:1.05pt;margin-top:218.1pt;width:73.15pt;height:18.3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" stroked="f">
                <v:textbox>
                  <w:txbxContent>
                    <w:p w14:paraId="5F83147C" w14:textId="77777777" w:rsidR="0054615B" w:rsidRPr="009B0341" w:rsidRDefault="0054615B" w:rsidP="00B8571F">
                      <w:pPr>
                        <w:rPr>
                          <w:b/>
                          <w:bCs/>
                          <w:sz w:val="18"/>
                          <w:szCs w:val="18"/>
                        </w:rPr>
                      </w:pPr>
                      <w:r w:rsidRPr="009B0341">
                        <w:rPr>
                          <w:b/>
                          <w:bCs/>
                          <w:sz w:val="18"/>
                          <w:szCs w:val="18"/>
                        </w:rPr>
                        <w:t>Antal i risiko</w:t>
                      </w:r>
                      <w:r>
                        <w:rPr>
                          <w:b/>
                          <w:bCs/>
                          <w:sz w:val="18"/>
                          <w:szCs w:val="18"/>
                        </w:rPr>
                        <w:t>:</w:t>
                      </w:r>
                    </w:p>
                  </w:txbxContent>
                </v:textbox>
              </v:shape>
            </w:pict>
          </mc:Fallback>
        </mc:AlternateContent>
      </w:r>
      <w:r w:rsidR="00B8571F" w:rsidRPr="00E8404F">
        <w:rPr>
          <w:noProof/>
        </w:rPr>
        <mc:AlternateContent>
          <mc:Choice Requires="wps">
            <w:drawing>
              <wp:anchor distT="45720" distB="45720" distL="114300" distR="114300" simplePos="0" relativeHeight="251675648" behindDoc="0" locked="0" layoutInCell="1" allowOverlap="1" wp14:anchorId="499475D0" wp14:editId="5F78989C">
                <wp:simplePos x="0" y="0"/>
                <wp:positionH relativeFrom="column">
                  <wp:posOffset>2608103</wp:posOffset>
                </wp:positionH>
                <wp:positionV relativeFrom="paragraph">
                  <wp:posOffset>2799225</wp:posOffset>
                </wp:positionV>
                <wp:extent cx="795655" cy="257750"/>
                <wp:effectExtent l="0" t="0" r="444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257750"/>
                        </a:xfrm>
                        <a:prstGeom prst="rect">
                          <a:avLst/>
                        </a:prstGeom>
                        <a:solidFill>
                          <a:srgbClr val="FFFFFF"/>
                        </a:solidFill>
                        <a:ln w="9525">
                          <a:noFill/>
                          <a:miter lim="800000"/>
                          <a:headEnd/>
                          <a:tailEnd/>
                        </a:ln>
                      </wps:spPr>
                      <wps:txbx>
                        <w:txbxContent>
                          <w:p w14:paraId="02C9368E" w14:textId="77777777" w:rsidR="0054615B" w:rsidRPr="009B0341" w:rsidRDefault="0054615B" w:rsidP="00B8571F">
                            <w:pPr>
                              <w:rPr>
                                <w:b/>
                                <w:bCs/>
                              </w:rPr>
                            </w:pPr>
                            <w:r w:rsidRPr="009B0341">
                              <w:rPr>
                                <w:b/>
                                <w:bCs/>
                              </w:rPr>
                              <w:t>Måneder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9475D0" id="_x0000_s1242" type="#_x0000_t202" style="position:absolute;margin-left:205.35pt;margin-top:220.4pt;width:62.65pt;height:20.3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" stroked="f">
                <v:textbox>
                  <w:txbxContent>
                    <w:p w14:paraId="02C9368E" w14:textId="77777777" w:rsidR="0054615B" w:rsidRPr="009B0341" w:rsidRDefault="0054615B" w:rsidP="00B8571F">
                      <w:pPr>
                        <w:rPr>
                          <w:b/>
                          <w:bCs/>
                        </w:rPr>
                      </w:pPr>
                      <w:r w:rsidRPr="009B0341">
                        <w:rPr>
                          <w:b/>
                          <w:bCs/>
                        </w:rPr>
                        <w:t>Måneder</w:t>
                      </w:r>
                    </w:p>
                  </w:txbxContent>
                </v:textbox>
              </v:shape>
            </w:pict>
          </mc:Fallback>
        </mc:AlternateContent>
      </w:r>
      <w:r w:rsidR="00B8571F" w:rsidRPr="00E8404F">
        <w:rPr>
          <w:noProof/>
        </w:rPr>
        <w:drawing>
          <wp:inline distT="0" distB="0" distL="0" distR="0" wp14:anchorId="30836FAA" wp14:editId="3D5FA22D">
            <wp:extent cx="5709920" cy="3417376"/>
            <wp:effectExtent l="0" t="0" r="5080" b="0"/>
            <wp:docPr id="15731640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3886" cy="3419750"/>
                    </a:xfrm>
                    <a:prstGeom prst="rect">
                      <a:avLst/>
                    </a:prstGeom>
                    <a:noFill/>
                    <a:ln>
                      <a:noFill/>
                    </a:ln>
                  </pic:spPr>
                </pic:pic>
              </a:graphicData>
            </a:graphic>
          </wp:inline>
        </w:drawing>
      </w:r>
    </w:p>
    <w:p w14:paraId="7C25A52A" w14:textId="4B3E2D40" w:rsidR="00B8571F" w:rsidRPr="00B8571F" w:rsidRDefault="00B8571F" w:rsidP="005902E8">
      <w:pPr>
        <w:tabs>
          <w:tab w:val="left" w:pos="851"/>
        </w:tabs>
        <w:ind w:left="851"/>
        <w:rPr>
          <w:sz w:val="24"/>
          <w:szCs w:val="24"/>
        </w:rPr>
      </w:pPr>
    </w:p>
    <w:p w14:paraId="7B9B0A5B" w14:textId="77777777" w:rsidR="0054615B" w:rsidRPr="0054615B" w:rsidRDefault="0054615B" w:rsidP="0054615B">
      <w:pPr>
        <w:ind w:left="142"/>
        <w:rPr>
          <w:b/>
          <w:bCs/>
          <w:sz w:val="24"/>
          <w:szCs w:val="24"/>
        </w:rPr>
      </w:pPr>
      <w:r w:rsidRPr="0054615B">
        <w:rPr>
          <w:b/>
          <w:bCs/>
          <w:sz w:val="24"/>
          <w:szCs w:val="24"/>
        </w:rPr>
        <w:t>Figur 7: Kaplan Meier-kurve for progressionsfri overlevelse (CELESTIAL)</w:t>
      </w:r>
    </w:p>
    <w:p w14:paraId="7AB9CE48" w14:textId="25AE57C4" w:rsidR="0054615B" w:rsidRPr="00B8571F" w:rsidRDefault="0054615B" w:rsidP="00114DD0">
      <w:pPr>
        <w:tabs>
          <w:tab w:val="left" w:pos="851"/>
        </w:tabs>
        <w:rPr>
          <w:sz w:val="24"/>
          <w:szCs w:val="24"/>
        </w:rPr>
      </w:pPr>
      <w:r w:rsidRPr="00E8404F">
        <w:rPr>
          <w:noProof/>
        </w:rPr>
        <mc:AlternateContent>
          <mc:Choice Requires="wps">
            <w:drawing>
              <wp:anchor distT="0" distB="0" distL="114300" distR="114300" simplePos="0" relativeHeight="251680768" behindDoc="0" locked="0" layoutInCell="0" allowOverlap="1" wp14:anchorId="0A9910FB" wp14:editId="39D41EF5">
                <wp:simplePos x="0" y="0"/>
                <wp:positionH relativeFrom="page">
                  <wp:posOffset>1435100</wp:posOffset>
                </wp:positionH>
                <wp:positionV relativeFrom="paragraph">
                  <wp:posOffset>61595</wp:posOffset>
                </wp:positionV>
                <wp:extent cx="167005" cy="2827020"/>
                <wp:effectExtent l="0" t="0" r="0" b="0"/>
                <wp:wrapNone/>
                <wp:docPr id="44613127" name="Text Box 1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82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C9772" w14:textId="77777777" w:rsidR="0054615B" w:rsidRPr="00114DD0" w:rsidRDefault="0054615B" w:rsidP="0054615B">
                            <w:pPr>
                              <w:pStyle w:val="Brdtekst"/>
                              <w:kinsoku w:val="0"/>
                              <w:overflowPunct w:val="0"/>
                              <w:spacing w:before="12"/>
                              <w:ind w:left="20"/>
                              <w:rPr>
                                <w:rFonts w:ascii="Arial" w:hAnsi="Arial" w:cs="Arial"/>
                                <w:b/>
                                <w:bCs/>
                                <w:sz w:val="18"/>
                                <w:szCs w:val="18"/>
                              </w:rPr>
                            </w:pPr>
                            <w:r w:rsidRPr="00114DD0">
                              <w:rPr>
                                <w:rFonts w:ascii="Arial" w:hAnsi="Arial" w:cs="Arial"/>
                                <w:b/>
                                <w:bCs/>
                                <w:sz w:val="18"/>
                                <w:szCs w:val="18"/>
                              </w:rPr>
                              <w:t>Sandsynlighed for progressionsfri overlevelse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910FB" id="Text Box 1379" o:spid="_x0000_s1243" type="#_x0000_t202" style="position:absolute;margin-left:113pt;margin-top:4.85pt;width:13.15pt;height:222.6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" o:allowincell="f" filled="f" stroked="f">
                <v:textbox style="layout-flow:vertical;mso-layout-flow-alt:bottom-to-top" inset="0,0,0,0">
                  <w:txbxContent>
                    <w:p w14:paraId="3CCC9772" w14:textId="77777777" w:rsidR="0054615B" w:rsidRPr="00114DD0" w:rsidRDefault="0054615B" w:rsidP="0054615B">
                      <w:pPr>
                        <w:pStyle w:val="Brdtekst"/>
                        <w:kinsoku w:val="0"/>
                        <w:overflowPunct w:val="0"/>
                        <w:spacing w:before="12"/>
                        <w:ind w:left="20"/>
                        <w:rPr>
                          <w:rFonts w:ascii="Arial" w:hAnsi="Arial" w:cs="Arial"/>
                          <w:b/>
                          <w:bCs/>
                          <w:sz w:val="18"/>
                          <w:szCs w:val="18"/>
                        </w:rPr>
                      </w:pPr>
                      <w:r w:rsidRPr="00114DD0">
                        <w:rPr>
                          <w:rFonts w:ascii="Arial" w:hAnsi="Arial" w:cs="Arial"/>
                          <w:b/>
                          <w:bCs/>
                          <w:sz w:val="18"/>
                          <w:szCs w:val="18"/>
                        </w:rPr>
                        <w:t>Sandsynlighed for progressionsfri overlevelse</w:t>
                      </w:r>
                    </w:p>
                  </w:txbxContent>
                </v:textbox>
                <w10:wrap anchorx="page"/>
              </v:shape>
            </w:pict>
          </mc:Fallback>
        </mc:AlternateContent>
      </w:r>
    </w:p>
    <w:p w14:paraId="586E2732" w14:textId="77777777" w:rsidR="0054615B" w:rsidRPr="00E8404F" w:rsidRDefault="0054615B" w:rsidP="0054615B">
      <w:pPr>
        <w:pStyle w:val="Brdtekst"/>
        <w:tabs>
          <w:tab w:val="left" w:pos="9781"/>
        </w:tabs>
        <w:kinsoku w:val="0"/>
        <w:overflowPunct w:val="0"/>
        <w:rPr>
          <w:b/>
          <w:bCs/>
          <w:sz w:val="20"/>
          <w:szCs w:val="20"/>
        </w:rPr>
      </w:pPr>
    </w:p>
    <w:p w14:paraId="14E29A62" w14:textId="5B0DD7A2" w:rsidR="0054615B" w:rsidRPr="00E8404F" w:rsidRDefault="0054615B" w:rsidP="0054615B">
      <w:pPr>
        <w:pStyle w:val="Brdtekst"/>
        <w:tabs>
          <w:tab w:val="left" w:pos="9781"/>
        </w:tabs>
        <w:kinsoku w:val="0"/>
        <w:overflowPunct w:val="0"/>
        <w:rPr>
          <w:b/>
          <w:bCs/>
          <w:sz w:val="24"/>
          <w:szCs w:val="24"/>
        </w:rPr>
      </w:pPr>
      <w:r w:rsidRPr="00E8404F">
        <w:rPr>
          <w:noProof/>
        </w:rPr>
        <mc:AlternateContent>
          <mc:Choice Requires="wps">
            <w:drawing>
              <wp:anchor distT="0" distB="0" distL="114300" distR="114300" simplePos="0" relativeHeight="251679744" behindDoc="1" locked="0" layoutInCell="0" allowOverlap="1" wp14:anchorId="1D31D389" wp14:editId="010B67B6">
                <wp:simplePos x="0" y="0"/>
                <wp:positionH relativeFrom="page">
                  <wp:posOffset>1358900</wp:posOffset>
                </wp:positionH>
                <wp:positionV relativeFrom="paragraph">
                  <wp:posOffset>21590</wp:posOffset>
                </wp:positionV>
                <wp:extent cx="5137150" cy="3276600"/>
                <wp:effectExtent l="0" t="0" r="6350" b="0"/>
                <wp:wrapNone/>
                <wp:docPr id="393853675" name="Rectangle 1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7150" cy="327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9B61E" w14:textId="6B8B61A6" w:rsidR="0054615B" w:rsidRDefault="0054615B" w:rsidP="00114DD0">
                            <w:pPr>
                              <w:spacing w:line="5160" w:lineRule="atLeast"/>
                              <w:ind w:left="851"/>
                              <w:rPr>
                                <w:sz w:val="24"/>
                                <w:szCs w:val="24"/>
                              </w:rPr>
                            </w:pPr>
                            <w:r>
                              <w:rPr>
                                <w:noProof/>
                                <w:sz w:val="24"/>
                                <w:szCs w:val="24"/>
                              </w:rPr>
                              <w:drawing>
                                <wp:inline distT="0" distB="0" distL="0" distR="0" wp14:anchorId="5D2E0ED2" wp14:editId="18C291E7">
                                  <wp:extent cx="4819650" cy="32893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19650" cy="3289300"/>
                                          </a:xfrm>
                                          <a:prstGeom prst="rect">
                                            <a:avLst/>
                                          </a:prstGeom>
                                          <a:noFill/>
                                          <a:ln>
                                            <a:noFill/>
                                          </a:ln>
                                        </pic:spPr>
                                      </pic:pic>
                                    </a:graphicData>
                                  </a:graphic>
                                </wp:inline>
                              </w:drawing>
                            </w:r>
                            <w:r>
                              <w:rPr>
                                <w:noProof/>
                                <w:sz w:val="24"/>
                                <w:szCs w:val="24"/>
                              </w:rPr>
                              <w:drawing>
                                <wp:inline distT="0" distB="0" distL="0" distR="0" wp14:anchorId="186B57A0" wp14:editId="690D42E7">
                                  <wp:extent cx="4819650" cy="3276600"/>
                                  <wp:effectExtent l="0" t="0" r="0" b="0"/>
                                  <wp:docPr id="6432823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19650" cy="3276600"/>
                                          </a:xfrm>
                                          <a:prstGeom prst="rect">
                                            <a:avLst/>
                                          </a:prstGeom>
                                          <a:noFill/>
                                          <a:ln>
                                            <a:noFill/>
                                          </a:ln>
                                        </pic:spPr>
                                      </pic:pic>
                                    </a:graphicData>
                                  </a:graphic>
                                </wp:inline>
                              </w:drawing>
                            </w:r>
                          </w:p>
                          <w:p w14:paraId="134C8FC4" w14:textId="77777777" w:rsidR="0054615B" w:rsidRDefault="0054615B" w:rsidP="0054615B">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1D389" id="Rectangle 1378" o:spid="_x0000_s1244" style="position:absolute;margin-left:107pt;margin-top:1.7pt;width:404.5pt;height:258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" o:allowincell="f" filled="f" stroked="f">
                <v:textbox inset="0,0,0,0">
                  <w:txbxContent>
                    <w:p w14:paraId="7779B61E" w14:textId="6B8B61A6" w:rsidR="0054615B" w:rsidRDefault="0054615B" w:rsidP="00114DD0">
                      <w:pPr>
                        <w:spacing w:line="5160" w:lineRule="atLeast"/>
                        <w:ind w:left="851"/>
                        <w:rPr>
                          <w:sz w:val="24"/>
                          <w:szCs w:val="24"/>
                        </w:rPr>
                      </w:pPr>
                      <w:r>
                        <w:rPr>
                          <w:noProof/>
                          <w:sz w:val="24"/>
                          <w:szCs w:val="24"/>
                        </w:rPr>
                        <w:drawing>
                          <wp:inline distT="0" distB="0" distL="0" distR="0" wp14:anchorId="5D2E0ED2" wp14:editId="18C291E7">
                            <wp:extent cx="4819650" cy="32893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19650" cy="3289300"/>
                                    </a:xfrm>
                                    <a:prstGeom prst="rect">
                                      <a:avLst/>
                                    </a:prstGeom>
                                    <a:noFill/>
                                    <a:ln>
                                      <a:noFill/>
                                    </a:ln>
                                  </pic:spPr>
                                </pic:pic>
                              </a:graphicData>
                            </a:graphic>
                          </wp:inline>
                        </w:drawing>
                      </w:r>
                      <w:r>
                        <w:rPr>
                          <w:noProof/>
                          <w:sz w:val="24"/>
                          <w:szCs w:val="24"/>
                        </w:rPr>
                        <w:drawing>
                          <wp:inline distT="0" distB="0" distL="0" distR="0" wp14:anchorId="186B57A0" wp14:editId="690D42E7">
                            <wp:extent cx="4819650" cy="3276600"/>
                            <wp:effectExtent l="0" t="0" r="0" b="0"/>
                            <wp:docPr id="6432823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19650" cy="3276600"/>
                                    </a:xfrm>
                                    <a:prstGeom prst="rect">
                                      <a:avLst/>
                                    </a:prstGeom>
                                    <a:noFill/>
                                    <a:ln>
                                      <a:noFill/>
                                    </a:ln>
                                  </pic:spPr>
                                </pic:pic>
                              </a:graphicData>
                            </a:graphic>
                          </wp:inline>
                        </w:drawing>
                      </w:r>
                    </w:p>
                    <w:p w14:paraId="134C8FC4" w14:textId="77777777" w:rsidR="0054615B" w:rsidRDefault="0054615B" w:rsidP="0054615B">
                      <w:pPr>
                        <w:rPr>
                          <w:sz w:val="24"/>
                          <w:szCs w:val="24"/>
                        </w:rPr>
                      </w:pPr>
                    </w:p>
                  </w:txbxContent>
                </v:textbox>
                <w10:wrap anchorx="page"/>
              </v:rect>
            </w:pict>
          </mc:Fallback>
        </mc:AlternateContent>
      </w:r>
    </w:p>
    <w:p w14:paraId="544966AF" w14:textId="44AFC1E5" w:rsidR="0054615B" w:rsidRPr="00E8404F" w:rsidRDefault="0054615B" w:rsidP="0054615B">
      <w:pPr>
        <w:pStyle w:val="Brdtekst"/>
        <w:tabs>
          <w:tab w:val="left" w:pos="9781"/>
        </w:tabs>
        <w:kinsoku w:val="0"/>
        <w:overflowPunct w:val="0"/>
        <w:ind w:left="7230"/>
        <w:rPr>
          <w:rFonts w:ascii="Arial" w:hAnsi="Arial" w:cs="Arial"/>
          <w:sz w:val="18"/>
          <w:szCs w:val="18"/>
        </w:rPr>
      </w:pPr>
      <w:r w:rsidRPr="00E8404F">
        <w:rPr>
          <w:rFonts w:ascii="Arial" w:hAnsi="Arial" w:cs="Arial"/>
          <w:sz w:val="18"/>
          <w:szCs w:val="18"/>
        </w:rPr>
        <w:t xml:space="preserve">Cabozantinib </w:t>
      </w:r>
    </w:p>
    <w:p w14:paraId="1EF5338C" w14:textId="77777777" w:rsidR="0054615B" w:rsidRPr="00E8404F" w:rsidRDefault="0054615B" w:rsidP="0054615B">
      <w:pPr>
        <w:pStyle w:val="Brdtekst"/>
        <w:tabs>
          <w:tab w:val="left" w:pos="9781"/>
        </w:tabs>
        <w:kinsoku w:val="0"/>
        <w:overflowPunct w:val="0"/>
        <w:ind w:left="7797"/>
        <w:rPr>
          <w:rFonts w:ascii="Arial" w:hAnsi="Arial" w:cs="Arial"/>
          <w:sz w:val="18"/>
          <w:szCs w:val="18"/>
        </w:rPr>
      </w:pPr>
    </w:p>
    <w:p w14:paraId="3FC751E2" w14:textId="77777777" w:rsidR="0054615B" w:rsidRPr="00E8404F" w:rsidRDefault="0054615B" w:rsidP="0054615B">
      <w:pPr>
        <w:pStyle w:val="Brdtekst"/>
        <w:tabs>
          <w:tab w:val="left" w:pos="9781"/>
        </w:tabs>
        <w:kinsoku w:val="0"/>
        <w:overflowPunct w:val="0"/>
        <w:ind w:left="7230"/>
        <w:rPr>
          <w:rFonts w:ascii="Arial" w:hAnsi="Arial" w:cs="Arial"/>
          <w:sz w:val="18"/>
          <w:szCs w:val="18"/>
        </w:rPr>
      </w:pPr>
      <w:r w:rsidRPr="00E8404F">
        <w:rPr>
          <w:rFonts w:ascii="Arial" w:hAnsi="Arial" w:cs="Arial"/>
          <w:sz w:val="18"/>
          <w:szCs w:val="18"/>
        </w:rPr>
        <w:t>Placebo</w:t>
      </w:r>
    </w:p>
    <w:p w14:paraId="5C9D24A4" w14:textId="77777777" w:rsidR="0054615B" w:rsidRPr="00E8404F" w:rsidRDefault="0054615B" w:rsidP="0054615B">
      <w:pPr>
        <w:pStyle w:val="Brdtekst"/>
        <w:tabs>
          <w:tab w:val="left" w:pos="9781"/>
        </w:tabs>
        <w:kinsoku w:val="0"/>
        <w:overflowPunct w:val="0"/>
        <w:ind w:left="7797"/>
        <w:rPr>
          <w:rFonts w:ascii="Arial" w:hAnsi="Arial" w:cs="Arial"/>
          <w:sz w:val="20"/>
          <w:szCs w:val="20"/>
        </w:rPr>
      </w:pPr>
    </w:p>
    <w:p w14:paraId="139383BE" w14:textId="77777777" w:rsidR="0054615B" w:rsidRPr="00E8404F" w:rsidRDefault="0054615B" w:rsidP="0054615B">
      <w:pPr>
        <w:pStyle w:val="Brdtekst"/>
        <w:tabs>
          <w:tab w:val="left" w:pos="9781"/>
        </w:tabs>
        <w:kinsoku w:val="0"/>
        <w:overflowPunct w:val="0"/>
        <w:rPr>
          <w:rFonts w:ascii="Arial" w:hAnsi="Arial" w:cs="Arial"/>
          <w:sz w:val="20"/>
          <w:szCs w:val="20"/>
        </w:rPr>
      </w:pPr>
    </w:p>
    <w:p w14:paraId="2D5F00BF" w14:textId="30AC5D21" w:rsidR="00B8571F" w:rsidRPr="00B8571F" w:rsidRDefault="00B8571F" w:rsidP="005902E8">
      <w:pPr>
        <w:tabs>
          <w:tab w:val="left" w:pos="851"/>
        </w:tabs>
        <w:ind w:left="851"/>
        <w:rPr>
          <w:sz w:val="24"/>
          <w:szCs w:val="24"/>
        </w:rPr>
      </w:pPr>
    </w:p>
    <w:p w14:paraId="5F7D883D" w14:textId="6DE07069" w:rsidR="00B8571F" w:rsidRPr="00B8571F" w:rsidRDefault="00B8571F" w:rsidP="005902E8">
      <w:pPr>
        <w:tabs>
          <w:tab w:val="left" w:pos="851"/>
        </w:tabs>
        <w:ind w:left="851"/>
        <w:rPr>
          <w:sz w:val="24"/>
          <w:szCs w:val="24"/>
        </w:rPr>
      </w:pPr>
    </w:p>
    <w:p w14:paraId="56456DB2" w14:textId="408E21C0" w:rsidR="00B8571F" w:rsidRPr="00B8571F" w:rsidRDefault="00B8571F" w:rsidP="005902E8">
      <w:pPr>
        <w:tabs>
          <w:tab w:val="left" w:pos="851"/>
        </w:tabs>
        <w:ind w:left="851"/>
        <w:rPr>
          <w:sz w:val="24"/>
          <w:szCs w:val="24"/>
        </w:rPr>
      </w:pPr>
    </w:p>
    <w:p w14:paraId="27B1A5A8" w14:textId="652CEEE0" w:rsidR="00B8571F" w:rsidRPr="00B8571F" w:rsidRDefault="00B8571F" w:rsidP="005902E8">
      <w:pPr>
        <w:tabs>
          <w:tab w:val="left" w:pos="851"/>
        </w:tabs>
        <w:ind w:left="851"/>
        <w:rPr>
          <w:sz w:val="24"/>
          <w:szCs w:val="24"/>
        </w:rPr>
      </w:pPr>
    </w:p>
    <w:p w14:paraId="07D50735" w14:textId="12822B16" w:rsidR="00B8571F" w:rsidRPr="00B8571F" w:rsidRDefault="00B8571F" w:rsidP="005902E8">
      <w:pPr>
        <w:tabs>
          <w:tab w:val="left" w:pos="851"/>
        </w:tabs>
        <w:ind w:left="851"/>
        <w:rPr>
          <w:sz w:val="24"/>
          <w:szCs w:val="24"/>
        </w:rPr>
      </w:pPr>
    </w:p>
    <w:p w14:paraId="26BBB2A0" w14:textId="09C0707B" w:rsidR="00B8571F" w:rsidRPr="00B8571F" w:rsidRDefault="00B8571F" w:rsidP="005902E8">
      <w:pPr>
        <w:tabs>
          <w:tab w:val="left" w:pos="851"/>
        </w:tabs>
        <w:ind w:left="851"/>
        <w:rPr>
          <w:sz w:val="24"/>
          <w:szCs w:val="24"/>
        </w:rPr>
      </w:pPr>
    </w:p>
    <w:p w14:paraId="36A7D5AF" w14:textId="5FBD5A7D" w:rsidR="00B8571F" w:rsidRPr="00B8571F" w:rsidRDefault="00B8571F" w:rsidP="005902E8">
      <w:pPr>
        <w:tabs>
          <w:tab w:val="left" w:pos="851"/>
        </w:tabs>
        <w:ind w:left="851"/>
        <w:rPr>
          <w:sz w:val="24"/>
          <w:szCs w:val="24"/>
        </w:rPr>
      </w:pPr>
    </w:p>
    <w:p w14:paraId="7E4544EC" w14:textId="427217EE" w:rsidR="00B8571F" w:rsidRPr="00B8571F" w:rsidRDefault="00B8571F" w:rsidP="005902E8">
      <w:pPr>
        <w:tabs>
          <w:tab w:val="left" w:pos="851"/>
        </w:tabs>
        <w:ind w:left="851"/>
        <w:rPr>
          <w:sz w:val="24"/>
          <w:szCs w:val="24"/>
        </w:rPr>
      </w:pPr>
    </w:p>
    <w:p w14:paraId="2E0CEB97" w14:textId="40B6C96F" w:rsidR="00B8571F" w:rsidRPr="00B8571F" w:rsidRDefault="00B8571F" w:rsidP="005902E8">
      <w:pPr>
        <w:tabs>
          <w:tab w:val="left" w:pos="851"/>
        </w:tabs>
        <w:ind w:left="851"/>
        <w:rPr>
          <w:sz w:val="24"/>
          <w:szCs w:val="24"/>
        </w:rPr>
      </w:pPr>
    </w:p>
    <w:p w14:paraId="3F5A8F66" w14:textId="103C215C" w:rsidR="00B8571F" w:rsidRPr="00B8571F" w:rsidRDefault="00B8571F" w:rsidP="005902E8">
      <w:pPr>
        <w:tabs>
          <w:tab w:val="left" w:pos="851"/>
        </w:tabs>
        <w:ind w:left="851"/>
        <w:rPr>
          <w:sz w:val="24"/>
          <w:szCs w:val="24"/>
        </w:rPr>
      </w:pPr>
    </w:p>
    <w:p w14:paraId="6DD89013" w14:textId="1EEB0852" w:rsidR="00B8571F" w:rsidRPr="0054615B" w:rsidRDefault="0054615B" w:rsidP="005902E8">
      <w:pPr>
        <w:tabs>
          <w:tab w:val="left" w:pos="851"/>
        </w:tabs>
        <w:ind w:left="851"/>
        <w:rPr>
          <w:b/>
          <w:sz w:val="22"/>
          <w:szCs w:val="22"/>
        </w:rPr>
      </w:pPr>
      <w:r w:rsidRPr="0054615B">
        <w:rPr>
          <w:b/>
          <w:sz w:val="22"/>
          <w:szCs w:val="22"/>
        </w:rPr>
        <w:t>Måneder</w:t>
      </w:r>
    </w:p>
    <w:p w14:paraId="58CF803F" w14:textId="77777777" w:rsidR="00B8571F" w:rsidRPr="00B8571F" w:rsidRDefault="00B8571F" w:rsidP="005902E8">
      <w:pPr>
        <w:tabs>
          <w:tab w:val="left" w:pos="851"/>
        </w:tabs>
        <w:ind w:left="851"/>
        <w:rPr>
          <w:sz w:val="24"/>
          <w:szCs w:val="24"/>
        </w:rPr>
      </w:pPr>
    </w:p>
    <w:p w14:paraId="1C259990" w14:textId="5EFF4199" w:rsidR="005902E8" w:rsidRPr="00114DD0" w:rsidRDefault="0054615B" w:rsidP="0054615B">
      <w:pPr>
        <w:ind w:left="426"/>
        <w:rPr>
          <w:b/>
          <w:sz w:val="20"/>
        </w:rPr>
      </w:pPr>
      <w:r w:rsidRPr="00114DD0">
        <w:rPr>
          <w:b/>
          <w:sz w:val="20"/>
        </w:rPr>
        <w:t>Antal i risiko</w:t>
      </w:r>
      <w:r w:rsidR="00114DD0" w:rsidRPr="00114DD0">
        <w:rPr>
          <w:b/>
          <w:sz w:val="20"/>
        </w:rPr>
        <w:t>:</w:t>
      </w:r>
    </w:p>
    <w:p w14:paraId="7E4D34F3" w14:textId="3AFBB33B" w:rsidR="00856A6C" w:rsidRPr="00856A6C" w:rsidRDefault="00856A6C" w:rsidP="0054615B">
      <w:pPr>
        <w:ind w:left="426"/>
        <w:rPr>
          <w:sz w:val="20"/>
        </w:rPr>
      </w:pPr>
      <w:r w:rsidRPr="00856A6C">
        <w:rPr>
          <w:sz w:val="20"/>
        </w:rPr>
        <w:t>Carbozantinib</w:t>
      </w:r>
    </w:p>
    <w:p w14:paraId="6517B7AC" w14:textId="77427DC3" w:rsidR="00856A6C" w:rsidRPr="00856A6C" w:rsidRDefault="00856A6C" w:rsidP="0054615B">
      <w:pPr>
        <w:ind w:left="426"/>
        <w:rPr>
          <w:sz w:val="20"/>
        </w:rPr>
      </w:pPr>
      <w:r w:rsidRPr="00856A6C">
        <w:rPr>
          <w:sz w:val="20"/>
        </w:rPr>
        <w:t>Placebo</w:t>
      </w:r>
    </w:p>
    <w:p w14:paraId="2A43F787" w14:textId="0C7BAD0B" w:rsidR="0054615B" w:rsidRDefault="0054615B" w:rsidP="005902E8">
      <w:pPr>
        <w:tabs>
          <w:tab w:val="left" w:pos="851"/>
        </w:tabs>
        <w:ind w:left="851"/>
        <w:rPr>
          <w:sz w:val="24"/>
          <w:szCs w:val="24"/>
        </w:rPr>
      </w:pPr>
    </w:p>
    <w:p w14:paraId="05D8A7B4" w14:textId="77777777" w:rsidR="00A521E5" w:rsidRPr="00F1634B" w:rsidRDefault="00A521E5" w:rsidP="00FB2B0E">
      <w:pPr>
        <w:pStyle w:val="Brdtekst"/>
        <w:tabs>
          <w:tab w:val="left" w:pos="9781"/>
        </w:tabs>
        <w:kinsoku w:val="0"/>
        <w:overflowPunct w:val="0"/>
        <w:ind w:left="851" w:right="142"/>
        <w:rPr>
          <w:sz w:val="24"/>
          <w:szCs w:val="24"/>
        </w:rPr>
      </w:pPr>
      <w:r w:rsidRPr="00F1634B">
        <w:rPr>
          <w:sz w:val="24"/>
          <w:szCs w:val="24"/>
        </w:rPr>
        <w:t xml:space="preserve">Forekomsten af systemisk ikke-strålebehandling og lokal leverrettet systemisk anti-cancer-behandling uden for protokollen (NPACT) var 26 % i cabozantinib-armen og 33 </w:t>
      </w:r>
      <w:r w:rsidRPr="00F1634B">
        <w:rPr>
          <w:sz w:val="24"/>
          <w:szCs w:val="24"/>
        </w:rPr>
        <w:lastRenderedPageBreak/>
        <w:t>% i placebo-armen. De studiepersoner, der fik disse behandlinger, var nødt til at seponere studiebehandlingen. En eksploratorisk OS-analyse censureret til anvendelsen af NPACT understøttede den primære analyse: HR, justeret for stratifikationsfaktorer (pr. IxRS), var 0,66 (95 % CI: 0,52; 0,84; stratificeret logrank p-værdi = 0,0005). Kaplan-Meier-estimaterne for medianvarighed af OS var 11,1 måneder i cabozantinib-armen mod 6,9 måneder i placebo-armen, en estimeret 4,2-måneders forskel i medianerne.</w:t>
      </w:r>
    </w:p>
    <w:p w14:paraId="63A658C3" w14:textId="77777777" w:rsidR="00A521E5" w:rsidRPr="00F1634B" w:rsidRDefault="00A521E5" w:rsidP="00FB2B0E">
      <w:pPr>
        <w:pStyle w:val="Brdtekst"/>
        <w:tabs>
          <w:tab w:val="left" w:pos="9781"/>
        </w:tabs>
        <w:kinsoku w:val="0"/>
        <w:overflowPunct w:val="0"/>
        <w:ind w:left="851" w:right="142"/>
        <w:rPr>
          <w:sz w:val="24"/>
          <w:szCs w:val="24"/>
        </w:rPr>
      </w:pPr>
    </w:p>
    <w:p w14:paraId="7FA82FC4" w14:textId="77777777" w:rsidR="00A521E5" w:rsidRPr="00F1634B" w:rsidRDefault="00A521E5" w:rsidP="00FB2B0E">
      <w:pPr>
        <w:pStyle w:val="Brdtekst"/>
        <w:tabs>
          <w:tab w:val="left" w:pos="9781"/>
        </w:tabs>
        <w:kinsoku w:val="0"/>
        <w:overflowPunct w:val="0"/>
        <w:ind w:left="851" w:right="142"/>
        <w:rPr>
          <w:sz w:val="24"/>
          <w:szCs w:val="24"/>
        </w:rPr>
      </w:pPr>
      <w:r w:rsidRPr="00F1634B">
        <w:rPr>
          <w:sz w:val="24"/>
          <w:szCs w:val="24"/>
        </w:rPr>
        <w:t>Ikke-sygdomsspecifik livskvalitet (QoL) blev vurderet ved brug af EuroQoL EQ-5D-5L. Der blev observeret en negativ effekt af cabozantinib i forhold til placebo på EQ-5D-brugsindeksresultatet i løbet af de første ugers behandling. Kun begrænsede QoL-data var tilgængelige efter denne periode.</w:t>
      </w:r>
    </w:p>
    <w:p w14:paraId="723D66DD" w14:textId="77777777" w:rsidR="00A521E5" w:rsidRPr="00F1634B" w:rsidRDefault="00A521E5" w:rsidP="00FB2B0E">
      <w:pPr>
        <w:pStyle w:val="Brdtekst"/>
        <w:tabs>
          <w:tab w:val="left" w:pos="9781"/>
        </w:tabs>
        <w:kinsoku w:val="0"/>
        <w:overflowPunct w:val="0"/>
        <w:ind w:left="851" w:right="142"/>
        <w:rPr>
          <w:sz w:val="24"/>
          <w:szCs w:val="24"/>
        </w:rPr>
      </w:pPr>
    </w:p>
    <w:p w14:paraId="38A02572" w14:textId="77777777" w:rsidR="00A521E5" w:rsidRPr="00F1634B" w:rsidRDefault="00A521E5" w:rsidP="00FB2B0E">
      <w:pPr>
        <w:pStyle w:val="Brdtekst"/>
        <w:tabs>
          <w:tab w:val="left" w:pos="9781"/>
        </w:tabs>
        <w:kinsoku w:val="0"/>
        <w:overflowPunct w:val="0"/>
        <w:ind w:left="851" w:right="142"/>
        <w:rPr>
          <w:i/>
          <w:iCs/>
          <w:sz w:val="24"/>
          <w:szCs w:val="24"/>
        </w:rPr>
      </w:pPr>
      <w:r w:rsidRPr="00F1634B">
        <w:rPr>
          <w:i/>
          <w:iCs/>
          <w:sz w:val="24"/>
          <w:szCs w:val="24"/>
        </w:rPr>
        <w:t>Differentieret thyroideakarcinomer (DTC)</w:t>
      </w:r>
    </w:p>
    <w:p w14:paraId="0B84693B" w14:textId="77777777" w:rsidR="00A521E5" w:rsidRDefault="00A521E5" w:rsidP="00FB2B0E">
      <w:pPr>
        <w:pStyle w:val="Brdtekst"/>
        <w:tabs>
          <w:tab w:val="left" w:pos="9781"/>
        </w:tabs>
        <w:kinsoku w:val="0"/>
        <w:overflowPunct w:val="0"/>
        <w:ind w:left="851" w:right="142"/>
        <w:rPr>
          <w:i/>
          <w:iCs/>
          <w:sz w:val="24"/>
          <w:szCs w:val="24"/>
          <w:u w:val="single" w:color="000000"/>
        </w:rPr>
      </w:pPr>
    </w:p>
    <w:p w14:paraId="72C95550" w14:textId="5C0373F5" w:rsidR="00A521E5" w:rsidRPr="00F1634B" w:rsidRDefault="00A521E5" w:rsidP="00FB2B0E">
      <w:pPr>
        <w:pStyle w:val="Brdtekst"/>
        <w:tabs>
          <w:tab w:val="left" w:pos="9781"/>
        </w:tabs>
        <w:kinsoku w:val="0"/>
        <w:overflowPunct w:val="0"/>
        <w:ind w:left="851" w:right="142"/>
        <w:rPr>
          <w:i/>
          <w:iCs/>
          <w:sz w:val="24"/>
          <w:szCs w:val="24"/>
        </w:rPr>
      </w:pPr>
      <w:r w:rsidRPr="00F1634B">
        <w:rPr>
          <w:i/>
          <w:iCs/>
          <w:sz w:val="24"/>
          <w:szCs w:val="24"/>
          <w:u w:val="single" w:color="000000"/>
        </w:rPr>
        <w:t>Placebokontrolleret studie med voksne patienter, som tidligere havde modtaget systemisk behandling, og som</w:t>
      </w:r>
      <w:r w:rsidRPr="00F1634B">
        <w:rPr>
          <w:i/>
          <w:iCs/>
          <w:sz w:val="24"/>
          <w:szCs w:val="24"/>
        </w:rPr>
        <w:t xml:space="preserve"> </w:t>
      </w:r>
      <w:r w:rsidRPr="00F1634B">
        <w:rPr>
          <w:i/>
          <w:iCs/>
          <w:sz w:val="24"/>
          <w:szCs w:val="24"/>
          <w:u w:val="single" w:color="000000"/>
        </w:rPr>
        <w:t>er refraktære over for eller uegnede til behandling med radioaktivt jod (COSMIC-311)</w:t>
      </w:r>
    </w:p>
    <w:p w14:paraId="5357B8DF" w14:textId="478FF41A" w:rsidR="00A521E5" w:rsidRPr="00F1634B" w:rsidRDefault="00A521E5" w:rsidP="00FB2B0E">
      <w:pPr>
        <w:pStyle w:val="Brdtekst"/>
        <w:tabs>
          <w:tab w:val="left" w:pos="9781"/>
        </w:tabs>
        <w:kinsoku w:val="0"/>
        <w:overflowPunct w:val="0"/>
        <w:ind w:left="851" w:right="142"/>
        <w:rPr>
          <w:sz w:val="24"/>
          <w:szCs w:val="24"/>
        </w:rPr>
      </w:pPr>
      <w:r w:rsidRPr="00F1634B">
        <w:rPr>
          <w:sz w:val="24"/>
          <w:szCs w:val="24"/>
        </w:rPr>
        <w:t>Sikkerheden og virkningen af cabozantinib blev undersøgt i COSMIC-311, et randomiseret (2:1), dobbeltblindet, placebokontrolleret multicenterstudie hos patienter med lokalt fremskreden eller metastatisk sygdom med differentieret thyreoideacancer, som var progredieret efter op til to tidligere VEGFR-målrettede behandlinger (herunder, men ikke begrænset til, lenvatinib eller sorafenib), og som var refraktære over for eller uegnede til behandling med radioaktivt jod. Patienter med målbar sygdom og dokumenteret radiografisk progression iht. RECIST 1.1 ifølge investigator under eller efter behandling med VEGFR-målrettet TKI, blev randomiseret (N = 258) til at modtage cabozantinib 60 mg oralt en gang dagligt (N = 170) eller placebo</w:t>
      </w:r>
      <w:r>
        <w:rPr>
          <w:sz w:val="24"/>
          <w:szCs w:val="24"/>
        </w:rPr>
        <w:t xml:space="preserve"> </w:t>
      </w:r>
      <w:r w:rsidRPr="00F1634B">
        <w:rPr>
          <w:sz w:val="24"/>
          <w:szCs w:val="24"/>
        </w:rPr>
        <w:t>(N = 88).</w:t>
      </w:r>
    </w:p>
    <w:p w14:paraId="675C2744" w14:textId="77777777" w:rsidR="00A521E5" w:rsidRPr="00F1634B" w:rsidRDefault="00A521E5" w:rsidP="00FB2B0E">
      <w:pPr>
        <w:pStyle w:val="Brdtekst"/>
        <w:tabs>
          <w:tab w:val="left" w:pos="9781"/>
        </w:tabs>
        <w:kinsoku w:val="0"/>
        <w:overflowPunct w:val="0"/>
        <w:ind w:left="851" w:right="142"/>
        <w:rPr>
          <w:sz w:val="24"/>
          <w:szCs w:val="24"/>
        </w:rPr>
      </w:pPr>
    </w:p>
    <w:p w14:paraId="555B36E4" w14:textId="77777777" w:rsidR="00A521E5" w:rsidRPr="00F1634B" w:rsidRDefault="00A521E5" w:rsidP="00FB2B0E">
      <w:pPr>
        <w:pStyle w:val="Brdtekst"/>
        <w:tabs>
          <w:tab w:val="left" w:pos="9781"/>
        </w:tabs>
        <w:kinsoku w:val="0"/>
        <w:overflowPunct w:val="0"/>
        <w:ind w:left="851" w:right="142"/>
        <w:rPr>
          <w:sz w:val="24"/>
          <w:szCs w:val="24"/>
        </w:rPr>
      </w:pPr>
      <w:r w:rsidRPr="00F1634B">
        <w:rPr>
          <w:sz w:val="24"/>
          <w:szCs w:val="24"/>
        </w:rPr>
        <w:t xml:space="preserve">Randomisering blev stratificeret efter forudgående modtagelse af lenvatinib (ja </w:t>
      </w:r>
      <w:r w:rsidRPr="00F1634B">
        <w:rPr>
          <w:i/>
          <w:iCs/>
          <w:sz w:val="24"/>
          <w:szCs w:val="24"/>
        </w:rPr>
        <w:t xml:space="preserve">vs. </w:t>
      </w:r>
      <w:r w:rsidRPr="00F1634B">
        <w:rPr>
          <w:sz w:val="24"/>
          <w:szCs w:val="24"/>
        </w:rPr>
        <w:t xml:space="preserve">nej) og alder (≤ 65 år </w:t>
      </w:r>
      <w:r w:rsidRPr="00F1634B">
        <w:rPr>
          <w:i/>
          <w:iCs/>
          <w:sz w:val="24"/>
          <w:szCs w:val="24"/>
        </w:rPr>
        <w:t>vs.</w:t>
      </w:r>
      <w:r>
        <w:rPr>
          <w:i/>
          <w:iCs/>
          <w:sz w:val="24"/>
          <w:szCs w:val="24"/>
        </w:rPr>
        <w:t xml:space="preserve"> </w:t>
      </w:r>
      <w:r w:rsidRPr="00F1634B">
        <w:rPr>
          <w:sz w:val="24"/>
          <w:szCs w:val="24"/>
        </w:rPr>
        <w:t xml:space="preserve">&gt; 65 år). Kvalificerede patienter, randomiseret til placebo, fik lov til at skifte til cabozantinib efter progressiv sygdom var bekræftet af </w:t>
      </w:r>
      <w:r w:rsidRPr="00F1634B">
        <w:rPr>
          <w:i/>
          <w:iCs/>
          <w:sz w:val="24"/>
          <w:szCs w:val="24"/>
        </w:rPr>
        <w:t xml:space="preserve">Blinded Independent Radiology Review Committee </w:t>
      </w:r>
      <w:r w:rsidRPr="00F1634B">
        <w:rPr>
          <w:sz w:val="24"/>
          <w:szCs w:val="24"/>
        </w:rPr>
        <w:t>(BIRC). Studiepersonerne fortsatte blindet studiebehandling, så længe de oplevede en klinisk fordel, eller indtil der forekom uacceptabel toksicitet. Det primære virkningsparameter var progressionsfri overlevelse (PFS) i ITT- populationen og objektiv responsrate (ORR), hos de første 100 randomiserede patienter, som vurderet af BIRC iht. RECIST 1.1. Tumorvurderinger blev udført hver 8. uge efter randomisering i løbet af de første</w:t>
      </w:r>
      <w:r>
        <w:rPr>
          <w:sz w:val="24"/>
          <w:szCs w:val="24"/>
        </w:rPr>
        <w:t xml:space="preserve"> </w:t>
      </w:r>
      <w:r w:rsidRPr="00F1634B">
        <w:rPr>
          <w:sz w:val="24"/>
          <w:szCs w:val="24"/>
        </w:rPr>
        <w:t>12 måneder i studiet, derefter hver 12. uge. Samlet overlevelse (OS) var et yderligere endepunkt.</w:t>
      </w:r>
    </w:p>
    <w:p w14:paraId="2755A4D8" w14:textId="77777777" w:rsidR="00A521E5" w:rsidRPr="00F1634B" w:rsidRDefault="00A521E5" w:rsidP="00FB2B0E">
      <w:pPr>
        <w:pStyle w:val="Brdtekst"/>
        <w:tabs>
          <w:tab w:val="left" w:pos="9781"/>
        </w:tabs>
        <w:kinsoku w:val="0"/>
        <w:overflowPunct w:val="0"/>
        <w:ind w:left="851" w:right="142"/>
        <w:rPr>
          <w:sz w:val="24"/>
          <w:szCs w:val="24"/>
        </w:rPr>
      </w:pPr>
    </w:p>
    <w:p w14:paraId="1BA1A80C" w14:textId="77777777" w:rsidR="00A521E5" w:rsidRPr="00F1634B" w:rsidRDefault="00A521E5" w:rsidP="00FB2B0E">
      <w:pPr>
        <w:pStyle w:val="Brdtekst"/>
        <w:tabs>
          <w:tab w:val="left" w:pos="9781"/>
        </w:tabs>
        <w:kinsoku w:val="0"/>
        <w:overflowPunct w:val="0"/>
        <w:ind w:left="851" w:right="142"/>
        <w:rPr>
          <w:sz w:val="24"/>
          <w:szCs w:val="24"/>
        </w:rPr>
      </w:pPr>
      <w:r w:rsidRPr="00F1634B">
        <w:rPr>
          <w:sz w:val="24"/>
          <w:szCs w:val="24"/>
        </w:rPr>
        <w:t>Den primære analyse af PFS inkluderede 187 randomiserede patienter, 125 til cabozantinib og 62 til placebo.</w:t>
      </w:r>
    </w:p>
    <w:p w14:paraId="23B882F8" w14:textId="77777777" w:rsidR="00A521E5" w:rsidRPr="00F1634B" w:rsidRDefault="00A521E5" w:rsidP="00FB2B0E">
      <w:pPr>
        <w:pStyle w:val="Brdtekst"/>
        <w:tabs>
          <w:tab w:val="left" w:pos="9781"/>
        </w:tabs>
        <w:kinsoku w:val="0"/>
        <w:overflowPunct w:val="0"/>
        <w:ind w:left="851" w:right="142"/>
        <w:rPr>
          <w:sz w:val="24"/>
          <w:szCs w:val="24"/>
        </w:rPr>
      </w:pPr>
      <w:r w:rsidRPr="00F1634B">
        <w:rPr>
          <w:i/>
          <w:iCs/>
          <w:sz w:val="24"/>
          <w:szCs w:val="24"/>
        </w:rPr>
        <w:t xml:space="preserve">Baseline </w:t>
      </w:r>
      <w:r w:rsidRPr="00F1634B">
        <w:rPr>
          <w:sz w:val="24"/>
          <w:szCs w:val="24"/>
        </w:rPr>
        <w:t xml:space="preserve">demografi og sygdomskarakteristika var generelt velbalancerede i begge behandlingsgrupper. Medianalderen var 66 år (32-85 år), 51 % var ≥ 65 år, 13 % var ≥ 75 år. Størstedelen af patienterne var kaukasiere (70 %), 18 % af patienterne var asiater og 55 % var kvinder. 55 % havde histologisk bekræftet papillært thyroideakarcinom, 48 % havde histologisk bekræftet follikulær thyroideakarcionom, herunder havde 17 % af patienterne Hürthlecelle thyreoideacancer. Der var tilstedeværelse af metastaser hos 95 % af patienterne: lungerne hos 68 %, lymfeknuderne hos 67 %, knoglerne hos 29 %, pleura hos 18 % og leveren hos 15 %. Fem patienter havde ikke tidligere modtaget RAI grundet manglende egnethed, 63 % havde tidligere modtaget lenvatinib, 60 % havde tidligere modtaget sorafenib og 23 % havde tidligere modtaget både sorafenib og lenvatinib. </w:t>
      </w:r>
      <w:r w:rsidRPr="00F1634B">
        <w:rPr>
          <w:i/>
          <w:iCs/>
          <w:sz w:val="24"/>
          <w:szCs w:val="24"/>
        </w:rPr>
        <w:t xml:space="preserve">Baseline </w:t>
      </w:r>
      <w:r w:rsidRPr="00F1634B">
        <w:rPr>
          <w:sz w:val="24"/>
          <w:szCs w:val="24"/>
        </w:rPr>
        <w:t>ECOG performancestatus var 0 (48 %) eller 1 (52 %).</w:t>
      </w:r>
    </w:p>
    <w:p w14:paraId="788516D1" w14:textId="77777777" w:rsidR="00A521E5" w:rsidRPr="00F1634B" w:rsidRDefault="00A521E5" w:rsidP="00FB2B0E">
      <w:pPr>
        <w:pStyle w:val="Brdtekst"/>
        <w:tabs>
          <w:tab w:val="left" w:pos="9781"/>
        </w:tabs>
        <w:kinsoku w:val="0"/>
        <w:overflowPunct w:val="0"/>
        <w:ind w:left="851" w:right="142"/>
        <w:rPr>
          <w:sz w:val="24"/>
          <w:szCs w:val="24"/>
        </w:rPr>
      </w:pPr>
      <w:r w:rsidRPr="00F1634B">
        <w:rPr>
          <w:sz w:val="24"/>
          <w:szCs w:val="24"/>
        </w:rPr>
        <w:lastRenderedPageBreak/>
        <w:t>Den mediane behandlingsvarighed var 4,4 måneder i cabozantinib-armen og 2,3 måneder i placebo-armen.</w:t>
      </w:r>
    </w:p>
    <w:p w14:paraId="24C94F02" w14:textId="77777777" w:rsidR="00A521E5" w:rsidRPr="00F1634B" w:rsidRDefault="00A521E5" w:rsidP="00FB2B0E">
      <w:pPr>
        <w:pStyle w:val="Brdtekst"/>
        <w:tabs>
          <w:tab w:val="left" w:pos="9781"/>
        </w:tabs>
        <w:kinsoku w:val="0"/>
        <w:overflowPunct w:val="0"/>
        <w:ind w:left="851" w:right="142"/>
        <w:rPr>
          <w:sz w:val="24"/>
          <w:szCs w:val="24"/>
        </w:rPr>
      </w:pPr>
    </w:p>
    <w:p w14:paraId="59E8B599" w14:textId="77777777" w:rsidR="00A521E5" w:rsidRPr="00F1634B" w:rsidRDefault="00A521E5" w:rsidP="00FB2B0E">
      <w:pPr>
        <w:pStyle w:val="Brdtekst"/>
        <w:tabs>
          <w:tab w:val="left" w:pos="9781"/>
        </w:tabs>
        <w:kinsoku w:val="0"/>
        <w:overflowPunct w:val="0"/>
        <w:ind w:left="851" w:right="142"/>
        <w:rPr>
          <w:sz w:val="24"/>
          <w:szCs w:val="24"/>
        </w:rPr>
      </w:pPr>
      <w:r w:rsidRPr="00F1634B">
        <w:rPr>
          <w:sz w:val="24"/>
          <w:szCs w:val="24"/>
        </w:rPr>
        <w:t xml:space="preserve">Resultaterne af den primære analyse (med </w:t>
      </w:r>
      <w:r w:rsidRPr="00F1634B">
        <w:rPr>
          <w:i/>
          <w:iCs/>
          <w:sz w:val="24"/>
          <w:szCs w:val="24"/>
        </w:rPr>
        <w:t>cut-off-</w:t>
      </w:r>
      <w:r w:rsidRPr="00F1634B">
        <w:rPr>
          <w:sz w:val="24"/>
          <w:szCs w:val="24"/>
        </w:rPr>
        <w:t xml:space="preserve">dato19. august 2020 og median opfølgningsperiode på 6,2 måneder for PFS) og den opdaterede analyse (med </w:t>
      </w:r>
      <w:r w:rsidRPr="00F1634B">
        <w:rPr>
          <w:i/>
          <w:iCs/>
          <w:sz w:val="24"/>
          <w:szCs w:val="24"/>
        </w:rPr>
        <w:t>cut-off-</w:t>
      </w:r>
      <w:r w:rsidRPr="00F1634B">
        <w:rPr>
          <w:sz w:val="24"/>
          <w:szCs w:val="24"/>
        </w:rPr>
        <w:t>dato 08. februar 2021 og median opfølgningsperiode på 10,1 måneder for PFS) er vist i tabel 9. Studiet demonstrerede ikke en statistisk</w:t>
      </w:r>
    </w:p>
    <w:p w14:paraId="4F8B9F6C" w14:textId="4934710F" w:rsidR="00A521E5" w:rsidRPr="00F1634B" w:rsidRDefault="00A521E5" w:rsidP="00FB2B0E">
      <w:pPr>
        <w:pStyle w:val="Brdtekst"/>
        <w:tabs>
          <w:tab w:val="left" w:pos="9781"/>
        </w:tabs>
        <w:kinsoku w:val="0"/>
        <w:overflowPunct w:val="0"/>
        <w:ind w:left="851" w:right="142"/>
        <w:rPr>
          <w:sz w:val="24"/>
          <w:szCs w:val="24"/>
        </w:rPr>
      </w:pPr>
      <w:r w:rsidRPr="00F1634B">
        <w:rPr>
          <w:sz w:val="24"/>
          <w:szCs w:val="24"/>
        </w:rPr>
        <w:t xml:space="preserve">signifikant forbedring i ORR for patienter randomiseret til cabozantinib (n = 67) sammenlignet med placebo (n = 33): 15 % </w:t>
      </w:r>
      <w:r w:rsidRPr="00F1634B">
        <w:rPr>
          <w:i/>
          <w:iCs/>
          <w:sz w:val="24"/>
          <w:szCs w:val="24"/>
        </w:rPr>
        <w:t xml:space="preserve">vs. </w:t>
      </w:r>
      <w:r w:rsidRPr="00F1634B">
        <w:rPr>
          <w:sz w:val="24"/>
          <w:szCs w:val="24"/>
        </w:rPr>
        <w:t>0 %. Studiet viste en statistisk signifikant forbedring i PFS (median opfølgningsperiode på 6,2 måneder) for patienter randomiseret til cabozantinib (n = 125) sammenlignet med placebo (n = 62).</w:t>
      </w:r>
    </w:p>
    <w:p w14:paraId="3A6FE134" w14:textId="77777777" w:rsidR="00A521E5" w:rsidRPr="00F1634B" w:rsidRDefault="00A521E5" w:rsidP="00FB2B0E">
      <w:pPr>
        <w:pStyle w:val="Brdtekst"/>
        <w:tabs>
          <w:tab w:val="left" w:pos="9781"/>
        </w:tabs>
        <w:kinsoku w:val="0"/>
        <w:overflowPunct w:val="0"/>
        <w:ind w:left="851" w:right="142"/>
        <w:rPr>
          <w:sz w:val="24"/>
          <w:szCs w:val="24"/>
        </w:rPr>
      </w:pPr>
      <w:r w:rsidRPr="00F1634B">
        <w:rPr>
          <w:sz w:val="24"/>
          <w:szCs w:val="24"/>
        </w:rPr>
        <w:t>Der blev udført en opdateret analyse af PFS og OS (median opfølgningsperiode på 10,1 måneder), der inkluderede 258 randomiserede patienter, 170 til cabozantinib og 88 til placebo.</w:t>
      </w:r>
    </w:p>
    <w:p w14:paraId="711F621A" w14:textId="77777777" w:rsidR="00A521E5" w:rsidRPr="00F1634B" w:rsidRDefault="00A521E5" w:rsidP="00FB2B0E">
      <w:pPr>
        <w:ind w:left="851" w:right="142"/>
        <w:rPr>
          <w:sz w:val="24"/>
          <w:szCs w:val="24"/>
        </w:rPr>
      </w:pPr>
      <w:r w:rsidRPr="00F1634B">
        <w:rPr>
          <w:sz w:val="24"/>
          <w:szCs w:val="24"/>
        </w:rPr>
        <w:t>Analysen af den samlede overlevelse var konfunderet, da studiepersonerne med bekræftet sygdomsprogression, der fik placebo, havde muligheden for at skifte til cabozantinib.</w:t>
      </w:r>
    </w:p>
    <w:p w14:paraId="61853FB1" w14:textId="77777777" w:rsidR="005902E8" w:rsidRDefault="005902E8" w:rsidP="005902E8">
      <w:pPr>
        <w:tabs>
          <w:tab w:val="left" w:pos="851"/>
        </w:tabs>
        <w:ind w:left="851"/>
        <w:rPr>
          <w:sz w:val="24"/>
          <w:szCs w:val="24"/>
        </w:rPr>
      </w:pPr>
    </w:p>
    <w:p w14:paraId="78E2B6F5" w14:textId="77777777" w:rsidR="00725429" w:rsidRPr="00725429" w:rsidRDefault="00725429" w:rsidP="00725429">
      <w:pPr>
        <w:pStyle w:val="Brdtekst"/>
        <w:tabs>
          <w:tab w:val="left" w:pos="9781"/>
        </w:tabs>
        <w:kinsoku w:val="0"/>
        <w:overflowPunct w:val="0"/>
        <w:ind w:left="540" w:right="2861"/>
        <w:rPr>
          <w:b/>
          <w:bCs/>
          <w:sz w:val="24"/>
          <w:szCs w:val="24"/>
        </w:rPr>
      </w:pPr>
      <w:r w:rsidRPr="00725429">
        <w:rPr>
          <w:b/>
          <w:bCs/>
          <w:sz w:val="24"/>
          <w:szCs w:val="24"/>
        </w:rPr>
        <w:t>Tabel 9: Effektresultater fra COSMIC-311</w:t>
      </w:r>
    </w:p>
    <w:tbl>
      <w:tblPr>
        <w:tblW w:w="0" w:type="auto"/>
        <w:tblInd w:w="551" w:type="dxa"/>
        <w:tblLayout w:type="fixed"/>
        <w:tblCellMar>
          <w:left w:w="0" w:type="dxa"/>
          <w:right w:w="0" w:type="dxa"/>
        </w:tblCellMar>
        <w:tblLook w:val="0000" w:firstRow="0" w:lastRow="0" w:firstColumn="0" w:lastColumn="0" w:noHBand="0" w:noVBand="0"/>
      </w:tblPr>
      <w:tblGrid>
        <w:gridCol w:w="2530"/>
        <w:gridCol w:w="1844"/>
        <w:gridCol w:w="1760"/>
        <w:gridCol w:w="1777"/>
        <w:gridCol w:w="1743"/>
      </w:tblGrid>
      <w:tr w:rsidR="00725429" w:rsidRPr="00E8404F" w14:paraId="09430BC5" w14:textId="77777777" w:rsidTr="00725429">
        <w:trPr>
          <w:trHeight w:val="258"/>
        </w:trPr>
        <w:tc>
          <w:tcPr>
            <w:tcW w:w="2530" w:type="dxa"/>
            <w:tcBorders>
              <w:top w:val="single" w:sz="4" w:space="0" w:color="000000"/>
              <w:left w:val="single" w:sz="4" w:space="0" w:color="000000"/>
              <w:bottom w:val="single" w:sz="4" w:space="0" w:color="000000"/>
              <w:right w:val="single" w:sz="4" w:space="0" w:color="000000"/>
            </w:tcBorders>
          </w:tcPr>
          <w:p w14:paraId="2C91D0DD" w14:textId="77777777" w:rsidR="00725429" w:rsidRPr="00E8404F" w:rsidRDefault="00725429" w:rsidP="00725429">
            <w:pPr>
              <w:pStyle w:val="TableParagraph"/>
              <w:tabs>
                <w:tab w:val="left" w:pos="9781"/>
              </w:tabs>
              <w:kinsoku w:val="0"/>
              <w:overflowPunct w:val="0"/>
              <w:spacing w:line="240" w:lineRule="auto"/>
              <w:ind w:left="0"/>
              <w:rPr>
                <w:sz w:val="18"/>
                <w:szCs w:val="18"/>
              </w:rPr>
            </w:pPr>
          </w:p>
        </w:tc>
        <w:tc>
          <w:tcPr>
            <w:tcW w:w="3604" w:type="dxa"/>
            <w:gridSpan w:val="2"/>
            <w:tcBorders>
              <w:top w:val="single" w:sz="4" w:space="0" w:color="000000"/>
              <w:left w:val="single" w:sz="4" w:space="0" w:color="000000"/>
              <w:bottom w:val="single" w:sz="4" w:space="0" w:color="000000"/>
              <w:right w:val="single" w:sz="4" w:space="0" w:color="000000"/>
            </w:tcBorders>
          </w:tcPr>
          <w:p w14:paraId="71066B80" w14:textId="77777777" w:rsidR="00725429" w:rsidRPr="00E8404F" w:rsidRDefault="00725429" w:rsidP="00725429">
            <w:pPr>
              <w:pStyle w:val="TableParagraph"/>
              <w:tabs>
                <w:tab w:val="left" w:pos="9781"/>
              </w:tabs>
              <w:kinsoku w:val="0"/>
              <w:overflowPunct w:val="0"/>
              <w:spacing w:line="240" w:lineRule="auto"/>
              <w:ind w:left="728"/>
              <w:rPr>
                <w:b/>
                <w:bCs/>
                <w:sz w:val="22"/>
                <w:szCs w:val="22"/>
              </w:rPr>
            </w:pPr>
            <w:r w:rsidRPr="00E8404F">
              <w:rPr>
                <w:b/>
                <w:bCs/>
                <w:sz w:val="22"/>
                <w:szCs w:val="22"/>
              </w:rPr>
              <w:t>Primær analyse</w:t>
            </w:r>
            <w:r w:rsidRPr="00E8404F">
              <w:rPr>
                <w:b/>
                <w:bCs/>
                <w:position w:val="8"/>
                <w:sz w:val="14"/>
                <w:szCs w:val="14"/>
              </w:rPr>
              <w:t xml:space="preserve">1 </w:t>
            </w:r>
            <w:r w:rsidRPr="00E8404F">
              <w:rPr>
                <w:b/>
                <w:bCs/>
                <w:sz w:val="22"/>
                <w:szCs w:val="22"/>
              </w:rPr>
              <w:t>(ITT)</w:t>
            </w:r>
          </w:p>
        </w:tc>
        <w:tc>
          <w:tcPr>
            <w:tcW w:w="3520" w:type="dxa"/>
            <w:gridSpan w:val="2"/>
            <w:tcBorders>
              <w:top w:val="single" w:sz="4" w:space="0" w:color="000000"/>
              <w:left w:val="single" w:sz="4" w:space="0" w:color="000000"/>
              <w:bottom w:val="single" w:sz="4" w:space="0" w:color="000000"/>
              <w:right w:val="single" w:sz="4" w:space="0" w:color="000000"/>
            </w:tcBorders>
          </w:tcPr>
          <w:p w14:paraId="1E56F6B4" w14:textId="77777777" w:rsidR="00725429" w:rsidRPr="00E8404F" w:rsidRDefault="00725429" w:rsidP="00725429">
            <w:pPr>
              <w:pStyle w:val="TableParagraph"/>
              <w:tabs>
                <w:tab w:val="left" w:pos="9781"/>
              </w:tabs>
              <w:kinsoku w:val="0"/>
              <w:overflowPunct w:val="0"/>
              <w:spacing w:line="240" w:lineRule="auto"/>
              <w:ind w:left="326"/>
              <w:rPr>
                <w:b/>
                <w:bCs/>
                <w:sz w:val="22"/>
                <w:szCs w:val="22"/>
              </w:rPr>
            </w:pPr>
            <w:r w:rsidRPr="00E8404F">
              <w:rPr>
                <w:b/>
                <w:bCs/>
                <w:sz w:val="22"/>
                <w:szCs w:val="22"/>
              </w:rPr>
              <w:t>Opdateret analyse</w:t>
            </w:r>
            <w:r w:rsidRPr="00E8404F">
              <w:rPr>
                <w:b/>
                <w:bCs/>
                <w:position w:val="8"/>
                <w:sz w:val="14"/>
                <w:szCs w:val="14"/>
              </w:rPr>
              <w:t xml:space="preserve">2 </w:t>
            </w:r>
            <w:r w:rsidRPr="00E8404F">
              <w:rPr>
                <w:b/>
                <w:bCs/>
                <w:sz w:val="22"/>
                <w:szCs w:val="22"/>
              </w:rPr>
              <w:t>(Fuld ITT)</w:t>
            </w:r>
          </w:p>
        </w:tc>
      </w:tr>
      <w:tr w:rsidR="00725429" w:rsidRPr="00E8404F" w14:paraId="13BB52E4" w14:textId="77777777" w:rsidTr="00725429">
        <w:trPr>
          <w:trHeight w:val="520"/>
        </w:trPr>
        <w:tc>
          <w:tcPr>
            <w:tcW w:w="2530" w:type="dxa"/>
            <w:tcBorders>
              <w:top w:val="single" w:sz="4" w:space="0" w:color="000000"/>
              <w:left w:val="single" w:sz="4" w:space="0" w:color="000000"/>
              <w:bottom w:val="single" w:sz="4" w:space="0" w:color="000000"/>
              <w:right w:val="single" w:sz="4" w:space="0" w:color="000000"/>
            </w:tcBorders>
          </w:tcPr>
          <w:p w14:paraId="6C2736C4" w14:textId="77777777" w:rsidR="00725429" w:rsidRPr="00E8404F" w:rsidRDefault="00725429" w:rsidP="00725429">
            <w:pPr>
              <w:pStyle w:val="TableParagraph"/>
              <w:tabs>
                <w:tab w:val="left" w:pos="9781"/>
              </w:tabs>
              <w:kinsoku w:val="0"/>
              <w:overflowPunct w:val="0"/>
              <w:spacing w:line="240" w:lineRule="auto"/>
              <w:ind w:left="0"/>
              <w:rPr>
                <w:sz w:val="20"/>
                <w:szCs w:val="20"/>
              </w:rPr>
            </w:pPr>
          </w:p>
        </w:tc>
        <w:tc>
          <w:tcPr>
            <w:tcW w:w="1844" w:type="dxa"/>
            <w:tcBorders>
              <w:top w:val="single" w:sz="4" w:space="0" w:color="000000"/>
              <w:left w:val="single" w:sz="4" w:space="0" w:color="000000"/>
              <w:bottom w:val="single" w:sz="4" w:space="0" w:color="000000"/>
              <w:right w:val="single" w:sz="4" w:space="0" w:color="000000"/>
            </w:tcBorders>
          </w:tcPr>
          <w:p w14:paraId="376CF1DE" w14:textId="77777777" w:rsidR="00725429" w:rsidRPr="00E8404F" w:rsidRDefault="00725429" w:rsidP="00725429">
            <w:pPr>
              <w:pStyle w:val="TableParagraph"/>
              <w:tabs>
                <w:tab w:val="left" w:pos="9781"/>
              </w:tabs>
              <w:kinsoku w:val="0"/>
              <w:overflowPunct w:val="0"/>
              <w:spacing w:line="240" w:lineRule="auto"/>
              <w:ind w:left="173" w:right="166"/>
              <w:jc w:val="center"/>
              <w:rPr>
                <w:b/>
                <w:bCs/>
                <w:sz w:val="22"/>
                <w:szCs w:val="22"/>
              </w:rPr>
            </w:pPr>
            <w:r w:rsidRPr="00E8404F">
              <w:rPr>
                <w:b/>
                <w:bCs/>
                <w:sz w:val="22"/>
                <w:szCs w:val="22"/>
              </w:rPr>
              <w:t>Cabozantinib</w:t>
            </w:r>
          </w:p>
          <w:p w14:paraId="6987A471" w14:textId="77777777" w:rsidR="00725429" w:rsidRPr="00E8404F" w:rsidRDefault="00725429" w:rsidP="00725429">
            <w:pPr>
              <w:pStyle w:val="TableParagraph"/>
              <w:tabs>
                <w:tab w:val="left" w:pos="9781"/>
              </w:tabs>
              <w:kinsoku w:val="0"/>
              <w:overflowPunct w:val="0"/>
              <w:spacing w:line="240" w:lineRule="auto"/>
              <w:ind w:left="173" w:right="164"/>
              <w:jc w:val="center"/>
              <w:rPr>
                <w:b/>
                <w:bCs/>
                <w:sz w:val="22"/>
                <w:szCs w:val="22"/>
              </w:rPr>
            </w:pPr>
            <w:r w:rsidRPr="00E8404F">
              <w:rPr>
                <w:b/>
                <w:bCs/>
                <w:sz w:val="22"/>
                <w:szCs w:val="22"/>
              </w:rPr>
              <w:t>(n = 125)</w:t>
            </w:r>
          </w:p>
        </w:tc>
        <w:tc>
          <w:tcPr>
            <w:tcW w:w="1760" w:type="dxa"/>
            <w:tcBorders>
              <w:top w:val="single" w:sz="4" w:space="0" w:color="000000"/>
              <w:left w:val="single" w:sz="4" w:space="0" w:color="000000"/>
              <w:bottom w:val="single" w:sz="4" w:space="0" w:color="000000"/>
              <w:right w:val="single" w:sz="4" w:space="0" w:color="000000"/>
            </w:tcBorders>
          </w:tcPr>
          <w:p w14:paraId="13BC783E" w14:textId="77777777" w:rsidR="00725429" w:rsidRPr="00E8404F" w:rsidRDefault="00725429" w:rsidP="00725429">
            <w:pPr>
              <w:pStyle w:val="TableParagraph"/>
              <w:tabs>
                <w:tab w:val="left" w:pos="9781"/>
              </w:tabs>
              <w:kinsoku w:val="0"/>
              <w:overflowPunct w:val="0"/>
              <w:spacing w:line="240" w:lineRule="auto"/>
              <w:ind w:left="514"/>
              <w:rPr>
                <w:b/>
                <w:bCs/>
                <w:sz w:val="22"/>
                <w:szCs w:val="22"/>
              </w:rPr>
            </w:pPr>
            <w:r w:rsidRPr="00E8404F">
              <w:rPr>
                <w:b/>
                <w:bCs/>
                <w:sz w:val="22"/>
                <w:szCs w:val="22"/>
              </w:rPr>
              <w:t>Placebo</w:t>
            </w:r>
          </w:p>
          <w:p w14:paraId="405D994C" w14:textId="77777777" w:rsidR="00725429" w:rsidRPr="00E8404F" w:rsidRDefault="00725429" w:rsidP="00725429">
            <w:pPr>
              <w:pStyle w:val="TableParagraph"/>
              <w:tabs>
                <w:tab w:val="left" w:pos="9781"/>
              </w:tabs>
              <w:kinsoku w:val="0"/>
              <w:overflowPunct w:val="0"/>
              <w:spacing w:line="240" w:lineRule="auto"/>
              <w:ind w:left="519"/>
              <w:rPr>
                <w:b/>
                <w:bCs/>
                <w:sz w:val="22"/>
                <w:szCs w:val="22"/>
              </w:rPr>
            </w:pPr>
            <w:r w:rsidRPr="00E8404F">
              <w:rPr>
                <w:b/>
                <w:bCs/>
                <w:sz w:val="22"/>
                <w:szCs w:val="22"/>
              </w:rPr>
              <w:t>(n = 62)</w:t>
            </w:r>
          </w:p>
        </w:tc>
        <w:tc>
          <w:tcPr>
            <w:tcW w:w="1777" w:type="dxa"/>
            <w:tcBorders>
              <w:top w:val="single" w:sz="4" w:space="0" w:color="000000"/>
              <w:left w:val="single" w:sz="4" w:space="0" w:color="000000"/>
              <w:bottom w:val="single" w:sz="4" w:space="0" w:color="000000"/>
              <w:right w:val="single" w:sz="4" w:space="0" w:color="000000"/>
            </w:tcBorders>
          </w:tcPr>
          <w:p w14:paraId="61CEC9FB" w14:textId="77777777" w:rsidR="00725429" w:rsidRPr="00E8404F" w:rsidRDefault="00725429" w:rsidP="00725429">
            <w:pPr>
              <w:pStyle w:val="TableParagraph"/>
              <w:tabs>
                <w:tab w:val="left" w:pos="9781"/>
              </w:tabs>
              <w:kinsoku w:val="0"/>
              <w:overflowPunct w:val="0"/>
              <w:spacing w:line="240" w:lineRule="auto"/>
              <w:ind w:left="142" w:right="129"/>
              <w:jc w:val="center"/>
              <w:rPr>
                <w:b/>
                <w:bCs/>
                <w:sz w:val="22"/>
                <w:szCs w:val="22"/>
              </w:rPr>
            </w:pPr>
            <w:r w:rsidRPr="00E8404F">
              <w:rPr>
                <w:b/>
                <w:bCs/>
                <w:sz w:val="22"/>
                <w:szCs w:val="22"/>
              </w:rPr>
              <w:t xml:space="preserve">Cabozantinib </w:t>
            </w:r>
          </w:p>
          <w:p w14:paraId="55278610" w14:textId="77777777" w:rsidR="00725429" w:rsidRPr="00E8404F" w:rsidRDefault="00725429" w:rsidP="00725429">
            <w:pPr>
              <w:pStyle w:val="TableParagraph"/>
              <w:tabs>
                <w:tab w:val="left" w:pos="9781"/>
              </w:tabs>
              <w:kinsoku w:val="0"/>
              <w:overflowPunct w:val="0"/>
              <w:spacing w:line="240" w:lineRule="auto"/>
              <w:ind w:left="142" w:right="127"/>
              <w:jc w:val="center"/>
              <w:rPr>
                <w:b/>
                <w:bCs/>
                <w:sz w:val="22"/>
                <w:szCs w:val="22"/>
              </w:rPr>
            </w:pPr>
            <w:r w:rsidRPr="00E8404F">
              <w:rPr>
                <w:b/>
                <w:bCs/>
                <w:sz w:val="22"/>
                <w:szCs w:val="22"/>
              </w:rPr>
              <w:t>(n = 170)</w:t>
            </w:r>
          </w:p>
        </w:tc>
        <w:tc>
          <w:tcPr>
            <w:tcW w:w="1743" w:type="dxa"/>
            <w:tcBorders>
              <w:top w:val="single" w:sz="4" w:space="0" w:color="000000"/>
              <w:left w:val="single" w:sz="4" w:space="0" w:color="000000"/>
              <w:bottom w:val="single" w:sz="4" w:space="0" w:color="000000"/>
              <w:right w:val="single" w:sz="4" w:space="0" w:color="000000"/>
            </w:tcBorders>
          </w:tcPr>
          <w:p w14:paraId="684EF285" w14:textId="77777777" w:rsidR="00725429" w:rsidRPr="00E8404F" w:rsidRDefault="00725429" w:rsidP="00725429">
            <w:pPr>
              <w:pStyle w:val="TableParagraph"/>
              <w:tabs>
                <w:tab w:val="left" w:pos="9781"/>
              </w:tabs>
              <w:kinsoku w:val="0"/>
              <w:overflowPunct w:val="0"/>
              <w:spacing w:line="240" w:lineRule="auto"/>
              <w:ind w:left="505"/>
              <w:rPr>
                <w:b/>
                <w:bCs/>
                <w:sz w:val="22"/>
                <w:szCs w:val="22"/>
              </w:rPr>
            </w:pPr>
            <w:r w:rsidRPr="00E8404F">
              <w:rPr>
                <w:b/>
                <w:bCs/>
                <w:sz w:val="22"/>
                <w:szCs w:val="22"/>
              </w:rPr>
              <w:t>Placebo</w:t>
            </w:r>
          </w:p>
          <w:p w14:paraId="37BAC8EF" w14:textId="77777777" w:rsidR="00725429" w:rsidRPr="00E8404F" w:rsidRDefault="00725429" w:rsidP="00725429">
            <w:pPr>
              <w:pStyle w:val="TableParagraph"/>
              <w:tabs>
                <w:tab w:val="left" w:pos="9781"/>
              </w:tabs>
              <w:kinsoku w:val="0"/>
              <w:overflowPunct w:val="0"/>
              <w:spacing w:line="240" w:lineRule="auto"/>
              <w:ind w:left="510"/>
              <w:rPr>
                <w:b/>
                <w:bCs/>
                <w:sz w:val="22"/>
                <w:szCs w:val="22"/>
              </w:rPr>
            </w:pPr>
            <w:r w:rsidRPr="00E8404F">
              <w:rPr>
                <w:b/>
                <w:bCs/>
                <w:sz w:val="22"/>
                <w:szCs w:val="22"/>
              </w:rPr>
              <w:t>(n = 88)</w:t>
            </w:r>
          </w:p>
        </w:tc>
      </w:tr>
      <w:tr w:rsidR="00725429" w:rsidRPr="00E8404F" w14:paraId="36FF721F" w14:textId="77777777" w:rsidTr="00725429">
        <w:trPr>
          <w:trHeight w:val="520"/>
        </w:trPr>
        <w:tc>
          <w:tcPr>
            <w:tcW w:w="2530" w:type="dxa"/>
            <w:tcBorders>
              <w:top w:val="single" w:sz="4" w:space="0" w:color="000000"/>
              <w:left w:val="single" w:sz="4" w:space="0" w:color="000000"/>
              <w:bottom w:val="single" w:sz="4" w:space="0" w:color="000000"/>
              <w:right w:val="single" w:sz="4" w:space="0" w:color="000000"/>
            </w:tcBorders>
          </w:tcPr>
          <w:p w14:paraId="1467B50B" w14:textId="77777777" w:rsidR="00725429" w:rsidRPr="00E8404F" w:rsidRDefault="00725429" w:rsidP="00725429">
            <w:pPr>
              <w:pStyle w:val="TableParagraph"/>
              <w:tabs>
                <w:tab w:val="left" w:pos="9781"/>
              </w:tabs>
              <w:kinsoku w:val="0"/>
              <w:overflowPunct w:val="0"/>
              <w:spacing w:line="240" w:lineRule="auto"/>
              <w:rPr>
                <w:b/>
                <w:bCs/>
                <w:sz w:val="22"/>
                <w:szCs w:val="22"/>
              </w:rPr>
            </w:pPr>
            <w:r w:rsidRPr="00E8404F">
              <w:rPr>
                <w:b/>
                <w:bCs/>
                <w:sz w:val="22"/>
                <w:szCs w:val="22"/>
              </w:rPr>
              <w:t>Progressionsfri</w:t>
            </w:r>
          </w:p>
          <w:p w14:paraId="69993405" w14:textId="77777777" w:rsidR="00725429" w:rsidRPr="00E8404F" w:rsidRDefault="00725429" w:rsidP="00725429">
            <w:pPr>
              <w:pStyle w:val="TableParagraph"/>
              <w:tabs>
                <w:tab w:val="left" w:pos="9781"/>
              </w:tabs>
              <w:kinsoku w:val="0"/>
              <w:overflowPunct w:val="0"/>
              <w:spacing w:line="240" w:lineRule="auto"/>
              <w:rPr>
                <w:b/>
                <w:bCs/>
                <w:sz w:val="22"/>
                <w:szCs w:val="22"/>
              </w:rPr>
            </w:pPr>
            <w:r w:rsidRPr="00E8404F">
              <w:rPr>
                <w:b/>
                <w:bCs/>
                <w:sz w:val="22"/>
                <w:szCs w:val="22"/>
              </w:rPr>
              <w:t>overlevelse*</w:t>
            </w:r>
          </w:p>
        </w:tc>
        <w:tc>
          <w:tcPr>
            <w:tcW w:w="1844" w:type="dxa"/>
            <w:tcBorders>
              <w:top w:val="single" w:sz="4" w:space="0" w:color="000000"/>
              <w:left w:val="single" w:sz="4" w:space="0" w:color="000000"/>
              <w:bottom w:val="single" w:sz="4" w:space="0" w:color="000000"/>
              <w:right w:val="single" w:sz="4" w:space="0" w:color="000000"/>
            </w:tcBorders>
          </w:tcPr>
          <w:p w14:paraId="356D9988" w14:textId="77777777" w:rsidR="00725429" w:rsidRPr="00E8404F" w:rsidRDefault="00725429" w:rsidP="00725429">
            <w:pPr>
              <w:pStyle w:val="TableParagraph"/>
              <w:tabs>
                <w:tab w:val="left" w:pos="9781"/>
              </w:tabs>
              <w:kinsoku w:val="0"/>
              <w:overflowPunct w:val="0"/>
              <w:spacing w:line="240" w:lineRule="auto"/>
              <w:ind w:left="0"/>
              <w:rPr>
                <w:sz w:val="20"/>
                <w:szCs w:val="20"/>
              </w:rPr>
            </w:pPr>
          </w:p>
        </w:tc>
        <w:tc>
          <w:tcPr>
            <w:tcW w:w="1760" w:type="dxa"/>
            <w:tcBorders>
              <w:top w:val="single" w:sz="4" w:space="0" w:color="000000"/>
              <w:left w:val="single" w:sz="4" w:space="0" w:color="000000"/>
              <w:bottom w:val="single" w:sz="4" w:space="0" w:color="000000"/>
              <w:right w:val="single" w:sz="4" w:space="0" w:color="000000"/>
            </w:tcBorders>
          </w:tcPr>
          <w:p w14:paraId="48A7B798" w14:textId="77777777" w:rsidR="00725429" w:rsidRPr="00E8404F" w:rsidRDefault="00725429" w:rsidP="00725429">
            <w:pPr>
              <w:pStyle w:val="TableParagraph"/>
              <w:tabs>
                <w:tab w:val="left" w:pos="9781"/>
              </w:tabs>
              <w:kinsoku w:val="0"/>
              <w:overflowPunct w:val="0"/>
              <w:spacing w:line="240" w:lineRule="auto"/>
              <w:ind w:left="0"/>
              <w:rPr>
                <w:sz w:val="20"/>
                <w:szCs w:val="20"/>
              </w:rPr>
            </w:pPr>
          </w:p>
        </w:tc>
        <w:tc>
          <w:tcPr>
            <w:tcW w:w="1777" w:type="dxa"/>
            <w:tcBorders>
              <w:top w:val="single" w:sz="4" w:space="0" w:color="000000"/>
              <w:left w:val="single" w:sz="4" w:space="0" w:color="000000"/>
              <w:bottom w:val="single" w:sz="4" w:space="0" w:color="000000"/>
              <w:right w:val="single" w:sz="4" w:space="0" w:color="000000"/>
            </w:tcBorders>
          </w:tcPr>
          <w:p w14:paraId="653B1D1B" w14:textId="77777777" w:rsidR="00725429" w:rsidRPr="00E8404F" w:rsidRDefault="00725429" w:rsidP="00725429">
            <w:pPr>
              <w:pStyle w:val="TableParagraph"/>
              <w:tabs>
                <w:tab w:val="left" w:pos="9781"/>
              </w:tabs>
              <w:kinsoku w:val="0"/>
              <w:overflowPunct w:val="0"/>
              <w:spacing w:line="240" w:lineRule="auto"/>
              <w:ind w:left="0"/>
              <w:rPr>
                <w:sz w:val="20"/>
                <w:szCs w:val="20"/>
              </w:rPr>
            </w:pPr>
          </w:p>
        </w:tc>
        <w:tc>
          <w:tcPr>
            <w:tcW w:w="1743" w:type="dxa"/>
            <w:tcBorders>
              <w:top w:val="single" w:sz="4" w:space="0" w:color="000000"/>
              <w:left w:val="single" w:sz="4" w:space="0" w:color="000000"/>
              <w:bottom w:val="single" w:sz="4" w:space="0" w:color="000000"/>
              <w:right w:val="single" w:sz="4" w:space="0" w:color="000000"/>
            </w:tcBorders>
          </w:tcPr>
          <w:p w14:paraId="27D87B50" w14:textId="77777777" w:rsidR="00725429" w:rsidRPr="00E8404F" w:rsidRDefault="00725429" w:rsidP="00725429">
            <w:pPr>
              <w:pStyle w:val="TableParagraph"/>
              <w:tabs>
                <w:tab w:val="left" w:pos="9781"/>
              </w:tabs>
              <w:kinsoku w:val="0"/>
              <w:overflowPunct w:val="0"/>
              <w:spacing w:line="240" w:lineRule="auto"/>
              <w:ind w:left="0"/>
              <w:rPr>
                <w:sz w:val="20"/>
                <w:szCs w:val="20"/>
              </w:rPr>
            </w:pPr>
          </w:p>
        </w:tc>
      </w:tr>
      <w:tr w:rsidR="00725429" w:rsidRPr="00E8404F" w14:paraId="4744EC4D" w14:textId="77777777" w:rsidTr="00725429">
        <w:trPr>
          <w:trHeight w:val="258"/>
        </w:trPr>
        <w:tc>
          <w:tcPr>
            <w:tcW w:w="2530" w:type="dxa"/>
            <w:tcBorders>
              <w:top w:val="single" w:sz="4" w:space="0" w:color="000000"/>
              <w:left w:val="single" w:sz="4" w:space="0" w:color="000000"/>
              <w:bottom w:val="single" w:sz="4" w:space="0" w:color="000000"/>
              <w:right w:val="single" w:sz="4" w:space="0" w:color="000000"/>
            </w:tcBorders>
          </w:tcPr>
          <w:p w14:paraId="00C9E2BC" w14:textId="77777777" w:rsidR="00725429" w:rsidRPr="00E8404F" w:rsidRDefault="00725429" w:rsidP="00725429">
            <w:pPr>
              <w:pStyle w:val="TableParagraph"/>
              <w:tabs>
                <w:tab w:val="left" w:pos="9781"/>
              </w:tabs>
              <w:kinsoku w:val="0"/>
              <w:overflowPunct w:val="0"/>
              <w:spacing w:line="240" w:lineRule="auto"/>
              <w:rPr>
                <w:sz w:val="22"/>
                <w:szCs w:val="22"/>
              </w:rPr>
            </w:pPr>
            <w:r w:rsidRPr="00E8404F">
              <w:rPr>
                <w:sz w:val="22"/>
                <w:szCs w:val="22"/>
              </w:rPr>
              <w:t>Antal hændelser, (%)</w:t>
            </w:r>
          </w:p>
        </w:tc>
        <w:tc>
          <w:tcPr>
            <w:tcW w:w="1844" w:type="dxa"/>
            <w:tcBorders>
              <w:top w:val="single" w:sz="4" w:space="0" w:color="000000"/>
              <w:left w:val="single" w:sz="4" w:space="0" w:color="000000"/>
              <w:bottom w:val="single" w:sz="4" w:space="0" w:color="000000"/>
              <w:right w:val="single" w:sz="4" w:space="0" w:color="000000"/>
            </w:tcBorders>
          </w:tcPr>
          <w:p w14:paraId="5C0C071C" w14:textId="77777777" w:rsidR="00725429" w:rsidRPr="00E8404F" w:rsidRDefault="00725429" w:rsidP="00725429">
            <w:pPr>
              <w:pStyle w:val="TableParagraph"/>
              <w:tabs>
                <w:tab w:val="left" w:pos="9781"/>
              </w:tabs>
              <w:kinsoku w:val="0"/>
              <w:overflowPunct w:val="0"/>
              <w:spacing w:line="240" w:lineRule="auto"/>
              <w:ind w:left="173" w:right="164"/>
              <w:jc w:val="center"/>
              <w:rPr>
                <w:sz w:val="22"/>
                <w:szCs w:val="22"/>
              </w:rPr>
            </w:pPr>
            <w:r w:rsidRPr="00E8404F">
              <w:rPr>
                <w:sz w:val="22"/>
                <w:szCs w:val="22"/>
              </w:rPr>
              <w:t>31 (25)</w:t>
            </w:r>
          </w:p>
        </w:tc>
        <w:tc>
          <w:tcPr>
            <w:tcW w:w="1760" w:type="dxa"/>
            <w:tcBorders>
              <w:top w:val="single" w:sz="4" w:space="0" w:color="000000"/>
              <w:left w:val="single" w:sz="4" w:space="0" w:color="000000"/>
              <w:bottom w:val="single" w:sz="4" w:space="0" w:color="000000"/>
              <w:right w:val="single" w:sz="4" w:space="0" w:color="000000"/>
            </w:tcBorders>
          </w:tcPr>
          <w:p w14:paraId="54799B95" w14:textId="77777777" w:rsidR="00725429" w:rsidRPr="00E8404F" w:rsidRDefault="00725429" w:rsidP="00725429">
            <w:pPr>
              <w:pStyle w:val="TableParagraph"/>
              <w:tabs>
                <w:tab w:val="left" w:pos="9781"/>
              </w:tabs>
              <w:kinsoku w:val="0"/>
              <w:overflowPunct w:val="0"/>
              <w:spacing w:line="240" w:lineRule="auto"/>
              <w:ind w:left="287" w:right="277"/>
              <w:jc w:val="center"/>
              <w:rPr>
                <w:sz w:val="22"/>
                <w:szCs w:val="22"/>
              </w:rPr>
            </w:pPr>
            <w:r w:rsidRPr="00E8404F">
              <w:rPr>
                <w:sz w:val="22"/>
                <w:szCs w:val="22"/>
              </w:rPr>
              <w:t>43 (69)</w:t>
            </w:r>
          </w:p>
        </w:tc>
        <w:tc>
          <w:tcPr>
            <w:tcW w:w="1777" w:type="dxa"/>
            <w:tcBorders>
              <w:top w:val="single" w:sz="4" w:space="0" w:color="000000"/>
              <w:left w:val="single" w:sz="4" w:space="0" w:color="000000"/>
              <w:bottom w:val="single" w:sz="4" w:space="0" w:color="000000"/>
              <w:right w:val="single" w:sz="4" w:space="0" w:color="000000"/>
            </w:tcBorders>
          </w:tcPr>
          <w:p w14:paraId="58528356" w14:textId="77777777" w:rsidR="00725429" w:rsidRPr="00E8404F" w:rsidRDefault="00725429" w:rsidP="00725429">
            <w:pPr>
              <w:pStyle w:val="TableParagraph"/>
              <w:tabs>
                <w:tab w:val="left" w:pos="9781"/>
              </w:tabs>
              <w:kinsoku w:val="0"/>
              <w:overflowPunct w:val="0"/>
              <w:spacing w:line="240" w:lineRule="auto"/>
              <w:ind w:left="142" w:right="127"/>
              <w:jc w:val="center"/>
              <w:rPr>
                <w:sz w:val="22"/>
                <w:szCs w:val="22"/>
              </w:rPr>
            </w:pPr>
            <w:r w:rsidRPr="00E8404F">
              <w:rPr>
                <w:sz w:val="22"/>
                <w:szCs w:val="22"/>
              </w:rPr>
              <w:t>62 (36)</w:t>
            </w:r>
          </w:p>
        </w:tc>
        <w:tc>
          <w:tcPr>
            <w:tcW w:w="1743" w:type="dxa"/>
            <w:tcBorders>
              <w:top w:val="single" w:sz="4" w:space="0" w:color="000000"/>
              <w:left w:val="single" w:sz="4" w:space="0" w:color="000000"/>
              <w:bottom w:val="single" w:sz="4" w:space="0" w:color="000000"/>
              <w:right w:val="single" w:sz="4" w:space="0" w:color="000000"/>
            </w:tcBorders>
          </w:tcPr>
          <w:p w14:paraId="70855CC5" w14:textId="77777777" w:rsidR="00725429" w:rsidRPr="00E8404F" w:rsidRDefault="00725429" w:rsidP="00725429">
            <w:pPr>
              <w:pStyle w:val="TableParagraph"/>
              <w:tabs>
                <w:tab w:val="left" w:pos="9781"/>
              </w:tabs>
              <w:kinsoku w:val="0"/>
              <w:overflowPunct w:val="0"/>
              <w:spacing w:line="240" w:lineRule="auto"/>
              <w:ind w:left="278" w:right="269"/>
              <w:jc w:val="center"/>
              <w:rPr>
                <w:sz w:val="22"/>
                <w:szCs w:val="22"/>
              </w:rPr>
            </w:pPr>
            <w:r w:rsidRPr="00E8404F">
              <w:rPr>
                <w:sz w:val="22"/>
                <w:szCs w:val="22"/>
              </w:rPr>
              <w:t>69 (78)</w:t>
            </w:r>
          </w:p>
        </w:tc>
      </w:tr>
      <w:tr w:rsidR="00725429" w:rsidRPr="00E8404F" w14:paraId="237FD8EA" w14:textId="77777777" w:rsidTr="00725429">
        <w:trPr>
          <w:trHeight w:val="261"/>
        </w:trPr>
        <w:tc>
          <w:tcPr>
            <w:tcW w:w="2530" w:type="dxa"/>
            <w:tcBorders>
              <w:top w:val="single" w:sz="4" w:space="0" w:color="000000"/>
              <w:left w:val="single" w:sz="4" w:space="0" w:color="000000"/>
              <w:bottom w:val="single" w:sz="4" w:space="0" w:color="000000"/>
              <w:right w:val="single" w:sz="4" w:space="0" w:color="000000"/>
            </w:tcBorders>
          </w:tcPr>
          <w:p w14:paraId="3A2A0DD4" w14:textId="77777777" w:rsidR="00725429" w:rsidRPr="00E8404F" w:rsidRDefault="00725429" w:rsidP="00725429">
            <w:pPr>
              <w:pStyle w:val="TableParagraph"/>
              <w:tabs>
                <w:tab w:val="left" w:pos="9781"/>
              </w:tabs>
              <w:kinsoku w:val="0"/>
              <w:overflowPunct w:val="0"/>
              <w:spacing w:line="240" w:lineRule="auto"/>
              <w:ind w:left="390"/>
              <w:rPr>
                <w:sz w:val="22"/>
                <w:szCs w:val="22"/>
              </w:rPr>
            </w:pPr>
            <w:r w:rsidRPr="00E8404F">
              <w:rPr>
                <w:sz w:val="22"/>
                <w:szCs w:val="22"/>
              </w:rPr>
              <w:t>Progressiv sygdom</w:t>
            </w:r>
          </w:p>
        </w:tc>
        <w:tc>
          <w:tcPr>
            <w:tcW w:w="1844" w:type="dxa"/>
            <w:tcBorders>
              <w:top w:val="single" w:sz="4" w:space="0" w:color="000000"/>
              <w:left w:val="single" w:sz="4" w:space="0" w:color="000000"/>
              <w:bottom w:val="single" w:sz="4" w:space="0" w:color="000000"/>
              <w:right w:val="single" w:sz="4" w:space="0" w:color="000000"/>
            </w:tcBorders>
          </w:tcPr>
          <w:p w14:paraId="7A615F45" w14:textId="77777777" w:rsidR="00725429" w:rsidRPr="00E8404F" w:rsidRDefault="00725429" w:rsidP="00725429">
            <w:pPr>
              <w:pStyle w:val="TableParagraph"/>
              <w:tabs>
                <w:tab w:val="left" w:pos="9781"/>
              </w:tabs>
              <w:kinsoku w:val="0"/>
              <w:overflowPunct w:val="0"/>
              <w:spacing w:line="240" w:lineRule="auto"/>
              <w:ind w:left="173" w:right="164"/>
              <w:jc w:val="center"/>
              <w:rPr>
                <w:sz w:val="22"/>
                <w:szCs w:val="22"/>
              </w:rPr>
            </w:pPr>
            <w:r w:rsidRPr="00E8404F">
              <w:rPr>
                <w:sz w:val="22"/>
                <w:szCs w:val="22"/>
              </w:rPr>
              <w:t>25 (20)</w:t>
            </w:r>
          </w:p>
        </w:tc>
        <w:tc>
          <w:tcPr>
            <w:tcW w:w="1760" w:type="dxa"/>
            <w:tcBorders>
              <w:top w:val="single" w:sz="4" w:space="0" w:color="000000"/>
              <w:left w:val="single" w:sz="4" w:space="0" w:color="000000"/>
              <w:bottom w:val="single" w:sz="4" w:space="0" w:color="000000"/>
              <w:right w:val="single" w:sz="4" w:space="0" w:color="000000"/>
            </w:tcBorders>
          </w:tcPr>
          <w:p w14:paraId="0490D16E" w14:textId="77777777" w:rsidR="00725429" w:rsidRPr="00E8404F" w:rsidRDefault="00725429" w:rsidP="00725429">
            <w:pPr>
              <w:pStyle w:val="TableParagraph"/>
              <w:tabs>
                <w:tab w:val="left" w:pos="9781"/>
              </w:tabs>
              <w:kinsoku w:val="0"/>
              <w:overflowPunct w:val="0"/>
              <w:spacing w:line="240" w:lineRule="auto"/>
              <w:ind w:left="287" w:right="277"/>
              <w:jc w:val="center"/>
              <w:rPr>
                <w:sz w:val="22"/>
                <w:szCs w:val="22"/>
              </w:rPr>
            </w:pPr>
            <w:r w:rsidRPr="00E8404F">
              <w:rPr>
                <w:sz w:val="22"/>
                <w:szCs w:val="22"/>
              </w:rPr>
              <w:t>41 (66)</w:t>
            </w:r>
          </w:p>
        </w:tc>
        <w:tc>
          <w:tcPr>
            <w:tcW w:w="1777" w:type="dxa"/>
            <w:tcBorders>
              <w:top w:val="single" w:sz="4" w:space="0" w:color="000000"/>
              <w:left w:val="single" w:sz="4" w:space="0" w:color="000000"/>
              <w:bottom w:val="single" w:sz="4" w:space="0" w:color="000000"/>
              <w:right w:val="single" w:sz="4" w:space="0" w:color="000000"/>
            </w:tcBorders>
          </w:tcPr>
          <w:p w14:paraId="42BF2A13" w14:textId="77777777" w:rsidR="00725429" w:rsidRPr="00E8404F" w:rsidRDefault="00725429" w:rsidP="00725429">
            <w:pPr>
              <w:pStyle w:val="TableParagraph"/>
              <w:tabs>
                <w:tab w:val="left" w:pos="9781"/>
              </w:tabs>
              <w:kinsoku w:val="0"/>
              <w:overflowPunct w:val="0"/>
              <w:spacing w:line="240" w:lineRule="auto"/>
              <w:ind w:left="142" w:right="127"/>
              <w:jc w:val="center"/>
              <w:rPr>
                <w:sz w:val="22"/>
                <w:szCs w:val="22"/>
              </w:rPr>
            </w:pPr>
            <w:r w:rsidRPr="00E8404F">
              <w:rPr>
                <w:sz w:val="22"/>
                <w:szCs w:val="22"/>
              </w:rPr>
              <w:t>50 (29)</w:t>
            </w:r>
          </w:p>
        </w:tc>
        <w:tc>
          <w:tcPr>
            <w:tcW w:w="1743" w:type="dxa"/>
            <w:tcBorders>
              <w:top w:val="single" w:sz="4" w:space="0" w:color="000000"/>
              <w:left w:val="single" w:sz="4" w:space="0" w:color="000000"/>
              <w:bottom w:val="single" w:sz="4" w:space="0" w:color="000000"/>
              <w:right w:val="single" w:sz="4" w:space="0" w:color="000000"/>
            </w:tcBorders>
          </w:tcPr>
          <w:p w14:paraId="3ABDEED3" w14:textId="77777777" w:rsidR="00725429" w:rsidRPr="00E8404F" w:rsidRDefault="00725429" w:rsidP="00725429">
            <w:pPr>
              <w:pStyle w:val="TableParagraph"/>
              <w:tabs>
                <w:tab w:val="left" w:pos="9781"/>
              </w:tabs>
              <w:kinsoku w:val="0"/>
              <w:overflowPunct w:val="0"/>
              <w:spacing w:line="240" w:lineRule="auto"/>
              <w:ind w:left="278" w:right="269"/>
              <w:jc w:val="center"/>
              <w:rPr>
                <w:sz w:val="22"/>
                <w:szCs w:val="22"/>
              </w:rPr>
            </w:pPr>
            <w:r w:rsidRPr="00E8404F">
              <w:rPr>
                <w:sz w:val="22"/>
                <w:szCs w:val="22"/>
              </w:rPr>
              <w:t>65 (74)</w:t>
            </w:r>
          </w:p>
        </w:tc>
      </w:tr>
      <w:tr w:rsidR="00725429" w:rsidRPr="00E8404F" w14:paraId="5EC84029" w14:textId="77777777" w:rsidTr="00725429">
        <w:trPr>
          <w:trHeight w:val="258"/>
        </w:trPr>
        <w:tc>
          <w:tcPr>
            <w:tcW w:w="2530" w:type="dxa"/>
            <w:tcBorders>
              <w:top w:val="single" w:sz="4" w:space="0" w:color="000000"/>
              <w:left w:val="single" w:sz="4" w:space="0" w:color="000000"/>
              <w:bottom w:val="single" w:sz="4" w:space="0" w:color="000000"/>
              <w:right w:val="single" w:sz="4" w:space="0" w:color="000000"/>
            </w:tcBorders>
          </w:tcPr>
          <w:p w14:paraId="7AB14EB0" w14:textId="77777777" w:rsidR="00725429" w:rsidRPr="00E8404F" w:rsidRDefault="00725429" w:rsidP="00725429">
            <w:pPr>
              <w:pStyle w:val="TableParagraph"/>
              <w:tabs>
                <w:tab w:val="left" w:pos="9781"/>
              </w:tabs>
              <w:kinsoku w:val="0"/>
              <w:overflowPunct w:val="0"/>
              <w:spacing w:line="240" w:lineRule="auto"/>
              <w:ind w:left="390"/>
              <w:rPr>
                <w:sz w:val="22"/>
                <w:szCs w:val="22"/>
              </w:rPr>
            </w:pPr>
            <w:r w:rsidRPr="00E8404F">
              <w:rPr>
                <w:sz w:val="22"/>
                <w:szCs w:val="22"/>
              </w:rPr>
              <w:t>Død</w:t>
            </w:r>
          </w:p>
        </w:tc>
        <w:tc>
          <w:tcPr>
            <w:tcW w:w="1844" w:type="dxa"/>
            <w:tcBorders>
              <w:top w:val="single" w:sz="4" w:space="0" w:color="000000"/>
              <w:left w:val="single" w:sz="4" w:space="0" w:color="000000"/>
              <w:bottom w:val="single" w:sz="4" w:space="0" w:color="000000"/>
              <w:right w:val="single" w:sz="4" w:space="0" w:color="000000"/>
            </w:tcBorders>
          </w:tcPr>
          <w:p w14:paraId="7F24B34A" w14:textId="77777777" w:rsidR="00725429" w:rsidRPr="00E8404F" w:rsidRDefault="00725429" w:rsidP="00725429">
            <w:pPr>
              <w:pStyle w:val="TableParagraph"/>
              <w:tabs>
                <w:tab w:val="left" w:pos="9781"/>
              </w:tabs>
              <w:kinsoku w:val="0"/>
              <w:overflowPunct w:val="0"/>
              <w:spacing w:line="240" w:lineRule="auto"/>
              <w:ind w:left="173" w:right="166"/>
              <w:jc w:val="center"/>
              <w:rPr>
                <w:sz w:val="22"/>
                <w:szCs w:val="22"/>
              </w:rPr>
            </w:pPr>
            <w:r w:rsidRPr="00E8404F">
              <w:rPr>
                <w:sz w:val="22"/>
                <w:szCs w:val="22"/>
              </w:rPr>
              <w:t>6 (4,8)</w:t>
            </w:r>
          </w:p>
        </w:tc>
        <w:tc>
          <w:tcPr>
            <w:tcW w:w="1760" w:type="dxa"/>
            <w:tcBorders>
              <w:top w:val="single" w:sz="4" w:space="0" w:color="000000"/>
              <w:left w:val="single" w:sz="4" w:space="0" w:color="000000"/>
              <w:bottom w:val="single" w:sz="4" w:space="0" w:color="000000"/>
              <w:right w:val="single" w:sz="4" w:space="0" w:color="000000"/>
            </w:tcBorders>
          </w:tcPr>
          <w:p w14:paraId="3DFF19BD" w14:textId="77777777" w:rsidR="00725429" w:rsidRPr="00E8404F" w:rsidRDefault="00725429" w:rsidP="00725429">
            <w:pPr>
              <w:pStyle w:val="TableParagraph"/>
              <w:tabs>
                <w:tab w:val="left" w:pos="9781"/>
              </w:tabs>
              <w:kinsoku w:val="0"/>
              <w:overflowPunct w:val="0"/>
              <w:spacing w:line="240" w:lineRule="auto"/>
              <w:ind w:left="289" w:right="277"/>
              <w:jc w:val="center"/>
              <w:rPr>
                <w:sz w:val="22"/>
                <w:szCs w:val="22"/>
              </w:rPr>
            </w:pPr>
            <w:r w:rsidRPr="00E8404F">
              <w:rPr>
                <w:sz w:val="22"/>
                <w:szCs w:val="22"/>
              </w:rPr>
              <w:t>2 (3,2)</w:t>
            </w:r>
          </w:p>
        </w:tc>
        <w:tc>
          <w:tcPr>
            <w:tcW w:w="1777" w:type="dxa"/>
            <w:tcBorders>
              <w:top w:val="single" w:sz="4" w:space="0" w:color="000000"/>
              <w:left w:val="single" w:sz="4" w:space="0" w:color="000000"/>
              <w:bottom w:val="single" w:sz="4" w:space="0" w:color="000000"/>
              <w:right w:val="single" w:sz="4" w:space="0" w:color="000000"/>
            </w:tcBorders>
          </w:tcPr>
          <w:p w14:paraId="7E8B4B3D" w14:textId="77777777" w:rsidR="00725429" w:rsidRPr="00E8404F" w:rsidRDefault="00725429" w:rsidP="00725429">
            <w:pPr>
              <w:pStyle w:val="TableParagraph"/>
              <w:tabs>
                <w:tab w:val="left" w:pos="9781"/>
              </w:tabs>
              <w:kinsoku w:val="0"/>
              <w:overflowPunct w:val="0"/>
              <w:spacing w:line="240" w:lineRule="auto"/>
              <w:ind w:left="142" w:right="129"/>
              <w:jc w:val="center"/>
              <w:rPr>
                <w:sz w:val="22"/>
                <w:szCs w:val="22"/>
              </w:rPr>
            </w:pPr>
            <w:r w:rsidRPr="00E8404F">
              <w:rPr>
                <w:sz w:val="22"/>
                <w:szCs w:val="22"/>
              </w:rPr>
              <w:t>12 (7,1)</w:t>
            </w:r>
          </w:p>
        </w:tc>
        <w:tc>
          <w:tcPr>
            <w:tcW w:w="1743" w:type="dxa"/>
            <w:tcBorders>
              <w:top w:val="single" w:sz="4" w:space="0" w:color="000000"/>
              <w:left w:val="single" w:sz="4" w:space="0" w:color="000000"/>
              <w:bottom w:val="single" w:sz="4" w:space="0" w:color="000000"/>
              <w:right w:val="single" w:sz="4" w:space="0" w:color="000000"/>
            </w:tcBorders>
          </w:tcPr>
          <w:p w14:paraId="40D24C5C" w14:textId="77777777" w:rsidR="00725429" w:rsidRPr="00E8404F" w:rsidRDefault="00725429" w:rsidP="00725429">
            <w:pPr>
              <w:pStyle w:val="TableParagraph"/>
              <w:tabs>
                <w:tab w:val="left" w:pos="9781"/>
              </w:tabs>
              <w:kinsoku w:val="0"/>
              <w:overflowPunct w:val="0"/>
              <w:spacing w:line="240" w:lineRule="auto"/>
              <w:ind w:left="280" w:right="269"/>
              <w:jc w:val="center"/>
              <w:rPr>
                <w:sz w:val="22"/>
                <w:szCs w:val="22"/>
              </w:rPr>
            </w:pPr>
            <w:r w:rsidRPr="00E8404F">
              <w:rPr>
                <w:sz w:val="22"/>
                <w:szCs w:val="22"/>
              </w:rPr>
              <w:t>4 (4,5)</w:t>
            </w:r>
          </w:p>
        </w:tc>
      </w:tr>
      <w:tr w:rsidR="00725429" w:rsidRPr="00E8404F" w14:paraId="278FA7A5" w14:textId="77777777" w:rsidTr="00725429">
        <w:trPr>
          <w:trHeight w:val="520"/>
        </w:trPr>
        <w:tc>
          <w:tcPr>
            <w:tcW w:w="2530" w:type="dxa"/>
            <w:tcBorders>
              <w:top w:val="single" w:sz="4" w:space="0" w:color="000000"/>
              <w:left w:val="single" w:sz="4" w:space="0" w:color="000000"/>
              <w:bottom w:val="single" w:sz="4" w:space="0" w:color="000000"/>
              <w:right w:val="single" w:sz="4" w:space="0" w:color="000000"/>
            </w:tcBorders>
          </w:tcPr>
          <w:p w14:paraId="43523D76" w14:textId="77777777" w:rsidR="00725429" w:rsidRPr="00E8404F" w:rsidRDefault="00725429" w:rsidP="00725429">
            <w:pPr>
              <w:pStyle w:val="TableParagraph"/>
              <w:tabs>
                <w:tab w:val="left" w:pos="9781"/>
              </w:tabs>
              <w:kinsoku w:val="0"/>
              <w:overflowPunct w:val="0"/>
              <w:spacing w:line="240" w:lineRule="auto"/>
              <w:ind w:right="370"/>
              <w:rPr>
                <w:sz w:val="22"/>
                <w:szCs w:val="22"/>
              </w:rPr>
            </w:pPr>
            <w:r w:rsidRPr="00E8404F">
              <w:rPr>
                <w:sz w:val="22"/>
                <w:szCs w:val="22"/>
              </w:rPr>
              <w:t>Median PFS i måneder (96 % CI)</w:t>
            </w:r>
          </w:p>
        </w:tc>
        <w:tc>
          <w:tcPr>
            <w:tcW w:w="1844" w:type="dxa"/>
            <w:tcBorders>
              <w:top w:val="single" w:sz="4" w:space="0" w:color="000000"/>
              <w:left w:val="single" w:sz="4" w:space="0" w:color="000000"/>
              <w:bottom w:val="single" w:sz="4" w:space="0" w:color="000000"/>
              <w:right w:val="single" w:sz="4" w:space="0" w:color="000000"/>
            </w:tcBorders>
          </w:tcPr>
          <w:p w14:paraId="450CA62B" w14:textId="77777777" w:rsidR="00725429" w:rsidRPr="00E8404F" w:rsidRDefault="00725429" w:rsidP="00725429">
            <w:pPr>
              <w:pStyle w:val="TableParagraph"/>
              <w:tabs>
                <w:tab w:val="left" w:pos="9781"/>
              </w:tabs>
              <w:kinsoku w:val="0"/>
              <w:overflowPunct w:val="0"/>
              <w:spacing w:line="240" w:lineRule="auto"/>
              <w:ind w:left="173" w:right="164"/>
              <w:jc w:val="center"/>
              <w:rPr>
                <w:sz w:val="22"/>
                <w:szCs w:val="22"/>
              </w:rPr>
            </w:pPr>
            <w:r w:rsidRPr="00E8404F">
              <w:rPr>
                <w:sz w:val="22"/>
                <w:szCs w:val="22"/>
              </w:rPr>
              <w:t>NE (5,7; NE)</w:t>
            </w:r>
          </w:p>
        </w:tc>
        <w:tc>
          <w:tcPr>
            <w:tcW w:w="1760" w:type="dxa"/>
            <w:tcBorders>
              <w:top w:val="single" w:sz="4" w:space="0" w:color="000000"/>
              <w:left w:val="single" w:sz="4" w:space="0" w:color="000000"/>
              <w:bottom w:val="single" w:sz="4" w:space="0" w:color="000000"/>
              <w:right w:val="single" w:sz="4" w:space="0" w:color="000000"/>
            </w:tcBorders>
          </w:tcPr>
          <w:p w14:paraId="114F9258" w14:textId="77777777" w:rsidR="00725429" w:rsidRPr="00E8404F" w:rsidRDefault="00725429" w:rsidP="00725429">
            <w:pPr>
              <w:pStyle w:val="TableParagraph"/>
              <w:tabs>
                <w:tab w:val="left" w:pos="9781"/>
              </w:tabs>
              <w:kinsoku w:val="0"/>
              <w:overflowPunct w:val="0"/>
              <w:spacing w:line="240" w:lineRule="auto"/>
              <w:ind w:left="289" w:right="277"/>
              <w:jc w:val="center"/>
              <w:rPr>
                <w:sz w:val="22"/>
                <w:szCs w:val="22"/>
              </w:rPr>
            </w:pPr>
            <w:r w:rsidRPr="00E8404F">
              <w:rPr>
                <w:sz w:val="22"/>
                <w:szCs w:val="22"/>
              </w:rPr>
              <w:t>1,9 (1,8; 3,6)</w:t>
            </w:r>
          </w:p>
        </w:tc>
        <w:tc>
          <w:tcPr>
            <w:tcW w:w="1777" w:type="dxa"/>
            <w:tcBorders>
              <w:top w:val="single" w:sz="4" w:space="0" w:color="000000"/>
              <w:left w:val="single" w:sz="4" w:space="0" w:color="000000"/>
              <w:bottom w:val="single" w:sz="4" w:space="0" w:color="000000"/>
              <w:right w:val="single" w:sz="4" w:space="0" w:color="000000"/>
            </w:tcBorders>
          </w:tcPr>
          <w:p w14:paraId="34AE01D3" w14:textId="77777777" w:rsidR="00725429" w:rsidRPr="00E8404F" w:rsidRDefault="00725429" w:rsidP="00725429">
            <w:pPr>
              <w:pStyle w:val="TableParagraph"/>
              <w:tabs>
                <w:tab w:val="left" w:pos="9781"/>
              </w:tabs>
              <w:kinsoku w:val="0"/>
              <w:overflowPunct w:val="0"/>
              <w:spacing w:line="240" w:lineRule="auto"/>
              <w:ind w:left="142" w:right="127"/>
              <w:jc w:val="center"/>
              <w:rPr>
                <w:sz w:val="22"/>
                <w:szCs w:val="22"/>
              </w:rPr>
            </w:pPr>
            <w:r w:rsidRPr="00E8404F">
              <w:rPr>
                <w:sz w:val="22"/>
                <w:szCs w:val="22"/>
              </w:rPr>
              <w:t>11,0 (7,4; 13,8)</w:t>
            </w:r>
          </w:p>
        </w:tc>
        <w:tc>
          <w:tcPr>
            <w:tcW w:w="1743" w:type="dxa"/>
            <w:tcBorders>
              <w:top w:val="single" w:sz="4" w:space="0" w:color="000000"/>
              <w:left w:val="single" w:sz="4" w:space="0" w:color="000000"/>
              <w:bottom w:val="single" w:sz="4" w:space="0" w:color="000000"/>
              <w:right w:val="single" w:sz="4" w:space="0" w:color="000000"/>
            </w:tcBorders>
          </w:tcPr>
          <w:p w14:paraId="1288DCEA" w14:textId="77777777" w:rsidR="00725429" w:rsidRPr="00E8404F" w:rsidRDefault="00725429" w:rsidP="00725429">
            <w:pPr>
              <w:pStyle w:val="TableParagraph"/>
              <w:tabs>
                <w:tab w:val="left" w:pos="9781"/>
              </w:tabs>
              <w:kinsoku w:val="0"/>
              <w:overflowPunct w:val="0"/>
              <w:spacing w:line="240" w:lineRule="auto"/>
              <w:ind w:left="280" w:right="269"/>
              <w:jc w:val="center"/>
              <w:rPr>
                <w:sz w:val="22"/>
                <w:szCs w:val="22"/>
              </w:rPr>
            </w:pPr>
            <w:r w:rsidRPr="00E8404F">
              <w:rPr>
                <w:sz w:val="22"/>
                <w:szCs w:val="22"/>
              </w:rPr>
              <w:t>1,9 (1,9; 3,7)</w:t>
            </w:r>
          </w:p>
        </w:tc>
      </w:tr>
      <w:tr w:rsidR="00725429" w:rsidRPr="00E8404F" w14:paraId="1C020265" w14:textId="77777777" w:rsidTr="00725429">
        <w:trPr>
          <w:trHeight w:val="258"/>
        </w:trPr>
        <w:tc>
          <w:tcPr>
            <w:tcW w:w="2530" w:type="dxa"/>
            <w:tcBorders>
              <w:top w:val="single" w:sz="4" w:space="0" w:color="000000"/>
              <w:left w:val="single" w:sz="4" w:space="0" w:color="000000"/>
              <w:bottom w:val="single" w:sz="4" w:space="0" w:color="000000"/>
              <w:right w:val="single" w:sz="4" w:space="0" w:color="000000"/>
            </w:tcBorders>
          </w:tcPr>
          <w:p w14:paraId="4D1F25FB" w14:textId="77777777" w:rsidR="00725429" w:rsidRPr="00E8404F" w:rsidRDefault="00725429" w:rsidP="00725429">
            <w:pPr>
              <w:pStyle w:val="TableParagraph"/>
              <w:tabs>
                <w:tab w:val="left" w:pos="9781"/>
              </w:tabs>
              <w:kinsoku w:val="0"/>
              <w:overflowPunct w:val="0"/>
              <w:spacing w:line="240" w:lineRule="auto"/>
              <w:rPr>
                <w:position w:val="8"/>
                <w:sz w:val="14"/>
                <w:szCs w:val="14"/>
              </w:rPr>
            </w:pPr>
            <w:r w:rsidRPr="00E8404F">
              <w:rPr>
                <w:i/>
                <w:iCs/>
                <w:sz w:val="22"/>
                <w:szCs w:val="22"/>
              </w:rPr>
              <w:t xml:space="preserve">Hazard ratio </w:t>
            </w:r>
            <w:r w:rsidRPr="00E8404F">
              <w:rPr>
                <w:sz w:val="22"/>
                <w:szCs w:val="22"/>
              </w:rPr>
              <w:t>(96 % CI)</w:t>
            </w:r>
            <w:r w:rsidRPr="00E8404F">
              <w:rPr>
                <w:position w:val="8"/>
                <w:sz w:val="14"/>
                <w:szCs w:val="14"/>
              </w:rPr>
              <w:t>3</w:t>
            </w:r>
          </w:p>
        </w:tc>
        <w:tc>
          <w:tcPr>
            <w:tcW w:w="3604" w:type="dxa"/>
            <w:gridSpan w:val="2"/>
            <w:tcBorders>
              <w:top w:val="single" w:sz="4" w:space="0" w:color="000000"/>
              <w:left w:val="single" w:sz="4" w:space="0" w:color="000000"/>
              <w:bottom w:val="single" w:sz="4" w:space="0" w:color="000000"/>
              <w:right w:val="single" w:sz="4" w:space="0" w:color="000000"/>
            </w:tcBorders>
          </w:tcPr>
          <w:p w14:paraId="3F00DB23" w14:textId="77777777" w:rsidR="00725429" w:rsidRPr="00E8404F" w:rsidRDefault="00725429" w:rsidP="00725429">
            <w:pPr>
              <w:pStyle w:val="TableParagraph"/>
              <w:tabs>
                <w:tab w:val="left" w:pos="9781"/>
              </w:tabs>
              <w:kinsoku w:val="0"/>
              <w:overflowPunct w:val="0"/>
              <w:spacing w:line="240" w:lineRule="auto"/>
              <w:ind w:left="1060"/>
              <w:rPr>
                <w:sz w:val="22"/>
                <w:szCs w:val="22"/>
              </w:rPr>
            </w:pPr>
            <w:r w:rsidRPr="00E8404F">
              <w:rPr>
                <w:sz w:val="22"/>
                <w:szCs w:val="22"/>
              </w:rPr>
              <w:t>0,22 (0,13; 0,36)</w:t>
            </w:r>
          </w:p>
        </w:tc>
        <w:tc>
          <w:tcPr>
            <w:tcW w:w="3520" w:type="dxa"/>
            <w:gridSpan w:val="2"/>
            <w:tcBorders>
              <w:top w:val="single" w:sz="4" w:space="0" w:color="000000"/>
              <w:left w:val="single" w:sz="4" w:space="0" w:color="000000"/>
              <w:bottom w:val="single" w:sz="4" w:space="0" w:color="000000"/>
              <w:right w:val="single" w:sz="4" w:space="0" w:color="000000"/>
            </w:tcBorders>
          </w:tcPr>
          <w:p w14:paraId="1EE39619" w14:textId="77777777" w:rsidR="00725429" w:rsidRPr="00E8404F" w:rsidRDefault="00725429" w:rsidP="00725429">
            <w:pPr>
              <w:pStyle w:val="TableParagraph"/>
              <w:tabs>
                <w:tab w:val="left" w:pos="9781"/>
              </w:tabs>
              <w:kinsoku w:val="0"/>
              <w:overflowPunct w:val="0"/>
              <w:spacing w:line="240" w:lineRule="auto"/>
              <w:ind w:left="1020"/>
              <w:rPr>
                <w:sz w:val="22"/>
                <w:szCs w:val="22"/>
              </w:rPr>
            </w:pPr>
            <w:r w:rsidRPr="00E8404F">
              <w:rPr>
                <w:sz w:val="22"/>
                <w:szCs w:val="22"/>
              </w:rPr>
              <w:t>0,22 (0,15; 0,32)</w:t>
            </w:r>
          </w:p>
        </w:tc>
      </w:tr>
      <w:tr w:rsidR="00725429" w:rsidRPr="00E8404F" w14:paraId="309B7644" w14:textId="77777777" w:rsidTr="00725429">
        <w:trPr>
          <w:trHeight w:val="258"/>
        </w:trPr>
        <w:tc>
          <w:tcPr>
            <w:tcW w:w="2530" w:type="dxa"/>
            <w:tcBorders>
              <w:top w:val="single" w:sz="4" w:space="0" w:color="000000"/>
              <w:left w:val="single" w:sz="4" w:space="0" w:color="000000"/>
              <w:bottom w:val="single" w:sz="4" w:space="0" w:color="000000"/>
              <w:right w:val="single" w:sz="4" w:space="0" w:color="000000"/>
            </w:tcBorders>
          </w:tcPr>
          <w:p w14:paraId="142290D8" w14:textId="77777777" w:rsidR="00725429" w:rsidRPr="00E8404F" w:rsidRDefault="00725429" w:rsidP="00725429">
            <w:pPr>
              <w:pStyle w:val="TableParagraph"/>
              <w:tabs>
                <w:tab w:val="left" w:pos="9781"/>
              </w:tabs>
              <w:kinsoku w:val="0"/>
              <w:overflowPunct w:val="0"/>
              <w:spacing w:line="240" w:lineRule="auto"/>
              <w:rPr>
                <w:position w:val="8"/>
                <w:sz w:val="14"/>
                <w:szCs w:val="14"/>
              </w:rPr>
            </w:pPr>
            <w:r w:rsidRPr="00E8404F">
              <w:rPr>
                <w:sz w:val="22"/>
                <w:szCs w:val="22"/>
              </w:rPr>
              <w:t>p-værdi</w:t>
            </w:r>
            <w:r w:rsidRPr="00E8404F">
              <w:rPr>
                <w:position w:val="8"/>
                <w:sz w:val="14"/>
                <w:szCs w:val="14"/>
              </w:rPr>
              <w:t>4</w:t>
            </w:r>
          </w:p>
        </w:tc>
        <w:tc>
          <w:tcPr>
            <w:tcW w:w="3604" w:type="dxa"/>
            <w:gridSpan w:val="2"/>
            <w:tcBorders>
              <w:top w:val="single" w:sz="4" w:space="0" w:color="000000"/>
              <w:left w:val="single" w:sz="4" w:space="0" w:color="000000"/>
              <w:bottom w:val="single" w:sz="4" w:space="0" w:color="000000"/>
              <w:right w:val="single" w:sz="4" w:space="0" w:color="000000"/>
            </w:tcBorders>
          </w:tcPr>
          <w:p w14:paraId="0D1B7222" w14:textId="77777777" w:rsidR="00725429" w:rsidRPr="00E8404F" w:rsidRDefault="00725429" w:rsidP="00725429">
            <w:pPr>
              <w:pStyle w:val="TableParagraph"/>
              <w:tabs>
                <w:tab w:val="left" w:pos="9781"/>
              </w:tabs>
              <w:kinsoku w:val="0"/>
              <w:overflowPunct w:val="0"/>
              <w:spacing w:line="240" w:lineRule="auto"/>
              <w:ind w:left="1386" w:right="1382"/>
              <w:jc w:val="center"/>
              <w:rPr>
                <w:sz w:val="22"/>
                <w:szCs w:val="22"/>
              </w:rPr>
            </w:pPr>
            <w:r w:rsidRPr="00E8404F">
              <w:rPr>
                <w:sz w:val="22"/>
                <w:szCs w:val="22"/>
              </w:rPr>
              <w:t>&lt; 0,0001</w:t>
            </w:r>
          </w:p>
        </w:tc>
        <w:tc>
          <w:tcPr>
            <w:tcW w:w="3520" w:type="dxa"/>
            <w:gridSpan w:val="2"/>
            <w:tcBorders>
              <w:top w:val="single" w:sz="4" w:space="0" w:color="000000"/>
              <w:left w:val="single" w:sz="4" w:space="0" w:color="000000"/>
              <w:bottom w:val="single" w:sz="4" w:space="0" w:color="000000"/>
              <w:right w:val="single" w:sz="4" w:space="0" w:color="000000"/>
            </w:tcBorders>
          </w:tcPr>
          <w:p w14:paraId="70F636A6" w14:textId="77777777" w:rsidR="00725429" w:rsidRPr="00E8404F" w:rsidRDefault="00725429" w:rsidP="00725429">
            <w:pPr>
              <w:pStyle w:val="TableParagraph"/>
              <w:tabs>
                <w:tab w:val="left" w:pos="9781"/>
              </w:tabs>
              <w:kinsoku w:val="0"/>
              <w:overflowPunct w:val="0"/>
              <w:spacing w:line="240" w:lineRule="auto"/>
              <w:ind w:left="0"/>
              <w:rPr>
                <w:sz w:val="18"/>
                <w:szCs w:val="18"/>
              </w:rPr>
            </w:pPr>
          </w:p>
        </w:tc>
      </w:tr>
      <w:tr w:rsidR="00725429" w:rsidRPr="00E8404F" w14:paraId="4A9CAA72" w14:textId="77777777" w:rsidTr="00725429">
        <w:trPr>
          <w:trHeight w:val="261"/>
        </w:trPr>
        <w:tc>
          <w:tcPr>
            <w:tcW w:w="2530" w:type="dxa"/>
            <w:tcBorders>
              <w:top w:val="single" w:sz="4" w:space="0" w:color="000000"/>
              <w:left w:val="single" w:sz="4" w:space="0" w:color="000000"/>
              <w:bottom w:val="single" w:sz="4" w:space="0" w:color="000000"/>
              <w:right w:val="single" w:sz="4" w:space="0" w:color="000000"/>
            </w:tcBorders>
          </w:tcPr>
          <w:p w14:paraId="5714E133" w14:textId="77777777" w:rsidR="00725429" w:rsidRPr="00E8404F" w:rsidRDefault="00725429" w:rsidP="00725429">
            <w:pPr>
              <w:pStyle w:val="TableParagraph"/>
              <w:tabs>
                <w:tab w:val="left" w:pos="9781"/>
              </w:tabs>
              <w:kinsoku w:val="0"/>
              <w:overflowPunct w:val="0"/>
              <w:spacing w:line="240" w:lineRule="auto"/>
              <w:rPr>
                <w:b/>
                <w:bCs/>
                <w:sz w:val="22"/>
                <w:szCs w:val="22"/>
              </w:rPr>
            </w:pPr>
            <w:r w:rsidRPr="00E8404F">
              <w:rPr>
                <w:b/>
                <w:bCs/>
                <w:sz w:val="22"/>
                <w:szCs w:val="22"/>
              </w:rPr>
              <w:t>Samlet overlevelse</w:t>
            </w:r>
          </w:p>
        </w:tc>
        <w:tc>
          <w:tcPr>
            <w:tcW w:w="3604" w:type="dxa"/>
            <w:gridSpan w:val="2"/>
            <w:tcBorders>
              <w:top w:val="single" w:sz="4" w:space="0" w:color="000000"/>
              <w:left w:val="single" w:sz="4" w:space="0" w:color="000000"/>
              <w:bottom w:val="single" w:sz="4" w:space="0" w:color="000000"/>
              <w:right w:val="single" w:sz="4" w:space="0" w:color="000000"/>
            </w:tcBorders>
          </w:tcPr>
          <w:p w14:paraId="57103AD7" w14:textId="77777777" w:rsidR="00725429" w:rsidRPr="00E8404F" w:rsidRDefault="00725429" w:rsidP="00725429">
            <w:pPr>
              <w:pStyle w:val="TableParagraph"/>
              <w:tabs>
                <w:tab w:val="left" w:pos="9781"/>
              </w:tabs>
              <w:kinsoku w:val="0"/>
              <w:overflowPunct w:val="0"/>
              <w:spacing w:line="240" w:lineRule="auto"/>
              <w:ind w:left="0"/>
              <w:rPr>
                <w:sz w:val="18"/>
                <w:szCs w:val="18"/>
              </w:rPr>
            </w:pPr>
          </w:p>
        </w:tc>
        <w:tc>
          <w:tcPr>
            <w:tcW w:w="3520" w:type="dxa"/>
            <w:gridSpan w:val="2"/>
            <w:tcBorders>
              <w:top w:val="single" w:sz="4" w:space="0" w:color="000000"/>
              <w:left w:val="single" w:sz="4" w:space="0" w:color="000000"/>
              <w:bottom w:val="single" w:sz="4" w:space="0" w:color="000000"/>
              <w:right w:val="single" w:sz="4" w:space="0" w:color="000000"/>
            </w:tcBorders>
          </w:tcPr>
          <w:p w14:paraId="24AE37BA" w14:textId="77777777" w:rsidR="00725429" w:rsidRPr="00E8404F" w:rsidRDefault="00725429" w:rsidP="00725429">
            <w:pPr>
              <w:pStyle w:val="TableParagraph"/>
              <w:tabs>
                <w:tab w:val="left" w:pos="9781"/>
              </w:tabs>
              <w:kinsoku w:val="0"/>
              <w:overflowPunct w:val="0"/>
              <w:spacing w:line="240" w:lineRule="auto"/>
              <w:ind w:left="0"/>
              <w:rPr>
                <w:sz w:val="18"/>
                <w:szCs w:val="18"/>
              </w:rPr>
            </w:pPr>
          </w:p>
        </w:tc>
      </w:tr>
      <w:tr w:rsidR="00725429" w:rsidRPr="00E8404F" w14:paraId="2AC18BD9" w14:textId="77777777" w:rsidTr="00725429">
        <w:trPr>
          <w:trHeight w:val="258"/>
        </w:trPr>
        <w:tc>
          <w:tcPr>
            <w:tcW w:w="2530" w:type="dxa"/>
            <w:tcBorders>
              <w:top w:val="single" w:sz="4" w:space="0" w:color="000000"/>
              <w:left w:val="single" w:sz="4" w:space="0" w:color="000000"/>
              <w:bottom w:val="single" w:sz="4" w:space="0" w:color="000000"/>
              <w:right w:val="single" w:sz="4" w:space="0" w:color="000000"/>
            </w:tcBorders>
          </w:tcPr>
          <w:p w14:paraId="7743A303" w14:textId="77777777" w:rsidR="00725429" w:rsidRPr="00E8404F" w:rsidRDefault="00725429" w:rsidP="00725429">
            <w:pPr>
              <w:pStyle w:val="TableParagraph"/>
              <w:tabs>
                <w:tab w:val="left" w:pos="9781"/>
              </w:tabs>
              <w:kinsoku w:val="0"/>
              <w:overflowPunct w:val="0"/>
              <w:spacing w:line="240" w:lineRule="auto"/>
              <w:rPr>
                <w:sz w:val="22"/>
                <w:szCs w:val="22"/>
              </w:rPr>
            </w:pPr>
            <w:r w:rsidRPr="00E8404F">
              <w:rPr>
                <w:sz w:val="22"/>
                <w:szCs w:val="22"/>
              </w:rPr>
              <w:t>Hændelser, n (%)</w:t>
            </w:r>
          </w:p>
        </w:tc>
        <w:tc>
          <w:tcPr>
            <w:tcW w:w="1844" w:type="dxa"/>
            <w:tcBorders>
              <w:top w:val="single" w:sz="4" w:space="0" w:color="000000"/>
              <w:left w:val="single" w:sz="4" w:space="0" w:color="000000"/>
              <w:bottom w:val="single" w:sz="4" w:space="0" w:color="000000"/>
              <w:right w:val="single" w:sz="4" w:space="0" w:color="000000"/>
            </w:tcBorders>
          </w:tcPr>
          <w:p w14:paraId="78D1B4DB" w14:textId="77777777" w:rsidR="00725429" w:rsidRPr="00E8404F" w:rsidRDefault="00725429" w:rsidP="00725429">
            <w:pPr>
              <w:pStyle w:val="TableParagraph"/>
              <w:tabs>
                <w:tab w:val="left" w:pos="9781"/>
              </w:tabs>
              <w:kinsoku w:val="0"/>
              <w:overflowPunct w:val="0"/>
              <w:spacing w:line="240" w:lineRule="auto"/>
              <w:ind w:left="164" w:right="166"/>
              <w:jc w:val="center"/>
              <w:rPr>
                <w:sz w:val="22"/>
                <w:szCs w:val="22"/>
              </w:rPr>
            </w:pPr>
            <w:r w:rsidRPr="00E8404F">
              <w:rPr>
                <w:sz w:val="22"/>
                <w:szCs w:val="22"/>
              </w:rPr>
              <w:t>17 (14)</w:t>
            </w:r>
          </w:p>
        </w:tc>
        <w:tc>
          <w:tcPr>
            <w:tcW w:w="1760" w:type="dxa"/>
            <w:tcBorders>
              <w:top w:val="single" w:sz="4" w:space="0" w:color="000000"/>
              <w:left w:val="single" w:sz="4" w:space="0" w:color="000000"/>
              <w:bottom w:val="single" w:sz="4" w:space="0" w:color="000000"/>
              <w:right w:val="single" w:sz="4" w:space="0" w:color="000000"/>
            </w:tcBorders>
          </w:tcPr>
          <w:p w14:paraId="20141EAF" w14:textId="77777777" w:rsidR="00725429" w:rsidRPr="00E8404F" w:rsidRDefault="00725429" w:rsidP="00725429">
            <w:pPr>
              <w:pStyle w:val="TableParagraph"/>
              <w:tabs>
                <w:tab w:val="left" w:pos="9781"/>
              </w:tabs>
              <w:kinsoku w:val="0"/>
              <w:overflowPunct w:val="0"/>
              <w:spacing w:line="240" w:lineRule="auto"/>
              <w:ind w:left="275" w:right="277"/>
              <w:jc w:val="center"/>
              <w:rPr>
                <w:sz w:val="22"/>
                <w:szCs w:val="22"/>
              </w:rPr>
            </w:pPr>
            <w:r w:rsidRPr="00E8404F">
              <w:rPr>
                <w:sz w:val="22"/>
                <w:szCs w:val="22"/>
              </w:rPr>
              <w:t>14 (23)</w:t>
            </w:r>
          </w:p>
        </w:tc>
        <w:tc>
          <w:tcPr>
            <w:tcW w:w="1777" w:type="dxa"/>
            <w:tcBorders>
              <w:top w:val="single" w:sz="4" w:space="0" w:color="000000"/>
              <w:left w:val="single" w:sz="4" w:space="0" w:color="000000"/>
              <w:bottom w:val="single" w:sz="4" w:space="0" w:color="000000"/>
              <w:right w:val="single" w:sz="4" w:space="0" w:color="000000"/>
            </w:tcBorders>
          </w:tcPr>
          <w:p w14:paraId="3EE9F36B" w14:textId="77777777" w:rsidR="00725429" w:rsidRPr="00E8404F" w:rsidRDefault="00725429" w:rsidP="00725429">
            <w:pPr>
              <w:pStyle w:val="TableParagraph"/>
              <w:tabs>
                <w:tab w:val="left" w:pos="9781"/>
              </w:tabs>
              <w:kinsoku w:val="0"/>
              <w:overflowPunct w:val="0"/>
              <w:spacing w:line="240" w:lineRule="auto"/>
              <w:ind w:left="118" w:right="129"/>
              <w:jc w:val="center"/>
              <w:rPr>
                <w:sz w:val="22"/>
                <w:szCs w:val="22"/>
              </w:rPr>
            </w:pPr>
            <w:r w:rsidRPr="00E8404F">
              <w:rPr>
                <w:sz w:val="22"/>
                <w:szCs w:val="22"/>
              </w:rPr>
              <w:t>37 (22)</w:t>
            </w:r>
          </w:p>
        </w:tc>
        <w:tc>
          <w:tcPr>
            <w:tcW w:w="1743" w:type="dxa"/>
            <w:tcBorders>
              <w:top w:val="single" w:sz="4" w:space="0" w:color="000000"/>
              <w:left w:val="single" w:sz="4" w:space="0" w:color="000000"/>
              <w:bottom w:val="single" w:sz="4" w:space="0" w:color="000000"/>
              <w:right w:val="single" w:sz="4" w:space="0" w:color="000000"/>
            </w:tcBorders>
          </w:tcPr>
          <w:p w14:paraId="302C3387" w14:textId="77777777" w:rsidR="00725429" w:rsidRPr="00E8404F" w:rsidRDefault="00725429" w:rsidP="00725429">
            <w:pPr>
              <w:pStyle w:val="TableParagraph"/>
              <w:tabs>
                <w:tab w:val="left" w:pos="9781"/>
              </w:tabs>
              <w:kinsoku w:val="0"/>
              <w:overflowPunct w:val="0"/>
              <w:spacing w:line="240" w:lineRule="auto"/>
              <w:ind w:left="257" w:right="269"/>
              <w:jc w:val="center"/>
              <w:rPr>
                <w:sz w:val="22"/>
                <w:szCs w:val="22"/>
              </w:rPr>
            </w:pPr>
            <w:r w:rsidRPr="00E8404F">
              <w:rPr>
                <w:sz w:val="22"/>
                <w:szCs w:val="22"/>
              </w:rPr>
              <w:t>21 (24)</w:t>
            </w:r>
          </w:p>
        </w:tc>
      </w:tr>
      <w:tr w:rsidR="00725429" w:rsidRPr="00E8404F" w14:paraId="58744043" w14:textId="77777777" w:rsidTr="00725429">
        <w:trPr>
          <w:trHeight w:val="261"/>
        </w:trPr>
        <w:tc>
          <w:tcPr>
            <w:tcW w:w="2530" w:type="dxa"/>
            <w:tcBorders>
              <w:top w:val="single" w:sz="4" w:space="0" w:color="000000"/>
              <w:left w:val="single" w:sz="4" w:space="0" w:color="000000"/>
              <w:bottom w:val="single" w:sz="4" w:space="0" w:color="000000"/>
              <w:right w:val="single" w:sz="4" w:space="0" w:color="000000"/>
            </w:tcBorders>
          </w:tcPr>
          <w:p w14:paraId="5E1EDA73" w14:textId="77777777" w:rsidR="00725429" w:rsidRPr="00E8404F" w:rsidRDefault="00725429" w:rsidP="00725429">
            <w:pPr>
              <w:pStyle w:val="TableParagraph"/>
              <w:tabs>
                <w:tab w:val="left" w:pos="9781"/>
              </w:tabs>
              <w:kinsoku w:val="0"/>
              <w:overflowPunct w:val="0"/>
              <w:spacing w:line="240" w:lineRule="auto"/>
              <w:ind w:left="0"/>
              <w:rPr>
                <w:sz w:val="18"/>
                <w:szCs w:val="18"/>
              </w:rPr>
            </w:pPr>
          </w:p>
        </w:tc>
        <w:tc>
          <w:tcPr>
            <w:tcW w:w="1844" w:type="dxa"/>
            <w:tcBorders>
              <w:top w:val="single" w:sz="4" w:space="0" w:color="000000"/>
              <w:left w:val="single" w:sz="4" w:space="0" w:color="000000"/>
              <w:bottom w:val="single" w:sz="4" w:space="0" w:color="000000"/>
              <w:right w:val="single" w:sz="4" w:space="0" w:color="000000"/>
            </w:tcBorders>
          </w:tcPr>
          <w:p w14:paraId="60AF46B7" w14:textId="77777777" w:rsidR="00725429" w:rsidRPr="00E8404F" w:rsidRDefault="00725429" w:rsidP="00725429">
            <w:pPr>
              <w:pStyle w:val="TableParagraph"/>
              <w:tabs>
                <w:tab w:val="left" w:pos="9781"/>
              </w:tabs>
              <w:kinsoku w:val="0"/>
              <w:overflowPunct w:val="0"/>
              <w:spacing w:line="240" w:lineRule="auto"/>
              <w:ind w:left="0"/>
              <w:rPr>
                <w:sz w:val="18"/>
                <w:szCs w:val="18"/>
              </w:rPr>
            </w:pPr>
          </w:p>
        </w:tc>
        <w:tc>
          <w:tcPr>
            <w:tcW w:w="1760" w:type="dxa"/>
            <w:tcBorders>
              <w:top w:val="single" w:sz="4" w:space="0" w:color="000000"/>
              <w:left w:val="single" w:sz="4" w:space="0" w:color="000000"/>
              <w:bottom w:val="single" w:sz="4" w:space="0" w:color="000000"/>
              <w:right w:val="single" w:sz="4" w:space="0" w:color="000000"/>
            </w:tcBorders>
          </w:tcPr>
          <w:p w14:paraId="3F38CB9F" w14:textId="77777777" w:rsidR="00725429" w:rsidRPr="00E8404F" w:rsidRDefault="00725429" w:rsidP="00725429">
            <w:pPr>
              <w:pStyle w:val="TableParagraph"/>
              <w:tabs>
                <w:tab w:val="left" w:pos="9781"/>
              </w:tabs>
              <w:kinsoku w:val="0"/>
              <w:overflowPunct w:val="0"/>
              <w:spacing w:line="240" w:lineRule="auto"/>
              <w:ind w:left="0"/>
              <w:rPr>
                <w:sz w:val="18"/>
                <w:szCs w:val="18"/>
              </w:rPr>
            </w:pPr>
          </w:p>
        </w:tc>
        <w:tc>
          <w:tcPr>
            <w:tcW w:w="1777" w:type="dxa"/>
            <w:tcBorders>
              <w:top w:val="single" w:sz="4" w:space="0" w:color="000000"/>
              <w:left w:val="single" w:sz="4" w:space="0" w:color="000000"/>
              <w:bottom w:val="single" w:sz="4" w:space="0" w:color="000000"/>
              <w:right w:val="single" w:sz="4" w:space="0" w:color="000000"/>
            </w:tcBorders>
          </w:tcPr>
          <w:p w14:paraId="00E8773F" w14:textId="77777777" w:rsidR="00725429" w:rsidRPr="00E8404F" w:rsidRDefault="00725429" w:rsidP="00725429">
            <w:pPr>
              <w:pStyle w:val="TableParagraph"/>
              <w:tabs>
                <w:tab w:val="left" w:pos="9781"/>
              </w:tabs>
              <w:kinsoku w:val="0"/>
              <w:overflowPunct w:val="0"/>
              <w:spacing w:line="240" w:lineRule="auto"/>
              <w:ind w:left="0"/>
              <w:rPr>
                <w:sz w:val="18"/>
                <w:szCs w:val="18"/>
              </w:rPr>
            </w:pPr>
          </w:p>
        </w:tc>
        <w:tc>
          <w:tcPr>
            <w:tcW w:w="1743" w:type="dxa"/>
            <w:tcBorders>
              <w:top w:val="single" w:sz="4" w:space="0" w:color="000000"/>
              <w:left w:val="single" w:sz="4" w:space="0" w:color="000000"/>
              <w:bottom w:val="single" w:sz="4" w:space="0" w:color="000000"/>
              <w:right w:val="single" w:sz="4" w:space="0" w:color="000000"/>
            </w:tcBorders>
          </w:tcPr>
          <w:p w14:paraId="71334F40" w14:textId="77777777" w:rsidR="00725429" w:rsidRPr="00E8404F" w:rsidRDefault="00725429" w:rsidP="00725429">
            <w:pPr>
              <w:pStyle w:val="TableParagraph"/>
              <w:tabs>
                <w:tab w:val="left" w:pos="9781"/>
              </w:tabs>
              <w:kinsoku w:val="0"/>
              <w:overflowPunct w:val="0"/>
              <w:spacing w:line="240" w:lineRule="auto"/>
              <w:ind w:left="0"/>
              <w:rPr>
                <w:sz w:val="18"/>
                <w:szCs w:val="18"/>
              </w:rPr>
            </w:pPr>
          </w:p>
        </w:tc>
      </w:tr>
      <w:tr w:rsidR="00725429" w:rsidRPr="00E8404F" w14:paraId="037BE8A6" w14:textId="77777777" w:rsidTr="00725429">
        <w:trPr>
          <w:trHeight w:val="258"/>
        </w:trPr>
        <w:tc>
          <w:tcPr>
            <w:tcW w:w="2530" w:type="dxa"/>
            <w:tcBorders>
              <w:top w:val="single" w:sz="4" w:space="0" w:color="000000"/>
              <w:left w:val="single" w:sz="4" w:space="0" w:color="000000"/>
              <w:bottom w:val="single" w:sz="4" w:space="0" w:color="000000"/>
              <w:right w:val="single" w:sz="4" w:space="0" w:color="000000"/>
            </w:tcBorders>
          </w:tcPr>
          <w:p w14:paraId="7ED23303" w14:textId="77777777" w:rsidR="00725429" w:rsidRPr="00E8404F" w:rsidRDefault="00725429" w:rsidP="00725429">
            <w:pPr>
              <w:pStyle w:val="TableParagraph"/>
              <w:tabs>
                <w:tab w:val="left" w:pos="9781"/>
              </w:tabs>
              <w:kinsoku w:val="0"/>
              <w:overflowPunct w:val="0"/>
              <w:spacing w:line="240" w:lineRule="auto"/>
              <w:rPr>
                <w:sz w:val="22"/>
                <w:szCs w:val="22"/>
              </w:rPr>
            </w:pPr>
            <w:r w:rsidRPr="00E8404F">
              <w:rPr>
                <w:i/>
                <w:iCs/>
                <w:sz w:val="22"/>
                <w:szCs w:val="22"/>
              </w:rPr>
              <w:t xml:space="preserve">Hazard ratio </w:t>
            </w:r>
            <w:r w:rsidRPr="00E8404F">
              <w:rPr>
                <w:sz w:val="22"/>
                <w:szCs w:val="22"/>
              </w:rPr>
              <w:t>(95 % CI)</w:t>
            </w:r>
          </w:p>
        </w:tc>
        <w:tc>
          <w:tcPr>
            <w:tcW w:w="3604" w:type="dxa"/>
            <w:gridSpan w:val="2"/>
            <w:tcBorders>
              <w:top w:val="single" w:sz="4" w:space="0" w:color="000000"/>
              <w:left w:val="single" w:sz="4" w:space="0" w:color="000000"/>
              <w:bottom w:val="single" w:sz="4" w:space="0" w:color="000000"/>
              <w:right w:val="single" w:sz="4" w:space="0" w:color="000000"/>
            </w:tcBorders>
          </w:tcPr>
          <w:p w14:paraId="60FBF0C6" w14:textId="77777777" w:rsidR="00725429" w:rsidRPr="00E8404F" w:rsidRDefault="00725429" w:rsidP="00725429">
            <w:pPr>
              <w:pStyle w:val="TableParagraph"/>
              <w:tabs>
                <w:tab w:val="left" w:pos="9781"/>
              </w:tabs>
              <w:kinsoku w:val="0"/>
              <w:overflowPunct w:val="0"/>
              <w:spacing w:line="240" w:lineRule="auto"/>
              <w:ind w:left="1060"/>
              <w:rPr>
                <w:sz w:val="22"/>
                <w:szCs w:val="22"/>
              </w:rPr>
            </w:pPr>
            <w:r w:rsidRPr="00E8404F">
              <w:rPr>
                <w:sz w:val="22"/>
                <w:szCs w:val="22"/>
              </w:rPr>
              <w:t>0,54 (0,27; 1,11)</w:t>
            </w:r>
          </w:p>
        </w:tc>
        <w:tc>
          <w:tcPr>
            <w:tcW w:w="3520" w:type="dxa"/>
            <w:gridSpan w:val="2"/>
            <w:tcBorders>
              <w:top w:val="single" w:sz="4" w:space="0" w:color="000000"/>
              <w:left w:val="single" w:sz="4" w:space="0" w:color="000000"/>
              <w:bottom w:val="single" w:sz="4" w:space="0" w:color="000000"/>
              <w:right w:val="single" w:sz="4" w:space="0" w:color="000000"/>
            </w:tcBorders>
          </w:tcPr>
          <w:p w14:paraId="3C50D158" w14:textId="77777777" w:rsidR="00725429" w:rsidRPr="00E8404F" w:rsidRDefault="00725429" w:rsidP="00725429">
            <w:pPr>
              <w:pStyle w:val="TableParagraph"/>
              <w:tabs>
                <w:tab w:val="left" w:pos="9781"/>
              </w:tabs>
              <w:kinsoku w:val="0"/>
              <w:overflowPunct w:val="0"/>
              <w:spacing w:line="240" w:lineRule="auto"/>
              <w:ind w:left="1020"/>
              <w:rPr>
                <w:sz w:val="22"/>
                <w:szCs w:val="22"/>
              </w:rPr>
            </w:pPr>
            <w:r w:rsidRPr="00E8404F">
              <w:rPr>
                <w:sz w:val="22"/>
                <w:szCs w:val="22"/>
              </w:rPr>
              <w:t>0,76 (0,45; 1,31)</w:t>
            </w:r>
          </w:p>
        </w:tc>
      </w:tr>
      <w:tr w:rsidR="00725429" w:rsidRPr="00E8404F" w14:paraId="71B08F51" w14:textId="77777777" w:rsidTr="00725429">
        <w:trPr>
          <w:trHeight w:val="261"/>
        </w:trPr>
        <w:tc>
          <w:tcPr>
            <w:tcW w:w="2530" w:type="dxa"/>
            <w:tcBorders>
              <w:top w:val="single" w:sz="4" w:space="0" w:color="000000"/>
              <w:left w:val="single" w:sz="4" w:space="0" w:color="000000"/>
              <w:bottom w:val="single" w:sz="4" w:space="0" w:color="000000"/>
              <w:right w:val="single" w:sz="4" w:space="0" w:color="000000"/>
            </w:tcBorders>
          </w:tcPr>
          <w:p w14:paraId="4398ED50" w14:textId="77777777" w:rsidR="00725429" w:rsidRPr="00E8404F" w:rsidRDefault="00725429" w:rsidP="00725429">
            <w:pPr>
              <w:pStyle w:val="TableParagraph"/>
              <w:tabs>
                <w:tab w:val="left" w:pos="9781"/>
              </w:tabs>
              <w:kinsoku w:val="0"/>
              <w:overflowPunct w:val="0"/>
              <w:spacing w:line="240" w:lineRule="auto"/>
              <w:ind w:left="0"/>
              <w:rPr>
                <w:sz w:val="18"/>
                <w:szCs w:val="18"/>
              </w:rPr>
            </w:pPr>
          </w:p>
        </w:tc>
        <w:tc>
          <w:tcPr>
            <w:tcW w:w="7124" w:type="dxa"/>
            <w:gridSpan w:val="4"/>
            <w:tcBorders>
              <w:top w:val="single" w:sz="4" w:space="0" w:color="000000"/>
              <w:left w:val="single" w:sz="4" w:space="0" w:color="000000"/>
              <w:bottom w:val="single" w:sz="4" w:space="0" w:color="000000"/>
              <w:right w:val="single" w:sz="4" w:space="0" w:color="000000"/>
            </w:tcBorders>
          </w:tcPr>
          <w:p w14:paraId="5CD4FB10" w14:textId="77777777" w:rsidR="00725429" w:rsidRPr="00E8404F" w:rsidRDefault="00725429" w:rsidP="00725429">
            <w:pPr>
              <w:pStyle w:val="TableParagraph"/>
              <w:tabs>
                <w:tab w:val="left" w:pos="9781"/>
              </w:tabs>
              <w:kinsoku w:val="0"/>
              <w:overflowPunct w:val="0"/>
              <w:spacing w:line="240" w:lineRule="auto"/>
              <w:ind w:left="2759" w:right="2759"/>
              <w:jc w:val="center"/>
              <w:rPr>
                <w:b/>
                <w:bCs/>
                <w:position w:val="8"/>
                <w:sz w:val="14"/>
                <w:szCs w:val="14"/>
              </w:rPr>
            </w:pPr>
            <w:r w:rsidRPr="00E8404F">
              <w:rPr>
                <w:b/>
                <w:bCs/>
                <w:sz w:val="22"/>
                <w:szCs w:val="22"/>
              </w:rPr>
              <w:t>Primær analyse</w:t>
            </w:r>
            <w:r w:rsidRPr="00E8404F">
              <w:rPr>
                <w:b/>
                <w:bCs/>
                <w:position w:val="8"/>
                <w:sz w:val="14"/>
                <w:szCs w:val="14"/>
              </w:rPr>
              <w:t>1</w:t>
            </w:r>
          </w:p>
        </w:tc>
      </w:tr>
      <w:tr w:rsidR="00725429" w:rsidRPr="00E8404F" w14:paraId="0AB53503" w14:textId="77777777" w:rsidTr="00725429">
        <w:trPr>
          <w:trHeight w:val="520"/>
        </w:trPr>
        <w:tc>
          <w:tcPr>
            <w:tcW w:w="2530" w:type="dxa"/>
            <w:tcBorders>
              <w:top w:val="single" w:sz="4" w:space="0" w:color="000000"/>
              <w:left w:val="single" w:sz="4" w:space="0" w:color="000000"/>
              <w:bottom w:val="single" w:sz="4" w:space="0" w:color="000000"/>
              <w:right w:val="single" w:sz="4" w:space="0" w:color="000000"/>
            </w:tcBorders>
          </w:tcPr>
          <w:p w14:paraId="1D7715F5" w14:textId="77777777" w:rsidR="00725429" w:rsidRPr="00E8404F" w:rsidRDefault="00725429" w:rsidP="00725429">
            <w:pPr>
              <w:pStyle w:val="TableParagraph"/>
              <w:tabs>
                <w:tab w:val="left" w:pos="9781"/>
              </w:tabs>
              <w:kinsoku w:val="0"/>
              <w:overflowPunct w:val="0"/>
              <w:spacing w:line="240" w:lineRule="auto"/>
              <w:ind w:right="407"/>
              <w:rPr>
                <w:b/>
                <w:bCs/>
                <w:position w:val="8"/>
                <w:sz w:val="14"/>
                <w:szCs w:val="14"/>
              </w:rPr>
            </w:pPr>
            <w:r w:rsidRPr="00E8404F">
              <w:rPr>
                <w:b/>
                <w:bCs/>
                <w:sz w:val="22"/>
                <w:szCs w:val="22"/>
              </w:rPr>
              <w:t>Objektiv responsrate (ORR)</w:t>
            </w:r>
            <w:r w:rsidRPr="00E8404F">
              <w:rPr>
                <w:b/>
                <w:bCs/>
                <w:position w:val="8"/>
                <w:sz w:val="14"/>
                <w:szCs w:val="14"/>
              </w:rPr>
              <w:t>5</w:t>
            </w:r>
          </w:p>
        </w:tc>
        <w:tc>
          <w:tcPr>
            <w:tcW w:w="7124" w:type="dxa"/>
            <w:gridSpan w:val="4"/>
            <w:tcBorders>
              <w:top w:val="single" w:sz="4" w:space="0" w:color="000000"/>
              <w:left w:val="single" w:sz="4" w:space="0" w:color="000000"/>
              <w:bottom w:val="single" w:sz="4" w:space="0" w:color="000000"/>
              <w:right w:val="single" w:sz="4" w:space="0" w:color="000000"/>
            </w:tcBorders>
          </w:tcPr>
          <w:p w14:paraId="7C921178" w14:textId="77777777" w:rsidR="00725429" w:rsidRPr="00E8404F" w:rsidRDefault="00725429" w:rsidP="00725429">
            <w:pPr>
              <w:pStyle w:val="TableParagraph"/>
              <w:tabs>
                <w:tab w:val="left" w:pos="9781"/>
              </w:tabs>
              <w:kinsoku w:val="0"/>
              <w:overflowPunct w:val="0"/>
              <w:spacing w:line="240" w:lineRule="auto"/>
              <w:ind w:left="0"/>
              <w:rPr>
                <w:sz w:val="20"/>
                <w:szCs w:val="20"/>
              </w:rPr>
            </w:pPr>
          </w:p>
        </w:tc>
      </w:tr>
      <w:tr w:rsidR="00725429" w:rsidRPr="00E8404F" w14:paraId="202672CC" w14:textId="77777777" w:rsidTr="00725429">
        <w:trPr>
          <w:trHeight w:val="517"/>
        </w:trPr>
        <w:tc>
          <w:tcPr>
            <w:tcW w:w="2530" w:type="dxa"/>
            <w:tcBorders>
              <w:top w:val="single" w:sz="4" w:space="0" w:color="000000"/>
              <w:left w:val="single" w:sz="4" w:space="0" w:color="000000"/>
              <w:bottom w:val="single" w:sz="4" w:space="0" w:color="000000"/>
              <w:right w:val="single" w:sz="4" w:space="0" w:color="000000"/>
            </w:tcBorders>
          </w:tcPr>
          <w:p w14:paraId="64BF76D9" w14:textId="77777777" w:rsidR="00725429" w:rsidRPr="00E8404F" w:rsidRDefault="00725429" w:rsidP="00725429">
            <w:pPr>
              <w:pStyle w:val="TableParagraph"/>
              <w:tabs>
                <w:tab w:val="left" w:pos="9781"/>
              </w:tabs>
              <w:kinsoku w:val="0"/>
              <w:overflowPunct w:val="0"/>
              <w:spacing w:line="240" w:lineRule="auto"/>
              <w:ind w:left="0"/>
              <w:rPr>
                <w:sz w:val="20"/>
                <w:szCs w:val="20"/>
              </w:rPr>
            </w:pPr>
          </w:p>
        </w:tc>
        <w:tc>
          <w:tcPr>
            <w:tcW w:w="3604" w:type="dxa"/>
            <w:gridSpan w:val="2"/>
            <w:tcBorders>
              <w:top w:val="single" w:sz="4" w:space="0" w:color="000000"/>
              <w:left w:val="single" w:sz="4" w:space="0" w:color="000000"/>
              <w:bottom w:val="single" w:sz="4" w:space="0" w:color="000000"/>
              <w:right w:val="single" w:sz="4" w:space="0" w:color="000000"/>
            </w:tcBorders>
          </w:tcPr>
          <w:p w14:paraId="203F5CF8" w14:textId="77777777" w:rsidR="00725429" w:rsidRPr="00E8404F" w:rsidRDefault="00725429" w:rsidP="00725429">
            <w:pPr>
              <w:pStyle w:val="TableParagraph"/>
              <w:tabs>
                <w:tab w:val="left" w:pos="9781"/>
              </w:tabs>
              <w:kinsoku w:val="0"/>
              <w:overflowPunct w:val="0"/>
              <w:spacing w:line="240" w:lineRule="auto"/>
              <w:ind w:left="1434" w:right="1050" w:hanging="365"/>
              <w:rPr>
                <w:b/>
                <w:bCs/>
                <w:sz w:val="22"/>
                <w:szCs w:val="22"/>
              </w:rPr>
            </w:pPr>
            <w:r w:rsidRPr="00E8404F">
              <w:rPr>
                <w:b/>
                <w:bCs/>
                <w:sz w:val="22"/>
                <w:szCs w:val="22"/>
              </w:rPr>
              <w:t>Cabozantinib (n = 67)</w:t>
            </w:r>
          </w:p>
        </w:tc>
        <w:tc>
          <w:tcPr>
            <w:tcW w:w="3520" w:type="dxa"/>
            <w:gridSpan w:val="2"/>
            <w:tcBorders>
              <w:top w:val="single" w:sz="4" w:space="0" w:color="000000"/>
              <w:left w:val="single" w:sz="4" w:space="0" w:color="000000"/>
              <w:bottom w:val="single" w:sz="4" w:space="0" w:color="000000"/>
              <w:right w:val="single" w:sz="4" w:space="0" w:color="000000"/>
            </w:tcBorders>
          </w:tcPr>
          <w:p w14:paraId="39DE4C6B" w14:textId="77777777" w:rsidR="00725429" w:rsidRPr="00E8404F" w:rsidRDefault="00725429" w:rsidP="00725429">
            <w:pPr>
              <w:pStyle w:val="TableParagraph"/>
              <w:tabs>
                <w:tab w:val="left" w:pos="9781"/>
              </w:tabs>
              <w:kinsoku w:val="0"/>
              <w:overflowPunct w:val="0"/>
              <w:spacing w:line="240" w:lineRule="auto"/>
              <w:ind w:left="1389" w:right="1381"/>
              <w:jc w:val="center"/>
              <w:rPr>
                <w:b/>
                <w:bCs/>
                <w:sz w:val="22"/>
                <w:szCs w:val="22"/>
              </w:rPr>
            </w:pPr>
            <w:r w:rsidRPr="00E8404F">
              <w:rPr>
                <w:b/>
                <w:bCs/>
                <w:sz w:val="22"/>
                <w:szCs w:val="22"/>
              </w:rPr>
              <w:t>Placebo (n = 33)</w:t>
            </w:r>
          </w:p>
        </w:tc>
      </w:tr>
      <w:tr w:rsidR="00725429" w:rsidRPr="00E8404F" w14:paraId="009CF75C" w14:textId="77777777" w:rsidTr="00725429">
        <w:trPr>
          <w:trHeight w:val="259"/>
        </w:trPr>
        <w:tc>
          <w:tcPr>
            <w:tcW w:w="2530" w:type="dxa"/>
            <w:tcBorders>
              <w:top w:val="single" w:sz="4" w:space="0" w:color="000000"/>
              <w:left w:val="single" w:sz="4" w:space="0" w:color="000000"/>
              <w:bottom w:val="single" w:sz="4" w:space="0" w:color="000000"/>
              <w:right w:val="single" w:sz="4" w:space="0" w:color="000000"/>
            </w:tcBorders>
          </w:tcPr>
          <w:p w14:paraId="7E0ED259" w14:textId="77777777" w:rsidR="00725429" w:rsidRPr="00E8404F" w:rsidRDefault="00725429" w:rsidP="00725429">
            <w:pPr>
              <w:pStyle w:val="TableParagraph"/>
              <w:tabs>
                <w:tab w:val="left" w:pos="9781"/>
              </w:tabs>
              <w:kinsoku w:val="0"/>
              <w:overflowPunct w:val="0"/>
              <w:spacing w:line="240" w:lineRule="auto"/>
              <w:rPr>
                <w:sz w:val="22"/>
                <w:szCs w:val="22"/>
              </w:rPr>
            </w:pPr>
            <w:r w:rsidRPr="00E8404F">
              <w:rPr>
                <w:sz w:val="22"/>
                <w:szCs w:val="22"/>
              </w:rPr>
              <w:t>Samlet respons, (%)</w:t>
            </w:r>
          </w:p>
        </w:tc>
        <w:tc>
          <w:tcPr>
            <w:tcW w:w="3604" w:type="dxa"/>
            <w:gridSpan w:val="2"/>
            <w:tcBorders>
              <w:top w:val="single" w:sz="4" w:space="0" w:color="000000"/>
              <w:left w:val="single" w:sz="4" w:space="0" w:color="000000"/>
              <w:bottom w:val="single" w:sz="4" w:space="0" w:color="000000"/>
              <w:right w:val="single" w:sz="4" w:space="0" w:color="000000"/>
            </w:tcBorders>
          </w:tcPr>
          <w:p w14:paraId="19A8A329" w14:textId="77777777" w:rsidR="00725429" w:rsidRPr="00E8404F" w:rsidRDefault="00725429" w:rsidP="00725429">
            <w:pPr>
              <w:pStyle w:val="TableParagraph"/>
              <w:tabs>
                <w:tab w:val="left" w:pos="9781"/>
              </w:tabs>
              <w:kinsoku w:val="0"/>
              <w:overflowPunct w:val="0"/>
              <w:spacing w:line="240" w:lineRule="auto"/>
              <w:ind w:left="1382" w:right="1382"/>
              <w:jc w:val="center"/>
              <w:rPr>
                <w:sz w:val="22"/>
                <w:szCs w:val="22"/>
              </w:rPr>
            </w:pPr>
            <w:r w:rsidRPr="00E8404F">
              <w:rPr>
                <w:sz w:val="22"/>
                <w:szCs w:val="22"/>
              </w:rPr>
              <w:t>10 (15)</w:t>
            </w:r>
          </w:p>
        </w:tc>
        <w:tc>
          <w:tcPr>
            <w:tcW w:w="3520" w:type="dxa"/>
            <w:gridSpan w:val="2"/>
            <w:tcBorders>
              <w:top w:val="single" w:sz="4" w:space="0" w:color="000000"/>
              <w:left w:val="single" w:sz="4" w:space="0" w:color="000000"/>
              <w:bottom w:val="single" w:sz="4" w:space="0" w:color="000000"/>
              <w:right w:val="single" w:sz="4" w:space="0" w:color="000000"/>
            </w:tcBorders>
          </w:tcPr>
          <w:p w14:paraId="75881510" w14:textId="77777777" w:rsidR="00725429" w:rsidRPr="00E8404F" w:rsidRDefault="00725429" w:rsidP="00725429">
            <w:pPr>
              <w:pStyle w:val="TableParagraph"/>
              <w:tabs>
                <w:tab w:val="left" w:pos="9781"/>
              </w:tabs>
              <w:kinsoku w:val="0"/>
              <w:overflowPunct w:val="0"/>
              <w:spacing w:line="240" w:lineRule="auto"/>
              <w:ind w:left="1386" w:right="1381"/>
              <w:jc w:val="center"/>
              <w:rPr>
                <w:sz w:val="22"/>
                <w:szCs w:val="22"/>
              </w:rPr>
            </w:pPr>
            <w:r w:rsidRPr="00E8404F">
              <w:rPr>
                <w:sz w:val="22"/>
                <w:szCs w:val="22"/>
              </w:rPr>
              <w:t>0 (0)</w:t>
            </w:r>
          </w:p>
        </w:tc>
      </w:tr>
      <w:tr w:rsidR="00725429" w:rsidRPr="00E8404F" w14:paraId="2FDBAD66" w14:textId="77777777" w:rsidTr="00725429">
        <w:trPr>
          <w:trHeight w:val="258"/>
        </w:trPr>
        <w:tc>
          <w:tcPr>
            <w:tcW w:w="2530" w:type="dxa"/>
            <w:tcBorders>
              <w:top w:val="single" w:sz="4" w:space="0" w:color="000000"/>
              <w:left w:val="single" w:sz="4" w:space="0" w:color="000000"/>
              <w:bottom w:val="single" w:sz="4" w:space="0" w:color="000000"/>
              <w:right w:val="single" w:sz="4" w:space="0" w:color="000000"/>
            </w:tcBorders>
          </w:tcPr>
          <w:p w14:paraId="20CA314E" w14:textId="77777777" w:rsidR="00725429" w:rsidRPr="00E8404F" w:rsidRDefault="00725429" w:rsidP="00725429">
            <w:pPr>
              <w:pStyle w:val="TableParagraph"/>
              <w:tabs>
                <w:tab w:val="left" w:pos="9781"/>
              </w:tabs>
              <w:kinsoku w:val="0"/>
              <w:overflowPunct w:val="0"/>
              <w:spacing w:line="240" w:lineRule="auto"/>
              <w:ind w:left="390"/>
              <w:rPr>
                <w:sz w:val="22"/>
                <w:szCs w:val="22"/>
              </w:rPr>
            </w:pPr>
            <w:r w:rsidRPr="00E8404F">
              <w:rPr>
                <w:sz w:val="22"/>
                <w:szCs w:val="22"/>
              </w:rPr>
              <w:t>Fuldstændig respons</w:t>
            </w:r>
          </w:p>
        </w:tc>
        <w:tc>
          <w:tcPr>
            <w:tcW w:w="3604" w:type="dxa"/>
            <w:gridSpan w:val="2"/>
            <w:tcBorders>
              <w:top w:val="single" w:sz="4" w:space="0" w:color="000000"/>
              <w:left w:val="single" w:sz="4" w:space="0" w:color="000000"/>
              <w:bottom w:val="single" w:sz="4" w:space="0" w:color="000000"/>
              <w:right w:val="single" w:sz="4" w:space="0" w:color="000000"/>
            </w:tcBorders>
          </w:tcPr>
          <w:p w14:paraId="07D24F9D" w14:textId="77777777" w:rsidR="00725429" w:rsidRPr="00E8404F" w:rsidRDefault="00725429" w:rsidP="00725429">
            <w:pPr>
              <w:pStyle w:val="TableParagraph"/>
              <w:tabs>
                <w:tab w:val="left" w:pos="9781"/>
              </w:tabs>
              <w:kinsoku w:val="0"/>
              <w:overflowPunct w:val="0"/>
              <w:spacing w:line="240" w:lineRule="auto"/>
              <w:ind w:left="0"/>
              <w:jc w:val="center"/>
              <w:rPr>
                <w:sz w:val="22"/>
                <w:szCs w:val="22"/>
              </w:rPr>
            </w:pPr>
            <w:r w:rsidRPr="00E8404F">
              <w:rPr>
                <w:sz w:val="22"/>
                <w:szCs w:val="22"/>
              </w:rPr>
              <w:t>0</w:t>
            </w:r>
          </w:p>
        </w:tc>
        <w:tc>
          <w:tcPr>
            <w:tcW w:w="3520" w:type="dxa"/>
            <w:gridSpan w:val="2"/>
            <w:tcBorders>
              <w:top w:val="single" w:sz="4" w:space="0" w:color="000000"/>
              <w:left w:val="single" w:sz="4" w:space="0" w:color="000000"/>
              <w:bottom w:val="single" w:sz="4" w:space="0" w:color="000000"/>
              <w:right w:val="single" w:sz="4" w:space="0" w:color="000000"/>
            </w:tcBorders>
          </w:tcPr>
          <w:p w14:paraId="2A44E396" w14:textId="77777777" w:rsidR="00725429" w:rsidRPr="00E8404F" w:rsidRDefault="00725429" w:rsidP="00725429">
            <w:pPr>
              <w:pStyle w:val="TableParagraph"/>
              <w:tabs>
                <w:tab w:val="left" w:pos="9781"/>
              </w:tabs>
              <w:kinsoku w:val="0"/>
              <w:overflowPunct w:val="0"/>
              <w:spacing w:line="240" w:lineRule="auto"/>
              <w:ind w:left="4"/>
              <w:jc w:val="center"/>
              <w:rPr>
                <w:sz w:val="22"/>
                <w:szCs w:val="22"/>
              </w:rPr>
            </w:pPr>
            <w:r w:rsidRPr="00E8404F">
              <w:rPr>
                <w:sz w:val="22"/>
                <w:szCs w:val="22"/>
              </w:rPr>
              <w:t>0</w:t>
            </w:r>
          </w:p>
        </w:tc>
      </w:tr>
      <w:tr w:rsidR="00725429" w:rsidRPr="00E8404F" w14:paraId="56B46A4A" w14:textId="77777777" w:rsidTr="00725429">
        <w:trPr>
          <w:trHeight w:val="261"/>
        </w:trPr>
        <w:tc>
          <w:tcPr>
            <w:tcW w:w="2530" w:type="dxa"/>
            <w:tcBorders>
              <w:top w:val="single" w:sz="4" w:space="0" w:color="000000"/>
              <w:left w:val="single" w:sz="4" w:space="0" w:color="000000"/>
              <w:bottom w:val="single" w:sz="4" w:space="0" w:color="000000"/>
              <w:right w:val="single" w:sz="4" w:space="0" w:color="000000"/>
            </w:tcBorders>
          </w:tcPr>
          <w:p w14:paraId="1997F138" w14:textId="77777777" w:rsidR="00725429" w:rsidRPr="00E8404F" w:rsidRDefault="00725429" w:rsidP="00725429">
            <w:pPr>
              <w:pStyle w:val="TableParagraph"/>
              <w:tabs>
                <w:tab w:val="left" w:pos="9781"/>
              </w:tabs>
              <w:kinsoku w:val="0"/>
              <w:overflowPunct w:val="0"/>
              <w:spacing w:line="240" w:lineRule="auto"/>
              <w:ind w:left="390"/>
              <w:rPr>
                <w:sz w:val="22"/>
                <w:szCs w:val="22"/>
              </w:rPr>
            </w:pPr>
            <w:r w:rsidRPr="00E8404F">
              <w:rPr>
                <w:sz w:val="22"/>
                <w:szCs w:val="22"/>
              </w:rPr>
              <w:t>Delvis respons</w:t>
            </w:r>
          </w:p>
        </w:tc>
        <w:tc>
          <w:tcPr>
            <w:tcW w:w="3604" w:type="dxa"/>
            <w:gridSpan w:val="2"/>
            <w:tcBorders>
              <w:top w:val="single" w:sz="4" w:space="0" w:color="000000"/>
              <w:left w:val="single" w:sz="4" w:space="0" w:color="000000"/>
              <w:bottom w:val="single" w:sz="4" w:space="0" w:color="000000"/>
              <w:right w:val="single" w:sz="4" w:space="0" w:color="000000"/>
            </w:tcBorders>
          </w:tcPr>
          <w:p w14:paraId="750DB44A" w14:textId="77777777" w:rsidR="00725429" w:rsidRPr="00E8404F" w:rsidRDefault="00725429" w:rsidP="00725429">
            <w:pPr>
              <w:pStyle w:val="TableParagraph"/>
              <w:tabs>
                <w:tab w:val="left" w:pos="9781"/>
              </w:tabs>
              <w:kinsoku w:val="0"/>
              <w:overflowPunct w:val="0"/>
              <w:spacing w:line="240" w:lineRule="auto"/>
              <w:ind w:left="1383" w:right="1382"/>
              <w:jc w:val="center"/>
              <w:rPr>
                <w:sz w:val="22"/>
                <w:szCs w:val="22"/>
              </w:rPr>
            </w:pPr>
            <w:r w:rsidRPr="00E8404F">
              <w:rPr>
                <w:sz w:val="22"/>
                <w:szCs w:val="22"/>
              </w:rPr>
              <w:t>10 (15)</w:t>
            </w:r>
          </w:p>
        </w:tc>
        <w:tc>
          <w:tcPr>
            <w:tcW w:w="3520" w:type="dxa"/>
            <w:gridSpan w:val="2"/>
            <w:tcBorders>
              <w:top w:val="single" w:sz="4" w:space="0" w:color="000000"/>
              <w:left w:val="single" w:sz="4" w:space="0" w:color="000000"/>
              <w:bottom w:val="single" w:sz="4" w:space="0" w:color="000000"/>
              <w:right w:val="single" w:sz="4" w:space="0" w:color="000000"/>
            </w:tcBorders>
          </w:tcPr>
          <w:p w14:paraId="29CA7342" w14:textId="77777777" w:rsidR="00725429" w:rsidRPr="00E8404F" w:rsidRDefault="00725429" w:rsidP="00725429">
            <w:pPr>
              <w:pStyle w:val="TableParagraph"/>
              <w:tabs>
                <w:tab w:val="left" w:pos="9781"/>
              </w:tabs>
              <w:kinsoku w:val="0"/>
              <w:overflowPunct w:val="0"/>
              <w:spacing w:line="240" w:lineRule="auto"/>
              <w:ind w:left="4"/>
              <w:jc w:val="center"/>
              <w:rPr>
                <w:sz w:val="22"/>
                <w:szCs w:val="22"/>
              </w:rPr>
            </w:pPr>
            <w:r w:rsidRPr="00E8404F">
              <w:rPr>
                <w:sz w:val="22"/>
                <w:szCs w:val="22"/>
              </w:rPr>
              <w:t>0</w:t>
            </w:r>
          </w:p>
        </w:tc>
      </w:tr>
      <w:tr w:rsidR="00725429" w:rsidRPr="00E8404F" w14:paraId="7B5B03B3" w14:textId="77777777" w:rsidTr="00725429">
        <w:trPr>
          <w:trHeight w:val="258"/>
        </w:trPr>
        <w:tc>
          <w:tcPr>
            <w:tcW w:w="2530" w:type="dxa"/>
            <w:tcBorders>
              <w:top w:val="single" w:sz="4" w:space="0" w:color="000000"/>
              <w:left w:val="single" w:sz="4" w:space="0" w:color="000000"/>
              <w:bottom w:val="single" w:sz="4" w:space="0" w:color="000000"/>
              <w:right w:val="single" w:sz="4" w:space="0" w:color="000000"/>
            </w:tcBorders>
          </w:tcPr>
          <w:p w14:paraId="625E8561" w14:textId="77777777" w:rsidR="00725429" w:rsidRPr="00E8404F" w:rsidRDefault="00725429" w:rsidP="00725429">
            <w:pPr>
              <w:pStyle w:val="TableParagraph"/>
              <w:tabs>
                <w:tab w:val="left" w:pos="9781"/>
              </w:tabs>
              <w:kinsoku w:val="0"/>
              <w:overflowPunct w:val="0"/>
              <w:spacing w:line="240" w:lineRule="auto"/>
              <w:ind w:left="390"/>
              <w:rPr>
                <w:sz w:val="22"/>
                <w:szCs w:val="22"/>
              </w:rPr>
            </w:pPr>
            <w:r w:rsidRPr="00E8404F">
              <w:rPr>
                <w:sz w:val="22"/>
                <w:szCs w:val="22"/>
              </w:rPr>
              <w:t>Stabil sygdom</w:t>
            </w:r>
          </w:p>
        </w:tc>
        <w:tc>
          <w:tcPr>
            <w:tcW w:w="3604" w:type="dxa"/>
            <w:gridSpan w:val="2"/>
            <w:tcBorders>
              <w:top w:val="single" w:sz="4" w:space="0" w:color="000000"/>
              <w:left w:val="single" w:sz="4" w:space="0" w:color="000000"/>
              <w:bottom w:val="single" w:sz="4" w:space="0" w:color="000000"/>
              <w:right w:val="single" w:sz="4" w:space="0" w:color="000000"/>
            </w:tcBorders>
          </w:tcPr>
          <w:p w14:paraId="5F2FB4AD" w14:textId="77777777" w:rsidR="00725429" w:rsidRPr="00E8404F" w:rsidRDefault="00725429" w:rsidP="00725429">
            <w:pPr>
              <w:pStyle w:val="TableParagraph"/>
              <w:tabs>
                <w:tab w:val="left" w:pos="9781"/>
              </w:tabs>
              <w:kinsoku w:val="0"/>
              <w:overflowPunct w:val="0"/>
              <w:spacing w:line="240" w:lineRule="auto"/>
              <w:ind w:left="1383" w:right="1382"/>
              <w:jc w:val="center"/>
              <w:rPr>
                <w:sz w:val="22"/>
                <w:szCs w:val="22"/>
              </w:rPr>
            </w:pPr>
            <w:r w:rsidRPr="00E8404F">
              <w:rPr>
                <w:sz w:val="22"/>
                <w:szCs w:val="22"/>
              </w:rPr>
              <w:t>46 (69)</w:t>
            </w:r>
          </w:p>
        </w:tc>
        <w:tc>
          <w:tcPr>
            <w:tcW w:w="3520" w:type="dxa"/>
            <w:gridSpan w:val="2"/>
            <w:tcBorders>
              <w:top w:val="single" w:sz="4" w:space="0" w:color="000000"/>
              <w:left w:val="single" w:sz="4" w:space="0" w:color="000000"/>
              <w:bottom w:val="single" w:sz="4" w:space="0" w:color="000000"/>
              <w:right w:val="single" w:sz="4" w:space="0" w:color="000000"/>
            </w:tcBorders>
          </w:tcPr>
          <w:p w14:paraId="443333E7" w14:textId="77777777" w:rsidR="00725429" w:rsidRPr="00E8404F" w:rsidRDefault="00725429" w:rsidP="00725429">
            <w:pPr>
              <w:pStyle w:val="TableParagraph"/>
              <w:tabs>
                <w:tab w:val="left" w:pos="9781"/>
              </w:tabs>
              <w:kinsoku w:val="0"/>
              <w:overflowPunct w:val="0"/>
              <w:spacing w:line="240" w:lineRule="auto"/>
              <w:ind w:left="1381" w:right="1381"/>
              <w:jc w:val="center"/>
              <w:rPr>
                <w:sz w:val="22"/>
                <w:szCs w:val="22"/>
              </w:rPr>
            </w:pPr>
            <w:r w:rsidRPr="00E8404F">
              <w:rPr>
                <w:sz w:val="22"/>
                <w:szCs w:val="22"/>
              </w:rPr>
              <w:t>14 (42)</w:t>
            </w:r>
          </w:p>
        </w:tc>
      </w:tr>
      <w:tr w:rsidR="00725429" w:rsidRPr="00E8404F" w14:paraId="10D8BF4F" w14:textId="77777777" w:rsidTr="00725429">
        <w:trPr>
          <w:trHeight w:val="261"/>
        </w:trPr>
        <w:tc>
          <w:tcPr>
            <w:tcW w:w="2530" w:type="dxa"/>
            <w:tcBorders>
              <w:top w:val="single" w:sz="4" w:space="0" w:color="000000"/>
              <w:left w:val="single" w:sz="4" w:space="0" w:color="000000"/>
              <w:bottom w:val="single" w:sz="4" w:space="0" w:color="000000"/>
              <w:right w:val="single" w:sz="4" w:space="0" w:color="000000"/>
            </w:tcBorders>
          </w:tcPr>
          <w:p w14:paraId="6DA9E19C" w14:textId="77777777" w:rsidR="00725429" w:rsidRPr="00E8404F" w:rsidRDefault="00725429" w:rsidP="00725429">
            <w:pPr>
              <w:pStyle w:val="TableParagraph"/>
              <w:tabs>
                <w:tab w:val="left" w:pos="9781"/>
              </w:tabs>
              <w:kinsoku w:val="0"/>
              <w:overflowPunct w:val="0"/>
              <w:spacing w:line="240" w:lineRule="auto"/>
              <w:ind w:left="390"/>
              <w:rPr>
                <w:sz w:val="22"/>
                <w:szCs w:val="22"/>
              </w:rPr>
            </w:pPr>
            <w:r w:rsidRPr="00E8404F">
              <w:rPr>
                <w:sz w:val="22"/>
                <w:szCs w:val="22"/>
              </w:rPr>
              <w:t>Progressiv sygdom</w:t>
            </w:r>
          </w:p>
        </w:tc>
        <w:tc>
          <w:tcPr>
            <w:tcW w:w="3604" w:type="dxa"/>
            <w:gridSpan w:val="2"/>
            <w:tcBorders>
              <w:top w:val="single" w:sz="4" w:space="0" w:color="000000"/>
              <w:left w:val="single" w:sz="4" w:space="0" w:color="000000"/>
              <w:bottom w:val="single" w:sz="4" w:space="0" w:color="000000"/>
              <w:right w:val="single" w:sz="4" w:space="0" w:color="000000"/>
            </w:tcBorders>
          </w:tcPr>
          <w:p w14:paraId="294119FB" w14:textId="77777777" w:rsidR="00725429" w:rsidRPr="00E8404F" w:rsidRDefault="00725429" w:rsidP="00725429">
            <w:pPr>
              <w:pStyle w:val="TableParagraph"/>
              <w:tabs>
                <w:tab w:val="left" w:pos="9781"/>
              </w:tabs>
              <w:kinsoku w:val="0"/>
              <w:overflowPunct w:val="0"/>
              <w:spacing w:line="240" w:lineRule="auto"/>
              <w:ind w:left="1383" w:right="1382"/>
              <w:jc w:val="center"/>
              <w:rPr>
                <w:sz w:val="22"/>
                <w:szCs w:val="22"/>
              </w:rPr>
            </w:pPr>
            <w:r w:rsidRPr="00E8404F">
              <w:rPr>
                <w:sz w:val="22"/>
                <w:szCs w:val="22"/>
              </w:rPr>
              <w:t>4 (6)</w:t>
            </w:r>
          </w:p>
        </w:tc>
        <w:tc>
          <w:tcPr>
            <w:tcW w:w="3520" w:type="dxa"/>
            <w:gridSpan w:val="2"/>
            <w:tcBorders>
              <w:top w:val="single" w:sz="4" w:space="0" w:color="000000"/>
              <w:left w:val="single" w:sz="4" w:space="0" w:color="000000"/>
              <w:bottom w:val="single" w:sz="4" w:space="0" w:color="000000"/>
              <w:right w:val="single" w:sz="4" w:space="0" w:color="000000"/>
            </w:tcBorders>
          </w:tcPr>
          <w:p w14:paraId="418E72D9" w14:textId="77777777" w:rsidR="00725429" w:rsidRPr="00E8404F" w:rsidRDefault="00725429" w:rsidP="00725429">
            <w:pPr>
              <w:pStyle w:val="TableParagraph"/>
              <w:tabs>
                <w:tab w:val="left" w:pos="9781"/>
              </w:tabs>
              <w:kinsoku w:val="0"/>
              <w:overflowPunct w:val="0"/>
              <w:spacing w:line="240" w:lineRule="auto"/>
              <w:ind w:left="1381" w:right="1381"/>
              <w:jc w:val="center"/>
              <w:rPr>
                <w:sz w:val="22"/>
                <w:szCs w:val="22"/>
              </w:rPr>
            </w:pPr>
            <w:r w:rsidRPr="00E8404F">
              <w:rPr>
                <w:sz w:val="22"/>
                <w:szCs w:val="22"/>
              </w:rPr>
              <w:t>18 (55)</w:t>
            </w:r>
          </w:p>
        </w:tc>
      </w:tr>
    </w:tbl>
    <w:p w14:paraId="662FF052" w14:textId="77777777" w:rsidR="00725429" w:rsidRPr="00E8404F" w:rsidRDefault="00725429" w:rsidP="00725429">
      <w:pPr>
        <w:pStyle w:val="Brdtekst"/>
        <w:tabs>
          <w:tab w:val="left" w:pos="9781"/>
        </w:tabs>
        <w:kinsoku w:val="0"/>
        <w:overflowPunct w:val="0"/>
        <w:ind w:left="567" w:right="1897"/>
        <w:rPr>
          <w:sz w:val="18"/>
          <w:szCs w:val="18"/>
        </w:rPr>
      </w:pPr>
      <w:r w:rsidRPr="00E8404F">
        <w:rPr>
          <w:sz w:val="18"/>
          <w:szCs w:val="18"/>
        </w:rPr>
        <w:t>* Den primære analyse af PFS inkluderede censurering for ny anti-cancer-behandling. Resultaterne for PFS med eller uden censurering af ny anti-cancer-behandling var konsistente.</w:t>
      </w:r>
    </w:p>
    <w:p w14:paraId="58236396" w14:textId="77777777" w:rsidR="00725429" w:rsidRPr="00E8404F" w:rsidRDefault="00725429" w:rsidP="00725429">
      <w:pPr>
        <w:pStyle w:val="Brdtekst"/>
        <w:tabs>
          <w:tab w:val="left" w:pos="9781"/>
        </w:tabs>
        <w:kinsoku w:val="0"/>
        <w:overflowPunct w:val="0"/>
        <w:ind w:left="567"/>
        <w:rPr>
          <w:sz w:val="18"/>
          <w:szCs w:val="18"/>
        </w:rPr>
      </w:pPr>
      <w:r w:rsidRPr="00E8404F">
        <w:rPr>
          <w:sz w:val="18"/>
          <w:szCs w:val="18"/>
        </w:rPr>
        <w:t>CI, konfidensinterval; NE, ikke evaluerbar.</w:t>
      </w:r>
    </w:p>
    <w:p w14:paraId="60B05D9D" w14:textId="77777777" w:rsidR="00725429" w:rsidRPr="00E8404F" w:rsidRDefault="00725429" w:rsidP="00725429">
      <w:pPr>
        <w:pStyle w:val="Brdtekst"/>
        <w:tabs>
          <w:tab w:val="left" w:pos="9781"/>
        </w:tabs>
        <w:kinsoku w:val="0"/>
        <w:overflowPunct w:val="0"/>
        <w:ind w:left="567"/>
        <w:rPr>
          <w:sz w:val="18"/>
          <w:szCs w:val="18"/>
        </w:rPr>
      </w:pPr>
      <w:r w:rsidRPr="00E8404F">
        <w:rPr>
          <w:position w:val="6"/>
          <w:sz w:val="12"/>
          <w:szCs w:val="12"/>
        </w:rPr>
        <w:t xml:space="preserve">1 </w:t>
      </w:r>
      <w:r w:rsidRPr="00E8404F">
        <w:rPr>
          <w:i/>
          <w:iCs/>
          <w:sz w:val="18"/>
          <w:szCs w:val="18"/>
        </w:rPr>
        <w:t>Cut-off-</w:t>
      </w:r>
      <w:r w:rsidRPr="00E8404F">
        <w:rPr>
          <w:sz w:val="18"/>
          <w:szCs w:val="18"/>
        </w:rPr>
        <w:t>datoen for den primære analyse er 19. august 2020.</w:t>
      </w:r>
    </w:p>
    <w:p w14:paraId="69042DFE" w14:textId="77777777" w:rsidR="00725429" w:rsidRPr="00F1634B" w:rsidRDefault="00725429" w:rsidP="00725429">
      <w:pPr>
        <w:pStyle w:val="Brdtekst"/>
        <w:tabs>
          <w:tab w:val="left" w:pos="9781"/>
        </w:tabs>
        <w:kinsoku w:val="0"/>
        <w:overflowPunct w:val="0"/>
        <w:ind w:left="567"/>
        <w:rPr>
          <w:sz w:val="18"/>
          <w:szCs w:val="18"/>
        </w:rPr>
      </w:pPr>
      <w:r w:rsidRPr="00F1634B">
        <w:rPr>
          <w:position w:val="6"/>
          <w:sz w:val="18"/>
          <w:szCs w:val="18"/>
        </w:rPr>
        <w:t xml:space="preserve">2 </w:t>
      </w:r>
      <w:r w:rsidRPr="00F1634B">
        <w:rPr>
          <w:i/>
          <w:iCs/>
          <w:sz w:val="18"/>
          <w:szCs w:val="18"/>
        </w:rPr>
        <w:t>Cut-off-</w:t>
      </w:r>
      <w:r w:rsidRPr="00F1634B">
        <w:rPr>
          <w:sz w:val="18"/>
          <w:szCs w:val="18"/>
        </w:rPr>
        <w:t>datoen for den sekundære analyse er 08. februar 2021.</w:t>
      </w:r>
    </w:p>
    <w:p w14:paraId="606560EF" w14:textId="77777777" w:rsidR="00725429" w:rsidRPr="00F1634B" w:rsidRDefault="00725429" w:rsidP="00725429">
      <w:pPr>
        <w:pStyle w:val="Brdtekst"/>
        <w:tabs>
          <w:tab w:val="left" w:pos="9781"/>
        </w:tabs>
        <w:kinsoku w:val="0"/>
        <w:overflowPunct w:val="0"/>
        <w:ind w:left="567"/>
        <w:rPr>
          <w:sz w:val="18"/>
          <w:szCs w:val="18"/>
        </w:rPr>
      </w:pPr>
      <w:r w:rsidRPr="00F1634B">
        <w:rPr>
          <w:position w:val="6"/>
          <w:sz w:val="18"/>
          <w:szCs w:val="18"/>
        </w:rPr>
        <w:t xml:space="preserve">3 </w:t>
      </w:r>
      <w:r w:rsidRPr="00F1634B">
        <w:rPr>
          <w:sz w:val="18"/>
          <w:szCs w:val="18"/>
        </w:rPr>
        <w:t xml:space="preserve">Estimeret ved hjælp af </w:t>
      </w:r>
      <w:r w:rsidRPr="00F1634B">
        <w:rPr>
          <w:i/>
          <w:iCs/>
          <w:sz w:val="18"/>
          <w:szCs w:val="18"/>
        </w:rPr>
        <w:t>Cox proportional harzard</w:t>
      </w:r>
      <w:r w:rsidRPr="00F1634B">
        <w:rPr>
          <w:sz w:val="18"/>
          <w:szCs w:val="18"/>
        </w:rPr>
        <w:t>-modellen.</w:t>
      </w:r>
    </w:p>
    <w:p w14:paraId="2C448DBD" w14:textId="77777777" w:rsidR="00725429" w:rsidRPr="00F1634B" w:rsidRDefault="00725429" w:rsidP="00725429">
      <w:pPr>
        <w:pStyle w:val="Brdtekst"/>
        <w:tabs>
          <w:tab w:val="left" w:pos="9781"/>
        </w:tabs>
        <w:kinsoku w:val="0"/>
        <w:overflowPunct w:val="0"/>
        <w:ind w:left="567" w:right="1119"/>
        <w:rPr>
          <w:sz w:val="18"/>
          <w:szCs w:val="18"/>
        </w:rPr>
      </w:pPr>
      <w:r w:rsidRPr="00F1634B">
        <w:rPr>
          <w:position w:val="6"/>
          <w:sz w:val="18"/>
          <w:szCs w:val="18"/>
        </w:rPr>
        <w:t xml:space="preserve">4 </w:t>
      </w:r>
      <w:r w:rsidRPr="00F1634B">
        <w:rPr>
          <w:sz w:val="18"/>
          <w:szCs w:val="18"/>
        </w:rPr>
        <w:t xml:space="preserve">Log-rank test stratificeret efter tidligere modtagelse af lenvatinib (ja </w:t>
      </w:r>
      <w:r w:rsidRPr="00F1634B">
        <w:rPr>
          <w:i/>
          <w:iCs/>
          <w:sz w:val="18"/>
          <w:szCs w:val="18"/>
        </w:rPr>
        <w:t xml:space="preserve">vs. </w:t>
      </w:r>
      <w:r w:rsidRPr="00F1634B">
        <w:rPr>
          <w:sz w:val="18"/>
          <w:szCs w:val="18"/>
        </w:rPr>
        <w:t xml:space="preserve">nej) og alder (≤ 65 år </w:t>
      </w:r>
      <w:r w:rsidRPr="00F1634B">
        <w:rPr>
          <w:i/>
          <w:iCs/>
          <w:sz w:val="18"/>
          <w:szCs w:val="18"/>
        </w:rPr>
        <w:t xml:space="preserve">vs. </w:t>
      </w:r>
      <w:r w:rsidRPr="00F1634B">
        <w:rPr>
          <w:sz w:val="18"/>
          <w:szCs w:val="18"/>
        </w:rPr>
        <w:t>&gt; 65 år) som stratifikationsfaktorer (pr. IxRS-data).</w:t>
      </w:r>
    </w:p>
    <w:p w14:paraId="5CFE4820" w14:textId="77777777" w:rsidR="00725429" w:rsidRPr="00F1634B" w:rsidRDefault="00725429" w:rsidP="00725429">
      <w:pPr>
        <w:ind w:left="567"/>
        <w:rPr>
          <w:sz w:val="18"/>
          <w:szCs w:val="18"/>
        </w:rPr>
      </w:pPr>
      <w:r w:rsidRPr="00F1634B">
        <w:rPr>
          <w:position w:val="6"/>
          <w:sz w:val="18"/>
          <w:szCs w:val="18"/>
        </w:rPr>
        <w:t xml:space="preserve">5 </w:t>
      </w:r>
      <w:r w:rsidRPr="00F1634B">
        <w:rPr>
          <w:sz w:val="18"/>
          <w:szCs w:val="18"/>
        </w:rPr>
        <w:t>Baseret på de første 100 patienter inkluderet i studiet med en median opfølgningsperiode på 8,9 måneder; n = 67 i cabozantinib- gruppen og n = 33 i placebo-gruppen. Forbedringerne i ORR var ikke statisk signifikante.</w:t>
      </w:r>
    </w:p>
    <w:p w14:paraId="71ED6242" w14:textId="3ADF671A" w:rsidR="005902E8" w:rsidRDefault="005902E8" w:rsidP="005902E8">
      <w:pPr>
        <w:tabs>
          <w:tab w:val="left" w:pos="851"/>
        </w:tabs>
        <w:ind w:left="851"/>
        <w:rPr>
          <w:sz w:val="24"/>
          <w:szCs w:val="24"/>
        </w:rPr>
      </w:pPr>
    </w:p>
    <w:p w14:paraId="7B8765CF" w14:textId="3A57AB42" w:rsidR="00B32313" w:rsidRDefault="00B32313" w:rsidP="00B32313">
      <w:pPr>
        <w:tabs>
          <w:tab w:val="left" w:pos="1134"/>
        </w:tabs>
        <w:ind w:left="1134" w:hanging="992"/>
        <w:rPr>
          <w:b/>
          <w:bCs/>
          <w:sz w:val="24"/>
          <w:szCs w:val="24"/>
        </w:rPr>
      </w:pPr>
      <w:r w:rsidRPr="00B32313">
        <w:rPr>
          <w:b/>
          <w:bCs/>
          <w:sz w:val="24"/>
          <w:szCs w:val="24"/>
        </w:rPr>
        <w:t>Figur 8:</w:t>
      </w:r>
      <w:r>
        <w:rPr>
          <w:b/>
          <w:bCs/>
          <w:sz w:val="24"/>
          <w:szCs w:val="24"/>
        </w:rPr>
        <w:tab/>
      </w:r>
      <w:r w:rsidRPr="00B32313">
        <w:rPr>
          <w:b/>
          <w:bCs/>
          <w:sz w:val="24"/>
          <w:szCs w:val="24"/>
        </w:rPr>
        <w:t>Kaplan-Meier-kurve for progressionsfri overlevelse i COSMIC-311 (opdateret analyse [</w:t>
      </w:r>
      <w:r w:rsidRPr="00B32313">
        <w:rPr>
          <w:b/>
          <w:bCs/>
          <w:i/>
          <w:iCs/>
          <w:sz w:val="24"/>
          <w:szCs w:val="24"/>
        </w:rPr>
        <w:t>cut- off-</w:t>
      </w:r>
      <w:r w:rsidRPr="00B32313">
        <w:rPr>
          <w:b/>
          <w:bCs/>
          <w:sz w:val="24"/>
          <w:szCs w:val="24"/>
        </w:rPr>
        <w:t>dato: 08. februar 2021], N = 258)</w:t>
      </w:r>
    </w:p>
    <w:p w14:paraId="5051E056" w14:textId="77777777" w:rsidR="00B32313" w:rsidRPr="00B32313" w:rsidRDefault="00B32313" w:rsidP="00B32313">
      <w:pPr>
        <w:tabs>
          <w:tab w:val="left" w:pos="1134"/>
        </w:tabs>
        <w:ind w:left="1134" w:hanging="992"/>
        <w:rPr>
          <w:b/>
          <w:bCs/>
          <w:sz w:val="24"/>
          <w:szCs w:val="24"/>
        </w:rPr>
      </w:pPr>
    </w:p>
    <w:p w14:paraId="2783244B" w14:textId="34F1106C" w:rsidR="005902E8" w:rsidRDefault="00B32313" w:rsidP="005902E8">
      <w:pPr>
        <w:tabs>
          <w:tab w:val="left" w:pos="851"/>
        </w:tabs>
        <w:ind w:left="851"/>
        <w:rPr>
          <w:sz w:val="24"/>
          <w:szCs w:val="24"/>
        </w:rPr>
      </w:pPr>
      <w:r w:rsidRPr="00E8404F">
        <w:rPr>
          <w:noProof/>
        </w:rPr>
        <mc:AlternateContent>
          <mc:Choice Requires="wps">
            <w:drawing>
              <wp:anchor distT="0" distB="0" distL="114300" distR="114300" simplePos="0" relativeHeight="251683840" behindDoc="0" locked="0" layoutInCell="0" allowOverlap="1" wp14:anchorId="614E764D" wp14:editId="35175DF8">
                <wp:simplePos x="0" y="0"/>
                <wp:positionH relativeFrom="page">
                  <wp:posOffset>992505</wp:posOffset>
                </wp:positionH>
                <wp:positionV relativeFrom="paragraph">
                  <wp:posOffset>5715</wp:posOffset>
                </wp:positionV>
                <wp:extent cx="165735" cy="2485390"/>
                <wp:effectExtent l="0" t="0" r="0" b="0"/>
                <wp:wrapNone/>
                <wp:docPr id="270293" name="Text Box 1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48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02CA2" w14:textId="77777777" w:rsidR="00B32313" w:rsidRDefault="00B32313" w:rsidP="00B32313">
                            <w:pPr>
                              <w:pStyle w:val="Brdtekst"/>
                              <w:kinsoku w:val="0"/>
                              <w:overflowPunct w:val="0"/>
                              <w:spacing w:before="10"/>
                              <w:ind w:left="20"/>
                              <w:rPr>
                                <w:b/>
                                <w:bCs/>
                                <w:sz w:val="20"/>
                                <w:szCs w:val="20"/>
                              </w:rPr>
                            </w:pPr>
                            <w:r>
                              <w:rPr>
                                <w:b/>
                                <w:bCs/>
                                <w:sz w:val="20"/>
                                <w:szCs w:val="20"/>
                              </w:rPr>
                              <w:t>Sandsynlighed for progressionsfri overlevelse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E764D" id="Text Box 1381" o:spid="_x0000_s1245" type="#_x0000_t202" style="position:absolute;left:0;text-align:left;margin-left:78.15pt;margin-top:.45pt;width:13.05pt;height:195.7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" o:allowincell="f" filled="f" stroked="f">
                <v:textbox style="layout-flow:vertical;mso-layout-flow-alt:bottom-to-top" inset="0,0,0,0">
                  <w:txbxContent>
                    <w:p w14:paraId="03C02CA2" w14:textId="77777777" w:rsidR="00B32313" w:rsidRDefault="00B32313" w:rsidP="00B32313">
                      <w:pPr>
                        <w:pStyle w:val="Brdtekst"/>
                        <w:kinsoku w:val="0"/>
                        <w:overflowPunct w:val="0"/>
                        <w:spacing w:before="10"/>
                        <w:ind w:left="20"/>
                        <w:rPr>
                          <w:b/>
                          <w:bCs/>
                          <w:sz w:val="20"/>
                          <w:szCs w:val="20"/>
                        </w:rPr>
                      </w:pPr>
                      <w:r>
                        <w:rPr>
                          <w:b/>
                          <w:bCs/>
                          <w:sz w:val="20"/>
                          <w:szCs w:val="20"/>
                        </w:rPr>
                        <w:t>Sandsynlighed for progressionsfri overlevelse</w:t>
                      </w:r>
                    </w:p>
                  </w:txbxContent>
                </v:textbox>
                <w10:wrap anchorx="page"/>
              </v:shape>
            </w:pict>
          </mc:Fallback>
        </mc:AlternateContent>
      </w:r>
    </w:p>
    <w:p w14:paraId="1DA0880F" w14:textId="13D6DD36" w:rsidR="00B32313" w:rsidRPr="00E8404F" w:rsidRDefault="00B32313" w:rsidP="00B32313">
      <w:pPr>
        <w:pStyle w:val="Brdtekst"/>
        <w:tabs>
          <w:tab w:val="left" w:pos="9781"/>
        </w:tabs>
        <w:kinsoku w:val="0"/>
        <w:overflowPunct w:val="0"/>
        <w:rPr>
          <w:b/>
          <w:bCs/>
          <w:sz w:val="27"/>
          <w:szCs w:val="27"/>
        </w:rPr>
      </w:pPr>
    </w:p>
    <w:p w14:paraId="3290596D" w14:textId="5BFC5B57" w:rsidR="00B32313" w:rsidRPr="00E8404F" w:rsidRDefault="00B32313" w:rsidP="00B32313">
      <w:pPr>
        <w:pStyle w:val="Brdtekst"/>
        <w:tabs>
          <w:tab w:val="left" w:pos="9781"/>
        </w:tabs>
        <w:kinsoku w:val="0"/>
        <w:overflowPunct w:val="0"/>
        <w:ind w:left="6979"/>
        <w:rPr>
          <w:rFonts w:ascii="Arial" w:hAnsi="Arial" w:cs="Arial"/>
          <w:sz w:val="18"/>
          <w:szCs w:val="18"/>
        </w:rPr>
      </w:pPr>
      <w:r w:rsidRPr="00E8404F">
        <w:rPr>
          <w:noProof/>
        </w:rPr>
        <mc:AlternateContent>
          <mc:Choice Requires="wps">
            <w:drawing>
              <wp:anchor distT="0" distB="0" distL="114300" distR="114300" simplePos="0" relativeHeight="251682816" behindDoc="1" locked="0" layoutInCell="0" allowOverlap="1" wp14:anchorId="045311CF" wp14:editId="57AD5C4D">
                <wp:simplePos x="0" y="0"/>
                <wp:positionH relativeFrom="page">
                  <wp:posOffset>1254125</wp:posOffset>
                </wp:positionH>
                <wp:positionV relativeFrom="paragraph">
                  <wp:posOffset>-106045</wp:posOffset>
                </wp:positionV>
                <wp:extent cx="4775200" cy="3149600"/>
                <wp:effectExtent l="0" t="0" r="0" b="0"/>
                <wp:wrapNone/>
                <wp:docPr id="763397325" name="Rectangle 1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0" cy="314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67257" w14:textId="77777777" w:rsidR="00B32313" w:rsidRDefault="00B32313" w:rsidP="00B32313">
                            <w:pPr>
                              <w:spacing w:line="4960" w:lineRule="atLeast"/>
                              <w:ind w:left="284"/>
                              <w:rPr>
                                <w:sz w:val="24"/>
                                <w:szCs w:val="24"/>
                              </w:rPr>
                            </w:pPr>
                            <w:r>
                              <w:rPr>
                                <w:noProof/>
                                <w:sz w:val="24"/>
                                <w:szCs w:val="24"/>
                              </w:rPr>
                              <w:drawing>
                                <wp:inline distT="0" distB="0" distL="0" distR="0" wp14:anchorId="7FF6E47D" wp14:editId="05D00302">
                                  <wp:extent cx="4572000" cy="3123036"/>
                                  <wp:effectExtent l="0" t="0" r="0" b="1270"/>
                                  <wp:docPr id="9754362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34241" cy="3165551"/>
                                          </a:xfrm>
                                          <a:prstGeom prst="rect">
                                            <a:avLst/>
                                          </a:prstGeom>
                                          <a:noFill/>
                                          <a:ln>
                                            <a:noFill/>
                                          </a:ln>
                                        </pic:spPr>
                                      </pic:pic>
                                    </a:graphicData>
                                  </a:graphic>
                                </wp:inline>
                              </w:drawing>
                            </w:r>
                          </w:p>
                          <w:p w14:paraId="5C8D5CF4" w14:textId="77777777" w:rsidR="00B32313" w:rsidRDefault="00B32313" w:rsidP="00B32313">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311CF" id="Rectangle 1380" o:spid="_x0000_s1246" style="position:absolute;left:0;text-align:left;margin-left:98.75pt;margin-top:-8.35pt;width:376pt;height:248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" o:allowincell="f" filled="f" stroked="f">
                <v:textbox inset="0,0,0,0">
                  <w:txbxContent>
                    <w:p w14:paraId="6FF67257" w14:textId="77777777" w:rsidR="00B32313" w:rsidRDefault="00B32313" w:rsidP="00B32313">
                      <w:pPr>
                        <w:spacing w:line="4960" w:lineRule="atLeast"/>
                        <w:ind w:left="284"/>
                        <w:rPr>
                          <w:sz w:val="24"/>
                          <w:szCs w:val="24"/>
                        </w:rPr>
                      </w:pPr>
                      <w:r>
                        <w:rPr>
                          <w:noProof/>
                          <w:sz w:val="24"/>
                          <w:szCs w:val="24"/>
                        </w:rPr>
                        <w:drawing>
                          <wp:inline distT="0" distB="0" distL="0" distR="0" wp14:anchorId="7FF6E47D" wp14:editId="05D00302">
                            <wp:extent cx="4572000" cy="3123036"/>
                            <wp:effectExtent l="0" t="0" r="0" b="1270"/>
                            <wp:docPr id="9754362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34241" cy="3165551"/>
                                    </a:xfrm>
                                    <a:prstGeom prst="rect">
                                      <a:avLst/>
                                    </a:prstGeom>
                                    <a:noFill/>
                                    <a:ln>
                                      <a:noFill/>
                                    </a:ln>
                                  </pic:spPr>
                                </pic:pic>
                              </a:graphicData>
                            </a:graphic>
                          </wp:inline>
                        </w:drawing>
                      </w:r>
                    </w:p>
                    <w:p w14:paraId="5C8D5CF4" w14:textId="77777777" w:rsidR="00B32313" w:rsidRDefault="00B32313" w:rsidP="00B32313">
                      <w:pPr>
                        <w:rPr>
                          <w:sz w:val="24"/>
                          <w:szCs w:val="24"/>
                        </w:rPr>
                      </w:pPr>
                    </w:p>
                  </w:txbxContent>
                </v:textbox>
                <w10:wrap anchorx="page"/>
              </v:rect>
            </w:pict>
          </mc:Fallback>
        </mc:AlternateContent>
      </w:r>
      <w:r w:rsidRPr="00E8404F">
        <w:rPr>
          <w:rFonts w:ascii="Arial" w:hAnsi="Arial" w:cs="Arial"/>
          <w:sz w:val="18"/>
          <w:szCs w:val="18"/>
        </w:rPr>
        <w:t xml:space="preserve">Cabozantinib </w:t>
      </w:r>
    </w:p>
    <w:p w14:paraId="66C38A5B" w14:textId="77777777" w:rsidR="00B32313" w:rsidRPr="00E8404F" w:rsidRDefault="00B32313" w:rsidP="00B32313">
      <w:pPr>
        <w:pStyle w:val="Brdtekst"/>
        <w:tabs>
          <w:tab w:val="left" w:pos="9781"/>
        </w:tabs>
        <w:kinsoku w:val="0"/>
        <w:overflowPunct w:val="0"/>
        <w:rPr>
          <w:rFonts w:ascii="Arial" w:hAnsi="Arial" w:cs="Arial"/>
          <w:sz w:val="16"/>
          <w:szCs w:val="16"/>
        </w:rPr>
      </w:pPr>
    </w:p>
    <w:p w14:paraId="769FA424" w14:textId="77777777" w:rsidR="00B32313" w:rsidRPr="00E8404F" w:rsidRDefault="00B32313" w:rsidP="00B32313">
      <w:pPr>
        <w:pStyle w:val="Brdtekst"/>
        <w:tabs>
          <w:tab w:val="left" w:pos="9781"/>
        </w:tabs>
        <w:kinsoku w:val="0"/>
        <w:overflowPunct w:val="0"/>
        <w:ind w:left="6980"/>
        <w:rPr>
          <w:rFonts w:ascii="Arial" w:hAnsi="Arial" w:cs="Arial"/>
          <w:sz w:val="18"/>
          <w:szCs w:val="18"/>
        </w:rPr>
      </w:pPr>
      <w:r w:rsidRPr="00E8404F">
        <w:rPr>
          <w:rFonts w:ascii="Arial" w:hAnsi="Arial" w:cs="Arial"/>
          <w:sz w:val="18"/>
          <w:szCs w:val="18"/>
        </w:rPr>
        <w:t>Placebo</w:t>
      </w:r>
    </w:p>
    <w:p w14:paraId="6568E62C" w14:textId="77777777" w:rsidR="00B32313" w:rsidRPr="00E8404F" w:rsidRDefault="00B32313" w:rsidP="00B32313">
      <w:pPr>
        <w:pStyle w:val="Brdtekst"/>
        <w:tabs>
          <w:tab w:val="left" w:pos="9781"/>
        </w:tabs>
        <w:kinsoku w:val="0"/>
        <w:overflowPunct w:val="0"/>
        <w:rPr>
          <w:rFonts w:ascii="Arial" w:hAnsi="Arial" w:cs="Arial"/>
          <w:sz w:val="20"/>
          <w:szCs w:val="20"/>
        </w:rPr>
      </w:pPr>
    </w:p>
    <w:p w14:paraId="1AE233E4" w14:textId="72ED7842" w:rsidR="00F05E1A" w:rsidRDefault="00F05E1A" w:rsidP="005902E8">
      <w:pPr>
        <w:tabs>
          <w:tab w:val="left" w:pos="851"/>
        </w:tabs>
        <w:ind w:left="851"/>
        <w:rPr>
          <w:sz w:val="24"/>
          <w:szCs w:val="24"/>
        </w:rPr>
      </w:pPr>
    </w:p>
    <w:p w14:paraId="1B2B724A" w14:textId="6CCC5387" w:rsidR="00F05E1A" w:rsidRDefault="00F05E1A" w:rsidP="005902E8">
      <w:pPr>
        <w:tabs>
          <w:tab w:val="left" w:pos="851"/>
        </w:tabs>
        <w:ind w:left="851"/>
        <w:rPr>
          <w:sz w:val="24"/>
          <w:szCs w:val="24"/>
        </w:rPr>
      </w:pPr>
    </w:p>
    <w:p w14:paraId="75AD494B" w14:textId="13E1A7C7" w:rsidR="00F05E1A" w:rsidRDefault="00F05E1A" w:rsidP="005902E8">
      <w:pPr>
        <w:tabs>
          <w:tab w:val="left" w:pos="851"/>
        </w:tabs>
        <w:ind w:left="851"/>
        <w:rPr>
          <w:sz w:val="24"/>
          <w:szCs w:val="24"/>
        </w:rPr>
      </w:pPr>
    </w:p>
    <w:p w14:paraId="52EE3590" w14:textId="1789BEF7" w:rsidR="00F05E1A" w:rsidRDefault="00F05E1A" w:rsidP="005902E8">
      <w:pPr>
        <w:tabs>
          <w:tab w:val="left" w:pos="851"/>
        </w:tabs>
        <w:ind w:left="851"/>
        <w:rPr>
          <w:sz w:val="24"/>
          <w:szCs w:val="24"/>
        </w:rPr>
      </w:pPr>
    </w:p>
    <w:p w14:paraId="1A6FC18E" w14:textId="4C61246D" w:rsidR="00F05E1A" w:rsidRDefault="00F05E1A" w:rsidP="005902E8">
      <w:pPr>
        <w:tabs>
          <w:tab w:val="left" w:pos="851"/>
        </w:tabs>
        <w:ind w:left="851"/>
        <w:rPr>
          <w:sz w:val="24"/>
          <w:szCs w:val="24"/>
        </w:rPr>
      </w:pPr>
    </w:p>
    <w:p w14:paraId="45BF3A25" w14:textId="54268165" w:rsidR="00F05E1A" w:rsidRDefault="00F05E1A" w:rsidP="005902E8">
      <w:pPr>
        <w:tabs>
          <w:tab w:val="left" w:pos="851"/>
        </w:tabs>
        <w:ind w:left="851"/>
        <w:rPr>
          <w:sz w:val="24"/>
          <w:szCs w:val="24"/>
        </w:rPr>
      </w:pPr>
    </w:p>
    <w:p w14:paraId="643EE55E" w14:textId="5BF233A5" w:rsidR="00F05E1A" w:rsidRDefault="00F05E1A" w:rsidP="005902E8">
      <w:pPr>
        <w:tabs>
          <w:tab w:val="left" w:pos="851"/>
        </w:tabs>
        <w:ind w:left="851"/>
        <w:rPr>
          <w:sz w:val="24"/>
          <w:szCs w:val="24"/>
        </w:rPr>
      </w:pPr>
    </w:p>
    <w:p w14:paraId="75B41B60" w14:textId="198B3B4C" w:rsidR="00F05E1A" w:rsidRDefault="00F05E1A" w:rsidP="005902E8">
      <w:pPr>
        <w:tabs>
          <w:tab w:val="left" w:pos="851"/>
        </w:tabs>
        <w:ind w:left="851"/>
        <w:rPr>
          <w:sz w:val="24"/>
          <w:szCs w:val="24"/>
        </w:rPr>
      </w:pPr>
    </w:p>
    <w:p w14:paraId="0D6E8B2F" w14:textId="77777777" w:rsidR="00F05E1A" w:rsidRDefault="00F05E1A" w:rsidP="005902E8">
      <w:pPr>
        <w:tabs>
          <w:tab w:val="left" w:pos="851"/>
        </w:tabs>
        <w:ind w:left="851"/>
        <w:rPr>
          <w:sz w:val="24"/>
          <w:szCs w:val="24"/>
        </w:rPr>
      </w:pPr>
    </w:p>
    <w:p w14:paraId="364D956E" w14:textId="77777777" w:rsidR="00B32313" w:rsidRDefault="00B32313" w:rsidP="005902E8">
      <w:pPr>
        <w:tabs>
          <w:tab w:val="left" w:pos="851"/>
        </w:tabs>
        <w:ind w:left="851"/>
        <w:rPr>
          <w:sz w:val="24"/>
          <w:szCs w:val="24"/>
        </w:rPr>
      </w:pPr>
    </w:p>
    <w:p w14:paraId="63B2CFC6" w14:textId="3471986A" w:rsidR="00B32313" w:rsidRPr="00396EB1" w:rsidRDefault="00B32313" w:rsidP="00B32313">
      <w:pPr>
        <w:ind w:left="426"/>
        <w:rPr>
          <w:b/>
          <w:sz w:val="24"/>
          <w:szCs w:val="24"/>
        </w:rPr>
      </w:pPr>
      <w:r w:rsidRPr="00396EB1">
        <w:rPr>
          <w:b/>
          <w:sz w:val="24"/>
          <w:szCs w:val="24"/>
        </w:rPr>
        <w:t>Måneder</w:t>
      </w:r>
    </w:p>
    <w:p w14:paraId="067239A5" w14:textId="77777777" w:rsidR="00B32313" w:rsidRDefault="00B32313" w:rsidP="005902E8">
      <w:pPr>
        <w:tabs>
          <w:tab w:val="left" w:pos="851"/>
        </w:tabs>
        <w:ind w:left="851"/>
        <w:rPr>
          <w:sz w:val="24"/>
          <w:szCs w:val="24"/>
        </w:rPr>
      </w:pPr>
    </w:p>
    <w:p w14:paraId="70EF114F" w14:textId="5E4414B6" w:rsidR="00B32313" w:rsidRPr="00B32313" w:rsidRDefault="00B32313" w:rsidP="00B32313">
      <w:pPr>
        <w:ind w:left="426"/>
        <w:rPr>
          <w:b/>
          <w:sz w:val="18"/>
          <w:szCs w:val="18"/>
        </w:rPr>
      </w:pPr>
      <w:r w:rsidRPr="00B32313">
        <w:rPr>
          <w:b/>
          <w:sz w:val="18"/>
          <w:szCs w:val="18"/>
        </w:rPr>
        <w:t>Antal i risiko:</w:t>
      </w:r>
    </w:p>
    <w:p w14:paraId="74DB799C" w14:textId="6BC88BBF" w:rsidR="00B32313" w:rsidRPr="00B32313" w:rsidRDefault="00B32313" w:rsidP="00B32313">
      <w:pPr>
        <w:ind w:left="426"/>
        <w:rPr>
          <w:sz w:val="18"/>
          <w:szCs w:val="18"/>
        </w:rPr>
      </w:pPr>
      <w:r w:rsidRPr="00B32313">
        <w:rPr>
          <w:sz w:val="18"/>
          <w:szCs w:val="18"/>
        </w:rPr>
        <w:t>Cabozantinib</w:t>
      </w:r>
    </w:p>
    <w:p w14:paraId="07A60BB6" w14:textId="502AB032" w:rsidR="00B32313" w:rsidRPr="00B32313" w:rsidRDefault="00B32313" w:rsidP="00B32313">
      <w:pPr>
        <w:ind w:left="426"/>
        <w:rPr>
          <w:sz w:val="18"/>
          <w:szCs w:val="18"/>
        </w:rPr>
      </w:pPr>
      <w:r w:rsidRPr="00B32313">
        <w:rPr>
          <w:sz w:val="18"/>
          <w:szCs w:val="18"/>
        </w:rPr>
        <w:t>Placebo</w:t>
      </w:r>
    </w:p>
    <w:p w14:paraId="793854E8" w14:textId="77777777" w:rsidR="00B32313" w:rsidRDefault="00B32313" w:rsidP="00B32313">
      <w:pPr>
        <w:ind w:left="426"/>
        <w:rPr>
          <w:sz w:val="24"/>
          <w:szCs w:val="24"/>
        </w:rPr>
      </w:pPr>
    </w:p>
    <w:p w14:paraId="0017C2A9" w14:textId="77777777" w:rsidR="00B32313" w:rsidRDefault="00B32313" w:rsidP="005902E8">
      <w:pPr>
        <w:tabs>
          <w:tab w:val="left" w:pos="851"/>
        </w:tabs>
        <w:ind w:left="851"/>
        <w:rPr>
          <w:sz w:val="24"/>
          <w:szCs w:val="24"/>
        </w:rPr>
      </w:pPr>
    </w:p>
    <w:p w14:paraId="4AF8A0FD" w14:textId="77777777" w:rsidR="007A3F4D" w:rsidRPr="00B32313" w:rsidRDefault="007A3F4D" w:rsidP="007A3F4D">
      <w:pPr>
        <w:ind w:left="851"/>
        <w:rPr>
          <w:sz w:val="24"/>
          <w:szCs w:val="24"/>
          <w:u w:val="single"/>
        </w:rPr>
      </w:pPr>
      <w:r w:rsidRPr="00B32313">
        <w:rPr>
          <w:sz w:val="24"/>
          <w:szCs w:val="24"/>
          <w:u w:val="single" w:color="000000"/>
        </w:rPr>
        <w:t>Pædiatrisk population</w:t>
      </w:r>
    </w:p>
    <w:p w14:paraId="3F44DD02" w14:textId="77777777" w:rsidR="007A3F4D" w:rsidRPr="00EA53EA" w:rsidRDefault="007A3F4D" w:rsidP="007A3F4D">
      <w:pPr>
        <w:ind w:left="851"/>
        <w:rPr>
          <w:sz w:val="24"/>
          <w:szCs w:val="24"/>
        </w:rPr>
      </w:pPr>
      <w:r w:rsidRPr="00EA53EA">
        <w:rPr>
          <w:sz w:val="24"/>
          <w:szCs w:val="24"/>
        </w:rPr>
        <w:t>Det Europæiske Lægemiddelagentur har udsat kravet om at fremlægge resultaterne af nogle studier med cabozantinib i en eller flere undergrupper af den pædiatriske population ved behandlingen af solide maligne tumorer (se pkt. 4.2 for oplysninger om pædiatrisk anvendelse).</w:t>
      </w:r>
    </w:p>
    <w:p w14:paraId="4FDF5A0F" w14:textId="77777777" w:rsidR="007A3F4D" w:rsidRPr="00EA53EA" w:rsidRDefault="007A3F4D" w:rsidP="007A3F4D">
      <w:pPr>
        <w:ind w:left="851"/>
        <w:rPr>
          <w:sz w:val="24"/>
          <w:szCs w:val="24"/>
        </w:rPr>
      </w:pPr>
    </w:p>
    <w:p w14:paraId="468EE477" w14:textId="77777777" w:rsidR="007A3F4D" w:rsidRPr="00EA53EA" w:rsidRDefault="007A3F4D" w:rsidP="007A3F4D">
      <w:pPr>
        <w:ind w:left="851"/>
        <w:rPr>
          <w:i/>
          <w:iCs/>
          <w:sz w:val="24"/>
          <w:szCs w:val="24"/>
          <w:u w:color="000000"/>
        </w:rPr>
      </w:pPr>
      <w:r w:rsidRPr="00EA53EA">
        <w:rPr>
          <w:i/>
          <w:iCs/>
          <w:sz w:val="24"/>
          <w:szCs w:val="24"/>
          <w:u w:color="000000"/>
        </w:rPr>
        <w:t>ADVL1211</w:t>
      </w:r>
    </w:p>
    <w:p w14:paraId="02A8C73E" w14:textId="77777777" w:rsidR="007A3F4D" w:rsidRPr="00EA53EA" w:rsidRDefault="007A3F4D" w:rsidP="007A3F4D">
      <w:pPr>
        <w:ind w:left="851"/>
        <w:rPr>
          <w:sz w:val="24"/>
          <w:szCs w:val="24"/>
        </w:rPr>
      </w:pPr>
      <w:r w:rsidRPr="00EA53EA">
        <w:rPr>
          <w:sz w:val="24"/>
          <w:szCs w:val="24"/>
        </w:rPr>
        <w:t xml:space="preserve">Der er blevet udført et fase 1-studie (ADVL1211) af cabozantinib hos pædiatriske patienter med solide tumorer af </w:t>
      </w:r>
      <w:r w:rsidRPr="00EA53EA">
        <w:rPr>
          <w:i/>
          <w:iCs/>
          <w:sz w:val="24"/>
          <w:szCs w:val="24"/>
        </w:rPr>
        <w:t xml:space="preserve">Children Oncology Group </w:t>
      </w:r>
      <w:r w:rsidRPr="00EA53EA">
        <w:rPr>
          <w:sz w:val="24"/>
          <w:szCs w:val="24"/>
        </w:rPr>
        <w:t>(COG). Kvalificerede patienter var ≥ 2 år og ≤ 18 år. Dette studie inkluderede patienter i 3 dosisniveauer: 30 mg/</w:t>
      </w:r>
      <w:r>
        <w:rPr>
          <w:sz w:val="24"/>
          <w:szCs w:val="24"/>
        </w:rPr>
        <w:t>m</w:t>
      </w:r>
      <w:r w:rsidRPr="00EA53EA">
        <w:rPr>
          <w:sz w:val="24"/>
          <w:szCs w:val="24"/>
          <w:vertAlign w:val="superscript"/>
        </w:rPr>
        <w:t>2</w:t>
      </w:r>
      <w:r w:rsidRPr="00EA53EA">
        <w:rPr>
          <w:sz w:val="24"/>
          <w:szCs w:val="24"/>
        </w:rPr>
        <w:t>, 40 mg/</w:t>
      </w:r>
      <w:r>
        <w:rPr>
          <w:sz w:val="24"/>
          <w:szCs w:val="24"/>
        </w:rPr>
        <w:t>m</w:t>
      </w:r>
      <w:r w:rsidRPr="00EA53EA">
        <w:rPr>
          <w:sz w:val="24"/>
          <w:szCs w:val="24"/>
          <w:vertAlign w:val="superscript"/>
        </w:rPr>
        <w:t>2</w:t>
      </w:r>
      <w:r w:rsidRPr="00EA53EA">
        <w:rPr>
          <w:sz w:val="24"/>
          <w:szCs w:val="24"/>
        </w:rPr>
        <w:t>og 55 mg/</w:t>
      </w:r>
      <w:r>
        <w:rPr>
          <w:sz w:val="24"/>
          <w:szCs w:val="24"/>
        </w:rPr>
        <w:t>m</w:t>
      </w:r>
      <w:r w:rsidRPr="00EA53EA">
        <w:rPr>
          <w:sz w:val="24"/>
          <w:szCs w:val="24"/>
          <w:vertAlign w:val="superscript"/>
        </w:rPr>
        <w:t>2</w:t>
      </w:r>
      <w:r>
        <w:rPr>
          <w:sz w:val="24"/>
          <w:szCs w:val="24"/>
        </w:rPr>
        <w:t xml:space="preserve"> </w:t>
      </w:r>
      <w:r w:rsidRPr="00EA53EA">
        <w:rPr>
          <w:sz w:val="24"/>
          <w:szCs w:val="24"/>
        </w:rPr>
        <w:t>en gang dagligt på en kontinuerlig doseringsplan (ugentlig dosering i henhold til BSA og afrundet til nærmeste 20 mg). Cabozantinib blev doseret baseret på kropsoverfladeareal (BSA) i henhold til et nomogram for dosering.</w:t>
      </w:r>
    </w:p>
    <w:p w14:paraId="1FF04841" w14:textId="77777777" w:rsidR="007A3F4D" w:rsidRPr="00EA53EA" w:rsidRDefault="007A3F4D" w:rsidP="007A3F4D">
      <w:pPr>
        <w:ind w:left="851"/>
        <w:rPr>
          <w:sz w:val="24"/>
          <w:szCs w:val="24"/>
        </w:rPr>
      </w:pPr>
      <w:r w:rsidRPr="00EA53EA">
        <w:rPr>
          <w:sz w:val="24"/>
          <w:szCs w:val="24"/>
        </w:rPr>
        <w:t>Målet var at definere dosisbegrænsende toksiciteter (DLT'er), at bestemme den anbefalede fase 2-dosis (RP2D), at opnå foreløbige farmakokinetiske data hos børn og at udforske virkningen i solide tumorer. 41 patienter blev indskrevet, hvoraf 36 var fuldstændig evaluerbare. Patienterne havde en række solide tumorer: MTC (n = 5), osteosarkom (n = 2), EWS (n = 4), rhabdomyosarkom (RMS) (n = 2), andet bløddelssarkom (STS) (n = 4), Wilms tumor (WT) (n = 2), hepatoblastom (n = 2), HCC (n = 2), RCC (n = 3), tumorer i centralnervesystem (CNS) (n = 9) og andre (n = 6).</w:t>
      </w:r>
    </w:p>
    <w:p w14:paraId="601097F7" w14:textId="77777777" w:rsidR="007A3F4D" w:rsidRPr="00EA53EA" w:rsidRDefault="007A3F4D" w:rsidP="007A3F4D">
      <w:pPr>
        <w:ind w:left="851"/>
        <w:rPr>
          <w:sz w:val="24"/>
          <w:szCs w:val="24"/>
        </w:rPr>
      </w:pPr>
      <w:r w:rsidRPr="00EA53EA">
        <w:rPr>
          <w:sz w:val="24"/>
          <w:szCs w:val="24"/>
        </w:rPr>
        <w:t>Af de 36 forsøgspersoner i den evaluerbare population havde 4 forsøgspersoner (11,1 %) det bedste samlede PR-respons, og 8 forsøgspersoner (22,2 %) havde SD (der varede mindst 6 cyklusser). Af de 12 forsøgspersoner med PR eller SD større end eller lig med 6 cyklusser var 10 forsøgspersoner i grupperne cabozantinib 40 mg/</w:t>
      </w:r>
      <w:r>
        <w:rPr>
          <w:sz w:val="24"/>
          <w:szCs w:val="24"/>
        </w:rPr>
        <w:t>m</w:t>
      </w:r>
      <w:r w:rsidRPr="00EA53EA">
        <w:rPr>
          <w:sz w:val="24"/>
          <w:szCs w:val="24"/>
          <w:vertAlign w:val="superscript"/>
        </w:rPr>
        <w:t>2</w:t>
      </w:r>
      <w:r>
        <w:rPr>
          <w:sz w:val="24"/>
          <w:szCs w:val="24"/>
        </w:rPr>
        <w:t xml:space="preserve"> </w:t>
      </w:r>
      <w:r w:rsidRPr="00EA53EA">
        <w:rPr>
          <w:sz w:val="24"/>
          <w:szCs w:val="24"/>
        </w:rPr>
        <w:t>eller 55 mg/</w:t>
      </w:r>
      <w:r>
        <w:rPr>
          <w:sz w:val="24"/>
          <w:szCs w:val="24"/>
        </w:rPr>
        <w:t>m</w:t>
      </w:r>
      <w:r w:rsidRPr="00EA53EA">
        <w:rPr>
          <w:sz w:val="24"/>
          <w:szCs w:val="24"/>
          <w:vertAlign w:val="superscript"/>
        </w:rPr>
        <w:t>2</w:t>
      </w:r>
      <w:r>
        <w:rPr>
          <w:sz w:val="24"/>
          <w:szCs w:val="24"/>
        </w:rPr>
        <w:t xml:space="preserve"> </w:t>
      </w:r>
      <w:r w:rsidRPr="00EA53EA">
        <w:rPr>
          <w:sz w:val="24"/>
          <w:szCs w:val="24"/>
        </w:rPr>
        <w:t>(henholdsvis 7 og 3).</w:t>
      </w:r>
    </w:p>
    <w:p w14:paraId="77A2D1F8" w14:textId="77777777" w:rsidR="007A3F4D" w:rsidRPr="00EA53EA" w:rsidRDefault="007A3F4D" w:rsidP="007A3F4D">
      <w:pPr>
        <w:ind w:left="851"/>
        <w:rPr>
          <w:sz w:val="24"/>
          <w:szCs w:val="24"/>
        </w:rPr>
      </w:pPr>
      <w:r w:rsidRPr="00EA53EA">
        <w:rPr>
          <w:sz w:val="24"/>
          <w:szCs w:val="24"/>
        </w:rPr>
        <w:lastRenderedPageBreak/>
        <w:t>Baseret på central gennemgang blev der set partielle responser hos 2/5 patienter med MTC, én patient med Wilms tumor og én patient med clearcelle</w:t>
      </w:r>
      <w:r w:rsidRPr="00EA53EA">
        <w:rPr>
          <w:i/>
          <w:iCs/>
          <w:sz w:val="24"/>
          <w:szCs w:val="24"/>
        </w:rPr>
        <w:t xml:space="preserve"> </w:t>
      </w:r>
      <w:r w:rsidRPr="00EA53EA">
        <w:rPr>
          <w:sz w:val="24"/>
          <w:szCs w:val="24"/>
        </w:rPr>
        <w:t>sarkom.</w:t>
      </w:r>
    </w:p>
    <w:p w14:paraId="3C5DFEDF" w14:textId="77777777" w:rsidR="007A3F4D" w:rsidRPr="00F1634B" w:rsidRDefault="007A3F4D" w:rsidP="007A3F4D">
      <w:pPr>
        <w:pStyle w:val="Brdtekst"/>
        <w:tabs>
          <w:tab w:val="left" w:pos="9781"/>
        </w:tabs>
        <w:kinsoku w:val="0"/>
        <w:overflowPunct w:val="0"/>
        <w:ind w:left="851" w:right="140"/>
        <w:rPr>
          <w:sz w:val="24"/>
          <w:szCs w:val="24"/>
        </w:rPr>
      </w:pPr>
    </w:p>
    <w:p w14:paraId="7D077A83" w14:textId="77777777" w:rsidR="007A3F4D" w:rsidRPr="00F1634B" w:rsidRDefault="007A3F4D" w:rsidP="007A3F4D">
      <w:pPr>
        <w:pStyle w:val="Brdtekst"/>
        <w:tabs>
          <w:tab w:val="left" w:pos="9781"/>
        </w:tabs>
        <w:kinsoku w:val="0"/>
        <w:overflowPunct w:val="0"/>
        <w:ind w:left="851" w:right="140"/>
        <w:rPr>
          <w:i/>
          <w:iCs/>
          <w:sz w:val="24"/>
          <w:szCs w:val="24"/>
          <w:u w:color="000000"/>
        </w:rPr>
      </w:pPr>
      <w:r w:rsidRPr="00F1634B">
        <w:rPr>
          <w:i/>
          <w:iCs/>
          <w:sz w:val="24"/>
          <w:szCs w:val="24"/>
          <w:u w:color="000000"/>
        </w:rPr>
        <w:t>ADVL1622</w:t>
      </w:r>
    </w:p>
    <w:p w14:paraId="04F357E1" w14:textId="77777777" w:rsidR="007A3F4D" w:rsidRPr="00F1634B" w:rsidRDefault="007A3F4D" w:rsidP="007A3F4D">
      <w:pPr>
        <w:pStyle w:val="Brdtekst"/>
        <w:tabs>
          <w:tab w:val="left" w:pos="9781"/>
        </w:tabs>
        <w:kinsoku w:val="0"/>
        <w:overflowPunct w:val="0"/>
        <w:ind w:left="851" w:right="140"/>
        <w:rPr>
          <w:sz w:val="24"/>
          <w:szCs w:val="24"/>
        </w:rPr>
      </w:pPr>
      <w:r w:rsidRPr="00F1634B">
        <w:rPr>
          <w:sz w:val="24"/>
          <w:szCs w:val="24"/>
        </w:rPr>
        <w:t>ADVL1622 vurderede aktiviteten af cabozantinib i udvalgte pædiatriske solide tumorer. Dette åbne, to-trins fase 2-multicenterstudie inkluderede følgende solide tumor-strata: non-osteosarkom-strata (inklusive Ewings sarkom, rhabdomyosarkom (RMS), non-rhabdomyosarkom bløddelssarkomer (NRSTS) og Wilms tumor), osteosarkom stratum og sjældne solide tumor-strata (inklusive medullært thyreoideacancer (MTC), nyrecellekarcinom (RCC), hepatocellulært karcinom (HCC), hepatoblastom, adrenokortikalt karcinom og andre solide tumorer). Cabozantinib blev administreret oralt en gang dagligt på en kontinuerlig doseringsplan i 28-dages cyklusser ved en dosis på 40 mg/</w:t>
      </w:r>
      <w:r>
        <w:rPr>
          <w:sz w:val="24"/>
          <w:szCs w:val="24"/>
        </w:rPr>
        <w:t>m</w:t>
      </w:r>
      <w:r w:rsidRPr="00EA53EA">
        <w:rPr>
          <w:sz w:val="24"/>
          <w:szCs w:val="24"/>
          <w:vertAlign w:val="superscript"/>
        </w:rPr>
        <w:t>2</w:t>
      </w:r>
      <w:r w:rsidRPr="00F1634B">
        <w:rPr>
          <w:sz w:val="24"/>
          <w:szCs w:val="24"/>
        </w:rPr>
        <w:t>/dag (kumulativ ugentlig dosis på 280 mg/</w:t>
      </w:r>
      <w:r>
        <w:rPr>
          <w:sz w:val="24"/>
          <w:szCs w:val="24"/>
        </w:rPr>
        <w:t>m</w:t>
      </w:r>
      <w:r w:rsidRPr="00EA53EA">
        <w:rPr>
          <w:sz w:val="24"/>
          <w:szCs w:val="24"/>
          <w:vertAlign w:val="superscript"/>
        </w:rPr>
        <w:t>2</w:t>
      </w:r>
      <w:r>
        <w:rPr>
          <w:sz w:val="24"/>
          <w:szCs w:val="24"/>
        </w:rPr>
        <w:t xml:space="preserve"> </w:t>
      </w:r>
      <w:r w:rsidRPr="00F1634B">
        <w:rPr>
          <w:sz w:val="24"/>
          <w:szCs w:val="24"/>
        </w:rPr>
        <w:t>ved anvendelse af et nomogram for dosering). Forsøgspersonerne var ≥ 2 og ≤ 30 år på tidspunktet for indtrædelse i studiet for alle strata undtagen øvre aldersgrænse på ≤ 18 år for MTC, RCC og HCC.</w:t>
      </w:r>
    </w:p>
    <w:p w14:paraId="067EF5A9" w14:textId="77777777" w:rsidR="007A3F4D" w:rsidRPr="00F1634B" w:rsidRDefault="007A3F4D" w:rsidP="007A3F4D">
      <w:pPr>
        <w:pStyle w:val="Brdtekst"/>
        <w:tabs>
          <w:tab w:val="left" w:pos="9781"/>
        </w:tabs>
        <w:kinsoku w:val="0"/>
        <w:overflowPunct w:val="0"/>
        <w:ind w:left="851" w:right="140"/>
        <w:rPr>
          <w:sz w:val="24"/>
          <w:szCs w:val="24"/>
        </w:rPr>
      </w:pPr>
      <w:r w:rsidRPr="00F1634B">
        <w:rPr>
          <w:sz w:val="24"/>
          <w:szCs w:val="24"/>
        </w:rPr>
        <w:t>For non-osteosarkom og sjældne tumor-strata var det primære endepunkt den objektive responsrate (ORR). For osteosarkom-stratum, et to-trins design, der inkorporerede dobbelte endepunkter af objektiv respons (CR</w:t>
      </w:r>
      <w:r>
        <w:rPr>
          <w:sz w:val="24"/>
          <w:szCs w:val="24"/>
        </w:rPr>
        <w:t xml:space="preserve"> </w:t>
      </w:r>
      <w:r w:rsidRPr="00F1634B">
        <w:rPr>
          <w:sz w:val="24"/>
          <w:szCs w:val="24"/>
        </w:rPr>
        <w:t>+PR) baseret på respons evalueringskriterier i solide tumorer (</w:t>
      </w:r>
      <w:r w:rsidRPr="00F1634B">
        <w:rPr>
          <w:i/>
          <w:iCs/>
          <w:sz w:val="24"/>
          <w:szCs w:val="24"/>
        </w:rPr>
        <w:t>Response Evaluation Criteria in Solid Tumors</w:t>
      </w:r>
      <w:r w:rsidRPr="00F1634B">
        <w:rPr>
          <w:sz w:val="24"/>
          <w:szCs w:val="24"/>
        </w:rPr>
        <w:t>, RECIST) version 1.1, blev det benyttet kriterier og behandlingssucces som defineret af SD for ≥ 4 måneder. PK af cabozantinib hos pædiatriske og unge forsøgspersoner blev vurderet (se pkt. 5.2).</w:t>
      </w:r>
    </w:p>
    <w:p w14:paraId="4FA2FA3C" w14:textId="77777777" w:rsidR="007A3F4D" w:rsidRPr="00F1634B" w:rsidRDefault="007A3F4D" w:rsidP="007A3F4D">
      <w:pPr>
        <w:pStyle w:val="Brdtekst"/>
        <w:tabs>
          <w:tab w:val="left" w:pos="9781"/>
        </w:tabs>
        <w:kinsoku w:val="0"/>
        <w:overflowPunct w:val="0"/>
        <w:ind w:left="851" w:right="140"/>
        <w:rPr>
          <w:sz w:val="24"/>
          <w:szCs w:val="24"/>
        </w:rPr>
      </w:pPr>
    </w:p>
    <w:p w14:paraId="3A669F39" w14:textId="77777777" w:rsidR="007A3F4D" w:rsidRPr="00F1634B" w:rsidRDefault="007A3F4D" w:rsidP="007A3F4D">
      <w:pPr>
        <w:pStyle w:val="Brdtekst"/>
        <w:tabs>
          <w:tab w:val="left" w:pos="9781"/>
        </w:tabs>
        <w:kinsoku w:val="0"/>
        <w:overflowPunct w:val="0"/>
        <w:ind w:left="851" w:right="140"/>
        <w:rPr>
          <w:sz w:val="24"/>
          <w:szCs w:val="24"/>
          <w:u w:val="single"/>
        </w:rPr>
      </w:pPr>
      <w:r w:rsidRPr="00F1634B">
        <w:rPr>
          <w:sz w:val="24"/>
          <w:szCs w:val="24"/>
          <w:u w:val="single"/>
        </w:rPr>
        <w:t>Resumé af virkningsresultater</w:t>
      </w:r>
    </w:p>
    <w:p w14:paraId="0DF715DE" w14:textId="77777777" w:rsidR="007A3F4D" w:rsidRPr="00F1634B" w:rsidRDefault="007A3F4D" w:rsidP="007A3F4D">
      <w:pPr>
        <w:pStyle w:val="Brdtekst"/>
        <w:tabs>
          <w:tab w:val="left" w:pos="9781"/>
        </w:tabs>
        <w:kinsoku w:val="0"/>
        <w:overflowPunct w:val="0"/>
        <w:ind w:left="851" w:right="140"/>
        <w:rPr>
          <w:sz w:val="24"/>
          <w:szCs w:val="24"/>
        </w:rPr>
      </w:pPr>
      <w:r w:rsidRPr="00F1634B">
        <w:rPr>
          <w:sz w:val="24"/>
          <w:szCs w:val="24"/>
        </w:rPr>
        <w:t xml:space="preserve">På </w:t>
      </w:r>
      <w:r w:rsidRPr="00F1634B">
        <w:rPr>
          <w:i/>
          <w:iCs/>
          <w:sz w:val="24"/>
          <w:szCs w:val="24"/>
        </w:rPr>
        <w:t>cut-off</w:t>
      </w:r>
      <w:r w:rsidRPr="00F1634B">
        <w:rPr>
          <w:sz w:val="24"/>
          <w:szCs w:val="24"/>
        </w:rPr>
        <w:t>-datoen (30. juni 2021) havde 108/109 forsøgspersoner modtaget mindst én dosis cabozantinib. Hver statistisk kohorte i non-osteosarkom-strata omfattede 13 forsøgspersoner. Der blev ikke observeret respons i disse statistiske kohorter. Osteosarkom-stratum omfattede i alt 29 forsøgspersoner, herunder 17 børn (i alderen 9 til 17 år) og 12 voksne (i alderen 18 til 22</w:t>
      </w:r>
      <w:r w:rsidRPr="00F1634B">
        <w:rPr>
          <w:spacing w:val="-19"/>
          <w:sz w:val="24"/>
          <w:szCs w:val="24"/>
        </w:rPr>
        <w:t xml:space="preserve"> </w:t>
      </w:r>
      <w:r w:rsidRPr="00F1634B">
        <w:rPr>
          <w:sz w:val="24"/>
          <w:szCs w:val="24"/>
        </w:rPr>
        <w:t>år).</w:t>
      </w:r>
    </w:p>
    <w:p w14:paraId="5B0E960D" w14:textId="77777777" w:rsidR="007A3F4D" w:rsidRPr="00F1634B" w:rsidRDefault="007A3F4D" w:rsidP="007A3F4D">
      <w:pPr>
        <w:pStyle w:val="Brdtekst"/>
        <w:tabs>
          <w:tab w:val="left" w:pos="9781"/>
        </w:tabs>
        <w:kinsoku w:val="0"/>
        <w:overflowPunct w:val="0"/>
        <w:ind w:left="851" w:right="140"/>
        <w:rPr>
          <w:sz w:val="24"/>
          <w:szCs w:val="24"/>
        </w:rPr>
      </w:pPr>
    </w:p>
    <w:p w14:paraId="599F5799" w14:textId="77777777" w:rsidR="007A3F4D" w:rsidRPr="00F1634B" w:rsidRDefault="007A3F4D" w:rsidP="007A3F4D">
      <w:pPr>
        <w:pStyle w:val="Brdtekst"/>
        <w:tabs>
          <w:tab w:val="left" w:pos="9781"/>
        </w:tabs>
        <w:kinsoku w:val="0"/>
        <w:overflowPunct w:val="0"/>
        <w:ind w:left="851" w:right="140"/>
        <w:rPr>
          <w:sz w:val="24"/>
          <w:szCs w:val="24"/>
        </w:rPr>
      </w:pPr>
      <w:r w:rsidRPr="00F1634B">
        <w:rPr>
          <w:sz w:val="24"/>
          <w:szCs w:val="24"/>
        </w:rPr>
        <w:t xml:space="preserve">I osteosarkom-stratum havde alle forsøgspersoner modtaget tidligere systemisk behandling. Der blev observeret PR hos en voksen og et barn. </w:t>
      </w:r>
      <w:r w:rsidRPr="00F1634B">
        <w:rPr>
          <w:i/>
          <w:iCs/>
          <w:sz w:val="24"/>
          <w:szCs w:val="24"/>
        </w:rPr>
        <w:t>Disease Control Rate</w:t>
      </w:r>
      <w:r w:rsidRPr="00F1634B">
        <w:rPr>
          <w:sz w:val="24"/>
          <w:szCs w:val="24"/>
        </w:rPr>
        <w:t xml:space="preserve"> (DCR) var 34,5 % (95 % CI: 17,9; 54,3).</w:t>
      </w:r>
    </w:p>
    <w:p w14:paraId="50F0717B" w14:textId="77777777" w:rsidR="007A3F4D" w:rsidRPr="00F1634B" w:rsidRDefault="007A3F4D" w:rsidP="007A3F4D">
      <w:pPr>
        <w:pStyle w:val="Brdtekst"/>
        <w:tabs>
          <w:tab w:val="left" w:pos="9781"/>
        </w:tabs>
        <w:kinsoku w:val="0"/>
        <w:overflowPunct w:val="0"/>
        <w:ind w:left="851" w:right="140"/>
        <w:rPr>
          <w:sz w:val="24"/>
          <w:szCs w:val="24"/>
        </w:rPr>
      </w:pPr>
    </w:p>
    <w:p w14:paraId="039FDB82" w14:textId="77777777" w:rsidR="005902E8" w:rsidRPr="00C84483" w:rsidRDefault="005902E8" w:rsidP="005902E8">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5EDCA4B5" w14:textId="77777777" w:rsidR="00BB7C55" w:rsidRDefault="00BB7C55" w:rsidP="00BB7C55">
      <w:pPr>
        <w:pStyle w:val="Brdtekst"/>
        <w:tabs>
          <w:tab w:val="left" w:pos="9781"/>
        </w:tabs>
        <w:kinsoku w:val="0"/>
        <w:overflowPunct w:val="0"/>
        <w:ind w:left="851"/>
        <w:rPr>
          <w:sz w:val="24"/>
          <w:szCs w:val="24"/>
          <w:u w:val="single" w:color="000000"/>
        </w:rPr>
      </w:pPr>
    </w:p>
    <w:p w14:paraId="126003E1" w14:textId="758733D7" w:rsidR="00BB7C55" w:rsidRPr="008536EA" w:rsidRDefault="00BB7C55" w:rsidP="00BB7C55">
      <w:pPr>
        <w:pStyle w:val="Brdtekst"/>
        <w:tabs>
          <w:tab w:val="left" w:pos="9781"/>
        </w:tabs>
        <w:kinsoku w:val="0"/>
        <w:overflowPunct w:val="0"/>
        <w:ind w:left="851"/>
        <w:rPr>
          <w:sz w:val="24"/>
          <w:szCs w:val="24"/>
        </w:rPr>
      </w:pPr>
      <w:r w:rsidRPr="008536EA">
        <w:rPr>
          <w:sz w:val="24"/>
          <w:szCs w:val="24"/>
          <w:u w:val="single" w:color="000000"/>
        </w:rPr>
        <w:t>Absorption</w:t>
      </w:r>
    </w:p>
    <w:p w14:paraId="08818B6F" w14:textId="77777777" w:rsidR="00BB7C55" w:rsidRPr="008536EA" w:rsidRDefault="00BB7C55" w:rsidP="00BB7C55">
      <w:pPr>
        <w:pStyle w:val="Brdtekst"/>
        <w:tabs>
          <w:tab w:val="left" w:pos="9781"/>
        </w:tabs>
        <w:kinsoku w:val="0"/>
        <w:overflowPunct w:val="0"/>
        <w:ind w:left="851"/>
        <w:rPr>
          <w:sz w:val="24"/>
          <w:szCs w:val="24"/>
        </w:rPr>
      </w:pPr>
      <w:r w:rsidRPr="008536EA">
        <w:rPr>
          <w:sz w:val="24"/>
          <w:szCs w:val="24"/>
        </w:rPr>
        <w:t>Efter oral administration af cabozantinib opnås cabozantinib-peak-plasmakoncentrationer 3 til 4 timer efter dosering. Plasmakoncentration-tid-kurver viser endnu en absorptionstop cirka 24 timer efter administration, hvilket antyder, at cabozantinib kan gennemgå enterohepatisk recirkulation.</w:t>
      </w:r>
    </w:p>
    <w:p w14:paraId="6CCED9BE" w14:textId="77777777" w:rsidR="00BB7C55" w:rsidRPr="008536EA" w:rsidRDefault="00BB7C55" w:rsidP="00BB7C55">
      <w:pPr>
        <w:pStyle w:val="Brdtekst"/>
        <w:tabs>
          <w:tab w:val="left" w:pos="9781"/>
        </w:tabs>
        <w:kinsoku w:val="0"/>
        <w:overflowPunct w:val="0"/>
        <w:ind w:left="851"/>
        <w:rPr>
          <w:sz w:val="24"/>
          <w:szCs w:val="24"/>
        </w:rPr>
      </w:pPr>
    </w:p>
    <w:p w14:paraId="5684459C" w14:textId="77777777" w:rsidR="00BB7C55" w:rsidRPr="008536EA" w:rsidRDefault="00BB7C55" w:rsidP="00BB7C55">
      <w:pPr>
        <w:pStyle w:val="Brdtekst"/>
        <w:tabs>
          <w:tab w:val="left" w:pos="9781"/>
        </w:tabs>
        <w:kinsoku w:val="0"/>
        <w:overflowPunct w:val="0"/>
        <w:ind w:left="851"/>
        <w:rPr>
          <w:sz w:val="24"/>
          <w:szCs w:val="24"/>
        </w:rPr>
      </w:pPr>
      <w:r w:rsidRPr="008536EA">
        <w:rPr>
          <w:sz w:val="24"/>
          <w:szCs w:val="24"/>
        </w:rPr>
        <w:t xml:space="preserve">Gentagen dosering af cabozantinib på 140 mg daglig i 19 dage resulterede i gennemsnitlig akkumulering af cabozantinib på ca. 4 til 5 gange (baseret på AUC) sammenlignet med administration af en enkelt dosis; </w:t>
      </w:r>
      <w:r w:rsidRPr="008536EA">
        <w:rPr>
          <w:i/>
          <w:iCs/>
          <w:sz w:val="24"/>
          <w:szCs w:val="24"/>
        </w:rPr>
        <w:t xml:space="preserve">steady state </w:t>
      </w:r>
      <w:r w:rsidRPr="008536EA">
        <w:rPr>
          <w:sz w:val="24"/>
          <w:szCs w:val="24"/>
        </w:rPr>
        <w:t>opnås på ca. 15 dage.</w:t>
      </w:r>
    </w:p>
    <w:p w14:paraId="2B6F479E" w14:textId="77777777" w:rsidR="00BB7C55" w:rsidRPr="008536EA" w:rsidRDefault="00BB7C55" w:rsidP="00BB7C55">
      <w:pPr>
        <w:pStyle w:val="Brdtekst"/>
        <w:tabs>
          <w:tab w:val="left" w:pos="9781"/>
        </w:tabs>
        <w:kinsoku w:val="0"/>
        <w:overflowPunct w:val="0"/>
        <w:ind w:left="851"/>
        <w:rPr>
          <w:sz w:val="24"/>
          <w:szCs w:val="24"/>
        </w:rPr>
      </w:pPr>
    </w:p>
    <w:p w14:paraId="671B38FC" w14:textId="77777777" w:rsidR="00BB7C55" w:rsidRPr="008536EA" w:rsidRDefault="00BB7C55" w:rsidP="00BB7C55">
      <w:pPr>
        <w:pStyle w:val="Brdtekst"/>
        <w:tabs>
          <w:tab w:val="left" w:pos="9781"/>
        </w:tabs>
        <w:kinsoku w:val="0"/>
        <w:overflowPunct w:val="0"/>
        <w:ind w:left="851"/>
        <w:rPr>
          <w:sz w:val="24"/>
          <w:szCs w:val="24"/>
        </w:rPr>
      </w:pPr>
      <w:r w:rsidRPr="008536EA">
        <w:rPr>
          <w:position w:val="2"/>
          <w:sz w:val="24"/>
          <w:szCs w:val="24"/>
        </w:rPr>
        <w:t>Et måltid med højt fedtindhold øgede C</w:t>
      </w:r>
      <w:r w:rsidRPr="008536EA">
        <w:rPr>
          <w:sz w:val="24"/>
          <w:szCs w:val="24"/>
        </w:rPr>
        <w:t xml:space="preserve">max </w:t>
      </w:r>
      <w:r w:rsidRPr="008536EA">
        <w:rPr>
          <w:position w:val="2"/>
          <w:sz w:val="24"/>
          <w:szCs w:val="24"/>
        </w:rPr>
        <w:t xml:space="preserve">og AUC moderat (henholdsvis 41 % og 57 %) i forhold til </w:t>
      </w:r>
      <w:r w:rsidRPr="008536EA">
        <w:rPr>
          <w:sz w:val="24"/>
          <w:szCs w:val="24"/>
        </w:rPr>
        <w:t>fastende tilstand hos raske frivillige, der fik en enkelt oral dosis på 140 mg cabozantinib. Der er ingen oplysninger om den nøjagtige virkning af fødeindtagelse 1 time efter administration af cabozantinib.</w:t>
      </w:r>
    </w:p>
    <w:p w14:paraId="1A660B6B" w14:textId="77777777" w:rsidR="00BB7C55" w:rsidRPr="008536EA" w:rsidRDefault="00BB7C55" w:rsidP="00BB7C55">
      <w:pPr>
        <w:pStyle w:val="Brdtekst"/>
        <w:tabs>
          <w:tab w:val="left" w:pos="9781"/>
        </w:tabs>
        <w:kinsoku w:val="0"/>
        <w:overflowPunct w:val="0"/>
        <w:ind w:left="851"/>
        <w:rPr>
          <w:sz w:val="24"/>
          <w:szCs w:val="24"/>
        </w:rPr>
      </w:pPr>
    </w:p>
    <w:p w14:paraId="57D0C29D" w14:textId="77777777" w:rsidR="00BB7C55" w:rsidRPr="008536EA" w:rsidRDefault="00BB7C55" w:rsidP="00BB7C55">
      <w:pPr>
        <w:pStyle w:val="Brdtekst"/>
        <w:tabs>
          <w:tab w:val="left" w:pos="9781"/>
        </w:tabs>
        <w:kinsoku w:val="0"/>
        <w:overflowPunct w:val="0"/>
        <w:ind w:left="851"/>
        <w:rPr>
          <w:sz w:val="24"/>
          <w:szCs w:val="24"/>
        </w:rPr>
      </w:pPr>
      <w:r w:rsidRPr="008536EA">
        <w:rPr>
          <w:sz w:val="24"/>
          <w:szCs w:val="24"/>
        </w:rPr>
        <w:lastRenderedPageBreak/>
        <w:t xml:space="preserve">Der kunne ikke påvises bioækvivalens mellem cabozantinibkapsel- og tabletformuleringerne efter en enkelt </w:t>
      </w:r>
      <w:r w:rsidRPr="008536EA">
        <w:rPr>
          <w:position w:val="2"/>
          <w:sz w:val="24"/>
          <w:szCs w:val="24"/>
        </w:rPr>
        <w:t>dosis på 140 mg hos raske frivillige. Der blev observeret en 19 % stigning i C</w:t>
      </w:r>
      <w:r w:rsidRPr="00BB7C55">
        <w:rPr>
          <w:sz w:val="24"/>
          <w:szCs w:val="24"/>
          <w:vertAlign w:val="subscript"/>
        </w:rPr>
        <w:t>max</w:t>
      </w:r>
      <w:r w:rsidRPr="008536EA">
        <w:rPr>
          <w:sz w:val="24"/>
          <w:szCs w:val="24"/>
        </w:rPr>
        <w:t xml:space="preserve"> </w:t>
      </w:r>
      <w:r w:rsidRPr="008536EA">
        <w:rPr>
          <w:position w:val="2"/>
          <w:sz w:val="24"/>
          <w:szCs w:val="24"/>
        </w:rPr>
        <w:t xml:space="preserve">i tabletformuleringen </w:t>
      </w:r>
      <w:r w:rsidRPr="008536EA">
        <w:rPr>
          <w:sz w:val="24"/>
          <w:szCs w:val="24"/>
        </w:rPr>
        <w:t>sammenlignet med kapselformuleringen. Der blev observeret en mindre end 10 % forskel i AUC mellem cabozantinibtablet- og kapselformuleringerne.</w:t>
      </w:r>
    </w:p>
    <w:p w14:paraId="7EC6EA75" w14:textId="77777777" w:rsidR="00BB7C55" w:rsidRPr="008536EA" w:rsidRDefault="00BB7C55" w:rsidP="00BB7C55">
      <w:pPr>
        <w:pStyle w:val="Brdtekst"/>
        <w:tabs>
          <w:tab w:val="left" w:pos="9781"/>
        </w:tabs>
        <w:kinsoku w:val="0"/>
        <w:overflowPunct w:val="0"/>
        <w:ind w:left="851"/>
        <w:rPr>
          <w:sz w:val="24"/>
          <w:szCs w:val="24"/>
        </w:rPr>
      </w:pPr>
    </w:p>
    <w:p w14:paraId="301D7A26" w14:textId="77777777" w:rsidR="00BB7C55" w:rsidRPr="008536EA" w:rsidRDefault="00BB7C55" w:rsidP="00BB7C55">
      <w:pPr>
        <w:pStyle w:val="Brdtekst"/>
        <w:tabs>
          <w:tab w:val="left" w:pos="9781"/>
        </w:tabs>
        <w:kinsoku w:val="0"/>
        <w:overflowPunct w:val="0"/>
        <w:ind w:left="851"/>
        <w:rPr>
          <w:sz w:val="24"/>
          <w:szCs w:val="24"/>
        </w:rPr>
      </w:pPr>
      <w:r w:rsidRPr="008536EA">
        <w:rPr>
          <w:sz w:val="24"/>
          <w:szCs w:val="24"/>
          <w:u w:val="single" w:color="000000"/>
        </w:rPr>
        <w:t>Fordeling</w:t>
      </w:r>
    </w:p>
    <w:p w14:paraId="75E3D027" w14:textId="77777777" w:rsidR="00BB7C55" w:rsidRPr="008536EA" w:rsidRDefault="00BB7C55" w:rsidP="00BB7C55">
      <w:pPr>
        <w:pStyle w:val="Brdtekst"/>
        <w:tabs>
          <w:tab w:val="left" w:pos="9781"/>
        </w:tabs>
        <w:kinsoku w:val="0"/>
        <w:overflowPunct w:val="0"/>
        <w:ind w:left="851"/>
        <w:rPr>
          <w:sz w:val="24"/>
          <w:szCs w:val="24"/>
        </w:rPr>
      </w:pPr>
      <w:r w:rsidRPr="008536EA">
        <w:rPr>
          <w:sz w:val="24"/>
          <w:szCs w:val="24"/>
        </w:rPr>
        <w:t xml:space="preserve">Cabozantinib har høj bindingsgrad til humane plasmaproteiner </w:t>
      </w:r>
      <w:r w:rsidRPr="008536EA">
        <w:rPr>
          <w:i/>
          <w:iCs/>
          <w:sz w:val="24"/>
          <w:szCs w:val="24"/>
        </w:rPr>
        <w:t xml:space="preserve">in vitro </w:t>
      </w:r>
      <w:r w:rsidRPr="008536EA">
        <w:rPr>
          <w:sz w:val="24"/>
          <w:szCs w:val="24"/>
        </w:rPr>
        <w:t>(≥ 99,7 %). Baseret på den populationsfarmakokinetiske (PK) model blev fordelingsvoluminet af det centrale rum (Vc/F) estimeret til at være 212 l.</w:t>
      </w:r>
    </w:p>
    <w:p w14:paraId="3FB56BE4" w14:textId="77777777" w:rsidR="00BB7C55" w:rsidRPr="008536EA" w:rsidRDefault="00BB7C55" w:rsidP="00BB7C55">
      <w:pPr>
        <w:pStyle w:val="Brdtekst"/>
        <w:tabs>
          <w:tab w:val="left" w:pos="9781"/>
        </w:tabs>
        <w:kinsoku w:val="0"/>
        <w:overflowPunct w:val="0"/>
        <w:ind w:left="851"/>
        <w:rPr>
          <w:sz w:val="24"/>
          <w:szCs w:val="24"/>
        </w:rPr>
      </w:pPr>
    </w:p>
    <w:p w14:paraId="2DF8F042" w14:textId="77777777" w:rsidR="00BB7C55" w:rsidRPr="008536EA" w:rsidRDefault="00BB7C55" w:rsidP="00BB7C55">
      <w:pPr>
        <w:pStyle w:val="Brdtekst"/>
        <w:tabs>
          <w:tab w:val="left" w:pos="9781"/>
        </w:tabs>
        <w:kinsoku w:val="0"/>
        <w:overflowPunct w:val="0"/>
        <w:ind w:left="851"/>
        <w:rPr>
          <w:sz w:val="24"/>
          <w:szCs w:val="24"/>
        </w:rPr>
      </w:pPr>
      <w:r w:rsidRPr="008536EA">
        <w:rPr>
          <w:sz w:val="24"/>
          <w:szCs w:val="24"/>
          <w:u w:val="single" w:color="000000"/>
        </w:rPr>
        <w:t>Biotransformation</w:t>
      </w:r>
    </w:p>
    <w:p w14:paraId="4225D311" w14:textId="77777777" w:rsidR="00BB7C55" w:rsidRPr="008536EA" w:rsidRDefault="00BB7C55" w:rsidP="00BB7C55">
      <w:pPr>
        <w:pStyle w:val="Brdtekst"/>
        <w:tabs>
          <w:tab w:val="left" w:pos="9781"/>
        </w:tabs>
        <w:kinsoku w:val="0"/>
        <w:overflowPunct w:val="0"/>
        <w:ind w:left="851"/>
        <w:rPr>
          <w:sz w:val="24"/>
          <w:szCs w:val="24"/>
        </w:rPr>
      </w:pPr>
      <w:r w:rsidRPr="008536EA">
        <w:rPr>
          <w:sz w:val="24"/>
          <w:szCs w:val="24"/>
        </w:rPr>
        <w:t xml:space="preserve">Cabozantinib blev metaboliseret </w:t>
      </w:r>
      <w:r w:rsidRPr="008536EA">
        <w:rPr>
          <w:i/>
          <w:iCs/>
          <w:sz w:val="24"/>
          <w:szCs w:val="24"/>
        </w:rPr>
        <w:t>in vivo</w:t>
      </w:r>
      <w:r w:rsidRPr="008536EA">
        <w:rPr>
          <w:sz w:val="24"/>
          <w:szCs w:val="24"/>
        </w:rPr>
        <w:t xml:space="preserve">. 4 metabolitter var til stede i plasma med eksponeringer (AUC), der var &gt;10 % af cabozantinibs: XL184-N-oxid, XL184-amid spaltningsprodukt, XL184- monohydroxysulfat og XL184-6-desmethylamid spaltningsprodukt sulfat. To ikke-konjugerede metabolitter (XL184-N-oxid og XL184-amid spaltningsprodukt), der har &lt;1 % af cabozantinibs </w:t>
      </w:r>
      <w:r w:rsidRPr="008536EA">
        <w:rPr>
          <w:i/>
          <w:iCs/>
          <w:sz w:val="24"/>
          <w:szCs w:val="24"/>
        </w:rPr>
        <w:t>on-target</w:t>
      </w:r>
      <w:r w:rsidRPr="008536EA">
        <w:rPr>
          <w:sz w:val="24"/>
          <w:szCs w:val="24"/>
        </w:rPr>
        <w:t xml:space="preserve"> kinasehæmningspotentiale, repræsenterer hver især &lt;10 % af den samlede lægemiddelrelaterede plasmaeksponering. </w:t>
      </w:r>
    </w:p>
    <w:p w14:paraId="401F0AC4" w14:textId="77777777" w:rsidR="00BB7C55" w:rsidRPr="008536EA" w:rsidRDefault="00BB7C55" w:rsidP="00BB7C55">
      <w:pPr>
        <w:pStyle w:val="Brdtekst"/>
        <w:tabs>
          <w:tab w:val="left" w:pos="9781"/>
        </w:tabs>
        <w:kinsoku w:val="0"/>
        <w:overflowPunct w:val="0"/>
        <w:ind w:left="851"/>
        <w:rPr>
          <w:sz w:val="24"/>
          <w:szCs w:val="24"/>
        </w:rPr>
      </w:pPr>
    </w:p>
    <w:p w14:paraId="01ECE802" w14:textId="77777777" w:rsidR="00BB7C55" w:rsidRPr="008536EA" w:rsidRDefault="00BB7C55" w:rsidP="00BB7C55">
      <w:pPr>
        <w:pStyle w:val="Brdtekst"/>
        <w:tabs>
          <w:tab w:val="left" w:pos="9781"/>
        </w:tabs>
        <w:kinsoku w:val="0"/>
        <w:overflowPunct w:val="0"/>
        <w:ind w:left="851"/>
        <w:rPr>
          <w:sz w:val="24"/>
          <w:szCs w:val="24"/>
        </w:rPr>
      </w:pPr>
      <w:r w:rsidRPr="008536EA">
        <w:rPr>
          <w:sz w:val="24"/>
          <w:szCs w:val="24"/>
        </w:rPr>
        <w:t xml:space="preserve">Cabozantinib er substrat for CYP3A4-metabolisme </w:t>
      </w:r>
      <w:r w:rsidRPr="008536EA">
        <w:rPr>
          <w:i/>
          <w:iCs/>
          <w:sz w:val="24"/>
          <w:szCs w:val="24"/>
        </w:rPr>
        <w:t>in vitro</w:t>
      </w:r>
      <w:r w:rsidRPr="008536EA">
        <w:rPr>
          <w:sz w:val="24"/>
          <w:szCs w:val="24"/>
        </w:rPr>
        <w:t>, eftersom et neutraliserende antistof mod CYP3A4 hæmmede dannelsen af metabolitten XL184 N-oxid med &gt;80 % i en NADPH-katalyseret</w:t>
      </w:r>
    </w:p>
    <w:p w14:paraId="788D504B" w14:textId="77777777" w:rsidR="00BB7C55" w:rsidRPr="008536EA" w:rsidRDefault="00BB7C55" w:rsidP="00BB7C55">
      <w:pPr>
        <w:pStyle w:val="Brdtekst"/>
        <w:tabs>
          <w:tab w:val="left" w:pos="9781"/>
        </w:tabs>
        <w:kinsoku w:val="0"/>
        <w:overflowPunct w:val="0"/>
        <w:ind w:left="851"/>
        <w:rPr>
          <w:sz w:val="24"/>
          <w:szCs w:val="24"/>
        </w:rPr>
      </w:pPr>
    </w:p>
    <w:p w14:paraId="604E3699" w14:textId="77777777" w:rsidR="00BB7C55" w:rsidRPr="008536EA" w:rsidRDefault="00BB7C55" w:rsidP="00BB7C55">
      <w:pPr>
        <w:pStyle w:val="Brdtekst"/>
        <w:tabs>
          <w:tab w:val="left" w:pos="9781"/>
        </w:tabs>
        <w:kinsoku w:val="0"/>
        <w:overflowPunct w:val="0"/>
        <w:ind w:left="851"/>
        <w:rPr>
          <w:sz w:val="24"/>
          <w:szCs w:val="24"/>
        </w:rPr>
      </w:pPr>
      <w:r w:rsidRPr="008536EA">
        <w:rPr>
          <w:sz w:val="24"/>
          <w:szCs w:val="24"/>
        </w:rPr>
        <w:t>inkubation med humane levermikrosomer (HLM). Til gengæld havde neutraliserende antistoffer mod CYP1A2, CYP2A6, CYP2B6, CYP2C8, CYP2C19, CYP2D6 og CYP2E1 ingen indvirkning på dannelsen af cabozantinib-metabolitter. Et neutraliserende antistof mod CYP2C9 viste en minimal indvirkning på dannelsen af cabozantinib-metabolitter (dvs. en &lt;20 % reduktion).</w:t>
      </w:r>
    </w:p>
    <w:p w14:paraId="339164F9" w14:textId="77777777" w:rsidR="00BB7C55" w:rsidRPr="008536EA" w:rsidRDefault="00BB7C55" w:rsidP="00BB7C55">
      <w:pPr>
        <w:pStyle w:val="Brdtekst"/>
        <w:tabs>
          <w:tab w:val="left" w:pos="9781"/>
        </w:tabs>
        <w:kinsoku w:val="0"/>
        <w:overflowPunct w:val="0"/>
        <w:ind w:left="851"/>
        <w:rPr>
          <w:sz w:val="24"/>
          <w:szCs w:val="24"/>
        </w:rPr>
      </w:pPr>
    </w:p>
    <w:p w14:paraId="6BDB72AE" w14:textId="77777777" w:rsidR="00BB7C55" w:rsidRPr="008536EA" w:rsidRDefault="00BB7C55" w:rsidP="00BB7C55">
      <w:pPr>
        <w:pStyle w:val="Brdtekst"/>
        <w:tabs>
          <w:tab w:val="left" w:pos="9781"/>
        </w:tabs>
        <w:kinsoku w:val="0"/>
        <w:overflowPunct w:val="0"/>
        <w:ind w:left="851"/>
        <w:rPr>
          <w:sz w:val="24"/>
          <w:szCs w:val="24"/>
        </w:rPr>
      </w:pPr>
      <w:r w:rsidRPr="008536EA">
        <w:rPr>
          <w:sz w:val="24"/>
          <w:szCs w:val="24"/>
          <w:u w:val="single" w:color="000000"/>
        </w:rPr>
        <w:t>Elimination</w:t>
      </w:r>
    </w:p>
    <w:p w14:paraId="5CCB6F53" w14:textId="77777777" w:rsidR="00BB7C55" w:rsidRPr="008536EA" w:rsidRDefault="00BB7C55" w:rsidP="00BB7C55">
      <w:pPr>
        <w:pStyle w:val="Brdtekst"/>
        <w:tabs>
          <w:tab w:val="left" w:pos="9781"/>
        </w:tabs>
        <w:kinsoku w:val="0"/>
        <w:overflowPunct w:val="0"/>
        <w:ind w:left="851"/>
        <w:rPr>
          <w:sz w:val="24"/>
          <w:szCs w:val="24"/>
        </w:rPr>
      </w:pPr>
      <w:r w:rsidRPr="008536EA">
        <w:rPr>
          <w:sz w:val="24"/>
          <w:szCs w:val="24"/>
        </w:rPr>
        <w:t xml:space="preserve">I en populationsfarmakokinetisk analyse af cabozantinib med anvendelse af data fra oral administration af cabozantinib-doser fra 20 til 140 mg til 1883 patienter og 140 raske frivillige var cabozantinibs terminale halveringstid i plasma ca. 110 timer. Den gennemsnitlige estimerede clearance (CL/F) ved </w:t>
      </w:r>
      <w:r w:rsidRPr="008536EA">
        <w:rPr>
          <w:i/>
          <w:iCs/>
          <w:sz w:val="24"/>
          <w:szCs w:val="24"/>
        </w:rPr>
        <w:t xml:space="preserve">steady state </w:t>
      </w:r>
      <w:r w:rsidRPr="008536EA">
        <w:rPr>
          <w:sz w:val="24"/>
          <w:szCs w:val="24"/>
        </w:rPr>
        <w:t xml:space="preserve">var 2,48 l/time. Efter en enkelt dosis </w:t>
      </w:r>
      <w:r w:rsidRPr="008536EA">
        <w:rPr>
          <w:position w:val="8"/>
          <w:sz w:val="24"/>
          <w:szCs w:val="24"/>
        </w:rPr>
        <w:t>14</w:t>
      </w:r>
      <w:r w:rsidRPr="008536EA">
        <w:rPr>
          <w:sz w:val="24"/>
          <w:szCs w:val="24"/>
        </w:rPr>
        <w:t>C-cabozantinib hos raske frivillige blev cirka 81 % af den samlede administrerede radioaktivitet genfundet inden for en indsamlingsperiode på 48 dage, med 54 % i fæces og 27 % i urin.</w:t>
      </w:r>
    </w:p>
    <w:p w14:paraId="037AB592" w14:textId="77777777" w:rsidR="00BB7C55" w:rsidRPr="008536EA" w:rsidRDefault="00BB7C55" w:rsidP="00BB7C55">
      <w:pPr>
        <w:pStyle w:val="Brdtekst"/>
        <w:tabs>
          <w:tab w:val="left" w:pos="9781"/>
        </w:tabs>
        <w:kinsoku w:val="0"/>
        <w:overflowPunct w:val="0"/>
        <w:ind w:left="851"/>
        <w:rPr>
          <w:sz w:val="24"/>
          <w:szCs w:val="24"/>
        </w:rPr>
      </w:pPr>
    </w:p>
    <w:p w14:paraId="15946388" w14:textId="77777777" w:rsidR="00BB7C55" w:rsidRPr="008536EA" w:rsidRDefault="00BB7C55" w:rsidP="00BB7C55">
      <w:pPr>
        <w:pStyle w:val="Brdtekst"/>
        <w:tabs>
          <w:tab w:val="left" w:pos="9781"/>
        </w:tabs>
        <w:kinsoku w:val="0"/>
        <w:overflowPunct w:val="0"/>
        <w:ind w:left="851"/>
        <w:rPr>
          <w:sz w:val="24"/>
          <w:szCs w:val="24"/>
        </w:rPr>
      </w:pPr>
      <w:r w:rsidRPr="008536EA">
        <w:rPr>
          <w:sz w:val="24"/>
          <w:szCs w:val="24"/>
          <w:u w:val="single" w:color="000000"/>
        </w:rPr>
        <w:t>Farmakokinetik i særlige patientpopulationer</w:t>
      </w:r>
    </w:p>
    <w:p w14:paraId="78BB0270" w14:textId="77777777" w:rsidR="00BB7C55" w:rsidRPr="008536EA" w:rsidRDefault="00BB7C55" w:rsidP="00BB7C55">
      <w:pPr>
        <w:pStyle w:val="Brdtekst"/>
        <w:tabs>
          <w:tab w:val="left" w:pos="9781"/>
        </w:tabs>
        <w:kinsoku w:val="0"/>
        <w:overflowPunct w:val="0"/>
        <w:ind w:left="851"/>
        <w:rPr>
          <w:sz w:val="24"/>
          <w:szCs w:val="24"/>
        </w:rPr>
      </w:pPr>
    </w:p>
    <w:p w14:paraId="39597F12" w14:textId="77777777" w:rsidR="00BB7C55" w:rsidRPr="008536EA" w:rsidRDefault="00BB7C55" w:rsidP="00BB7C55">
      <w:pPr>
        <w:pStyle w:val="Brdtekst"/>
        <w:tabs>
          <w:tab w:val="left" w:pos="9781"/>
        </w:tabs>
        <w:kinsoku w:val="0"/>
        <w:overflowPunct w:val="0"/>
        <w:ind w:left="851"/>
        <w:rPr>
          <w:i/>
          <w:iCs/>
          <w:sz w:val="24"/>
          <w:szCs w:val="24"/>
        </w:rPr>
      </w:pPr>
      <w:r w:rsidRPr="008536EA">
        <w:rPr>
          <w:i/>
          <w:iCs/>
          <w:sz w:val="24"/>
          <w:szCs w:val="24"/>
          <w:u w:val="single" w:color="000000"/>
        </w:rPr>
        <w:t>Nedsat nyrefunktion</w:t>
      </w:r>
    </w:p>
    <w:p w14:paraId="396C9D19" w14:textId="77777777" w:rsidR="00BB7C55" w:rsidRPr="008536EA" w:rsidRDefault="00BB7C55" w:rsidP="00BB7C55">
      <w:pPr>
        <w:pStyle w:val="Brdtekst"/>
        <w:tabs>
          <w:tab w:val="left" w:pos="9781"/>
        </w:tabs>
        <w:kinsoku w:val="0"/>
        <w:overflowPunct w:val="0"/>
        <w:ind w:left="851"/>
        <w:rPr>
          <w:position w:val="2"/>
          <w:sz w:val="24"/>
          <w:szCs w:val="24"/>
        </w:rPr>
      </w:pPr>
      <w:r w:rsidRPr="008536EA">
        <w:rPr>
          <w:sz w:val="24"/>
          <w:szCs w:val="24"/>
        </w:rPr>
        <w:t>I et studie med nedsat nyrefunktion udført med en enkelt 60 mg dosis cabozantinib var ratioerne af</w:t>
      </w:r>
      <w:r w:rsidRPr="008536EA">
        <w:rPr>
          <w:position w:val="2"/>
          <w:sz w:val="24"/>
          <w:szCs w:val="24"/>
        </w:rPr>
        <w:t xml:space="preserve"> middelværdierne for total plasma-cabozantinib, C</w:t>
      </w:r>
      <w:r w:rsidRPr="008536EA">
        <w:rPr>
          <w:sz w:val="24"/>
          <w:szCs w:val="24"/>
        </w:rPr>
        <w:t xml:space="preserve">max </w:t>
      </w:r>
      <w:r w:rsidRPr="008536EA">
        <w:rPr>
          <w:position w:val="2"/>
          <w:sz w:val="24"/>
          <w:szCs w:val="24"/>
        </w:rPr>
        <w:t>og AUC</w:t>
      </w:r>
      <w:r w:rsidRPr="008536EA">
        <w:rPr>
          <w:sz w:val="24"/>
          <w:szCs w:val="24"/>
        </w:rPr>
        <w:t>0-inf</w:t>
      </w:r>
      <w:r w:rsidRPr="008536EA">
        <w:rPr>
          <w:position w:val="2"/>
          <w:sz w:val="24"/>
          <w:szCs w:val="24"/>
        </w:rPr>
        <w:t xml:space="preserve"> 19 % og 30 % højere hos studiepersoner med let nedsat nyrefunktion (90 % CI for C</w:t>
      </w:r>
      <w:r w:rsidRPr="008536EA">
        <w:rPr>
          <w:sz w:val="24"/>
          <w:szCs w:val="24"/>
        </w:rPr>
        <w:t xml:space="preserve">max </w:t>
      </w:r>
      <w:r w:rsidRPr="008536EA">
        <w:rPr>
          <w:position w:val="2"/>
          <w:sz w:val="24"/>
          <w:szCs w:val="24"/>
        </w:rPr>
        <w:t>91,60-155,51 %; for AUC</w:t>
      </w:r>
      <w:r w:rsidRPr="008536EA">
        <w:rPr>
          <w:sz w:val="24"/>
          <w:szCs w:val="24"/>
        </w:rPr>
        <w:t xml:space="preserve">0-inf </w:t>
      </w:r>
      <w:r w:rsidRPr="008536EA">
        <w:rPr>
          <w:position w:val="2"/>
          <w:sz w:val="24"/>
          <w:szCs w:val="24"/>
        </w:rPr>
        <w:t>98,79-171,26 %) og 2 % og 6-7</w:t>
      </w:r>
    </w:p>
    <w:p w14:paraId="16D38D78" w14:textId="77777777" w:rsidR="00BB7C55" w:rsidRPr="008536EA" w:rsidRDefault="00BB7C55" w:rsidP="00BB7C55">
      <w:pPr>
        <w:pStyle w:val="Brdtekst"/>
        <w:tabs>
          <w:tab w:val="left" w:pos="9781"/>
        </w:tabs>
        <w:kinsoku w:val="0"/>
        <w:overflowPunct w:val="0"/>
        <w:ind w:left="851"/>
        <w:rPr>
          <w:sz w:val="24"/>
          <w:szCs w:val="24"/>
        </w:rPr>
      </w:pPr>
      <w:r w:rsidRPr="008536EA">
        <w:rPr>
          <w:position w:val="2"/>
          <w:sz w:val="24"/>
          <w:szCs w:val="24"/>
        </w:rPr>
        <w:t>% højere (90 % CI for C</w:t>
      </w:r>
      <w:r w:rsidRPr="008536EA">
        <w:rPr>
          <w:sz w:val="24"/>
          <w:szCs w:val="24"/>
        </w:rPr>
        <w:t xml:space="preserve">max </w:t>
      </w:r>
      <w:r w:rsidRPr="008536EA">
        <w:rPr>
          <w:position w:val="2"/>
          <w:sz w:val="24"/>
          <w:szCs w:val="24"/>
        </w:rPr>
        <w:t>78,64-133,52 %; for AUC</w:t>
      </w:r>
      <w:r w:rsidRPr="008536EA">
        <w:rPr>
          <w:sz w:val="24"/>
          <w:szCs w:val="24"/>
        </w:rPr>
        <w:t xml:space="preserve">0-inf </w:t>
      </w:r>
      <w:r w:rsidRPr="008536EA">
        <w:rPr>
          <w:position w:val="2"/>
          <w:sz w:val="24"/>
          <w:szCs w:val="24"/>
        </w:rPr>
        <w:t xml:space="preserve">79,61-140,11 %) hos studiepersoner med moderat </w:t>
      </w:r>
      <w:r w:rsidRPr="008536EA">
        <w:rPr>
          <w:sz w:val="24"/>
          <w:szCs w:val="24"/>
        </w:rPr>
        <w:t xml:space="preserve">nedsat nyrefunktion sammenlignet med studiepersoner med normal nyrefunktion. De geometriske mindste </w:t>
      </w:r>
      <w:r w:rsidRPr="008536EA">
        <w:rPr>
          <w:position w:val="2"/>
          <w:sz w:val="24"/>
          <w:szCs w:val="24"/>
        </w:rPr>
        <w:t>kvadraters gennemsnit for ubundet plasma-cabozantinib AUC</w:t>
      </w:r>
      <w:r w:rsidRPr="008536EA">
        <w:rPr>
          <w:sz w:val="24"/>
          <w:szCs w:val="24"/>
        </w:rPr>
        <w:t xml:space="preserve">0-inf </w:t>
      </w:r>
      <w:r w:rsidRPr="008536EA">
        <w:rPr>
          <w:position w:val="2"/>
          <w:sz w:val="24"/>
          <w:szCs w:val="24"/>
        </w:rPr>
        <w:t xml:space="preserve">var 0,2 % højere for studiepersoner med let </w:t>
      </w:r>
      <w:r w:rsidRPr="008536EA">
        <w:rPr>
          <w:sz w:val="24"/>
          <w:szCs w:val="24"/>
        </w:rPr>
        <w:t xml:space="preserve">nedsat nyrefunktion </w:t>
      </w:r>
      <w:r w:rsidRPr="008536EA">
        <w:rPr>
          <w:sz w:val="24"/>
          <w:szCs w:val="24"/>
        </w:rPr>
        <w:lastRenderedPageBreak/>
        <w:t>(90 % CI 55,9 %-180 %) og 17 % højere (90 % CI 65,1 %-209,7 %) hos studiepersoner med moderat nedsat nyrefunktion sammenlignet med studiepersoner med normal nyrefunktion. Der er ikke udført studier med studiepersoner med svært nedsat nyrefunktion.</w:t>
      </w:r>
    </w:p>
    <w:p w14:paraId="4CE6EFB6" w14:textId="77777777" w:rsidR="00BB7C55" w:rsidRPr="008536EA" w:rsidRDefault="00BB7C55" w:rsidP="00BB7C55">
      <w:pPr>
        <w:pStyle w:val="Brdtekst"/>
        <w:tabs>
          <w:tab w:val="left" w:pos="9781"/>
        </w:tabs>
        <w:kinsoku w:val="0"/>
        <w:overflowPunct w:val="0"/>
        <w:ind w:left="851"/>
        <w:rPr>
          <w:sz w:val="24"/>
          <w:szCs w:val="24"/>
        </w:rPr>
      </w:pPr>
    </w:p>
    <w:p w14:paraId="5286FF05" w14:textId="77777777" w:rsidR="00BB7C55" w:rsidRPr="008536EA" w:rsidRDefault="00BB7C55" w:rsidP="00BB7C55">
      <w:pPr>
        <w:pStyle w:val="Brdtekst"/>
        <w:tabs>
          <w:tab w:val="left" w:pos="9781"/>
        </w:tabs>
        <w:kinsoku w:val="0"/>
        <w:overflowPunct w:val="0"/>
        <w:ind w:left="851"/>
        <w:rPr>
          <w:i/>
          <w:iCs/>
          <w:sz w:val="24"/>
          <w:szCs w:val="24"/>
        </w:rPr>
      </w:pPr>
      <w:r w:rsidRPr="008536EA">
        <w:rPr>
          <w:i/>
          <w:iCs/>
          <w:sz w:val="24"/>
          <w:szCs w:val="24"/>
          <w:u w:val="single" w:color="000000"/>
        </w:rPr>
        <w:t>Nedsat leverfunktion</w:t>
      </w:r>
    </w:p>
    <w:p w14:paraId="1FF23DDB" w14:textId="77777777" w:rsidR="00BB7C55" w:rsidRPr="008536EA" w:rsidRDefault="00BB7C55" w:rsidP="00BB7C55">
      <w:pPr>
        <w:pStyle w:val="Brdtekst"/>
        <w:tabs>
          <w:tab w:val="left" w:pos="9781"/>
        </w:tabs>
        <w:kinsoku w:val="0"/>
        <w:overflowPunct w:val="0"/>
        <w:ind w:left="851"/>
        <w:rPr>
          <w:sz w:val="24"/>
          <w:szCs w:val="24"/>
        </w:rPr>
      </w:pPr>
      <w:r w:rsidRPr="008536EA">
        <w:rPr>
          <w:sz w:val="24"/>
          <w:szCs w:val="24"/>
        </w:rPr>
        <w:t>Baseret på en integreret populationsfarmakokinetisk analyse af cabozantinib hos raske studiepersoner og cancerpatienter (herunder HCC), blev der ikke observeret nogen klinisk signifikant forskel i den gennemsnitlige cabozantinib-plasmaeksponering blandt studiepersoner med normal leverfunktion (n=1.425) og let nedsat leverfunktion (n=558). Der er begrænsede data fra patienter med moderat nedsat leverfunktion (n=15) i henhold til NCI-ODWG (</w:t>
      </w:r>
      <w:r w:rsidRPr="008536EA">
        <w:rPr>
          <w:i/>
          <w:iCs/>
          <w:sz w:val="24"/>
          <w:szCs w:val="24"/>
        </w:rPr>
        <w:t>National Cancer Institute – Organ Dysfunction Working Group</w:t>
      </w:r>
      <w:r w:rsidRPr="008536EA">
        <w:rPr>
          <w:sz w:val="24"/>
          <w:szCs w:val="24"/>
        </w:rPr>
        <w:t>)- kriterierne. Cabozantinibs farmakokinetik blev ikke undersøgt hos patienter med svært nedsat leverfunktion.</w:t>
      </w:r>
    </w:p>
    <w:p w14:paraId="2B3BC8A3" w14:textId="77777777" w:rsidR="00BB7C55" w:rsidRPr="008536EA" w:rsidRDefault="00BB7C55" w:rsidP="00BB7C55">
      <w:pPr>
        <w:pStyle w:val="Brdtekst"/>
        <w:tabs>
          <w:tab w:val="left" w:pos="9781"/>
        </w:tabs>
        <w:kinsoku w:val="0"/>
        <w:overflowPunct w:val="0"/>
        <w:ind w:left="851"/>
        <w:rPr>
          <w:sz w:val="24"/>
          <w:szCs w:val="24"/>
        </w:rPr>
      </w:pPr>
    </w:p>
    <w:p w14:paraId="2F8CD308" w14:textId="77777777" w:rsidR="00BB7C55" w:rsidRPr="008536EA" w:rsidRDefault="00BB7C55" w:rsidP="00BB7C55">
      <w:pPr>
        <w:pStyle w:val="Brdtekst"/>
        <w:tabs>
          <w:tab w:val="left" w:pos="9781"/>
        </w:tabs>
        <w:kinsoku w:val="0"/>
        <w:overflowPunct w:val="0"/>
        <w:ind w:left="851"/>
        <w:rPr>
          <w:i/>
          <w:iCs/>
          <w:sz w:val="24"/>
          <w:szCs w:val="24"/>
        </w:rPr>
      </w:pPr>
      <w:r w:rsidRPr="008536EA">
        <w:rPr>
          <w:i/>
          <w:iCs/>
          <w:sz w:val="24"/>
          <w:szCs w:val="24"/>
          <w:u w:val="single" w:color="000000"/>
        </w:rPr>
        <w:t>Race</w:t>
      </w:r>
    </w:p>
    <w:p w14:paraId="4888AE20" w14:textId="77777777" w:rsidR="00BB7C55" w:rsidRPr="008536EA" w:rsidRDefault="00BB7C55" w:rsidP="00BB7C55">
      <w:pPr>
        <w:pStyle w:val="Brdtekst"/>
        <w:tabs>
          <w:tab w:val="left" w:pos="9781"/>
        </w:tabs>
        <w:kinsoku w:val="0"/>
        <w:overflowPunct w:val="0"/>
        <w:ind w:left="851"/>
        <w:rPr>
          <w:sz w:val="24"/>
          <w:szCs w:val="24"/>
        </w:rPr>
      </w:pPr>
      <w:r w:rsidRPr="008536EA">
        <w:rPr>
          <w:sz w:val="24"/>
          <w:szCs w:val="24"/>
        </w:rPr>
        <w:t>En populationsfarmakokinetisk analyse identificerede ingen klinisk relevante forskelle i cabozantinibs farmakokinetik baseret på race.</w:t>
      </w:r>
    </w:p>
    <w:p w14:paraId="3E8CE1C2" w14:textId="77777777" w:rsidR="00BB7C55" w:rsidRPr="008536EA" w:rsidRDefault="00BB7C55" w:rsidP="00BB7C55">
      <w:pPr>
        <w:pStyle w:val="Brdtekst"/>
        <w:tabs>
          <w:tab w:val="left" w:pos="9781"/>
        </w:tabs>
        <w:kinsoku w:val="0"/>
        <w:overflowPunct w:val="0"/>
        <w:ind w:left="851"/>
        <w:rPr>
          <w:sz w:val="24"/>
          <w:szCs w:val="24"/>
        </w:rPr>
      </w:pPr>
    </w:p>
    <w:p w14:paraId="3DBDAB0A" w14:textId="77777777" w:rsidR="00BB7C55" w:rsidRPr="008536EA" w:rsidRDefault="00BB7C55" w:rsidP="00BB7C55">
      <w:pPr>
        <w:pStyle w:val="Brdtekst"/>
        <w:tabs>
          <w:tab w:val="left" w:pos="9781"/>
        </w:tabs>
        <w:kinsoku w:val="0"/>
        <w:overflowPunct w:val="0"/>
        <w:ind w:left="851"/>
        <w:rPr>
          <w:i/>
          <w:iCs/>
          <w:sz w:val="24"/>
          <w:szCs w:val="24"/>
        </w:rPr>
      </w:pPr>
      <w:r w:rsidRPr="008536EA">
        <w:rPr>
          <w:i/>
          <w:iCs/>
          <w:sz w:val="24"/>
          <w:szCs w:val="24"/>
          <w:u w:val="single" w:color="000000"/>
        </w:rPr>
        <w:t>Pædiatriske patienter</w:t>
      </w:r>
    </w:p>
    <w:p w14:paraId="30577720" w14:textId="77777777" w:rsidR="00BB7C55" w:rsidRPr="008536EA" w:rsidRDefault="00BB7C55" w:rsidP="00BB7C55">
      <w:pPr>
        <w:pStyle w:val="Brdtekst"/>
        <w:tabs>
          <w:tab w:val="left" w:pos="9781"/>
        </w:tabs>
        <w:kinsoku w:val="0"/>
        <w:overflowPunct w:val="0"/>
        <w:ind w:left="851"/>
        <w:rPr>
          <w:sz w:val="24"/>
          <w:szCs w:val="24"/>
        </w:rPr>
      </w:pPr>
      <w:r w:rsidRPr="008536EA">
        <w:rPr>
          <w:sz w:val="24"/>
          <w:szCs w:val="24"/>
        </w:rPr>
        <w:t>Data indsamlet fra simuleringer udført ved brug af den populationsfarmakokinetiske model udviklet hos raske studiepersoner samt hos voksne patienter med forskellige typer maligniteter viser, at en dosis på 40 mg cabozantinib en gang dagligt hos patienter &lt; 40 kg eller en dosis på 60 mg en gang dagligt hos patienter</w:t>
      </w:r>
    </w:p>
    <w:p w14:paraId="2681CDF5" w14:textId="77777777" w:rsidR="00BB7C55" w:rsidRPr="008536EA" w:rsidRDefault="00BB7C55" w:rsidP="00BB7C55">
      <w:pPr>
        <w:pStyle w:val="Brdtekst"/>
        <w:tabs>
          <w:tab w:val="left" w:pos="9781"/>
        </w:tabs>
        <w:kinsoku w:val="0"/>
        <w:overflowPunct w:val="0"/>
        <w:ind w:left="851"/>
        <w:rPr>
          <w:sz w:val="24"/>
          <w:szCs w:val="24"/>
        </w:rPr>
      </w:pPr>
      <w:r w:rsidRPr="008536EA">
        <w:rPr>
          <w:sz w:val="24"/>
          <w:szCs w:val="24"/>
        </w:rPr>
        <w:t>≥ 40 kg resulterer i en plasmaeksponering hos unge fra 12 år og derover, som svarer til den, der er opnået hos voksne behandlet med 60 mg en gang dagligt (se pkt. 4.2).</w:t>
      </w:r>
    </w:p>
    <w:p w14:paraId="5CC706D8" w14:textId="77777777" w:rsidR="00BB7C55" w:rsidRPr="008536EA" w:rsidRDefault="00BB7C55" w:rsidP="00BB7C55">
      <w:pPr>
        <w:pStyle w:val="Brdtekst"/>
        <w:tabs>
          <w:tab w:val="left" w:pos="9781"/>
        </w:tabs>
        <w:kinsoku w:val="0"/>
        <w:overflowPunct w:val="0"/>
        <w:ind w:left="851"/>
        <w:rPr>
          <w:sz w:val="24"/>
          <w:szCs w:val="24"/>
        </w:rPr>
      </w:pPr>
    </w:p>
    <w:p w14:paraId="5A5E7A50" w14:textId="77777777" w:rsidR="00BB7C55" w:rsidRPr="008536EA" w:rsidRDefault="00BB7C55" w:rsidP="00BB7C55">
      <w:pPr>
        <w:pStyle w:val="Brdtekst"/>
        <w:tabs>
          <w:tab w:val="left" w:pos="9781"/>
        </w:tabs>
        <w:kinsoku w:val="0"/>
        <w:overflowPunct w:val="0"/>
        <w:ind w:left="851"/>
        <w:rPr>
          <w:sz w:val="24"/>
          <w:szCs w:val="24"/>
        </w:rPr>
      </w:pPr>
      <w:r w:rsidRPr="008536EA">
        <w:rPr>
          <w:sz w:val="24"/>
          <w:szCs w:val="24"/>
        </w:rPr>
        <w:t>I de to kliniske studier udført af COG hos pædiatriske patienter med solide tumorer (ADVL1211 og ADVL1622) blev cabozantinib doseret baseret på kropsoverfladeareal (BSA) i henhold til et nomogram for dosering, ved brug af tilgængelige 20 mg og 60 mg tabletter beregnet til voksne. Blandt de 55 patienter var medianalderen 13 år (interval: 4 til 18 år). Der blev udført en farmakokinetisk (PK) populationsanalyse ved brug af PK-data indsamlet i begge studier. PK af cabozantinib blev tilstrækkeligt beskrevet af en to- kompartment model med første-ordens elimination og første-ordens absorptionsprocesser. Der var ingen evidens for, at alder, køn, race, etnicitet og tumortype påvirkede cabozantinibs PK hos børn og unge patienter. Kun BSA viste sig at være en signifikant prædiktor for cabozantinibs PK. Der blev ikke set nogen dosisafhængighed i den udviklede model på tværs af de tre testede dosisniveauer (30, 40 og 55 mg/m²). Eksponeringerne hos børn og unge forsøgspersoner efter administration af en BSA-baseret dosis på 40 mg/m² svarer til eksponeringer hos voksne med en fast dosis på 60 mg en gang dagligt.</w:t>
      </w:r>
    </w:p>
    <w:p w14:paraId="7ECA54F7" w14:textId="77777777" w:rsidR="005902E8" w:rsidRPr="00C84483" w:rsidRDefault="005902E8" w:rsidP="005902E8">
      <w:pPr>
        <w:tabs>
          <w:tab w:val="left" w:pos="851"/>
        </w:tabs>
        <w:ind w:left="851"/>
        <w:rPr>
          <w:sz w:val="24"/>
          <w:szCs w:val="24"/>
        </w:rPr>
      </w:pPr>
    </w:p>
    <w:p w14:paraId="332A7DF8" w14:textId="77777777" w:rsidR="005902E8" w:rsidRPr="00C84483" w:rsidRDefault="005902E8" w:rsidP="005902E8">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14:paraId="21FDEEE9" w14:textId="77777777" w:rsidR="007C08C7" w:rsidRPr="008536EA" w:rsidRDefault="007C08C7" w:rsidP="007C08C7">
      <w:pPr>
        <w:pStyle w:val="Brdtekst"/>
        <w:tabs>
          <w:tab w:val="left" w:pos="9781"/>
        </w:tabs>
        <w:kinsoku w:val="0"/>
        <w:overflowPunct w:val="0"/>
        <w:ind w:left="851" w:right="140"/>
        <w:rPr>
          <w:sz w:val="24"/>
          <w:szCs w:val="24"/>
        </w:rPr>
      </w:pPr>
      <w:r w:rsidRPr="008536EA">
        <w:rPr>
          <w:sz w:val="24"/>
          <w:szCs w:val="24"/>
        </w:rPr>
        <w:t>Følgende bivirkninger blev ikke iagttaget i kliniske studier, men er set hos dyr ved eksponeringsniveauer svarende til det kliniske eksponeringsniveau og er muligvis af relevans ved klinisk brug:</w:t>
      </w:r>
    </w:p>
    <w:p w14:paraId="25C31B9E" w14:textId="77777777" w:rsidR="007C08C7" w:rsidRPr="008536EA" w:rsidRDefault="007C08C7" w:rsidP="007C08C7">
      <w:pPr>
        <w:pStyle w:val="Brdtekst"/>
        <w:tabs>
          <w:tab w:val="left" w:pos="9781"/>
        </w:tabs>
        <w:kinsoku w:val="0"/>
        <w:overflowPunct w:val="0"/>
        <w:ind w:left="851" w:right="140"/>
        <w:rPr>
          <w:sz w:val="24"/>
          <w:szCs w:val="24"/>
        </w:rPr>
      </w:pPr>
    </w:p>
    <w:p w14:paraId="49073BA3" w14:textId="77777777" w:rsidR="007C08C7" w:rsidRPr="008536EA" w:rsidRDefault="007C08C7" w:rsidP="007C08C7">
      <w:pPr>
        <w:pStyle w:val="Brdtekst"/>
        <w:tabs>
          <w:tab w:val="left" w:pos="9781"/>
        </w:tabs>
        <w:kinsoku w:val="0"/>
        <w:overflowPunct w:val="0"/>
        <w:ind w:left="851" w:right="140"/>
        <w:rPr>
          <w:sz w:val="24"/>
          <w:szCs w:val="24"/>
        </w:rPr>
      </w:pPr>
      <w:r w:rsidRPr="008536EA">
        <w:rPr>
          <w:sz w:val="24"/>
          <w:szCs w:val="24"/>
        </w:rPr>
        <w:t>I toksicitetsstudier med gentagne doser hos rotter og hunde af op til 6 måneders varighed var målorganer for toksicitet mave-tarm-kanal, knoglemarv, lymfevæv, nyrer, binyrer og reproduktionsorganer. Niveauet uden observerede bivirkninger (NOAEL) for disse fund var lavere end det humane kliniske eksponeringsniveau ved den tilsigtede terapeutiske dosis.</w:t>
      </w:r>
    </w:p>
    <w:p w14:paraId="3587C1BE" w14:textId="77777777" w:rsidR="007C08C7" w:rsidRPr="008536EA" w:rsidRDefault="007C08C7" w:rsidP="007C08C7">
      <w:pPr>
        <w:pStyle w:val="Brdtekst"/>
        <w:tabs>
          <w:tab w:val="left" w:pos="9781"/>
        </w:tabs>
        <w:kinsoku w:val="0"/>
        <w:overflowPunct w:val="0"/>
        <w:ind w:left="851" w:right="140"/>
        <w:rPr>
          <w:sz w:val="24"/>
          <w:szCs w:val="24"/>
        </w:rPr>
      </w:pPr>
    </w:p>
    <w:p w14:paraId="34207496" w14:textId="77777777" w:rsidR="007C08C7" w:rsidRPr="008536EA" w:rsidRDefault="007C08C7" w:rsidP="007C08C7">
      <w:pPr>
        <w:pStyle w:val="Brdtekst"/>
        <w:tabs>
          <w:tab w:val="left" w:pos="9781"/>
        </w:tabs>
        <w:kinsoku w:val="0"/>
        <w:overflowPunct w:val="0"/>
        <w:ind w:left="851" w:right="140"/>
        <w:rPr>
          <w:sz w:val="24"/>
          <w:szCs w:val="24"/>
        </w:rPr>
      </w:pPr>
      <w:r w:rsidRPr="008536EA">
        <w:rPr>
          <w:sz w:val="24"/>
          <w:szCs w:val="24"/>
        </w:rPr>
        <w:t>Cabozantinib har ikke udvist mutagent eller klastogent potentiale i et standardbatteri af genotoksicitetsassays. Cabozantinibs karcinogene potentiale er blevet evalueret hos to arter: rasH2-transgene mus og</w:t>
      </w:r>
      <w:r>
        <w:rPr>
          <w:sz w:val="24"/>
          <w:szCs w:val="24"/>
        </w:rPr>
        <w:t xml:space="preserve"> </w:t>
      </w:r>
      <w:r w:rsidRPr="008536EA">
        <w:rPr>
          <w:sz w:val="24"/>
          <w:szCs w:val="24"/>
        </w:rPr>
        <w:t>Sprague-Dawley-rotter. I det 2-årige karcinogenicitetsstudie med rotter bestod de cabozantinib-relaterede neoplastiske fund af en øget forekomst af benignt fæokromocytom, alene eller i kombination med malignt fæokromocytom/komplekst malignt fæokromocytom i binyremarven hos begge køn ved eksponering langt under den tilsigtede eksponering hos mennesker. Den kliniske relevans af de observerede neoplastiske læsioner hos rotter er uvis, men vil sandsynligvis være ringe.</w:t>
      </w:r>
    </w:p>
    <w:p w14:paraId="5C255ACF" w14:textId="77777777" w:rsidR="007C08C7" w:rsidRPr="008536EA" w:rsidRDefault="007C08C7" w:rsidP="007C08C7">
      <w:pPr>
        <w:pStyle w:val="Brdtekst"/>
        <w:tabs>
          <w:tab w:val="left" w:pos="9781"/>
        </w:tabs>
        <w:kinsoku w:val="0"/>
        <w:overflowPunct w:val="0"/>
        <w:ind w:left="851" w:right="140"/>
        <w:rPr>
          <w:sz w:val="24"/>
          <w:szCs w:val="24"/>
        </w:rPr>
      </w:pPr>
      <w:r w:rsidRPr="008536EA">
        <w:rPr>
          <w:sz w:val="24"/>
          <w:szCs w:val="24"/>
        </w:rPr>
        <w:t>Cabozantinib var ikke karcinogent i rasH2-musemodellen ved en lidt højere eksponering end den tilsigtede humane terapeutiske eksponering.</w:t>
      </w:r>
    </w:p>
    <w:p w14:paraId="20199982" w14:textId="77777777" w:rsidR="007C08C7" w:rsidRPr="008536EA" w:rsidRDefault="007C08C7" w:rsidP="007C08C7">
      <w:pPr>
        <w:pStyle w:val="Brdtekst"/>
        <w:tabs>
          <w:tab w:val="left" w:pos="9781"/>
        </w:tabs>
        <w:kinsoku w:val="0"/>
        <w:overflowPunct w:val="0"/>
        <w:ind w:left="851" w:right="140"/>
        <w:rPr>
          <w:sz w:val="24"/>
          <w:szCs w:val="24"/>
        </w:rPr>
      </w:pPr>
    </w:p>
    <w:p w14:paraId="1122CFB2" w14:textId="77777777" w:rsidR="007C08C7" w:rsidRPr="008536EA" w:rsidRDefault="007C08C7" w:rsidP="007C08C7">
      <w:pPr>
        <w:pStyle w:val="Brdtekst"/>
        <w:tabs>
          <w:tab w:val="left" w:pos="9781"/>
        </w:tabs>
        <w:kinsoku w:val="0"/>
        <w:overflowPunct w:val="0"/>
        <w:ind w:left="851" w:right="140"/>
        <w:rPr>
          <w:sz w:val="24"/>
          <w:szCs w:val="24"/>
        </w:rPr>
      </w:pPr>
      <w:r w:rsidRPr="008536EA">
        <w:rPr>
          <w:sz w:val="24"/>
          <w:szCs w:val="24"/>
        </w:rPr>
        <w:t>Fertilitetsstudier hos rotter har vist reduceret fertilitet hos hanner og hunner. Ydermere blev der observeret hypospermatogenese hos hanhunde ved eksponeringsniveauer under det humane kliniske eksponeringsniveau ved den tilsigtede terapeutiske dosis.</w:t>
      </w:r>
    </w:p>
    <w:p w14:paraId="7F868D5E" w14:textId="77777777" w:rsidR="007C08C7" w:rsidRPr="008536EA" w:rsidRDefault="007C08C7" w:rsidP="007C08C7">
      <w:pPr>
        <w:pStyle w:val="Brdtekst"/>
        <w:tabs>
          <w:tab w:val="left" w:pos="9781"/>
        </w:tabs>
        <w:kinsoku w:val="0"/>
        <w:overflowPunct w:val="0"/>
        <w:ind w:left="851" w:right="140"/>
        <w:rPr>
          <w:sz w:val="24"/>
          <w:szCs w:val="24"/>
        </w:rPr>
      </w:pPr>
    </w:p>
    <w:p w14:paraId="67EA47B5" w14:textId="77777777" w:rsidR="007C08C7" w:rsidRPr="008536EA" w:rsidRDefault="007C08C7" w:rsidP="007C08C7">
      <w:pPr>
        <w:pStyle w:val="Brdtekst"/>
        <w:tabs>
          <w:tab w:val="left" w:pos="9781"/>
        </w:tabs>
        <w:kinsoku w:val="0"/>
        <w:overflowPunct w:val="0"/>
        <w:ind w:left="851" w:right="140"/>
        <w:rPr>
          <w:sz w:val="24"/>
          <w:szCs w:val="24"/>
        </w:rPr>
      </w:pPr>
      <w:r w:rsidRPr="008536EA">
        <w:rPr>
          <w:sz w:val="24"/>
          <w:szCs w:val="24"/>
        </w:rPr>
        <w:t>Der blev udført embryo-føtale udviklingsstudier hos rotter og kaniner. Hos rotter medførte cabozantinib postimplantationstab, føtalt ødem, hareskår/ganespalte, dermal aplasi og krøllet eller rudimentær hale. Hos kaniner fremkaldte cabozantinib ændringer i føtale bløddele (reduceret miltstørrelse, lille eller manglende intermediær lunge-lap), og det totale antal misdannelser hos fostrene var øget. NOAEL for embryo-føtal toksicitet og teratogene fund var lavere end det humane kliniske eksponeringsniveau ved den tilsigtede terapeutiske dosis.</w:t>
      </w:r>
    </w:p>
    <w:p w14:paraId="21CDCEA3" w14:textId="77777777" w:rsidR="007C08C7" w:rsidRPr="008536EA" w:rsidRDefault="007C08C7" w:rsidP="007C08C7">
      <w:pPr>
        <w:pStyle w:val="Brdtekst"/>
        <w:tabs>
          <w:tab w:val="left" w:pos="9781"/>
        </w:tabs>
        <w:kinsoku w:val="0"/>
        <w:overflowPunct w:val="0"/>
        <w:ind w:left="851" w:right="140"/>
        <w:rPr>
          <w:sz w:val="24"/>
          <w:szCs w:val="24"/>
        </w:rPr>
      </w:pPr>
    </w:p>
    <w:p w14:paraId="6F7CFB8F" w14:textId="77777777" w:rsidR="007C08C7" w:rsidRPr="008536EA" w:rsidRDefault="007C08C7" w:rsidP="007C08C7">
      <w:pPr>
        <w:pStyle w:val="Brdtekst"/>
        <w:tabs>
          <w:tab w:val="left" w:pos="9781"/>
        </w:tabs>
        <w:kinsoku w:val="0"/>
        <w:overflowPunct w:val="0"/>
        <w:ind w:left="851" w:right="140"/>
        <w:rPr>
          <w:sz w:val="24"/>
          <w:szCs w:val="24"/>
        </w:rPr>
      </w:pPr>
      <w:r w:rsidRPr="008536EA">
        <w:rPr>
          <w:sz w:val="24"/>
          <w:szCs w:val="24"/>
        </w:rPr>
        <w:t>Juvenile rotter (sammenlignelige med en &gt;2-årig pædiatrisk population), der fik cabozantinib, udviste forhøjede leukocyt-parametre, nedsat hæmatopoiese, pubertært/umodent hunligt reproduktionssystem (uden forsinket vaginalåbning), abnormiteter i tænderne, reduceret mineralindhold i og densitet af knoglerne, leverpigmentering og lymfoid lymfeknudehyperplasi. Fund i uterus/ovarier og nedsat hæmatopoiese syntes at være forbigående, mens virkninger på knogleparametre og leverpigmentering var vedvarende. Juvenile rotter (sammenlignelige med en &lt; 2-årig pædiatrisk population) udviste lignende behandlingsrelaterede fund, med yderligere fund i reproduktionssystemet hos hanner (degeneration og/eller atrofi af sædkanaler i testiklerne, reduceret luminal sperm i epididymis), og syntes at være mere sensitive for cabozantinib-relateret toksicitet ved sammenlignelige dosisniveauer.</w:t>
      </w:r>
    </w:p>
    <w:p w14:paraId="28CB8D91" w14:textId="77777777" w:rsidR="007C08C7" w:rsidRPr="008536EA" w:rsidRDefault="007C08C7" w:rsidP="007C08C7">
      <w:pPr>
        <w:ind w:left="851" w:right="140"/>
        <w:rPr>
          <w:sz w:val="24"/>
          <w:szCs w:val="24"/>
        </w:rPr>
      </w:pPr>
    </w:p>
    <w:p w14:paraId="789AA4DD" w14:textId="77777777" w:rsidR="009260DE" w:rsidRPr="005902E8" w:rsidRDefault="009260DE" w:rsidP="009260DE">
      <w:pPr>
        <w:tabs>
          <w:tab w:val="left" w:pos="851"/>
        </w:tabs>
        <w:ind w:left="851"/>
        <w:rPr>
          <w:sz w:val="24"/>
          <w:szCs w:val="24"/>
        </w:rPr>
      </w:pPr>
    </w:p>
    <w:p w14:paraId="5FB399FC"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08274160" w14:textId="77777777" w:rsidR="009260DE" w:rsidRPr="00BA09F1" w:rsidRDefault="009260DE" w:rsidP="009260DE">
      <w:pPr>
        <w:tabs>
          <w:tab w:val="left" w:pos="851"/>
        </w:tabs>
        <w:ind w:left="851"/>
        <w:rPr>
          <w:sz w:val="24"/>
          <w:szCs w:val="24"/>
        </w:rPr>
      </w:pPr>
    </w:p>
    <w:p w14:paraId="6503B7C5"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4DD88735" w14:textId="77777777" w:rsidR="00102639" w:rsidRPr="008536EA" w:rsidRDefault="00102639" w:rsidP="00102639">
      <w:pPr>
        <w:pStyle w:val="Brdtekst"/>
        <w:tabs>
          <w:tab w:val="left" w:pos="9781"/>
        </w:tabs>
        <w:kinsoku w:val="0"/>
        <w:overflowPunct w:val="0"/>
        <w:ind w:left="851"/>
        <w:rPr>
          <w:b/>
          <w:bCs/>
          <w:sz w:val="24"/>
          <w:szCs w:val="24"/>
        </w:rPr>
      </w:pPr>
    </w:p>
    <w:p w14:paraId="06C7D68C" w14:textId="77777777" w:rsidR="00102639" w:rsidRPr="008536EA" w:rsidRDefault="00102639" w:rsidP="00102639">
      <w:pPr>
        <w:pStyle w:val="Brdtekst"/>
        <w:tabs>
          <w:tab w:val="left" w:pos="9781"/>
        </w:tabs>
        <w:kinsoku w:val="0"/>
        <w:overflowPunct w:val="0"/>
        <w:ind w:left="851" w:right="1114"/>
        <w:rPr>
          <w:sz w:val="24"/>
          <w:szCs w:val="24"/>
        </w:rPr>
      </w:pPr>
      <w:r w:rsidRPr="008536EA">
        <w:rPr>
          <w:sz w:val="24"/>
          <w:szCs w:val="24"/>
          <w:u w:val="single" w:color="000000"/>
        </w:rPr>
        <w:t>Tablet</w:t>
      </w:r>
      <w:r w:rsidRPr="008536EA">
        <w:rPr>
          <w:sz w:val="24"/>
          <w:szCs w:val="24"/>
        </w:rPr>
        <w:t>kerne</w:t>
      </w:r>
    </w:p>
    <w:p w14:paraId="3B7E679E" w14:textId="77777777" w:rsidR="00102639" w:rsidRPr="008536EA" w:rsidRDefault="00102639" w:rsidP="00102639">
      <w:pPr>
        <w:pStyle w:val="Brdtekst"/>
        <w:tabs>
          <w:tab w:val="left" w:pos="9781"/>
        </w:tabs>
        <w:kinsoku w:val="0"/>
        <w:overflowPunct w:val="0"/>
        <w:ind w:left="851" w:right="1114"/>
        <w:rPr>
          <w:sz w:val="24"/>
          <w:szCs w:val="24"/>
        </w:rPr>
      </w:pPr>
      <w:r w:rsidRPr="008536EA">
        <w:rPr>
          <w:sz w:val="24"/>
          <w:szCs w:val="24"/>
        </w:rPr>
        <w:t xml:space="preserve">Mikrokrystallinsk cellulose </w:t>
      </w:r>
    </w:p>
    <w:p w14:paraId="7B59D90F" w14:textId="77777777" w:rsidR="00102639" w:rsidRPr="005E3AE8" w:rsidRDefault="00102639" w:rsidP="00102639">
      <w:pPr>
        <w:pStyle w:val="Brdtekst"/>
        <w:tabs>
          <w:tab w:val="left" w:pos="9781"/>
        </w:tabs>
        <w:kinsoku w:val="0"/>
        <w:overflowPunct w:val="0"/>
        <w:ind w:left="851" w:right="1114"/>
        <w:rPr>
          <w:sz w:val="24"/>
          <w:szCs w:val="24"/>
          <w:lang w:val="en-US"/>
        </w:rPr>
      </w:pPr>
      <w:r w:rsidRPr="005E3AE8">
        <w:rPr>
          <w:sz w:val="24"/>
          <w:szCs w:val="24"/>
          <w:lang w:val="en-US"/>
        </w:rPr>
        <w:t xml:space="preserve">Vandfri lactose </w:t>
      </w:r>
    </w:p>
    <w:p w14:paraId="40E90B49" w14:textId="77777777" w:rsidR="00102639" w:rsidRPr="005E3AE8" w:rsidRDefault="00102639" w:rsidP="00102639">
      <w:pPr>
        <w:pStyle w:val="Brdtekst"/>
        <w:tabs>
          <w:tab w:val="left" w:pos="9781"/>
        </w:tabs>
        <w:kinsoku w:val="0"/>
        <w:overflowPunct w:val="0"/>
        <w:ind w:left="851" w:right="1114"/>
        <w:rPr>
          <w:sz w:val="24"/>
          <w:szCs w:val="24"/>
          <w:lang w:val="en-US"/>
        </w:rPr>
      </w:pPr>
      <w:r w:rsidRPr="005E3AE8">
        <w:rPr>
          <w:sz w:val="24"/>
          <w:szCs w:val="24"/>
          <w:lang w:val="en-US"/>
        </w:rPr>
        <w:t>Croscarmellosenatrium</w:t>
      </w:r>
    </w:p>
    <w:p w14:paraId="4762CCA8" w14:textId="77777777" w:rsidR="00102639" w:rsidRPr="005E3AE8" w:rsidRDefault="00102639" w:rsidP="00102639">
      <w:pPr>
        <w:ind w:left="851"/>
        <w:rPr>
          <w:sz w:val="24"/>
          <w:szCs w:val="24"/>
          <w:lang w:val="en-US"/>
        </w:rPr>
      </w:pPr>
      <w:r w:rsidRPr="005E3AE8">
        <w:rPr>
          <w:sz w:val="24"/>
          <w:szCs w:val="24"/>
          <w:lang w:val="en-US"/>
        </w:rPr>
        <w:t>Hydroxypropyl cellulose (E463)</w:t>
      </w:r>
    </w:p>
    <w:p w14:paraId="34521A68" w14:textId="77777777" w:rsidR="00102639" w:rsidRPr="008536EA" w:rsidRDefault="00102639" w:rsidP="00102639">
      <w:pPr>
        <w:pStyle w:val="Brdtekst"/>
        <w:tabs>
          <w:tab w:val="left" w:pos="9781"/>
        </w:tabs>
        <w:kinsoku w:val="0"/>
        <w:overflowPunct w:val="0"/>
        <w:ind w:left="851" w:right="1114"/>
        <w:rPr>
          <w:sz w:val="24"/>
          <w:szCs w:val="24"/>
        </w:rPr>
      </w:pPr>
      <w:r w:rsidRPr="008536EA">
        <w:rPr>
          <w:sz w:val="24"/>
          <w:szCs w:val="24"/>
        </w:rPr>
        <w:t xml:space="preserve">Silica, kolloid vandfri </w:t>
      </w:r>
    </w:p>
    <w:p w14:paraId="4CCBC54C" w14:textId="77777777" w:rsidR="00102639" w:rsidRPr="008536EA" w:rsidRDefault="00102639" w:rsidP="00102639">
      <w:pPr>
        <w:pStyle w:val="Brdtekst"/>
        <w:tabs>
          <w:tab w:val="left" w:pos="9781"/>
        </w:tabs>
        <w:kinsoku w:val="0"/>
        <w:overflowPunct w:val="0"/>
        <w:ind w:left="851" w:right="1114"/>
        <w:rPr>
          <w:sz w:val="24"/>
          <w:szCs w:val="24"/>
        </w:rPr>
      </w:pPr>
      <w:r w:rsidRPr="008536EA">
        <w:rPr>
          <w:sz w:val="24"/>
          <w:szCs w:val="24"/>
        </w:rPr>
        <w:t>Magnesiumstearat</w:t>
      </w:r>
    </w:p>
    <w:p w14:paraId="405CD352" w14:textId="2086AD5C" w:rsidR="00396EB1" w:rsidRDefault="00396EB1">
      <w:pPr>
        <w:rPr>
          <w:rFonts w:eastAsiaTheme="minorEastAsia"/>
          <w:sz w:val="24"/>
          <w:szCs w:val="24"/>
          <w:lang w:eastAsia="da-DK"/>
          <w14:ligatures w14:val="standardContextual"/>
        </w:rPr>
      </w:pPr>
      <w:r>
        <w:rPr>
          <w:sz w:val="24"/>
          <w:szCs w:val="24"/>
        </w:rPr>
        <w:br w:type="page"/>
      </w:r>
    </w:p>
    <w:p w14:paraId="69B575D1" w14:textId="77777777" w:rsidR="00102639" w:rsidRPr="008536EA" w:rsidRDefault="00102639" w:rsidP="00102639">
      <w:pPr>
        <w:pStyle w:val="Brdtekst"/>
        <w:tabs>
          <w:tab w:val="left" w:pos="9781"/>
        </w:tabs>
        <w:kinsoku w:val="0"/>
        <w:overflowPunct w:val="0"/>
        <w:ind w:left="851" w:right="1114"/>
        <w:rPr>
          <w:sz w:val="24"/>
          <w:szCs w:val="24"/>
        </w:rPr>
      </w:pPr>
    </w:p>
    <w:p w14:paraId="4423BB0B" w14:textId="77777777" w:rsidR="00102639" w:rsidRPr="008536EA" w:rsidRDefault="00102639" w:rsidP="00102639">
      <w:pPr>
        <w:pStyle w:val="Brdtekst"/>
        <w:tabs>
          <w:tab w:val="left" w:pos="9781"/>
        </w:tabs>
        <w:kinsoku w:val="0"/>
        <w:overflowPunct w:val="0"/>
        <w:ind w:left="851" w:right="1114"/>
        <w:rPr>
          <w:sz w:val="24"/>
          <w:szCs w:val="24"/>
        </w:rPr>
      </w:pPr>
      <w:r w:rsidRPr="008536EA">
        <w:rPr>
          <w:sz w:val="24"/>
          <w:szCs w:val="24"/>
          <w:u w:val="single" w:color="000000"/>
        </w:rPr>
        <w:t>Filmovertræk</w:t>
      </w:r>
      <w:r w:rsidRPr="008536EA">
        <w:rPr>
          <w:sz w:val="24"/>
          <w:szCs w:val="24"/>
        </w:rPr>
        <w:t xml:space="preserve"> </w:t>
      </w:r>
    </w:p>
    <w:p w14:paraId="29CB6F10" w14:textId="77777777" w:rsidR="00102639" w:rsidRDefault="00102639" w:rsidP="00102639">
      <w:pPr>
        <w:pStyle w:val="Brdtekst"/>
        <w:tabs>
          <w:tab w:val="left" w:pos="9781"/>
        </w:tabs>
        <w:kinsoku w:val="0"/>
        <w:overflowPunct w:val="0"/>
        <w:ind w:left="851" w:right="1114"/>
        <w:rPr>
          <w:i/>
          <w:iCs/>
          <w:sz w:val="24"/>
          <w:szCs w:val="24"/>
          <w:u w:val="single"/>
        </w:rPr>
      </w:pPr>
    </w:p>
    <w:p w14:paraId="7C707906" w14:textId="77777777" w:rsidR="00102639" w:rsidRPr="008536EA" w:rsidRDefault="00102639" w:rsidP="00102639">
      <w:pPr>
        <w:pStyle w:val="Brdtekst"/>
        <w:tabs>
          <w:tab w:val="left" w:pos="9781"/>
        </w:tabs>
        <w:kinsoku w:val="0"/>
        <w:overflowPunct w:val="0"/>
        <w:ind w:left="851" w:right="1114"/>
        <w:rPr>
          <w:i/>
          <w:iCs/>
          <w:sz w:val="24"/>
          <w:szCs w:val="24"/>
          <w:u w:val="single"/>
        </w:rPr>
      </w:pPr>
      <w:r w:rsidRPr="008536EA">
        <w:rPr>
          <w:i/>
          <w:iCs/>
          <w:sz w:val="24"/>
          <w:szCs w:val="24"/>
          <w:u w:val="single"/>
        </w:rPr>
        <w:t>20 mg</w:t>
      </w:r>
    </w:p>
    <w:p w14:paraId="01DFCE93" w14:textId="77777777" w:rsidR="00102639" w:rsidRPr="008536EA" w:rsidRDefault="00102639" w:rsidP="00102639">
      <w:pPr>
        <w:pStyle w:val="Brdtekst"/>
        <w:tabs>
          <w:tab w:val="left" w:pos="9781"/>
        </w:tabs>
        <w:kinsoku w:val="0"/>
        <w:overflowPunct w:val="0"/>
        <w:ind w:left="851" w:right="1114"/>
        <w:rPr>
          <w:sz w:val="24"/>
          <w:szCs w:val="24"/>
        </w:rPr>
      </w:pPr>
      <w:r w:rsidRPr="008536EA">
        <w:rPr>
          <w:sz w:val="24"/>
          <w:szCs w:val="24"/>
        </w:rPr>
        <w:t>Polyvinylalkohol, delvist hydroliseret (E1203)</w:t>
      </w:r>
    </w:p>
    <w:p w14:paraId="02048664" w14:textId="77777777" w:rsidR="00102639" w:rsidRPr="008536EA" w:rsidRDefault="00102639" w:rsidP="00102639">
      <w:pPr>
        <w:pStyle w:val="Brdtekst"/>
        <w:tabs>
          <w:tab w:val="left" w:pos="9781"/>
        </w:tabs>
        <w:kinsoku w:val="0"/>
        <w:overflowPunct w:val="0"/>
        <w:ind w:left="851" w:right="1114"/>
        <w:rPr>
          <w:sz w:val="24"/>
          <w:szCs w:val="24"/>
        </w:rPr>
      </w:pPr>
      <w:r w:rsidRPr="008536EA">
        <w:rPr>
          <w:sz w:val="24"/>
          <w:szCs w:val="24"/>
        </w:rPr>
        <w:t xml:space="preserve">Titandioxid (E171) </w:t>
      </w:r>
    </w:p>
    <w:p w14:paraId="02A46B86" w14:textId="77777777" w:rsidR="00102639" w:rsidRPr="008536EA" w:rsidRDefault="00102639" w:rsidP="00102639">
      <w:pPr>
        <w:pStyle w:val="Brdtekst"/>
        <w:tabs>
          <w:tab w:val="left" w:pos="9781"/>
        </w:tabs>
        <w:kinsoku w:val="0"/>
        <w:overflowPunct w:val="0"/>
        <w:ind w:left="851" w:right="1114"/>
        <w:rPr>
          <w:sz w:val="24"/>
          <w:szCs w:val="24"/>
          <w:lang w:val="en-US"/>
        </w:rPr>
      </w:pPr>
      <w:r w:rsidRPr="008536EA">
        <w:rPr>
          <w:sz w:val="24"/>
          <w:szCs w:val="24"/>
          <w:lang w:val="en-US"/>
        </w:rPr>
        <w:t>Macrogol 3350 (E1521)</w:t>
      </w:r>
    </w:p>
    <w:p w14:paraId="78BD98D6" w14:textId="77777777" w:rsidR="00102639" w:rsidRPr="008536EA" w:rsidRDefault="00102639" w:rsidP="00102639">
      <w:pPr>
        <w:pStyle w:val="Brdtekst"/>
        <w:tabs>
          <w:tab w:val="left" w:pos="9781"/>
        </w:tabs>
        <w:kinsoku w:val="0"/>
        <w:overflowPunct w:val="0"/>
        <w:ind w:left="851" w:right="1114"/>
        <w:rPr>
          <w:sz w:val="24"/>
          <w:szCs w:val="24"/>
          <w:lang w:val="en-US"/>
        </w:rPr>
      </w:pPr>
      <w:r w:rsidRPr="008536EA">
        <w:rPr>
          <w:sz w:val="24"/>
          <w:szCs w:val="24"/>
          <w:lang w:val="en-US"/>
        </w:rPr>
        <w:t>Talcum (E553b)</w:t>
      </w:r>
    </w:p>
    <w:p w14:paraId="1C9D45EB" w14:textId="77777777" w:rsidR="00102639" w:rsidRPr="008536EA" w:rsidRDefault="00102639" w:rsidP="00102639">
      <w:pPr>
        <w:pStyle w:val="Brdtekst"/>
        <w:tabs>
          <w:tab w:val="left" w:pos="9781"/>
        </w:tabs>
        <w:kinsoku w:val="0"/>
        <w:overflowPunct w:val="0"/>
        <w:ind w:left="851" w:right="1114"/>
        <w:rPr>
          <w:sz w:val="24"/>
          <w:szCs w:val="24"/>
          <w:lang w:val="en-US"/>
        </w:rPr>
      </w:pPr>
      <w:r w:rsidRPr="008536EA">
        <w:rPr>
          <w:sz w:val="24"/>
          <w:szCs w:val="24"/>
          <w:lang w:val="en-US"/>
        </w:rPr>
        <w:t>Jernoxid, gul (E172)</w:t>
      </w:r>
    </w:p>
    <w:p w14:paraId="58900297" w14:textId="77777777" w:rsidR="00102639" w:rsidRPr="008536EA" w:rsidRDefault="00102639" w:rsidP="00102639">
      <w:pPr>
        <w:pStyle w:val="Brdtekst"/>
        <w:tabs>
          <w:tab w:val="left" w:pos="9781"/>
        </w:tabs>
        <w:kinsoku w:val="0"/>
        <w:overflowPunct w:val="0"/>
        <w:ind w:left="851" w:right="1114"/>
        <w:rPr>
          <w:sz w:val="24"/>
          <w:szCs w:val="24"/>
        </w:rPr>
      </w:pPr>
      <w:r w:rsidRPr="008536EA">
        <w:rPr>
          <w:sz w:val="24"/>
          <w:szCs w:val="24"/>
        </w:rPr>
        <w:t>Jernoxid, rød (E172)</w:t>
      </w:r>
    </w:p>
    <w:p w14:paraId="27C039DE" w14:textId="77777777" w:rsidR="00102639" w:rsidRPr="008536EA" w:rsidRDefault="00102639" w:rsidP="00102639">
      <w:pPr>
        <w:pStyle w:val="Brdtekst"/>
        <w:tabs>
          <w:tab w:val="left" w:pos="9781"/>
        </w:tabs>
        <w:kinsoku w:val="0"/>
        <w:overflowPunct w:val="0"/>
        <w:ind w:left="851"/>
        <w:rPr>
          <w:sz w:val="24"/>
          <w:szCs w:val="24"/>
        </w:rPr>
      </w:pPr>
    </w:p>
    <w:p w14:paraId="1478B96A" w14:textId="77777777" w:rsidR="00102639" w:rsidRPr="008536EA" w:rsidRDefault="00102639" w:rsidP="00102639">
      <w:pPr>
        <w:pStyle w:val="Brdtekst"/>
        <w:tabs>
          <w:tab w:val="left" w:pos="9781"/>
        </w:tabs>
        <w:kinsoku w:val="0"/>
        <w:overflowPunct w:val="0"/>
        <w:ind w:left="851" w:right="1114"/>
        <w:rPr>
          <w:i/>
          <w:iCs/>
          <w:sz w:val="24"/>
          <w:szCs w:val="24"/>
          <w:u w:val="single"/>
        </w:rPr>
      </w:pPr>
      <w:r w:rsidRPr="008536EA">
        <w:rPr>
          <w:i/>
          <w:iCs/>
          <w:sz w:val="24"/>
          <w:szCs w:val="24"/>
          <w:u w:val="single"/>
        </w:rPr>
        <w:t>40 mg og 60 mg</w:t>
      </w:r>
    </w:p>
    <w:p w14:paraId="766DE116" w14:textId="77777777" w:rsidR="00102639" w:rsidRPr="008536EA" w:rsidRDefault="00102639" w:rsidP="00102639">
      <w:pPr>
        <w:pStyle w:val="Brdtekst"/>
        <w:tabs>
          <w:tab w:val="left" w:pos="9781"/>
        </w:tabs>
        <w:kinsoku w:val="0"/>
        <w:overflowPunct w:val="0"/>
        <w:ind w:left="851" w:right="1114"/>
        <w:rPr>
          <w:sz w:val="24"/>
          <w:szCs w:val="24"/>
        </w:rPr>
      </w:pPr>
      <w:r w:rsidRPr="008536EA">
        <w:rPr>
          <w:sz w:val="24"/>
          <w:szCs w:val="24"/>
        </w:rPr>
        <w:t>Polyvinylalkohol, delvist hydroliseret (E1203)</w:t>
      </w:r>
    </w:p>
    <w:p w14:paraId="7060F111" w14:textId="77777777" w:rsidR="00102639" w:rsidRPr="008536EA" w:rsidRDefault="00102639" w:rsidP="00102639">
      <w:pPr>
        <w:pStyle w:val="Brdtekst"/>
        <w:tabs>
          <w:tab w:val="left" w:pos="9781"/>
        </w:tabs>
        <w:kinsoku w:val="0"/>
        <w:overflowPunct w:val="0"/>
        <w:ind w:left="851" w:right="1114"/>
        <w:rPr>
          <w:sz w:val="24"/>
          <w:szCs w:val="24"/>
        </w:rPr>
      </w:pPr>
      <w:r w:rsidRPr="008536EA">
        <w:rPr>
          <w:sz w:val="24"/>
          <w:szCs w:val="24"/>
        </w:rPr>
        <w:t xml:space="preserve">Titandioxid (E171) </w:t>
      </w:r>
    </w:p>
    <w:p w14:paraId="520CFE8E" w14:textId="77777777" w:rsidR="00102639" w:rsidRPr="008536EA" w:rsidRDefault="00102639" w:rsidP="00102639">
      <w:pPr>
        <w:pStyle w:val="Brdtekst"/>
        <w:tabs>
          <w:tab w:val="left" w:pos="9781"/>
        </w:tabs>
        <w:kinsoku w:val="0"/>
        <w:overflowPunct w:val="0"/>
        <w:ind w:left="851" w:right="1114"/>
        <w:rPr>
          <w:sz w:val="24"/>
          <w:szCs w:val="24"/>
          <w:lang w:val="en-US"/>
        </w:rPr>
      </w:pPr>
      <w:r w:rsidRPr="008536EA">
        <w:rPr>
          <w:sz w:val="24"/>
          <w:szCs w:val="24"/>
          <w:lang w:val="en-US"/>
        </w:rPr>
        <w:t>Macrogol 3350 (E1521)</w:t>
      </w:r>
    </w:p>
    <w:p w14:paraId="578E5E48" w14:textId="77777777" w:rsidR="00102639" w:rsidRPr="008536EA" w:rsidRDefault="00102639" w:rsidP="00102639">
      <w:pPr>
        <w:pStyle w:val="Brdtekst"/>
        <w:tabs>
          <w:tab w:val="left" w:pos="9781"/>
        </w:tabs>
        <w:kinsoku w:val="0"/>
        <w:overflowPunct w:val="0"/>
        <w:ind w:left="851" w:right="1114"/>
        <w:rPr>
          <w:sz w:val="24"/>
          <w:szCs w:val="24"/>
          <w:lang w:val="en-US"/>
        </w:rPr>
      </w:pPr>
      <w:r w:rsidRPr="008536EA">
        <w:rPr>
          <w:sz w:val="24"/>
          <w:szCs w:val="24"/>
          <w:lang w:val="en-US"/>
        </w:rPr>
        <w:t>Talcum (E553b)</w:t>
      </w:r>
    </w:p>
    <w:p w14:paraId="0BC3E20D" w14:textId="77777777" w:rsidR="00102639" w:rsidRPr="008536EA" w:rsidRDefault="00102639" w:rsidP="00102639">
      <w:pPr>
        <w:pStyle w:val="Brdtekst"/>
        <w:tabs>
          <w:tab w:val="left" w:pos="9781"/>
        </w:tabs>
        <w:kinsoku w:val="0"/>
        <w:overflowPunct w:val="0"/>
        <w:ind w:left="851" w:right="1114"/>
        <w:rPr>
          <w:sz w:val="24"/>
          <w:szCs w:val="24"/>
          <w:lang w:val="en-US"/>
        </w:rPr>
      </w:pPr>
      <w:r w:rsidRPr="008536EA">
        <w:rPr>
          <w:sz w:val="24"/>
          <w:szCs w:val="24"/>
          <w:lang w:val="en-US"/>
        </w:rPr>
        <w:t>Jernoxid, gul (E172)</w:t>
      </w:r>
    </w:p>
    <w:p w14:paraId="5D863816" w14:textId="77777777" w:rsidR="009260DE" w:rsidRPr="00102639" w:rsidRDefault="009260DE" w:rsidP="009260DE">
      <w:pPr>
        <w:tabs>
          <w:tab w:val="left" w:pos="851"/>
        </w:tabs>
        <w:ind w:left="851"/>
        <w:rPr>
          <w:sz w:val="24"/>
          <w:szCs w:val="24"/>
          <w:lang w:val="en-US"/>
        </w:rPr>
      </w:pPr>
    </w:p>
    <w:p w14:paraId="01228853"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24D493F2" w14:textId="580FC9C4" w:rsidR="009260DE" w:rsidRPr="00C84483" w:rsidRDefault="005E3AE8" w:rsidP="009260DE">
      <w:pPr>
        <w:tabs>
          <w:tab w:val="left" w:pos="851"/>
        </w:tabs>
        <w:ind w:left="851"/>
        <w:rPr>
          <w:sz w:val="24"/>
          <w:szCs w:val="24"/>
        </w:rPr>
      </w:pPr>
      <w:r>
        <w:rPr>
          <w:sz w:val="24"/>
          <w:szCs w:val="24"/>
        </w:rPr>
        <w:t>Ikke relevant.</w:t>
      </w:r>
    </w:p>
    <w:p w14:paraId="0A3C82CF" w14:textId="77777777" w:rsidR="009260DE" w:rsidRPr="00C84483" w:rsidRDefault="009260DE" w:rsidP="009260DE">
      <w:pPr>
        <w:tabs>
          <w:tab w:val="left" w:pos="851"/>
        </w:tabs>
        <w:ind w:left="851"/>
        <w:rPr>
          <w:sz w:val="24"/>
          <w:szCs w:val="24"/>
        </w:rPr>
      </w:pPr>
    </w:p>
    <w:p w14:paraId="4E7300A6"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2CECC067" w14:textId="284529E5" w:rsidR="009260DE" w:rsidRPr="0089346F" w:rsidRDefault="005E3AE8" w:rsidP="0089346F">
      <w:pPr>
        <w:tabs>
          <w:tab w:val="left" w:pos="851"/>
        </w:tabs>
        <w:ind w:left="851"/>
        <w:rPr>
          <w:rFonts w:eastAsia="MS Mincho" w:hAnsi="MS Mincho"/>
          <w:noProof/>
          <w:sz w:val="24"/>
          <w:szCs w:val="24"/>
        </w:rPr>
      </w:pPr>
      <w:r>
        <w:rPr>
          <w:sz w:val="24"/>
          <w:szCs w:val="24"/>
        </w:rPr>
        <w:t>2 år.</w:t>
      </w:r>
    </w:p>
    <w:p w14:paraId="119DF45B" w14:textId="77777777" w:rsidR="009260DE" w:rsidRPr="00C84483" w:rsidRDefault="009260DE" w:rsidP="009260DE">
      <w:pPr>
        <w:tabs>
          <w:tab w:val="left" w:pos="851"/>
        </w:tabs>
        <w:ind w:left="851"/>
        <w:rPr>
          <w:sz w:val="24"/>
          <w:szCs w:val="24"/>
        </w:rPr>
      </w:pPr>
    </w:p>
    <w:p w14:paraId="73B3FEBA"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5B402433" w14:textId="6C1C1E40" w:rsidR="009260DE" w:rsidRPr="00C84483" w:rsidRDefault="005E3AE8" w:rsidP="009260DE">
      <w:pPr>
        <w:tabs>
          <w:tab w:val="left" w:pos="851"/>
        </w:tabs>
        <w:ind w:left="851"/>
        <w:rPr>
          <w:sz w:val="24"/>
          <w:szCs w:val="24"/>
        </w:rPr>
      </w:pPr>
      <w:r w:rsidRPr="005E3AE8">
        <w:rPr>
          <w:sz w:val="24"/>
          <w:szCs w:val="24"/>
        </w:rPr>
        <w:t>Dette lægemiddel kræver ingen særlige forholdsregler vedrørende opbevaringen</w:t>
      </w:r>
      <w:r>
        <w:rPr>
          <w:sz w:val="24"/>
          <w:szCs w:val="24"/>
        </w:rPr>
        <w:t>.</w:t>
      </w:r>
    </w:p>
    <w:p w14:paraId="46B99178" w14:textId="77777777" w:rsidR="009260DE" w:rsidRPr="00C84483" w:rsidRDefault="009260DE" w:rsidP="009260DE">
      <w:pPr>
        <w:tabs>
          <w:tab w:val="left" w:pos="851"/>
        </w:tabs>
        <w:ind w:left="851"/>
        <w:rPr>
          <w:sz w:val="24"/>
          <w:szCs w:val="24"/>
        </w:rPr>
      </w:pPr>
    </w:p>
    <w:p w14:paraId="580E735F"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070704C9" w14:textId="77777777" w:rsidR="005E3AE8" w:rsidRDefault="005E3AE8" w:rsidP="005E3AE8">
      <w:pPr>
        <w:tabs>
          <w:tab w:val="left" w:pos="851"/>
        </w:tabs>
        <w:ind w:left="851"/>
        <w:rPr>
          <w:sz w:val="24"/>
          <w:szCs w:val="24"/>
        </w:rPr>
      </w:pPr>
    </w:p>
    <w:p w14:paraId="01A3FB15" w14:textId="77777777" w:rsidR="005E3AE8" w:rsidRPr="005E3AE8" w:rsidRDefault="005E3AE8" w:rsidP="005E3AE8">
      <w:pPr>
        <w:tabs>
          <w:tab w:val="left" w:pos="851"/>
        </w:tabs>
        <w:ind w:left="851"/>
        <w:rPr>
          <w:sz w:val="24"/>
          <w:szCs w:val="24"/>
          <w:u w:val="single"/>
        </w:rPr>
      </w:pPr>
      <w:r w:rsidRPr="005E3AE8">
        <w:rPr>
          <w:sz w:val="24"/>
          <w:szCs w:val="24"/>
          <w:u w:val="single"/>
        </w:rPr>
        <w:t>Blisterpakning eller enkeltdosisblisterpakning af OPA/Alu/PVC-aluminium</w:t>
      </w:r>
    </w:p>
    <w:p w14:paraId="675FDC8B" w14:textId="79591F91" w:rsidR="005E3AE8" w:rsidRPr="005E3AE8" w:rsidRDefault="005E3AE8" w:rsidP="005E3AE8">
      <w:pPr>
        <w:tabs>
          <w:tab w:val="left" w:pos="851"/>
        </w:tabs>
        <w:ind w:left="851"/>
        <w:rPr>
          <w:sz w:val="24"/>
          <w:szCs w:val="24"/>
        </w:rPr>
      </w:pPr>
      <w:r>
        <w:rPr>
          <w:sz w:val="24"/>
          <w:szCs w:val="24"/>
        </w:rPr>
        <w:t xml:space="preserve">Pakningsstørrelser: </w:t>
      </w:r>
      <w:r w:rsidRPr="005E3AE8">
        <w:rPr>
          <w:sz w:val="24"/>
          <w:szCs w:val="24"/>
        </w:rPr>
        <w:t>30 tabletter.</w:t>
      </w:r>
    </w:p>
    <w:p w14:paraId="639CBC20" w14:textId="77777777" w:rsidR="005E3AE8" w:rsidRPr="005E3AE8" w:rsidRDefault="005E3AE8" w:rsidP="005E3AE8">
      <w:pPr>
        <w:tabs>
          <w:tab w:val="left" w:pos="851"/>
        </w:tabs>
        <w:ind w:left="851"/>
        <w:rPr>
          <w:sz w:val="24"/>
          <w:szCs w:val="24"/>
        </w:rPr>
      </w:pPr>
    </w:p>
    <w:p w14:paraId="51E2B6E2" w14:textId="77777777" w:rsidR="005E3AE8" w:rsidRPr="005E3AE8" w:rsidRDefault="005E3AE8" w:rsidP="005E3AE8">
      <w:pPr>
        <w:tabs>
          <w:tab w:val="left" w:pos="851"/>
        </w:tabs>
        <w:ind w:left="851"/>
        <w:rPr>
          <w:sz w:val="24"/>
          <w:szCs w:val="24"/>
          <w:u w:val="single"/>
        </w:rPr>
      </w:pPr>
      <w:r w:rsidRPr="005E3AE8">
        <w:rPr>
          <w:sz w:val="24"/>
          <w:szCs w:val="24"/>
          <w:u w:val="single"/>
        </w:rPr>
        <w:t>HDPE-beholder med børnesikret polypropylenlukning og silicagel som tørremiddel</w:t>
      </w:r>
    </w:p>
    <w:p w14:paraId="11FB39F1" w14:textId="24BC9FD5" w:rsidR="005E3AE8" w:rsidRDefault="005E3AE8" w:rsidP="005E3AE8">
      <w:pPr>
        <w:tabs>
          <w:tab w:val="left" w:pos="851"/>
        </w:tabs>
        <w:ind w:left="851"/>
        <w:rPr>
          <w:sz w:val="24"/>
          <w:szCs w:val="24"/>
        </w:rPr>
      </w:pPr>
      <w:r>
        <w:rPr>
          <w:sz w:val="24"/>
          <w:szCs w:val="24"/>
        </w:rPr>
        <w:t xml:space="preserve">Pakningsstørrelser: </w:t>
      </w:r>
      <w:r w:rsidRPr="005E3AE8">
        <w:rPr>
          <w:sz w:val="24"/>
          <w:szCs w:val="24"/>
        </w:rPr>
        <w:t>30 tabletter.</w:t>
      </w:r>
    </w:p>
    <w:p w14:paraId="734C7F60" w14:textId="58BF6D46" w:rsidR="005E3AE8" w:rsidRDefault="005E3AE8" w:rsidP="005E3AE8">
      <w:pPr>
        <w:tabs>
          <w:tab w:val="left" w:pos="851"/>
        </w:tabs>
        <w:ind w:left="851"/>
        <w:rPr>
          <w:sz w:val="24"/>
          <w:szCs w:val="24"/>
        </w:rPr>
      </w:pPr>
    </w:p>
    <w:p w14:paraId="42D009BF" w14:textId="513E4712" w:rsidR="005E3AE8" w:rsidRPr="005E3AE8" w:rsidRDefault="005E3AE8" w:rsidP="005E3AE8">
      <w:pPr>
        <w:tabs>
          <w:tab w:val="left" w:pos="851"/>
        </w:tabs>
        <w:ind w:left="851"/>
        <w:rPr>
          <w:sz w:val="24"/>
          <w:szCs w:val="24"/>
        </w:rPr>
      </w:pPr>
      <w:r>
        <w:rPr>
          <w:sz w:val="24"/>
          <w:szCs w:val="24"/>
        </w:rPr>
        <w:t>Ikke alle pakningsstørrelser er nødvendigvis markedsført.</w:t>
      </w:r>
    </w:p>
    <w:p w14:paraId="160CC501" w14:textId="77777777" w:rsidR="009260DE" w:rsidRPr="00C84483" w:rsidRDefault="009260DE" w:rsidP="009260DE">
      <w:pPr>
        <w:tabs>
          <w:tab w:val="left" w:pos="851"/>
        </w:tabs>
        <w:ind w:left="851"/>
        <w:rPr>
          <w:sz w:val="24"/>
          <w:szCs w:val="24"/>
        </w:rPr>
      </w:pPr>
    </w:p>
    <w:p w14:paraId="02EE8704"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13BE5B27" w14:textId="24E949B0" w:rsidR="009260DE" w:rsidRPr="00C84483" w:rsidRDefault="005E3AE8" w:rsidP="009260DE">
      <w:pPr>
        <w:tabs>
          <w:tab w:val="left" w:pos="851"/>
        </w:tabs>
        <w:ind w:left="851"/>
        <w:rPr>
          <w:sz w:val="24"/>
          <w:szCs w:val="24"/>
        </w:rPr>
      </w:pPr>
      <w:r w:rsidRPr="005E3AE8">
        <w:rPr>
          <w:sz w:val="24"/>
          <w:szCs w:val="24"/>
        </w:rPr>
        <w:t>Ikke anvendt lægemiddel samt affald heraf skal bortskaffes i henhold til lokale retningslinjer</w:t>
      </w:r>
      <w:r>
        <w:rPr>
          <w:sz w:val="24"/>
          <w:szCs w:val="24"/>
        </w:rPr>
        <w:t>.</w:t>
      </w:r>
    </w:p>
    <w:p w14:paraId="08BBB194" w14:textId="77777777" w:rsidR="009260DE" w:rsidRPr="00C84483" w:rsidRDefault="009260DE" w:rsidP="000730CA">
      <w:pPr>
        <w:tabs>
          <w:tab w:val="left" w:pos="851"/>
        </w:tabs>
        <w:ind w:left="851"/>
        <w:rPr>
          <w:sz w:val="24"/>
          <w:szCs w:val="24"/>
        </w:rPr>
      </w:pPr>
    </w:p>
    <w:p w14:paraId="23982D0B"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6D477087" w14:textId="77777777" w:rsidR="007418A6" w:rsidRPr="00C06BE9" w:rsidRDefault="007418A6" w:rsidP="007418A6">
      <w:pPr>
        <w:tabs>
          <w:tab w:val="left" w:pos="851"/>
        </w:tabs>
        <w:ind w:left="851"/>
        <w:rPr>
          <w:sz w:val="24"/>
          <w:szCs w:val="24"/>
        </w:rPr>
      </w:pPr>
      <w:r w:rsidRPr="00C06BE9">
        <w:rPr>
          <w:sz w:val="24"/>
          <w:szCs w:val="24"/>
        </w:rPr>
        <w:t>Teva B.V.</w:t>
      </w:r>
    </w:p>
    <w:p w14:paraId="68B4E95F" w14:textId="77777777" w:rsidR="007418A6" w:rsidRPr="00C06BE9" w:rsidRDefault="007418A6" w:rsidP="007418A6">
      <w:pPr>
        <w:tabs>
          <w:tab w:val="left" w:pos="851"/>
        </w:tabs>
        <w:ind w:left="851"/>
        <w:rPr>
          <w:sz w:val="24"/>
          <w:szCs w:val="24"/>
        </w:rPr>
      </w:pPr>
      <w:r w:rsidRPr="00C06BE9">
        <w:rPr>
          <w:sz w:val="24"/>
          <w:szCs w:val="24"/>
        </w:rPr>
        <w:t>Swensweg 5</w:t>
      </w:r>
    </w:p>
    <w:p w14:paraId="7F69C4F0" w14:textId="77777777" w:rsidR="007418A6" w:rsidRPr="00C06BE9" w:rsidRDefault="007418A6" w:rsidP="007418A6">
      <w:pPr>
        <w:tabs>
          <w:tab w:val="left" w:pos="851"/>
        </w:tabs>
        <w:ind w:left="851"/>
        <w:rPr>
          <w:sz w:val="24"/>
          <w:szCs w:val="24"/>
        </w:rPr>
      </w:pPr>
      <w:r w:rsidRPr="00C06BE9">
        <w:rPr>
          <w:sz w:val="24"/>
          <w:szCs w:val="24"/>
        </w:rPr>
        <w:t>2031 GA Haarlem</w:t>
      </w:r>
    </w:p>
    <w:p w14:paraId="17B52CD1" w14:textId="77777777" w:rsidR="007418A6" w:rsidRPr="00C06BE9" w:rsidRDefault="007418A6" w:rsidP="007418A6">
      <w:pPr>
        <w:tabs>
          <w:tab w:val="left" w:pos="851"/>
        </w:tabs>
        <w:ind w:left="851"/>
        <w:rPr>
          <w:sz w:val="24"/>
          <w:szCs w:val="24"/>
        </w:rPr>
      </w:pPr>
      <w:r w:rsidRPr="00C06BE9">
        <w:rPr>
          <w:sz w:val="24"/>
          <w:szCs w:val="24"/>
        </w:rPr>
        <w:t>Holland</w:t>
      </w:r>
    </w:p>
    <w:p w14:paraId="2004D444" w14:textId="247D12D0" w:rsidR="009260DE" w:rsidRPr="00C06BE9" w:rsidRDefault="009260DE" w:rsidP="009260DE">
      <w:pPr>
        <w:tabs>
          <w:tab w:val="left" w:pos="851"/>
        </w:tabs>
        <w:ind w:left="851"/>
        <w:rPr>
          <w:sz w:val="24"/>
          <w:szCs w:val="24"/>
        </w:rPr>
      </w:pPr>
    </w:p>
    <w:p w14:paraId="3C9B8F91" w14:textId="77777777" w:rsidR="00641C65" w:rsidRPr="00C06BE9" w:rsidRDefault="00641C65" w:rsidP="009260DE">
      <w:pPr>
        <w:tabs>
          <w:tab w:val="left" w:pos="851"/>
        </w:tabs>
        <w:ind w:left="851"/>
        <w:rPr>
          <w:sz w:val="24"/>
          <w:szCs w:val="24"/>
        </w:rPr>
      </w:pPr>
      <w:r w:rsidRPr="00C06BE9">
        <w:rPr>
          <w:b/>
          <w:sz w:val="24"/>
          <w:szCs w:val="24"/>
        </w:rPr>
        <w:t>Repræsentant</w:t>
      </w:r>
    </w:p>
    <w:p w14:paraId="12543A75" w14:textId="77777777" w:rsidR="007418A6" w:rsidRPr="00C06BE9" w:rsidRDefault="007418A6" w:rsidP="007418A6">
      <w:pPr>
        <w:tabs>
          <w:tab w:val="left" w:pos="851"/>
        </w:tabs>
        <w:ind w:left="851"/>
        <w:rPr>
          <w:sz w:val="24"/>
          <w:szCs w:val="24"/>
        </w:rPr>
      </w:pPr>
      <w:r w:rsidRPr="00C06BE9">
        <w:rPr>
          <w:sz w:val="24"/>
          <w:szCs w:val="24"/>
        </w:rPr>
        <w:t>Teva Denmark A/S</w:t>
      </w:r>
    </w:p>
    <w:p w14:paraId="445348E2" w14:textId="77777777" w:rsidR="007418A6" w:rsidRPr="00C06BE9" w:rsidRDefault="007418A6" w:rsidP="007418A6">
      <w:pPr>
        <w:tabs>
          <w:tab w:val="left" w:pos="851"/>
        </w:tabs>
        <w:ind w:left="851"/>
        <w:rPr>
          <w:sz w:val="24"/>
          <w:szCs w:val="24"/>
        </w:rPr>
      </w:pPr>
      <w:r w:rsidRPr="00C06BE9">
        <w:rPr>
          <w:sz w:val="24"/>
          <w:szCs w:val="24"/>
        </w:rPr>
        <w:t>Vandtårnsvej 83A</w:t>
      </w:r>
    </w:p>
    <w:p w14:paraId="4A1FF0A6" w14:textId="77777777" w:rsidR="007418A6" w:rsidRPr="007418A6" w:rsidRDefault="007418A6" w:rsidP="007418A6">
      <w:pPr>
        <w:tabs>
          <w:tab w:val="left" w:pos="851"/>
        </w:tabs>
        <w:ind w:left="851"/>
        <w:rPr>
          <w:sz w:val="24"/>
          <w:szCs w:val="24"/>
        </w:rPr>
      </w:pPr>
      <w:r w:rsidRPr="007418A6">
        <w:rPr>
          <w:sz w:val="24"/>
          <w:szCs w:val="24"/>
        </w:rPr>
        <w:t>2860 Søborg</w:t>
      </w:r>
    </w:p>
    <w:p w14:paraId="38F41DE7" w14:textId="77777777" w:rsidR="00641C65" w:rsidRPr="00641C65" w:rsidRDefault="00641C65" w:rsidP="009260DE">
      <w:pPr>
        <w:tabs>
          <w:tab w:val="left" w:pos="851"/>
        </w:tabs>
        <w:ind w:left="851"/>
        <w:rPr>
          <w:sz w:val="24"/>
          <w:szCs w:val="24"/>
        </w:rPr>
      </w:pPr>
    </w:p>
    <w:p w14:paraId="082BE9D5"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17B64BBA" w14:textId="36E79097" w:rsidR="009260DE" w:rsidRDefault="007418A6" w:rsidP="007418A6">
      <w:pPr>
        <w:tabs>
          <w:tab w:val="left" w:pos="851"/>
          <w:tab w:val="left" w:pos="1701"/>
        </w:tabs>
        <w:ind w:left="851"/>
        <w:rPr>
          <w:sz w:val="24"/>
          <w:szCs w:val="24"/>
        </w:rPr>
      </w:pPr>
      <w:r>
        <w:rPr>
          <w:sz w:val="24"/>
          <w:szCs w:val="24"/>
        </w:rPr>
        <w:t>20 mg:</w:t>
      </w:r>
      <w:r>
        <w:rPr>
          <w:sz w:val="24"/>
          <w:szCs w:val="24"/>
        </w:rPr>
        <w:tab/>
        <w:t>69422</w:t>
      </w:r>
    </w:p>
    <w:p w14:paraId="027C7A8C" w14:textId="597B8FD1" w:rsidR="007418A6" w:rsidRDefault="007418A6" w:rsidP="007418A6">
      <w:pPr>
        <w:tabs>
          <w:tab w:val="left" w:pos="851"/>
          <w:tab w:val="left" w:pos="1701"/>
        </w:tabs>
        <w:ind w:left="851"/>
        <w:rPr>
          <w:sz w:val="24"/>
          <w:szCs w:val="24"/>
        </w:rPr>
      </w:pPr>
      <w:r>
        <w:rPr>
          <w:sz w:val="24"/>
          <w:szCs w:val="24"/>
        </w:rPr>
        <w:t>40 mg:</w:t>
      </w:r>
      <w:r>
        <w:rPr>
          <w:sz w:val="24"/>
          <w:szCs w:val="24"/>
        </w:rPr>
        <w:tab/>
        <w:t>69423</w:t>
      </w:r>
    </w:p>
    <w:p w14:paraId="1BD36828" w14:textId="33046197" w:rsidR="007418A6" w:rsidRPr="00C84483" w:rsidRDefault="007418A6" w:rsidP="007418A6">
      <w:pPr>
        <w:tabs>
          <w:tab w:val="left" w:pos="851"/>
          <w:tab w:val="left" w:pos="1701"/>
        </w:tabs>
        <w:ind w:left="851"/>
        <w:rPr>
          <w:sz w:val="24"/>
          <w:szCs w:val="24"/>
        </w:rPr>
      </w:pPr>
      <w:r>
        <w:rPr>
          <w:sz w:val="24"/>
          <w:szCs w:val="24"/>
        </w:rPr>
        <w:t>60 mg:</w:t>
      </w:r>
      <w:r>
        <w:rPr>
          <w:sz w:val="24"/>
          <w:szCs w:val="24"/>
        </w:rPr>
        <w:tab/>
        <w:t>69424</w:t>
      </w:r>
    </w:p>
    <w:p w14:paraId="4783CCA7" w14:textId="77777777" w:rsidR="009260DE" w:rsidRPr="00C84483" w:rsidRDefault="009260DE" w:rsidP="009260DE">
      <w:pPr>
        <w:tabs>
          <w:tab w:val="left" w:pos="851"/>
        </w:tabs>
        <w:ind w:left="851"/>
        <w:jc w:val="both"/>
        <w:rPr>
          <w:sz w:val="24"/>
          <w:szCs w:val="24"/>
        </w:rPr>
      </w:pPr>
    </w:p>
    <w:p w14:paraId="264EF158"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3D8D8C2B" w14:textId="39AF72DC" w:rsidR="009260DE" w:rsidRPr="00C84483" w:rsidRDefault="00E7162B" w:rsidP="009260DE">
      <w:pPr>
        <w:tabs>
          <w:tab w:val="left" w:pos="851"/>
        </w:tabs>
        <w:ind w:left="851"/>
        <w:rPr>
          <w:sz w:val="24"/>
          <w:szCs w:val="24"/>
        </w:rPr>
      </w:pPr>
      <w:r>
        <w:rPr>
          <w:sz w:val="24"/>
          <w:szCs w:val="24"/>
        </w:rPr>
        <w:t>24. juni 2025</w:t>
      </w:r>
    </w:p>
    <w:p w14:paraId="7A47273B" w14:textId="77777777" w:rsidR="009260DE" w:rsidRPr="00C84483" w:rsidRDefault="009260DE" w:rsidP="009260DE">
      <w:pPr>
        <w:tabs>
          <w:tab w:val="left" w:pos="851"/>
        </w:tabs>
        <w:ind w:left="851"/>
        <w:rPr>
          <w:sz w:val="24"/>
          <w:szCs w:val="24"/>
        </w:rPr>
      </w:pPr>
    </w:p>
    <w:p w14:paraId="16B90BEE"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540B68ED" w14:textId="5DCE43C6" w:rsidR="009260DE" w:rsidRPr="00C84483" w:rsidRDefault="007418A6" w:rsidP="009260DE">
      <w:pPr>
        <w:tabs>
          <w:tab w:val="left" w:pos="851"/>
        </w:tabs>
        <w:ind w:left="851"/>
        <w:rPr>
          <w:sz w:val="24"/>
          <w:szCs w:val="24"/>
        </w:rPr>
      </w:pPr>
      <w:r>
        <w:rPr>
          <w:sz w:val="24"/>
          <w:szCs w:val="24"/>
        </w:rPr>
        <w:t>-</w:t>
      </w:r>
    </w:p>
    <w:sectPr w:rsidR="009260DE" w:rsidRPr="00C84483" w:rsidSect="000259B9">
      <w:footerReference w:type="default" r:id="rId23"/>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0D01F" w14:textId="77777777" w:rsidR="0054615B" w:rsidRDefault="0054615B">
      <w:r>
        <w:separator/>
      </w:r>
    </w:p>
  </w:endnote>
  <w:endnote w:type="continuationSeparator" w:id="0">
    <w:p w14:paraId="794F3AB9" w14:textId="77777777" w:rsidR="0054615B" w:rsidRDefault="00546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8A5B9" w14:textId="77777777" w:rsidR="0054615B" w:rsidRDefault="0054615B" w:rsidP="00FF6DB7">
    <w:pPr>
      <w:pStyle w:val="Sidefod"/>
      <w:pBdr>
        <w:bottom w:val="single" w:sz="6" w:space="1" w:color="auto"/>
      </w:pBdr>
      <w:tabs>
        <w:tab w:val="clear" w:pos="4819"/>
      </w:tabs>
    </w:pPr>
  </w:p>
  <w:p w14:paraId="68C535E8" w14:textId="77777777" w:rsidR="0054615B" w:rsidRDefault="0054615B" w:rsidP="00C42586">
    <w:pPr>
      <w:pStyle w:val="Sidefod"/>
      <w:tabs>
        <w:tab w:val="clear" w:pos="4819"/>
        <w:tab w:val="left" w:pos="8505"/>
      </w:tabs>
      <w:rPr>
        <w:i/>
        <w:sz w:val="18"/>
        <w:szCs w:val="18"/>
      </w:rPr>
    </w:pPr>
  </w:p>
  <w:p w14:paraId="70B201CF" w14:textId="115C8E46" w:rsidR="0054615B" w:rsidRPr="00B373D7" w:rsidRDefault="0054615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Cabozantinib Teva, filmovertrukne tabletter 20 mg, 40 mg og 60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BDA68" w14:textId="77777777" w:rsidR="0054615B" w:rsidRDefault="0054615B">
      <w:r>
        <w:separator/>
      </w:r>
    </w:p>
  </w:footnote>
  <w:footnote w:type="continuationSeparator" w:id="0">
    <w:p w14:paraId="7E335464" w14:textId="77777777" w:rsidR="0054615B" w:rsidRDefault="005461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FFFFFFFF"/>
    <w:lvl w:ilvl="0">
      <w:start w:val="1"/>
      <w:numFmt w:val="decimal"/>
      <w:lvlText w:val="%1."/>
      <w:lvlJc w:val="left"/>
      <w:pPr>
        <w:ind w:left="1107" w:hanging="567"/>
      </w:pPr>
      <w:rPr>
        <w:rFonts w:ascii="Times New Roman" w:hAnsi="Times New Roman" w:cs="Times New Roman"/>
        <w:b/>
        <w:bCs/>
        <w:w w:val="100"/>
        <w:sz w:val="22"/>
        <w:szCs w:val="22"/>
      </w:rPr>
    </w:lvl>
    <w:lvl w:ilvl="1">
      <w:start w:val="1"/>
      <w:numFmt w:val="decimal"/>
      <w:lvlText w:val="%1.%2"/>
      <w:lvlJc w:val="left"/>
      <w:pPr>
        <w:ind w:left="1107" w:hanging="567"/>
      </w:pPr>
      <w:rPr>
        <w:rFonts w:ascii="Times New Roman" w:hAnsi="Times New Roman" w:cs="Times New Roman"/>
        <w:b/>
        <w:bCs/>
        <w:w w:val="100"/>
        <w:sz w:val="22"/>
        <w:szCs w:val="22"/>
      </w:rPr>
    </w:lvl>
    <w:lvl w:ilvl="2">
      <w:numFmt w:val="bullet"/>
      <w:lvlText w:val=""/>
      <w:lvlJc w:val="left"/>
      <w:pPr>
        <w:ind w:left="1311" w:hanging="360"/>
      </w:pPr>
      <w:rPr>
        <w:rFonts w:ascii="Symbol" w:hAnsi="Symbol" w:cs="Symbol"/>
        <w:b w:val="0"/>
        <w:bCs w:val="0"/>
        <w:w w:val="100"/>
        <w:sz w:val="22"/>
        <w:szCs w:val="22"/>
      </w:rPr>
    </w:lvl>
    <w:lvl w:ilvl="3">
      <w:numFmt w:val="bullet"/>
      <w:lvlText w:val="•"/>
      <w:lvlJc w:val="left"/>
      <w:pPr>
        <w:ind w:left="3542" w:hanging="360"/>
      </w:pPr>
    </w:lvl>
    <w:lvl w:ilvl="4">
      <w:numFmt w:val="bullet"/>
      <w:lvlText w:val="•"/>
      <w:lvlJc w:val="left"/>
      <w:pPr>
        <w:ind w:left="4653" w:hanging="360"/>
      </w:pPr>
    </w:lvl>
    <w:lvl w:ilvl="5">
      <w:numFmt w:val="bullet"/>
      <w:lvlText w:val="•"/>
      <w:lvlJc w:val="left"/>
      <w:pPr>
        <w:ind w:left="5764" w:hanging="360"/>
      </w:pPr>
    </w:lvl>
    <w:lvl w:ilvl="6">
      <w:numFmt w:val="bullet"/>
      <w:lvlText w:val="•"/>
      <w:lvlJc w:val="left"/>
      <w:pPr>
        <w:ind w:left="6875" w:hanging="360"/>
      </w:pPr>
    </w:lvl>
    <w:lvl w:ilvl="7">
      <w:numFmt w:val="bullet"/>
      <w:lvlText w:val="•"/>
      <w:lvlJc w:val="left"/>
      <w:pPr>
        <w:ind w:left="7986" w:hanging="360"/>
      </w:pPr>
    </w:lvl>
    <w:lvl w:ilvl="8">
      <w:numFmt w:val="bullet"/>
      <w:lvlText w:val="•"/>
      <w:lvlJc w:val="left"/>
      <w:pPr>
        <w:ind w:left="9097" w:hanging="36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390"/>
    <w:rsid w:val="000259B9"/>
    <w:rsid w:val="00032332"/>
    <w:rsid w:val="00041491"/>
    <w:rsid w:val="00050D16"/>
    <w:rsid w:val="000730CA"/>
    <w:rsid w:val="00074F2A"/>
    <w:rsid w:val="000A1CA8"/>
    <w:rsid w:val="000A466B"/>
    <w:rsid w:val="000B058C"/>
    <w:rsid w:val="000D68B0"/>
    <w:rsid w:val="000E4EE6"/>
    <w:rsid w:val="00102639"/>
    <w:rsid w:val="00114DD0"/>
    <w:rsid w:val="001454E2"/>
    <w:rsid w:val="00146D7C"/>
    <w:rsid w:val="00206CE8"/>
    <w:rsid w:val="002114D8"/>
    <w:rsid w:val="0021526C"/>
    <w:rsid w:val="00283A2B"/>
    <w:rsid w:val="002B30AD"/>
    <w:rsid w:val="002C1EC0"/>
    <w:rsid w:val="002C2C01"/>
    <w:rsid w:val="002D0357"/>
    <w:rsid w:val="0038300E"/>
    <w:rsid w:val="00396EB1"/>
    <w:rsid w:val="003A29AE"/>
    <w:rsid w:val="003A32D7"/>
    <w:rsid w:val="003B4074"/>
    <w:rsid w:val="003C769A"/>
    <w:rsid w:val="003D3A90"/>
    <w:rsid w:val="003F1838"/>
    <w:rsid w:val="004251C1"/>
    <w:rsid w:val="0045746C"/>
    <w:rsid w:val="0049104B"/>
    <w:rsid w:val="004A3FFB"/>
    <w:rsid w:val="004A7092"/>
    <w:rsid w:val="004E3B12"/>
    <w:rsid w:val="00516778"/>
    <w:rsid w:val="00532310"/>
    <w:rsid w:val="0054615B"/>
    <w:rsid w:val="00565F0F"/>
    <w:rsid w:val="005902E8"/>
    <w:rsid w:val="00594A86"/>
    <w:rsid w:val="00596D86"/>
    <w:rsid w:val="005E3AE8"/>
    <w:rsid w:val="005F5A71"/>
    <w:rsid w:val="00603390"/>
    <w:rsid w:val="00637F5A"/>
    <w:rsid w:val="00641C65"/>
    <w:rsid w:val="006560B1"/>
    <w:rsid w:val="006756DD"/>
    <w:rsid w:val="006B550F"/>
    <w:rsid w:val="0071241E"/>
    <w:rsid w:val="00725429"/>
    <w:rsid w:val="00732595"/>
    <w:rsid w:val="00737275"/>
    <w:rsid w:val="00737FF4"/>
    <w:rsid w:val="00740EEC"/>
    <w:rsid w:val="007418A6"/>
    <w:rsid w:val="0078011A"/>
    <w:rsid w:val="00782AF4"/>
    <w:rsid w:val="00790EE7"/>
    <w:rsid w:val="007A3F4D"/>
    <w:rsid w:val="007B6649"/>
    <w:rsid w:val="007C08C7"/>
    <w:rsid w:val="00821423"/>
    <w:rsid w:val="0082576E"/>
    <w:rsid w:val="00856A6C"/>
    <w:rsid w:val="0089346F"/>
    <w:rsid w:val="008E7B06"/>
    <w:rsid w:val="00907F75"/>
    <w:rsid w:val="009260DE"/>
    <w:rsid w:val="0093258A"/>
    <w:rsid w:val="009C0C07"/>
    <w:rsid w:val="009C7BA3"/>
    <w:rsid w:val="009D1F5A"/>
    <w:rsid w:val="00A10294"/>
    <w:rsid w:val="00A521E5"/>
    <w:rsid w:val="00B003BF"/>
    <w:rsid w:val="00B32313"/>
    <w:rsid w:val="00B373D7"/>
    <w:rsid w:val="00B519B1"/>
    <w:rsid w:val="00B55271"/>
    <w:rsid w:val="00B80C33"/>
    <w:rsid w:val="00B8571F"/>
    <w:rsid w:val="00BB7C55"/>
    <w:rsid w:val="00BD7931"/>
    <w:rsid w:val="00BE38BA"/>
    <w:rsid w:val="00BF6243"/>
    <w:rsid w:val="00C06BE9"/>
    <w:rsid w:val="00C36276"/>
    <w:rsid w:val="00C42586"/>
    <w:rsid w:val="00C45F6B"/>
    <w:rsid w:val="00C60CCD"/>
    <w:rsid w:val="00C6779C"/>
    <w:rsid w:val="00C843AF"/>
    <w:rsid w:val="00C84483"/>
    <w:rsid w:val="00C95551"/>
    <w:rsid w:val="00CA048C"/>
    <w:rsid w:val="00CA6046"/>
    <w:rsid w:val="00CB20D7"/>
    <w:rsid w:val="00D020B0"/>
    <w:rsid w:val="00D0378C"/>
    <w:rsid w:val="00D11748"/>
    <w:rsid w:val="00D237F6"/>
    <w:rsid w:val="00D34D98"/>
    <w:rsid w:val="00D366CF"/>
    <w:rsid w:val="00D93992"/>
    <w:rsid w:val="00E108AA"/>
    <w:rsid w:val="00E27199"/>
    <w:rsid w:val="00E3749A"/>
    <w:rsid w:val="00E7162B"/>
    <w:rsid w:val="00E7437F"/>
    <w:rsid w:val="00E865B8"/>
    <w:rsid w:val="00EC0B9B"/>
    <w:rsid w:val="00ED5E9F"/>
    <w:rsid w:val="00F05E1A"/>
    <w:rsid w:val="00F56441"/>
    <w:rsid w:val="00F66D4F"/>
    <w:rsid w:val="00FB2B0E"/>
    <w:rsid w:val="00FB6D01"/>
    <w:rsid w:val="00FF6DB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6B6486A"/>
  <w15:chartTrackingRefBased/>
  <w15:docId w15:val="{8A40F766-C3ED-4818-9738-9F8D207C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1"/>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C843AF"/>
    <w:rPr>
      <w:color w:val="0563C1" w:themeColor="hyperlink"/>
      <w:u w:val="single"/>
    </w:rPr>
  </w:style>
  <w:style w:type="character" w:styleId="Ulstomtale">
    <w:name w:val="Unresolved Mention"/>
    <w:basedOn w:val="Standardskrifttypeiafsnit"/>
    <w:uiPriority w:val="99"/>
    <w:semiHidden/>
    <w:unhideWhenUsed/>
    <w:rsid w:val="00C843AF"/>
    <w:rPr>
      <w:color w:val="605E5C"/>
      <w:shd w:val="clear" w:color="auto" w:fill="E1DFDD"/>
    </w:rPr>
  </w:style>
  <w:style w:type="paragraph" w:customStyle="1" w:styleId="TableParagraph">
    <w:name w:val="Table Paragraph"/>
    <w:basedOn w:val="Normal"/>
    <w:uiPriority w:val="1"/>
    <w:qFormat/>
    <w:rsid w:val="00F56441"/>
    <w:pPr>
      <w:widowControl w:val="0"/>
      <w:autoSpaceDE w:val="0"/>
      <w:autoSpaceDN w:val="0"/>
      <w:adjustRightInd w:val="0"/>
      <w:spacing w:line="232" w:lineRule="exact"/>
      <w:ind w:left="107"/>
    </w:pPr>
    <w:rPr>
      <w:rFonts w:eastAsiaTheme="minorEastAsia"/>
      <w:sz w:val="24"/>
      <w:szCs w:val="24"/>
      <w:lang w:eastAsia="da-DK"/>
      <w14:ligatures w14:val="standardContextual"/>
    </w:rPr>
  </w:style>
  <w:style w:type="paragraph" w:styleId="Brdtekst">
    <w:name w:val="Body Text"/>
    <w:basedOn w:val="Normal"/>
    <w:link w:val="BrdtekstTegn"/>
    <w:uiPriority w:val="1"/>
    <w:unhideWhenUsed/>
    <w:qFormat/>
    <w:rsid w:val="00821423"/>
    <w:pPr>
      <w:widowControl w:val="0"/>
      <w:autoSpaceDE w:val="0"/>
      <w:autoSpaceDN w:val="0"/>
      <w:adjustRightInd w:val="0"/>
    </w:pPr>
    <w:rPr>
      <w:rFonts w:eastAsiaTheme="minorEastAsia"/>
      <w:sz w:val="22"/>
      <w:szCs w:val="22"/>
      <w:lang w:eastAsia="da-DK"/>
      <w14:ligatures w14:val="standardContextual"/>
    </w:rPr>
  </w:style>
  <w:style w:type="character" w:customStyle="1" w:styleId="BrdtekstTegn">
    <w:name w:val="Brødtekst Tegn"/>
    <w:basedOn w:val="Standardskrifttypeiafsnit"/>
    <w:link w:val="Brdtekst"/>
    <w:uiPriority w:val="1"/>
    <w:rsid w:val="00821423"/>
    <w:rPr>
      <w:rFonts w:eastAsiaTheme="minorEastAsia"/>
      <w:sz w:val="22"/>
      <w:szCs w:val="22"/>
      <w14:ligatures w14:val="standardContextual"/>
    </w:rPr>
  </w:style>
  <w:style w:type="character" w:customStyle="1" w:styleId="Overskrift1Tegn">
    <w:name w:val="Overskrift 1 Tegn"/>
    <w:basedOn w:val="Standardskrifttypeiafsnit"/>
    <w:link w:val="Overskrift1"/>
    <w:uiPriority w:val="9"/>
    <w:rsid w:val="00FF6DB7"/>
    <w:rPr>
      <w:rFonts w:ascii="Arial" w:hAnsi="Arial"/>
      <w:b/>
      <w:kern w:val="28"/>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1199">
      <w:bodyDiv w:val="1"/>
      <w:marLeft w:val="0"/>
      <w:marRight w:val="0"/>
      <w:marTop w:val="0"/>
      <w:marBottom w:val="0"/>
      <w:divBdr>
        <w:top w:val="none" w:sz="0" w:space="0" w:color="auto"/>
        <w:left w:val="none" w:sz="0" w:space="0" w:color="auto"/>
        <w:bottom w:val="none" w:sz="0" w:space="0" w:color="auto"/>
        <w:right w:val="none" w:sz="0" w:space="0" w:color="auto"/>
      </w:divBdr>
    </w:div>
    <w:div w:id="1685071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9202308">
      <w:bodyDiv w:val="1"/>
      <w:marLeft w:val="0"/>
      <w:marRight w:val="0"/>
      <w:marTop w:val="0"/>
      <w:marBottom w:val="0"/>
      <w:divBdr>
        <w:top w:val="none" w:sz="0" w:space="0" w:color="auto"/>
        <w:left w:val="none" w:sz="0" w:space="0" w:color="auto"/>
        <w:bottom w:val="none" w:sz="0" w:space="0" w:color="auto"/>
        <w:right w:val="none" w:sz="0" w:space="0" w:color="auto"/>
      </w:divBdr>
    </w:div>
    <w:div w:id="200409948">
      <w:bodyDiv w:val="1"/>
      <w:marLeft w:val="0"/>
      <w:marRight w:val="0"/>
      <w:marTop w:val="0"/>
      <w:marBottom w:val="0"/>
      <w:divBdr>
        <w:top w:val="none" w:sz="0" w:space="0" w:color="auto"/>
        <w:left w:val="none" w:sz="0" w:space="0" w:color="auto"/>
        <w:bottom w:val="none" w:sz="0" w:space="0" w:color="auto"/>
        <w:right w:val="none" w:sz="0" w:space="0" w:color="auto"/>
      </w:divBdr>
    </w:div>
    <w:div w:id="233976112">
      <w:bodyDiv w:val="1"/>
      <w:marLeft w:val="0"/>
      <w:marRight w:val="0"/>
      <w:marTop w:val="0"/>
      <w:marBottom w:val="0"/>
      <w:divBdr>
        <w:top w:val="none" w:sz="0" w:space="0" w:color="auto"/>
        <w:left w:val="none" w:sz="0" w:space="0" w:color="auto"/>
        <w:bottom w:val="none" w:sz="0" w:space="0" w:color="auto"/>
        <w:right w:val="none" w:sz="0" w:space="0" w:color="auto"/>
      </w:divBdr>
    </w:div>
    <w:div w:id="256208190">
      <w:bodyDiv w:val="1"/>
      <w:marLeft w:val="0"/>
      <w:marRight w:val="0"/>
      <w:marTop w:val="0"/>
      <w:marBottom w:val="0"/>
      <w:divBdr>
        <w:top w:val="none" w:sz="0" w:space="0" w:color="auto"/>
        <w:left w:val="none" w:sz="0" w:space="0" w:color="auto"/>
        <w:bottom w:val="none" w:sz="0" w:space="0" w:color="auto"/>
        <w:right w:val="none" w:sz="0" w:space="0" w:color="auto"/>
      </w:divBdr>
    </w:div>
    <w:div w:id="306017441">
      <w:bodyDiv w:val="1"/>
      <w:marLeft w:val="0"/>
      <w:marRight w:val="0"/>
      <w:marTop w:val="0"/>
      <w:marBottom w:val="0"/>
      <w:divBdr>
        <w:top w:val="none" w:sz="0" w:space="0" w:color="auto"/>
        <w:left w:val="none" w:sz="0" w:space="0" w:color="auto"/>
        <w:bottom w:val="none" w:sz="0" w:space="0" w:color="auto"/>
        <w:right w:val="none" w:sz="0" w:space="0" w:color="auto"/>
      </w:divBdr>
    </w:div>
    <w:div w:id="587467346">
      <w:bodyDiv w:val="1"/>
      <w:marLeft w:val="0"/>
      <w:marRight w:val="0"/>
      <w:marTop w:val="0"/>
      <w:marBottom w:val="0"/>
      <w:divBdr>
        <w:top w:val="none" w:sz="0" w:space="0" w:color="auto"/>
        <w:left w:val="none" w:sz="0" w:space="0" w:color="auto"/>
        <w:bottom w:val="none" w:sz="0" w:space="0" w:color="auto"/>
        <w:right w:val="none" w:sz="0" w:space="0" w:color="auto"/>
      </w:divBdr>
    </w:div>
    <w:div w:id="617950591">
      <w:bodyDiv w:val="1"/>
      <w:marLeft w:val="0"/>
      <w:marRight w:val="0"/>
      <w:marTop w:val="0"/>
      <w:marBottom w:val="0"/>
      <w:divBdr>
        <w:top w:val="none" w:sz="0" w:space="0" w:color="auto"/>
        <w:left w:val="none" w:sz="0" w:space="0" w:color="auto"/>
        <w:bottom w:val="none" w:sz="0" w:space="0" w:color="auto"/>
        <w:right w:val="none" w:sz="0" w:space="0" w:color="auto"/>
      </w:divBdr>
    </w:div>
    <w:div w:id="673264404">
      <w:bodyDiv w:val="1"/>
      <w:marLeft w:val="0"/>
      <w:marRight w:val="0"/>
      <w:marTop w:val="0"/>
      <w:marBottom w:val="0"/>
      <w:divBdr>
        <w:top w:val="none" w:sz="0" w:space="0" w:color="auto"/>
        <w:left w:val="none" w:sz="0" w:space="0" w:color="auto"/>
        <w:bottom w:val="none" w:sz="0" w:space="0" w:color="auto"/>
        <w:right w:val="none" w:sz="0" w:space="0" w:color="auto"/>
      </w:divBdr>
    </w:div>
    <w:div w:id="721289390">
      <w:bodyDiv w:val="1"/>
      <w:marLeft w:val="0"/>
      <w:marRight w:val="0"/>
      <w:marTop w:val="0"/>
      <w:marBottom w:val="0"/>
      <w:divBdr>
        <w:top w:val="none" w:sz="0" w:space="0" w:color="auto"/>
        <w:left w:val="none" w:sz="0" w:space="0" w:color="auto"/>
        <w:bottom w:val="none" w:sz="0" w:space="0" w:color="auto"/>
        <w:right w:val="none" w:sz="0" w:space="0" w:color="auto"/>
      </w:divBdr>
    </w:div>
    <w:div w:id="865098341">
      <w:bodyDiv w:val="1"/>
      <w:marLeft w:val="0"/>
      <w:marRight w:val="0"/>
      <w:marTop w:val="0"/>
      <w:marBottom w:val="0"/>
      <w:divBdr>
        <w:top w:val="none" w:sz="0" w:space="0" w:color="auto"/>
        <w:left w:val="none" w:sz="0" w:space="0" w:color="auto"/>
        <w:bottom w:val="none" w:sz="0" w:space="0" w:color="auto"/>
        <w:right w:val="none" w:sz="0" w:space="0" w:color="auto"/>
      </w:divBdr>
    </w:div>
    <w:div w:id="1018774084">
      <w:bodyDiv w:val="1"/>
      <w:marLeft w:val="0"/>
      <w:marRight w:val="0"/>
      <w:marTop w:val="0"/>
      <w:marBottom w:val="0"/>
      <w:divBdr>
        <w:top w:val="none" w:sz="0" w:space="0" w:color="auto"/>
        <w:left w:val="none" w:sz="0" w:space="0" w:color="auto"/>
        <w:bottom w:val="none" w:sz="0" w:space="0" w:color="auto"/>
        <w:right w:val="none" w:sz="0" w:space="0" w:color="auto"/>
      </w:divBdr>
    </w:div>
    <w:div w:id="1030644291">
      <w:bodyDiv w:val="1"/>
      <w:marLeft w:val="0"/>
      <w:marRight w:val="0"/>
      <w:marTop w:val="0"/>
      <w:marBottom w:val="0"/>
      <w:divBdr>
        <w:top w:val="none" w:sz="0" w:space="0" w:color="auto"/>
        <w:left w:val="none" w:sz="0" w:space="0" w:color="auto"/>
        <w:bottom w:val="none" w:sz="0" w:space="0" w:color="auto"/>
        <w:right w:val="none" w:sz="0" w:space="0" w:color="auto"/>
      </w:divBdr>
    </w:div>
    <w:div w:id="1126970949">
      <w:bodyDiv w:val="1"/>
      <w:marLeft w:val="0"/>
      <w:marRight w:val="0"/>
      <w:marTop w:val="0"/>
      <w:marBottom w:val="0"/>
      <w:divBdr>
        <w:top w:val="none" w:sz="0" w:space="0" w:color="auto"/>
        <w:left w:val="none" w:sz="0" w:space="0" w:color="auto"/>
        <w:bottom w:val="none" w:sz="0" w:space="0" w:color="auto"/>
        <w:right w:val="none" w:sz="0" w:space="0" w:color="auto"/>
      </w:divBdr>
    </w:div>
    <w:div w:id="1142579918">
      <w:bodyDiv w:val="1"/>
      <w:marLeft w:val="0"/>
      <w:marRight w:val="0"/>
      <w:marTop w:val="0"/>
      <w:marBottom w:val="0"/>
      <w:divBdr>
        <w:top w:val="none" w:sz="0" w:space="0" w:color="auto"/>
        <w:left w:val="none" w:sz="0" w:space="0" w:color="auto"/>
        <w:bottom w:val="none" w:sz="0" w:space="0" w:color="auto"/>
        <w:right w:val="none" w:sz="0" w:space="0" w:color="auto"/>
      </w:divBdr>
    </w:div>
    <w:div w:id="1145200377">
      <w:bodyDiv w:val="1"/>
      <w:marLeft w:val="0"/>
      <w:marRight w:val="0"/>
      <w:marTop w:val="0"/>
      <w:marBottom w:val="0"/>
      <w:divBdr>
        <w:top w:val="none" w:sz="0" w:space="0" w:color="auto"/>
        <w:left w:val="none" w:sz="0" w:space="0" w:color="auto"/>
        <w:bottom w:val="none" w:sz="0" w:space="0" w:color="auto"/>
        <w:right w:val="none" w:sz="0" w:space="0" w:color="auto"/>
      </w:divBdr>
    </w:div>
    <w:div w:id="1158837874">
      <w:bodyDiv w:val="1"/>
      <w:marLeft w:val="0"/>
      <w:marRight w:val="0"/>
      <w:marTop w:val="0"/>
      <w:marBottom w:val="0"/>
      <w:divBdr>
        <w:top w:val="none" w:sz="0" w:space="0" w:color="auto"/>
        <w:left w:val="none" w:sz="0" w:space="0" w:color="auto"/>
        <w:bottom w:val="none" w:sz="0" w:space="0" w:color="auto"/>
        <w:right w:val="none" w:sz="0" w:space="0" w:color="auto"/>
      </w:divBdr>
    </w:div>
    <w:div w:id="1213814018">
      <w:bodyDiv w:val="1"/>
      <w:marLeft w:val="0"/>
      <w:marRight w:val="0"/>
      <w:marTop w:val="0"/>
      <w:marBottom w:val="0"/>
      <w:divBdr>
        <w:top w:val="none" w:sz="0" w:space="0" w:color="auto"/>
        <w:left w:val="none" w:sz="0" w:space="0" w:color="auto"/>
        <w:bottom w:val="none" w:sz="0" w:space="0" w:color="auto"/>
        <w:right w:val="none" w:sz="0" w:space="0" w:color="auto"/>
      </w:divBdr>
    </w:div>
    <w:div w:id="1361472682">
      <w:bodyDiv w:val="1"/>
      <w:marLeft w:val="0"/>
      <w:marRight w:val="0"/>
      <w:marTop w:val="0"/>
      <w:marBottom w:val="0"/>
      <w:divBdr>
        <w:top w:val="none" w:sz="0" w:space="0" w:color="auto"/>
        <w:left w:val="none" w:sz="0" w:space="0" w:color="auto"/>
        <w:bottom w:val="none" w:sz="0" w:space="0" w:color="auto"/>
        <w:right w:val="none" w:sz="0" w:space="0" w:color="auto"/>
      </w:divBdr>
    </w:div>
    <w:div w:id="1408262597">
      <w:bodyDiv w:val="1"/>
      <w:marLeft w:val="0"/>
      <w:marRight w:val="0"/>
      <w:marTop w:val="0"/>
      <w:marBottom w:val="0"/>
      <w:divBdr>
        <w:top w:val="none" w:sz="0" w:space="0" w:color="auto"/>
        <w:left w:val="none" w:sz="0" w:space="0" w:color="auto"/>
        <w:bottom w:val="none" w:sz="0" w:space="0" w:color="auto"/>
        <w:right w:val="none" w:sz="0" w:space="0" w:color="auto"/>
      </w:divBdr>
    </w:div>
    <w:div w:id="1424911139">
      <w:bodyDiv w:val="1"/>
      <w:marLeft w:val="0"/>
      <w:marRight w:val="0"/>
      <w:marTop w:val="0"/>
      <w:marBottom w:val="0"/>
      <w:divBdr>
        <w:top w:val="none" w:sz="0" w:space="0" w:color="auto"/>
        <w:left w:val="none" w:sz="0" w:space="0" w:color="auto"/>
        <w:bottom w:val="none" w:sz="0" w:space="0" w:color="auto"/>
        <w:right w:val="none" w:sz="0" w:space="0" w:color="auto"/>
      </w:divBdr>
    </w:div>
    <w:div w:id="1445808744">
      <w:bodyDiv w:val="1"/>
      <w:marLeft w:val="0"/>
      <w:marRight w:val="0"/>
      <w:marTop w:val="0"/>
      <w:marBottom w:val="0"/>
      <w:divBdr>
        <w:top w:val="none" w:sz="0" w:space="0" w:color="auto"/>
        <w:left w:val="none" w:sz="0" w:space="0" w:color="auto"/>
        <w:bottom w:val="none" w:sz="0" w:space="0" w:color="auto"/>
        <w:right w:val="none" w:sz="0" w:space="0" w:color="auto"/>
      </w:divBdr>
    </w:div>
    <w:div w:id="1585649693">
      <w:bodyDiv w:val="1"/>
      <w:marLeft w:val="0"/>
      <w:marRight w:val="0"/>
      <w:marTop w:val="0"/>
      <w:marBottom w:val="0"/>
      <w:divBdr>
        <w:top w:val="none" w:sz="0" w:space="0" w:color="auto"/>
        <w:left w:val="none" w:sz="0" w:space="0" w:color="auto"/>
        <w:bottom w:val="none" w:sz="0" w:space="0" w:color="auto"/>
        <w:right w:val="none" w:sz="0" w:space="0" w:color="auto"/>
      </w:divBdr>
    </w:div>
    <w:div w:id="1605190641">
      <w:bodyDiv w:val="1"/>
      <w:marLeft w:val="0"/>
      <w:marRight w:val="0"/>
      <w:marTop w:val="0"/>
      <w:marBottom w:val="0"/>
      <w:divBdr>
        <w:top w:val="none" w:sz="0" w:space="0" w:color="auto"/>
        <w:left w:val="none" w:sz="0" w:space="0" w:color="auto"/>
        <w:bottom w:val="none" w:sz="0" w:space="0" w:color="auto"/>
        <w:right w:val="none" w:sz="0" w:space="0" w:color="auto"/>
      </w:divBdr>
    </w:div>
    <w:div w:id="1617981211">
      <w:bodyDiv w:val="1"/>
      <w:marLeft w:val="0"/>
      <w:marRight w:val="0"/>
      <w:marTop w:val="0"/>
      <w:marBottom w:val="0"/>
      <w:divBdr>
        <w:top w:val="none" w:sz="0" w:space="0" w:color="auto"/>
        <w:left w:val="none" w:sz="0" w:space="0" w:color="auto"/>
        <w:bottom w:val="none" w:sz="0" w:space="0" w:color="auto"/>
        <w:right w:val="none" w:sz="0" w:space="0" w:color="auto"/>
      </w:divBdr>
    </w:div>
    <w:div w:id="1708141379">
      <w:bodyDiv w:val="1"/>
      <w:marLeft w:val="0"/>
      <w:marRight w:val="0"/>
      <w:marTop w:val="0"/>
      <w:marBottom w:val="0"/>
      <w:divBdr>
        <w:top w:val="none" w:sz="0" w:space="0" w:color="auto"/>
        <w:left w:val="none" w:sz="0" w:space="0" w:color="auto"/>
        <w:bottom w:val="none" w:sz="0" w:space="0" w:color="auto"/>
        <w:right w:val="none" w:sz="0" w:space="0" w:color="auto"/>
      </w:divBdr>
    </w:div>
    <w:div w:id="1924562098">
      <w:bodyDiv w:val="1"/>
      <w:marLeft w:val="0"/>
      <w:marRight w:val="0"/>
      <w:marTop w:val="0"/>
      <w:marBottom w:val="0"/>
      <w:divBdr>
        <w:top w:val="none" w:sz="0" w:space="0" w:color="auto"/>
        <w:left w:val="none" w:sz="0" w:space="0" w:color="auto"/>
        <w:bottom w:val="none" w:sz="0" w:space="0" w:color="auto"/>
        <w:right w:val="none" w:sz="0" w:space="0" w:color="auto"/>
      </w:divBdr>
    </w:div>
    <w:div w:id="1943301208">
      <w:bodyDiv w:val="1"/>
      <w:marLeft w:val="0"/>
      <w:marRight w:val="0"/>
      <w:marTop w:val="0"/>
      <w:marBottom w:val="0"/>
      <w:divBdr>
        <w:top w:val="none" w:sz="0" w:space="0" w:color="auto"/>
        <w:left w:val="none" w:sz="0" w:space="0" w:color="auto"/>
        <w:bottom w:val="none" w:sz="0" w:space="0" w:color="auto"/>
        <w:right w:val="none" w:sz="0" w:space="0" w:color="auto"/>
      </w:divBdr>
    </w:div>
    <w:div w:id="1974754948">
      <w:bodyDiv w:val="1"/>
      <w:marLeft w:val="0"/>
      <w:marRight w:val="0"/>
      <w:marTop w:val="0"/>
      <w:marBottom w:val="0"/>
      <w:divBdr>
        <w:top w:val="none" w:sz="0" w:space="0" w:color="auto"/>
        <w:left w:val="none" w:sz="0" w:space="0" w:color="auto"/>
        <w:bottom w:val="none" w:sz="0" w:space="0" w:color="auto"/>
        <w:right w:val="none" w:sz="0" w:space="0" w:color="auto"/>
      </w:divBdr>
    </w:div>
    <w:div w:id="2046176411">
      <w:bodyDiv w:val="1"/>
      <w:marLeft w:val="0"/>
      <w:marRight w:val="0"/>
      <w:marTop w:val="0"/>
      <w:marBottom w:val="0"/>
      <w:divBdr>
        <w:top w:val="none" w:sz="0" w:space="0" w:color="auto"/>
        <w:left w:val="none" w:sz="0" w:space="0" w:color="auto"/>
        <w:bottom w:val="none" w:sz="0" w:space="0" w:color="auto"/>
        <w:right w:val="none" w:sz="0" w:space="0" w:color="auto"/>
      </w:divBdr>
    </w:div>
    <w:div w:id="206806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png"/><Relationship Id="rId18" Type="http://schemas.openxmlformats.org/officeDocument/2006/relationships/image" Target="media/image10.emf"/><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9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0.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20.jpeg"/></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247</TotalTime>
  <Pages>39</Pages>
  <Words>12452</Words>
  <Characters>81676</Characters>
  <Application>Microsoft Office Word</Application>
  <DocSecurity>0</DocSecurity>
  <Lines>680</Lines>
  <Paragraphs>187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2023040013 mt</dc:description>
  <cp:lastModifiedBy>Hanne Thy Iversen</cp:lastModifiedBy>
  <cp:revision>36</cp:revision>
  <cp:lastPrinted>2012-08-22T08:53:00Z</cp:lastPrinted>
  <dcterms:created xsi:type="dcterms:W3CDTF">2025-06-19T12:58:00Z</dcterms:created>
  <dcterms:modified xsi:type="dcterms:W3CDTF">2025-06-24T13:12:00Z</dcterms:modified>
</cp:coreProperties>
</file>