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C4C9D">
        <w:rPr>
          <w:szCs w:val="24"/>
        </w:rPr>
        <w:t>7. juli 2021</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302354" w:rsidRDefault="009260DE" w:rsidP="009260DE">
      <w:pPr>
        <w:jc w:val="center"/>
        <w:rPr>
          <w:b/>
          <w:sz w:val="24"/>
          <w:szCs w:val="24"/>
        </w:rPr>
      </w:pPr>
      <w:r w:rsidRPr="00302354">
        <w:rPr>
          <w:b/>
          <w:sz w:val="24"/>
          <w:szCs w:val="24"/>
        </w:rPr>
        <w:t>PRODUKTRESUMÉ</w:t>
      </w:r>
    </w:p>
    <w:p w:rsidR="009260DE" w:rsidRPr="00302354" w:rsidRDefault="009260DE" w:rsidP="009260DE">
      <w:pPr>
        <w:jc w:val="center"/>
        <w:rPr>
          <w:b/>
          <w:sz w:val="24"/>
          <w:szCs w:val="24"/>
        </w:rPr>
      </w:pPr>
    </w:p>
    <w:p w:rsidR="009260DE" w:rsidRPr="00302354" w:rsidRDefault="009260DE" w:rsidP="009260DE">
      <w:pPr>
        <w:jc w:val="center"/>
        <w:rPr>
          <w:b/>
          <w:sz w:val="24"/>
          <w:szCs w:val="24"/>
        </w:rPr>
      </w:pPr>
      <w:r w:rsidRPr="00302354">
        <w:rPr>
          <w:b/>
          <w:sz w:val="24"/>
          <w:szCs w:val="24"/>
        </w:rPr>
        <w:t>for</w:t>
      </w:r>
    </w:p>
    <w:p w:rsidR="000B058C" w:rsidRPr="00302354" w:rsidRDefault="000B058C" w:rsidP="009260DE">
      <w:pPr>
        <w:jc w:val="center"/>
        <w:rPr>
          <w:b/>
          <w:sz w:val="24"/>
          <w:szCs w:val="24"/>
        </w:rPr>
      </w:pPr>
    </w:p>
    <w:p w:rsidR="009260DE" w:rsidRPr="00302354" w:rsidRDefault="002323FB" w:rsidP="009260DE">
      <w:pPr>
        <w:jc w:val="center"/>
        <w:rPr>
          <w:b/>
          <w:sz w:val="24"/>
          <w:szCs w:val="24"/>
        </w:rPr>
      </w:pPr>
      <w:bookmarkStart w:id="0" w:name="_Hlk76548074"/>
      <w:r w:rsidRPr="00302354">
        <w:rPr>
          <w:b/>
          <w:sz w:val="24"/>
          <w:szCs w:val="24"/>
        </w:rPr>
        <w:t xml:space="preserve">Calcipotriol/Betamethasone "Aristo", </w:t>
      </w:r>
      <w:bookmarkEnd w:id="0"/>
      <w:r w:rsidRPr="00302354">
        <w:rPr>
          <w:b/>
          <w:sz w:val="24"/>
          <w:szCs w:val="24"/>
        </w:rPr>
        <w:t>gel</w:t>
      </w:r>
    </w:p>
    <w:p w:rsidR="009260DE" w:rsidRPr="00302354" w:rsidRDefault="009260DE" w:rsidP="009260DE">
      <w:pPr>
        <w:jc w:val="both"/>
        <w:rPr>
          <w:sz w:val="24"/>
          <w:szCs w:val="24"/>
        </w:rPr>
      </w:pPr>
    </w:p>
    <w:p w:rsidR="009260DE" w:rsidRPr="00302354" w:rsidRDefault="009260DE" w:rsidP="009260DE">
      <w:pPr>
        <w:jc w:val="both"/>
        <w:rPr>
          <w:sz w:val="24"/>
          <w:szCs w:val="24"/>
        </w:rPr>
      </w:pPr>
    </w:p>
    <w:p w:rsidR="009260DE" w:rsidRPr="004C4C9D" w:rsidRDefault="009260DE" w:rsidP="009260DE">
      <w:pPr>
        <w:tabs>
          <w:tab w:val="left" w:pos="851"/>
        </w:tabs>
        <w:ind w:left="851" w:hanging="851"/>
        <w:rPr>
          <w:b/>
          <w:sz w:val="24"/>
          <w:szCs w:val="24"/>
        </w:rPr>
      </w:pPr>
      <w:r w:rsidRPr="004C4C9D">
        <w:rPr>
          <w:b/>
          <w:sz w:val="24"/>
          <w:szCs w:val="24"/>
        </w:rPr>
        <w:t>0.</w:t>
      </w:r>
      <w:r w:rsidRPr="004C4C9D">
        <w:rPr>
          <w:b/>
          <w:sz w:val="24"/>
          <w:szCs w:val="24"/>
        </w:rPr>
        <w:tab/>
        <w:t>D.SP.NR.</w:t>
      </w:r>
    </w:p>
    <w:p w:rsidR="009260DE" w:rsidRPr="00C84483" w:rsidRDefault="00302354" w:rsidP="009260DE">
      <w:pPr>
        <w:tabs>
          <w:tab w:val="left" w:pos="851"/>
        </w:tabs>
        <w:ind w:left="851"/>
        <w:rPr>
          <w:sz w:val="24"/>
          <w:szCs w:val="24"/>
        </w:rPr>
      </w:pPr>
      <w:r>
        <w:rPr>
          <w:sz w:val="24"/>
          <w:szCs w:val="24"/>
        </w:rPr>
        <w:t>32072</w:t>
      </w:r>
      <w:bookmarkStart w:id="1" w:name="_GoBack"/>
      <w:bookmarkEnd w:id="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4C4C9D" w:rsidRDefault="00720275" w:rsidP="009260DE">
      <w:pPr>
        <w:tabs>
          <w:tab w:val="left" w:pos="851"/>
        </w:tabs>
        <w:ind w:left="851"/>
        <w:rPr>
          <w:sz w:val="24"/>
          <w:szCs w:val="24"/>
        </w:rPr>
      </w:pPr>
      <w:r w:rsidRPr="004C4C9D">
        <w:rPr>
          <w:sz w:val="24"/>
          <w:szCs w:val="24"/>
        </w:rPr>
        <w:t>Calcipotriol/Betamethasone "Aristo"</w:t>
      </w:r>
    </w:p>
    <w:p w:rsidR="00720275" w:rsidRPr="00720275" w:rsidRDefault="0072027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20275" w:rsidRPr="00720275" w:rsidRDefault="00720275" w:rsidP="00720275">
      <w:pPr>
        <w:tabs>
          <w:tab w:val="left" w:pos="851"/>
        </w:tabs>
        <w:ind w:left="851"/>
        <w:rPr>
          <w:sz w:val="24"/>
          <w:szCs w:val="24"/>
        </w:rPr>
      </w:pPr>
      <w:r w:rsidRPr="00720275">
        <w:rPr>
          <w:sz w:val="24"/>
          <w:szCs w:val="24"/>
        </w:rPr>
        <w:t>Et gram gel indeholder 50 mikrogram calcipotriol (som monohydrat) og 0,5 mg betamethason (som dipropionat).</w:t>
      </w:r>
    </w:p>
    <w:p w:rsidR="00720275" w:rsidRPr="00720275" w:rsidRDefault="00720275" w:rsidP="00720275">
      <w:pPr>
        <w:tabs>
          <w:tab w:val="left" w:pos="851"/>
        </w:tabs>
        <w:ind w:left="851"/>
        <w:rPr>
          <w:sz w:val="24"/>
          <w:szCs w:val="24"/>
        </w:rPr>
      </w:pPr>
    </w:p>
    <w:p w:rsidR="00720275" w:rsidRPr="00720275" w:rsidRDefault="00720275" w:rsidP="00720275">
      <w:pPr>
        <w:tabs>
          <w:tab w:val="left" w:pos="851"/>
        </w:tabs>
        <w:ind w:left="851"/>
        <w:rPr>
          <w:sz w:val="24"/>
          <w:szCs w:val="24"/>
          <w:u w:val="single"/>
        </w:rPr>
      </w:pPr>
      <w:r w:rsidRPr="00720275">
        <w:rPr>
          <w:sz w:val="24"/>
          <w:szCs w:val="24"/>
          <w:u w:val="single"/>
        </w:rPr>
        <w:t>Hjælpestof, som behandleren skal være opmærksom på</w:t>
      </w:r>
    </w:p>
    <w:p w:rsidR="00720275" w:rsidRPr="00720275" w:rsidRDefault="00720275" w:rsidP="00720275">
      <w:pPr>
        <w:tabs>
          <w:tab w:val="left" w:pos="851"/>
        </w:tabs>
        <w:ind w:left="851"/>
        <w:rPr>
          <w:sz w:val="24"/>
          <w:szCs w:val="24"/>
        </w:rPr>
      </w:pPr>
      <w:r w:rsidRPr="00720275">
        <w:rPr>
          <w:sz w:val="24"/>
          <w:szCs w:val="24"/>
        </w:rPr>
        <w:t>Butylhydroxytoluen (E321) op til 270 mikrogram/g gel.</w:t>
      </w:r>
    </w:p>
    <w:p w:rsidR="00720275" w:rsidRPr="00720275" w:rsidRDefault="00720275" w:rsidP="00720275">
      <w:pPr>
        <w:tabs>
          <w:tab w:val="left" w:pos="851"/>
        </w:tabs>
        <w:ind w:left="851"/>
        <w:rPr>
          <w:sz w:val="24"/>
          <w:szCs w:val="24"/>
        </w:rPr>
      </w:pPr>
      <w:r w:rsidRPr="00720275">
        <w:rPr>
          <w:sz w:val="24"/>
          <w:szCs w:val="24"/>
        </w:rPr>
        <w:t>Ricinusolie, hydrogeneret 16,7 mg/g gel.</w:t>
      </w:r>
    </w:p>
    <w:p w:rsidR="00720275" w:rsidRPr="00720275" w:rsidRDefault="00720275" w:rsidP="00720275">
      <w:pPr>
        <w:tabs>
          <w:tab w:val="left" w:pos="851"/>
        </w:tabs>
        <w:ind w:left="851"/>
        <w:rPr>
          <w:sz w:val="24"/>
          <w:szCs w:val="24"/>
        </w:rPr>
      </w:pPr>
    </w:p>
    <w:p w:rsidR="00720275" w:rsidRPr="00720275" w:rsidRDefault="00720275" w:rsidP="00720275">
      <w:pPr>
        <w:tabs>
          <w:tab w:val="left" w:pos="851"/>
        </w:tabs>
        <w:ind w:left="851"/>
        <w:rPr>
          <w:sz w:val="24"/>
          <w:szCs w:val="24"/>
        </w:rPr>
      </w:pPr>
      <w:r w:rsidRPr="00720275">
        <w:rPr>
          <w:sz w:val="24"/>
          <w:szCs w:val="24"/>
        </w:rPr>
        <w:t>Alle hjælpestoffer er anført under pkt. 6.1.</w:t>
      </w:r>
    </w:p>
    <w:p w:rsidR="00720275" w:rsidRPr="00720275" w:rsidRDefault="00720275" w:rsidP="00720275">
      <w:pPr>
        <w:tabs>
          <w:tab w:val="left" w:pos="851"/>
        </w:tabs>
        <w:ind w:left="851"/>
        <w:rPr>
          <w:sz w:val="24"/>
          <w:szCs w:val="24"/>
        </w:rPr>
      </w:pPr>
    </w:p>
    <w:p w:rsidR="003911A3" w:rsidRDefault="003911A3" w:rsidP="009260DE">
      <w:pPr>
        <w:tabs>
          <w:tab w:val="left" w:pos="851"/>
        </w:tabs>
        <w:ind w:left="851"/>
        <w:rPr>
          <w:sz w:val="24"/>
          <w:szCs w:val="24"/>
        </w:rPr>
      </w:pPr>
    </w:p>
    <w:p w:rsidR="003911A3" w:rsidRPr="003911A3" w:rsidRDefault="003911A3" w:rsidP="003911A3">
      <w:pPr>
        <w:tabs>
          <w:tab w:val="left" w:pos="851"/>
        </w:tabs>
        <w:ind w:left="851"/>
        <w:rPr>
          <w:sz w:val="24"/>
          <w:szCs w:val="24"/>
        </w:rPr>
      </w:pPr>
      <w:r w:rsidRPr="003911A3">
        <w:rPr>
          <w:sz w:val="24"/>
          <w:szCs w:val="24"/>
        </w:rPr>
        <w:t>50 mikrogram/g+0,5 mg/g</w:t>
      </w:r>
    </w:p>
    <w:p w:rsidR="003911A3" w:rsidRPr="00C84483" w:rsidRDefault="003911A3"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F38F7" w:rsidRDefault="009F38F7" w:rsidP="009F38F7">
      <w:pPr>
        <w:tabs>
          <w:tab w:val="left" w:pos="851"/>
        </w:tabs>
        <w:ind w:left="851"/>
        <w:rPr>
          <w:sz w:val="24"/>
          <w:szCs w:val="24"/>
        </w:rPr>
      </w:pPr>
      <w:r w:rsidRPr="009F38F7">
        <w:rPr>
          <w:sz w:val="24"/>
          <w:szCs w:val="24"/>
        </w:rPr>
        <w:t>Gel</w:t>
      </w:r>
    </w:p>
    <w:p w:rsidR="009F38F7" w:rsidRPr="009F38F7" w:rsidRDefault="009F38F7" w:rsidP="009F38F7">
      <w:pPr>
        <w:tabs>
          <w:tab w:val="left" w:pos="851"/>
        </w:tabs>
        <w:ind w:left="851"/>
        <w:rPr>
          <w:sz w:val="24"/>
          <w:szCs w:val="24"/>
        </w:rPr>
      </w:pPr>
    </w:p>
    <w:p w:rsidR="009F38F7" w:rsidRPr="009F38F7" w:rsidRDefault="009F38F7" w:rsidP="009F38F7">
      <w:pPr>
        <w:tabs>
          <w:tab w:val="left" w:pos="851"/>
        </w:tabs>
        <w:ind w:left="851"/>
        <w:rPr>
          <w:sz w:val="24"/>
          <w:szCs w:val="24"/>
        </w:rPr>
      </w:pPr>
      <w:r w:rsidRPr="009F38F7">
        <w:rPr>
          <w:sz w:val="24"/>
          <w:szCs w:val="24"/>
        </w:rPr>
        <w:t>En næsten klar, farveløs til let off-white gel.</w:t>
      </w:r>
    </w:p>
    <w:p w:rsidR="009F38F7" w:rsidRPr="009F38F7" w:rsidRDefault="009F38F7" w:rsidP="009F38F7">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F38F7" w:rsidRDefault="009F38F7" w:rsidP="009F38F7">
      <w:pPr>
        <w:tabs>
          <w:tab w:val="left" w:pos="851"/>
        </w:tabs>
        <w:ind w:left="851"/>
        <w:rPr>
          <w:sz w:val="24"/>
          <w:szCs w:val="24"/>
        </w:rPr>
      </w:pPr>
      <w:r w:rsidRPr="009F38F7">
        <w:rPr>
          <w:sz w:val="24"/>
          <w:szCs w:val="24"/>
        </w:rPr>
        <w:t>Topikal behandling af voksne med psoriasis i hårbunden.</w:t>
      </w:r>
    </w:p>
    <w:p w:rsidR="009F38F7" w:rsidRPr="009F38F7" w:rsidRDefault="009F38F7" w:rsidP="009F38F7">
      <w:pPr>
        <w:tabs>
          <w:tab w:val="left" w:pos="851"/>
        </w:tabs>
        <w:ind w:left="851"/>
        <w:rPr>
          <w:sz w:val="24"/>
          <w:szCs w:val="24"/>
        </w:rPr>
      </w:pPr>
      <w:r w:rsidRPr="009F38F7">
        <w:rPr>
          <w:sz w:val="24"/>
          <w:szCs w:val="24"/>
        </w:rPr>
        <w:t>Topikal behandling af mild til moderat plaque psoriasis vulgaris på resten af kroppen hos voksne.</w:t>
      </w:r>
    </w:p>
    <w:p w:rsidR="00545B7D" w:rsidRDefault="00545B7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F38F7" w:rsidRPr="001543C1" w:rsidRDefault="009F38F7" w:rsidP="00F82667">
      <w:pPr>
        <w:ind w:left="851"/>
        <w:rPr>
          <w:noProof/>
          <w:sz w:val="24"/>
          <w:szCs w:val="24"/>
        </w:rPr>
      </w:pPr>
    </w:p>
    <w:p w:rsidR="009F38F7" w:rsidRPr="001543C1" w:rsidRDefault="009F38F7" w:rsidP="00F82667">
      <w:pPr>
        <w:ind w:left="851"/>
        <w:rPr>
          <w:b/>
          <w:noProof/>
          <w:sz w:val="24"/>
          <w:szCs w:val="24"/>
        </w:rPr>
      </w:pPr>
      <w:r w:rsidRPr="001543C1">
        <w:rPr>
          <w:b/>
          <w:noProof/>
          <w:sz w:val="24"/>
          <w:szCs w:val="24"/>
        </w:rPr>
        <w:t>Dosering</w:t>
      </w:r>
    </w:p>
    <w:p w:rsidR="009F38F7" w:rsidRPr="001543C1" w:rsidRDefault="009F38F7" w:rsidP="00F82667">
      <w:pPr>
        <w:ind w:left="851"/>
        <w:rPr>
          <w:noProof/>
          <w:sz w:val="24"/>
          <w:szCs w:val="24"/>
        </w:rPr>
      </w:pP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noProof/>
          <w:sz w:val="24"/>
          <w:szCs w:val="24"/>
        </w:rPr>
        <w:t xml:space="preserve"> smøres på de angrebne områder </w:t>
      </w:r>
      <w:r w:rsidR="001737A5">
        <w:rPr>
          <w:noProof/>
          <w:sz w:val="24"/>
          <w:szCs w:val="24"/>
        </w:rPr>
        <w:t>en</w:t>
      </w:r>
      <w:r w:rsidRPr="001543C1">
        <w:rPr>
          <w:noProof/>
          <w:sz w:val="24"/>
          <w:szCs w:val="24"/>
        </w:rPr>
        <w:t xml:space="preserve"> gang daglig. Den anbefalede behandlingstid er 4 uger ved behandling af hårbunden og 8 uger ved behandling af resten af kroppen. Hvis det skønnes nødvendigt at fortsætte eller genstarte behandlingen efter denne periode, bør det ske under lægeligt tilsyn.</w:t>
      </w:r>
    </w:p>
    <w:p w:rsidR="009F38F7" w:rsidRPr="001543C1" w:rsidRDefault="009F38F7" w:rsidP="00F82667">
      <w:pPr>
        <w:ind w:left="851"/>
        <w:rPr>
          <w:noProof/>
          <w:sz w:val="24"/>
          <w:szCs w:val="24"/>
        </w:rPr>
      </w:pPr>
    </w:p>
    <w:p w:rsidR="009F38F7" w:rsidRPr="001543C1" w:rsidRDefault="009F38F7" w:rsidP="00F82667">
      <w:pPr>
        <w:ind w:left="851"/>
        <w:rPr>
          <w:noProof/>
          <w:sz w:val="24"/>
          <w:szCs w:val="24"/>
        </w:rPr>
      </w:pPr>
      <w:r w:rsidRPr="001543C1">
        <w:rPr>
          <w:noProof/>
          <w:sz w:val="24"/>
          <w:szCs w:val="24"/>
        </w:rPr>
        <w:t>Ved brug af lægemidler indeholdende calcipotriol bør den maksimale daglige dosis ikke overstige 15 g. Kroppens samlede areal behandlet med calcipotriol bør ikke overstige 30</w:t>
      </w:r>
      <w:r w:rsidR="00465611">
        <w:rPr>
          <w:noProof/>
          <w:sz w:val="24"/>
          <w:szCs w:val="24"/>
        </w:rPr>
        <w:t xml:space="preserve"> %</w:t>
      </w:r>
      <w:r w:rsidRPr="001543C1">
        <w:rPr>
          <w:noProof/>
          <w:sz w:val="24"/>
          <w:szCs w:val="24"/>
        </w:rPr>
        <w:t xml:space="preserve"> (se pkt.</w:t>
      </w:r>
    </w:p>
    <w:p w:rsidR="009F38F7" w:rsidRPr="001543C1" w:rsidRDefault="009F38F7" w:rsidP="00F82667">
      <w:pPr>
        <w:ind w:left="851"/>
        <w:rPr>
          <w:noProof/>
          <w:sz w:val="24"/>
          <w:szCs w:val="24"/>
        </w:rPr>
      </w:pPr>
      <w:r w:rsidRPr="001543C1">
        <w:rPr>
          <w:noProof/>
          <w:sz w:val="24"/>
          <w:szCs w:val="24"/>
        </w:rPr>
        <w:t>4.4).</w:t>
      </w:r>
    </w:p>
    <w:p w:rsidR="009F38F7" w:rsidRPr="001543C1" w:rsidRDefault="009F38F7" w:rsidP="00F82667">
      <w:pPr>
        <w:ind w:left="851"/>
        <w:rPr>
          <w:noProof/>
          <w:sz w:val="24"/>
          <w:szCs w:val="24"/>
        </w:rPr>
      </w:pPr>
    </w:p>
    <w:p w:rsidR="009F38F7" w:rsidRPr="001543C1" w:rsidRDefault="009F38F7" w:rsidP="00F82667">
      <w:pPr>
        <w:ind w:left="851"/>
        <w:rPr>
          <w:i/>
          <w:noProof/>
          <w:sz w:val="24"/>
          <w:szCs w:val="24"/>
        </w:rPr>
      </w:pPr>
      <w:r w:rsidRPr="001543C1">
        <w:rPr>
          <w:i/>
          <w:noProof/>
          <w:sz w:val="24"/>
          <w:szCs w:val="24"/>
        </w:rPr>
        <w:t>Ved anvendelse i hårbunden</w:t>
      </w:r>
    </w:p>
    <w:p w:rsidR="009F38F7" w:rsidRPr="001543C1" w:rsidRDefault="009F38F7" w:rsidP="00F82667">
      <w:pPr>
        <w:ind w:left="851"/>
        <w:rPr>
          <w:noProof/>
          <w:sz w:val="24"/>
          <w:szCs w:val="24"/>
        </w:rPr>
      </w:pPr>
      <w:r w:rsidRPr="001543C1">
        <w:rPr>
          <w:noProof/>
          <w:sz w:val="24"/>
          <w:szCs w:val="24"/>
        </w:rPr>
        <w:t xml:space="preserve">Alle de angrebne områder i hårbunden kan behandles med 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noProof/>
          <w:sz w:val="24"/>
          <w:szCs w:val="24"/>
        </w:rPr>
        <w:t xml:space="preserve"> gel. Normalt er en mængde mellem 1 g og  4 g </w:t>
      </w:r>
      <w:r w:rsidR="001737A5">
        <w:rPr>
          <w:noProof/>
          <w:sz w:val="24"/>
          <w:szCs w:val="24"/>
        </w:rPr>
        <w:t>daglig</w:t>
      </w:r>
      <w:r w:rsidRPr="001543C1">
        <w:rPr>
          <w:noProof/>
          <w:sz w:val="24"/>
          <w:szCs w:val="24"/>
        </w:rPr>
        <w:t xml:space="preserve"> tilstrækkeligt til behandling af hårbunden (4 g svarer til en teskefuld).</w:t>
      </w:r>
    </w:p>
    <w:p w:rsidR="009F38F7" w:rsidRPr="001543C1" w:rsidRDefault="009F38F7" w:rsidP="00F82667">
      <w:pPr>
        <w:ind w:left="851"/>
        <w:rPr>
          <w:noProof/>
          <w:sz w:val="24"/>
          <w:szCs w:val="24"/>
        </w:rPr>
      </w:pPr>
    </w:p>
    <w:p w:rsidR="009F38F7" w:rsidRPr="001543C1" w:rsidRDefault="009F38F7" w:rsidP="00F82667">
      <w:pPr>
        <w:ind w:left="851"/>
        <w:rPr>
          <w:noProof/>
          <w:sz w:val="24"/>
          <w:szCs w:val="24"/>
        </w:rPr>
      </w:pPr>
      <w:r w:rsidRPr="001543C1">
        <w:rPr>
          <w:noProof/>
          <w:sz w:val="24"/>
          <w:szCs w:val="24"/>
          <w:u w:val="single"/>
        </w:rPr>
        <w:t>Specielle populationer</w:t>
      </w:r>
    </w:p>
    <w:p w:rsidR="001543C1" w:rsidRPr="001543C1" w:rsidRDefault="001543C1" w:rsidP="00F82667">
      <w:pPr>
        <w:ind w:left="851"/>
        <w:rPr>
          <w:i/>
          <w:noProof/>
          <w:sz w:val="24"/>
          <w:szCs w:val="24"/>
        </w:rPr>
      </w:pPr>
    </w:p>
    <w:p w:rsidR="009F38F7" w:rsidRPr="001543C1" w:rsidRDefault="009F38F7" w:rsidP="00F82667">
      <w:pPr>
        <w:ind w:left="851"/>
        <w:rPr>
          <w:i/>
          <w:noProof/>
          <w:sz w:val="24"/>
          <w:szCs w:val="24"/>
        </w:rPr>
      </w:pPr>
      <w:r w:rsidRPr="001543C1">
        <w:rPr>
          <w:i/>
          <w:noProof/>
          <w:sz w:val="24"/>
          <w:szCs w:val="24"/>
        </w:rPr>
        <w:t>Nedsat nyre- eller leverfunktion</w:t>
      </w:r>
    </w:p>
    <w:p w:rsidR="009F38F7" w:rsidRPr="001543C1" w:rsidRDefault="009F38F7" w:rsidP="00F82667">
      <w:pPr>
        <w:ind w:left="851"/>
        <w:rPr>
          <w:noProof/>
          <w:sz w:val="24"/>
          <w:szCs w:val="24"/>
        </w:rPr>
      </w:pPr>
      <w:r w:rsidRPr="001543C1">
        <w:rPr>
          <w:noProof/>
          <w:sz w:val="24"/>
          <w:szCs w:val="24"/>
        </w:rPr>
        <w:t xml:space="preserve">Sikkerhed og virkning af 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noProof/>
          <w:sz w:val="24"/>
          <w:szCs w:val="24"/>
        </w:rPr>
        <w:t xml:space="preserve"> gel hos patienter med alvorlig nyreinsufficiens eller alvorlige leversygdomme er ikke undersøgt.</w:t>
      </w:r>
    </w:p>
    <w:p w:rsidR="009F38F7" w:rsidRPr="001543C1" w:rsidRDefault="009F38F7" w:rsidP="00F82667">
      <w:pPr>
        <w:ind w:left="851"/>
        <w:rPr>
          <w:noProof/>
          <w:sz w:val="24"/>
          <w:szCs w:val="24"/>
        </w:rPr>
      </w:pPr>
    </w:p>
    <w:p w:rsidR="009F38F7" w:rsidRPr="001543C1" w:rsidRDefault="009F38F7" w:rsidP="00F82667">
      <w:pPr>
        <w:ind w:left="851"/>
        <w:rPr>
          <w:i/>
          <w:iCs/>
          <w:noProof/>
          <w:sz w:val="24"/>
          <w:szCs w:val="24"/>
        </w:rPr>
      </w:pPr>
      <w:r w:rsidRPr="001543C1">
        <w:rPr>
          <w:i/>
          <w:iCs/>
          <w:noProof/>
          <w:sz w:val="24"/>
          <w:szCs w:val="24"/>
        </w:rPr>
        <w:t>Pædiatrisk population</w:t>
      </w:r>
    </w:p>
    <w:p w:rsidR="009F38F7" w:rsidRPr="001543C1" w:rsidRDefault="009F38F7" w:rsidP="00F82667">
      <w:pPr>
        <w:ind w:left="851"/>
        <w:rPr>
          <w:noProof/>
          <w:sz w:val="24"/>
          <w:szCs w:val="24"/>
        </w:rPr>
      </w:pPr>
      <w:r w:rsidRPr="001543C1">
        <w:rPr>
          <w:noProof/>
          <w:sz w:val="24"/>
          <w:szCs w:val="24"/>
        </w:rPr>
        <w:t xml:space="preserve">Sikkerhed og virkning af 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noProof/>
          <w:sz w:val="24"/>
          <w:szCs w:val="24"/>
        </w:rPr>
        <w:t xml:space="preserve"> hos børn og unge under 18 år er ikke klarlagt. Aktuelle tilgængelige data fra unge i alderen 12 til 17 år er beskrevet i pkt. 4.8 og 5.1, men der kan ikke gives nogen anbefaling om dosering.</w:t>
      </w:r>
    </w:p>
    <w:p w:rsidR="009F38F7" w:rsidRPr="001543C1" w:rsidRDefault="009F38F7" w:rsidP="00F82667">
      <w:pPr>
        <w:ind w:left="851"/>
        <w:rPr>
          <w:noProof/>
          <w:sz w:val="24"/>
          <w:szCs w:val="24"/>
        </w:rPr>
      </w:pPr>
    </w:p>
    <w:p w:rsidR="009F38F7" w:rsidRPr="001543C1" w:rsidRDefault="009F38F7" w:rsidP="00F82667">
      <w:pPr>
        <w:ind w:left="851"/>
        <w:rPr>
          <w:b/>
          <w:noProof/>
          <w:sz w:val="24"/>
          <w:szCs w:val="24"/>
        </w:rPr>
      </w:pPr>
      <w:r w:rsidRPr="001543C1">
        <w:rPr>
          <w:b/>
          <w:noProof/>
          <w:sz w:val="24"/>
          <w:szCs w:val="24"/>
        </w:rPr>
        <w:t>Administration</w:t>
      </w:r>
    </w:p>
    <w:p w:rsidR="001543C1" w:rsidRPr="001543C1" w:rsidRDefault="001543C1" w:rsidP="00F82667">
      <w:pPr>
        <w:ind w:left="851"/>
        <w:rPr>
          <w:noProof/>
          <w:sz w:val="24"/>
          <w:szCs w:val="24"/>
          <w:u w:val="single"/>
        </w:rPr>
      </w:pPr>
    </w:p>
    <w:p w:rsidR="009F38F7" w:rsidRPr="001543C1" w:rsidRDefault="009F38F7" w:rsidP="00F82667">
      <w:pPr>
        <w:ind w:left="851"/>
        <w:rPr>
          <w:noProof/>
          <w:sz w:val="24"/>
          <w:szCs w:val="24"/>
          <w:u w:val="single"/>
        </w:rPr>
      </w:pPr>
      <w:r w:rsidRPr="001543C1">
        <w:rPr>
          <w:noProof/>
          <w:sz w:val="24"/>
          <w:szCs w:val="24"/>
          <w:u w:val="single"/>
        </w:rPr>
        <w:t>Til kutan anvendelse</w:t>
      </w:r>
    </w:p>
    <w:p w:rsidR="009F38F7" w:rsidRPr="001543C1" w:rsidRDefault="009F38F7" w:rsidP="00F82667">
      <w:pPr>
        <w:ind w:left="851"/>
        <w:rPr>
          <w:noProof/>
          <w:sz w:val="24"/>
          <w:szCs w:val="24"/>
        </w:rPr>
      </w:pPr>
      <w:r w:rsidRPr="001543C1">
        <w:rPr>
          <w:noProof/>
          <w:sz w:val="24"/>
          <w:szCs w:val="24"/>
        </w:rPr>
        <w:t xml:space="preserve">Gelen skal ikke påføres direkte i ansigtet eller øjnene. For at opnå optimal effekt anbefales det ikke at tage brusebad eller karbad – ved behandling af hårbunden - eller at vaske håret lige efter påsmøring af 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noProof/>
          <w:sz w:val="24"/>
          <w:szCs w:val="24"/>
        </w:rPr>
        <w:t>. Gelen skal blive på huden natten over eller hele dagen.</w:t>
      </w:r>
    </w:p>
    <w:p w:rsidR="009F38F7" w:rsidRPr="001543C1" w:rsidRDefault="009F38F7" w:rsidP="00F82667">
      <w:pPr>
        <w:ind w:left="851"/>
        <w:rPr>
          <w:noProof/>
          <w:sz w:val="24"/>
          <w:szCs w:val="24"/>
          <w:u w:val="single"/>
        </w:rPr>
      </w:pPr>
    </w:p>
    <w:p w:rsidR="009F38F7" w:rsidRPr="003D240C" w:rsidRDefault="009F38F7" w:rsidP="00F82667">
      <w:pPr>
        <w:ind w:left="851"/>
        <w:rPr>
          <w:iCs/>
          <w:noProof/>
          <w:sz w:val="24"/>
          <w:szCs w:val="24"/>
          <w:u w:val="single"/>
        </w:rPr>
      </w:pPr>
      <w:r w:rsidRPr="003D240C">
        <w:rPr>
          <w:iCs/>
          <w:noProof/>
          <w:sz w:val="24"/>
          <w:szCs w:val="24"/>
          <w:u w:val="single"/>
        </w:rPr>
        <w:t>Når du anvender tuben</w:t>
      </w:r>
    </w:p>
    <w:p w:rsidR="009F38F7" w:rsidRPr="001543C1" w:rsidRDefault="009F38F7" w:rsidP="00F82667">
      <w:pPr>
        <w:ind w:left="851"/>
        <w:rPr>
          <w:noProof/>
          <w:sz w:val="24"/>
          <w:szCs w:val="24"/>
        </w:rPr>
      </w:pPr>
      <w:r w:rsidRPr="001543C1">
        <w:rPr>
          <w:noProof/>
          <w:sz w:val="24"/>
          <w:szCs w:val="24"/>
        </w:rPr>
        <w:t>Tuben skal rystes før brug og gelen påføres det berørte område.</w:t>
      </w:r>
    </w:p>
    <w:p w:rsidR="009F38F7" w:rsidRPr="001543C1" w:rsidRDefault="009F38F7" w:rsidP="00F82667">
      <w:pPr>
        <w:ind w:left="851"/>
        <w:rPr>
          <w:noProof/>
          <w:sz w:val="24"/>
          <w:szCs w:val="24"/>
        </w:rPr>
      </w:pPr>
      <w:r w:rsidRPr="001543C1">
        <w:rPr>
          <w:noProof/>
          <w:sz w:val="24"/>
          <w:szCs w:val="24"/>
        </w:rPr>
        <w:t>Hænderne skal vaskes efter brug.</w:t>
      </w:r>
    </w:p>
    <w:p w:rsidR="009F38F7" w:rsidRPr="001543C1" w:rsidRDefault="009F38F7" w:rsidP="00F82667">
      <w:pPr>
        <w:widowControl w:val="0"/>
        <w:spacing w:before="52" w:line="510" w:lineRule="exact"/>
        <w:ind w:left="851" w:right="4330"/>
        <w:rPr>
          <w:sz w:val="24"/>
          <w:szCs w:val="24"/>
        </w:rPr>
      </w:pPr>
      <w:r w:rsidRPr="001543C1">
        <w:rPr>
          <w:spacing w:val="-5"/>
          <w:sz w:val="24"/>
          <w:szCs w:val="24"/>
          <w:u w:val="single" w:color="000000"/>
        </w:rPr>
        <w:t>Instruktion i korrekt anvendelse</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Lægemidlet bør kun anvendes på psoriasis og ikke på hud, der ikke har psoriasis.</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Tuben skal rystes inden brug og låget skal tages af.</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Gelen skal smøres på en ren finger eller direkte på området med psoriasis.</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 xml:space="preserve">Lægemidlet skal påføres det angrebne område med fingerspidserne og skal gnides forsigtigt ind, indtil det område, der er ramt af psoriasis, er dækket af et </w:t>
      </w:r>
      <w:r w:rsidRPr="001543C1">
        <w:rPr>
          <w:b/>
          <w:bCs/>
          <w:sz w:val="24"/>
          <w:szCs w:val="24"/>
        </w:rPr>
        <w:t>tyndt</w:t>
      </w:r>
      <w:r w:rsidRPr="001543C1">
        <w:rPr>
          <w:sz w:val="24"/>
          <w:szCs w:val="24"/>
        </w:rPr>
        <w:t xml:space="preserve"> lag gel.</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Det behandlede hudområde bør ikke bandageres, tæt tildækkes eller indpakkes.</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 xml:space="preserve">Hænderne skal vaskes grundigt efter brug af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Dette kan undgå, at der ved et uheld overføres gel til andre dele af kroppen (især ansigt, mund og øjne).</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Hvis noget gel, ved et uheld, kommer på normal hud nær psoriasis-området, skal det tørres af, så det ikke spreder sig for meget.</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 xml:space="preserve">For at opnå optimal effekt anbefales det ikke at tage et brusebad eller bad straks efter påføring af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xml:space="preserve"> gel.</w:t>
      </w:r>
    </w:p>
    <w:p w:rsidR="009F38F7" w:rsidRPr="001543C1" w:rsidRDefault="009F38F7" w:rsidP="00696255">
      <w:pPr>
        <w:pStyle w:val="Listeafsnit"/>
        <w:widowControl w:val="0"/>
        <w:numPr>
          <w:ilvl w:val="0"/>
          <w:numId w:val="6"/>
        </w:numPr>
        <w:spacing w:before="10"/>
        <w:ind w:left="1134" w:hanging="283"/>
        <w:rPr>
          <w:sz w:val="24"/>
          <w:szCs w:val="24"/>
        </w:rPr>
      </w:pPr>
      <w:r w:rsidRPr="001543C1">
        <w:rPr>
          <w:sz w:val="24"/>
          <w:szCs w:val="24"/>
        </w:rPr>
        <w:t>Efter påføring af gelen skal kontakt med tekstiler, der let farves af fedt (f.eks. silke), undgås.</w:t>
      </w:r>
    </w:p>
    <w:p w:rsidR="009F38F7" w:rsidRPr="001543C1" w:rsidRDefault="009F38F7" w:rsidP="00F82667">
      <w:pPr>
        <w:widowControl w:val="0"/>
        <w:spacing w:before="10"/>
        <w:ind w:left="851"/>
        <w:rPr>
          <w:sz w:val="24"/>
          <w:szCs w:val="24"/>
        </w:rPr>
      </w:pPr>
    </w:p>
    <w:p w:rsidR="009F38F7" w:rsidRPr="00291F4C" w:rsidRDefault="009F38F7" w:rsidP="00F82667">
      <w:pPr>
        <w:widowControl w:val="0"/>
        <w:ind w:left="851"/>
        <w:rPr>
          <w:iCs/>
          <w:sz w:val="24"/>
          <w:szCs w:val="24"/>
          <w:u w:val="single"/>
        </w:rPr>
      </w:pPr>
      <w:r w:rsidRPr="00291F4C">
        <w:rPr>
          <w:iCs/>
          <w:sz w:val="24"/>
          <w:szCs w:val="24"/>
          <w:u w:val="single"/>
        </w:rPr>
        <w:t>I tilfælde af psoriasis i hovedbunden</w:t>
      </w:r>
    </w:p>
    <w:p w:rsidR="009F38F7" w:rsidRPr="001543C1" w:rsidRDefault="009F38F7" w:rsidP="00696255">
      <w:pPr>
        <w:pStyle w:val="Listeafsnit"/>
        <w:widowControl w:val="0"/>
        <w:numPr>
          <w:ilvl w:val="0"/>
          <w:numId w:val="7"/>
        </w:numPr>
        <w:ind w:left="1134" w:hanging="283"/>
        <w:rPr>
          <w:sz w:val="24"/>
          <w:szCs w:val="24"/>
        </w:rPr>
      </w:pPr>
      <w:r w:rsidRPr="001543C1">
        <w:rPr>
          <w:sz w:val="24"/>
          <w:szCs w:val="24"/>
        </w:rPr>
        <w:t xml:space="preserve">Før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xml:space="preserve"> påføres hovedbunden, skal håret redes for at fjerne eventuelle løse skæl. Hovedet skal vippes for at sikre, at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xml:space="preserve"> ikke løber ned i ansigtet. Det kan hjælpe at dele håret inden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xml:space="preserve"> anvendes. </w:t>
      </w:r>
      <w:r w:rsidRPr="001543C1">
        <w:rPr>
          <w:noProof/>
          <w:sz w:val="24"/>
          <w:szCs w:val="24"/>
        </w:rPr>
        <w:t xml:space="preserve">Calcipotriol/Betamethasone </w:t>
      </w:r>
      <w:r w:rsidR="00545B7D" w:rsidRPr="001543C1">
        <w:rPr>
          <w:noProof/>
          <w:sz w:val="24"/>
          <w:szCs w:val="24"/>
        </w:rPr>
        <w:t>"</w:t>
      </w:r>
      <w:r w:rsidRPr="001543C1">
        <w:rPr>
          <w:noProof/>
          <w:sz w:val="24"/>
          <w:szCs w:val="24"/>
        </w:rPr>
        <w:t>Aristo</w:t>
      </w:r>
      <w:r w:rsidR="00545B7D" w:rsidRPr="001543C1">
        <w:rPr>
          <w:noProof/>
          <w:sz w:val="24"/>
          <w:szCs w:val="24"/>
        </w:rPr>
        <w:t>"</w:t>
      </w:r>
      <w:r w:rsidRPr="001543C1">
        <w:rPr>
          <w:sz w:val="24"/>
          <w:szCs w:val="24"/>
        </w:rPr>
        <w:t xml:space="preserve"> skal påføres det berørte område med fingerspidserne og gnides forsigtigt ind.</w:t>
      </w:r>
    </w:p>
    <w:p w:rsidR="009F38F7" w:rsidRPr="001543C1" w:rsidRDefault="009F38F7" w:rsidP="00F82667">
      <w:pPr>
        <w:widowControl w:val="0"/>
        <w:ind w:left="851"/>
        <w:rPr>
          <w:sz w:val="24"/>
          <w:szCs w:val="24"/>
        </w:rPr>
      </w:pPr>
    </w:p>
    <w:p w:rsidR="009F38F7" w:rsidRPr="001543C1" w:rsidRDefault="009F38F7" w:rsidP="009F38F7">
      <w:pPr>
        <w:widowControl w:val="0"/>
        <w:rPr>
          <w:b/>
          <w:bCs/>
          <w:noProof/>
          <w:sz w:val="24"/>
          <w:szCs w:val="24"/>
        </w:rPr>
      </w:pPr>
      <w:r w:rsidRPr="001543C1">
        <w:rPr>
          <w:b/>
          <w:bCs/>
          <w:sz w:val="24"/>
          <w:szCs w:val="24"/>
        </w:rPr>
        <w:t xml:space="preserve">Vask af håret før påføring af </w:t>
      </w:r>
      <w:r w:rsidRPr="001543C1">
        <w:rPr>
          <w:b/>
          <w:bCs/>
          <w:noProof/>
          <w:sz w:val="24"/>
          <w:szCs w:val="24"/>
        </w:rPr>
        <w:t xml:space="preserve">Calcipotriol/Betamethasone </w:t>
      </w:r>
      <w:r w:rsidR="00545B7D" w:rsidRPr="001543C1">
        <w:rPr>
          <w:b/>
          <w:bCs/>
          <w:noProof/>
          <w:sz w:val="24"/>
          <w:szCs w:val="24"/>
        </w:rPr>
        <w:t>"</w:t>
      </w:r>
      <w:r w:rsidRPr="001543C1">
        <w:rPr>
          <w:b/>
          <w:bCs/>
          <w:noProof/>
          <w:sz w:val="24"/>
          <w:szCs w:val="24"/>
        </w:rPr>
        <w:t>Aristo</w:t>
      </w:r>
      <w:r w:rsidR="00545B7D" w:rsidRPr="001543C1">
        <w:rPr>
          <w:b/>
          <w:bCs/>
          <w:noProof/>
          <w:sz w:val="24"/>
          <w:szCs w:val="24"/>
        </w:rPr>
        <w:t>"</w:t>
      </w:r>
      <w:r w:rsidRPr="001543C1">
        <w:rPr>
          <w:b/>
          <w:bCs/>
          <w:noProof/>
          <w:sz w:val="24"/>
          <w:szCs w:val="24"/>
        </w:rPr>
        <w:t xml:space="preserve"> er ikke nødvendigt.</w:t>
      </w:r>
    </w:p>
    <w:p w:rsidR="009F38F7" w:rsidRDefault="009F38F7" w:rsidP="009F38F7">
      <w:pPr>
        <w:widowControl w:val="0"/>
        <w:rPr>
          <w:b/>
          <w:bCs/>
          <w:noProof/>
          <w:szCs w:val="22"/>
        </w:rPr>
      </w:pPr>
    </w:p>
    <w:p w:rsidR="009F38F7" w:rsidRDefault="009F38F7" w:rsidP="009F38F7">
      <w:pPr>
        <w:widowControl w:val="0"/>
        <w:rPr>
          <w:b/>
          <w:bCs/>
          <w:noProof/>
          <w:szCs w:val="22"/>
        </w:rPr>
      </w:pPr>
      <w:r>
        <w:rPr>
          <w:noProof/>
        </w:rPr>
        <w:drawing>
          <wp:inline distT="0" distB="0" distL="0" distR="0">
            <wp:extent cx="5581650" cy="1562100"/>
            <wp:effectExtent l="0" t="0" r="0" b="0"/>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0" descr="Et billede, der indeholder tekst&#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562100"/>
                    </a:xfrm>
                    <a:prstGeom prst="rect">
                      <a:avLst/>
                    </a:prstGeom>
                    <a:noFill/>
                    <a:ln>
                      <a:noFill/>
                    </a:ln>
                  </pic:spPr>
                </pic:pic>
              </a:graphicData>
            </a:graphic>
          </wp:inline>
        </w:drawing>
      </w:r>
    </w:p>
    <w:p w:rsidR="000D2BC9" w:rsidRDefault="000D2BC9" w:rsidP="009F38F7">
      <w:pPr>
        <w:widowControl w:val="0"/>
        <w:rPr>
          <w:b/>
          <w:bCs/>
          <w:noProof/>
          <w:szCs w:val="22"/>
        </w:rPr>
      </w:pPr>
    </w:p>
    <w:p w:rsidR="000D2BC9" w:rsidRDefault="000D2BC9" w:rsidP="009F38F7">
      <w:pPr>
        <w:widowControl w:val="0"/>
        <w:rPr>
          <w:b/>
          <w:bCs/>
          <w:noProof/>
          <w:szCs w:val="22"/>
        </w:rPr>
      </w:pPr>
    </w:p>
    <w:tbl>
      <w:tblPr>
        <w:tblStyle w:val="Tabel-Gitter"/>
        <w:tblW w:w="0" w:type="auto"/>
        <w:tblLook w:val="04A0" w:firstRow="1" w:lastRow="0" w:firstColumn="1" w:lastColumn="0" w:noHBand="0" w:noVBand="1"/>
      </w:tblPr>
      <w:tblGrid>
        <w:gridCol w:w="3209"/>
        <w:gridCol w:w="3209"/>
        <w:gridCol w:w="3210"/>
      </w:tblGrid>
      <w:tr w:rsidR="00C1726E" w:rsidRPr="00C1726E" w:rsidTr="00C1726E">
        <w:tc>
          <w:tcPr>
            <w:tcW w:w="3209" w:type="dxa"/>
          </w:tcPr>
          <w:p w:rsidR="00C1726E" w:rsidRPr="00C1726E" w:rsidRDefault="00C1726E" w:rsidP="009F38F7">
            <w:pPr>
              <w:widowControl w:val="0"/>
              <w:rPr>
                <w:bCs/>
                <w:noProof/>
                <w:szCs w:val="22"/>
              </w:rPr>
            </w:pPr>
            <w:r w:rsidRPr="00C1726E">
              <w:rPr>
                <w:rFonts w:eastAsia="Calibri"/>
                <w:spacing w:val="-7"/>
                <w:sz w:val="22"/>
                <w:szCs w:val="22"/>
              </w:rPr>
              <w:t>Tuben bør rystes før brug.</w:t>
            </w:r>
          </w:p>
        </w:tc>
        <w:tc>
          <w:tcPr>
            <w:tcW w:w="3209" w:type="dxa"/>
          </w:tcPr>
          <w:p w:rsidR="00C1726E" w:rsidRPr="00C1726E" w:rsidRDefault="00C1726E" w:rsidP="00C1726E">
            <w:pPr>
              <w:rPr>
                <w:rFonts w:eastAsia="Calibri"/>
              </w:rPr>
            </w:pPr>
            <w:r w:rsidRPr="00C1726E">
              <w:rPr>
                <w:rFonts w:eastAsia="Calibri"/>
                <w:spacing w:val="-7"/>
              </w:rPr>
              <w:t>En dråbe</w:t>
            </w:r>
            <w:r w:rsidRPr="00C1726E">
              <w:rPr>
                <w:rFonts w:eastAsia="Calibri"/>
                <w:spacing w:val="24"/>
                <w:w w:val="102"/>
              </w:rPr>
              <w:t xml:space="preserve"> </w:t>
            </w:r>
            <w:r w:rsidRPr="00C1726E">
              <w:rPr>
                <w:rFonts w:eastAsia="Calibri"/>
              </w:rPr>
              <w:t>Calcipotriol/</w:t>
            </w:r>
          </w:p>
          <w:p w:rsidR="00C1726E" w:rsidRPr="00C1726E" w:rsidRDefault="00C1726E" w:rsidP="00C1726E">
            <w:pPr>
              <w:widowControl w:val="0"/>
              <w:rPr>
                <w:bCs/>
                <w:noProof/>
                <w:szCs w:val="22"/>
              </w:rPr>
            </w:pPr>
            <w:r w:rsidRPr="00C1726E">
              <w:rPr>
                <w:rFonts w:eastAsia="Calibri"/>
              </w:rPr>
              <w:t>Betamethason "Aristo" påføres fingerspidsen</w:t>
            </w:r>
            <w:r w:rsidRPr="00C1726E">
              <w:rPr>
                <w:rFonts w:eastAsia="Calibri"/>
                <w:spacing w:val="22"/>
              </w:rPr>
              <w:t>.</w:t>
            </w:r>
          </w:p>
        </w:tc>
        <w:tc>
          <w:tcPr>
            <w:tcW w:w="3210" w:type="dxa"/>
          </w:tcPr>
          <w:p w:rsidR="00C1726E" w:rsidRPr="00C1726E" w:rsidRDefault="00C1726E" w:rsidP="00C1726E">
            <w:pPr>
              <w:widowControl w:val="0"/>
              <w:rPr>
                <w:bCs/>
                <w:noProof/>
                <w:szCs w:val="22"/>
              </w:rPr>
            </w:pPr>
            <w:r w:rsidRPr="00C1726E">
              <w:rPr>
                <w:bCs/>
                <w:noProof/>
                <w:szCs w:val="22"/>
              </w:rPr>
              <w:t>Calcipotriol/Betamethasone "Aristo" gel bør appliceres direkte, hvor den hævede plak kan mærkes og gnides ind på huden.</w:t>
            </w:r>
          </w:p>
          <w:p w:rsidR="00C1726E" w:rsidRPr="00C1726E" w:rsidRDefault="00C1726E" w:rsidP="00C1726E">
            <w:pPr>
              <w:widowControl w:val="0"/>
              <w:rPr>
                <w:bCs/>
                <w:noProof/>
                <w:szCs w:val="22"/>
              </w:rPr>
            </w:pPr>
          </w:p>
          <w:p w:rsidR="00C1726E" w:rsidRPr="00C1726E" w:rsidRDefault="00C1726E" w:rsidP="00C1726E">
            <w:pPr>
              <w:widowControl w:val="0"/>
              <w:rPr>
                <w:bCs/>
                <w:noProof/>
                <w:szCs w:val="22"/>
              </w:rPr>
            </w:pPr>
            <w:r w:rsidRPr="00C1726E">
              <w:rPr>
                <w:bCs/>
                <w:noProof/>
                <w:szCs w:val="22"/>
              </w:rPr>
              <w:t>Afhængig af størrelsen af det berørte areal er 1-4 g (op til en teskefuld) normalt tilstrækkeligt.</w:t>
            </w:r>
          </w:p>
        </w:tc>
      </w:tr>
    </w:tbl>
    <w:p w:rsidR="008D13BC" w:rsidRDefault="008D13BC" w:rsidP="009F38F7">
      <w:pPr>
        <w:widowControl w:val="0"/>
        <w:rPr>
          <w:b/>
          <w:bCs/>
          <w:noProof/>
          <w:szCs w:val="22"/>
        </w:rPr>
      </w:pPr>
    </w:p>
    <w:p w:rsidR="008D13BC" w:rsidRDefault="008D13BC">
      <w:pPr>
        <w:rPr>
          <w:b/>
          <w:bCs/>
          <w:noProof/>
          <w:szCs w:val="22"/>
        </w:rPr>
      </w:pPr>
      <w:r>
        <w:rPr>
          <w:b/>
          <w:bCs/>
          <w:noProof/>
          <w:szCs w:val="22"/>
        </w:rPr>
        <w:br w:type="page"/>
      </w:r>
    </w:p>
    <w:p w:rsidR="000D2BC9" w:rsidRDefault="000D2BC9" w:rsidP="009F38F7">
      <w:pPr>
        <w:widowControl w:val="0"/>
        <w:rPr>
          <w:b/>
          <w:bCs/>
          <w:noProof/>
          <w:szCs w:val="22"/>
        </w:rPr>
      </w:pPr>
    </w:p>
    <w:p w:rsidR="009F38F7" w:rsidRPr="001543C1" w:rsidRDefault="009F38F7" w:rsidP="009F38F7">
      <w:pPr>
        <w:rPr>
          <w:b/>
          <w:bCs/>
          <w:sz w:val="24"/>
          <w:szCs w:val="24"/>
        </w:rPr>
      </w:pPr>
      <w:r w:rsidRPr="001543C1">
        <w:rPr>
          <w:b/>
          <w:bCs/>
          <w:sz w:val="24"/>
          <w:szCs w:val="24"/>
        </w:rPr>
        <w:t xml:space="preserve">For at opnå optimal effekt anbefales det, at håret ikke vaskes straks efter påføring af </w:t>
      </w:r>
      <w:r w:rsidRPr="001543C1">
        <w:rPr>
          <w:b/>
          <w:bCs/>
          <w:noProof/>
          <w:sz w:val="24"/>
          <w:szCs w:val="24"/>
        </w:rPr>
        <w:t xml:space="preserve">Calcipotriol/Betamethasone </w:t>
      </w:r>
      <w:r w:rsidR="00545B7D" w:rsidRPr="001543C1">
        <w:rPr>
          <w:b/>
          <w:bCs/>
          <w:noProof/>
          <w:sz w:val="24"/>
          <w:szCs w:val="24"/>
        </w:rPr>
        <w:t>"</w:t>
      </w:r>
      <w:r w:rsidRPr="001543C1">
        <w:rPr>
          <w:b/>
          <w:bCs/>
          <w:noProof/>
          <w:sz w:val="24"/>
          <w:szCs w:val="24"/>
        </w:rPr>
        <w:t>Aristo</w:t>
      </w:r>
      <w:r w:rsidR="00545B7D" w:rsidRPr="001543C1">
        <w:rPr>
          <w:b/>
          <w:bCs/>
          <w:noProof/>
          <w:sz w:val="24"/>
          <w:szCs w:val="24"/>
        </w:rPr>
        <w:t>"</w:t>
      </w:r>
      <w:r w:rsidRPr="001543C1">
        <w:rPr>
          <w:b/>
          <w:bCs/>
          <w:noProof/>
          <w:sz w:val="24"/>
          <w:szCs w:val="24"/>
        </w:rPr>
        <w:t xml:space="preserve"> . Calcipotriol/Betamethasone </w:t>
      </w:r>
      <w:r w:rsidR="00545B7D" w:rsidRPr="001543C1">
        <w:rPr>
          <w:b/>
          <w:bCs/>
          <w:noProof/>
          <w:sz w:val="24"/>
          <w:szCs w:val="24"/>
        </w:rPr>
        <w:t>"</w:t>
      </w:r>
      <w:r w:rsidRPr="001543C1">
        <w:rPr>
          <w:b/>
          <w:bCs/>
          <w:noProof/>
          <w:sz w:val="24"/>
          <w:szCs w:val="24"/>
        </w:rPr>
        <w:t>Aristo</w:t>
      </w:r>
      <w:r w:rsidR="00545B7D" w:rsidRPr="001543C1">
        <w:rPr>
          <w:b/>
          <w:bCs/>
          <w:noProof/>
          <w:sz w:val="24"/>
          <w:szCs w:val="24"/>
        </w:rPr>
        <w:t>"</w:t>
      </w:r>
      <w:r w:rsidRPr="001543C1">
        <w:rPr>
          <w:b/>
          <w:bCs/>
          <w:noProof/>
          <w:sz w:val="24"/>
          <w:szCs w:val="24"/>
        </w:rPr>
        <w:t xml:space="preserve"> </w:t>
      </w:r>
      <w:r w:rsidRPr="001543C1">
        <w:rPr>
          <w:b/>
          <w:bCs/>
          <w:sz w:val="24"/>
          <w:szCs w:val="24"/>
        </w:rPr>
        <w:t>skal forblive i hovedbunden om natten eller om dagen. Når håret vaskes efter påføring, kan følgende instruktioner være nyttige:</w:t>
      </w:r>
    </w:p>
    <w:p w:rsidR="009F38F7" w:rsidRPr="001543C1" w:rsidRDefault="009F38F7" w:rsidP="009F38F7">
      <w:pPr>
        <w:rPr>
          <w:sz w:val="24"/>
          <w:szCs w:val="24"/>
        </w:rPr>
      </w:pPr>
    </w:p>
    <w:p w:rsidR="009F38F7" w:rsidRDefault="009F38F7" w:rsidP="009F38F7">
      <w:r>
        <w:rPr>
          <w:noProof/>
        </w:rPr>
        <w:drawing>
          <wp:inline distT="0" distB="0" distL="0" distR="0">
            <wp:extent cx="5391150" cy="2171700"/>
            <wp:effectExtent l="0" t="0" r="0" b="0"/>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1" descr="Et billede, der indeholder tekst&#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171700"/>
                    </a:xfrm>
                    <a:prstGeom prst="rect">
                      <a:avLst/>
                    </a:prstGeom>
                    <a:noFill/>
                    <a:ln>
                      <a:noFill/>
                    </a:ln>
                  </pic:spPr>
                </pic:pic>
              </a:graphicData>
            </a:graphic>
          </wp:inline>
        </w:drawing>
      </w:r>
    </w:p>
    <w:p w:rsidR="009F38F7" w:rsidRDefault="009F38F7" w:rsidP="009F38F7"/>
    <w:tbl>
      <w:tblPr>
        <w:tblStyle w:val="Tabel-Gitter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2544"/>
      </w:tblGrid>
      <w:tr w:rsidR="009F38F7" w:rsidRPr="008D13BC" w:rsidTr="009F38F7">
        <w:tc>
          <w:tcPr>
            <w:tcW w:w="3402" w:type="dxa"/>
            <w:hideMark/>
          </w:tcPr>
          <w:p w:rsidR="009F38F7" w:rsidRPr="008D13BC" w:rsidRDefault="009F38F7">
            <w:pPr>
              <w:spacing w:before="6"/>
              <w:rPr>
                <w:sz w:val="22"/>
                <w:lang w:val="da-DK"/>
              </w:rPr>
            </w:pPr>
            <w:r w:rsidRPr="008D13BC">
              <w:rPr>
                <w:sz w:val="22"/>
                <w:lang w:val="da-DK"/>
              </w:rPr>
              <w:t>En mild shampoo skal påføres i det tørre hår, især i de områder, hvor gelen blev påført.</w:t>
            </w:r>
          </w:p>
        </w:tc>
        <w:tc>
          <w:tcPr>
            <w:tcW w:w="3119" w:type="dxa"/>
            <w:hideMark/>
          </w:tcPr>
          <w:p w:rsidR="009F38F7" w:rsidRPr="008D13BC" w:rsidRDefault="009F38F7">
            <w:pPr>
              <w:spacing w:before="6"/>
              <w:rPr>
                <w:sz w:val="22"/>
                <w:lang w:val="da-DK"/>
              </w:rPr>
            </w:pPr>
            <w:r w:rsidRPr="008D13BC">
              <w:rPr>
                <w:sz w:val="22"/>
                <w:lang w:val="da-DK"/>
              </w:rPr>
              <w:t>Shampoo</w:t>
            </w:r>
            <w:r w:rsidR="001737A5" w:rsidRPr="008D13BC">
              <w:rPr>
                <w:sz w:val="22"/>
                <w:lang w:val="da-DK"/>
              </w:rPr>
              <w:t>en</w:t>
            </w:r>
            <w:r w:rsidRPr="008D13BC">
              <w:rPr>
                <w:sz w:val="22"/>
                <w:lang w:val="da-DK"/>
              </w:rPr>
              <w:t xml:space="preserve"> skal sidde i hovedbunden et par minutter inden vask.</w:t>
            </w:r>
          </w:p>
        </w:tc>
        <w:tc>
          <w:tcPr>
            <w:tcW w:w="2544" w:type="dxa"/>
            <w:hideMark/>
          </w:tcPr>
          <w:p w:rsidR="009F38F7" w:rsidRPr="008D13BC" w:rsidRDefault="009F38F7">
            <w:pPr>
              <w:spacing w:before="6"/>
              <w:rPr>
                <w:sz w:val="22"/>
                <w:lang w:val="da-DK"/>
              </w:rPr>
            </w:pPr>
            <w:r w:rsidRPr="008D13BC">
              <w:rPr>
                <w:sz w:val="22"/>
                <w:lang w:val="da-DK"/>
              </w:rPr>
              <w:t>Håret skal vaskes som normalt.</w:t>
            </w:r>
          </w:p>
        </w:tc>
      </w:tr>
    </w:tbl>
    <w:p w:rsidR="009F38F7" w:rsidRPr="001543C1" w:rsidRDefault="009F38F7" w:rsidP="00F82667">
      <w:pPr>
        <w:ind w:left="851"/>
        <w:rPr>
          <w:sz w:val="24"/>
          <w:szCs w:val="24"/>
        </w:rPr>
      </w:pPr>
    </w:p>
    <w:p w:rsidR="009F38F7" w:rsidRPr="001543C1" w:rsidRDefault="009F38F7" w:rsidP="00F82667">
      <w:pPr>
        <w:suppressAutoHyphens/>
        <w:ind w:left="851"/>
        <w:rPr>
          <w:b/>
          <w:bCs/>
          <w:noProof/>
          <w:sz w:val="24"/>
          <w:szCs w:val="24"/>
        </w:rPr>
      </w:pPr>
      <w:r w:rsidRPr="001543C1">
        <w:rPr>
          <w:b/>
          <w:bCs/>
          <w:noProof/>
          <w:sz w:val="24"/>
          <w:szCs w:val="24"/>
        </w:rPr>
        <w:t xml:space="preserve">Gentag, trin 4 – 6, </w:t>
      </w:r>
      <w:r w:rsidR="001737A5">
        <w:rPr>
          <w:b/>
          <w:bCs/>
          <w:noProof/>
          <w:sz w:val="24"/>
          <w:szCs w:val="24"/>
        </w:rPr>
        <w:t>en</w:t>
      </w:r>
      <w:r w:rsidRPr="001543C1">
        <w:rPr>
          <w:b/>
          <w:bCs/>
          <w:noProof/>
          <w:sz w:val="24"/>
          <w:szCs w:val="24"/>
        </w:rPr>
        <w:t xml:space="preserve"> eller to gange, hvis nødvendigt.</w:t>
      </w:r>
    </w:p>
    <w:p w:rsidR="009F38F7" w:rsidRPr="001543C1" w:rsidRDefault="009F38F7" w:rsidP="00F82667">
      <w:pPr>
        <w:ind w:left="851"/>
        <w:rPr>
          <w:b/>
          <w:bCs/>
          <w:sz w:val="24"/>
          <w:szCs w:val="24"/>
        </w:rPr>
      </w:pPr>
    </w:p>
    <w:p w:rsidR="009F38F7" w:rsidRPr="001543C1" w:rsidRDefault="009F38F7" w:rsidP="00F82667">
      <w:pPr>
        <w:ind w:left="851"/>
        <w:rPr>
          <w:sz w:val="24"/>
          <w:szCs w:val="24"/>
          <w:u w:val="single"/>
        </w:rPr>
      </w:pPr>
      <w:r w:rsidRPr="001543C1">
        <w:rPr>
          <w:sz w:val="24"/>
          <w:szCs w:val="24"/>
          <w:u w:val="single"/>
        </w:rPr>
        <w:t>Behandlingsvarighed</w:t>
      </w:r>
    </w:p>
    <w:p w:rsidR="009F38F7" w:rsidRPr="001543C1" w:rsidRDefault="009F38F7" w:rsidP="008D13BC">
      <w:pPr>
        <w:pStyle w:val="Listeafsnit"/>
        <w:numPr>
          <w:ilvl w:val="0"/>
          <w:numId w:val="8"/>
        </w:numPr>
        <w:ind w:left="1134" w:hanging="283"/>
        <w:rPr>
          <w:sz w:val="24"/>
          <w:szCs w:val="24"/>
        </w:rPr>
      </w:pPr>
      <w:r w:rsidRPr="001543C1">
        <w:rPr>
          <w:sz w:val="24"/>
          <w:szCs w:val="24"/>
        </w:rPr>
        <w:t xml:space="preserve">Gelen skal anvendes </w:t>
      </w:r>
      <w:r w:rsidR="001737A5">
        <w:rPr>
          <w:sz w:val="24"/>
          <w:szCs w:val="24"/>
        </w:rPr>
        <w:t>en</w:t>
      </w:r>
      <w:r w:rsidRPr="001543C1">
        <w:rPr>
          <w:sz w:val="24"/>
          <w:szCs w:val="24"/>
        </w:rPr>
        <w:t xml:space="preserve"> gang </w:t>
      </w:r>
      <w:r w:rsidR="001737A5">
        <w:rPr>
          <w:sz w:val="24"/>
          <w:szCs w:val="24"/>
        </w:rPr>
        <w:t>daglig</w:t>
      </w:r>
      <w:r w:rsidRPr="001543C1">
        <w:rPr>
          <w:sz w:val="24"/>
          <w:szCs w:val="24"/>
        </w:rPr>
        <w:t>. Det kan være mere praktisk at anvende gelen om aftenen.</w:t>
      </w:r>
    </w:p>
    <w:p w:rsidR="009F38F7" w:rsidRPr="001543C1" w:rsidRDefault="009F38F7" w:rsidP="008D13BC">
      <w:pPr>
        <w:pStyle w:val="Listeafsnit"/>
        <w:numPr>
          <w:ilvl w:val="0"/>
          <w:numId w:val="8"/>
        </w:numPr>
        <w:ind w:left="1134" w:hanging="283"/>
        <w:rPr>
          <w:sz w:val="24"/>
          <w:szCs w:val="24"/>
        </w:rPr>
      </w:pPr>
      <w:r w:rsidRPr="001543C1">
        <w:rPr>
          <w:sz w:val="24"/>
          <w:szCs w:val="24"/>
        </w:rPr>
        <w:t>Den sædvanlige behandlingsvarighed er 4 uger for hovedbundsområder og 8 uger for områder udenfor hovedbunden.</w:t>
      </w:r>
    </w:p>
    <w:p w:rsidR="009F38F7" w:rsidRPr="001543C1" w:rsidRDefault="009F38F7" w:rsidP="008D13BC">
      <w:pPr>
        <w:pStyle w:val="Listeafsnit"/>
        <w:numPr>
          <w:ilvl w:val="0"/>
          <w:numId w:val="8"/>
        </w:numPr>
        <w:ind w:left="1134" w:hanging="283"/>
        <w:rPr>
          <w:sz w:val="24"/>
          <w:szCs w:val="24"/>
        </w:rPr>
      </w:pPr>
      <w:r w:rsidRPr="001543C1">
        <w:rPr>
          <w:sz w:val="24"/>
          <w:szCs w:val="24"/>
        </w:rPr>
        <w:t>Lægen kan beslutte en anden behandlingsvarighed.</w:t>
      </w:r>
    </w:p>
    <w:p w:rsidR="009F38F7" w:rsidRPr="001543C1" w:rsidRDefault="009F38F7" w:rsidP="008D13BC">
      <w:pPr>
        <w:pStyle w:val="Listeafsnit"/>
        <w:numPr>
          <w:ilvl w:val="0"/>
          <w:numId w:val="8"/>
        </w:numPr>
        <w:ind w:left="1134" w:hanging="283"/>
        <w:rPr>
          <w:sz w:val="24"/>
          <w:szCs w:val="24"/>
        </w:rPr>
      </w:pPr>
      <w:r w:rsidRPr="001543C1">
        <w:rPr>
          <w:sz w:val="24"/>
          <w:szCs w:val="24"/>
        </w:rPr>
        <w:t>Lægen kan beslutte at gentage behandlingen.</w:t>
      </w:r>
    </w:p>
    <w:p w:rsidR="009F38F7" w:rsidRPr="001543C1" w:rsidRDefault="009F38F7" w:rsidP="008D13BC">
      <w:pPr>
        <w:pStyle w:val="Listeafsnit"/>
        <w:numPr>
          <w:ilvl w:val="0"/>
          <w:numId w:val="8"/>
        </w:numPr>
        <w:ind w:left="1134" w:hanging="283"/>
        <w:rPr>
          <w:sz w:val="24"/>
          <w:szCs w:val="24"/>
        </w:rPr>
      </w:pPr>
      <w:r w:rsidRPr="001543C1">
        <w:rPr>
          <w:sz w:val="24"/>
          <w:szCs w:val="24"/>
        </w:rPr>
        <w:t>Der bør ikke bruges mere end 15 gram på en dag.</w:t>
      </w:r>
    </w:p>
    <w:p w:rsidR="009F38F7" w:rsidRPr="001543C1" w:rsidRDefault="009F38F7" w:rsidP="00F82667">
      <w:pPr>
        <w:ind w:left="851"/>
        <w:rPr>
          <w:sz w:val="24"/>
          <w:szCs w:val="24"/>
        </w:rPr>
      </w:pPr>
    </w:p>
    <w:p w:rsidR="009F38F7" w:rsidRPr="001543C1" w:rsidRDefault="009F38F7" w:rsidP="00F82667">
      <w:pPr>
        <w:suppressAutoHyphens/>
        <w:ind w:left="851"/>
        <w:rPr>
          <w:noProof/>
          <w:sz w:val="24"/>
          <w:szCs w:val="24"/>
        </w:rPr>
      </w:pPr>
      <w:r w:rsidRPr="001543C1">
        <w:rPr>
          <w:noProof/>
          <w:sz w:val="24"/>
          <w:szCs w:val="24"/>
        </w:rPr>
        <w:t>Hvis der anvendes andre lægemidler, der indeholder calcipotriol, må den totale mængde af lægemidler, der indeholder calcipotriol, ikke overstige 15 g om dagen, og hele det behandlede område må ikke overstige 30</w:t>
      </w:r>
      <w:r w:rsidR="00465611">
        <w:rPr>
          <w:noProof/>
          <w:sz w:val="24"/>
          <w:szCs w:val="24"/>
        </w:rPr>
        <w:t xml:space="preserve"> %</w:t>
      </w:r>
      <w:r w:rsidRPr="001543C1">
        <w:rPr>
          <w:noProof/>
          <w:sz w:val="24"/>
          <w:szCs w:val="24"/>
        </w:rPr>
        <w:t xml:space="preserve"> af kroppens samlede overflade.</w:t>
      </w:r>
    </w:p>
    <w:p w:rsidR="009260DE" w:rsidRPr="001543C1" w:rsidRDefault="009260DE" w:rsidP="00F8266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22D92" w:rsidRPr="00122D92" w:rsidRDefault="00122D92" w:rsidP="00122D92">
      <w:pPr>
        <w:tabs>
          <w:tab w:val="left" w:pos="851"/>
        </w:tabs>
        <w:ind w:left="851"/>
        <w:rPr>
          <w:sz w:val="24"/>
          <w:szCs w:val="24"/>
        </w:rPr>
      </w:pPr>
      <w:r w:rsidRPr="00122D92">
        <w:rPr>
          <w:sz w:val="24"/>
          <w:szCs w:val="24"/>
        </w:rPr>
        <w:t>Overfølsomhed over for de aktive stoffer eller over for et eller flere af hjælpestofferne anført i pkt. 6.1.</w:t>
      </w:r>
    </w:p>
    <w:p w:rsidR="00122D92" w:rsidRPr="00122D92" w:rsidRDefault="00122D92" w:rsidP="00122D92">
      <w:pPr>
        <w:tabs>
          <w:tab w:val="left" w:pos="851"/>
        </w:tabs>
        <w:ind w:left="851"/>
        <w:rPr>
          <w:sz w:val="24"/>
          <w:szCs w:val="24"/>
        </w:rPr>
      </w:pPr>
    </w:p>
    <w:p w:rsidR="00122D92" w:rsidRPr="00122D92" w:rsidRDefault="00122D92" w:rsidP="00122D92">
      <w:pPr>
        <w:tabs>
          <w:tab w:val="left" w:pos="851"/>
        </w:tabs>
        <w:ind w:left="851"/>
        <w:rPr>
          <w:sz w:val="24"/>
          <w:szCs w:val="24"/>
        </w:rPr>
      </w:pPr>
      <w:r w:rsidRPr="00122D92">
        <w:rPr>
          <w:sz w:val="24"/>
          <w:szCs w:val="24"/>
        </w:rPr>
        <w:t>Calcipotriol/Betamethasone "Aristo" er kontraindiceret ved erytrodermisk, eksfoliativ og pustuløs psoriasis.</w:t>
      </w:r>
    </w:p>
    <w:p w:rsidR="00122D92" w:rsidRPr="00122D92" w:rsidRDefault="00122D92" w:rsidP="00122D92">
      <w:pPr>
        <w:tabs>
          <w:tab w:val="left" w:pos="851"/>
        </w:tabs>
        <w:ind w:left="851"/>
        <w:rPr>
          <w:sz w:val="24"/>
          <w:szCs w:val="24"/>
        </w:rPr>
      </w:pPr>
    </w:p>
    <w:p w:rsidR="00122D92" w:rsidRPr="00122D92" w:rsidRDefault="00122D92" w:rsidP="00122D92">
      <w:pPr>
        <w:tabs>
          <w:tab w:val="left" w:pos="851"/>
        </w:tabs>
        <w:ind w:left="851"/>
        <w:rPr>
          <w:sz w:val="24"/>
          <w:szCs w:val="24"/>
        </w:rPr>
      </w:pPr>
      <w:r w:rsidRPr="00122D92">
        <w:rPr>
          <w:sz w:val="24"/>
          <w:szCs w:val="24"/>
        </w:rPr>
        <w:t>På grund af indholdet af calcipotriol er Calcipotriol/Betamethasone "Aristo" kontraindiceret hos patienter med kendte forstyrrelser i calciumstofskiftet (se pkt. 4.4).</w:t>
      </w:r>
    </w:p>
    <w:p w:rsidR="00122D92" w:rsidRPr="00122D92" w:rsidRDefault="00122D92" w:rsidP="00122D92">
      <w:pPr>
        <w:tabs>
          <w:tab w:val="left" w:pos="851"/>
        </w:tabs>
        <w:ind w:left="851"/>
        <w:rPr>
          <w:sz w:val="24"/>
          <w:szCs w:val="24"/>
        </w:rPr>
      </w:pPr>
    </w:p>
    <w:p w:rsidR="00122D92" w:rsidRPr="00122D92" w:rsidRDefault="00122D92" w:rsidP="00122D92">
      <w:pPr>
        <w:tabs>
          <w:tab w:val="left" w:pos="851"/>
        </w:tabs>
        <w:ind w:left="851"/>
        <w:rPr>
          <w:sz w:val="24"/>
          <w:szCs w:val="24"/>
        </w:rPr>
      </w:pPr>
      <w:r w:rsidRPr="00122D92">
        <w:rPr>
          <w:sz w:val="24"/>
          <w:szCs w:val="24"/>
        </w:rPr>
        <w:t>På grund af indholdet af kortikosteroid er Calcipotriol/Betamethasone "Aristo"</w:t>
      </w:r>
      <w:r w:rsidRPr="00122D92">
        <w:rPr>
          <w:sz w:val="24"/>
          <w:szCs w:val="24"/>
          <w:u w:val="single"/>
        </w:rPr>
        <w:t xml:space="preserve"> </w:t>
      </w:r>
      <w:r w:rsidRPr="00122D92">
        <w:rPr>
          <w:sz w:val="24"/>
          <w:szCs w:val="24"/>
        </w:rPr>
        <w:t>kontraindiceret ved følgende lidelser: Læsioner i huden forårsaget af virus (f.eks. herpes eller varicella), svampe- eller bakterieinfektioner i huden, infektioner forårsaget af parasitter, hudsygdomme relateret til tuberkulose eller syfilis, perioral dermatitis, hudatrofi, striae atrophicae, skørhed i hudens kar, ichthyosis, acne vulgaris, acne rosacea, rosacea, ulcerationer og sår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Virkning på det endokrine system</w:t>
      </w:r>
    </w:p>
    <w:p w:rsidR="00356100" w:rsidRPr="00356100" w:rsidRDefault="00356100" w:rsidP="00356100">
      <w:pPr>
        <w:tabs>
          <w:tab w:val="left" w:pos="851"/>
        </w:tabs>
        <w:ind w:left="851"/>
        <w:rPr>
          <w:sz w:val="24"/>
          <w:szCs w:val="24"/>
        </w:rPr>
      </w:pPr>
      <w:r w:rsidRPr="00356100">
        <w:rPr>
          <w:sz w:val="24"/>
          <w:szCs w:val="24"/>
        </w:rPr>
        <w:t xml:space="preserve">Calcipotriol/Betamethasone "Aristo" indeholder et stærkt virkende gruppe III-steroid, og samtidig behandling med andre steroider skal undgås. Bivirkninger, der ses i forbindelse med systemisk kortikosteroidbehandling, f.eks. adrenokortikal suppression eller påvirkning af den metaboliske kontrol af diabetes mellitus, kan også opstå ved topikal kortikosteroidbehandling på grund af systemisk absorption. </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rPr>
        <w:t>Anvendelse under okklusionsbandager bør undgås, da det forøger den systemiske absorption af kortikosteroider. Anvendelse på store områder med beskadiget hud, på slimhinder eller i hudfolder bør undgås, da det forøger den systemiske absorption af kortikosteroider (se pkt. 4.8).</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rPr>
        <w:t>I et studie med patienter med udbredt psoriasis både i hårbunden og på kroppen, hvor der blev anvendt en kombination af høje doser af calcipotriol</w:t>
      </w:r>
      <w:r w:rsidR="00AE1334">
        <w:rPr>
          <w:sz w:val="24"/>
          <w:szCs w:val="24"/>
        </w:rPr>
        <w:t>+</w:t>
      </w:r>
      <w:r w:rsidRPr="00356100">
        <w:rPr>
          <w:sz w:val="24"/>
          <w:szCs w:val="24"/>
        </w:rPr>
        <w:t>betamethason 50 mikrogram/g</w:t>
      </w:r>
      <w:r w:rsidR="00AE1334">
        <w:rPr>
          <w:sz w:val="24"/>
          <w:szCs w:val="24"/>
        </w:rPr>
        <w:t>+</w:t>
      </w:r>
      <w:r w:rsidRPr="00356100">
        <w:rPr>
          <w:sz w:val="24"/>
          <w:szCs w:val="24"/>
        </w:rPr>
        <w:t>0,5 mg/g kombinationsgel (påsmøring i hårbunden) og høje doser af calcipotriol</w:t>
      </w:r>
      <w:r w:rsidR="00AE1334">
        <w:rPr>
          <w:sz w:val="24"/>
          <w:szCs w:val="24"/>
        </w:rPr>
        <w:t>+</w:t>
      </w:r>
      <w:r w:rsidRPr="00356100">
        <w:rPr>
          <w:sz w:val="24"/>
          <w:szCs w:val="24"/>
        </w:rPr>
        <w:t>betamethason 50 mikrogram/g</w:t>
      </w:r>
      <w:r w:rsidR="00AE1334">
        <w:rPr>
          <w:sz w:val="24"/>
          <w:szCs w:val="24"/>
        </w:rPr>
        <w:t>+</w:t>
      </w:r>
      <w:r w:rsidRPr="00356100">
        <w:rPr>
          <w:sz w:val="24"/>
          <w:szCs w:val="24"/>
        </w:rPr>
        <w:t>0,5 mg/g kombinationssalve (påsmøring på kroppen), viste 5 ud af 32 patienter efter 4 ugers behandling et marginalt nedsat kortisolrespons efter eksponering for adrenokortikotropt hormon (ACTH) (se pkt. 5.1).</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u w:val="single"/>
        </w:rPr>
      </w:pPr>
      <w:r w:rsidRPr="00356100">
        <w:rPr>
          <w:sz w:val="24"/>
          <w:szCs w:val="24"/>
          <w:u w:val="single"/>
        </w:rPr>
        <w:t>Synsforstyrrelser</w:t>
      </w:r>
    </w:p>
    <w:p w:rsidR="00356100" w:rsidRPr="00356100" w:rsidRDefault="00356100" w:rsidP="00356100">
      <w:pPr>
        <w:tabs>
          <w:tab w:val="left" w:pos="851"/>
        </w:tabs>
        <w:ind w:left="851"/>
        <w:rPr>
          <w:sz w:val="24"/>
          <w:szCs w:val="24"/>
        </w:rPr>
      </w:pPr>
      <w:r w:rsidRPr="00356100">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katarakt, glaukom eller sjældne sygdomme såsom central serøs korioretinopati (CSCR), som er indberettet efter brug af systemiske og topikale kortikosteroider.</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Virkning på calciummetabolismen</w:t>
      </w:r>
    </w:p>
    <w:p w:rsidR="00356100" w:rsidRPr="00356100" w:rsidRDefault="00356100" w:rsidP="00356100">
      <w:pPr>
        <w:tabs>
          <w:tab w:val="left" w:pos="851"/>
        </w:tabs>
        <w:ind w:left="851"/>
        <w:rPr>
          <w:sz w:val="24"/>
          <w:szCs w:val="24"/>
        </w:rPr>
      </w:pPr>
      <w:r w:rsidRPr="00356100">
        <w:rPr>
          <w:sz w:val="24"/>
          <w:szCs w:val="24"/>
        </w:rPr>
        <w:t>På grund af calcipotriolindholdet kan der forekomme hyperkalcæmi, hvis den maksimale daglige dosis (15 g) overskrides. Serum-calcium normaliseres dog hurtigt, når behandlingen seponeres. Risikoen for hyperkalcæmi er minimal, når anbefalingerne vedrørende calcipotriol overholdes.</w:t>
      </w:r>
    </w:p>
    <w:p w:rsidR="00356100" w:rsidRPr="00356100" w:rsidRDefault="00356100" w:rsidP="00356100">
      <w:pPr>
        <w:tabs>
          <w:tab w:val="left" w:pos="851"/>
        </w:tabs>
        <w:ind w:left="851"/>
        <w:rPr>
          <w:sz w:val="24"/>
          <w:szCs w:val="24"/>
        </w:rPr>
      </w:pPr>
      <w:r w:rsidRPr="00356100">
        <w:rPr>
          <w:sz w:val="24"/>
          <w:szCs w:val="24"/>
        </w:rPr>
        <w:t>Behandling af mere end 30</w:t>
      </w:r>
      <w:r w:rsidR="00465611">
        <w:rPr>
          <w:sz w:val="24"/>
          <w:szCs w:val="24"/>
        </w:rPr>
        <w:t xml:space="preserve"> %</w:t>
      </w:r>
      <w:r w:rsidRPr="00356100">
        <w:rPr>
          <w:sz w:val="24"/>
          <w:szCs w:val="24"/>
        </w:rPr>
        <w:t xml:space="preserve"> af kroppens overflade bør undgås (se pkt. 4.2).</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u w:val="single"/>
        </w:rPr>
      </w:pPr>
      <w:r w:rsidRPr="00356100">
        <w:rPr>
          <w:sz w:val="24"/>
          <w:szCs w:val="24"/>
          <w:u w:val="single"/>
        </w:rPr>
        <w:t>Lokale bivirkninger</w:t>
      </w:r>
    </w:p>
    <w:p w:rsidR="00356100" w:rsidRPr="00356100" w:rsidRDefault="00356100" w:rsidP="00356100">
      <w:pPr>
        <w:tabs>
          <w:tab w:val="left" w:pos="851"/>
        </w:tabs>
        <w:ind w:left="851"/>
        <w:rPr>
          <w:sz w:val="24"/>
          <w:szCs w:val="24"/>
        </w:rPr>
      </w:pPr>
      <w:r w:rsidRPr="00356100">
        <w:rPr>
          <w:sz w:val="24"/>
          <w:szCs w:val="24"/>
        </w:rPr>
        <w:t>Calcipotriol/Betamethasone "Aristo" indeholder et stærkt virkende gruppe III-steroid, og samtidig behandling med andre steroider på samme behandlingsområde skal undgås.</w:t>
      </w:r>
    </w:p>
    <w:p w:rsidR="00356100" w:rsidRPr="00356100" w:rsidRDefault="00356100" w:rsidP="00356100">
      <w:pPr>
        <w:tabs>
          <w:tab w:val="left" w:pos="851"/>
        </w:tabs>
        <w:ind w:left="851"/>
        <w:rPr>
          <w:sz w:val="24"/>
          <w:szCs w:val="24"/>
        </w:rPr>
      </w:pPr>
      <w:r w:rsidRPr="00356100">
        <w:rPr>
          <w:sz w:val="24"/>
          <w:szCs w:val="24"/>
        </w:rPr>
        <w:t>Ansigts- og genitalhud er meget følsom over for kortikosteroider. Disse områder bør ikke behandles med dette lægemiddel.</w:t>
      </w:r>
    </w:p>
    <w:p w:rsidR="00356100" w:rsidRPr="00356100" w:rsidRDefault="00356100" w:rsidP="00356100">
      <w:pPr>
        <w:tabs>
          <w:tab w:val="left" w:pos="851"/>
        </w:tabs>
        <w:ind w:left="851"/>
        <w:rPr>
          <w:sz w:val="24"/>
          <w:szCs w:val="24"/>
        </w:rPr>
      </w:pPr>
      <w:r w:rsidRPr="00356100">
        <w:rPr>
          <w:sz w:val="24"/>
          <w:szCs w:val="24"/>
        </w:rPr>
        <w:t>Patienten skal instrueres i korrekt brug af lægemidlet for at undgå applikation i og utilsigtet overførsel til ansigt, mund og øjne. Hænderne skal vaskes efter hver påsmøring for at undgå utilsigtet påføring i disse områder.</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Samtidige hudinfektioner</w:t>
      </w:r>
    </w:p>
    <w:p w:rsidR="00356100" w:rsidRPr="00356100" w:rsidRDefault="00356100" w:rsidP="00356100">
      <w:pPr>
        <w:tabs>
          <w:tab w:val="left" w:pos="851"/>
        </w:tabs>
        <w:ind w:left="851"/>
        <w:rPr>
          <w:sz w:val="24"/>
          <w:szCs w:val="24"/>
        </w:rPr>
      </w:pPr>
      <w:r w:rsidRPr="00356100">
        <w:rPr>
          <w:sz w:val="24"/>
          <w:szCs w:val="24"/>
        </w:rPr>
        <w:t>Hvis læsioner inficeres sekundært, skal de behandles med antimikrobielle midler. Hvis infektionen forværres, skal behandling med kortikosteroider stoppes (se pkt. 4.3).</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Behandlingsophør</w:t>
      </w:r>
    </w:p>
    <w:p w:rsidR="00356100" w:rsidRPr="00356100" w:rsidRDefault="00356100" w:rsidP="00356100">
      <w:pPr>
        <w:tabs>
          <w:tab w:val="left" w:pos="851"/>
        </w:tabs>
        <w:ind w:left="851"/>
        <w:rPr>
          <w:sz w:val="24"/>
          <w:szCs w:val="24"/>
        </w:rPr>
      </w:pPr>
      <w:r w:rsidRPr="00356100">
        <w:rPr>
          <w:sz w:val="24"/>
          <w:szCs w:val="24"/>
        </w:rPr>
        <w:t>Ved behandling af psoriasis med topikale kortikosteroider kan der være risiko for generaliseret pustuløs psoriasis eller rebound effekt ved behandlingsophør. Lægen bør derfor følge patienten i en periode efter behandlingsophør.</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Langtidsbehandling</w:t>
      </w:r>
    </w:p>
    <w:p w:rsidR="00356100" w:rsidRPr="00356100" w:rsidRDefault="00356100" w:rsidP="00356100">
      <w:pPr>
        <w:tabs>
          <w:tab w:val="left" w:pos="851"/>
        </w:tabs>
        <w:ind w:left="851"/>
        <w:rPr>
          <w:sz w:val="24"/>
          <w:szCs w:val="24"/>
        </w:rPr>
      </w:pPr>
      <w:r w:rsidRPr="00356100">
        <w:rPr>
          <w:sz w:val="24"/>
          <w:szCs w:val="24"/>
        </w:rPr>
        <w:t>Ved langtidsbehandling er der en øget risiko for lokale og systemiske kortikosteroidbivirkninger. Behandlingen bør seponeres, hvis der opstår bivirkninger i forbindelse med langtidsbehandling med kortikosteroider (se pkt. 4.8).</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Ikke-evalueret brug</w:t>
      </w:r>
    </w:p>
    <w:p w:rsidR="00356100" w:rsidRPr="00356100" w:rsidRDefault="00356100" w:rsidP="00356100">
      <w:pPr>
        <w:tabs>
          <w:tab w:val="left" w:pos="851"/>
        </w:tabs>
        <w:ind w:left="851"/>
        <w:rPr>
          <w:sz w:val="24"/>
          <w:szCs w:val="24"/>
        </w:rPr>
      </w:pPr>
      <w:r w:rsidRPr="00356100">
        <w:rPr>
          <w:sz w:val="24"/>
          <w:szCs w:val="24"/>
        </w:rPr>
        <w:t>Der er ingen erfaring med brug af Calcipotriol/Betamethasone "Aristo" gel ved guttat psoriasis.</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Samtidig behandling og UV-bestråling</w:t>
      </w:r>
    </w:p>
    <w:p w:rsidR="00356100" w:rsidRPr="00356100" w:rsidRDefault="00356100" w:rsidP="00356100">
      <w:pPr>
        <w:tabs>
          <w:tab w:val="left" w:pos="851"/>
        </w:tabs>
        <w:ind w:left="851"/>
        <w:rPr>
          <w:sz w:val="24"/>
          <w:szCs w:val="24"/>
        </w:rPr>
      </w:pPr>
      <w:r w:rsidRPr="00356100">
        <w:rPr>
          <w:sz w:val="24"/>
          <w:szCs w:val="24"/>
        </w:rPr>
        <w:t>Calcipotriol</w:t>
      </w:r>
      <w:r w:rsidR="00AE1334">
        <w:rPr>
          <w:sz w:val="24"/>
          <w:szCs w:val="24"/>
        </w:rPr>
        <w:t>+</w:t>
      </w:r>
      <w:r w:rsidRPr="00356100">
        <w:rPr>
          <w:sz w:val="24"/>
          <w:szCs w:val="24"/>
        </w:rPr>
        <w:t>betamethason 50 mikrogram/g</w:t>
      </w:r>
      <w:r w:rsidR="00AE1334">
        <w:rPr>
          <w:sz w:val="24"/>
          <w:szCs w:val="24"/>
        </w:rPr>
        <w:t>+</w:t>
      </w:r>
      <w:r w:rsidRPr="00356100">
        <w:rPr>
          <w:sz w:val="24"/>
          <w:szCs w:val="24"/>
        </w:rPr>
        <w:t>0,5 mg/g kombinationssalve til behandling af psoriasis på kroppen er blevet anvendt i kombination med calcipotriol</w:t>
      </w:r>
      <w:r w:rsidR="00AE1334">
        <w:rPr>
          <w:sz w:val="24"/>
          <w:szCs w:val="24"/>
        </w:rPr>
        <w:t>+</w:t>
      </w:r>
      <w:r w:rsidRPr="00356100">
        <w:rPr>
          <w:sz w:val="24"/>
          <w:szCs w:val="24"/>
        </w:rPr>
        <w:t>betamethason 50 mikrogram/g</w:t>
      </w:r>
      <w:r w:rsidR="00AE1334">
        <w:rPr>
          <w:sz w:val="24"/>
          <w:szCs w:val="24"/>
        </w:rPr>
        <w:t>+</w:t>
      </w:r>
      <w:r w:rsidRPr="00356100">
        <w:rPr>
          <w:sz w:val="24"/>
          <w:szCs w:val="24"/>
        </w:rPr>
        <w:t>0,5 mg/g kombinationsgel til behandling af psoriasis i hårbunden. Der er begrænset erfaring med kombination af calcipotriol</w:t>
      </w:r>
      <w:r w:rsidR="00AE1334">
        <w:rPr>
          <w:sz w:val="24"/>
          <w:szCs w:val="24"/>
        </w:rPr>
        <w:t>+</w:t>
      </w:r>
      <w:r w:rsidRPr="00356100">
        <w:rPr>
          <w:sz w:val="24"/>
          <w:szCs w:val="24"/>
        </w:rPr>
        <w:t>betamethason 50 mikrogram/g</w:t>
      </w:r>
      <w:r w:rsidR="00AE1334">
        <w:rPr>
          <w:sz w:val="24"/>
          <w:szCs w:val="24"/>
        </w:rPr>
        <w:t>+</w:t>
      </w:r>
      <w:r w:rsidRPr="00356100">
        <w:rPr>
          <w:sz w:val="24"/>
          <w:szCs w:val="24"/>
        </w:rPr>
        <w:t>0,5 mg/g kombinationsgel og andre topikale præparater mod psoriasis på samme behandlingsområde, samtidig med brug af systemiske lægemidler mod psoriasis eller med lysbehandling.</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rPr>
        <w:t>Mens patienten er i behandling med Calcipotriol/Betamethasone "Aristo" anbefales det, at lægen råder patienten til at begrænse eller undgå overdreven udsættelse for naturligt eller kunstigt sollys. Topikal calcipotriol må kun bruges med UV-bestråling, hvis lægen og patienten vurderer, at de potentielle fordele opvejer de potentielle risici (se pkt. 5.3).</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u w:val="single"/>
        </w:rPr>
        <w:t>Bivirkninger, forårsaget af hjælpestoffer</w:t>
      </w:r>
    </w:p>
    <w:p w:rsidR="00356100" w:rsidRPr="00356100" w:rsidRDefault="00356100" w:rsidP="00356100">
      <w:pPr>
        <w:tabs>
          <w:tab w:val="left" w:pos="851"/>
        </w:tabs>
        <w:ind w:left="851"/>
        <w:rPr>
          <w:sz w:val="24"/>
          <w:szCs w:val="24"/>
        </w:rPr>
      </w:pPr>
      <w:r w:rsidRPr="00356100">
        <w:rPr>
          <w:sz w:val="24"/>
          <w:szCs w:val="24"/>
        </w:rPr>
        <w:t>Calcipotriol/Betamethasone "Aristo" indeholder butylhydroxytoluen (E321) som et hjælpestof, og det kan give lokalt hududslæt (f.eks. kontaktdermatitis) og irritation af øjne og slimhinder.</w:t>
      </w:r>
    </w:p>
    <w:p w:rsidR="00356100" w:rsidRPr="00356100" w:rsidRDefault="00356100" w:rsidP="00356100">
      <w:pPr>
        <w:tabs>
          <w:tab w:val="left" w:pos="851"/>
        </w:tabs>
        <w:ind w:left="851"/>
        <w:rPr>
          <w:sz w:val="24"/>
          <w:szCs w:val="24"/>
        </w:rPr>
      </w:pPr>
    </w:p>
    <w:p w:rsidR="00356100" w:rsidRPr="00356100" w:rsidRDefault="00356100" w:rsidP="00356100">
      <w:pPr>
        <w:tabs>
          <w:tab w:val="left" w:pos="851"/>
        </w:tabs>
        <w:ind w:left="851"/>
        <w:rPr>
          <w:sz w:val="24"/>
          <w:szCs w:val="24"/>
        </w:rPr>
      </w:pPr>
      <w:r w:rsidRPr="00356100">
        <w:rPr>
          <w:sz w:val="24"/>
          <w:szCs w:val="24"/>
        </w:rPr>
        <w:t xml:space="preserve">Calcipotriol/Betamethasone "Aristo" indeholder ricinusolie, hydrogeneret </w:t>
      </w:r>
      <w:r w:rsidR="00AE1334">
        <w:rPr>
          <w:sz w:val="24"/>
          <w:szCs w:val="24"/>
        </w:rPr>
        <w:t>so</w:t>
      </w:r>
      <w:r w:rsidRPr="00356100">
        <w:rPr>
          <w:sz w:val="24"/>
          <w:szCs w:val="24"/>
        </w:rPr>
        <w:t xml:space="preserve">m hjælpestof, </w:t>
      </w:r>
      <w:r w:rsidR="00AE1334">
        <w:rPr>
          <w:sz w:val="24"/>
          <w:szCs w:val="24"/>
        </w:rPr>
        <w:t>der</w:t>
      </w:r>
      <w:r w:rsidRPr="00356100">
        <w:rPr>
          <w:sz w:val="24"/>
          <w:szCs w:val="24"/>
        </w:rPr>
        <w:t xml:space="preserve"> kan medføre hudreaktioner.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11291" w:rsidRPr="00911291" w:rsidRDefault="00911291" w:rsidP="00911291">
      <w:pPr>
        <w:tabs>
          <w:tab w:val="left" w:pos="851"/>
        </w:tabs>
        <w:ind w:left="851"/>
        <w:rPr>
          <w:sz w:val="24"/>
          <w:szCs w:val="24"/>
        </w:rPr>
      </w:pPr>
      <w:r w:rsidRPr="00911291">
        <w:rPr>
          <w:sz w:val="24"/>
          <w:szCs w:val="24"/>
        </w:rPr>
        <w:t>Der er ikke udført interaktionsstudier med Calcipotriol/Betamethasone "Aristo".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F42EB" w:rsidRPr="00EF42EB" w:rsidRDefault="00EF42EB" w:rsidP="00EF42EB">
      <w:pPr>
        <w:tabs>
          <w:tab w:val="left" w:pos="851"/>
        </w:tabs>
        <w:ind w:left="851"/>
        <w:rPr>
          <w:i/>
          <w:sz w:val="24"/>
          <w:szCs w:val="24"/>
        </w:rPr>
      </w:pPr>
    </w:p>
    <w:p w:rsidR="00EF42EB" w:rsidRPr="00EF42EB" w:rsidRDefault="00EF42EB" w:rsidP="00EF42EB">
      <w:pPr>
        <w:tabs>
          <w:tab w:val="left" w:pos="851"/>
        </w:tabs>
        <w:ind w:left="851"/>
        <w:rPr>
          <w:sz w:val="24"/>
          <w:szCs w:val="24"/>
        </w:rPr>
      </w:pPr>
      <w:r w:rsidRPr="00EF42EB">
        <w:rPr>
          <w:sz w:val="24"/>
          <w:szCs w:val="24"/>
          <w:u w:val="single"/>
        </w:rPr>
        <w:t>Graviditet</w:t>
      </w:r>
    </w:p>
    <w:p w:rsidR="00EF42EB" w:rsidRPr="00EF42EB" w:rsidRDefault="00EF42EB" w:rsidP="00EF42EB">
      <w:pPr>
        <w:tabs>
          <w:tab w:val="left" w:pos="851"/>
        </w:tabs>
        <w:ind w:left="851"/>
        <w:rPr>
          <w:sz w:val="24"/>
          <w:szCs w:val="24"/>
        </w:rPr>
      </w:pPr>
      <w:r w:rsidRPr="00EF42EB">
        <w:rPr>
          <w:sz w:val="24"/>
          <w:szCs w:val="24"/>
        </w:rPr>
        <w:t>Der er utilstrækkelige data fra anvendelse af calcipotriol+betamethason 50 mikrogram/g+0,5 mg/g kombinationsgel til gravide kvinder. Dyrestudier med glukokortikoider har vist reproduktionstoksicitet (se pkt. 5.3), men en række epidemiologiske undersøgelser har ikke vist medfødte anormaliteter hos børn født af kvinder behandlet med kortikosteroider under graviditeten. Den potentielle risiko for mennesker er usikker. Derfor bør Calcipotriol/Betamethasone "Aristo" gel kun anvendes under graviditet, når den potentielle fordel retfærdiggør den potentielle risiko.</w:t>
      </w:r>
    </w:p>
    <w:p w:rsidR="00EF42EB" w:rsidRPr="00EF42EB" w:rsidRDefault="00EF42EB" w:rsidP="00EF42EB">
      <w:pPr>
        <w:tabs>
          <w:tab w:val="left" w:pos="851"/>
        </w:tabs>
        <w:ind w:left="851"/>
        <w:rPr>
          <w:sz w:val="24"/>
          <w:szCs w:val="24"/>
        </w:rPr>
      </w:pPr>
    </w:p>
    <w:p w:rsidR="00EF42EB" w:rsidRPr="00EF42EB" w:rsidRDefault="00EF42EB" w:rsidP="00EF42EB">
      <w:pPr>
        <w:tabs>
          <w:tab w:val="left" w:pos="851"/>
        </w:tabs>
        <w:ind w:left="851"/>
        <w:rPr>
          <w:sz w:val="24"/>
          <w:szCs w:val="24"/>
        </w:rPr>
      </w:pPr>
      <w:r w:rsidRPr="00EF42EB">
        <w:rPr>
          <w:sz w:val="24"/>
          <w:szCs w:val="24"/>
          <w:u w:val="single"/>
        </w:rPr>
        <w:t>Amning</w:t>
      </w:r>
    </w:p>
    <w:p w:rsidR="00EF42EB" w:rsidRPr="00EF42EB" w:rsidRDefault="00EF42EB" w:rsidP="00EF42EB">
      <w:pPr>
        <w:tabs>
          <w:tab w:val="left" w:pos="851"/>
        </w:tabs>
        <w:ind w:left="851"/>
        <w:rPr>
          <w:sz w:val="24"/>
          <w:szCs w:val="24"/>
        </w:rPr>
      </w:pPr>
      <w:r w:rsidRPr="00EF42EB">
        <w:rPr>
          <w:sz w:val="24"/>
          <w:szCs w:val="24"/>
        </w:rPr>
        <w:t>Betamethason udskilles i modermælk, men risiko for bivirkninger hos barnet synes usandsynlig ved terapeutiske doser. Der er ingen data for udskillelse af calcipotriol i modermælk. Forsigtighed bør udvises ved ordination af Calcipotriol/Betamethasone "Aristo" til kvinder, som ammer. Patienten bør informeres om ikke at bruge Calcipotriol/Betamethasone "Aristo" på brystet ved amning.</w:t>
      </w:r>
    </w:p>
    <w:p w:rsidR="00EF42EB" w:rsidRPr="00EF42EB" w:rsidRDefault="00EF42EB" w:rsidP="00EF42EB">
      <w:pPr>
        <w:tabs>
          <w:tab w:val="left" w:pos="851"/>
        </w:tabs>
        <w:ind w:left="851"/>
        <w:rPr>
          <w:sz w:val="24"/>
          <w:szCs w:val="24"/>
        </w:rPr>
      </w:pPr>
    </w:p>
    <w:p w:rsidR="00EF42EB" w:rsidRPr="00EF42EB" w:rsidRDefault="00EF42EB" w:rsidP="00EF42EB">
      <w:pPr>
        <w:tabs>
          <w:tab w:val="left" w:pos="851"/>
        </w:tabs>
        <w:ind w:left="851"/>
        <w:rPr>
          <w:sz w:val="24"/>
          <w:szCs w:val="24"/>
        </w:rPr>
      </w:pPr>
      <w:r w:rsidRPr="00EF42EB">
        <w:rPr>
          <w:sz w:val="24"/>
          <w:szCs w:val="24"/>
          <w:u w:val="single"/>
        </w:rPr>
        <w:t>Fertilitet</w:t>
      </w:r>
    </w:p>
    <w:p w:rsidR="00EF42EB" w:rsidRPr="00EF42EB" w:rsidRDefault="00EF42EB" w:rsidP="00EF42EB">
      <w:pPr>
        <w:tabs>
          <w:tab w:val="left" w:pos="851"/>
        </w:tabs>
        <w:ind w:left="851"/>
        <w:rPr>
          <w:sz w:val="24"/>
          <w:szCs w:val="24"/>
        </w:rPr>
      </w:pPr>
      <w:r w:rsidRPr="00EF42EB">
        <w:rPr>
          <w:sz w:val="24"/>
          <w:szCs w:val="24"/>
        </w:rPr>
        <w:t>Studier hos rotter med orale doser af calcipotriol eller betamethasondipropionat har ikke vist nedsat fertilitet hverken hos hanner eller hunner (se pkt. 5.3).</w:t>
      </w:r>
    </w:p>
    <w:p w:rsidR="00EF42EB" w:rsidRPr="00EF42EB" w:rsidRDefault="00EF42EB" w:rsidP="00EF42E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668D9" w:rsidRPr="008668D9" w:rsidRDefault="008668D9" w:rsidP="008668D9">
      <w:pPr>
        <w:tabs>
          <w:tab w:val="left" w:pos="851"/>
        </w:tabs>
        <w:ind w:left="851"/>
        <w:rPr>
          <w:sz w:val="24"/>
          <w:szCs w:val="24"/>
        </w:rPr>
      </w:pPr>
      <w:r w:rsidRPr="008668D9">
        <w:rPr>
          <w:sz w:val="24"/>
          <w:szCs w:val="24"/>
        </w:rPr>
        <w:t>Ikke mærkning.</w:t>
      </w:r>
    </w:p>
    <w:p w:rsidR="008668D9" w:rsidRPr="008668D9" w:rsidRDefault="008668D9" w:rsidP="008668D9">
      <w:pPr>
        <w:tabs>
          <w:tab w:val="left" w:pos="851"/>
        </w:tabs>
        <w:ind w:left="851"/>
        <w:rPr>
          <w:sz w:val="24"/>
          <w:szCs w:val="24"/>
        </w:rPr>
      </w:pPr>
      <w:r w:rsidRPr="008668D9">
        <w:rPr>
          <w:sz w:val="24"/>
          <w:szCs w:val="24"/>
        </w:rPr>
        <w:t>Calcipotriol/Betamethasone "Aristo" har ingen eller ubetydelig indflydelse på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Estimering af hyppigheden af bivirkninger er baseret på en samlet analyse af data fra kliniske studier inklusive sikkerhedsstudier efter markedsføring og spontan rapportering.</w:t>
      </w:r>
    </w:p>
    <w:p w:rsidR="008668D9" w:rsidRPr="008668D9" w:rsidRDefault="008668D9" w:rsidP="008668D9">
      <w:pPr>
        <w:pStyle w:val="Sidehoved"/>
        <w:tabs>
          <w:tab w:val="left" w:pos="851"/>
        </w:tabs>
        <w:ind w:left="851"/>
        <w:rPr>
          <w:szCs w:val="24"/>
        </w:rPr>
      </w:pPr>
      <w:r w:rsidRPr="008668D9">
        <w:rPr>
          <w:szCs w:val="24"/>
        </w:rPr>
        <w:t>Den hyppigst rapporterede bivirkning under behandlingen er kløe.</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Bivirkningerne er listet i systemorganklasser efter MedDRA, og de enkelte bivirkninger er listet efter hyppighed med den hyppigst rapporterede bivirkning først. Bivirkningerne inden for de enkelte frekvensgrupper er listet efter sværhedsgrad med den alvorligste bivirkning først.</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Meget almindelig (≥ 1/10)</w:t>
      </w:r>
    </w:p>
    <w:p w:rsidR="008668D9" w:rsidRPr="008668D9" w:rsidRDefault="008668D9" w:rsidP="008668D9">
      <w:pPr>
        <w:pStyle w:val="Sidehoved"/>
        <w:tabs>
          <w:tab w:val="left" w:pos="851"/>
        </w:tabs>
        <w:ind w:left="851"/>
        <w:rPr>
          <w:szCs w:val="24"/>
        </w:rPr>
      </w:pPr>
      <w:r w:rsidRPr="008668D9">
        <w:rPr>
          <w:szCs w:val="24"/>
        </w:rPr>
        <w:t>Almindelig (≥ 1/100 til &lt; 1/10)</w:t>
      </w:r>
    </w:p>
    <w:p w:rsidR="008668D9" w:rsidRPr="008668D9" w:rsidRDefault="008668D9" w:rsidP="008668D9">
      <w:pPr>
        <w:pStyle w:val="Sidehoved"/>
        <w:tabs>
          <w:tab w:val="left" w:pos="851"/>
        </w:tabs>
        <w:ind w:left="851"/>
        <w:rPr>
          <w:szCs w:val="24"/>
        </w:rPr>
      </w:pPr>
      <w:r w:rsidRPr="008668D9">
        <w:rPr>
          <w:szCs w:val="24"/>
        </w:rPr>
        <w:t>Ikke almindelig (≥ 1/1.000 til &lt; 1/100)</w:t>
      </w:r>
    </w:p>
    <w:p w:rsidR="008668D9" w:rsidRPr="008668D9" w:rsidRDefault="008668D9" w:rsidP="008668D9">
      <w:pPr>
        <w:pStyle w:val="Sidehoved"/>
        <w:tabs>
          <w:tab w:val="left" w:pos="851"/>
        </w:tabs>
        <w:ind w:left="851"/>
        <w:rPr>
          <w:szCs w:val="24"/>
        </w:rPr>
      </w:pPr>
      <w:r w:rsidRPr="008668D9">
        <w:rPr>
          <w:szCs w:val="24"/>
        </w:rPr>
        <w:t>Sjælden</w:t>
      </w:r>
      <w:r>
        <w:rPr>
          <w:szCs w:val="24"/>
        </w:rPr>
        <w:t xml:space="preserve"> </w:t>
      </w:r>
      <w:r w:rsidRPr="008668D9">
        <w:rPr>
          <w:szCs w:val="24"/>
        </w:rPr>
        <w:t>(≥ 1/10.000 til &lt; 1/1.000)</w:t>
      </w:r>
    </w:p>
    <w:p w:rsidR="008668D9" w:rsidRPr="008668D9" w:rsidRDefault="008668D9" w:rsidP="008668D9">
      <w:pPr>
        <w:pStyle w:val="Sidehoved"/>
        <w:tabs>
          <w:tab w:val="left" w:pos="851"/>
        </w:tabs>
        <w:ind w:left="851"/>
        <w:rPr>
          <w:szCs w:val="24"/>
        </w:rPr>
      </w:pPr>
      <w:r w:rsidRPr="008668D9">
        <w:rPr>
          <w:szCs w:val="24"/>
        </w:rPr>
        <w:t>Meget sjælden (&lt; 1/10.000)</w:t>
      </w:r>
    </w:p>
    <w:p w:rsidR="008668D9" w:rsidRPr="008668D9" w:rsidRDefault="008668D9" w:rsidP="008668D9">
      <w:pPr>
        <w:pStyle w:val="Sidehoved"/>
        <w:tabs>
          <w:tab w:val="left" w:pos="851"/>
        </w:tabs>
        <w:ind w:left="851"/>
        <w:rPr>
          <w:szCs w:val="24"/>
        </w:rPr>
      </w:pPr>
      <w:r w:rsidRPr="008668D9">
        <w:rPr>
          <w:szCs w:val="24"/>
        </w:rPr>
        <w:t>Ikke kendt (kan ikke estimeres ud fra de forhåndenværende data)</w:t>
      </w:r>
    </w:p>
    <w:p w:rsidR="008668D9" w:rsidRPr="008668D9" w:rsidRDefault="008668D9" w:rsidP="008668D9">
      <w:pPr>
        <w:pStyle w:val="Sidehoved"/>
        <w:tabs>
          <w:tab w:val="left" w:pos="851"/>
        </w:tabs>
        <w:ind w:left="851"/>
        <w:rPr>
          <w:szCs w:val="24"/>
        </w:rPr>
      </w:pPr>
    </w:p>
    <w:tbl>
      <w:tblPr>
        <w:tblW w:w="9055" w:type="dxa"/>
        <w:tblInd w:w="704" w:type="dxa"/>
        <w:tblLook w:val="04A0" w:firstRow="1" w:lastRow="0" w:firstColumn="1" w:lastColumn="0" w:noHBand="0" w:noVBand="1"/>
      </w:tblPr>
      <w:tblGrid>
        <w:gridCol w:w="4517"/>
        <w:gridCol w:w="4538"/>
      </w:tblGrid>
      <w:tr w:rsidR="008668D9" w:rsidRPr="008668D9" w:rsidTr="00F93594">
        <w:tc>
          <w:tcPr>
            <w:tcW w:w="9055" w:type="dxa"/>
            <w:gridSpan w:val="2"/>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b/>
                <w:bCs/>
                <w:szCs w:val="24"/>
                <w:lang w:val="en-US"/>
              </w:rPr>
            </w:pPr>
            <w:r w:rsidRPr="008668D9">
              <w:rPr>
                <w:b/>
                <w:bCs/>
                <w:szCs w:val="24"/>
                <w:lang w:val="en-US"/>
              </w:rPr>
              <w:t>Infektioner og parasitære sygdomme</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bookmarkStart w:id="2" w:name="_Hlk63070448"/>
            <w:r w:rsidRPr="008668D9">
              <w:rPr>
                <w:szCs w:val="24"/>
                <w:lang w:val="en-US"/>
              </w:rPr>
              <w:t>Ikke almindelig</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Hudinfektion*</w:t>
            </w:r>
          </w:p>
          <w:p w:rsidR="008668D9" w:rsidRPr="008668D9" w:rsidRDefault="008668D9" w:rsidP="00F93594">
            <w:pPr>
              <w:pStyle w:val="Sidehoved"/>
              <w:ind w:left="31"/>
              <w:rPr>
                <w:szCs w:val="24"/>
                <w:lang w:val="en-US"/>
              </w:rPr>
            </w:pPr>
            <w:r w:rsidRPr="008668D9">
              <w:rPr>
                <w:szCs w:val="24"/>
                <w:lang w:val="en-US"/>
              </w:rPr>
              <w:t>Folliculitis</w:t>
            </w:r>
          </w:p>
        </w:tc>
      </w:tr>
      <w:tr w:rsidR="008668D9" w:rsidRPr="008668D9" w:rsidTr="00F93594">
        <w:tc>
          <w:tcPr>
            <w:tcW w:w="9055" w:type="dxa"/>
            <w:gridSpan w:val="2"/>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b/>
                <w:bCs/>
                <w:szCs w:val="24"/>
                <w:lang w:val="en-US"/>
              </w:rPr>
            </w:pPr>
            <w:r w:rsidRPr="008668D9">
              <w:rPr>
                <w:b/>
                <w:bCs/>
                <w:szCs w:val="24"/>
                <w:lang w:val="en-US"/>
              </w:rPr>
              <w:t>Immunsystemet</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Sjælden</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Hypersensitivitet</w:t>
            </w:r>
          </w:p>
        </w:tc>
      </w:tr>
      <w:tr w:rsidR="008668D9" w:rsidRPr="008668D9" w:rsidTr="00F93594">
        <w:tc>
          <w:tcPr>
            <w:tcW w:w="9055" w:type="dxa"/>
            <w:gridSpan w:val="2"/>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b/>
                <w:bCs/>
                <w:szCs w:val="24"/>
                <w:lang w:val="en-US"/>
              </w:rPr>
            </w:pPr>
            <w:r w:rsidRPr="008668D9">
              <w:rPr>
                <w:b/>
                <w:bCs/>
                <w:szCs w:val="24"/>
                <w:lang w:val="en-US"/>
              </w:rPr>
              <w:t>Øjne</w:t>
            </w:r>
          </w:p>
        </w:tc>
        <w:bookmarkEnd w:id="2"/>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Ikke almindelig</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 xml:space="preserve">Irritation i øjnene </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Ikke kendt</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Sløret syn**</w:t>
            </w:r>
          </w:p>
        </w:tc>
      </w:tr>
      <w:tr w:rsidR="008668D9" w:rsidRPr="008668D9" w:rsidTr="00F93594">
        <w:tc>
          <w:tcPr>
            <w:tcW w:w="9055" w:type="dxa"/>
            <w:gridSpan w:val="2"/>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b/>
                <w:bCs/>
                <w:szCs w:val="24"/>
                <w:lang w:val="en-US"/>
              </w:rPr>
            </w:pPr>
            <w:r w:rsidRPr="008668D9">
              <w:rPr>
                <w:b/>
                <w:bCs/>
                <w:szCs w:val="24"/>
                <w:lang w:val="en-US"/>
              </w:rPr>
              <w:t>Hud og subkutane væv</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Almindelig</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Pruritus</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Ikke almindelig</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rPr>
            </w:pPr>
            <w:r w:rsidRPr="008668D9">
              <w:rPr>
                <w:szCs w:val="24"/>
              </w:rPr>
              <w:t>Eksacerbation af psoriasis</w:t>
            </w:r>
          </w:p>
          <w:p w:rsidR="008668D9" w:rsidRPr="008668D9" w:rsidRDefault="008668D9" w:rsidP="00F93594">
            <w:pPr>
              <w:pStyle w:val="Sidehoved"/>
              <w:ind w:left="31"/>
              <w:rPr>
                <w:szCs w:val="24"/>
              </w:rPr>
            </w:pPr>
            <w:r w:rsidRPr="008668D9">
              <w:rPr>
                <w:szCs w:val="24"/>
              </w:rPr>
              <w:t>Dermatitis</w:t>
            </w:r>
          </w:p>
          <w:p w:rsidR="008668D9" w:rsidRPr="008668D9" w:rsidRDefault="008668D9" w:rsidP="00F93594">
            <w:pPr>
              <w:pStyle w:val="Sidehoved"/>
              <w:ind w:left="31"/>
              <w:rPr>
                <w:szCs w:val="24"/>
              </w:rPr>
            </w:pPr>
            <w:r w:rsidRPr="008668D9">
              <w:rPr>
                <w:szCs w:val="24"/>
              </w:rPr>
              <w:t>Erytem</w:t>
            </w:r>
          </w:p>
          <w:p w:rsidR="008668D9" w:rsidRPr="008668D9" w:rsidRDefault="008668D9" w:rsidP="00F93594">
            <w:pPr>
              <w:pStyle w:val="Sidehoved"/>
              <w:ind w:left="31"/>
              <w:rPr>
                <w:szCs w:val="24"/>
              </w:rPr>
            </w:pPr>
            <w:r w:rsidRPr="008668D9">
              <w:rPr>
                <w:szCs w:val="24"/>
              </w:rPr>
              <w:t>Udslæt***</w:t>
            </w:r>
          </w:p>
          <w:p w:rsidR="008668D9" w:rsidRPr="008668D9" w:rsidRDefault="008668D9" w:rsidP="00F93594">
            <w:pPr>
              <w:pStyle w:val="Sidehoved"/>
              <w:ind w:left="31"/>
              <w:rPr>
                <w:szCs w:val="24"/>
              </w:rPr>
            </w:pPr>
            <w:r w:rsidRPr="008668D9">
              <w:rPr>
                <w:szCs w:val="24"/>
              </w:rPr>
              <w:t>Acne</w:t>
            </w:r>
          </w:p>
          <w:p w:rsidR="008668D9" w:rsidRPr="008668D9" w:rsidRDefault="008668D9" w:rsidP="00F93594">
            <w:pPr>
              <w:pStyle w:val="Sidehoved"/>
              <w:ind w:left="31"/>
              <w:rPr>
                <w:szCs w:val="24"/>
              </w:rPr>
            </w:pPr>
            <w:r w:rsidRPr="008668D9">
              <w:rPr>
                <w:szCs w:val="24"/>
              </w:rPr>
              <w:t>Brændende fornemmelse i huden</w:t>
            </w:r>
          </w:p>
          <w:p w:rsidR="008668D9" w:rsidRPr="008668D9" w:rsidRDefault="008668D9" w:rsidP="00F93594">
            <w:pPr>
              <w:pStyle w:val="Sidehoved"/>
              <w:ind w:left="31"/>
              <w:rPr>
                <w:szCs w:val="24"/>
              </w:rPr>
            </w:pPr>
            <w:r w:rsidRPr="008668D9">
              <w:rPr>
                <w:szCs w:val="24"/>
              </w:rPr>
              <w:t>Hudirritation</w:t>
            </w:r>
          </w:p>
          <w:p w:rsidR="008668D9" w:rsidRPr="008668D9" w:rsidRDefault="008668D9" w:rsidP="00F93594">
            <w:pPr>
              <w:pStyle w:val="Sidehoved"/>
              <w:ind w:left="31"/>
              <w:rPr>
                <w:szCs w:val="24"/>
                <w:lang w:val="en-US"/>
              </w:rPr>
            </w:pPr>
            <w:r w:rsidRPr="008668D9">
              <w:rPr>
                <w:szCs w:val="24"/>
                <w:lang w:val="en-US"/>
              </w:rPr>
              <w:t>Tør hud</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Sjælden</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Hudstria</w:t>
            </w:r>
          </w:p>
          <w:p w:rsidR="008668D9" w:rsidRPr="008668D9" w:rsidRDefault="008668D9" w:rsidP="00F93594">
            <w:pPr>
              <w:pStyle w:val="Sidehoved"/>
              <w:ind w:left="31"/>
              <w:rPr>
                <w:szCs w:val="24"/>
                <w:lang w:val="en-US"/>
              </w:rPr>
            </w:pPr>
            <w:r w:rsidRPr="008668D9">
              <w:rPr>
                <w:szCs w:val="24"/>
                <w:lang w:val="en-US"/>
              </w:rPr>
              <w:t>Eksfoliering af huden</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Ikke kendt</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Hårfarveændring****</w:t>
            </w:r>
          </w:p>
        </w:tc>
      </w:tr>
      <w:tr w:rsidR="008668D9" w:rsidRPr="008668D9" w:rsidTr="00F93594">
        <w:tc>
          <w:tcPr>
            <w:tcW w:w="9055" w:type="dxa"/>
            <w:gridSpan w:val="2"/>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b/>
                <w:bCs/>
                <w:szCs w:val="24"/>
              </w:rPr>
            </w:pPr>
            <w:r w:rsidRPr="008668D9">
              <w:rPr>
                <w:b/>
                <w:bCs/>
                <w:szCs w:val="24"/>
              </w:rPr>
              <w:t>Almene symptomer og reaktioner på administrationsstedet</w:t>
            </w:r>
          </w:p>
        </w:tc>
      </w:tr>
      <w:tr w:rsidR="008668D9" w:rsidRPr="008668D9" w:rsidTr="00F93594">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Ikke almindelig</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Smerte ved administrationsstedet*****</w:t>
            </w:r>
          </w:p>
        </w:tc>
      </w:tr>
      <w:tr w:rsidR="008668D9" w:rsidRPr="008668D9" w:rsidTr="00F93594">
        <w:trPr>
          <w:trHeight w:val="70"/>
        </w:trPr>
        <w:tc>
          <w:tcPr>
            <w:tcW w:w="4517"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Sjælden</w:t>
            </w:r>
          </w:p>
        </w:tc>
        <w:tc>
          <w:tcPr>
            <w:tcW w:w="4538" w:type="dxa"/>
            <w:tcBorders>
              <w:top w:val="single" w:sz="4" w:space="0" w:color="auto"/>
              <w:left w:val="single" w:sz="4" w:space="0" w:color="auto"/>
              <w:bottom w:val="single" w:sz="4" w:space="0" w:color="auto"/>
              <w:right w:val="single" w:sz="4" w:space="0" w:color="auto"/>
            </w:tcBorders>
            <w:hideMark/>
          </w:tcPr>
          <w:p w:rsidR="008668D9" w:rsidRPr="008668D9" w:rsidRDefault="008668D9" w:rsidP="00F93594">
            <w:pPr>
              <w:pStyle w:val="Sidehoved"/>
              <w:ind w:left="31"/>
              <w:rPr>
                <w:szCs w:val="24"/>
                <w:lang w:val="en-US"/>
              </w:rPr>
            </w:pPr>
            <w:r w:rsidRPr="008668D9">
              <w:rPr>
                <w:szCs w:val="24"/>
                <w:lang w:val="en-US"/>
              </w:rPr>
              <w:t>Rebound effekt</w:t>
            </w:r>
          </w:p>
        </w:tc>
      </w:tr>
    </w:tbl>
    <w:p w:rsidR="008668D9" w:rsidRDefault="008668D9" w:rsidP="008668D9">
      <w:pPr>
        <w:pStyle w:val="Sidehoved"/>
        <w:tabs>
          <w:tab w:val="left" w:pos="851"/>
        </w:tabs>
        <w:ind w:left="851"/>
        <w:rPr>
          <w:szCs w:val="24"/>
        </w:rPr>
      </w:pPr>
    </w:p>
    <w:p w:rsidR="00F93594" w:rsidRPr="00F93594" w:rsidRDefault="00F93594" w:rsidP="007625E2">
      <w:pPr>
        <w:pStyle w:val="Sidehoved"/>
        <w:tabs>
          <w:tab w:val="left" w:pos="1560"/>
        </w:tabs>
        <w:ind w:left="1560" w:hanging="709"/>
        <w:rPr>
          <w:szCs w:val="24"/>
        </w:rPr>
      </w:pPr>
      <w:r w:rsidRPr="00F93594">
        <w:rPr>
          <w:szCs w:val="24"/>
        </w:rPr>
        <w:t>*</w:t>
      </w:r>
      <w:r w:rsidR="007625E2">
        <w:rPr>
          <w:szCs w:val="24"/>
        </w:rPr>
        <w:tab/>
      </w:r>
      <w:r w:rsidRPr="00F93594">
        <w:rPr>
          <w:szCs w:val="24"/>
        </w:rPr>
        <w:tab/>
        <w:t>Hudinfektioner inklusiv</w:t>
      </w:r>
      <w:r w:rsidR="007625E2">
        <w:rPr>
          <w:szCs w:val="24"/>
        </w:rPr>
        <w:t>e</w:t>
      </w:r>
      <w:r w:rsidRPr="00F93594">
        <w:rPr>
          <w:szCs w:val="24"/>
        </w:rPr>
        <w:t xml:space="preserve"> bakterielle, fungale og virale infektioner er rapporteret.</w:t>
      </w:r>
    </w:p>
    <w:p w:rsidR="00F93594" w:rsidRPr="00F93594" w:rsidRDefault="00F93594" w:rsidP="007625E2">
      <w:pPr>
        <w:pStyle w:val="Sidehoved"/>
        <w:tabs>
          <w:tab w:val="left" w:pos="1560"/>
        </w:tabs>
        <w:ind w:left="1560" w:hanging="709"/>
        <w:rPr>
          <w:szCs w:val="24"/>
        </w:rPr>
      </w:pPr>
      <w:r w:rsidRPr="00F93594">
        <w:rPr>
          <w:szCs w:val="24"/>
        </w:rPr>
        <w:t>**</w:t>
      </w:r>
      <w:r w:rsidR="007625E2">
        <w:rPr>
          <w:szCs w:val="24"/>
        </w:rPr>
        <w:tab/>
      </w:r>
      <w:r w:rsidRPr="00F93594">
        <w:rPr>
          <w:szCs w:val="24"/>
        </w:rPr>
        <w:t>Se også pkt. 4.4.</w:t>
      </w:r>
    </w:p>
    <w:p w:rsidR="00F93594" w:rsidRPr="00F93594" w:rsidRDefault="00F93594" w:rsidP="007625E2">
      <w:pPr>
        <w:pStyle w:val="Sidehoved"/>
        <w:tabs>
          <w:tab w:val="left" w:pos="1560"/>
        </w:tabs>
        <w:ind w:left="1560" w:hanging="709"/>
        <w:rPr>
          <w:szCs w:val="24"/>
        </w:rPr>
      </w:pPr>
      <w:r w:rsidRPr="00F93594">
        <w:rPr>
          <w:szCs w:val="24"/>
        </w:rPr>
        <w:t>***</w:t>
      </w:r>
      <w:r w:rsidR="007625E2">
        <w:rPr>
          <w:szCs w:val="24"/>
        </w:rPr>
        <w:tab/>
      </w:r>
      <w:r w:rsidRPr="00F93594">
        <w:rPr>
          <w:szCs w:val="24"/>
        </w:rPr>
        <w:t>Forskellige typer af udslæt såsom erytematøst udslæt og pustuløst udslæt er rapporteret.</w:t>
      </w:r>
    </w:p>
    <w:p w:rsidR="00F93594" w:rsidRPr="00F93594" w:rsidRDefault="00F93594" w:rsidP="007625E2">
      <w:pPr>
        <w:pStyle w:val="Sidehoved"/>
        <w:tabs>
          <w:tab w:val="left" w:pos="1560"/>
        </w:tabs>
        <w:ind w:left="1560" w:hanging="709"/>
        <w:rPr>
          <w:szCs w:val="24"/>
        </w:rPr>
      </w:pPr>
      <w:r w:rsidRPr="00F93594">
        <w:rPr>
          <w:szCs w:val="24"/>
        </w:rPr>
        <w:t>****</w:t>
      </w:r>
      <w:r w:rsidR="007625E2">
        <w:rPr>
          <w:szCs w:val="24"/>
        </w:rPr>
        <w:tab/>
      </w:r>
      <w:r w:rsidRPr="00F93594">
        <w:rPr>
          <w:szCs w:val="24"/>
        </w:rPr>
        <w:t>Ved administrationsstedet i hovedbunden er der rapporteret forbigående misfarvning af hår fra hvidt eller gråt til gult.</w:t>
      </w:r>
    </w:p>
    <w:p w:rsidR="00F93594" w:rsidRDefault="00F93594" w:rsidP="007625E2">
      <w:pPr>
        <w:pStyle w:val="Sidehoved"/>
        <w:tabs>
          <w:tab w:val="left" w:pos="1560"/>
        </w:tabs>
        <w:ind w:left="1560" w:hanging="709"/>
        <w:rPr>
          <w:szCs w:val="24"/>
        </w:rPr>
      </w:pPr>
      <w:r w:rsidRPr="00F93594">
        <w:rPr>
          <w:szCs w:val="24"/>
        </w:rPr>
        <w:t>*****</w:t>
      </w:r>
      <w:r w:rsidR="007625E2">
        <w:rPr>
          <w:szCs w:val="24"/>
        </w:rPr>
        <w:tab/>
      </w:r>
      <w:r w:rsidRPr="00F93594">
        <w:rPr>
          <w:szCs w:val="24"/>
        </w:rPr>
        <w:t>Brændende fornemmelse ved administrationsstedet er inkluderet i smerte ved</w:t>
      </w:r>
      <w:r w:rsidR="007625E2">
        <w:rPr>
          <w:szCs w:val="24"/>
        </w:rPr>
        <w:t xml:space="preserve"> a</w:t>
      </w:r>
      <w:r w:rsidRPr="00F93594">
        <w:rPr>
          <w:szCs w:val="24"/>
        </w:rPr>
        <w:t>dministrationsstedet.</w:t>
      </w:r>
    </w:p>
    <w:p w:rsidR="00F93594" w:rsidRPr="008668D9" w:rsidRDefault="00F93594"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Følgende bivirkninger skønnes relateret til de farmakologiske klasser for hhv. calcipotriol og betamethason:</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u w:val="single"/>
        </w:rPr>
        <w:t>Calcipotriol</w:t>
      </w:r>
    </w:p>
    <w:p w:rsidR="008668D9" w:rsidRPr="008668D9" w:rsidRDefault="008668D9" w:rsidP="008668D9">
      <w:pPr>
        <w:pStyle w:val="Sidehoved"/>
        <w:tabs>
          <w:tab w:val="left" w:pos="851"/>
        </w:tabs>
        <w:ind w:left="851"/>
        <w:rPr>
          <w:szCs w:val="24"/>
        </w:rPr>
      </w:pPr>
      <w:r w:rsidRPr="008668D9">
        <w:rPr>
          <w:szCs w:val="24"/>
        </w:rPr>
        <w:t>Bivirkningerne omfatter reaktioner på administrationsstedet, kløe, hudirritation, brændende og sviende fornemmelse, tør hud, erytem, udslæt, dermatitis, eksem, forværring af psoriasis, lysfølsomhed og overfølsomhedsreaktioner inkluderende meget sjældne tilfælde af angioødem og ansigtsødem.</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Lokalt brug på huden kan meget sjældent forårsage systemiske bivirkninger i form af hypercalcæmi eller hypercalciuri (se pkt. 4.4).</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u w:val="single"/>
        </w:rPr>
        <w:t>Betamethason (som dipropionat)</w:t>
      </w:r>
    </w:p>
    <w:p w:rsidR="008668D9" w:rsidRPr="008668D9" w:rsidRDefault="008668D9" w:rsidP="008668D9">
      <w:pPr>
        <w:pStyle w:val="Sidehoved"/>
        <w:tabs>
          <w:tab w:val="left" w:pos="851"/>
        </w:tabs>
        <w:ind w:left="851"/>
        <w:rPr>
          <w:szCs w:val="24"/>
        </w:rPr>
      </w:pPr>
      <w:r w:rsidRPr="008668D9">
        <w:rPr>
          <w:szCs w:val="24"/>
        </w:rPr>
        <w:t>Lokale reaktioner kan opstå efter topikal brug, specielt ved langvarig behandling, inkluderende hudatrofi, teleangiektasi, striae, folliculitis, hypertrikose, perioral dermatitis, allergisk</w:t>
      </w:r>
    </w:p>
    <w:p w:rsidR="008668D9" w:rsidRPr="008668D9" w:rsidRDefault="008668D9" w:rsidP="008668D9">
      <w:pPr>
        <w:pStyle w:val="Sidehoved"/>
        <w:tabs>
          <w:tab w:val="left" w:pos="851"/>
        </w:tabs>
        <w:ind w:left="851"/>
        <w:rPr>
          <w:szCs w:val="24"/>
        </w:rPr>
      </w:pPr>
      <w:r w:rsidRPr="008668D9">
        <w:rPr>
          <w:szCs w:val="24"/>
        </w:rPr>
        <w:t xml:space="preserve">kontaktdermatitis, depigmentering og kolloid millium. </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Ved behandling af psoriasis med topikale kortikosteroider kan der være en risiko for generaliseret pustuløs psoriasis.</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Systemiske bivirkninger på grund af brug af topikale kortikosteroider er meget sjældne hos voksne, men de kan være alvorlige. Binyrebarksuppression, katarakt, infektioner, påvirkning af den metaboliske kontrol af diabetes mellitus og øget intraokulært tryk kan opstå, specielt efter langvarig behandling. Systemiske bivirkninger er hyppigere ved okklusion (plastik, hudfolder), ved anvendelse på store hudområder og ved langvarig behandling (se pkt. 4.4).</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u w:val="single"/>
        </w:rPr>
        <w:t>Pædiatrisk population</w:t>
      </w:r>
      <w:r w:rsidRPr="008668D9">
        <w:rPr>
          <w:szCs w:val="24"/>
          <w:u w:val="single"/>
        </w:rPr>
        <w:br/>
      </w:r>
      <w:r w:rsidRPr="008668D9">
        <w:rPr>
          <w:szCs w:val="24"/>
        </w:rPr>
        <w:t>Der blev ikke set klinisk relevante forskelle i sikkerhedsprofilerne hos voksne og unge.</w:t>
      </w:r>
    </w:p>
    <w:p w:rsidR="008668D9" w:rsidRPr="008668D9" w:rsidRDefault="008668D9" w:rsidP="008668D9">
      <w:pPr>
        <w:pStyle w:val="Sidehoved"/>
        <w:tabs>
          <w:tab w:val="left" w:pos="851"/>
        </w:tabs>
        <w:ind w:left="851"/>
        <w:rPr>
          <w:szCs w:val="24"/>
        </w:rPr>
      </w:pPr>
      <w:r w:rsidRPr="008668D9">
        <w:rPr>
          <w:szCs w:val="24"/>
        </w:rPr>
        <w:t xml:space="preserve">I tre åbne kliniske forsøg blev 216 unge patienter undersøgt. </w:t>
      </w:r>
    </w:p>
    <w:p w:rsidR="008668D9" w:rsidRPr="008668D9" w:rsidRDefault="008668D9" w:rsidP="008668D9">
      <w:pPr>
        <w:pStyle w:val="Sidehoved"/>
        <w:tabs>
          <w:tab w:val="left" w:pos="851"/>
        </w:tabs>
        <w:ind w:left="851"/>
        <w:rPr>
          <w:szCs w:val="24"/>
        </w:rPr>
      </w:pPr>
      <w:r w:rsidRPr="008668D9">
        <w:rPr>
          <w:szCs w:val="24"/>
        </w:rPr>
        <w:t>Se pkt. 5.1 for yderligere information om forsøgene.</w:t>
      </w:r>
    </w:p>
    <w:p w:rsidR="0042159C" w:rsidRDefault="0042159C">
      <w:pPr>
        <w:rPr>
          <w:sz w:val="24"/>
          <w:szCs w:val="24"/>
          <w:lang w:eastAsia="da-DK"/>
        </w:rPr>
      </w:pPr>
      <w:r>
        <w:rPr>
          <w:szCs w:val="24"/>
        </w:rPr>
        <w:br w:type="page"/>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u w:val="single"/>
        </w:rPr>
      </w:pPr>
      <w:r w:rsidRPr="008668D9">
        <w:rPr>
          <w:szCs w:val="24"/>
          <w:u w:val="single"/>
        </w:rPr>
        <w:t>Indberetning af formodede bivirkninger</w:t>
      </w:r>
    </w:p>
    <w:p w:rsidR="008668D9" w:rsidRPr="008668D9" w:rsidRDefault="008668D9" w:rsidP="008668D9">
      <w:pPr>
        <w:pStyle w:val="Sidehoved"/>
        <w:tabs>
          <w:tab w:val="left" w:pos="851"/>
        </w:tabs>
        <w:ind w:left="851"/>
        <w:rPr>
          <w:szCs w:val="24"/>
        </w:rPr>
      </w:pPr>
      <w:r w:rsidRPr="008668D9">
        <w:rPr>
          <w:szCs w:val="24"/>
        </w:rPr>
        <w:t>Når lægemidlet er godkendt, er indberetning af formodede bivirkninger vigtig. Det muliggør løbende overvågning af benefit/risk-forholdet for lægemidlet. Sundhedspersoner anmodes om at indberette alle formodede bivirkninger via:</w:t>
      </w:r>
    </w:p>
    <w:p w:rsidR="008668D9" w:rsidRPr="008668D9" w:rsidRDefault="008668D9" w:rsidP="008668D9">
      <w:pPr>
        <w:pStyle w:val="Sidehoved"/>
        <w:tabs>
          <w:tab w:val="left" w:pos="851"/>
        </w:tabs>
        <w:ind w:left="851"/>
        <w:rPr>
          <w:szCs w:val="24"/>
        </w:rPr>
      </w:pPr>
    </w:p>
    <w:p w:rsidR="008668D9" w:rsidRPr="008668D9" w:rsidRDefault="008668D9" w:rsidP="008668D9">
      <w:pPr>
        <w:pStyle w:val="Sidehoved"/>
        <w:tabs>
          <w:tab w:val="left" w:pos="851"/>
        </w:tabs>
        <w:ind w:left="851"/>
        <w:rPr>
          <w:szCs w:val="24"/>
        </w:rPr>
      </w:pPr>
      <w:r w:rsidRPr="008668D9">
        <w:rPr>
          <w:szCs w:val="24"/>
        </w:rPr>
        <w:t>Lægemiddelstyrelsen</w:t>
      </w:r>
    </w:p>
    <w:p w:rsidR="008668D9" w:rsidRPr="008668D9" w:rsidRDefault="008668D9" w:rsidP="008668D9">
      <w:pPr>
        <w:pStyle w:val="Sidehoved"/>
        <w:tabs>
          <w:tab w:val="left" w:pos="851"/>
        </w:tabs>
        <w:ind w:left="851"/>
        <w:rPr>
          <w:szCs w:val="24"/>
        </w:rPr>
      </w:pPr>
      <w:r w:rsidRPr="008668D9">
        <w:rPr>
          <w:szCs w:val="24"/>
        </w:rPr>
        <w:t>Axel Heides Gade 1</w:t>
      </w:r>
    </w:p>
    <w:p w:rsidR="008668D9" w:rsidRPr="008668D9" w:rsidRDefault="008668D9" w:rsidP="008668D9">
      <w:pPr>
        <w:pStyle w:val="Sidehoved"/>
        <w:tabs>
          <w:tab w:val="left" w:pos="851"/>
        </w:tabs>
        <w:ind w:left="851"/>
        <w:rPr>
          <w:szCs w:val="24"/>
        </w:rPr>
      </w:pPr>
      <w:r w:rsidRPr="008668D9">
        <w:rPr>
          <w:szCs w:val="24"/>
        </w:rPr>
        <w:t>DK-2300 København S</w:t>
      </w:r>
    </w:p>
    <w:p w:rsidR="008668D9" w:rsidRPr="008668D9" w:rsidRDefault="008668D9" w:rsidP="008668D9">
      <w:pPr>
        <w:pStyle w:val="Sidehoved"/>
        <w:tabs>
          <w:tab w:val="left" w:pos="851"/>
        </w:tabs>
        <w:ind w:left="851"/>
        <w:rPr>
          <w:szCs w:val="24"/>
        </w:rPr>
      </w:pPr>
      <w:r w:rsidRPr="008668D9">
        <w:rPr>
          <w:szCs w:val="24"/>
        </w:rPr>
        <w:t>Websted: www.meldenbivirkning.dk</w:t>
      </w:r>
    </w:p>
    <w:p w:rsidR="008668D9" w:rsidRPr="008668D9" w:rsidRDefault="008668D9" w:rsidP="008668D9">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2159C" w:rsidRPr="0042159C" w:rsidRDefault="0042159C" w:rsidP="0042159C">
      <w:pPr>
        <w:tabs>
          <w:tab w:val="left" w:pos="851"/>
        </w:tabs>
        <w:ind w:left="851"/>
        <w:rPr>
          <w:sz w:val="24"/>
          <w:szCs w:val="24"/>
        </w:rPr>
      </w:pPr>
      <w:r w:rsidRPr="0042159C">
        <w:rPr>
          <w:sz w:val="24"/>
          <w:szCs w:val="24"/>
        </w:rPr>
        <w:t>Anvendelse af højere dosis end den anbefalede kan medføre forhøjet serum-kalcium, som hurtigt falder efter seponering af behandlingen. Symptomer af hypercalcæmi inkluderer polyuria, forstoppelse, muskelsvaghed, forvirring og koma.</w:t>
      </w:r>
    </w:p>
    <w:p w:rsidR="0042159C" w:rsidRPr="0042159C" w:rsidRDefault="0042159C" w:rsidP="0042159C">
      <w:pPr>
        <w:tabs>
          <w:tab w:val="left" w:pos="851"/>
        </w:tabs>
        <w:ind w:left="851"/>
        <w:rPr>
          <w:sz w:val="24"/>
          <w:szCs w:val="24"/>
        </w:rPr>
      </w:pPr>
    </w:p>
    <w:p w:rsidR="0042159C" w:rsidRPr="0042159C" w:rsidRDefault="0042159C" w:rsidP="0042159C">
      <w:pPr>
        <w:tabs>
          <w:tab w:val="left" w:pos="851"/>
        </w:tabs>
        <w:ind w:left="851"/>
        <w:rPr>
          <w:sz w:val="24"/>
          <w:szCs w:val="24"/>
        </w:rPr>
      </w:pPr>
      <w:r w:rsidRPr="0042159C">
        <w:rPr>
          <w:sz w:val="24"/>
          <w:szCs w:val="24"/>
        </w:rPr>
        <w:t>Overdreven langvarig brug af topikale kortikosteroider kan supprimere hypofyse-binyrefunktionerne og give sekundær binyrebarkinsufficiens, som normalt er reversibel. I sådanne tilfælde behandles symptomerne.</w:t>
      </w:r>
    </w:p>
    <w:p w:rsidR="0042159C" w:rsidRPr="0042159C" w:rsidRDefault="0042159C" w:rsidP="0042159C">
      <w:pPr>
        <w:tabs>
          <w:tab w:val="left" w:pos="851"/>
        </w:tabs>
        <w:ind w:left="851"/>
        <w:rPr>
          <w:sz w:val="24"/>
          <w:szCs w:val="24"/>
        </w:rPr>
      </w:pPr>
    </w:p>
    <w:p w:rsidR="0042159C" w:rsidRPr="0042159C" w:rsidRDefault="0042159C" w:rsidP="0042159C">
      <w:pPr>
        <w:tabs>
          <w:tab w:val="left" w:pos="851"/>
        </w:tabs>
        <w:ind w:left="851"/>
        <w:rPr>
          <w:sz w:val="24"/>
          <w:szCs w:val="24"/>
        </w:rPr>
      </w:pPr>
      <w:r w:rsidRPr="0042159C">
        <w:rPr>
          <w:sz w:val="24"/>
          <w:szCs w:val="24"/>
        </w:rPr>
        <w:t>I tilfælde af kronisk toksicitet skal kortikosteroidbehandlingen seponeres gradvist.</w:t>
      </w:r>
    </w:p>
    <w:p w:rsidR="0042159C" w:rsidRPr="0042159C" w:rsidRDefault="0042159C" w:rsidP="0042159C">
      <w:pPr>
        <w:tabs>
          <w:tab w:val="left" w:pos="851"/>
        </w:tabs>
        <w:ind w:left="851"/>
        <w:rPr>
          <w:sz w:val="24"/>
          <w:szCs w:val="24"/>
        </w:rPr>
      </w:pPr>
    </w:p>
    <w:p w:rsidR="0042159C" w:rsidRPr="0042159C" w:rsidRDefault="0042159C" w:rsidP="0042159C">
      <w:pPr>
        <w:tabs>
          <w:tab w:val="left" w:pos="851"/>
        </w:tabs>
        <w:ind w:left="851"/>
        <w:rPr>
          <w:sz w:val="24"/>
          <w:szCs w:val="24"/>
        </w:rPr>
      </w:pPr>
      <w:r w:rsidRPr="0042159C">
        <w:rPr>
          <w:sz w:val="24"/>
          <w:szCs w:val="24"/>
        </w:rPr>
        <w:t>Det er rapporteret, at på grund af misbrug har en patient med ekstensiv erytrodermisk psoriasis, som blev behandlet med 240 g calcipotriol+betamethason 50 mikrogram/g+0,5 mg/g kombinationssalve om ugen (svarende til en daglig dosis på ca. 34 g) i 5 måneder (anbefalet maksimal dosis er 15 g om dagen), udviklet Cushing’s syndrom og pustuløs psoriasis efter abrupt seponering af behandlingen.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E545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E7FEE" w:rsidRPr="003E7FEE" w:rsidRDefault="003E7FEE" w:rsidP="003E7FEE">
      <w:pPr>
        <w:tabs>
          <w:tab w:val="left" w:pos="851"/>
        </w:tabs>
        <w:ind w:left="851"/>
        <w:rPr>
          <w:bCs/>
          <w:sz w:val="24"/>
          <w:szCs w:val="24"/>
        </w:rPr>
      </w:pPr>
      <w:r w:rsidRPr="003E7FEE">
        <w:rPr>
          <w:bCs/>
          <w:sz w:val="24"/>
          <w:szCs w:val="24"/>
        </w:rPr>
        <w:t>ATC kode: D</w:t>
      </w:r>
      <w:r>
        <w:rPr>
          <w:bCs/>
          <w:sz w:val="24"/>
          <w:szCs w:val="24"/>
        </w:rPr>
        <w:t xml:space="preserve"> </w:t>
      </w:r>
      <w:r w:rsidRPr="003E7FEE">
        <w:rPr>
          <w:bCs/>
          <w:sz w:val="24"/>
          <w:szCs w:val="24"/>
        </w:rPr>
        <w:t>05</w:t>
      </w:r>
      <w:r>
        <w:rPr>
          <w:bCs/>
          <w:sz w:val="24"/>
          <w:szCs w:val="24"/>
        </w:rPr>
        <w:t xml:space="preserve"> </w:t>
      </w:r>
      <w:r w:rsidRPr="003E7FEE">
        <w:rPr>
          <w:bCs/>
          <w:sz w:val="24"/>
          <w:szCs w:val="24"/>
        </w:rPr>
        <w:t>AX</w:t>
      </w:r>
      <w:r>
        <w:rPr>
          <w:bCs/>
          <w:sz w:val="24"/>
          <w:szCs w:val="24"/>
        </w:rPr>
        <w:t xml:space="preserve"> </w:t>
      </w:r>
      <w:r w:rsidRPr="003E7FEE">
        <w:rPr>
          <w:bCs/>
          <w:sz w:val="24"/>
          <w:szCs w:val="24"/>
        </w:rPr>
        <w:t>52. Midler mod psoriasis. Andre midler mod psoriasis til topikalt brug, calcipotriol, kombinationer.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E7FEE" w:rsidRPr="003E7FEE" w:rsidRDefault="003E7FEE" w:rsidP="003E7FEE">
      <w:pPr>
        <w:tabs>
          <w:tab w:val="left" w:pos="851"/>
        </w:tabs>
        <w:ind w:left="851"/>
        <w:rPr>
          <w:bCs/>
          <w:sz w:val="24"/>
          <w:szCs w:val="24"/>
        </w:rPr>
      </w:pPr>
      <w:r w:rsidRPr="003E7FEE">
        <w:rPr>
          <w:bCs/>
          <w:sz w:val="24"/>
          <w:szCs w:val="24"/>
        </w:rPr>
        <w:t xml:space="preserve">Calcipotriol er et D-vitaminanalog. </w:t>
      </w:r>
      <w:r w:rsidRPr="003E7FEE">
        <w:rPr>
          <w:bCs/>
          <w:i/>
          <w:sz w:val="24"/>
          <w:szCs w:val="24"/>
        </w:rPr>
        <w:t xml:space="preserve">In vitro </w:t>
      </w:r>
      <w:r w:rsidRPr="003E7FEE">
        <w:rPr>
          <w:bCs/>
          <w:sz w:val="24"/>
          <w:szCs w:val="24"/>
        </w:rPr>
        <w:t>data tyder på, at calcipotriol stimulerer differentieringen og hæmmer proliferationen af keratinocytter. Dette er den foreslåede baggrund for dets virkning ved psoriasis.</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 xml:space="preserve">Det adrenale respons til ACTH blev bestemt ved at måle serum-cortisol hos patienter med udbredt psoriasis i både hårbunden og på kroppen med et forbrug på højst 106 g kombineret calcipotriol+betamethason 50 mikrogram/g+0,5 mg/g kombinationsgel og calcipotriol+betamethason 50 mikrogram/g+0,5 mg/g kombinationssalve om ugen. </w:t>
      </w:r>
    </w:p>
    <w:p w:rsidR="003E7FEE" w:rsidRPr="003E7FEE" w:rsidRDefault="003E7FEE" w:rsidP="003E7FEE">
      <w:pPr>
        <w:tabs>
          <w:tab w:val="left" w:pos="851"/>
        </w:tabs>
        <w:ind w:left="851"/>
        <w:rPr>
          <w:bCs/>
          <w:sz w:val="24"/>
          <w:szCs w:val="24"/>
        </w:rPr>
      </w:pPr>
      <w:r w:rsidRPr="003E7FEE">
        <w:rPr>
          <w:bCs/>
          <w:sz w:val="24"/>
          <w:szCs w:val="24"/>
        </w:rPr>
        <w:t>Der blev set et marginalt nedsat cortisolrespons 30 minutter efter eksponering for ACTH hos 5 ud af 32 patienter (15,6</w:t>
      </w:r>
      <w:r w:rsidR="00465611">
        <w:rPr>
          <w:bCs/>
          <w:sz w:val="24"/>
          <w:szCs w:val="24"/>
        </w:rPr>
        <w:t xml:space="preserve"> %</w:t>
      </w:r>
      <w:r w:rsidRPr="003E7FEE">
        <w:rPr>
          <w:bCs/>
          <w:sz w:val="24"/>
          <w:szCs w:val="24"/>
        </w:rPr>
        <w:t>) efter 4 ugers behandling og hos 2 ud af 11 patienter (18,2</w:t>
      </w:r>
      <w:r w:rsidR="00465611">
        <w:rPr>
          <w:bCs/>
          <w:sz w:val="24"/>
          <w:szCs w:val="24"/>
        </w:rPr>
        <w:t xml:space="preserve"> %</w:t>
      </w:r>
      <w:r w:rsidRPr="003E7FEE">
        <w:rPr>
          <w:bCs/>
          <w:sz w:val="24"/>
          <w:szCs w:val="24"/>
        </w:rPr>
        <w:t>), som fortsatte behandlingen til i alt 8 uger. I alle tilfælde var serum-cortisolniveauerne normale 60 minutter efter eksponering for ACTH. Der var ikke evidens for ændring af kalciumstofskiftet hos disse patienter.</w:t>
      </w:r>
    </w:p>
    <w:p w:rsidR="003E7FEE" w:rsidRPr="003E7FEE" w:rsidRDefault="003E7FEE" w:rsidP="003E7FEE">
      <w:pPr>
        <w:tabs>
          <w:tab w:val="left" w:pos="851"/>
        </w:tabs>
        <w:ind w:left="851"/>
        <w:rPr>
          <w:bCs/>
          <w:sz w:val="24"/>
          <w:szCs w:val="24"/>
        </w:rPr>
      </w:pPr>
      <w:r w:rsidRPr="003E7FEE">
        <w:rPr>
          <w:bCs/>
          <w:sz w:val="24"/>
          <w:szCs w:val="24"/>
        </w:rPr>
        <w:t>Med hensyn til hypotalamus-hypofyse-binyrebak (HPA)-suppression indikerede dette studie, at meget høje doser calcipotriol+betamethason 50 mikrogram/g+0,5 mg/g kombinationsgel og -salve kan have en svag effekt på HPA-aksen.</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 xml:space="preserve">Virkningen af calcipotriol+betamethason 50 mikrogram/g+0,5 mg/g kombinationsgel en gang daglig blev undersøgt i to randomiserede, dobbeltblindede, 8-ugers kliniske studier, der inkluderede mere end 2.900 patienter med psoriasis i hårbunden af mindst lettere sværhedsgrad ifølge </w:t>
      </w:r>
      <w:r w:rsidRPr="003E7FEE">
        <w:rPr>
          <w:bCs/>
          <w:i/>
          <w:sz w:val="24"/>
          <w:szCs w:val="24"/>
        </w:rPr>
        <w:t>Investigator’s Global Assessment of disease severity (IGA)</w:t>
      </w:r>
      <w:r w:rsidRPr="003E7FEE">
        <w:rPr>
          <w:bCs/>
          <w:sz w:val="24"/>
          <w:szCs w:val="24"/>
        </w:rPr>
        <w:t>. Sammenligningspræparaterne var betamethasondipropionat i gel-vehiklet, calcipotriol i gel-vehiklet og (i et af studierne) gel-vehiklet alene, alle anvendt en gang daglig. Resultaterne for det primære responskriterium (ingen eller meget mild sygdomsgrad ifølge IGA i uge 8) viste, at calcipotriol+betamethason 50 mikrogram/g+0,5 mg/g kombinationsgel var mere effektivt (statistisk signifikant) end sammenligningspræparaterne. Resultaterne for, hvor hurtigt virkningen indtraf, baseret på lignende data i uge 2, viste også, at calcipotriol+betamethason 50 mikrogram/g+0,5 mg/g kombinationsgel var mere effektivt end sammenligningspræparaterne (statistisk signifikant).</w:t>
      </w:r>
    </w:p>
    <w:p w:rsidR="003E7FEE" w:rsidRPr="003E7FEE" w:rsidRDefault="003E7FEE" w:rsidP="003E7FEE">
      <w:pPr>
        <w:tabs>
          <w:tab w:val="left" w:pos="851"/>
        </w:tabs>
        <w:ind w:left="851"/>
        <w:rPr>
          <w:bCs/>
          <w:sz w:val="24"/>
          <w:szCs w:val="24"/>
        </w:rPr>
      </w:pPr>
    </w:p>
    <w:tbl>
      <w:tblPr>
        <w:tblW w:w="7589" w:type="dxa"/>
        <w:tblInd w:w="846" w:type="dxa"/>
        <w:tblLook w:val="04A0" w:firstRow="1" w:lastRow="0" w:firstColumn="1" w:lastColumn="0" w:noHBand="0" w:noVBand="1"/>
      </w:tblPr>
      <w:tblGrid>
        <w:gridCol w:w="1728"/>
        <w:gridCol w:w="1957"/>
        <w:gridCol w:w="1701"/>
        <w:gridCol w:w="1276"/>
        <w:gridCol w:w="927"/>
      </w:tblGrid>
      <w:tr w:rsidR="003E7FEE" w:rsidRPr="003E7FEE" w:rsidTr="00E749D7">
        <w:tc>
          <w:tcPr>
            <w:tcW w:w="1728" w:type="dxa"/>
            <w:tcBorders>
              <w:top w:val="single" w:sz="4" w:space="0" w:color="auto"/>
              <w:left w:val="single" w:sz="4" w:space="0" w:color="auto"/>
              <w:bottom w:val="single" w:sz="4" w:space="0" w:color="auto"/>
              <w:right w:val="single" w:sz="4" w:space="0" w:color="auto"/>
            </w:tcBorders>
            <w:hideMark/>
          </w:tcPr>
          <w:p w:rsidR="003E7FEE" w:rsidRPr="003E7FEE" w:rsidRDefault="00465611" w:rsidP="003E7FEE">
            <w:pPr>
              <w:ind w:left="32"/>
              <w:rPr>
                <w:sz w:val="22"/>
                <w:szCs w:val="22"/>
              </w:rPr>
            </w:pPr>
            <w:r>
              <w:rPr>
                <w:sz w:val="22"/>
                <w:szCs w:val="22"/>
              </w:rPr>
              <w:t xml:space="preserve"> %</w:t>
            </w:r>
            <w:r w:rsidR="003E7FEE" w:rsidRPr="003E7FEE">
              <w:rPr>
                <w:sz w:val="22"/>
                <w:szCs w:val="22"/>
              </w:rPr>
              <w:t xml:space="preserve"> patienter med ingen eller meget mild sygdomsgrad</w:t>
            </w:r>
          </w:p>
        </w:tc>
        <w:tc>
          <w:tcPr>
            <w:tcW w:w="195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Betamethason-dipropionat</w:t>
            </w:r>
          </w:p>
          <w:p w:rsidR="003E7FEE" w:rsidRPr="003E7FEE" w:rsidRDefault="003E7FEE" w:rsidP="003E7FEE">
            <w:pPr>
              <w:rPr>
                <w:sz w:val="22"/>
                <w:szCs w:val="22"/>
                <w:lang w:val="en-US"/>
              </w:rPr>
            </w:pPr>
            <w:r w:rsidRPr="003E7FEE">
              <w:rPr>
                <w:sz w:val="22"/>
                <w:szCs w:val="22"/>
                <w:lang w:val="en-US"/>
              </w:rPr>
              <w:t>og calcipotriol kombinationsgel (n=1.108)</w:t>
            </w:r>
          </w:p>
        </w:tc>
        <w:tc>
          <w:tcPr>
            <w:tcW w:w="1701"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Betamethason-dipropionat</w:t>
            </w:r>
          </w:p>
          <w:p w:rsidR="003E7FEE" w:rsidRPr="003E7FEE" w:rsidRDefault="003E7FEE" w:rsidP="003E7FEE">
            <w:pPr>
              <w:rPr>
                <w:sz w:val="22"/>
                <w:szCs w:val="22"/>
                <w:lang w:val="en-US"/>
              </w:rPr>
            </w:pPr>
            <w:r w:rsidRPr="003E7FEE">
              <w:rPr>
                <w:sz w:val="22"/>
                <w:szCs w:val="22"/>
                <w:lang w:val="en-US"/>
              </w:rPr>
              <w:t>(n=1.118)</w:t>
            </w:r>
          </w:p>
        </w:tc>
        <w:tc>
          <w:tcPr>
            <w:tcW w:w="1276"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Calcipotriol</w:t>
            </w:r>
          </w:p>
          <w:p w:rsidR="003E7FEE" w:rsidRPr="003E7FEE" w:rsidRDefault="003E7FEE" w:rsidP="00611D63">
            <w:pPr>
              <w:rPr>
                <w:sz w:val="22"/>
                <w:szCs w:val="22"/>
                <w:lang w:val="en-US"/>
              </w:rPr>
            </w:pPr>
            <w:r w:rsidRPr="003E7FEE">
              <w:rPr>
                <w:sz w:val="22"/>
                <w:szCs w:val="22"/>
                <w:lang w:val="en-US"/>
              </w:rPr>
              <w:t>(n=558)</w:t>
            </w:r>
          </w:p>
        </w:tc>
        <w:tc>
          <w:tcPr>
            <w:tcW w:w="92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Gel-vehikel</w:t>
            </w:r>
          </w:p>
          <w:p w:rsidR="003E7FEE" w:rsidRPr="003E7FEE" w:rsidRDefault="003E7FEE" w:rsidP="00611D63">
            <w:pPr>
              <w:rPr>
                <w:sz w:val="22"/>
                <w:szCs w:val="22"/>
                <w:lang w:val="en-US"/>
              </w:rPr>
            </w:pPr>
            <w:r w:rsidRPr="003E7FEE">
              <w:rPr>
                <w:sz w:val="22"/>
                <w:szCs w:val="22"/>
                <w:lang w:val="en-US"/>
              </w:rPr>
              <w:t>(n=136)</w:t>
            </w:r>
          </w:p>
        </w:tc>
      </w:tr>
      <w:tr w:rsidR="003E7FEE" w:rsidRPr="003E7FEE" w:rsidTr="00E749D7">
        <w:trPr>
          <w:trHeight w:val="409"/>
        </w:trPr>
        <w:tc>
          <w:tcPr>
            <w:tcW w:w="1728"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ind w:left="32"/>
              <w:rPr>
                <w:b/>
                <w:bCs/>
                <w:sz w:val="22"/>
                <w:szCs w:val="22"/>
                <w:lang w:val="en-US"/>
              </w:rPr>
            </w:pPr>
            <w:r w:rsidRPr="003E7FEE">
              <w:rPr>
                <w:sz w:val="22"/>
                <w:szCs w:val="22"/>
                <w:lang w:val="en-US"/>
              </w:rPr>
              <w:t>Uge 2</w:t>
            </w:r>
          </w:p>
        </w:tc>
        <w:tc>
          <w:tcPr>
            <w:tcW w:w="195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53,2</w:t>
            </w:r>
            <w:r w:rsidR="00465611">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42,8</w:t>
            </w:r>
            <w:r w:rsidR="00465611">
              <w:rPr>
                <w:sz w:val="22"/>
                <w:szCs w:val="22"/>
                <w:lang w:val="en-US"/>
              </w:rPr>
              <w:t xml:space="preserve"> %</w:t>
            </w:r>
            <w:r w:rsidRPr="003E7FEE">
              <w:rPr>
                <w:sz w:val="22"/>
                <w:szCs w:val="22"/>
                <w:vertAlign w:val="superscript"/>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17,2</w:t>
            </w:r>
            <w:r w:rsidR="00465611">
              <w:rPr>
                <w:sz w:val="22"/>
                <w:szCs w:val="22"/>
                <w:lang w:val="en-US"/>
              </w:rPr>
              <w:t xml:space="preserve"> %</w:t>
            </w:r>
            <w:r w:rsidRPr="003E7FEE">
              <w:rPr>
                <w:sz w:val="22"/>
                <w:szCs w:val="22"/>
                <w:vertAlign w:val="superscript"/>
                <w:lang w:val="en-US"/>
              </w:rPr>
              <w:t>1</w:t>
            </w:r>
          </w:p>
        </w:tc>
        <w:tc>
          <w:tcPr>
            <w:tcW w:w="92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11,8</w:t>
            </w:r>
            <w:r w:rsidR="00465611">
              <w:rPr>
                <w:sz w:val="22"/>
                <w:szCs w:val="22"/>
                <w:lang w:val="en-US"/>
              </w:rPr>
              <w:t xml:space="preserve"> %</w:t>
            </w:r>
            <w:r w:rsidRPr="003E7FEE">
              <w:rPr>
                <w:sz w:val="22"/>
                <w:szCs w:val="22"/>
                <w:vertAlign w:val="superscript"/>
                <w:lang w:val="en-US"/>
              </w:rPr>
              <w:t>1</w:t>
            </w:r>
          </w:p>
        </w:tc>
      </w:tr>
      <w:tr w:rsidR="003E7FEE" w:rsidRPr="003E7FEE" w:rsidTr="00E749D7">
        <w:trPr>
          <w:trHeight w:val="415"/>
        </w:trPr>
        <w:tc>
          <w:tcPr>
            <w:tcW w:w="1728"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ind w:left="32"/>
              <w:rPr>
                <w:sz w:val="22"/>
                <w:szCs w:val="22"/>
                <w:lang w:val="en-US"/>
              </w:rPr>
            </w:pPr>
            <w:r w:rsidRPr="003E7FEE">
              <w:rPr>
                <w:sz w:val="22"/>
                <w:szCs w:val="22"/>
                <w:lang w:val="en-US"/>
              </w:rPr>
              <w:t>Uge 8</w:t>
            </w:r>
          </w:p>
        </w:tc>
        <w:tc>
          <w:tcPr>
            <w:tcW w:w="195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69,8</w:t>
            </w:r>
            <w:r w:rsidR="00465611">
              <w:rPr>
                <w:sz w:val="22"/>
                <w:szCs w:val="22"/>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E7FEE" w:rsidRPr="003E7FEE" w:rsidRDefault="003E7FEE" w:rsidP="003E7FEE">
            <w:pPr>
              <w:rPr>
                <w:sz w:val="22"/>
                <w:szCs w:val="22"/>
                <w:lang w:val="en-US"/>
              </w:rPr>
            </w:pPr>
            <w:r w:rsidRPr="003E7FEE">
              <w:rPr>
                <w:sz w:val="22"/>
                <w:szCs w:val="22"/>
                <w:lang w:val="en-US"/>
              </w:rPr>
              <w:t>62,5</w:t>
            </w:r>
            <w:r w:rsidR="00465611">
              <w:rPr>
                <w:sz w:val="22"/>
                <w:szCs w:val="22"/>
                <w:lang w:val="en-US"/>
              </w:rPr>
              <w:t xml:space="preserve"> %</w:t>
            </w:r>
            <w:r w:rsidRPr="003E7FEE">
              <w:rPr>
                <w:sz w:val="22"/>
                <w:szCs w:val="22"/>
                <w:vertAlign w:val="superscript"/>
                <w:lang w:val="en-US"/>
              </w:rPr>
              <w:t>1</w:t>
            </w:r>
          </w:p>
        </w:tc>
        <w:tc>
          <w:tcPr>
            <w:tcW w:w="1276"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40,1</w:t>
            </w:r>
            <w:r w:rsidR="00465611">
              <w:rPr>
                <w:sz w:val="22"/>
                <w:szCs w:val="22"/>
                <w:lang w:val="en-US"/>
              </w:rPr>
              <w:t xml:space="preserve"> %</w:t>
            </w:r>
            <w:r w:rsidRPr="003E7FEE">
              <w:rPr>
                <w:sz w:val="22"/>
                <w:szCs w:val="22"/>
                <w:vertAlign w:val="superscript"/>
                <w:lang w:val="en-US"/>
              </w:rPr>
              <w:t>1</w:t>
            </w:r>
          </w:p>
        </w:tc>
        <w:tc>
          <w:tcPr>
            <w:tcW w:w="927" w:type="dxa"/>
            <w:tcBorders>
              <w:top w:val="single" w:sz="4" w:space="0" w:color="auto"/>
              <w:left w:val="single" w:sz="4" w:space="0" w:color="auto"/>
              <w:bottom w:val="single" w:sz="4" w:space="0" w:color="auto"/>
              <w:right w:val="single" w:sz="4" w:space="0" w:color="auto"/>
            </w:tcBorders>
            <w:hideMark/>
          </w:tcPr>
          <w:p w:rsidR="003E7FEE" w:rsidRPr="003E7FEE" w:rsidRDefault="003E7FEE" w:rsidP="00611D63">
            <w:pPr>
              <w:rPr>
                <w:sz w:val="22"/>
                <w:szCs w:val="22"/>
                <w:lang w:val="en-US"/>
              </w:rPr>
            </w:pPr>
            <w:r w:rsidRPr="003E7FEE">
              <w:rPr>
                <w:sz w:val="22"/>
                <w:szCs w:val="22"/>
                <w:lang w:val="en-US"/>
              </w:rPr>
              <w:t>22,8</w:t>
            </w:r>
            <w:r w:rsidR="00465611">
              <w:rPr>
                <w:sz w:val="22"/>
                <w:szCs w:val="22"/>
                <w:lang w:val="en-US"/>
              </w:rPr>
              <w:t xml:space="preserve"> %</w:t>
            </w:r>
            <w:r w:rsidRPr="003E7FEE">
              <w:rPr>
                <w:sz w:val="22"/>
                <w:szCs w:val="22"/>
                <w:vertAlign w:val="superscript"/>
                <w:lang w:val="en-US"/>
              </w:rPr>
              <w:t>1</w:t>
            </w:r>
          </w:p>
        </w:tc>
      </w:tr>
    </w:tbl>
    <w:p w:rsidR="003E7FEE" w:rsidRPr="00611D63" w:rsidRDefault="003E7FEE" w:rsidP="003E7FEE">
      <w:pPr>
        <w:tabs>
          <w:tab w:val="left" w:pos="851"/>
        </w:tabs>
        <w:ind w:left="851"/>
        <w:rPr>
          <w:sz w:val="20"/>
        </w:rPr>
      </w:pPr>
      <w:r w:rsidRPr="00611D63">
        <w:rPr>
          <w:sz w:val="20"/>
          <w:vertAlign w:val="superscript"/>
        </w:rPr>
        <w:t>1</w:t>
      </w:r>
      <w:r w:rsidRPr="00611D63">
        <w:rPr>
          <w:sz w:val="20"/>
        </w:rPr>
        <w:t xml:space="preserve"> Statistisk signifikant mindre effektivt end betamethasondipropionat og calcipotriol kombinationsgel (P&lt;0,001).</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 xml:space="preserve">Virkningen af calcipotriol+betamethason 50 mikrogram/g+0,5 mg/g kombinationsgel en gang daglig på kroppen, bortset fra hårbunden, blev undersøgt i et randomiseret, dobbeltblindet, 8-ugers klinisk studie med 296 patienter med psoriasis vulgaris af mild eller moderat sværhedsgrad ifølge IGA. Sammenligningsprodukter var betamethasondipropionat i gel-vehiklet, calcipotriol i gel-vehiklet og gel-vehiklet alene, alle anvendt en gang daglig. De primære responskriterier var kontrolleret sygdomsgrad ifølge IGA i uge 4 og i uge 8. Kontrolleret sygdomsgrad var defineret som "clear" eller "minimal sygdomsgrad" for patienter med moderat sygdomsgrad ved udgangspunktet og "clear" for patienter med mild sygdomsgrad ved udgangspunktet. Den procentvise ændring i </w:t>
      </w:r>
      <w:r w:rsidRPr="003E7FEE">
        <w:rPr>
          <w:bCs/>
          <w:i/>
          <w:sz w:val="24"/>
          <w:szCs w:val="24"/>
        </w:rPr>
        <w:t xml:space="preserve">Psoriasis Severity and Area index </w:t>
      </w:r>
      <w:r w:rsidRPr="003E7FEE">
        <w:rPr>
          <w:bCs/>
          <w:sz w:val="24"/>
          <w:szCs w:val="24"/>
        </w:rPr>
        <w:t>(PASI) fra udgangspunktet til uge 4 og uge 8 var sekundære responskriterier.</w:t>
      </w:r>
    </w:p>
    <w:p w:rsidR="003E7FEE" w:rsidRPr="003E7FEE" w:rsidRDefault="003E7FEE" w:rsidP="003E7FEE">
      <w:pPr>
        <w:tabs>
          <w:tab w:val="left" w:pos="851"/>
        </w:tabs>
        <w:ind w:left="851"/>
        <w:rPr>
          <w:bCs/>
          <w:sz w:val="24"/>
          <w:szCs w:val="24"/>
        </w:rPr>
      </w:pPr>
    </w:p>
    <w:tbl>
      <w:tblPr>
        <w:tblStyle w:val="Tabel-Gitter"/>
        <w:tblW w:w="8308" w:type="dxa"/>
        <w:tblInd w:w="704" w:type="dxa"/>
        <w:tblLook w:val="04A0" w:firstRow="1" w:lastRow="0" w:firstColumn="1" w:lastColumn="0" w:noHBand="0" w:noVBand="1"/>
      </w:tblPr>
      <w:tblGrid>
        <w:gridCol w:w="1962"/>
        <w:gridCol w:w="1865"/>
        <w:gridCol w:w="1701"/>
        <w:gridCol w:w="1418"/>
        <w:gridCol w:w="1362"/>
      </w:tblGrid>
      <w:tr w:rsidR="003E7FEE" w:rsidRPr="00E749D7" w:rsidTr="00E749D7">
        <w:tc>
          <w:tcPr>
            <w:tcW w:w="1962" w:type="dxa"/>
            <w:tcBorders>
              <w:top w:val="single" w:sz="4" w:space="0" w:color="auto"/>
              <w:left w:val="single" w:sz="4" w:space="0" w:color="auto"/>
              <w:bottom w:val="single" w:sz="4" w:space="0" w:color="auto"/>
              <w:right w:val="single" w:sz="4" w:space="0" w:color="auto"/>
            </w:tcBorders>
            <w:hideMark/>
          </w:tcPr>
          <w:p w:rsidR="003E7FEE" w:rsidRPr="00E749D7" w:rsidRDefault="00465611" w:rsidP="00E749D7">
            <w:pPr>
              <w:ind w:left="31"/>
              <w:rPr>
                <w:sz w:val="22"/>
                <w:szCs w:val="22"/>
                <w:lang w:val="en-GB"/>
              </w:rPr>
            </w:pPr>
            <w:r w:rsidRPr="004C4C9D">
              <w:rPr>
                <w:sz w:val="22"/>
                <w:szCs w:val="22"/>
              </w:rPr>
              <w:t xml:space="preserve"> </w:t>
            </w:r>
            <w:r>
              <w:rPr>
                <w:sz w:val="22"/>
                <w:szCs w:val="22"/>
                <w:lang w:val="en-GB"/>
              </w:rPr>
              <w:t>%</w:t>
            </w:r>
            <w:r w:rsidR="003E7FEE" w:rsidRPr="00E749D7">
              <w:rPr>
                <w:sz w:val="22"/>
                <w:szCs w:val="22"/>
                <w:lang w:val="en-GB"/>
              </w:rPr>
              <w:t xml:space="preserve"> patienter med kontrolleret sygdomsgrad</w:t>
            </w:r>
          </w:p>
        </w:tc>
        <w:tc>
          <w:tcPr>
            <w:tcW w:w="1865"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8"/>
              <w:rPr>
                <w:sz w:val="22"/>
                <w:szCs w:val="22"/>
                <w:lang w:val="en-GB"/>
              </w:rPr>
            </w:pPr>
            <w:r w:rsidRPr="00E749D7">
              <w:rPr>
                <w:sz w:val="22"/>
                <w:szCs w:val="22"/>
                <w:lang w:val="en-GB"/>
              </w:rPr>
              <w:t>Betamethason dipropionat og calcipotriol kombinationsgel (n=126)</w:t>
            </w:r>
          </w:p>
        </w:tc>
        <w:tc>
          <w:tcPr>
            <w:tcW w:w="1701"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3"/>
              <w:rPr>
                <w:sz w:val="22"/>
                <w:szCs w:val="22"/>
                <w:lang w:val="en-GB"/>
              </w:rPr>
            </w:pPr>
            <w:r w:rsidRPr="00E749D7">
              <w:rPr>
                <w:sz w:val="22"/>
                <w:szCs w:val="22"/>
                <w:lang w:val="en-GB"/>
              </w:rPr>
              <w:t>Betamethason-dipropionat</w:t>
            </w:r>
          </w:p>
          <w:p w:rsidR="003E7FEE" w:rsidRPr="00E749D7" w:rsidRDefault="003E7FEE" w:rsidP="00E749D7">
            <w:pPr>
              <w:ind w:left="23"/>
              <w:rPr>
                <w:sz w:val="22"/>
                <w:szCs w:val="22"/>
                <w:lang w:val="en-GB"/>
              </w:rPr>
            </w:pPr>
            <w:r w:rsidRPr="00E749D7">
              <w:rPr>
                <w:sz w:val="22"/>
                <w:szCs w:val="22"/>
                <w:lang w:val="en-GB"/>
              </w:rPr>
              <w:t xml:space="preserve"> (n=68)</w:t>
            </w:r>
          </w:p>
        </w:tc>
        <w:tc>
          <w:tcPr>
            <w:tcW w:w="1418"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3"/>
              <w:rPr>
                <w:sz w:val="22"/>
                <w:szCs w:val="22"/>
                <w:lang w:val="en-GB"/>
              </w:rPr>
            </w:pPr>
            <w:r w:rsidRPr="00E749D7">
              <w:rPr>
                <w:sz w:val="22"/>
                <w:szCs w:val="22"/>
                <w:lang w:val="en-GB"/>
              </w:rPr>
              <w:t>Calcipotriol (n=67)</w:t>
            </w:r>
          </w:p>
        </w:tc>
        <w:tc>
          <w:tcPr>
            <w:tcW w:w="1362"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9"/>
              <w:rPr>
                <w:sz w:val="22"/>
                <w:szCs w:val="22"/>
                <w:lang w:val="en-GB"/>
              </w:rPr>
            </w:pPr>
            <w:r w:rsidRPr="00E749D7">
              <w:rPr>
                <w:sz w:val="22"/>
                <w:szCs w:val="22"/>
                <w:lang w:val="en-GB"/>
              </w:rPr>
              <w:t>Gel-vehikel (n=35)</w:t>
            </w:r>
          </w:p>
        </w:tc>
      </w:tr>
      <w:tr w:rsidR="003E7FEE" w:rsidRPr="00E749D7" w:rsidTr="00E749D7">
        <w:trPr>
          <w:trHeight w:val="364"/>
        </w:trPr>
        <w:tc>
          <w:tcPr>
            <w:tcW w:w="1962"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31"/>
              <w:rPr>
                <w:sz w:val="22"/>
                <w:szCs w:val="22"/>
                <w:lang w:val="en-GB"/>
              </w:rPr>
            </w:pPr>
            <w:r w:rsidRPr="00E749D7">
              <w:rPr>
                <w:sz w:val="22"/>
                <w:szCs w:val="22"/>
                <w:lang w:val="en-GB"/>
              </w:rPr>
              <w:t>Uge 4</w:t>
            </w:r>
          </w:p>
        </w:tc>
        <w:tc>
          <w:tcPr>
            <w:tcW w:w="1865"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8"/>
              <w:rPr>
                <w:sz w:val="22"/>
                <w:szCs w:val="22"/>
                <w:lang w:val="en-GB"/>
              </w:rPr>
            </w:pPr>
            <w:r w:rsidRPr="00E749D7">
              <w:rPr>
                <w:sz w:val="22"/>
                <w:szCs w:val="22"/>
                <w:lang w:val="en-GB"/>
              </w:rPr>
              <w:t>20,6</w:t>
            </w:r>
            <w:r w:rsidR="00465611">
              <w:rPr>
                <w:sz w:val="22"/>
                <w:szCs w:val="22"/>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3"/>
              <w:rPr>
                <w:sz w:val="22"/>
                <w:szCs w:val="22"/>
                <w:lang w:val="en-GB"/>
              </w:rPr>
            </w:pPr>
            <w:r w:rsidRPr="00E749D7">
              <w:rPr>
                <w:sz w:val="22"/>
                <w:szCs w:val="22"/>
                <w:lang w:val="en-GB"/>
              </w:rPr>
              <w:t>10,3</w:t>
            </w:r>
            <w:r w:rsidR="00465611">
              <w:rPr>
                <w:sz w:val="22"/>
                <w:szCs w:val="22"/>
                <w:lang w:val="en-GB"/>
              </w:rPr>
              <w:t xml:space="preserve"> %</w:t>
            </w:r>
            <w:r w:rsidRPr="00E749D7">
              <w:rPr>
                <w:sz w:val="22"/>
                <w:szCs w:val="22"/>
                <w:vertAlign w:val="superscript"/>
                <w:lang w:val="en-GB"/>
              </w:rPr>
              <w:t>1</w:t>
            </w:r>
          </w:p>
        </w:tc>
        <w:tc>
          <w:tcPr>
            <w:tcW w:w="1418"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3"/>
              <w:rPr>
                <w:sz w:val="22"/>
                <w:szCs w:val="22"/>
                <w:lang w:val="en-GB"/>
              </w:rPr>
            </w:pPr>
            <w:r w:rsidRPr="00E749D7">
              <w:rPr>
                <w:sz w:val="22"/>
                <w:szCs w:val="22"/>
                <w:lang w:val="en-GB"/>
              </w:rPr>
              <w:t>4,5</w:t>
            </w:r>
            <w:r w:rsidR="00465611">
              <w:rPr>
                <w:sz w:val="22"/>
                <w:szCs w:val="22"/>
                <w:lang w:val="en-GB"/>
              </w:rPr>
              <w:t xml:space="preserve"> %</w:t>
            </w:r>
            <w:r w:rsidRPr="00E749D7">
              <w:rPr>
                <w:sz w:val="22"/>
                <w:szCs w:val="22"/>
                <w:vertAlign w:val="superscript"/>
                <w:lang w:val="en-GB"/>
              </w:rPr>
              <w:t>1</w:t>
            </w:r>
          </w:p>
        </w:tc>
        <w:tc>
          <w:tcPr>
            <w:tcW w:w="1362"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9"/>
              <w:rPr>
                <w:sz w:val="22"/>
                <w:szCs w:val="22"/>
                <w:lang w:val="en-GB"/>
              </w:rPr>
            </w:pPr>
            <w:r w:rsidRPr="00E749D7">
              <w:rPr>
                <w:sz w:val="22"/>
                <w:szCs w:val="22"/>
                <w:lang w:val="en-GB"/>
              </w:rPr>
              <w:t>2,9</w:t>
            </w:r>
            <w:r w:rsidR="00465611">
              <w:rPr>
                <w:sz w:val="22"/>
                <w:szCs w:val="22"/>
                <w:lang w:val="en-GB"/>
              </w:rPr>
              <w:t xml:space="preserve"> %</w:t>
            </w:r>
            <w:r w:rsidRPr="00E749D7">
              <w:rPr>
                <w:sz w:val="22"/>
                <w:szCs w:val="22"/>
                <w:vertAlign w:val="superscript"/>
                <w:lang w:val="en-GB"/>
              </w:rPr>
              <w:t>1</w:t>
            </w:r>
          </w:p>
        </w:tc>
      </w:tr>
      <w:tr w:rsidR="003E7FEE" w:rsidRPr="00E749D7" w:rsidTr="00E749D7">
        <w:trPr>
          <w:trHeight w:val="411"/>
        </w:trPr>
        <w:tc>
          <w:tcPr>
            <w:tcW w:w="1962"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31"/>
              <w:rPr>
                <w:sz w:val="22"/>
                <w:szCs w:val="22"/>
                <w:lang w:val="en-GB"/>
              </w:rPr>
            </w:pPr>
            <w:r w:rsidRPr="00E749D7">
              <w:rPr>
                <w:sz w:val="22"/>
                <w:szCs w:val="22"/>
                <w:lang w:val="en-GB"/>
              </w:rPr>
              <w:t>Uge 8</w:t>
            </w:r>
          </w:p>
        </w:tc>
        <w:tc>
          <w:tcPr>
            <w:tcW w:w="1865"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8"/>
              <w:rPr>
                <w:sz w:val="22"/>
                <w:szCs w:val="22"/>
                <w:lang w:val="en-GB"/>
              </w:rPr>
            </w:pPr>
            <w:r w:rsidRPr="00E749D7">
              <w:rPr>
                <w:sz w:val="22"/>
                <w:szCs w:val="22"/>
                <w:lang w:val="en-GB"/>
              </w:rPr>
              <w:t>31,7</w:t>
            </w:r>
            <w:r w:rsidR="00465611">
              <w:rPr>
                <w:sz w:val="22"/>
                <w:szCs w:val="22"/>
                <w:lang w:val="en-GB"/>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23"/>
              <w:rPr>
                <w:sz w:val="22"/>
                <w:szCs w:val="22"/>
                <w:lang w:val="en-GB"/>
              </w:rPr>
            </w:pPr>
            <w:r w:rsidRPr="00E749D7">
              <w:rPr>
                <w:sz w:val="22"/>
                <w:szCs w:val="22"/>
                <w:lang w:val="en-GB"/>
              </w:rPr>
              <w:t>19,1</w:t>
            </w:r>
            <w:r w:rsidR="00465611">
              <w:rPr>
                <w:sz w:val="22"/>
                <w:szCs w:val="22"/>
                <w:lang w:val="en-GB"/>
              </w:rPr>
              <w:t xml:space="preserve"> %</w:t>
            </w:r>
            <w:r w:rsidRPr="00E749D7">
              <w:rPr>
                <w:sz w:val="22"/>
                <w:szCs w:val="22"/>
                <w:vertAlign w:val="superscript"/>
                <w:lang w:val="en-GB"/>
              </w:rPr>
              <w:t>1</w:t>
            </w:r>
          </w:p>
        </w:tc>
        <w:tc>
          <w:tcPr>
            <w:tcW w:w="1418"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3"/>
              <w:rPr>
                <w:sz w:val="22"/>
                <w:szCs w:val="22"/>
                <w:lang w:val="en-GB"/>
              </w:rPr>
            </w:pPr>
            <w:r w:rsidRPr="00E749D7">
              <w:rPr>
                <w:sz w:val="22"/>
                <w:szCs w:val="22"/>
                <w:lang w:val="en-GB"/>
              </w:rPr>
              <w:t>13,4</w:t>
            </w:r>
            <w:r w:rsidR="00465611">
              <w:rPr>
                <w:sz w:val="22"/>
                <w:szCs w:val="22"/>
                <w:lang w:val="en-GB"/>
              </w:rPr>
              <w:t xml:space="preserve"> %</w:t>
            </w:r>
            <w:r w:rsidRPr="00E749D7">
              <w:rPr>
                <w:sz w:val="22"/>
                <w:szCs w:val="22"/>
                <w:vertAlign w:val="superscript"/>
                <w:lang w:val="en-GB"/>
              </w:rPr>
              <w:t>1</w:t>
            </w:r>
          </w:p>
        </w:tc>
        <w:tc>
          <w:tcPr>
            <w:tcW w:w="1362" w:type="dxa"/>
            <w:tcBorders>
              <w:top w:val="single" w:sz="4" w:space="0" w:color="auto"/>
              <w:left w:val="single" w:sz="4" w:space="0" w:color="auto"/>
              <w:bottom w:val="single" w:sz="4" w:space="0" w:color="auto"/>
              <w:right w:val="single" w:sz="4" w:space="0" w:color="auto"/>
            </w:tcBorders>
            <w:hideMark/>
          </w:tcPr>
          <w:p w:rsidR="003E7FEE" w:rsidRPr="00E749D7" w:rsidRDefault="003E7FEE" w:rsidP="00E749D7">
            <w:pPr>
              <w:ind w:left="59"/>
              <w:rPr>
                <w:sz w:val="22"/>
                <w:szCs w:val="22"/>
                <w:lang w:val="en-GB"/>
              </w:rPr>
            </w:pPr>
            <w:r w:rsidRPr="00E749D7">
              <w:rPr>
                <w:sz w:val="22"/>
                <w:szCs w:val="22"/>
                <w:lang w:val="en-GB"/>
              </w:rPr>
              <w:t>0,0</w:t>
            </w:r>
            <w:r w:rsidR="00465611">
              <w:rPr>
                <w:sz w:val="22"/>
                <w:szCs w:val="22"/>
                <w:lang w:val="en-GB"/>
              </w:rPr>
              <w:t xml:space="preserve"> %</w:t>
            </w:r>
            <w:r w:rsidRPr="00E749D7">
              <w:rPr>
                <w:sz w:val="22"/>
                <w:szCs w:val="22"/>
                <w:vertAlign w:val="superscript"/>
                <w:lang w:val="en-GB"/>
              </w:rPr>
              <w:t>1</w:t>
            </w:r>
          </w:p>
        </w:tc>
      </w:tr>
    </w:tbl>
    <w:p w:rsidR="003E7FEE" w:rsidRPr="00E749D7" w:rsidRDefault="003E7FEE" w:rsidP="003E7FEE">
      <w:pPr>
        <w:tabs>
          <w:tab w:val="left" w:pos="851"/>
        </w:tabs>
        <w:ind w:left="851"/>
        <w:rPr>
          <w:sz w:val="20"/>
        </w:rPr>
      </w:pPr>
      <w:r w:rsidRPr="00E749D7">
        <w:rPr>
          <w:sz w:val="20"/>
          <w:vertAlign w:val="superscript"/>
        </w:rPr>
        <w:t>1</w:t>
      </w:r>
      <w:r w:rsidRPr="00E749D7">
        <w:rPr>
          <w:sz w:val="20"/>
        </w:rPr>
        <w:t xml:space="preserve"> Statistisk signifikant mindre effektivt end betamethasondipropionat og calcipotriol kombinationsgel (P&lt;0,05).</w:t>
      </w:r>
    </w:p>
    <w:p w:rsidR="003E7FEE" w:rsidRPr="003E7FEE" w:rsidRDefault="003E7FEE" w:rsidP="003E7FEE">
      <w:pPr>
        <w:tabs>
          <w:tab w:val="left" w:pos="851"/>
        </w:tabs>
        <w:ind w:left="851"/>
        <w:rPr>
          <w:sz w:val="24"/>
          <w:szCs w:val="24"/>
        </w:rPr>
      </w:pPr>
    </w:p>
    <w:tbl>
      <w:tblPr>
        <w:tblStyle w:val="Tabel-Gitter"/>
        <w:tblW w:w="8282" w:type="dxa"/>
        <w:tblInd w:w="704" w:type="dxa"/>
        <w:tblLook w:val="04A0" w:firstRow="1" w:lastRow="0" w:firstColumn="1" w:lastColumn="0" w:noHBand="0" w:noVBand="1"/>
      </w:tblPr>
      <w:tblGrid>
        <w:gridCol w:w="2066"/>
        <w:gridCol w:w="1761"/>
        <w:gridCol w:w="1605"/>
        <w:gridCol w:w="1362"/>
        <w:gridCol w:w="1488"/>
      </w:tblGrid>
      <w:tr w:rsidR="003E7FEE" w:rsidRPr="001A17D1" w:rsidTr="00040AEE">
        <w:tc>
          <w:tcPr>
            <w:tcW w:w="2066" w:type="dxa"/>
            <w:tcBorders>
              <w:top w:val="single" w:sz="4" w:space="0" w:color="auto"/>
              <w:left w:val="single" w:sz="4" w:space="0" w:color="auto"/>
              <w:bottom w:val="single" w:sz="4" w:space="0" w:color="auto"/>
              <w:right w:val="single" w:sz="4" w:space="0" w:color="auto"/>
            </w:tcBorders>
            <w:hideMark/>
          </w:tcPr>
          <w:p w:rsidR="003E7FEE" w:rsidRPr="001A17D1" w:rsidRDefault="003E7FEE" w:rsidP="006B10FF">
            <w:pPr>
              <w:ind w:left="31"/>
              <w:rPr>
                <w:sz w:val="22"/>
                <w:szCs w:val="22"/>
              </w:rPr>
            </w:pPr>
            <w:r w:rsidRPr="001A17D1">
              <w:rPr>
                <w:sz w:val="22"/>
                <w:szCs w:val="22"/>
              </w:rPr>
              <w:t>Gennemsnitlig procentvis reduktion i PASI (SD)</w:t>
            </w:r>
          </w:p>
        </w:tc>
        <w:tc>
          <w:tcPr>
            <w:tcW w:w="1761"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0"/>
              <w:rPr>
                <w:sz w:val="22"/>
                <w:szCs w:val="22"/>
                <w:lang w:val="en-GB"/>
              </w:rPr>
            </w:pPr>
            <w:r w:rsidRPr="001A17D1">
              <w:rPr>
                <w:sz w:val="22"/>
                <w:szCs w:val="22"/>
                <w:lang w:val="en-GB"/>
              </w:rPr>
              <w:t>Betamethason dipropionat og calcipotriol kombinationgel (n=126)</w:t>
            </w:r>
          </w:p>
        </w:tc>
        <w:tc>
          <w:tcPr>
            <w:tcW w:w="1605"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23"/>
              <w:rPr>
                <w:sz w:val="22"/>
                <w:szCs w:val="22"/>
                <w:lang w:val="en-GB"/>
              </w:rPr>
            </w:pPr>
            <w:r w:rsidRPr="001A17D1">
              <w:rPr>
                <w:sz w:val="22"/>
                <w:szCs w:val="22"/>
                <w:lang w:val="en-GB"/>
              </w:rPr>
              <w:t>Betamethason-dipropionat</w:t>
            </w:r>
          </w:p>
          <w:p w:rsidR="003E7FEE" w:rsidRPr="001A17D1" w:rsidRDefault="003E7FEE" w:rsidP="00040AEE">
            <w:pPr>
              <w:ind w:left="23"/>
              <w:rPr>
                <w:sz w:val="22"/>
                <w:szCs w:val="22"/>
                <w:lang w:val="en-GB"/>
              </w:rPr>
            </w:pPr>
            <w:r w:rsidRPr="001A17D1">
              <w:rPr>
                <w:sz w:val="22"/>
                <w:szCs w:val="22"/>
                <w:lang w:val="en-GB"/>
              </w:rPr>
              <w:t>(n=68)</w:t>
            </w:r>
          </w:p>
        </w:tc>
        <w:tc>
          <w:tcPr>
            <w:tcW w:w="1362"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3"/>
              <w:rPr>
                <w:sz w:val="22"/>
                <w:szCs w:val="22"/>
                <w:lang w:val="en-GB"/>
              </w:rPr>
            </w:pPr>
            <w:r w:rsidRPr="001A17D1">
              <w:rPr>
                <w:sz w:val="22"/>
                <w:szCs w:val="22"/>
                <w:lang w:val="en-GB"/>
              </w:rPr>
              <w:t>Calcipotriol (n=67)</w:t>
            </w:r>
          </w:p>
        </w:tc>
        <w:tc>
          <w:tcPr>
            <w:tcW w:w="1488"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9"/>
              <w:rPr>
                <w:sz w:val="22"/>
                <w:szCs w:val="22"/>
                <w:lang w:val="en-GB"/>
              </w:rPr>
            </w:pPr>
            <w:r w:rsidRPr="001A17D1">
              <w:rPr>
                <w:sz w:val="22"/>
                <w:szCs w:val="22"/>
                <w:lang w:val="en-GB"/>
              </w:rPr>
              <w:t>Gel-vehikel (n=35)</w:t>
            </w:r>
          </w:p>
        </w:tc>
      </w:tr>
      <w:tr w:rsidR="003E7FEE" w:rsidRPr="001A17D1" w:rsidTr="00040AEE">
        <w:trPr>
          <w:trHeight w:val="464"/>
        </w:trPr>
        <w:tc>
          <w:tcPr>
            <w:tcW w:w="2066" w:type="dxa"/>
            <w:tcBorders>
              <w:top w:val="single" w:sz="4" w:space="0" w:color="auto"/>
              <w:left w:val="single" w:sz="4" w:space="0" w:color="auto"/>
              <w:bottom w:val="single" w:sz="4" w:space="0" w:color="auto"/>
              <w:right w:val="single" w:sz="4" w:space="0" w:color="auto"/>
            </w:tcBorders>
            <w:hideMark/>
          </w:tcPr>
          <w:p w:rsidR="003E7FEE" w:rsidRPr="001A17D1" w:rsidRDefault="003E7FEE" w:rsidP="006B10FF">
            <w:pPr>
              <w:ind w:left="31"/>
              <w:rPr>
                <w:sz w:val="22"/>
                <w:szCs w:val="22"/>
                <w:lang w:val="en-GB"/>
              </w:rPr>
            </w:pPr>
            <w:r w:rsidRPr="001A17D1">
              <w:rPr>
                <w:sz w:val="22"/>
                <w:szCs w:val="22"/>
                <w:lang w:val="en-GB"/>
              </w:rPr>
              <w:t>Uge 4</w:t>
            </w:r>
          </w:p>
        </w:tc>
        <w:tc>
          <w:tcPr>
            <w:tcW w:w="1761"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0"/>
              <w:rPr>
                <w:sz w:val="22"/>
                <w:szCs w:val="22"/>
                <w:lang w:val="en-GB"/>
              </w:rPr>
            </w:pPr>
            <w:r w:rsidRPr="001A17D1">
              <w:rPr>
                <w:sz w:val="22"/>
                <w:szCs w:val="22"/>
                <w:lang w:val="en-GB"/>
              </w:rPr>
              <w:t>50,2 (32,7)</w:t>
            </w:r>
          </w:p>
        </w:tc>
        <w:tc>
          <w:tcPr>
            <w:tcW w:w="1605"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23"/>
              <w:rPr>
                <w:sz w:val="22"/>
                <w:szCs w:val="22"/>
                <w:lang w:val="en-GB"/>
              </w:rPr>
            </w:pPr>
            <w:r w:rsidRPr="001A17D1">
              <w:rPr>
                <w:sz w:val="22"/>
                <w:szCs w:val="22"/>
                <w:lang w:val="en-GB"/>
              </w:rPr>
              <w:t>40,8 (33,3)</w:t>
            </w:r>
            <w:r w:rsidRPr="001A17D1">
              <w:rPr>
                <w:sz w:val="22"/>
                <w:szCs w:val="22"/>
                <w:vertAlign w:val="superscript"/>
                <w:lang w:val="en-GB"/>
              </w:rPr>
              <w:t>1</w:t>
            </w:r>
          </w:p>
        </w:tc>
        <w:tc>
          <w:tcPr>
            <w:tcW w:w="1362"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3"/>
              <w:rPr>
                <w:sz w:val="22"/>
                <w:szCs w:val="22"/>
                <w:lang w:val="en-GB"/>
              </w:rPr>
            </w:pPr>
            <w:r w:rsidRPr="001A17D1">
              <w:rPr>
                <w:sz w:val="22"/>
                <w:szCs w:val="22"/>
                <w:lang w:val="en-GB"/>
              </w:rPr>
              <w:t>32,1 (23,6)</w:t>
            </w:r>
            <w:r w:rsidRPr="001A17D1">
              <w:rPr>
                <w:sz w:val="22"/>
                <w:szCs w:val="22"/>
                <w:vertAlign w:val="superscript"/>
                <w:lang w:val="en-GB"/>
              </w:rPr>
              <w:t>1</w:t>
            </w:r>
          </w:p>
        </w:tc>
        <w:tc>
          <w:tcPr>
            <w:tcW w:w="1488"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9"/>
              <w:rPr>
                <w:sz w:val="22"/>
                <w:szCs w:val="22"/>
                <w:lang w:val="en-GB"/>
              </w:rPr>
            </w:pPr>
            <w:r w:rsidRPr="001A17D1">
              <w:rPr>
                <w:sz w:val="22"/>
                <w:szCs w:val="22"/>
                <w:lang w:val="en-GB"/>
              </w:rPr>
              <w:t>17,0 (31,8)</w:t>
            </w:r>
            <w:r w:rsidRPr="001A17D1">
              <w:rPr>
                <w:sz w:val="22"/>
                <w:szCs w:val="22"/>
                <w:vertAlign w:val="superscript"/>
                <w:lang w:val="en-GB"/>
              </w:rPr>
              <w:t>1</w:t>
            </w:r>
          </w:p>
        </w:tc>
      </w:tr>
      <w:tr w:rsidR="003E7FEE" w:rsidRPr="001A17D1" w:rsidTr="00040AEE">
        <w:trPr>
          <w:trHeight w:val="414"/>
        </w:trPr>
        <w:tc>
          <w:tcPr>
            <w:tcW w:w="2066" w:type="dxa"/>
            <w:tcBorders>
              <w:top w:val="single" w:sz="4" w:space="0" w:color="auto"/>
              <w:left w:val="single" w:sz="4" w:space="0" w:color="auto"/>
              <w:bottom w:val="single" w:sz="4" w:space="0" w:color="auto"/>
              <w:right w:val="single" w:sz="4" w:space="0" w:color="auto"/>
            </w:tcBorders>
            <w:hideMark/>
          </w:tcPr>
          <w:p w:rsidR="003E7FEE" w:rsidRPr="001A17D1" w:rsidRDefault="003E7FEE" w:rsidP="006B10FF">
            <w:pPr>
              <w:ind w:left="31"/>
              <w:rPr>
                <w:sz w:val="22"/>
                <w:szCs w:val="22"/>
                <w:lang w:val="en-GB"/>
              </w:rPr>
            </w:pPr>
            <w:r w:rsidRPr="001A17D1">
              <w:rPr>
                <w:sz w:val="22"/>
                <w:szCs w:val="22"/>
                <w:lang w:val="en-GB"/>
              </w:rPr>
              <w:t>Uge 8</w:t>
            </w:r>
          </w:p>
        </w:tc>
        <w:tc>
          <w:tcPr>
            <w:tcW w:w="1761"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0"/>
              <w:rPr>
                <w:sz w:val="22"/>
                <w:szCs w:val="22"/>
                <w:lang w:val="en-GB"/>
              </w:rPr>
            </w:pPr>
            <w:r w:rsidRPr="001A17D1">
              <w:rPr>
                <w:sz w:val="22"/>
                <w:szCs w:val="22"/>
                <w:lang w:val="en-GB"/>
              </w:rPr>
              <w:t>58,8 (32,4)</w:t>
            </w:r>
          </w:p>
        </w:tc>
        <w:tc>
          <w:tcPr>
            <w:tcW w:w="1605"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23"/>
              <w:rPr>
                <w:sz w:val="22"/>
                <w:szCs w:val="22"/>
                <w:lang w:val="en-GB"/>
              </w:rPr>
            </w:pPr>
            <w:r w:rsidRPr="001A17D1">
              <w:rPr>
                <w:sz w:val="22"/>
                <w:szCs w:val="22"/>
                <w:lang w:val="en-GB"/>
              </w:rPr>
              <w:t>51,8 (35,0)</w:t>
            </w:r>
          </w:p>
        </w:tc>
        <w:tc>
          <w:tcPr>
            <w:tcW w:w="1362"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3"/>
              <w:rPr>
                <w:sz w:val="22"/>
                <w:szCs w:val="22"/>
                <w:lang w:val="en-GB"/>
              </w:rPr>
            </w:pPr>
            <w:r w:rsidRPr="001A17D1">
              <w:rPr>
                <w:sz w:val="22"/>
                <w:szCs w:val="22"/>
                <w:lang w:val="en-GB"/>
              </w:rPr>
              <w:t>40,8 (31,9)</w:t>
            </w:r>
            <w:r w:rsidRPr="001A17D1">
              <w:rPr>
                <w:sz w:val="22"/>
                <w:szCs w:val="22"/>
                <w:vertAlign w:val="superscript"/>
                <w:lang w:val="en-GB"/>
              </w:rPr>
              <w:t>1</w:t>
            </w:r>
          </w:p>
        </w:tc>
        <w:tc>
          <w:tcPr>
            <w:tcW w:w="1488" w:type="dxa"/>
            <w:tcBorders>
              <w:top w:val="single" w:sz="4" w:space="0" w:color="auto"/>
              <w:left w:val="single" w:sz="4" w:space="0" w:color="auto"/>
              <w:bottom w:val="single" w:sz="4" w:space="0" w:color="auto"/>
              <w:right w:val="single" w:sz="4" w:space="0" w:color="auto"/>
            </w:tcBorders>
            <w:hideMark/>
          </w:tcPr>
          <w:p w:rsidR="003E7FEE" w:rsidRPr="001A17D1" w:rsidRDefault="003E7FEE" w:rsidP="00040AEE">
            <w:pPr>
              <w:ind w:left="59"/>
              <w:rPr>
                <w:sz w:val="22"/>
                <w:szCs w:val="22"/>
                <w:lang w:val="en-GB"/>
              </w:rPr>
            </w:pPr>
            <w:r w:rsidRPr="001A17D1">
              <w:rPr>
                <w:sz w:val="22"/>
                <w:szCs w:val="22"/>
                <w:lang w:val="en-GB"/>
              </w:rPr>
              <w:t>11,1 (29,5)</w:t>
            </w:r>
            <w:r w:rsidRPr="001A17D1">
              <w:rPr>
                <w:sz w:val="22"/>
                <w:szCs w:val="22"/>
                <w:vertAlign w:val="superscript"/>
                <w:lang w:val="en-GB"/>
              </w:rPr>
              <w:t>1</w:t>
            </w:r>
          </w:p>
        </w:tc>
      </w:tr>
    </w:tbl>
    <w:p w:rsidR="003E7FEE" w:rsidRPr="00E749D7" w:rsidRDefault="003E7FEE" w:rsidP="003E7FEE">
      <w:pPr>
        <w:tabs>
          <w:tab w:val="left" w:pos="851"/>
        </w:tabs>
        <w:ind w:left="851"/>
        <w:rPr>
          <w:sz w:val="20"/>
        </w:rPr>
      </w:pPr>
      <w:r w:rsidRPr="00E749D7">
        <w:rPr>
          <w:sz w:val="20"/>
          <w:vertAlign w:val="superscript"/>
        </w:rPr>
        <w:t>1</w:t>
      </w:r>
      <w:r w:rsidRPr="00E749D7">
        <w:rPr>
          <w:sz w:val="20"/>
        </w:rPr>
        <w:t xml:space="preserve"> Statistisk signifikant mindre effektivt end betamethasondipropionat og calcipotriol kombinationsgel (P&lt;0,05).</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Et andet randomiseret, investigator-blindet, klinisk studie inkluderede 312 patienter med psoriasis i hårbunden af mindst moderat sværhedsgrad ifølge IGA. Brugen af calcipotriol+bethamethason 50 mikrogram/g+0,5 mg/g kombinationsgel en gang daglig blev sammenlignet med Daivonex kutanopløsning til hårbunden to gange daglig i op til 8 uger. Resultaterne for det primære responskriterium (ingen eller meget mild sygdomsgrad ifølge IGA i uge 8) viste, at calcipotriol+betamethason 50 mikrogram/g+0,5 mg/g kombinationsgel var mere effektivt (statistisk signifikant) end Daivonex kutanopløsning til hårbunden.</w:t>
      </w:r>
    </w:p>
    <w:p w:rsidR="003E7FEE" w:rsidRPr="003E7FEE" w:rsidRDefault="003E7FEE" w:rsidP="003E7FEE">
      <w:pPr>
        <w:tabs>
          <w:tab w:val="left" w:pos="851"/>
        </w:tabs>
        <w:ind w:left="851"/>
        <w:rPr>
          <w:bCs/>
          <w:sz w:val="24"/>
          <w:szCs w:val="24"/>
        </w:rPr>
      </w:pPr>
    </w:p>
    <w:tbl>
      <w:tblPr>
        <w:tblStyle w:val="Tabel-Gitter"/>
        <w:tblW w:w="8052" w:type="dxa"/>
        <w:tblInd w:w="846" w:type="dxa"/>
        <w:tblLook w:val="04A0" w:firstRow="1" w:lastRow="0" w:firstColumn="1" w:lastColumn="0" w:noHBand="0" w:noVBand="1"/>
      </w:tblPr>
      <w:tblGrid>
        <w:gridCol w:w="2268"/>
        <w:gridCol w:w="2855"/>
        <w:gridCol w:w="2929"/>
      </w:tblGrid>
      <w:tr w:rsidR="003E7FEE" w:rsidRPr="00040AEE" w:rsidTr="00040AEE">
        <w:tc>
          <w:tcPr>
            <w:tcW w:w="2268" w:type="dxa"/>
            <w:tcBorders>
              <w:top w:val="single" w:sz="4" w:space="0" w:color="auto"/>
              <w:left w:val="single" w:sz="4" w:space="0" w:color="auto"/>
              <w:bottom w:val="single" w:sz="4" w:space="0" w:color="auto"/>
              <w:right w:val="single" w:sz="4" w:space="0" w:color="auto"/>
            </w:tcBorders>
            <w:hideMark/>
          </w:tcPr>
          <w:p w:rsidR="003E7FEE" w:rsidRPr="00040AEE" w:rsidRDefault="00465611" w:rsidP="00040AEE">
            <w:pPr>
              <w:ind w:left="33"/>
              <w:rPr>
                <w:sz w:val="22"/>
                <w:szCs w:val="22"/>
              </w:rPr>
            </w:pPr>
            <w:r>
              <w:rPr>
                <w:sz w:val="22"/>
                <w:szCs w:val="22"/>
              </w:rPr>
              <w:t xml:space="preserve"> %</w:t>
            </w:r>
            <w:r w:rsidR="003E7FEE" w:rsidRPr="00040AEE">
              <w:rPr>
                <w:sz w:val="22"/>
                <w:szCs w:val="22"/>
              </w:rPr>
              <w:t xml:space="preserve"> patienter med ingen eller meget mild sygdomsgrad</w:t>
            </w:r>
          </w:p>
        </w:tc>
        <w:tc>
          <w:tcPr>
            <w:tcW w:w="2855" w:type="dxa"/>
            <w:tcBorders>
              <w:top w:val="single" w:sz="4" w:space="0" w:color="auto"/>
              <w:left w:val="single" w:sz="4" w:space="0" w:color="auto"/>
              <w:bottom w:val="single" w:sz="4" w:space="0" w:color="auto"/>
              <w:right w:val="single" w:sz="4" w:space="0" w:color="auto"/>
            </w:tcBorders>
            <w:hideMark/>
          </w:tcPr>
          <w:p w:rsidR="003E7FEE" w:rsidRPr="00040AEE" w:rsidRDefault="003E7FEE" w:rsidP="00040AEE">
            <w:pPr>
              <w:ind w:left="54"/>
              <w:rPr>
                <w:sz w:val="22"/>
                <w:szCs w:val="22"/>
                <w:lang w:val="en-GB"/>
              </w:rPr>
            </w:pPr>
            <w:r w:rsidRPr="00040AEE">
              <w:rPr>
                <w:sz w:val="22"/>
                <w:szCs w:val="22"/>
                <w:lang w:val="en-GB"/>
              </w:rPr>
              <w:t xml:space="preserve">Betamethasondipropionat og </w:t>
            </w:r>
          </w:p>
          <w:p w:rsidR="003E7FEE" w:rsidRPr="00040AEE" w:rsidRDefault="003E7FEE" w:rsidP="00040AEE">
            <w:pPr>
              <w:ind w:left="54"/>
              <w:rPr>
                <w:sz w:val="22"/>
                <w:szCs w:val="22"/>
                <w:lang w:val="en-GB"/>
              </w:rPr>
            </w:pPr>
            <w:r w:rsidRPr="00040AEE">
              <w:rPr>
                <w:sz w:val="22"/>
                <w:szCs w:val="22"/>
                <w:lang w:val="en-GB"/>
              </w:rPr>
              <w:t>calcipotriol kombinationsgel</w:t>
            </w:r>
          </w:p>
          <w:p w:rsidR="003E7FEE" w:rsidRPr="00040AEE" w:rsidRDefault="003E7FEE" w:rsidP="00040AEE">
            <w:pPr>
              <w:ind w:left="54"/>
              <w:rPr>
                <w:sz w:val="22"/>
                <w:szCs w:val="22"/>
                <w:lang w:val="en-GB"/>
              </w:rPr>
            </w:pPr>
            <w:r w:rsidRPr="00040AEE">
              <w:rPr>
                <w:sz w:val="22"/>
                <w:szCs w:val="22"/>
                <w:lang w:val="en-GB"/>
              </w:rPr>
              <w:t>(n=207)</w:t>
            </w:r>
          </w:p>
        </w:tc>
        <w:tc>
          <w:tcPr>
            <w:tcW w:w="2929" w:type="dxa"/>
            <w:tcBorders>
              <w:top w:val="single" w:sz="4" w:space="0" w:color="auto"/>
              <w:left w:val="single" w:sz="4" w:space="0" w:color="auto"/>
              <w:bottom w:val="single" w:sz="4" w:space="0" w:color="auto"/>
              <w:right w:val="single" w:sz="4" w:space="0" w:color="auto"/>
            </w:tcBorders>
            <w:hideMark/>
          </w:tcPr>
          <w:p w:rsidR="003E7FEE" w:rsidRPr="00040AEE" w:rsidRDefault="003E7FEE" w:rsidP="00040AEE">
            <w:pPr>
              <w:rPr>
                <w:sz w:val="22"/>
                <w:szCs w:val="22"/>
              </w:rPr>
            </w:pPr>
            <w:r w:rsidRPr="00040AEE">
              <w:rPr>
                <w:sz w:val="22"/>
                <w:szCs w:val="22"/>
              </w:rPr>
              <w:t>Daivonex</w:t>
            </w:r>
          </w:p>
          <w:p w:rsidR="003E7FEE" w:rsidRPr="00040AEE" w:rsidRDefault="003E7FEE" w:rsidP="00040AEE">
            <w:pPr>
              <w:rPr>
                <w:sz w:val="22"/>
                <w:szCs w:val="22"/>
              </w:rPr>
            </w:pPr>
            <w:r w:rsidRPr="00040AEE">
              <w:rPr>
                <w:sz w:val="22"/>
                <w:szCs w:val="22"/>
              </w:rPr>
              <w:t>kutanopløsning til hårbunden</w:t>
            </w:r>
          </w:p>
          <w:p w:rsidR="003E7FEE" w:rsidRPr="00040AEE" w:rsidRDefault="003E7FEE" w:rsidP="00040AEE">
            <w:pPr>
              <w:rPr>
                <w:sz w:val="22"/>
                <w:szCs w:val="22"/>
              </w:rPr>
            </w:pPr>
            <w:r w:rsidRPr="00040AEE">
              <w:rPr>
                <w:sz w:val="22"/>
                <w:szCs w:val="22"/>
              </w:rPr>
              <w:t>(n=105)</w:t>
            </w:r>
          </w:p>
        </w:tc>
      </w:tr>
      <w:tr w:rsidR="003E7FEE" w:rsidRPr="00040AEE" w:rsidTr="00040AEE">
        <w:trPr>
          <w:trHeight w:val="424"/>
        </w:trPr>
        <w:tc>
          <w:tcPr>
            <w:tcW w:w="2268" w:type="dxa"/>
            <w:tcBorders>
              <w:top w:val="single" w:sz="4" w:space="0" w:color="auto"/>
              <w:left w:val="single" w:sz="4" w:space="0" w:color="auto"/>
              <w:bottom w:val="single" w:sz="4" w:space="0" w:color="auto"/>
              <w:right w:val="single" w:sz="4" w:space="0" w:color="auto"/>
            </w:tcBorders>
            <w:hideMark/>
          </w:tcPr>
          <w:p w:rsidR="003E7FEE" w:rsidRPr="00040AEE" w:rsidRDefault="003E7FEE" w:rsidP="00040AEE">
            <w:pPr>
              <w:ind w:left="33"/>
              <w:rPr>
                <w:sz w:val="22"/>
                <w:szCs w:val="22"/>
                <w:lang w:val="en-GB"/>
              </w:rPr>
            </w:pPr>
            <w:r w:rsidRPr="00040AEE">
              <w:rPr>
                <w:sz w:val="22"/>
                <w:szCs w:val="22"/>
                <w:lang w:val="en-GB"/>
              </w:rPr>
              <w:t>Uge 8</w:t>
            </w:r>
          </w:p>
        </w:tc>
        <w:tc>
          <w:tcPr>
            <w:tcW w:w="2855" w:type="dxa"/>
            <w:tcBorders>
              <w:top w:val="single" w:sz="4" w:space="0" w:color="auto"/>
              <w:left w:val="single" w:sz="4" w:space="0" w:color="auto"/>
              <w:bottom w:val="single" w:sz="4" w:space="0" w:color="auto"/>
              <w:right w:val="single" w:sz="4" w:space="0" w:color="auto"/>
            </w:tcBorders>
            <w:hideMark/>
          </w:tcPr>
          <w:p w:rsidR="003E7FEE" w:rsidRPr="00040AEE" w:rsidRDefault="003E7FEE" w:rsidP="00040AEE">
            <w:pPr>
              <w:ind w:left="54"/>
              <w:rPr>
                <w:sz w:val="22"/>
                <w:szCs w:val="22"/>
                <w:lang w:val="en-GB"/>
              </w:rPr>
            </w:pPr>
            <w:r w:rsidRPr="00040AEE">
              <w:rPr>
                <w:sz w:val="22"/>
                <w:szCs w:val="22"/>
                <w:lang w:val="en-GB"/>
              </w:rPr>
              <w:t>68,6</w:t>
            </w:r>
            <w:r w:rsidR="00465611">
              <w:rPr>
                <w:sz w:val="22"/>
                <w:szCs w:val="22"/>
                <w:lang w:val="en-GB"/>
              </w:rPr>
              <w:t xml:space="preserve"> %</w:t>
            </w:r>
          </w:p>
        </w:tc>
        <w:tc>
          <w:tcPr>
            <w:tcW w:w="2929" w:type="dxa"/>
            <w:tcBorders>
              <w:top w:val="single" w:sz="4" w:space="0" w:color="auto"/>
              <w:left w:val="single" w:sz="4" w:space="0" w:color="auto"/>
              <w:bottom w:val="single" w:sz="4" w:space="0" w:color="auto"/>
              <w:right w:val="single" w:sz="4" w:space="0" w:color="auto"/>
            </w:tcBorders>
            <w:hideMark/>
          </w:tcPr>
          <w:p w:rsidR="003E7FEE" w:rsidRPr="00040AEE" w:rsidRDefault="003E7FEE" w:rsidP="00040AEE">
            <w:pPr>
              <w:rPr>
                <w:sz w:val="22"/>
                <w:szCs w:val="22"/>
                <w:lang w:val="en-GB"/>
              </w:rPr>
            </w:pPr>
            <w:r w:rsidRPr="00040AEE">
              <w:rPr>
                <w:sz w:val="22"/>
                <w:szCs w:val="22"/>
                <w:lang w:val="en-GB"/>
              </w:rPr>
              <w:t>31,4</w:t>
            </w:r>
            <w:r w:rsidR="00465611">
              <w:rPr>
                <w:sz w:val="22"/>
                <w:szCs w:val="22"/>
                <w:lang w:val="en-GB"/>
              </w:rPr>
              <w:t xml:space="preserve"> %</w:t>
            </w:r>
            <w:r w:rsidRPr="00040AEE">
              <w:rPr>
                <w:sz w:val="22"/>
                <w:szCs w:val="22"/>
                <w:vertAlign w:val="superscript"/>
                <w:lang w:val="en-GB"/>
              </w:rPr>
              <w:t>1</w:t>
            </w:r>
          </w:p>
        </w:tc>
      </w:tr>
    </w:tbl>
    <w:p w:rsidR="003E7FEE" w:rsidRPr="00040AEE" w:rsidRDefault="003E7FEE" w:rsidP="003E7FEE">
      <w:pPr>
        <w:tabs>
          <w:tab w:val="left" w:pos="851"/>
        </w:tabs>
        <w:ind w:left="851"/>
        <w:rPr>
          <w:sz w:val="20"/>
        </w:rPr>
      </w:pPr>
      <w:r w:rsidRPr="00040AEE">
        <w:rPr>
          <w:sz w:val="20"/>
          <w:vertAlign w:val="superscript"/>
        </w:rPr>
        <w:t>1</w:t>
      </w:r>
      <w:r w:rsidRPr="00040AEE">
        <w:rPr>
          <w:sz w:val="20"/>
        </w:rPr>
        <w:t xml:space="preserve"> Statistisk signifikant mindre effektivt end betamethasondipropionat og calcipotriol kombinationsgel (P&lt;0,001).</w:t>
      </w:r>
    </w:p>
    <w:p w:rsidR="003E7FEE" w:rsidRPr="003E7FEE" w:rsidRDefault="003E7FEE" w:rsidP="003E7FEE">
      <w:pPr>
        <w:tabs>
          <w:tab w:val="left" w:pos="851"/>
        </w:tabs>
        <w:ind w:left="851"/>
        <w:rPr>
          <w:sz w:val="24"/>
          <w:szCs w:val="24"/>
        </w:rPr>
      </w:pPr>
    </w:p>
    <w:p w:rsidR="003E7FEE" w:rsidRPr="003E7FEE" w:rsidRDefault="003E7FEE" w:rsidP="003E7FEE">
      <w:pPr>
        <w:tabs>
          <w:tab w:val="left" w:pos="851"/>
        </w:tabs>
        <w:ind w:left="851"/>
        <w:rPr>
          <w:bCs/>
          <w:sz w:val="24"/>
          <w:szCs w:val="24"/>
        </w:rPr>
      </w:pPr>
      <w:r w:rsidRPr="003E7FEE">
        <w:rPr>
          <w:bCs/>
          <w:sz w:val="24"/>
          <w:szCs w:val="24"/>
        </w:rPr>
        <w:t xml:space="preserve">Et randomiseret, dobbeltblindet, langvarig klinisk studie inkluderede 873 patienter med psoriasis i hårbunden af mindst moderat sværhedsgrad (ifølge IGA). Brugen af calcipotriol+betamethason 50 mikrogram/g+0,5 mg/g kombinationsgel blev sammenlignet med calcipotriol i gel-vehiklet. Begge behandlinger blev påført en gang daglig intermitterende efter behov i op til 52 uger. </w:t>
      </w:r>
    </w:p>
    <w:p w:rsidR="003E7FEE" w:rsidRPr="003E7FEE" w:rsidRDefault="003E7FEE" w:rsidP="003E7FEE">
      <w:pPr>
        <w:tabs>
          <w:tab w:val="left" w:pos="851"/>
        </w:tabs>
        <w:ind w:left="851"/>
        <w:rPr>
          <w:bCs/>
          <w:sz w:val="24"/>
          <w:szCs w:val="24"/>
        </w:rPr>
      </w:pPr>
      <w:r w:rsidRPr="003E7FEE">
        <w:rPr>
          <w:bCs/>
          <w:sz w:val="24"/>
          <w:szCs w:val="24"/>
        </w:rPr>
        <w:t>Bivirkninger, som kunne være opstået på grund af langvarig brug af kortikosteroider i hårbunden, blev identificeret af et uafhængigt, blindet panel af dermatologer. Der var ingen forskel i procentdelen af patienter med sådanne bivirkninger imellem behandlingsgrupperne (2,6</w:t>
      </w:r>
      <w:r w:rsidR="00465611">
        <w:rPr>
          <w:bCs/>
          <w:sz w:val="24"/>
          <w:szCs w:val="24"/>
        </w:rPr>
        <w:t xml:space="preserve"> %</w:t>
      </w:r>
      <w:r w:rsidRPr="003E7FEE">
        <w:rPr>
          <w:bCs/>
          <w:sz w:val="24"/>
          <w:szCs w:val="24"/>
        </w:rPr>
        <w:t xml:space="preserve"> i calcipotriol+betamethason 50 mikrogram/g+0,5 mg/g kombinationsgel og 3,0</w:t>
      </w:r>
      <w:r w:rsidR="00465611">
        <w:rPr>
          <w:bCs/>
          <w:sz w:val="24"/>
          <w:szCs w:val="24"/>
        </w:rPr>
        <w:t xml:space="preserve"> %</w:t>
      </w:r>
      <w:r w:rsidRPr="003E7FEE">
        <w:rPr>
          <w:bCs/>
          <w:sz w:val="24"/>
          <w:szCs w:val="24"/>
        </w:rPr>
        <w:t xml:space="preserve"> i calcipotriolgruppen; p = 0,73). Ingen tilfælde af hudatrofi blev rapporteret.</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sz w:val="24"/>
          <w:szCs w:val="24"/>
        </w:rPr>
        <w:t>Effekten ved anvendelse en gang daglig af Calcipotriol/Betamethasone "Aristo" til behandling af mild til moderat psoriasis af plaque-type blev undersøgt i et randomiseret, dobbeltblind, 8-ugers klinisk studie, der omfattede 283 forsøgspersoner. Komparatorer var gel-vehiklet alene og calcipotriol+betamethason 50 mikrogram/ g+0,5 mg/g kombinationsgel (Daivobet® gel). Terapeutisk ækvivalens af Calcipotriol/Betamethasone "Aristo" med calcipotriol+betamethason 50 mikrogram g+0,5 mg/g kombinationsgel (Daivobet® gel) kunne konkluderes baseret på ækvivalent gennemsnitlig</w:t>
      </w:r>
      <w:r w:rsidR="00465611">
        <w:rPr>
          <w:bCs/>
          <w:sz w:val="24"/>
          <w:szCs w:val="24"/>
        </w:rPr>
        <w:t xml:space="preserve"> %</w:t>
      </w:r>
      <w:r w:rsidRPr="003E7FEE">
        <w:rPr>
          <w:bCs/>
          <w:sz w:val="24"/>
          <w:szCs w:val="24"/>
        </w:rPr>
        <w:t xml:space="preserve"> ændring fra baseline i PASI ved uge 4/dag 29 for begge behandlinger. Overlegenhed af Calcipotriol/Betamethasone "Aristo" sammenlignet med gel-vehiklet blev demonstreret baseret på den højere primære effektvariabel gennemsnitlige</w:t>
      </w:r>
      <w:r w:rsidR="00465611">
        <w:rPr>
          <w:bCs/>
          <w:sz w:val="24"/>
          <w:szCs w:val="24"/>
        </w:rPr>
        <w:t xml:space="preserve"> %</w:t>
      </w:r>
      <w:r w:rsidRPr="003E7FEE">
        <w:rPr>
          <w:bCs/>
          <w:sz w:val="24"/>
          <w:szCs w:val="24"/>
        </w:rPr>
        <w:t xml:space="preserve"> ændring fra baseline i PASI i uge 4/dag 29.</w:t>
      </w:r>
    </w:p>
    <w:p w:rsidR="003E7FEE" w:rsidRPr="003E7FEE" w:rsidRDefault="003E7FEE" w:rsidP="003E7FEE">
      <w:pPr>
        <w:tabs>
          <w:tab w:val="left" w:pos="851"/>
        </w:tabs>
        <w:ind w:left="851"/>
        <w:rPr>
          <w:bCs/>
          <w:sz w:val="24"/>
          <w:szCs w:val="24"/>
        </w:rPr>
      </w:pPr>
    </w:p>
    <w:tbl>
      <w:tblPr>
        <w:tblW w:w="8930" w:type="dxa"/>
        <w:tblInd w:w="846" w:type="dxa"/>
        <w:tblLook w:val="04A0" w:firstRow="1" w:lastRow="0" w:firstColumn="1" w:lastColumn="0" w:noHBand="0" w:noVBand="1"/>
      </w:tblPr>
      <w:tblGrid>
        <w:gridCol w:w="2835"/>
        <w:gridCol w:w="2709"/>
        <w:gridCol w:w="1543"/>
        <w:gridCol w:w="1843"/>
      </w:tblGrid>
      <w:tr w:rsidR="003E7FEE" w:rsidRPr="00A36142" w:rsidTr="00AD637E">
        <w:tc>
          <w:tcPr>
            <w:tcW w:w="2835"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36142">
            <w:pPr>
              <w:ind w:left="33"/>
              <w:rPr>
                <w:sz w:val="22"/>
                <w:szCs w:val="22"/>
              </w:rPr>
            </w:pPr>
            <w:r w:rsidRPr="00A36142">
              <w:rPr>
                <w:sz w:val="22"/>
                <w:szCs w:val="22"/>
              </w:rPr>
              <w:t>Relativ ændring fra baseline PASI [</w:t>
            </w:r>
            <w:r w:rsidR="00465611">
              <w:rPr>
                <w:sz w:val="22"/>
                <w:szCs w:val="22"/>
              </w:rPr>
              <w:t xml:space="preserve"> %</w:t>
            </w:r>
            <w:r w:rsidRPr="00A36142">
              <w:rPr>
                <w:sz w:val="22"/>
                <w:szCs w:val="22"/>
              </w:rPr>
              <w:t>] i uge 4/dag 29</w:t>
            </w:r>
          </w:p>
        </w:tc>
        <w:tc>
          <w:tcPr>
            <w:tcW w:w="2709"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36142">
            <w:pPr>
              <w:ind w:left="37"/>
              <w:rPr>
                <w:sz w:val="22"/>
                <w:szCs w:val="22"/>
                <w:lang w:val="en-US"/>
              </w:rPr>
            </w:pPr>
            <w:r w:rsidRPr="00A36142">
              <w:rPr>
                <w:sz w:val="22"/>
                <w:szCs w:val="22"/>
                <w:lang w:val="en-US"/>
              </w:rPr>
              <w:t>Calcipotriol/Betamethasone "Aristo"</w:t>
            </w:r>
          </w:p>
          <w:p w:rsidR="003E7FEE" w:rsidRPr="00A36142" w:rsidRDefault="003E7FEE" w:rsidP="00A36142">
            <w:pPr>
              <w:ind w:left="37"/>
              <w:rPr>
                <w:sz w:val="22"/>
                <w:szCs w:val="22"/>
                <w:lang w:val="en-US"/>
              </w:rPr>
            </w:pPr>
            <w:r w:rsidRPr="00A36142">
              <w:rPr>
                <w:sz w:val="22"/>
                <w:szCs w:val="22"/>
                <w:lang w:val="en-US"/>
              </w:rPr>
              <w:t>(N=123)</w:t>
            </w:r>
          </w:p>
        </w:tc>
        <w:tc>
          <w:tcPr>
            <w:tcW w:w="1543"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D637E">
            <w:pPr>
              <w:ind w:left="21"/>
              <w:rPr>
                <w:sz w:val="22"/>
                <w:szCs w:val="22"/>
                <w:lang w:val="en-US"/>
              </w:rPr>
            </w:pPr>
            <w:r w:rsidRPr="00A36142">
              <w:rPr>
                <w:sz w:val="22"/>
                <w:szCs w:val="22"/>
                <w:lang w:val="en-US"/>
              </w:rPr>
              <w:t>Daivobet</w:t>
            </w:r>
          </w:p>
          <w:p w:rsidR="003E7FEE" w:rsidRPr="00A36142" w:rsidRDefault="003E7FEE" w:rsidP="00AD637E">
            <w:pPr>
              <w:ind w:left="21"/>
              <w:rPr>
                <w:sz w:val="22"/>
                <w:szCs w:val="22"/>
                <w:lang w:val="en-US"/>
              </w:rPr>
            </w:pPr>
            <w:r w:rsidRPr="00A36142">
              <w:rPr>
                <w:sz w:val="22"/>
                <w:szCs w:val="22"/>
                <w:lang w:val="en-US"/>
              </w:rPr>
              <w:t>(N=121)</w:t>
            </w:r>
          </w:p>
        </w:tc>
        <w:tc>
          <w:tcPr>
            <w:tcW w:w="1843"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D637E">
            <w:pPr>
              <w:ind w:left="37"/>
              <w:rPr>
                <w:sz w:val="22"/>
                <w:szCs w:val="22"/>
                <w:lang w:val="en-US"/>
              </w:rPr>
            </w:pPr>
            <w:r w:rsidRPr="00A36142">
              <w:rPr>
                <w:sz w:val="22"/>
                <w:szCs w:val="22"/>
                <w:lang w:val="en-US"/>
              </w:rPr>
              <w:t>Generisk vehikel</w:t>
            </w:r>
          </w:p>
          <w:p w:rsidR="003E7FEE" w:rsidRPr="00A36142" w:rsidRDefault="003E7FEE" w:rsidP="00AD637E">
            <w:pPr>
              <w:ind w:left="37"/>
              <w:rPr>
                <w:sz w:val="22"/>
                <w:szCs w:val="22"/>
                <w:lang w:val="en-US"/>
              </w:rPr>
            </w:pPr>
            <w:r w:rsidRPr="00A36142">
              <w:rPr>
                <w:sz w:val="22"/>
                <w:szCs w:val="22"/>
                <w:lang w:val="en-US"/>
              </w:rPr>
              <w:t>(N=39)</w:t>
            </w:r>
          </w:p>
        </w:tc>
      </w:tr>
      <w:tr w:rsidR="003E7FEE" w:rsidRPr="00A36142" w:rsidTr="00AD637E">
        <w:tc>
          <w:tcPr>
            <w:tcW w:w="2835"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36142">
            <w:pPr>
              <w:ind w:left="33"/>
              <w:rPr>
                <w:sz w:val="22"/>
                <w:szCs w:val="22"/>
                <w:lang w:val="en-US"/>
              </w:rPr>
            </w:pPr>
            <w:r w:rsidRPr="00A36142">
              <w:rPr>
                <w:sz w:val="22"/>
                <w:szCs w:val="22"/>
                <w:lang w:val="en-US"/>
              </w:rPr>
              <w:t>Gennemsnit ± SE</w:t>
            </w:r>
          </w:p>
        </w:tc>
        <w:tc>
          <w:tcPr>
            <w:tcW w:w="2709"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7"/>
              <w:rPr>
                <w:sz w:val="22"/>
                <w:szCs w:val="22"/>
                <w:lang w:val="en-US"/>
              </w:rPr>
            </w:pPr>
            <w:r w:rsidRPr="00A36142">
              <w:rPr>
                <w:sz w:val="22"/>
                <w:szCs w:val="22"/>
                <w:lang w:val="en-US"/>
              </w:rPr>
              <w:t>-58,1 ± 2,2</w:t>
            </w:r>
          </w:p>
          <w:p w:rsidR="003E7FEE" w:rsidRPr="00A36142" w:rsidRDefault="003E7FEE" w:rsidP="00A36142">
            <w:pPr>
              <w:ind w:left="37"/>
              <w:rPr>
                <w:sz w:val="22"/>
                <w:szCs w:val="22"/>
                <w:lang w:val="en-US"/>
              </w:rPr>
            </w:pPr>
          </w:p>
        </w:tc>
        <w:tc>
          <w:tcPr>
            <w:tcW w:w="15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21"/>
              <w:rPr>
                <w:sz w:val="22"/>
                <w:szCs w:val="22"/>
                <w:lang w:val="en-US"/>
              </w:rPr>
            </w:pPr>
            <w:r w:rsidRPr="00A36142">
              <w:rPr>
                <w:sz w:val="22"/>
                <w:szCs w:val="22"/>
                <w:lang w:val="en-US"/>
              </w:rPr>
              <w:t>-59,6 ± 2,3</w:t>
            </w:r>
          </w:p>
          <w:p w:rsidR="003E7FEE" w:rsidRPr="00A36142" w:rsidRDefault="003E7FEE" w:rsidP="00AD637E">
            <w:pPr>
              <w:ind w:left="21"/>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37"/>
              <w:rPr>
                <w:sz w:val="22"/>
                <w:szCs w:val="22"/>
                <w:lang w:val="en-US"/>
              </w:rPr>
            </w:pPr>
            <w:r w:rsidRPr="00A36142">
              <w:rPr>
                <w:sz w:val="22"/>
                <w:szCs w:val="22"/>
                <w:lang w:val="en-US"/>
              </w:rPr>
              <w:t xml:space="preserve">-21,8 ± 4,2 </w:t>
            </w:r>
          </w:p>
          <w:p w:rsidR="003E7FEE" w:rsidRPr="00A36142" w:rsidRDefault="003E7FEE" w:rsidP="00AD637E">
            <w:pPr>
              <w:ind w:left="37"/>
              <w:rPr>
                <w:sz w:val="22"/>
                <w:szCs w:val="22"/>
                <w:lang w:val="en-US"/>
              </w:rPr>
            </w:pPr>
          </w:p>
        </w:tc>
      </w:tr>
      <w:tr w:rsidR="003E7FEE" w:rsidRPr="00A36142" w:rsidTr="00AD637E">
        <w:tc>
          <w:tcPr>
            <w:tcW w:w="2835"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36142">
            <w:pPr>
              <w:ind w:left="33"/>
              <w:rPr>
                <w:sz w:val="22"/>
                <w:szCs w:val="22"/>
                <w:lang w:val="en-US"/>
              </w:rPr>
            </w:pPr>
            <w:r w:rsidRPr="00A36142">
              <w:rPr>
                <w:sz w:val="22"/>
                <w:szCs w:val="22"/>
                <w:lang w:val="en-US"/>
              </w:rPr>
              <w:t>95</w:t>
            </w:r>
            <w:r w:rsidR="00465611">
              <w:rPr>
                <w:sz w:val="22"/>
                <w:szCs w:val="22"/>
                <w:lang w:val="en-US"/>
              </w:rPr>
              <w:t xml:space="preserve"> %</w:t>
            </w:r>
            <w:r w:rsidRPr="00A36142">
              <w:rPr>
                <w:sz w:val="22"/>
                <w:szCs w:val="22"/>
                <w:lang w:val="en-US"/>
              </w:rPr>
              <w:t>-KI</w:t>
            </w:r>
          </w:p>
        </w:tc>
        <w:tc>
          <w:tcPr>
            <w:tcW w:w="2709"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7"/>
              <w:rPr>
                <w:sz w:val="22"/>
                <w:szCs w:val="22"/>
                <w:lang w:val="en-US"/>
              </w:rPr>
            </w:pPr>
            <w:r w:rsidRPr="00A36142">
              <w:rPr>
                <w:sz w:val="22"/>
                <w:szCs w:val="22"/>
                <w:lang w:val="en-US"/>
              </w:rPr>
              <w:t>-62,5, -53,7</w:t>
            </w:r>
          </w:p>
          <w:p w:rsidR="003E7FEE" w:rsidRPr="00A36142" w:rsidRDefault="003E7FEE" w:rsidP="00A36142">
            <w:pPr>
              <w:ind w:left="37"/>
              <w:rPr>
                <w:sz w:val="22"/>
                <w:szCs w:val="22"/>
                <w:lang w:val="en-US"/>
              </w:rPr>
            </w:pPr>
          </w:p>
        </w:tc>
        <w:tc>
          <w:tcPr>
            <w:tcW w:w="15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21"/>
              <w:rPr>
                <w:sz w:val="22"/>
                <w:szCs w:val="22"/>
                <w:lang w:val="en-US"/>
              </w:rPr>
            </w:pPr>
            <w:r w:rsidRPr="00A36142">
              <w:rPr>
                <w:sz w:val="22"/>
                <w:szCs w:val="22"/>
                <w:lang w:val="en-US"/>
              </w:rPr>
              <w:t>-64,42; -55,3</w:t>
            </w:r>
          </w:p>
          <w:p w:rsidR="003E7FEE" w:rsidRPr="00A36142" w:rsidRDefault="003E7FEE" w:rsidP="00AD637E">
            <w:pPr>
              <w:ind w:left="21"/>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37"/>
              <w:rPr>
                <w:sz w:val="22"/>
                <w:szCs w:val="22"/>
                <w:lang w:val="en-US"/>
              </w:rPr>
            </w:pPr>
            <w:r w:rsidRPr="00A36142">
              <w:rPr>
                <w:sz w:val="22"/>
                <w:szCs w:val="22"/>
                <w:lang w:val="en-US"/>
              </w:rPr>
              <w:t>-30,0 -13,5</w:t>
            </w:r>
          </w:p>
          <w:p w:rsidR="003E7FEE" w:rsidRPr="00A36142" w:rsidRDefault="003E7FEE" w:rsidP="00AD637E">
            <w:pPr>
              <w:ind w:left="37"/>
              <w:rPr>
                <w:sz w:val="22"/>
                <w:szCs w:val="22"/>
                <w:lang w:val="en-US"/>
              </w:rPr>
            </w:pPr>
          </w:p>
        </w:tc>
      </w:tr>
      <w:tr w:rsidR="003E7FEE" w:rsidRPr="00A36142" w:rsidTr="00AD637E">
        <w:tc>
          <w:tcPr>
            <w:tcW w:w="2835"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3"/>
              <w:rPr>
                <w:sz w:val="22"/>
                <w:szCs w:val="22"/>
                <w:lang w:val="en-US"/>
              </w:rPr>
            </w:pPr>
            <w:r w:rsidRPr="00A36142">
              <w:rPr>
                <w:sz w:val="22"/>
                <w:szCs w:val="22"/>
                <w:lang w:val="en-US"/>
              </w:rPr>
              <w:t>Gennemsnitlig forskel</w:t>
            </w:r>
            <w:r w:rsidRPr="00A36142">
              <w:rPr>
                <w:sz w:val="22"/>
                <w:szCs w:val="22"/>
                <w:vertAlign w:val="superscript"/>
                <w:lang w:val="en-US"/>
              </w:rPr>
              <w:t>1</w:t>
            </w:r>
            <w:r w:rsidRPr="00A36142">
              <w:rPr>
                <w:sz w:val="22"/>
                <w:szCs w:val="22"/>
                <w:lang w:val="en-US"/>
              </w:rPr>
              <w:t xml:space="preserve"> ± SE</w:t>
            </w:r>
          </w:p>
          <w:p w:rsidR="003E7FEE" w:rsidRPr="00A36142" w:rsidRDefault="003E7FEE" w:rsidP="00A36142">
            <w:pPr>
              <w:ind w:left="33"/>
              <w:rPr>
                <w:sz w:val="22"/>
                <w:szCs w:val="22"/>
                <w:lang w:val="en-US"/>
              </w:rPr>
            </w:pPr>
          </w:p>
        </w:tc>
        <w:tc>
          <w:tcPr>
            <w:tcW w:w="2709"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7"/>
              <w:rPr>
                <w:sz w:val="22"/>
                <w:szCs w:val="22"/>
                <w:lang w:val="en-US"/>
              </w:rPr>
            </w:pPr>
          </w:p>
        </w:tc>
        <w:tc>
          <w:tcPr>
            <w:tcW w:w="15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21"/>
              <w:rPr>
                <w:sz w:val="22"/>
                <w:szCs w:val="22"/>
                <w:lang w:val="en-US"/>
              </w:rPr>
            </w:pPr>
            <w:r w:rsidRPr="00A36142">
              <w:rPr>
                <w:sz w:val="22"/>
                <w:szCs w:val="22"/>
                <w:lang w:val="en-US"/>
              </w:rPr>
              <w:t>1,7 ± 3,2</w:t>
            </w:r>
          </w:p>
          <w:p w:rsidR="003E7FEE" w:rsidRPr="00A36142" w:rsidRDefault="003E7FEE" w:rsidP="00AD637E">
            <w:pPr>
              <w:ind w:left="21"/>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37"/>
              <w:rPr>
                <w:sz w:val="22"/>
                <w:szCs w:val="22"/>
                <w:lang w:val="en-US"/>
              </w:rPr>
            </w:pPr>
            <w:r w:rsidRPr="00A36142">
              <w:rPr>
                <w:sz w:val="22"/>
                <w:szCs w:val="22"/>
                <w:lang w:val="en-US"/>
              </w:rPr>
              <w:t xml:space="preserve">-36,6 ± 4,7 </w:t>
            </w:r>
          </w:p>
          <w:p w:rsidR="003E7FEE" w:rsidRPr="00A36142" w:rsidRDefault="003E7FEE" w:rsidP="00AD637E">
            <w:pPr>
              <w:ind w:left="37"/>
              <w:rPr>
                <w:sz w:val="22"/>
                <w:szCs w:val="22"/>
                <w:lang w:val="en-US"/>
              </w:rPr>
            </w:pPr>
          </w:p>
        </w:tc>
      </w:tr>
      <w:tr w:rsidR="003E7FEE" w:rsidRPr="00A36142" w:rsidTr="00AD637E">
        <w:tc>
          <w:tcPr>
            <w:tcW w:w="2835"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3"/>
              <w:rPr>
                <w:sz w:val="22"/>
                <w:szCs w:val="22"/>
                <w:lang w:val="en-US"/>
              </w:rPr>
            </w:pPr>
            <w:r w:rsidRPr="00A36142">
              <w:rPr>
                <w:sz w:val="22"/>
                <w:szCs w:val="22"/>
                <w:lang w:val="en-US"/>
              </w:rPr>
              <w:t>Gennemsnitlig forskel</w:t>
            </w:r>
            <w:r w:rsidRPr="00A36142">
              <w:rPr>
                <w:sz w:val="22"/>
                <w:szCs w:val="22"/>
                <w:vertAlign w:val="superscript"/>
                <w:lang w:val="en-US"/>
              </w:rPr>
              <w:t>1</w:t>
            </w:r>
            <w:r w:rsidRPr="00A36142">
              <w:rPr>
                <w:sz w:val="22"/>
                <w:szCs w:val="22"/>
                <w:lang w:val="en-US"/>
              </w:rPr>
              <w:t xml:space="preserve"> 95</w:t>
            </w:r>
            <w:r w:rsidR="00465611">
              <w:rPr>
                <w:sz w:val="22"/>
                <w:szCs w:val="22"/>
                <w:lang w:val="en-US"/>
              </w:rPr>
              <w:t xml:space="preserve"> %</w:t>
            </w:r>
            <w:r w:rsidRPr="00A36142">
              <w:rPr>
                <w:sz w:val="22"/>
                <w:szCs w:val="22"/>
                <w:lang w:val="en-US"/>
              </w:rPr>
              <w:t>-KI</w:t>
            </w:r>
          </w:p>
          <w:p w:rsidR="003E7FEE" w:rsidRPr="00A36142" w:rsidRDefault="003E7FEE" w:rsidP="00A36142">
            <w:pPr>
              <w:ind w:left="33"/>
              <w:rPr>
                <w:sz w:val="22"/>
                <w:szCs w:val="22"/>
                <w:lang w:val="en-US"/>
              </w:rPr>
            </w:pPr>
          </w:p>
        </w:tc>
        <w:tc>
          <w:tcPr>
            <w:tcW w:w="2709"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7"/>
              <w:rPr>
                <w:sz w:val="22"/>
                <w:szCs w:val="22"/>
                <w:lang w:val="en-US"/>
              </w:rPr>
            </w:pPr>
          </w:p>
        </w:tc>
        <w:tc>
          <w:tcPr>
            <w:tcW w:w="15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21"/>
              <w:rPr>
                <w:sz w:val="22"/>
                <w:szCs w:val="22"/>
                <w:lang w:val="en-US"/>
              </w:rPr>
            </w:pPr>
            <w:r w:rsidRPr="00A36142">
              <w:rPr>
                <w:sz w:val="22"/>
                <w:szCs w:val="22"/>
                <w:lang w:val="en-US"/>
              </w:rPr>
              <w:t xml:space="preserve">-4,6; 7,9 </w:t>
            </w:r>
          </w:p>
          <w:p w:rsidR="003E7FEE" w:rsidRPr="00A36142" w:rsidRDefault="003E7FEE" w:rsidP="00AD637E">
            <w:pPr>
              <w:ind w:left="21"/>
              <w:rPr>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3E7FEE" w:rsidRPr="00A36142" w:rsidRDefault="003E7FEE" w:rsidP="00AD637E">
            <w:pPr>
              <w:ind w:left="37"/>
              <w:rPr>
                <w:sz w:val="22"/>
                <w:szCs w:val="22"/>
                <w:lang w:val="en-US"/>
              </w:rPr>
            </w:pPr>
            <w:r w:rsidRPr="00A36142">
              <w:rPr>
                <w:sz w:val="22"/>
                <w:szCs w:val="22"/>
                <w:lang w:val="en-US"/>
              </w:rPr>
              <w:t>-45,7; -27.0</w:t>
            </w:r>
          </w:p>
          <w:p w:rsidR="003E7FEE" w:rsidRPr="00A36142" w:rsidRDefault="003E7FEE" w:rsidP="00AD637E">
            <w:pPr>
              <w:ind w:left="37"/>
              <w:rPr>
                <w:sz w:val="22"/>
                <w:szCs w:val="22"/>
                <w:lang w:val="en-US"/>
              </w:rPr>
            </w:pPr>
          </w:p>
        </w:tc>
      </w:tr>
      <w:tr w:rsidR="003E7FEE" w:rsidRPr="00A36142" w:rsidTr="00AD637E">
        <w:trPr>
          <w:trHeight w:val="418"/>
        </w:trPr>
        <w:tc>
          <w:tcPr>
            <w:tcW w:w="2835"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36142">
            <w:pPr>
              <w:ind w:left="33"/>
              <w:rPr>
                <w:sz w:val="22"/>
                <w:szCs w:val="22"/>
                <w:lang w:val="en-US"/>
              </w:rPr>
            </w:pPr>
            <w:r w:rsidRPr="00A36142">
              <w:rPr>
                <w:sz w:val="22"/>
                <w:szCs w:val="22"/>
                <w:lang w:val="en-US"/>
              </w:rPr>
              <w:t>Konklusioner</w:t>
            </w:r>
            <w:r w:rsidRPr="00A36142">
              <w:rPr>
                <w:sz w:val="22"/>
                <w:szCs w:val="22"/>
                <w:vertAlign w:val="superscript"/>
                <w:lang w:val="en-US"/>
              </w:rPr>
              <w:t>2,3</w:t>
            </w:r>
          </w:p>
        </w:tc>
        <w:tc>
          <w:tcPr>
            <w:tcW w:w="2709" w:type="dxa"/>
            <w:tcBorders>
              <w:top w:val="single" w:sz="4" w:space="0" w:color="auto"/>
              <w:left w:val="single" w:sz="4" w:space="0" w:color="auto"/>
              <w:bottom w:val="single" w:sz="4" w:space="0" w:color="auto"/>
              <w:right w:val="single" w:sz="4" w:space="0" w:color="auto"/>
            </w:tcBorders>
          </w:tcPr>
          <w:p w:rsidR="003E7FEE" w:rsidRPr="00A36142" w:rsidRDefault="003E7FEE" w:rsidP="00A36142">
            <w:pPr>
              <w:ind w:left="37"/>
              <w:rPr>
                <w:sz w:val="22"/>
                <w:szCs w:val="22"/>
                <w:lang w:val="en-US"/>
              </w:rPr>
            </w:pPr>
          </w:p>
        </w:tc>
        <w:tc>
          <w:tcPr>
            <w:tcW w:w="1543"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D637E">
            <w:pPr>
              <w:ind w:left="21"/>
              <w:rPr>
                <w:sz w:val="22"/>
                <w:szCs w:val="22"/>
                <w:lang w:val="en-US"/>
              </w:rPr>
            </w:pPr>
            <w:r w:rsidRPr="00A36142">
              <w:rPr>
                <w:sz w:val="22"/>
                <w:szCs w:val="22"/>
                <w:lang w:val="en-US"/>
              </w:rPr>
              <w:t>Ækvivalens</w:t>
            </w:r>
          </w:p>
        </w:tc>
        <w:tc>
          <w:tcPr>
            <w:tcW w:w="1843" w:type="dxa"/>
            <w:tcBorders>
              <w:top w:val="single" w:sz="4" w:space="0" w:color="auto"/>
              <w:left w:val="single" w:sz="4" w:space="0" w:color="auto"/>
              <w:bottom w:val="single" w:sz="4" w:space="0" w:color="auto"/>
              <w:right w:val="single" w:sz="4" w:space="0" w:color="auto"/>
            </w:tcBorders>
            <w:hideMark/>
          </w:tcPr>
          <w:p w:rsidR="003E7FEE" w:rsidRPr="00A36142" w:rsidRDefault="003E7FEE" w:rsidP="00AD637E">
            <w:pPr>
              <w:ind w:left="37"/>
              <w:rPr>
                <w:sz w:val="22"/>
                <w:szCs w:val="22"/>
                <w:lang w:val="en-US"/>
              </w:rPr>
            </w:pPr>
            <w:r w:rsidRPr="00A36142">
              <w:rPr>
                <w:sz w:val="22"/>
                <w:szCs w:val="22"/>
                <w:lang w:val="en-US"/>
              </w:rPr>
              <w:t>Overlegenhed</w:t>
            </w:r>
          </w:p>
        </w:tc>
      </w:tr>
    </w:tbl>
    <w:p w:rsidR="003E7FEE" w:rsidRPr="00AD637E" w:rsidRDefault="003E7FEE" w:rsidP="00AD637E">
      <w:pPr>
        <w:ind w:left="993" w:hanging="142"/>
        <w:rPr>
          <w:bCs/>
          <w:sz w:val="20"/>
        </w:rPr>
      </w:pPr>
      <w:r w:rsidRPr="00AD637E">
        <w:rPr>
          <w:bCs/>
          <w:sz w:val="20"/>
          <w:vertAlign w:val="superscript"/>
        </w:rPr>
        <w:t>1</w:t>
      </w:r>
      <w:r w:rsidR="00AD637E">
        <w:rPr>
          <w:bCs/>
          <w:sz w:val="20"/>
          <w:vertAlign w:val="superscript"/>
        </w:rPr>
        <w:tab/>
      </w:r>
      <w:r w:rsidRPr="00AD637E">
        <w:rPr>
          <w:bCs/>
          <w:sz w:val="20"/>
        </w:rPr>
        <w:t>Forskel på relativ ændring i forhold til Calcipotriol/Betamethasone "Aristo" gel, bestemt som henholdsvis Calcipotriol/Betamethasone "Aristo" gel minus Daivobet® gel og Calcipotriol/Betamethasone "Aristo" gel minus generisk vehikel gel.</w:t>
      </w:r>
    </w:p>
    <w:p w:rsidR="003E7FEE" w:rsidRPr="00AD637E" w:rsidRDefault="003E7FEE" w:rsidP="00AD637E">
      <w:pPr>
        <w:ind w:left="993" w:hanging="142"/>
        <w:rPr>
          <w:bCs/>
          <w:sz w:val="20"/>
        </w:rPr>
      </w:pPr>
      <w:r w:rsidRPr="00AD637E">
        <w:rPr>
          <w:bCs/>
          <w:sz w:val="20"/>
          <w:vertAlign w:val="superscript"/>
        </w:rPr>
        <w:t>2</w:t>
      </w:r>
      <w:r w:rsidR="00AD637E">
        <w:rPr>
          <w:bCs/>
          <w:sz w:val="20"/>
          <w:vertAlign w:val="superscript"/>
        </w:rPr>
        <w:tab/>
      </w:r>
      <w:r w:rsidRPr="00AD637E">
        <w:rPr>
          <w:bCs/>
          <w:sz w:val="20"/>
        </w:rPr>
        <w:t>Ækvivalens af Calcipotriol/Betamethasone "Aristo" gel og Daivobet®-gel afsluttet, hvis den gennemsnitlige forskel 95</w:t>
      </w:r>
      <w:r w:rsidR="00465611">
        <w:rPr>
          <w:bCs/>
          <w:sz w:val="20"/>
        </w:rPr>
        <w:t xml:space="preserve"> %</w:t>
      </w:r>
      <w:r w:rsidRPr="00AD637E">
        <w:rPr>
          <w:bCs/>
          <w:sz w:val="20"/>
        </w:rPr>
        <w:t xml:space="preserve"> -konfidensinterval er inkluderet fuldstændigt inden for ækvivalensområdet fra -15</w:t>
      </w:r>
      <w:r w:rsidR="00465611">
        <w:rPr>
          <w:bCs/>
          <w:sz w:val="20"/>
        </w:rPr>
        <w:t xml:space="preserve"> %</w:t>
      </w:r>
      <w:r w:rsidRPr="00AD637E">
        <w:rPr>
          <w:bCs/>
          <w:sz w:val="20"/>
        </w:rPr>
        <w:t xml:space="preserve"> til+15</w:t>
      </w:r>
      <w:r w:rsidR="00465611">
        <w:rPr>
          <w:bCs/>
          <w:sz w:val="20"/>
        </w:rPr>
        <w:t xml:space="preserve"> %</w:t>
      </w:r>
      <w:r w:rsidRPr="00AD637E">
        <w:rPr>
          <w:bCs/>
          <w:sz w:val="20"/>
        </w:rPr>
        <w:t>.</w:t>
      </w:r>
    </w:p>
    <w:p w:rsidR="003E7FEE" w:rsidRPr="00AD637E" w:rsidRDefault="003E7FEE" w:rsidP="00AD637E">
      <w:pPr>
        <w:ind w:left="993" w:hanging="142"/>
        <w:rPr>
          <w:bCs/>
          <w:sz w:val="20"/>
        </w:rPr>
      </w:pPr>
      <w:r w:rsidRPr="00AD637E">
        <w:rPr>
          <w:bCs/>
          <w:sz w:val="20"/>
          <w:vertAlign w:val="superscript"/>
        </w:rPr>
        <w:t>3</w:t>
      </w:r>
      <w:r w:rsidR="00AD637E">
        <w:rPr>
          <w:bCs/>
          <w:sz w:val="20"/>
          <w:vertAlign w:val="superscript"/>
        </w:rPr>
        <w:tab/>
      </w:r>
      <w:r w:rsidRPr="00AD637E">
        <w:rPr>
          <w:bCs/>
          <w:sz w:val="20"/>
        </w:rPr>
        <w:t>Overlegenhed af Calcipotriol/Betamethasone "Aristo" gel vs. generisk vehikelgel konkluderet, hvis den øvre grænse for den gennemsnitlige forskel 95</w:t>
      </w:r>
      <w:r w:rsidR="00465611">
        <w:rPr>
          <w:bCs/>
          <w:sz w:val="20"/>
        </w:rPr>
        <w:t xml:space="preserve"> %</w:t>
      </w:r>
      <w:r w:rsidRPr="00AD637E">
        <w:rPr>
          <w:bCs/>
          <w:sz w:val="20"/>
        </w:rPr>
        <w:t xml:space="preserve"> - konfidensinterval er negativ, dvs. ikke inkluderer nul.</w:t>
      </w:r>
    </w:p>
    <w:p w:rsidR="003E7FEE" w:rsidRPr="003E7FEE" w:rsidRDefault="003E7FEE" w:rsidP="003E7FEE">
      <w:pPr>
        <w:tabs>
          <w:tab w:val="left" w:pos="851"/>
        </w:tabs>
        <w:ind w:left="851"/>
        <w:rPr>
          <w:bCs/>
          <w:sz w:val="24"/>
          <w:szCs w:val="24"/>
          <w:u w:val="single"/>
        </w:rPr>
      </w:pPr>
    </w:p>
    <w:p w:rsidR="003E7FEE" w:rsidRPr="003E7FEE" w:rsidRDefault="003E7FEE" w:rsidP="003E7FEE">
      <w:pPr>
        <w:tabs>
          <w:tab w:val="left" w:pos="851"/>
        </w:tabs>
        <w:ind w:left="851"/>
        <w:rPr>
          <w:bCs/>
          <w:i/>
          <w:sz w:val="24"/>
          <w:szCs w:val="24"/>
        </w:rPr>
      </w:pPr>
      <w:r w:rsidRPr="003E7FEE">
        <w:rPr>
          <w:bCs/>
          <w:sz w:val="24"/>
          <w:szCs w:val="24"/>
          <w:u w:val="single"/>
        </w:rPr>
        <w:t>Pædiatrisk population</w:t>
      </w:r>
      <w:r w:rsidRPr="003E7FEE">
        <w:rPr>
          <w:bCs/>
          <w:sz w:val="24"/>
          <w:szCs w:val="24"/>
          <w:u w:val="single"/>
        </w:rPr>
        <w:br/>
      </w:r>
    </w:p>
    <w:p w:rsidR="003E7FEE" w:rsidRPr="003E7FEE" w:rsidRDefault="003E7FEE" w:rsidP="003E7FEE">
      <w:pPr>
        <w:tabs>
          <w:tab w:val="left" w:pos="851"/>
        </w:tabs>
        <w:ind w:left="851"/>
        <w:rPr>
          <w:bCs/>
          <w:sz w:val="24"/>
          <w:szCs w:val="24"/>
        </w:rPr>
      </w:pPr>
      <w:r w:rsidRPr="003E7FEE">
        <w:rPr>
          <w:bCs/>
          <w:i/>
          <w:sz w:val="24"/>
          <w:szCs w:val="24"/>
        </w:rPr>
        <w:t>Hovedbund</w:t>
      </w:r>
    </w:p>
    <w:p w:rsidR="003E7FEE" w:rsidRPr="003E7FEE" w:rsidRDefault="003E7FEE" w:rsidP="003E7FEE">
      <w:pPr>
        <w:tabs>
          <w:tab w:val="left" w:pos="851"/>
        </w:tabs>
        <w:ind w:left="851"/>
        <w:rPr>
          <w:bCs/>
          <w:sz w:val="24"/>
          <w:szCs w:val="24"/>
        </w:rPr>
      </w:pPr>
      <w:r w:rsidRPr="003E7FEE">
        <w:rPr>
          <w:bCs/>
          <w:sz w:val="24"/>
          <w:szCs w:val="24"/>
        </w:rPr>
        <w:t>Virkninger på calciummetabolismen blev undersøgt i to ukontrollerede åbne 8-ugers studier, herunder i alt 109 unge i alderen 12-17 år med psoriasis i hovedbunden, der anvendte op til 69 g pr. uge af calcipotriol+betamethason 50 mikrogram/g+0,5 mg/g kombinationsgel. Der blev ikke rapporteret tilfælde af hyperkalcæmi og ingen klinisk relevante ændringer i urin-calcium. Adrenal respons på eksponering for ACTH blev målt i 30 patienter; en patient viste et fald i cortisol respons på eksponering for ACTH efter 4 ugers behandling, som var mild, uden kliniske manifestationer og reversibel.</w:t>
      </w:r>
    </w:p>
    <w:p w:rsidR="003E7FEE" w:rsidRPr="003E7FEE" w:rsidRDefault="003E7FEE" w:rsidP="003E7FEE">
      <w:pPr>
        <w:tabs>
          <w:tab w:val="left" w:pos="851"/>
        </w:tabs>
        <w:ind w:left="851"/>
        <w:rPr>
          <w:bCs/>
          <w:sz w:val="24"/>
          <w:szCs w:val="24"/>
        </w:rPr>
      </w:pPr>
    </w:p>
    <w:p w:rsidR="003E7FEE" w:rsidRPr="003E7FEE" w:rsidRDefault="003E7FEE" w:rsidP="003E7FEE">
      <w:pPr>
        <w:tabs>
          <w:tab w:val="left" w:pos="851"/>
        </w:tabs>
        <w:ind w:left="851"/>
        <w:rPr>
          <w:bCs/>
          <w:sz w:val="24"/>
          <w:szCs w:val="24"/>
        </w:rPr>
      </w:pPr>
      <w:r w:rsidRPr="003E7FEE">
        <w:rPr>
          <w:bCs/>
          <w:i/>
          <w:sz w:val="24"/>
          <w:szCs w:val="24"/>
        </w:rPr>
        <w:t>Hovedbund og krop</w:t>
      </w:r>
    </w:p>
    <w:p w:rsidR="003E7FEE" w:rsidRPr="003E7FEE" w:rsidRDefault="003E7FEE" w:rsidP="003E7FEE">
      <w:pPr>
        <w:tabs>
          <w:tab w:val="left" w:pos="851"/>
        </w:tabs>
        <w:ind w:left="851"/>
        <w:rPr>
          <w:bCs/>
          <w:sz w:val="24"/>
          <w:szCs w:val="24"/>
        </w:rPr>
      </w:pPr>
      <w:r w:rsidRPr="003E7FEE">
        <w:rPr>
          <w:bCs/>
          <w:sz w:val="24"/>
          <w:szCs w:val="24"/>
        </w:rPr>
        <w:t>Virkninger på calciummetabolismen blev undersøgt i et ukontrolleret åbent 8-ugers forsøg hos 107 unge i alderen 12-17 år med psoriasis i hovedbunden og på kroppen, der anvendte op til 114,2 g calcipotriol+betamethason 50 mikrogram/g+0,5 mg/g kombinationsgel pr. uge. Der blev ikke rapporteret tilfælde af hyperkalcæmi eller klinisk relevante ændringer i urin-calcium. Adrenalrespons på eksponering for ACTH blev målt i 31 patienter; 5 patienter viste et fald i cortisolrespons på eksponering for ACTH efter 4 uger, hvoraf 2 ud af de 5 kun viste et begrænset fald. Fire af patienterne viste et fald efter 4 ugers behandling og 2 patienter viste et fald efter 8 uger samt en patient, der viste fald i begge perioder. Disse hændelser var milde, uden kliniske manifestationer, og reversible.</w:t>
      </w:r>
    </w:p>
    <w:p w:rsidR="003E7FEE" w:rsidRPr="003E7FEE" w:rsidRDefault="003E7FEE" w:rsidP="003E7FEE">
      <w:pPr>
        <w:tabs>
          <w:tab w:val="left" w:pos="851"/>
        </w:tabs>
        <w:ind w:left="851"/>
        <w:rPr>
          <w:bCs/>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36BF9" w:rsidRPr="00236BF9" w:rsidRDefault="00236BF9" w:rsidP="00236BF9">
      <w:pPr>
        <w:tabs>
          <w:tab w:val="left" w:pos="851"/>
        </w:tabs>
        <w:ind w:left="851"/>
        <w:rPr>
          <w:sz w:val="24"/>
          <w:szCs w:val="24"/>
        </w:rPr>
      </w:pPr>
      <w:r w:rsidRPr="00236BF9">
        <w:rPr>
          <w:sz w:val="24"/>
          <w:szCs w:val="24"/>
        </w:rPr>
        <w:t>Den systemiske eksponering for calcipotriol og betamethasondipropionat fra topikalt anvendt calcipotriol+betamethason 50 mikrogram/g+0,5 mg/g kombinationsgel er sammenlignelig med calcipotriol+betamethason 50 mikrogram/g+0,5 mg/g kombinationssalve hos rotter og minigrise. Kliniske studier med radioaktivt mærket salve viser, at den systemiske absorption af calcipotriol og betamethason fra calcipotriol+betamethason 50 mikrogram/g+0,5 mg/g kombinationssalve efter 12 timer er mindre end 1</w:t>
      </w:r>
      <w:r w:rsidR="00465611">
        <w:rPr>
          <w:sz w:val="24"/>
          <w:szCs w:val="24"/>
        </w:rPr>
        <w:t xml:space="preserve"> %</w:t>
      </w:r>
      <w:r w:rsidRPr="00236BF9">
        <w:rPr>
          <w:sz w:val="24"/>
          <w:szCs w:val="24"/>
        </w:rPr>
        <w:t xml:space="preserve"> af dosis (2,5 g), når det påsmøres normal hud (625 cm</w:t>
      </w:r>
      <w:r w:rsidRPr="00236BF9">
        <w:rPr>
          <w:sz w:val="24"/>
          <w:szCs w:val="24"/>
          <w:vertAlign w:val="superscript"/>
        </w:rPr>
        <w:t>2</w:t>
      </w:r>
      <w:r w:rsidRPr="00236BF9">
        <w:rPr>
          <w:sz w:val="24"/>
          <w:szCs w:val="24"/>
        </w:rPr>
        <w:t>). Påsmøring på plaque psoriasis og under okklusionsbandager kan øge absorptionen af topikale kortikosteroider. Absorptionen gennem beskadiget hud er ca. 24</w:t>
      </w:r>
      <w:r w:rsidR="00465611">
        <w:rPr>
          <w:sz w:val="24"/>
          <w:szCs w:val="24"/>
        </w:rPr>
        <w:t xml:space="preserve"> %</w:t>
      </w:r>
      <w:r w:rsidRPr="00236BF9">
        <w:rPr>
          <w:sz w:val="24"/>
          <w:szCs w:val="24"/>
        </w:rPr>
        <w:t>.</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Efter systemisk absorption bliver begge de aktive substanser – calcipotriol og betamethasondipropionat – hurtigt og ekstensivt metaboliseret. Proteinbindingen er ca. 64</w:t>
      </w:r>
      <w:r w:rsidR="00465611">
        <w:rPr>
          <w:sz w:val="24"/>
          <w:szCs w:val="24"/>
        </w:rPr>
        <w:t xml:space="preserve"> %</w:t>
      </w:r>
      <w:r w:rsidRPr="00236BF9">
        <w:rPr>
          <w:sz w:val="24"/>
          <w:szCs w:val="24"/>
        </w:rPr>
        <w:t>. Plasmahalveringstiden efter intravenøs behandling er 5-6 timer. På grund af depotdannelse i huden er udskillelsen efter dermal applikation i størrelsesordenen dage. Betamethason metaboliseres fortrinsvist i leveren, men også i nyrerne som glukuronid og sulfatestere. Calcipotriol udskilles hovedsageligt via fæces (rotter og minigrise), og betamethasondipropionat udskilles hovedsageligt via urinen (rotter og mus). Studier af vævsfordelingen af radioaktivt mærket hhv. calcipotriol og betamethasondipropionat i rotter har vist, at nyrerne og leveren har det højeste niveau af radioaktivitet.</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Calcipotriol og betamethasondipropionat var under den lave grænse for kvantificering i alle blodprøver fra 34 patienter behandlet i 4 til 8 uger med både calcipotriol+betamethason 50 mikrogram/g+0,5 mg/g kombinationsgel og calcipotriol+betamethason 50 mikrogram/g+0,5 mg/g kombinationssalve for udbredt psoriasis på kroppen og i hårbunden. En calcipotriolmetabolit og betamethasondipropionatmetabolit var kvantificerbare hos nogle af patienterne.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36BF9" w:rsidRPr="00236BF9" w:rsidRDefault="00236BF9" w:rsidP="00236BF9">
      <w:pPr>
        <w:tabs>
          <w:tab w:val="left" w:pos="851"/>
        </w:tabs>
        <w:ind w:left="851"/>
        <w:rPr>
          <w:sz w:val="24"/>
          <w:szCs w:val="24"/>
        </w:rPr>
      </w:pPr>
      <w:r w:rsidRPr="00236BF9">
        <w:rPr>
          <w:sz w:val="24"/>
          <w:szCs w:val="24"/>
        </w:rPr>
        <w:t>Kortikosteroidstudier i dyr har vist reproduktionstoksicitet (ganespalte, skeletmisdannelser). I reproduktionstoksicitetsstudier efter lang tids oral administration af kortikosteroider til rotter er der set forlænget svangerskab og langvarige og besværlige fødsler. Desuden blev der set en reduktion af afkommets overlevelse, legemsvægt og vægtforøgelse. Der var ingen forringelse af fertilitet.</w:t>
      </w:r>
    </w:p>
    <w:p w:rsidR="00236BF9" w:rsidRPr="00236BF9" w:rsidRDefault="00236BF9" w:rsidP="00236BF9">
      <w:pPr>
        <w:tabs>
          <w:tab w:val="left" w:pos="851"/>
        </w:tabs>
        <w:ind w:left="851"/>
        <w:rPr>
          <w:sz w:val="24"/>
          <w:szCs w:val="24"/>
        </w:rPr>
      </w:pPr>
      <w:r w:rsidRPr="00236BF9">
        <w:rPr>
          <w:sz w:val="24"/>
          <w:szCs w:val="24"/>
        </w:rPr>
        <w:t>Relevansen for mennesker er ukendt.</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Et dermalt karcinogenicitetsstudie med calcipotriol i mus og et oralt karcinogenicitetsstudie i rotter viste ingen speciel risiko for mennesker.</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Et foto(co)karcinogenicitetsstudie i mus indikerer, at calcipotriol kan fremme UV-strålers induktion af hudtumorer.</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Et dermalt karcinogenicitetsstudie i mus og et oralt karcinogenicitetsstudie i rotter afslørede ingen særlig risiko for betamethasondipropionat hos mennesker. Der er ikke udført fotokarcinogenicitetsstudier med betamethasondipropionat.</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Studier af lokal tolerance i kaniner har vist, at calcipotriol+betamethason 50 mikrogram/g+0,5 mg/g kombinationsgel forårsager mild til moderat hudirritation og en let, forbigående irritation i øjnene.</w:t>
      </w:r>
    </w:p>
    <w:p w:rsidR="00236BF9" w:rsidRPr="00236BF9" w:rsidRDefault="00236BF9" w:rsidP="00236BF9">
      <w:pPr>
        <w:tabs>
          <w:tab w:val="left" w:pos="851"/>
        </w:tabs>
        <w:ind w:left="851"/>
        <w:rPr>
          <w:sz w:val="24"/>
          <w:szCs w:val="24"/>
        </w:rPr>
      </w:pPr>
    </w:p>
    <w:p w:rsidR="00236BF9" w:rsidRPr="00236BF9" w:rsidRDefault="00236BF9" w:rsidP="00236BF9">
      <w:pPr>
        <w:tabs>
          <w:tab w:val="left" w:pos="851"/>
        </w:tabs>
        <w:ind w:left="851"/>
        <w:rPr>
          <w:sz w:val="24"/>
          <w:szCs w:val="24"/>
        </w:rPr>
      </w:pPr>
      <w:r w:rsidRPr="00236BF9">
        <w:rPr>
          <w:sz w:val="24"/>
          <w:szCs w:val="24"/>
        </w:rPr>
        <w:t>Studier af miljørisikovurderinger har vist, at betamethason kan udgøre en risiko for livsformer i vandmiljøer.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9012F" w:rsidRPr="0099012F" w:rsidRDefault="0099012F" w:rsidP="0099012F">
      <w:pPr>
        <w:tabs>
          <w:tab w:val="left" w:pos="851"/>
        </w:tabs>
        <w:ind w:left="851"/>
        <w:rPr>
          <w:sz w:val="24"/>
          <w:szCs w:val="24"/>
        </w:rPr>
      </w:pPr>
      <w:r w:rsidRPr="0099012F">
        <w:rPr>
          <w:sz w:val="24"/>
          <w:szCs w:val="24"/>
        </w:rPr>
        <w:t>Paraffinolie</w:t>
      </w:r>
    </w:p>
    <w:p w:rsidR="0099012F" w:rsidRPr="0099012F" w:rsidRDefault="0099012F" w:rsidP="0099012F">
      <w:pPr>
        <w:tabs>
          <w:tab w:val="left" w:pos="851"/>
        </w:tabs>
        <w:ind w:left="851"/>
        <w:rPr>
          <w:sz w:val="24"/>
          <w:szCs w:val="24"/>
        </w:rPr>
      </w:pPr>
      <w:r w:rsidRPr="0099012F">
        <w:rPr>
          <w:sz w:val="24"/>
          <w:szCs w:val="24"/>
        </w:rPr>
        <w:t>Polyoxypropylenstearylether</w:t>
      </w:r>
    </w:p>
    <w:p w:rsidR="0099012F" w:rsidRPr="0099012F" w:rsidRDefault="0099012F" w:rsidP="0099012F">
      <w:pPr>
        <w:tabs>
          <w:tab w:val="left" w:pos="851"/>
        </w:tabs>
        <w:ind w:left="851"/>
        <w:rPr>
          <w:sz w:val="24"/>
          <w:szCs w:val="24"/>
        </w:rPr>
      </w:pPr>
      <w:r w:rsidRPr="0099012F">
        <w:rPr>
          <w:sz w:val="24"/>
          <w:szCs w:val="24"/>
        </w:rPr>
        <w:t>Ricinusolie, hydrogeneret</w:t>
      </w:r>
    </w:p>
    <w:p w:rsidR="0099012F" w:rsidRPr="0099012F" w:rsidRDefault="0099012F" w:rsidP="0099012F">
      <w:pPr>
        <w:tabs>
          <w:tab w:val="left" w:pos="851"/>
        </w:tabs>
        <w:ind w:left="851"/>
        <w:rPr>
          <w:sz w:val="24"/>
          <w:szCs w:val="24"/>
        </w:rPr>
      </w:pPr>
      <w:r w:rsidRPr="0099012F">
        <w:rPr>
          <w:sz w:val="24"/>
          <w:szCs w:val="24"/>
        </w:rPr>
        <w:t>Butylhydroxytoluen (E321)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9012F" w:rsidRPr="0099012F" w:rsidRDefault="0099012F" w:rsidP="0099012F">
      <w:pPr>
        <w:tabs>
          <w:tab w:val="left" w:pos="851"/>
        </w:tabs>
        <w:ind w:left="851"/>
        <w:rPr>
          <w:sz w:val="24"/>
          <w:szCs w:val="24"/>
        </w:rPr>
      </w:pPr>
      <w:r w:rsidRPr="0099012F">
        <w:rPr>
          <w:sz w:val="24"/>
          <w:szCs w:val="24"/>
        </w:rPr>
        <w:t>Da der ikke foreligger kompatibilitetsstudier,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5E735A" w:rsidRPr="005E735A" w:rsidRDefault="005E735A" w:rsidP="005E735A">
      <w:pPr>
        <w:tabs>
          <w:tab w:val="left" w:pos="851"/>
        </w:tabs>
        <w:ind w:left="851"/>
        <w:rPr>
          <w:sz w:val="24"/>
          <w:szCs w:val="24"/>
        </w:rPr>
      </w:pPr>
      <w:r w:rsidRPr="005E735A">
        <w:rPr>
          <w:sz w:val="24"/>
          <w:szCs w:val="24"/>
        </w:rPr>
        <w:t>2 år.</w:t>
      </w:r>
    </w:p>
    <w:p w:rsidR="005E735A" w:rsidRPr="005E735A" w:rsidRDefault="005E735A" w:rsidP="005E735A">
      <w:pPr>
        <w:tabs>
          <w:tab w:val="left" w:pos="851"/>
        </w:tabs>
        <w:ind w:left="851"/>
        <w:rPr>
          <w:sz w:val="24"/>
          <w:szCs w:val="24"/>
        </w:rPr>
      </w:pPr>
    </w:p>
    <w:p w:rsidR="005E735A" w:rsidRPr="005E735A" w:rsidRDefault="005E735A" w:rsidP="005E735A">
      <w:pPr>
        <w:tabs>
          <w:tab w:val="left" w:pos="851"/>
        </w:tabs>
        <w:ind w:left="851"/>
        <w:rPr>
          <w:sz w:val="24"/>
          <w:szCs w:val="24"/>
        </w:rPr>
      </w:pPr>
      <w:r w:rsidRPr="005E735A">
        <w:rPr>
          <w:sz w:val="24"/>
          <w:szCs w:val="24"/>
        </w:rPr>
        <w:t>Efter første åbning: 6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E735A" w:rsidRPr="005E735A" w:rsidRDefault="005E735A" w:rsidP="005E735A">
      <w:pPr>
        <w:tabs>
          <w:tab w:val="left" w:pos="851"/>
        </w:tabs>
        <w:ind w:left="851"/>
        <w:rPr>
          <w:sz w:val="24"/>
          <w:szCs w:val="24"/>
        </w:rPr>
      </w:pPr>
      <w:bookmarkStart w:id="3" w:name="_Hlk69126252"/>
      <w:r w:rsidRPr="005E735A">
        <w:rPr>
          <w:sz w:val="24"/>
          <w:szCs w:val="24"/>
        </w:rPr>
        <w:t>Må ikke opbevares i køleskab.</w:t>
      </w:r>
      <w:bookmarkEnd w:id="3"/>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E735A" w:rsidRPr="005E735A" w:rsidRDefault="005E735A" w:rsidP="005E735A">
      <w:pPr>
        <w:tabs>
          <w:tab w:val="left" w:pos="851"/>
        </w:tabs>
        <w:ind w:left="851"/>
        <w:rPr>
          <w:sz w:val="24"/>
          <w:szCs w:val="24"/>
        </w:rPr>
      </w:pPr>
      <w:r w:rsidRPr="005E735A">
        <w:rPr>
          <w:sz w:val="24"/>
          <w:szCs w:val="24"/>
        </w:rPr>
        <w:t>Hvid, cylindrisk HDPE-tube med en hvid PP-skruehætte. Tuben placeres i en karton.</w:t>
      </w:r>
    </w:p>
    <w:p w:rsidR="005E735A" w:rsidRPr="005E735A" w:rsidRDefault="005E735A" w:rsidP="005E735A">
      <w:pPr>
        <w:tabs>
          <w:tab w:val="left" w:pos="851"/>
        </w:tabs>
        <w:ind w:left="851"/>
        <w:rPr>
          <w:sz w:val="24"/>
          <w:szCs w:val="24"/>
        </w:rPr>
      </w:pPr>
    </w:p>
    <w:p w:rsidR="005E735A" w:rsidRPr="000063D2" w:rsidRDefault="005E735A" w:rsidP="005E735A">
      <w:pPr>
        <w:tabs>
          <w:tab w:val="left" w:pos="851"/>
        </w:tabs>
        <w:ind w:left="851"/>
        <w:rPr>
          <w:sz w:val="24"/>
          <w:szCs w:val="24"/>
          <w:u w:val="single"/>
        </w:rPr>
      </w:pPr>
      <w:r w:rsidRPr="000063D2">
        <w:rPr>
          <w:sz w:val="24"/>
          <w:szCs w:val="24"/>
          <w:u w:val="single"/>
        </w:rPr>
        <w:t>Pakningsstørrelser</w:t>
      </w:r>
    </w:p>
    <w:p w:rsidR="005E735A" w:rsidRPr="005E735A" w:rsidRDefault="000063D2" w:rsidP="005E735A">
      <w:pPr>
        <w:tabs>
          <w:tab w:val="left" w:pos="851"/>
        </w:tabs>
        <w:ind w:left="851"/>
        <w:rPr>
          <w:sz w:val="24"/>
          <w:szCs w:val="24"/>
        </w:rPr>
      </w:pPr>
      <w:bookmarkStart w:id="4" w:name="_Hlk64882198"/>
      <w:r>
        <w:rPr>
          <w:sz w:val="24"/>
          <w:szCs w:val="24"/>
        </w:rPr>
        <w:t>30 g og 60 g.</w:t>
      </w:r>
    </w:p>
    <w:p w:rsidR="005E735A" w:rsidRPr="005E735A" w:rsidRDefault="005E735A" w:rsidP="005E735A">
      <w:pPr>
        <w:tabs>
          <w:tab w:val="left" w:pos="851"/>
        </w:tabs>
        <w:ind w:left="851"/>
        <w:rPr>
          <w:sz w:val="24"/>
          <w:szCs w:val="24"/>
        </w:rPr>
      </w:pPr>
      <w:r w:rsidRPr="005E735A">
        <w:rPr>
          <w:sz w:val="24"/>
          <w:szCs w:val="24"/>
        </w:rPr>
        <w:t>Multipakninger indeholdende 60 g (2 tuber á 30 g)</w:t>
      </w:r>
      <w:r w:rsidR="00CC66AB">
        <w:rPr>
          <w:sz w:val="24"/>
          <w:szCs w:val="24"/>
        </w:rPr>
        <w:t xml:space="preserve"> og</w:t>
      </w:r>
      <w:r w:rsidRPr="005E735A">
        <w:rPr>
          <w:sz w:val="24"/>
          <w:szCs w:val="24"/>
        </w:rPr>
        <w:t xml:space="preserve"> 120 g (2 tuber á 60 g).</w:t>
      </w:r>
    </w:p>
    <w:bookmarkEnd w:id="4"/>
    <w:p w:rsidR="005E735A" w:rsidRPr="005E735A" w:rsidRDefault="005E735A" w:rsidP="005E735A">
      <w:pPr>
        <w:tabs>
          <w:tab w:val="left" w:pos="851"/>
        </w:tabs>
        <w:ind w:left="851"/>
        <w:rPr>
          <w:sz w:val="24"/>
          <w:szCs w:val="24"/>
        </w:rPr>
      </w:pPr>
    </w:p>
    <w:p w:rsidR="005E735A" w:rsidRPr="005E735A" w:rsidRDefault="005E735A" w:rsidP="005E735A">
      <w:pPr>
        <w:tabs>
          <w:tab w:val="left" w:pos="851"/>
        </w:tabs>
        <w:ind w:left="851"/>
        <w:rPr>
          <w:sz w:val="24"/>
          <w:szCs w:val="24"/>
        </w:rPr>
      </w:pPr>
      <w:r w:rsidRPr="005E735A">
        <w:rPr>
          <w:sz w:val="24"/>
          <w:szCs w:val="24"/>
        </w:rPr>
        <w:t>Ikke alle pakningsstørrelser markedsføres nødvendigvis.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C66AB" w:rsidRDefault="00CC66AB" w:rsidP="00CC66AB">
      <w:pPr>
        <w:tabs>
          <w:tab w:val="left" w:pos="851"/>
        </w:tabs>
        <w:ind w:left="851"/>
        <w:jc w:val="both"/>
        <w:rPr>
          <w:sz w:val="24"/>
          <w:szCs w:val="24"/>
        </w:rPr>
      </w:pPr>
      <w:r w:rsidRPr="00CC66AB">
        <w:rPr>
          <w:sz w:val="24"/>
          <w:szCs w:val="24"/>
        </w:rPr>
        <w:t>Dette lægemiddel kan udgøre en risiko for miljøet (</w:t>
      </w:r>
      <w:r w:rsidR="00FD7721">
        <w:rPr>
          <w:sz w:val="24"/>
          <w:szCs w:val="24"/>
        </w:rPr>
        <w:t>s</w:t>
      </w:r>
      <w:r w:rsidRPr="00CC66AB">
        <w:rPr>
          <w:sz w:val="24"/>
          <w:szCs w:val="24"/>
        </w:rPr>
        <w:t>e pkt. 5.3).</w:t>
      </w:r>
    </w:p>
    <w:p w:rsidR="00FD7721" w:rsidRPr="00FD7721" w:rsidRDefault="00FD7721" w:rsidP="00FD7721">
      <w:pPr>
        <w:tabs>
          <w:tab w:val="left" w:pos="851"/>
        </w:tabs>
        <w:ind w:left="851"/>
        <w:jc w:val="both"/>
        <w:rPr>
          <w:sz w:val="24"/>
          <w:szCs w:val="24"/>
        </w:rPr>
      </w:pPr>
      <w:r w:rsidRPr="00FD7721">
        <w:rPr>
          <w:sz w:val="24"/>
          <w:szCs w:val="24"/>
        </w:rPr>
        <w:t>Ikke anvendt lægemiddel eller affald skal bortskaffes i overensstemmelse med lokale krav.</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D7721" w:rsidRPr="00FD7721" w:rsidRDefault="00FD7721" w:rsidP="00FD7721">
      <w:pPr>
        <w:tabs>
          <w:tab w:val="left" w:pos="851"/>
        </w:tabs>
        <w:ind w:left="851"/>
        <w:rPr>
          <w:sz w:val="24"/>
          <w:szCs w:val="24"/>
        </w:rPr>
      </w:pPr>
      <w:r w:rsidRPr="00FD7721">
        <w:rPr>
          <w:sz w:val="24"/>
          <w:szCs w:val="24"/>
        </w:rPr>
        <w:t xml:space="preserve">Aristo Pharma </w:t>
      </w:r>
    </w:p>
    <w:p w:rsidR="00FD7721" w:rsidRPr="00FD7721" w:rsidRDefault="00FD7721" w:rsidP="00FD7721">
      <w:pPr>
        <w:tabs>
          <w:tab w:val="left" w:pos="851"/>
        </w:tabs>
        <w:ind w:left="851"/>
        <w:rPr>
          <w:sz w:val="24"/>
          <w:szCs w:val="24"/>
        </w:rPr>
      </w:pPr>
      <w:r w:rsidRPr="00FD7721">
        <w:rPr>
          <w:sz w:val="24"/>
          <w:szCs w:val="24"/>
        </w:rPr>
        <w:t xml:space="preserve">Wallenroder Straße 8-10 </w:t>
      </w:r>
    </w:p>
    <w:p w:rsidR="00FD7721" w:rsidRPr="00FD7721" w:rsidRDefault="00FD7721" w:rsidP="00FD7721">
      <w:pPr>
        <w:tabs>
          <w:tab w:val="left" w:pos="851"/>
        </w:tabs>
        <w:ind w:left="851"/>
        <w:rPr>
          <w:sz w:val="24"/>
          <w:szCs w:val="24"/>
        </w:rPr>
      </w:pPr>
      <w:r w:rsidRPr="00FD7721">
        <w:rPr>
          <w:sz w:val="24"/>
          <w:szCs w:val="24"/>
        </w:rPr>
        <w:t xml:space="preserve">13435 Berlin </w:t>
      </w:r>
    </w:p>
    <w:p w:rsidR="00FD7721" w:rsidRPr="00FD7721" w:rsidRDefault="00FD7721" w:rsidP="00FD7721">
      <w:pPr>
        <w:tabs>
          <w:tab w:val="left" w:pos="851"/>
        </w:tabs>
        <w:ind w:left="851"/>
        <w:rPr>
          <w:sz w:val="24"/>
          <w:szCs w:val="24"/>
        </w:rPr>
      </w:pPr>
      <w:r w:rsidRPr="00FD7721">
        <w:rPr>
          <w:sz w:val="24"/>
          <w:szCs w:val="24"/>
        </w:rPr>
        <w:t>Tyskland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FD7721" w:rsidP="009260DE">
      <w:pPr>
        <w:tabs>
          <w:tab w:val="left" w:pos="851"/>
        </w:tabs>
        <w:ind w:left="851"/>
        <w:rPr>
          <w:sz w:val="24"/>
          <w:szCs w:val="24"/>
        </w:rPr>
      </w:pPr>
      <w:r>
        <w:rPr>
          <w:sz w:val="24"/>
          <w:szCs w:val="24"/>
        </w:rPr>
        <w:t>64463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C4C9D" w:rsidP="009260DE">
      <w:pPr>
        <w:tabs>
          <w:tab w:val="left" w:pos="851"/>
        </w:tabs>
        <w:ind w:left="851"/>
        <w:rPr>
          <w:sz w:val="24"/>
          <w:szCs w:val="24"/>
        </w:rPr>
      </w:pPr>
      <w:r>
        <w:rPr>
          <w:sz w:val="24"/>
          <w:szCs w:val="24"/>
        </w:rPr>
        <w:t>7. juli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323FB"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FEE" w:rsidRDefault="003E7FEE">
      <w:r>
        <w:separator/>
      </w:r>
    </w:p>
  </w:endnote>
  <w:endnote w:type="continuationSeparator" w:id="0">
    <w:p w:rsidR="003E7FEE" w:rsidRDefault="003E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FEE" w:rsidRDefault="003E7FEE">
    <w:pPr>
      <w:pStyle w:val="Sidefod"/>
      <w:pBdr>
        <w:bottom w:val="single" w:sz="6" w:space="1" w:color="auto"/>
      </w:pBdr>
    </w:pPr>
  </w:p>
  <w:p w:rsidR="003E7FEE" w:rsidRDefault="003E7FEE" w:rsidP="00C42586">
    <w:pPr>
      <w:pStyle w:val="Sidefod"/>
      <w:tabs>
        <w:tab w:val="clear" w:pos="4819"/>
        <w:tab w:val="left" w:pos="8505"/>
      </w:tabs>
      <w:rPr>
        <w:i/>
        <w:sz w:val="18"/>
        <w:szCs w:val="18"/>
      </w:rPr>
    </w:pPr>
  </w:p>
  <w:p w:rsidR="003E7FEE" w:rsidRPr="00B373D7" w:rsidRDefault="003E7FE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Calcipotriol-Betamethasone Aristo, gel 50 mikrog-g+0,5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FEE" w:rsidRDefault="003E7FEE">
      <w:r>
        <w:separator/>
      </w:r>
    </w:p>
  </w:footnote>
  <w:footnote w:type="continuationSeparator" w:id="0">
    <w:p w:rsidR="003E7FEE" w:rsidRDefault="003E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A4A"/>
    <w:multiLevelType w:val="hybridMultilevel"/>
    <w:tmpl w:val="BBFEAD72"/>
    <w:lvl w:ilvl="0" w:tplc="0407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840C07"/>
    <w:multiLevelType w:val="hybridMultilevel"/>
    <w:tmpl w:val="367C97E6"/>
    <w:lvl w:ilvl="0" w:tplc="0407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B746F55"/>
    <w:multiLevelType w:val="hybridMultilevel"/>
    <w:tmpl w:val="B814469C"/>
    <w:lvl w:ilvl="0" w:tplc="04070005">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FB"/>
    <w:rsid w:val="000063D2"/>
    <w:rsid w:val="000259B9"/>
    <w:rsid w:val="00040AEE"/>
    <w:rsid w:val="00041491"/>
    <w:rsid w:val="00050D16"/>
    <w:rsid w:val="00074F2A"/>
    <w:rsid w:val="000A1CA8"/>
    <w:rsid w:val="000A466B"/>
    <w:rsid w:val="000A5D40"/>
    <w:rsid w:val="000B058C"/>
    <w:rsid w:val="000D2BC9"/>
    <w:rsid w:val="000E4EE6"/>
    <w:rsid w:val="00122D92"/>
    <w:rsid w:val="001454E2"/>
    <w:rsid w:val="001543C1"/>
    <w:rsid w:val="001737A5"/>
    <w:rsid w:val="001A17D1"/>
    <w:rsid w:val="00206CE8"/>
    <w:rsid w:val="0021526C"/>
    <w:rsid w:val="002323FB"/>
    <w:rsid w:val="00236BF9"/>
    <w:rsid w:val="00283A2B"/>
    <w:rsid w:val="00291F4C"/>
    <w:rsid w:val="002B30AD"/>
    <w:rsid w:val="002C2C01"/>
    <w:rsid w:val="00302354"/>
    <w:rsid w:val="00356100"/>
    <w:rsid w:val="003871F1"/>
    <w:rsid w:val="003911A3"/>
    <w:rsid w:val="003A29AE"/>
    <w:rsid w:val="003A32D7"/>
    <w:rsid w:val="003B4074"/>
    <w:rsid w:val="003C769A"/>
    <w:rsid w:val="003D240C"/>
    <w:rsid w:val="003E7FEE"/>
    <w:rsid w:val="003F1838"/>
    <w:rsid w:val="0042159C"/>
    <w:rsid w:val="0045746C"/>
    <w:rsid w:val="00465611"/>
    <w:rsid w:val="0049104B"/>
    <w:rsid w:val="004C4C9D"/>
    <w:rsid w:val="004E3B12"/>
    <w:rsid w:val="00532310"/>
    <w:rsid w:val="00545B7D"/>
    <w:rsid w:val="00565F0F"/>
    <w:rsid w:val="00594A86"/>
    <w:rsid w:val="00596D86"/>
    <w:rsid w:val="005E735A"/>
    <w:rsid w:val="00611D63"/>
    <w:rsid w:val="00637F5A"/>
    <w:rsid w:val="00643C5D"/>
    <w:rsid w:val="006560B1"/>
    <w:rsid w:val="006756DD"/>
    <w:rsid w:val="00696255"/>
    <w:rsid w:val="006B10FF"/>
    <w:rsid w:val="00720275"/>
    <w:rsid w:val="00737275"/>
    <w:rsid w:val="00740EEC"/>
    <w:rsid w:val="007625E2"/>
    <w:rsid w:val="0078011A"/>
    <w:rsid w:val="00782AF4"/>
    <w:rsid w:val="00790EE7"/>
    <w:rsid w:val="007B6649"/>
    <w:rsid w:val="007E5457"/>
    <w:rsid w:val="0082576E"/>
    <w:rsid w:val="008668D9"/>
    <w:rsid w:val="008D13BC"/>
    <w:rsid w:val="00907F75"/>
    <w:rsid w:val="00911291"/>
    <w:rsid w:val="009260DE"/>
    <w:rsid w:val="0093258A"/>
    <w:rsid w:val="0099012F"/>
    <w:rsid w:val="009C7BA3"/>
    <w:rsid w:val="009D1F5A"/>
    <w:rsid w:val="009F38F7"/>
    <w:rsid w:val="00A36142"/>
    <w:rsid w:val="00AD637E"/>
    <w:rsid w:val="00AE1334"/>
    <w:rsid w:val="00B003BF"/>
    <w:rsid w:val="00B373D7"/>
    <w:rsid w:val="00C1726E"/>
    <w:rsid w:val="00C36276"/>
    <w:rsid w:val="00C42586"/>
    <w:rsid w:val="00C60CCD"/>
    <w:rsid w:val="00C84483"/>
    <w:rsid w:val="00C95551"/>
    <w:rsid w:val="00CB20D7"/>
    <w:rsid w:val="00CC66AB"/>
    <w:rsid w:val="00CE7D26"/>
    <w:rsid w:val="00D020B0"/>
    <w:rsid w:val="00D11748"/>
    <w:rsid w:val="00D366CF"/>
    <w:rsid w:val="00E108AA"/>
    <w:rsid w:val="00E3749A"/>
    <w:rsid w:val="00E7437F"/>
    <w:rsid w:val="00E749D7"/>
    <w:rsid w:val="00E865B8"/>
    <w:rsid w:val="00EC0B9B"/>
    <w:rsid w:val="00ED5E9F"/>
    <w:rsid w:val="00EF42EB"/>
    <w:rsid w:val="00F66D4F"/>
    <w:rsid w:val="00F82667"/>
    <w:rsid w:val="00F93594"/>
    <w:rsid w:val="00FA2517"/>
    <w:rsid w:val="00FB6D01"/>
    <w:rsid w:val="00FD77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C3FC3"/>
  <w15:chartTrackingRefBased/>
  <w15:docId w15:val="{49A973FC-C872-4FBD-B83A-D547CC91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F38F7"/>
    <w:pPr>
      <w:ind w:left="720"/>
      <w:contextualSpacing/>
    </w:pPr>
    <w:rPr>
      <w:sz w:val="22"/>
    </w:rPr>
  </w:style>
  <w:style w:type="table" w:customStyle="1" w:styleId="TableNormal1">
    <w:name w:val="Table Normal1"/>
    <w:uiPriority w:val="2"/>
    <w:semiHidden/>
    <w:qFormat/>
    <w:rsid w:val="009F38F7"/>
    <w:pPr>
      <w:widowControl w:val="0"/>
    </w:pPr>
    <w:rPr>
      <w:rFonts w:eastAsia="Calibri"/>
      <w:sz w:val="22"/>
      <w:szCs w:val="22"/>
      <w:lang w:val="en-US" w:eastAsia="en-US"/>
    </w:rPr>
    <w:tblPr>
      <w:tblCellMar>
        <w:top w:w="0" w:type="dxa"/>
        <w:left w:w="0" w:type="dxa"/>
        <w:bottom w:w="0" w:type="dxa"/>
        <w:right w:w="0" w:type="dxa"/>
      </w:tblCellMar>
    </w:tblPr>
  </w:style>
  <w:style w:type="table" w:customStyle="1" w:styleId="Tabel-Gitter3">
    <w:name w:val="Tabel - Gitter3"/>
    <w:basedOn w:val="Tabel-Normal"/>
    <w:uiPriority w:val="39"/>
    <w:rsid w:val="009F38F7"/>
    <w:pPr>
      <w:widowControl w:val="0"/>
    </w:pPr>
    <w:rPr>
      <w:rFonts w:eastAsia="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C17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494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931838">
      <w:bodyDiv w:val="1"/>
      <w:marLeft w:val="0"/>
      <w:marRight w:val="0"/>
      <w:marTop w:val="0"/>
      <w:marBottom w:val="0"/>
      <w:divBdr>
        <w:top w:val="none" w:sz="0" w:space="0" w:color="auto"/>
        <w:left w:val="none" w:sz="0" w:space="0" w:color="auto"/>
        <w:bottom w:val="none" w:sz="0" w:space="0" w:color="auto"/>
        <w:right w:val="none" w:sz="0" w:space="0" w:color="auto"/>
      </w:divBdr>
    </w:div>
    <w:div w:id="186140351">
      <w:bodyDiv w:val="1"/>
      <w:marLeft w:val="0"/>
      <w:marRight w:val="0"/>
      <w:marTop w:val="0"/>
      <w:marBottom w:val="0"/>
      <w:divBdr>
        <w:top w:val="none" w:sz="0" w:space="0" w:color="auto"/>
        <w:left w:val="none" w:sz="0" w:space="0" w:color="auto"/>
        <w:bottom w:val="none" w:sz="0" w:space="0" w:color="auto"/>
        <w:right w:val="none" w:sz="0" w:space="0" w:color="auto"/>
      </w:divBdr>
    </w:div>
    <w:div w:id="200941408">
      <w:bodyDiv w:val="1"/>
      <w:marLeft w:val="0"/>
      <w:marRight w:val="0"/>
      <w:marTop w:val="0"/>
      <w:marBottom w:val="0"/>
      <w:divBdr>
        <w:top w:val="none" w:sz="0" w:space="0" w:color="auto"/>
        <w:left w:val="none" w:sz="0" w:space="0" w:color="auto"/>
        <w:bottom w:val="none" w:sz="0" w:space="0" w:color="auto"/>
        <w:right w:val="none" w:sz="0" w:space="0" w:color="auto"/>
      </w:divBdr>
    </w:div>
    <w:div w:id="246354828">
      <w:bodyDiv w:val="1"/>
      <w:marLeft w:val="0"/>
      <w:marRight w:val="0"/>
      <w:marTop w:val="0"/>
      <w:marBottom w:val="0"/>
      <w:divBdr>
        <w:top w:val="none" w:sz="0" w:space="0" w:color="auto"/>
        <w:left w:val="none" w:sz="0" w:space="0" w:color="auto"/>
        <w:bottom w:val="none" w:sz="0" w:space="0" w:color="auto"/>
        <w:right w:val="none" w:sz="0" w:space="0" w:color="auto"/>
      </w:divBdr>
    </w:div>
    <w:div w:id="263342317">
      <w:bodyDiv w:val="1"/>
      <w:marLeft w:val="0"/>
      <w:marRight w:val="0"/>
      <w:marTop w:val="0"/>
      <w:marBottom w:val="0"/>
      <w:divBdr>
        <w:top w:val="none" w:sz="0" w:space="0" w:color="auto"/>
        <w:left w:val="none" w:sz="0" w:space="0" w:color="auto"/>
        <w:bottom w:val="none" w:sz="0" w:space="0" w:color="auto"/>
        <w:right w:val="none" w:sz="0" w:space="0" w:color="auto"/>
      </w:divBdr>
    </w:div>
    <w:div w:id="278874708">
      <w:bodyDiv w:val="1"/>
      <w:marLeft w:val="0"/>
      <w:marRight w:val="0"/>
      <w:marTop w:val="0"/>
      <w:marBottom w:val="0"/>
      <w:divBdr>
        <w:top w:val="none" w:sz="0" w:space="0" w:color="auto"/>
        <w:left w:val="none" w:sz="0" w:space="0" w:color="auto"/>
        <w:bottom w:val="none" w:sz="0" w:space="0" w:color="auto"/>
        <w:right w:val="none" w:sz="0" w:space="0" w:color="auto"/>
      </w:divBdr>
    </w:div>
    <w:div w:id="315256898">
      <w:bodyDiv w:val="1"/>
      <w:marLeft w:val="0"/>
      <w:marRight w:val="0"/>
      <w:marTop w:val="0"/>
      <w:marBottom w:val="0"/>
      <w:divBdr>
        <w:top w:val="none" w:sz="0" w:space="0" w:color="auto"/>
        <w:left w:val="none" w:sz="0" w:space="0" w:color="auto"/>
        <w:bottom w:val="none" w:sz="0" w:space="0" w:color="auto"/>
        <w:right w:val="none" w:sz="0" w:space="0" w:color="auto"/>
      </w:divBdr>
    </w:div>
    <w:div w:id="323775884">
      <w:bodyDiv w:val="1"/>
      <w:marLeft w:val="0"/>
      <w:marRight w:val="0"/>
      <w:marTop w:val="0"/>
      <w:marBottom w:val="0"/>
      <w:divBdr>
        <w:top w:val="none" w:sz="0" w:space="0" w:color="auto"/>
        <w:left w:val="none" w:sz="0" w:space="0" w:color="auto"/>
        <w:bottom w:val="none" w:sz="0" w:space="0" w:color="auto"/>
        <w:right w:val="none" w:sz="0" w:space="0" w:color="auto"/>
      </w:divBdr>
    </w:div>
    <w:div w:id="346516507">
      <w:bodyDiv w:val="1"/>
      <w:marLeft w:val="0"/>
      <w:marRight w:val="0"/>
      <w:marTop w:val="0"/>
      <w:marBottom w:val="0"/>
      <w:divBdr>
        <w:top w:val="none" w:sz="0" w:space="0" w:color="auto"/>
        <w:left w:val="none" w:sz="0" w:space="0" w:color="auto"/>
        <w:bottom w:val="none" w:sz="0" w:space="0" w:color="auto"/>
        <w:right w:val="none" w:sz="0" w:space="0" w:color="auto"/>
      </w:divBdr>
    </w:div>
    <w:div w:id="364598823">
      <w:bodyDiv w:val="1"/>
      <w:marLeft w:val="0"/>
      <w:marRight w:val="0"/>
      <w:marTop w:val="0"/>
      <w:marBottom w:val="0"/>
      <w:divBdr>
        <w:top w:val="none" w:sz="0" w:space="0" w:color="auto"/>
        <w:left w:val="none" w:sz="0" w:space="0" w:color="auto"/>
        <w:bottom w:val="none" w:sz="0" w:space="0" w:color="auto"/>
        <w:right w:val="none" w:sz="0" w:space="0" w:color="auto"/>
      </w:divBdr>
    </w:div>
    <w:div w:id="425538797">
      <w:bodyDiv w:val="1"/>
      <w:marLeft w:val="0"/>
      <w:marRight w:val="0"/>
      <w:marTop w:val="0"/>
      <w:marBottom w:val="0"/>
      <w:divBdr>
        <w:top w:val="none" w:sz="0" w:space="0" w:color="auto"/>
        <w:left w:val="none" w:sz="0" w:space="0" w:color="auto"/>
        <w:bottom w:val="none" w:sz="0" w:space="0" w:color="auto"/>
        <w:right w:val="none" w:sz="0" w:space="0" w:color="auto"/>
      </w:divBdr>
    </w:div>
    <w:div w:id="488984251">
      <w:bodyDiv w:val="1"/>
      <w:marLeft w:val="0"/>
      <w:marRight w:val="0"/>
      <w:marTop w:val="0"/>
      <w:marBottom w:val="0"/>
      <w:divBdr>
        <w:top w:val="none" w:sz="0" w:space="0" w:color="auto"/>
        <w:left w:val="none" w:sz="0" w:space="0" w:color="auto"/>
        <w:bottom w:val="none" w:sz="0" w:space="0" w:color="auto"/>
        <w:right w:val="none" w:sz="0" w:space="0" w:color="auto"/>
      </w:divBdr>
    </w:div>
    <w:div w:id="544099258">
      <w:bodyDiv w:val="1"/>
      <w:marLeft w:val="0"/>
      <w:marRight w:val="0"/>
      <w:marTop w:val="0"/>
      <w:marBottom w:val="0"/>
      <w:divBdr>
        <w:top w:val="none" w:sz="0" w:space="0" w:color="auto"/>
        <w:left w:val="none" w:sz="0" w:space="0" w:color="auto"/>
        <w:bottom w:val="none" w:sz="0" w:space="0" w:color="auto"/>
        <w:right w:val="none" w:sz="0" w:space="0" w:color="auto"/>
      </w:divBdr>
    </w:div>
    <w:div w:id="562762307">
      <w:bodyDiv w:val="1"/>
      <w:marLeft w:val="0"/>
      <w:marRight w:val="0"/>
      <w:marTop w:val="0"/>
      <w:marBottom w:val="0"/>
      <w:divBdr>
        <w:top w:val="none" w:sz="0" w:space="0" w:color="auto"/>
        <w:left w:val="none" w:sz="0" w:space="0" w:color="auto"/>
        <w:bottom w:val="none" w:sz="0" w:space="0" w:color="auto"/>
        <w:right w:val="none" w:sz="0" w:space="0" w:color="auto"/>
      </w:divBdr>
    </w:div>
    <w:div w:id="640160176">
      <w:bodyDiv w:val="1"/>
      <w:marLeft w:val="0"/>
      <w:marRight w:val="0"/>
      <w:marTop w:val="0"/>
      <w:marBottom w:val="0"/>
      <w:divBdr>
        <w:top w:val="none" w:sz="0" w:space="0" w:color="auto"/>
        <w:left w:val="none" w:sz="0" w:space="0" w:color="auto"/>
        <w:bottom w:val="none" w:sz="0" w:space="0" w:color="auto"/>
        <w:right w:val="none" w:sz="0" w:space="0" w:color="auto"/>
      </w:divBdr>
    </w:div>
    <w:div w:id="688485114">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785732377">
      <w:bodyDiv w:val="1"/>
      <w:marLeft w:val="0"/>
      <w:marRight w:val="0"/>
      <w:marTop w:val="0"/>
      <w:marBottom w:val="0"/>
      <w:divBdr>
        <w:top w:val="none" w:sz="0" w:space="0" w:color="auto"/>
        <w:left w:val="none" w:sz="0" w:space="0" w:color="auto"/>
        <w:bottom w:val="none" w:sz="0" w:space="0" w:color="auto"/>
        <w:right w:val="none" w:sz="0" w:space="0" w:color="auto"/>
      </w:divBdr>
    </w:div>
    <w:div w:id="814764845">
      <w:bodyDiv w:val="1"/>
      <w:marLeft w:val="0"/>
      <w:marRight w:val="0"/>
      <w:marTop w:val="0"/>
      <w:marBottom w:val="0"/>
      <w:divBdr>
        <w:top w:val="none" w:sz="0" w:space="0" w:color="auto"/>
        <w:left w:val="none" w:sz="0" w:space="0" w:color="auto"/>
        <w:bottom w:val="none" w:sz="0" w:space="0" w:color="auto"/>
        <w:right w:val="none" w:sz="0" w:space="0" w:color="auto"/>
      </w:divBdr>
    </w:div>
    <w:div w:id="843518371">
      <w:bodyDiv w:val="1"/>
      <w:marLeft w:val="0"/>
      <w:marRight w:val="0"/>
      <w:marTop w:val="0"/>
      <w:marBottom w:val="0"/>
      <w:divBdr>
        <w:top w:val="none" w:sz="0" w:space="0" w:color="auto"/>
        <w:left w:val="none" w:sz="0" w:space="0" w:color="auto"/>
        <w:bottom w:val="none" w:sz="0" w:space="0" w:color="auto"/>
        <w:right w:val="none" w:sz="0" w:space="0" w:color="auto"/>
      </w:divBdr>
    </w:div>
    <w:div w:id="849877438">
      <w:bodyDiv w:val="1"/>
      <w:marLeft w:val="0"/>
      <w:marRight w:val="0"/>
      <w:marTop w:val="0"/>
      <w:marBottom w:val="0"/>
      <w:divBdr>
        <w:top w:val="none" w:sz="0" w:space="0" w:color="auto"/>
        <w:left w:val="none" w:sz="0" w:space="0" w:color="auto"/>
        <w:bottom w:val="none" w:sz="0" w:space="0" w:color="auto"/>
        <w:right w:val="none" w:sz="0" w:space="0" w:color="auto"/>
      </w:divBdr>
    </w:div>
    <w:div w:id="862010613">
      <w:bodyDiv w:val="1"/>
      <w:marLeft w:val="0"/>
      <w:marRight w:val="0"/>
      <w:marTop w:val="0"/>
      <w:marBottom w:val="0"/>
      <w:divBdr>
        <w:top w:val="none" w:sz="0" w:space="0" w:color="auto"/>
        <w:left w:val="none" w:sz="0" w:space="0" w:color="auto"/>
        <w:bottom w:val="none" w:sz="0" w:space="0" w:color="auto"/>
        <w:right w:val="none" w:sz="0" w:space="0" w:color="auto"/>
      </w:divBdr>
    </w:div>
    <w:div w:id="894315425">
      <w:bodyDiv w:val="1"/>
      <w:marLeft w:val="0"/>
      <w:marRight w:val="0"/>
      <w:marTop w:val="0"/>
      <w:marBottom w:val="0"/>
      <w:divBdr>
        <w:top w:val="none" w:sz="0" w:space="0" w:color="auto"/>
        <w:left w:val="none" w:sz="0" w:space="0" w:color="auto"/>
        <w:bottom w:val="none" w:sz="0" w:space="0" w:color="auto"/>
        <w:right w:val="none" w:sz="0" w:space="0" w:color="auto"/>
      </w:divBdr>
    </w:div>
    <w:div w:id="973800560">
      <w:bodyDiv w:val="1"/>
      <w:marLeft w:val="0"/>
      <w:marRight w:val="0"/>
      <w:marTop w:val="0"/>
      <w:marBottom w:val="0"/>
      <w:divBdr>
        <w:top w:val="none" w:sz="0" w:space="0" w:color="auto"/>
        <w:left w:val="none" w:sz="0" w:space="0" w:color="auto"/>
        <w:bottom w:val="none" w:sz="0" w:space="0" w:color="auto"/>
        <w:right w:val="none" w:sz="0" w:space="0" w:color="auto"/>
      </w:divBdr>
    </w:div>
    <w:div w:id="974022685">
      <w:bodyDiv w:val="1"/>
      <w:marLeft w:val="0"/>
      <w:marRight w:val="0"/>
      <w:marTop w:val="0"/>
      <w:marBottom w:val="0"/>
      <w:divBdr>
        <w:top w:val="none" w:sz="0" w:space="0" w:color="auto"/>
        <w:left w:val="none" w:sz="0" w:space="0" w:color="auto"/>
        <w:bottom w:val="none" w:sz="0" w:space="0" w:color="auto"/>
        <w:right w:val="none" w:sz="0" w:space="0" w:color="auto"/>
      </w:divBdr>
    </w:div>
    <w:div w:id="976489508">
      <w:bodyDiv w:val="1"/>
      <w:marLeft w:val="0"/>
      <w:marRight w:val="0"/>
      <w:marTop w:val="0"/>
      <w:marBottom w:val="0"/>
      <w:divBdr>
        <w:top w:val="none" w:sz="0" w:space="0" w:color="auto"/>
        <w:left w:val="none" w:sz="0" w:space="0" w:color="auto"/>
        <w:bottom w:val="none" w:sz="0" w:space="0" w:color="auto"/>
        <w:right w:val="none" w:sz="0" w:space="0" w:color="auto"/>
      </w:divBdr>
    </w:div>
    <w:div w:id="1023283275">
      <w:bodyDiv w:val="1"/>
      <w:marLeft w:val="0"/>
      <w:marRight w:val="0"/>
      <w:marTop w:val="0"/>
      <w:marBottom w:val="0"/>
      <w:divBdr>
        <w:top w:val="none" w:sz="0" w:space="0" w:color="auto"/>
        <w:left w:val="none" w:sz="0" w:space="0" w:color="auto"/>
        <w:bottom w:val="none" w:sz="0" w:space="0" w:color="auto"/>
        <w:right w:val="none" w:sz="0" w:space="0" w:color="auto"/>
      </w:divBdr>
    </w:div>
    <w:div w:id="1029529756">
      <w:bodyDiv w:val="1"/>
      <w:marLeft w:val="0"/>
      <w:marRight w:val="0"/>
      <w:marTop w:val="0"/>
      <w:marBottom w:val="0"/>
      <w:divBdr>
        <w:top w:val="none" w:sz="0" w:space="0" w:color="auto"/>
        <w:left w:val="none" w:sz="0" w:space="0" w:color="auto"/>
        <w:bottom w:val="none" w:sz="0" w:space="0" w:color="auto"/>
        <w:right w:val="none" w:sz="0" w:space="0" w:color="auto"/>
      </w:divBdr>
    </w:div>
    <w:div w:id="1049960775">
      <w:bodyDiv w:val="1"/>
      <w:marLeft w:val="0"/>
      <w:marRight w:val="0"/>
      <w:marTop w:val="0"/>
      <w:marBottom w:val="0"/>
      <w:divBdr>
        <w:top w:val="none" w:sz="0" w:space="0" w:color="auto"/>
        <w:left w:val="none" w:sz="0" w:space="0" w:color="auto"/>
        <w:bottom w:val="none" w:sz="0" w:space="0" w:color="auto"/>
        <w:right w:val="none" w:sz="0" w:space="0" w:color="auto"/>
      </w:divBdr>
    </w:div>
    <w:div w:id="1219392119">
      <w:bodyDiv w:val="1"/>
      <w:marLeft w:val="0"/>
      <w:marRight w:val="0"/>
      <w:marTop w:val="0"/>
      <w:marBottom w:val="0"/>
      <w:divBdr>
        <w:top w:val="none" w:sz="0" w:space="0" w:color="auto"/>
        <w:left w:val="none" w:sz="0" w:space="0" w:color="auto"/>
        <w:bottom w:val="none" w:sz="0" w:space="0" w:color="auto"/>
        <w:right w:val="none" w:sz="0" w:space="0" w:color="auto"/>
      </w:divBdr>
    </w:div>
    <w:div w:id="1230844411">
      <w:bodyDiv w:val="1"/>
      <w:marLeft w:val="0"/>
      <w:marRight w:val="0"/>
      <w:marTop w:val="0"/>
      <w:marBottom w:val="0"/>
      <w:divBdr>
        <w:top w:val="none" w:sz="0" w:space="0" w:color="auto"/>
        <w:left w:val="none" w:sz="0" w:space="0" w:color="auto"/>
        <w:bottom w:val="none" w:sz="0" w:space="0" w:color="auto"/>
        <w:right w:val="none" w:sz="0" w:space="0" w:color="auto"/>
      </w:divBdr>
    </w:div>
    <w:div w:id="1323461620">
      <w:bodyDiv w:val="1"/>
      <w:marLeft w:val="0"/>
      <w:marRight w:val="0"/>
      <w:marTop w:val="0"/>
      <w:marBottom w:val="0"/>
      <w:divBdr>
        <w:top w:val="none" w:sz="0" w:space="0" w:color="auto"/>
        <w:left w:val="none" w:sz="0" w:space="0" w:color="auto"/>
        <w:bottom w:val="none" w:sz="0" w:space="0" w:color="auto"/>
        <w:right w:val="none" w:sz="0" w:space="0" w:color="auto"/>
      </w:divBdr>
    </w:div>
    <w:div w:id="1406799464">
      <w:bodyDiv w:val="1"/>
      <w:marLeft w:val="0"/>
      <w:marRight w:val="0"/>
      <w:marTop w:val="0"/>
      <w:marBottom w:val="0"/>
      <w:divBdr>
        <w:top w:val="none" w:sz="0" w:space="0" w:color="auto"/>
        <w:left w:val="none" w:sz="0" w:space="0" w:color="auto"/>
        <w:bottom w:val="none" w:sz="0" w:space="0" w:color="auto"/>
        <w:right w:val="none" w:sz="0" w:space="0" w:color="auto"/>
      </w:divBdr>
    </w:div>
    <w:div w:id="1484617494">
      <w:bodyDiv w:val="1"/>
      <w:marLeft w:val="0"/>
      <w:marRight w:val="0"/>
      <w:marTop w:val="0"/>
      <w:marBottom w:val="0"/>
      <w:divBdr>
        <w:top w:val="none" w:sz="0" w:space="0" w:color="auto"/>
        <w:left w:val="none" w:sz="0" w:space="0" w:color="auto"/>
        <w:bottom w:val="none" w:sz="0" w:space="0" w:color="auto"/>
        <w:right w:val="none" w:sz="0" w:space="0" w:color="auto"/>
      </w:divBdr>
    </w:div>
    <w:div w:id="1526745985">
      <w:bodyDiv w:val="1"/>
      <w:marLeft w:val="0"/>
      <w:marRight w:val="0"/>
      <w:marTop w:val="0"/>
      <w:marBottom w:val="0"/>
      <w:divBdr>
        <w:top w:val="none" w:sz="0" w:space="0" w:color="auto"/>
        <w:left w:val="none" w:sz="0" w:space="0" w:color="auto"/>
        <w:bottom w:val="none" w:sz="0" w:space="0" w:color="auto"/>
        <w:right w:val="none" w:sz="0" w:space="0" w:color="auto"/>
      </w:divBdr>
    </w:div>
    <w:div w:id="1532108850">
      <w:bodyDiv w:val="1"/>
      <w:marLeft w:val="0"/>
      <w:marRight w:val="0"/>
      <w:marTop w:val="0"/>
      <w:marBottom w:val="0"/>
      <w:divBdr>
        <w:top w:val="none" w:sz="0" w:space="0" w:color="auto"/>
        <w:left w:val="none" w:sz="0" w:space="0" w:color="auto"/>
        <w:bottom w:val="none" w:sz="0" w:space="0" w:color="auto"/>
        <w:right w:val="none" w:sz="0" w:space="0" w:color="auto"/>
      </w:divBdr>
    </w:div>
    <w:div w:id="1540245697">
      <w:bodyDiv w:val="1"/>
      <w:marLeft w:val="0"/>
      <w:marRight w:val="0"/>
      <w:marTop w:val="0"/>
      <w:marBottom w:val="0"/>
      <w:divBdr>
        <w:top w:val="none" w:sz="0" w:space="0" w:color="auto"/>
        <w:left w:val="none" w:sz="0" w:space="0" w:color="auto"/>
        <w:bottom w:val="none" w:sz="0" w:space="0" w:color="auto"/>
        <w:right w:val="none" w:sz="0" w:space="0" w:color="auto"/>
      </w:divBdr>
    </w:div>
    <w:div w:id="1652831888">
      <w:bodyDiv w:val="1"/>
      <w:marLeft w:val="0"/>
      <w:marRight w:val="0"/>
      <w:marTop w:val="0"/>
      <w:marBottom w:val="0"/>
      <w:divBdr>
        <w:top w:val="none" w:sz="0" w:space="0" w:color="auto"/>
        <w:left w:val="none" w:sz="0" w:space="0" w:color="auto"/>
        <w:bottom w:val="none" w:sz="0" w:space="0" w:color="auto"/>
        <w:right w:val="none" w:sz="0" w:space="0" w:color="auto"/>
      </w:divBdr>
    </w:div>
    <w:div w:id="1707488761">
      <w:bodyDiv w:val="1"/>
      <w:marLeft w:val="0"/>
      <w:marRight w:val="0"/>
      <w:marTop w:val="0"/>
      <w:marBottom w:val="0"/>
      <w:divBdr>
        <w:top w:val="none" w:sz="0" w:space="0" w:color="auto"/>
        <w:left w:val="none" w:sz="0" w:space="0" w:color="auto"/>
        <w:bottom w:val="none" w:sz="0" w:space="0" w:color="auto"/>
        <w:right w:val="none" w:sz="0" w:space="0" w:color="auto"/>
      </w:divBdr>
    </w:div>
    <w:div w:id="1724016167">
      <w:bodyDiv w:val="1"/>
      <w:marLeft w:val="0"/>
      <w:marRight w:val="0"/>
      <w:marTop w:val="0"/>
      <w:marBottom w:val="0"/>
      <w:divBdr>
        <w:top w:val="none" w:sz="0" w:space="0" w:color="auto"/>
        <w:left w:val="none" w:sz="0" w:space="0" w:color="auto"/>
        <w:bottom w:val="none" w:sz="0" w:space="0" w:color="auto"/>
        <w:right w:val="none" w:sz="0" w:space="0" w:color="auto"/>
      </w:divBdr>
    </w:div>
    <w:div w:id="1750929585">
      <w:bodyDiv w:val="1"/>
      <w:marLeft w:val="0"/>
      <w:marRight w:val="0"/>
      <w:marTop w:val="0"/>
      <w:marBottom w:val="0"/>
      <w:divBdr>
        <w:top w:val="none" w:sz="0" w:space="0" w:color="auto"/>
        <w:left w:val="none" w:sz="0" w:space="0" w:color="auto"/>
        <w:bottom w:val="none" w:sz="0" w:space="0" w:color="auto"/>
        <w:right w:val="none" w:sz="0" w:space="0" w:color="auto"/>
      </w:divBdr>
    </w:div>
    <w:div w:id="1776097474">
      <w:bodyDiv w:val="1"/>
      <w:marLeft w:val="0"/>
      <w:marRight w:val="0"/>
      <w:marTop w:val="0"/>
      <w:marBottom w:val="0"/>
      <w:divBdr>
        <w:top w:val="none" w:sz="0" w:space="0" w:color="auto"/>
        <w:left w:val="none" w:sz="0" w:space="0" w:color="auto"/>
        <w:bottom w:val="none" w:sz="0" w:space="0" w:color="auto"/>
        <w:right w:val="none" w:sz="0" w:space="0" w:color="auto"/>
      </w:divBdr>
    </w:div>
    <w:div w:id="1823817048">
      <w:bodyDiv w:val="1"/>
      <w:marLeft w:val="0"/>
      <w:marRight w:val="0"/>
      <w:marTop w:val="0"/>
      <w:marBottom w:val="0"/>
      <w:divBdr>
        <w:top w:val="none" w:sz="0" w:space="0" w:color="auto"/>
        <w:left w:val="none" w:sz="0" w:space="0" w:color="auto"/>
        <w:bottom w:val="none" w:sz="0" w:space="0" w:color="auto"/>
        <w:right w:val="none" w:sz="0" w:space="0" w:color="auto"/>
      </w:divBdr>
    </w:div>
    <w:div w:id="1905137365">
      <w:bodyDiv w:val="1"/>
      <w:marLeft w:val="0"/>
      <w:marRight w:val="0"/>
      <w:marTop w:val="0"/>
      <w:marBottom w:val="0"/>
      <w:divBdr>
        <w:top w:val="none" w:sz="0" w:space="0" w:color="auto"/>
        <w:left w:val="none" w:sz="0" w:space="0" w:color="auto"/>
        <w:bottom w:val="none" w:sz="0" w:space="0" w:color="auto"/>
        <w:right w:val="none" w:sz="0" w:space="0" w:color="auto"/>
      </w:divBdr>
    </w:div>
    <w:div w:id="2009627531">
      <w:bodyDiv w:val="1"/>
      <w:marLeft w:val="0"/>
      <w:marRight w:val="0"/>
      <w:marTop w:val="0"/>
      <w:marBottom w:val="0"/>
      <w:divBdr>
        <w:top w:val="none" w:sz="0" w:space="0" w:color="auto"/>
        <w:left w:val="none" w:sz="0" w:space="0" w:color="auto"/>
        <w:bottom w:val="none" w:sz="0" w:space="0" w:color="auto"/>
        <w:right w:val="none" w:sz="0" w:space="0" w:color="auto"/>
      </w:divBdr>
    </w:div>
    <w:div w:id="2021396955">
      <w:bodyDiv w:val="1"/>
      <w:marLeft w:val="0"/>
      <w:marRight w:val="0"/>
      <w:marTop w:val="0"/>
      <w:marBottom w:val="0"/>
      <w:divBdr>
        <w:top w:val="none" w:sz="0" w:space="0" w:color="auto"/>
        <w:left w:val="none" w:sz="0" w:space="0" w:color="auto"/>
        <w:bottom w:val="none" w:sz="0" w:space="0" w:color="auto"/>
        <w:right w:val="none" w:sz="0" w:space="0" w:color="auto"/>
      </w:divBdr>
    </w:div>
    <w:div w:id="20875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53</TotalTime>
  <Pages>14</Pages>
  <Words>4165</Words>
  <Characters>27624</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2020051808 mt</dc:description>
  <cp:lastModifiedBy>Hanne Thy Iversen</cp:lastModifiedBy>
  <cp:revision>13</cp:revision>
  <cp:lastPrinted>2012-08-22T08:53:00Z</cp:lastPrinted>
  <dcterms:created xsi:type="dcterms:W3CDTF">2021-07-07T08:55:00Z</dcterms:created>
  <dcterms:modified xsi:type="dcterms:W3CDTF">2021-09-01T14:22:00Z</dcterms:modified>
</cp:coreProperties>
</file>