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A90" w:rsidRPr="008F49E1" w:rsidRDefault="00DD5A90" w:rsidP="00DD5A90">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A167A2C" wp14:editId="1B59AF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D5A90" w:rsidRPr="00C84483" w:rsidRDefault="00DD5A90" w:rsidP="00DD5A90">
      <w:pPr>
        <w:pStyle w:val="Titel"/>
        <w:tabs>
          <w:tab w:val="right" w:pos="9356"/>
        </w:tabs>
        <w:jc w:val="left"/>
        <w:rPr>
          <w:b w:val="0"/>
          <w:szCs w:val="24"/>
          <w:lang w:eastAsia="en-US"/>
        </w:rPr>
      </w:pPr>
      <w:r w:rsidRPr="00C84483">
        <w:rPr>
          <w:b w:val="0"/>
          <w:szCs w:val="24"/>
          <w:lang w:eastAsia="en-US"/>
        </w:rPr>
        <w:tab/>
      </w:r>
      <w:r w:rsidR="00BD4E0F">
        <w:rPr>
          <w:szCs w:val="24"/>
        </w:rPr>
        <w:t xml:space="preserve">13. </w:t>
      </w:r>
      <w:r w:rsidR="00CB6A3A">
        <w:rPr>
          <w:szCs w:val="24"/>
        </w:rPr>
        <w:t>j</w:t>
      </w:r>
      <w:r w:rsidR="00BD4E0F">
        <w:rPr>
          <w:szCs w:val="24"/>
        </w:rPr>
        <w:t>uli 2021</w:t>
      </w:r>
    </w:p>
    <w:p w:rsidR="00DD5A90" w:rsidRDefault="00DD5A90" w:rsidP="00DD5A90">
      <w:pPr>
        <w:pStyle w:val="Titel"/>
        <w:jc w:val="left"/>
        <w:rPr>
          <w:b w:val="0"/>
          <w:szCs w:val="24"/>
        </w:rPr>
      </w:pPr>
    </w:p>
    <w:p w:rsidR="00BD4E0F" w:rsidRPr="00C84483" w:rsidRDefault="00BD4E0F" w:rsidP="00DD5A90">
      <w:pPr>
        <w:pStyle w:val="Titel"/>
        <w:jc w:val="left"/>
        <w:rPr>
          <w:b w:val="0"/>
          <w:szCs w:val="24"/>
        </w:rPr>
      </w:pPr>
    </w:p>
    <w:p w:rsidR="00DD5A90" w:rsidRPr="00C84483" w:rsidRDefault="00DD5A90" w:rsidP="00DD5A90">
      <w:pPr>
        <w:jc w:val="center"/>
        <w:rPr>
          <w:b/>
          <w:sz w:val="24"/>
          <w:szCs w:val="24"/>
        </w:rPr>
      </w:pPr>
      <w:r w:rsidRPr="00C84483">
        <w:rPr>
          <w:b/>
          <w:sz w:val="24"/>
          <w:szCs w:val="24"/>
        </w:rPr>
        <w:t>PRODUKTRESUMÉ</w:t>
      </w:r>
    </w:p>
    <w:p w:rsidR="00DD5A90" w:rsidRPr="00C84483" w:rsidRDefault="00DD5A90" w:rsidP="00DD5A90">
      <w:pPr>
        <w:jc w:val="center"/>
        <w:rPr>
          <w:b/>
          <w:sz w:val="24"/>
          <w:szCs w:val="24"/>
        </w:rPr>
      </w:pPr>
    </w:p>
    <w:p w:rsidR="00DD5A90" w:rsidRDefault="00DD5A90" w:rsidP="00DD5A90">
      <w:pPr>
        <w:jc w:val="center"/>
        <w:rPr>
          <w:b/>
          <w:sz w:val="24"/>
          <w:szCs w:val="24"/>
        </w:rPr>
      </w:pPr>
      <w:r w:rsidRPr="00C84483">
        <w:rPr>
          <w:b/>
          <w:sz w:val="24"/>
          <w:szCs w:val="24"/>
        </w:rPr>
        <w:t>for</w:t>
      </w:r>
    </w:p>
    <w:p w:rsidR="00DD5A90" w:rsidRPr="00C84483" w:rsidRDefault="00DD5A90" w:rsidP="00DD5A90">
      <w:pPr>
        <w:jc w:val="center"/>
        <w:rPr>
          <w:b/>
          <w:sz w:val="24"/>
          <w:szCs w:val="24"/>
        </w:rPr>
      </w:pPr>
    </w:p>
    <w:p w:rsidR="00DD5A90" w:rsidRPr="00C84483" w:rsidRDefault="00DD5A90" w:rsidP="00DD5A90">
      <w:pPr>
        <w:jc w:val="center"/>
        <w:rPr>
          <w:b/>
          <w:sz w:val="24"/>
          <w:szCs w:val="24"/>
        </w:rPr>
      </w:pPr>
      <w:proofErr w:type="spellStart"/>
      <w:r>
        <w:rPr>
          <w:b/>
          <w:sz w:val="24"/>
          <w:szCs w:val="24"/>
        </w:rPr>
        <w:t>Calciumfolinate</w:t>
      </w:r>
      <w:proofErr w:type="spellEnd"/>
      <w:r>
        <w:rPr>
          <w:b/>
          <w:sz w:val="24"/>
          <w:szCs w:val="24"/>
        </w:rPr>
        <w:t xml:space="preserve"> "Sandoz", injektions-/infusionsvæske, opløsning</w:t>
      </w:r>
    </w:p>
    <w:p w:rsidR="00DD5A90" w:rsidRPr="00C84483" w:rsidRDefault="00DD5A90" w:rsidP="00DD5A90">
      <w:pPr>
        <w:jc w:val="both"/>
        <w:rPr>
          <w:sz w:val="24"/>
          <w:szCs w:val="24"/>
        </w:rPr>
      </w:pPr>
    </w:p>
    <w:p w:rsidR="00DD5A90" w:rsidRPr="0000288F" w:rsidRDefault="00DD5A90" w:rsidP="00DD5A90">
      <w:pPr>
        <w:ind w:left="851" w:hanging="851"/>
        <w:jc w:val="both"/>
        <w:rPr>
          <w:sz w:val="24"/>
          <w:szCs w:val="24"/>
        </w:rPr>
      </w:pPr>
    </w:p>
    <w:p w:rsidR="00DD5A90" w:rsidRPr="0000288F" w:rsidRDefault="00DD5A90" w:rsidP="00DD5A90">
      <w:pPr>
        <w:ind w:left="851" w:hanging="851"/>
        <w:rPr>
          <w:b/>
          <w:sz w:val="24"/>
          <w:szCs w:val="24"/>
        </w:rPr>
      </w:pPr>
      <w:r w:rsidRPr="0000288F">
        <w:rPr>
          <w:b/>
          <w:sz w:val="24"/>
          <w:szCs w:val="24"/>
        </w:rPr>
        <w:t>0.</w:t>
      </w:r>
      <w:r w:rsidRPr="0000288F">
        <w:rPr>
          <w:b/>
          <w:sz w:val="24"/>
          <w:szCs w:val="24"/>
        </w:rPr>
        <w:tab/>
        <w:t>D.SP.NR.</w:t>
      </w:r>
    </w:p>
    <w:p w:rsidR="00DD5A90" w:rsidRPr="0000288F" w:rsidRDefault="00DD5A90" w:rsidP="00DD5A90">
      <w:pPr>
        <w:ind w:left="851" w:hanging="851"/>
        <w:rPr>
          <w:sz w:val="24"/>
          <w:szCs w:val="24"/>
        </w:rPr>
      </w:pPr>
      <w:r>
        <w:rPr>
          <w:sz w:val="24"/>
          <w:szCs w:val="24"/>
        </w:rPr>
        <w:tab/>
      </w:r>
      <w:r w:rsidRPr="0000288F">
        <w:rPr>
          <w:sz w:val="24"/>
          <w:szCs w:val="24"/>
        </w:rPr>
        <w:t>29986</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1.</w:t>
      </w:r>
      <w:r w:rsidRPr="0000288F">
        <w:rPr>
          <w:b/>
          <w:sz w:val="24"/>
          <w:szCs w:val="24"/>
        </w:rPr>
        <w:tab/>
        <w:t>LÆGEMIDLETS NAVN</w:t>
      </w:r>
    </w:p>
    <w:p w:rsidR="00DD5A90" w:rsidRPr="0000288F" w:rsidRDefault="00DD5A90" w:rsidP="00DD5A90">
      <w:pPr>
        <w:ind w:left="851" w:hanging="851"/>
        <w:rPr>
          <w:sz w:val="24"/>
          <w:szCs w:val="24"/>
        </w:rPr>
      </w:pPr>
      <w:r>
        <w:rPr>
          <w:sz w:val="24"/>
          <w:szCs w:val="24"/>
        </w:rPr>
        <w:tab/>
      </w:r>
      <w:proofErr w:type="spellStart"/>
      <w:r w:rsidRPr="0000288F">
        <w:rPr>
          <w:sz w:val="24"/>
          <w:szCs w:val="24"/>
        </w:rPr>
        <w:t>Calciumfolinate</w:t>
      </w:r>
      <w:proofErr w:type="spellEnd"/>
      <w:r w:rsidRPr="0000288F">
        <w:rPr>
          <w:sz w:val="24"/>
          <w:szCs w:val="24"/>
        </w:rPr>
        <w:t xml:space="preserve"> </w:t>
      </w:r>
      <w:r>
        <w:rPr>
          <w:sz w:val="24"/>
          <w:szCs w:val="24"/>
        </w:rPr>
        <w:t>"</w:t>
      </w:r>
      <w:r w:rsidRPr="0000288F">
        <w:rPr>
          <w:sz w:val="24"/>
          <w:szCs w:val="24"/>
        </w:rPr>
        <w:t>Sandoz</w:t>
      </w:r>
      <w:r>
        <w:rPr>
          <w:sz w:val="24"/>
          <w:szCs w:val="24"/>
        </w:rPr>
        <w:t>"</w:t>
      </w:r>
    </w:p>
    <w:p w:rsidR="00DD5A90" w:rsidRPr="0000288F" w:rsidRDefault="00DD5A90" w:rsidP="00DD5A90">
      <w:pPr>
        <w:ind w:left="851" w:hanging="851"/>
        <w:rPr>
          <w:sz w:val="24"/>
          <w:szCs w:val="24"/>
        </w:rPr>
      </w:pPr>
    </w:p>
    <w:p w:rsidR="00B51F53" w:rsidRDefault="00B51F53" w:rsidP="00B51F53">
      <w:pPr>
        <w:ind w:left="851" w:hanging="851"/>
        <w:rPr>
          <w:b/>
          <w:sz w:val="24"/>
          <w:szCs w:val="24"/>
        </w:rPr>
      </w:pPr>
      <w:r>
        <w:rPr>
          <w:b/>
          <w:sz w:val="24"/>
          <w:szCs w:val="24"/>
        </w:rPr>
        <w:t>2.</w:t>
      </w:r>
      <w:r>
        <w:rPr>
          <w:b/>
          <w:sz w:val="24"/>
          <w:szCs w:val="24"/>
        </w:rPr>
        <w:tab/>
        <w:t>KVALITATIV OG KVANTITATIV SAMMENSÆTNING</w:t>
      </w:r>
    </w:p>
    <w:p w:rsidR="00B51F53" w:rsidRDefault="00B51F53" w:rsidP="00B51F53">
      <w:pPr>
        <w:suppressAutoHyphens/>
        <w:ind w:left="851"/>
        <w:rPr>
          <w:sz w:val="24"/>
          <w:szCs w:val="24"/>
        </w:rPr>
      </w:pPr>
      <w:r>
        <w:rPr>
          <w:sz w:val="24"/>
          <w:szCs w:val="24"/>
        </w:rPr>
        <w:t xml:space="preserve">Hver ml injektions-/infusionsvæske indeholder 10 mg </w:t>
      </w:r>
      <w:proofErr w:type="spellStart"/>
      <w:r>
        <w:rPr>
          <w:sz w:val="24"/>
          <w:szCs w:val="24"/>
        </w:rPr>
        <w:t>folininsyre</w:t>
      </w:r>
      <w:proofErr w:type="spellEnd"/>
      <w:r>
        <w:rPr>
          <w:sz w:val="24"/>
          <w:szCs w:val="24"/>
        </w:rPr>
        <w:t xml:space="preserve"> som </w:t>
      </w:r>
      <w:proofErr w:type="spellStart"/>
      <w:r>
        <w:rPr>
          <w:sz w:val="24"/>
          <w:szCs w:val="24"/>
        </w:rPr>
        <w:t>calciumfolinathydrat</w:t>
      </w:r>
      <w:proofErr w:type="spellEnd"/>
      <w:r>
        <w:rPr>
          <w:sz w:val="24"/>
          <w:szCs w:val="24"/>
        </w:rPr>
        <w:t>.</w:t>
      </w:r>
    </w:p>
    <w:p w:rsidR="00B51F53" w:rsidRDefault="00B51F53" w:rsidP="00B51F53">
      <w:pPr>
        <w:suppressAutoHyphens/>
        <w:ind w:left="851" w:hanging="851"/>
        <w:rPr>
          <w:sz w:val="24"/>
          <w:szCs w:val="24"/>
        </w:rPr>
      </w:pPr>
    </w:p>
    <w:p w:rsidR="00B51F53" w:rsidRDefault="00B51F53" w:rsidP="00B51F53">
      <w:pPr>
        <w:spacing w:line="260" w:lineRule="exact"/>
        <w:ind w:left="851" w:hanging="851"/>
        <w:rPr>
          <w:sz w:val="24"/>
          <w:szCs w:val="24"/>
        </w:rPr>
      </w:pPr>
      <w:r>
        <w:rPr>
          <w:sz w:val="24"/>
          <w:szCs w:val="24"/>
        </w:rPr>
        <w:tab/>
        <w:t>Hjælpestof(fer), som behandleren skal være opmærksom på:</w:t>
      </w:r>
    </w:p>
    <w:p w:rsidR="00B51F53" w:rsidRDefault="00B51F53" w:rsidP="00B51F53">
      <w:pPr>
        <w:spacing w:line="260" w:lineRule="exact"/>
        <w:ind w:left="851" w:hanging="851"/>
        <w:rPr>
          <w:sz w:val="24"/>
          <w:szCs w:val="24"/>
        </w:rPr>
      </w:pPr>
      <w:r>
        <w:rPr>
          <w:sz w:val="24"/>
          <w:szCs w:val="24"/>
        </w:rPr>
        <w:tab/>
        <w:t>Hver ml injektion/infusionsvæske, opløsning indeholder 3,3 mg natrium.</w:t>
      </w:r>
    </w:p>
    <w:p w:rsidR="00B51F53" w:rsidRDefault="00B51F53" w:rsidP="00B51F53">
      <w:pPr>
        <w:spacing w:line="260" w:lineRule="exact"/>
        <w:ind w:left="851" w:hanging="851"/>
        <w:rPr>
          <w:sz w:val="24"/>
          <w:szCs w:val="24"/>
        </w:rPr>
      </w:pPr>
    </w:p>
    <w:p w:rsidR="00B51F53" w:rsidRDefault="00B51F53" w:rsidP="00B51F53">
      <w:pPr>
        <w:spacing w:line="260" w:lineRule="exact"/>
        <w:ind w:left="851"/>
        <w:rPr>
          <w:sz w:val="24"/>
          <w:szCs w:val="24"/>
        </w:rPr>
      </w:pPr>
      <w:r>
        <w:rPr>
          <w:sz w:val="24"/>
          <w:szCs w:val="24"/>
        </w:rPr>
        <w:t>Alle hjælpestoffer er anført under pkt. 6.1.</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3.</w:t>
      </w:r>
      <w:r w:rsidRPr="0000288F">
        <w:rPr>
          <w:b/>
          <w:sz w:val="24"/>
          <w:szCs w:val="24"/>
        </w:rPr>
        <w:tab/>
        <w:t>LÆGEMIDDELFORM</w:t>
      </w:r>
    </w:p>
    <w:p w:rsidR="00DD5A90" w:rsidRPr="0000288F" w:rsidRDefault="00DD5A90" w:rsidP="00DD5A90">
      <w:pPr>
        <w:suppressAutoHyphens/>
        <w:ind w:left="851"/>
        <w:rPr>
          <w:spacing w:val="-3"/>
          <w:sz w:val="24"/>
          <w:szCs w:val="24"/>
        </w:rPr>
      </w:pPr>
      <w:r w:rsidRPr="0000288F">
        <w:rPr>
          <w:spacing w:val="-3"/>
          <w:sz w:val="24"/>
          <w:szCs w:val="24"/>
        </w:rPr>
        <w:t>Injektions-/infusionsvæske, opløsnin</w:t>
      </w:r>
      <w:r>
        <w:rPr>
          <w:spacing w:val="-3"/>
          <w:sz w:val="24"/>
          <w:szCs w:val="24"/>
        </w:rPr>
        <w:t>g</w:t>
      </w:r>
    </w:p>
    <w:p w:rsidR="00DD5A90" w:rsidRPr="0000288F" w:rsidRDefault="00DD5A90" w:rsidP="00DD5A90">
      <w:pPr>
        <w:suppressAutoHyphens/>
        <w:ind w:left="851" w:hanging="851"/>
        <w:rPr>
          <w:spacing w:val="-3"/>
          <w:sz w:val="24"/>
          <w:szCs w:val="24"/>
        </w:rPr>
      </w:pPr>
    </w:p>
    <w:p w:rsidR="00DD5A90" w:rsidRPr="0000288F" w:rsidRDefault="00DD5A90" w:rsidP="00DD5A90">
      <w:pPr>
        <w:suppressAutoHyphens/>
        <w:ind w:left="851"/>
        <w:rPr>
          <w:spacing w:val="-3"/>
          <w:sz w:val="24"/>
          <w:szCs w:val="24"/>
        </w:rPr>
      </w:pPr>
      <w:r w:rsidRPr="0000288F">
        <w:rPr>
          <w:spacing w:val="-3"/>
          <w:sz w:val="24"/>
          <w:szCs w:val="24"/>
        </w:rPr>
        <w:t xml:space="preserve">Klar, gullig opløsning som er praktisk taget fri for </w:t>
      </w:r>
      <w:proofErr w:type="spellStart"/>
      <w:r w:rsidRPr="0000288F">
        <w:rPr>
          <w:spacing w:val="-3"/>
          <w:sz w:val="24"/>
          <w:szCs w:val="24"/>
        </w:rPr>
        <w:t>turbiditet</w:t>
      </w:r>
      <w:proofErr w:type="spellEnd"/>
      <w:r w:rsidRPr="0000288F">
        <w:rPr>
          <w:spacing w:val="-3"/>
          <w:sz w:val="24"/>
          <w:szCs w:val="24"/>
        </w:rPr>
        <w:t xml:space="preserve"> og fremmedlegemer med en pH på 7,0-8,6 og </w:t>
      </w:r>
      <w:proofErr w:type="spellStart"/>
      <w:r w:rsidRPr="0000288F">
        <w:rPr>
          <w:spacing w:val="-3"/>
          <w:sz w:val="24"/>
          <w:szCs w:val="24"/>
        </w:rPr>
        <w:t>osmolaritet</w:t>
      </w:r>
      <w:proofErr w:type="spellEnd"/>
      <w:r w:rsidRPr="0000288F">
        <w:rPr>
          <w:spacing w:val="-3"/>
          <w:sz w:val="24"/>
          <w:szCs w:val="24"/>
        </w:rPr>
        <w:t xml:space="preserve"> på 275 </w:t>
      </w:r>
      <w:proofErr w:type="spellStart"/>
      <w:r w:rsidRPr="0000288F">
        <w:rPr>
          <w:spacing w:val="-3"/>
          <w:sz w:val="24"/>
          <w:szCs w:val="24"/>
        </w:rPr>
        <w:t>mOsm</w:t>
      </w:r>
      <w:proofErr w:type="spellEnd"/>
      <w:r w:rsidRPr="0000288F">
        <w:rPr>
          <w:spacing w:val="-3"/>
          <w:sz w:val="24"/>
          <w:szCs w:val="24"/>
        </w:rPr>
        <w:t>.</w:t>
      </w:r>
    </w:p>
    <w:p w:rsidR="00DD5A90" w:rsidRPr="0000288F" w:rsidRDefault="00DD5A90" w:rsidP="00DD5A90">
      <w:pPr>
        <w:ind w:left="851" w:hanging="851"/>
        <w:rPr>
          <w:sz w:val="24"/>
          <w:szCs w:val="24"/>
        </w:rPr>
      </w:pP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w:t>
      </w:r>
      <w:r w:rsidRPr="0000288F">
        <w:rPr>
          <w:b/>
          <w:sz w:val="24"/>
          <w:szCs w:val="24"/>
        </w:rPr>
        <w:tab/>
        <w:t>KLINISKE OPLYSNINGER</w:t>
      </w:r>
    </w:p>
    <w:p w:rsidR="00DD5A90" w:rsidRPr="0000288F" w:rsidRDefault="00DD5A90" w:rsidP="00DD5A90">
      <w:pPr>
        <w:ind w:left="851" w:hanging="851"/>
        <w:rPr>
          <w:b/>
          <w:sz w:val="24"/>
          <w:szCs w:val="24"/>
        </w:rPr>
      </w:pPr>
    </w:p>
    <w:p w:rsidR="00DD5A90" w:rsidRPr="0000288F" w:rsidRDefault="00DD5A90" w:rsidP="00DD5A90">
      <w:pPr>
        <w:ind w:left="851" w:hanging="851"/>
        <w:rPr>
          <w:b/>
          <w:sz w:val="24"/>
          <w:szCs w:val="24"/>
          <w:u w:val="single"/>
        </w:rPr>
      </w:pPr>
      <w:r w:rsidRPr="0000288F">
        <w:rPr>
          <w:b/>
          <w:sz w:val="24"/>
          <w:szCs w:val="24"/>
        </w:rPr>
        <w:t>4.1</w:t>
      </w:r>
      <w:r w:rsidRPr="0000288F">
        <w:rPr>
          <w:b/>
          <w:sz w:val="24"/>
          <w:szCs w:val="24"/>
        </w:rPr>
        <w:tab/>
        <w:t>Terapeutiske indikationer</w:t>
      </w:r>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er indiceret</w:t>
      </w:r>
    </w:p>
    <w:p w:rsidR="00DD5A90" w:rsidRPr="0000288F" w:rsidRDefault="00DD5A90" w:rsidP="00DD5A90">
      <w:pPr>
        <w:pStyle w:val="Listeafsnit"/>
        <w:numPr>
          <w:ilvl w:val="0"/>
          <w:numId w:val="6"/>
        </w:numPr>
        <w:ind w:left="1134" w:hanging="283"/>
        <w:rPr>
          <w:sz w:val="24"/>
          <w:szCs w:val="24"/>
        </w:rPr>
      </w:pPr>
      <w:r w:rsidRPr="0000288F">
        <w:rPr>
          <w:sz w:val="24"/>
          <w:szCs w:val="24"/>
        </w:rPr>
        <w:t xml:space="preserve">til at reducere toksicitet og modvirke effekten af </w:t>
      </w:r>
      <w:proofErr w:type="spellStart"/>
      <w:r w:rsidRPr="0000288F">
        <w:rPr>
          <w:sz w:val="24"/>
          <w:szCs w:val="24"/>
        </w:rPr>
        <w:t>folinsyreantagonister</w:t>
      </w:r>
      <w:proofErr w:type="spellEnd"/>
      <w:r w:rsidRPr="0000288F">
        <w:rPr>
          <w:sz w:val="24"/>
          <w:szCs w:val="24"/>
        </w:rPr>
        <w:t xml:space="preserve"> som </w:t>
      </w:r>
      <w:proofErr w:type="spellStart"/>
      <w:r w:rsidRPr="0000288F">
        <w:rPr>
          <w:sz w:val="24"/>
          <w:szCs w:val="24"/>
        </w:rPr>
        <w:t>methotrexat</w:t>
      </w:r>
      <w:proofErr w:type="spellEnd"/>
      <w:r w:rsidRPr="0000288F">
        <w:rPr>
          <w:sz w:val="24"/>
          <w:szCs w:val="24"/>
        </w:rPr>
        <w:t xml:space="preserve"> i </w:t>
      </w:r>
      <w:proofErr w:type="spellStart"/>
      <w:r w:rsidRPr="0000288F">
        <w:rPr>
          <w:sz w:val="24"/>
          <w:szCs w:val="24"/>
        </w:rPr>
        <w:t>cytotoksisk</w:t>
      </w:r>
      <w:proofErr w:type="spellEnd"/>
      <w:r w:rsidRPr="0000288F">
        <w:rPr>
          <w:sz w:val="24"/>
          <w:szCs w:val="24"/>
        </w:rPr>
        <w:t xml:space="preserve"> behandling og overdosering hos voksne og børn. I </w:t>
      </w:r>
      <w:proofErr w:type="spellStart"/>
      <w:r w:rsidRPr="0000288F">
        <w:rPr>
          <w:sz w:val="24"/>
          <w:szCs w:val="24"/>
        </w:rPr>
        <w:t>cytotoksisk</w:t>
      </w:r>
      <w:proofErr w:type="spellEnd"/>
      <w:r w:rsidRPr="0000288F">
        <w:rPr>
          <w:sz w:val="24"/>
          <w:szCs w:val="24"/>
        </w:rPr>
        <w:t xml:space="preserve"> behandling er denne behandling kendt som </w:t>
      </w:r>
      <w:r>
        <w:rPr>
          <w:sz w:val="24"/>
          <w:szCs w:val="24"/>
        </w:rPr>
        <w:t>"</w:t>
      </w:r>
      <w:proofErr w:type="spellStart"/>
      <w:r w:rsidRPr="0000288F">
        <w:rPr>
          <w:sz w:val="24"/>
          <w:szCs w:val="24"/>
        </w:rPr>
        <w:t>calciumfolinat-rescue</w:t>
      </w:r>
      <w:proofErr w:type="spellEnd"/>
      <w:r>
        <w:rPr>
          <w:sz w:val="24"/>
          <w:szCs w:val="24"/>
        </w:rPr>
        <w:t>"</w:t>
      </w:r>
    </w:p>
    <w:p w:rsidR="00DD5A90" w:rsidRPr="0000288F" w:rsidRDefault="00DD5A90" w:rsidP="00DD5A90">
      <w:pPr>
        <w:pStyle w:val="Listeafsnit"/>
        <w:numPr>
          <w:ilvl w:val="0"/>
          <w:numId w:val="6"/>
        </w:numPr>
        <w:ind w:left="1134" w:hanging="283"/>
        <w:rPr>
          <w:sz w:val="24"/>
          <w:szCs w:val="24"/>
        </w:rPr>
      </w:pPr>
      <w:r w:rsidRPr="0000288F">
        <w:rPr>
          <w:sz w:val="24"/>
          <w:szCs w:val="24"/>
        </w:rPr>
        <w:t xml:space="preserve">i kombination med 5-fluorouracil i </w:t>
      </w:r>
      <w:proofErr w:type="spellStart"/>
      <w:r w:rsidRPr="0000288F">
        <w:rPr>
          <w:sz w:val="24"/>
          <w:szCs w:val="24"/>
        </w:rPr>
        <w:t>cytotoksisk</w:t>
      </w:r>
      <w:proofErr w:type="spellEnd"/>
      <w:r w:rsidRPr="0000288F">
        <w:rPr>
          <w:sz w:val="24"/>
          <w:szCs w:val="24"/>
        </w:rPr>
        <w:t xml:space="preserve"> behandling.</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4.2</w:t>
      </w:r>
      <w:r w:rsidRPr="0000288F">
        <w:rPr>
          <w:b/>
          <w:sz w:val="24"/>
          <w:szCs w:val="24"/>
        </w:rPr>
        <w:tab/>
        <w:t>Dosering og indgivelsesmåde</w:t>
      </w:r>
    </w:p>
    <w:p w:rsidR="00DD5A90" w:rsidRDefault="00DD5A90" w:rsidP="00DD5A90">
      <w:pPr>
        <w:ind w:left="851"/>
        <w:rPr>
          <w:noProof/>
          <w:sz w:val="24"/>
          <w:szCs w:val="24"/>
          <w:u w:val="single"/>
        </w:rPr>
      </w:pPr>
    </w:p>
    <w:p w:rsidR="00DD5A90" w:rsidRPr="00DB2A98" w:rsidRDefault="00DD5A90" w:rsidP="00DD5A90">
      <w:pPr>
        <w:ind w:left="851"/>
        <w:rPr>
          <w:noProof/>
          <w:sz w:val="24"/>
          <w:szCs w:val="24"/>
          <w:u w:val="single"/>
        </w:rPr>
      </w:pPr>
      <w:r w:rsidRPr="00DB2A98">
        <w:rPr>
          <w:noProof/>
          <w:sz w:val="24"/>
          <w:szCs w:val="24"/>
          <w:u w:val="single"/>
        </w:rPr>
        <w:t>Dosering</w:t>
      </w:r>
    </w:p>
    <w:p w:rsidR="00DD5A90" w:rsidRPr="00DB2A98" w:rsidRDefault="00DD5A90" w:rsidP="00DD5A90">
      <w:pPr>
        <w:ind w:left="851" w:hanging="851"/>
        <w:rPr>
          <w:noProof/>
          <w:sz w:val="24"/>
          <w:szCs w:val="24"/>
        </w:rPr>
      </w:pPr>
    </w:p>
    <w:p w:rsidR="00DD5A90" w:rsidRPr="00DB2A98" w:rsidRDefault="00DD5A90" w:rsidP="00DD5A90">
      <w:pPr>
        <w:ind w:left="851"/>
        <w:rPr>
          <w:i/>
          <w:noProof/>
          <w:sz w:val="24"/>
          <w:szCs w:val="24"/>
          <w:u w:val="single"/>
        </w:rPr>
      </w:pPr>
      <w:r w:rsidRPr="00DB2A98">
        <w:rPr>
          <w:i/>
          <w:noProof/>
          <w:sz w:val="24"/>
          <w:szCs w:val="24"/>
          <w:u w:val="single"/>
        </w:rPr>
        <w:t>Calciumfolinat-r</w:t>
      </w:r>
      <w:r>
        <w:rPr>
          <w:i/>
          <w:noProof/>
          <w:sz w:val="24"/>
          <w:szCs w:val="24"/>
          <w:u w:val="single"/>
        </w:rPr>
        <w:t>escue ved methotrexatbehandling</w:t>
      </w:r>
    </w:p>
    <w:p w:rsidR="00DD5A90" w:rsidRPr="00DB2A98" w:rsidRDefault="00DD5A90" w:rsidP="00DD5A90">
      <w:pPr>
        <w:ind w:left="851"/>
        <w:rPr>
          <w:noProof/>
          <w:sz w:val="24"/>
          <w:szCs w:val="24"/>
        </w:rPr>
      </w:pPr>
      <w:r w:rsidRPr="00DB2A98">
        <w:rPr>
          <w:noProof/>
          <w:sz w:val="24"/>
          <w:szCs w:val="24"/>
        </w:rPr>
        <w:lastRenderedPageBreak/>
        <w:t>Se den aktuelle protokol for mellem- eller højdoser methotrexat for dosis og administrationsmåde af calciumfolinat. Methotrexat protokollen vil bestemme dosisregimet for Calciumfolinat-Rescue behandlingen da den i høj grad afhænger af dosering og administrationsmåde for mellem- eller højdoser methotrexat.</w:t>
      </w:r>
    </w:p>
    <w:p w:rsidR="00DD5A90" w:rsidRPr="00DB2A98" w:rsidRDefault="00DD5A90" w:rsidP="00DD5A90">
      <w:pPr>
        <w:ind w:left="851" w:hanging="851"/>
        <w:rPr>
          <w:noProof/>
          <w:sz w:val="24"/>
          <w:szCs w:val="24"/>
        </w:rPr>
      </w:pPr>
    </w:p>
    <w:p w:rsidR="00DD5A90" w:rsidRPr="00DB2A98" w:rsidRDefault="00DD5A90" w:rsidP="00DD5A90">
      <w:pPr>
        <w:ind w:left="851"/>
        <w:rPr>
          <w:noProof/>
          <w:sz w:val="24"/>
          <w:szCs w:val="24"/>
        </w:rPr>
      </w:pPr>
      <w:r w:rsidRPr="00DB2A98">
        <w:rPr>
          <w:noProof/>
          <w:sz w:val="24"/>
          <w:szCs w:val="24"/>
        </w:rPr>
        <w:t>Følgende retningslinier kan illustrere dosisregimer brugt til voksne, ældre og børn:</w:t>
      </w:r>
    </w:p>
    <w:p w:rsidR="00DD5A90" w:rsidRPr="00DB2A98" w:rsidRDefault="00DD5A90" w:rsidP="00DD5A90">
      <w:pPr>
        <w:ind w:left="851"/>
        <w:rPr>
          <w:noProof/>
          <w:sz w:val="24"/>
          <w:szCs w:val="24"/>
        </w:rPr>
      </w:pPr>
      <w:r w:rsidRPr="00DB2A98">
        <w:rPr>
          <w:noProof/>
          <w:sz w:val="24"/>
          <w:szCs w:val="24"/>
        </w:rPr>
        <w:t>Calciumfolinat-Rescue skal gives parenteralt hos patienter med malabsorptionssyndromer eller andre gastrointestinale lidelser hvor enteral absorption ikke kan garanteres. Doser over 25-50 mg skal gives parenteralt for at undgå enteral mætning af absorptionen af calciumfolinat.</w:t>
      </w:r>
    </w:p>
    <w:p w:rsidR="00DD5A90" w:rsidRPr="00DB2A98" w:rsidRDefault="00DD5A90" w:rsidP="00DD5A90">
      <w:pPr>
        <w:ind w:left="851" w:hanging="851"/>
        <w:rPr>
          <w:noProof/>
          <w:sz w:val="24"/>
          <w:szCs w:val="24"/>
        </w:rPr>
      </w:pPr>
    </w:p>
    <w:p w:rsidR="00DD5A90" w:rsidRPr="00DB2A98" w:rsidRDefault="00DD5A90" w:rsidP="00DD5A90">
      <w:pPr>
        <w:ind w:left="851"/>
        <w:rPr>
          <w:noProof/>
          <w:sz w:val="24"/>
          <w:szCs w:val="24"/>
        </w:rPr>
      </w:pPr>
      <w:r w:rsidRPr="00DB2A98">
        <w:rPr>
          <w:noProof/>
          <w:sz w:val="24"/>
          <w:szCs w:val="24"/>
        </w:rPr>
        <w:t>Calciumfolinat-Rescue er påkrævet, når methotrexat gives i doser som overskrider 500 mg/m</w:t>
      </w:r>
      <w:r w:rsidRPr="00DB2A98">
        <w:rPr>
          <w:noProof/>
          <w:sz w:val="24"/>
          <w:szCs w:val="24"/>
          <w:vertAlign w:val="superscript"/>
        </w:rPr>
        <w:t>2</w:t>
      </w:r>
      <w:r w:rsidRPr="00DB2A98">
        <w:rPr>
          <w:noProof/>
          <w:sz w:val="24"/>
          <w:szCs w:val="24"/>
        </w:rPr>
        <w:t xml:space="preserve"> kropsoverflade, og bør overvejes ved doser på 100-500 mg/m</w:t>
      </w:r>
      <w:r w:rsidRPr="00DB2A98">
        <w:rPr>
          <w:noProof/>
          <w:sz w:val="24"/>
          <w:szCs w:val="24"/>
          <w:vertAlign w:val="superscript"/>
        </w:rPr>
        <w:t>2</w:t>
      </w:r>
      <w:r w:rsidRPr="00DB2A98">
        <w:rPr>
          <w:noProof/>
          <w:sz w:val="24"/>
          <w:szCs w:val="24"/>
        </w:rPr>
        <w:t>.</w:t>
      </w:r>
    </w:p>
    <w:p w:rsidR="00DD5A90" w:rsidRPr="00DB2A98" w:rsidRDefault="00DD5A90" w:rsidP="00DD5A90">
      <w:pPr>
        <w:ind w:left="851" w:hanging="851"/>
        <w:rPr>
          <w:noProof/>
          <w:sz w:val="24"/>
          <w:szCs w:val="24"/>
        </w:rPr>
      </w:pPr>
    </w:p>
    <w:p w:rsidR="00DD5A90" w:rsidRPr="00DB2A98" w:rsidRDefault="00DD5A90" w:rsidP="00DD5A90">
      <w:pPr>
        <w:ind w:left="851"/>
        <w:rPr>
          <w:noProof/>
          <w:sz w:val="24"/>
          <w:szCs w:val="24"/>
        </w:rPr>
      </w:pPr>
      <w:r w:rsidRPr="00DB2A98">
        <w:rPr>
          <w:noProof/>
          <w:sz w:val="24"/>
          <w:szCs w:val="24"/>
        </w:rPr>
        <w:t>Dosering og varighed af Calciumfolinat-Rescue afhænger primært af behandlingstype og dosering af methotrexat, forekomsten af toksicitetessymptomer samt af patientens individuelle udskillelseskapacitet af methotrexat.  Det anbefales, at første dosis af calciumfolinat på 15 mg (6-12 mg/m</w:t>
      </w:r>
      <w:r w:rsidRPr="00DB2A98">
        <w:rPr>
          <w:noProof/>
          <w:sz w:val="24"/>
          <w:szCs w:val="24"/>
          <w:vertAlign w:val="superscript"/>
        </w:rPr>
        <w:t>2</w:t>
      </w:r>
      <w:r w:rsidRPr="00DB2A98">
        <w:rPr>
          <w:noProof/>
          <w:sz w:val="24"/>
          <w:szCs w:val="24"/>
        </w:rPr>
        <w:t>) gives over 12-24 timer (maximalt 24 timer) efter opstart af methotrexatinfusionen. Samme dosis gives hver 6. time over en 72 timers periode. Efter flere parenterale doser kan behandlingen overgå til oral form.</w:t>
      </w:r>
    </w:p>
    <w:p w:rsidR="00DD5A90" w:rsidRPr="00DB2A98" w:rsidRDefault="00DD5A90" w:rsidP="00DD5A90">
      <w:pPr>
        <w:ind w:left="851" w:hanging="851"/>
        <w:rPr>
          <w:noProof/>
          <w:sz w:val="24"/>
          <w:szCs w:val="24"/>
        </w:rPr>
      </w:pPr>
    </w:p>
    <w:p w:rsidR="00DD5A90" w:rsidRPr="00DB2A98" w:rsidRDefault="00DD5A90" w:rsidP="00DD5A90">
      <w:pPr>
        <w:ind w:left="851"/>
        <w:rPr>
          <w:noProof/>
          <w:sz w:val="24"/>
          <w:szCs w:val="24"/>
        </w:rPr>
      </w:pPr>
      <w:r w:rsidRPr="00DB2A98">
        <w:rPr>
          <w:noProof/>
          <w:sz w:val="24"/>
          <w:szCs w:val="24"/>
        </w:rPr>
        <w:t xml:space="preserve">Udover administrationen af calciumfolinat, er tiltag som at sikre hurtig udskillelse af methotrexat (opretholdelse af høj urinproduktion og alkalisering af urinen) en væsentlig del af Calciumfolinat-Rescue behandlingen. Nyrefunktion bør monitoreres ved måling af serumkreatinin </w:t>
      </w:r>
      <w:r>
        <w:rPr>
          <w:noProof/>
          <w:sz w:val="24"/>
          <w:szCs w:val="24"/>
        </w:rPr>
        <w:t>daglig</w:t>
      </w:r>
      <w:r w:rsidRPr="00DB2A98">
        <w:rPr>
          <w:noProof/>
          <w:sz w:val="24"/>
          <w:szCs w:val="24"/>
        </w:rPr>
        <w:t>.</w:t>
      </w:r>
    </w:p>
    <w:p w:rsidR="00DD5A90" w:rsidRPr="00DB2A98" w:rsidRDefault="00DD5A90" w:rsidP="00DD5A90">
      <w:pPr>
        <w:ind w:left="851" w:hanging="851"/>
        <w:rPr>
          <w:noProof/>
          <w:sz w:val="24"/>
          <w:szCs w:val="24"/>
        </w:rPr>
      </w:pPr>
    </w:p>
    <w:p w:rsidR="00DD5A90" w:rsidRPr="00DB2A98" w:rsidRDefault="00DD5A90" w:rsidP="00DD5A90">
      <w:pPr>
        <w:ind w:left="851"/>
        <w:rPr>
          <w:noProof/>
          <w:sz w:val="24"/>
          <w:szCs w:val="24"/>
        </w:rPr>
      </w:pPr>
      <w:r w:rsidRPr="00DB2A98">
        <w:rPr>
          <w:noProof/>
          <w:sz w:val="24"/>
          <w:szCs w:val="24"/>
        </w:rPr>
        <w:t>Residualniveauet af methorexat i blodet bør måles 48 timer efter indledning af methotrexatinfusionen.. Hvis det tilbageværende methotrexatniveau overstiger 0,5 µmol/l, bør calciumfolinatdoseringen tilpasses efter følgende skema:</w:t>
      </w:r>
    </w:p>
    <w:p w:rsidR="00DD5A90" w:rsidRPr="00DB2A98" w:rsidRDefault="00DD5A90" w:rsidP="00DD5A90">
      <w:pPr>
        <w:ind w:left="851" w:hanging="851"/>
        <w:rPr>
          <w:noProof/>
          <w:sz w:val="24"/>
          <w:szCs w:val="24"/>
        </w:rPr>
      </w:pPr>
    </w:p>
    <w:tbl>
      <w:tblPr>
        <w:tblW w:w="840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150"/>
      </w:tblGrid>
      <w:tr w:rsidR="00DD5A90" w:rsidRPr="00DB2A98" w:rsidTr="003B4BCE">
        <w:tc>
          <w:tcPr>
            <w:tcW w:w="4252" w:type="dxa"/>
            <w:shd w:val="clear" w:color="auto" w:fill="auto"/>
          </w:tcPr>
          <w:p w:rsidR="00DD5A90" w:rsidRPr="00DB2A98" w:rsidRDefault="00DD5A90" w:rsidP="003B4BCE">
            <w:pPr>
              <w:ind w:left="29"/>
              <w:rPr>
                <w:sz w:val="24"/>
                <w:szCs w:val="24"/>
              </w:rPr>
            </w:pPr>
            <w:r w:rsidRPr="00DB2A98">
              <w:rPr>
                <w:sz w:val="24"/>
                <w:szCs w:val="24"/>
              </w:rPr>
              <w:br w:type="page"/>
            </w:r>
            <w:r w:rsidRPr="00DB2A98">
              <w:rPr>
                <w:noProof/>
                <w:sz w:val="24"/>
                <w:szCs w:val="24"/>
              </w:rPr>
              <w:t>Methotrexats residualniveau i blodet 48 timer efter opstart af methotrexat:</w:t>
            </w:r>
          </w:p>
        </w:tc>
        <w:tc>
          <w:tcPr>
            <w:tcW w:w="4150" w:type="dxa"/>
            <w:shd w:val="clear" w:color="auto" w:fill="auto"/>
          </w:tcPr>
          <w:p w:rsidR="00DD5A90" w:rsidRPr="00DB2A98" w:rsidRDefault="00DD5A90" w:rsidP="003B4BCE">
            <w:pPr>
              <w:ind w:left="29"/>
              <w:rPr>
                <w:sz w:val="24"/>
                <w:szCs w:val="24"/>
              </w:rPr>
            </w:pPr>
            <w:r w:rsidRPr="00DB2A98">
              <w:rPr>
                <w:noProof/>
                <w:sz w:val="24"/>
                <w:szCs w:val="24"/>
              </w:rPr>
              <w:t>Ekstra calciumfolinat, som skal administreres hver 6. time i 48 timer eller indtil methotrexatniveauet er under 0,05 µmol/l:</w:t>
            </w:r>
          </w:p>
        </w:tc>
      </w:tr>
      <w:tr w:rsidR="00DD5A90" w:rsidRPr="00DB2A98" w:rsidTr="003B4BCE">
        <w:tc>
          <w:tcPr>
            <w:tcW w:w="4252" w:type="dxa"/>
            <w:shd w:val="clear" w:color="auto" w:fill="auto"/>
          </w:tcPr>
          <w:p w:rsidR="00DD5A90" w:rsidRPr="00DB2A98" w:rsidRDefault="00DD5A90" w:rsidP="003B4BCE">
            <w:pPr>
              <w:ind w:left="29"/>
              <w:jc w:val="both"/>
              <w:rPr>
                <w:sz w:val="24"/>
                <w:szCs w:val="24"/>
              </w:rPr>
            </w:pPr>
            <w:r w:rsidRPr="00DB2A98">
              <w:rPr>
                <w:sz w:val="24"/>
                <w:szCs w:val="24"/>
                <w:u w:val="single"/>
              </w:rPr>
              <w:t>&gt;</w:t>
            </w:r>
            <w:r w:rsidRPr="00DB2A98">
              <w:rPr>
                <w:sz w:val="24"/>
                <w:szCs w:val="24"/>
              </w:rPr>
              <w:t xml:space="preserve"> 0,5 µmol/l </w:t>
            </w:r>
          </w:p>
        </w:tc>
        <w:tc>
          <w:tcPr>
            <w:tcW w:w="4150" w:type="dxa"/>
            <w:shd w:val="clear" w:color="auto" w:fill="auto"/>
          </w:tcPr>
          <w:p w:rsidR="00DD5A90" w:rsidRPr="00DB2A98" w:rsidRDefault="00DD5A90" w:rsidP="003B4BCE">
            <w:pPr>
              <w:ind w:left="29"/>
              <w:jc w:val="both"/>
              <w:rPr>
                <w:sz w:val="24"/>
                <w:szCs w:val="24"/>
              </w:rPr>
            </w:pPr>
            <w:r w:rsidRPr="00DB2A98">
              <w:rPr>
                <w:sz w:val="24"/>
                <w:szCs w:val="24"/>
              </w:rPr>
              <w:t>15 mg/m²</w:t>
            </w:r>
          </w:p>
        </w:tc>
      </w:tr>
      <w:tr w:rsidR="00DD5A90" w:rsidRPr="00DB2A98" w:rsidTr="003B4BCE">
        <w:tc>
          <w:tcPr>
            <w:tcW w:w="4252" w:type="dxa"/>
            <w:shd w:val="clear" w:color="auto" w:fill="auto"/>
          </w:tcPr>
          <w:p w:rsidR="00DD5A90" w:rsidRPr="00DB2A98" w:rsidRDefault="00DD5A90" w:rsidP="003B4BCE">
            <w:pPr>
              <w:ind w:left="29"/>
              <w:jc w:val="both"/>
              <w:rPr>
                <w:sz w:val="24"/>
                <w:szCs w:val="24"/>
              </w:rPr>
            </w:pPr>
            <w:r w:rsidRPr="00DB2A98">
              <w:rPr>
                <w:sz w:val="24"/>
                <w:szCs w:val="24"/>
                <w:u w:val="single"/>
              </w:rPr>
              <w:t>&gt;</w:t>
            </w:r>
            <w:r w:rsidRPr="00DB2A98">
              <w:rPr>
                <w:sz w:val="24"/>
                <w:szCs w:val="24"/>
              </w:rPr>
              <w:t xml:space="preserve"> 1,0 µmol/l</w:t>
            </w:r>
          </w:p>
        </w:tc>
        <w:tc>
          <w:tcPr>
            <w:tcW w:w="4150" w:type="dxa"/>
            <w:shd w:val="clear" w:color="auto" w:fill="auto"/>
          </w:tcPr>
          <w:p w:rsidR="00DD5A90" w:rsidRPr="00DB2A98" w:rsidRDefault="00DD5A90" w:rsidP="003B4BCE">
            <w:pPr>
              <w:ind w:left="29"/>
              <w:jc w:val="both"/>
              <w:rPr>
                <w:sz w:val="24"/>
                <w:szCs w:val="24"/>
              </w:rPr>
            </w:pPr>
            <w:r w:rsidRPr="00DB2A98">
              <w:rPr>
                <w:sz w:val="24"/>
                <w:szCs w:val="24"/>
              </w:rPr>
              <w:t>100 mg/m²</w:t>
            </w:r>
          </w:p>
        </w:tc>
      </w:tr>
      <w:tr w:rsidR="00DD5A90" w:rsidRPr="00DB2A98" w:rsidTr="003B4BCE">
        <w:tc>
          <w:tcPr>
            <w:tcW w:w="4252" w:type="dxa"/>
            <w:shd w:val="clear" w:color="auto" w:fill="auto"/>
          </w:tcPr>
          <w:p w:rsidR="00DD5A90" w:rsidRPr="00DB2A98" w:rsidRDefault="00DD5A90" w:rsidP="003B4BCE">
            <w:pPr>
              <w:ind w:left="29"/>
              <w:jc w:val="both"/>
              <w:rPr>
                <w:sz w:val="24"/>
                <w:szCs w:val="24"/>
              </w:rPr>
            </w:pPr>
            <w:r w:rsidRPr="00DB2A98">
              <w:rPr>
                <w:sz w:val="24"/>
                <w:szCs w:val="24"/>
                <w:u w:val="single"/>
              </w:rPr>
              <w:t>&gt;</w:t>
            </w:r>
            <w:r w:rsidRPr="00DB2A98">
              <w:rPr>
                <w:sz w:val="24"/>
                <w:szCs w:val="24"/>
              </w:rPr>
              <w:t xml:space="preserve"> 2,0 µmol/l</w:t>
            </w:r>
          </w:p>
        </w:tc>
        <w:tc>
          <w:tcPr>
            <w:tcW w:w="4150" w:type="dxa"/>
            <w:shd w:val="clear" w:color="auto" w:fill="auto"/>
          </w:tcPr>
          <w:p w:rsidR="00DD5A90" w:rsidRPr="00DB2A98" w:rsidRDefault="00DD5A90" w:rsidP="003B4BCE">
            <w:pPr>
              <w:ind w:left="29"/>
              <w:jc w:val="both"/>
              <w:rPr>
                <w:sz w:val="24"/>
                <w:szCs w:val="24"/>
              </w:rPr>
            </w:pPr>
            <w:r w:rsidRPr="00DB2A98">
              <w:rPr>
                <w:sz w:val="24"/>
                <w:szCs w:val="24"/>
              </w:rPr>
              <w:t>200 mg/m²</w:t>
            </w:r>
          </w:p>
        </w:tc>
      </w:tr>
    </w:tbl>
    <w:p w:rsidR="00DD5A90" w:rsidRPr="00DB2A98" w:rsidRDefault="00DD5A90" w:rsidP="00DD5A90">
      <w:pPr>
        <w:ind w:left="851" w:hanging="851"/>
        <w:rPr>
          <w:i/>
          <w:noProof/>
          <w:sz w:val="24"/>
          <w:szCs w:val="24"/>
          <w:u w:val="single"/>
        </w:rPr>
      </w:pPr>
    </w:p>
    <w:p w:rsidR="00DD5A90" w:rsidRPr="00DB2A98" w:rsidRDefault="00DD5A90" w:rsidP="00DD5A90">
      <w:pPr>
        <w:ind w:left="851"/>
        <w:rPr>
          <w:i/>
          <w:noProof/>
          <w:sz w:val="24"/>
          <w:szCs w:val="24"/>
          <w:u w:val="single"/>
        </w:rPr>
      </w:pPr>
      <w:r w:rsidRPr="00DB2A98">
        <w:rPr>
          <w:i/>
          <w:noProof/>
          <w:sz w:val="24"/>
          <w:szCs w:val="24"/>
          <w:u w:val="single"/>
        </w:rPr>
        <w:t>I kombination med 5-fluorour</w:t>
      </w:r>
      <w:r>
        <w:rPr>
          <w:i/>
          <w:noProof/>
          <w:sz w:val="24"/>
          <w:szCs w:val="24"/>
          <w:u w:val="single"/>
        </w:rPr>
        <w:t>acil ved cytotoksisk behandling</w:t>
      </w:r>
    </w:p>
    <w:p w:rsidR="00DD5A90" w:rsidRPr="00DB2A98" w:rsidRDefault="00DD5A90" w:rsidP="00DD5A90">
      <w:pPr>
        <w:ind w:left="851"/>
        <w:rPr>
          <w:noProof/>
          <w:sz w:val="24"/>
          <w:szCs w:val="24"/>
        </w:rPr>
      </w:pPr>
      <w:r w:rsidRPr="00DB2A98">
        <w:rPr>
          <w:noProof/>
          <w:sz w:val="24"/>
          <w:szCs w:val="24"/>
        </w:rPr>
        <w:t xml:space="preserve">Forskellige regimer og doser har været benyttet, uden at nogen optimal dosis eller regime er fundet. </w:t>
      </w:r>
    </w:p>
    <w:p w:rsidR="00DD5A90" w:rsidRPr="00DB2A98" w:rsidRDefault="00DD5A90" w:rsidP="00DD5A90">
      <w:pPr>
        <w:ind w:left="851"/>
        <w:rPr>
          <w:noProof/>
          <w:sz w:val="24"/>
          <w:szCs w:val="24"/>
        </w:rPr>
      </w:pPr>
      <w:r w:rsidRPr="00DB2A98">
        <w:rPr>
          <w:noProof/>
          <w:sz w:val="24"/>
          <w:szCs w:val="24"/>
        </w:rPr>
        <w:t>Nedenstående dosisregimer har været brugt hos voksne og ældre i behandlingen at fremskreden eller metastaseret colorektal cancer og gives her som eksempler. Der findes ingen data vedrørende brug af calciumfolinat i kombination med 5-fluorouracil hos børn:</w:t>
      </w:r>
    </w:p>
    <w:p w:rsidR="00DD5A90" w:rsidRPr="00DB2A98"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i/>
          <w:noProof/>
          <w:sz w:val="24"/>
          <w:szCs w:val="24"/>
        </w:rPr>
        <w:t>Regime hver 2. måned</w:t>
      </w:r>
    </w:p>
    <w:p w:rsidR="00DD5A90" w:rsidRPr="0000288F" w:rsidRDefault="00DD5A90" w:rsidP="00DD5A90">
      <w:pPr>
        <w:ind w:left="851"/>
        <w:rPr>
          <w:noProof/>
          <w:sz w:val="24"/>
          <w:szCs w:val="24"/>
        </w:rPr>
      </w:pPr>
      <w:r w:rsidRPr="0000288F">
        <w:rPr>
          <w:noProof/>
          <w:sz w:val="24"/>
          <w:szCs w:val="24"/>
        </w:rPr>
        <w:t>Calciumfolinat 200 mg/m</w:t>
      </w:r>
      <w:r w:rsidRPr="0000288F">
        <w:rPr>
          <w:noProof/>
          <w:sz w:val="24"/>
          <w:szCs w:val="24"/>
          <w:vertAlign w:val="superscript"/>
        </w:rPr>
        <w:t>2</w:t>
      </w:r>
      <w:r w:rsidRPr="0000288F">
        <w:rPr>
          <w:noProof/>
          <w:sz w:val="24"/>
          <w:szCs w:val="24"/>
        </w:rPr>
        <w:t xml:space="preserve"> givet som intravenøs infusion over 2 timer, efterfulgt af en intravenøs bolusinjektion på 400 mg/m</w:t>
      </w:r>
      <w:r w:rsidRPr="0000288F">
        <w:rPr>
          <w:noProof/>
          <w:sz w:val="24"/>
          <w:szCs w:val="24"/>
          <w:vertAlign w:val="superscript"/>
        </w:rPr>
        <w:t>2</w:t>
      </w:r>
      <w:r w:rsidRPr="0000288F">
        <w:rPr>
          <w:noProof/>
          <w:sz w:val="24"/>
          <w:szCs w:val="24"/>
        </w:rPr>
        <w:t xml:space="preserve"> 5-fluorouracil og en 22 timers intravenøs infusions af 5-fluorouracil (600 mg/mg</w:t>
      </w:r>
      <w:r w:rsidRPr="0000288F">
        <w:rPr>
          <w:noProof/>
          <w:sz w:val="24"/>
          <w:szCs w:val="24"/>
          <w:vertAlign w:val="superscript"/>
        </w:rPr>
        <w:t>2</w:t>
      </w:r>
      <w:r w:rsidRPr="0000288F">
        <w:rPr>
          <w:noProof/>
          <w:sz w:val="24"/>
          <w:szCs w:val="24"/>
        </w:rPr>
        <w:t>) i 2 på hinanden følgende dage, hver 2. uge på dag 1 og 2.</w:t>
      </w:r>
    </w:p>
    <w:p w:rsidR="0062053A" w:rsidRDefault="0062053A">
      <w:pPr>
        <w:rPr>
          <w:noProof/>
          <w:sz w:val="24"/>
          <w:szCs w:val="24"/>
        </w:rPr>
      </w:pPr>
      <w:r>
        <w:rPr>
          <w:noProof/>
          <w:sz w:val="24"/>
          <w:szCs w:val="24"/>
        </w:rPr>
        <w:br w:type="page"/>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i/>
          <w:noProof/>
          <w:sz w:val="24"/>
          <w:szCs w:val="24"/>
        </w:rPr>
        <w:t>Ugentlige regimer</w:t>
      </w:r>
    </w:p>
    <w:p w:rsidR="00DD5A90" w:rsidRPr="0000288F" w:rsidRDefault="00DD5A90" w:rsidP="00DD5A90">
      <w:pPr>
        <w:ind w:left="851"/>
        <w:rPr>
          <w:noProof/>
          <w:sz w:val="24"/>
          <w:szCs w:val="24"/>
        </w:rPr>
      </w:pPr>
      <w:r w:rsidRPr="0000288F">
        <w:rPr>
          <w:noProof/>
          <w:sz w:val="24"/>
          <w:szCs w:val="24"/>
        </w:rPr>
        <w:t>Calciumfolinat 20 mg/m</w:t>
      </w:r>
      <w:r w:rsidRPr="0000288F">
        <w:rPr>
          <w:noProof/>
          <w:sz w:val="24"/>
          <w:szCs w:val="24"/>
          <w:vertAlign w:val="superscript"/>
        </w:rPr>
        <w:t>2</w:t>
      </w:r>
      <w:r w:rsidRPr="0000288F">
        <w:rPr>
          <w:noProof/>
          <w:sz w:val="24"/>
          <w:szCs w:val="24"/>
        </w:rPr>
        <w:t xml:space="preserve"> givet som intravenøs bolusinjektion eller 200-500 mg/m</w:t>
      </w:r>
      <w:r w:rsidRPr="0000288F">
        <w:rPr>
          <w:noProof/>
          <w:sz w:val="24"/>
          <w:szCs w:val="24"/>
          <w:vertAlign w:val="superscript"/>
        </w:rPr>
        <w:t>2</w:t>
      </w:r>
      <w:r w:rsidRPr="0000288F">
        <w:rPr>
          <w:noProof/>
          <w:sz w:val="24"/>
          <w:szCs w:val="24"/>
        </w:rPr>
        <w:t xml:space="preserve"> ved intravenøs infusion over 2 timer, plus 500 mg/m</w:t>
      </w:r>
      <w:r w:rsidRPr="0000288F">
        <w:rPr>
          <w:noProof/>
          <w:sz w:val="24"/>
          <w:szCs w:val="24"/>
          <w:vertAlign w:val="superscript"/>
        </w:rPr>
        <w:t>2</w:t>
      </w:r>
      <w:r w:rsidRPr="0000288F">
        <w:rPr>
          <w:noProof/>
          <w:sz w:val="24"/>
          <w:szCs w:val="24"/>
        </w:rPr>
        <w:t xml:space="preserve"> 5-fluorouracil som en intravenøs bolusinjektion givet midtvejs under/ eller ved afslutningen af calciumfolinatinfusionen.</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i/>
          <w:noProof/>
          <w:sz w:val="24"/>
          <w:szCs w:val="24"/>
        </w:rPr>
        <w:t>Månedlige regimer</w:t>
      </w:r>
    </w:p>
    <w:p w:rsidR="00DD5A90" w:rsidRPr="0000288F" w:rsidRDefault="00DD5A90" w:rsidP="00DD5A90">
      <w:pPr>
        <w:ind w:left="851"/>
        <w:rPr>
          <w:noProof/>
          <w:sz w:val="24"/>
          <w:szCs w:val="24"/>
        </w:rPr>
      </w:pPr>
      <w:r w:rsidRPr="0000288F">
        <w:rPr>
          <w:noProof/>
          <w:sz w:val="24"/>
          <w:szCs w:val="24"/>
        </w:rPr>
        <w:t>Calciumfolinat 20 mg/m</w:t>
      </w:r>
      <w:r w:rsidRPr="0000288F">
        <w:rPr>
          <w:noProof/>
          <w:sz w:val="24"/>
          <w:szCs w:val="24"/>
          <w:vertAlign w:val="superscript"/>
        </w:rPr>
        <w:t>2</w:t>
      </w:r>
      <w:r w:rsidRPr="0000288F">
        <w:rPr>
          <w:noProof/>
          <w:sz w:val="24"/>
          <w:szCs w:val="24"/>
        </w:rPr>
        <w:t xml:space="preserve"> givet som intravenøs bolusinjektion eller 200-500 mg/m</w:t>
      </w:r>
      <w:r w:rsidRPr="0000288F">
        <w:rPr>
          <w:noProof/>
          <w:sz w:val="24"/>
          <w:szCs w:val="24"/>
          <w:vertAlign w:val="superscript"/>
        </w:rPr>
        <w:t>2</w:t>
      </w:r>
      <w:r w:rsidRPr="0000288F">
        <w:rPr>
          <w:noProof/>
          <w:sz w:val="24"/>
          <w:szCs w:val="24"/>
        </w:rPr>
        <w:t xml:space="preserve"> som intravenøs infusion giver over 2 timer, øjeblikkeligt efterfulgt af 370 eller 425 mg/m</w:t>
      </w:r>
      <w:r w:rsidRPr="0000288F">
        <w:rPr>
          <w:noProof/>
          <w:sz w:val="24"/>
          <w:szCs w:val="24"/>
          <w:vertAlign w:val="superscript"/>
        </w:rPr>
        <w:t>2</w:t>
      </w:r>
      <w:r w:rsidRPr="0000288F">
        <w:rPr>
          <w:noProof/>
          <w:sz w:val="24"/>
          <w:szCs w:val="24"/>
        </w:rPr>
        <w:t xml:space="preserve"> 5-fluorouracil som en intravenøs bolusinjektion i over 5 på hinanden følgende dage.</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Afhængig af patientens tilstand, klinisk respons og dosisbegrænsende toksicitet, som beskrevet i produktresuméet for 5-fluorouracil, kan modificering af 5-flurouracil-doseringer og behandlingsfrie intervaller være nødvendig ved brug af calciumfolinat i kombination med 5-fluorouracil. En reduktion af calciumfolinatdoseringen er ikke påkrævet.</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Antallet af gentagne cykler vurderes af lægen.</w:t>
      </w:r>
    </w:p>
    <w:p w:rsidR="00DD5A90" w:rsidRPr="0000288F" w:rsidRDefault="00DD5A90" w:rsidP="00DD5A90">
      <w:pPr>
        <w:ind w:left="851" w:hanging="851"/>
        <w:rPr>
          <w:noProof/>
          <w:sz w:val="24"/>
          <w:szCs w:val="24"/>
        </w:rPr>
      </w:pPr>
    </w:p>
    <w:p w:rsidR="00DD5A90" w:rsidRPr="00D50F7C" w:rsidRDefault="00DD5A90" w:rsidP="00DD5A90">
      <w:pPr>
        <w:ind w:left="851"/>
        <w:rPr>
          <w:i/>
          <w:noProof/>
          <w:sz w:val="24"/>
          <w:szCs w:val="24"/>
          <w:u w:val="single"/>
        </w:rPr>
      </w:pPr>
      <w:r w:rsidRPr="00D50F7C">
        <w:rPr>
          <w:i/>
          <w:noProof/>
          <w:sz w:val="24"/>
          <w:szCs w:val="24"/>
          <w:u w:val="single"/>
        </w:rPr>
        <w:t>Antidot til folinsyreantagonisterne trimetrexat, trimethoprim og pyrimethamin</w:t>
      </w:r>
    </w:p>
    <w:p w:rsidR="00DD5A90" w:rsidRPr="0000288F" w:rsidRDefault="00DD5A90" w:rsidP="00DD5A90">
      <w:pPr>
        <w:ind w:left="851" w:hanging="851"/>
        <w:rPr>
          <w:noProof/>
          <w:sz w:val="24"/>
          <w:szCs w:val="24"/>
        </w:rPr>
      </w:pPr>
    </w:p>
    <w:p w:rsidR="00DD5A90" w:rsidRPr="0000288F" w:rsidRDefault="00DD5A90" w:rsidP="00DD5A90">
      <w:pPr>
        <w:ind w:left="851"/>
        <w:rPr>
          <w:i/>
          <w:noProof/>
          <w:sz w:val="24"/>
          <w:szCs w:val="24"/>
        </w:rPr>
      </w:pPr>
      <w:r>
        <w:rPr>
          <w:i/>
          <w:noProof/>
          <w:sz w:val="24"/>
          <w:szCs w:val="24"/>
        </w:rPr>
        <w:t>Trimetrexattoksicitet</w:t>
      </w:r>
    </w:p>
    <w:p w:rsidR="00DD5A90" w:rsidRPr="0000288F" w:rsidRDefault="00DD5A90" w:rsidP="00DD5A90">
      <w:pPr>
        <w:pStyle w:val="Listeafsnit"/>
        <w:numPr>
          <w:ilvl w:val="0"/>
          <w:numId w:val="7"/>
        </w:numPr>
        <w:ind w:left="1134" w:hanging="283"/>
        <w:rPr>
          <w:i/>
          <w:noProof/>
          <w:sz w:val="24"/>
          <w:szCs w:val="24"/>
        </w:rPr>
      </w:pPr>
      <w:r w:rsidRPr="0000288F">
        <w:rPr>
          <w:noProof/>
          <w:sz w:val="24"/>
          <w:szCs w:val="24"/>
        </w:rPr>
        <w:t xml:space="preserve">Forebyggelse; Calciumfolinat bør gives </w:t>
      </w:r>
      <w:r>
        <w:rPr>
          <w:noProof/>
          <w:sz w:val="24"/>
          <w:szCs w:val="24"/>
        </w:rPr>
        <w:t>daglig</w:t>
      </w:r>
      <w:r w:rsidRPr="0000288F">
        <w:rPr>
          <w:noProof/>
          <w:sz w:val="24"/>
          <w:szCs w:val="24"/>
        </w:rPr>
        <w:t xml:space="preserve"> under behandling med trimetrexat samt i 72 timer efter sidste dosis af trimetrexat. Calciumfolinat kan gives enten intravenøst i en dosis på 20 mg/m</w:t>
      </w:r>
      <w:r w:rsidRPr="0000288F">
        <w:rPr>
          <w:noProof/>
          <w:sz w:val="24"/>
          <w:szCs w:val="24"/>
          <w:vertAlign w:val="superscript"/>
        </w:rPr>
        <w:t>2</w:t>
      </w:r>
      <w:r w:rsidRPr="0000288F">
        <w:rPr>
          <w:noProof/>
          <w:sz w:val="24"/>
          <w:szCs w:val="24"/>
        </w:rPr>
        <w:t xml:space="preserve"> i 5-10 minutter hver 6. time (total daglig dosis på 80 mg/m</w:t>
      </w:r>
      <w:r w:rsidRPr="0000288F">
        <w:rPr>
          <w:noProof/>
          <w:sz w:val="24"/>
          <w:szCs w:val="24"/>
          <w:vertAlign w:val="superscript"/>
        </w:rPr>
        <w:t>2</w:t>
      </w:r>
      <w:r w:rsidRPr="0000288F">
        <w:rPr>
          <w:noProof/>
          <w:sz w:val="24"/>
          <w:szCs w:val="24"/>
        </w:rPr>
        <w:t>), eller gives oralt á 4 doser på 20 mg/m</w:t>
      </w:r>
      <w:r w:rsidRPr="0000288F">
        <w:rPr>
          <w:noProof/>
          <w:sz w:val="24"/>
          <w:szCs w:val="24"/>
          <w:vertAlign w:val="superscript"/>
        </w:rPr>
        <w:t>2</w:t>
      </w:r>
      <w:r w:rsidRPr="0000288F">
        <w:rPr>
          <w:noProof/>
          <w:sz w:val="24"/>
          <w:szCs w:val="24"/>
        </w:rPr>
        <w:t xml:space="preserve"> givet med lige store tidsintervaller. Den daglige dosis af calciumfolinat bør justeres afhængig af hæmatologisk toksicitet af trimetrexat.</w:t>
      </w:r>
    </w:p>
    <w:p w:rsidR="00DD5A90" w:rsidRPr="0000288F" w:rsidRDefault="00DD5A90" w:rsidP="00DD5A90">
      <w:pPr>
        <w:pStyle w:val="Listeafsnit"/>
        <w:numPr>
          <w:ilvl w:val="0"/>
          <w:numId w:val="7"/>
        </w:numPr>
        <w:ind w:left="1134" w:hanging="283"/>
        <w:rPr>
          <w:i/>
          <w:noProof/>
          <w:sz w:val="24"/>
          <w:szCs w:val="24"/>
        </w:rPr>
      </w:pPr>
      <w:r w:rsidRPr="0000288F">
        <w:rPr>
          <w:noProof/>
          <w:sz w:val="24"/>
          <w:szCs w:val="24"/>
        </w:rPr>
        <w:t>Overdosering (opstår formodentligt ved trimetrexat doser over 90 mg/m</w:t>
      </w:r>
      <w:r w:rsidRPr="0000288F">
        <w:rPr>
          <w:noProof/>
          <w:sz w:val="24"/>
          <w:szCs w:val="24"/>
          <w:vertAlign w:val="superscript"/>
        </w:rPr>
        <w:t>2</w:t>
      </w:r>
      <w:r w:rsidRPr="0000288F">
        <w:rPr>
          <w:noProof/>
          <w:sz w:val="24"/>
          <w:szCs w:val="24"/>
        </w:rPr>
        <w:t xml:space="preserve"> uden samtidig administration af calciumfolinat): Efter seponering af trimetrexat, gives calciumfolinat intravenøst i en dosis på 40 mg/m</w:t>
      </w:r>
      <w:r w:rsidRPr="0000288F">
        <w:rPr>
          <w:noProof/>
          <w:sz w:val="24"/>
          <w:szCs w:val="24"/>
          <w:vertAlign w:val="superscript"/>
        </w:rPr>
        <w:t>2</w:t>
      </w:r>
      <w:r w:rsidRPr="0000288F">
        <w:rPr>
          <w:noProof/>
          <w:sz w:val="24"/>
          <w:szCs w:val="24"/>
        </w:rPr>
        <w:t xml:space="preserve"> hver 6 time i 3 dage.</w:t>
      </w:r>
    </w:p>
    <w:p w:rsidR="00DD5A90" w:rsidRPr="0000288F" w:rsidRDefault="00DD5A90" w:rsidP="00DD5A90">
      <w:pPr>
        <w:ind w:left="851" w:hanging="851"/>
        <w:rPr>
          <w:noProof/>
          <w:sz w:val="24"/>
          <w:szCs w:val="24"/>
        </w:rPr>
      </w:pPr>
    </w:p>
    <w:p w:rsidR="00DD5A90" w:rsidRPr="0000288F" w:rsidRDefault="00DD5A90" w:rsidP="00DD5A90">
      <w:pPr>
        <w:ind w:left="851"/>
        <w:rPr>
          <w:i/>
          <w:noProof/>
          <w:sz w:val="24"/>
          <w:szCs w:val="24"/>
        </w:rPr>
      </w:pPr>
      <w:r>
        <w:rPr>
          <w:i/>
          <w:noProof/>
          <w:sz w:val="24"/>
          <w:szCs w:val="24"/>
        </w:rPr>
        <w:t>Trimethoprimtoksicitet</w:t>
      </w:r>
    </w:p>
    <w:p w:rsidR="00DD5A90" w:rsidRPr="0000288F" w:rsidRDefault="00DD5A90" w:rsidP="00DD5A90">
      <w:pPr>
        <w:pStyle w:val="Listeafsnit"/>
        <w:numPr>
          <w:ilvl w:val="0"/>
          <w:numId w:val="8"/>
        </w:numPr>
        <w:ind w:left="1134" w:hanging="283"/>
        <w:rPr>
          <w:noProof/>
          <w:sz w:val="24"/>
          <w:szCs w:val="24"/>
        </w:rPr>
      </w:pPr>
      <w:r w:rsidRPr="0000288F">
        <w:rPr>
          <w:noProof/>
          <w:sz w:val="24"/>
          <w:szCs w:val="24"/>
        </w:rPr>
        <w:t xml:space="preserve">Efter seponering af trimethoprim gives calciumfolinat dosis på 3-10 mg </w:t>
      </w:r>
      <w:r>
        <w:rPr>
          <w:noProof/>
          <w:sz w:val="24"/>
          <w:szCs w:val="24"/>
        </w:rPr>
        <w:t>daglig</w:t>
      </w:r>
      <w:r w:rsidRPr="0000288F">
        <w:rPr>
          <w:noProof/>
          <w:sz w:val="24"/>
          <w:szCs w:val="24"/>
        </w:rPr>
        <w:t xml:space="preserve"> indtil normale blodværdier er opnået.</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i/>
          <w:noProof/>
          <w:sz w:val="24"/>
          <w:szCs w:val="24"/>
        </w:rPr>
        <w:t>Pyrimethamintoksicitet</w:t>
      </w:r>
    </w:p>
    <w:p w:rsidR="00DD5A90" w:rsidRPr="0000288F" w:rsidRDefault="00DD5A90" w:rsidP="00DD5A90">
      <w:pPr>
        <w:pStyle w:val="Listeafsnit"/>
        <w:numPr>
          <w:ilvl w:val="0"/>
          <w:numId w:val="8"/>
        </w:numPr>
        <w:ind w:left="1134" w:hanging="283"/>
        <w:rPr>
          <w:noProof/>
          <w:sz w:val="24"/>
          <w:szCs w:val="24"/>
        </w:rPr>
      </w:pPr>
      <w:r w:rsidRPr="0000288F">
        <w:rPr>
          <w:noProof/>
          <w:sz w:val="24"/>
          <w:szCs w:val="24"/>
        </w:rPr>
        <w:t xml:space="preserve">Ved høje doser af pyrimethamin eller forlænget behandling med lave doser bør der sideløbende gives 5-50 mg calciumfolinat </w:t>
      </w:r>
      <w:r>
        <w:rPr>
          <w:noProof/>
          <w:sz w:val="24"/>
          <w:szCs w:val="24"/>
        </w:rPr>
        <w:t>daglig</w:t>
      </w:r>
      <w:r w:rsidRPr="0000288F">
        <w:rPr>
          <w:noProof/>
          <w:sz w:val="24"/>
          <w:szCs w:val="24"/>
        </w:rPr>
        <w:t>, afhængig af de perifere blodprøveværdier.</w:t>
      </w:r>
    </w:p>
    <w:p w:rsidR="00DD5A90" w:rsidRPr="0000288F" w:rsidRDefault="00DD5A90" w:rsidP="00DD5A90">
      <w:pPr>
        <w:ind w:left="851" w:hanging="851"/>
        <w:rPr>
          <w:sz w:val="24"/>
          <w:szCs w:val="24"/>
        </w:rPr>
      </w:pPr>
    </w:p>
    <w:p w:rsidR="00DD5A90" w:rsidRPr="0000288F" w:rsidRDefault="00DD5A90" w:rsidP="00DD5A90">
      <w:pPr>
        <w:ind w:left="851"/>
        <w:rPr>
          <w:sz w:val="24"/>
          <w:szCs w:val="24"/>
          <w:u w:val="single"/>
        </w:rPr>
      </w:pPr>
      <w:r w:rsidRPr="0000288F">
        <w:rPr>
          <w:sz w:val="24"/>
          <w:szCs w:val="24"/>
          <w:u w:val="single"/>
        </w:rPr>
        <w:t>Administration</w:t>
      </w:r>
    </w:p>
    <w:p w:rsidR="00DD5A90" w:rsidRPr="0000288F" w:rsidRDefault="00DD5A90" w:rsidP="00DD5A90">
      <w:pPr>
        <w:ind w:left="851"/>
        <w:rPr>
          <w:b/>
          <w:noProof/>
          <w:sz w:val="24"/>
          <w:szCs w:val="24"/>
        </w:rPr>
      </w:pPr>
      <w:r w:rsidRPr="0000288F">
        <w:rPr>
          <w:b/>
          <w:noProof/>
          <w:sz w:val="24"/>
          <w:szCs w:val="24"/>
        </w:rPr>
        <w:t xml:space="preserve">Calciumfolinat bør kun bruges intramuskulært eller intravenøst og det må ikke bruges intratekalt. </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Der har været rapporteret dødsfald når folininsyre er blevet administreret intratekalt, efter en intratekal overdosering med methotrexat.</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Til intravenøs administration må der ikke injiceres mere end 160 mg calciumfolinat pr. minut på grund af calciumindholdet i opløsningen.</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lastRenderedPageBreak/>
        <w:t>Ved intravenøs infusion kan calciumfolinat fortynes med 0,9 % natriumchlorid opløsning eller 5</w:t>
      </w:r>
      <w:r>
        <w:rPr>
          <w:noProof/>
          <w:sz w:val="24"/>
          <w:szCs w:val="24"/>
        </w:rPr>
        <w:t xml:space="preserve"> %</w:t>
      </w:r>
      <w:r w:rsidRPr="0000288F">
        <w:rPr>
          <w:noProof/>
          <w:sz w:val="24"/>
          <w:szCs w:val="24"/>
        </w:rPr>
        <w:t xml:space="preserve"> glucoseopløsning før brug. For instruktioner fortynding af lægemidlet før administration, se pkt. 6.6.</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4.3</w:t>
      </w:r>
      <w:r w:rsidRPr="0000288F">
        <w:rPr>
          <w:b/>
          <w:sz w:val="24"/>
          <w:szCs w:val="24"/>
        </w:rPr>
        <w:tab/>
        <w:t>Kontraindikationer</w:t>
      </w:r>
    </w:p>
    <w:p w:rsidR="00DD5A90" w:rsidRPr="0000288F" w:rsidRDefault="00DD5A90" w:rsidP="00DD5A90">
      <w:pPr>
        <w:pStyle w:val="Listeafsnit"/>
        <w:numPr>
          <w:ilvl w:val="0"/>
          <w:numId w:val="8"/>
        </w:numPr>
        <w:ind w:left="1134" w:hanging="283"/>
        <w:rPr>
          <w:sz w:val="24"/>
          <w:szCs w:val="24"/>
        </w:rPr>
      </w:pPr>
      <w:r w:rsidRPr="0000288F">
        <w:rPr>
          <w:sz w:val="24"/>
          <w:szCs w:val="24"/>
        </w:rPr>
        <w:t xml:space="preserve">Overfølsomhed over for </w:t>
      </w:r>
      <w:proofErr w:type="spellStart"/>
      <w:r w:rsidRPr="0000288F">
        <w:rPr>
          <w:sz w:val="24"/>
          <w:szCs w:val="24"/>
        </w:rPr>
        <w:t>calciumfolinat</w:t>
      </w:r>
      <w:proofErr w:type="spellEnd"/>
      <w:r w:rsidRPr="0000288F">
        <w:rPr>
          <w:sz w:val="24"/>
          <w:szCs w:val="24"/>
        </w:rPr>
        <w:t xml:space="preserve"> eller over for et eller flere af hjælpestofferne anført i pkt. 6.1.</w:t>
      </w:r>
    </w:p>
    <w:p w:rsidR="00DD5A90" w:rsidRPr="0000288F" w:rsidRDefault="00DD5A90" w:rsidP="00DD5A90">
      <w:pPr>
        <w:pStyle w:val="Listeafsnit"/>
        <w:numPr>
          <w:ilvl w:val="0"/>
          <w:numId w:val="8"/>
        </w:numPr>
        <w:ind w:left="1134" w:hanging="283"/>
        <w:rPr>
          <w:sz w:val="24"/>
          <w:szCs w:val="24"/>
        </w:rPr>
      </w:pPr>
      <w:r w:rsidRPr="0000288F">
        <w:rPr>
          <w:sz w:val="24"/>
          <w:szCs w:val="24"/>
        </w:rPr>
        <w:t>Perniciøs anæmi eller andre anæmier, som skyldes B12 vitaminmangel.</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Ved brug af </w:t>
      </w:r>
      <w:proofErr w:type="spellStart"/>
      <w:r w:rsidRPr="0000288F">
        <w:rPr>
          <w:sz w:val="24"/>
          <w:szCs w:val="24"/>
        </w:rPr>
        <w:t>calciumfolinat</w:t>
      </w:r>
      <w:proofErr w:type="spellEnd"/>
      <w:r w:rsidRPr="0000288F">
        <w:rPr>
          <w:sz w:val="24"/>
          <w:szCs w:val="24"/>
        </w:rPr>
        <w:t xml:space="preserve"> med </w:t>
      </w:r>
      <w:proofErr w:type="spellStart"/>
      <w:r w:rsidRPr="0000288F">
        <w:rPr>
          <w:sz w:val="24"/>
          <w:szCs w:val="24"/>
        </w:rPr>
        <w:t>methotrexat</w:t>
      </w:r>
      <w:proofErr w:type="spellEnd"/>
      <w:r w:rsidRPr="0000288F">
        <w:rPr>
          <w:sz w:val="24"/>
          <w:szCs w:val="24"/>
        </w:rPr>
        <w:t xml:space="preserve"> eller 5-fluorouracil under graviditet og amning, se pkt. 4.6 og produktresumé for lægemidler</w:t>
      </w:r>
      <w:r>
        <w:rPr>
          <w:sz w:val="24"/>
          <w:szCs w:val="24"/>
        </w:rPr>
        <w:t>,</w:t>
      </w:r>
      <w:r w:rsidRPr="0000288F">
        <w:rPr>
          <w:sz w:val="24"/>
          <w:szCs w:val="24"/>
        </w:rPr>
        <w:t xml:space="preserve"> som indeholder </w:t>
      </w:r>
      <w:proofErr w:type="spellStart"/>
      <w:r w:rsidRPr="0000288F">
        <w:rPr>
          <w:sz w:val="24"/>
          <w:szCs w:val="24"/>
        </w:rPr>
        <w:t>methotrexat</w:t>
      </w:r>
      <w:proofErr w:type="spellEnd"/>
      <w:r w:rsidRPr="0000288F">
        <w:rPr>
          <w:sz w:val="24"/>
          <w:szCs w:val="24"/>
        </w:rPr>
        <w:t xml:space="preserve"> og 5-fluorouracil.</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4.4</w:t>
      </w:r>
      <w:r w:rsidRPr="0000288F">
        <w:rPr>
          <w:b/>
          <w:sz w:val="24"/>
          <w:szCs w:val="24"/>
        </w:rPr>
        <w:tab/>
        <w:t>Særlige advarsler og forsigtighedsregler vedrørende brugen</w:t>
      </w:r>
    </w:p>
    <w:p w:rsidR="00DD5A90" w:rsidRPr="0000288F" w:rsidRDefault="00DD5A90" w:rsidP="00DD5A90">
      <w:pPr>
        <w:suppressAutoHyphens/>
        <w:ind w:left="851" w:hanging="851"/>
        <w:rPr>
          <w:b/>
          <w:sz w:val="24"/>
          <w:szCs w:val="24"/>
        </w:rPr>
      </w:pPr>
    </w:p>
    <w:p w:rsidR="00DD5A90" w:rsidRPr="0000288F" w:rsidRDefault="00DD5A90" w:rsidP="00DD5A90">
      <w:pPr>
        <w:ind w:left="851"/>
        <w:rPr>
          <w:b/>
          <w:noProof/>
          <w:sz w:val="24"/>
          <w:szCs w:val="24"/>
        </w:rPr>
      </w:pPr>
      <w:r w:rsidRPr="0000288F">
        <w:rPr>
          <w:b/>
          <w:noProof/>
          <w:sz w:val="24"/>
          <w:szCs w:val="24"/>
        </w:rPr>
        <w:t xml:space="preserve">Calciumfolinat bør kun bruges intramuskulært eller intravenøst og det må ikke bruges intratekalt. </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Der har været rapporteret dødsfald når folininsyre er blevet administreret intratekalt, efter en intratekal overdosering med methotrexat.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u w:val="single"/>
        </w:rPr>
        <w:t>Generelt</w:t>
      </w:r>
    </w:p>
    <w:p w:rsidR="00DD5A90" w:rsidRPr="0000288F" w:rsidRDefault="00DD5A90" w:rsidP="00DD5A90">
      <w:pPr>
        <w:autoSpaceDE w:val="0"/>
        <w:autoSpaceDN w:val="0"/>
        <w:adjustRightInd w:val="0"/>
        <w:ind w:left="851"/>
        <w:rPr>
          <w:sz w:val="24"/>
          <w:szCs w:val="24"/>
        </w:rPr>
      </w:pPr>
      <w:proofErr w:type="spellStart"/>
      <w:r w:rsidRPr="0000288F">
        <w:rPr>
          <w:sz w:val="24"/>
          <w:szCs w:val="24"/>
        </w:rPr>
        <w:t>Calciumfolinat</w:t>
      </w:r>
      <w:proofErr w:type="spellEnd"/>
      <w:r w:rsidRPr="0000288F">
        <w:rPr>
          <w:sz w:val="24"/>
          <w:szCs w:val="24"/>
        </w:rPr>
        <w:t xml:space="preserve"> bør anvendes sammen med </w:t>
      </w:r>
      <w:proofErr w:type="spellStart"/>
      <w:r w:rsidRPr="0000288F">
        <w:rPr>
          <w:sz w:val="24"/>
          <w:szCs w:val="24"/>
        </w:rPr>
        <w:t>methotrexat</w:t>
      </w:r>
      <w:proofErr w:type="spellEnd"/>
      <w:r w:rsidRPr="0000288F">
        <w:rPr>
          <w:sz w:val="24"/>
          <w:szCs w:val="24"/>
        </w:rPr>
        <w:t xml:space="preserve"> eller 5-fluorouracil under direkte tilsyn af en læge med erfaring i brug af cancer kemoterapeutiske midler.</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proofErr w:type="spellStart"/>
      <w:r>
        <w:rPr>
          <w:sz w:val="24"/>
          <w:szCs w:val="24"/>
        </w:rPr>
        <w:t>Calciumfolinat</w:t>
      </w:r>
      <w:r w:rsidRPr="0000288F">
        <w:rPr>
          <w:sz w:val="24"/>
          <w:szCs w:val="24"/>
        </w:rPr>
        <w:t>behandling</w:t>
      </w:r>
      <w:proofErr w:type="spellEnd"/>
      <w:r w:rsidRPr="0000288F">
        <w:rPr>
          <w:sz w:val="24"/>
          <w:szCs w:val="24"/>
        </w:rPr>
        <w:t xml:space="preserve"> kan skjule perniciøs anæmi og andre anæmier på grund af B12-mangel.</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Mange </w:t>
      </w:r>
      <w:proofErr w:type="spellStart"/>
      <w:r w:rsidRPr="0000288F">
        <w:rPr>
          <w:sz w:val="24"/>
          <w:szCs w:val="24"/>
        </w:rPr>
        <w:t>cytotoksiske</w:t>
      </w:r>
      <w:proofErr w:type="spellEnd"/>
      <w:r w:rsidRPr="0000288F">
        <w:rPr>
          <w:sz w:val="24"/>
          <w:szCs w:val="24"/>
        </w:rPr>
        <w:t xml:space="preserve"> lægemidler – (direkte eller indirekte DNA </w:t>
      </w:r>
      <w:proofErr w:type="spellStart"/>
      <w:r w:rsidRPr="0000288F">
        <w:rPr>
          <w:sz w:val="24"/>
          <w:szCs w:val="24"/>
        </w:rPr>
        <w:t>syntesehæmmere</w:t>
      </w:r>
      <w:proofErr w:type="spellEnd"/>
      <w:r w:rsidRPr="0000288F">
        <w:rPr>
          <w:sz w:val="24"/>
          <w:szCs w:val="24"/>
        </w:rPr>
        <w:t xml:space="preserve"> f.eks. </w:t>
      </w:r>
      <w:proofErr w:type="spellStart"/>
      <w:r w:rsidRPr="0000288F">
        <w:rPr>
          <w:sz w:val="24"/>
          <w:szCs w:val="24"/>
        </w:rPr>
        <w:t>hydroxycarbamid</w:t>
      </w:r>
      <w:proofErr w:type="spellEnd"/>
      <w:r w:rsidRPr="0000288F">
        <w:rPr>
          <w:sz w:val="24"/>
          <w:szCs w:val="24"/>
        </w:rPr>
        <w:t xml:space="preserve">, </w:t>
      </w:r>
      <w:proofErr w:type="spellStart"/>
      <w:r w:rsidRPr="0000288F">
        <w:rPr>
          <w:sz w:val="24"/>
          <w:szCs w:val="24"/>
        </w:rPr>
        <w:t>cytarabin</w:t>
      </w:r>
      <w:proofErr w:type="spellEnd"/>
      <w:r w:rsidRPr="0000288F">
        <w:rPr>
          <w:sz w:val="24"/>
          <w:szCs w:val="24"/>
        </w:rPr>
        <w:t xml:space="preserve">, </w:t>
      </w:r>
      <w:proofErr w:type="spellStart"/>
      <w:r w:rsidRPr="0000288F">
        <w:rPr>
          <w:sz w:val="24"/>
          <w:szCs w:val="24"/>
        </w:rPr>
        <w:t>mecaptopurin</w:t>
      </w:r>
      <w:proofErr w:type="spellEnd"/>
      <w:r w:rsidRPr="0000288F">
        <w:rPr>
          <w:sz w:val="24"/>
          <w:szCs w:val="24"/>
        </w:rPr>
        <w:t xml:space="preserve"> og thioguanin) – medfører </w:t>
      </w:r>
      <w:proofErr w:type="spellStart"/>
      <w:r w:rsidRPr="0000288F">
        <w:rPr>
          <w:sz w:val="24"/>
          <w:szCs w:val="24"/>
        </w:rPr>
        <w:t>makrocytose</w:t>
      </w:r>
      <w:proofErr w:type="spellEnd"/>
      <w:r w:rsidRPr="0000288F">
        <w:rPr>
          <w:sz w:val="24"/>
          <w:szCs w:val="24"/>
        </w:rPr>
        <w:t xml:space="preserve">. Sådanne </w:t>
      </w:r>
      <w:proofErr w:type="spellStart"/>
      <w:r w:rsidRPr="0000288F">
        <w:rPr>
          <w:sz w:val="24"/>
          <w:szCs w:val="24"/>
        </w:rPr>
        <w:t>makrocytoser</w:t>
      </w:r>
      <w:proofErr w:type="spellEnd"/>
      <w:r w:rsidRPr="0000288F">
        <w:rPr>
          <w:sz w:val="24"/>
          <w:szCs w:val="24"/>
        </w:rPr>
        <w:t xml:space="preserve"> bør ikke behandles med </w:t>
      </w:r>
      <w:proofErr w:type="spellStart"/>
      <w:r w:rsidRPr="0000288F">
        <w:rPr>
          <w:sz w:val="24"/>
          <w:szCs w:val="24"/>
        </w:rPr>
        <w:t>folininsyre</w:t>
      </w:r>
      <w:proofErr w:type="spellEnd"/>
      <w:r w:rsidRPr="0000288F">
        <w:rPr>
          <w:sz w:val="24"/>
          <w:szCs w:val="24"/>
        </w:rPr>
        <w: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Hos patienter med epilepsi, som behandles med </w:t>
      </w:r>
      <w:proofErr w:type="spellStart"/>
      <w:r w:rsidRPr="0000288F">
        <w:rPr>
          <w:sz w:val="24"/>
          <w:szCs w:val="24"/>
        </w:rPr>
        <w:t>fenobarbital</w:t>
      </w:r>
      <w:proofErr w:type="spellEnd"/>
      <w:r w:rsidRPr="0000288F">
        <w:rPr>
          <w:sz w:val="24"/>
          <w:szCs w:val="24"/>
        </w:rPr>
        <w:t xml:space="preserve">, </w:t>
      </w:r>
      <w:proofErr w:type="spellStart"/>
      <w:r w:rsidRPr="0000288F">
        <w:rPr>
          <w:sz w:val="24"/>
          <w:szCs w:val="24"/>
        </w:rPr>
        <w:t>fenytoin</w:t>
      </w:r>
      <w:proofErr w:type="spellEnd"/>
      <w:r w:rsidRPr="0000288F">
        <w:rPr>
          <w:sz w:val="24"/>
          <w:szCs w:val="24"/>
        </w:rPr>
        <w:t xml:space="preserve">, </w:t>
      </w:r>
      <w:proofErr w:type="spellStart"/>
      <w:r w:rsidRPr="0000288F">
        <w:rPr>
          <w:sz w:val="24"/>
          <w:szCs w:val="24"/>
        </w:rPr>
        <w:t>primidon</w:t>
      </w:r>
      <w:proofErr w:type="spellEnd"/>
      <w:r w:rsidRPr="0000288F">
        <w:rPr>
          <w:sz w:val="24"/>
          <w:szCs w:val="24"/>
        </w:rPr>
        <w:t xml:space="preserve"> og </w:t>
      </w:r>
      <w:proofErr w:type="spellStart"/>
      <w:r w:rsidRPr="0000288F">
        <w:rPr>
          <w:sz w:val="24"/>
          <w:szCs w:val="24"/>
        </w:rPr>
        <w:t>succinimider</w:t>
      </w:r>
      <w:proofErr w:type="spellEnd"/>
      <w:r w:rsidRPr="0000288F">
        <w:rPr>
          <w:sz w:val="24"/>
          <w:szCs w:val="24"/>
        </w:rPr>
        <w:t xml:space="preserve">, er der en risiko for en øget </w:t>
      </w:r>
      <w:proofErr w:type="spellStart"/>
      <w:r w:rsidRPr="0000288F">
        <w:rPr>
          <w:sz w:val="24"/>
          <w:szCs w:val="24"/>
        </w:rPr>
        <w:t>anfaldsfrekvens</w:t>
      </w:r>
      <w:proofErr w:type="spellEnd"/>
      <w:r w:rsidRPr="0000288F">
        <w:rPr>
          <w:sz w:val="24"/>
          <w:szCs w:val="24"/>
        </w:rPr>
        <w:t xml:space="preserve"> på grund af reduceret plasmakoncentration af antiepileptiske lægemidler. Der anbefales klinisk monitorering, eventuelt også monitorering af plasmakoncentrationerne og hvis nødvendigt dosistilpasning af antiepileptiske lægemidler under og efter </w:t>
      </w:r>
      <w:proofErr w:type="spellStart"/>
      <w:r w:rsidRPr="0000288F">
        <w:rPr>
          <w:sz w:val="24"/>
          <w:szCs w:val="24"/>
        </w:rPr>
        <w:t>calciumfolinatadministrationen</w:t>
      </w:r>
      <w:proofErr w:type="spellEnd"/>
      <w:r w:rsidRPr="0000288F">
        <w:rPr>
          <w:sz w:val="24"/>
          <w:szCs w:val="24"/>
        </w:rPr>
        <w:t xml:space="preserve"> (se pkt. 4.5).</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u w:val="single"/>
        </w:rPr>
      </w:pPr>
      <w:proofErr w:type="spellStart"/>
      <w:r w:rsidRPr="0000288F">
        <w:rPr>
          <w:sz w:val="24"/>
          <w:szCs w:val="24"/>
          <w:u w:val="single"/>
        </w:rPr>
        <w:t>Calciumfolinat</w:t>
      </w:r>
      <w:proofErr w:type="spellEnd"/>
      <w:r w:rsidRPr="0000288F">
        <w:rPr>
          <w:sz w:val="24"/>
          <w:szCs w:val="24"/>
          <w:u w:val="single"/>
        </w:rPr>
        <w:t>/5-fluorouracil</w:t>
      </w:r>
    </w:p>
    <w:p w:rsidR="00DD5A90" w:rsidRPr="0000288F" w:rsidRDefault="00DD5A90" w:rsidP="00DD5A90">
      <w:pPr>
        <w:autoSpaceDE w:val="0"/>
        <w:autoSpaceDN w:val="0"/>
        <w:adjustRightInd w:val="0"/>
        <w:ind w:left="851"/>
        <w:rPr>
          <w:sz w:val="24"/>
          <w:szCs w:val="24"/>
        </w:rPr>
      </w:pPr>
      <w:proofErr w:type="spellStart"/>
      <w:r w:rsidRPr="0000288F">
        <w:rPr>
          <w:sz w:val="24"/>
          <w:szCs w:val="24"/>
        </w:rPr>
        <w:t>Calciumfolinat</w:t>
      </w:r>
      <w:proofErr w:type="spellEnd"/>
      <w:r w:rsidRPr="0000288F">
        <w:rPr>
          <w:sz w:val="24"/>
          <w:szCs w:val="24"/>
        </w:rPr>
        <w:t xml:space="preserve"> kan forstærke toksiciteten af 5-fluorouracil, især hos ældre og svækkede patienter. De mest almindelige manifestationer er </w:t>
      </w:r>
      <w:proofErr w:type="spellStart"/>
      <w:r w:rsidRPr="0000288F">
        <w:rPr>
          <w:sz w:val="24"/>
          <w:szCs w:val="24"/>
        </w:rPr>
        <w:t>leukopeni</w:t>
      </w:r>
      <w:proofErr w:type="spellEnd"/>
      <w:r w:rsidRPr="0000288F">
        <w:rPr>
          <w:sz w:val="24"/>
          <w:szCs w:val="24"/>
        </w:rPr>
        <w:t xml:space="preserve">, </w:t>
      </w:r>
      <w:proofErr w:type="spellStart"/>
      <w:r w:rsidRPr="0000288F">
        <w:rPr>
          <w:sz w:val="24"/>
          <w:szCs w:val="24"/>
        </w:rPr>
        <w:t>mucositis</w:t>
      </w:r>
      <w:proofErr w:type="spellEnd"/>
      <w:r w:rsidRPr="0000288F">
        <w:rPr>
          <w:sz w:val="24"/>
          <w:szCs w:val="24"/>
        </w:rPr>
        <w:t xml:space="preserve"> og/eller diarré som kan være dosisbegrænsende. I tilfælde af toksicitet når </w:t>
      </w:r>
      <w:proofErr w:type="spellStart"/>
      <w:r w:rsidRPr="0000288F">
        <w:rPr>
          <w:sz w:val="24"/>
          <w:szCs w:val="24"/>
        </w:rPr>
        <w:t>calciumfolinat</w:t>
      </w:r>
      <w:proofErr w:type="spellEnd"/>
      <w:r w:rsidRPr="0000288F">
        <w:rPr>
          <w:sz w:val="24"/>
          <w:szCs w:val="24"/>
        </w:rPr>
        <w:t xml:space="preserve"> og 5-fluorouracil kombineres, skal 5-fluorouracil doseringen reduceres i større grad ved toksicitet end når 5-fluorouracil bruges alene.</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Kombineret 5-fluorouracil/</w:t>
      </w:r>
      <w:proofErr w:type="spellStart"/>
      <w:r w:rsidRPr="0000288F">
        <w:rPr>
          <w:sz w:val="24"/>
          <w:szCs w:val="24"/>
        </w:rPr>
        <w:t>calciumfolinat</w:t>
      </w:r>
      <w:proofErr w:type="spellEnd"/>
      <w:r w:rsidRPr="0000288F">
        <w:rPr>
          <w:sz w:val="24"/>
          <w:szCs w:val="24"/>
        </w:rPr>
        <w:t xml:space="preserve"> behandling bør ikke initieres eller fortsættes hos patienter med symptomer med </w:t>
      </w:r>
      <w:proofErr w:type="spellStart"/>
      <w:r w:rsidRPr="0000288F">
        <w:rPr>
          <w:sz w:val="24"/>
          <w:szCs w:val="24"/>
        </w:rPr>
        <w:t>gastrointestinal</w:t>
      </w:r>
      <w:proofErr w:type="spellEnd"/>
      <w:r w:rsidRPr="0000288F">
        <w:rPr>
          <w:sz w:val="24"/>
          <w:szCs w:val="24"/>
        </w:rPr>
        <w:t xml:space="preserve"> toksicitet, uden hensyn til sværhedsgraden, før disse symptomer er helt forsvundet.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lastRenderedPageBreak/>
        <w:t xml:space="preserve">Da diarré kan være et symptom på </w:t>
      </w:r>
      <w:proofErr w:type="spellStart"/>
      <w:r w:rsidRPr="0000288F">
        <w:rPr>
          <w:sz w:val="24"/>
          <w:szCs w:val="24"/>
        </w:rPr>
        <w:t>gastrointestinal</w:t>
      </w:r>
      <w:proofErr w:type="spellEnd"/>
      <w:r w:rsidRPr="0000288F">
        <w:rPr>
          <w:sz w:val="24"/>
          <w:szCs w:val="24"/>
        </w:rPr>
        <w:t xml:space="preserve"> toksicitet, må patienter med diarré omhyggeligt monitoreres indtil symptomerne helt er forsvundet, da en hurtig klinisk forværring kan opstå og medføre døden. Hvis diarré og/eller </w:t>
      </w:r>
      <w:proofErr w:type="spellStart"/>
      <w:r w:rsidRPr="0000288F">
        <w:rPr>
          <w:sz w:val="24"/>
          <w:szCs w:val="24"/>
        </w:rPr>
        <w:t>stomatitis</w:t>
      </w:r>
      <w:proofErr w:type="spellEnd"/>
      <w:r w:rsidRPr="0000288F">
        <w:rPr>
          <w:sz w:val="24"/>
          <w:szCs w:val="24"/>
        </w:rPr>
        <w:t xml:space="preserve"> optræder, anbefales det at reducere dosis af 5-fluorouracil indtil symptomerne er fuldstændig forsvundet. Ældre og patienter, som på grund af sygdom har lav fysisk aktivitet, er specielt udsat for sådan toksicitet. Derfor bør der tages særlig hensyn ved behandling af disse patienter.</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Hos ældre patienter og patienter, som forudgående har været i strålebehandling anbefales det, at starte med en reduceret dosis af 5-fluorouracil.</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proofErr w:type="spellStart"/>
      <w:r w:rsidRPr="0000288F">
        <w:rPr>
          <w:sz w:val="24"/>
          <w:szCs w:val="24"/>
        </w:rPr>
        <w:t>Calciumfolinat</w:t>
      </w:r>
      <w:proofErr w:type="spellEnd"/>
      <w:r w:rsidRPr="0000288F">
        <w:rPr>
          <w:sz w:val="24"/>
          <w:szCs w:val="24"/>
        </w:rPr>
        <w:t xml:space="preserve"> må generelt ikke blandes med 5-fluorouracil i samme intravenøse injektion eller infusion. For mere information, se pkt. 6.2.</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Calciumniveauerne bør monitoreres hos patienter som får kombinationsbehandling med 5-fluorouracil og </w:t>
      </w:r>
      <w:proofErr w:type="spellStart"/>
      <w:r w:rsidRPr="0000288F">
        <w:rPr>
          <w:sz w:val="24"/>
          <w:szCs w:val="24"/>
        </w:rPr>
        <w:t>calciumfolinat</w:t>
      </w:r>
      <w:proofErr w:type="spellEnd"/>
      <w:r w:rsidRPr="0000288F">
        <w:rPr>
          <w:sz w:val="24"/>
          <w:szCs w:val="24"/>
        </w:rPr>
        <w:t>, og calciumtilskud bør gives hvis calciumniveauerne er for lave.</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u w:val="single"/>
        </w:rPr>
      </w:pPr>
      <w:proofErr w:type="spellStart"/>
      <w:r w:rsidRPr="0000288F">
        <w:rPr>
          <w:sz w:val="24"/>
          <w:szCs w:val="24"/>
          <w:u w:val="single"/>
        </w:rPr>
        <w:t>Calciumfolinat</w:t>
      </w:r>
      <w:proofErr w:type="spellEnd"/>
      <w:r w:rsidRPr="0000288F">
        <w:rPr>
          <w:sz w:val="24"/>
          <w:szCs w:val="24"/>
          <w:u w:val="single"/>
        </w:rPr>
        <w:t>/</w:t>
      </w:r>
      <w:proofErr w:type="spellStart"/>
      <w:r w:rsidRPr="0000288F">
        <w:rPr>
          <w:sz w:val="24"/>
          <w:szCs w:val="24"/>
          <w:u w:val="single"/>
        </w:rPr>
        <w:t>methotrexat</w:t>
      </w:r>
      <w:proofErr w:type="spellEnd"/>
    </w:p>
    <w:p w:rsidR="00DD5A90" w:rsidRPr="0000288F" w:rsidRDefault="00DD5A90" w:rsidP="00DD5A90">
      <w:pPr>
        <w:autoSpaceDE w:val="0"/>
        <w:autoSpaceDN w:val="0"/>
        <w:adjustRightInd w:val="0"/>
        <w:ind w:left="851"/>
        <w:rPr>
          <w:sz w:val="24"/>
          <w:szCs w:val="24"/>
        </w:rPr>
      </w:pPr>
      <w:r w:rsidRPr="0000288F">
        <w:rPr>
          <w:sz w:val="24"/>
          <w:szCs w:val="24"/>
        </w:rPr>
        <w:t xml:space="preserve">For specifikke detaljer om reduktion af </w:t>
      </w:r>
      <w:proofErr w:type="spellStart"/>
      <w:r w:rsidRPr="0000288F">
        <w:rPr>
          <w:sz w:val="24"/>
          <w:szCs w:val="24"/>
        </w:rPr>
        <w:t>methotrexattoksicitet</w:t>
      </w:r>
      <w:proofErr w:type="spellEnd"/>
      <w:r w:rsidRPr="0000288F">
        <w:rPr>
          <w:sz w:val="24"/>
          <w:szCs w:val="24"/>
        </w:rPr>
        <w:t xml:space="preserve">, se produktresumé for </w:t>
      </w:r>
      <w:proofErr w:type="spellStart"/>
      <w:r w:rsidRPr="0000288F">
        <w:rPr>
          <w:sz w:val="24"/>
          <w:szCs w:val="24"/>
        </w:rPr>
        <w:t>methotrexat</w:t>
      </w:r>
      <w:proofErr w:type="spellEnd"/>
      <w:r w:rsidRPr="0000288F">
        <w:rPr>
          <w:sz w:val="24"/>
          <w:szCs w:val="24"/>
        </w:rPr>
        <w: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proofErr w:type="spellStart"/>
      <w:r w:rsidRPr="0000288F">
        <w:rPr>
          <w:sz w:val="24"/>
          <w:szCs w:val="24"/>
        </w:rPr>
        <w:t>Calciumfolinat</w:t>
      </w:r>
      <w:proofErr w:type="spellEnd"/>
      <w:r w:rsidRPr="0000288F">
        <w:rPr>
          <w:sz w:val="24"/>
          <w:szCs w:val="24"/>
        </w:rPr>
        <w:t xml:space="preserve"> har ingen effekt på non-hæmatologiske </w:t>
      </w:r>
      <w:proofErr w:type="spellStart"/>
      <w:r w:rsidRPr="0000288F">
        <w:rPr>
          <w:sz w:val="24"/>
          <w:szCs w:val="24"/>
        </w:rPr>
        <w:t>toksiciteter</w:t>
      </w:r>
      <w:proofErr w:type="spellEnd"/>
      <w:r w:rsidRPr="0000288F">
        <w:rPr>
          <w:sz w:val="24"/>
          <w:szCs w:val="24"/>
        </w:rPr>
        <w:t xml:space="preserve"> af </w:t>
      </w:r>
      <w:proofErr w:type="spellStart"/>
      <w:r w:rsidRPr="0000288F">
        <w:rPr>
          <w:sz w:val="24"/>
          <w:szCs w:val="24"/>
        </w:rPr>
        <w:t>methotrexat</w:t>
      </w:r>
      <w:proofErr w:type="spellEnd"/>
      <w:r w:rsidRPr="0000288F">
        <w:rPr>
          <w:sz w:val="24"/>
          <w:szCs w:val="24"/>
        </w:rPr>
        <w:t xml:space="preserve"> så som </w:t>
      </w:r>
      <w:proofErr w:type="spellStart"/>
      <w:r w:rsidRPr="0000288F">
        <w:rPr>
          <w:sz w:val="24"/>
          <w:szCs w:val="24"/>
        </w:rPr>
        <w:t>nefrotoksicitet</w:t>
      </w:r>
      <w:proofErr w:type="spellEnd"/>
      <w:r w:rsidRPr="0000288F">
        <w:rPr>
          <w:sz w:val="24"/>
          <w:szCs w:val="24"/>
        </w:rPr>
        <w:t xml:space="preserve"> hidrørende fra udfældninger af lægemidlet og/eller metabolitter i nyrerne.</w:t>
      </w:r>
    </w:p>
    <w:p w:rsidR="00DD5A90" w:rsidRPr="0000288F" w:rsidRDefault="00DD5A90" w:rsidP="00DD5A90">
      <w:pPr>
        <w:autoSpaceDE w:val="0"/>
        <w:autoSpaceDN w:val="0"/>
        <w:adjustRightInd w:val="0"/>
        <w:ind w:left="851"/>
        <w:rPr>
          <w:sz w:val="24"/>
          <w:szCs w:val="24"/>
        </w:rPr>
      </w:pPr>
      <w:r w:rsidRPr="0000288F">
        <w:rPr>
          <w:sz w:val="24"/>
          <w:szCs w:val="24"/>
        </w:rPr>
        <w:t xml:space="preserve">Patienter, som udviser forsinket elimination i løbet af </w:t>
      </w:r>
      <w:proofErr w:type="spellStart"/>
      <w:r w:rsidRPr="0000288F">
        <w:rPr>
          <w:sz w:val="24"/>
          <w:szCs w:val="24"/>
        </w:rPr>
        <w:t>methotrexats</w:t>
      </w:r>
      <w:proofErr w:type="spellEnd"/>
      <w:r w:rsidRPr="0000288F">
        <w:rPr>
          <w:sz w:val="24"/>
          <w:szCs w:val="24"/>
        </w:rPr>
        <w:t xml:space="preserve"> initiale halveringstid, udvikler sandsynligvis reversibel nyresvigt og andre bivirkninger associeret med </w:t>
      </w:r>
      <w:proofErr w:type="spellStart"/>
      <w:r w:rsidRPr="0000288F">
        <w:rPr>
          <w:sz w:val="24"/>
          <w:szCs w:val="24"/>
        </w:rPr>
        <w:t>methotrexat</w:t>
      </w:r>
      <w:proofErr w:type="spellEnd"/>
      <w:r w:rsidRPr="0000288F">
        <w:rPr>
          <w:sz w:val="24"/>
          <w:szCs w:val="24"/>
        </w:rPr>
        <w:t xml:space="preserve"> (se venligst produktresumé for </w:t>
      </w:r>
      <w:proofErr w:type="spellStart"/>
      <w:r w:rsidRPr="0000288F">
        <w:rPr>
          <w:sz w:val="24"/>
          <w:szCs w:val="24"/>
        </w:rPr>
        <w:t>methotrexat</w:t>
      </w:r>
      <w:proofErr w:type="spellEnd"/>
      <w:r w:rsidRPr="0000288F">
        <w:rPr>
          <w:sz w:val="24"/>
          <w:szCs w:val="24"/>
        </w:rPr>
        <w:t>).</w:t>
      </w:r>
    </w:p>
    <w:p w:rsidR="00DD5A90" w:rsidRPr="0000288F" w:rsidRDefault="00DD5A90" w:rsidP="00DD5A90">
      <w:pPr>
        <w:autoSpaceDE w:val="0"/>
        <w:autoSpaceDN w:val="0"/>
        <w:adjustRightInd w:val="0"/>
        <w:ind w:left="851"/>
        <w:rPr>
          <w:sz w:val="24"/>
          <w:szCs w:val="24"/>
        </w:rPr>
      </w:pPr>
      <w:r w:rsidRPr="0000288F">
        <w:rPr>
          <w:sz w:val="24"/>
          <w:szCs w:val="24"/>
        </w:rPr>
        <w:t xml:space="preserve">Tidligere eksisterende- eller </w:t>
      </w:r>
      <w:proofErr w:type="spellStart"/>
      <w:r w:rsidRPr="0000288F">
        <w:rPr>
          <w:sz w:val="24"/>
          <w:szCs w:val="24"/>
        </w:rPr>
        <w:t>methotrexat</w:t>
      </w:r>
      <w:proofErr w:type="spellEnd"/>
      <w:r w:rsidRPr="0000288F">
        <w:rPr>
          <w:sz w:val="24"/>
          <w:szCs w:val="24"/>
        </w:rPr>
        <w:t xml:space="preserve">-induceret nyreinsufficiens er potentielt associeret med forsinket udskillelse af </w:t>
      </w:r>
      <w:proofErr w:type="spellStart"/>
      <w:r w:rsidRPr="0000288F">
        <w:rPr>
          <w:sz w:val="24"/>
          <w:szCs w:val="24"/>
        </w:rPr>
        <w:t>methotrexat</w:t>
      </w:r>
      <w:proofErr w:type="spellEnd"/>
      <w:r w:rsidRPr="0000288F">
        <w:rPr>
          <w:sz w:val="24"/>
          <w:szCs w:val="24"/>
        </w:rPr>
        <w:t xml:space="preserve">, og kan øge behovet for højere doser eller en forlænget anvendelse af </w:t>
      </w:r>
      <w:proofErr w:type="spellStart"/>
      <w:r w:rsidRPr="0000288F">
        <w:rPr>
          <w:sz w:val="24"/>
          <w:szCs w:val="24"/>
        </w:rPr>
        <w:t>calciumfolinat</w:t>
      </w:r>
      <w:proofErr w:type="spellEnd"/>
      <w:r w:rsidRPr="0000288F">
        <w:rPr>
          <w:sz w:val="24"/>
          <w:szCs w:val="24"/>
        </w:rPr>
        <w: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Store doser </w:t>
      </w:r>
      <w:proofErr w:type="spellStart"/>
      <w:r w:rsidRPr="0000288F">
        <w:rPr>
          <w:sz w:val="24"/>
          <w:szCs w:val="24"/>
        </w:rPr>
        <w:t>calciumfolinat</w:t>
      </w:r>
      <w:proofErr w:type="spellEnd"/>
      <w:r w:rsidRPr="0000288F">
        <w:rPr>
          <w:sz w:val="24"/>
          <w:szCs w:val="24"/>
        </w:rPr>
        <w:t xml:space="preserve"> skal undgås, da de kan svække </w:t>
      </w:r>
      <w:proofErr w:type="spellStart"/>
      <w:r w:rsidRPr="0000288F">
        <w:rPr>
          <w:sz w:val="24"/>
          <w:szCs w:val="24"/>
        </w:rPr>
        <w:t>antitumoraktiviteten</w:t>
      </w:r>
      <w:proofErr w:type="spellEnd"/>
      <w:r w:rsidRPr="0000288F">
        <w:rPr>
          <w:sz w:val="24"/>
          <w:szCs w:val="24"/>
        </w:rPr>
        <w:t xml:space="preserve"> af </w:t>
      </w:r>
      <w:proofErr w:type="spellStart"/>
      <w:r w:rsidRPr="0000288F">
        <w:rPr>
          <w:sz w:val="24"/>
          <w:szCs w:val="24"/>
        </w:rPr>
        <w:t>methotrexat</w:t>
      </w:r>
      <w:proofErr w:type="spellEnd"/>
      <w:r w:rsidRPr="0000288F">
        <w:rPr>
          <w:sz w:val="24"/>
          <w:szCs w:val="24"/>
        </w:rPr>
        <w:t xml:space="preserve">, specielt i CNS-tumorer hvor </w:t>
      </w:r>
      <w:proofErr w:type="spellStart"/>
      <w:r w:rsidRPr="0000288F">
        <w:rPr>
          <w:sz w:val="24"/>
          <w:szCs w:val="24"/>
        </w:rPr>
        <w:t>calciumfolinat</w:t>
      </w:r>
      <w:proofErr w:type="spellEnd"/>
      <w:r w:rsidRPr="0000288F">
        <w:rPr>
          <w:sz w:val="24"/>
          <w:szCs w:val="24"/>
        </w:rPr>
        <w:t xml:space="preserve"> akkumuleres ved gentagne cyklusser.</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Resistens mod </w:t>
      </w:r>
      <w:proofErr w:type="spellStart"/>
      <w:r w:rsidRPr="0000288F">
        <w:rPr>
          <w:sz w:val="24"/>
          <w:szCs w:val="24"/>
        </w:rPr>
        <w:t>methotrexat</w:t>
      </w:r>
      <w:proofErr w:type="spellEnd"/>
      <w:r w:rsidRPr="0000288F">
        <w:rPr>
          <w:sz w:val="24"/>
          <w:szCs w:val="24"/>
        </w:rPr>
        <w:t xml:space="preserve"> som følge af nedsat membrantransport indikerer også resistens mod </w:t>
      </w:r>
      <w:proofErr w:type="spellStart"/>
      <w:r w:rsidRPr="0000288F">
        <w:rPr>
          <w:sz w:val="24"/>
          <w:szCs w:val="24"/>
        </w:rPr>
        <w:t>folininsyre-rescue</w:t>
      </w:r>
      <w:proofErr w:type="spellEnd"/>
      <w:r w:rsidRPr="0000288F">
        <w:rPr>
          <w:sz w:val="24"/>
          <w:szCs w:val="24"/>
        </w:rPr>
        <w:t>, da begge disse lægemidler benytter samme transportsystem.</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En utilsigtet overdosis med en </w:t>
      </w:r>
      <w:proofErr w:type="spellStart"/>
      <w:r w:rsidRPr="0000288F">
        <w:rPr>
          <w:sz w:val="24"/>
          <w:szCs w:val="24"/>
        </w:rPr>
        <w:t>folinat</w:t>
      </w:r>
      <w:proofErr w:type="spellEnd"/>
      <w:r w:rsidRPr="0000288F">
        <w:rPr>
          <w:sz w:val="24"/>
          <w:szCs w:val="24"/>
        </w:rPr>
        <w:t xml:space="preserve">-antagonist, såsom </w:t>
      </w:r>
      <w:proofErr w:type="spellStart"/>
      <w:r w:rsidRPr="0000288F">
        <w:rPr>
          <w:sz w:val="24"/>
          <w:szCs w:val="24"/>
        </w:rPr>
        <w:t>methotrexat</w:t>
      </w:r>
      <w:proofErr w:type="spellEnd"/>
      <w:r w:rsidRPr="0000288F">
        <w:rPr>
          <w:sz w:val="24"/>
          <w:szCs w:val="24"/>
        </w:rPr>
        <w:t xml:space="preserve">, bør behandles som en medicinsk katastrofe. Når tidsintervallet mellem administration af </w:t>
      </w:r>
      <w:proofErr w:type="spellStart"/>
      <w:r w:rsidRPr="0000288F">
        <w:rPr>
          <w:sz w:val="24"/>
          <w:szCs w:val="24"/>
        </w:rPr>
        <w:t>methotrexat</w:t>
      </w:r>
      <w:proofErr w:type="spellEnd"/>
      <w:r w:rsidRPr="0000288F">
        <w:rPr>
          <w:sz w:val="24"/>
          <w:szCs w:val="24"/>
        </w:rPr>
        <w:t xml:space="preserve"> og </w:t>
      </w:r>
      <w:proofErr w:type="spellStart"/>
      <w:r w:rsidRPr="0000288F">
        <w:rPr>
          <w:sz w:val="24"/>
          <w:szCs w:val="24"/>
        </w:rPr>
        <w:t>calciumfolinat-rescue</w:t>
      </w:r>
      <w:proofErr w:type="spellEnd"/>
      <w:r w:rsidRPr="0000288F">
        <w:rPr>
          <w:sz w:val="24"/>
          <w:szCs w:val="24"/>
        </w:rPr>
        <w:t xml:space="preserve"> øges, aftager den toksicitetshæmmende effekt af </w:t>
      </w:r>
      <w:proofErr w:type="spellStart"/>
      <w:r w:rsidRPr="0000288F">
        <w:rPr>
          <w:sz w:val="24"/>
          <w:szCs w:val="24"/>
        </w:rPr>
        <w:t>calciumfolinat</w:t>
      </w:r>
      <w:proofErr w:type="spellEnd"/>
      <w:r w:rsidRPr="0000288F">
        <w:rPr>
          <w:sz w:val="24"/>
          <w:szCs w:val="24"/>
        </w:rPr>
        <w:t>.</w:t>
      </w:r>
    </w:p>
    <w:p w:rsidR="00DD5A90" w:rsidRPr="0000288F" w:rsidRDefault="00DD5A90" w:rsidP="00DD5A90">
      <w:pPr>
        <w:autoSpaceDE w:val="0"/>
        <w:autoSpaceDN w:val="0"/>
        <w:adjustRightInd w:val="0"/>
        <w:ind w:left="851" w:hanging="851"/>
        <w:rPr>
          <w:sz w:val="24"/>
          <w:szCs w:val="24"/>
        </w:rPr>
      </w:pPr>
    </w:p>
    <w:p w:rsidR="00DD5A90" w:rsidRPr="0000288F" w:rsidRDefault="00DD5A90" w:rsidP="00DD5A90">
      <w:pPr>
        <w:autoSpaceDE w:val="0"/>
        <w:autoSpaceDN w:val="0"/>
        <w:adjustRightInd w:val="0"/>
        <w:ind w:left="851"/>
        <w:rPr>
          <w:sz w:val="24"/>
          <w:szCs w:val="24"/>
        </w:rPr>
      </w:pPr>
      <w:r w:rsidRPr="0000288F">
        <w:rPr>
          <w:sz w:val="24"/>
          <w:szCs w:val="24"/>
        </w:rPr>
        <w:t xml:space="preserve">Muligheden for at patienten tager anden medicin der interagerer med </w:t>
      </w:r>
      <w:proofErr w:type="spellStart"/>
      <w:r w:rsidRPr="0000288F">
        <w:rPr>
          <w:sz w:val="24"/>
          <w:szCs w:val="24"/>
        </w:rPr>
        <w:t>methotrexat</w:t>
      </w:r>
      <w:proofErr w:type="spellEnd"/>
      <w:r w:rsidRPr="0000288F">
        <w:rPr>
          <w:sz w:val="24"/>
          <w:szCs w:val="24"/>
        </w:rPr>
        <w:t xml:space="preserve"> (</w:t>
      </w:r>
      <w:proofErr w:type="gramStart"/>
      <w:r w:rsidRPr="0000288F">
        <w:rPr>
          <w:sz w:val="24"/>
          <w:szCs w:val="24"/>
        </w:rPr>
        <w:t>f. eks.</w:t>
      </w:r>
      <w:proofErr w:type="gramEnd"/>
      <w:r w:rsidRPr="0000288F">
        <w:rPr>
          <w:sz w:val="24"/>
          <w:szCs w:val="24"/>
        </w:rPr>
        <w:t xml:space="preserve"> medicin der påvirker </w:t>
      </w:r>
      <w:proofErr w:type="spellStart"/>
      <w:r w:rsidRPr="0000288F">
        <w:rPr>
          <w:sz w:val="24"/>
          <w:szCs w:val="24"/>
        </w:rPr>
        <w:t>methotrexat</w:t>
      </w:r>
      <w:proofErr w:type="spellEnd"/>
      <w:r w:rsidRPr="0000288F">
        <w:rPr>
          <w:sz w:val="24"/>
          <w:szCs w:val="24"/>
        </w:rPr>
        <w:t xml:space="preserve"> eliminering eller som binder sig til serumalbumin) bør altid overvejes, når der observeres unormale laboratoriefund eller når klinisk toksicitet observeres.</w:t>
      </w:r>
    </w:p>
    <w:p w:rsidR="00DD5A90" w:rsidRPr="0000288F" w:rsidRDefault="00DD5A90" w:rsidP="00DD5A90">
      <w:pPr>
        <w:autoSpaceDE w:val="0"/>
        <w:autoSpaceDN w:val="0"/>
        <w:adjustRightInd w:val="0"/>
        <w:ind w:left="851" w:hanging="851"/>
        <w:rPr>
          <w:sz w:val="24"/>
          <w:szCs w:val="24"/>
        </w:rPr>
      </w:pPr>
    </w:p>
    <w:p w:rsidR="00B51F53" w:rsidRDefault="00B51F53" w:rsidP="00B51F53">
      <w:pPr>
        <w:suppressAutoHyphens/>
        <w:ind w:left="851"/>
        <w:rPr>
          <w:b/>
          <w:sz w:val="24"/>
          <w:szCs w:val="24"/>
        </w:rPr>
      </w:pPr>
      <w:r>
        <w:rPr>
          <w:sz w:val="24"/>
          <w:szCs w:val="24"/>
          <w:u w:val="single"/>
        </w:rPr>
        <w:t>Hjælpestof, som behandleren skal være opmærksom på</w:t>
      </w:r>
      <w:r>
        <w:rPr>
          <w:b/>
          <w:sz w:val="24"/>
          <w:szCs w:val="24"/>
        </w:rPr>
        <w:t xml:space="preserve">: </w:t>
      </w:r>
    </w:p>
    <w:p w:rsidR="00B51F53" w:rsidRDefault="00B51F53" w:rsidP="00B51F53">
      <w:pPr>
        <w:suppressAutoHyphens/>
        <w:ind w:firstLine="851"/>
        <w:rPr>
          <w:sz w:val="24"/>
          <w:szCs w:val="24"/>
        </w:rPr>
      </w:pPr>
      <w:r>
        <w:rPr>
          <w:noProof/>
          <w:sz w:val="24"/>
          <w:szCs w:val="24"/>
        </w:rPr>
        <w:t xml:space="preserve">Dette lægemiddel </w:t>
      </w:r>
      <w:r>
        <w:rPr>
          <w:sz w:val="24"/>
          <w:szCs w:val="24"/>
        </w:rPr>
        <w:t>indeholder 3,3 mg (0,14 mmol) natrium pr. ml.</w:t>
      </w:r>
    </w:p>
    <w:p w:rsidR="00B51F53" w:rsidRDefault="00B51F53" w:rsidP="00B51F53">
      <w:pPr>
        <w:suppressAutoHyphens/>
        <w:ind w:left="851"/>
        <w:rPr>
          <w:i/>
          <w:noProof/>
          <w:sz w:val="24"/>
          <w:szCs w:val="24"/>
          <w:u w:val="single"/>
        </w:rPr>
      </w:pPr>
    </w:p>
    <w:p w:rsidR="00B51F53" w:rsidRDefault="00B51F53" w:rsidP="00B51F53">
      <w:pPr>
        <w:keepNext/>
        <w:suppressAutoHyphens/>
        <w:ind w:left="851"/>
        <w:rPr>
          <w:i/>
          <w:noProof/>
          <w:sz w:val="24"/>
          <w:szCs w:val="24"/>
          <w:u w:val="single"/>
        </w:rPr>
      </w:pPr>
      <w:r>
        <w:rPr>
          <w:i/>
          <w:noProof/>
          <w:sz w:val="24"/>
          <w:szCs w:val="24"/>
          <w:u w:val="single"/>
        </w:rPr>
        <w:lastRenderedPageBreak/>
        <w:t>Doser under 7 ml (70 mg):</w:t>
      </w:r>
    </w:p>
    <w:p w:rsidR="00B51F53" w:rsidRDefault="00B51F53" w:rsidP="00B51F53">
      <w:pPr>
        <w:suppressAutoHyphens/>
        <w:ind w:left="851"/>
        <w:rPr>
          <w:noProof/>
          <w:sz w:val="24"/>
          <w:szCs w:val="24"/>
        </w:rPr>
      </w:pPr>
      <w:r>
        <w:rPr>
          <w:noProof/>
          <w:sz w:val="24"/>
          <w:szCs w:val="24"/>
        </w:rPr>
        <w:t>Dette lægemiddel indeholder mindre end 1 mmol (23 mg) natrium pr. dosis, dvs. den er i det væsentlige natriumfri.</w:t>
      </w:r>
    </w:p>
    <w:p w:rsidR="00B51F53" w:rsidRDefault="00B51F53" w:rsidP="00B51F53">
      <w:pPr>
        <w:suppressAutoHyphens/>
        <w:ind w:left="851" w:hanging="851"/>
        <w:rPr>
          <w:noProof/>
          <w:sz w:val="24"/>
          <w:szCs w:val="24"/>
        </w:rPr>
      </w:pPr>
    </w:p>
    <w:p w:rsidR="00B51F53" w:rsidRDefault="00B51F53" w:rsidP="00B51F53">
      <w:pPr>
        <w:suppressAutoHyphens/>
        <w:ind w:left="851"/>
        <w:rPr>
          <w:sz w:val="24"/>
          <w:szCs w:val="24"/>
          <w:u w:val="single"/>
        </w:rPr>
      </w:pPr>
      <w:r>
        <w:rPr>
          <w:noProof/>
          <w:sz w:val="24"/>
          <w:szCs w:val="24"/>
          <w:u w:val="single"/>
        </w:rPr>
        <w:t>V</w:t>
      </w:r>
      <w:r>
        <w:rPr>
          <w:sz w:val="24"/>
          <w:szCs w:val="24"/>
          <w:u w:val="single"/>
        </w:rPr>
        <w:t>ed maksimale enkeltdoser på 500 mg/m², dvs. 850 mg (ved en gennemsnitlig legemsoverflade på 1,7 m²):</w:t>
      </w:r>
    </w:p>
    <w:p w:rsidR="00B51F53" w:rsidRDefault="00B51F53" w:rsidP="00B51F53">
      <w:pPr>
        <w:suppressAutoHyphens/>
        <w:ind w:left="851"/>
        <w:rPr>
          <w:noProof/>
          <w:sz w:val="24"/>
          <w:szCs w:val="24"/>
        </w:rPr>
      </w:pPr>
      <w:r>
        <w:rPr>
          <w:noProof/>
          <w:sz w:val="24"/>
          <w:szCs w:val="24"/>
        </w:rPr>
        <w:t>Dette lægemiddel indeholder 280,5 mg natrium pr. 85 ml dose, svarende til 14 % af den WHO anbefalede maximale daglige indtagelse af 2 g natrium for en voksen.</w:t>
      </w:r>
    </w:p>
    <w:p w:rsidR="00B51F53" w:rsidRDefault="00B51F53" w:rsidP="00B51F53">
      <w:pPr>
        <w:ind w:left="851" w:hanging="851"/>
        <w:rPr>
          <w:sz w:val="24"/>
          <w:szCs w:val="24"/>
        </w:rPr>
      </w:pPr>
    </w:p>
    <w:p w:rsidR="00DD5A90" w:rsidRPr="0000288F" w:rsidRDefault="00B51F53" w:rsidP="00B51F53">
      <w:pPr>
        <w:ind w:left="851" w:hanging="851"/>
        <w:rPr>
          <w:b/>
          <w:sz w:val="24"/>
          <w:szCs w:val="24"/>
        </w:rPr>
      </w:pPr>
      <w:r>
        <w:rPr>
          <w:b/>
          <w:sz w:val="24"/>
          <w:szCs w:val="24"/>
        </w:rPr>
        <w:t>4.5</w:t>
      </w:r>
      <w:r>
        <w:rPr>
          <w:b/>
          <w:sz w:val="24"/>
          <w:szCs w:val="24"/>
        </w:rPr>
        <w:tab/>
        <w:t>Interaktion med andre lægemidler og andre former for interaktion</w:t>
      </w:r>
    </w:p>
    <w:p w:rsidR="00DD5A90" w:rsidRPr="0000288F" w:rsidRDefault="00DD5A90" w:rsidP="00DD5A90">
      <w:pPr>
        <w:ind w:left="851"/>
        <w:rPr>
          <w:noProof/>
          <w:sz w:val="24"/>
          <w:szCs w:val="24"/>
        </w:rPr>
      </w:pPr>
      <w:r w:rsidRPr="0000288F">
        <w:rPr>
          <w:noProof/>
          <w:sz w:val="24"/>
          <w:szCs w:val="24"/>
        </w:rPr>
        <w:t>Når calciumfolinat indgives sammen med en folinsyreantagonist (f.eks. co-trimoxazol (trimethoprim + sulfamethoxazol) pyrimethamin) kan virkningen af folinsyreantagonisten enten nedsættes eller fuldstændig ophæves.</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Calciumfolinat kan nedsætte virkningen af antiepileptiske stoffer: fenobarbital, primidon og fenytoin, succinimider og kan derved forøge hyppigheden af anfald (en nedsættelse af plasmakoncentrationen af den enzymatiske induktor (antikonvulsiva) kan ses, da den hepatiske metabolisme er forhøjet, idet folater er en af co-faktorerne) (se pkt 4.4 og 4.8).</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Samtidig administration af calciumfolinat og 5-fluoruracil har vist at forøge virkningen og toksicitet af 5-fluoruracil (se pkt 4.2, 4.4 og 4.8).</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4.6</w:t>
      </w:r>
      <w:r w:rsidRPr="0000288F">
        <w:rPr>
          <w:b/>
          <w:sz w:val="24"/>
          <w:szCs w:val="24"/>
        </w:rPr>
        <w:tab/>
        <w:t>Graviditet og amning</w:t>
      </w:r>
    </w:p>
    <w:p w:rsidR="00DD5A90" w:rsidRPr="0000288F" w:rsidRDefault="00DD5A90" w:rsidP="00DD5A90">
      <w:pPr>
        <w:ind w:left="851" w:hanging="851"/>
        <w:rPr>
          <w:i/>
          <w:sz w:val="24"/>
          <w:szCs w:val="24"/>
        </w:rPr>
      </w:pPr>
    </w:p>
    <w:p w:rsidR="00DD5A90" w:rsidRPr="0000288F" w:rsidRDefault="00DD5A90" w:rsidP="00DD5A90">
      <w:pPr>
        <w:ind w:left="851"/>
        <w:rPr>
          <w:noProof/>
          <w:sz w:val="24"/>
          <w:szCs w:val="24"/>
        </w:rPr>
      </w:pPr>
      <w:r w:rsidRPr="0000288F">
        <w:rPr>
          <w:noProof/>
          <w:sz w:val="24"/>
          <w:szCs w:val="24"/>
          <w:u w:val="single"/>
        </w:rPr>
        <w:t>Graviditet</w:t>
      </w:r>
    </w:p>
    <w:p w:rsidR="00DD5A90" w:rsidRPr="0000288F" w:rsidRDefault="00DD5A90" w:rsidP="00DD5A90">
      <w:pPr>
        <w:ind w:left="851"/>
        <w:rPr>
          <w:noProof/>
          <w:sz w:val="24"/>
          <w:szCs w:val="24"/>
        </w:rPr>
      </w:pPr>
      <w:r w:rsidRPr="0000288F">
        <w:rPr>
          <w:noProof/>
          <w:sz w:val="24"/>
          <w:szCs w:val="24"/>
        </w:rPr>
        <w:t xml:space="preserve">Der er ikke udført adækvate og kontrollerede kliniske studer på gravide eller ammende kvinder. Der har ikke været udført formelle reproduktionstoksiske dyrestudier med calciumfolinat. Der er ingen indikationer som tyder på at folininsyre inducerer skadelige effekter hvis det administreres under en graviditet. Under graviditet skal methotrexat kun administreres på strenge indikationer, hvor fordelene ved behandlingen for moderen vurderes mod de mulige farer for fostret. Hvis behandling med methotrexat eller andre </w:t>
      </w:r>
      <w:proofErr w:type="spellStart"/>
      <w:r w:rsidRPr="0000288F">
        <w:rPr>
          <w:sz w:val="24"/>
          <w:szCs w:val="24"/>
        </w:rPr>
        <w:t>folinat</w:t>
      </w:r>
      <w:proofErr w:type="spellEnd"/>
      <w:r w:rsidRPr="0000288F">
        <w:rPr>
          <w:sz w:val="24"/>
          <w:szCs w:val="24"/>
        </w:rPr>
        <w:t>-antagonister</w:t>
      </w:r>
      <w:r w:rsidRPr="0000288F">
        <w:rPr>
          <w:noProof/>
          <w:sz w:val="24"/>
          <w:szCs w:val="24"/>
        </w:rPr>
        <w:t xml:space="preserve"> alligevel forekommer til trods for graviditet eller amning (se venligst produktresumé for det aktuelle lægemiddel), findes der ingen begrænsninger med hensyn til brugen af calciumfolinat for at nedsætte toksiciteten eller modvirke effekterne.</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5-fluorouracil er generelt kontraindiceret under graviditet og amning; dette gælder også for brug af calciumfolinat i kombination med 5-fluorouracil.</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Se venligst produktresuméer for lægemidler som indeholder methotrexat, andre folatantagonister og 5-fluorouracil.</w:t>
      </w:r>
    </w:p>
    <w:p w:rsidR="00DD5A90" w:rsidRPr="0000288F" w:rsidRDefault="00DD5A90" w:rsidP="00DD5A90">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u w:val="single"/>
        </w:rPr>
        <w:t>Amning</w:t>
      </w:r>
    </w:p>
    <w:p w:rsidR="00DD5A90" w:rsidRPr="0000288F" w:rsidRDefault="00DD5A90" w:rsidP="00DD5A90">
      <w:pPr>
        <w:ind w:left="851"/>
        <w:rPr>
          <w:noProof/>
          <w:sz w:val="24"/>
          <w:szCs w:val="24"/>
        </w:rPr>
      </w:pPr>
      <w:r w:rsidRPr="0000288F">
        <w:rPr>
          <w:noProof/>
          <w:sz w:val="24"/>
          <w:szCs w:val="24"/>
        </w:rPr>
        <w:t>Det vides ikke, om calciumfolinat udskilles i modermælk. Calciumfolinat må kun ordineres under amning, når det vurderes at være nødvendig i overensstemmelse med den terapeutiske indikation.</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4.7</w:t>
      </w:r>
      <w:r w:rsidRPr="0000288F">
        <w:rPr>
          <w:b/>
          <w:sz w:val="24"/>
          <w:szCs w:val="24"/>
        </w:rPr>
        <w:tab/>
        <w:t>Virkninger på evnen til at føre motorkøretøj eller betjene maskiner</w:t>
      </w:r>
    </w:p>
    <w:p w:rsidR="00DD5A90" w:rsidRPr="0000288F" w:rsidRDefault="00DD5A90" w:rsidP="00DD5A90">
      <w:pPr>
        <w:ind w:left="851" w:hanging="851"/>
        <w:rPr>
          <w:sz w:val="24"/>
          <w:szCs w:val="24"/>
        </w:rPr>
      </w:pPr>
      <w:r>
        <w:rPr>
          <w:sz w:val="24"/>
          <w:szCs w:val="24"/>
        </w:rPr>
        <w:tab/>
        <w:t>Ikke mærkning.</w:t>
      </w:r>
    </w:p>
    <w:p w:rsidR="00DD5A90" w:rsidRPr="0000288F" w:rsidRDefault="00DD5A90" w:rsidP="00DD5A90">
      <w:pPr>
        <w:ind w:left="851"/>
        <w:rPr>
          <w:sz w:val="24"/>
          <w:szCs w:val="24"/>
        </w:rPr>
      </w:pPr>
      <w:r w:rsidRPr="0000288F">
        <w:rPr>
          <w:sz w:val="24"/>
          <w:szCs w:val="24"/>
        </w:rPr>
        <w:t xml:space="preserve">Der er ingen bevis for at </w:t>
      </w:r>
      <w:proofErr w:type="spellStart"/>
      <w:r w:rsidRPr="0000288F">
        <w:rPr>
          <w:sz w:val="24"/>
          <w:szCs w:val="24"/>
        </w:rPr>
        <w:t>calciumfolinat</w:t>
      </w:r>
      <w:proofErr w:type="spellEnd"/>
      <w:r w:rsidRPr="0000288F">
        <w:rPr>
          <w:sz w:val="24"/>
          <w:szCs w:val="24"/>
        </w:rPr>
        <w:t xml:space="preserve"> påvirker evnen til at føre motorkøretøj eller betjene maskiner.</w:t>
      </w:r>
    </w:p>
    <w:p w:rsidR="00DD5A90" w:rsidRPr="0000288F" w:rsidRDefault="00DD5A90" w:rsidP="00DD5A90">
      <w:pPr>
        <w:ind w:left="851" w:hanging="851"/>
        <w:rPr>
          <w:sz w:val="24"/>
          <w:szCs w:val="24"/>
        </w:rPr>
      </w:pPr>
    </w:p>
    <w:p w:rsidR="00B51F53" w:rsidRDefault="00DD5A90" w:rsidP="00B51F53">
      <w:pPr>
        <w:ind w:left="851" w:hanging="851"/>
        <w:rPr>
          <w:b/>
          <w:sz w:val="24"/>
          <w:szCs w:val="24"/>
        </w:rPr>
      </w:pPr>
      <w:r w:rsidRPr="0000288F">
        <w:rPr>
          <w:b/>
          <w:sz w:val="24"/>
          <w:szCs w:val="24"/>
        </w:rPr>
        <w:lastRenderedPageBreak/>
        <w:t>4.8</w:t>
      </w:r>
      <w:r w:rsidRPr="0000288F">
        <w:rPr>
          <w:b/>
          <w:sz w:val="24"/>
          <w:szCs w:val="24"/>
        </w:rPr>
        <w:tab/>
      </w:r>
      <w:r w:rsidR="00B51F53">
        <w:rPr>
          <w:b/>
          <w:sz w:val="24"/>
          <w:szCs w:val="24"/>
        </w:rPr>
        <w:t>Bivirkninger</w:t>
      </w:r>
    </w:p>
    <w:p w:rsidR="00B51F53" w:rsidRDefault="00B51F53" w:rsidP="00B51F53">
      <w:pPr>
        <w:ind w:left="851"/>
        <w:rPr>
          <w:noProof/>
          <w:sz w:val="24"/>
          <w:szCs w:val="24"/>
        </w:rPr>
      </w:pPr>
      <w:r>
        <w:rPr>
          <w:noProof/>
          <w:sz w:val="24"/>
          <w:szCs w:val="24"/>
        </w:rPr>
        <w:t>Listen er vist is systemorganklasser, foretrukne MedDRA termer og hyppighed i henhold til følgende hyppighedskategorier:</w:t>
      </w:r>
    </w:p>
    <w:p w:rsidR="00B51F53" w:rsidRDefault="00B51F53" w:rsidP="00B51F53">
      <w:pPr>
        <w:ind w:left="851"/>
        <w:rPr>
          <w:noProof/>
          <w:sz w:val="24"/>
          <w:szCs w:val="24"/>
        </w:rPr>
      </w:pPr>
      <w:r>
        <w:rPr>
          <w:noProof/>
          <w:sz w:val="24"/>
          <w:szCs w:val="24"/>
        </w:rPr>
        <w:t>meget almindelig (≥1/10), almindelig (≥1/100 til &lt;1/10), ikke almindelig (≥1/1.000 til &lt;1/100), sjælden (≥1/10.000 til &lt;1/1.000), meget sjælden (&lt;1/10.000), og ikke kendt (kan ikke estimeres ud fra forhåndenværende data).</w:t>
      </w:r>
    </w:p>
    <w:p w:rsidR="00B51F53" w:rsidRDefault="00B51F53" w:rsidP="00B51F53">
      <w:pPr>
        <w:ind w:left="851" w:hanging="851"/>
        <w:rPr>
          <w:noProof/>
          <w:sz w:val="24"/>
          <w:szCs w:val="24"/>
        </w:rPr>
      </w:pPr>
    </w:p>
    <w:p w:rsidR="00B51F53" w:rsidRDefault="00B51F53" w:rsidP="00B51F53">
      <w:pPr>
        <w:ind w:left="851"/>
        <w:rPr>
          <w:noProof/>
          <w:sz w:val="24"/>
          <w:szCs w:val="24"/>
          <w:u w:val="single"/>
        </w:rPr>
      </w:pPr>
      <w:r>
        <w:rPr>
          <w:noProof/>
          <w:sz w:val="24"/>
          <w:szCs w:val="24"/>
          <w:u w:val="single"/>
        </w:rPr>
        <w:t>Begge terapeutiske indikationer:</w:t>
      </w:r>
    </w:p>
    <w:p w:rsidR="00B51F53" w:rsidRDefault="00B51F53" w:rsidP="00B51F53">
      <w:pPr>
        <w:ind w:left="851" w:hanging="851"/>
        <w:rPr>
          <w:noProof/>
          <w:sz w:val="24"/>
          <w:szCs w:val="24"/>
        </w:rPr>
      </w:pPr>
    </w:p>
    <w:p w:rsidR="00B51F53" w:rsidRDefault="00B51F53" w:rsidP="00B51F53">
      <w:pPr>
        <w:ind w:left="851"/>
        <w:rPr>
          <w:noProof/>
          <w:sz w:val="24"/>
          <w:szCs w:val="24"/>
        </w:rPr>
      </w:pPr>
      <w:r>
        <w:rPr>
          <w:i/>
          <w:noProof/>
          <w:sz w:val="24"/>
          <w:szCs w:val="24"/>
        </w:rPr>
        <w:t>Immunsystemet</w:t>
      </w:r>
    </w:p>
    <w:p w:rsidR="00B51F53" w:rsidRDefault="00B51F53" w:rsidP="00B51F53">
      <w:pPr>
        <w:ind w:left="851"/>
        <w:rPr>
          <w:noProof/>
          <w:sz w:val="24"/>
          <w:szCs w:val="24"/>
        </w:rPr>
      </w:pPr>
      <w:r>
        <w:rPr>
          <w:noProof/>
          <w:sz w:val="24"/>
          <w:szCs w:val="24"/>
        </w:rPr>
        <w:t>Meget sjælden: Allergiske reaktioner, inkluderet anafylaktiske reaktioner og urticaria.</w:t>
      </w:r>
    </w:p>
    <w:p w:rsidR="00B51F53" w:rsidRDefault="00B51F53" w:rsidP="00B51F53">
      <w:pPr>
        <w:ind w:left="851" w:hanging="851"/>
        <w:rPr>
          <w:noProof/>
          <w:sz w:val="24"/>
          <w:szCs w:val="24"/>
        </w:rPr>
      </w:pPr>
    </w:p>
    <w:p w:rsidR="00B51F53" w:rsidRDefault="00B51F53" w:rsidP="00B51F53">
      <w:pPr>
        <w:ind w:left="851"/>
        <w:rPr>
          <w:i/>
          <w:noProof/>
          <w:sz w:val="24"/>
          <w:szCs w:val="24"/>
        </w:rPr>
      </w:pPr>
      <w:r>
        <w:rPr>
          <w:i/>
          <w:noProof/>
          <w:sz w:val="24"/>
          <w:szCs w:val="24"/>
        </w:rPr>
        <w:t>Psykiske forstyrrelser</w:t>
      </w:r>
    </w:p>
    <w:p w:rsidR="00B51F53" w:rsidRDefault="00B51F53" w:rsidP="00B51F53">
      <w:pPr>
        <w:ind w:left="851"/>
        <w:rPr>
          <w:noProof/>
          <w:sz w:val="24"/>
          <w:szCs w:val="24"/>
        </w:rPr>
      </w:pPr>
      <w:r>
        <w:rPr>
          <w:noProof/>
          <w:sz w:val="24"/>
          <w:szCs w:val="24"/>
        </w:rPr>
        <w:t>Sjælden: Søvnløshed, agitation og depression efter høje doser.</w:t>
      </w:r>
    </w:p>
    <w:p w:rsidR="00B51F53" w:rsidRDefault="00B51F53" w:rsidP="00B51F53">
      <w:pPr>
        <w:ind w:left="851" w:hanging="851"/>
        <w:rPr>
          <w:noProof/>
          <w:sz w:val="24"/>
          <w:szCs w:val="24"/>
        </w:rPr>
      </w:pPr>
    </w:p>
    <w:p w:rsidR="00B51F53" w:rsidRDefault="00B51F53" w:rsidP="00B51F53">
      <w:pPr>
        <w:ind w:left="851"/>
        <w:rPr>
          <w:noProof/>
          <w:sz w:val="24"/>
          <w:szCs w:val="24"/>
        </w:rPr>
      </w:pPr>
      <w:r>
        <w:rPr>
          <w:i/>
          <w:noProof/>
          <w:sz w:val="24"/>
          <w:szCs w:val="24"/>
        </w:rPr>
        <w:t>Nervesystemet</w:t>
      </w:r>
    </w:p>
    <w:p w:rsidR="00B51F53" w:rsidRDefault="00B51F53" w:rsidP="00B51F53">
      <w:pPr>
        <w:ind w:left="851"/>
        <w:rPr>
          <w:noProof/>
          <w:sz w:val="24"/>
          <w:szCs w:val="24"/>
        </w:rPr>
      </w:pPr>
      <w:r>
        <w:rPr>
          <w:noProof/>
          <w:sz w:val="24"/>
          <w:szCs w:val="24"/>
        </w:rPr>
        <w:t>Sjælden: Øget hyppighed af anfald hos epileptikere (se pkt. 4.5).</w:t>
      </w:r>
    </w:p>
    <w:p w:rsidR="00B51F53" w:rsidRDefault="00B51F53" w:rsidP="00B51F53">
      <w:pPr>
        <w:ind w:left="851" w:hanging="851"/>
        <w:rPr>
          <w:noProof/>
          <w:sz w:val="24"/>
          <w:szCs w:val="24"/>
        </w:rPr>
      </w:pPr>
    </w:p>
    <w:p w:rsidR="00B51F53" w:rsidRDefault="00B51F53" w:rsidP="00B51F53">
      <w:pPr>
        <w:ind w:left="851"/>
        <w:rPr>
          <w:i/>
          <w:noProof/>
          <w:sz w:val="24"/>
          <w:szCs w:val="24"/>
        </w:rPr>
      </w:pPr>
      <w:r>
        <w:rPr>
          <w:i/>
          <w:noProof/>
          <w:sz w:val="24"/>
          <w:szCs w:val="24"/>
        </w:rPr>
        <w:t>Mave-tarm-kanalen</w:t>
      </w:r>
    </w:p>
    <w:p w:rsidR="00B51F53" w:rsidRDefault="00B51F53" w:rsidP="00B51F53">
      <w:pPr>
        <w:ind w:left="851"/>
        <w:rPr>
          <w:noProof/>
          <w:sz w:val="24"/>
          <w:szCs w:val="24"/>
        </w:rPr>
      </w:pPr>
      <w:r>
        <w:rPr>
          <w:noProof/>
          <w:sz w:val="24"/>
          <w:szCs w:val="24"/>
        </w:rPr>
        <w:t>Sjælden: Gastrointestinale lidelser efter høje doser.</w:t>
      </w:r>
    </w:p>
    <w:p w:rsidR="00B51F53" w:rsidRDefault="00B51F53" w:rsidP="00B51F53">
      <w:pPr>
        <w:ind w:left="851" w:hanging="851"/>
        <w:rPr>
          <w:noProof/>
          <w:sz w:val="24"/>
          <w:szCs w:val="24"/>
        </w:rPr>
      </w:pPr>
    </w:p>
    <w:p w:rsidR="00B51F53" w:rsidRDefault="00B51F53" w:rsidP="00B51F53">
      <w:pPr>
        <w:ind w:left="851"/>
        <w:rPr>
          <w:i/>
          <w:noProof/>
          <w:sz w:val="24"/>
          <w:szCs w:val="24"/>
        </w:rPr>
      </w:pPr>
      <w:r>
        <w:rPr>
          <w:i/>
          <w:noProof/>
          <w:sz w:val="24"/>
          <w:szCs w:val="24"/>
        </w:rPr>
        <w:t xml:space="preserve">Almene symptomer og reaktioner på administrationsstedet </w:t>
      </w:r>
    </w:p>
    <w:p w:rsidR="00B51F53" w:rsidRDefault="00B51F53" w:rsidP="00B51F53">
      <w:pPr>
        <w:ind w:left="851"/>
        <w:rPr>
          <w:noProof/>
          <w:sz w:val="24"/>
          <w:szCs w:val="24"/>
        </w:rPr>
      </w:pPr>
      <w:r>
        <w:rPr>
          <w:noProof/>
          <w:sz w:val="24"/>
          <w:szCs w:val="24"/>
        </w:rPr>
        <w:t>Ikke almindelig: Feber har været observeret efter administration af calciumfolinat som opløsning for injektion.</w:t>
      </w:r>
    </w:p>
    <w:p w:rsidR="00B51F53" w:rsidRDefault="00B51F53" w:rsidP="00B51F53">
      <w:pPr>
        <w:ind w:left="851" w:hanging="851"/>
        <w:rPr>
          <w:noProof/>
          <w:sz w:val="24"/>
          <w:szCs w:val="24"/>
        </w:rPr>
      </w:pPr>
    </w:p>
    <w:p w:rsidR="00B51F53" w:rsidRDefault="00B51F53" w:rsidP="00B51F53">
      <w:pPr>
        <w:ind w:left="851"/>
        <w:rPr>
          <w:noProof/>
          <w:sz w:val="24"/>
          <w:szCs w:val="24"/>
          <w:u w:val="single"/>
        </w:rPr>
      </w:pPr>
      <w:r>
        <w:rPr>
          <w:noProof/>
          <w:sz w:val="24"/>
          <w:szCs w:val="24"/>
          <w:u w:val="single"/>
        </w:rPr>
        <w:t>Kombinationsbehandling med 5-fluorouracil:</w:t>
      </w:r>
    </w:p>
    <w:p w:rsidR="00B51F53" w:rsidRDefault="00B51F53" w:rsidP="00B51F53">
      <w:pPr>
        <w:ind w:left="851"/>
        <w:rPr>
          <w:noProof/>
          <w:sz w:val="24"/>
          <w:szCs w:val="24"/>
        </w:rPr>
      </w:pPr>
      <w:r>
        <w:rPr>
          <w:noProof/>
          <w:sz w:val="24"/>
          <w:szCs w:val="24"/>
        </w:rPr>
        <w:t xml:space="preserve">Sikkerhedsprofilen afhænger generelt af det anvendte 5-fluorouracilregime pga. den øgede 5-fluorouracil-inducerede toksicitet. </w:t>
      </w:r>
    </w:p>
    <w:p w:rsidR="00B51F53" w:rsidRDefault="00B51F53" w:rsidP="00B51F53">
      <w:pPr>
        <w:ind w:left="851" w:hanging="851"/>
        <w:rPr>
          <w:noProof/>
          <w:sz w:val="24"/>
          <w:szCs w:val="24"/>
        </w:rPr>
      </w:pPr>
    </w:p>
    <w:p w:rsidR="00B51F53" w:rsidRDefault="00B51F53" w:rsidP="00B51F53">
      <w:pPr>
        <w:ind w:left="851"/>
        <w:rPr>
          <w:i/>
          <w:noProof/>
          <w:sz w:val="24"/>
          <w:szCs w:val="24"/>
        </w:rPr>
      </w:pPr>
      <w:r>
        <w:rPr>
          <w:i/>
          <w:noProof/>
          <w:sz w:val="24"/>
          <w:szCs w:val="24"/>
        </w:rPr>
        <w:t>Metabolisme og ernæring</w:t>
      </w:r>
    </w:p>
    <w:p w:rsidR="00B51F53" w:rsidRDefault="00B51F53" w:rsidP="00B51F53">
      <w:pPr>
        <w:ind w:left="851"/>
        <w:rPr>
          <w:sz w:val="24"/>
          <w:szCs w:val="24"/>
        </w:rPr>
      </w:pPr>
      <w:r>
        <w:rPr>
          <w:sz w:val="24"/>
          <w:szCs w:val="24"/>
        </w:rPr>
        <w:t xml:space="preserve">Ikke kendt: </w:t>
      </w:r>
      <w:proofErr w:type="spellStart"/>
      <w:r>
        <w:rPr>
          <w:sz w:val="24"/>
          <w:szCs w:val="24"/>
        </w:rPr>
        <w:t>Hyperammoniæmi</w:t>
      </w:r>
      <w:proofErr w:type="spellEnd"/>
      <w:r>
        <w:rPr>
          <w:sz w:val="24"/>
          <w:szCs w:val="24"/>
        </w:rPr>
        <w:t>.</w:t>
      </w:r>
    </w:p>
    <w:p w:rsidR="00B51F53" w:rsidRDefault="00B51F53" w:rsidP="00B51F53">
      <w:pPr>
        <w:ind w:left="851" w:hanging="851"/>
        <w:rPr>
          <w:noProof/>
          <w:sz w:val="24"/>
          <w:szCs w:val="24"/>
        </w:rPr>
      </w:pPr>
    </w:p>
    <w:p w:rsidR="00B51F53" w:rsidRDefault="00B51F53" w:rsidP="00B51F53">
      <w:pPr>
        <w:ind w:left="851"/>
        <w:rPr>
          <w:i/>
          <w:sz w:val="24"/>
          <w:szCs w:val="24"/>
        </w:rPr>
      </w:pPr>
      <w:r>
        <w:rPr>
          <w:i/>
          <w:sz w:val="24"/>
          <w:szCs w:val="24"/>
        </w:rPr>
        <w:t>Blod og lymfesystem</w:t>
      </w:r>
    </w:p>
    <w:p w:rsidR="00B51F53" w:rsidRDefault="00B51F53" w:rsidP="00B51F53">
      <w:pPr>
        <w:ind w:left="851"/>
        <w:rPr>
          <w:noProof/>
          <w:sz w:val="24"/>
          <w:szCs w:val="24"/>
        </w:rPr>
      </w:pPr>
      <w:r>
        <w:rPr>
          <w:sz w:val="24"/>
          <w:szCs w:val="24"/>
        </w:rPr>
        <w:t>Meget almindelig: Knoglemarvsinsufficiens, herunder fatale tilfælde.</w:t>
      </w:r>
    </w:p>
    <w:p w:rsidR="00B51F53" w:rsidRDefault="00B51F53" w:rsidP="00B51F53">
      <w:pPr>
        <w:ind w:left="851" w:hanging="851"/>
        <w:rPr>
          <w:noProof/>
          <w:sz w:val="24"/>
          <w:szCs w:val="24"/>
        </w:rPr>
      </w:pPr>
    </w:p>
    <w:p w:rsidR="00B51F53" w:rsidRDefault="00B51F53" w:rsidP="00B51F53">
      <w:pPr>
        <w:ind w:left="851"/>
        <w:rPr>
          <w:i/>
          <w:noProof/>
          <w:sz w:val="24"/>
          <w:szCs w:val="24"/>
        </w:rPr>
      </w:pPr>
      <w:r>
        <w:rPr>
          <w:i/>
          <w:noProof/>
          <w:sz w:val="24"/>
          <w:szCs w:val="24"/>
        </w:rPr>
        <w:t>Almene symptomer og reaktioner på administrationsstedet</w:t>
      </w:r>
    </w:p>
    <w:p w:rsidR="00B51F53" w:rsidRDefault="00B51F53" w:rsidP="00B51F53">
      <w:pPr>
        <w:ind w:left="851"/>
        <w:rPr>
          <w:noProof/>
          <w:sz w:val="24"/>
          <w:szCs w:val="24"/>
        </w:rPr>
      </w:pPr>
      <w:r>
        <w:rPr>
          <w:noProof/>
          <w:sz w:val="24"/>
          <w:szCs w:val="24"/>
        </w:rPr>
        <w:t>Meget almindelig: Mucositis, herunder stomatitis og chelitis. Der har været tilfælde af fataliteter som følge af mucositis.</w:t>
      </w:r>
    </w:p>
    <w:p w:rsidR="00B51F53" w:rsidRDefault="00B51F53" w:rsidP="00B51F53">
      <w:pPr>
        <w:ind w:left="851" w:hanging="851"/>
        <w:rPr>
          <w:noProof/>
          <w:sz w:val="24"/>
          <w:szCs w:val="24"/>
        </w:rPr>
      </w:pPr>
    </w:p>
    <w:p w:rsidR="00B51F53" w:rsidRDefault="00B51F53" w:rsidP="00B51F53">
      <w:pPr>
        <w:ind w:left="851" w:hanging="851"/>
        <w:rPr>
          <w:i/>
          <w:noProof/>
          <w:sz w:val="24"/>
          <w:szCs w:val="24"/>
        </w:rPr>
      </w:pPr>
      <w:r>
        <w:rPr>
          <w:i/>
          <w:noProof/>
          <w:sz w:val="24"/>
          <w:szCs w:val="24"/>
        </w:rPr>
        <w:tab/>
        <w:t>Hud og subkutane væv:</w:t>
      </w:r>
    </w:p>
    <w:p w:rsidR="00B51F53" w:rsidRDefault="00B51F53" w:rsidP="00B51F53">
      <w:pPr>
        <w:ind w:left="851" w:hanging="851"/>
        <w:rPr>
          <w:noProof/>
          <w:sz w:val="24"/>
          <w:szCs w:val="24"/>
        </w:rPr>
      </w:pPr>
      <w:r>
        <w:rPr>
          <w:noProof/>
          <w:sz w:val="24"/>
          <w:szCs w:val="24"/>
        </w:rPr>
        <w:tab/>
        <w:t>Almindelig: Palmar-Plantar erythrodusæstesi.</w:t>
      </w:r>
    </w:p>
    <w:p w:rsidR="00B51F53" w:rsidRDefault="00B51F53" w:rsidP="00B51F53">
      <w:pPr>
        <w:ind w:left="851" w:hanging="851"/>
        <w:rPr>
          <w:noProof/>
          <w:sz w:val="24"/>
          <w:szCs w:val="24"/>
        </w:rPr>
      </w:pPr>
      <w:r>
        <w:rPr>
          <w:noProof/>
          <w:sz w:val="24"/>
          <w:szCs w:val="24"/>
        </w:rPr>
        <w:tab/>
      </w:r>
    </w:p>
    <w:p w:rsidR="00B51F53" w:rsidRDefault="00B51F53" w:rsidP="00B51F53">
      <w:pPr>
        <w:ind w:left="851"/>
        <w:rPr>
          <w:i/>
          <w:noProof/>
          <w:sz w:val="24"/>
          <w:szCs w:val="24"/>
          <w:u w:val="single"/>
        </w:rPr>
      </w:pPr>
      <w:r>
        <w:rPr>
          <w:i/>
          <w:noProof/>
          <w:sz w:val="24"/>
          <w:szCs w:val="24"/>
          <w:u w:val="single"/>
        </w:rPr>
        <w:t>Månedligt regime:</w:t>
      </w:r>
    </w:p>
    <w:p w:rsidR="00B51F53" w:rsidRDefault="00B51F53" w:rsidP="00B51F53">
      <w:pPr>
        <w:ind w:left="851"/>
        <w:rPr>
          <w:i/>
          <w:noProof/>
          <w:sz w:val="24"/>
          <w:szCs w:val="24"/>
        </w:rPr>
      </w:pPr>
      <w:r>
        <w:rPr>
          <w:i/>
          <w:noProof/>
          <w:sz w:val="24"/>
          <w:szCs w:val="24"/>
        </w:rPr>
        <w:t>Mave-tarm-kanalen</w:t>
      </w:r>
    </w:p>
    <w:p w:rsidR="00B51F53" w:rsidRDefault="00B51F53" w:rsidP="00B51F53">
      <w:pPr>
        <w:ind w:left="851"/>
        <w:rPr>
          <w:noProof/>
          <w:sz w:val="24"/>
          <w:szCs w:val="24"/>
        </w:rPr>
      </w:pPr>
      <w:r>
        <w:rPr>
          <w:noProof/>
          <w:sz w:val="24"/>
          <w:szCs w:val="24"/>
        </w:rPr>
        <w:t>Meget almindelig: Opkastning og kvalme.</w:t>
      </w:r>
    </w:p>
    <w:p w:rsidR="00DD5A90" w:rsidRPr="0000288F" w:rsidRDefault="00DD5A90" w:rsidP="00B51F53">
      <w:pPr>
        <w:ind w:left="851" w:hanging="851"/>
        <w:rPr>
          <w:noProof/>
          <w:sz w:val="24"/>
          <w:szCs w:val="24"/>
        </w:rPr>
      </w:pPr>
    </w:p>
    <w:p w:rsidR="00DD5A90" w:rsidRPr="0000288F" w:rsidRDefault="00DD5A90" w:rsidP="00DD5A90">
      <w:pPr>
        <w:ind w:left="851"/>
        <w:rPr>
          <w:noProof/>
          <w:sz w:val="24"/>
          <w:szCs w:val="24"/>
        </w:rPr>
      </w:pPr>
      <w:r w:rsidRPr="0000288F">
        <w:rPr>
          <w:noProof/>
          <w:sz w:val="24"/>
          <w:szCs w:val="24"/>
        </w:rPr>
        <w:t>Ingen øgning af andre 5-fluorouracil inducerede toksiciteter (f. eks. neurotoksicitet).</w:t>
      </w:r>
    </w:p>
    <w:p w:rsidR="00DD5A90" w:rsidRPr="0000288F" w:rsidRDefault="00DD5A90" w:rsidP="00DD5A90">
      <w:pPr>
        <w:ind w:left="851" w:hanging="851"/>
        <w:rPr>
          <w:noProof/>
          <w:sz w:val="24"/>
          <w:szCs w:val="24"/>
        </w:rPr>
      </w:pPr>
    </w:p>
    <w:p w:rsidR="00B51F53" w:rsidRDefault="00B51F53" w:rsidP="00B51F53">
      <w:pPr>
        <w:keepNext/>
        <w:ind w:left="851"/>
        <w:rPr>
          <w:i/>
          <w:noProof/>
          <w:sz w:val="24"/>
          <w:szCs w:val="24"/>
          <w:u w:val="single"/>
        </w:rPr>
      </w:pPr>
      <w:r>
        <w:rPr>
          <w:i/>
          <w:noProof/>
          <w:sz w:val="24"/>
          <w:szCs w:val="24"/>
          <w:u w:val="single"/>
        </w:rPr>
        <w:lastRenderedPageBreak/>
        <w:t>Ugentligt regime:</w:t>
      </w:r>
    </w:p>
    <w:p w:rsidR="00B51F53" w:rsidRDefault="00B51F53" w:rsidP="00B51F53">
      <w:pPr>
        <w:keepNext/>
        <w:ind w:left="851"/>
        <w:rPr>
          <w:i/>
          <w:noProof/>
          <w:sz w:val="24"/>
          <w:szCs w:val="24"/>
        </w:rPr>
      </w:pPr>
      <w:r>
        <w:rPr>
          <w:i/>
          <w:noProof/>
          <w:sz w:val="24"/>
          <w:szCs w:val="24"/>
        </w:rPr>
        <w:t>Mave-tarm-kanalen</w:t>
      </w:r>
    </w:p>
    <w:p w:rsidR="00B51F53" w:rsidRDefault="00B51F53" w:rsidP="00B51F53">
      <w:pPr>
        <w:ind w:left="851"/>
        <w:rPr>
          <w:noProof/>
          <w:sz w:val="24"/>
          <w:szCs w:val="24"/>
        </w:rPr>
      </w:pPr>
      <w:r>
        <w:rPr>
          <w:noProof/>
          <w:sz w:val="24"/>
          <w:szCs w:val="24"/>
        </w:rPr>
        <w:t>Meget almindelig: Diarré med højere grad af toksicitet, og dehydrering med sygehusindlæggelse for behandling og endda død til følge.</w:t>
      </w:r>
    </w:p>
    <w:p w:rsidR="00B51F53" w:rsidRDefault="00B51F53" w:rsidP="00B51F53">
      <w:pPr>
        <w:ind w:left="851" w:hanging="851"/>
        <w:rPr>
          <w:b/>
          <w:i/>
          <w:noProof/>
          <w:sz w:val="24"/>
          <w:szCs w:val="24"/>
        </w:rPr>
      </w:pPr>
    </w:p>
    <w:p w:rsidR="00B51F53" w:rsidRDefault="00B51F53" w:rsidP="00B51F53">
      <w:pPr>
        <w:autoSpaceDE w:val="0"/>
        <w:autoSpaceDN w:val="0"/>
        <w:ind w:left="851"/>
        <w:rPr>
          <w:sz w:val="24"/>
          <w:szCs w:val="24"/>
          <w:u w:val="single"/>
        </w:rPr>
      </w:pPr>
      <w:r>
        <w:rPr>
          <w:sz w:val="24"/>
          <w:szCs w:val="24"/>
          <w:u w:val="single"/>
        </w:rPr>
        <w:t>Indberetning af formodede bivirkninger</w:t>
      </w:r>
    </w:p>
    <w:p w:rsidR="00B51F53" w:rsidRDefault="00B51F53" w:rsidP="00B51F53">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84BEA">
        <w:rPr>
          <w:sz w:val="24"/>
          <w:szCs w:val="24"/>
        </w:rPr>
        <w:t>S</w:t>
      </w:r>
      <w:r>
        <w:rPr>
          <w:sz w:val="24"/>
          <w:szCs w:val="24"/>
        </w:rPr>
        <w:t>undhedspers</w:t>
      </w:r>
      <w:r w:rsidR="00E41D0F">
        <w:rPr>
          <w:sz w:val="24"/>
          <w:szCs w:val="24"/>
        </w:rPr>
        <w:t>oner</w:t>
      </w:r>
      <w:r>
        <w:rPr>
          <w:sz w:val="24"/>
          <w:szCs w:val="24"/>
        </w:rPr>
        <w:t xml:space="preserve"> anmodes om at indberette alle formodede bivirkninger via:</w:t>
      </w:r>
    </w:p>
    <w:p w:rsidR="00B51F53" w:rsidRDefault="00B51F53" w:rsidP="00B51F53">
      <w:pPr>
        <w:tabs>
          <w:tab w:val="left" w:pos="2440"/>
        </w:tabs>
        <w:ind w:left="851"/>
        <w:rPr>
          <w:sz w:val="24"/>
          <w:szCs w:val="24"/>
        </w:rPr>
      </w:pPr>
    </w:p>
    <w:p w:rsidR="00B51F53" w:rsidRDefault="00B51F53" w:rsidP="00B51F53">
      <w:pPr>
        <w:ind w:left="851"/>
        <w:rPr>
          <w:sz w:val="24"/>
          <w:szCs w:val="24"/>
        </w:rPr>
      </w:pPr>
      <w:r>
        <w:rPr>
          <w:sz w:val="24"/>
          <w:szCs w:val="24"/>
        </w:rPr>
        <w:t>Lægemiddelstyrelsen</w:t>
      </w:r>
    </w:p>
    <w:p w:rsidR="00B51F53" w:rsidRDefault="00B51F53" w:rsidP="00B51F53">
      <w:pPr>
        <w:ind w:left="851"/>
        <w:rPr>
          <w:sz w:val="24"/>
          <w:szCs w:val="24"/>
        </w:rPr>
      </w:pPr>
      <w:r>
        <w:rPr>
          <w:sz w:val="24"/>
          <w:szCs w:val="24"/>
        </w:rPr>
        <w:t>Axel Heides Gade 1</w:t>
      </w:r>
    </w:p>
    <w:p w:rsidR="00B51F53" w:rsidRDefault="00B51F53" w:rsidP="00B51F53">
      <w:pPr>
        <w:ind w:left="851"/>
        <w:rPr>
          <w:sz w:val="24"/>
          <w:szCs w:val="24"/>
        </w:rPr>
      </w:pPr>
      <w:r>
        <w:rPr>
          <w:sz w:val="24"/>
          <w:szCs w:val="24"/>
        </w:rPr>
        <w:t>DK-2300 København S</w:t>
      </w:r>
    </w:p>
    <w:p w:rsidR="00B51F53" w:rsidRPr="00C84BEA" w:rsidRDefault="00B51F53" w:rsidP="00B51F53">
      <w:pPr>
        <w:ind w:left="851"/>
        <w:rPr>
          <w:sz w:val="24"/>
          <w:szCs w:val="24"/>
        </w:rPr>
      </w:pPr>
      <w:r w:rsidRPr="00C84BEA">
        <w:rPr>
          <w:sz w:val="24"/>
          <w:szCs w:val="24"/>
        </w:rPr>
        <w:t xml:space="preserve">Websted: </w:t>
      </w:r>
      <w:hyperlink r:id="rId8" w:history="1">
        <w:r w:rsidRPr="00C84BEA">
          <w:rPr>
            <w:rStyle w:val="Hyperlink"/>
            <w:sz w:val="24"/>
            <w:szCs w:val="24"/>
          </w:rPr>
          <w:t>www.meldenbivirkning.dk</w:t>
        </w:r>
      </w:hyperlink>
    </w:p>
    <w:p w:rsidR="00DD5A90" w:rsidRPr="00C84BEA" w:rsidRDefault="00DD5A90" w:rsidP="00DD5A90">
      <w:pPr>
        <w:pStyle w:val="Sidehoved"/>
        <w:tabs>
          <w:tab w:val="clear" w:pos="4819"/>
          <w:tab w:val="clear" w:pos="9638"/>
        </w:tabs>
        <w:ind w:left="851" w:hanging="851"/>
        <w:rPr>
          <w:szCs w:val="24"/>
        </w:rPr>
      </w:pPr>
    </w:p>
    <w:p w:rsidR="00DD5A90" w:rsidRPr="0000288F" w:rsidRDefault="00DD5A90" w:rsidP="00DD5A90">
      <w:pPr>
        <w:ind w:left="851" w:hanging="851"/>
        <w:rPr>
          <w:b/>
          <w:sz w:val="24"/>
          <w:szCs w:val="24"/>
        </w:rPr>
      </w:pPr>
      <w:r w:rsidRPr="0000288F">
        <w:rPr>
          <w:b/>
          <w:sz w:val="24"/>
          <w:szCs w:val="24"/>
        </w:rPr>
        <w:t>4.9</w:t>
      </w:r>
      <w:r w:rsidRPr="0000288F">
        <w:rPr>
          <w:b/>
          <w:sz w:val="24"/>
          <w:szCs w:val="24"/>
        </w:rPr>
        <w:tab/>
        <w:t>Overdosering</w:t>
      </w:r>
    </w:p>
    <w:p w:rsidR="00DD5A90" w:rsidRPr="0000288F" w:rsidRDefault="00DD5A90" w:rsidP="00DD5A90">
      <w:pPr>
        <w:ind w:left="851"/>
        <w:rPr>
          <w:sz w:val="24"/>
          <w:szCs w:val="24"/>
        </w:rPr>
      </w:pPr>
      <w:r w:rsidRPr="0000288F">
        <w:rPr>
          <w:sz w:val="24"/>
          <w:szCs w:val="24"/>
        </w:rPr>
        <w:t xml:space="preserve">Der er ikke indberettet følger hos patienter, som har modtaget signifikant mere </w:t>
      </w:r>
      <w:proofErr w:type="spellStart"/>
      <w:r w:rsidRPr="0000288F">
        <w:rPr>
          <w:sz w:val="24"/>
          <w:szCs w:val="24"/>
        </w:rPr>
        <w:t>calciumfolinat</w:t>
      </w:r>
      <w:proofErr w:type="spellEnd"/>
      <w:r w:rsidRPr="0000288F">
        <w:rPr>
          <w:sz w:val="24"/>
          <w:szCs w:val="24"/>
        </w:rPr>
        <w:t xml:space="preserve"> end den anbefalede dosis. Imidlertid kan usædvanlig</w:t>
      </w:r>
      <w:r>
        <w:rPr>
          <w:sz w:val="24"/>
          <w:szCs w:val="24"/>
        </w:rPr>
        <w:t>t</w:t>
      </w:r>
      <w:r w:rsidRPr="0000288F">
        <w:rPr>
          <w:sz w:val="24"/>
          <w:szCs w:val="24"/>
        </w:rPr>
        <w:t xml:space="preserve"> store mængder af </w:t>
      </w:r>
      <w:proofErr w:type="spellStart"/>
      <w:r w:rsidRPr="0000288F">
        <w:rPr>
          <w:sz w:val="24"/>
          <w:szCs w:val="24"/>
        </w:rPr>
        <w:t>calciumfolinat</w:t>
      </w:r>
      <w:proofErr w:type="spellEnd"/>
      <w:r w:rsidRPr="0000288F">
        <w:rPr>
          <w:sz w:val="24"/>
          <w:szCs w:val="24"/>
        </w:rPr>
        <w:t xml:space="preserve"> ophæve den kemoterapeutiske effekt af </w:t>
      </w:r>
      <w:proofErr w:type="spellStart"/>
      <w:r w:rsidRPr="0000288F">
        <w:rPr>
          <w:sz w:val="24"/>
          <w:szCs w:val="24"/>
        </w:rPr>
        <w:t>folinsyreantagonist</w:t>
      </w:r>
      <w:proofErr w:type="spellEnd"/>
      <w:r w:rsidRPr="0000288F">
        <w:rPr>
          <w:sz w:val="24"/>
          <w:szCs w:val="24"/>
        </w:rPr>
        <w: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Skulle der forekomme en overdosering ved kombination af 5-fluoruracil og </w:t>
      </w:r>
      <w:proofErr w:type="spellStart"/>
      <w:r w:rsidRPr="0000288F">
        <w:rPr>
          <w:sz w:val="24"/>
          <w:szCs w:val="24"/>
        </w:rPr>
        <w:t>calciumfolinat</w:t>
      </w:r>
      <w:proofErr w:type="spellEnd"/>
      <w:r w:rsidRPr="0000288F">
        <w:rPr>
          <w:sz w:val="24"/>
          <w:szCs w:val="24"/>
        </w:rPr>
        <w:t>, følges instruktionerne for overdosering af 5-fluoruracil.</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4.10</w:t>
      </w:r>
      <w:r w:rsidRPr="0000288F">
        <w:rPr>
          <w:b/>
          <w:sz w:val="24"/>
          <w:szCs w:val="24"/>
        </w:rPr>
        <w:tab/>
        <w:t>Udlevering</w:t>
      </w:r>
    </w:p>
    <w:p w:rsidR="00DD5A90" w:rsidRPr="0000288F" w:rsidRDefault="00DD5A90" w:rsidP="00DD5A90">
      <w:pPr>
        <w:ind w:left="851"/>
        <w:rPr>
          <w:sz w:val="24"/>
          <w:szCs w:val="24"/>
        </w:rPr>
      </w:pPr>
      <w:r w:rsidRPr="0000288F">
        <w:rPr>
          <w:sz w:val="24"/>
          <w:szCs w:val="24"/>
        </w:rPr>
        <w:t>B</w:t>
      </w:r>
    </w:p>
    <w:p w:rsidR="00DD5A90" w:rsidRPr="0000288F" w:rsidRDefault="00DD5A90" w:rsidP="00DD5A90">
      <w:pPr>
        <w:ind w:left="851" w:hanging="851"/>
        <w:rPr>
          <w:sz w:val="24"/>
          <w:szCs w:val="24"/>
        </w:rPr>
      </w:pP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5.</w:t>
      </w:r>
      <w:r w:rsidRPr="0000288F">
        <w:rPr>
          <w:b/>
          <w:sz w:val="24"/>
          <w:szCs w:val="24"/>
        </w:rPr>
        <w:tab/>
        <w:t>FARMAKOLOGISKE EGENSKABER</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5.0</w:t>
      </w:r>
      <w:r w:rsidRPr="0000288F">
        <w:rPr>
          <w:b/>
          <w:sz w:val="24"/>
          <w:szCs w:val="24"/>
        </w:rPr>
        <w:tab/>
        <w:t>Terapeutisk klassifikation</w:t>
      </w:r>
    </w:p>
    <w:p w:rsidR="00DD5A90" w:rsidRPr="0000288F" w:rsidRDefault="00DD5A90" w:rsidP="00DD5A90">
      <w:pPr>
        <w:suppressAutoHyphens/>
        <w:ind w:left="851"/>
        <w:rPr>
          <w:sz w:val="24"/>
          <w:szCs w:val="24"/>
        </w:rPr>
      </w:pPr>
      <w:r w:rsidRPr="00377351">
        <w:rPr>
          <w:sz w:val="24"/>
          <w:szCs w:val="24"/>
        </w:rPr>
        <w:t xml:space="preserve">ATC-kode: V 03 AF 03. </w:t>
      </w:r>
      <w:r w:rsidRPr="0000288F">
        <w:rPr>
          <w:sz w:val="24"/>
          <w:szCs w:val="24"/>
        </w:rPr>
        <w:t xml:space="preserve">Afgiftningsmidler ved </w:t>
      </w:r>
      <w:proofErr w:type="spellStart"/>
      <w:r w:rsidRPr="0000288F">
        <w:rPr>
          <w:sz w:val="24"/>
          <w:szCs w:val="24"/>
        </w:rPr>
        <w:t>cytostatikabehandling</w:t>
      </w:r>
      <w:proofErr w:type="spellEnd"/>
      <w:r w:rsidRPr="0000288F">
        <w:rPr>
          <w:sz w:val="24"/>
          <w:szCs w:val="24"/>
        </w:rPr>
        <w:t>.</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5.1</w:t>
      </w:r>
      <w:r w:rsidRPr="0000288F">
        <w:rPr>
          <w:b/>
          <w:sz w:val="24"/>
          <w:szCs w:val="24"/>
        </w:rPr>
        <w:tab/>
      </w:r>
      <w:proofErr w:type="spellStart"/>
      <w:r w:rsidRPr="0000288F">
        <w:rPr>
          <w:b/>
          <w:sz w:val="24"/>
          <w:szCs w:val="24"/>
        </w:rPr>
        <w:t>Farmakodynamiske</w:t>
      </w:r>
      <w:proofErr w:type="spellEnd"/>
      <w:r w:rsidRPr="0000288F">
        <w:rPr>
          <w:b/>
          <w:sz w:val="24"/>
          <w:szCs w:val="24"/>
        </w:rPr>
        <w:t xml:space="preserve"> egenskaber</w:t>
      </w:r>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er et calciumsalt af 5-formyl </w:t>
      </w:r>
      <w:proofErr w:type="spellStart"/>
      <w:r w:rsidRPr="0000288F">
        <w:rPr>
          <w:sz w:val="24"/>
          <w:szCs w:val="24"/>
        </w:rPr>
        <w:t>tetrahydrofolinsyre</w:t>
      </w:r>
      <w:proofErr w:type="spellEnd"/>
      <w:r w:rsidRPr="0000288F">
        <w:rPr>
          <w:sz w:val="24"/>
          <w:szCs w:val="24"/>
        </w:rPr>
        <w:t xml:space="preserve">. Det er en aktiv metabolit af </w:t>
      </w:r>
      <w:proofErr w:type="spellStart"/>
      <w:r w:rsidRPr="0000288F">
        <w:rPr>
          <w:sz w:val="24"/>
          <w:szCs w:val="24"/>
        </w:rPr>
        <w:t>folininsyre</w:t>
      </w:r>
      <w:proofErr w:type="spellEnd"/>
      <w:r w:rsidRPr="0000288F">
        <w:rPr>
          <w:sz w:val="24"/>
          <w:szCs w:val="24"/>
        </w:rPr>
        <w:t xml:space="preserve"> og et essentiel </w:t>
      </w:r>
      <w:proofErr w:type="spellStart"/>
      <w:r w:rsidRPr="0000288F">
        <w:rPr>
          <w:sz w:val="24"/>
          <w:szCs w:val="24"/>
        </w:rPr>
        <w:t>co</w:t>
      </w:r>
      <w:proofErr w:type="spellEnd"/>
      <w:r w:rsidRPr="0000288F">
        <w:rPr>
          <w:sz w:val="24"/>
          <w:szCs w:val="24"/>
        </w:rPr>
        <w:t xml:space="preserve">-enzym for nukleinsyresyntese i </w:t>
      </w:r>
      <w:proofErr w:type="spellStart"/>
      <w:r w:rsidRPr="0000288F">
        <w:rPr>
          <w:sz w:val="24"/>
          <w:szCs w:val="24"/>
        </w:rPr>
        <w:t>cytotoksisk</w:t>
      </w:r>
      <w:proofErr w:type="spellEnd"/>
      <w:r w:rsidRPr="0000288F">
        <w:rPr>
          <w:sz w:val="24"/>
          <w:szCs w:val="24"/>
        </w:rPr>
        <w:t xml:space="preserve"> behandling.</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anvendes ofte for at reducere toksiciteten og modvirke effekten af </w:t>
      </w:r>
      <w:proofErr w:type="spellStart"/>
      <w:r w:rsidRPr="0000288F">
        <w:rPr>
          <w:sz w:val="24"/>
          <w:szCs w:val="24"/>
        </w:rPr>
        <w:t>folat</w:t>
      </w:r>
      <w:proofErr w:type="spellEnd"/>
      <w:r w:rsidRPr="0000288F">
        <w:rPr>
          <w:sz w:val="24"/>
          <w:szCs w:val="24"/>
        </w:rPr>
        <w:t xml:space="preserve">-antagonister så som </w:t>
      </w:r>
      <w:proofErr w:type="spellStart"/>
      <w:r w:rsidRPr="0000288F">
        <w:rPr>
          <w:sz w:val="24"/>
          <w:szCs w:val="24"/>
        </w:rPr>
        <w:t>methotrexat</w:t>
      </w:r>
      <w:proofErr w:type="spellEnd"/>
      <w:r w:rsidRPr="0000288F">
        <w:rPr>
          <w:sz w:val="24"/>
          <w:szCs w:val="24"/>
        </w:rPr>
        <w:t xml:space="preserve">. </w:t>
      </w:r>
      <w:proofErr w:type="spellStart"/>
      <w:r w:rsidRPr="0000288F">
        <w:rPr>
          <w:sz w:val="24"/>
          <w:szCs w:val="24"/>
        </w:rPr>
        <w:t>Calciumfolinat</w:t>
      </w:r>
      <w:proofErr w:type="spellEnd"/>
      <w:r w:rsidRPr="0000288F">
        <w:rPr>
          <w:sz w:val="24"/>
          <w:szCs w:val="24"/>
        </w:rPr>
        <w:t xml:space="preserve"> og </w:t>
      </w:r>
      <w:proofErr w:type="spellStart"/>
      <w:r w:rsidRPr="0000288F">
        <w:rPr>
          <w:sz w:val="24"/>
          <w:szCs w:val="24"/>
        </w:rPr>
        <w:t>folat</w:t>
      </w:r>
      <w:proofErr w:type="spellEnd"/>
      <w:r w:rsidRPr="0000288F">
        <w:rPr>
          <w:sz w:val="24"/>
          <w:szCs w:val="24"/>
        </w:rPr>
        <w:t xml:space="preserve">-antagonister bruger samme membrantransporter og konkurrerer om transport ind i cellerne, sådan at </w:t>
      </w:r>
      <w:proofErr w:type="spellStart"/>
      <w:r w:rsidRPr="0000288F">
        <w:rPr>
          <w:sz w:val="24"/>
          <w:szCs w:val="24"/>
        </w:rPr>
        <w:t>folatantagonist</w:t>
      </w:r>
      <w:proofErr w:type="spellEnd"/>
      <w:r w:rsidRPr="0000288F">
        <w:rPr>
          <w:sz w:val="24"/>
          <w:szCs w:val="24"/>
        </w:rPr>
        <w:t xml:space="preserve"> </w:t>
      </w:r>
      <w:proofErr w:type="spellStart"/>
      <w:r w:rsidRPr="0000288F">
        <w:rPr>
          <w:sz w:val="24"/>
          <w:szCs w:val="24"/>
        </w:rPr>
        <w:t>efflux</w:t>
      </w:r>
      <w:proofErr w:type="spellEnd"/>
      <w:r w:rsidRPr="0000288F">
        <w:rPr>
          <w:sz w:val="24"/>
          <w:szCs w:val="24"/>
        </w:rPr>
        <w:t xml:space="preserve"> stimuleres. </w:t>
      </w:r>
      <w:proofErr w:type="spellStart"/>
      <w:r w:rsidRPr="0000288F">
        <w:rPr>
          <w:sz w:val="24"/>
          <w:szCs w:val="24"/>
        </w:rPr>
        <w:t>Calciumfolinat</w:t>
      </w:r>
      <w:proofErr w:type="spellEnd"/>
      <w:r w:rsidRPr="0000288F">
        <w:rPr>
          <w:sz w:val="24"/>
          <w:szCs w:val="24"/>
        </w:rPr>
        <w:t xml:space="preserve"> beskytter også cellerne fra effekterne af </w:t>
      </w:r>
      <w:proofErr w:type="spellStart"/>
      <w:r w:rsidRPr="0000288F">
        <w:rPr>
          <w:sz w:val="24"/>
          <w:szCs w:val="24"/>
        </w:rPr>
        <w:t>folat</w:t>
      </w:r>
      <w:proofErr w:type="spellEnd"/>
      <w:r w:rsidRPr="0000288F">
        <w:rPr>
          <w:sz w:val="24"/>
          <w:szCs w:val="24"/>
        </w:rPr>
        <w:t xml:space="preserve">-antagonister ved at genopbygge det mindskede </w:t>
      </w:r>
      <w:proofErr w:type="spellStart"/>
      <w:r w:rsidRPr="0000288F">
        <w:rPr>
          <w:sz w:val="24"/>
          <w:szCs w:val="24"/>
        </w:rPr>
        <w:t>folatlager</w:t>
      </w:r>
      <w:proofErr w:type="spellEnd"/>
      <w:r w:rsidRPr="0000288F">
        <w:rPr>
          <w:sz w:val="24"/>
          <w:szCs w:val="24"/>
        </w:rPr>
        <w:t xml:space="preserve">. </w:t>
      </w:r>
      <w:proofErr w:type="spellStart"/>
      <w:r w:rsidRPr="0000288F">
        <w:rPr>
          <w:sz w:val="24"/>
          <w:szCs w:val="24"/>
        </w:rPr>
        <w:t>Calciumfolinat</w:t>
      </w:r>
      <w:proofErr w:type="spellEnd"/>
      <w:r w:rsidRPr="0000288F">
        <w:rPr>
          <w:sz w:val="24"/>
          <w:szCs w:val="24"/>
        </w:rPr>
        <w:t xml:space="preserve"> fungerer som en </w:t>
      </w:r>
      <w:proofErr w:type="spellStart"/>
      <w:r w:rsidRPr="0000288F">
        <w:rPr>
          <w:sz w:val="24"/>
          <w:szCs w:val="24"/>
        </w:rPr>
        <w:t>pre</w:t>
      </w:r>
      <w:proofErr w:type="spellEnd"/>
      <w:r w:rsidRPr="0000288F">
        <w:rPr>
          <w:sz w:val="24"/>
          <w:szCs w:val="24"/>
        </w:rPr>
        <w:t xml:space="preserve">-reduceret kilde for H4-folat; det kan derfor gå uden om </w:t>
      </w:r>
      <w:proofErr w:type="spellStart"/>
      <w:r w:rsidRPr="0000288F">
        <w:rPr>
          <w:sz w:val="24"/>
          <w:szCs w:val="24"/>
        </w:rPr>
        <w:t>folat</w:t>
      </w:r>
      <w:proofErr w:type="spellEnd"/>
      <w:r w:rsidRPr="0000288F">
        <w:rPr>
          <w:sz w:val="24"/>
          <w:szCs w:val="24"/>
        </w:rPr>
        <w:t xml:space="preserve">-antagonistblokaderne, og være med til at fungere som en kilde for forskellige </w:t>
      </w:r>
      <w:proofErr w:type="spellStart"/>
      <w:r w:rsidRPr="0000288F">
        <w:rPr>
          <w:sz w:val="24"/>
          <w:szCs w:val="24"/>
        </w:rPr>
        <w:t>co</w:t>
      </w:r>
      <w:proofErr w:type="spellEnd"/>
      <w:r w:rsidRPr="0000288F">
        <w:rPr>
          <w:sz w:val="24"/>
          <w:szCs w:val="24"/>
        </w:rPr>
        <w:t xml:space="preserve">-enzymformer af </w:t>
      </w:r>
      <w:proofErr w:type="spellStart"/>
      <w:r w:rsidRPr="0000288F">
        <w:rPr>
          <w:sz w:val="24"/>
          <w:szCs w:val="24"/>
        </w:rPr>
        <w:t>folinsyre</w:t>
      </w:r>
      <w:proofErr w:type="spellEnd"/>
      <w:r w:rsidRPr="0000288F">
        <w:rPr>
          <w:sz w:val="24"/>
          <w:szCs w:val="24"/>
        </w:rPr>
        <w: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bruges ofte i biokemisk modulering af </w:t>
      </w:r>
      <w:proofErr w:type="spellStart"/>
      <w:r w:rsidRPr="0000288F">
        <w:rPr>
          <w:sz w:val="24"/>
          <w:szCs w:val="24"/>
        </w:rPr>
        <w:t>fluoropyridin</w:t>
      </w:r>
      <w:proofErr w:type="spellEnd"/>
      <w:r w:rsidRPr="0000288F">
        <w:rPr>
          <w:sz w:val="24"/>
          <w:szCs w:val="24"/>
        </w:rPr>
        <w:t xml:space="preserve"> (5-fluorouracil) for at fremme dets </w:t>
      </w:r>
      <w:proofErr w:type="spellStart"/>
      <w:r w:rsidRPr="0000288F">
        <w:rPr>
          <w:sz w:val="24"/>
          <w:szCs w:val="24"/>
        </w:rPr>
        <w:t>cytotoksiske</w:t>
      </w:r>
      <w:proofErr w:type="spellEnd"/>
      <w:r w:rsidRPr="0000288F">
        <w:rPr>
          <w:sz w:val="24"/>
          <w:szCs w:val="24"/>
        </w:rPr>
        <w:t xml:space="preserve"> aktivitet. 5-fluorouracil hæmmer </w:t>
      </w:r>
      <w:proofErr w:type="spellStart"/>
      <w:r w:rsidRPr="0000288F">
        <w:rPr>
          <w:sz w:val="24"/>
          <w:szCs w:val="24"/>
        </w:rPr>
        <w:t>thymidylatsyntasen</w:t>
      </w:r>
      <w:proofErr w:type="spellEnd"/>
      <w:r w:rsidRPr="0000288F">
        <w:rPr>
          <w:sz w:val="24"/>
          <w:szCs w:val="24"/>
        </w:rPr>
        <w:t xml:space="preserve"> (TS), et essentielt enzym for biosyntesen af </w:t>
      </w:r>
      <w:proofErr w:type="spellStart"/>
      <w:r w:rsidRPr="0000288F">
        <w:rPr>
          <w:sz w:val="24"/>
          <w:szCs w:val="24"/>
        </w:rPr>
        <w:t>pyrimidin</w:t>
      </w:r>
      <w:proofErr w:type="spellEnd"/>
      <w:r w:rsidRPr="0000288F">
        <w:rPr>
          <w:sz w:val="24"/>
          <w:szCs w:val="24"/>
        </w:rPr>
        <w:t xml:space="preserve"> og det fremmer TS-hæmningen, ved at øge det intracellulære </w:t>
      </w:r>
      <w:proofErr w:type="spellStart"/>
      <w:r w:rsidRPr="0000288F">
        <w:rPr>
          <w:sz w:val="24"/>
          <w:szCs w:val="24"/>
        </w:rPr>
        <w:t>folatlager</w:t>
      </w:r>
      <w:proofErr w:type="spellEnd"/>
      <w:r w:rsidRPr="0000288F">
        <w:rPr>
          <w:sz w:val="24"/>
          <w:szCs w:val="24"/>
        </w:rPr>
        <w:t>, og dermed stabilisere 5-fluorouracil-TS komplekset og øge aktiviteten.</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proofErr w:type="spellStart"/>
      <w:r w:rsidRPr="0000288F">
        <w:rPr>
          <w:sz w:val="24"/>
          <w:szCs w:val="24"/>
        </w:rPr>
        <w:lastRenderedPageBreak/>
        <w:t>Calciumfolinat</w:t>
      </w:r>
      <w:proofErr w:type="spellEnd"/>
      <w:r w:rsidRPr="0000288F">
        <w:rPr>
          <w:sz w:val="24"/>
          <w:szCs w:val="24"/>
        </w:rPr>
        <w:t xml:space="preserve"> kan også administreres intravenøst for at forhindre og behandle </w:t>
      </w:r>
      <w:proofErr w:type="spellStart"/>
      <w:r w:rsidRPr="0000288F">
        <w:rPr>
          <w:sz w:val="24"/>
          <w:szCs w:val="24"/>
        </w:rPr>
        <w:t>folatmangel</w:t>
      </w:r>
      <w:proofErr w:type="spellEnd"/>
      <w:r w:rsidRPr="0000288F">
        <w:rPr>
          <w:sz w:val="24"/>
          <w:szCs w:val="24"/>
        </w:rPr>
        <w:t xml:space="preserve"> når dette ikke kan forebygges eller korrigeres ved oral administration af </w:t>
      </w:r>
      <w:proofErr w:type="spellStart"/>
      <w:r w:rsidRPr="0000288F">
        <w:rPr>
          <w:sz w:val="24"/>
          <w:szCs w:val="24"/>
        </w:rPr>
        <w:t>folinsyre</w:t>
      </w:r>
      <w:proofErr w:type="spellEnd"/>
      <w:r w:rsidRPr="0000288F">
        <w:rPr>
          <w:sz w:val="24"/>
          <w:szCs w:val="24"/>
        </w:rPr>
        <w:t xml:space="preserve">. Dette kan være tilfældet ved total parenteral ernæring og alvorlig </w:t>
      </w:r>
      <w:proofErr w:type="spellStart"/>
      <w:r w:rsidRPr="0000288F">
        <w:rPr>
          <w:sz w:val="24"/>
          <w:szCs w:val="24"/>
        </w:rPr>
        <w:t>malabsorptionslidelser</w:t>
      </w:r>
      <w:proofErr w:type="spellEnd"/>
      <w:r w:rsidRPr="0000288F">
        <w:rPr>
          <w:sz w:val="24"/>
          <w:szCs w:val="24"/>
        </w:rPr>
        <w:t xml:space="preserve">. Det er også indiceret ved behandling af </w:t>
      </w:r>
      <w:proofErr w:type="spellStart"/>
      <w:r w:rsidRPr="0000288F">
        <w:rPr>
          <w:sz w:val="24"/>
          <w:szCs w:val="24"/>
        </w:rPr>
        <w:t>megaloblastisk</w:t>
      </w:r>
      <w:proofErr w:type="spellEnd"/>
      <w:r w:rsidRPr="0000288F">
        <w:rPr>
          <w:sz w:val="24"/>
          <w:szCs w:val="24"/>
        </w:rPr>
        <w:t xml:space="preserve"> anæmi pga. </w:t>
      </w:r>
      <w:proofErr w:type="spellStart"/>
      <w:r w:rsidRPr="0000288F">
        <w:rPr>
          <w:sz w:val="24"/>
          <w:szCs w:val="24"/>
        </w:rPr>
        <w:t>folinsyremangel</w:t>
      </w:r>
      <w:proofErr w:type="spellEnd"/>
      <w:r w:rsidRPr="0000288F">
        <w:rPr>
          <w:sz w:val="24"/>
          <w:szCs w:val="24"/>
        </w:rPr>
        <w:t>, når oral administration ikke er mulig.</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5.2</w:t>
      </w:r>
      <w:r w:rsidRPr="0000288F">
        <w:rPr>
          <w:b/>
          <w:sz w:val="24"/>
          <w:szCs w:val="24"/>
        </w:rPr>
        <w:tab/>
      </w:r>
      <w:proofErr w:type="spellStart"/>
      <w:r w:rsidRPr="0000288F">
        <w:rPr>
          <w:b/>
          <w:sz w:val="24"/>
          <w:szCs w:val="24"/>
        </w:rPr>
        <w:t>Farmakokinetiske</w:t>
      </w:r>
      <w:proofErr w:type="spellEnd"/>
      <w:r w:rsidRPr="0000288F">
        <w:rPr>
          <w:b/>
          <w:sz w:val="24"/>
          <w:szCs w:val="24"/>
        </w:rPr>
        <w:t xml:space="preserve"> egenskaber</w:t>
      </w:r>
    </w:p>
    <w:p w:rsidR="00DD5A90" w:rsidRDefault="00DD5A90" w:rsidP="00DD5A90">
      <w:pPr>
        <w:ind w:left="851" w:hanging="851"/>
        <w:rPr>
          <w:sz w:val="24"/>
          <w:szCs w:val="24"/>
          <w:u w:val="single"/>
        </w:rPr>
      </w:pPr>
    </w:p>
    <w:p w:rsidR="00DD5A90" w:rsidRPr="0000288F" w:rsidRDefault="00DD5A90" w:rsidP="00DD5A90">
      <w:pPr>
        <w:ind w:left="851"/>
        <w:rPr>
          <w:sz w:val="24"/>
          <w:szCs w:val="24"/>
          <w:u w:val="single"/>
        </w:rPr>
      </w:pPr>
      <w:r w:rsidRPr="0000288F">
        <w:rPr>
          <w:sz w:val="24"/>
          <w:szCs w:val="24"/>
          <w:u w:val="single"/>
        </w:rPr>
        <w:t>Absorption</w:t>
      </w:r>
    </w:p>
    <w:p w:rsidR="00DD5A90" w:rsidRPr="0000288F" w:rsidRDefault="00DD5A90" w:rsidP="00DD5A90">
      <w:pPr>
        <w:ind w:left="851"/>
        <w:rPr>
          <w:sz w:val="24"/>
          <w:szCs w:val="24"/>
        </w:rPr>
      </w:pPr>
      <w:r w:rsidRPr="0000288F">
        <w:rPr>
          <w:sz w:val="24"/>
          <w:szCs w:val="24"/>
        </w:rPr>
        <w:t>Efter en intramuskulær administration af en vandig opløsning, er systemisk biotilgængelighed sammenlignelig med en intravenøs administration. Der opnås imidlertid lavere maksimal serumkoncentration (</w:t>
      </w:r>
      <w:proofErr w:type="spellStart"/>
      <w:r w:rsidRPr="0000288F">
        <w:rPr>
          <w:sz w:val="24"/>
          <w:szCs w:val="24"/>
        </w:rPr>
        <w:t>C</w:t>
      </w:r>
      <w:r w:rsidRPr="000D76CC">
        <w:rPr>
          <w:sz w:val="24"/>
          <w:szCs w:val="24"/>
          <w:vertAlign w:val="subscript"/>
        </w:rPr>
        <w:t>max</w:t>
      </w:r>
      <w:proofErr w:type="spellEnd"/>
      <w:r w:rsidRPr="0000288F">
        <w:rPr>
          <w:sz w:val="24"/>
          <w:szCs w:val="24"/>
        </w:rPr>
        <w:t>).</w:t>
      </w:r>
    </w:p>
    <w:p w:rsidR="00DD5A90" w:rsidRPr="0000288F" w:rsidRDefault="00DD5A90" w:rsidP="00DD5A90">
      <w:pPr>
        <w:ind w:left="851" w:hanging="851"/>
        <w:rPr>
          <w:sz w:val="24"/>
          <w:szCs w:val="24"/>
        </w:rPr>
      </w:pPr>
      <w:r w:rsidRPr="0000288F">
        <w:rPr>
          <w:sz w:val="24"/>
          <w:szCs w:val="24"/>
        </w:rPr>
        <w:tab/>
      </w:r>
    </w:p>
    <w:p w:rsidR="00DD5A90" w:rsidRPr="0000288F" w:rsidRDefault="00DD5A90" w:rsidP="00DD5A90">
      <w:pPr>
        <w:ind w:left="851"/>
        <w:rPr>
          <w:sz w:val="24"/>
          <w:szCs w:val="24"/>
        </w:rPr>
      </w:pPr>
      <w:r w:rsidRPr="0000288F">
        <w:rPr>
          <w:sz w:val="24"/>
          <w:szCs w:val="24"/>
          <w:u w:val="single"/>
        </w:rPr>
        <w:t>Metabolisme</w:t>
      </w:r>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er en racemate hvor L-formen (L-</w:t>
      </w:r>
      <w:proofErr w:type="spellStart"/>
      <w:r w:rsidRPr="0000288F">
        <w:rPr>
          <w:sz w:val="24"/>
          <w:szCs w:val="24"/>
        </w:rPr>
        <w:t>formyltetrahydrofolat</w:t>
      </w:r>
      <w:proofErr w:type="spellEnd"/>
      <w:r w:rsidRPr="0000288F">
        <w:rPr>
          <w:sz w:val="24"/>
          <w:szCs w:val="24"/>
        </w:rPr>
        <w:t xml:space="preserve">, L-5-formyl-THF) er den aktive </w:t>
      </w:r>
      <w:proofErr w:type="spellStart"/>
      <w:r w:rsidRPr="0000288F">
        <w:rPr>
          <w:sz w:val="24"/>
          <w:szCs w:val="24"/>
        </w:rPr>
        <w:t>enantiomer</w:t>
      </w:r>
      <w:proofErr w:type="spellEnd"/>
      <w:r w:rsidRPr="0000288F">
        <w:rPr>
          <w:sz w:val="24"/>
          <w:szCs w:val="24"/>
        </w:rPr>
        <w: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Hovedmetabolitten af </w:t>
      </w:r>
      <w:proofErr w:type="spellStart"/>
      <w:r w:rsidRPr="0000288F">
        <w:rPr>
          <w:sz w:val="24"/>
          <w:szCs w:val="24"/>
        </w:rPr>
        <w:t>folininsyre</w:t>
      </w:r>
      <w:proofErr w:type="spellEnd"/>
      <w:r w:rsidRPr="0000288F">
        <w:rPr>
          <w:sz w:val="24"/>
          <w:szCs w:val="24"/>
        </w:rPr>
        <w:t xml:space="preserve"> er 5-methyl-tetrahydrofolinsyre (5-methyl-THF), som hovedsagelig dannes i leveren og </w:t>
      </w:r>
      <w:proofErr w:type="spellStart"/>
      <w:r w:rsidRPr="0000288F">
        <w:rPr>
          <w:sz w:val="24"/>
          <w:szCs w:val="24"/>
        </w:rPr>
        <w:t>intestinale</w:t>
      </w:r>
      <w:proofErr w:type="spellEnd"/>
      <w:r w:rsidRPr="0000288F">
        <w:rPr>
          <w:sz w:val="24"/>
          <w:szCs w:val="24"/>
        </w:rPr>
        <w:t xml:space="preserve"> </w:t>
      </w:r>
      <w:proofErr w:type="spellStart"/>
      <w:r w:rsidRPr="0000288F">
        <w:rPr>
          <w:sz w:val="24"/>
          <w:szCs w:val="24"/>
        </w:rPr>
        <w:t>mucosa</w:t>
      </w:r>
      <w:proofErr w:type="spellEnd"/>
      <w:r w:rsidRPr="0000288F">
        <w:rPr>
          <w:sz w:val="24"/>
          <w:szCs w:val="24"/>
        </w:rPr>
        <w:t>.</w:t>
      </w:r>
    </w:p>
    <w:p w:rsidR="00DD5A90" w:rsidRPr="0000288F" w:rsidRDefault="00DD5A90" w:rsidP="00DD5A90">
      <w:pPr>
        <w:ind w:left="851" w:hanging="851"/>
        <w:rPr>
          <w:sz w:val="24"/>
          <w:szCs w:val="24"/>
        </w:rPr>
      </w:pPr>
      <w:r w:rsidRPr="0000288F">
        <w:rPr>
          <w:sz w:val="24"/>
          <w:szCs w:val="24"/>
        </w:rPr>
        <w:t xml:space="preserve"> </w:t>
      </w:r>
    </w:p>
    <w:p w:rsidR="00DD5A90" w:rsidRPr="0000288F" w:rsidRDefault="00DD5A90" w:rsidP="00DD5A90">
      <w:pPr>
        <w:ind w:left="851"/>
        <w:rPr>
          <w:sz w:val="24"/>
          <w:szCs w:val="24"/>
        </w:rPr>
      </w:pPr>
      <w:r w:rsidRPr="0000288F">
        <w:rPr>
          <w:sz w:val="24"/>
          <w:szCs w:val="24"/>
          <w:u w:val="single"/>
        </w:rPr>
        <w:t>Distribution</w:t>
      </w:r>
    </w:p>
    <w:p w:rsidR="00DD5A90" w:rsidRPr="0000288F" w:rsidRDefault="00DD5A90" w:rsidP="00DD5A90">
      <w:pPr>
        <w:ind w:left="851"/>
        <w:rPr>
          <w:sz w:val="24"/>
          <w:szCs w:val="24"/>
        </w:rPr>
      </w:pPr>
      <w:r w:rsidRPr="0000288F">
        <w:rPr>
          <w:sz w:val="24"/>
          <w:szCs w:val="24"/>
        </w:rPr>
        <w:t xml:space="preserve">Distributionsvolumen for </w:t>
      </w:r>
      <w:proofErr w:type="spellStart"/>
      <w:r w:rsidRPr="0000288F">
        <w:rPr>
          <w:sz w:val="24"/>
          <w:szCs w:val="24"/>
        </w:rPr>
        <w:t>folininsyre</w:t>
      </w:r>
      <w:proofErr w:type="spellEnd"/>
      <w:r w:rsidRPr="0000288F">
        <w:rPr>
          <w:sz w:val="24"/>
          <w:szCs w:val="24"/>
        </w:rPr>
        <w:t xml:space="preserve"> er ikke kendt.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Maksimal serumkoncentration af udgangsstoffet (D/L-5-formyl-tetrahydrofolinsyre, </w:t>
      </w:r>
      <w:proofErr w:type="spellStart"/>
      <w:r w:rsidRPr="0000288F">
        <w:rPr>
          <w:sz w:val="24"/>
          <w:szCs w:val="24"/>
        </w:rPr>
        <w:t>folininsyre</w:t>
      </w:r>
      <w:proofErr w:type="spellEnd"/>
      <w:r w:rsidRPr="0000288F">
        <w:rPr>
          <w:sz w:val="24"/>
          <w:szCs w:val="24"/>
        </w:rPr>
        <w:t>) opnås 10 minutter efter intravenøs administration.</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AUC for L-5-formyl-THF og 5-methyl-THF var henholdsvis 28,4 ± 3,5 </w:t>
      </w:r>
      <w:proofErr w:type="spellStart"/>
      <w:r w:rsidRPr="0000288F">
        <w:rPr>
          <w:sz w:val="24"/>
          <w:szCs w:val="24"/>
        </w:rPr>
        <w:t>mg.min</w:t>
      </w:r>
      <w:proofErr w:type="spellEnd"/>
      <w:r w:rsidRPr="0000288F">
        <w:rPr>
          <w:sz w:val="24"/>
          <w:szCs w:val="24"/>
        </w:rPr>
        <w:t xml:space="preserve">/l og 129 ± 11 </w:t>
      </w:r>
      <w:proofErr w:type="spellStart"/>
      <w:r w:rsidRPr="0000288F">
        <w:rPr>
          <w:sz w:val="24"/>
          <w:szCs w:val="24"/>
        </w:rPr>
        <w:t>mg.min</w:t>
      </w:r>
      <w:proofErr w:type="spellEnd"/>
      <w:r w:rsidRPr="0000288F">
        <w:rPr>
          <w:sz w:val="24"/>
          <w:szCs w:val="24"/>
        </w:rPr>
        <w:t>/l efter en dos</w:t>
      </w:r>
      <w:r>
        <w:rPr>
          <w:sz w:val="24"/>
          <w:szCs w:val="24"/>
        </w:rPr>
        <w:t>is</w:t>
      </w:r>
      <w:r w:rsidRPr="0000288F">
        <w:rPr>
          <w:sz w:val="24"/>
          <w:szCs w:val="24"/>
        </w:rPr>
        <w:t xml:space="preserve"> på 25 mg. Den inaktive D-isomer er tilstede i højere koncentrationer end L-5-formyltetrahydrofolat.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u w:val="single"/>
        </w:rPr>
        <w:t>Elimination</w:t>
      </w:r>
    </w:p>
    <w:p w:rsidR="00DD5A90" w:rsidRPr="0000288F" w:rsidRDefault="00DD5A90" w:rsidP="00DD5A90">
      <w:pPr>
        <w:ind w:left="851"/>
        <w:rPr>
          <w:sz w:val="24"/>
          <w:szCs w:val="24"/>
        </w:rPr>
      </w:pPr>
      <w:r w:rsidRPr="0000288F">
        <w:rPr>
          <w:sz w:val="24"/>
          <w:szCs w:val="24"/>
        </w:rPr>
        <w:t>Elimineringshalveringstiden er henholdsvis 32-35 minutter for den aktive L-form og 352-485 min for den inaktive D-form.</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Total terminal halveringstid for de aktive metabolitter er ca. 6 timer (både efter intravenøs og intramuskulær administration).</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80-90</w:t>
      </w:r>
      <w:r>
        <w:rPr>
          <w:sz w:val="24"/>
          <w:szCs w:val="24"/>
        </w:rPr>
        <w:t xml:space="preserve"> %</w:t>
      </w:r>
      <w:r w:rsidRPr="0000288F">
        <w:rPr>
          <w:sz w:val="24"/>
          <w:szCs w:val="24"/>
        </w:rPr>
        <w:t xml:space="preserve"> udskilles med urinen som inaktive metabolitter (5- og 10-formyl-tetrahydrofolat), 5-8</w:t>
      </w:r>
      <w:r>
        <w:rPr>
          <w:sz w:val="24"/>
          <w:szCs w:val="24"/>
        </w:rPr>
        <w:t xml:space="preserve"> %</w:t>
      </w:r>
      <w:r w:rsidRPr="0000288F">
        <w:rPr>
          <w:sz w:val="24"/>
          <w:szCs w:val="24"/>
        </w:rPr>
        <w:t xml:space="preserve"> udskilles med fæces.</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5.3</w:t>
      </w:r>
      <w:r w:rsidRPr="0000288F">
        <w:rPr>
          <w:b/>
          <w:sz w:val="24"/>
          <w:szCs w:val="24"/>
        </w:rPr>
        <w:tab/>
        <w:t>Prækliniske sikkerhedsdata</w:t>
      </w:r>
    </w:p>
    <w:p w:rsidR="00DD5A90" w:rsidRPr="0000288F" w:rsidRDefault="00DD5A90" w:rsidP="00DD5A90">
      <w:pPr>
        <w:ind w:left="851"/>
        <w:rPr>
          <w:sz w:val="24"/>
          <w:szCs w:val="24"/>
        </w:rPr>
      </w:pPr>
      <w:r w:rsidRPr="0000288F">
        <w:rPr>
          <w:sz w:val="24"/>
          <w:szCs w:val="24"/>
        </w:rPr>
        <w:t>Der foreligger ingen relevante prækliniske data med hensyn til klinisk sikkerhed, udover det som er inkluderet i andre afsnit i dette produktresumé.</w:t>
      </w:r>
    </w:p>
    <w:p w:rsidR="00DD5A90" w:rsidRPr="0000288F" w:rsidRDefault="00DD5A90" w:rsidP="00DD5A90">
      <w:pPr>
        <w:ind w:left="851" w:hanging="851"/>
        <w:rPr>
          <w:sz w:val="24"/>
          <w:szCs w:val="24"/>
        </w:rPr>
      </w:pP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6.</w:t>
      </w:r>
      <w:r w:rsidRPr="0000288F">
        <w:rPr>
          <w:b/>
          <w:sz w:val="24"/>
          <w:szCs w:val="24"/>
        </w:rPr>
        <w:tab/>
        <w:t>FARMACEUTISKE OPLYSNINGER</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6.1</w:t>
      </w:r>
      <w:r w:rsidRPr="0000288F">
        <w:rPr>
          <w:b/>
          <w:sz w:val="24"/>
          <w:szCs w:val="24"/>
        </w:rPr>
        <w:tab/>
        <w:t>Hjælpestoffer</w:t>
      </w:r>
    </w:p>
    <w:p w:rsidR="00DD5A90" w:rsidRPr="0000288F" w:rsidRDefault="00DD5A90" w:rsidP="00DD5A90">
      <w:pPr>
        <w:ind w:left="851"/>
        <w:rPr>
          <w:sz w:val="24"/>
          <w:szCs w:val="24"/>
        </w:rPr>
      </w:pPr>
      <w:proofErr w:type="spellStart"/>
      <w:r w:rsidRPr="0000288F">
        <w:rPr>
          <w:sz w:val="24"/>
          <w:szCs w:val="24"/>
        </w:rPr>
        <w:t>Natriumchlorid</w:t>
      </w:r>
      <w:proofErr w:type="spellEnd"/>
    </w:p>
    <w:p w:rsidR="00DD5A90" w:rsidRPr="0000288F" w:rsidRDefault="00DD5A90" w:rsidP="00DD5A90">
      <w:pPr>
        <w:ind w:left="851"/>
        <w:rPr>
          <w:sz w:val="24"/>
          <w:szCs w:val="24"/>
        </w:rPr>
      </w:pPr>
      <w:r w:rsidRPr="0000288F">
        <w:rPr>
          <w:sz w:val="24"/>
          <w:szCs w:val="24"/>
        </w:rPr>
        <w:t>Natriumhydroxid (for justering af pH)</w:t>
      </w:r>
    </w:p>
    <w:p w:rsidR="00DD5A90" w:rsidRPr="0000288F" w:rsidRDefault="00DD5A90" w:rsidP="0011299D">
      <w:pPr>
        <w:keepNext/>
        <w:ind w:left="851"/>
        <w:rPr>
          <w:sz w:val="24"/>
          <w:szCs w:val="24"/>
        </w:rPr>
      </w:pPr>
      <w:r w:rsidRPr="0000288F">
        <w:rPr>
          <w:sz w:val="24"/>
          <w:szCs w:val="24"/>
        </w:rPr>
        <w:lastRenderedPageBreak/>
        <w:t>Saltsyre, fortyndet (for justering af pH)</w:t>
      </w:r>
    </w:p>
    <w:p w:rsidR="00F7103E" w:rsidRDefault="00DD5A90" w:rsidP="00FA60DC">
      <w:pPr>
        <w:ind w:left="851"/>
        <w:rPr>
          <w:sz w:val="24"/>
          <w:szCs w:val="24"/>
        </w:rPr>
      </w:pPr>
      <w:r>
        <w:rPr>
          <w:sz w:val="24"/>
          <w:szCs w:val="24"/>
        </w:rPr>
        <w:t>Vand til injektionsvæsker</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6.2</w:t>
      </w:r>
      <w:r w:rsidRPr="0000288F">
        <w:rPr>
          <w:b/>
          <w:sz w:val="24"/>
          <w:szCs w:val="24"/>
        </w:rPr>
        <w:tab/>
        <w:t>Uforligeligheder</w:t>
      </w:r>
    </w:p>
    <w:p w:rsidR="00DD5A90" w:rsidRPr="0000288F" w:rsidRDefault="00DD5A90" w:rsidP="00DD5A90">
      <w:pPr>
        <w:ind w:left="851"/>
        <w:rPr>
          <w:sz w:val="24"/>
          <w:szCs w:val="24"/>
        </w:rPr>
      </w:pPr>
      <w:r w:rsidRPr="0000288F">
        <w:rPr>
          <w:sz w:val="24"/>
          <w:szCs w:val="24"/>
        </w:rPr>
        <w:t xml:space="preserve">Der er rapporteret uforligelighed mellem </w:t>
      </w:r>
      <w:proofErr w:type="spellStart"/>
      <w:r w:rsidRPr="0000288F">
        <w:rPr>
          <w:sz w:val="24"/>
          <w:szCs w:val="24"/>
        </w:rPr>
        <w:t>injicerbare</w:t>
      </w:r>
      <w:proofErr w:type="spellEnd"/>
      <w:r w:rsidRPr="0000288F">
        <w:rPr>
          <w:sz w:val="24"/>
          <w:szCs w:val="24"/>
        </w:rPr>
        <w:t xml:space="preserve"> former af </w:t>
      </w:r>
      <w:proofErr w:type="spellStart"/>
      <w:r w:rsidRPr="0000288F">
        <w:rPr>
          <w:sz w:val="24"/>
          <w:szCs w:val="24"/>
        </w:rPr>
        <w:t>calciumfolinat</w:t>
      </w:r>
      <w:proofErr w:type="spellEnd"/>
      <w:r w:rsidRPr="0000288F">
        <w:rPr>
          <w:sz w:val="24"/>
          <w:szCs w:val="24"/>
        </w:rPr>
        <w:t xml:space="preserve"> og </w:t>
      </w:r>
      <w:proofErr w:type="spellStart"/>
      <w:r w:rsidRPr="0000288F">
        <w:rPr>
          <w:sz w:val="24"/>
          <w:szCs w:val="24"/>
        </w:rPr>
        <w:t>injicerbare</w:t>
      </w:r>
      <w:proofErr w:type="spellEnd"/>
      <w:r w:rsidRPr="0000288F">
        <w:rPr>
          <w:sz w:val="24"/>
          <w:szCs w:val="24"/>
        </w:rPr>
        <w:t xml:space="preserve"> former af </w:t>
      </w:r>
      <w:proofErr w:type="spellStart"/>
      <w:r w:rsidRPr="0000288F">
        <w:rPr>
          <w:sz w:val="24"/>
          <w:szCs w:val="24"/>
        </w:rPr>
        <w:t>droperidol</w:t>
      </w:r>
      <w:proofErr w:type="spellEnd"/>
      <w:r w:rsidRPr="0000288F">
        <w:rPr>
          <w:sz w:val="24"/>
          <w:szCs w:val="24"/>
        </w:rPr>
        <w:t xml:space="preserve">, </w:t>
      </w:r>
      <w:proofErr w:type="spellStart"/>
      <w:r w:rsidRPr="0000288F">
        <w:rPr>
          <w:sz w:val="24"/>
          <w:szCs w:val="24"/>
        </w:rPr>
        <w:t>fluorouracil</w:t>
      </w:r>
      <w:proofErr w:type="spellEnd"/>
      <w:r w:rsidRPr="0000288F">
        <w:rPr>
          <w:sz w:val="24"/>
          <w:szCs w:val="24"/>
        </w:rPr>
        <w:t xml:space="preserve">, </w:t>
      </w:r>
      <w:proofErr w:type="spellStart"/>
      <w:r w:rsidRPr="0000288F">
        <w:rPr>
          <w:sz w:val="24"/>
          <w:szCs w:val="24"/>
        </w:rPr>
        <w:t>foscarnet</w:t>
      </w:r>
      <w:proofErr w:type="spellEnd"/>
      <w:r w:rsidRPr="0000288F">
        <w:rPr>
          <w:sz w:val="24"/>
          <w:szCs w:val="24"/>
        </w:rPr>
        <w:t xml:space="preserve"> og </w:t>
      </w:r>
      <w:proofErr w:type="spellStart"/>
      <w:r w:rsidRPr="0000288F">
        <w:rPr>
          <w:sz w:val="24"/>
          <w:szCs w:val="24"/>
        </w:rPr>
        <w:t>methotrexat</w:t>
      </w:r>
      <w:proofErr w:type="spellEnd"/>
      <w:r w:rsidRPr="0000288F">
        <w:rPr>
          <w:sz w:val="24"/>
          <w:szCs w:val="24"/>
        </w:rPr>
        <w:t>.</w:t>
      </w:r>
    </w:p>
    <w:p w:rsidR="00DD5A90" w:rsidRPr="0000288F" w:rsidRDefault="00DD5A90" w:rsidP="00DD5A90">
      <w:pPr>
        <w:ind w:left="851" w:hanging="851"/>
        <w:rPr>
          <w:sz w:val="24"/>
          <w:szCs w:val="24"/>
        </w:rPr>
      </w:pPr>
    </w:p>
    <w:p w:rsidR="00DD5A90" w:rsidRPr="00DD2987" w:rsidRDefault="00DD5A90" w:rsidP="00DD5A90">
      <w:pPr>
        <w:ind w:left="851"/>
        <w:rPr>
          <w:sz w:val="24"/>
          <w:szCs w:val="24"/>
          <w:u w:val="single"/>
        </w:rPr>
      </w:pPr>
      <w:proofErr w:type="spellStart"/>
      <w:r w:rsidRPr="00DD2987">
        <w:rPr>
          <w:sz w:val="24"/>
          <w:szCs w:val="24"/>
          <w:u w:val="single"/>
        </w:rPr>
        <w:t>Droperidol</w:t>
      </w:r>
      <w:proofErr w:type="spellEnd"/>
    </w:p>
    <w:p w:rsidR="00DD5A90" w:rsidRPr="0000288F" w:rsidRDefault="00DD5A90" w:rsidP="00DD5A90">
      <w:pPr>
        <w:pStyle w:val="Listeafsnit"/>
        <w:numPr>
          <w:ilvl w:val="0"/>
          <w:numId w:val="9"/>
        </w:numPr>
        <w:ind w:left="1134" w:hanging="283"/>
        <w:rPr>
          <w:sz w:val="24"/>
          <w:szCs w:val="24"/>
        </w:rPr>
      </w:pPr>
      <w:proofErr w:type="spellStart"/>
      <w:r w:rsidRPr="0000288F">
        <w:rPr>
          <w:sz w:val="24"/>
          <w:szCs w:val="24"/>
        </w:rPr>
        <w:t>Droperidol</w:t>
      </w:r>
      <w:proofErr w:type="spellEnd"/>
      <w:r w:rsidRPr="0000288F">
        <w:rPr>
          <w:sz w:val="24"/>
          <w:szCs w:val="24"/>
        </w:rPr>
        <w:t xml:space="preserve"> 1,25 mg/0,5 ml sammen med </w:t>
      </w:r>
      <w:proofErr w:type="spellStart"/>
      <w:r w:rsidRPr="0000288F">
        <w:rPr>
          <w:sz w:val="24"/>
          <w:szCs w:val="24"/>
        </w:rPr>
        <w:t>calciumfolinat</w:t>
      </w:r>
      <w:proofErr w:type="spellEnd"/>
      <w:r w:rsidRPr="0000288F">
        <w:rPr>
          <w:sz w:val="24"/>
          <w:szCs w:val="24"/>
        </w:rPr>
        <w:t xml:space="preserve"> 5 mg/0,5 ml, umiddelbar udfældning var observeret efter direkte blanding i sprøjten i 5 minutter ved 25°C efterfulgt af 8 minutters centrifugering.</w:t>
      </w:r>
    </w:p>
    <w:p w:rsidR="00DD5A90" w:rsidRPr="0000288F" w:rsidRDefault="00DD5A90" w:rsidP="00DD5A90">
      <w:pPr>
        <w:pStyle w:val="Listeafsnit"/>
        <w:numPr>
          <w:ilvl w:val="0"/>
          <w:numId w:val="9"/>
        </w:numPr>
        <w:ind w:left="1134" w:hanging="283"/>
        <w:rPr>
          <w:sz w:val="24"/>
          <w:szCs w:val="24"/>
        </w:rPr>
      </w:pPr>
      <w:proofErr w:type="spellStart"/>
      <w:r w:rsidRPr="0000288F">
        <w:rPr>
          <w:sz w:val="24"/>
          <w:szCs w:val="24"/>
        </w:rPr>
        <w:t>Droperidol</w:t>
      </w:r>
      <w:proofErr w:type="spellEnd"/>
      <w:r w:rsidRPr="0000288F">
        <w:rPr>
          <w:sz w:val="24"/>
          <w:szCs w:val="24"/>
        </w:rPr>
        <w:t xml:space="preserve"> 2,5 mg/0,5 ml med </w:t>
      </w:r>
      <w:proofErr w:type="spellStart"/>
      <w:r w:rsidRPr="0000288F">
        <w:rPr>
          <w:sz w:val="24"/>
          <w:szCs w:val="24"/>
        </w:rPr>
        <w:t>calciumfolinat</w:t>
      </w:r>
      <w:proofErr w:type="spellEnd"/>
      <w:r w:rsidRPr="0000288F">
        <w:rPr>
          <w:sz w:val="24"/>
          <w:szCs w:val="24"/>
        </w:rPr>
        <w:t xml:space="preserve"> 10 mg/0,5 ml, umiddelbar udfældning var observeret når lægemidlerne injiceres lige efter hinanden i et Y-stykke uden at skylle sidearmen imellem injektionerne.</w:t>
      </w:r>
    </w:p>
    <w:p w:rsidR="00DD5A90" w:rsidRPr="0000288F" w:rsidRDefault="00DD5A90" w:rsidP="00DD5A90">
      <w:pPr>
        <w:ind w:left="851" w:hanging="851"/>
        <w:rPr>
          <w:sz w:val="24"/>
          <w:szCs w:val="24"/>
        </w:rPr>
      </w:pPr>
    </w:p>
    <w:p w:rsidR="00DD5A90" w:rsidRPr="00DD2987" w:rsidRDefault="00DD5A90" w:rsidP="00DD5A90">
      <w:pPr>
        <w:ind w:left="851"/>
        <w:rPr>
          <w:sz w:val="24"/>
          <w:szCs w:val="24"/>
          <w:u w:val="single"/>
        </w:rPr>
      </w:pPr>
      <w:proofErr w:type="spellStart"/>
      <w:r w:rsidRPr="00DD2987">
        <w:rPr>
          <w:sz w:val="24"/>
          <w:szCs w:val="24"/>
          <w:u w:val="single"/>
        </w:rPr>
        <w:t>Fluorouracil</w:t>
      </w:r>
      <w:proofErr w:type="spellEnd"/>
    </w:p>
    <w:p w:rsidR="00DD5A90" w:rsidRPr="0000288F" w:rsidRDefault="00DD5A90" w:rsidP="00DD5A90">
      <w:pPr>
        <w:ind w:left="851"/>
        <w:rPr>
          <w:sz w:val="24"/>
          <w:szCs w:val="24"/>
        </w:rPr>
      </w:pPr>
      <w:proofErr w:type="spellStart"/>
      <w:r w:rsidRPr="0000288F">
        <w:rPr>
          <w:sz w:val="24"/>
          <w:szCs w:val="24"/>
        </w:rPr>
        <w:t>Calciumfolinat</w:t>
      </w:r>
      <w:proofErr w:type="spellEnd"/>
      <w:r w:rsidRPr="0000288F">
        <w:rPr>
          <w:sz w:val="24"/>
          <w:szCs w:val="24"/>
        </w:rPr>
        <w:t xml:space="preserve"> må ikke blandes i den samme infusion som 5-fluorouracil, da der kan dannes bundfald. </w:t>
      </w:r>
      <w:proofErr w:type="spellStart"/>
      <w:r w:rsidRPr="0000288F">
        <w:rPr>
          <w:sz w:val="24"/>
          <w:szCs w:val="24"/>
        </w:rPr>
        <w:t>Fluorouracil</w:t>
      </w:r>
      <w:proofErr w:type="spellEnd"/>
      <w:r w:rsidRPr="0000288F">
        <w:rPr>
          <w:sz w:val="24"/>
          <w:szCs w:val="24"/>
        </w:rPr>
        <w:t xml:space="preserve"> 50 mg/ml med </w:t>
      </w:r>
      <w:proofErr w:type="spellStart"/>
      <w:r w:rsidRPr="0000288F">
        <w:rPr>
          <w:sz w:val="24"/>
          <w:szCs w:val="24"/>
        </w:rPr>
        <w:t>calciumfolinat</w:t>
      </w:r>
      <w:proofErr w:type="spellEnd"/>
      <w:r w:rsidRPr="0000288F">
        <w:rPr>
          <w:sz w:val="24"/>
          <w:szCs w:val="24"/>
        </w:rPr>
        <w:t xml:space="preserve"> 20 mg/ml med eller uden </w:t>
      </w:r>
      <w:proofErr w:type="spellStart"/>
      <w:r w:rsidRPr="0000288F">
        <w:rPr>
          <w:sz w:val="24"/>
          <w:szCs w:val="24"/>
        </w:rPr>
        <w:t>dextrose</w:t>
      </w:r>
      <w:proofErr w:type="spellEnd"/>
      <w:r w:rsidRPr="0000288F">
        <w:rPr>
          <w:sz w:val="24"/>
          <w:szCs w:val="24"/>
        </w:rPr>
        <w:t xml:space="preserve"> 5</w:t>
      </w:r>
      <w:r>
        <w:rPr>
          <w:sz w:val="24"/>
          <w:szCs w:val="24"/>
        </w:rPr>
        <w:t xml:space="preserve"> %</w:t>
      </w:r>
      <w:r w:rsidRPr="0000288F">
        <w:rPr>
          <w:sz w:val="24"/>
          <w:szCs w:val="24"/>
        </w:rPr>
        <w:t xml:space="preserve"> i vand, har vist sig at være </w:t>
      </w:r>
      <w:proofErr w:type="spellStart"/>
      <w:r w:rsidRPr="0000288F">
        <w:rPr>
          <w:sz w:val="24"/>
          <w:szCs w:val="24"/>
        </w:rPr>
        <w:t>uforligeligt</w:t>
      </w:r>
      <w:proofErr w:type="spellEnd"/>
      <w:r w:rsidRPr="0000288F">
        <w:rPr>
          <w:sz w:val="24"/>
          <w:szCs w:val="24"/>
        </w:rPr>
        <w:t xml:space="preserve">, blandet i forskellige mængder og opbevaret i beholdere af </w:t>
      </w:r>
      <w:proofErr w:type="spellStart"/>
      <w:r w:rsidRPr="0000288F">
        <w:rPr>
          <w:sz w:val="24"/>
          <w:szCs w:val="24"/>
        </w:rPr>
        <w:t>polyvinyl</w:t>
      </w:r>
      <w:r>
        <w:rPr>
          <w:sz w:val="24"/>
          <w:szCs w:val="24"/>
        </w:rPr>
        <w:t>ch</w:t>
      </w:r>
      <w:r w:rsidRPr="0000288F">
        <w:rPr>
          <w:sz w:val="24"/>
          <w:szCs w:val="24"/>
        </w:rPr>
        <w:t>lorid</w:t>
      </w:r>
      <w:proofErr w:type="spellEnd"/>
      <w:r w:rsidRPr="0000288F">
        <w:rPr>
          <w:sz w:val="24"/>
          <w:szCs w:val="24"/>
        </w:rPr>
        <w:t xml:space="preserve"> ved 4°C, 23°C eller 32°C.</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 xml:space="preserve">Dog, har det vist sig at en 1:1 blanding af </w:t>
      </w:r>
      <w:proofErr w:type="spellStart"/>
      <w:r w:rsidRPr="0000288F">
        <w:rPr>
          <w:sz w:val="24"/>
          <w:szCs w:val="24"/>
        </w:rPr>
        <w:t>caliciumfolinat</w:t>
      </w:r>
      <w:proofErr w:type="spellEnd"/>
      <w:r w:rsidRPr="0000288F">
        <w:rPr>
          <w:sz w:val="24"/>
          <w:szCs w:val="24"/>
        </w:rPr>
        <w:t xml:space="preserve"> opløsning (10 mg/ml) og </w:t>
      </w:r>
      <w:proofErr w:type="spellStart"/>
      <w:r w:rsidRPr="0000288F">
        <w:rPr>
          <w:sz w:val="24"/>
          <w:szCs w:val="24"/>
        </w:rPr>
        <w:t>fluorouracil</w:t>
      </w:r>
      <w:proofErr w:type="spellEnd"/>
      <w:r w:rsidRPr="0000288F">
        <w:rPr>
          <w:sz w:val="24"/>
          <w:szCs w:val="24"/>
        </w:rPr>
        <w:t xml:space="preserve"> opløsning (50 mg/ml) er kompatibel og stabil over en periode på 48 timer, når opbevaret ved højst 32°C beskyttet fra lys.</w:t>
      </w:r>
    </w:p>
    <w:p w:rsidR="00DD5A90" w:rsidRPr="0000288F" w:rsidRDefault="00DD5A90" w:rsidP="00DD5A90">
      <w:pPr>
        <w:ind w:left="851" w:hanging="851"/>
        <w:rPr>
          <w:sz w:val="24"/>
          <w:szCs w:val="24"/>
        </w:rPr>
      </w:pPr>
    </w:p>
    <w:p w:rsidR="00DD5A90" w:rsidRPr="00DD2987" w:rsidRDefault="00DD5A90" w:rsidP="00DD5A90">
      <w:pPr>
        <w:ind w:left="851"/>
        <w:rPr>
          <w:sz w:val="24"/>
          <w:szCs w:val="24"/>
          <w:u w:val="single"/>
        </w:rPr>
      </w:pPr>
      <w:proofErr w:type="spellStart"/>
      <w:r w:rsidRPr="00DD2987">
        <w:rPr>
          <w:sz w:val="24"/>
          <w:szCs w:val="24"/>
          <w:u w:val="single"/>
        </w:rPr>
        <w:t>Foscarnet</w:t>
      </w:r>
      <w:proofErr w:type="spellEnd"/>
    </w:p>
    <w:p w:rsidR="00DD5A90" w:rsidRPr="0000288F" w:rsidRDefault="00DD5A90" w:rsidP="00DD5A90">
      <w:pPr>
        <w:ind w:left="851"/>
        <w:rPr>
          <w:sz w:val="24"/>
          <w:szCs w:val="24"/>
        </w:rPr>
      </w:pPr>
      <w:r w:rsidRPr="0000288F">
        <w:rPr>
          <w:sz w:val="24"/>
          <w:szCs w:val="24"/>
        </w:rPr>
        <w:t xml:space="preserve">Dannelse af en uklar, gullig opløsning er rapporteret når </w:t>
      </w:r>
      <w:proofErr w:type="spellStart"/>
      <w:r w:rsidRPr="0000288F">
        <w:rPr>
          <w:sz w:val="24"/>
          <w:szCs w:val="24"/>
        </w:rPr>
        <w:t>Foscarnet</w:t>
      </w:r>
      <w:proofErr w:type="spellEnd"/>
      <w:r w:rsidRPr="0000288F">
        <w:rPr>
          <w:sz w:val="24"/>
          <w:szCs w:val="24"/>
        </w:rPr>
        <w:t xml:space="preserve"> 24 mg/ml blandes med </w:t>
      </w:r>
      <w:proofErr w:type="spellStart"/>
      <w:r w:rsidRPr="0000288F">
        <w:rPr>
          <w:sz w:val="24"/>
          <w:szCs w:val="24"/>
        </w:rPr>
        <w:t>calciumfolinat</w:t>
      </w:r>
      <w:proofErr w:type="spellEnd"/>
      <w:r w:rsidRPr="0000288F">
        <w:rPr>
          <w:sz w:val="24"/>
          <w:szCs w:val="24"/>
        </w:rPr>
        <w:t xml:space="preserve"> 20 mg/ml.</w:t>
      </w:r>
    </w:p>
    <w:p w:rsidR="00DD5A90" w:rsidRPr="0000288F" w:rsidRDefault="00DD5A90" w:rsidP="00DD5A90">
      <w:pPr>
        <w:ind w:left="851" w:hanging="851"/>
        <w:rPr>
          <w:sz w:val="24"/>
          <w:szCs w:val="24"/>
        </w:rPr>
      </w:pPr>
    </w:p>
    <w:p w:rsidR="00DD5A90" w:rsidRPr="00197E7F" w:rsidRDefault="00DD5A90" w:rsidP="00197E7F">
      <w:pPr>
        <w:ind w:left="851" w:hanging="851"/>
        <w:rPr>
          <w:b/>
          <w:sz w:val="24"/>
          <w:szCs w:val="24"/>
        </w:rPr>
      </w:pPr>
      <w:r w:rsidRPr="0000288F">
        <w:rPr>
          <w:b/>
          <w:sz w:val="24"/>
          <w:szCs w:val="24"/>
        </w:rPr>
        <w:t>6.3</w:t>
      </w:r>
      <w:r w:rsidRPr="0000288F">
        <w:rPr>
          <w:b/>
          <w:sz w:val="24"/>
          <w:szCs w:val="24"/>
        </w:rPr>
        <w:tab/>
        <w:t>Opbevaringstid</w:t>
      </w:r>
    </w:p>
    <w:p w:rsidR="00DD5A90" w:rsidRPr="00197E7F" w:rsidRDefault="00DD5A90" w:rsidP="00197E7F">
      <w:pPr>
        <w:spacing w:line="240" w:lineRule="atLeast"/>
        <w:ind w:left="851"/>
        <w:rPr>
          <w:sz w:val="24"/>
          <w:szCs w:val="24"/>
          <w:u w:val="single"/>
        </w:rPr>
      </w:pPr>
      <w:proofErr w:type="spellStart"/>
      <w:r w:rsidRPr="0000288F">
        <w:rPr>
          <w:sz w:val="24"/>
          <w:szCs w:val="24"/>
          <w:u w:val="single"/>
        </w:rPr>
        <w:t>Uanbrudt</w:t>
      </w:r>
      <w:proofErr w:type="spellEnd"/>
      <w:r w:rsidR="00197E7F">
        <w:rPr>
          <w:sz w:val="24"/>
          <w:szCs w:val="24"/>
          <w:u w:val="single"/>
        </w:rPr>
        <w:t>:</w:t>
      </w:r>
      <w:r w:rsidR="00197E7F" w:rsidRPr="00197E7F">
        <w:rPr>
          <w:sz w:val="24"/>
          <w:szCs w:val="24"/>
        </w:rPr>
        <w:t xml:space="preserve"> </w:t>
      </w:r>
      <w:r w:rsidRPr="0000288F">
        <w:rPr>
          <w:sz w:val="24"/>
          <w:szCs w:val="24"/>
        </w:rPr>
        <w:t>2 år.</w:t>
      </w:r>
    </w:p>
    <w:p w:rsidR="00DD5A90" w:rsidRPr="0000288F" w:rsidRDefault="00DD5A90" w:rsidP="00DD5A90">
      <w:pPr>
        <w:spacing w:line="240" w:lineRule="atLeast"/>
        <w:ind w:left="851" w:hanging="851"/>
        <w:rPr>
          <w:sz w:val="24"/>
          <w:szCs w:val="24"/>
        </w:rPr>
      </w:pPr>
    </w:p>
    <w:p w:rsidR="00DD5A90" w:rsidRPr="0000288F" w:rsidRDefault="00DD5A90" w:rsidP="00DD5A90">
      <w:pPr>
        <w:adjustRightInd w:val="0"/>
        <w:ind w:left="851"/>
        <w:rPr>
          <w:sz w:val="24"/>
          <w:szCs w:val="24"/>
          <w:u w:val="single"/>
        </w:rPr>
      </w:pPr>
      <w:r w:rsidRPr="0000288F">
        <w:rPr>
          <w:sz w:val="24"/>
          <w:szCs w:val="24"/>
          <w:u w:val="single"/>
        </w:rPr>
        <w:t xml:space="preserve">Efter </w:t>
      </w:r>
      <w:proofErr w:type="spellStart"/>
      <w:r w:rsidRPr="0000288F">
        <w:rPr>
          <w:sz w:val="24"/>
          <w:szCs w:val="24"/>
          <w:u w:val="single"/>
        </w:rPr>
        <w:t>forynding</w:t>
      </w:r>
      <w:proofErr w:type="spellEnd"/>
      <w:r w:rsidRPr="0000288F">
        <w:rPr>
          <w:sz w:val="24"/>
          <w:szCs w:val="24"/>
          <w:u w:val="single"/>
        </w:rPr>
        <w:t xml:space="preserve"> for infusion</w:t>
      </w:r>
    </w:p>
    <w:p w:rsidR="00DD5A90" w:rsidRPr="0000288F" w:rsidRDefault="00DD5A90" w:rsidP="00DD5A90">
      <w:pPr>
        <w:adjustRightInd w:val="0"/>
        <w:ind w:left="851"/>
        <w:rPr>
          <w:sz w:val="24"/>
          <w:szCs w:val="24"/>
        </w:rPr>
      </w:pPr>
      <w:r w:rsidRPr="0000288F">
        <w:rPr>
          <w:sz w:val="24"/>
          <w:szCs w:val="24"/>
        </w:rPr>
        <w:t xml:space="preserve">Der er påvist kemisk og fysisk stabilitet af opløsning fortyndet med </w:t>
      </w:r>
      <w:proofErr w:type="spellStart"/>
      <w:r w:rsidRPr="0000288F">
        <w:rPr>
          <w:sz w:val="24"/>
          <w:szCs w:val="24"/>
        </w:rPr>
        <w:t>natriumchlorid</w:t>
      </w:r>
      <w:proofErr w:type="spellEnd"/>
      <w:r w:rsidRPr="0000288F">
        <w:rPr>
          <w:sz w:val="24"/>
          <w:szCs w:val="24"/>
        </w:rPr>
        <w:t xml:space="preserve"> 0,9 % til koncentrationer 0,2 mg/ml-4,0 mg/ml i 28 dage ved 2-8</w:t>
      </w:r>
      <w:r>
        <w:rPr>
          <w:sz w:val="24"/>
          <w:szCs w:val="24"/>
        </w:rPr>
        <w:t xml:space="preserve"> </w:t>
      </w:r>
      <w:r w:rsidRPr="0000288F">
        <w:rPr>
          <w:sz w:val="24"/>
          <w:szCs w:val="24"/>
        </w:rPr>
        <w:t>°C.</w:t>
      </w:r>
    </w:p>
    <w:p w:rsidR="00DD5A90" w:rsidRPr="0000288F" w:rsidRDefault="00DD5A90" w:rsidP="00DD5A90">
      <w:pPr>
        <w:adjustRightInd w:val="0"/>
        <w:ind w:left="851" w:hanging="851"/>
        <w:rPr>
          <w:sz w:val="24"/>
          <w:szCs w:val="24"/>
        </w:rPr>
      </w:pPr>
    </w:p>
    <w:p w:rsidR="00DD5A90" w:rsidRPr="0000288F" w:rsidRDefault="00DD5A90" w:rsidP="00DD5A90">
      <w:pPr>
        <w:adjustRightInd w:val="0"/>
        <w:ind w:left="851"/>
        <w:rPr>
          <w:sz w:val="24"/>
          <w:szCs w:val="24"/>
        </w:rPr>
      </w:pPr>
      <w:r w:rsidRPr="0000288F">
        <w:rPr>
          <w:sz w:val="24"/>
          <w:szCs w:val="24"/>
        </w:rPr>
        <w:t xml:space="preserve">Der er påvist kemisk og fysisk stabilitet af opløsning fortyndet med </w:t>
      </w:r>
      <w:proofErr w:type="spellStart"/>
      <w:r w:rsidRPr="0000288F">
        <w:rPr>
          <w:sz w:val="24"/>
          <w:szCs w:val="24"/>
        </w:rPr>
        <w:t>glucose</w:t>
      </w:r>
      <w:proofErr w:type="spellEnd"/>
      <w:r w:rsidRPr="0000288F">
        <w:rPr>
          <w:sz w:val="24"/>
          <w:szCs w:val="24"/>
        </w:rPr>
        <w:t xml:space="preserve"> 5</w:t>
      </w:r>
      <w:r>
        <w:rPr>
          <w:sz w:val="24"/>
          <w:szCs w:val="24"/>
        </w:rPr>
        <w:t xml:space="preserve"> %</w:t>
      </w:r>
      <w:r w:rsidRPr="0000288F">
        <w:rPr>
          <w:sz w:val="24"/>
          <w:szCs w:val="24"/>
        </w:rPr>
        <w:t xml:space="preserve"> til koncentration på 0,2 mg/ml i 4 dage ved 2-8</w:t>
      </w:r>
      <w:r>
        <w:rPr>
          <w:sz w:val="24"/>
          <w:szCs w:val="24"/>
        </w:rPr>
        <w:t xml:space="preserve"> </w:t>
      </w:r>
      <w:r w:rsidRPr="0000288F">
        <w:rPr>
          <w:sz w:val="24"/>
          <w:szCs w:val="24"/>
        </w:rPr>
        <w:t>°C og til en koncentration på 4,0 mg/ml i 28 dage ved 2-8</w:t>
      </w:r>
      <w:r>
        <w:rPr>
          <w:sz w:val="24"/>
          <w:szCs w:val="24"/>
        </w:rPr>
        <w:t xml:space="preserve"> </w:t>
      </w:r>
      <w:r w:rsidRPr="0000288F">
        <w:rPr>
          <w:sz w:val="24"/>
          <w:szCs w:val="24"/>
        </w:rPr>
        <w:t>°C</w:t>
      </w:r>
    </w:p>
    <w:p w:rsidR="00DD5A90" w:rsidRPr="0000288F" w:rsidRDefault="00DD5A90" w:rsidP="00DD5A90">
      <w:pPr>
        <w:adjustRightInd w:val="0"/>
        <w:ind w:left="851" w:hanging="851"/>
        <w:rPr>
          <w:sz w:val="24"/>
          <w:szCs w:val="24"/>
        </w:rPr>
      </w:pPr>
    </w:p>
    <w:p w:rsidR="00DD5A90" w:rsidRPr="0000288F" w:rsidRDefault="00DD5A90" w:rsidP="00DD5A90">
      <w:pPr>
        <w:adjustRightInd w:val="0"/>
        <w:ind w:left="851"/>
        <w:rPr>
          <w:sz w:val="24"/>
          <w:szCs w:val="24"/>
        </w:rPr>
      </w:pPr>
      <w:r w:rsidRPr="0000288F">
        <w:rPr>
          <w:sz w:val="24"/>
          <w:szCs w:val="24"/>
        </w:rPr>
        <w:t xml:space="preserve">Ud fra et mikrobiologisk synspunkt skal produktet anvendes straks. </w:t>
      </w:r>
    </w:p>
    <w:p w:rsidR="00DD5A90" w:rsidRPr="0000288F" w:rsidRDefault="00DD5A90" w:rsidP="00DD5A90">
      <w:pPr>
        <w:adjustRightInd w:val="0"/>
        <w:ind w:left="851"/>
        <w:rPr>
          <w:sz w:val="24"/>
          <w:szCs w:val="24"/>
        </w:rPr>
      </w:pPr>
      <w:r w:rsidRPr="0000288F">
        <w:rPr>
          <w:sz w:val="24"/>
          <w:szCs w:val="24"/>
        </w:rPr>
        <w:t>Hvis produktet ikke anvendes øjeblikkeligt, er opbevaringstiden efter åbning og opbevaringsforholdene før anvendelse brugerens ansvar. Opbevaringstiden bør normalt ikke overstige 24 timer ved 2-8</w:t>
      </w:r>
      <w:r>
        <w:rPr>
          <w:sz w:val="24"/>
          <w:szCs w:val="24"/>
        </w:rPr>
        <w:t xml:space="preserve"> </w:t>
      </w:r>
      <w:r w:rsidRPr="0000288F">
        <w:rPr>
          <w:sz w:val="24"/>
          <w:szCs w:val="24"/>
        </w:rPr>
        <w:t>°C, medmindre fortyndingen er sket under kontrollerede og godkendte aseptiske forhold.</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6.4</w:t>
      </w:r>
      <w:r w:rsidRPr="0000288F">
        <w:rPr>
          <w:b/>
          <w:sz w:val="24"/>
          <w:szCs w:val="24"/>
        </w:rPr>
        <w:tab/>
        <w:t>Særlige opbevaringsforhold</w:t>
      </w:r>
    </w:p>
    <w:p w:rsidR="00DD5A90" w:rsidRPr="0000288F" w:rsidRDefault="00DD5A90" w:rsidP="00DD5A90">
      <w:pPr>
        <w:adjustRightInd w:val="0"/>
        <w:ind w:left="851"/>
        <w:rPr>
          <w:sz w:val="24"/>
          <w:szCs w:val="24"/>
        </w:rPr>
      </w:pPr>
      <w:r w:rsidRPr="0000288F">
        <w:rPr>
          <w:sz w:val="24"/>
          <w:szCs w:val="24"/>
        </w:rPr>
        <w:t>Opbevares i køleskab (2-8</w:t>
      </w:r>
      <w:r>
        <w:rPr>
          <w:sz w:val="24"/>
          <w:szCs w:val="24"/>
        </w:rPr>
        <w:t xml:space="preserve"> </w:t>
      </w:r>
      <w:r w:rsidRPr="0000288F">
        <w:rPr>
          <w:sz w:val="24"/>
          <w:szCs w:val="24"/>
        </w:rPr>
        <w:t>°C).</w:t>
      </w:r>
    </w:p>
    <w:p w:rsidR="00DD5A90" w:rsidRPr="0000288F" w:rsidRDefault="00DD5A90" w:rsidP="00DD5A90">
      <w:pPr>
        <w:adjustRightInd w:val="0"/>
        <w:ind w:left="851" w:hanging="851"/>
        <w:rPr>
          <w:sz w:val="24"/>
          <w:szCs w:val="24"/>
        </w:rPr>
      </w:pPr>
    </w:p>
    <w:p w:rsidR="00DD5A90" w:rsidRPr="0000288F" w:rsidRDefault="00DD5A90" w:rsidP="00DD5A90">
      <w:pPr>
        <w:adjustRightInd w:val="0"/>
        <w:ind w:left="851"/>
        <w:rPr>
          <w:sz w:val="24"/>
          <w:szCs w:val="24"/>
        </w:rPr>
      </w:pPr>
      <w:r w:rsidRPr="0000288F">
        <w:rPr>
          <w:sz w:val="24"/>
          <w:szCs w:val="24"/>
        </w:rPr>
        <w:t>For opbevaringsforhold efter fortynding af lægemidlet, se pkt. 6.3.</w:t>
      </w:r>
    </w:p>
    <w:p w:rsidR="00DD5A90" w:rsidRPr="0000288F" w:rsidRDefault="00DD5A90" w:rsidP="00DD5A90">
      <w:pPr>
        <w:adjustRightInd w:val="0"/>
        <w:ind w:left="851" w:hanging="851"/>
        <w:rPr>
          <w:sz w:val="24"/>
          <w:szCs w:val="24"/>
        </w:rPr>
      </w:pPr>
    </w:p>
    <w:p w:rsidR="00197E7F" w:rsidRDefault="00DD5A90" w:rsidP="00197E7F">
      <w:pPr>
        <w:ind w:left="851" w:hanging="851"/>
        <w:rPr>
          <w:b/>
          <w:sz w:val="24"/>
          <w:szCs w:val="24"/>
        </w:rPr>
      </w:pPr>
      <w:r w:rsidRPr="0000288F">
        <w:rPr>
          <w:b/>
          <w:sz w:val="24"/>
          <w:szCs w:val="24"/>
        </w:rPr>
        <w:lastRenderedPageBreak/>
        <w:t>6.5</w:t>
      </w:r>
      <w:r w:rsidRPr="0000288F">
        <w:rPr>
          <w:b/>
          <w:sz w:val="24"/>
          <w:szCs w:val="24"/>
        </w:rPr>
        <w:tab/>
      </w:r>
      <w:r w:rsidR="00197E7F">
        <w:rPr>
          <w:b/>
          <w:sz w:val="24"/>
          <w:szCs w:val="24"/>
        </w:rPr>
        <w:t>Emballagetyper og pakningsstørrelser</w:t>
      </w:r>
    </w:p>
    <w:p w:rsidR="00197E7F" w:rsidRDefault="00197E7F" w:rsidP="00197E7F">
      <w:pPr>
        <w:suppressAutoHyphens/>
        <w:ind w:left="851"/>
        <w:rPr>
          <w:sz w:val="24"/>
          <w:szCs w:val="24"/>
        </w:rPr>
      </w:pPr>
      <w:r>
        <w:rPr>
          <w:sz w:val="24"/>
          <w:szCs w:val="24"/>
        </w:rPr>
        <w:t>Ravgule hætteglas, type I.</w:t>
      </w:r>
    </w:p>
    <w:p w:rsidR="00197E7F" w:rsidRDefault="00197E7F" w:rsidP="00197E7F">
      <w:pPr>
        <w:suppressAutoHyphens/>
        <w:ind w:left="851"/>
        <w:rPr>
          <w:sz w:val="24"/>
          <w:szCs w:val="24"/>
        </w:rPr>
      </w:pPr>
      <w:r>
        <w:rPr>
          <w:sz w:val="24"/>
          <w:szCs w:val="24"/>
        </w:rPr>
        <w:t xml:space="preserve">Hætteglassene er lukket med en grå </w:t>
      </w:r>
      <w:proofErr w:type="spellStart"/>
      <w:r>
        <w:rPr>
          <w:sz w:val="24"/>
          <w:szCs w:val="24"/>
        </w:rPr>
        <w:t>bomobutyl</w:t>
      </w:r>
      <w:proofErr w:type="spellEnd"/>
      <w:r>
        <w:rPr>
          <w:sz w:val="24"/>
          <w:szCs w:val="24"/>
        </w:rPr>
        <w:t xml:space="preserve"> gummiprop forseglet med aluminiumshætte.</w:t>
      </w:r>
    </w:p>
    <w:p w:rsidR="00197E7F" w:rsidRDefault="00197E7F" w:rsidP="00197E7F">
      <w:pPr>
        <w:suppressAutoHyphens/>
        <w:ind w:left="851" w:hanging="851"/>
        <w:rPr>
          <w:sz w:val="24"/>
          <w:szCs w:val="24"/>
        </w:rPr>
      </w:pPr>
    </w:p>
    <w:p w:rsidR="00197E7F" w:rsidRDefault="00197E7F" w:rsidP="00197E7F">
      <w:pPr>
        <w:suppressAutoHyphens/>
        <w:ind w:left="851"/>
        <w:rPr>
          <w:sz w:val="24"/>
          <w:szCs w:val="24"/>
        </w:rPr>
      </w:pPr>
      <w:r>
        <w:rPr>
          <w:sz w:val="24"/>
          <w:szCs w:val="24"/>
        </w:rPr>
        <w:t>Pakningsstørrelser:</w:t>
      </w:r>
    </w:p>
    <w:p w:rsidR="00197E7F" w:rsidRDefault="00197E7F" w:rsidP="00197E7F">
      <w:pPr>
        <w:suppressAutoHyphens/>
        <w:ind w:left="851"/>
        <w:rPr>
          <w:sz w:val="24"/>
          <w:szCs w:val="24"/>
        </w:rPr>
      </w:pPr>
      <w:r>
        <w:rPr>
          <w:sz w:val="24"/>
          <w:szCs w:val="24"/>
        </w:rPr>
        <w:t>1, 5, 10 hætteglas med 3 ml</w:t>
      </w:r>
    </w:p>
    <w:p w:rsidR="00197E7F" w:rsidRPr="00C84BEA" w:rsidRDefault="00197E7F" w:rsidP="00197E7F">
      <w:pPr>
        <w:suppressAutoHyphens/>
        <w:ind w:left="851"/>
        <w:rPr>
          <w:sz w:val="24"/>
          <w:szCs w:val="24"/>
        </w:rPr>
      </w:pPr>
      <w:r w:rsidRPr="00C84BEA">
        <w:rPr>
          <w:sz w:val="24"/>
          <w:szCs w:val="24"/>
        </w:rPr>
        <w:t>1, 5, 10 hætteglas med 5 ml</w:t>
      </w:r>
    </w:p>
    <w:p w:rsidR="00197E7F" w:rsidRPr="00C84BEA" w:rsidRDefault="00197E7F" w:rsidP="00197E7F">
      <w:pPr>
        <w:suppressAutoHyphens/>
        <w:ind w:left="851"/>
        <w:rPr>
          <w:sz w:val="24"/>
          <w:szCs w:val="24"/>
        </w:rPr>
      </w:pPr>
      <w:r w:rsidRPr="00C84BEA">
        <w:rPr>
          <w:sz w:val="24"/>
          <w:szCs w:val="24"/>
        </w:rPr>
        <w:t>1 hætteglas med 10 ml, 20 ml, 35 ml, 50 ml eller 100 ml.</w:t>
      </w:r>
    </w:p>
    <w:p w:rsidR="00197E7F" w:rsidRPr="00C84BEA" w:rsidRDefault="00197E7F" w:rsidP="00197E7F">
      <w:pPr>
        <w:suppressAutoHyphens/>
        <w:ind w:left="851" w:hanging="851"/>
        <w:rPr>
          <w:sz w:val="24"/>
          <w:szCs w:val="24"/>
        </w:rPr>
      </w:pPr>
    </w:p>
    <w:p w:rsidR="00197E7F" w:rsidRPr="00C84BEA" w:rsidRDefault="00197E7F" w:rsidP="00197E7F">
      <w:pPr>
        <w:suppressAutoHyphens/>
        <w:ind w:left="851"/>
        <w:rPr>
          <w:sz w:val="24"/>
          <w:szCs w:val="24"/>
        </w:rPr>
      </w:pPr>
      <w:r w:rsidRPr="00C84BEA">
        <w:rPr>
          <w:sz w:val="24"/>
          <w:szCs w:val="24"/>
        </w:rPr>
        <w:t xml:space="preserve">Ikke alle pakningsstørrelser er nødvendigvis markedsført. </w:t>
      </w:r>
    </w:p>
    <w:p w:rsidR="00197E7F" w:rsidRPr="00C84BEA" w:rsidRDefault="00197E7F" w:rsidP="00197E7F">
      <w:pPr>
        <w:ind w:left="851" w:hanging="851"/>
        <w:rPr>
          <w:sz w:val="24"/>
          <w:szCs w:val="24"/>
        </w:rPr>
      </w:pPr>
    </w:p>
    <w:p w:rsidR="00197E7F" w:rsidRPr="00C84BEA" w:rsidRDefault="00197E7F" w:rsidP="00197E7F">
      <w:pPr>
        <w:ind w:left="851" w:hanging="851"/>
        <w:rPr>
          <w:b/>
          <w:sz w:val="24"/>
          <w:szCs w:val="24"/>
        </w:rPr>
      </w:pPr>
      <w:r w:rsidRPr="00C84BEA">
        <w:rPr>
          <w:b/>
          <w:sz w:val="24"/>
          <w:szCs w:val="24"/>
        </w:rPr>
        <w:t>6.6</w:t>
      </w:r>
      <w:r w:rsidRPr="00C84BEA">
        <w:rPr>
          <w:b/>
          <w:sz w:val="24"/>
          <w:szCs w:val="24"/>
        </w:rPr>
        <w:tab/>
        <w:t>Regler for destruktion og anden håndtering</w:t>
      </w:r>
    </w:p>
    <w:p w:rsidR="00197E7F" w:rsidRDefault="00197E7F" w:rsidP="00197E7F">
      <w:pPr>
        <w:ind w:left="851"/>
        <w:rPr>
          <w:sz w:val="24"/>
          <w:szCs w:val="24"/>
        </w:rPr>
      </w:pPr>
      <w:r w:rsidRPr="00C84BEA">
        <w:rPr>
          <w:sz w:val="24"/>
          <w:szCs w:val="24"/>
        </w:rPr>
        <w:t xml:space="preserve">Før administration, bør </w:t>
      </w:r>
      <w:proofErr w:type="spellStart"/>
      <w:r w:rsidRPr="00C84BEA">
        <w:rPr>
          <w:sz w:val="24"/>
          <w:szCs w:val="24"/>
        </w:rPr>
        <w:t>calciumfolinat</w:t>
      </w:r>
      <w:proofErr w:type="spellEnd"/>
      <w:r w:rsidRPr="00C84BEA">
        <w:rPr>
          <w:sz w:val="24"/>
          <w:szCs w:val="24"/>
        </w:rPr>
        <w:t xml:space="preserve"> inspiceres visuelt. Opløsningen til injektion/infusionen bør være en klar gullig opløsning. </w:t>
      </w:r>
      <w:r>
        <w:rPr>
          <w:sz w:val="24"/>
          <w:szCs w:val="24"/>
        </w:rPr>
        <w:t xml:space="preserve">Hvis opløsningen er uklar eller der observeres partikler i den, skal opløsningen kasseres. </w:t>
      </w:r>
    </w:p>
    <w:p w:rsidR="00DD5A90" w:rsidRPr="0000288F" w:rsidRDefault="00DD5A90" w:rsidP="00197E7F">
      <w:pPr>
        <w:ind w:left="851" w:hanging="851"/>
        <w:rPr>
          <w:sz w:val="24"/>
          <w:szCs w:val="24"/>
        </w:rPr>
      </w:pPr>
    </w:p>
    <w:p w:rsidR="00DD5A90" w:rsidRPr="0000288F" w:rsidRDefault="00DD5A90" w:rsidP="00DD5A90">
      <w:pPr>
        <w:ind w:left="851"/>
        <w:rPr>
          <w:sz w:val="24"/>
          <w:szCs w:val="24"/>
          <w:u w:val="single"/>
        </w:rPr>
      </w:pPr>
      <w:r>
        <w:rPr>
          <w:sz w:val="24"/>
          <w:szCs w:val="24"/>
          <w:u w:val="single"/>
        </w:rPr>
        <w:t>Fortynding</w:t>
      </w:r>
      <w:r w:rsidRPr="0000288F">
        <w:rPr>
          <w:sz w:val="24"/>
          <w:szCs w:val="24"/>
          <w:u w:val="single"/>
        </w:rPr>
        <w:t xml:space="preserve"> til </w:t>
      </w:r>
      <w:r>
        <w:rPr>
          <w:sz w:val="24"/>
          <w:szCs w:val="24"/>
          <w:u w:val="single"/>
        </w:rPr>
        <w:t>infusion</w:t>
      </w:r>
    </w:p>
    <w:p w:rsidR="00DD5A90" w:rsidRPr="0000288F" w:rsidRDefault="00DD5A90" w:rsidP="00DD5A90">
      <w:pPr>
        <w:ind w:left="851"/>
        <w:rPr>
          <w:sz w:val="24"/>
          <w:szCs w:val="24"/>
        </w:rPr>
      </w:pPr>
      <w:r w:rsidRPr="0000288F">
        <w:rPr>
          <w:sz w:val="24"/>
          <w:szCs w:val="24"/>
        </w:rPr>
        <w:t>Baseret på den nødvendige dosis for patienten udtrykt i mg, skal den tilsvarende mængde af injektions-/infusionsvæske</w:t>
      </w:r>
      <w:r>
        <w:rPr>
          <w:sz w:val="24"/>
          <w:szCs w:val="24"/>
        </w:rPr>
        <w:t>, opløsning</w:t>
      </w:r>
      <w:r w:rsidRPr="0000288F">
        <w:rPr>
          <w:sz w:val="24"/>
          <w:szCs w:val="24"/>
        </w:rPr>
        <w:t xml:space="preserve"> indeholdende 10 mg/ml </w:t>
      </w:r>
      <w:proofErr w:type="spellStart"/>
      <w:r w:rsidRPr="0000288F">
        <w:rPr>
          <w:sz w:val="24"/>
          <w:szCs w:val="24"/>
        </w:rPr>
        <w:t>calciumfolinat</w:t>
      </w:r>
      <w:proofErr w:type="spellEnd"/>
      <w:r w:rsidRPr="0000288F">
        <w:rPr>
          <w:sz w:val="24"/>
          <w:szCs w:val="24"/>
        </w:rPr>
        <w:t xml:space="preserve"> trækkes ud af hætteglasset aseptisk og derefter fortynde</w:t>
      </w:r>
      <w:r>
        <w:rPr>
          <w:sz w:val="24"/>
          <w:szCs w:val="24"/>
        </w:rPr>
        <w:t>s</w:t>
      </w:r>
      <w:r w:rsidRPr="0000288F">
        <w:rPr>
          <w:sz w:val="24"/>
          <w:szCs w:val="24"/>
        </w:rPr>
        <w:t xml:space="preserve"> med 0,9</w:t>
      </w:r>
      <w:r>
        <w:rPr>
          <w:sz w:val="24"/>
          <w:szCs w:val="24"/>
        </w:rPr>
        <w:t xml:space="preserve"> %</w:t>
      </w:r>
      <w:r w:rsidRPr="0000288F">
        <w:rPr>
          <w:sz w:val="24"/>
          <w:szCs w:val="24"/>
        </w:rPr>
        <w:t xml:space="preserve"> </w:t>
      </w:r>
      <w:proofErr w:type="spellStart"/>
      <w:r w:rsidRPr="0000288F">
        <w:rPr>
          <w:sz w:val="24"/>
          <w:szCs w:val="24"/>
        </w:rPr>
        <w:t>natriumchloridopløsning</w:t>
      </w:r>
      <w:proofErr w:type="spellEnd"/>
      <w:r w:rsidRPr="0000288F">
        <w:rPr>
          <w:sz w:val="24"/>
          <w:szCs w:val="24"/>
        </w:rPr>
        <w:t xml:space="preserve"> eller 5</w:t>
      </w:r>
      <w:r>
        <w:rPr>
          <w:sz w:val="24"/>
          <w:szCs w:val="24"/>
        </w:rPr>
        <w:t xml:space="preserve"> % </w:t>
      </w:r>
      <w:proofErr w:type="spellStart"/>
      <w:r>
        <w:rPr>
          <w:sz w:val="24"/>
          <w:szCs w:val="24"/>
        </w:rPr>
        <w:t>glucose</w:t>
      </w:r>
      <w:r w:rsidRPr="0000288F">
        <w:rPr>
          <w:sz w:val="24"/>
          <w:szCs w:val="24"/>
        </w:rPr>
        <w:t>opløsning</w:t>
      </w:r>
      <w:proofErr w:type="spellEnd"/>
      <w:r w:rsidRPr="0000288F">
        <w:rPr>
          <w:sz w:val="24"/>
          <w:szCs w:val="24"/>
        </w:rPr>
        <w:t>.</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Kun til engangsbrug. Ubrugt opl</w:t>
      </w:r>
      <w:r>
        <w:rPr>
          <w:sz w:val="24"/>
          <w:szCs w:val="24"/>
        </w:rPr>
        <w:t>ø</w:t>
      </w:r>
      <w:r w:rsidRPr="0000288F">
        <w:rPr>
          <w:sz w:val="24"/>
          <w:szCs w:val="24"/>
        </w:rPr>
        <w:t>sning bør kasseres straks efter</w:t>
      </w:r>
      <w:r>
        <w:rPr>
          <w:sz w:val="24"/>
          <w:szCs w:val="24"/>
        </w:rPr>
        <w:t xml:space="preserve"> første </w:t>
      </w:r>
      <w:r w:rsidRPr="0000288F">
        <w:rPr>
          <w:sz w:val="24"/>
          <w:szCs w:val="24"/>
        </w:rPr>
        <w:t>anvendelse.</w:t>
      </w:r>
    </w:p>
    <w:p w:rsidR="00DD5A90" w:rsidRPr="0000288F" w:rsidRDefault="00DD5A90" w:rsidP="00DD5A90">
      <w:pPr>
        <w:ind w:left="851" w:hanging="851"/>
        <w:rPr>
          <w:sz w:val="24"/>
          <w:szCs w:val="24"/>
        </w:rPr>
      </w:pPr>
    </w:p>
    <w:p w:rsidR="00DD5A90" w:rsidRPr="0000288F" w:rsidRDefault="00DD5A90" w:rsidP="00DD5A90">
      <w:pPr>
        <w:ind w:left="851"/>
        <w:rPr>
          <w:sz w:val="24"/>
          <w:szCs w:val="24"/>
        </w:rPr>
      </w:pPr>
      <w:r w:rsidRPr="0000288F">
        <w:rPr>
          <w:sz w:val="24"/>
          <w:szCs w:val="24"/>
        </w:rPr>
        <w:t>Ikke anvendt lægemiddel samt affald heraf skal bortskaffes i henhold til lokale retningslinjer.</w:t>
      </w:r>
    </w:p>
    <w:p w:rsidR="00DD5A90" w:rsidRPr="0000288F" w:rsidRDefault="00DD5A90" w:rsidP="00DD5A90">
      <w:pPr>
        <w:ind w:left="851" w:hanging="851"/>
        <w:jc w:val="both"/>
        <w:rPr>
          <w:sz w:val="24"/>
          <w:szCs w:val="24"/>
        </w:rPr>
      </w:pPr>
    </w:p>
    <w:p w:rsidR="00DD5A90" w:rsidRPr="0000288F" w:rsidRDefault="00DD5A90" w:rsidP="00DD5A90">
      <w:pPr>
        <w:ind w:left="851" w:hanging="851"/>
        <w:rPr>
          <w:b/>
          <w:sz w:val="24"/>
          <w:szCs w:val="24"/>
        </w:rPr>
      </w:pPr>
      <w:r w:rsidRPr="0000288F">
        <w:rPr>
          <w:b/>
          <w:sz w:val="24"/>
          <w:szCs w:val="24"/>
        </w:rPr>
        <w:t>7.</w:t>
      </w:r>
      <w:r w:rsidRPr="0000288F">
        <w:rPr>
          <w:b/>
          <w:sz w:val="24"/>
          <w:szCs w:val="24"/>
        </w:rPr>
        <w:tab/>
        <w:t>INDEHAVER AF MARKEDSFØRINGSTILLADELSEN</w:t>
      </w:r>
    </w:p>
    <w:p w:rsidR="00DD5A90" w:rsidRPr="0000288F" w:rsidRDefault="00DD5A90" w:rsidP="00DD5A90">
      <w:pPr>
        <w:ind w:left="851"/>
        <w:jc w:val="both"/>
        <w:rPr>
          <w:spacing w:val="-3"/>
          <w:sz w:val="24"/>
          <w:szCs w:val="24"/>
        </w:rPr>
      </w:pPr>
      <w:r w:rsidRPr="0000288F">
        <w:rPr>
          <w:spacing w:val="-3"/>
          <w:sz w:val="24"/>
          <w:szCs w:val="24"/>
        </w:rPr>
        <w:t>Sandoz A/S</w:t>
      </w:r>
    </w:p>
    <w:p w:rsidR="00DD5A90" w:rsidRPr="0000288F" w:rsidRDefault="00DD5A90" w:rsidP="00DD5A90">
      <w:pPr>
        <w:ind w:left="851"/>
        <w:jc w:val="both"/>
        <w:rPr>
          <w:spacing w:val="-3"/>
          <w:sz w:val="24"/>
          <w:szCs w:val="24"/>
        </w:rPr>
      </w:pPr>
      <w:r w:rsidRPr="0000288F">
        <w:rPr>
          <w:spacing w:val="-3"/>
          <w:sz w:val="24"/>
          <w:szCs w:val="24"/>
        </w:rPr>
        <w:t>Edvard Thomsens Vej 14</w:t>
      </w:r>
    </w:p>
    <w:p w:rsidR="00DD5A90" w:rsidRPr="0000288F" w:rsidRDefault="00DD5A90" w:rsidP="00DD5A90">
      <w:pPr>
        <w:ind w:left="851"/>
        <w:jc w:val="both"/>
        <w:rPr>
          <w:spacing w:val="-3"/>
          <w:sz w:val="24"/>
          <w:szCs w:val="24"/>
        </w:rPr>
      </w:pPr>
      <w:r w:rsidRPr="0000288F">
        <w:rPr>
          <w:spacing w:val="-3"/>
          <w:sz w:val="24"/>
          <w:szCs w:val="24"/>
        </w:rPr>
        <w:t>2300 København S</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8.</w:t>
      </w:r>
      <w:r w:rsidRPr="0000288F">
        <w:rPr>
          <w:b/>
          <w:sz w:val="24"/>
          <w:szCs w:val="24"/>
        </w:rPr>
        <w:tab/>
        <w:t>MARKEDSFØRINGSTILLADELSESNUMMER (NUMRE)</w:t>
      </w:r>
    </w:p>
    <w:p w:rsidR="00DD5A90" w:rsidRPr="0000288F" w:rsidRDefault="00DD5A90" w:rsidP="00DD5A90">
      <w:pPr>
        <w:ind w:left="851"/>
        <w:rPr>
          <w:sz w:val="24"/>
          <w:szCs w:val="24"/>
        </w:rPr>
      </w:pPr>
      <w:r w:rsidRPr="0000288F">
        <w:rPr>
          <w:sz w:val="24"/>
          <w:szCs w:val="24"/>
        </w:rPr>
        <w:t>56706</w:t>
      </w:r>
    </w:p>
    <w:p w:rsidR="00DD5A90" w:rsidRPr="0000288F" w:rsidRDefault="00DD5A90" w:rsidP="00DD5A90">
      <w:pPr>
        <w:ind w:left="851" w:hanging="851"/>
        <w:jc w:val="both"/>
        <w:rPr>
          <w:sz w:val="24"/>
          <w:szCs w:val="24"/>
        </w:rPr>
      </w:pPr>
    </w:p>
    <w:p w:rsidR="00DD5A90" w:rsidRPr="0000288F" w:rsidRDefault="00DD5A90" w:rsidP="00DD5A90">
      <w:pPr>
        <w:ind w:left="851" w:hanging="851"/>
        <w:rPr>
          <w:b/>
          <w:sz w:val="24"/>
          <w:szCs w:val="24"/>
        </w:rPr>
      </w:pPr>
      <w:r w:rsidRPr="0000288F">
        <w:rPr>
          <w:b/>
          <w:sz w:val="24"/>
          <w:szCs w:val="24"/>
        </w:rPr>
        <w:t>9.</w:t>
      </w:r>
      <w:r w:rsidRPr="0000288F">
        <w:rPr>
          <w:b/>
          <w:sz w:val="24"/>
          <w:szCs w:val="24"/>
        </w:rPr>
        <w:tab/>
        <w:t>DATO FOR FØRSTE MARKEDSFØRINGSTILLADELSE</w:t>
      </w:r>
    </w:p>
    <w:p w:rsidR="00DD5A90" w:rsidRPr="0000288F" w:rsidRDefault="00DD5A90" w:rsidP="00DD5A90">
      <w:pPr>
        <w:ind w:left="851"/>
        <w:rPr>
          <w:sz w:val="24"/>
          <w:szCs w:val="24"/>
        </w:rPr>
      </w:pPr>
      <w:r w:rsidRPr="0000288F">
        <w:rPr>
          <w:sz w:val="24"/>
          <w:szCs w:val="24"/>
        </w:rPr>
        <w:t>30. november 2016</w:t>
      </w:r>
    </w:p>
    <w:p w:rsidR="00DD5A90" w:rsidRPr="0000288F" w:rsidRDefault="00DD5A90" w:rsidP="00DD5A90">
      <w:pPr>
        <w:ind w:left="851" w:hanging="851"/>
        <w:rPr>
          <w:sz w:val="24"/>
          <w:szCs w:val="24"/>
        </w:rPr>
      </w:pPr>
    </w:p>
    <w:p w:rsidR="00DD5A90" w:rsidRPr="0000288F" w:rsidRDefault="00DD5A90" w:rsidP="00DD5A90">
      <w:pPr>
        <w:ind w:left="851" w:hanging="851"/>
        <w:rPr>
          <w:b/>
          <w:sz w:val="24"/>
          <w:szCs w:val="24"/>
        </w:rPr>
      </w:pPr>
      <w:r w:rsidRPr="0000288F">
        <w:rPr>
          <w:b/>
          <w:sz w:val="24"/>
          <w:szCs w:val="24"/>
        </w:rPr>
        <w:t>10.</w:t>
      </w:r>
      <w:r w:rsidRPr="0000288F">
        <w:rPr>
          <w:b/>
          <w:sz w:val="24"/>
          <w:szCs w:val="24"/>
        </w:rPr>
        <w:tab/>
        <w:t>DATO FOR ÆNDRING AF TEKSTEN</w:t>
      </w:r>
    </w:p>
    <w:p w:rsidR="009260DE" w:rsidRPr="00F7103E" w:rsidRDefault="00BD4E0F" w:rsidP="00F7103E">
      <w:pPr>
        <w:ind w:left="851"/>
        <w:rPr>
          <w:sz w:val="24"/>
          <w:szCs w:val="24"/>
        </w:rPr>
      </w:pPr>
      <w:r>
        <w:rPr>
          <w:szCs w:val="24"/>
        </w:rPr>
        <w:t xml:space="preserve">13. </w:t>
      </w:r>
      <w:r w:rsidR="00CB6A3A">
        <w:rPr>
          <w:szCs w:val="24"/>
        </w:rPr>
        <w:t>j</w:t>
      </w:r>
      <w:r>
        <w:rPr>
          <w:szCs w:val="24"/>
        </w:rPr>
        <w:t>uli 2021</w:t>
      </w:r>
    </w:p>
    <w:sectPr w:rsidR="009260DE" w:rsidRPr="00F7103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A90" w:rsidRDefault="00DD5A90">
      <w:r>
        <w:separator/>
      </w:r>
    </w:p>
  </w:endnote>
  <w:endnote w:type="continuationSeparator" w:id="0">
    <w:p w:rsidR="00DD5A90" w:rsidRDefault="00DD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97981">
      <w:rPr>
        <w:i/>
        <w:noProof/>
        <w:sz w:val="18"/>
        <w:szCs w:val="18"/>
      </w:rPr>
      <w:t>Calciumfolinate Sandoz, injektions--infusionsvæske,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A90" w:rsidRDefault="00DD5A90">
      <w:r>
        <w:separator/>
      </w:r>
    </w:p>
  </w:footnote>
  <w:footnote w:type="continuationSeparator" w:id="0">
    <w:p w:rsidR="00DD5A90" w:rsidRDefault="00DD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26F"/>
    <w:multiLevelType w:val="hybridMultilevel"/>
    <w:tmpl w:val="DA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F6A3E43"/>
    <w:multiLevelType w:val="hybridMultilevel"/>
    <w:tmpl w:val="AF7E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5E7D70"/>
    <w:multiLevelType w:val="hybridMultilevel"/>
    <w:tmpl w:val="EA1C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63899"/>
    <w:multiLevelType w:val="hybridMultilevel"/>
    <w:tmpl w:val="DB5E5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90"/>
    <w:rsid w:val="000259B9"/>
    <w:rsid w:val="00041491"/>
    <w:rsid w:val="00050D16"/>
    <w:rsid w:val="00074F2A"/>
    <w:rsid w:val="000A1CA8"/>
    <w:rsid w:val="000A466B"/>
    <w:rsid w:val="000B058C"/>
    <w:rsid w:val="000E4EE6"/>
    <w:rsid w:val="0011299D"/>
    <w:rsid w:val="001454E2"/>
    <w:rsid w:val="00197E7F"/>
    <w:rsid w:val="00206CE8"/>
    <w:rsid w:val="0021526C"/>
    <w:rsid w:val="00283A2B"/>
    <w:rsid w:val="002B30AD"/>
    <w:rsid w:val="002C2C01"/>
    <w:rsid w:val="00306E92"/>
    <w:rsid w:val="00357A00"/>
    <w:rsid w:val="003A29AE"/>
    <w:rsid w:val="003A32D7"/>
    <w:rsid w:val="003B4074"/>
    <w:rsid w:val="003C769A"/>
    <w:rsid w:val="003F1838"/>
    <w:rsid w:val="00442A9A"/>
    <w:rsid w:val="0045746C"/>
    <w:rsid w:val="0049104B"/>
    <w:rsid w:val="004E3B12"/>
    <w:rsid w:val="00532310"/>
    <w:rsid w:val="00560ECC"/>
    <w:rsid w:val="00565F0F"/>
    <w:rsid w:val="00594A86"/>
    <w:rsid w:val="00596D86"/>
    <w:rsid w:val="0062053A"/>
    <w:rsid w:val="00637F5A"/>
    <w:rsid w:val="006560B1"/>
    <w:rsid w:val="006756DD"/>
    <w:rsid w:val="00737275"/>
    <w:rsid w:val="00740EEC"/>
    <w:rsid w:val="0078011A"/>
    <w:rsid w:val="00782AF4"/>
    <w:rsid w:val="00790EE7"/>
    <w:rsid w:val="007B6649"/>
    <w:rsid w:val="0081546F"/>
    <w:rsid w:val="0082576E"/>
    <w:rsid w:val="00883568"/>
    <w:rsid w:val="00907F75"/>
    <w:rsid w:val="009260DE"/>
    <w:rsid w:val="0093258A"/>
    <w:rsid w:val="009C7BA3"/>
    <w:rsid w:val="009D1F5A"/>
    <w:rsid w:val="00B003BF"/>
    <w:rsid w:val="00B373D7"/>
    <w:rsid w:val="00B51F53"/>
    <w:rsid w:val="00B97981"/>
    <w:rsid w:val="00BD4E0F"/>
    <w:rsid w:val="00C24C9E"/>
    <w:rsid w:val="00C36276"/>
    <w:rsid w:val="00C42586"/>
    <w:rsid w:val="00C5153D"/>
    <w:rsid w:val="00C60CCD"/>
    <w:rsid w:val="00C84483"/>
    <w:rsid w:val="00C84BEA"/>
    <w:rsid w:val="00C95551"/>
    <w:rsid w:val="00CB20D7"/>
    <w:rsid w:val="00CB6A3A"/>
    <w:rsid w:val="00D020B0"/>
    <w:rsid w:val="00D11748"/>
    <w:rsid w:val="00D366CF"/>
    <w:rsid w:val="00D55931"/>
    <w:rsid w:val="00DD5A90"/>
    <w:rsid w:val="00E108AA"/>
    <w:rsid w:val="00E31812"/>
    <w:rsid w:val="00E3749A"/>
    <w:rsid w:val="00E41D0F"/>
    <w:rsid w:val="00E7437F"/>
    <w:rsid w:val="00E865B8"/>
    <w:rsid w:val="00EC0B9B"/>
    <w:rsid w:val="00ED5E9F"/>
    <w:rsid w:val="00F66D4F"/>
    <w:rsid w:val="00F7103E"/>
    <w:rsid w:val="00FA60D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0E41F8-211F-4907-8079-FB4EA140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D5A90"/>
    <w:pPr>
      <w:ind w:left="720"/>
      <w:contextualSpacing/>
    </w:pPr>
    <w:rPr>
      <w:sz w:val="22"/>
    </w:rPr>
  </w:style>
  <w:style w:type="character" w:styleId="Hyperlink">
    <w:name w:val="Hyperlink"/>
    <w:basedOn w:val="Standardskrifttypeiafsnit"/>
    <w:uiPriority w:val="99"/>
    <w:unhideWhenUsed/>
    <w:rsid w:val="00DD5A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3118199">
      <w:bodyDiv w:val="1"/>
      <w:marLeft w:val="0"/>
      <w:marRight w:val="0"/>
      <w:marTop w:val="0"/>
      <w:marBottom w:val="0"/>
      <w:divBdr>
        <w:top w:val="none" w:sz="0" w:space="0" w:color="auto"/>
        <w:left w:val="none" w:sz="0" w:space="0" w:color="auto"/>
        <w:bottom w:val="none" w:sz="0" w:space="0" w:color="auto"/>
        <w:right w:val="none" w:sz="0" w:space="0" w:color="auto"/>
      </w:divBdr>
    </w:div>
    <w:div w:id="1000082265">
      <w:bodyDiv w:val="1"/>
      <w:marLeft w:val="0"/>
      <w:marRight w:val="0"/>
      <w:marTop w:val="0"/>
      <w:marBottom w:val="0"/>
      <w:divBdr>
        <w:top w:val="none" w:sz="0" w:space="0" w:color="auto"/>
        <w:left w:val="none" w:sz="0" w:space="0" w:color="auto"/>
        <w:bottom w:val="none" w:sz="0" w:space="0" w:color="auto"/>
        <w:right w:val="none" w:sz="0" w:space="0" w:color="auto"/>
      </w:divBdr>
    </w:div>
    <w:div w:id="1788894168">
      <w:bodyDiv w:val="1"/>
      <w:marLeft w:val="0"/>
      <w:marRight w:val="0"/>
      <w:marTop w:val="0"/>
      <w:marBottom w:val="0"/>
      <w:divBdr>
        <w:top w:val="none" w:sz="0" w:space="0" w:color="auto"/>
        <w:left w:val="none" w:sz="0" w:space="0" w:color="auto"/>
        <w:bottom w:val="none" w:sz="0" w:space="0" w:color="auto"/>
        <w:right w:val="none" w:sz="0" w:space="0" w:color="auto"/>
      </w:divBdr>
    </w:div>
    <w:div w:id="1808283669">
      <w:bodyDiv w:val="1"/>
      <w:marLeft w:val="0"/>
      <w:marRight w:val="0"/>
      <w:marTop w:val="0"/>
      <w:marBottom w:val="0"/>
      <w:divBdr>
        <w:top w:val="none" w:sz="0" w:space="0" w:color="auto"/>
        <w:left w:val="none" w:sz="0" w:space="0" w:color="auto"/>
        <w:bottom w:val="none" w:sz="0" w:space="0" w:color="auto"/>
        <w:right w:val="none" w:sz="0" w:space="0" w:color="auto"/>
      </w:divBdr>
    </w:div>
    <w:div w:id="195547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21</TotalTime>
  <Pages>11</Pages>
  <Words>3059</Words>
  <Characters>20763</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Sagsnr. 2020083827_x000d_
spc pkt. 2, 4.4, 4.8, 6.5, 10</dc:description>
  <cp:lastModifiedBy>Betty Winther Andersen</cp:lastModifiedBy>
  <cp:revision>12</cp:revision>
  <cp:lastPrinted>2012-08-22T08:53:00Z</cp:lastPrinted>
  <dcterms:created xsi:type="dcterms:W3CDTF">2021-07-09T10:18:00Z</dcterms:created>
  <dcterms:modified xsi:type="dcterms:W3CDTF">2021-07-13T06:59:00Z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