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C35" w:rsidRPr="008F49E1" w:rsidRDefault="00853C35" w:rsidP="00853C35">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49C400EE" wp14:editId="7F6493B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53C35" w:rsidRPr="00C84483" w:rsidRDefault="00853C35" w:rsidP="00853C35">
      <w:pPr>
        <w:pStyle w:val="Titel"/>
        <w:tabs>
          <w:tab w:val="right" w:pos="9356"/>
        </w:tabs>
        <w:jc w:val="left"/>
        <w:rPr>
          <w:b w:val="0"/>
          <w:szCs w:val="24"/>
          <w:lang w:eastAsia="en-US"/>
        </w:rPr>
      </w:pPr>
      <w:r w:rsidRPr="00C84483">
        <w:rPr>
          <w:b w:val="0"/>
          <w:szCs w:val="24"/>
          <w:lang w:eastAsia="en-US"/>
        </w:rPr>
        <w:tab/>
      </w:r>
      <w:r w:rsidR="00B84028">
        <w:rPr>
          <w:szCs w:val="24"/>
        </w:rPr>
        <w:t>13</w:t>
      </w:r>
      <w:r>
        <w:rPr>
          <w:szCs w:val="24"/>
        </w:rPr>
        <w:t xml:space="preserve">. </w:t>
      </w:r>
      <w:r w:rsidR="00B84028">
        <w:rPr>
          <w:szCs w:val="24"/>
        </w:rPr>
        <w:t>oktober</w:t>
      </w:r>
      <w:r>
        <w:rPr>
          <w:szCs w:val="24"/>
        </w:rPr>
        <w:t xml:space="preserve"> 20</w:t>
      </w:r>
      <w:r w:rsidR="00B84028">
        <w:rPr>
          <w:szCs w:val="24"/>
        </w:rPr>
        <w:t>23</w:t>
      </w:r>
    </w:p>
    <w:p w:rsidR="00853C35" w:rsidRPr="00C84483" w:rsidRDefault="00853C35" w:rsidP="00853C35">
      <w:pPr>
        <w:pStyle w:val="Titel"/>
        <w:tabs>
          <w:tab w:val="left" w:pos="8222"/>
        </w:tabs>
        <w:jc w:val="left"/>
        <w:rPr>
          <w:b w:val="0"/>
          <w:szCs w:val="24"/>
        </w:rPr>
      </w:pPr>
    </w:p>
    <w:p w:rsidR="00853C35" w:rsidRPr="00C84483" w:rsidRDefault="00853C35" w:rsidP="00853C35">
      <w:pPr>
        <w:pStyle w:val="Titel"/>
        <w:jc w:val="left"/>
        <w:rPr>
          <w:b w:val="0"/>
          <w:szCs w:val="24"/>
        </w:rPr>
      </w:pPr>
    </w:p>
    <w:p w:rsidR="00853C35" w:rsidRPr="00C84483" w:rsidRDefault="00853C35" w:rsidP="00853C35">
      <w:pPr>
        <w:pStyle w:val="Titel"/>
        <w:jc w:val="left"/>
        <w:rPr>
          <w:b w:val="0"/>
          <w:szCs w:val="24"/>
        </w:rPr>
      </w:pPr>
    </w:p>
    <w:p w:rsidR="00853C35" w:rsidRPr="00C84483" w:rsidRDefault="00853C35" w:rsidP="00853C35">
      <w:pPr>
        <w:jc w:val="center"/>
        <w:rPr>
          <w:b/>
          <w:sz w:val="24"/>
          <w:szCs w:val="24"/>
        </w:rPr>
      </w:pPr>
      <w:r w:rsidRPr="00C84483">
        <w:rPr>
          <w:b/>
          <w:sz w:val="24"/>
          <w:szCs w:val="24"/>
        </w:rPr>
        <w:t>PRODUKTRESUMÉ</w:t>
      </w:r>
    </w:p>
    <w:p w:rsidR="00853C35" w:rsidRPr="00C84483" w:rsidRDefault="00853C35" w:rsidP="00853C35">
      <w:pPr>
        <w:jc w:val="center"/>
        <w:rPr>
          <w:b/>
          <w:sz w:val="24"/>
          <w:szCs w:val="24"/>
        </w:rPr>
      </w:pPr>
    </w:p>
    <w:p w:rsidR="00853C35" w:rsidRDefault="00853C35" w:rsidP="00853C35">
      <w:pPr>
        <w:jc w:val="center"/>
        <w:rPr>
          <w:b/>
          <w:sz w:val="24"/>
          <w:szCs w:val="24"/>
        </w:rPr>
      </w:pPr>
      <w:r w:rsidRPr="00C84483">
        <w:rPr>
          <w:b/>
          <w:sz w:val="24"/>
          <w:szCs w:val="24"/>
        </w:rPr>
        <w:t>for</w:t>
      </w:r>
    </w:p>
    <w:p w:rsidR="00853C35" w:rsidRPr="00C84483" w:rsidRDefault="00853C35" w:rsidP="00853C35">
      <w:pPr>
        <w:jc w:val="center"/>
        <w:rPr>
          <w:b/>
          <w:sz w:val="24"/>
          <w:szCs w:val="24"/>
        </w:rPr>
      </w:pPr>
    </w:p>
    <w:p w:rsidR="00853C35" w:rsidRPr="00C84483" w:rsidRDefault="00853C35" w:rsidP="00853C35">
      <w:pPr>
        <w:jc w:val="center"/>
        <w:rPr>
          <w:b/>
          <w:sz w:val="24"/>
          <w:szCs w:val="24"/>
        </w:rPr>
      </w:pPr>
      <w:proofErr w:type="spellStart"/>
      <w:r>
        <w:rPr>
          <w:b/>
          <w:sz w:val="24"/>
          <w:szCs w:val="24"/>
        </w:rPr>
        <w:t>Calrecia</w:t>
      </w:r>
      <w:proofErr w:type="spellEnd"/>
      <w:r>
        <w:rPr>
          <w:b/>
          <w:sz w:val="24"/>
          <w:szCs w:val="24"/>
        </w:rPr>
        <w:t>, infusionsvæske, opløsning</w:t>
      </w:r>
    </w:p>
    <w:p w:rsidR="00853C35" w:rsidRPr="00C84483" w:rsidRDefault="00853C35" w:rsidP="00853C35">
      <w:pPr>
        <w:jc w:val="both"/>
        <w:rPr>
          <w:sz w:val="24"/>
          <w:szCs w:val="24"/>
        </w:rPr>
      </w:pPr>
    </w:p>
    <w:p w:rsidR="00853C35" w:rsidRPr="005910F9" w:rsidRDefault="00853C35" w:rsidP="00853C35">
      <w:pPr>
        <w:ind w:left="851" w:hanging="851"/>
        <w:jc w:val="both"/>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0.</w:t>
      </w:r>
      <w:r w:rsidRPr="005910F9">
        <w:rPr>
          <w:b/>
          <w:sz w:val="24"/>
          <w:szCs w:val="24"/>
        </w:rPr>
        <w:tab/>
        <w:t>D.SP.NR.</w:t>
      </w:r>
    </w:p>
    <w:p w:rsidR="00853C35" w:rsidRPr="005910F9" w:rsidRDefault="00853C35" w:rsidP="00853C35">
      <w:pPr>
        <w:tabs>
          <w:tab w:val="left" w:pos="851"/>
        </w:tabs>
        <w:ind w:left="851" w:hanging="851"/>
        <w:rPr>
          <w:sz w:val="24"/>
          <w:szCs w:val="24"/>
        </w:rPr>
      </w:pPr>
      <w:r>
        <w:rPr>
          <w:sz w:val="24"/>
          <w:szCs w:val="24"/>
        </w:rPr>
        <w:tab/>
      </w:r>
      <w:r w:rsidRPr="005910F9">
        <w:rPr>
          <w:sz w:val="24"/>
          <w:szCs w:val="24"/>
        </w:rPr>
        <w:t>30799</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1.</w:t>
      </w:r>
      <w:r w:rsidRPr="005910F9">
        <w:rPr>
          <w:b/>
          <w:sz w:val="24"/>
          <w:szCs w:val="24"/>
        </w:rPr>
        <w:tab/>
        <w:t>LÆGEMIDLETS NAVN</w:t>
      </w:r>
    </w:p>
    <w:p w:rsidR="00853C35" w:rsidRPr="005910F9" w:rsidRDefault="00853C35" w:rsidP="00853C35">
      <w:pPr>
        <w:tabs>
          <w:tab w:val="left" w:pos="851"/>
        </w:tabs>
        <w:ind w:left="851" w:hanging="851"/>
        <w:rPr>
          <w:sz w:val="24"/>
          <w:szCs w:val="24"/>
        </w:rPr>
      </w:pPr>
      <w:r>
        <w:rPr>
          <w:sz w:val="24"/>
          <w:szCs w:val="24"/>
        </w:rPr>
        <w:tab/>
      </w:r>
      <w:proofErr w:type="spellStart"/>
      <w:r w:rsidRPr="005910F9">
        <w:rPr>
          <w:sz w:val="24"/>
          <w:szCs w:val="24"/>
        </w:rPr>
        <w:t>Calrecia</w:t>
      </w:r>
      <w:proofErr w:type="spellEnd"/>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2.</w:t>
      </w:r>
      <w:r w:rsidRPr="005910F9">
        <w:rPr>
          <w:b/>
          <w:sz w:val="24"/>
          <w:szCs w:val="24"/>
        </w:rPr>
        <w:tab/>
        <w:t>KVALITATIV OG KVANTITATIV SAMMENSÆTNING</w:t>
      </w:r>
    </w:p>
    <w:p w:rsidR="00853C35" w:rsidRPr="005910F9" w:rsidRDefault="00853C35" w:rsidP="00853C35">
      <w:pPr>
        <w:ind w:left="851"/>
        <w:rPr>
          <w:sz w:val="24"/>
          <w:szCs w:val="24"/>
        </w:rPr>
      </w:pPr>
      <w:proofErr w:type="spellStart"/>
      <w:r w:rsidRPr="005910F9">
        <w:rPr>
          <w:sz w:val="24"/>
          <w:szCs w:val="24"/>
        </w:rPr>
        <w:t>Calrecia</w:t>
      </w:r>
      <w:proofErr w:type="spellEnd"/>
      <w:r w:rsidRPr="005910F9">
        <w:rPr>
          <w:sz w:val="24"/>
          <w:szCs w:val="24"/>
        </w:rPr>
        <w:t xml:space="preserve"> leveres i en pose med 1.500 ml brugsfærdig opløsning.</w:t>
      </w:r>
    </w:p>
    <w:p w:rsidR="00853C35" w:rsidRPr="005910F9" w:rsidRDefault="00853C35" w:rsidP="00853C35">
      <w:pPr>
        <w:tabs>
          <w:tab w:val="left" w:pos="3261"/>
        </w:tabs>
        <w:ind w:left="851" w:hanging="851"/>
        <w:rPr>
          <w:sz w:val="24"/>
          <w:szCs w:val="24"/>
        </w:rPr>
      </w:pPr>
    </w:p>
    <w:p w:rsidR="00B84028" w:rsidRPr="005910F9" w:rsidRDefault="00853C35" w:rsidP="00B84028">
      <w:pPr>
        <w:tabs>
          <w:tab w:val="right" w:pos="3828"/>
        </w:tabs>
        <w:ind w:left="851" w:hanging="851"/>
        <w:rPr>
          <w:sz w:val="24"/>
          <w:szCs w:val="24"/>
        </w:rPr>
      </w:pPr>
      <w:r>
        <w:rPr>
          <w:sz w:val="24"/>
          <w:szCs w:val="24"/>
        </w:rPr>
        <w:tab/>
      </w:r>
      <w:r w:rsidR="00B84028" w:rsidRPr="005910F9">
        <w:rPr>
          <w:sz w:val="24"/>
          <w:szCs w:val="24"/>
        </w:rPr>
        <w:t>1.000 ml opløsning indeholder:</w:t>
      </w:r>
      <w:r w:rsidR="00B84028" w:rsidRPr="005910F9">
        <w:rPr>
          <w:sz w:val="24"/>
          <w:szCs w:val="24"/>
        </w:rPr>
        <w:br/>
      </w:r>
    </w:p>
    <w:p w:rsidR="00B84028" w:rsidRPr="005910F9" w:rsidRDefault="00B84028" w:rsidP="00B84028">
      <w:pPr>
        <w:tabs>
          <w:tab w:val="right" w:pos="3828"/>
        </w:tabs>
        <w:ind w:left="851" w:hanging="851"/>
        <w:rPr>
          <w:sz w:val="24"/>
          <w:szCs w:val="24"/>
        </w:rPr>
      </w:pPr>
      <w:r>
        <w:rPr>
          <w:sz w:val="24"/>
          <w:szCs w:val="24"/>
        </w:rPr>
        <w:tab/>
      </w:r>
      <w:proofErr w:type="spellStart"/>
      <w:r w:rsidRPr="005910F9">
        <w:rPr>
          <w:sz w:val="24"/>
          <w:szCs w:val="24"/>
        </w:rPr>
        <w:t>Calciumchloriddihydrat</w:t>
      </w:r>
      <w:proofErr w:type="spellEnd"/>
      <w:r w:rsidRPr="005910F9">
        <w:rPr>
          <w:sz w:val="24"/>
          <w:szCs w:val="24"/>
        </w:rPr>
        <w:tab/>
      </w:r>
      <w:r>
        <w:rPr>
          <w:sz w:val="24"/>
          <w:szCs w:val="24"/>
        </w:rPr>
        <w:tab/>
      </w:r>
      <w:r w:rsidRPr="005910F9">
        <w:rPr>
          <w:sz w:val="24"/>
          <w:szCs w:val="24"/>
        </w:rPr>
        <w:t>14,7 g</w:t>
      </w:r>
    </w:p>
    <w:p w:rsidR="00B84028" w:rsidRPr="005910F9" w:rsidRDefault="00B84028" w:rsidP="00B84028">
      <w:pPr>
        <w:ind w:left="851" w:hanging="851"/>
        <w:rPr>
          <w:sz w:val="24"/>
          <w:szCs w:val="24"/>
        </w:rPr>
      </w:pPr>
    </w:p>
    <w:p w:rsidR="00B84028" w:rsidRPr="005910F9" w:rsidRDefault="00B84028" w:rsidP="00B84028">
      <w:pPr>
        <w:tabs>
          <w:tab w:val="right" w:pos="3828"/>
        </w:tabs>
        <w:ind w:left="851" w:hanging="851"/>
        <w:rPr>
          <w:sz w:val="24"/>
          <w:szCs w:val="24"/>
        </w:rPr>
      </w:pPr>
      <w:r>
        <w:rPr>
          <w:sz w:val="24"/>
          <w:szCs w:val="24"/>
        </w:rPr>
        <w:tab/>
      </w:r>
      <w:r w:rsidRPr="005910F9">
        <w:rPr>
          <w:sz w:val="24"/>
          <w:szCs w:val="24"/>
        </w:rPr>
        <w:t>Ca</w:t>
      </w:r>
      <w:r w:rsidRPr="005910F9">
        <w:rPr>
          <w:sz w:val="24"/>
          <w:szCs w:val="24"/>
          <w:vertAlign w:val="superscript"/>
        </w:rPr>
        <w:t>2+</w:t>
      </w:r>
      <w:r w:rsidRPr="005910F9">
        <w:rPr>
          <w:sz w:val="24"/>
          <w:szCs w:val="24"/>
        </w:rPr>
        <w:tab/>
      </w:r>
      <w:r>
        <w:rPr>
          <w:sz w:val="24"/>
          <w:szCs w:val="24"/>
        </w:rPr>
        <w:tab/>
      </w:r>
      <w:r w:rsidRPr="005910F9">
        <w:rPr>
          <w:sz w:val="24"/>
          <w:szCs w:val="24"/>
        </w:rPr>
        <w:t xml:space="preserve">100 mmol </w:t>
      </w:r>
      <w:r w:rsidRPr="005910F9">
        <w:rPr>
          <w:sz w:val="24"/>
          <w:szCs w:val="24"/>
        </w:rPr>
        <w:br/>
        <w:t>Cl</w:t>
      </w:r>
      <w:r w:rsidRPr="005910F9">
        <w:rPr>
          <w:sz w:val="24"/>
          <w:szCs w:val="24"/>
          <w:vertAlign w:val="superscript"/>
        </w:rPr>
        <w:t>-</w:t>
      </w:r>
      <w:r w:rsidRPr="005910F9">
        <w:rPr>
          <w:sz w:val="24"/>
          <w:szCs w:val="24"/>
        </w:rPr>
        <w:tab/>
      </w:r>
      <w:r>
        <w:rPr>
          <w:sz w:val="24"/>
          <w:szCs w:val="24"/>
        </w:rPr>
        <w:tab/>
      </w:r>
      <w:r w:rsidRPr="005910F9">
        <w:rPr>
          <w:sz w:val="24"/>
          <w:szCs w:val="24"/>
        </w:rPr>
        <w:t xml:space="preserve">200 mmol </w:t>
      </w:r>
    </w:p>
    <w:p w:rsidR="00853C35" w:rsidRPr="005910F9" w:rsidRDefault="00853C35" w:rsidP="00B84028">
      <w:pPr>
        <w:tabs>
          <w:tab w:val="right" w:pos="3828"/>
        </w:tabs>
        <w:ind w:left="851" w:hanging="851"/>
        <w:rPr>
          <w:sz w:val="24"/>
          <w:szCs w:val="24"/>
        </w:rPr>
      </w:pPr>
    </w:p>
    <w:p w:rsidR="00853C35" w:rsidRPr="005910F9" w:rsidRDefault="00853C35" w:rsidP="00853C35">
      <w:pPr>
        <w:ind w:left="851"/>
        <w:rPr>
          <w:sz w:val="24"/>
          <w:szCs w:val="24"/>
        </w:rPr>
      </w:pPr>
      <w:r w:rsidRPr="005910F9">
        <w:rPr>
          <w:sz w:val="24"/>
          <w:szCs w:val="24"/>
        </w:rPr>
        <w:t>Alle hjælpestoffer er anført under pkt. 6.1.</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3.</w:t>
      </w:r>
      <w:r w:rsidRPr="005910F9">
        <w:rPr>
          <w:b/>
          <w:sz w:val="24"/>
          <w:szCs w:val="24"/>
        </w:rPr>
        <w:tab/>
        <w:t>LÆGEMIDDELFORM</w:t>
      </w:r>
    </w:p>
    <w:p w:rsidR="00853C35" w:rsidRPr="005910F9" w:rsidRDefault="00853C35" w:rsidP="00853C35">
      <w:pPr>
        <w:ind w:left="851"/>
        <w:rPr>
          <w:sz w:val="24"/>
          <w:szCs w:val="24"/>
        </w:rPr>
      </w:pPr>
      <w:r w:rsidRPr="005910F9">
        <w:rPr>
          <w:sz w:val="24"/>
          <w:szCs w:val="24"/>
        </w:rPr>
        <w:t>Infusionsvæske, opløsning</w:t>
      </w:r>
    </w:p>
    <w:p w:rsidR="00B84028" w:rsidRPr="005910F9" w:rsidRDefault="00B84028" w:rsidP="00B84028">
      <w:pPr>
        <w:ind w:left="851"/>
        <w:rPr>
          <w:sz w:val="24"/>
          <w:szCs w:val="24"/>
        </w:rPr>
      </w:pPr>
      <w:r w:rsidRPr="005910F9">
        <w:rPr>
          <w:sz w:val="24"/>
          <w:szCs w:val="24"/>
        </w:rPr>
        <w:t xml:space="preserve">Væsken er klar og farveløs og </w:t>
      </w:r>
      <w:r>
        <w:rPr>
          <w:sz w:val="24"/>
          <w:szCs w:val="24"/>
        </w:rPr>
        <w:t xml:space="preserve">praktisk talt </w:t>
      </w:r>
      <w:r w:rsidRPr="005910F9">
        <w:rPr>
          <w:sz w:val="24"/>
          <w:szCs w:val="24"/>
        </w:rPr>
        <w:t>uden partikler.</w:t>
      </w:r>
    </w:p>
    <w:p w:rsidR="00B84028" w:rsidRPr="005910F9" w:rsidRDefault="00B84028" w:rsidP="00B84028">
      <w:pPr>
        <w:ind w:left="851" w:hanging="851"/>
        <w:rPr>
          <w:sz w:val="24"/>
          <w:szCs w:val="24"/>
        </w:rPr>
      </w:pPr>
    </w:p>
    <w:p w:rsidR="00B84028" w:rsidRPr="005910F9" w:rsidRDefault="00B84028" w:rsidP="00B84028">
      <w:pPr>
        <w:tabs>
          <w:tab w:val="right" w:pos="3828"/>
        </w:tabs>
        <w:ind w:left="851" w:hanging="851"/>
        <w:rPr>
          <w:sz w:val="24"/>
          <w:szCs w:val="24"/>
        </w:rPr>
      </w:pPr>
      <w:r>
        <w:rPr>
          <w:sz w:val="24"/>
          <w:szCs w:val="24"/>
        </w:rPr>
        <w:tab/>
      </w:r>
      <w:r w:rsidRPr="005910F9">
        <w:rPr>
          <w:sz w:val="24"/>
          <w:szCs w:val="24"/>
        </w:rPr>
        <w:t xml:space="preserve">Teoretisk </w:t>
      </w:r>
      <w:proofErr w:type="spellStart"/>
      <w:r w:rsidRPr="005910F9">
        <w:rPr>
          <w:sz w:val="24"/>
          <w:szCs w:val="24"/>
        </w:rPr>
        <w:t>osmolaritet</w:t>
      </w:r>
      <w:proofErr w:type="spellEnd"/>
      <w:r w:rsidRPr="005910F9">
        <w:rPr>
          <w:sz w:val="24"/>
          <w:szCs w:val="24"/>
        </w:rPr>
        <w:t xml:space="preserve">: </w:t>
      </w:r>
      <w:r>
        <w:rPr>
          <w:sz w:val="24"/>
          <w:szCs w:val="24"/>
        </w:rPr>
        <w:tab/>
      </w:r>
      <w:r w:rsidRPr="005910F9">
        <w:rPr>
          <w:sz w:val="24"/>
          <w:szCs w:val="24"/>
        </w:rPr>
        <w:tab/>
        <w:t>300 </w:t>
      </w:r>
      <w:proofErr w:type="spellStart"/>
      <w:r w:rsidRPr="005910F9">
        <w:rPr>
          <w:sz w:val="24"/>
          <w:szCs w:val="24"/>
        </w:rPr>
        <w:t>mOsm</w:t>
      </w:r>
      <w:proofErr w:type="spellEnd"/>
      <w:r w:rsidRPr="005910F9">
        <w:rPr>
          <w:sz w:val="24"/>
          <w:szCs w:val="24"/>
        </w:rPr>
        <w:t>/l</w:t>
      </w:r>
    </w:p>
    <w:p w:rsidR="00B84028" w:rsidRPr="005910F9" w:rsidRDefault="00B84028" w:rsidP="00B84028">
      <w:pPr>
        <w:tabs>
          <w:tab w:val="right" w:pos="3828"/>
        </w:tabs>
        <w:ind w:left="851" w:hanging="851"/>
        <w:rPr>
          <w:sz w:val="24"/>
          <w:szCs w:val="24"/>
        </w:rPr>
      </w:pPr>
      <w:r>
        <w:rPr>
          <w:sz w:val="24"/>
          <w:szCs w:val="24"/>
        </w:rPr>
        <w:tab/>
      </w:r>
      <w:r w:rsidRPr="005910F9">
        <w:rPr>
          <w:sz w:val="24"/>
          <w:szCs w:val="24"/>
        </w:rPr>
        <w:t xml:space="preserve">pH: </w:t>
      </w:r>
      <w:r w:rsidRPr="005910F9">
        <w:rPr>
          <w:sz w:val="24"/>
          <w:szCs w:val="24"/>
        </w:rPr>
        <w:tab/>
      </w:r>
      <w:r>
        <w:rPr>
          <w:sz w:val="24"/>
          <w:szCs w:val="24"/>
        </w:rPr>
        <w:tab/>
      </w:r>
      <w:r w:rsidRPr="005910F9">
        <w:rPr>
          <w:sz w:val="24"/>
          <w:szCs w:val="24"/>
        </w:rPr>
        <w:t>5,0 – 7,0</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4.</w:t>
      </w:r>
      <w:r w:rsidRPr="005910F9">
        <w:rPr>
          <w:b/>
          <w:sz w:val="24"/>
          <w:szCs w:val="24"/>
        </w:rPr>
        <w:tab/>
        <w:t>KLINISKE OPLYSNINGER</w:t>
      </w:r>
    </w:p>
    <w:p w:rsidR="00853C35" w:rsidRPr="005910F9" w:rsidRDefault="00853C35" w:rsidP="00853C35">
      <w:pPr>
        <w:tabs>
          <w:tab w:val="left" w:pos="851"/>
        </w:tabs>
        <w:ind w:left="851" w:hanging="851"/>
        <w:rPr>
          <w:b/>
          <w:sz w:val="24"/>
          <w:szCs w:val="24"/>
        </w:rPr>
      </w:pPr>
    </w:p>
    <w:p w:rsidR="00853C35" w:rsidRPr="005910F9" w:rsidRDefault="00853C35" w:rsidP="00853C35">
      <w:pPr>
        <w:tabs>
          <w:tab w:val="left" w:pos="851"/>
        </w:tabs>
        <w:ind w:left="851" w:hanging="851"/>
        <w:rPr>
          <w:b/>
          <w:sz w:val="24"/>
          <w:szCs w:val="24"/>
          <w:u w:val="single"/>
        </w:rPr>
      </w:pPr>
      <w:r w:rsidRPr="005910F9">
        <w:rPr>
          <w:b/>
          <w:sz w:val="24"/>
          <w:szCs w:val="24"/>
        </w:rPr>
        <w:t>4.1</w:t>
      </w:r>
      <w:r w:rsidRPr="005910F9">
        <w:rPr>
          <w:b/>
          <w:sz w:val="24"/>
          <w:szCs w:val="24"/>
        </w:rPr>
        <w:tab/>
        <w:t>Terapeutiske indikationer</w:t>
      </w:r>
    </w:p>
    <w:p w:rsidR="00853C35" w:rsidRPr="005910F9" w:rsidRDefault="00853C35" w:rsidP="00853C35">
      <w:pPr>
        <w:ind w:left="851"/>
        <w:rPr>
          <w:sz w:val="24"/>
          <w:szCs w:val="24"/>
        </w:rPr>
      </w:pPr>
      <w:proofErr w:type="spellStart"/>
      <w:r w:rsidRPr="005910F9">
        <w:rPr>
          <w:sz w:val="24"/>
          <w:szCs w:val="24"/>
        </w:rPr>
        <w:t>Calrecia</w:t>
      </w:r>
      <w:proofErr w:type="spellEnd"/>
      <w:r w:rsidRPr="005910F9">
        <w:rPr>
          <w:sz w:val="24"/>
          <w:szCs w:val="24"/>
        </w:rPr>
        <w:t xml:space="preserve"> anvendes til calciumsubstitution ved kontinuerlig dialysebehandling (CRRT), vedvarende laveffektiv (daglig) dialyse (SLEDD) og terapeutisk plasmaudskiftning (TPE), hvor citrat anvendes til antikoagulation.</w:t>
      </w:r>
    </w:p>
    <w:p w:rsidR="00853C35" w:rsidRPr="005910F9" w:rsidRDefault="00853C35" w:rsidP="00853C35">
      <w:pPr>
        <w:ind w:left="851" w:hanging="851"/>
        <w:rPr>
          <w:sz w:val="24"/>
          <w:szCs w:val="24"/>
        </w:rPr>
      </w:pPr>
    </w:p>
    <w:p w:rsidR="00853C35" w:rsidRPr="005910F9" w:rsidRDefault="00853C35" w:rsidP="00853C35">
      <w:pPr>
        <w:ind w:left="851"/>
        <w:rPr>
          <w:sz w:val="24"/>
          <w:szCs w:val="24"/>
        </w:rPr>
      </w:pPr>
      <w:proofErr w:type="spellStart"/>
      <w:r w:rsidRPr="005910F9">
        <w:rPr>
          <w:sz w:val="24"/>
          <w:szCs w:val="24"/>
        </w:rPr>
        <w:t>Calrecia</w:t>
      </w:r>
      <w:proofErr w:type="spellEnd"/>
      <w:r w:rsidRPr="005910F9">
        <w:rPr>
          <w:sz w:val="24"/>
          <w:szCs w:val="24"/>
        </w:rPr>
        <w:t xml:space="preserve"> er indiceret til voksne og børn.</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4.2</w:t>
      </w:r>
      <w:r w:rsidRPr="005910F9">
        <w:rPr>
          <w:b/>
          <w:sz w:val="24"/>
          <w:szCs w:val="24"/>
        </w:rPr>
        <w:tab/>
        <w:t xml:space="preserve">Dosering og </w:t>
      </w:r>
      <w:r w:rsidR="00B84028">
        <w:rPr>
          <w:b/>
          <w:sz w:val="24"/>
          <w:szCs w:val="24"/>
        </w:rPr>
        <w:t>administration</w:t>
      </w:r>
    </w:p>
    <w:p w:rsidR="00853C35" w:rsidRPr="005910F9" w:rsidRDefault="00853C35" w:rsidP="00853C35">
      <w:pPr>
        <w:ind w:left="851"/>
        <w:rPr>
          <w:sz w:val="24"/>
          <w:szCs w:val="24"/>
        </w:rPr>
      </w:pPr>
      <w:r w:rsidRPr="005910F9">
        <w:rPr>
          <w:sz w:val="24"/>
          <w:szCs w:val="24"/>
        </w:rPr>
        <w:t xml:space="preserve">Anvendelse af </w:t>
      </w:r>
      <w:proofErr w:type="spellStart"/>
      <w:r w:rsidRPr="005910F9">
        <w:rPr>
          <w:sz w:val="24"/>
          <w:szCs w:val="24"/>
        </w:rPr>
        <w:t>Calrecia</w:t>
      </w:r>
      <w:proofErr w:type="spellEnd"/>
      <w:r w:rsidRPr="005910F9">
        <w:rPr>
          <w:sz w:val="24"/>
          <w:szCs w:val="24"/>
        </w:rPr>
        <w:t xml:space="preserve"> bør kun finde sted efter ordination af en læge, der er bekendt med citrat antikoagulation i forbindelse med CRRT, SLEDD og TPE. </w:t>
      </w:r>
    </w:p>
    <w:p w:rsidR="00853C35" w:rsidRPr="005910F9" w:rsidRDefault="00853C35" w:rsidP="00853C35">
      <w:pPr>
        <w:ind w:left="851"/>
        <w:rPr>
          <w:sz w:val="24"/>
          <w:szCs w:val="24"/>
        </w:rPr>
      </w:pPr>
    </w:p>
    <w:p w:rsidR="00853C35" w:rsidRPr="005910F9" w:rsidRDefault="00853C35" w:rsidP="00853C35">
      <w:pPr>
        <w:ind w:left="851"/>
        <w:rPr>
          <w:sz w:val="24"/>
          <w:szCs w:val="24"/>
          <w:u w:val="single"/>
        </w:rPr>
      </w:pPr>
      <w:r w:rsidRPr="005910F9">
        <w:rPr>
          <w:sz w:val="24"/>
          <w:szCs w:val="24"/>
          <w:u w:val="single"/>
        </w:rPr>
        <w:t>Dosering</w:t>
      </w:r>
    </w:p>
    <w:p w:rsidR="00853C35" w:rsidRPr="005910F9" w:rsidRDefault="00853C35" w:rsidP="00853C35">
      <w:pPr>
        <w:ind w:left="851"/>
        <w:rPr>
          <w:b/>
          <w:i/>
          <w:sz w:val="24"/>
          <w:szCs w:val="24"/>
        </w:rPr>
      </w:pPr>
      <w:r w:rsidRPr="005910F9">
        <w:rPr>
          <w:b/>
          <w:i/>
          <w:sz w:val="24"/>
          <w:szCs w:val="24"/>
        </w:rPr>
        <w:t xml:space="preserve">Voksne </w:t>
      </w:r>
    </w:p>
    <w:p w:rsidR="00853C35" w:rsidRPr="005910F9" w:rsidRDefault="00853C35" w:rsidP="00853C35">
      <w:pPr>
        <w:ind w:left="851"/>
        <w:rPr>
          <w:sz w:val="24"/>
          <w:szCs w:val="24"/>
        </w:rPr>
      </w:pPr>
      <w:proofErr w:type="spellStart"/>
      <w:r w:rsidRPr="005910F9">
        <w:rPr>
          <w:sz w:val="24"/>
          <w:szCs w:val="24"/>
        </w:rPr>
        <w:t>Calrecia</w:t>
      </w:r>
      <w:proofErr w:type="spellEnd"/>
      <w:r w:rsidRPr="005910F9">
        <w:rPr>
          <w:sz w:val="24"/>
          <w:szCs w:val="24"/>
        </w:rPr>
        <w:t xml:space="preserve"> anvendes i en mængde, der er tilstrækkelig til at holde koncentrationen af systemisk ioniseret calcium inden for det ønskede område. Medmindre andet et ordineret, bør normalområdet for systemisk ioniseret calcium tilstræbes. </w:t>
      </w:r>
      <w:proofErr w:type="spellStart"/>
      <w:r w:rsidRPr="005910F9">
        <w:rPr>
          <w:sz w:val="24"/>
          <w:szCs w:val="24"/>
        </w:rPr>
        <w:t>Målområdet</w:t>
      </w:r>
      <w:proofErr w:type="spellEnd"/>
      <w:r w:rsidRPr="005910F9">
        <w:rPr>
          <w:sz w:val="24"/>
          <w:szCs w:val="24"/>
        </w:rPr>
        <w:t xml:space="preserve"> må ikke være under 0,9 mmol/l systemisk ioniseret calcium.</w:t>
      </w:r>
    </w:p>
    <w:p w:rsidR="00853C35" w:rsidRPr="005910F9" w:rsidRDefault="00853C35" w:rsidP="00853C35">
      <w:pPr>
        <w:ind w:left="851"/>
        <w:rPr>
          <w:sz w:val="24"/>
          <w:szCs w:val="24"/>
        </w:rPr>
      </w:pPr>
    </w:p>
    <w:p w:rsidR="00853C35" w:rsidRPr="005910F9" w:rsidRDefault="00853C35" w:rsidP="00853C35">
      <w:pPr>
        <w:ind w:left="851"/>
        <w:rPr>
          <w:sz w:val="24"/>
          <w:szCs w:val="24"/>
        </w:rPr>
      </w:pPr>
      <w:r w:rsidRPr="005910F9">
        <w:rPr>
          <w:sz w:val="24"/>
          <w:szCs w:val="24"/>
        </w:rPr>
        <w:t xml:space="preserve">Mængden af </w:t>
      </w:r>
      <w:proofErr w:type="spellStart"/>
      <w:r w:rsidRPr="005910F9">
        <w:rPr>
          <w:sz w:val="24"/>
          <w:szCs w:val="24"/>
        </w:rPr>
        <w:t>Calrecia</w:t>
      </w:r>
      <w:proofErr w:type="spellEnd"/>
      <w:r w:rsidRPr="005910F9">
        <w:rPr>
          <w:sz w:val="24"/>
          <w:szCs w:val="24"/>
        </w:rPr>
        <w:t>, som behøves for at holde koncentrationen af systemisk ioniseret calcium, afhænger af:</w:t>
      </w:r>
    </w:p>
    <w:p w:rsidR="00853C35" w:rsidRPr="005910F9" w:rsidRDefault="00853C35" w:rsidP="00853C35">
      <w:pPr>
        <w:numPr>
          <w:ilvl w:val="0"/>
          <w:numId w:val="6"/>
        </w:numPr>
        <w:tabs>
          <w:tab w:val="clear" w:pos="720"/>
        </w:tabs>
        <w:ind w:left="1276" w:hanging="425"/>
        <w:rPr>
          <w:sz w:val="24"/>
          <w:szCs w:val="24"/>
        </w:rPr>
      </w:pPr>
      <w:r w:rsidRPr="005910F9">
        <w:rPr>
          <w:sz w:val="24"/>
          <w:szCs w:val="24"/>
        </w:rPr>
        <w:t>Calcium fjernet under CRRT, SLEDD og TPE.</w:t>
      </w:r>
    </w:p>
    <w:p w:rsidR="00853C35" w:rsidRPr="005910F9" w:rsidRDefault="00853C35" w:rsidP="00853C35">
      <w:pPr>
        <w:numPr>
          <w:ilvl w:val="0"/>
          <w:numId w:val="6"/>
        </w:numPr>
        <w:tabs>
          <w:tab w:val="clear" w:pos="720"/>
        </w:tabs>
        <w:ind w:left="1276" w:hanging="425"/>
        <w:rPr>
          <w:sz w:val="24"/>
          <w:szCs w:val="24"/>
        </w:rPr>
      </w:pPr>
      <w:r w:rsidRPr="005910F9">
        <w:rPr>
          <w:sz w:val="24"/>
          <w:szCs w:val="24"/>
        </w:rPr>
        <w:t>Mængden af calcium, der kræves for at kompensere for effekten af citrat, der når det systemiske kredsløb, hvilket kan skyldes citratopløsningen, der blev anvendt til regional antikoagulation eller fra plasmapræparater anvendt som substitutionsvæske ved TPE.</w:t>
      </w:r>
    </w:p>
    <w:p w:rsidR="00853C35" w:rsidRPr="005910F9" w:rsidRDefault="00853C35" w:rsidP="00853C35">
      <w:pPr>
        <w:numPr>
          <w:ilvl w:val="0"/>
          <w:numId w:val="6"/>
        </w:numPr>
        <w:tabs>
          <w:tab w:val="clear" w:pos="720"/>
          <w:tab w:val="left" w:pos="567"/>
        </w:tabs>
        <w:ind w:left="1276" w:hanging="425"/>
        <w:rPr>
          <w:sz w:val="24"/>
          <w:szCs w:val="24"/>
        </w:rPr>
      </w:pPr>
      <w:r w:rsidRPr="005910F9">
        <w:rPr>
          <w:sz w:val="24"/>
          <w:szCs w:val="24"/>
        </w:rPr>
        <w:t>Calcium udveksles mellem plasma og andre dele af patientens krop.</w:t>
      </w:r>
    </w:p>
    <w:p w:rsidR="00853C35" w:rsidRPr="005910F9" w:rsidRDefault="00853C35" w:rsidP="00853C35">
      <w:pPr>
        <w:numPr>
          <w:ilvl w:val="0"/>
          <w:numId w:val="6"/>
        </w:numPr>
        <w:tabs>
          <w:tab w:val="clear" w:pos="720"/>
          <w:tab w:val="left" w:pos="567"/>
        </w:tabs>
        <w:ind w:left="1276" w:hanging="425"/>
        <w:rPr>
          <w:sz w:val="24"/>
          <w:szCs w:val="24"/>
        </w:rPr>
      </w:pPr>
      <w:r w:rsidRPr="005910F9">
        <w:rPr>
          <w:sz w:val="24"/>
          <w:szCs w:val="24"/>
        </w:rPr>
        <w:t xml:space="preserve">Enhver tilsigtet ændring i systemisk calciumkoncentration ved </w:t>
      </w:r>
      <w:r w:rsidRPr="005910F9">
        <w:rPr>
          <w:i/>
          <w:iCs/>
          <w:sz w:val="24"/>
          <w:szCs w:val="24"/>
        </w:rPr>
        <w:t>baseline</w:t>
      </w:r>
      <w:r w:rsidRPr="005910F9">
        <w:rPr>
          <w:sz w:val="24"/>
          <w:szCs w:val="24"/>
        </w:rPr>
        <w:t>.</w:t>
      </w:r>
    </w:p>
    <w:p w:rsidR="00853C35" w:rsidRPr="005910F9" w:rsidRDefault="00853C35" w:rsidP="00853C35">
      <w:pPr>
        <w:numPr>
          <w:ilvl w:val="0"/>
          <w:numId w:val="6"/>
        </w:numPr>
        <w:tabs>
          <w:tab w:val="clear" w:pos="720"/>
          <w:tab w:val="left" w:pos="567"/>
        </w:tabs>
        <w:ind w:left="1276" w:hanging="425"/>
        <w:rPr>
          <w:sz w:val="24"/>
          <w:szCs w:val="24"/>
        </w:rPr>
      </w:pPr>
      <w:r w:rsidRPr="005910F9">
        <w:rPr>
          <w:sz w:val="24"/>
          <w:szCs w:val="24"/>
        </w:rPr>
        <w:t>Enhver påvirkning af patientens ioniserede calciumkoncentration forårsaget af andre medicinske indgreb.</w:t>
      </w:r>
    </w:p>
    <w:p w:rsidR="00853C35" w:rsidRPr="005910F9" w:rsidRDefault="00853C35" w:rsidP="00853C35">
      <w:pPr>
        <w:tabs>
          <w:tab w:val="left" w:pos="-2268"/>
        </w:tabs>
        <w:ind w:left="851" w:hanging="851"/>
        <w:rPr>
          <w:sz w:val="24"/>
          <w:szCs w:val="24"/>
        </w:rPr>
      </w:pPr>
    </w:p>
    <w:p w:rsidR="00B84028" w:rsidRPr="005910F9" w:rsidRDefault="00853C35" w:rsidP="00B84028">
      <w:pPr>
        <w:tabs>
          <w:tab w:val="left" w:pos="-2268"/>
        </w:tabs>
        <w:ind w:left="851" w:hanging="851"/>
        <w:rPr>
          <w:sz w:val="24"/>
          <w:szCs w:val="24"/>
        </w:rPr>
      </w:pPr>
      <w:r>
        <w:rPr>
          <w:sz w:val="24"/>
          <w:szCs w:val="24"/>
        </w:rPr>
        <w:tab/>
      </w:r>
      <w:r w:rsidR="00B84028" w:rsidRPr="005910F9">
        <w:rPr>
          <w:sz w:val="24"/>
          <w:szCs w:val="24"/>
        </w:rPr>
        <w:t>Når det skal vurderes, hvor meget calcium, der skal fjernes under CRRT, SLEDD og TPE, skal den ordinerende læge tage højde for følgende:</w:t>
      </w:r>
    </w:p>
    <w:p w:rsidR="00B84028" w:rsidRPr="005910F9" w:rsidRDefault="00B84028" w:rsidP="00B84028">
      <w:pPr>
        <w:numPr>
          <w:ilvl w:val="0"/>
          <w:numId w:val="6"/>
        </w:numPr>
        <w:tabs>
          <w:tab w:val="clear" w:pos="720"/>
        </w:tabs>
        <w:ind w:left="1276" w:hanging="425"/>
        <w:rPr>
          <w:sz w:val="24"/>
          <w:szCs w:val="24"/>
        </w:rPr>
      </w:pPr>
      <w:r w:rsidRPr="005910F9">
        <w:rPr>
          <w:sz w:val="24"/>
          <w:szCs w:val="24"/>
        </w:rPr>
        <w:t>Filtermembranens permeabilitet for calcium og calciumcitrat-forbindelser</w:t>
      </w:r>
      <w:r>
        <w:rPr>
          <w:sz w:val="24"/>
          <w:szCs w:val="24"/>
        </w:rPr>
        <w:t>.</w:t>
      </w:r>
    </w:p>
    <w:p w:rsidR="00B84028" w:rsidRPr="005910F9" w:rsidRDefault="00B84028" w:rsidP="00B84028">
      <w:pPr>
        <w:numPr>
          <w:ilvl w:val="0"/>
          <w:numId w:val="6"/>
        </w:numPr>
        <w:tabs>
          <w:tab w:val="clear" w:pos="720"/>
        </w:tabs>
        <w:ind w:left="1276" w:hanging="425"/>
        <w:rPr>
          <w:sz w:val="24"/>
          <w:szCs w:val="24"/>
        </w:rPr>
      </w:pPr>
      <w:r w:rsidRPr="005910F9">
        <w:rPr>
          <w:sz w:val="24"/>
          <w:szCs w:val="24"/>
        </w:rPr>
        <w:t xml:space="preserve">Calciumkoncentrationen af enhver væske anvendt under CRRT, SLEDD og TPE, f.eks. dialysevæsker, </w:t>
      </w:r>
      <w:proofErr w:type="spellStart"/>
      <w:r w:rsidRPr="005910F9">
        <w:rPr>
          <w:sz w:val="24"/>
          <w:szCs w:val="24"/>
        </w:rPr>
        <w:t>hæmofiltreringsvæsker</w:t>
      </w:r>
      <w:proofErr w:type="spellEnd"/>
      <w:r w:rsidRPr="005910F9">
        <w:rPr>
          <w:sz w:val="24"/>
          <w:szCs w:val="24"/>
        </w:rPr>
        <w:t xml:space="preserve"> eller substitutionsvæsker anvendt under TPE</w:t>
      </w:r>
      <w:r>
        <w:rPr>
          <w:sz w:val="24"/>
          <w:szCs w:val="24"/>
        </w:rPr>
        <w:t>.</w:t>
      </w:r>
    </w:p>
    <w:p w:rsidR="00B84028" w:rsidRPr="005910F9" w:rsidRDefault="00B84028" w:rsidP="00B84028">
      <w:pPr>
        <w:numPr>
          <w:ilvl w:val="0"/>
          <w:numId w:val="6"/>
        </w:numPr>
        <w:tabs>
          <w:tab w:val="clear" w:pos="720"/>
        </w:tabs>
        <w:ind w:left="1276" w:hanging="425"/>
        <w:rPr>
          <w:sz w:val="24"/>
          <w:szCs w:val="24"/>
        </w:rPr>
      </w:pPr>
      <w:r w:rsidRPr="005910F9">
        <w:rPr>
          <w:sz w:val="24"/>
          <w:szCs w:val="24"/>
        </w:rPr>
        <w:t xml:space="preserve">Foreskrevet blodgennemstrømning og alle andre ordinerede væsker anvendt i behandlingen; dette omfatter især gennemstrømningshastigheden af udløbsvæske, dvs. den væske der udskilles i det </w:t>
      </w:r>
      <w:proofErr w:type="spellStart"/>
      <w:r w:rsidRPr="005910F9">
        <w:rPr>
          <w:sz w:val="24"/>
          <w:szCs w:val="24"/>
        </w:rPr>
        <w:t>ekstrakorporale</w:t>
      </w:r>
      <w:proofErr w:type="spellEnd"/>
      <w:r w:rsidRPr="005910F9">
        <w:rPr>
          <w:sz w:val="24"/>
          <w:szCs w:val="24"/>
        </w:rPr>
        <w:t xml:space="preserve"> kredsløb og som calcium udskilles sammen med. Ved CRRT er den sædvanlige calcium-dosis 1,7-1,8 mmol/l udløbsvæske. </w:t>
      </w:r>
    </w:p>
    <w:p w:rsidR="00853C35" w:rsidRPr="005910F9" w:rsidRDefault="00853C35" w:rsidP="00B84028">
      <w:pPr>
        <w:tabs>
          <w:tab w:val="left" w:pos="-2268"/>
        </w:tabs>
        <w:ind w:left="851" w:hanging="851"/>
        <w:rPr>
          <w:sz w:val="24"/>
          <w:szCs w:val="24"/>
        </w:rPr>
      </w:pPr>
    </w:p>
    <w:p w:rsidR="00853C35" w:rsidRPr="005910F9" w:rsidRDefault="00853C35" w:rsidP="00853C35">
      <w:pPr>
        <w:tabs>
          <w:tab w:val="left" w:pos="-2268"/>
        </w:tabs>
        <w:ind w:left="851" w:hanging="851"/>
        <w:rPr>
          <w:sz w:val="24"/>
          <w:szCs w:val="24"/>
        </w:rPr>
      </w:pPr>
      <w:r>
        <w:rPr>
          <w:sz w:val="24"/>
          <w:szCs w:val="24"/>
        </w:rPr>
        <w:tab/>
      </w:r>
      <w:r w:rsidRPr="005910F9">
        <w:rPr>
          <w:sz w:val="24"/>
          <w:szCs w:val="24"/>
        </w:rPr>
        <w:t xml:space="preserve">Dosering af </w:t>
      </w:r>
      <w:proofErr w:type="spellStart"/>
      <w:r w:rsidRPr="005910F9">
        <w:rPr>
          <w:sz w:val="24"/>
          <w:szCs w:val="24"/>
        </w:rPr>
        <w:t>Calrecia</w:t>
      </w:r>
      <w:proofErr w:type="spellEnd"/>
      <w:r w:rsidRPr="005910F9">
        <w:rPr>
          <w:sz w:val="24"/>
          <w:szCs w:val="24"/>
        </w:rPr>
        <w:t xml:space="preserve"> skal kontrolleres ved regelmæssig måling af systemisk ioniseret calcium. Gennemstrømningshastigheden af </w:t>
      </w:r>
      <w:proofErr w:type="spellStart"/>
      <w:r w:rsidRPr="005910F9">
        <w:rPr>
          <w:sz w:val="24"/>
          <w:szCs w:val="24"/>
        </w:rPr>
        <w:t>Calrecia</w:t>
      </w:r>
      <w:proofErr w:type="spellEnd"/>
      <w:r w:rsidRPr="005910F9">
        <w:rPr>
          <w:sz w:val="24"/>
          <w:szCs w:val="24"/>
        </w:rPr>
        <w:t xml:space="preserve"> skal justeres på baggrund af disse kontroller for derved at nå </w:t>
      </w:r>
      <w:proofErr w:type="spellStart"/>
      <w:r w:rsidRPr="005910F9">
        <w:rPr>
          <w:sz w:val="24"/>
          <w:szCs w:val="24"/>
        </w:rPr>
        <w:t>målområdet</w:t>
      </w:r>
      <w:proofErr w:type="spellEnd"/>
      <w:r w:rsidRPr="005910F9">
        <w:rPr>
          <w:sz w:val="24"/>
          <w:szCs w:val="24"/>
        </w:rPr>
        <w:t xml:space="preserve"> for systemisk ioniseret calcium. </w:t>
      </w:r>
    </w:p>
    <w:p w:rsidR="00853C35" w:rsidRPr="005910F9" w:rsidRDefault="00853C35" w:rsidP="00853C35">
      <w:pPr>
        <w:tabs>
          <w:tab w:val="left" w:pos="-2268"/>
        </w:tabs>
        <w:ind w:left="851" w:hanging="851"/>
        <w:rPr>
          <w:sz w:val="24"/>
          <w:szCs w:val="24"/>
        </w:rPr>
      </w:pPr>
    </w:p>
    <w:p w:rsidR="00853C35" w:rsidRPr="005910F9" w:rsidRDefault="00853C35" w:rsidP="00853C35">
      <w:pPr>
        <w:tabs>
          <w:tab w:val="left" w:pos="-2268"/>
        </w:tabs>
        <w:ind w:left="851" w:hanging="851"/>
        <w:rPr>
          <w:sz w:val="24"/>
          <w:szCs w:val="24"/>
        </w:rPr>
      </w:pPr>
      <w:r>
        <w:rPr>
          <w:sz w:val="24"/>
          <w:szCs w:val="24"/>
        </w:rPr>
        <w:tab/>
      </w:r>
      <w:r w:rsidRPr="005910F9">
        <w:rPr>
          <w:sz w:val="24"/>
          <w:szCs w:val="24"/>
        </w:rPr>
        <w:t xml:space="preserve">Der anbefales en maksimal dosis på 3 l/dag, og </w:t>
      </w:r>
      <w:proofErr w:type="spellStart"/>
      <w:r w:rsidRPr="005910F9">
        <w:rPr>
          <w:sz w:val="24"/>
          <w:szCs w:val="24"/>
        </w:rPr>
        <w:t>Calrecia</w:t>
      </w:r>
      <w:proofErr w:type="spellEnd"/>
      <w:r w:rsidRPr="005910F9">
        <w:rPr>
          <w:sz w:val="24"/>
          <w:szCs w:val="24"/>
        </w:rPr>
        <w:t xml:space="preserve"> er ikke beregnet til langtidsbehandling.</w:t>
      </w:r>
    </w:p>
    <w:p w:rsidR="00853C35" w:rsidRPr="005910F9" w:rsidRDefault="00853C35" w:rsidP="00853C35">
      <w:pPr>
        <w:ind w:left="851" w:hanging="851"/>
        <w:rPr>
          <w:sz w:val="24"/>
          <w:szCs w:val="24"/>
        </w:rPr>
      </w:pPr>
    </w:p>
    <w:p w:rsidR="00853C35" w:rsidRPr="005910F9" w:rsidRDefault="00853C35" w:rsidP="00853C35">
      <w:pPr>
        <w:ind w:left="851"/>
        <w:rPr>
          <w:b/>
          <w:bCs/>
          <w:i/>
          <w:iCs/>
          <w:sz w:val="24"/>
          <w:szCs w:val="24"/>
        </w:rPr>
      </w:pPr>
      <w:r w:rsidRPr="005910F9">
        <w:rPr>
          <w:b/>
          <w:bCs/>
          <w:i/>
          <w:iCs/>
          <w:sz w:val="24"/>
          <w:szCs w:val="24"/>
        </w:rPr>
        <w:t>Pædiatrisk population</w:t>
      </w:r>
    </w:p>
    <w:p w:rsidR="00853C35" w:rsidRPr="005910F9" w:rsidRDefault="00853C35" w:rsidP="00853C35">
      <w:pPr>
        <w:ind w:left="851"/>
        <w:rPr>
          <w:sz w:val="24"/>
          <w:szCs w:val="24"/>
        </w:rPr>
      </w:pPr>
      <w:r w:rsidRPr="005910F9">
        <w:rPr>
          <w:sz w:val="24"/>
          <w:szCs w:val="24"/>
        </w:rPr>
        <w:t xml:space="preserve">Dosis af </w:t>
      </w:r>
      <w:proofErr w:type="spellStart"/>
      <w:r w:rsidRPr="005910F9">
        <w:rPr>
          <w:sz w:val="24"/>
          <w:szCs w:val="24"/>
        </w:rPr>
        <w:t>Calrecia</w:t>
      </w:r>
      <w:proofErr w:type="spellEnd"/>
      <w:r w:rsidRPr="005910F9">
        <w:rPr>
          <w:sz w:val="24"/>
          <w:szCs w:val="24"/>
        </w:rPr>
        <w:t xml:space="preserve"> til børn er den samme som til voksne. På grund af den generelt lavere gennemstrømningshastighed af udløbsvæsken hos børn vil den totale gennemstrømningshastighed for </w:t>
      </w:r>
      <w:proofErr w:type="spellStart"/>
      <w:r w:rsidRPr="005910F9">
        <w:rPr>
          <w:sz w:val="24"/>
          <w:szCs w:val="24"/>
        </w:rPr>
        <w:t>Calrecia</w:t>
      </w:r>
      <w:proofErr w:type="spellEnd"/>
      <w:r w:rsidRPr="005910F9">
        <w:rPr>
          <w:sz w:val="24"/>
          <w:szCs w:val="24"/>
        </w:rPr>
        <w:t xml:space="preserve"> på tilsvarende vis være lavere.</w:t>
      </w:r>
    </w:p>
    <w:p w:rsidR="00853C35" w:rsidRDefault="00853C35" w:rsidP="00853C35">
      <w:pPr>
        <w:rPr>
          <w:sz w:val="24"/>
          <w:szCs w:val="24"/>
        </w:rPr>
      </w:pPr>
      <w:r>
        <w:rPr>
          <w:sz w:val="24"/>
          <w:szCs w:val="24"/>
        </w:rPr>
        <w:br w:type="page"/>
      </w:r>
    </w:p>
    <w:p w:rsidR="00853C35" w:rsidRPr="005910F9" w:rsidRDefault="00853C35" w:rsidP="00853C35">
      <w:pPr>
        <w:ind w:left="851" w:hanging="851"/>
        <w:rPr>
          <w:sz w:val="24"/>
          <w:szCs w:val="24"/>
        </w:rPr>
      </w:pPr>
    </w:p>
    <w:p w:rsidR="00853C35" w:rsidRPr="005910F9" w:rsidRDefault="00853C35" w:rsidP="00853C35">
      <w:pPr>
        <w:ind w:left="851"/>
        <w:rPr>
          <w:sz w:val="24"/>
          <w:szCs w:val="24"/>
          <w:u w:val="single"/>
        </w:rPr>
      </w:pPr>
      <w:r w:rsidRPr="005910F9">
        <w:rPr>
          <w:sz w:val="24"/>
          <w:szCs w:val="24"/>
          <w:u w:val="single"/>
        </w:rPr>
        <w:t>Administration</w:t>
      </w:r>
    </w:p>
    <w:p w:rsidR="00853C35" w:rsidRPr="005910F9" w:rsidRDefault="00853C35" w:rsidP="00853C35">
      <w:pPr>
        <w:numPr>
          <w:ilvl w:val="0"/>
          <w:numId w:val="6"/>
        </w:numPr>
        <w:tabs>
          <w:tab w:val="clear" w:pos="720"/>
        </w:tabs>
        <w:ind w:left="1276" w:hanging="425"/>
        <w:rPr>
          <w:sz w:val="24"/>
          <w:szCs w:val="24"/>
        </w:rPr>
      </w:pPr>
      <w:r w:rsidRPr="005910F9">
        <w:rPr>
          <w:sz w:val="24"/>
          <w:szCs w:val="24"/>
        </w:rPr>
        <w:t xml:space="preserve">Infusion skal ske udelukkende ved hjælp af pumpen i blodrensningsapparatet til ekstrakorporal behandling, som er beregnet til infusion af en 100 mmol/l </w:t>
      </w:r>
      <w:proofErr w:type="spellStart"/>
      <w:r w:rsidRPr="005910F9">
        <w:rPr>
          <w:sz w:val="24"/>
          <w:szCs w:val="24"/>
        </w:rPr>
        <w:t>calciumchloridopløsning</w:t>
      </w:r>
      <w:proofErr w:type="spellEnd"/>
      <w:r w:rsidRPr="005910F9">
        <w:rPr>
          <w:sz w:val="24"/>
          <w:szCs w:val="24"/>
        </w:rPr>
        <w:t xml:space="preserve"> og som indeholder en afbalanceret mængde væske.</w:t>
      </w:r>
    </w:p>
    <w:p w:rsidR="00853C35" w:rsidRPr="005910F9" w:rsidRDefault="00853C35" w:rsidP="00853C35">
      <w:pPr>
        <w:numPr>
          <w:ilvl w:val="0"/>
          <w:numId w:val="6"/>
        </w:numPr>
        <w:tabs>
          <w:tab w:val="clear" w:pos="720"/>
        </w:tabs>
        <w:ind w:left="1276" w:hanging="425"/>
        <w:rPr>
          <w:sz w:val="24"/>
          <w:szCs w:val="24"/>
        </w:rPr>
      </w:pPr>
      <w:r w:rsidRPr="005910F9">
        <w:rPr>
          <w:sz w:val="24"/>
          <w:szCs w:val="24"/>
        </w:rPr>
        <w:t xml:space="preserve">Infusion udelukkende i det </w:t>
      </w:r>
      <w:proofErr w:type="spellStart"/>
      <w:r w:rsidRPr="005910F9">
        <w:rPr>
          <w:sz w:val="24"/>
          <w:szCs w:val="24"/>
        </w:rPr>
        <w:t>ekstrakorporale</w:t>
      </w:r>
      <w:proofErr w:type="spellEnd"/>
      <w:r w:rsidRPr="005910F9">
        <w:rPr>
          <w:sz w:val="24"/>
          <w:szCs w:val="24"/>
        </w:rPr>
        <w:t xml:space="preserve"> kredsløb, eller, hvis anvist i brugervejledningen til blodrensningsapparatet, via et separat centralt venekateter. </w:t>
      </w:r>
      <w:proofErr w:type="spellStart"/>
      <w:r w:rsidRPr="005910F9">
        <w:rPr>
          <w:sz w:val="24"/>
          <w:szCs w:val="24"/>
        </w:rPr>
        <w:t>Calrecia</w:t>
      </w:r>
      <w:proofErr w:type="spellEnd"/>
      <w:r w:rsidRPr="005910F9">
        <w:rPr>
          <w:sz w:val="24"/>
          <w:szCs w:val="24"/>
        </w:rPr>
        <w:t xml:space="preserve"> er ikke beregnet til intramuskulær eller subkutan anvendelse.</w:t>
      </w:r>
    </w:p>
    <w:p w:rsidR="00853C35" w:rsidRPr="005910F9" w:rsidRDefault="00853C35" w:rsidP="00853C35">
      <w:pPr>
        <w:numPr>
          <w:ilvl w:val="0"/>
          <w:numId w:val="6"/>
        </w:numPr>
        <w:tabs>
          <w:tab w:val="clear" w:pos="720"/>
        </w:tabs>
        <w:ind w:left="1276" w:hanging="425"/>
        <w:rPr>
          <w:sz w:val="24"/>
          <w:szCs w:val="24"/>
        </w:rPr>
      </w:pPr>
      <w:r w:rsidRPr="005910F9">
        <w:rPr>
          <w:sz w:val="24"/>
          <w:szCs w:val="24"/>
        </w:rPr>
        <w:t>Fremstillerens brugervejledning til det anvendte blodrensningsapparat og slangeforbindelse skal følges nøje.</w:t>
      </w:r>
    </w:p>
    <w:p w:rsidR="00853C35" w:rsidRPr="005910F9" w:rsidRDefault="00853C35" w:rsidP="00853C35">
      <w:pPr>
        <w:ind w:left="851" w:hanging="851"/>
        <w:rPr>
          <w:sz w:val="24"/>
          <w:szCs w:val="24"/>
        </w:rPr>
      </w:pPr>
    </w:p>
    <w:p w:rsidR="00853C35" w:rsidRPr="005910F9" w:rsidRDefault="00853C35" w:rsidP="00853C35">
      <w:pPr>
        <w:ind w:left="851"/>
        <w:rPr>
          <w:sz w:val="24"/>
          <w:szCs w:val="24"/>
        </w:rPr>
      </w:pPr>
      <w:r w:rsidRPr="005910F9">
        <w:rPr>
          <w:sz w:val="24"/>
          <w:szCs w:val="24"/>
        </w:rPr>
        <w:t>For instruktioner om håndtering af lægemidlet før administration, se pkt. 6.6.</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4.3</w:t>
      </w:r>
      <w:r w:rsidRPr="005910F9">
        <w:rPr>
          <w:b/>
          <w:sz w:val="24"/>
          <w:szCs w:val="24"/>
        </w:rPr>
        <w:tab/>
        <w:t>Kontraindikationer</w:t>
      </w:r>
    </w:p>
    <w:p w:rsidR="00853C35" w:rsidRPr="005910F9" w:rsidRDefault="00853C35" w:rsidP="00853C35">
      <w:pPr>
        <w:numPr>
          <w:ilvl w:val="0"/>
          <w:numId w:val="7"/>
        </w:numPr>
        <w:tabs>
          <w:tab w:val="clear" w:pos="720"/>
        </w:tabs>
        <w:ind w:left="1276" w:hanging="425"/>
        <w:rPr>
          <w:sz w:val="24"/>
          <w:szCs w:val="24"/>
        </w:rPr>
      </w:pPr>
      <w:proofErr w:type="spellStart"/>
      <w:r w:rsidRPr="005910F9">
        <w:rPr>
          <w:sz w:val="24"/>
          <w:szCs w:val="24"/>
        </w:rPr>
        <w:t>Hypercalcæmi</w:t>
      </w:r>
      <w:proofErr w:type="spellEnd"/>
      <w:r w:rsidRPr="005910F9">
        <w:rPr>
          <w:sz w:val="24"/>
          <w:szCs w:val="24"/>
        </w:rPr>
        <w:t xml:space="preserve"> (se pkt.4.4)</w:t>
      </w:r>
    </w:p>
    <w:p w:rsidR="00853C35" w:rsidRPr="005910F9" w:rsidRDefault="00853C35" w:rsidP="00853C35">
      <w:pPr>
        <w:numPr>
          <w:ilvl w:val="0"/>
          <w:numId w:val="7"/>
        </w:numPr>
        <w:tabs>
          <w:tab w:val="clear" w:pos="720"/>
        </w:tabs>
        <w:ind w:left="1276" w:hanging="425"/>
        <w:rPr>
          <w:sz w:val="24"/>
          <w:szCs w:val="24"/>
        </w:rPr>
      </w:pPr>
      <w:proofErr w:type="spellStart"/>
      <w:r w:rsidRPr="005910F9">
        <w:rPr>
          <w:sz w:val="24"/>
          <w:szCs w:val="24"/>
        </w:rPr>
        <w:t>Hyperchloræmi</w:t>
      </w:r>
      <w:proofErr w:type="spellEnd"/>
      <w:r w:rsidRPr="005910F9">
        <w:rPr>
          <w:sz w:val="24"/>
          <w:szCs w:val="24"/>
        </w:rPr>
        <w:t xml:space="preserve"> (se pkt. 4.4)</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4.4</w:t>
      </w:r>
      <w:r w:rsidRPr="005910F9">
        <w:rPr>
          <w:b/>
          <w:sz w:val="24"/>
          <w:szCs w:val="24"/>
        </w:rPr>
        <w:tab/>
        <w:t>Særlige advarsler og forsigtighedsregler vedrørende brugen</w:t>
      </w:r>
    </w:p>
    <w:p w:rsidR="00853C35" w:rsidRPr="005910F9" w:rsidRDefault="00853C35" w:rsidP="00853C35">
      <w:pPr>
        <w:tabs>
          <w:tab w:val="left" w:pos="0"/>
        </w:tabs>
        <w:ind w:left="851"/>
        <w:rPr>
          <w:sz w:val="24"/>
          <w:szCs w:val="24"/>
        </w:rPr>
      </w:pPr>
      <w:r w:rsidRPr="005910F9">
        <w:rPr>
          <w:sz w:val="24"/>
          <w:szCs w:val="24"/>
        </w:rPr>
        <w:t xml:space="preserve">Tilførsel af </w:t>
      </w:r>
      <w:proofErr w:type="spellStart"/>
      <w:r w:rsidRPr="005910F9">
        <w:rPr>
          <w:sz w:val="24"/>
          <w:szCs w:val="24"/>
        </w:rPr>
        <w:t>calciumchlorid</w:t>
      </w:r>
      <w:proofErr w:type="spellEnd"/>
      <w:r w:rsidRPr="005910F9">
        <w:rPr>
          <w:sz w:val="24"/>
          <w:szCs w:val="24"/>
        </w:rPr>
        <w:t xml:space="preserve"> bør foregå med forsigtighed hos patienter, der behandles med </w:t>
      </w:r>
      <w:proofErr w:type="spellStart"/>
      <w:r w:rsidRPr="005910F9">
        <w:rPr>
          <w:sz w:val="24"/>
          <w:szCs w:val="24"/>
        </w:rPr>
        <w:t>digitalisglycosider</w:t>
      </w:r>
      <w:proofErr w:type="spellEnd"/>
      <w:r w:rsidRPr="005910F9">
        <w:rPr>
          <w:sz w:val="24"/>
          <w:szCs w:val="24"/>
        </w:rPr>
        <w:t xml:space="preserve">. Hos patienter, der vurderes at have øget risiko for at udvikle </w:t>
      </w:r>
      <w:proofErr w:type="spellStart"/>
      <w:r w:rsidRPr="005910F9">
        <w:rPr>
          <w:sz w:val="24"/>
          <w:szCs w:val="24"/>
        </w:rPr>
        <w:t>hjertearytmi</w:t>
      </w:r>
      <w:proofErr w:type="spellEnd"/>
      <w:r w:rsidRPr="005910F9">
        <w:rPr>
          <w:sz w:val="24"/>
          <w:szCs w:val="24"/>
        </w:rPr>
        <w:t>, bør løbende ekg-monitorering overvejes under citrat-antikoagulation og calciumtilførsel (se pkt. 4.5).</w:t>
      </w:r>
    </w:p>
    <w:p w:rsidR="00853C35" w:rsidRPr="005910F9" w:rsidRDefault="00853C35" w:rsidP="00853C35">
      <w:pPr>
        <w:tabs>
          <w:tab w:val="left" w:pos="0"/>
        </w:tabs>
        <w:ind w:left="851"/>
        <w:rPr>
          <w:sz w:val="24"/>
          <w:szCs w:val="24"/>
        </w:rPr>
      </w:pPr>
    </w:p>
    <w:p w:rsidR="00853C35" w:rsidRPr="005910F9" w:rsidRDefault="00853C35" w:rsidP="00853C35">
      <w:pPr>
        <w:ind w:left="851"/>
        <w:rPr>
          <w:sz w:val="24"/>
          <w:szCs w:val="24"/>
        </w:rPr>
      </w:pPr>
      <w:proofErr w:type="spellStart"/>
      <w:r w:rsidRPr="005910F9">
        <w:rPr>
          <w:sz w:val="24"/>
          <w:szCs w:val="24"/>
        </w:rPr>
        <w:t>Komorbiditet</w:t>
      </w:r>
      <w:proofErr w:type="spellEnd"/>
      <w:r w:rsidRPr="005910F9">
        <w:rPr>
          <w:sz w:val="24"/>
          <w:szCs w:val="24"/>
        </w:rPr>
        <w:t xml:space="preserve">, som kan påvirke omsætningen og udskillelsen af calcium herunder, men ikke begrænset til, </w:t>
      </w:r>
      <w:proofErr w:type="spellStart"/>
      <w:r w:rsidRPr="005910F9">
        <w:rPr>
          <w:sz w:val="24"/>
          <w:szCs w:val="24"/>
        </w:rPr>
        <w:t>nefrokalcinose</w:t>
      </w:r>
      <w:proofErr w:type="spellEnd"/>
      <w:r w:rsidRPr="005910F9">
        <w:rPr>
          <w:sz w:val="24"/>
          <w:szCs w:val="24"/>
        </w:rPr>
        <w:t xml:space="preserve">, </w:t>
      </w:r>
      <w:proofErr w:type="spellStart"/>
      <w:r w:rsidRPr="005910F9">
        <w:rPr>
          <w:sz w:val="24"/>
          <w:szCs w:val="24"/>
        </w:rPr>
        <w:t>hyperkalciuri</w:t>
      </w:r>
      <w:proofErr w:type="spellEnd"/>
      <w:r w:rsidRPr="005910F9">
        <w:rPr>
          <w:sz w:val="24"/>
          <w:szCs w:val="24"/>
        </w:rPr>
        <w:t xml:space="preserve"> og overdosering af D-vitamin bør nøje overvejes i forbindelse med ordinering af </w:t>
      </w:r>
      <w:proofErr w:type="spellStart"/>
      <w:r w:rsidRPr="005910F9">
        <w:rPr>
          <w:sz w:val="24"/>
          <w:szCs w:val="24"/>
        </w:rPr>
        <w:t>Calrecia</w:t>
      </w:r>
      <w:proofErr w:type="spellEnd"/>
      <w:r w:rsidRPr="005910F9">
        <w:rPr>
          <w:sz w:val="24"/>
          <w:szCs w:val="24"/>
        </w:rPr>
        <w:t xml:space="preserve">. Det kan være nødvendigt at justere dosis, og calciumkoncentrationen i blodet skal monitoreres tæt. Der bør tages højde for eksisterende </w:t>
      </w:r>
      <w:proofErr w:type="spellStart"/>
      <w:r w:rsidRPr="005910F9">
        <w:rPr>
          <w:sz w:val="24"/>
          <w:szCs w:val="24"/>
        </w:rPr>
        <w:t>hyperkalcæmi</w:t>
      </w:r>
      <w:proofErr w:type="spellEnd"/>
      <w:r w:rsidRPr="005910F9">
        <w:rPr>
          <w:sz w:val="24"/>
          <w:szCs w:val="24"/>
        </w:rPr>
        <w:t xml:space="preserve"> ved at reducere den initiale infusionshastighed for calcium og monitorere calciumkoncentrationen i blodet tæt. Eksisterende </w:t>
      </w:r>
      <w:proofErr w:type="spellStart"/>
      <w:r w:rsidRPr="005910F9">
        <w:rPr>
          <w:sz w:val="24"/>
          <w:szCs w:val="24"/>
        </w:rPr>
        <w:t>hypocalcæmi</w:t>
      </w:r>
      <w:proofErr w:type="spellEnd"/>
      <w:r w:rsidRPr="005910F9">
        <w:rPr>
          <w:sz w:val="24"/>
          <w:szCs w:val="24"/>
        </w:rPr>
        <w:t xml:space="preserve"> bør korrigeres, før citrat-antikoagulation initieres. Eksisterende </w:t>
      </w:r>
      <w:proofErr w:type="spellStart"/>
      <w:r w:rsidRPr="005910F9">
        <w:rPr>
          <w:sz w:val="24"/>
          <w:szCs w:val="24"/>
        </w:rPr>
        <w:t>hyperchloræmi</w:t>
      </w:r>
      <w:proofErr w:type="spellEnd"/>
      <w:r w:rsidRPr="005910F9">
        <w:rPr>
          <w:sz w:val="24"/>
          <w:szCs w:val="24"/>
        </w:rPr>
        <w:t xml:space="preserve"> kan muligvis korrigeres ved hjælp af passende dialyseforhold; alternativt kan det overvejes at anvende infusionsvæske med lavt indhold af </w:t>
      </w:r>
      <w:proofErr w:type="spellStart"/>
      <w:r w:rsidRPr="005910F9">
        <w:rPr>
          <w:sz w:val="24"/>
          <w:szCs w:val="24"/>
        </w:rPr>
        <w:t>chlorid</w:t>
      </w:r>
      <w:proofErr w:type="spellEnd"/>
      <w:r w:rsidRPr="005910F9">
        <w:rPr>
          <w:sz w:val="24"/>
          <w:szCs w:val="24"/>
        </w:rPr>
        <w:t xml:space="preserve">. </w:t>
      </w:r>
    </w:p>
    <w:p w:rsidR="00853C35" w:rsidRPr="005910F9" w:rsidRDefault="00853C35" w:rsidP="00853C35">
      <w:pPr>
        <w:ind w:left="851"/>
        <w:rPr>
          <w:sz w:val="24"/>
          <w:szCs w:val="24"/>
        </w:rPr>
      </w:pPr>
    </w:p>
    <w:p w:rsidR="00853C35" w:rsidRPr="005910F9" w:rsidRDefault="00853C35" w:rsidP="00853C35">
      <w:pPr>
        <w:tabs>
          <w:tab w:val="left" w:pos="0"/>
        </w:tabs>
        <w:ind w:left="851"/>
        <w:rPr>
          <w:sz w:val="24"/>
          <w:szCs w:val="24"/>
        </w:rPr>
      </w:pPr>
      <w:r w:rsidRPr="005910F9">
        <w:rPr>
          <w:sz w:val="24"/>
          <w:szCs w:val="24"/>
        </w:rPr>
        <w:t xml:space="preserve">Forsigtighedsreglerne for anvendelse af ekstrakorporal blodrensning skal følges. Elektrolyt- og syre-base-balancen skal kontrolleres jævnligt i løbet af behandling med citrat-antikoagulation under ekstrakorporal blodrensning. Efter tilførsel af </w:t>
      </w:r>
      <w:proofErr w:type="spellStart"/>
      <w:r w:rsidRPr="005910F9">
        <w:rPr>
          <w:sz w:val="24"/>
          <w:szCs w:val="24"/>
        </w:rPr>
        <w:t>Calrecia</w:t>
      </w:r>
      <w:proofErr w:type="spellEnd"/>
      <w:r w:rsidRPr="005910F9">
        <w:rPr>
          <w:sz w:val="24"/>
          <w:szCs w:val="24"/>
        </w:rPr>
        <w:t xml:space="preserve"> til det </w:t>
      </w:r>
      <w:proofErr w:type="spellStart"/>
      <w:r w:rsidRPr="005910F9">
        <w:rPr>
          <w:sz w:val="24"/>
          <w:szCs w:val="24"/>
        </w:rPr>
        <w:t>ekstrakorporale</w:t>
      </w:r>
      <w:proofErr w:type="spellEnd"/>
      <w:r w:rsidRPr="005910F9">
        <w:rPr>
          <w:sz w:val="24"/>
          <w:szCs w:val="24"/>
        </w:rPr>
        <w:t xml:space="preserve"> kredsløb skal infusionsstedet undersøges med jævne mellemrum for tegn på udvikling af lokal blodstørkning. Hvis dette observeres, bør ændring af det </w:t>
      </w:r>
      <w:proofErr w:type="spellStart"/>
      <w:r w:rsidRPr="005910F9">
        <w:rPr>
          <w:sz w:val="24"/>
          <w:szCs w:val="24"/>
        </w:rPr>
        <w:t>ekstrakorporale</w:t>
      </w:r>
      <w:proofErr w:type="spellEnd"/>
      <w:r w:rsidRPr="005910F9">
        <w:rPr>
          <w:sz w:val="24"/>
          <w:szCs w:val="24"/>
        </w:rPr>
        <w:t xml:space="preserve"> kredsløb overvejes.</w:t>
      </w:r>
    </w:p>
    <w:p w:rsidR="00853C35" w:rsidRPr="005910F9" w:rsidRDefault="00853C35" w:rsidP="00853C35">
      <w:pPr>
        <w:tabs>
          <w:tab w:val="left" w:pos="0"/>
        </w:tabs>
        <w:ind w:left="851"/>
        <w:rPr>
          <w:sz w:val="24"/>
          <w:szCs w:val="24"/>
        </w:rPr>
      </w:pPr>
    </w:p>
    <w:p w:rsidR="00853C35" w:rsidRPr="005910F9" w:rsidRDefault="00853C35" w:rsidP="00853C35">
      <w:pPr>
        <w:tabs>
          <w:tab w:val="left" w:pos="0"/>
        </w:tabs>
        <w:ind w:left="851"/>
        <w:rPr>
          <w:sz w:val="24"/>
          <w:szCs w:val="24"/>
        </w:rPr>
      </w:pPr>
      <w:r w:rsidRPr="005910F9">
        <w:rPr>
          <w:sz w:val="24"/>
          <w:szCs w:val="24"/>
        </w:rPr>
        <w:t xml:space="preserve">Under indgivelse af </w:t>
      </w:r>
      <w:proofErr w:type="spellStart"/>
      <w:r w:rsidRPr="005910F9">
        <w:rPr>
          <w:sz w:val="24"/>
          <w:szCs w:val="24"/>
        </w:rPr>
        <w:t>Calrecia</w:t>
      </w:r>
      <w:proofErr w:type="spellEnd"/>
      <w:r w:rsidRPr="005910F9">
        <w:rPr>
          <w:sz w:val="24"/>
          <w:szCs w:val="24"/>
        </w:rPr>
        <w:t xml:space="preserve"> skal serumkoncentrationen af ioniseret calcium kontrolleres regelmæssigt. Der skal tages hensyn til patientens calciumstatus og dens udvikling i løbet af blodrensningsbehandlingen. Ved eksisterende </w:t>
      </w:r>
      <w:proofErr w:type="spellStart"/>
      <w:r w:rsidRPr="005910F9">
        <w:rPr>
          <w:sz w:val="24"/>
          <w:szCs w:val="24"/>
        </w:rPr>
        <w:t>hypocalcæmi</w:t>
      </w:r>
      <w:proofErr w:type="spellEnd"/>
      <w:r w:rsidRPr="005910F9">
        <w:rPr>
          <w:sz w:val="24"/>
          <w:szCs w:val="24"/>
        </w:rPr>
        <w:t xml:space="preserve"> eller tegn på </w:t>
      </w:r>
      <w:proofErr w:type="spellStart"/>
      <w:r w:rsidRPr="005910F9">
        <w:rPr>
          <w:sz w:val="24"/>
          <w:szCs w:val="24"/>
        </w:rPr>
        <w:t>hypocalcæmi</w:t>
      </w:r>
      <w:proofErr w:type="spellEnd"/>
      <w:r w:rsidRPr="005910F9">
        <w:rPr>
          <w:sz w:val="24"/>
          <w:szCs w:val="24"/>
        </w:rPr>
        <w:t xml:space="preserve"> kan det være nødvendigt at initiere eller øge tilførslen af calcium. Ved eksisterende </w:t>
      </w:r>
      <w:proofErr w:type="spellStart"/>
      <w:r w:rsidRPr="005910F9">
        <w:rPr>
          <w:sz w:val="24"/>
          <w:szCs w:val="24"/>
        </w:rPr>
        <w:t>hypercalcæmi</w:t>
      </w:r>
      <w:proofErr w:type="spellEnd"/>
      <w:r w:rsidRPr="005910F9">
        <w:rPr>
          <w:sz w:val="24"/>
          <w:szCs w:val="24"/>
        </w:rPr>
        <w:t xml:space="preserve"> eller tegn på </w:t>
      </w:r>
      <w:proofErr w:type="spellStart"/>
      <w:r w:rsidRPr="005910F9">
        <w:rPr>
          <w:sz w:val="24"/>
          <w:szCs w:val="24"/>
        </w:rPr>
        <w:t>hypercalcæmi</w:t>
      </w:r>
      <w:proofErr w:type="spellEnd"/>
      <w:r w:rsidRPr="005910F9">
        <w:rPr>
          <w:sz w:val="24"/>
          <w:szCs w:val="24"/>
        </w:rPr>
        <w:t xml:space="preserve"> (forårsaget af f.eks. akkumulering af calcium på grund af ineffektiv blodrensning, der skyldes en tilstoppet membran eller overdosering) kan det være nødvendigt at reducere tilførslen af calcium. </w:t>
      </w:r>
      <w:proofErr w:type="spellStart"/>
      <w:r w:rsidRPr="005910F9">
        <w:rPr>
          <w:sz w:val="24"/>
          <w:szCs w:val="24"/>
        </w:rPr>
        <w:t>Hypocalcæmi</w:t>
      </w:r>
      <w:proofErr w:type="spellEnd"/>
      <w:r w:rsidRPr="005910F9">
        <w:rPr>
          <w:sz w:val="24"/>
          <w:szCs w:val="24"/>
        </w:rPr>
        <w:t xml:space="preserve"> og et uventet stort behov for tilført </w:t>
      </w:r>
      <w:proofErr w:type="spellStart"/>
      <w:r w:rsidRPr="005910F9">
        <w:rPr>
          <w:sz w:val="24"/>
          <w:szCs w:val="24"/>
        </w:rPr>
        <w:t>Calrecia</w:t>
      </w:r>
      <w:proofErr w:type="spellEnd"/>
      <w:r w:rsidRPr="005910F9">
        <w:rPr>
          <w:sz w:val="24"/>
          <w:szCs w:val="24"/>
        </w:rPr>
        <w:t xml:space="preserve"> for at kunne stabilisere det systemiske ioniserede calcium inden for </w:t>
      </w:r>
      <w:proofErr w:type="spellStart"/>
      <w:r w:rsidRPr="005910F9">
        <w:rPr>
          <w:sz w:val="24"/>
          <w:szCs w:val="24"/>
        </w:rPr>
        <w:t>målområdet</w:t>
      </w:r>
      <w:proofErr w:type="spellEnd"/>
      <w:r w:rsidRPr="005910F9">
        <w:rPr>
          <w:sz w:val="24"/>
          <w:szCs w:val="24"/>
        </w:rPr>
        <w:t xml:space="preserve"> kan skyldes akkumulering af citrat: Citrat-anikoagulation resulterer som oftest i en moderat stigning i systemisk citratkoncentration og systemiske </w:t>
      </w:r>
      <w:proofErr w:type="spellStart"/>
      <w:r w:rsidRPr="005910F9">
        <w:rPr>
          <w:sz w:val="24"/>
          <w:szCs w:val="24"/>
        </w:rPr>
        <w:t>calciumcitratchelat</w:t>
      </w:r>
      <w:proofErr w:type="spellEnd"/>
      <w:r w:rsidRPr="005910F9">
        <w:rPr>
          <w:sz w:val="24"/>
          <w:szCs w:val="24"/>
        </w:rPr>
        <w:t xml:space="preserve">-forbindelser. Nedsat </w:t>
      </w:r>
      <w:proofErr w:type="spellStart"/>
      <w:r w:rsidRPr="005910F9">
        <w:rPr>
          <w:sz w:val="24"/>
          <w:szCs w:val="24"/>
        </w:rPr>
        <w:t>metabolisering</w:t>
      </w:r>
      <w:proofErr w:type="spellEnd"/>
      <w:r w:rsidRPr="005910F9">
        <w:rPr>
          <w:sz w:val="24"/>
          <w:szCs w:val="24"/>
        </w:rPr>
        <w:t xml:space="preserve"> af citrat kan medføre citrat-</w:t>
      </w:r>
      <w:r w:rsidRPr="005910F9">
        <w:rPr>
          <w:sz w:val="24"/>
          <w:szCs w:val="24"/>
        </w:rPr>
        <w:lastRenderedPageBreak/>
        <w:t xml:space="preserve">akkumulering. Et forhold mellem systemisk total-calcium og systemisk ioniseret calcium på over 2,25 kan være et tegn på klinisk signifikant citrat-akkumulering. Strategier for reduktion af systemisk citrat-eksponering bør vurderes, eller den </w:t>
      </w:r>
      <w:proofErr w:type="spellStart"/>
      <w:r w:rsidRPr="005910F9">
        <w:rPr>
          <w:sz w:val="24"/>
          <w:szCs w:val="24"/>
        </w:rPr>
        <w:t>ekstrakorporale</w:t>
      </w:r>
      <w:proofErr w:type="spellEnd"/>
      <w:r w:rsidRPr="005910F9">
        <w:rPr>
          <w:sz w:val="24"/>
          <w:szCs w:val="24"/>
        </w:rPr>
        <w:t xml:space="preserve"> blodrensningsbehandling med citrat-antikoagulation bør seponeres helt. Foruden monitorering af systemisk ioniseret calcium bør monitorering af niveauet af </w:t>
      </w:r>
      <w:proofErr w:type="spellStart"/>
      <w:r w:rsidRPr="005910F9">
        <w:rPr>
          <w:sz w:val="24"/>
          <w:szCs w:val="24"/>
        </w:rPr>
        <w:t>parathyroideahormon</w:t>
      </w:r>
      <w:proofErr w:type="spellEnd"/>
      <w:r w:rsidRPr="005910F9">
        <w:rPr>
          <w:sz w:val="24"/>
          <w:szCs w:val="24"/>
        </w:rPr>
        <w:t xml:space="preserve"> og andre parametre for knoglemetabolisme overvejes, især ved langtidsbehandling (dvs. mere end 2 uger) eller ved gentagne behandlinger med citrat-</w:t>
      </w:r>
      <w:proofErr w:type="spellStart"/>
      <w:r w:rsidRPr="005910F9">
        <w:rPr>
          <w:sz w:val="24"/>
          <w:szCs w:val="24"/>
        </w:rPr>
        <w:t>antikoagulationsbehandling</w:t>
      </w:r>
      <w:proofErr w:type="spellEnd"/>
      <w:r w:rsidRPr="005910F9">
        <w:rPr>
          <w:sz w:val="24"/>
          <w:szCs w:val="24"/>
        </w:rPr>
        <w:t xml:space="preserve">. </w:t>
      </w:r>
    </w:p>
    <w:p w:rsidR="00853C35" w:rsidRPr="005910F9" w:rsidRDefault="00853C35" w:rsidP="00853C35">
      <w:pPr>
        <w:tabs>
          <w:tab w:val="left" w:pos="0"/>
        </w:tabs>
        <w:ind w:left="851"/>
        <w:rPr>
          <w:sz w:val="24"/>
          <w:szCs w:val="24"/>
        </w:rPr>
      </w:pPr>
    </w:p>
    <w:p w:rsidR="00853C35" w:rsidRPr="005910F9" w:rsidRDefault="00853C35" w:rsidP="00853C35">
      <w:pPr>
        <w:tabs>
          <w:tab w:val="left" w:pos="0"/>
        </w:tabs>
        <w:ind w:left="851"/>
        <w:rPr>
          <w:sz w:val="24"/>
          <w:szCs w:val="24"/>
        </w:rPr>
      </w:pPr>
      <w:r w:rsidRPr="005910F9">
        <w:rPr>
          <w:sz w:val="24"/>
          <w:szCs w:val="24"/>
        </w:rPr>
        <w:t xml:space="preserve">Efter ophør med den </w:t>
      </w:r>
      <w:proofErr w:type="spellStart"/>
      <w:r w:rsidRPr="005910F9">
        <w:rPr>
          <w:sz w:val="24"/>
          <w:szCs w:val="24"/>
        </w:rPr>
        <w:t>ekstrakorporale</w:t>
      </w:r>
      <w:proofErr w:type="spellEnd"/>
      <w:r w:rsidRPr="005910F9">
        <w:rPr>
          <w:sz w:val="24"/>
          <w:szCs w:val="24"/>
        </w:rPr>
        <w:t xml:space="preserve"> blodrensningsbehandling med citrat-antikoagulation vil citratmetabolismen fortsætte, og calcium frigivet fra </w:t>
      </w:r>
      <w:proofErr w:type="spellStart"/>
      <w:r w:rsidRPr="005910F9">
        <w:rPr>
          <w:sz w:val="24"/>
          <w:szCs w:val="24"/>
        </w:rPr>
        <w:t>calciumcitratchelat</w:t>
      </w:r>
      <w:proofErr w:type="spellEnd"/>
      <w:r w:rsidRPr="005910F9">
        <w:rPr>
          <w:sz w:val="24"/>
          <w:szCs w:val="24"/>
        </w:rPr>
        <w:t xml:space="preserve">-forbindelser kan medføre ioniseret </w:t>
      </w:r>
      <w:proofErr w:type="spellStart"/>
      <w:r w:rsidRPr="005910F9">
        <w:rPr>
          <w:sz w:val="24"/>
          <w:szCs w:val="24"/>
        </w:rPr>
        <w:t>hypercalcæmi</w:t>
      </w:r>
      <w:proofErr w:type="spellEnd"/>
      <w:r w:rsidRPr="005910F9">
        <w:rPr>
          <w:sz w:val="24"/>
          <w:szCs w:val="24"/>
        </w:rPr>
        <w:t>.</w:t>
      </w:r>
    </w:p>
    <w:p w:rsidR="00853C35" w:rsidRPr="005910F9" w:rsidRDefault="00853C35" w:rsidP="00853C35">
      <w:pPr>
        <w:tabs>
          <w:tab w:val="left" w:pos="0"/>
        </w:tabs>
        <w:ind w:left="851"/>
        <w:rPr>
          <w:sz w:val="24"/>
          <w:szCs w:val="24"/>
        </w:rPr>
      </w:pPr>
    </w:p>
    <w:p w:rsidR="00853C35" w:rsidRPr="005910F9" w:rsidRDefault="00853C35" w:rsidP="00853C35">
      <w:pPr>
        <w:tabs>
          <w:tab w:val="left" w:pos="0"/>
        </w:tabs>
        <w:ind w:left="851"/>
        <w:rPr>
          <w:sz w:val="24"/>
          <w:szCs w:val="24"/>
        </w:rPr>
      </w:pPr>
      <w:r w:rsidRPr="005910F9">
        <w:rPr>
          <w:sz w:val="24"/>
          <w:szCs w:val="24"/>
        </w:rPr>
        <w:t xml:space="preserve">Injektioner med </w:t>
      </w:r>
      <w:proofErr w:type="spellStart"/>
      <w:r w:rsidRPr="005910F9">
        <w:rPr>
          <w:sz w:val="24"/>
          <w:szCs w:val="24"/>
        </w:rPr>
        <w:t>calciumchlorid</w:t>
      </w:r>
      <w:proofErr w:type="spellEnd"/>
      <w:r w:rsidRPr="005910F9">
        <w:rPr>
          <w:sz w:val="24"/>
          <w:szCs w:val="24"/>
        </w:rPr>
        <w:t xml:space="preserve"> forårsager veneirritation og må ikke indgives i væv, da det kan medføre svær nekrose og vævsafstødning. Der skal udvises stor omhu for at undgå </w:t>
      </w:r>
      <w:proofErr w:type="spellStart"/>
      <w:r w:rsidRPr="005910F9">
        <w:rPr>
          <w:sz w:val="24"/>
          <w:szCs w:val="24"/>
        </w:rPr>
        <w:t>ekstravasation</w:t>
      </w:r>
      <w:proofErr w:type="spellEnd"/>
      <w:r w:rsidRPr="005910F9">
        <w:rPr>
          <w:sz w:val="24"/>
          <w:szCs w:val="24"/>
        </w:rPr>
        <w:t xml:space="preserve"> eller utilsigtet indgift i </w:t>
      </w:r>
      <w:proofErr w:type="spellStart"/>
      <w:r w:rsidRPr="005910F9">
        <w:rPr>
          <w:sz w:val="24"/>
          <w:szCs w:val="24"/>
        </w:rPr>
        <w:t>perivaskulært</w:t>
      </w:r>
      <w:proofErr w:type="spellEnd"/>
      <w:r w:rsidRPr="005910F9">
        <w:rPr>
          <w:sz w:val="24"/>
          <w:szCs w:val="24"/>
        </w:rPr>
        <w:t xml:space="preserve"> væv. I tilfælde af </w:t>
      </w:r>
      <w:proofErr w:type="spellStart"/>
      <w:r w:rsidRPr="005910F9">
        <w:rPr>
          <w:sz w:val="24"/>
          <w:szCs w:val="24"/>
        </w:rPr>
        <w:t>perivaskulær</w:t>
      </w:r>
      <w:proofErr w:type="spellEnd"/>
      <w:r w:rsidRPr="005910F9">
        <w:rPr>
          <w:sz w:val="24"/>
          <w:szCs w:val="24"/>
        </w:rPr>
        <w:t xml:space="preserve"> infiltration skal intravenøs administration på det sted øjeblikkeligt afbrydes. Ukontrolleret infusion skal undgås (dvs. der skal kun anvendes en pumpe, der er beregnet til tilførsel af calcium) for at mindske risikoen for doseringsfejl.</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4.5</w:t>
      </w:r>
      <w:r w:rsidRPr="005910F9">
        <w:rPr>
          <w:b/>
          <w:sz w:val="24"/>
          <w:szCs w:val="24"/>
        </w:rPr>
        <w:tab/>
        <w:t>Interaktion med andre lægemidler og andre former for interaktion</w:t>
      </w:r>
    </w:p>
    <w:p w:rsidR="00853C35" w:rsidRPr="005910F9" w:rsidRDefault="00853C35" w:rsidP="00853C35">
      <w:pPr>
        <w:ind w:left="851"/>
        <w:rPr>
          <w:sz w:val="24"/>
          <w:szCs w:val="24"/>
        </w:rPr>
      </w:pPr>
      <w:r w:rsidRPr="005910F9">
        <w:rPr>
          <w:sz w:val="24"/>
          <w:szCs w:val="24"/>
        </w:rPr>
        <w:t>Ekstra tilførsel af calcium på grund af andre infusionsvæsker eller lægemidler skal overvejes i forbindelse med dosering.</w:t>
      </w:r>
    </w:p>
    <w:p w:rsidR="00853C35" w:rsidRPr="005910F9" w:rsidRDefault="00853C35" w:rsidP="00853C35">
      <w:pPr>
        <w:tabs>
          <w:tab w:val="left" w:pos="0"/>
        </w:tabs>
        <w:ind w:left="851"/>
        <w:rPr>
          <w:sz w:val="24"/>
          <w:szCs w:val="24"/>
        </w:rPr>
      </w:pPr>
    </w:p>
    <w:p w:rsidR="00853C35" w:rsidRPr="005910F9" w:rsidRDefault="00853C35" w:rsidP="00853C35">
      <w:pPr>
        <w:tabs>
          <w:tab w:val="left" w:pos="0"/>
        </w:tabs>
        <w:ind w:left="851"/>
        <w:rPr>
          <w:sz w:val="24"/>
          <w:szCs w:val="24"/>
        </w:rPr>
      </w:pPr>
      <w:proofErr w:type="spellStart"/>
      <w:r w:rsidRPr="005910F9">
        <w:rPr>
          <w:sz w:val="24"/>
          <w:szCs w:val="24"/>
        </w:rPr>
        <w:t>Calrecia</w:t>
      </w:r>
      <w:proofErr w:type="spellEnd"/>
      <w:r w:rsidRPr="005910F9">
        <w:rPr>
          <w:sz w:val="24"/>
          <w:szCs w:val="24"/>
        </w:rPr>
        <w:t xml:space="preserve"> må ikke tilsættes andre lægemidler eller væsker. Hvis </w:t>
      </w:r>
      <w:proofErr w:type="spellStart"/>
      <w:r w:rsidRPr="005910F9">
        <w:rPr>
          <w:sz w:val="24"/>
          <w:szCs w:val="24"/>
        </w:rPr>
        <w:t>Calrecia</w:t>
      </w:r>
      <w:proofErr w:type="spellEnd"/>
      <w:r w:rsidRPr="005910F9">
        <w:rPr>
          <w:sz w:val="24"/>
          <w:szCs w:val="24"/>
        </w:rPr>
        <w:t xml:space="preserve"> ikke tilføres via det </w:t>
      </w:r>
      <w:proofErr w:type="spellStart"/>
      <w:r w:rsidRPr="005910F9">
        <w:rPr>
          <w:sz w:val="24"/>
          <w:szCs w:val="24"/>
        </w:rPr>
        <w:t>ekstrakorporale</w:t>
      </w:r>
      <w:proofErr w:type="spellEnd"/>
      <w:r w:rsidRPr="005910F9">
        <w:rPr>
          <w:sz w:val="24"/>
          <w:szCs w:val="24"/>
        </w:rPr>
        <w:t xml:space="preserve"> kredsløb men via et separat centralt venekateter, må det pågældende kateterlumen ikke anvendes til andre infusioner samtidigt. Det skal bemærkes, at </w:t>
      </w:r>
      <w:proofErr w:type="spellStart"/>
      <w:r w:rsidRPr="005910F9">
        <w:rPr>
          <w:sz w:val="24"/>
          <w:szCs w:val="24"/>
        </w:rPr>
        <w:t>chloridopløsning</w:t>
      </w:r>
      <w:proofErr w:type="spellEnd"/>
      <w:r w:rsidRPr="005910F9">
        <w:rPr>
          <w:sz w:val="24"/>
          <w:szCs w:val="24"/>
        </w:rPr>
        <w:t xml:space="preserve"> er vist at være uforligelig med andre opløsninger indeholdende f.eks. uorganisk </w:t>
      </w:r>
      <w:proofErr w:type="spellStart"/>
      <w:r w:rsidRPr="005910F9">
        <w:rPr>
          <w:sz w:val="24"/>
          <w:szCs w:val="24"/>
        </w:rPr>
        <w:t>phosphat</w:t>
      </w:r>
      <w:proofErr w:type="spellEnd"/>
      <w:r w:rsidRPr="005910F9">
        <w:rPr>
          <w:sz w:val="24"/>
          <w:szCs w:val="24"/>
        </w:rPr>
        <w:t xml:space="preserve">, </w:t>
      </w:r>
      <w:proofErr w:type="spellStart"/>
      <w:r w:rsidRPr="005910F9">
        <w:rPr>
          <w:sz w:val="24"/>
          <w:szCs w:val="24"/>
        </w:rPr>
        <w:t>carbonater</w:t>
      </w:r>
      <w:proofErr w:type="spellEnd"/>
      <w:r w:rsidRPr="005910F9">
        <w:rPr>
          <w:sz w:val="24"/>
          <w:szCs w:val="24"/>
        </w:rPr>
        <w:t xml:space="preserve">, </w:t>
      </w:r>
      <w:proofErr w:type="spellStart"/>
      <w:r w:rsidRPr="005910F9">
        <w:rPr>
          <w:sz w:val="24"/>
          <w:szCs w:val="24"/>
        </w:rPr>
        <w:t>tetracyclin</w:t>
      </w:r>
      <w:proofErr w:type="spellEnd"/>
      <w:r w:rsidRPr="005910F9">
        <w:rPr>
          <w:sz w:val="24"/>
          <w:szCs w:val="24"/>
        </w:rPr>
        <w:t xml:space="preserve"> antibiotika, </w:t>
      </w:r>
      <w:proofErr w:type="spellStart"/>
      <w:r w:rsidRPr="005910F9">
        <w:rPr>
          <w:sz w:val="24"/>
          <w:szCs w:val="24"/>
        </w:rPr>
        <w:t>ceftriaxon</w:t>
      </w:r>
      <w:proofErr w:type="spellEnd"/>
      <w:r w:rsidRPr="005910F9">
        <w:rPr>
          <w:sz w:val="24"/>
          <w:szCs w:val="24"/>
        </w:rPr>
        <w:t xml:space="preserve"> med flere. </w:t>
      </w:r>
    </w:p>
    <w:p w:rsidR="00853C35" w:rsidRPr="005910F9" w:rsidRDefault="00853C35" w:rsidP="00853C35">
      <w:pPr>
        <w:tabs>
          <w:tab w:val="left" w:pos="0"/>
        </w:tabs>
        <w:ind w:left="851"/>
        <w:rPr>
          <w:sz w:val="24"/>
          <w:szCs w:val="24"/>
        </w:rPr>
      </w:pPr>
    </w:p>
    <w:p w:rsidR="00853C35" w:rsidRPr="005910F9" w:rsidRDefault="00853C35" w:rsidP="00853C35">
      <w:pPr>
        <w:tabs>
          <w:tab w:val="left" w:pos="0"/>
        </w:tabs>
        <w:ind w:left="851"/>
        <w:rPr>
          <w:sz w:val="24"/>
          <w:szCs w:val="24"/>
        </w:rPr>
      </w:pPr>
      <w:r w:rsidRPr="005910F9">
        <w:rPr>
          <w:sz w:val="24"/>
          <w:szCs w:val="24"/>
        </w:rPr>
        <w:t xml:space="preserve">Patienter, der behandles med </w:t>
      </w:r>
      <w:proofErr w:type="spellStart"/>
      <w:r w:rsidRPr="005910F9">
        <w:rPr>
          <w:sz w:val="24"/>
          <w:szCs w:val="24"/>
        </w:rPr>
        <w:t>digitalisglycosider</w:t>
      </w:r>
      <w:proofErr w:type="spellEnd"/>
      <w:r w:rsidRPr="005910F9">
        <w:rPr>
          <w:sz w:val="24"/>
          <w:szCs w:val="24"/>
        </w:rPr>
        <w:t xml:space="preserve">, kan efter tilførsel af </w:t>
      </w:r>
      <w:proofErr w:type="spellStart"/>
      <w:r w:rsidRPr="005910F9">
        <w:rPr>
          <w:sz w:val="24"/>
          <w:szCs w:val="24"/>
        </w:rPr>
        <w:t>calcium-holdige</w:t>
      </w:r>
      <w:proofErr w:type="spellEnd"/>
      <w:r w:rsidRPr="005910F9">
        <w:rPr>
          <w:sz w:val="24"/>
          <w:szCs w:val="24"/>
        </w:rPr>
        <w:t xml:space="preserve"> opløsninger udvise symptomer på digitalisoverdosis (se pkt. 4.4).</w:t>
      </w:r>
    </w:p>
    <w:p w:rsidR="00853C35" w:rsidRPr="005910F9" w:rsidRDefault="00853C35" w:rsidP="00853C35">
      <w:pPr>
        <w:ind w:left="851"/>
        <w:rPr>
          <w:color w:val="FFFFFF"/>
          <w:sz w:val="24"/>
          <w:szCs w:val="24"/>
        </w:rPr>
      </w:pPr>
    </w:p>
    <w:p w:rsidR="00853C35" w:rsidRPr="005910F9" w:rsidRDefault="00853C35" w:rsidP="00853C35">
      <w:pPr>
        <w:ind w:left="851"/>
        <w:rPr>
          <w:sz w:val="24"/>
          <w:szCs w:val="24"/>
        </w:rPr>
      </w:pPr>
      <w:proofErr w:type="spellStart"/>
      <w:r w:rsidRPr="005910F9">
        <w:rPr>
          <w:sz w:val="24"/>
          <w:szCs w:val="24"/>
        </w:rPr>
        <w:t>Thiaziddiuretika</w:t>
      </w:r>
      <w:proofErr w:type="spellEnd"/>
      <w:r w:rsidRPr="005910F9">
        <w:rPr>
          <w:sz w:val="24"/>
          <w:szCs w:val="24"/>
        </w:rPr>
        <w:t xml:space="preserve"> reducerer calciumudskillelsen i urinen. Der bør derfor udvises forsigtighed ved administration af disse lægemidler sammen med </w:t>
      </w:r>
      <w:proofErr w:type="spellStart"/>
      <w:r w:rsidRPr="005910F9">
        <w:rPr>
          <w:sz w:val="24"/>
          <w:szCs w:val="24"/>
        </w:rPr>
        <w:t>calciumchlorid</w:t>
      </w:r>
      <w:proofErr w:type="spellEnd"/>
      <w:r w:rsidRPr="005910F9">
        <w:rPr>
          <w:sz w:val="24"/>
          <w:szCs w:val="24"/>
        </w:rPr>
        <w:t xml:space="preserve"> og andre </w:t>
      </w:r>
      <w:proofErr w:type="spellStart"/>
      <w:r w:rsidRPr="005910F9">
        <w:rPr>
          <w:sz w:val="24"/>
          <w:szCs w:val="24"/>
        </w:rPr>
        <w:t>calcium-holdige</w:t>
      </w:r>
      <w:proofErr w:type="spellEnd"/>
      <w:r w:rsidRPr="005910F9">
        <w:rPr>
          <w:sz w:val="24"/>
          <w:szCs w:val="24"/>
        </w:rPr>
        <w:t xml:space="preserve"> præparater.</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4.6</w:t>
      </w:r>
      <w:r w:rsidRPr="005910F9">
        <w:rPr>
          <w:b/>
          <w:sz w:val="24"/>
          <w:szCs w:val="24"/>
        </w:rPr>
        <w:tab/>
      </w:r>
      <w:r w:rsidR="00B84028">
        <w:rPr>
          <w:b/>
          <w:sz w:val="24"/>
          <w:szCs w:val="24"/>
        </w:rPr>
        <w:t>Fertilitet, g</w:t>
      </w:r>
      <w:r w:rsidRPr="005910F9">
        <w:rPr>
          <w:b/>
          <w:sz w:val="24"/>
          <w:szCs w:val="24"/>
        </w:rPr>
        <w:t>raviditet og amning</w:t>
      </w:r>
    </w:p>
    <w:p w:rsidR="00853C35" w:rsidRDefault="00853C35" w:rsidP="00853C35">
      <w:pPr>
        <w:tabs>
          <w:tab w:val="left" w:pos="-720"/>
          <w:tab w:val="left" w:pos="0"/>
          <w:tab w:val="left" w:pos="720"/>
          <w:tab w:val="left" w:pos="1440"/>
          <w:tab w:val="left" w:pos="2160"/>
          <w:tab w:val="left" w:pos="2880"/>
          <w:tab w:val="left" w:pos="3600"/>
          <w:tab w:val="left" w:pos="4320"/>
        </w:tabs>
        <w:autoSpaceDE w:val="0"/>
        <w:autoSpaceDN w:val="0"/>
        <w:adjustRightInd w:val="0"/>
        <w:ind w:left="851" w:hanging="851"/>
        <w:rPr>
          <w:color w:val="000000"/>
          <w:sz w:val="24"/>
          <w:szCs w:val="24"/>
          <w:u w:val="single"/>
        </w:rPr>
      </w:pPr>
    </w:p>
    <w:p w:rsidR="00853C35" w:rsidRPr="005910F9" w:rsidRDefault="00853C35" w:rsidP="00853C35">
      <w:pPr>
        <w:autoSpaceDE w:val="0"/>
        <w:autoSpaceDN w:val="0"/>
        <w:adjustRightInd w:val="0"/>
        <w:ind w:left="851"/>
        <w:rPr>
          <w:color w:val="000000"/>
          <w:sz w:val="24"/>
          <w:szCs w:val="24"/>
          <w:u w:val="single"/>
        </w:rPr>
      </w:pPr>
      <w:r w:rsidRPr="005910F9">
        <w:rPr>
          <w:color w:val="000000"/>
          <w:sz w:val="24"/>
          <w:szCs w:val="24"/>
          <w:u w:val="single"/>
        </w:rPr>
        <w:t>Graviditet</w:t>
      </w:r>
    </w:p>
    <w:p w:rsidR="00853C35" w:rsidRPr="005910F9" w:rsidRDefault="00853C35" w:rsidP="00853C35">
      <w:pPr>
        <w:autoSpaceDE w:val="0"/>
        <w:autoSpaceDN w:val="0"/>
        <w:adjustRightInd w:val="0"/>
        <w:ind w:left="851"/>
        <w:rPr>
          <w:color w:val="000000"/>
          <w:sz w:val="24"/>
          <w:szCs w:val="24"/>
        </w:rPr>
      </w:pPr>
      <w:r w:rsidRPr="005910F9">
        <w:rPr>
          <w:color w:val="000000"/>
          <w:sz w:val="24"/>
          <w:szCs w:val="24"/>
        </w:rPr>
        <w:t xml:space="preserve">Der foreligger ingen eller kun begrænsede data fra anvendelse af </w:t>
      </w:r>
      <w:proofErr w:type="spellStart"/>
      <w:r w:rsidRPr="005910F9">
        <w:rPr>
          <w:color w:val="000000"/>
          <w:sz w:val="24"/>
          <w:szCs w:val="24"/>
        </w:rPr>
        <w:t>calciumchlorid</w:t>
      </w:r>
      <w:proofErr w:type="spellEnd"/>
      <w:r w:rsidRPr="005910F9">
        <w:rPr>
          <w:color w:val="000000"/>
          <w:sz w:val="24"/>
          <w:szCs w:val="24"/>
        </w:rPr>
        <w:t xml:space="preserve"> til gravide kvinder. </w:t>
      </w:r>
    </w:p>
    <w:p w:rsidR="00853C35" w:rsidRPr="005910F9" w:rsidRDefault="00853C35" w:rsidP="00853C35">
      <w:pPr>
        <w:autoSpaceDE w:val="0"/>
        <w:autoSpaceDN w:val="0"/>
        <w:adjustRightInd w:val="0"/>
        <w:ind w:left="851"/>
        <w:rPr>
          <w:rFonts w:eastAsia="SimSun"/>
          <w:color w:val="000000"/>
          <w:sz w:val="24"/>
          <w:szCs w:val="24"/>
        </w:rPr>
      </w:pPr>
      <w:r w:rsidRPr="005910F9">
        <w:rPr>
          <w:color w:val="000000"/>
          <w:sz w:val="24"/>
          <w:szCs w:val="24"/>
        </w:rPr>
        <w:t xml:space="preserve">Dyrestudier er utilstrækkelige med hensyn til reproduktionstoksicitet (se pkt. 5.3). </w:t>
      </w:r>
      <w:proofErr w:type="spellStart"/>
      <w:r w:rsidRPr="005910F9">
        <w:rPr>
          <w:color w:val="000000"/>
          <w:sz w:val="24"/>
          <w:szCs w:val="24"/>
        </w:rPr>
        <w:t>Calrecia</w:t>
      </w:r>
      <w:proofErr w:type="spellEnd"/>
      <w:r w:rsidRPr="005910F9">
        <w:rPr>
          <w:color w:val="000000"/>
          <w:sz w:val="24"/>
          <w:szCs w:val="24"/>
        </w:rPr>
        <w:t xml:space="preserve"> bør ikke anvendes til gravide kvinder, medmindre kvindens kliniske tilstand nødvendiggør behandling med CRRT, SLEDD eller TPE.</w:t>
      </w:r>
    </w:p>
    <w:p w:rsidR="00853C35" w:rsidRPr="005910F9" w:rsidRDefault="00853C35" w:rsidP="00853C35">
      <w:pPr>
        <w:autoSpaceDE w:val="0"/>
        <w:autoSpaceDN w:val="0"/>
        <w:adjustRightInd w:val="0"/>
        <w:ind w:left="851"/>
        <w:rPr>
          <w:color w:val="000000"/>
          <w:sz w:val="24"/>
          <w:szCs w:val="24"/>
          <w:lang w:eastAsia="de-DE"/>
        </w:rPr>
      </w:pPr>
    </w:p>
    <w:p w:rsidR="00853C35" w:rsidRPr="005910F9" w:rsidRDefault="00853C35" w:rsidP="00853C35">
      <w:pPr>
        <w:autoSpaceDE w:val="0"/>
        <w:autoSpaceDN w:val="0"/>
        <w:adjustRightInd w:val="0"/>
        <w:ind w:left="851"/>
        <w:rPr>
          <w:color w:val="000000"/>
          <w:sz w:val="24"/>
          <w:szCs w:val="24"/>
          <w:u w:val="single"/>
        </w:rPr>
      </w:pPr>
      <w:r w:rsidRPr="005910F9">
        <w:rPr>
          <w:color w:val="000000"/>
          <w:sz w:val="24"/>
          <w:szCs w:val="24"/>
          <w:u w:val="single"/>
        </w:rPr>
        <w:t>Amning</w:t>
      </w:r>
    </w:p>
    <w:p w:rsidR="00853C35" w:rsidRPr="005910F9" w:rsidRDefault="00853C35" w:rsidP="00853C35">
      <w:pPr>
        <w:autoSpaceDE w:val="0"/>
        <w:autoSpaceDN w:val="0"/>
        <w:adjustRightInd w:val="0"/>
        <w:ind w:left="851"/>
        <w:rPr>
          <w:color w:val="000000"/>
          <w:sz w:val="24"/>
          <w:szCs w:val="24"/>
        </w:rPr>
      </w:pPr>
      <w:r w:rsidRPr="005910F9">
        <w:rPr>
          <w:color w:val="000000"/>
          <w:sz w:val="24"/>
          <w:szCs w:val="24"/>
        </w:rPr>
        <w:t xml:space="preserve">Calcium udskilles i modermælk, men der ventes ingen påvirkning af det ammede barn/spædbarn ved terapeutiske doser </w:t>
      </w:r>
      <w:proofErr w:type="spellStart"/>
      <w:r w:rsidRPr="005910F9">
        <w:rPr>
          <w:color w:val="000000"/>
          <w:sz w:val="24"/>
          <w:szCs w:val="24"/>
        </w:rPr>
        <w:t>calciumchlorid</w:t>
      </w:r>
      <w:proofErr w:type="spellEnd"/>
      <w:r w:rsidRPr="005910F9">
        <w:rPr>
          <w:color w:val="000000"/>
          <w:sz w:val="24"/>
          <w:szCs w:val="24"/>
        </w:rPr>
        <w:t xml:space="preserve">. </w:t>
      </w:r>
      <w:proofErr w:type="spellStart"/>
      <w:r w:rsidRPr="005910F9">
        <w:rPr>
          <w:color w:val="000000"/>
          <w:sz w:val="24"/>
          <w:szCs w:val="24"/>
        </w:rPr>
        <w:t>Calrecia</w:t>
      </w:r>
      <w:proofErr w:type="spellEnd"/>
      <w:r w:rsidRPr="005910F9">
        <w:rPr>
          <w:color w:val="000000"/>
          <w:sz w:val="24"/>
          <w:szCs w:val="24"/>
        </w:rPr>
        <w:t xml:space="preserve"> kan anvendes i </w:t>
      </w:r>
      <w:proofErr w:type="spellStart"/>
      <w:r w:rsidRPr="005910F9">
        <w:rPr>
          <w:color w:val="000000"/>
          <w:sz w:val="24"/>
          <w:szCs w:val="24"/>
        </w:rPr>
        <w:t>ammeperioden</w:t>
      </w:r>
      <w:proofErr w:type="spellEnd"/>
      <w:r w:rsidRPr="005910F9">
        <w:rPr>
          <w:color w:val="000000"/>
          <w:sz w:val="24"/>
          <w:szCs w:val="24"/>
        </w:rPr>
        <w:t>, medmindre kvindens kliniske tilstand vækker grund til bekymring.</w:t>
      </w:r>
    </w:p>
    <w:p w:rsidR="00853C35" w:rsidRPr="005910F9" w:rsidRDefault="00853C35" w:rsidP="00853C35">
      <w:pPr>
        <w:autoSpaceDE w:val="0"/>
        <w:autoSpaceDN w:val="0"/>
        <w:adjustRightInd w:val="0"/>
        <w:ind w:left="851"/>
        <w:rPr>
          <w:color w:val="000000"/>
          <w:sz w:val="24"/>
          <w:szCs w:val="24"/>
          <w:lang w:eastAsia="de-DE"/>
        </w:rPr>
      </w:pPr>
    </w:p>
    <w:p w:rsidR="00853C35" w:rsidRPr="005910F9" w:rsidRDefault="00853C35" w:rsidP="00853C35">
      <w:pPr>
        <w:autoSpaceDE w:val="0"/>
        <w:autoSpaceDN w:val="0"/>
        <w:adjustRightInd w:val="0"/>
        <w:ind w:left="851"/>
        <w:rPr>
          <w:color w:val="000000"/>
          <w:sz w:val="24"/>
          <w:szCs w:val="24"/>
          <w:u w:val="single"/>
        </w:rPr>
      </w:pPr>
      <w:r w:rsidRPr="005910F9">
        <w:rPr>
          <w:color w:val="000000"/>
          <w:sz w:val="24"/>
          <w:szCs w:val="24"/>
          <w:u w:val="single"/>
        </w:rPr>
        <w:lastRenderedPageBreak/>
        <w:t>Fertilitet</w:t>
      </w:r>
    </w:p>
    <w:p w:rsidR="00853C35" w:rsidRPr="005910F9" w:rsidRDefault="00853C35" w:rsidP="00853C35">
      <w:pPr>
        <w:ind w:left="851"/>
        <w:rPr>
          <w:color w:val="000000"/>
          <w:sz w:val="24"/>
          <w:szCs w:val="24"/>
        </w:rPr>
      </w:pPr>
      <w:r w:rsidRPr="005910F9">
        <w:rPr>
          <w:color w:val="000000"/>
          <w:sz w:val="24"/>
          <w:szCs w:val="24"/>
        </w:rPr>
        <w:t xml:space="preserve">Der foreligger ingen data om </w:t>
      </w:r>
      <w:proofErr w:type="spellStart"/>
      <w:r w:rsidRPr="005910F9">
        <w:rPr>
          <w:color w:val="000000"/>
          <w:sz w:val="24"/>
          <w:szCs w:val="24"/>
        </w:rPr>
        <w:t>calciumchlorids</w:t>
      </w:r>
      <w:proofErr w:type="spellEnd"/>
      <w:r w:rsidRPr="005910F9">
        <w:rPr>
          <w:color w:val="000000"/>
          <w:sz w:val="24"/>
          <w:szCs w:val="24"/>
        </w:rPr>
        <w:t xml:space="preserve"> virkning på fertiliteten hos mennesker. </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4.7</w:t>
      </w:r>
      <w:r w:rsidRPr="005910F9">
        <w:rPr>
          <w:b/>
          <w:sz w:val="24"/>
          <w:szCs w:val="24"/>
        </w:rPr>
        <w:tab/>
        <w:t xml:space="preserve">Virkning på evnen til at føre motorkøretøj </w:t>
      </w:r>
      <w:r w:rsidR="00B84028">
        <w:rPr>
          <w:b/>
          <w:sz w:val="24"/>
          <w:szCs w:val="24"/>
        </w:rPr>
        <w:t>og</w:t>
      </w:r>
      <w:r w:rsidRPr="005910F9">
        <w:rPr>
          <w:b/>
          <w:sz w:val="24"/>
          <w:szCs w:val="24"/>
        </w:rPr>
        <w:t xml:space="preserve"> betjene maskiner</w:t>
      </w:r>
    </w:p>
    <w:p w:rsidR="00853C35" w:rsidRDefault="00853C35" w:rsidP="00853C35">
      <w:pPr>
        <w:ind w:left="851"/>
        <w:rPr>
          <w:sz w:val="24"/>
          <w:szCs w:val="24"/>
        </w:rPr>
      </w:pPr>
      <w:r>
        <w:rPr>
          <w:sz w:val="24"/>
          <w:szCs w:val="24"/>
        </w:rPr>
        <w:t>Ikke mærkning.</w:t>
      </w:r>
    </w:p>
    <w:p w:rsidR="00853C35" w:rsidRPr="005910F9" w:rsidRDefault="00853C35" w:rsidP="00853C35">
      <w:pPr>
        <w:ind w:left="851"/>
        <w:rPr>
          <w:sz w:val="24"/>
          <w:szCs w:val="24"/>
        </w:rPr>
      </w:pPr>
      <w:r w:rsidRPr="005910F9">
        <w:rPr>
          <w:sz w:val="24"/>
          <w:szCs w:val="24"/>
        </w:rPr>
        <w:t>Ikke relevant.</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4.8</w:t>
      </w:r>
      <w:r w:rsidRPr="005910F9">
        <w:rPr>
          <w:b/>
          <w:sz w:val="24"/>
          <w:szCs w:val="24"/>
        </w:rPr>
        <w:tab/>
        <w:t>Bivirkninger</w:t>
      </w:r>
    </w:p>
    <w:p w:rsidR="00853C35" w:rsidRPr="005910F9" w:rsidRDefault="00853C35" w:rsidP="00853C35">
      <w:pPr>
        <w:pStyle w:val="Default"/>
        <w:ind w:left="851"/>
      </w:pPr>
      <w:r w:rsidRPr="005910F9">
        <w:t>Følgende bivirkninger kan opstå som følge af behandlingsteknikken:</w:t>
      </w:r>
    </w:p>
    <w:p w:rsidR="00853C35" w:rsidRPr="005910F9" w:rsidRDefault="00853C35" w:rsidP="00853C35">
      <w:pPr>
        <w:ind w:left="851"/>
        <w:rPr>
          <w:i/>
          <w:sz w:val="24"/>
          <w:szCs w:val="24"/>
        </w:rPr>
      </w:pPr>
      <w:r w:rsidRPr="005910F9">
        <w:rPr>
          <w:i/>
          <w:sz w:val="24"/>
          <w:szCs w:val="24"/>
        </w:rPr>
        <w:t>Almene symptomer og reaktioner på administrationsstedet</w:t>
      </w:r>
    </w:p>
    <w:p w:rsidR="00853C35" w:rsidRPr="005910F9" w:rsidRDefault="00853C35" w:rsidP="00853C35">
      <w:pPr>
        <w:ind w:left="1276" w:hanging="425"/>
        <w:rPr>
          <w:sz w:val="24"/>
          <w:szCs w:val="24"/>
        </w:rPr>
      </w:pPr>
      <w:r w:rsidRPr="005910F9">
        <w:rPr>
          <w:i/>
          <w:sz w:val="24"/>
          <w:szCs w:val="24"/>
        </w:rPr>
        <w:t>-</w:t>
      </w:r>
      <w:r w:rsidRPr="005910F9">
        <w:rPr>
          <w:i/>
          <w:sz w:val="24"/>
          <w:szCs w:val="24"/>
        </w:rPr>
        <w:tab/>
      </w:r>
      <w:proofErr w:type="spellStart"/>
      <w:r w:rsidRPr="005910F9">
        <w:rPr>
          <w:sz w:val="24"/>
          <w:szCs w:val="24"/>
        </w:rPr>
        <w:t>Hypotermi</w:t>
      </w:r>
      <w:proofErr w:type="spellEnd"/>
    </w:p>
    <w:p w:rsidR="00853C35" w:rsidRPr="005910F9" w:rsidRDefault="00853C35" w:rsidP="00853C35">
      <w:pPr>
        <w:ind w:left="851" w:hanging="851"/>
        <w:rPr>
          <w:i/>
          <w:sz w:val="24"/>
          <w:szCs w:val="24"/>
        </w:rPr>
      </w:pPr>
    </w:p>
    <w:p w:rsidR="00B84028" w:rsidRPr="005910F9" w:rsidRDefault="00B84028" w:rsidP="00B84028">
      <w:pPr>
        <w:ind w:left="851"/>
        <w:rPr>
          <w:sz w:val="24"/>
          <w:szCs w:val="24"/>
        </w:rPr>
      </w:pPr>
      <w:r w:rsidRPr="005910F9">
        <w:rPr>
          <w:i/>
          <w:sz w:val="24"/>
          <w:szCs w:val="24"/>
        </w:rPr>
        <w:t>Metabolisme og ernæring</w:t>
      </w:r>
    </w:p>
    <w:p w:rsidR="00B84028" w:rsidRPr="005910F9" w:rsidRDefault="00B84028" w:rsidP="00B84028">
      <w:pPr>
        <w:ind w:left="1276" w:hanging="425"/>
        <w:rPr>
          <w:sz w:val="24"/>
          <w:szCs w:val="24"/>
        </w:rPr>
      </w:pPr>
      <w:r w:rsidRPr="005910F9">
        <w:rPr>
          <w:sz w:val="24"/>
          <w:szCs w:val="24"/>
        </w:rPr>
        <w:t>-</w:t>
      </w:r>
      <w:r w:rsidRPr="005910F9">
        <w:rPr>
          <w:sz w:val="24"/>
          <w:szCs w:val="24"/>
        </w:rPr>
        <w:tab/>
        <w:t xml:space="preserve">Hyper- eller </w:t>
      </w:r>
      <w:proofErr w:type="spellStart"/>
      <w:r w:rsidRPr="005910F9">
        <w:rPr>
          <w:sz w:val="24"/>
          <w:szCs w:val="24"/>
        </w:rPr>
        <w:t>hypohydrering</w:t>
      </w:r>
      <w:proofErr w:type="spellEnd"/>
      <w:r>
        <w:rPr>
          <w:sz w:val="24"/>
          <w:szCs w:val="24"/>
        </w:rPr>
        <w:t>.</w:t>
      </w:r>
    </w:p>
    <w:p w:rsidR="00B84028" w:rsidRPr="005910F9" w:rsidRDefault="00B84028" w:rsidP="00B84028">
      <w:pPr>
        <w:numPr>
          <w:ilvl w:val="0"/>
          <w:numId w:val="8"/>
        </w:numPr>
        <w:tabs>
          <w:tab w:val="clear" w:pos="720"/>
        </w:tabs>
        <w:ind w:left="1276" w:hanging="425"/>
        <w:rPr>
          <w:sz w:val="24"/>
          <w:szCs w:val="24"/>
        </w:rPr>
      </w:pPr>
      <w:proofErr w:type="spellStart"/>
      <w:r w:rsidRPr="005910F9">
        <w:rPr>
          <w:sz w:val="24"/>
          <w:szCs w:val="24"/>
        </w:rPr>
        <w:t>Hypercalcæmi</w:t>
      </w:r>
      <w:proofErr w:type="spellEnd"/>
      <w:r w:rsidRPr="005910F9">
        <w:rPr>
          <w:sz w:val="24"/>
          <w:szCs w:val="24"/>
        </w:rPr>
        <w:t xml:space="preserve"> ved en </w:t>
      </w:r>
      <w:proofErr w:type="spellStart"/>
      <w:r w:rsidRPr="005910F9">
        <w:rPr>
          <w:sz w:val="24"/>
          <w:szCs w:val="24"/>
        </w:rPr>
        <w:t>Calrecia</w:t>
      </w:r>
      <w:proofErr w:type="spellEnd"/>
      <w:r w:rsidRPr="005910F9">
        <w:rPr>
          <w:sz w:val="24"/>
          <w:szCs w:val="24"/>
        </w:rPr>
        <w:t>-dosis, som vurderes at være passende. Hvis dette forekommer, bør calcium-akkumulering forårsaget af ineffektiv blodrensning på grund af en tilstoppet membran overvejes (se pkt. 4.4)</w:t>
      </w:r>
      <w:r>
        <w:rPr>
          <w:sz w:val="24"/>
          <w:szCs w:val="24"/>
        </w:rPr>
        <w:t>.</w:t>
      </w:r>
    </w:p>
    <w:p w:rsidR="00B84028" w:rsidRPr="005910F9" w:rsidRDefault="00B84028" w:rsidP="00B84028">
      <w:pPr>
        <w:numPr>
          <w:ilvl w:val="0"/>
          <w:numId w:val="8"/>
        </w:numPr>
        <w:tabs>
          <w:tab w:val="clear" w:pos="720"/>
        </w:tabs>
        <w:ind w:left="1276" w:hanging="425"/>
        <w:rPr>
          <w:sz w:val="24"/>
          <w:szCs w:val="24"/>
        </w:rPr>
      </w:pPr>
      <w:proofErr w:type="spellStart"/>
      <w:r w:rsidRPr="005910F9">
        <w:rPr>
          <w:sz w:val="24"/>
          <w:szCs w:val="24"/>
        </w:rPr>
        <w:t>Hypocalcæmi</w:t>
      </w:r>
      <w:proofErr w:type="spellEnd"/>
      <w:r w:rsidRPr="005910F9">
        <w:rPr>
          <w:sz w:val="24"/>
          <w:szCs w:val="24"/>
        </w:rPr>
        <w:t xml:space="preserve"> på grund af underdosering af </w:t>
      </w:r>
      <w:proofErr w:type="spellStart"/>
      <w:r w:rsidRPr="005910F9">
        <w:rPr>
          <w:sz w:val="24"/>
          <w:szCs w:val="24"/>
        </w:rPr>
        <w:t>Calrecia</w:t>
      </w:r>
      <w:proofErr w:type="spellEnd"/>
      <w:r w:rsidRPr="005910F9">
        <w:rPr>
          <w:sz w:val="24"/>
          <w:szCs w:val="24"/>
        </w:rPr>
        <w:t>. Hvis dette forekommer, bør citrat-akkumulering relateret til brugen af citrat-antikoagulation ved CRRT, SLEDD og TPE overvejes (se pkt. 4.4)</w:t>
      </w:r>
      <w:r>
        <w:rPr>
          <w:sz w:val="24"/>
          <w:szCs w:val="24"/>
        </w:rPr>
        <w:t>.</w:t>
      </w:r>
    </w:p>
    <w:p w:rsidR="00B84028" w:rsidRPr="005910F9" w:rsidRDefault="00B84028" w:rsidP="00B84028">
      <w:pPr>
        <w:numPr>
          <w:ilvl w:val="0"/>
          <w:numId w:val="8"/>
        </w:numPr>
        <w:tabs>
          <w:tab w:val="clear" w:pos="720"/>
        </w:tabs>
        <w:ind w:left="1276" w:hanging="425"/>
        <w:rPr>
          <w:sz w:val="24"/>
          <w:szCs w:val="24"/>
        </w:rPr>
      </w:pPr>
      <w:r w:rsidRPr="005910F9">
        <w:rPr>
          <w:sz w:val="24"/>
          <w:szCs w:val="24"/>
        </w:rPr>
        <w:t xml:space="preserve">Metabolisk </w:t>
      </w:r>
      <w:proofErr w:type="spellStart"/>
      <w:r w:rsidRPr="005910F9">
        <w:rPr>
          <w:sz w:val="24"/>
          <w:szCs w:val="24"/>
        </w:rPr>
        <w:t>acidose</w:t>
      </w:r>
      <w:proofErr w:type="spellEnd"/>
      <w:r w:rsidRPr="005910F9">
        <w:rPr>
          <w:sz w:val="24"/>
          <w:szCs w:val="24"/>
        </w:rPr>
        <w:t xml:space="preserve"> eller </w:t>
      </w:r>
      <w:proofErr w:type="spellStart"/>
      <w:r w:rsidRPr="005910F9">
        <w:rPr>
          <w:sz w:val="24"/>
          <w:szCs w:val="24"/>
        </w:rPr>
        <w:t>alkalose</w:t>
      </w:r>
      <w:proofErr w:type="spellEnd"/>
      <w:r>
        <w:rPr>
          <w:sz w:val="24"/>
          <w:szCs w:val="24"/>
        </w:rPr>
        <w:t>.</w:t>
      </w:r>
    </w:p>
    <w:p w:rsidR="00B84028" w:rsidRPr="005910F9" w:rsidRDefault="00B84028" w:rsidP="00B84028">
      <w:pPr>
        <w:numPr>
          <w:ilvl w:val="0"/>
          <w:numId w:val="8"/>
        </w:numPr>
        <w:tabs>
          <w:tab w:val="clear" w:pos="720"/>
        </w:tabs>
        <w:ind w:left="1276" w:hanging="425"/>
        <w:rPr>
          <w:sz w:val="24"/>
          <w:szCs w:val="24"/>
        </w:rPr>
      </w:pPr>
      <w:r w:rsidRPr="005910F9">
        <w:rPr>
          <w:sz w:val="24"/>
          <w:szCs w:val="24"/>
        </w:rPr>
        <w:t xml:space="preserve">Andre elektrolytforstyrrelser (f.eks. </w:t>
      </w:r>
      <w:proofErr w:type="spellStart"/>
      <w:r w:rsidRPr="005910F9">
        <w:rPr>
          <w:sz w:val="24"/>
          <w:szCs w:val="24"/>
        </w:rPr>
        <w:t>hypokalæmi</w:t>
      </w:r>
      <w:proofErr w:type="spellEnd"/>
      <w:r w:rsidRPr="005910F9">
        <w:rPr>
          <w:sz w:val="24"/>
          <w:szCs w:val="24"/>
        </w:rPr>
        <w:t xml:space="preserve">, </w:t>
      </w:r>
      <w:proofErr w:type="spellStart"/>
      <w:r w:rsidRPr="005910F9">
        <w:rPr>
          <w:sz w:val="24"/>
          <w:szCs w:val="24"/>
        </w:rPr>
        <w:t>hypophosphatæmi</w:t>
      </w:r>
      <w:proofErr w:type="spellEnd"/>
      <w:r w:rsidRPr="005910F9">
        <w:rPr>
          <w:sz w:val="24"/>
          <w:szCs w:val="24"/>
        </w:rPr>
        <w:t>)</w:t>
      </w:r>
      <w:r>
        <w:rPr>
          <w:sz w:val="24"/>
          <w:szCs w:val="24"/>
        </w:rPr>
        <w:t>.</w:t>
      </w:r>
    </w:p>
    <w:p w:rsidR="00B84028" w:rsidRPr="005910F9" w:rsidRDefault="00B84028" w:rsidP="00B84028">
      <w:pPr>
        <w:ind w:left="851" w:hanging="851"/>
        <w:rPr>
          <w:sz w:val="24"/>
          <w:szCs w:val="24"/>
        </w:rPr>
      </w:pPr>
    </w:p>
    <w:p w:rsidR="00B84028" w:rsidRPr="005910F9" w:rsidRDefault="00B84028" w:rsidP="00B84028">
      <w:pPr>
        <w:ind w:left="851"/>
        <w:rPr>
          <w:i/>
          <w:sz w:val="24"/>
          <w:szCs w:val="24"/>
        </w:rPr>
      </w:pPr>
      <w:proofErr w:type="spellStart"/>
      <w:r w:rsidRPr="005910F9">
        <w:rPr>
          <w:i/>
          <w:sz w:val="24"/>
          <w:szCs w:val="24"/>
        </w:rPr>
        <w:t>Vaskulære</w:t>
      </w:r>
      <w:proofErr w:type="spellEnd"/>
      <w:r w:rsidRPr="005910F9">
        <w:rPr>
          <w:i/>
          <w:sz w:val="24"/>
          <w:szCs w:val="24"/>
        </w:rPr>
        <w:t xml:space="preserve"> sygdomme</w:t>
      </w:r>
    </w:p>
    <w:p w:rsidR="00B84028" w:rsidRPr="005910F9" w:rsidRDefault="00B84028" w:rsidP="00B84028">
      <w:pPr>
        <w:numPr>
          <w:ilvl w:val="0"/>
          <w:numId w:val="8"/>
        </w:numPr>
        <w:tabs>
          <w:tab w:val="clear" w:pos="720"/>
        </w:tabs>
        <w:ind w:left="1276" w:hanging="425"/>
        <w:rPr>
          <w:b/>
          <w:sz w:val="24"/>
          <w:szCs w:val="24"/>
        </w:rPr>
      </w:pPr>
      <w:r w:rsidRPr="005910F9">
        <w:rPr>
          <w:sz w:val="24"/>
          <w:szCs w:val="24"/>
        </w:rPr>
        <w:t>Hypotension</w:t>
      </w:r>
    </w:p>
    <w:p w:rsidR="00853C35" w:rsidRPr="005910F9" w:rsidRDefault="00853C35" w:rsidP="00853C35">
      <w:pPr>
        <w:ind w:left="851" w:hanging="851"/>
        <w:rPr>
          <w:sz w:val="24"/>
          <w:szCs w:val="24"/>
        </w:rPr>
      </w:pPr>
      <w:r w:rsidRPr="005910F9">
        <w:rPr>
          <w:sz w:val="24"/>
          <w:szCs w:val="24"/>
        </w:rPr>
        <w:t xml:space="preserve"> </w:t>
      </w:r>
    </w:p>
    <w:p w:rsidR="00853C35" w:rsidRPr="005910F9" w:rsidRDefault="00853C35" w:rsidP="00853C35">
      <w:pPr>
        <w:ind w:left="851"/>
        <w:rPr>
          <w:sz w:val="24"/>
          <w:szCs w:val="24"/>
        </w:rPr>
      </w:pPr>
      <w:r w:rsidRPr="005910F9">
        <w:rPr>
          <w:sz w:val="24"/>
          <w:szCs w:val="24"/>
        </w:rPr>
        <w:t xml:space="preserve">Følgende bivirkninger kan opstå som følge af </w:t>
      </w:r>
      <w:proofErr w:type="spellStart"/>
      <w:r w:rsidRPr="005910F9">
        <w:rPr>
          <w:sz w:val="24"/>
          <w:szCs w:val="24"/>
        </w:rPr>
        <w:t>Calrecia</w:t>
      </w:r>
      <w:proofErr w:type="spellEnd"/>
      <w:r w:rsidRPr="005910F9">
        <w:rPr>
          <w:sz w:val="24"/>
          <w:szCs w:val="24"/>
        </w:rPr>
        <w:t xml:space="preserve">-tilførslen: </w:t>
      </w:r>
    </w:p>
    <w:p w:rsidR="00853C35" w:rsidRPr="005910F9" w:rsidRDefault="00853C35" w:rsidP="00853C35">
      <w:pPr>
        <w:ind w:left="851"/>
        <w:rPr>
          <w:i/>
          <w:sz w:val="24"/>
          <w:szCs w:val="24"/>
        </w:rPr>
      </w:pPr>
      <w:r w:rsidRPr="005910F9">
        <w:rPr>
          <w:i/>
          <w:sz w:val="24"/>
          <w:szCs w:val="24"/>
        </w:rPr>
        <w:t>Traumer, forgiftninger og behandlingskomplikationer</w:t>
      </w:r>
    </w:p>
    <w:p w:rsidR="00853C35" w:rsidRPr="005910F9" w:rsidRDefault="00853C35" w:rsidP="00853C35">
      <w:pPr>
        <w:numPr>
          <w:ilvl w:val="0"/>
          <w:numId w:val="8"/>
        </w:numPr>
        <w:tabs>
          <w:tab w:val="clear" w:pos="720"/>
        </w:tabs>
        <w:ind w:left="1276" w:hanging="425"/>
        <w:rPr>
          <w:sz w:val="24"/>
          <w:szCs w:val="24"/>
        </w:rPr>
      </w:pPr>
      <w:r w:rsidRPr="005910F9">
        <w:rPr>
          <w:sz w:val="24"/>
          <w:szCs w:val="24"/>
        </w:rPr>
        <w:t xml:space="preserve">Tilførsel af </w:t>
      </w:r>
      <w:proofErr w:type="spellStart"/>
      <w:r w:rsidRPr="005910F9">
        <w:rPr>
          <w:sz w:val="24"/>
          <w:szCs w:val="24"/>
        </w:rPr>
        <w:t>Calrecia</w:t>
      </w:r>
      <w:proofErr w:type="spellEnd"/>
      <w:r w:rsidRPr="005910F9">
        <w:rPr>
          <w:sz w:val="24"/>
          <w:szCs w:val="24"/>
        </w:rPr>
        <w:t xml:space="preserve"> via andre indgivelsesveje end den tiltænkte (dvs. infusion i det </w:t>
      </w:r>
      <w:proofErr w:type="spellStart"/>
      <w:r w:rsidRPr="005910F9">
        <w:rPr>
          <w:sz w:val="24"/>
          <w:szCs w:val="24"/>
        </w:rPr>
        <w:t>ekstrakorporale</w:t>
      </w:r>
      <w:proofErr w:type="spellEnd"/>
      <w:r w:rsidRPr="005910F9">
        <w:rPr>
          <w:sz w:val="24"/>
          <w:szCs w:val="24"/>
        </w:rPr>
        <w:t xml:space="preserve"> kredsløb eller central veneinfusion). I den forbindelse kan der forekomme irritation ved infusionsstedet. </w:t>
      </w:r>
      <w:proofErr w:type="spellStart"/>
      <w:r w:rsidRPr="005910F9">
        <w:rPr>
          <w:sz w:val="24"/>
          <w:szCs w:val="24"/>
        </w:rPr>
        <w:t>Ekstravasation</w:t>
      </w:r>
      <w:proofErr w:type="spellEnd"/>
      <w:r w:rsidRPr="005910F9">
        <w:rPr>
          <w:sz w:val="24"/>
          <w:szCs w:val="24"/>
        </w:rPr>
        <w:t xml:space="preserve"> kan medføre brændende fornemmelse, nekrose og vævsafstødning, cellulitis og </w:t>
      </w:r>
      <w:proofErr w:type="spellStart"/>
      <w:r w:rsidRPr="005910F9">
        <w:rPr>
          <w:sz w:val="24"/>
          <w:szCs w:val="24"/>
        </w:rPr>
        <w:t>kalcifikation</w:t>
      </w:r>
      <w:proofErr w:type="spellEnd"/>
      <w:r w:rsidRPr="005910F9">
        <w:rPr>
          <w:sz w:val="24"/>
          <w:szCs w:val="24"/>
        </w:rPr>
        <w:t xml:space="preserve"> af bløddele.</w:t>
      </w:r>
    </w:p>
    <w:p w:rsidR="00853C35" w:rsidRPr="005910F9" w:rsidRDefault="00853C35" w:rsidP="00853C35">
      <w:pPr>
        <w:ind w:left="851" w:hanging="851"/>
        <w:rPr>
          <w:sz w:val="24"/>
          <w:szCs w:val="24"/>
        </w:rPr>
      </w:pPr>
    </w:p>
    <w:p w:rsidR="00853C35" w:rsidRPr="005910F9" w:rsidRDefault="00853C35" w:rsidP="00853C35">
      <w:pPr>
        <w:ind w:left="851"/>
        <w:rPr>
          <w:i/>
          <w:sz w:val="24"/>
          <w:szCs w:val="24"/>
        </w:rPr>
      </w:pPr>
      <w:r w:rsidRPr="005910F9">
        <w:rPr>
          <w:i/>
          <w:sz w:val="24"/>
          <w:szCs w:val="24"/>
        </w:rPr>
        <w:t>Metabolisme og ernæring</w:t>
      </w:r>
    </w:p>
    <w:p w:rsidR="00853C35" w:rsidRPr="005910F9" w:rsidRDefault="00853C35" w:rsidP="00853C35">
      <w:pPr>
        <w:numPr>
          <w:ilvl w:val="0"/>
          <w:numId w:val="8"/>
        </w:numPr>
        <w:tabs>
          <w:tab w:val="clear" w:pos="720"/>
        </w:tabs>
        <w:ind w:left="1276" w:hanging="425"/>
        <w:rPr>
          <w:sz w:val="24"/>
          <w:szCs w:val="24"/>
        </w:rPr>
      </w:pPr>
      <w:proofErr w:type="spellStart"/>
      <w:r w:rsidRPr="005910F9">
        <w:rPr>
          <w:sz w:val="24"/>
          <w:szCs w:val="24"/>
        </w:rPr>
        <w:t>Hypercalcæmi</w:t>
      </w:r>
      <w:proofErr w:type="spellEnd"/>
      <w:r w:rsidRPr="005910F9">
        <w:rPr>
          <w:sz w:val="24"/>
          <w:szCs w:val="24"/>
        </w:rPr>
        <w:t xml:space="preserve"> på grund af overdosering af </w:t>
      </w:r>
      <w:proofErr w:type="spellStart"/>
      <w:r w:rsidRPr="005910F9">
        <w:rPr>
          <w:sz w:val="24"/>
          <w:szCs w:val="24"/>
        </w:rPr>
        <w:t>Calrecia</w:t>
      </w:r>
      <w:proofErr w:type="spellEnd"/>
      <w:r w:rsidRPr="005910F9">
        <w:rPr>
          <w:sz w:val="24"/>
          <w:szCs w:val="24"/>
        </w:rPr>
        <w:t xml:space="preserve"> (se pkt. 4.9).</w:t>
      </w:r>
    </w:p>
    <w:p w:rsidR="00853C35" w:rsidRPr="005910F9" w:rsidRDefault="00853C35" w:rsidP="00853C35">
      <w:pPr>
        <w:ind w:left="851" w:hanging="851"/>
        <w:rPr>
          <w:sz w:val="24"/>
          <w:szCs w:val="24"/>
        </w:rPr>
      </w:pPr>
    </w:p>
    <w:p w:rsidR="00853C35" w:rsidRPr="005910F9" w:rsidRDefault="00853C35" w:rsidP="00853C35">
      <w:pPr>
        <w:ind w:left="851"/>
        <w:rPr>
          <w:sz w:val="24"/>
          <w:szCs w:val="24"/>
        </w:rPr>
      </w:pPr>
      <w:r w:rsidRPr="005910F9">
        <w:rPr>
          <w:sz w:val="24"/>
          <w:szCs w:val="24"/>
        </w:rPr>
        <w:t>Den præcise hyppighed af disse bivirkninger er ikke kendt (kan ikke estimeres ud fra forhåndenværende data).</w:t>
      </w:r>
    </w:p>
    <w:p w:rsidR="00853C35" w:rsidRPr="005910F9" w:rsidRDefault="00853C35" w:rsidP="00853C35">
      <w:pPr>
        <w:ind w:left="851" w:hanging="851"/>
        <w:rPr>
          <w:sz w:val="24"/>
          <w:szCs w:val="24"/>
        </w:rPr>
      </w:pPr>
    </w:p>
    <w:p w:rsidR="00B84028" w:rsidRPr="005910F9" w:rsidRDefault="00B84028" w:rsidP="00B84028">
      <w:pPr>
        <w:ind w:left="851"/>
        <w:rPr>
          <w:sz w:val="24"/>
          <w:szCs w:val="24"/>
          <w:u w:val="single"/>
        </w:rPr>
      </w:pPr>
      <w:r w:rsidRPr="005910F9">
        <w:rPr>
          <w:sz w:val="24"/>
          <w:szCs w:val="24"/>
          <w:u w:val="single"/>
        </w:rPr>
        <w:t>Indberetning af formodede bivirkninger</w:t>
      </w:r>
    </w:p>
    <w:p w:rsidR="00B84028" w:rsidRPr="005910F9" w:rsidRDefault="00B84028" w:rsidP="00B84028">
      <w:pPr>
        <w:ind w:left="851"/>
        <w:rPr>
          <w:sz w:val="24"/>
          <w:szCs w:val="24"/>
        </w:rPr>
      </w:pPr>
      <w:r w:rsidRPr="005910F9">
        <w:rPr>
          <w:sz w:val="24"/>
          <w:szCs w:val="24"/>
        </w:rPr>
        <w:t>Når lægemidlet er godkendt, er indberetning af formodede bivirkninger vigtig. Det muliggør løbende overvågning af benefit/</w:t>
      </w:r>
      <w:proofErr w:type="spellStart"/>
      <w:r w:rsidRPr="005910F9">
        <w:rPr>
          <w:sz w:val="24"/>
          <w:szCs w:val="24"/>
        </w:rPr>
        <w:t>risk</w:t>
      </w:r>
      <w:proofErr w:type="spellEnd"/>
      <w:r w:rsidRPr="005910F9">
        <w:rPr>
          <w:sz w:val="24"/>
          <w:szCs w:val="24"/>
        </w:rPr>
        <w:t xml:space="preserve">-forholdet for lægemidlet. </w:t>
      </w:r>
      <w:commentRangeStart w:id="1"/>
      <w:r>
        <w:rPr>
          <w:sz w:val="24"/>
          <w:szCs w:val="24"/>
        </w:rPr>
        <w:t>S</w:t>
      </w:r>
      <w:r w:rsidRPr="005910F9">
        <w:rPr>
          <w:sz w:val="24"/>
          <w:szCs w:val="24"/>
        </w:rPr>
        <w:t>undhedsperson</w:t>
      </w:r>
      <w:r>
        <w:rPr>
          <w:sz w:val="24"/>
          <w:szCs w:val="24"/>
        </w:rPr>
        <w:t>er</w:t>
      </w:r>
      <w:r w:rsidRPr="005910F9">
        <w:rPr>
          <w:sz w:val="24"/>
          <w:szCs w:val="24"/>
        </w:rPr>
        <w:t xml:space="preserve"> anmodes om at indberette alle formodede bivirkninger via</w:t>
      </w:r>
      <w:r>
        <w:rPr>
          <w:sz w:val="24"/>
          <w:szCs w:val="24"/>
        </w:rPr>
        <w:t>:</w:t>
      </w:r>
      <w:commentRangeEnd w:id="1"/>
    </w:p>
    <w:p w:rsidR="00853C35" w:rsidRPr="005910F9" w:rsidRDefault="00853C35" w:rsidP="00853C35">
      <w:pPr>
        <w:ind w:left="851"/>
        <w:rPr>
          <w:sz w:val="24"/>
          <w:szCs w:val="24"/>
        </w:rPr>
      </w:pPr>
    </w:p>
    <w:p w:rsidR="00853C35" w:rsidRPr="005910F9" w:rsidRDefault="00853C35" w:rsidP="00853C35">
      <w:pPr>
        <w:ind w:left="851"/>
        <w:rPr>
          <w:sz w:val="24"/>
          <w:szCs w:val="24"/>
        </w:rPr>
      </w:pPr>
      <w:r w:rsidRPr="005910F9">
        <w:rPr>
          <w:sz w:val="24"/>
          <w:szCs w:val="24"/>
        </w:rPr>
        <w:t>Lægemiddelstyrelsen</w:t>
      </w:r>
      <w:r w:rsidRPr="005910F9">
        <w:rPr>
          <w:sz w:val="24"/>
          <w:szCs w:val="24"/>
        </w:rPr>
        <w:cr/>
        <w:t>Axel Heides Gade 1</w:t>
      </w:r>
      <w:r w:rsidRPr="005910F9">
        <w:rPr>
          <w:sz w:val="24"/>
          <w:szCs w:val="24"/>
        </w:rPr>
        <w:cr/>
        <w:t>DK-2300 København S</w:t>
      </w:r>
      <w:r w:rsidRPr="005910F9">
        <w:rPr>
          <w:sz w:val="24"/>
          <w:szCs w:val="24"/>
        </w:rPr>
        <w:cr/>
        <w:t xml:space="preserve">Websted: </w:t>
      </w:r>
      <w:hyperlink r:id="rId8" w:history="1">
        <w:r w:rsidR="00B84028" w:rsidRPr="00A90A83">
          <w:rPr>
            <w:rStyle w:val="Hyperlink"/>
            <w:sz w:val="24"/>
            <w:szCs w:val="24"/>
          </w:rPr>
          <w:t>www.meldenbivirkning.dk</w:t>
        </w:r>
      </w:hyperlink>
      <w:r w:rsidR="00B84028">
        <w:rPr>
          <w:sz w:val="24"/>
          <w:szCs w:val="24"/>
        </w:rPr>
        <w:t xml:space="preserve"> </w:t>
      </w:r>
    </w:p>
    <w:p w:rsidR="00853C35" w:rsidRDefault="00853C35" w:rsidP="00853C35">
      <w:pPr>
        <w:rPr>
          <w:sz w:val="24"/>
          <w:szCs w:val="24"/>
          <w:lang w:eastAsia="da-DK"/>
        </w:rPr>
      </w:pPr>
      <w:r>
        <w:rPr>
          <w:szCs w:val="24"/>
        </w:rPr>
        <w:br w:type="page"/>
      </w:r>
    </w:p>
    <w:p w:rsidR="00853C35" w:rsidRPr="005910F9" w:rsidRDefault="00853C35" w:rsidP="00853C35">
      <w:pPr>
        <w:pStyle w:val="Sidehoved"/>
        <w:tabs>
          <w:tab w:val="left" w:pos="851"/>
        </w:tabs>
        <w:ind w:left="851" w:hanging="851"/>
        <w:rPr>
          <w:szCs w:val="24"/>
        </w:rPr>
      </w:pPr>
    </w:p>
    <w:p w:rsidR="00853C35" w:rsidRPr="005910F9" w:rsidRDefault="00853C35" w:rsidP="00853C35">
      <w:pPr>
        <w:tabs>
          <w:tab w:val="left" w:pos="851"/>
        </w:tabs>
        <w:ind w:left="851" w:hanging="851"/>
        <w:rPr>
          <w:b/>
          <w:sz w:val="24"/>
          <w:szCs w:val="24"/>
        </w:rPr>
      </w:pPr>
      <w:r w:rsidRPr="005910F9">
        <w:rPr>
          <w:b/>
          <w:sz w:val="24"/>
          <w:szCs w:val="24"/>
        </w:rPr>
        <w:t>4.9</w:t>
      </w:r>
      <w:r w:rsidRPr="005910F9">
        <w:rPr>
          <w:b/>
          <w:sz w:val="24"/>
          <w:szCs w:val="24"/>
        </w:rPr>
        <w:tab/>
        <w:t>Overdosering</w:t>
      </w:r>
    </w:p>
    <w:p w:rsidR="00853C35" w:rsidRPr="005910F9" w:rsidRDefault="00853C35" w:rsidP="00853C35">
      <w:pPr>
        <w:ind w:left="851"/>
        <w:rPr>
          <w:sz w:val="24"/>
          <w:szCs w:val="24"/>
        </w:rPr>
      </w:pPr>
      <w:r w:rsidRPr="005910F9">
        <w:rPr>
          <w:sz w:val="24"/>
          <w:szCs w:val="24"/>
        </w:rPr>
        <w:t xml:space="preserve">Hurtig eller overdreven administration af calciumsalte kan medføre </w:t>
      </w:r>
      <w:proofErr w:type="spellStart"/>
      <w:r w:rsidRPr="005910F9">
        <w:rPr>
          <w:sz w:val="24"/>
          <w:szCs w:val="24"/>
        </w:rPr>
        <w:t>hypercalcæmi</w:t>
      </w:r>
      <w:proofErr w:type="spellEnd"/>
      <w:r w:rsidRPr="005910F9">
        <w:rPr>
          <w:sz w:val="24"/>
          <w:szCs w:val="24"/>
        </w:rPr>
        <w:t xml:space="preserve"> (henholdsvis total plasmakoncentration &gt;3 mmol/l og ioniseret calcium &gt; 1,2 mmol/l). For hurtig injektion af calciumsalte kan ligeledes medføre tegn og symptomer på </w:t>
      </w:r>
      <w:proofErr w:type="spellStart"/>
      <w:r w:rsidRPr="005910F9">
        <w:rPr>
          <w:sz w:val="24"/>
          <w:szCs w:val="24"/>
        </w:rPr>
        <w:t>hypercalcæmi</w:t>
      </w:r>
      <w:proofErr w:type="spellEnd"/>
      <w:r w:rsidRPr="005910F9">
        <w:rPr>
          <w:sz w:val="24"/>
          <w:szCs w:val="24"/>
        </w:rPr>
        <w:t xml:space="preserve"> samt kridtsmag i munden, prikkende og snurrende fornemmelse, hedeture, kvalme, opkastning og perifer </w:t>
      </w:r>
      <w:proofErr w:type="spellStart"/>
      <w:r w:rsidRPr="005910F9">
        <w:rPr>
          <w:sz w:val="24"/>
          <w:szCs w:val="24"/>
        </w:rPr>
        <w:t>vasodilation</w:t>
      </w:r>
      <w:proofErr w:type="spellEnd"/>
      <w:r w:rsidRPr="005910F9">
        <w:rPr>
          <w:sz w:val="24"/>
          <w:szCs w:val="24"/>
        </w:rPr>
        <w:t xml:space="preserve"> med hypotension, bradykardi, synkope og </w:t>
      </w:r>
      <w:proofErr w:type="spellStart"/>
      <w:r w:rsidRPr="005910F9">
        <w:rPr>
          <w:sz w:val="24"/>
          <w:szCs w:val="24"/>
        </w:rPr>
        <w:t>arytmi</w:t>
      </w:r>
      <w:proofErr w:type="spellEnd"/>
      <w:r w:rsidRPr="005910F9">
        <w:rPr>
          <w:sz w:val="24"/>
          <w:szCs w:val="24"/>
        </w:rPr>
        <w:t xml:space="preserve"> med risiko for hjertestop. </w:t>
      </w:r>
    </w:p>
    <w:p w:rsidR="00853C35" w:rsidRPr="005910F9" w:rsidRDefault="00853C35" w:rsidP="00853C35">
      <w:pPr>
        <w:ind w:left="851" w:hanging="851"/>
        <w:rPr>
          <w:sz w:val="24"/>
          <w:szCs w:val="24"/>
        </w:rPr>
      </w:pPr>
    </w:p>
    <w:p w:rsidR="00B84028" w:rsidRPr="005910F9" w:rsidRDefault="00B84028" w:rsidP="00B84028">
      <w:pPr>
        <w:ind w:left="851"/>
        <w:rPr>
          <w:sz w:val="24"/>
          <w:szCs w:val="24"/>
          <w:u w:val="single"/>
        </w:rPr>
      </w:pPr>
      <w:r w:rsidRPr="005910F9">
        <w:rPr>
          <w:sz w:val="24"/>
          <w:szCs w:val="24"/>
          <w:u w:val="single"/>
        </w:rPr>
        <w:t xml:space="preserve">Tegn og symptomer på </w:t>
      </w:r>
      <w:proofErr w:type="spellStart"/>
      <w:r w:rsidRPr="005910F9">
        <w:rPr>
          <w:sz w:val="24"/>
          <w:szCs w:val="24"/>
          <w:u w:val="single"/>
        </w:rPr>
        <w:t>hypercalcæmi</w:t>
      </w:r>
      <w:proofErr w:type="spellEnd"/>
    </w:p>
    <w:p w:rsidR="00B84028" w:rsidRPr="005910F9" w:rsidRDefault="00B84028" w:rsidP="00B84028">
      <w:pPr>
        <w:numPr>
          <w:ilvl w:val="0"/>
          <w:numId w:val="9"/>
        </w:numPr>
        <w:tabs>
          <w:tab w:val="clear" w:pos="720"/>
        </w:tabs>
        <w:ind w:left="1276" w:hanging="425"/>
        <w:rPr>
          <w:sz w:val="24"/>
          <w:szCs w:val="24"/>
        </w:rPr>
      </w:pPr>
      <w:r w:rsidRPr="005910F9">
        <w:rPr>
          <w:sz w:val="24"/>
          <w:szCs w:val="24"/>
        </w:rPr>
        <w:t xml:space="preserve">Forstyrrelser i nervesystemet, f.eks. letargi, desorientering, </w:t>
      </w:r>
      <w:proofErr w:type="spellStart"/>
      <w:r w:rsidRPr="005910F9">
        <w:rPr>
          <w:sz w:val="24"/>
          <w:szCs w:val="24"/>
        </w:rPr>
        <w:t>hyporefleksi</w:t>
      </w:r>
      <w:proofErr w:type="spellEnd"/>
      <w:r>
        <w:rPr>
          <w:sz w:val="24"/>
          <w:szCs w:val="24"/>
        </w:rPr>
        <w:t>.</w:t>
      </w:r>
    </w:p>
    <w:p w:rsidR="00B84028" w:rsidRPr="005910F9" w:rsidRDefault="00B84028" w:rsidP="00B84028">
      <w:pPr>
        <w:numPr>
          <w:ilvl w:val="0"/>
          <w:numId w:val="9"/>
        </w:numPr>
        <w:tabs>
          <w:tab w:val="clear" w:pos="720"/>
        </w:tabs>
        <w:ind w:left="1276" w:hanging="425"/>
        <w:rPr>
          <w:sz w:val="24"/>
          <w:szCs w:val="24"/>
        </w:rPr>
      </w:pPr>
      <w:r w:rsidRPr="005910F9">
        <w:rPr>
          <w:sz w:val="24"/>
          <w:szCs w:val="24"/>
        </w:rPr>
        <w:t xml:space="preserve">Hjertesygdomme, f.eks. </w:t>
      </w:r>
      <w:proofErr w:type="spellStart"/>
      <w:r w:rsidRPr="005910F9">
        <w:rPr>
          <w:sz w:val="24"/>
          <w:szCs w:val="24"/>
        </w:rPr>
        <w:t>takykardi</w:t>
      </w:r>
      <w:proofErr w:type="spellEnd"/>
      <w:r w:rsidRPr="005910F9">
        <w:rPr>
          <w:sz w:val="24"/>
          <w:szCs w:val="24"/>
        </w:rPr>
        <w:t xml:space="preserve"> og tendens til at udvikle </w:t>
      </w:r>
      <w:proofErr w:type="spellStart"/>
      <w:r w:rsidRPr="005910F9">
        <w:rPr>
          <w:sz w:val="24"/>
          <w:szCs w:val="24"/>
        </w:rPr>
        <w:t>hjertearytmi</w:t>
      </w:r>
      <w:proofErr w:type="spellEnd"/>
      <w:r w:rsidRPr="005910F9">
        <w:rPr>
          <w:sz w:val="24"/>
          <w:szCs w:val="24"/>
        </w:rPr>
        <w:t>, hypertension, ekg-ændringer (forkortet QT-interval)</w:t>
      </w:r>
      <w:r>
        <w:rPr>
          <w:sz w:val="24"/>
          <w:szCs w:val="24"/>
        </w:rPr>
        <w:t>.</w:t>
      </w:r>
    </w:p>
    <w:p w:rsidR="00B84028" w:rsidRPr="005910F9" w:rsidRDefault="00B84028" w:rsidP="00B84028">
      <w:pPr>
        <w:numPr>
          <w:ilvl w:val="0"/>
          <w:numId w:val="9"/>
        </w:numPr>
        <w:tabs>
          <w:tab w:val="clear" w:pos="720"/>
        </w:tabs>
        <w:ind w:left="1276" w:hanging="425"/>
        <w:rPr>
          <w:sz w:val="24"/>
          <w:szCs w:val="24"/>
        </w:rPr>
      </w:pPr>
      <w:r w:rsidRPr="005910F9">
        <w:rPr>
          <w:sz w:val="24"/>
          <w:szCs w:val="24"/>
        </w:rPr>
        <w:t>Forstyrrelser i mave-tarm-kanalen, f.eks. kvalme, opkastning, obstipation, tendens til at udvikle mavesår</w:t>
      </w:r>
      <w:r>
        <w:rPr>
          <w:sz w:val="24"/>
          <w:szCs w:val="24"/>
        </w:rPr>
        <w:t>.</w:t>
      </w:r>
    </w:p>
    <w:p w:rsidR="00B84028" w:rsidRPr="005910F9" w:rsidRDefault="00B84028" w:rsidP="00B84028">
      <w:pPr>
        <w:numPr>
          <w:ilvl w:val="0"/>
          <w:numId w:val="9"/>
        </w:numPr>
        <w:tabs>
          <w:tab w:val="clear" w:pos="720"/>
        </w:tabs>
        <w:ind w:left="1276" w:hanging="425"/>
        <w:rPr>
          <w:sz w:val="24"/>
          <w:szCs w:val="24"/>
        </w:rPr>
      </w:pPr>
      <w:r w:rsidRPr="005910F9">
        <w:rPr>
          <w:sz w:val="24"/>
          <w:szCs w:val="24"/>
        </w:rPr>
        <w:t xml:space="preserve">Forstyrrelser i nyrer og urinveje, f.eks. øget diurese, tørst, </w:t>
      </w:r>
      <w:proofErr w:type="spellStart"/>
      <w:r w:rsidRPr="005910F9">
        <w:rPr>
          <w:sz w:val="24"/>
          <w:szCs w:val="24"/>
        </w:rPr>
        <w:t>aquaresis</w:t>
      </w:r>
      <w:proofErr w:type="spellEnd"/>
      <w:r w:rsidRPr="005910F9">
        <w:rPr>
          <w:sz w:val="24"/>
          <w:szCs w:val="24"/>
        </w:rPr>
        <w:t>, ophobning af calciumsalte i nyrerne</w:t>
      </w:r>
      <w:r>
        <w:rPr>
          <w:sz w:val="24"/>
          <w:szCs w:val="24"/>
        </w:rPr>
        <w:t>.</w:t>
      </w:r>
    </w:p>
    <w:p w:rsidR="00B84028" w:rsidRPr="005910F9" w:rsidRDefault="00B84028" w:rsidP="00B84028">
      <w:pPr>
        <w:numPr>
          <w:ilvl w:val="0"/>
          <w:numId w:val="9"/>
        </w:numPr>
        <w:tabs>
          <w:tab w:val="clear" w:pos="720"/>
        </w:tabs>
        <w:ind w:left="1276" w:hanging="425"/>
        <w:rPr>
          <w:sz w:val="24"/>
          <w:szCs w:val="24"/>
        </w:rPr>
      </w:pPr>
      <w:r w:rsidRPr="005910F9">
        <w:rPr>
          <w:sz w:val="24"/>
          <w:szCs w:val="24"/>
        </w:rPr>
        <w:t>Almene symptomer, f.eks. udmattelse.</w:t>
      </w:r>
    </w:p>
    <w:p w:rsidR="00853C35" w:rsidRPr="005910F9" w:rsidRDefault="00853C35" w:rsidP="00853C35">
      <w:pPr>
        <w:ind w:left="851"/>
        <w:rPr>
          <w:sz w:val="24"/>
          <w:szCs w:val="24"/>
        </w:rPr>
      </w:pPr>
    </w:p>
    <w:p w:rsidR="00853C35" w:rsidRPr="005910F9" w:rsidRDefault="00853C35" w:rsidP="00853C35">
      <w:pPr>
        <w:ind w:left="851"/>
        <w:rPr>
          <w:sz w:val="24"/>
          <w:szCs w:val="24"/>
        </w:rPr>
      </w:pPr>
      <w:proofErr w:type="spellStart"/>
      <w:r w:rsidRPr="005910F9">
        <w:rPr>
          <w:sz w:val="24"/>
          <w:szCs w:val="24"/>
        </w:rPr>
        <w:t>Hypercalcæmisk</w:t>
      </w:r>
      <w:proofErr w:type="spellEnd"/>
      <w:r w:rsidRPr="005910F9">
        <w:rPr>
          <w:sz w:val="24"/>
          <w:szCs w:val="24"/>
        </w:rPr>
        <w:t xml:space="preserve"> krise (total plasmakoncentration &gt; 4 mmol/l), som medfører opkastning, kolik, </w:t>
      </w:r>
      <w:proofErr w:type="spellStart"/>
      <w:r w:rsidRPr="005910F9">
        <w:rPr>
          <w:sz w:val="24"/>
          <w:szCs w:val="24"/>
        </w:rPr>
        <w:t>intestinal</w:t>
      </w:r>
      <w:proofErr w:type="spellEnd"/>
      <w:r w:rsidRPr="005910F9">
        <w:rPr>
          <w:sz w:val="24"/>
          <w:szCs w:val="24"/>
        </w:rPr>
        <w:t xml:space="preserve"> atoni, tarmobstruktion, generaliseret asteni, bevidsthedsforstyrrelser, initialt øget diurese, som efterfølgende reduceres eller helt forsvinder.</w:t>
      </w:r>
    </w:p>
    <w:p w:rsidR="00853C35" w:rsidRPr="005910F9" w:rsidRDefault="00853C35" w:rsidP="00853C35">
      <w:pPr>
        <w:ind w:left="851"/>
        <w:rPr>
          <w:sz w:val="24"/>
          <w:szCs w:val="24"/>
        </w:rPr>
      </w:pPr>
    </w:p>
    <w:p w:rsidR="00853C35" w:rsidRPr="005910F9" w:rsidRDefault="00853C35" w:rsidP="00853C35">
      <w:pPr>
        <w:ind w:left="851"/>
        <w:rPr>
          <w:sz w:val="24"/>
          <w:szCs w:val="24"/>
          <w:u w:val="single"/>
        </w:rPr>
      </w:pPr>
      <w:r w:rsidRPr="005910F9">
        <w:rPr>
          <w:sz w:val="24"/>
          <w:szCs w:val="24"/>
          <w:u w:val="single"/>
        </w:rPr>
        <w:t>Behandling</w:t>
      </w:r>
    </w:p>
    <w:p w:rsidR="00853C35" w:rsidRPr="005910F9" w:rsidRDefault="00853C35" w:rsidP="00853C35">
      <w:pPr>
        <w:ind w:left="851"/>
        <w:rPr>
          <w:sz w:val="24"/>
          <w:szCs w:val="24"/>
        </w:rPr>
      </w:pPr>
      <w:proofErr w:type="spellStart"/>
      <w:r w:rsidRPr="005910F9">
        <w:rPr>
          <w:sz w:val="24"/>
          <w:szCs w:val="24"/>
        </w:rPr>
        <w:t>Calrecia</w:t>
      </w:r>
      <w:proofErr w:type="spellEnd"/>
      <w:r w:rsidRPr="005910F9">
        <w:rPr>
          <w:sz w:val="24"/>
          <w:szCs w:val="24"/>
        </w:rPr>
        <w:t xml:space="preserve"> seponeres, eller dosis reduceres øjeblikkeligt.</w:t>
      </w:r>
    </w:p>
    <w:p w:rsidR="00853C35" w:rsidRPr="005910F9" w:rsidRDefault="00853C35" w:rsidP="00853C35">
      <w:pPr>
        <w:ind w:left="851"/>
        <w:rPr>
          <w:sz w:val="24"/>
          <w:szCs w:val="24"/>
        </w:rPr>
      </w:pPr>
      <w:r w:rsidRPr="005910F9">
        <w:rPr>
          <w:sz w:val="24"/>
          <w:szCs w:val="24"/>
        </w:rPr>
        <w:t xml:space="preserve">Især i tilfælde af voldsomt øget calciumkoncentration er akut reduktion af calciumkoncentrationen nødvendig. Ved en stadig sufficient nyrefunktion bør forceret diurese med samtidig infusion af normal saltvandopløsning (0,9% NaCl) derfor overvejes under vedvarende monitorering af væskebalancen og plasmaelektrolytkoncentrationer. Hos patienter med nedsat nyrefunktion kan dialyse med calcium-fri </w:t>
      </w:r>
      <w:proofErr w:type="spellStart"/>
      <w:r w:rsidRPr="005910F9">
        <w:rPr>
          <w:sz w:val="24"/>
          <w:szCs w:val="24"/>
        </w:rPr>
        <w:t>dialysat</w:t>
      </w:r>
      <w:proofErr w:type="spellEnd"/>
      <w:r w:rsidRPr="005910F9">
        <w:rPr>
          <w:sz w:val="24"/>
          <w:szCs w:val="24"/>
        </w:rPr>
        <w:t xml:space="preserve"> være indiceret.</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4.10</w:t>
      </w:r>
      <w:r w:rsidRPr="005910F9">
        <w:rPr>
          <w:b/>
          <w:sz w:val="24"/>
          <w:szCs w:val="24"/>
        </w:rPr>
        <w:tab/>
        <w:t>Udlevering</w:t>
      </w:r>
    </w:p>
    <w:p w:rsidR="00853C35" w:rsidRPr="005910F9" w:rsidRDefault="00853C35" w:rsidP="00853C35">
      <w:pPr>
        <w:tabs>
          <w:tab w:val="left" w:pos="851"/>
        </w:tabs>
        <w:ind w:left="851" w:hanging="851"/>
        <w:rPr>
          <w:sz w:val="24"/>
          <w:szCs w:val="24"/>
        </w:rPr>
      </w:pPr>
      <w:r>
        <w:rPr>
          <w:sz w:val="24"/>
          <w:szCs w:val="24"/>
        </w:rPr>
        <w:tab/>
      </w:r>
      <w:r w:rsidRPr="005910F9">
        <w:rPr>
          <w:sz w:val="24"/>
          <w:szCs w:val="24"/>
        </w:rPr>
        <w:t>B</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5.</w:t>
      </w:r>
      <w:r w:rsidRPr="005910F9">
        <w:rPr>
          <w:b/>
          <w:sz w:val="24"/>
          <w:szCs w:val="24"/>
        </w:rPr>
        <w:tab/>
        <w:t>FARMAKOLOGISKE EGENSKABER</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num" w:pos="851"/>
        </w:tabs>
        <w:ind w:left="851" w:hanging="851"/>
        <w:rPr>
          <w:b/>
          <w:sz w:val="24"/>
          <w:szCs w:val="24"/>
        </w:rPr>
      </w:pPr>
      <w:r w:rsidRPr="005910F9">
        <w:rPr>
          <w:b/>
          <w:sz w:val="24"/>
          <w:szCs w:val="24"/>
        </w:rPr>
        <w:t>5.1</w:t>
      </w:r>
      <w:r w:rsidRPr="005910F9">
        <w:rPr>
          <w:b/>
          <w:sz w:val="24"/>
          <w:szCs w:val="24"/>
        </w:rPr>
        <w:tab/>
      </w:r>
      <w:proofErr w:type="spellStart"/>
      <w:r w:rsidRPr="005910F9">
        <w:rPr>
          <w:b/>
          <w:sz w:val="24"/>
          <w:szCs w:val="24"/>
        </w:rPr>
        <w:t>Farmakodynamiske</w:t>
      </w:r>
      <w:proofErr w:type="spellEnd"/>
      <w:r w:rsidRPr="005910F9">
        <w:rPr>
          <w:b/>
          <w:sz w:val="24"/>
          <w:szCs w:val="24"/>
        </w:rPr>
        <w:t xml:space="preserve"> egenskaber</w:t>
      </w:r>
    </w:p>
    <w:p w:rsidR="00B84028" w:rsidRDefault="00853C35" w:rsidP="00B84028">
      <w:pPr>
        <w:tabs>
          <w:tab w:val="left" w:pos="1980"/>
          <w:tab w:val="left" w:pos="3780"/>
        </w:tabs>
        <w:ind w:left="851" w:hanging="851"/>
        <w:rPr>
          <w:sz w:val="24"/>
          <w:szCs w:val="24"/>
        </w:rPr>
      </w:pPr>
      <w:r>
        <w:rPr>
          <w:sz w:val="24"/>
          <w:szCs w:val="24"/>
        </w:rPr>
        <w:tab/>
      </w:r>
      <w:proofErr w:type="spellStart"/>
      <w:r w:rsidR="00B84028" w:rsidRPr="00662D5F">
        <w:rPr>
          <w:sz w:val="24"/>
          <w:szCs w:val="24"/>
        </w:rPr>
        <w:t>Farmakoterapeutisk</w:t>
      </w:r>
      <w:proofErr w:type="spellEnd"/>
      <w:r w:rsidR="00B84028" w:rsidRPr="00662D5F">
        <w:rPr>
          <w:sz w:val="24"/>
          <w:szCs w:val="24"/>
        </w:rPr>
        <w:t xml:space="preserve"> klassifikation</w:t>
      </w:r>
      <w:r w:rsidR="00B84028" w:rsidRPr="00DF7528">
        <w:t xml:space="preserve">: </w:t>
      </w:r>
      <w:r w:rsidR="00B84028" w:rsidRPr="005910F9">
        <w:rPr>
          <w:sz w:val="24"/>
          <w:szCs w:val="24"/>
        </w:rPr>
        <w:t xml:space="preserve">Elektrolyt-opløsninger, </w:t>
      </w:r>
      <w:proofErr w:type="spellStart"/>
      <w:r w:rsidR="00B84028" w:rsidRPr="005910F9">
        <w:rPr>
          <w:sz w:val="24"/>
          <w:szCs w:val="24"/>
        </w:rPr>
        <w:t>calciumchlorid</w:t>
      </w:r>
      <w:proofErr w:type="spellEnd"/>
      <w:r w:rsidR="00B84028" w:rsidRPr="005910F9">
        <w:rPr>
          <w:sz w:val="24"/>
          <w:szCs w:val="24"/>
        </w:rPr>
        <w:t>.</w:t>
      </w:r>
      <w:r w:rsidR="00B84028">
        <w:rPr>
          <w:sz w:val="24"/>
          <w:szCs w:val="24"/>
        </w:rPr>
        <w:t xml:space="preserve"> </w:t>
      </w:r>
    </w:p>
    <w:p w:rsidR="00B84028" w:rsidRPr="005910F9" w:rsidRDefault="00B84028" w:rsidP="00B84028">
      <w:pPr>
        <w:tabs>
          <w:tab w:val="left" w:pos="1980"/>
          <w:tab w:val="left" w:pos="3780"/>
        </w:tabs>
        <w:ind w:left="851" w:hanging="851"/>
        <w:rPr>
          <w:sz w:val="24"/>
          <w:szCs w:val="24"/>
        </w:rPr>
      </w:pPr>
      <w:r>
        <w:rPr>
          <w:sz w:val="24"/>
          <w:szCs w:val="24"/>
        </w:rPr>
        <w:tab/>
      </w:r>
      <w:r w:rsidRPr="005910F9">
        <w:rPr>
          <w:sz w:val="24"/>
          <w:szCs w:val="24"/>
        </w:rPr>
        <w:t>ATC-kode: B</w:t>
      </w:r>
      <w:r>
        <w:rPr>
          <w:sz w:val="24"/>
          <w:szCs w:val="24"/>
        </w:rPr>
        <w:t xml:space="preserve"> </w:t>
      </w:r>
      <w:r w:rsidRPr="005910F9">
        <w:rPr>
          <w:sz w:val="24"/>
          <w:szCs w:val="24"/>
        </w:rPr>
        <w:t>05</w:t>
      </w:r>
      <w:r>
        <w:rPr>
          <w:sz w:val="24"/>
          <w:szCs w:val="24"/>
        </w:rPr>
        <w:t xml:space="preserve"> </w:t>
      </w:r>
      <w:r w:rsidRPr="005910F9">
        <w:rPr>
          <w:sz w:val="24"/>
          <w:szCs w:val="24"/>
        </w:rPr>
        <w:t>XA</w:t>
      </w:r>
      <w:r>
        <w:rPr>
          <w:sz w:val="24"/>
          <w:szCs w:val="24"/>
        </w:rPr>
        <w:t xml:space="preserve"> </w:t>
      </w:r>
      <w:r w:rsidRPr="005910F9">
        <w:rPr>
          <w:sz w:val="24"/>
          <w:szCs w:val="24"/>
        </w:rPr>
        <w:t>07</w:t>
      </w:r>
    </w:p>
    <w:p w:rsidR="00B84028" w:rsidRDefault="00B84028" w:rsidP="00853C35">
      <w:pPr>
        <w:tabs>
          <w:tab w:val="left" w:pos="1980"/>
        </w:tabs>
        <w:ind w:left="851" w:hanging="851"/>
        <w:rPr>
          <w:sz w:val="24"/>
          <w:szCs w:val="24"/>
        </w:rPr>
      </w:pPr>
    </w:p>
    <w:p w:rsidR="00853C35" w:rsidRPr="005910F9" w:rsidRDefault="00B84028" w:rsidP="00853C35">
      <w:pPr>
        <w:tabs>
          <w:tab w:val="left" w:pos="1980"/>
        </w:tabs>
        <w:ind w:left="851" w:hanging="851"/>
        <w:rPr>
          <w:sz w:val="24"/>
          <w:szCs w:val="24"/>
        </w:rPr>
      </w:pPr>
      <w:r>
        <w:rPr>
          <w:sz w:val="24"/>
          <w:szCs w:val="24"/>
        </w:rPr>
        <w:tab/>
      </w:r>
      <w:r w:rsidR="00853C35" w:rsidRPr="005910F9">
        <w:rPr>
          <w:sz w:val="24"/>
          <w:szCs w:val="24"/>
        </w:rPr>
        <w:t>Opløsning til calciumsubstitution ved CRRT, SLEDD og TPE ved brug af regional citrat-antikoagulation.</w:t>
      </w:r>
    </w:p>
    <w:p w:rsidR="00853C35" w:rsidRPr="005910F9" w:rsidRDefault="00853C35" w:rsidP="00853C35">
      <w:pPr>
        <w:ind w:left="851" w:hanging="851"/>
        <w:rPr>
          <w:sz w:val="24"/>
          <w:szCs w:val="24"/>
        </w:rPr>
      </w:pPr>
    </w:p>
    <w:p w:rsidR="00853C35" w:rsidRPr="005910F9" w:rsidRDefault="00853C35" w:rsidP="00853C35">
      <w:pPr>
        <w:ind w:left="851"/>
        <w:rPr>
          <w:sz w:val="24"/>
          <w:szCs w:val="24"/>
          <w:u w:val="single"/>
        </w:rPr>
      </w:pPr>
      <w:r w:rsidRPr="005910F9">
        <w:rPr>
          <w:sz w:val="24"/>
          <w:szCs w:val="24"/>
          <w:u w:val="single"/>
        </w:rPr>
        <w:t xml:space="preserve">Grundlæggende principper ved ekstrakorporal blodrensning og regional citrat-antikoagulation, f.eks. CRRT, SLEDD og TPE </w:t>
      </w:r>
    </w:p>
    <w:p w:rsidR="00853C35" w:rsidRPr="005910F9" w:rsidRDefault="00853C35" w:rsidP="00853C35">
      <w:pPr>
        <w:ind w:left="851"/>
        <w:rPr>
          <w:sz w:val="24"/>
          <w:szCs w:val="24"/>
        </w:rPr>
      </w:pPr>
      <w:r w:rsidRPr="005910F9">
        <w:rPr>
          <w:sz w:val="24"/>
          <w:szCs w:val="24"/>
        </w:rPr>
        <w:t xml:space="preserve">Ekstrakorporal blodrensningsterapi anvendes ved forskellige indikationer, f.eks. CRRT, SLEDD og TPE. Disse behandlingsformer har alle det til fælles, at der tages blod fra patientens blodcirkulation som ledes gennem et </w:t>
      </w:r>
      <w:proofErr w:type="spellStart"/>
      <w:r w:rsidRPr="005910F9">
        <w:rPr>
          <w:sz w:val="24"/>
          <w:szCs w:val="24"/>
        </w:rPr>
        <w:t>ekstrakorporalt</w:t>
      </w:r>
      <w:proofErr w:type="spellEnd"/>
      <w:r w:rsidRPr="005910F9">
        <w:rPr>
          <w:sz w:val="24"/>
          <w:szCs w:val="24"/>
        </w:rPr>
        <w:t xml:space="preserve"> kredsløb. Her renses blodet for toksiner af forskellig art alt efter den pågældende type </w:t>
      </w:r>
      <w:proofErr w:type="spellStart"/>
      <w:r w:rsidRPr="005910F9">
        <w:rPr>
          <w:sz w:val="24"/>
          <w:szCs w:val="24"/>
        </w:rPr>
        <w:t>ekstrakorporale</w:t>
      </w:r>
      <w:proofErr w:type="spellEnd"/>
      <w:r w:rsidRPr="005910F9">
        <w:rPr>
          <w:sz w:val="24"/>
          <w:szCs w:val="24"/>
        </w:rPr>
        <w:t xml:space="preserve"> </w:t>
      </w:r>
      <w:r w:rsidRPr="005910F9">
        <w:rPr>
          <w:sz w:val="24"/>
          <w:szCs w:val="24"/>
        </w:rPr>
        <w:lastRenderedPageBreak/>
        <w:t xml:space="preserve">blodrensningsterapi. Efter blodet er renset, </w:t>
      </w:r>
      <w:proofErr w:type="spellStart"/>
      <w:r w:rsidRPr="005910F9">
        <w:rPr>
          <w:sz w:val="24"/>
          <w:szCs w:val="24"/>
        </w:rPr>
        <w:t>infunderes</w:t>
      </w:r>
      <w:proofErr w:type="spellEnd"/>
      <w:r w:rsidRPr="005910F9">
        <w:rPr>
          <w:sz w:val="24"/>
          <w:szCs w:val="24"/>
        </w:rPr>
        <w:t xml:space="preserve"> det tilbage i patientens blodcirkulation.</w:t>
      </w:r>
    </w:p>
    <w:p w:rsidR="00853C35" w:rsidRPr="005910F9" w:rsidRDefault="00853C35" w:rsidP="00853C35">
      <w:pPr>
        <w:ind w:left="851"/>
        <w:rPr>
          <w:sz w:val="24"/>
          <w:szCs w:val="24"/>
        </w:rPr>
      </w:pPr>
      <w:proofErr w:type="spellStart"/>
      <w:r w:rsidRPr="005910F9">
        <w:rPr>
          <w:sz w:val="24"/>
          <w:szCs w:val="24"/>
        </w:rPr>
        <w:t>Ekstrakorporale</w:t>
      </w:r>
      <w:proofErr w:type="spellEnd"/>
      <w:r w:rsidRPr="005910F9">
        <w:rPr>
          <w:sz w:val="24"/>
          <w:szCs w:val="24"/>
        </w:rPr>
        <w:t xml:space="preserve"> blodrensningsteknikker kræver sædvanligvis antikoagulation for at forhindre, at blodet størkner i det </w:t>
      </w:r>
      <w:proofErr w:type="spellStart"/>
      <w:r w:rsidRPr="005910F9">
        <w:rPr>
          <w:sz w:val="24"/>
          <w:szCs w:val="24"/>
        </w:rPr>
        <w:t>ekstrakorporale</w:t>
      </w:r>
      <w:proofErr w:type="spellEnd"/>
      <w:r w:rsidRPr="005910F9">
        <w:rPr>
          <w:sz w:val="24"/>
          <w:szCs w:val="24"/>
        </w:rPr>
        <w:t xml:space="preserve"> kredsløb. Afhængig af patientens status og den påtænkte </w:t>
      </w:r>
      <w:proofErr w:type="spellStart"/>
      <w:r w:rsidRPr="005910F9">
        <w:rPr>
          <w:sz w:val="24"/>
          <w:szCs w:val="24"/>
        </w:rPr>
        <w:t>ekstrakorporale</w:t>
      </w:r>
      <w:proofErr w:type="spellEnd"/>
      <w:r w:rsidRPr="005910F9">
        <w:rPr>
          <w:sz w:val="24"/>
          <w:szCs w:val="24"/>
        </w:rPr>
        <w:t xml:space="preserve"> blodrensningsbehandling kan den ordinerende læge beslutte at anvende citrat-antikoagulation. Hvis dette er tilfældet, </w:t>
      </w:r>
      <w:proofErr w:type="spellStart"/>
      <w:r w:rsidRPr="005910F9">
        <w:rPr>
          <w:sz w:val="24"/>
          <w:szCs w:val="24"/>
        </w:rPr>
        <w:t>infunderes</w:t>
      </w:r>
      <w:proofErr w:type="spellEnd"/>
      <w:r w:rsidRPr="005910F9">
        <w:rPr>
          <w:sz w:val="24"/>
          <w:szCs w:val="24"/>
        </w:rPr>
        <w:t xml:space="preserve"> citrat i blodet fra patienten hvor det danner opløselige </w:t>
      </w:r>
      <w:proofErr w:type="spellStart"/>
      <w:r w:rsidRPr="005910F9">
        <w:rPr>
          <w:sz w:val="24"/>
          <w:szCs w:val="24"/>
        </w:rPr>
        <w:t>chelatforbindelser</w:t>
      </w:r>
      <w:proofErr w:type="spellEnd"/>
      <w:r w:rsidRPr="005910F9">
        <w:rPr>
          <w:sz w:val="24"/>
          <w:szCs w:val="24"/>
        </w:rPr>
        <w:t xml:space="preserve"> med ioniseret calcium, og derved reducerer koncentrationen af ioniseret calcium i blodet, der føres gennem det ekstrakroporale kredsløb. </w:t>
      </w:r>
    </w:p>
    <w:p w:rsidR="00853C35" w:rsidRPr="005910F9" w:rsidRDefault="00853C35" w:rsidP="00853C35">
      <w:pPr>
        <w:ind w:left="851"/>
        <w:rPr>
          <w:sz w:val="24"/>
          <w:szCs w:val="24"/>
        </w:rPr>
      </w:pPr>
    </w:p>
    <w:p w:rsidR="00853C35" w:rsidRPr="005910F9" w:rsidRDefault="00853C35" w:rsidP="00853C35">
      <w:pPr>
        <w:ind w:left="851"/>
        <w:rPr>
          <w:sz w:val="24"/>
          <w:szCs w:val="24"/>
        </w:rPr>
      </w:pPr>
      <w:r w:rsidRPr="005910F9">
        <w:rPr>
          <w:sz w:val="24"/>
          <w:szCs w:val="24"/>
        </w:rPr>
        <w:t xml:space="preserve">Afhængig af den enkelte </w:t>
      </w:r>
      <w:proofErr w:type="spellStart"/>
      <w:r w:rsidRPr="005910F9">
        <w:rPr>
          <w:sz w:val="24"/>
          <w:szCs w:val="24"/>
        </w:rPr>
        <w:t>ekstrakorporale</w:t>
      </w:r>
      <w:proofErr w:type="spellEnd"/>
      <w:r w:rsidRPr="005910F9">
        <w:rPr>
          <w:sz w:val="24"/>
          <w:szCs w:val="24"/>
        </w:rPr>
        <w:t xml:space="preserve"> blodrensningsbehandling med citrat-antikoagulation ekstraheres calcium i varierende mængde fra patientens blod, hvilket nødvendiggør calciumsubstitution. En del af det citrat, der </w:t>
      </w:r>
      <w:proofErr w:type="spellStart"/>
      <w:r w:rsidRPr="005910F9">
        <w:rPr>
          <w:sz w:val="24"/>
          <w:szCs w:val="24"/>
        </w:rPr>
        <w:t>infunderes</w:t>
      </w:r>
      <w:proofErr w:type="spellEnd"/>
      <w:r w:rsidRPr="005910F9">
        <w:rPr>
          <w:sz w:val="24"/>
          <w:szCs w:val="24"/>
        </w:rPr>
        <w:t xml:space="preserve"> ved regional citrat-antikoagulation, vil uvægerligt gå over i patientens systemiske kredsløb sammen med det blod, der føres tilbage. Dette skaber en stigning i den systemiske citratkoncentration, som sædvanligvis vil stabiliseres på et andet niveau afhængig af den pågældende infusionshastighed og </w:t>
      </w:r>
      <w:proofErr w:type="spellStart"/>
      <w:r w:rsidRPr="005910F9">
        <w:rPr>
          <w:sz w:val="24"/>
          <w:szCs w:val="24"/>
        </w:rPr>
        <w:t>metabolisering</w:t>
      </w:r>
      <w:proofErr w:type="spellEnd"/>
      <w:r w:rsidRPr="005910F9">
        <w:rPr>
          <w:sz w:val="24"/>
          <w:szCs w:val="24"/>
        </w:rPr>
        <w:t xml:space="preserve"> af citrat i lever og andet væv. Citrat binder ioniseret calcium i det </w:t>
      </w:r>
      <w:proofErr w:type="spellStart"/>
      <w:r w:rsidRPr="005910F9">
        <w:rPr>
          <w:sz w:val="24"/>
          <w:szCs w:val="24"/>
        </w:rPr>
        <w:t>ekstrakorporale</w:t>
      </w:r>
      <w:proofErr w:type="spellEnd"/>
      <w:r w:rsidRPr="005910F9">
        <w:rPr>
          <w:sz w:val="24"/>
          <w:szCs w:val="24"/>
        </w:rPr>
        <w:t xml:space="preserve"> kredsløb og reducerer derved koncentrationen af systemisk, ioniseret calcium. Dette kan modvirkes ved hjælp af calciumsubstitution. </w:t>
      </w:r>
    </w:p>
    <w:p w:rsidR="00853C35" w:rsidRPr="005910F9" w:rsidRDefault="00853C35" w:rsidP="00853C35">
      <w:pPr>
        <w:ind w:left="851"/>
        <w:rPr>
          <w:sz w:val="24"/>
          <w:szCs w:val="24"/>
        </w:rPr>
      </w:pPr>
    </w:p>
    <w:p w:rsidR="00853C35" w:rsidRPr="005910F9" w:rsidRDefault="00853C35" w:rsidP="00853C35">
      <w:pPr>
        <w:ind w:left="851"/>
        <w:rPr>
          <w:sz w:val="24"/>
          <w:szCs w:val="24"/>
        </w:rPr>
      </w:pPr>
      <w:proofErr w:type="spellStart"/>
      <w:r w:rsidRPr="005910F9">
        <w:rPr>
          <w:sz w:val="24"/>
          <w:szCs w:val="24"/>
        </w:rPr>
        <w:t>Calciumcitratchelat</w:t>
      </w:r>
      <w:proofErr w:type="spellEnd"/>
      <w:r w:rsidRPr="005910F9">
        <w:rPr>
          <w:sz w:val="24"/>
          <w:szCs w:val="24"/>
        </w:rPr>
        <w:t xml:space="preserve">-forbindelserne i patientens blod dissocieres, når </w:t>
      </w:r>
      <w:proofErr w:type="spellStart"/>
      <w:r w:rsidRPr="005910F9">
        <w:rPr>
          <w:sz w:val="24"/>
          <w:szCs w:val="24"/>
        </w:rPr>
        <w:t>metaboliseringen</w:t>
      </w:r>
      <w:proofErr w:type="spellEnd"/>
      <w:r w:rsidRPr="005910F9">
        <w:rPr>
          <w:sz w:val="24"/>
          <w:szCs w:val="24"/>
        </w:rPr>
        <w:t xml:space="preserve"> af citrat er større end den systemiske infusion af citrat. Nettoeffekten er, at frit ioniseret calcium forbliver i patientens blod og derefter redistribueres i patientens krop, hvor det spiller en essentiel rolle for både </w:t>
      </w:r>
      <w:proofErr w:type="spellStart"/>
      <w:r w:rsidRPr="005910F9">
        <w:rPr>
          <w:rStyle w:val="trns-org-res"/>
          <w:sz w:val="24"/>
          <w:szCs w:val="24"/>
        </w:rPr>
        <w:t>knogleremodellering</w:t>
      </w:r>
      <w:proofErr w:type="spellEnd"/>
      <w:r w:rsidRPr="005910F9">
        <w:rPr>
          <w:rStyle w:val="trns-org-res"/>
          <w:sz w:val="24"/>
          <w:szCs w:val="24"/>
        </w:rPr>
        <w:t xml:space="preserve"> og som en elektrolyt med vitale cellefunktioner i kroppen</w:t>
      </w:r>
      <w:r w:rsidRPr="005910F9">
        <w:rPr>
          <w:sz w:val="24"/>
          <w:szCs w:val="24"/>
        </w:rPr>
        <w:t xml:space="preserve"> (f.eks. i muskelceller og neuroner). </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5.2</w:t>
      </w:r>
      <w:r w:rsidRPr="005910F9">
        <w:rPr>
          <w:b/>
          <w:sz w:val="24"/>
          <w:szCs w:val="24"/>
        </w:rPr>
        <w:tab/>
      </w:r>
      <w:proofErr w:type="spellStart"/>
      <w:r w:rsidRPr="005910F9">
        <w:rPr>
          <w:b/>
          <w:sz w:val="24"/>
          <w:szCs w:val="24"/>
        </w:rPr>
        <w:t>Farmakokinetiske</w:t>
      </w:r>
      <w:proofErr w:type="spellEnd"/>
      <w:r w:rsidRPr="005910F9">
        <w:rPr>
          <w:b/>
          <w:sz w:val="24"/>
          <w:szCs w:val="24"/>
        </w:rPr>
        <w:t xml:space="preserve"> egenskaber</w:t>
      </w:r>
    </w:p>
    <w:p w:rsidR="00853C35" w:rsidRPr="005910F9" w:rsidRDefault="00853C35" w:rsidP="00853C35">
      <w:pPr>
        <w:ind w:left="851"/>
        <w:rPr>
          <w:sz w:val="24"/>
          <w:szCs w:val="24"/>
        </w:rPr>
      </w:pPr>
      <w:proofErr w:type="spellStart"/>
      <w:r w:rsidRPr="005910F9">
        <w:rPr>
          <w:sz w:val="24"/>
          <w:szCs w:val="24"/>
        </w:rPr>
        <w:t>Calrecia</w:t>
      </w:r>
      <w:proofErr w:type="spellEnd"/>
      <w:r w:rsidRPr="005910F9">
        <w:rPr>
          <w:sz w:val="24"/>
          <w:szCs w:val="24"/>
        </w:rPr>
        <w:t xml:space="preserve"> skal administreres ved hjælp af pumpen i blodrensningsapparatet til ekstrakorporal behandling, som er beregnet til infusion af calcium. </w:t>
      </w:r>
    </w:p>
    <w:p w:rsidR="00853C35" w:rsidRPr="005910F9" w:rsidRDefault="00853C35" w:rsidP="00853C35">
      <w:pPr>
        <w:ind w:left="851"/>
        <w:rPr>
          <w:sz w:val="24"/>
          <w:szCs w:val="24"/>
        </w:rPr>
      </w:pPr>
    </w:p>
    <w:p w:rsidR="00853C35" w:rsidRPr="005910F9" w:rsidRDefault="00853C35" w:rsidP="00853C35">
      <w:pPr>
        <w:ind w:left="851"/>
        <w:rPr>
          <w:sz w:val="24"/>
          <w:szCs w:val="24"/>
          <w:u w:val="single"/>
        </w:rPr>
      </w:pPr>
      <w:r w:rsidRPr="005910F9">
        <w:rPr>
          <w:sz w:val="24"/>
          <w:szCs w:val="24"/>
          <w:u w:val="single"/>
        </w:rPr>
        <w:t>Fordeling/Biotransformation/Elimination</w:t>
      </w:r>
    </w:p>
    <w:p w:rsidR="00853C35" w:rsidRPr="005910F9" w:rsidRDefault="00853C35" w:rsidP="00853C35">
      <w:pPr>
        <w:ind w:left="851"/>
        <w:rPr>
          <w:sz w:val="24"/>
          <w:szCs w:val="24"/>
        </w:rPr>
      </w:pPr>
      <w:r w:rsidRPr="005910F9">
        <w:rPr>
          <w:sz w:val="24"/>
          <w:szCs w:val="24"/>
        </w:rPr>
        <w:t xml:space="preserve">Eftersom </w:t>
      </w:r>
      <w:proofErr w:type="spellStart"/>
      <w:r w:rsidRPr="005910F9">
        <w:rPr>
          <w:sz w:val="24"/>
          <w:szCs w:val="24"/>
        </w:rPr>
        <w:t>Calrecias</w:t>
      </w:r>
      <w:proofErr w:type="spellEnd"/>
      <w:r w:rsidRPr="005910F9">
        <w:rPr>
          <w:sz w:val="24"/>
          <w:szCs w:val="24"/>
        </w:rPr>
        <w:t xml:space="preserve"> terapeutiske formål, calciumsubstitution ved CRRT, SLEDD</w:t>
      </w:r>
      <w:r w:rsidRPr="005910F9" w:rsidDel="00110DD6">
        <w:rPr>
          <w:sz w:val="24"/>
          <w:szCs w:val="24"/>
        </w:rPr>
        <w:t xml:space="preserve"> </w:t>
      </w:r>
      <w:r w:rsidRPr="005910F9">
        <w:rPr>
          <w:sz w:val="24"/>
          <w:szCs w:val="24"/>
        </w:rPr>
        <w:t xml:space="preserve">og TPE med regional citrat-antikoagulation, udelukkende er at stabilisere calciumindholdet i patientens blod på et fysiologisk niveau, anses de </w:t>
      </w:r>
      <w:proofErr w:type="spellStart"/>
      <w:r w:rsidRPr="005910F9">
        <w:rPr>
          <w:sz w:val="24"/>
          <w:szCs w:val="24"/>
        </w:rPr>
        <w:t>farmakokinetiske</w:t>
      </w:r>
      <w:proofErr w:type="spellEnd"/>
      <w:r w:rsidRPr="005910F9">
        <w:rPr>
          <w:sz w:val="24"/>
          <w:szCs w:val="24"/>
        </w:rPr>
        <w:t xml:space="preserve"> egenskaber ved calcium, indgivet via infusion med </w:t>
      </w:r>
      <w:proofErr w:type="spellStart"/>
      <w:r w:rsidRPr="005910F9">
        <w:rPr>
          <w:sz w:val="24"/>
          <w:szCs w:val="24"/>
        </w:rPr>
        <w:t>Calrecia</w:t>
      </w:r>
      <w:proofErr w:type="spellEnd"/>
      <w:r w:rsidRPr="005910F9">
        <w:rPr>
          <w:sz w:val="24"/>
          <w:szCs w:val="24"/>
        </w:rPr>
        <w:t>, som værende identiske med egenskaberne hos calcium, som findes endogent i det systemiske kredsløb og som er et resultat af den fysiologiske regulering af calcium i blodet.</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5.3</w:t>
      </w:r>
      <w:r w:rsidRPr="005910F9">
        <w:rPr>
          <w:b/>
          <w:sz w:val="24"/>
          <w:szCs w:val="24"/>
        </w:rPr>
        <w:tab/>
      </w:r>
      <w:r w:rsidR="00B84028">
        <w:rPr>
          <w:b/>
          <w:sz w:val="24"/>
          <w:szCs w:val="24"/>
        </w:rPr>
        <w:t>Non-</w:t>
      </w:r>
      <w:r w:rsidRPr="005910F9">
        <w:rPr>
          <w:b/>
          <w:sz w:val="24"/>
          <w:szCs w:val="24"/>
        </w:rPr>
        <w:t>kliniske sikkerhedsdata</w:t>
      </w:r>
    </w:p>
    <w:p w:rsidR="00853C35" w:rsidRPr="005910F9" w:rsidRDefault="00853C35" w:rsidP="00853C35">
      <w:pPr>
        <w:ind w:left="851"/>
        <w:rPr>
          <w:sz w:val="24"/>
          <w:szCs w:val="24"/>
        </w:rPr>
      </w:pPr>
      <w:r w:rsidRPr="005910F9">
        <w:rPr>
          <w:sz w:val="24"/>
          <w:szCs w:val="24"/>
        </w:rPr>
        <w:t>Der foreligger ingen prækliniske data af relevans for den ordinerende læge.</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6.</w:t>
      </w:r>
      <w:r w:rsidRPr="005910F9">
        <w:rPr>
          <w:b/>
          <w:sz w:val="24"/>
          <w:szCs w:val="24"/>
        </w:rPr>
        <w:tab/>
        <w:t>FARMACEUTISKE OPLYSNINGER</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6.1</w:t>
      </w:r>
      <w:r w:rsidRPr="005910F9">
        <w:rPr>
          <w:b/>
          <w:sz w:val="24"/>
          <w:szCs w:val="24"/>
        </w:rPr>
        <w:tab/>
        <w:t>Hjælpestoffer</w:t>
      </w:r>
    </w:p>
    <w:p w:rsidR="00853C35" w:rsidRPr="005910F9" w:rsidRDefault="00853C35" w:rsidP="00853C35">
      <w:pPr>
        <w:pStyle w:val="Default"/>
        <w:ind w:left="851"/>
      </w:pPr>
      <w:r w:rsidRPr="005910F9">
        <w:t>Vand til injektionsvæsker</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6.2</w:t>
      </w:r>
      <w:r w:rsidRPr="005910F9">
        <w:rPr>
          <w:b/>
          <w:sz w:val="24"/>
          <w:szCs w:val="24"/>
        </w:rPr>
        <w:tab/>
        <w:t>Uforligeligheder</w:t>
      </w:r>
    </w:p>
    <w:p w:rsidR="00853C35" w:rsidRPr="005910F9" w:rsidRDefault="00853C35" w:rsidP="00853C35">
      <w:pPr>
        <w:ind w:left="851"/>
        <w:rPr>
          <w:sz w:val="24"/>
          <w:szCs w:val="24"/>
        </w:rPr>
      </w:pPr>
      <w:r w:rsidRPr="005910F9">
        <w:rPr>
          <w:sz w:val="24"/>
          <w:szCs w:val="24"/>
        </w:rPr>
        <w:t>Da der ikke foreligger studier af eventuelle uforligeligheder, må dette lægemiddel ikke blandes med andre lægemidler. Se pkt. 4.5 vedrørende lægemidler som vides at være uforligelige med calcium.</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6.3</w:t>
      </w:r>
      <w:r w:rsidRPr="005910F9">
        <w:rPr>
          <w:b/>
          <w:sz w:val="24"/>
          <w:szCs w:val="24"/>
        </w:rPr>
        <w:tab/>
        <w:t>Opbevaringstid</w:t>
      </w:r>
    </w:p>
    <w:p w:rsidR="00853C35" w:rsidRPr="005910F9" w:rsidRDefault="00853C35" w:rsidP="00853C35">
      <w:pPr>
        <w:pStyle w:val="Default"/>
        <w:tabs>
          <w:tab w:val="left" w:pos="5529"/>
        </w:tabs>
        <w:ind w:left="851" w:hanging="851"/>
      </w:pPr>
      <w:r w:rsidRPr="005910F9">
        <w:tab/>
        <w:t>2 år.</w:t>
      </w:r>
    </w:p>
    <w:p w:rsidR="00853C35" w:rsidRPr="005910F9" w:rsidRDefault="00853C35" w:rsidP="00853C35">
      <w:pPr>
        <w:ind w:left="851" w:hanging="851"/>
        <w:rPr>
          <w:sz w:val="24"/>
          <w:szCs w:val="24"/>
        </w:rPr>
      </w:pPr>
    </w:p>
    <w:p w:rsidR="00853C35" w:rsidRPr="005910F9" w:rsidRDefault="00853C35" w:rsidP="00853C35">
      <w:pPr>
        <w:ind w:left="851"/>
        <w:rPr>
          <w:sz w:val="24"/>
          <w:szCs w:val="24"/>
        </w:rPr>
      </w:pPr>
      <w:r w:rsidRPr="005910F9">
        <w:rPr>
          <w:sz w:val="24"/>
          <w:szCs w:val="24"/>
        </w:rPr>
        <w:t>Holdbarhed efter åbning: Indholdet skal straks anvendes.</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6.4</w:t>
      </w:r>
      <w:r w:rsidRPr="005910F9">
        <w:rPr>
          <w:b/>
          <w:sz w:val="24"/>
          <w:szCs w:val="24"/>
        </w:rPr>
        <w:tab/>
        <w:t>Særlige opbevaringsforhold</w:t>
      </w:r>
    </w:p>
    <w:p w:rsidR="00853C35" w:rsidRPr="005910F9" w:rsidRDefault="00853C35" w:rsidP="00853C35">
      <w:pPr>
        <w:ind w:left="851"/>
        <w:rPr>
          <w:noProof/>
          <w:sz w:val="24"/>
          <w:szCs w:val="24"/>
        </w:rPr>
      </w:pPr>
      <w:r w:rsidRPr="005910F9">
        <w:rPr>
          <w:sz w:val="24"/>
          <w:szCs w:val="24"/>
        </w:rPr>
        <w:t>Må ikke opbevares i køleskab eller nedfryses.</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6.5</w:t>
      </w:r>
      <w:r w:rsidRPr="005910F9">
        <w:rPr>
          <w:b/>
          <w:sz w:val="24"/>
          <w:szCs w:val="24"/>
        </w:rPr>
        <w:tab/>
        <w:t>Emballagetype og pakningsstørrelser</w:t>
      </w:r>
    </w:p>
    <w:p w:rsidR="00853C35" w:rsidRPr="005910F9" w:rsidRDefault="00853C35" w:rsidP="00853C35">
      <w:pPr>
        <w:ind w:left="851"/>
        <w:rPr>
          <w:sz w:val="24"/>
          <w:szCs w:val="24"/>
        </w:rPr>
      </w:pPr>
      <w:r w:rsidRPr="005910F9">
        <w:rPr>
          <w:sz w:val="24"/>
          <w:szCs w:val="24"/>
        </w:rPr>
        <w:t>Væskepose med 1.500 ml brugsklar opløsning.</w:t>
      </w:r>
    </w:p>
    <w:p w:rsidR="00853C35" w:rsidRPr="005910F9" w:rsidRDefault="00853C35" w:rsidP="00853C35">
      <w:pPr>
        <w:ind w:left="851" w:hanging="851"/>
        <w:rPr>
          <w:sz w:val="24"/>
          <w:szCs w:val="24"/>
        </w:rPr>
      </w:pPr>
    </w:p>
    <w:p w:rsidR="00853C35" w:rsidRPr="005910F9" w:rsidRDefault="00853C35" w:rsidP="00853C35">
      <w:pPr>
        <w:ind w:left="851"/>
        <w:rPr>
          <w:sz w:val="24"/>
          <w:szCs w:val="24"/>
        </w:rPr>
      </w:pPr>
      <w:r w:rsidRPr="005910F9">
        <w:rPr>
          <w:sz w:val="24"/>
          <w:szCs w:val="24"/>
        </w:rPr>
        <w:t xml:space="preserve">Dette lægemiddel leveres parvis i to identiske væskeposer, der kan adskilles ved en posesøm. Væskeposen er fremstillet af </w:t>
      </w:r>
      <w:proofErr w:type="spellStart"/>
      <w:r w:rsidRPr="005910F9">
        <w:rPr>
          <w:sz w:val="24"/>
          <w:szCs w:val="24"/>
        </w:rPr>
        <w:t>polyolefinfilm</w:t>
      </w:r>
      <w:proofErr w:type="spellEnd"/>
      <w:r w:rsidRPr="005910F9">
        <w:rPr>
          <w:sz w:val="24"/>
          <w:szCs w:val="24"/>
        </w:rPr>
        <w:t xml:space="preserve">. Hver pose er udstyret med et slangesystem fremstillet af </w:t>
      </w:r>
      <w:proofErr w:type="spellStart"/>
      <w:r w:rsidRPr="005910F9">
        <w:rPr>
          <w:sz w:val="24"/>
          <w:szCs w:val="24"/>
        </w:rPr>
        <w:t>polyolefiner</w:t>
      </w:r>
      <w:proofErr w:type="spellEnd"/>
      <w:r w:rsidRPr="005910F9">
        <w:rPr>
          <w:sz w:val="24"/>
          <w:szCs w:val="24"/>
        </w:rPr>
        <w:t xml:space="preserve"> og en </w:t>
      </w:r>
      <w:proofErr w:type="spellStart"/>
      <w:r w:rsidRPr="005910F9">
        <w:rPr>
          <w:sz w:val="24"/>
          <w:szCs w:val="24"/>
        </w:rPr>
        <w:t>adaptor</w:t>
      </w:r>
      <w:proofErr w:type="spellEnd"/>
      <w:r w:rsidRPr="005910F9">
        <w:rPr>
          <w:sz w:val="24"/>
          <w:szCs w:val="24"/>
        </w:rPr>
        <w:t xml:space="preserve"> fremstillet af </w:t>
      </w:r>
      <w:proofErr w:type="spellStart"/>
      <w:r w:rsidRPr="005910F9">
        <w:rPr>
          <w:sz w:val="24"/>
          <w:szCs w:val="24"/>
        </w:rPr>
        <w:t>polycarbonat</w:t>
      </w:r>
      <w:proofErr w:type="spellEnd"/>
      <w:r w:rsidRPr="005910F9">
        <w:rPr>
          <w:sz w:val="24"/>
          <w:szCs w:val="24"/>
        </w:rPr>
        <w:t>. Posen er pakket i beskyttende flerlaget folie.</w:t>
      </w:r>
    </w:p>
    <w:p w:rsidR="00853C35" w:rsidRPr="005910F9" w:rsidRDefault="00853C35" w:rsidP="00853C35">
      <w:pPr>
        <w:ind w:left="851"/>
        <w:rPr>
          <w:sz w:val="24"/>
          <w:szCs w:val="24"/>
        </w:rPr>
      </w:pPr>
    </w:p>
    <w:p w:rsidR="00853C35" w:rsidRPr="005910F9" w:rsidRDefault="00853C35" w:rsidP="00853C35">
      <w:pPr>
        <w:ind w:left="851"/>
        <w:rPr>
          <w:sz w:val="24"/>
          <w:szCs w:val="24"/>
          <w:u w:val="single"/>
        </w:rPr>
      </w:pPr>
      <w:r w:rsidRPr="005910F9">
        <w:rPr>
          <w:sz w:val="24"/>
          <w:szCs w:val="24"/>
          <w:u w:val="single"/>
        </w:rPr>
        <w:t>Pakningsstørrelser</w:t>
      </w:r>
    </w:p>
    <w:p w:rsidR="00853C35" w:rsidRPr="005910F9" w:rsidRDefault="00853C35" w:rsidP="00853C35">
      <w:pPr>
        <w:ind w:left="851"/>
        <w:rPr>
          <w:sz w:val="24"/>
          <w:szCs w:val="24"/>
        </w:rPr>
      </w:pPr>
      <w:r w:rsidRPr="005910F9">
        <w:rPr>
          <w:sz w:val="24"/>
          <w:szCs w:val="24"/>
        </w:rPr>
        <w:t>8 poser med hver 1.500 ml</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6.6</w:t>
      </w:r>
      <w:r w:rsidRPr="005910F9">
        <w:rPr>
          <w:b/>
          <w:sz w:val="24"/>
          <w:szCs w:val="24"/>
        </w:rPr>
        <w:tab/>
        <w:t xml:space="preserve">Regler for </w:t>
      </w:r>
      <w:r w:rsidR="00B84028">
        <w:rPr>
          <w:b/>
          <w:sz w:val="24"/>
          <w:szCs w:val="24"/>
        </w:rPr>
        <w:t>bortskaffelse</w:t>
      </w:r>
      <w:r w:rsidRPr="005910F9">
        <w:rPr>
          <w:b/>
          <w:sz w:val="24"/>
          <w:szCs w:val="24"/>
        </w:rPr>
        <w:t xml:space="preserve"> og anden håndtering</w:t>
      </w:r>
    </w:p>
    <w:p w:rsidR="00853C35" w:rsidRDefault="00853C35" w:rsidP="00853C35">
      <w:pPr>
        <w:pStyle w:val="Default"/>
        <w:ind w:left="851" w:hanging="851"/>
        <w:rPr>
          <w:u w:val="single"/>
        </w:rPr>
      </w:pPr>
    </w:p>
    <w:p w:rsidR="00853C35" w:rsidRPr="005910F9" w:rsidRDefault="00853C35" w:rsidP="00853C35">
      <w:pPr>
        <w:pStyle w:val="Default"/>
        <w:ind w:left="851"/>
        <w:rPr>
          <w:u w:val="single"/>
        </w:rPr>
      </w:pPr>
      <w:r w:rsidRPr="005910F9">
        <w:rPr>
          <w:u w:val="single"/>
        </w:rPr>
        <w:t>Bortskaffelse</w:t>
      </w:r>
    </w:p>
    <w:p w:rsidR="00853C35" w:rsidRPr="005910F9" w:rsidRDefault="00853C35" w:rsidP="00853C35">
      <w:pPr>
        <w:widowControl w:val="0"/>
        <w:tabs>
          <w:tab w:val="left" w:pos="750"/>
          <w:tab w:val="left" w:pos="851"/>
          <w:tab w:val="left" w:pos="1701"/>
        </w:tabs>
        <w:ind w:left="851"/>
        <w:outlineLvl w:val="1"/>
        <w:rPr>
          <w:b/>
          <w:sz w:val="24"/>
          <w:szCs w:val="24"/>
        </w:rPr>
      </w:pPr>
      <w:r w:rsidRPr="005910F9">
        <w:rPr>
          <w:sz w:val="24"/>
          <w:szCs w:val="24"/>
        </w:rPr>
        <w:t>Opløsningen er kun til engangsbrug. Ikke anvendt lægemiddel og beskadiget emballage skal kasseres.</w:t>
      </w:r>
    </w:p>
    <w:p w:rsidR="00853C35" w:rsidRPr="005910F9" w:rsidRDefault="00853C35" w:rsidP="00853C35">
      <w:pPr>
        <w:pStyle w:val="Default"/>
        <w:ind w:left="851"/>
        <w:rPr>
          <w:u w:val="single"/>
        </w:rPr>
      </w:pPr>
    </w:p>
    <w:p w:rsidR="00853C35" w:rsidRPr="005910F9" w:rsidRDefault="00853C35" w:rsidP="00853C35">
      <w:pPr>
        <w:pStyle w:val="Default"/>
        <w:ind w:left="851"/>
        <w:rPr>
          <w:u w:val="single"/>
        </w:rPr>
      </w:pPr>
      <w:r w:rsidRPr="005910F9">
        <w:rPr>
          <w:u w:val="single"/>
        </w:rPr>
        <w:t xml:space="preserve">Håndtering </w:t>
      </w:r>
    </w:p>
    <w:p w:rsidR="00853C35" w:rsidRPr="005910F9" w:rsidRDefault="00853C35" w:rsidP="00853C35">
      <w:pPr>
        <w:pStyle w:val="Default"/>
        <w:ind w:left="851"/>
      </w:pPr>
      <w:r w:rsidRPr="005910F9">
        <w:t>Der skal tages hensyn til følgende punkter før anvendelse af væskeposen:</w:t>
      </w:r>
    </w:p>
    <w:p w:rsidR="00853C35" w:rsidRPr="005910F9" w:rsidRDefault="00853C35" w:rsidP="00853C35">
      <w:pPr>
        <w:pStyle w:val="Default"/>
        <w:numPr>
          <w:ilvl w:val="0"/>
          <w:numId w:val="10"/>
        </w:numPr>
        <w:ind w:left="1276" w:hanging="425"/>
      </w:pPr>
      <w:r w:rsidRPr="005910F9">
        <w:t xml:space="preserve">Adskil de to poser ved den stiplede posesøm. </w:t>
      </w:r>
    </w:p>
    <w:p w:rsidR="00853C35" w:rsidRPr="005910F9" w:rsidRDefault="00853C35" w:rsidP="00853C35">
      <w:pPr>
        <w:pStyle w:val="Default"/>
        <w:numPr>
          <w:ilvl w:val="0"/>
          <w:numId w:val="10"/>
        </w:numPr>
        <w:ind w:left="1276" w:hanging="425"/>
      </w:pPr>
      <w:r w:rsidRPr="005910F9">
        <w:t>Fjern først yderposen umiddelbart før anvendelse. Kontroller væskeposen (etiket, udløbsdato, at væsken er klar og at posen og yderposen ikke er beskadiget).</w:t>
      </w:r>
    </w:p>
    <w:p w:rsidR="00853C35" w:rsidRPr="005910F9" w:rsidRDefault="00853C35" w:rsidP="00853C35">
      <w:pPr>
        <w:pStyle w:val="Default"/>
        <w:ind w:left="1276"/>
      </w:pPr>
      <w:r w:rsidRPr="005910F9">
        <w:t xml:space="preserve">Plastikbeholdere kan lejlighedsvis blive beskadiget under transporten fra fremstilleren til dialyseklinikken eller hospitalet eller på selve klinikken/hospitalet. Dette kan resultere i kontaminering med bakterie- eller svampevækst i dialyseopløsningen. Derfor er det yderst vigtigt, at posen og væsken nøje undersøges, før de anvendes. Man bør især være opmærksom på selv den mindste skade på lukningen, posesømmene og hjørnerne på posen. Opløsningen må kun anvendes, hvis den er farveløs og klar, og hvis posen og </w:t>
      </w:r>
      <w:proofErr w:type="spellStart"/>
      <w:r w:rsidRPr="005910F9">
        <w:t>adaptoren</w:t>
      </w:r>
      <w:proofErr w:type="spellEnd"/>
      <w:r w:rsidRPr="005910F9">
        <w:t xml:space="preserve"> er ubeskadiget og intakt. </w:t>
      </w:r>
    </w:p>
    <w:p w:rsidR="00853C35" w:rsidRPr="005910F9" w:rsidRDefault="00853C35" w:rsidP="00853C35">
      <w:pPr>
        <w:pStyle w:val="Default"/>
        <w:numPr>
          <w:ilvl w:val="0"/>
          <w:numId w:val="10"/>
        </w:numPr>
        <w:ind w:left="1276" w:hanging="425"/>
      </w:pPr>
      <w:r w:rsidRPr="005910F9">
        <w:t xml:space="preserve">Hæng posen på holderen ved hjælp af posens ophængningshul.  </w:t>
      </w:r>
    </w:p>
    <w:p w:rsidR="00853C35" w:rsidRPr="005910F9" w:rsidRDefault="00853C35" w:rsidP="00853C35">
      <w:pPr>
        <w:pStyle w:val="Default"/>
        <w:numPr>
          <w:ilvl w:val="0"/>
          <w:numId w:val="10"/>
        </w:numPr>
        <w:ind w:left="1276" w:hanging="425"/>
      </w:pPr>
      <w:r w:rsidRPr="005910F9">
        <w:t xml:space="preserve">For at tilslutte posen tages beskyttelseshætten af </w:t>
      </w:r>
      <w:proofErr w:type="spellStart"/>
      <w:r w:rsidRPr="005910F9">
        <w:t>adaptoren</w:t>
      </w:r>
      <w:proofErr w:type="spellEnd"/>
      <w:r w:rsidRPr="005910F9">
        <w:t xml:space="preserve">. </w:t>
      </w:r>
      <w:proofErr w:type="spellStart"/>
      <w:r w:rsidRPr="005910F9">
        <w:t>Adaptoren</w:t>
      </w:r>
      <w:proofErr w:type="spellEnd"/>
      <w:r w:rsidRPr="005910F9">
        <w:t xml:space="preserve"> passer kun sammen med sit modstykke, så det undgås at </w:t>
      </w:r>
      <w:proofErr w:type="spellStart"/>
      <w:r w:rsidRPr="005910F9">
        <w:t>adaptoren</w:t>
      </w:r>
      <w:proofErr w:type="spellEnd"/>
      <w:r w:rsidRPr="005910F9">
        <w:t xml:space="preserve"> forbindes på ukorrekt vis. </w:t>
      </w:r>
      <w:proofErr w:type="spellStart"/>
      <w:r w:rsidRPr="005910F9">
        <w:t>Adaptordelen</w:t>
      </w:r>
      <w:proofErr w:type="spellEnd"/>
      <w:r w:rsidRPr="005910F9">
        <w:t xml:space="preserve"> uden hætte må ikke berøres, især ikke toppen af </w:t>
      </w:r>
      <w:proofErr w:type="spellStart"/>
      <w:r w:rsidRPr="005910F9">
        <w:t>adaptoren</w:t>
      </w:r>
      <w:proofErr w:type="spellEnd"/>
      <w:r w:rsidRPr="005910F9">
        <w:t xml:space="preserve">. Indersiden af </w:t>
      </w:r>
      <w:proofErr w:type="spellStart"/>
      <w:r w:rsidRPr="005910F9">
        <w:t>adaptoren</w:t>
      </w:r>
      <w:proofErr w:type="spellEnd"/>
      <w:r w:rsidRPr="005910F9">
        <w:t xml:space="preserve"> er steril og skal ikke rengøres yderligere med kemiske desinfektionsmidler. Forbind </w:t>
      </w:r>
      <w:proofErr w:type="spellStart"/>
      <w:r w:rsidRPr="005910F9">
        <w:t>adaptoren</w:t>
      </w:r>
      <w:proofErr w:type="spellEnd"/>
      <w:r w:rsidRPr="005910F9">
        <w:t xml:space="preserve"> med dens rette modstykke og tryk dem sammen, så du kan dreje den med uret, indtil den når stoppunktet. Der lyder et </w:t>
      </w:r>
      <w:r>
        <w:t>"klik"</w:t>
      </w:r>
      <w:r w:rsidRPr="005910F9">
        <w:t>, når de er forbundet.</w:t>
      </w:r>
    </w:p>
    <w:p w:rsidR="00853C35" w:rsidRPr="005910F9" w:rsidRDefault="00853C35" w:rsidP="00853C35">
      <w:pPr>
        <w:pStyle w:val="Default"/>
        <w:numPr>
          <w:ilvl w:val="0"/>
          <w:numId w:val="10"/>
        </w:numPr>
        <w:ind w:left="1276" w:hanging="425"/>
      </w:pPr>
      <w:r w:rsidRPr="005910F9">
        <w:t>Fortsæt med de resterende trin som beskrevet i brugervejledningen.</w:t>
      </w:r>
    </w:p>
    <w:p w:rsidR="00853C35" w:rsidRPr="005910F9" w:rsidRDefault="00853C35" w:rsidP="00853C35">
      <w:pPr>
        <w:pStyle w:val="Default"/>
        <w:ind w:left="851" w:hanging="851"/>
      </w:pPr>
    </w:p>
    <w:p w:rsidR="00853C35" w:rsidRPr="005910F9" w:rsidRDefault="00853C35" w:rsidP="00853C35">
      <w:pPr>
        <w:pStyle w:val="Default"/>
        <w:ind w:left="851"/>
      </w:pPr>
      <w:r w:rsidRPr="005910F9">
        <w:t>Opløsningen må ikke tilsættes andre lægemidler og må ikke administreres som perifer intravenøs infusion. Se også pkt. 4.2.</w:t>
      </w:r>
    </w:p>
    <w:p w:rsidR="00853C35" w:rsidRDefault="00853C35" w:rsidP="00853C35">
      <w:pPr>
        <w:rPr>
          <w:sz w:val="24"/>
          <w:szCs w:val="24"/>
        </w:rPr>
      </w:pPr>
      <w:r>
        <w:rPr>
          <w:sz w:val="24"/>
          <w:szCs w:val="24"/>
        </w:rPr>
        <w:br w:type="page"/>
      </w:r>
    </w:p>
    <w:p w:rsidR="00853C35" w:rsidRPr="005910F9" w:rsidRDefault="00853C35" w:rsidP="00853C35">
      <w:pPr>
        <w:tabs>
          <w:tab w:val="left" w:pos="851"/>
        </w:tabs>
        <w:ind w:left="851" w:hanging="851"/>
        <w:jc w:val="both"/>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7.</w:t>
      </w:r>
      <w:r w:rsidRPr="005910F9">
        <w:rPr>
          <w:b/>
          <w:sz w:val="24"/>
          <w:szCs w:val="24"/>
        </w:rPr>
        <w:tab/>
        <w:t>INDEHAVER AF MARKEDSFØRINGSTILLADELSEN</w:t>
      </w:r>
    </w:p>
    <w:p w:rsidR="00853C35" w:rsidRDefault="00853C35" w:rsidP="00853C35">
      <w:pPr>
        <w:ind w:left="851"/>
        <w:rPr>
          <w:sz w:val="24"/>
          <w:szCs w:val="24"/>
        </w:rPr>
      </w:pPr>
      <w:proofErr w:type="spellStart"/>
      <w:r w:rsidRPr="005910F9">
        <w:rPr>
          <w:sz w:val="24"/>
          <w:szCs w:val="24"/>
        </w:rPr>
        <w:t>Fresenius</w:t>
      </w:r>
      <w:proofErr w:type="spellEnd"/>
      <w:r w:rsidRPr="005910F9">
        <w:rPr>
          <w:sz w:val="24"/>
          <w:szCs w:val="24"/>
        </w:rPr>
        <w:t xml:space="preserve"> Medical Care Deutschland GmbH</w:t>
      </w:r>
    </w:p>
    <w:p w:rsidR="00853C35" w:rsidRDefault="00853C35" w:rsidP="00853C35">
      <w:pPr>
        <w:ind w:left="851"/>
        <w:rPr>
          <w:sz w:val="24"/>
          <w:szCs w:val="24"/>
        </w:rPr>
      </w:pPr>
      <w:r w:rsidRPr="005910F9">
        <w:rPr>
          <w:sz w:val="24"/>
          <w:szCs w:val="24"/>
        </w:rPr>
        <w:t>Else-</w:t>
      </w:r>
      <w:proofErr w:type="spellStart"/>
      <w:r w:rsidRPr="005910F9">
        <w:rPr>
          <w:sz w:val="24"/>
          <w:szCs w:val="24"/>
        </w:rPr>
        <w:t>Kröner</w:t>
      </w:r>
      <w:proofErr w:type="spellEnd"/>
      <w:r w:rsidRPr="005910F9">
        <w:rPr>
          <w:sz w:val="24"/>
          <w:szCs w:val="24"/>
        </w:rPr>
        <w:t>-</w:t>
      </w:r>
      <w:proofErr w:type="spellStart"/>
      <w:r w:rsidRPr="005910F9">
        <w:rPr>
          <w:sz w:val="24"/>
          <w:szCs w:val="24"/>
        </w:rPr>
        <w:t>Straße</w:t>
      </w:r>
      <w:proofErr w:type="spellEnd"/>
      <w:r w:rsidRPr="005910F9">
        <w:rPr>
          <w:sz w:val="24"/>
          <w:szCs w:val="24"/>
        </w:rPr>
        <w:t xml:space="preserve"> 1</w:t>
      </w:r>
    </w:p>
    <w:p w:rsidR="00853C35" w:rsidRPr="00BA37EF" w:rsidRDefault="00853C35" w:rsidP="00853C35">
      <w:pPr>
        <w:ind w:left="851"/>
        <w:rPr>
          <w:sz w:val="24"/>
          <w:szCs w:val="24"/>
        </w:rPr>
      </w:pPr>
      <w:r w:rsidRPr="00BA37EF">
        <w:rPr>
          <w:sz w:val="24"/>
          <w:szCs w:val="24"/>
        </w:rPr>
        <w:t xml:space="preserve">61352 Bad </w:t>
      </w:r>
      <w:proofErr w:type="spellStart"/>
      <w:r w:rsidRPr="00BA37EF">
        <w:rPr>
          <w:sz w:val="24"/>
          <w:szCs w:val="24"/>
        </w:rPr>
        <w:t>Homburg</w:t>
      </w:r>
      <w:proofErr w:type="spellEnd"/>
      <w:r w:rsidRPr="00BA37EF">
        <w:rPr>
          <w:sz w:val="24"/>
          <w:szCs w:val="24"/>
        </w:rPr>
        <w:t xml:space="preserve"> </w:t>
      </w:r>
      <w:proofErr w:type="spellStart"/>
      <w:r w:rsidRPr="00BA37EF">
        <w:rPr>
          <w:sz w:val="24"/>
          <w:szCs w:val="24"/>
        </w:rPr>
        <w:t>v.d.H</w:t>
      </w:r>
      <w:proofErr w:type="spellEnd"/>
      <w:r w:rsidRPr="00BA37EF">
        <w:rPr>
          <w:sz w:val="24"/>
          <w:szCs w:val="24"/>
        </w:rPr>
        <w:t>.</w:t>
      </w:r>
    </w:p>
    <w:p w:rsidR="00853C35" w:rsidRPr="00C12A4F" w:rsidRDefault="00853C35" w:rsidP="00853C35">
      <w:pPr>
        <w:ind w:left="851"/>
        <w:rPr>
          <w:sz w:val="24"/>
          <w:szCs w:val="24"/>
          <w:lang w:val="en-US"/>
        </w:rPr>
      </w:pPr>
      <w:proofErr w:type="spellStart"/>
      <w:r w:rsidRPr="00C12A4F">
        <w:rPr>
          <w:sz w:val="24"/>
          <w:szCs w:val="24"/>
          <w:lang w:val="en-US"/>
        </w:rPr>
        <w:t>Tyskland</w:t>
      </w:r>
      <w:proofErr w:type="spellEnd"/>
    </w:p>
    <w:p w:rsidR="00853C35" w:rsidRPr="00C12A4F" w:rsidRDefault="00853C35" w:rsidP="00853C35">
      <w:pPr>
        <w:ind w:left="851"/>
        <w:rPr>
          <w:sz w:val="24"/>
          <w:szCs w:val="24"/>
          <w:lang w:val="en-US"/>
        </w:rPr>
      </w:pPr>
    </w:p>
    <w:p w:rsidR="00853C35" w:rsidRPr="005910F9" w:rsidRDefault="00853C35" w:rsidP="00853C35">
      <w:pPr>
        <w:ind w:left="851"/>
        <w:rPr>
          <w:b/>
          <w:sz w:val="24"/>
          <w:szCs w:val="24"/>
          <w:lang w:val="en-US"/>
        </w:rPr>
      </w:pPr>
      <w:proofErr w:type="spellStart"/>
      <w:r w:rsidRPr="005910F9">
        <w:rPr>
          <w:b/>
          <w:sz w:val="24"/>
          <w:szCs w:val="24"/>
          <w:lang w:val="en-US"/>
        </w:rPr>
        <w:t>Repræsentant</w:t>
      </w:r>
      <w:proofErr w:type="spellEnd"/>
    </w:p>
    <w:p w:rsidR="00853C35" w:rsidRPr="005910F9" w:rsidRDefault="00853C35" w:rsidP="00853C35">
      <w:pPr>
        <w:ind w:left="851"/>
        <w:rPr>
          <w:sz w:val="24"/>
          <w:szCs w:val="24"/>
          <w:lang w:val="en-US"/>
        </w:rPr>
      </w:pPr>
      <w:r w:rsidRPr="005910F9">
        <w:rPr>
          <w:sz w:val="24"/>
          <w:szCs w:val="24"/>
          <w:lang w:val="en-US"/>
        </w:rPr>
        <w:t xml:space="preserve">Fresenius Medical Care </w:t>
      </w:r>
      <w:proofErr w:type="spellStart"/>
      <w:r w:rsidRPr="005910F9">
        <w:rPr>
          <w:sz w:val="24"/>
          <w:szCs w:val="24"/>
          <w:lang w:val="en-US"/>
        </w:rPr>
        <w:t>Danmark</w:t>
      </w:r>
      <w:proofErr w:type="spellEnd"/>
      <w:r w:rsidRPr="005910F9">
        <w:rPr>
          <w:sz w:val="24"/>
          <w:szCs w:val="24"/>
          <w:lang w:val="en-US"/>
        </w:rPr>
        <w:t xml:space="preserve"> A/S</w:t>
      </w:r>
    </w:p>
    <w:p w:rsidR="00853C35" w:rsidRPr="005910F9" w:rsidRDefault="00853C35" w:rsidP="00853C35">
      <w:pPr>
        <w:ind w:left="851"/>
        <w:rPr>
          <w:sz w:val="24"/>
          <w:szCs w:val="24"/>
        </w:rPr>
      </w:pPr>
      <w:r w:rsidRPr="005910F9">
        <w:rPr>
          <w:sz w:val="24"/>
          <w:szCs w:val="24"/>
        </w:rPr>
        <w:t>Oldenburg Allé 1</w:t>
      </w:r>
    </w:p>
    <w:p w:rsidR="00853C35" w:rsidRPr="005910F9" w:rsidRDefault="00853C35" w:rsidP="00853C35">
      <w:pPr>
        <w:ind w:left="851"/>
        <w:rPr>
          <w:sz w:val="24"/>
          <w:szCs w:val="24"/>
        </w:rPr>
      </w:pPr>
      <w:r w:rsidRPr="005910F9">
        <w:rPr>
          <w:sz w:val="24"/>
          <w:szCs w:val="24"/>
        </w:rPr>
        <w:t>2630 Taastrup</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8.</w:t>
      </w:r>
      <w:r w:rsidRPr="005910F9">
        <w:rPr>
          <w:b/>
          <w:sz w:val="24"/>
          <w:szCs w:val="24"/>
        </w:rPr>
        <w:tab/>
        <w:t>MARKEDSFØRINGSTILLADELSESNUMMER (</w:t>
      </w:r>
      <w:r w:rsidR="00B84028">
        <w:rPr>
          <w:b/>
          <w:sz w:val="24"/>
          <w:szCs w:val="24"/>
        </w:rPr>
        <w:t>-</w:t>
      </w:r>
      <w:r w:rsidRPr="005910F9">
        <w:rPr>
          <w:b/>
          <w:sz w:val="24"/>
          <w:szCs w:val="24"/>
        </w:rPr>
        <w:t>NUMRE)</w:t>
      </w:r>
    </w:p>
    <w:p w:rsidR="00853C35" w:rsidRPr="005910F9" w:rsidRDefault="00853C35" w:rsidP="00853C35">
      <w:pPr>
        <w:tabs>
          <w:tab w:val="left" w:pos="851"/>
        </w:tabs>
        <w:ind w:left="851" w:hanging="851"/>
        <w:rPr>
          <w:sz w:val="24"/>
          <w:szCs w:val="24"/>
        </w:rPr>
      </w:pPr>
      <w:r>
        <w:rPr>
          <w:sz w:val="24"/>
          <w:szCs w:val="24"/>
        </w:rPr>
        <w:tab/>
      </w:r>
      <w:r w:rsidRPr="005910F9">
        <w:rPr>
          <w:sz w:val="24"/>
          <w:szCs w:val="24"/>
        </w:rPr>
        <w:t>59650</w:t>
      </w:r>
    </w:p>
    <w:p w:rsidR="00853C35" w:rsidRPr="005910F9" w:rsidRDefault="00853C35" w:rsidP="00853C35">
      <w:pPr>
        <w:tabs>
          <w:tab w:val="left" w:pos="851"/>
        </w:tabs>
        <w:ind w:left="851" w:hanging="851"/>
        <w:jc w:val="both"/>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9.</w:t>
      </w:r>
      <w:r w:rsidRPr="005910F9">
        <w:rPr>
          <w:b/>
          <w:sz w:val="24"/>
          <w:szCs w:val="24"/>
        </w:rPr>
        <w:tab/>
        <w:t>DATO FOR FØRSTE MARKEDSFØRINGSTILLADELSE</w:t>
      </w:r>
    </w:p>
    <w:p w:rsidR="00853C35" w:rsidRPr="005910F9" w:rsidRDefault="00853C35" w:rsidP="00853C35">
      <w:pPr>
        <w:tabs>
          <w:tab w:val="left" w:pos="851"/>
        </w:tabs>
        <w:ind w:left="851" w:hanging="851"/>
        <w:rPr>
          <w:sz w:val="24"/>
          <w:szCs w:val="24"/>
        </w:rPr>
      </w:pPr>
      <w:r>
        <w:rPr>
          <w:sz w:val="24"/>
          <w:szCs w:val="24"/>
        </w:rPr>
        <w:tab/>
        <w:t>10. december 2018</w:t>
      </w:r>
    </w:p>
    <w:p w:rsidR="00853C35" w:rsidRPr="005910F9" w:rsidRDefault="00853C35" w:rsidP="00853C35">
      <w:pPr>
        <w:tabs>
          <w:tab w:val="left" w:pos="851"/>
        </w:tabs>
        <w:ind w:left="851" w:hanging="851"/>
        <w:rPr>
          <w:sz w:val="24"/>
          <w:szCs w:val="24"/>
        </w:rPr>
      </w:pPr>
    </w:p>
    <w:p w:rsidR="00853C35" w:rsidRPr="005910F9" w:rsidRDefault="00853C35" w:rsidP="00853C35">
      <w:pPr>
        <w:tabs>
          <w:tab w:val="left" w:pos="851"/>
        </w:tabs>
        <w:ind w:left="851" w:hanging="851"/>
        <w:rPr>
          <w:b/>
          <w:sz w:val="24"/>
          <w:szCs w:val="24"/>
        </w:rPr>
      </w:pPr>
      <w:r w:rsidRPr="005910F9">
        <w:rPr>
          <w:b/>
          <w:sz w:val="24"/>
          <w:szCs w:val="24"/>
        </w:rPr>
        <w:t>10.</w:t>
      </w:r>
      <w:r w:rsidRPr="005910F9">
        <w:rPr>
          <w:b/>
          <w:sz w:val="24"/>
          <w:szCs w:val="24"/>
        </w:rPr>
        <w:tab/>
        <w:t>DATO FOR ÆNDRING AF TEKSTEN</w:t>
      </w:r>
    </w:p>
    <w:p w:rsidR="00853C35" w:rsidRPr="005910F9" w:rsidRDefault="00853C35" w:rsidP="00853C35">
      <w:pPr>
        <w:tabs>
          <w:tab w:val="left" w:pos="851"/>
        </w:tabs>
        <w:ind w:left="851" w:hanging="851"/>
        <w:rPr>
          <w:sz w:val="24"/>
          <w:szCs w:val="24"/>
        </w:rPr>
      </w:pPr>
      <w:r>
        <w:rPr>
          <w:sz w:val="24"/>
          <w:szCs w:val="24"/>
        </w:rPr>
        <w:tab/>
      </w:r>
      <w:r w:rsidR="00B84028">
        <w:rPr>
          <w:sz w:val="24"/>
          <w:szCs w:val="24"/>
        </w:rPr>
        <w:t>13. oktober 2023</w:t>
      </w:r>
    </w:p>
    <w:p w:rsidR="00853C35" w:rsidRPr="00C87482" w:rsidRDefault="00853C35" w:rsidP="00853C35"/>
    <w:p w:rsidR="00853C35" w:rsidRPr="002916F7" w:rsidRDefault="00853C35" w:rsidP="00853C35"/>
    <w:p w:rsidR="009260DE" w:rsidRPr="00853C35" w:rsidRDefault="009260DE" w:rsidP="00853C35"/>
    <w:sectPr w:rsidR="009260DE" w:rsidRPr="00853C3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C35" w:rsidRDefault="00853C35">
      <w:r>
        <w:separator/>
      </w:r>
    </w:p>
  </w:endnote>
  <w:endnote w:type="continuationSeparator" w:id="0">
    <w:p w:rsidR="00853C35" w:rsidRDefault="008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96530D" w:rsidP="00C42586">
    <w:pPr>
      <w:pStyle w:val="Sidefod"/>
      <w:tabs>
        <w:tab w:val="clear" w:pos="4819"/>
        <w:tab w:val="left" w:pos="8505"/>
      </w:tabs>
      <w:rPr>
        <w:i/>
        <w:sz w:val="18"/>
        <w:szCs w:val="18"/>
      </w:rPr>
    </w:pPr>
    <w:proofErr w:type="spellStart"/>
    <w:r w:rsidRPr="0096530D">
      <w:rPr>
        <w:i/>
        <w:sz w:val="18"/>
        <w:szCs w:val="18"/>
      </w:rPr>
      <w:t>Calrecia</w:t>
    </w:r>
    <w:proofErr w:type="spellEnd"/>
    <w:r w:rsidRPr="0096530D">
      <w:rPr>
        <w:i/>
        <w:sz w:val="18"/>
        <w:szCs w:val="18"/>
      </w:rPr>
      <w:t>, infusionsvæske, opløsning 100 mmol-l</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C35" w:rsidRDefault="00853C35">
      <w:r>
        <w:separator/>
      </w:r>
    </w:p>
  </w:footnote>
  <w:footnote w:type="continuationSeparator" w:id="0">
    <w:p w:rsidR="00853C35" w:rsidRDefault="00853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53670B"/>
    <w:multiLevelType w:val="hybridMultilevel"/>
    <w:tmpl w:val="B51A3F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AFF3AB9"/>
    <w:multiLevelType w:val="hybridMultilevel"/>
    <w:tmpl w:val="141CF57A"/>
    <w:lvl w:ilvl="0" w:tplc="FFFFFFFF">
      <w:start w:val="1"/>
      <w:numFmt w:val="bullet"/>
      <w:lvlText w:val="-"/>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1A793D"/>
    <w:multiLevelType w:val="hybridMultilevel"/>
    <w:tmpl w:val="DBF86638"/>
    <w:lvl w:ilvl="0" w:tplc="FFFFFFFF">
      <w:start w:val="1"/>
      <w:numFmt w:val="bullet"/>
      <w:lvlText w:val="-"/>
      <w:lvlJc w:val="left"/>
      <w:pPr>
        <w:tabs>
          <w:tab w:val="num" w:pos="720"/>
        </w:tabs>
        <w:ind w:left="720" w:hanging="360"/>
      </w:pPr>
      <w:rPr>
        <w:rFonts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0E5626"/>
    <w:multiLevelType w:val="hybridMultilevel"/>
    <w:tmpl w:val="6024D0A0"/>
    <w:lvl w:ilvl="0" w:tplc="FFFFFFFF">
      <w:start w:val="1"/>
      <w:numFmt w:val="bullet"/>
      <w:lvlText w:val="-"/>
      <w:lvlJc w:val="left"/>
      <w:pPr>
        <w:tabs>
          <w:tab w:val="num" w:pos="720"/>
        </w:tabs>
        <w:ind w:left="720" w:hanging="360"/>
      </w:pPr>
      <w:rPr>
        <w:rFonts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EA3ADD"/>
    <w:multiLevelType w:val="hybridMultilevel"/>
    <w:tmpl w:val="CB54E99E"/>
    <w:lvl w:ilvl="0" w:tplc="FFFFFFFF">
      <w:start w:val="1"/>
      <w:numFmt w:val="bullet"/>
      <w:lvlText w:val="-"/>
      <w:lvlJc w:val="left"/>
      <w:pPr>
        <w:tabs>
          <w:tab w:val="num" w:pos="720"/>
        </w:tabs>
        <w:ind w:left="720" w:hanging="360"/>
      </w:pPr>
      <w:rPr>
        <w:rFonts w:hint="default"/>
        <w:sz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35"/>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122C4"/>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53C35"/>
    <w:rsid w:val="00907F75"/>
    <w:rsid w:val="009260DE"/>
    <w:rsid w:val="0093258A"/>
    <w:rsid w:val="0096530D"/>
    <w:rsid w:val="009702BE"/>
    <w:rsid w:val="009C7BA3"/>
    <w:rsid w:val="009D1F5A"/>
    <w:rsid w:val="00B003BF"/>
    <w:rsid w:val="00B373D7"/>
    <w:rsid w:val="00B84028"/>
    <w:rsid w:val="00BA37EF"/>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EB166"/>
  <w15:chartTrackingRefBased/>
  <w15:docId w15:val="{7E51DCB9-4433-40A2-84CC-DE2E9968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rsid w:val="00853C35"/>
    <w:rPr>
      <w:color w:val="0000FF"/>
      <w:u w:val="single"/>
    </w:rPr>
  </w:style>
  <w:style w:type="paragraph" w:customStyle="1" w:styleId="Default">
    <w:name w:val="Default"/>
    <w:rsid w:val="00853C35"/>
    <w:pPr>
      <w:autoSpaceDE w:val="0"/>
      <w:autoSpaceDN w:val="0"/>
      <w:adjustRightInd w:val="0"/>
    </w:pPr>
    <w:rPr>
      <w:color w:val="000000"/>
      <w:sz w:val="24"/>
      <w:szCs w:val="24"/>
      <w:lang w:eastAsia="de-DE"/>
    </w:rPr>
  </w:style>
  <w:style w:type="character" w:customStyle="1" w:styleId="trns-org-res">
    <w:name w:val="trns-org-res"/>
    <w:basedOn w:val="Standardskrifttypeiafsnit"/>
    <w:rsid w:val="00853C35"/>
  </w:style>
  <w:style w:type="character" w:styleId="Ulstomtale">
    <w:name w:val="Unresolved Mention"/>
    <w:basedOn w:val="Standardskrifttypeiafsnit"/>
    <w:uiPriority w:val="99"/>
    <w:semiHidden/>
    <w:unhideWhenUsed/>
    <w:rsid w:val="00B8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9</Pages>
  <Words>2502</Words>
  <Characters>17080</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2023074639_x000d_
SPC opdat. pkt. 2., 3., 4.2, 4.8, 4.9 + QRD tekster</dc:description>
  <cp:lastModifiedBy>Marianne Ott Jensen</cp:lastModifiedBy>
  <cp:revision>3</cp:revision>
  <cp:lastPrinted>2012-08-22T08:53:00Z</cp:lastPrinted>
  <dcterms:created xsi:type="dcterms:W3CDTF">2023-10-12T09:57:00Z</dcterms:created>
  <dcterms:modified xsi:type="dcterms:W3CDTF">2023-10-12T10:03:00Z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