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F69" w:rsidRPr="008F49E1" w:rsidRDefault="00CF3F69" w:rsidP="00CF3F69">
      <w:pPr>
        <w:rPr>
          <w:sz w:val="24"/>
          <w:szCs w:val="24"/>
        </w:rPr>
      </w:pPr>
      <w:r w:rsidRPr="008F49E1">
        <w:rPr>
          <w:noProof/>
          <w:sz w:val="24"/>
          <w:szCs w:val="24"/>
          <w:lang w:eastAsia="da-DK"/>
        </w:rPr>
        <w:drawing>
          <wp:inline distT="0" distB="0" distL="0" distR="0" wp14:anchorId="14F4BFF3" wp14:editId="0C74980F">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CF3F69" w:rsidRDefault="00CF3F69" w:rsidP="00CF3F69">
      <w:pPr>
        <w:pStyle w:val="Titel"/>
        <w:jc w:val="right"/>
      </w:pPr>
    </w:p>
    <w:p w:rsidR="00CF3F69" w:rsidRPr="00000B00" w:rsidRDefault="00BC52AC" w:rsidP="00CF3F69">
      <w:pPr>
        <w:pStyle w:val="Titel"/>
        <w:jc w:val="right"/>
      </w:pPr>
      <w:r>
        <w:t>22. maj 2024</w:t>
      </w:r>
    </w:p>
    <w:p w:rsidR="00CF3F69" w:rsidRDefault="00CF3F69" w:rsidP="00CF3F69">
      <w:pPr>
        <w:pStyle w:val="Titel"/>
        <w:jc w:val="left"/>
        <w:rPr>
          <w:b w:val="0"/>
        </w:rPr>
      </w:pPr>
    </w:p>
    <w:p w:rsidR="00CF3F69" w:rsidRDefault="00CF3F69" w:rsidP="00CF3F69">
      <w:pPr>
        <w:pStyle w:val="Titel"/>
        <w:jc w:val="left"/>
        <w:rPr>
          <w:b w:val="0"/>
        </w:rPr>
      </w:pPr>
    </w:p>
    <w:p w:rsidR="00CF3F69" w:rsidRPr="00EC0B9B" w:rsidRDefault="00CF3F69" w:rsidP="00CF3F69">
      <w:pPr>
        <w:jc w:val="center"/>
        <w:rPr>
          <w:b/>
          <w:sz w:val="24"/>
          <w:szCs w:val="24"/>
        </w:rPr>
      </w:pPr>
      <w:r w:rsidRPr="00EC0B9B">
        <w:rPr>
          <w:b/>
          <w:sz w:val="24"/>
          <w:szCs w:val="24"/>
        </w:rPr>
        <w:t>PRODUKTRESUMÉ</w:t>
      </w:r>
    </w:p>
    <w:p w:rsidR="00CF3F69" w:rsidRPr="00EC0B9B" w:rsidRDefault="00CF3F69" w:rsidP="00CF3F69">
      <w:pPr>
        <w:jc w:val="center"/>
        <w:rPr>
          <w:b/>
          <w:sz w:val="24"/>
          <w:szCs w:val="24"/>
        </w:rPr>
      </w:pPr>
    </w:p>
    <w:p w:rsidR="00CF3F69" w:rsidRPr="00EC0B9B" w:rsidRDefault="00CF3F69" w:rsidP="003F5483">
      <w:pPr>
        <w:tabs>
          <w:tab w:val="left" w:pos="315"/>
          <w:tab w:val="left" w:pos="463"/>
          <w:tab w:val="center" w:pos="4819"/>
        </w:tabs>
        <w:rPr>
          <w:b/>
          <w:sz w:val="24"/>
          <w:szCs w:val="24"/>
        </w:rPr>
      </w:pPr>
      <w:r>
        <w:rPr>
          <w:b/>
          <w:sz w:val="24"/>
          <w:szCs w:val="24"/>
        </w:rPr>
        <w:tab/>
      </w:r>
      <w:r w:rsidR="003F5483">
        <w:rPr>
          <w:b/>
          <w:sz w:val="24"/>
          <w:szCs w:val="24"/>
        </w:rPr>
        <w:tab/>
      </w:r>
      <w:r>
        <w:rPr>
          <w:b/>
          <w:sz w:val="24"/>
          <w:szCs w:val="24"/>
        </w:rPr>
        <w:tab/>
      </w:r>
      <w:r w:rsidRPr="00EC0B9B">
        <w:rPr>
          <w:b/>
          <w:sz w:val="24"/>
          <w:szCs w:val="24"/>
        </w:rPr>
        <w:t>for</w:t>
      </w:r>
    </w:p>
    <w:p w:rsidR="00CF3F69" w:rsidRPr="00EC0B9B" w:rsidRDefault="00CF3F69" w:rsidP="00CF3F69">
      <w:pPr>
        <w:jc w:val="center"/>
        <w:rPr>
          <w:b/>
          <w:sz w:val="24"/>
          <w:szCs w:val="24"/>
        </w:rPr>
      </w:pPr>
    </w:p>
    <w:p w:rsidR="00CF3F69" w:rsidRPr="0049104B" w:rsidRDefault="00CF3F69" w:rsidP="00CF3F69">
      <w:pPr>
        <w:jc w:val="center"/>
        <w:rPr>
          <w:b/>
          <w:sz w:val="24"/>
          <w:szCs w:val="24"/>
        </w:rPr>
      </w:pPr>
      <w:r>
        <w:rPr>
          <w:b/>
          <w:sz w:val="24"/>
          <w:szCs w:val="24"/>
        </w:rPr>
        <w:t>Capecitabin ”S</w:t>
      </w:r>
      <w:r w:rsidR="007E4788">
        <w:rPr>
          <w:b/>
          <w:sz w:val="24"/>
          <w:szCs w:val="24"/>
        </w:rPr>
        <w:t>TADA</w:t>
      </w:r>
      <w:r>
        <w:rPr>
          <w:b/>
          <w:sz w:val="24"/>
          <w:szCs w:val="24"/>
        </w:rPr>
        <w:t>”, filmovertrukne tabletter</w:t>
      </w:r>
    </w:p>
    <w:p w:rsidR="00CF3F69" w:rsidRPr="00EC0B9B" w:rsidRDefault="00CF3F69" w:rsidP="00CF3F69">
      <w:pPr>
        <w:jc w:val="both"/>
        <w:rPr>
          <w:sz w:val="24"/>
          <w:szCs w:val="24"/>
        </w:rPr>
      </w:pPr>
    </w:p>
    <w:p w:rsidR="00CF3F69" w:rsidRPr="00EC0B9B" w:rsidRDefault="00CF3F69" w:rsidP="00CF3F69">
      <w:pPr>
        <w:jc w:val="both"/>
        <w:rPr>
          <w:sz w:val="24"/>
          <w:szCs w:val="24"/>
        </w:rPr>
      </w:pPr>
    </w:p>
    <w:p w:rsidR="00CF3F69" w:rsidRPr="00EC0B9B" w:rsidRDefault="00CF3F69" w:rsidP="00CF3F69">
      <w:pPr>
        <w:numPr>
          <w:ilvl w:val="0"/>
          <w:numId w:val="1"/>
        </w:numPr>
        <w:tabs>
          <w:tab w:val="clear" w:pos="855"/>
          <w:tab w:val="left" w:pos="851"/>
        </w:tabs>
        <w:rPr>
          <w:b/>
          <w:sz w:val="24"/>
          <w:szCs w:val="24"/>
        </w:rPr>
      </w:pPr>
      <w:r w:rsidRPr="00EC0B9B">
        <w:rPr>
          <w:b/>
          <w:sz w:val="24"/>
          <w:szCs w:val="24"/>
        </w:rPr>
        <w:t>D.SP.NR.</w:t>
      </w:r>
    </w:p>
    <w:p w:rsidR="00CF3F69" w:rsidRPr="00EC0B9B" w:rsidRDefault="00CF3F69" w:rsidP="00CF3F69">
      <w:pPr>
        <w:tabs>
          <w:tab w:val="left" w:pos="851"/>
        </w:tabs>
        <w:rPr>
          <w:sz w:val="24"/>
          <w:szCs w:val="24"/>
        </w:rPr>
      </w:pPr>
      <w:r w:rsidRPr="00EC0B9B">
        <w:rPr>
          <w:sz w:val="24"/>
          <w:szCs w:val="24"/>
        </w:rPr>
        <w:tab/>
      </w:r>
      <w:r>
        <w:rPr>
          <w:sz w:val="24"/>
          <w:szCs w:val="24"/>
        </w:rPr>
        <w:t>27779</w:t>
      </w:r>
    </w:p>
    <w:p w:rsidR="00CF3F69" w:rsidRPr="00EC0B9B" w:rsidRDefault="00CF3F69" w:rsidP="00CF3F69">
      <w:pPr>
        <w:tabs>
          <w:tab w:val="left" w:pos="851"/>
        </w:tabs>
        <w:rPr>
          <w:sz w:val="24"/>
          <w:szCs w:val="24"/>
        </w:rPr>
      </w:pPr>
    </w:p>
    <w:p w:rsidR="00CF3F69" w:rsidRPr="00EC0B9B" w:rsidRDefault="00CF3F69" w:rsidP="00CF3F69">
      <w:pPr>
        <w:numPr>
          <w:ilvl w:val="0"/>
          <w:numId w:val="1"/>
        </w:numPr>
        <w:rPr>
          <w:b/>
          <w:sz w:val="24"/>
          <w:szCs w:val="24"/>
        </w:rPr>
      </w:pPr>
      <w:r w:rsidRPr="00EC0B9B">
        <w:rPr>
          <w:b/>
          <w:sz w:val="24"/>
          <w:szCs w:val="24"/>
        </w:rPr>
        <w:t>LÆGEMIDLETS NAVN</w:t>
      </w:r>
    </w:p>
    <w:p w:rsidR="00CF3F69" w:rsidRPr="00EC0B9B" w:rsidRDefault="00CF3F69" w:rsidP="00CF3F69">
      <w:pPr>
        <w:tabs>
          <w:tab w:val="left" w:pos="851"/>
        </w:tabs>
        <w:ind w:left="855"/>
        <w:rPr>
          <w:sz w:val="24"/>
          <w:szCs w:val="24"/>
        </w:rPr>
      </w:pPr>
      <w:r>
        <w:rPr>
          <w:sz w:val="24"/>
          <w:szCs w:val="24"/>
        </w:rPr>
        <w:t>Capecitabin ”S</w:t>
      </w:r>
      <w:r w:rsidR="007E4788">
        <w:rPr>
          <w:sz w:val="24"/>
          <w:szCs w:val="24"/>
        </w:rPr>
        <w:t>TADA</w:t>
      </w:r>
      <w:r>
        <w:rPr>
          <w:sz w:val="24"/>
          <w:szCs w:val="24"/>
        </w:rPr>
        <w:t>”</w:t>
      </w:r>
    </w:p>
    <w:p w:rsidR="00CF3F69" w:rsidRPr="00EC0B9B" w:rsidRDefault="00CF3F69" w:rsidP="00CF3F69">
      <w:pPr>
        <w:tabs>
          <w:tab w:val="left" w:pos="851"/>
        </w:tabs>
        <w:rPr>
          <w:sz w:val="24"/>
          <w:szCs w:val="24"/>
        </w:rPr>
      </w:pPr>
      <w:r w:rsidRPr="00EC0B9B">
        <w:rPr>
          <w:sz w:val="24"/>
          <w:szCs w:val="24"/>
        </w:rPr>
        <w:tab/>
      </w:r>
    </w:p>
    <w:p w:rsidR="00CF3F69" w:rsidRPr="00EC0B9B" w:rsidRDefault="00CF3F69" w:rsidP="00CF3F69">
      <w:pPr>
        <w:numPr>
          <w:ilvl w:val="0"/>
          <w:numId w:val="1"/>
        </w:numPr>
        <w:rPr>
          <w:b/>
          <w:sz w:val="24"/>
          <w:szCs w:val="24"/>
        </w:rPr>
      </w:pPr>
      <w:r w:rsidRPr="00EC0B9B">
        <w:rPr>
          <w:b/>
          <w:sz w:val="24"/>
          <w:szCs w:val="24"/>
        </w:rPr>
        <w:t>KVALITATIV OG KVANTITATIV SAMMENSÆTNING</w:t>
      </w:r>
    </w:p>
    <w:p w:rsidR="00CF3F69" w:rsidRDefault="00CF3F69" w:rsidP="00CF3F69">
      <w:pPr>
        <w:tabs>
          <w:tab w:val="left" w:pos="851"/>
        </w:tabs>
        <w:ind w:left="851"/>
        <w:rPr>
          <w:sz w:val="24"/>
          <w:szCs w:val="24"/>
          <w:u w:val="single"/>
        </w:rPr>
      </w:pPr>
    </w:p>
    <w:p w:rsidR="00CF3F69" w:rsidRDefault="00CF3F69" w:rsidP="00CF3F69">
      <w:pPr>
        <w:tabs>
          <w:tab w:val="left" w:pos="851"/>
        </w:tabs>
        <w:ind w:left="851"/>
        <w:rPr>
          <w:sz w:val="24"/>
          <w:szCs w:val="24"/>
          <w:u w:val="single"/>
        </w:rPr>
      </w:pPr>
      <w:r>
        <w:rPr>
          <w:sz w:val="24"/>
          <w:szCs w:val="24"/>
          <w:u w:val="single"/>
        </w:rPr>
        <w:t xml:space="preserve">Capecitabin </w:t>
      </w:r>
      <w:r w:rsidRPr="007E4788">
        <w:rPr>
          <w:sz w:val="24"/>
          <w:szCs w:val="24"/>
          <w:u w:val="single"/>
        </w:rPr>
        <w:t>”</w:t>
      </w:r>
      <w:r w:rsidR="007E4788" w:rsidRPr="007E4788">
        <w:rPr>
          <w:sz w:val="24"/>
          <w:szCs w:val="24"/>
          <w:u w:val="single"/>
        </w:rPr>
        <w:t>STADA</w:t>
      </w:r>
      <w:r>
        <w:rPr>
          <w:sz w:val="24"/>
          <w:szCs w:val="24"/>
          <w:u w:val="single"/>
        </w:rPr>
        <w:t>” 150 mg filmovertrukne tabletter.</w:t>
      </w:r>
    </w:p>
    <w:p w:rsidR="00CF3F69" w:rsidRDefault="00CF3F69" w:rsidP="00CF3F69">
      <w:pPr>
        <w:tabs>
          <w:tab w:val="left" w:pos="851"/>
        </w:tabs>
        <w:ind w:left="851"/>
        <w:rPr>
          <w:sz w:val="24"/>
          <w:szCs w:val="24"/>
        </w:rPr>
      </w:pPr>
      <w:r>
        <w:rPr>
          <w:sz w:val="24"/>
          <w:szCs w:val="24"/>
        </w:rPr>
        <w:t>Hver filmovertrukken tablet indeholder 150 mg capecitabin.</w:t>
      </w:r>
    </w:p>
    <w:p w:rsidR="00CF3F69" w:rsidRDefault="00CF3F69" w:rsidP="00CF3F69">
      <w:pPr>
        <w:tabs>
          <w:tab w:val="left" w:pos="851"/>
        </w:tabs>
        <w:ind w:left="851"/>
        <w:rPr>
          <w:sz w:val="24"/>
          <w:szCs w:val="24"/>
        </w:rPr>
      </w:pPr>
    </w:p>
    <w:p w:rsidR="00CF3F69" w:rsidRDefault="00CF3F69" w:rsidP="00CF3F69">
      <w:pPr>
        <w:tabs>
          <w:tab w:val="left" w:pos="851"/>
        </w:tabs>
        <w:ind w:left="851"/>
        <w:rPr>
          <w:sz w:val="24"/>
          <w:szCs w:val="24"/>
          <w:u w:val="single"/>
        </w:rPr>
      </w:pPr>
      <w:r>
        <w:rPr>
          <w:sz w:val="24"/>
          <w:szCs w:val="24"/>
          <w:u w:val="single"/>
        </w:rPr>
        <w:t>Capecitabin ”</w:t>
      </w:r>
      <w:r w:rsidR="007E4788" w:rsidRPr="007E4788">
        <w:rPr>
          <w:sz w:val="24"/>
          <w:szCs w:val="24"/>
          <w:u w:val="single"/>
        </w:rPr>
        <w:t>STADA</w:t>
      </w:r>
      <w:r w:rsidRPr="007E4788">
        <w:rPr>
          <w:sz w:val="24"/>
          <w:szCs w:val="24"/>
          <w:u w:val="single"/>
        </w:rPr>
        <w:t>”</w:t>
      </w:r>
      <w:r>
        <w:rPr>
          <w:sz w:val="24"/>
          <w:szCs w:val="24"/>
          <w:u w:val="single"/>
        </w:rPr>
        <w:t xml:space="preserve"> 500 mg filmovertrukne tabletter.</w:t>
      </w:r>
    </w:p>
    <w:p w:rsidR="00CF3F69" w:rsidRDefault="00CF3F69" w:rsidP="00CF3F69">
      <w:pPr>
        <w:tabs>
          <w:tab w:val="left" w:pos="851"/>
        </w:tabs>
        <w:ind w:left="851"/>
        <w:rPr>
          <w:sz w:val="24"/>
          <w:szCs w:val="24"/>
        </w:rPr>
      </w:pPr>
      <w:r>
        <w:rPr>
          <w:sz w:val="24"/>
          <w:szCs w:val="24"/>
        </w:rPr>
        <w:t>Hver filmovertrukken tablet indeholder 500 mg capecitabin.</w:t>
      </w:r>
    </w:p>
    <w:p w:rsidR="00CF3F69" w:rsidRDefault="00CF3F69" w:rsidP="00CF3F69">
      <w:pPr>
        <w:tabs>
          <w:tab w:val="left" w:pos="851"/>
        </w:tabs>
        <w:ind w:left="851"/>
        <w:rPr>
          <w:sz w:val="24"/>
          <w:szCs w:val="24"/>
        </w:rPr>
      </w:pPr>
    </w:p>
    <w:p w:rsidR="00CF3F69" w:rsidRPr="004E308C" w:rsidRDefault="00CF3F69" w:rsidP="00CF3F69">
      <w:pPr>
        <w:tabs>
          <w:tab w:val="left" w:pos="851"/>
        </w:tabs>
        <w:ind w:left="851"/>
        <w:rPr>
          <w:sz w:val="24"/>
          <w:szCs w:val="24"/>
          <w:u w:val="single"/>
        </w:rPr>
      </w:pPr>
      <w:r w:rsidRPr="004E308C">
        <w:rPr>
          <w:sz w:val="24"/>
          <w:szCs w:val="24"/>
          <w:u w:val="single"/>
        </w:rPr>
        <w:t>Hjælpestof, som behandleren skal være opmærksom på</w:t>
      </w:r>
    </w:p>
    <w:p w:rsidR="00CF3F69" w:rsidRDefault="00CF3F69" w:rsidP="00CF3F69">
      <w:pPr>
        <w:tabs>
          <w:tab w:val="left" w:pos="851"/>
        </w:tabs>
        <w:ind w:left="851"/>
        <w:rPr>
          <w:sz w:val="24"/>
          <w:szCs w:val="24"/>
          <w:u w:val="single"/>
        </w:rPr>
      </w:pPr>
    </w:p>
    <w:p w:rsidR="00CF3F69" w:rsidRDefault="00CF3F69" w:rsidP="00CF3F69">
      <w:pPr>
        <w:tabs>
          <w:tab w:val="left" w:pos="851"/>
        </w:tabs>
        <w:ind w:left="851"/>
        <w:rPr>
          <w:sz w:val="24"/>
          <w:szCs w:val="24"/>
          <w:u w:val="single"/>
        </w:rPr>
      </w:pPr>
      <w:r>
        <w:rPr>
          <w:sz w:val="24"/>
          <w:szCs w:val="24"/>
          <w:u w:val="single"/>
        </w:rPr>
        <w:t>Capecitabin ”</w:t>
      </w:r>
      <w:r w:rsidR="007E4788" w:rsidRPr="007E4788">
        <w:rPr>
          <w:sz w:val="24"/>
          <w:szCs w:val="24"/>
          <w:u w:val="single"/>
        </w:rPr>
        <w:t>STADA</w:t>
      </w:r>
      <w:r>
        <w:rPr>
          <w:sz w:val="24"/>
          <w:szCs w:val="24"/>
          <w:u w:val="single"/>
        </w:rPr>
        <w:t>” 150 mg filmovertrukne tabletter.</w:t>
      </w:r>
    </w:p>
    <w:p w:rsidR="00CF3F69" w:rsidRDefault="00CF3F69" w:rsidP="00CF3F69">
      <w:pPr>
        <w:tabs>
          <w:tab w:val="left" w:pos="851"/>
        </w:tabs>
        <w:ind w:left="851"/>
        <w:rPr>
          <w:sz w:val="24"/>
          <w:szCs w:val="24"/>
        </w:rPr>
      </w:pPr>
      <w:r>
        <w:rPr>
          <w:sz w:val="24"/>
          <w:szCs w:val="24"/>
        </w:rPr>
        <w:t xml:space="preserve">Hver filmovertrukken tablet indeholder 7,64 mg vandfri laktose </w:t>
      </w:r>
    </w:p>
    <w:p w:rsidR="00CF3F69" w:rsidRDefault="00CF3F69" w:rsidP="00CF3F69">
      <w:pPr>
        <w:tabs>
          <w:tab w:val="left" w:pos="851"/>
        </w:tabs>
        <w:ind w:left="851"/>
        <w:rPr>
          <w:sz w:val="24"/>
          <w:szCs w:val="24"/>
        </w:rPr>
      </w:pPr>
    </w:p>
    <w:p w:rsidR="00CF3F69" w:rsidRDefault="00CF3F69" w:rsidP="00CF3F69">
      <w:pPr>
        <w:tabs>
          <w:tab w:val="left" w:pos="851"/>
        </w:tabs>
        <w:ind w:left="851"/>
        <w:rPr>
          <w:sz w:val="24"/>
          <w:szCs w:val="24"/>
          <w:u w:val="single"/>
        </w:rPr>
      </w:pPr>
      <w:r>
        <w:rPr>
          <w:sz w:val="24"/>
          <w:szCs w:val="24"/>
          <w:u w:val="single"/>
        </w:rPr>
        <w:t>Capecitabin ”</w:t>
      </w:r>
      <w:r w:rsidR="007E4788" w:rsidRPr="007E4788">
        <w:rPr>
          <w:sz w:val="24"/>
          <w:szCs w:val="24"/>
          <w:u w:val="single"/>
        </w:rPr>
        <w:t>STADA</w:t>
      </w:r>
      <w:r>
        <w:rPr>
          <w:sz w:val="24"/>
          <w:szCs w:val="24"/>
          <w:u w:val="single"/>
        </w:rPr>
        <w:t>” 500 mg filmovertrukne tabletter.</w:t>
      </w:r>
    </w:p>
    <w:p w:rsidR="00CF3F69" w:rsidRPr="004C14AC" w:rsidRDefault="00CF3F69" w:rsidP="00CF3F69">
      <w:pPr>
        <w:tabs>
          <w:tab w:val="left" w:pos="851"/>
        </w:tabs>
        <w:ind w:left="851"/>
        <w:rPr>
          <w:sz w:val="24"/>
          <w:szCs w:val="24"/>
        </w:rPr>
      </w:pPr>
      <w:r>
        <w:rPr>
          <w:sz w:val="24"/>
          <w:szCs w:val="24"/>
        </w:rPr>
        <w:t>Hver filmovertrukken tablet indeholder 25,47 mg vandfri laktose</w:t>
      </w:r>
      <w:r w:rsidRPr="00DC58BC">
        <w:rPr>
          <w:sz w:val="24"/>
          <w:szCs w:val="24"/>
        </w:rPr>
        <w:t xml:space="preserve"> </w:t>
      </w:r>
    </w:p>
    <w:p w:rsidR="00CF3F69" w:rsidRPr="004C14AC" w:rsidRDefault="00CF3F69" w:rsidP="00CF3F69">
      <w:pPr>
        <w:tabs>
          <w:tab w:val="left" w:pos="851"/>
        </w:tabs>
        <w:ind w:left="851"/>
        <w:rPr>
          <w:sz w:val="24"/>
          <w:szCs w:val="24"/>
        </w:rPr>
      </w:pPr>
    </w:p>
    <w:p w:rsidR="00CF3F69" w:rsidRPr="004C14AC" w:rsidRDefault="00CF3F69" w:rsidP="00CF3F69">
      <w:pPr>
        <w:tabs>
          <w:tab w:val="left" w:pos="851"/>
        </w:tabs>
        <w:ind w:left="851"/>
        <w:rPr>
          <w:sz w:val="24"/>
          <w:szCs w:val="24"/>
        </w:rPr>
      </w:pPr>
      <w:r w:rsidRPr="004C14AC">
        <w:rPr>
          <w:sz w:val="24"/>
          <w:szCs w:val="24"/>
        </w:rPr>
        <w:t>Alle hjælpestoffer er anført under pkt. 6.1.</w:t>
      </w:r>
    </w:p>
    <w:p w:rsidR="00CF3F69" w:rsidRPr="00EC0B9B" w:rsidRDefault="00CF3F69" w:rsidP="00CF3F69">
      <w:pPr>
        <w:tabs>
          <w:tab w:val="left" w:pos="851"/>
        </w:tabs>
        <w:rPr>
          <w:sz w:val="24"/>
          <w:szCs w:val="24"/>
        </w:rPr>
      </w:pPr>
    </w:p>
    <w:p w:rsidR="00CF3F69" w:rsidRPr="00EC0B9B" w:rsidRDefault="00CF3F69" w:rsidP="00CF3F69">
      <w:pPr>
        <w:numPr>
          <w:ilvl w:val="0"/>
          <w:numId w:val="1"/>
        </w:numPr>
        <w:rPr>
          <w:b/>
          <w:sz w:val="24"/>
          <w:szCs w:val="24"/>
        </w:rPr>
      </w:pPr>
      <w:r w:rsidRPr="00EC0B9B">
        <w:rPr>
          <w:b/>
          <w:sz w:val="24"/>
          <w:szCs w:val="24"/>
        </w:rPr>
        <w:t>LÆGEMIDDELFORM</w:t>
      </w:r>
    </w:p>
    <w:p w:rsidR="00CF3F69" w:rsidRPr="004C14AC" w:rsidRDefault="00CF3F69" w:rsidP="00CF3F69">
      <w:pPr>
        <w:tabs>
          <w:tab w:val="left" w:pos="851"/>
        </w:tabs>
        <w:ind w:left="851"/>
        <w:rPr>
          <w:sz w:val="24"/>
          <w:szCs w:val="24"/>
        </w:rPr>
      </w:pPr>
      <w:r w:rsidRPr="004C14AC">
        <w:rPr>
          <w:sz w:val="24"/>
          <w:szCs w:val="24"/>
        </w:rPr>
        <w:t>F</w:t>
      </w:r>
      <w:r>
        <w:rPr>
          <w:sz w:val="24"/>
          <w:szCs w:val="24"/>
        </w:rPr>
        <w:t>ilmovertrukne</w:t>
      </w:r>
      <w:r w:rsidRPr="004C14AC">
        <w:rPr>
          <w:sz w:val="24"/>
          <w:szCs w:val="24"/>
        </w:rPr>
        <w:t xml:space="preserve"> tablet</w:t>
      </w:r>
      <w:r>
        <w:rPr>
          <w:sz w:val="24"/>
          <w:szCs w:val="24"/>
        </w:rPr>
        <w:t>ter</w:t>
      </w:r>
    </w:p>
    <w:p w:rsidR="00CF3F69" w:rsidRPr="004C14AC" w:rsidRDefault="00CF3F69" w:rsidP="00CF3F69">
      <w:pPr>
        <w:tabs>
          <w:tab w:val="left" w:pos="851"/>
        </w:tabs>
        <w:ind w:left="851"/>
        <w:rPr>
          <w:sz w:val="24"/>
          <w:szCs w:val="24"/>
        </w:rPr>
      </w:pPr>
    </w:p>
    <w:p w:rsidR="00CF3F69" w:rsidRPr="00DA5E29" w:rsidRDefault="00CF3F69" w:rsidP="00CF3F69">
      <w:pPr>
        <w:tabs>
          <w:tab w:val="left" w:pos="851"/>
        </w:tabs>
        <w:ind w:left="851"/>
        <w:rPr>
          <w:sz w:val="24"/>
          <w:szCs w:val="24"/>
          <w:u w:val="single"/>
        </w:rPr>
      </w:pPr>
      <w:r w:rsidRPr="00DA5E29">
        <w:rPr>
          <w:sz w:val="24"/>
          <w:szCs w:val="24"/>
          <w:u w:val="single"/>
        </w:rPr>
        <w:t>1</w:t>
      </w:r>
      <w:r>
        <w:rPr>
          <w:sz w:val="24"/>
          <w:szCs w:val="24"/>
          <w:u w:val="single"/>
        </w:rPr>
        <w:t>50 mg</w:t>
      </w:r>
    </w:p>
    <w:p w:rsidR="00CF3F69" w:rsidRPr="004C14AC" w:rsidRDefault="00CF3F69" w:rsidP="00CF3F69">
      <w:pPr>
        <w:tabs>
          <w:tab w:val="left" w:pos="851"/>
        </w:tabs>
        <w:ind w:left="851"/>
        <w:rPr>
          <w:sz w:val="24"/>
          <w:szCs w:val="24"/>
        </w:rPr>
      </w:pPr>
      <w:r w:rsidRPr="004C14AC">
        <w:rPr>
          <w:sz w:val="24"/>
          <w:szCs w:val="24"/>
        </w:rPr>
        <w:t xml:space="preserve">Lys ferskenfarvet, aflang, bikonveks, filmovertrukket tablet med prægningen </w:t>
      </w:r>
      <w:r>
        <w:rPr>
          <w:sz w:val="24"/>
          <w:szCs w:val="24"/>
        </w:rPr>
        <w:t>”</w:t>
      </w:r>
      <w:r w:rsidRPr="004C14AC">
        <w:rPr>
          <w:sz w:val="24"/>
          <w:szCs w:val="24"/>
        </w:rPr>
        <w:t>150</w:t>
      </w:r>
      <w:r>
        <w:rPr>
          <w:sz w:val="24"/>
          <w:szCs w:val="24"/>
        </w:rPr>
        <w:t>”</w:t>
      </w:r>
      <w:r w:rsidRPr="004C14AC">
        <w:rPr>
          <w:sz w:val="24"/>
          <w:szCs w:val="24"/>
        </w:rPr>
        <w:t xml:space="preserve"> på den ene side.</w:t>
      </w:r>
    </w:p>
    <w:p w:rsidR="00CF3F69" w:rsidRPr="004C14AC" w:rsidRDefault="00CF3F69" w:rsidP="00CF3F69">
      <w:pPr>
        <w:tabs>
          <w:tab w:val="left" w:pos="851"/>
        </w:tabs>
        <w:ind w:left="851"/>
        <w:rPr>
          <w:sz w:val="24"/>
          <w:szCs w:val="24"/>
        </w:rPr>
      </w:pPr>
    </w:p>
    <w:p w:rsidR="00CF3F69" w:rsidRPr="00DA5E29" w:rsidRDefault="00CF3F69" w:rsidP="00CF3F69">
      <w:pPr>
        <w:tabs>
          <w:tab w:val="left" w:pos="851"/>
        </w:tabs>
        <w:ind w:left="851"/>
        <w:rPr>
          <w:sz w:val="24"/>
          <w:szCs w:val="24"/>
          <w:u w:val="single"/>
        </w:rPr>
      </w:pPr>
      <w:r>
        <w:rPr>
          <w:sz w:val="24"/>
          <w:szCs w:val="24"/>
          <w:u w:val="single"/>
        </w:rPr>
        <w:t>500 mg</w:t>
      </w:r>
    </w:p>
    <w:p w:rsidR="00CF3F69" w:rsidRPr="004C14AC" w:rsidRDefault="00CF3F69" w:rsidP="00CF3F69">
      <w:pPr>
        <w:tabs>
          <w:tab w:val="left" w:pos="851"/>
        </w:tabs>
        <w:ind w:left="851"/>
        <w:rPr>
          <w:sz w:val="24"/>
          <w:szCs w:val="24"/>
        </w:rPr>
      </w:pPr>
      <w:r w:rsidRPr="004C14AC">
        <w:rPr>
          <w:sz w:val="24"/>
          <w:szCs w:val="24"/>
        </w:rPr>
        <w:t xml:space="preserve">Ferskenfarvet, aflang, bikonveks, filmovertrukket tablet med prægningen </w:t>
      </w:r>
      <w:r>
        <w:rPr>
          <w:sz w:val="24"/>
          <w:szCs w:val="24"/>
        </w:rPr>
        <w:t>”</w:t>
      </w:r>
      <w:r w:rsidRPr="004C14AC">
        <w:rPr>
          <w:sz w:val="24"/>
          <w:szCs w:val="24"/>
        </w:rPr>
        <w:t>500</w:t>
      </w:r>
      <w:r>
        <w:rPr>
          <w:sz w:val="24"/>
          <w:szCs w:val="24"/>
        </w:rPr>
        <w:t>”</w:t>
      </w:r>
      <w:r w:rsidRPr="004C14AC">
        <w:rPr>
          <w:sz w:val="24"/>
          <w:szCs w:val="24"/>
        </w:rPr>
        <w:t xml:space="preserve"> på den ene side.</w:t>
      </w:r>
    </w:p>
    <w:p w:rsidR="00CF3F69" w:rsidRDefault="00CF3F69" w:rsidP="00CF3F69">
      <w:pPr>
        <w:tabs>
          <w:tab w:val="left" w:pos="851"/>
        </w:tabs>
        <w:rPr>
          <w:sz w:val="24"/>
          <w:szCs w:val="24"/>
        </w:rPr>
      </w:pPr>
    </w:p>
    <w:p w:rsidR="00CF3F69" w:rsidRPr="00EC0B9B" w:rsidRDefault="00CF3F69" w:rsidP="00CF3F69">
      <w:pPr>
        <w:tabs>
          <w:tab w:val="left" w:pos="851"/>
        </w:tabs>
        <w:rPr>
          <w:sz w:val="24"/>
          <w:szCs w:val="24"/>
        </w:rPr>
      </w:pPr>
    </w:p>
    <w:p w:rsidR="00CF3F69" w:rsidRPr="00EC0B9B" w:rsidRDefault="00CF3F69" w:rsidP="00CF3F69">
      <w:pPr>
        <w:numPr>
          <w:ilvl w:val="0"/>
          <w:numId w:val="1"/>
        </w:numPr>
        <w:rPr>
          <w:b/>
          <w:sz w:val="24"/>
          <w:szCs w:val="24"/>
        </w:rPr>
      </w:pPr>
      <w:r w:rsidRPr="00EC0B9B">
        <w:rPr>
          <w:b/>
          <w:sz w:val="24"/>
          <w:szCs w:val="24"/>
        </w:rPr>
        <w:lastRenderedPageBreak/>
        <w:t>KLINISKE OPLYSNINGER</w:t>
      </w:r>
    </w:p>
    <w:p w:rsidR="00CF3F69" w:rsidRPr="00EC0B9B" w:rsidRDefault="00CF3F69" w:rsidP="00CF3F69">
      <w:pPr>
        <w:tabs>
          <w:tab w:val="left" w:pos="851"/>
        </w:tabs>
        <w:rPr>
          <w:b/>
          <w:sz w:val="24"/>
          <w:szCs w:val="24"/>
        </w:rPr>
      </w:pPr>
    </w:p>
    <w:p w:rsidR="00CF3F69" w:rsidRPr="00EC0B9B" w:rsidRDefault="00CF3F69" w:rsidP="00CF3F69">
      <w:pPr>
        <w:numPr>
          <w:ilvl w:val="1"/>
          <w:numId w:val="1"/>
        </w:numPr>
        <w:rPr>
          <w:b/>
          <w:sz w:val="24"/>
          <w:szCs w:val="24"/>
          <w:u w:val="single"/>
        </w:rPr>
      </w:pPr>
      <w:r w:rsidRPr="00EC0B9B">
        <w:rPr>
          <w:b/>
          <w:sz w:val="24"/>
          <w:szCs w:val="24"/>
        </w:rPr>
        <w:t>Terapeutiske indikationer</w:t>
      </w:r>
    </w:p>
    <w:p w:rsidR="00CF3F69" w:rsidRDefault="00CF3F69" w:rsidP="00CF3F69">
      <w:pPr>
        <w:ind w:left="851"/>
        <w:rPr>
          <w:sz w:val="24"/>
          <w:szCs w:val="24"/>
        </w:rPr>
      </w:pPr>
      <w:r>
        <w:rPr>
          <w:sz w:val="24"/>
          <w:szCs w:val="24"/>
        </w:rPr>
        <w:t>Capecitabin er indiceret som behandling af:</w:t>
      </w:r>
    </w:p>
    <w:p w:rsidR="00CF3F69" w:rsidRDefault="00CF3F69" w:rsidP="00CF3F69">
      <w:pPr>
        <w:ind w:left="851"/>
        <w:rPr>
          <w:sz w:val="24"/>
          <w:szCs w:val="24"/>
        </w:rPr>
      </w:pPr>
    </w:p>
    <w:p w:rsidR="00CF3F69" w:rsidRDefault="00CF3F69" w:rsidP="00CF3F69">
      <w:pPr>
        <w:pStyle w:val="Listeafsnit"/>
        <w:numPr>
          <w:ilvl w:val="0"/>
          <w:numId w:val="10"/>
        </w:numPr>
        <w:rPr>
          <w:sz w:val="24"/>
          <w:szCs w:val="24"/>
        </w:rPr>
      </w:pPr>
      <w:r>
        <w:rPr>
          <w:sz w:val="24"/>
          <w:szCs w:val="24"/>
        </w:rPr>
        <w:t>som adjuverende behandling af patienter, som er opereret for stadium III (Dukes stadium C) kolonkræft (se pkt.5.1).</w:t>
      </w:r>
    </w:p>
    <w:p w:rsidR="00CF3F69" w:rsidRDefault="00CF3F69" w:rsidP="00CF3F69">
      <w:pPr>
        <w:ind w:left="851"/>
        <w:rPr>
          <w:sz w:val="24"/>
          <w:szCs w:val="24"/>
        </w:rPr>
      </w:pPr>
    </w:p>
    <w:p w:rsidR="00CF3F69" w:rsidRDefault="00CF3F69" w:rsidP="00CF3F69">
      <w:pPr>
        <w:pStyle w:val="Listeafsnit"/>
        <w:numPr>
          <w:ilvl w:val="0"/>
          <w:numId w:val="10"/>
        </w:numPr>
        <w:rPr>
          <w:sz w:val="24"/>
          <w:szCs w:val="24"/>
        </w:rPr>
      </w:pPr>
      <w:r>
        <w:rPr>
          <w:sz w:val="24"/>
          <w:szCs w:val="24"/>
        </w:rPr>
        <w:t>metastatisk kolorektalkræft (se pkt.5.1).</w:t>
      </w:r>
    </w:p>
    <w:p w:rsidR="00CF3F69" w:rsidRDefault="00CF3F69" w:rsidP="00CF3F69">
      <w:pPr>
        <w:ind w:left="851"/>
        <w:rPr>
          <w:sz w:val="24"/>
          <w:szCs w:val="24"/>
        </w:rPr>
      </w:pPr>
    </w:p>
    <w:p w:rsidR="00CF3F69" w:rsidRDefault="00CF3F69" w:rsidP="00CF3F69">
      <w:pPr>
        <w:pStyle w:val="Listeafsnit"/>
        <w:numPr>
          <w:ilvl w:val="0"/>
          <w:numId w:val="10"/>
        </w:numPr>
        <w:rPr>
          <w:sz w:val="24"/>
          <w:szCs w:val="24"/>
        </w:rPr>
      </w:pPr>
      <w:r>
        <w:rPr>
          <w:sz w:val="24"/>
          <w:szCs w:val="24"/>
        </w:rPr>
        <w:t>1. linjebehandling af fremskreden ventrikelkræft i kombination med et platinbaseret regime (se pkt.5.1).</w:t>
      </w:r>
    </w:p>
    <w:p w:rsidR="00CF3F69" w:rsidRDefault="00CF3F69" w:rsidP="00CF3F69">
      <w:pPr>
        <w:ind w:left="851"/>
        <w:rPr>
          <w:sz w:val="24"/>
          <w:szCs w:val="24"/>
        </w:rPr>
      </w:pPr>
    </w:p>
    <w:p w:rsidR="00CF3F69" w:rsidRDefault="00CF3F69" w:rsidP="00CF3F69">
      <w:pPr>
        <w:pStyle w:val="Listeafsnit"/>
        <w:numPr>
          <w:ilvl w:val="0"/>
          <w:numId w:val="10"/>
        </w:numPr>
        <w:rPr>
          <w:sz w:val="24"/>
          <w:szCs w:val="24"/>
        </w:rPr>
      </w:pPr>
      <w:r w:rsidRPr="00D751D9">
        <w:rPr>
          <w:sz w:val="24"/>
          <w:szCs w:val="24"/>
        </w:rPr>
        <w:t xml:space="preserve">i kombination med docetaxel (se pkt. 5.1) til behandling af patienter med lokal fremskreden eller metastatisk brystkræft efter svigt af cytostoksisk kemoterapi. Tidligere behandling skal have omfattet et anthracyklin. </w:t>
      </w:r>
    </w:p>
    <w:p w:rsidR="00CF3F69" w:rsidRPr="00D751D9" w:rsidRDefault="00CF3F69" w:rsidP="00CF3F69">
      <w:pPr>
        <w:pStyle w:val="Listeafsnit"/>
        <w:ind w:left="1211"/>
        <w:rPr>
          <w:sz w:val="24"/>
          <w:szCs w:val="24"/>
        </w:rPr>
      </w:pPr>
    </w:p>
    <w:p w:rsidR="00CF3F69" w:rsidRPr="00D751D9" w:rsidRDefault="00CF3F69" w:rsidP="00CF3F69">
      <w:pPr>
        <w:pStyle w:val="Listeafsnit"/>
        <w:numPr>
          <w:ilvl w:val="0"/>
          <w:numId w:val="10"/>
        </w:numPr>
        <w:rPr>
          <w:sz w:val="24"/>
          <w:szCs w:val="24"/>
        </w:rPr>
      </w:pPr>
      <w:r w:rsidRPr="00D751D9">
        <w:rPr>
          <w:sz w:val="24"/>
          <w:szCs w:val="24"/>
        </w:rPr>
        <w:t>som monoterapi til behandling af patienter med lokal fremskreden eller metastatisk brystkræft efter svigt af taxaner og et kemoterapiregime indeholdende et anthracyklin eller hos hvem anthracyklinbehandling ikke er indiceret.</w:t>
      </w:r>
    </w:p>
    <w:p w:rsidR="00CF3F69" w:rsidRPr="00EC0B9B" w:rsidRDefault="00CF3F69" w:rsidP="00CF3F69">
      <w:pPr>
        <w:pStyle w:val="Listeafsnit"/>
        <w:ind w:left="1211"/>
        <w:rPr>
          <w:sz w:val="24"/>
          <w:szCs w:val="24"/>
        </w:rPr>
      </w:pPr>
    </w:p>
    <w:p w:rsidR="00CF3F69" w:rsidRPr="00EC0B9B" w:rsidRDefault="00CF3F69" w:rsidP="00CF3F69">
      <w:pPr>
        <w:numPr>
          <w:ilvl w:val="1"/>
          <w:numId w:val="1"/>
        </w:numPr>
        <w:rPr>
          <w:b/>
          <w:sz w:val="24"/>
          <w:szCs w:val="24"/>
        </w:rPr>
      </w:pPr>
      <w:r w:rsidRPr="00EC0B9B">
        <w:rPr>
          <w:b/>
          <w:sz w:val="24"/>
          <w:szCs w:val="24"/>
        </w:rPr>
        <w:t xml:space="preserve">Dosering og </w:t>
      </w:r>
      <w:r w:rsidR="00D3057E">
        <w:rPr>
          <w:b/>
          <w:sz w:val="24"/>
          <w:szCs w:val="24"/>
        </w:rPr>
        <w:t>administration</w:t>
      </w:r>
    </w:p>
    <w:p w:rsidR="00CF3F69" w:rsidRDefault="00CF3F69" w:rsidP="00CF3F69">
      <w:pPr>
        <w:ind w:left="851"/>
        <w:rPr>
          <w:sz w:val="24"/>
          <w:szCs w:val="24"/>
        </w:rPr>
      </w:pPr>
      <w:r>
        <w:rPr>
          <w:sz w:val="24"/>
          <w:szCs w:val="24"/>
        </w:rPr>
        <w:t>Capecitabin må kun ordineres af en kvalificeret læge med erfaring i brug af antineoplastiske lægemidler. Omhyggelig monitorering anbefales gennem den første cyklus af behandlingen for alle patienter.</w:t>
      </w:r>
    </w:p>
    <w:p w:rsidR="00CF3F69" w:rsidRDefault="00CF3F69" w:rsidP="00CF3F69">
      <w:pPr>
        <w:ind w:left="851"/>
        <w:rPr>
          <w:sz w:val="24"/>
          <w:szCs w:val="24"/>
        </w:rPr>
      </w:pPr>
    </w:p>
    <w:p w:rsidR="00CF3F69" w:rsidRDefault="00CF3F69" w:rsidP="00CF3F69">
      <w:pPr>
        <w:ind w:left="851"/>
        <w:rPr>
          <w:sz w:val="24"/>
          <w:szCs w:val="24"/>
        </w:rPr>
      </w:pPr>
      <w:r>
        <w:rPr>
          <w:sz w:val="24"/>
          <w:szCs w:val="24"/>
        </w:rPr>
        <w:t>Behandlingen skal seponeres, hvis sygdommen progredierer eller der ses intolerabel toksitcitet. Standard og reducerede initialdosisberegninger af capecitabin på 1250 mg/m</w:t>
      </w:r>
      <w:r>
        <w:rPr>
          <w:sz w:val="24"/>
          <w:szCs w:val="24"/>
          <w:vertAlign w:val="superscript"/>
        </w:rPr>
        <w:t>2</w:t>
      </w:r>
      <w:r>
        <w:rPr>
          <w:sz w:val="24"/>
          <w:szCs w:val="24"/>
        </w:rPr>
        <w:t xml:space="preserve"> og 1000 mg/m</w:t>
      </w:r>
      <w:r>
        <w:rPr>
          <w:sz w:val="24"/>
          <w:szCs w:val="24"/>
          <w:vertAlign w:val="superscript"/>
        </w:rPr>
        <w:t>2</w:t>
      </w:r>
      <w:r>
        <w:rPr>
          <w:sz w:val="24"/>
          <w:szCs w:val="24"/>
        </w:rPr>
        <w:t xml:space="preserve"> ud fra legemsoverfladeareal er anført i henholdsvis tabel 1 og 2. </w:t>
      </w:r>
    </w:p>
    <w:p w:rsidR="00CF3F69" w:rsidRDefault="00CF3F69" w:rsidP="00CF3F69">
      <w:pPr>
        <w:ind w:left="851"/>
        <w:rPr>
          <w:sz w:val="24"/>
          <w:szCs w:val="24"/>
        </w:rPr>
      </w:pPr>
    </w:p>
    <w:p w:rsidR="00CF3F69" w:rsidRPr="00C365AE" w:rsidRDefault="00CF3F69" w:rsidP="00CF3F69">
      <w:pPr>
        <w:ind w:left="851"/>
        <w:rPr>
          <w:b/>
          <w:sz w:val="24"/>
          <w:szCs w:val="24"/>
          <w:u w:val="single"/>
        </w:rPr>
      </w:pPr>
      <w:r w:rsidRPr="00C365AE">
        <w:rPr>
          <w:b/>
          <w:sz w:val="24"/>
          <w:szCs w:val="24"/>
          <w:u w:val="single"/>
        </w:rPr>
        <w:t>Dosering</w:t>
      </w:r>
    </w:p>
    <w:p w:rsidR="00CF3F69" w:rsidRPr="00C365AE" w:rsidRDefault="00CF3F69" w:rsidP="00CF3F69">
      <w:pPr>
        <w:ind w:left="851"/>
        <w:rPr>
          <w:b/>
          <w:sz w:val="24"/>
          <w:szCs w:val="24"/>
        </w:rPr>
      </w:pPr>
    </w:p>
    <w:p w:rsidR="00CF3F69" w:rsidRPr="00A77D66" w:rsidRDefault="00CF3F69" w:rsidP="00CF3F69">
      <w:pPr>
        <w:ind w:left="851"/>
        <w:rPr>
          <w:b/>
          <w:sz w:val="24"/>
          <w:szCs w:val="24"/>
        </w:rPr>
      </w:pPr>
      <w:r w:rsidRPr="00A77D66">
        <w:rPr>
          <w:b/>
          <w:sz w:val="24"/>
          <w:szCs w:val="24"/>
        </w:rPr>
        <w:t>Anbefalet dosering (se pkt. 5.1)</w:t>
      </w:r>
      <w:r>
        <w:rPr>
          <w:b/>
          <w:sz w:val="24"/>
          <w:szCs w:val="24"/>
        </w:rPr>
        <w:t>.</w:t>
      </w:r>
    </w:p>
    <w:p w:rsidR="00CF3F69" w:rsidRDefault="00CF3F69" w:rsidP="00CF3F69">
      <w:pPr>
        <w:ind w:left="851"/>
        <w:rPr>
          <w:sz w:val="24"/>
          <w:szCs w:val="24"/>
        </w:rPr>
      </w:pPr>
    </w:p>
    <w:p w:rsidR="00CF3F69" w:rsidRDefault="00CF3F69" w:rsidP="00CF3F69">
      <w:pPr>
        <w:ind w:left="851"/>
        <w:rPr>
          <w:sz w:val="24"/>
          <w:szCs w:val="24"/>
          <w:u w:val="single"/>
        </w:rPr>
      </w:pPr>
      <w:r>
        <w:rPr>
          <w:sz w:val="24"/>
          <w:szCs w:val="24"/>
          <w:u w:val="single"/>
        </w:rPr>
        <w:t>Monoterapi</w:t>
      </w:r>
    </w:p>
    <w:p w:rsidR="00CF3F69" w:rsidRDefault="00CF3F69" w:rsidP="00CF3F69">
      <w:pPr>
        <w:ind w:left="851"/>
        <w:rPr>
          <w:sz w:val="24"/>
          <w:szCs w:val="24"/>
        </w:rPr>
      </w:pPr>
    </w:p>
    <w:p w:rsidR="00CF3F69" w:rsidRPr="00A77D66" w:rsidRDefault="00CF3F69" w:rsidP="00CF3F69">
      <w:pPr>
        <w:ind w:left="851"/>
        <w:rPr>
          <w:i/>
          <w:sz w:val="24"/>
          <w:szCs w:val="24"/>
        </w:rPr>
      </w:pPr>
      <w:r w:rsidRPr="00A77D66">
        <w:rPr>
          <w:i/>
          <w:sz w:val="24"/>
          <w:szCs w:val="24"/>
        </w:rPr>
        <w:t>Kolonkræft</w:t>
      </w:r>
      <w:r>
        <w:rPr>
          <w:i/>
          <w:sz w:val="24"/>
          <w:szCs w:val="24"/>
        </w:rPr>
        <w:t>, kolorektalkræft og brystkræft</w:t>
      </w:r>
    </w:p>
    <w:p w:rsidR="00CF3F69" w:rsidRDefault="00CF3F69" w:rsidP="00CF3F69">
      <w:pPr>
        <w:ind w:left="851"/>
        <w:rPr>
          <w:sz w:val="24"/>
          <w:szCs w:val="24"/>
        </w:rPr>
      </w:pPr>
      <w:r>
        <w:rPr>
          <w:sz w:val="24"/>
          <w:szCs w:val="24"/>
        </w:rPr>
        <w:t>Den anbefalede initialdosis capecitabin ved monoterapi, til adjuverende behandling af kolonkræft, til behandling af metastatisk kolorektalkræft eller af lokalt fremskreden eller metastatisk brystkræft er 1250 mg/m</w:t>
      </w:r>
      <w:r w:rsidRPr="00C71E2D">
        <w:rPr>
          <w:sz w:val="24"/>
          <w:szCs w:val="24"/>
          <w:vertAlign w:val="superscript"/>
        </w:rPr>
        <w:t>2</w:t>
      </w:r>
      <w:r w:rsidRPr="004B6F00">
        <w:t xml:space="preserve"> </w:t>
      </w:r>
      <w:r>
        <w:rPr>
          <w:sz w:val="24"/>
          <w:szCs w:val="24"/>
        </w:rPr>
        <w:t>administreret to gange daglig (morgen og aften, svarende til en daglig dosis på 2500 mg/m</w:t>
      </w:r>
      <w:r w:rsidRPr="00C71E2D">
        <w:rPr>
          <w:sz w:val="24"/>
          <w:szCs w:val="24"/>
          <w:vertAlign w:val="superscript"/>
        </w:rPr>
        <w:t>2</w:t>
      </w:r>
      <w:r>
        <w:rPr>
          <w:sz w:val="24"/>
          <w:szCs w:val="24"/>
        </w:rPr>
        <w:t xml:space="preserve">) i 14 dage, efterfulgt af 7 dages pause. Den anbefalede totale behandlingsvarighed for adjuverende behandling af patienter med stadium III kolonkræft er 6 måneder. </w:t>
      </w:r>
    </w:p>
    <w:p w:rsidR="00CF3F69" w:rsidRDefault="00CF3F69" w:rsidP="00CF3F69">
      <w:pPr>
        <w:ind w:left="851"/>
        <w:rPr>
          <w:sz w:val="24"/>
          <w:szCs w:val="24"/>
        </w:rPr>
      </w:pPr>
    </w:p>
    <w:p w:rsidR="00CF3F69" w:rsidRDefault="00CF3F69" w:rsidP="00CF3F69">
      <w:pPr>
        <w:ind w:left="851"/>
        <w:rPr>
          <w:sz w:val="24"/>
          <w:szCs w:val="24"/>
        </w:rPr>
      </w:pPr>
      <w:r>
        <w:rPr>
          <w:sz w:val="24"/>
          <w:szCs w:val="24"/>
          <w:u w:val="single"/>
        </w:rPr>
        <w:t>Kombinationsbehandling</w:t>
      </w:r>
    </w:p>
    <w:p w:rsidR="00CF3F69" w:rsidRDefault="00CF3F69" w:rsidP="00CF3F69">
      <w:pPr>
        <w:ind w:left="851"/>
        <w:rPr>
          <w:i/>
          <w:sz w:val="24"/>
          <w:szCs w:val="24"/>
        </w:rPr>
      </w:pPr>
    </w:p>
    <w:p w:rsidR="00CF3F69" w:rsidRPr="00A77D66" w:rsidRDefault="00CF3F69" w:rsidP="00CF3F69">
      <w:pPr>
        <w:ind w:left="851"/>
        <w:rPr>
          <w:i/>
          <w:sz w:val="24"/>
          <w:szCs w:val="24"/>
        </w:rPr>
      </w:pPr>
      <w:r w:rsidRPr="00A77D66">
        <w:rPr>
          <w:i/>
          <w:sz w:val="24"/>
          <w:szCs w:val="24"/>
        </w:rPr>
        <w:t>Kolonkræft, ko</w:t>
      </w:r>
      <w:r>
        <w:rPr>
          <w:i/>
          <w:sz w:val="24"/>
          <w:szCs w:val="24"/>
        </w:rPr>
        <w:t>lorektalkræft og ventrikelkræft</w:t>
      </w:r>
    </w:p>
    <w:p w:rsidR="00CF3F69" w:rsidRDefault="00CF3F69" w:rsidP="00CF3F69">
      <w:pPr>
        <w:ind w:left="851" w:right="-1"/>
        <w:rPr>
          <w:sz w:val="24"/>
          <w:szCs w:val="24"/>
        </w:rPr>
      </w:pPr>
      <w:r>
        <w:rPr>
          <w:sz w:val="24"/>
          <w:szCs w:val="24"/>
        </w:rPr>
        <w:t>Ved kombinationsbehandling skal den anbefalede initialdosis af capecitabin reduceres til 800-1000 mg/m</w:t>
      </w:r>
      <w:r w:rsidRPr="0040733F">
        <w:rPr>
          <w:sz w:val="24"/>
          <w:szCs w:val="24"/>
          <w:vertAlign w:val="superscript"/>
        </w:rPr>
        <w:t>2</w:t>
      </w:r>
      <w:r>
        <w:rPr>
          <w:sz w:val="24"/>
          <w:szCs w:val="24"/>
        </w:rPr>
        <w:t>, når det administreres to gange daglig i 14 dage efterfulgt af en pause på 7 dage eller til 625 mg/m</w:t>
      </w:r>
      <w:r w:rsidRPr="0040733F">
        <w:rPr>
          <w:sz w:val="24"/>
          <w:szCs w:val="24"/>
          <w:vertAlign w:val="superscript"/>
        </w:rPr>
        <w:t>2</w:t>
      </w:r>
      <w:r w:rsidRPr="002A1F62">
        <w:rPr>
          <w:position w:val="8"/>
          <w:sz w:val="24"/>
          <w:szCs w:val="24"/>
        </w:rPr>
        <w:t xml:space="preserve"> </w:t>
      </w:r>
      <w:r>
        <w:rPr>
          <w:sz w:val="24"/>
          <w:szCs w:val="24"/>
        </w:rPr>
        <w:t>to gange daglig, når det gives kontinuerligt (se pkt.5.1). For kombination med irinotecan er den anbefalede begyndelsesdosis 800 mg/m</w:t>
      </w:r>
      <w:r w:rsidRPr="0091137E">
        <w:rPr>
          <w:sz w:val="24"/>
          <w:szCs w:val="24"/>
          <w:vertAlign w:val="superscript"/>
        </w:rPr>
        <w:t>2</w:t>
      </w:r>
      <w:r>
        <w:rPr>
          <w:sz w:val="24"/>
          <w:szCs w:val="24"/>
        </w:rPr>
        <w:t xml:space="preserve">, ved </w:t>
      </w:r>
      <w:r>
        <w:rPr>
          <w:sz w:val="24"/>
          <w:szCs w:val="24"/>
        </w:rPr>
        <w:lastRenderedPageBreak/>
        <w:t>administration 2 gange daglig i 14 dage efterfulgt af en 7-dages hvileperiode kombineret med irinotecan 200 mg/m</w:t>
      </w:r>
      <w:r w:rsidRPr="0091137E">
        <w:rPr>
          <w:sz w:val="24"/>
          <w:szCs w:val="24"/>
          <w:vertAlign w:val="superscript"/>
        </w:rPr>
        <w:t>2</w:t>
      </w:r>
      <w:r>
        <w:rPr>
          <w:sz w:val="24"/>
          <w:szCs w:val="24"/>
        </w:rPr>
        <w:t xml:space="preserve"> på dag 1. Inklusionen af bevacizumab i et kombinationsregime har ingen effekt på initialdosis af capecitabin. Præmedicinering til opretholdelse af adækvat hydrering og antiemetisk behandling påbegyndes, i henhold til produktresuméet for cisplatin, før administration af cisplatin, hos de patienter, som får kombinationsbehandling med capecitabin og cisplatin. Præmedicinering med antiemetika i overensstemmelse med produktresumeet for oxaliplatin anbefales til patienter, som får kombinationen af capecitabin og oxaliplatin. Adjuverende behandling af patienter med stadium III kolonkræft anbefales i en periode på 6 måneder. </w:t>
      </w:r>
    </w:p>
    <w:p w:rsidR="00CF3F69" w:rsidRDefault="00CF3F69" w:rsidP="00CF3F69">
      <w:pPr>
        <w:ind w:left="851" w:right="-1"/>
        <w:rPr>
          <w:sz w:val="24"/>
          <w:szCs w:val="24"/>
        </w:rPr>
      </w:pPr>
    </w:p>
    <w:p w:rsidR="00CF3F69" w:rsidRPr="0040733F" w:rsidRDefault="00CF3F69" w:rsidP="00CF3F69">
      <w:pPr>
        <w:ind w:left="851"/>
        <w:rPr>
          <w:i/>
          <w:sz w:val="24"/>
          <w:szCs w:val="24"/>
        </w:rPr>
      </w:pPr>
      <w:r>
        <w:rPr>
          <w:i/>
          <w:sz w:val="24"/>
          <w:szCs w:val="24"/>
        </w:rPr>
        <w:t>Brystkræft</w:t>
      </w:r>
    </w:p>
    <w:p w:rsidR="00CF3F69" w:rsidRDefault="00CF3F69" w:rsidP="00CF3F69">
      <w:pPr>
        <w:ind w:left="851"/>
        <w:rPr>
          <w:sz w:val="24"/>
          <w:szCs w:val="24"/>
        </w:rPr>
      </w:pPr>
      <w:r>
        <w:rPr>
          <w:sz w:val="24"/>
          <w:szCs w:val="24"/>
        </w:rPr>
        <w:t>I kombination med docetaxel er den anbefalede initialdosis af capecitabin til behandling af metastatisk brystkræft 1250 mg/m</w:t>
      </w:r>
      <w:r w:rsidRPr="00B505E5">
        <w:rPr>
          <w:sz w:val="24"/>
          <w:szCs w:val="24"/>
          <w:vertAlign w:val="superscript"/>
        </w:rPr>
        <w:t>2</w:t>
      </w:r>
      <w:r w:rsidRPr="00C91CC5">
        <w:rPr>
          <w:position w:val="8"/>
          <w:sz w:val="24"/>
          <w:szCs w:val="24"/>
        </w:rPr>
        <w:t xml:space="preserve"> </w:t>
      </w:r>
      <w:r>
        <w:rPr>
          <w:sz w:val="24"/>
          <w:szCs w:val="24"/>
        </w:rPr>
        <w:t>to gange daglig i 14 dage efterfulgt af 7 dages pause, kombineret med docetaxel 75 mg/m</w:t>
      </w:r>
      <w:r w:rsidRPr="00B505E5">
        <w:rPr>
          <w:sz w:val="24"/>
          <w:szCs w:val="24"/>
          <w:vertAlign w:val="superscript"/>
        </w:rPr>
        <w:t>2</w:t>
      </w:r>
      <w:r w:rsidRPr="00C91CC5">
        <w:rPr>
          <w:position w:val="8"/>
          <w:sz w:val="24"/>
          <w:szCs w:val="24"/>
        </w:rPr>
        <w:t xml:space="preserve"> </w:t>
      </w:r>
      <w:r>
        <w:rPr>
          <w:sz w:val="24"/>
          <w:szCs w:val="24"/>
        </w:rPr>
        <w:t xml:space="preserve">givet som 1 times intravenøs infusion hver 3. uge. Præmedicinering med et oralt kortikosteroid, som f.eks. dexamethason, af patienter, som får en kombination af capecitabin og docetaxel, bør ifølge produktresuméet for docetaxel påbegyndes, før der gives docetaxel. </w:t>
      </w:r>
    </w:p>
    <w:p w:rsidR="00CF3F69" w:rsidRDefault="00CF3F69" w:rsidP="00CF3F69">
      <w:pPr>
        <w:ind w:left="851"/>
        <w:rPr>
          <w:sz w:val="24"/>
          <w:szCs w:val="24"/>
        </w:rPr>
      </w:pPr>
    </w:p>
    <w:p w:rsidR="00CF3F69" w:rsidRDefault="00CF3F69" w:rsidP="00CF3F69">
      <w:pPr>
        <w:ind w:left="851"/>
        <w:rPr>
          <w:sz w:val="24"/>
          <w:szCs w:val="24"/>
          <w:u w:val="single"/>
        </w:rPr>
      </w:pPr>
      <w:r>
        <w:rPr>
          <w:sz w:val="24"/>
          <w:szCs w:val="24"/>
          <w:u w:val="single"/>
        </w:rPr>
        <w:t xml:space="preserve">Capecitabin dosis-beregninger </w:t>
      </w:r>
    </w:p>
    <w:p w:rsidR="00CF3F69" w:rsidRDefault="00CF3F69" w:rsidP="00CF3F69">
      <w:pPr>
        <w:ind w:left="851"/>
        <w:rPr>
          <w:sz w:val="24"/>
          <w:szCs w:val="24"/>
        </w:rPr>
      </w:pPr>
    </w:p>
    <w:p w:rsidR="00CF3F69" w:rsidRDefault="00CF3F69" w:rsidP="00CF3F69">
      <w:pPr>
        <w:ind w:left="851"/>
        <w:rPr>
          <w:sz w:val="24"/>
          <w:szCs w:val="24"/>
          <w:vertAlign w:val="superscript"/>
        </w:rPr>
      </w:pPr>
      <w:r>
        <w:rPr>
          <w:sz w:val="24"/>
          <w:szCs w:val="24"/>
        </w:rPr>
        <w:t>Tabel 1: Standard og reducerede dosisberegninger ud fra legemsoverfladeareal for en initial dosis capecitabin på 1250 mg/m</w:t>
      </w:r>
      <w:r>
        <w:rPr>
          <w:sz w:val="24"/>
          <w:szCs w:val="24"/>
          <w:vertAlign w:val="superscript"/>
        </w:rPr>
        <w:t xml:space="preserve">2 </w:t>
      </w:r>
    </w:p>
    <w:p w:rsidR="00CF3F69" w:rsidRDefault="00CF3F69" w:rsidP="00CF3F69">
      <w:pPr>
        <w:ind w:left="851"/>
        <w:rPr>
          <w:sz w:val="24"/>
          <w:szCs w:val="24"/>
          <w:vertAlign w:val="superscript"/>
        </w:rPr>
      </w:pPr>
    </w:p>
    <w:tbl>
      <w:tblPr>
        <w:tblW w:w="0" w:type="auto"/>
        <w:tblInd w:w="250" w:type="dxa"/>
        <w:tblLayout w:type="fixed"/>
        <w:tblLook w:val="04A0" w:firstRow="1" w:lastRow="0" w:firstColumn="1" w:lastColumn="0" w:noHBand="0" w:noVBand="1"/>
      </w:tblPr>
      <w:tblGrid>
        <w:gridCol w:w="1701"/>
        <w:gridCol w:w="1418"/>
        <w:gridCol w:w="1559"/>
        <w:gridCol w:w="1843"/>
        <w:gridCol w:w="1701"/>
        <w:gridCol w:w="1716"/>
      </w:tblGrid>
      <w:tr w:rsidR="00CF3F69" w:rsidTr="007E4788">
        <w:trPr>
          <w:trHeight w:val="369"/>
        </w:trPr>
        <w:tc>
          <w:tcPr>
            <w:tcW w:w="9938" w:type="dxa"/>
            <w:gridSpan w:val="6"/>
            <w:tcBorders>
              <w:top w:val="single" w:sz="8" w:space="0" w:color="000000"/>
              <w:left w:val="single" w:sz="8" w:space="0" w:color="000000"/>
              <w:bottom w:val="nil"/>
              <w:right w:val="single" w:sz="8" w:space="0" w:color="000000"/>
            </w:tcBorders>
            <w:hideMark/>
          </w:tcPr>
          <w:p w:rsidR="00CF3F69" w:rsidRDefault="00CF3F69" w:rsidP="007E4788">
            <w:pPr>
              <w:jc w:val="center"/>
              <w:rPr>
                <w:sz w:val="24"/>
                <w:szCs w:val="24"/>
              </w:rPr>
            </w:pPr>
            <w:r>
              <w:rPr>
                <w:sz w:val="24"/>
                <w:szCs w:val="24"/>
              </w:rPr>
              <w:t>Dosisniveau på 1250 mg/m</w:t>
            </w:r>
            <w:r>
              <w:rPr>
                <w:sz w:val="24"/>
                <w:szCs w:val="24"/>
                <w:vertAlign w:val="superscript"/>
              </w:rPr>
              <w:t>2</w:t>
            </w:r>
            <w:r>
              <w:rPr>
                <w:sz w:val="24"/>
                <w:szCs w:val="24"/>
              </w:rPr>
              <w:t xml:space="preserve"> (to gange daglig)</w:t>
            </w:r>
          </w:p>
        </w:tc>
      </w:tr>
      <w:tr w:rsidR="00CF3F69" w:rsidTr="007E4788">
        <w:trPr>
          <w:trHeight w:val="1259"/>
        </w:trPr>
        <w:tc>
          <w:tcPr>
            <w:tcW w:w="1701" w:type="dxa"/>
            <w:tcBorders>
              <w:top w:val="single" w:sz="8" w:space="0" w:color="000000"/>
              <w:left w:val="single" w:sz="8" w:space="0" w:color="000000"/>
              <w:bottom w:val="nil"/>
              <w:right w:val="single" w:sz="8" w:space="0" w:color="000000"/>
            </w:tcBorders>
          </w:tcPr>
          <w:p w:rsidR="00CF3F69" w:rsidRDefault="00CF3F69" w:rsidP="007E4788">
            <w:pPr>
              <w:rPr>
                <w:sz w:val="24"/>
                <w:szCs w:val="24"/>
                <w:vertAlign w:val="superscript"/>
              </w:rPr>
            </w:pPr>
          </w:p>
        </w:tc>
        <w:tc>
          <w:tcPr>
            <w:tcW w:w="1418" w:type="dxa"/>
            <w:tcBorders>
              <w:top w:val="single" w:sz="8" w:space="0" w:color="000000"/>
              <w:left w:val="single" w:sz="8" w:space="0" w:color="000000"/>
              <w:bottom w:val="nil"/>
              <w:right w:val="single" w:sz="8" w:space="0" w:color="000000"/>
            </w:tcBorders>
          </w:tcPr>
          <w:p w:rsidR="00CF3F69" w:rsidRDefault="00CF3F69" w:rsidP="007E4788">
            <w:pPr>
              <w:rPr>
                <w:sz w:val="24"/>
                <w:szCs w:val="24"/>
              </w:rPr>
            </w:pPr>
            <w:r>
              <w:rPr>
                <w:sz w:val="24"/>
                <w:szCs w:val="24"/>
              </w:rPr>
              <w:t>Fuld dosis</w:t>
            </w:r>
          </w:p>
          <w:p w:rsidR="00CF3F69" w:rsidRDefault="00CF3F69" w:rsidP="007E4788">
            <w:pPr>
              <w:rPr>
                <w:sz w:val="24"/>
                <w:szCs w:val="24"/>
                <w:vertAlign w:val="superscript"/>
              </w:rPr>
            </w:pPr>
            <w:r>
              <w:rPr>
                <w:sz w:val="24"/>
                <w:szCs w:val="24"/>
              </w:rPr>
              <w:t>1250 mg/m</w:t>
            </w:r>
            <w:r>
              <w:rPr>
                <w:sz w:val="24"/>
                <w:szCs w:val="24"/>
                <w:vertAlign w:val="superscript"/>
              </w:rPr>
              <w:t>2</w:t>
            </w:r>
          </w:p>
        </w:tc>
        <w:tc>
          <w:tcPr>
            <w:tcW w:w="3402" w:type="dxa"/>
            <w:gridSpan w:val="2"/>
            <w:tcBorders>
              <w:top w:val="single" w:sz="8" w:space="0" w:color="000000"/>
              <w:left w:val="single" w:sz="8" w:space="0" w:color="000000"/>
              <w:bottom w:val="nil"/>
              <w:right w:val="single" w:sz="8" w:space="0" w:color="000000"/>
            </w:tcBorders>
          </w:tcPr>
          <w:p w:rsidR="00CF3F69" w:rsidRDefault="00CF3F69" w:rsidP="007E4788">
            <w:pPr>
              <w:rPr>
                <w:sz w:val="24"/>
                <w:szCs w:val="24"/>
              </w:rPr>
            </w:pPr>
            <w:r>
              <w:rPr>
                <w:sz w:val="24"/>
                <w:szCs w:val="24"/>
              </w:rPr>
              <w:t>Antal 150 mg tabletter og/eller 500 mg tabletter pr. dosering (hver dosering skal gives morgen og aften)</w:t>
            </w:r>
          </w:p>
        </w:tc>
        <w:tc>
          <w:tcPr>
            <w:tcW w:w="1701" w:type="dxa"/>
            <w:tcBorders>
              <w:top w:val="single" w:sz="8" w:space="0" w:color="000000"/>
              <w:left w:val="single" w:sz="8" w:space="0" w:color="000000"/>
              <w:bottom w:val="nil"/>
              <w:right w:val="single" w:sz="8" w:space="0" w:color="000000"/>
            </w:tcBorders>
          </w:tcPr>
          <w:p w:rsidR="00CF3F69" w:rsidRDefault="00CF3F69" w:rsidP="007E4788">
            <w:pPr>
              <w:rPr>
                <w:sz w:val="24"/>
                <w:szCs w:val="24"/>
                <w:lang w:eastAsia="da-DK"/>
              </w:rPr>
            </w:pPr>
            <w:r>
              <w:rPr>
                <w:sz w:val="24"/>
                <w:szCs w:val="24"/>
                <w:lang w:eastAsia="da-DK"/>
              </w:rPr>
              <w:t>Reduceret dosis (75%)</w:t>
            </w:r>
          </w:p>
          <w:p w:rsidR="00CF3F69" w:rsidRPr="002C678B" w:rsidRDefault="00CF3F69" w:rsidP="007E4788">
            <w:pPr>
              <w:rPr>
                <w:sz w:val="24"/>
                <w:szCs w:val="24"/>
                <w:vertAlign w:val="superscript"/>
                <w:lang w:eastAsia="da-DK"/>
              </w:rPr>
            </w:pPr>
            <w:r>
              <w:rPr>
                <w:sz w:val="24"/>
                <w:szCs w:val="24"/>
                <w:lang w:eastAsia="da-DK"/>
              </w:rPr>
              <w:t>950 mg/m</w:t>
            </w:r>
            <w:r>
              <w:rPr>
                <w:sz w:val="24"/>
                <w:szCs w:val="24"/>
                <w:vertAlign w:val="superscript"/>
                <w:lang w:eastAsia="da-DK"/>
              </w:rPr>
              <w:t>2</w:t>
            </w:r>
          </w:p>
        </w:tc>
        <w:tc>
          <w:tcPr>
            <w:tcW w:w="1716" w:type="dxa"/>
            <w:tcBorders>
              <w:top w:val="single" w:sz="8" w:space="0" w:color="000000"/>
              <w:left w:val="single" w:sz="8" w:space="0" w:color="000000"/>
              <w:bottom w:val="nil"/>
              <w:right w:val="single" w:sz="8" w:space="0" w:color="000000"/>
            </w:tcBorders>
          </w:tcPr>
          <w:p w:rsidR="00CF3F69" w:rsidRDefault="00CF3F69" w:rsidP="007E4788">
            <w:pPr>
              <w:rPr>
                <w:sz w:val="24"/>
                <w:szCs w:val="24"/>
              </w:rPr>
            </w:pPr>
            <w:r>
              <w:rPr>
                <w:sz w:val="24"/>
                <w:szCs w:val="24"/>
              </w:rPr>
              <w:t xml:space="preserve">Reduceret dosis </w:t>
            </w:r>
          </w:p>
          <w:p w:rsidR="00CF3F69" w:rsidRDefault="00CF3F69" w:rsidP="007E4788">
            <w:pPr>
              <w:rPr>
                <w:sz w:val="24"/>
                <w:szCs w:val="24"/>
              </w:rPr>
            </w:pPr>
            <w:r>
              <w:rPr>
                <w:sz w:val="24"/>
                <w:szCs w:val="24"/>
              </w:rPr>
              <w:t>(50%)</w:t>
            </w:r>
          </w:p>
          <w:p w:rsidR="00CF3F69" w:rsidRDefault="00CF3F69" w:rsidP="007E4788">
            <w:pPr>
              <w:rPr>
                <w:sz w:val="24"/>
                <w:szCs w:val="24"/>
                <w:vertAlign w:val="superscript"/>
              </w:rPr>
            </w:pPr>
            <w:r>
              <w:rPr>
                <w:sz w:val="24"/>
                <w:szCs w:val="24"/>
              </w:rPr>
              <w:t>625mg/m</w:t>
            </w:r>
            <w:r>
              <w:rPr>
                <w:sz w:val="24"/>
                <w:szCs w:val="24"/>
                <w:vertAlign w:val="superscript"/>
              </w:rPr>
              <w:t>2</w:t>
            </w:r>
          </w:p>
        </w:tc>
      </w:tr>
      <w:tr w:rsidR="00CF3F69" w:rsidTr="007E4788">
        <w:trPr>
          <w:trHeight w:val="602"/>
        </w:trPr>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Legems-</w:t>
            </w:r>
          </w:p>
          <w:p w:rsidR="00CF3F69" w:rsidRDefault="00CF3F69" w:rsidP="007E4788">
            <w:pPr>
              <w:rPr>
                <w:sz w:val="24"/>
                <w:szCs w:val="24"/>
              </w:rPr>
            </w:pPr>
            <w:r>
              <w:rPr>
                <w:sz w:val="24"/>
                <w:szCs w:val="24"/>
              </w:rPr>
              <w:t>overfladeareal</w:t>
            </w:r>
          </w:p>
          <w:p w:rsidR="00CF3F69" w:rsidRDefault="00CF3F69" w:rsidP="007E4788">
            <w:pPr>
              <w:rPr>
                <w:sz w:val="24"/>
                <w:szCs w:val="24"/>
              </w:rPr>
            </w:pPr>
            <w:r>
              <w:rPr>
                <w:sz w:val="24"/>
                <w:szCs w:val="24"/>
              </w:rPr>
              <w:t>(m</w:t>
            </w:r>
            <w:r>
              <w:rPr>
                <w:sz w:val="24"/>
                <w:szCs w:val="24"/>
                <w:vertAlign w:val="superscript"/>
              </w:rPr>
              <w:t>2</w:t>
            </w:r>
            <w:r>
              <w:rPr>
                <w:sz w:val="24"/>
                <w:szCs w:val="24"/>
              </w:rPr>
              <w:t>)</w:t>
            </w:r>
          </w:p>
        </w:tc>
        <w:tc>
          <w:tcPr>
            <w:tcW w:w="1418"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Dosis pr. dosering</w:t>
            </w:r>
          </w:p>
          <w:p w:rsidR="00CF3F69" w:rsidRDefault="00CF3F69" w:rsidP="007E4788">
            <w:pPr>
              <w:rPr>
                <w:sz w:val="24"/>
                <w:szCs w:val="24"/>
              </w:rPr>
            </w:pPr>
            <w:r>
              <w:rPr>
                <w:sz w:val="24"/>
                <w:szCs w:val="24"/>
              </w:rPr>
              <w:t>(mg)</w:t>
            </w:r>
          </w:p>
        </w:tc>
        <w:tc>
          <w:tcPr>
            <w:tcW w:w="1559"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150 mg</w:t>
            </w:r>
          </w:p>
        </w:tc>
        <w:tc>
          <w:tcPr>
            <w:tcW w:w="184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500 mg</w:t>
            </w:r>
          </w:p>
        </w:tc>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Dosis </w:t>
            </w:r>
          </w:p>
          <w:p w:rsidR="00CF3F69" w:rsidRDefault="00CF3F69" w:rsidP="007E4788">
            <w:pPr>
              <w:rPr>
                <w:sz w:val="24"/>
                <w:szCs w:val="24"/>
              </w:rPr>
            </w:pPr>
            <w:r>
              <w:rPr>
                <w:sz w:val="24"/>
                <w:szCs w:val="24"/>
              </w:rPr>
              <w:t>pr dosering</w:t>
            </w:r>
          </w:p>
          <w:p w:rsidR="00CF3F69" w:rsidRDefault="00CF3F69" w:rsidP="007E4788">
            <w:pPr>
              <w:rPr>
                <w:sz w:val="24"/>
                <w:szCs w:val="24"/>
              </w:rPr>
            </w:pPr>
            <w:r>
              <w:rPr>
                <w:sz w:val="24"/>
                <w:szCs w:val="24"/>
              </w:rPr>
              <w:t>(mg)</w:t>
            </w:r>
          </w:p>
        </w:tc>
        <w:tc>
          <w:tcPr>
            <w:tcW w:w="1716"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Dosis </w:t>
            </w:r>
          </w:p>
          <w:p w:rsidR="00CF3F69" w:rsidRDefault="00CF3F69" w:rsidP="007E4788">
            <w:pPr>
              <w:rPr>
                <w:sz w:val="24"/>
                <w:szCs w:val="24"/>
              </w:rPr>
            </w:pPr>
            <w:r>
              <w:rPr>
                <w:sz w:val="24"/>
                <w:szCs w:val="24"/>
              </w:rPr>
              <w:t>Pr. dosering</w:t>
            </w:r>
          </w:p>
          <w:p w:rsidR="00CF3F69" w:rsidRDefault="00CF3F69" w:rsidP="007E4788">
            <w:pPr>
              <w:rPr>
                <w:sz w:val="24"/>
                <w:szCs w:val="24"/>
              </w:rPr>
            </w:pPr>
            <w:r>
              <w:rPr>
                <w:sz w:val="24"/>
                <w:szCs w:val="24"/>
              </w:rPr>
              <w:t>(mg)</w:t>
            </w:r>
          </w:p>
        </w:tc>
      </w:tr>
      <w:tr w:rsidR="00CF3F69" w:rsidTr="007E4788">
        <w:trPr>
          <w:trHeight w:val="306"/>
        </w:trPr>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1,26</w:t>
            </w:r>
          </w:p>
        </w:tc>
        <w:tc>
          <w:tcPr>
            <w:tcW w:w="1418"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1500</w:t>
            </w:r>
          </w:p>
        </w:tc>
        <w:tc>
          <w:tcPr>
            <w:tcW w:w="1559"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w:t>
            </w:r>
          </w:p>
        </w:tc>
        <w:tc>
          <w:tcPr>
            <w:tcW w:w="184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3</w:t>
            </w:r>
          </w:p>
        </w:tc>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1150</w:t>
            </w:r>
          </w:p>
        </w:tc>
        <w:tc>
          <w:tcPr>
            <w:tcW w:w="1716"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800</w:t>
            </w:r>
          </w:p>
        </w:tc>
      </w:tr>
      <w:tr w:rsidR="00CF3F69" w:rsidTr="007E4788">
        <w:trPr>
          <w:trHeight w:val="289"/>
        </w:trPr>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1,27-1,38</w:t>
            </w:r>
          </w:p>
        </w:tc>
        <w:tc>
          <w:tcPr>
            <w:tcW w:w="1418"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1650</w:t>
            </w:r>
          </w:p>
        </w:tc>
        <w:tc>
          <w:tcPr>
            <w:tcW w:w="1559"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w:t>
            </w:r>
          </w:p>
        </w:tc>
        <w:tc>
          <w:tcPr>
            <w:tcW w:w="184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3</w:t>
            </w:r>
          </w:p>
        </w:tc>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1300</w:t>
            </w:r>
          </w:p>
        </w:tc>
        <w:tc>
          <w:tcPr>
            <w:tcW w:w="1716"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800</w:t>
            </w:r>
          </w:p>
        </w:tc>
      </w:tr>
      <w:tr w:rsidR="00CF3F69" w:rsidTr="007E4788">
        <w:trPr>
          <w:trHeight w:val="289"/>
        </w:trPr>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1,39-1,52</w:t>
            </w:r>
          </w:p>
        </w:tc>
        <w:tc>
          <w:tcPr>
            <w:tcW w:w="1418"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1800</w:t>
            </w:r>
          </w:p>
        </w:tc>
        <w:tc>
          <w:tcPr>
            <w:tcW w:w="1559"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2</w:t>
            </w:r>
          </w:p>
        </w:tc>
        <w:tc>
          <w:tcPr>
            <w:tcW w:w="184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3</w:t>
            </w:r>
          </w:p>
        </w:tc>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1450</w:t>
            </w:r>
          </w:p>
        </w:tc>
        <w:tc>
          <w:tcPr>
            <w:tcW w:w="1716"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950</w:t>
            </w:r>
          </w:p>
        </w:tc>
      </w:tr>
      <w:tr w:rsidR="00CF3F69" w:rsidTr="007E4788">
        <w:trPr>
          <w:trHeight w:val="289"/>
        </w:trPr>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1,53-1,66</w:t>
            </w:r>
          </w:p>
        </w:tc>
        <w:tc>
          <w:tcPr>
            <w:tcW w:w="1418"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2000</w:t>
            </w:r>
          </w:p>
        </w:tc>
        <w:tc>
          <w:tcPr>
            <w:tcW w:w="1559"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w:t>
            </w:r>
          </w:p>
        </w:tc>
        <w:tc>
          <w:tcPr>
            <w:tcW w:w="184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4</w:t>
            </w:r>
          </w:p>
        </w:tc>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1500</w:t>
            </w:r>
          </w:p>
        </w:tc>
        <w:tc>
          <w:tcPr>
            <w:tcW w:w="1716"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1000</w:t>
            </w:r>
          </w:p>
        </w:tc>
      </w:tr>
      <w:tr w:rsidR="00CF3F69" w:rsidTr="007E4788">
        <w:trPr>
          <w:trHeight w:val="289"/>
        </w:trPr>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1,67-1,78</w:t>
            </w:r>
          </w:p>
        </w:tc>
        <w:tc>
          <w:tcPr>
            <w:tcW w:w="1418"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2150</w:t>
            </w:r>
          </w:p>
        </w:tc>
        <w:tc>
          <w:tcPr>
            <w:tcW w:w="1559"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w:t>
            </w:r>
          </w:p>
        </w:tc>
        <w:tc>
          <w:tcPr>
            <w:tcW w:w="184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4</w:t>
            </w:r>
          </w:p>
        </w:tc>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1650</w:t>
            </w:r>
          </w:p>
        </w:tc>
        <w:tc>
          <w:tcPr>
            <w:tcW w:w="1716"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1000</w:t>
            </w:r>
          </w:p>
        </w:tc>
      </w:tr>
      <w:tr w:rsidR="00CF3F69" w:rsidTr="007E4788">
        <w:trPr>
          <w:trHeight w:val="289"/>
        </w:trPr>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1,79-1,92</w:t>
            </w:r>
          </w:p>
        </w:tc>
        <w:tc>
          <w:tcPr>
            <w:tcW w:w="1418"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2300</w:t>
            </w:r>
          </w:p>
        </w:tc>
        <w:tc>
          <w:tcPr>
            <w:tcW w:w="1559"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2</w:t>
            </w:r>
          </w:p>
        </w:tc>
        <w:tc>
          <w:tcPr>
            <w:tcW w:w="184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4</w:t>
            </w:r>
          </w:p>
        </w:tc>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1800</w:t>
            </w:r>
          </w:p>
        </w:tc>
        <w:tc>
          <w:tcPr>
            <w:tcW w:w="1716"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1150</w:t>
            </w:r>
          </w:p>
        </w:tc>
      </w:tr>
      <w:tr w:rsidR="00CF3F69" w:rsidTr="007E4788">
        <w:trPr>
          <w:trHeight w:val="289"/>
        </w:trPr>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1,93-2,06</w:t>
            </w:r>
          </w:p>
        </w:tc>
        <w:tc>
          <w:tcPr>
            <w:tcW w:w="1418"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2500</w:t>
            </w:r>
          </w:p>
        </w:tc>
        <w:tc>
          <w:tcPr>
            <w:tcW w:w="1559"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w:t>
            </w:r>
          </w:p>
        </w:tc>
        <w:tc>
          <w:tcPr>
            <w:tcW w:w="184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5</w:t>
            </w:r>
          </w:p>
        </w:tc>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1950</w:t>
            </w:r>
          </w:p>
        </w:tc>
        <w:tc>
          <w:tcPr>
            <w:tcW w:w="1716"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1300</w:t>
            </w:r>
          </w:p>
        </w:tc>
      </w:tr>
      <w:tr w:rsidR="00CF3F69" w:rsidTr="007E4788">
        <w:trPr>
          <w:trHeight w:val="289"/>
        </w:trPr>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2,07-2,18</w:t>
            </w:r>
          </w:p>
        </w:tc>
        <w:tc>
          <w:tcPr>
            <w:tcW w:w="1418"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2650</w:t>
            </w:r>
          </w:p>
        </w:tc>
        <w:tc>
          <w:tcPr>
            <w:tcW w:w="1559"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w:t>
            </w:r>
          </w:p>
        </w:tc>
        <w:tc>
          <w:tcPr>
            <w:tcW w:w="184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5</w:t>
            </w:r>
          </w:p>
        </w:tc>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2000</w:t>
            </w:r>
          </w:p>
        </w:tc>
        <w:tc>
          <w:tcPr>
            <w:tcW w:w="1716"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1300</w:t>
            </w:r>
          </w:p>
        </w:tc>
      </w:tr>
      <w:tr w:rsidR="00CF3F69" w:rsidTr="007E4788">
        <w:trPr>
          <w:trHeight w:val="306"/>
        </w:trPr>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≥2,19</w:t>
            </w:r>
          </w:p>
        </w:tc>
        <w:tc>
          <w:tcPr>
            <w:tcW w:w="1418"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2800</w:t>
            </w:r>
          </w:p>
        </w:tc>
        <w:tc>
          <w:tcPr>
            <w:tcW w:w="1559"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2</w:t>
            </w:r>
          </w:p>
        </w:tc>
        <w:tc>
          <w:tcPr>
            <w:tcW w:w="184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5</w:t>
            </w:r>
          </w:p>
        </w:tc>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2150</w:t>
            </w:r>
          </w:p>
        </w:tc>
        <w:tc>
          <w:tcPr>
            <w:tcW w:w="1716"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1450</w:t>
            </w:r>
          </w:p>
        </w:tc>
      </w:tr>
    </w:tbl>
    <w:p w:rsidR="00CF3F69" w:rsidRDefault="00CF3F69" w:rsidP="00CF3F69">
      <w:pPr>
        <w:rPr>
          <w:sz w:val="24"/>
          <w:szCs w:val="24"/>
        </w:rPr>
      </w:pPr>
    </w:p>
    <w:p w:rsidR="00CF3F69" w:rsidRDefault="00CF3F69" w:rsidP="00CF3F69">
      <w:pPr>
        <w:rPr>
          <w:sz w:val="24"/>
          <w:szCs w:val="24"/>
        </w:rPr>
      </w:pPr>
      <w:r>
        <w:rPr>
          <w:sz w:val="24"/>
          <w:szCs w:val="24"/>
        </w:rPr>
        <w:br w:type="page"/>
      </w:r>
    </w:p>
    <w:p w:rsidR="00CF3F69" w:rsidRDefault="00CF3F69" w:rsidP="00CF3F69">
      <w:pPr>
        <w:ind w:left="709"/>
        <w:rPr>
          <w:sz w:val="24"/>
          <w:szCs w:val="24"/>
          <w:vertAlign w:val="superscript"/>
        </w:rPr>
      </w:pPr>
      <w:r>
        <w:rPr>
          <w:sz w:val="24"/>
          <w:szCs w:val="24"/>
        </w:rPr>
        <w:lastRenderedPageBreak/>
        <w:t>Tabel 2: Standard og reducerede dosisberegninger ud fra legemsoverfladeareal for en initial dosis capecitabin på 1000 mg/m</w:t>
      </w:r>
      <w:r>
        <w:rPr>
          <w:sz w:val="24"/>
          <w:szCs w:val="24"/>
          <w:vertAlign w:val="superscript"/>
        </w:rPr>
        <w:t>2</w:t>
      </w:r>
    </w:p>
    <w:tbl>
      <w:tblPr>
        <w:tblW w:w="0" w:type="auto"/>
        <w:tblInd w:w="250" w:type="dxa"/>
        <w:tblLayout w:type="fixed"/>
        <w:tblLook w:val="04A0" w:firstRow="1" w:lastRow="0" w:firstColumn="1" w:lastColumn="0" w:noHBand="0" w:noVBand="1"/>
      </w:tblPr>
      <w:tblGrid>
        <w:gridCol w:w="1701"/>
        <w:gridCol w:w="1418"/>
        <w:gridCol w:w="1559"/>
        <w:gridCol w:w="1843"/>
        <w:gridCol w:w="1701"/>
        <w:gridCol w:w="1716"/>
      </w:tblGrid>
      <w:tr w:rsidR="00CF3F69" w:rsidTr="007E4788">
        <w:trPr>
          <w:trHeight w:val="369"/>
        </w:trPr>
        <w:tc>
          <w:tcPr>
            <w:tcW w:w="9938" w:type="dxa"/>
            <w:gridSpan w:val="6"/>
            <w:tcBorders>
              <w:top w:val="single" w:sz="8" w:space="0" w:color="000000"/>
              <w:left w:val="single" w:sz="8" w:space="0" w:color="000000"/>
              <w:bottom w:val="nil"/>
              <w:right w:val="single" w:sz="8" w:space="0" w:color="000000"/>
            </w:tcBorders>
            <w:hideMark/>
          </w:tcPr>
          <w:p w:rsidR="00CF3F69" w:rsidRDefault="00CF3F69" w:rsidP="007E4788">
            <w:pPr>
              <w:jc w:val="center"/>
              <w:rPr>
                <w:sz w:val="24"/>
                <w:szCs w:val="24"/>
              </w:rPr>
            </w:pPr>
            <w:r>
              <w:rPr>
                <w:sz w:val="24"/>
                <w:szCs w:val="24"/>
              </w:rPr>
              <w:t>Dosisniveau på 1000 mg/m</w:t>
            </w:r>
            <w:r>
              <w:rPr>
                <w:sz w:val="24"/>
                <w:szCs w:val="24"/>
                <w:vertAlign w:val="superscript"/>
              </w:rPr>
              <w:t>2</w:t>
            </w:r>
            <w:r>
              <w:rPr>
                <w:sz w:val="24"/>
                <w:szCs w:val="24"/>
              </w:rPr>
              <w:t xml:space="preserve"> (to gange daglig)</w:t>
            </w:r>
          </w:p>
        </w:tc>
      </w:tr>
      <w:tr w:rsidR="00CF3F69" w:rsidTr="007E4788">
        <w:trPr>
          <w:trHeight w:val="1553"/>
        </w:trPr>
        <w:tc>
          <w:tcPr>
            <w:tcW w:w="1701" w:type="dxa"/>
            <w:tcBorders>
              <w:top w:val="single" w:sz="8" w:space="0" w:color="000000"/>
              <w:left w:val="single" w:sz="8" w:space="0" w:color="000000"/>
              <w:bottom w:val="nil"/>
              <w:right w:val="single" w:sz="8" w:space="0" w:color="000000"/>
            </w:tcBorders>
          </w:tcPr>
          <w:p w:rsidR="00CF3F69" w:rsidRDefault="00CF3F69" w:rsidP="007E4788">
            <w:pPr>
              <w:rPr>
                <w:sz w:val="24"/>
                <w:szCs w:val="24"/>
                <w:vertAlign w:val="superscript"/>
              </w:rPr>
            </w:pPr>
          </w:p>
        </w:tc>
        <w:tc>
          <w:tcPr>
            <w:tcW w:w="1418" w:type="dxa"/>
            <w:tcBorders>
              <w:top w:val="single" w:sz="8" w:space="0" w:color="000000"/>
              <w:left w:val="single" w:sz="8" w:space="0" w:color="000000"/>
              <w:bottom w:val="nil"/>
              <w:right w:val="single" w:sz="8" w:space="0" w:color="000000"/>
            </w:tcBorders>
          </w:tcPr>
          <w:p w:rsidR="00CF3F69" w:rsidRDefault="00CF3F69" w:rsidP="007E4788">
            <w:pPr>
              <w:rPr>
                <w:sz w:val="24"/>
                <w:szCs w:val="24"/>
              </w:rPr>
            </w:pPr>
            <w:r>
              <w:rPr>
                <w:sz w:val="24"/>
                <w:szCs w:val="24"/>
              </w:rPr>
              <w:t>Fuld dosis</w:t>
            </w:r>
          </w:p>
          <w:p w:rsidR="00CF3F69" w:rsidRDefault="00CF3F69" w:rsidP="007E4788">
            <w:pPr>
              <w:rPr>
                <w:sz w:val="24"/>
                <w:szCs w:val="24"/>
                <w:vertAlign w:val="superscript"/>
              </w:rPr>
            </w:pPr>
            <w:r>
              <w:rPr>
                <w:sz w:val="24"/>
                <w:szCs w:val="24"/>
              </w:rPr>
              <w:t>1000 mg/m</w:t>
            </w:r>
            <w:r>
              <w:rPr>
                <w:sz w:val="24"/>
                <w:szCs w:val="24"/>
                <w:vertAlign w:val="superscript"/>
              </w:rPr>
              <w:t>2</w:t>
            </w:r>
          </w:p>
        </w:tc>
        <w:tc>
          <w:tcPr>
            <w:tcW w:w="3402" w:type="dxa"/>
            <w:gridSpan w:val="2"/>
            <w:tcBorders>
              <w:top w:val="single" w:sz="8" w:space="0" w:color="000000"/>
              <w:left w:val="single" w:sz="8" w:space="0" w:color="000000"/>
              <w:bottom w:val="nil"/>
              <w:right w:val="single" w:sz="8" w:space="0" w:color="000000"/>
            </w:tcBorders>
          </w:tcPr>
          <w:p w:rsidR="00CF3F69" w:rsidRDefault="00CF3F69" w:rsidP="007E4788">
            <w:pPr>
              <w:rPr>
                <w:sz w:val="24"/>
                <w:szCs w:val="24"/>
              </w:rPr>
            </w:pPr>
            <w:r>
              <w:rPr>
                <w:sz w:val="24"/>
                <w:szCs w:val="24"/>
              </w:rPr>
              <w:t>Antal 150 mg tabletter og/eller 500 mg tabletter pr. dosering (hver dosering skal gives morgen og aften)</w:t>
            </w:r>
          </w:p>
        </w:tc>
        <w:tc>
          <w:tcPr>
            <w:tcW w:w="1701" w:type="dxa"/>
            <w:tcBorders>
              <w:top w:val="single" w:sz="8" w:space="0" w:color="000000"/>
              <w:left w:val="single" w:sz="8" w:space="0" w:color="000000"/>
              <w:bottom w:val="nil"/>
              <w:right w:val="single" w:sz="8" w:space="0" w:color="000000"/>
            </w:tcBorders>
          </w:tcPr>
          <w:p w:rsidR="00CF3F69" w:rsidRDefault="00CF3F69" w:rsidP="007E4788">
            <w:pPr>
              <w:rPr>
                <w:sz w:val="24"/>
                <w:szCs w:val="24"/>
                <w:lang w:eastAsia="da-DK"/>
              </w:rPr>
            </w:pPr>
            <w:r>
              <w:rPr>
                <w:sz w:val="24"/>
                <w:szCs w:val="24"/>
                <w:lang w:eastAsia="da-DK"/>
              </w:rPr>
              <w:t>Reduceret dosis (75%)</w:t>
            </w:r>
          </w:p>
          <w:p w:rsidR="00CF3F69" w:rsidRPr="002C678B" w:rsidRDefault="00CF3F69" w:rsidP="007E4788">
            <w:pPr>
              <w:rPr>
                <w:sz w:val="24"/>
                <w:szCs w:val="24"/>
                <w:vertAlign w:val="superscript"/>
                <w:lang w:eastAsia="da-DK"/>
              </w:rPr>
            </w:pPr>
            <w:r>
              <w:rPr>
                <w:sz w:val="24"/>
                <w:szCs w:val="24"/>
                <w:lang w:eastAsia="da-DK"/>
              </w:rPr>
              <w:t>950 mg/m</w:t>
            </w:r>
            <w:r>
              <w:rPr>
                <w:sz w:val="24"/>
                <w:szCs w:val="24"/>
                <w:vertAlign w:val="superscript"/>
                <w:lang w:eastAsia="da-DK"/>
              </w:rPr>
              <w:t>2</w:t>
            </w:r>
          </w:p>
        </w:tc>
        <w:tc>
          <w:tcPr>
            <w:tcW w:w="1716" w:type="dxa"/>
            <w:tcBorders>
              <w:top w:val="single" w:sz="8" w:space="0" w:color="000000"/>
              <w:left w:val="single" w:sz="8" w:space="0" w:color="000000"/>
              <w:bottom w:val="nil"/>
              <w:right w:val="single" w:sz="8" w:space="0" w:color="000000"/>
            </w:tcBorders>
          </w:tcPr>
          <w:p w:rsidR="00CF3F69" w:rsidRDefault="00CF3F69" w:rsidP="007E4788">
            <w:pPr>
              <w:rPr>
                <w:sz w:val="24"/>
                <w:szCs w:val="24"/>
              </w:rPr>
            </w:pPr>
            <w:r>
              <w:rPr>
                <w:sz w:val="24"/>
                <w:szCs w:val="24"/>
              </w:rPr>
              <w:t xml:space="preserve">Reduceret dosis </w:t>
            </w:r>
          </w:p>
          <w:p w:rsidR="00CF3F69" w:rsidRDefault="00CF3F69" w:rsidP="007E4788">
            <w:pPr>
              <w:rPr>
                <w:sz w:val="24"/>
                <w:szCs w:val="24"/>
              </w:rPr>
            </w:pPr>
            <w:r>
              <w:rPr>
                <w:sz w:val="24"/>
                <w:szCs w:val="24"/>
              </w:rPr>
              <w:t>(50%)</w:t>
            </w:r>
          </w:p>
          <w:p w:rsidR="00CF3F69" w:rsidRDefault="00CF3F69" w:rsidP="007E4788">
            <w:pPr>
              <w:rPr>
                <w:sz w:val="24"/>
                <w:szCs w:val="24"/>
                <w:vertAlign w:val="superscript"/>
              </w:rPr>
            </w:pPr>
            <w:r>
              <w:rPr>
                <w:sz w:val="24"/>
                <w:szCs w:val="24"/>
              </w:rPr>
              <w:t>625mg/m</w:t>
            </w:r>
            <w:r>
              <w:rPr>
                <w:sz w:val="24"/>
                <w:szCs w:val="24"/>
                <w:vertAlign w:val="superscript"/>
              </w:rPr>
              <w:t>2</w:t>
            </w:r>
          </w:p>
        </w:tc>
      </w:tr>
      <w:tr w:rsidR="00CF3F69" w:rsidTr="007E4788">
        <w:trPr>
          <w:trHeight w:val="602"/>
        </w:trPr>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Legems-</w:t>
            </w:r>
          </w:p>
          <w:p w:rsidR="00CF3F69" w:rsidRDefault="00CF3F69" w:rsidP="007E4788">
            <w:pPr>
              <w:rPr>
                <w:sz w:val="24"/>
                <w:szCs w:val="24"/>
              </w:rPr>
            </w:pPr>
            <w:r>
              <w:rPr>
                <w:sz w:val="24"/>
                <w:szCs w:val="24"/>
              </w:rPr>
              <w:t>overfladeareal</w:t>
            </w:r>
          </w:p>
          <w:p w:rsidR="00CF3F69" w:rsidRDefault="00CF3F69" w:rsidP="007E4788">
            <w:pPr>
              <w:rPr>
                <w:sz w:val="24"/>
                <w:szCs w:val="24"/>
              </w:rPr>
            </w:pPr>
            <w:r>
              <w:rPr>
                <w:sz w:val="24"/>
                <w:szCs w:val="24"/>
              </w:rPr>
              <w:t>(m</w:t>
            </w:r>
            <w:r>
              <w:rPr>
                <w:sz w:val="24"/>
                <w:szCs w:val="24"/>
                <w:vertAlign w:val="superscript"/>
              </w:rPr>
              <w:t>2</w:t>
            </w:r>
            <w:r>
              <w:rPr>
                <w:sz w:val="24"/>
                <w:szCs w:val="24"/>
              </w:rPr>
              <w:t>)</w:t>
            </w:r>
          </w:p>
        </w:tc>
        <w:tc>
          <w:tcPr>
            <w:tcW w:w="1418"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Dosis </w:t>
            </w:r>
            <w:proofErr w:type="gramStart"/>
            <w:r>
              <w:rPr>
                <w:sz w:val="24"/>
                <w:szCs w:val="24"/>
              </w:rPr>
              <w:t>pr.dosering</w:t>
            </w:r>
            <w:proofErr w:type="gramEnd"/>
          </w:p>
          <w:p w:rsidR="00CF3F69" w:rsidRDefault="00CF3F69" w:rsidP="007E4788">
            <w:pPr>
              <w:rPr>
                <w:sz w:val="24"/>
                <w:szCs w:val="24"/>
              </w:rPr>
            </w:pPr>
            <w:r>
              <w:rPr>
                <w:sz w:val="24"/>
                <w:szCs w:val="24"/>
              </w:rPr>
              <w:t>(mg)</w:t>
            </w:r>
          </w:p>
        </w:tc>
        <w:tc>
          <w:tcPr>
            <w:tcW w:w="1559"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150 mg</w:t>
            </w:r>
          </w:p>
        </w:tc>
        <w:tc>
          <w:tcPr>
            <w:tcW w:w="184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500 mg</w:t>
            </w:r>
          </w:p>
        </w:tc>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Dosis </w:t>
            </w:r>
          </w:p>
          <w:p w:rsidR="00CF3F69" w:rsidRDefault="00CF3F69" w:rsidP="007E4788">
            <w:pPr>
              <w:rPr>
                <w:sz w:val="24"/>
                <w:szCs w:val="24"/>
              </w:rPr>
            </w:pPr>
            <w:r>
              <w:rPr>
                <w:sz w:val="24"/>
                <w:szCs w:val="24"/>
              </w:rPr>
              <w:t>pr dosering</w:t>
            </w:r>
          </w:p>
          <w:p w:rsidR="00CF3F69" w:rsidRDefault="00CF3F69" w:rsidP="007E4788">
            <w:pPr>
              <w:rPr>
                <w:sz w:val="24"/>
                <w:szCs w:val="24"/>
              </w:rPr>
            </w:pPr>
            <w:r>
              <w:rPr>
                <w:sz w:val="24"/>
                <w:szCs w:val="24"/>
              </w:rPr>
              <w:t>(mg)</w:t>
            </w:r>
          </w:p>
        </w:tc>
        <w:tc>
          <w:tcPr>
            <w:tcW w:w="1716"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Dosis </w:t>
            </w:r>
          </w:p>
          <w:p w:rsidR="00CF3F69" w:rsidRDefault="00CF3F69" w:rsidP="007E4788">
            <w:pPr>
              <w:rPr>
                <w:sz w:val="24"/>
                <w:szCs w:val="24"/>
              </w:rPr>
            </w:pPr>
            <w:r>
              <w:rPr>
                <w:sz w:val="24"/>
                <w:szCs w:val="24"/>
              </w:rPr>
              <w:t>Pr. dosering</w:t>
            </w:r>
          </w:p>
          <w:p w:rsidR="00CF3F69" w:rsidRDefault="00CF3F69" w:rsidP="007E4788">
            <w:pPr>
              <w:rPr>
                <w:sz w:val="24"/>
                <w:szCs w:val="24"/>
              </w:rPr>
            </w:pPr>
            <w:r>
              <w:rPr>
                <w:sz w:val="24"/>
                <w:szCs w:val="24"/>
              </w:rPr>
              <w:t>(mg)</w:t>
            </w:r>
          </w:p>
        </w:tc>
      </w:tr>
      <w:tr w:rsidR="00CF3F69" w:rsidTr="007E4788">
        <w:trPr>
          <w:trHeight w:val="306"/>
        </w:trPr>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1,26</w:t>
            </w:r>
          </w:p>
        </w:tc>
        <w:tc>
          <w:tcPr>
            <w:tcW w:w="1418"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1150</w:t>
            </w:r>
          </w:p>
        </w:tc>
        <w:tc>
          <w:tcPr>
            <w:tcW w:w="1559"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w:t>
            </w:r>
          </w:p>
        </w:tc>
        <w:tc>
          <w:tcPr>
            <w:tcW w:w="184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2</w:t>
            </w:r>
          </w:p>
        </w:tc>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800</w:t>
            </w:r>
          </w:p>
        </w:tc>
        <w:tc>
          <w:tcPr>
            <w:tcW w:w="1716"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600</w:t>
            </w:r>
          </w:p>
        </w:tc>
      </w:tr>
      <w:tr w:rsidR="00CF3F69" w:rsidTr="007E4788">
        <w:trPr>
          <w:trHeight w:val="289"/>
        </w:trPr>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1,27-1,38</w:t>
            </w:r>
          </w:p>
        </w:tc>
        <w:tc>
          <w:tcPr>
            <w:tcW w:w="1418"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1300</w:t>
            </w:r>
          </w:p>
        </w:tc>
        <w:tc>
          <w:tcPr>
            <w:tcW w:w="1559"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2</w:t>
            </w:r>
          </w:p>
        </w:tc>
        <w:tc>
          <w:tcPr>
            <w:tcW w:w="184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2</w:t>
            </w:r>
          </w:p>
        </w:tc>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1000</w:t>
            </w:r>
          </w:p>
        </w:tc>
        <w:tc>
          <w:tcPr>
            <w:tcW w:w="1716"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600</w:t>
            </w:r>
          </w:p>
        </w:tc>
      </w:tr>
      <w:tr w:rsidR="00CF3F69" w:rsidTr="007E4788">
        <w:trPr>
          <w:trHeight w:val="289"/>
        </w:trPr>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1,39-1,52</w:t>
            </w:r>
          </w:p>
        </w:tc>
        <w:tc>
          <w:tcPr>
            <w:tcW w:w="1418"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1450</w:t>
            </w:r>
          </w:p>
        </w:tc>
        <w:tc>
          <w:tcPr>
            <w:tcW w:w="1559"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3</w:t>
            </w:r>
          </w:p>
        </w:tc>
        <w:tc>
          <w:tcPr>
            <w:tcW w:w="184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2</w:t>
            </w:r>
          </w:p>
        </w:tc>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1100</w:t>
            </w:r>
          </w:p>
        </w:tc>
        <w:tc>
          <w:tcPr>
            <w:tcW w:w="1716"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750</w:t>
            </w:r>
          </w:p>
        </w:tc>
      </w:tr>
      <w:tr w:rsidR="00CF3F69" w:rsidTr="007E4788">
        <w:trPr>
          <w:trHeight w:val="289"/>
        </w:trPr>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1,53-1,66</w:t>
            </w:r>
          </w:p>
        </w:tc>
        <w:tc>
          <w:tcPr>
            <w:tcW w:w="1418"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1600</w:t>
            </w:r>
          </w:p>
        </w:tc>
        <w:tc>
          <w:tcPr>
            <w:tcW w:w="1559"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4</w:t>
            </w:r>
          </w:p>
        </w:tc>
        <w:tc>
          <w:tcPr>
            <w:tcW w:w="184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2</w:t>
            </w:r>
          </w:p>
        </w:tc>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1200</w:t>
            </w:r>
          </w:p>
        </w:tc>
        <w:tc>
          <w:tcPr>
            <w:tcW w:w="1716"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800</w:t>
            </w:r>
          </w:p>
        </w:tc>
      </w:tr>
      <w:tr w:rsidR="00CF3F69" w:rsidTr="007E4788">
        <w:trPr>
          <w:trHeight w:val="289"/>
        </w:trPr>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1,67-1,78</w:t>
            </w:r>
          </w:p>
        </w:tc>
        <w:tc>
          <w:tcPr>
            <w:tcW w:w="1418"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1750</w:t>
            </w:r>
          </w:p>
        </w:tc>
        <w:tc>
          <w:tcPr>
            <w:tcW w:w="1559"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5</w:t>
            </w:r>
          </w:p>
        </w:tc>
        <w:tc>
          <w:tcPr>
            <w:tcW w:w="184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2</w:t>
            </w:r>
          </w:p>
        </w:tc>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1300</w:t>
            </w:r>
          </w:p>
        </w:tc>
        <w:tc>
          <w:tcPr>
            <w:tcW w:w="1716"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800</w:t>
            </w:r>
          </w:p>
        </w:tc>
      </w:tr>
      <w:tr w:rsidR="00CF3F69" w:rsidTr="007E4788">
        <w:trPr>
          <w:trHeight w:val="289"/>
        </w:trPr>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1,79-1,92</w:t>
            </w:r>
          </w:p>
        </w:tc>
        <w:tc>
          <w:tcPr>
            <w:tcW w:w="1418"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1800</w:t>
            </w:r>
          </w:p>
        </w:tc>
        <w:tc>
          <w:tcPr>
            <w:tcW w:w="1559"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2</w:t>
            </w:r>
          </w:p>
        </w:tc>
        <w:tc>
          <w:tcPr>
            <w:tcW w:w="184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3</w:t>
            </w:r>
          </w:p>
        </w:tc>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1400</w:t>
            </w:r>
          </w:p>
        </w:tc>
        <w:tc>
          <w:tcPr>
            <w:tcW w:w="1716"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900</w:t>
            </w:r>
          </w:p>
        </w:tc>
      </w:tr>
      <w:tr w:rsidR="00CF3F69" w:rsidTr="007E4788">
        <w:trPr>
          <w:trHeight w:val="289"/>
        </w:trPr>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1,93-2,06</w:t>
            </w:r>
          </w:p>
        </w:tc>
        <w:tc>
          <w:tcPr>
            <w:tcW w:w="1418"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2000</w:t>
            </w:r>
          </w:p>
        </w:tc>
        <w:tc>
          <w:tcPr>
            <w:tcW w:w="1559"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w:t>
            </w:r>
          </w:p>
        </w:tc>
        <w:tc>
          <w:tcPr>
            <w:tcW w:w="184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4</w:t>
            </w:r>
          </w:p>
        </w:tc>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1500</w:t>
            </w:r>
          </w:p>
        </w:tc>
        <w:tc>
          <w:tcPr>
            <w:tcW w:w="1716"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1000</w:t>
            </w:r>
          </w:p>
        </w:tc>
      </w:tr>
      <w:tr w:rsidR="00CF3F69" w:rsidTr="007E4788">
        <w:trPr>
          <w:trHeight w:val="289"/>
        </w:trPr>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2,07-2,18</w:t>
            </w:r>
          </w:p>
        </w:tc>
        <w:tc>
          <w:tcPr>
            <w:tcW w:w="1418"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2150</w:t>
            </w:r>
          </w:p>
        </w:tc>
        <w:tc>
          <w:tcPr>
            <w:tcW w:w="1559"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w:t>
            </w:r>
          </w:p>
        </w:tc>
        <w:tc>
          <w:tcPr>
            <w:tcW w:w="184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4</w:t>
            </w:r>
          </w:p>
        </w:tc>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1600</w:t>
            </w:r>
          </w:p>
        </w:tc>
        <w:tc>
          <w:tcPr>
            <w:tcW w:w="1716"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1050</w:t>
            </w:r>
          </w:p>
        </w:tc>
      </w:tr>
      <w:tr w:rsidR="00CF3F69" w:rsidTr="007E4788">
        <w:trPr>
          <w:trHeight w:val="306"/>
        </w:trPr>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≥2,19</w:t>
            </w:r>
          </w:p>
        </w:tc>
        <w:tc>
          <w:tcPr>
            <w:tcW w:w="1418"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2300</w:t>
            </w:r>
          </w:p>
        </w:tc>
        <w:tc>
          <w:tcPr>
            <w:tcW w:w="1559"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2</w:t>
            </w:r>
          </w:p>
        </w:tc>
        <w:tc>
          <w:tcPr>
            <w:tcW w:w="184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4</w:t>
            </w:r>
          </w:p>
        </w:tc>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1750</w:t>
            </w:r>
          </w:p>
        </w:tc>
        <w:tc>
          <w:tcPr>
            <w:tcW w:w="1716"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1100</w:t>
            </w:r>
          </w:p>
        </w:tc>
      </w:tr>
    </w:tbl>
    <w:p w:rsidR="00CF3F69" w:rsidRDefault="00CF3F69" w:rsidP="00CF3F69">
      <w:pPr>
        <w:ind w:left="851"/>
        <w:rPr>
          <w:sz w:val="24"/>
          <w:szCs w:val="24"/>
        </w:rPr>
      </w:pPr>
    </w:p>
    <w:p w:rsidR="00CF3F69" w:rsidRDefault="00CF3F69" w:rsidP="00CF3F69">
      <w:pPr>
        <w:ind w:left="851"/>
        <w:rPr>
          <w:sz w:val="24"/>
          <w:szCs w:val="24"/>
        </w:rPr>
      </w:pPr>
    </w:p>
    <w:p w:rsidR="00CF3F69" w:rsidRDefault="00CF3F69" w:rsidP="00CF3F69">
      <w:pPr>
        <w:ind w:left="851"/>
        <w:rPr>
          <w:sz w:val="24"/>
          <w:szCs w:val="24"/>
        </w:rPr>
      </w:pPr>
      <w:r>
        <w:rPr>
          <w:sz w:val="24"/>
          <w:szCs w:val="24"/>
          <w:u w:val="single"/>
        </w:rPr>
        <w:t>Dosisjusteringer under behandlingen</w:t>
      </w:r>
    </w:p>
    <w:p w:rsidR="00CF3F69" w:rsidRDefault="00CF3F69" w:rsidP="00CF3F69">
      <w:pPr>
        <w:ind w:left="851"/>
        <w:rPr>
          <w:sz w:val="24"/>
          <w:szCs w:val="24"/>
          <w:u w:val="single"/>
        </w:rPr>
      </w:pPr>
    </w:p>
    <w:p w:rsidR="00CF3F69" w:rsidRPr="00F91C13" w:rsidRDefault="00CF3F69" w:rsidP="00CF3F69">
      <w:pPr>
        <w:ind w:left="851"/>
        <w:rPr>
          <w:i/>
          <w:sz w:val="24"/>
          <w:szCs w:val="24"/>
        </w:rPr>
      </w:pPr>
      <w:r w:rsidRPr="00F91C13">
        <w:rPr>
          <w:i/>
          <w:sz w:val="24"/>
          <w:szCs w:val="24"/>
        </w:rPr>
        <w:t xml:space="preserve">Generelt </w:t>
      </w:r>
    </w:p>
    <w:p w:rsidR="00CF3F69" w:rsidRDefault="00CF3F69" w:rsidP="00CF3F69">
      <w:pPr>
        <w:ind w:left="851"/>
        <w:rPr>
          <w:sz w:val="24"/>
          <w:szCs w:val="24"/>
        </w:rPr>
      </w:pPr>
      <w:r>
        <w:rPr>
          <w:sz w:val="24"/>
          <w:szCs w:val="24"/>
        </w:rPr>
        <w:t>Toksicitet som skyldes administration af capecitabin, kan behandles symptomatisk og/eller med modifikation af capecitabin dosis (afbrydelse af behandlingen eller reduktion af dosis). Når dosis først er sat ned, bør den ikke sættes op igen på et senere tidspunkt. For de toksiciteter, for hvilke den behandlende læge anser det for usandsynligt, at disse kan udvikle sig til at blive alvorlige eller livstruende, som f.eks. alopeci, smagsændringer og negleforandringer, kan behandlingen fortsættes med uændret dosis uden dosisreduktion eller behandlingsafbrydelse. Patienter, som tager Capecitabin ”S</w:t>
      </w:r>
      <w:r w:rsidR="007E4788">
        <w:rPr>
          <w:sz w:val="24"/>
          <w:szCs w:val="24"/>
        </w:rPr>
        <w:t>TADA</w:t>
      </w:r>
      <w:r>
        <w:rPr>
          <w:sz w:val="24"/>
          <w:szCs w:val="24"/>
        </w:rPr>
        <w:t xml:space="preserve">”, skal informeres om nødvendigheden af straks at stoppe behandlingen, hvis der kommer moderat eller svær toksicitet. Capecitabin-doser som ikke tages på grund af toksicitet erstattes ikke. De anbefalede dosismodifikationer for toksicitet er følgende: </w:t>
      </w:r>
    </w:p>
    <w:p w:rsidR="00CF3F69" w:rsidRDefault="00CF3F69" w:rsidP="00CF3F69">
      <w:pPr>
        <w:rPr>
          <w:sz w:val="24"/>
          <w:szCs w:val="24"/>
        </w:rPr>
      </w:pPr>
    </w:p>
    <w:p w:rsidR="00CF3F69" w:rsidRDefault="00CF3F69" w:rsidP="00CF3F69">
      <w:pPr>
        <w:ind w:left="851"/>
        <w:rPr>
          <w:sz w:val="24"/>
          <w:szCs w:val="24"/>
        </w:rPr>
      </w:pPr>
      <w:r>
        <w:rPr>
          <w:sz w:val="24"/>
          <w:szCs w:val="24"/>
        </w:rPr>
        <w:t>Tabel 3: Dosisreduktion af capecitabin (3-ugers serier eller kontinuerlig behandling)</w:t>
      </w:r>
    </w:p>
    <w:tbl>
      <w:tblPr>
        <w:tblW w:w="0" w:type="auto"/>
        <w:tblInd w:w="108" w:type="dxa"/>
        <w:tblLook w:val="04A0" w:firstRow="1" w:lastRow="0" w:firstColumn="1" w:lastColumn="0" w:noHBand="0" w:noVBand="1"/>
      </w:tblPr>
      <w:tblGrid>
        <w:gridCol w:w="2282"/>
        <w:gridCol w:w="4666"/>
        <w:gridCol w:w="2562"/>
      </w:tblGrid>
      <w:tr w:rsidR="00CF3F69" w:rsidTr="007E4788">
        <w:trPr>
          <w:trHeight w:val="799"/>
        </w:trPr>
        <w:tc>
          <w:tcPr>
            <w:tcW w:w="2410"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b/>
                <w:sz w:val="24"/>
                <w:szCs w:val="24"/>
              </w:rPr>
            </w:pPr>
            <w:r>
              <w:rPr>
                <w:b/>
                <w:bCs/>
                <w:sz w:val="24"/>
                <w:szCs w:val="24"/>
              </w:rPr>
              <w:t xml:space="preserve">Toksicitet </w:t>
            </w:r>
          </w:p>
          <w:p w:rsidR="00CF3F69" w:rsidRDefault="00CF3F69" w:rsidP="007E4788">
            <w:pPr>
              <w:rPr>
                <w:sz w:val="24"/>
                <w:szCs w:val="24"/>
              </w:rPr>
            </w:pPr>
            <w:r>
              <w:rPr>
                <w:b/>
                <w:bCs/>
                <w:sz w:val="24"/>
                <w:szCs w:val="24"/>
              </w:rPr>
              <w:t xml:space="preserve">graduering* </w:t>
            </w:r>
          </w:p>
        </w:tc>
        <w:tc>
          <w:tcPr>
            <w:tcW w:w="510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jc w:val="center"/>
              <w:rPr>
                <w:b/>
                <w:sz w:val="24"/>
                <w:szCs w:val="24"/>
              </w:rPr>
            </w:pPr>
            <w:r>
              <w:rPr>
                <w:b/>
                <w:bCs/>
                <w:sz w:val="24"/>
                <w:szCs w:val="24"/>
              </w:rPr>
              <w:t>Dosisændringer under en behandlingsserie</w:t>
            </w:r>
          </w:p>
        </w:tc>
        <w:tc>
          <w:tcPr>
            <w:tcW w:w="0" w:type="auto"/>
            <w:tcBorders>
              <w:top w:val="single" w:sz="8" w:space="0" w:color="000000"/>
              <w:left w:val="single" w:sz="8" w:space="0" w:color="000000"/>
              <w:bottom w:val="single" w:sz="8" w:space="0" w:color="000000"/>
              <w:right w:val="single" w:sz="8" w:space="0" w:color="000000"/>
            </w:tcBorders>
            <w:hideMark/>
          </w:tcPr>
          <w:p w:rsidR="00CF3F69" w:rsidRDefault="00CF3F69" w:rsidP="007E4788">
            <w:pPr>
              <w:rPr>
                <w:b/>
                <w:sz w:val="24"/>
                <w:szCs w:val="24"/>
              </w:rPr>
            </w:pPr>
            <w:r>
              <w:rPr>
                <w:b/>
                <w:bCs/>
                <w:sz w:val="24"/>
                <w:szCs w:val="24"/>
              </w:rPr>
              <w:t xml:space="preserve">Dosisjustering for </w:t>
            </w:r>
          </w:p>
          <w:p w:rsidR="00CF3F69" w:rsidRDefault="00CF3F69" w:rsidP="007E4788">
            <w:pPr>
              <w:rPr>
                <w:b/>
                <w:sz w:val="24"/>
                <w:szCs w:val="24"/>
              </w:rPr>
            </w:pPr>
            <w:r>
              <w:rPr>
                <w:b/>
                <w:bCs/>
                <w:sz w:val="24"/>
                <w:szCs w:val="24"/>
              </w:rPr>
              <w:t xml:space="preserve">næste serie/dosis </w:t>
            </w:r>
          </w:p>
          <w:p w:rsidR="00CF3F69" w:rsidRDefault="00CF3F69" w:rsidP="007E4788">
            <w:pPr>
              <w:rPr>
                <w:sz w:val="24"/>
                <w:szCs w:val="24"/>
              </w:rPr>
            </w:pPr>
            <w:r>
              <w:rPr>
                <w:b/>
                <w:bCs/>
                <w:sz w:val="24"/>
                <w:szCs w:val="24"/>
              </w:rPr>
              <w:t>(% af begyndelses</w:t>
            </w:r>
            <w:r>
              <w:rPr>
                <w:b/>
                <w:bCs/>
                <w:sz w:val="24"/>
                <w:szCs w:val="24"/>
              </w:rPr>
              <w:softHyphen/>
              <w:t>dosis)</w:t>
            </w:r>
            <w:r>
              <w:rPr>
                <w:bCs/>
                <w:sz w:val="24"/>
                <w:szCs w:val="24"/>
              </w:rPr>
              <w:t xml:space="preserve"> </w:t>
            </w:r>
          </w:p>
        </w:tc>
      </w:tr>
      <w:tr w:rsidR="00CF3F69" w:rsidTr="007E4788">
        <w:trPr>
          <w:trHeight w:val="307"/>
        </w:trPr>
        <w:tc>
          <w:tcPr>
            <w:tcW w:w="2410"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iCs/>
                <w:sz w:val="24"/>
                <w:szCs w:val="24"/>
              </w:rPr>
              <w:t>Grad 1</w:t>
            </w:r>
          </w:p>
        </w:tc>
        <w:tc>
          <w:tcPr>
            <w:tcW w:w="510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Fortsæt med samme dosis </w:t>
            </w:r>
          </w:p>
        </w:tc>
        <w:tc>
          <w:tcPr>
            <w:tcW w:w="0" w:type="auto"/>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Fortsæt med samme dosis </w:t>
            </w:r>
          </w:p>
        </w:tc>
      </w:tr>
      <w:tr w:rsidR="00CF3F69" w:rsidTr="007E4788">
        <w:trPr>
          <w:trHeight w:val="292"/>
        </w:trPr>
        <w:tc>
          <w:tcPr>
            <w:tcW w:w="9760" w:type="dxa"/>
            <w:gridSpan w:val="3"/>
            <w:tcBorders>
              <w:top w:val="single" w:sz="8" w:space="0" w:color="000000"/>
              <w:left w:val="single" w:sz="8" w:space="0" w:color="000000"/>
              <w:bottom w:val="single" w:sz="8" w:space="0" w:color="000000"/>
              <w:right w:val="single" w:sz="4" w:space="0" w:color="auto"/>
            </w:tcBorders>
            <w:hideMark/>
          </w:tcPr>
          <w:p w:rsidR="00CF3F69" w:rsidRDefault="00CF3F69" w:rsidP="007E4788">
            <w:pPr>
              <w:rPr>
                <w:sz w:val="24"/>
                <w:szCs w:val="24"/>
              </w:rPr>
            </w:pPr>
            <w:r>
              <w:rPr>
                <w:iCs/>
                <w:sz w:val="24"/>
                <w:szCs w:val="24"/>
              </w:rPr>
              <w:t>Grad 2</w:t>
            </w:r>
            <w:r>
              <w:rPr>
                <w:i/>
                <w:iCs/>
                <w:sz w:val="24"/>
                <w:szCs w:val="24"/>
              </w:rPr>
              <w:t xml:space="preserve"> </w:t>
            </w:r>
          </w:p>
        </w:tc>
      </w:tr>
      <w:tr w:rsidR="00CF3F69" w:rsidTr="007E4788">
        <w:trPr>
          <w:trHeight w:val="542"/>
        </w:trPr>
        <w:tc>
          <w:tcPr>
            <w:tcW w:w="2410"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ved 1. forekomst </w:t>
            </w:r>
          </w:p>
        </w:tc>
        <w:tc>
          <w:tcPr>
            <w:tcW w:w="5103" w:type="dxa"/>
            <w:vMerge w:val="restart"/>
            <w:tcBorders>
              <w:top w:val="single" w:sz="8" w:space="0" w:color="000000"/>
              <w:left w:val="single" w:sz="8" w:space="0" w:color="000000"/>
              <w:bottom w:val="nil"/>
              <w:right w:val="single" w:sz="8" w:space="0" w:color="000000"/>
            </w:tcBorders>
            <w:hideMark/>
          </w:tcPr>
          <w:p w:rsidR="00CF3F69" w:rsidRDefault="00CF3F69" w:rsidP="007E4788">
            <w:pPr>
              <w:rPr>
                <w:sz w:val="24"/>
                <w:szCs w:val="24"/>
              </w:rPr>
            </w:pPr>
            <w:r>
              <w:rPr>
                <w:sz w:val="24"/>
                <w:szCs w:val="24"/>
              </w:rPr>
              <w:t xml:space="preserve">Afbryd behandlingen indtil toksiciteten er reduceret til grad 0-1 </w:t>
            </w:r>
          </w:p>
        </w:tc>
        <w:tc>
          <w:tcPr>
            <w:tcW w:w="0" w:type="auto"/>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100 % </w:t>
            </w:r>
          </w:p>
        </w:tc>
      </w:tr>
      <w:tr w:rsidR="00CF3F69" w:rsidTr="007E4788">
        <w:trPr>
          <w:trHeight w:val="289"/>
        </w:trPr>
        <w:tc>
          <w:tcPr>
            <w:tcW w:w="2410"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ved 2. forekomst </w:t>
            </w:r>
          </w:p>
        </w:tc>
        <w:tc>
          <w:tcPr>
            <w:tcW w:w="5103" w:type="dxa"/>
            <w:vMerge/>
            <w:tcBorders>
              <w:top w:val="single" w:sz="8" w:space="0" w:color="000000"/>
              <w:left w:val="single" w:sz="8" w:space="0" w:color="000000"/>
              <w:bottom w:val="nil"/>
              <w:right w:val="single" w:sz="8" w:space="0" w:color="000000"/>
            </w:tcBorders>
            <w:vAlign w:val="center"/>
            <w:hideMark/>
          </w:tcPr>
          <w:p w:rsidR="00CF3F69" w:rsidRDefault="00CF3F69" w:rsidP="007E4788">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75 % </w:t>
            </w:r>
          </w:p>
        </w:tc>
      </w:tr>
      <w:tr w:rsidR="00CF3F69" w:rsidTr="007E4788">
        <w:trPr>
          <w:trHeight w:val="289"/>
        </w:trPr>
        <w:tc>
          <w:tcPr>
            <w:tcW w:w="2410"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ved 3. forekomst </w:t>
            </w:r>
          </w:p>
        </w:tc>
        <w:tc>
          <w:tcPr>
            <w:tcW w:w="5103" w:type="dxa"/>
            <w:vMerge/>
            <w:tcBorders>
              <w:top w:val="single" w:sz="8" w:space="0" w:color="000000"/>
              <w:left w:val="single" w:sz="8" w:space="0" w:color="000000"/>
              <w:bottom w:val="nil"/>
              <w:right w:val="single" w:sz="8" w:space="0" w:color="000000"/>
            </w:tcBorders>
            <w:vAlign w:val="center"/>
            <w:hideMark/>
          </w:tcPr>
          <w:p w:rsidR="00CF3F69" w:rsidRDefault="00CF3F69" w:rsidP="007E4788">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50 % </w:t>
            </w:r>
          </w:p>
        </w:tc>
      </w:tr>
      <w:tr w:rsidR="00CF3F69" w:rsidTr="007E4788">
        <w:trPr>
          <w:trHeight w:val="289"/>
        </w:trPr>
        <w:tc>
          <w:tcPr>
            <w:tcW w:w="2410"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lastRenderedPageBreak/>
              <w:t xml:space="preserve">ved 4. forekomst </w:t>
            </w:r>
          </w:p>
        </w:tc>
        <w:tc>
          <w:tcPr>
            <w:tcW w:w="510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Seponer behandlingen permanent </w:t>
            </w:r>
          </w:p>
        </w:tc>
        <w:tc>
          <w:tcPr>
            <w:tcW w:w="0" w:type="auto"/>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Ikke relevant </w:t>
            </w:r>
          </w:p>
        </w:tc>
      </w:tr>
      <w:tr w:rsidR="00CF3F69" w:rsidTr="007E4788">
        <w:trPr>
          <w:trHeight w:val="292"/>
        </w:trPr>
        <w:tc>
          <w:tcPr>
            <w:tcW w:w="9760" w:type="dxa"/>
            <w:gridSpan w:val="3"/>
            <w:tcBorders>
              <w:top w:val="single" w:sz="8" w:space="0" w:color="000000"/>
              <w:left w:val="single" w:sz="8" w:space="0" w:color="000000"/>
              <w:bottom w:val="single" w:sz="8" w:space="0" w:color="000000"/>
              <w:right w:val="single" w:sz="4" w:space="0" w:color="auto"/>
            </w:tcBorders>
            <w:hideMark/>
          </w:tcPr>
          <w:p w:rsidR="00CF3F69" w:rsidRDefault="00CF3F69" w:rsidP="007E4788">
            <w:pPr>
              <w:rPr>
                <w:sz w:val="24"/>
                <w:szCs w:val="24"/>
              </w:rPr>
            </w:pPr>
            <w:r>
              <w:rPr>
                <w:sz w:val="24"/>
                <w:szCs w:val="24"/>
              </w:rPr>
              <w:t>Grad 3</w:t>
            </w:r>
            <w:r>
              <w:rPr>
                <w:i/>
                <w:iCs/>
                <w:sz w:val="24"/>
                <w:szCs w:val="24"/>
              </w:rPr>
              <w:t xml:space="preserve"> </w:t>
            </w:r>
          </w:p>
        </w:tc>
      </w:tr>
      <w:tr w:rsidR="00CF3F69" w:rsidTr="007E4788">
        <w:trPr>
          <w:trHeight w:val="542"/>
        </w:trPr>
        <w:tc>
          <w:tcPr>
            <w:tcW w:w="2410"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ved 1. forekomst </w:t>
            </w:r>
          </w:p>
        </w:tc>
        <w:tc>
          <w:tcPr>
            <w:tcW w:w="5103" w:type="dxa"/>
            <w:vMerge w:val="restart"/>
            <w:tcBorders>
              <w:top w:val="single" w:sz="8" w:space="0" w:color="000000"/>
              <w:left w:val="single" w:sz="8" w:space="0" w:color="000000"/>
              <w:bottom w:val="nil"/>
              <w:right w:val="single" w:sz="8" w:space="0" w:color="000000"/>
            </w:tcBorders>
            <w:hideMark/>
          </w:tcPr>
          <w:p w:rsidR="00CF3F69" w:rsidRDefault="00CF3F69" w:rsidP="007E4788">
            <w:pPr>
              <w:rPr>
                <w:sz w:val="24"/>
                <w:szCs w:val="24"/>
              </w:rPr>
            </w:pPr>
            <w:r>
              <w:rPr>
                <w:sz w:val="24"/>
                <w:szCs w:val="24"/>
              </w:rPr>
              <w:t xml:space="preserve">Afbryd behandlingen indtil toksiciteten er reduceret til grad 0-1 </w:t>
            </w:r>
          </w:p>
        </w:tc>
        <w:tc>
          <w:tcPr>
            <w:tcW w:w="0" w:type="auto"/>
            <w:tcBorders>
              <w:top w:val="single" w:sz="8" w:space="0" w:color="000000"/>
              <w:left w:val="single" w:sz="8" w:space="0" w:color="000000"/>
              <w:bottom w:val="single" w:sz="8" w:space="0" w:color="000000"/>
              <w:right w:val="single" w:sz="4" w:space="0" w:color="auto"/>
            </w:tcBorders>
            <w:hideMark/>
          </w:tcPr>
          <w:p w:rsidR="00CF3F69" w:rsidRDefault="00CF3F69" w:rsidP="007E4788">
            <w:pPr>
              <w:rPr>
                <w:sz w:val="24"/>
                <w:szCs w:val="24"/>
              </w:rPr>
            </w:pPr>
            <w:r>
              <w:rPr>
                <w:sz w:val="24"/>
                <w:szCs w:val="24"/>
              </w:rPr>
              <w:t xml:space="preserve">75 % </w:t>
            </w:r>
          </w:p>
        </w:tc>
      </w:tr>
      <w:tr w:rsidR="00CF3F69" w:rsidTr="007E4788">
        <w:trPr>
          <w:trHeight w:val="289"/>
        </w:trPr>
        <w:tc>
          <w:tcPr>
            <w:tcW w:w="2410"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ved 2. forekomst </w:t>
            </w:r>
          </w:p>
        </w:tc>
        <w:tc>
          <w:tcPr>
            <w:tcW w:w="5103" w:type="dxa"/>
            <w:vMerge/>
            <w:tcBorders>
              <w:top w:val="single" w:sz="8" w:space="0" w:color="000000"/>
              <w:left w:val="single" w:sz="8" w:space="0" w:color="000000"/>
              <w:bottom w:val="nil"/>
              <w:right w:val="single" w:sz="8" w:space="0" w:color="000000"/>
            </w:tcBorders>
            <w:vAlign w:val="center"/>
            <w:hideMark/>
          </w:tcPr>
          <w:p w:rsidR="00CF3F69" w:rsidRDefault="00CF3F69" w:rsidP="007E4788">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50 % </w:t>
            </w:r>
          </w:p>
        </w:tc>
      </w:tr>
      <w:tr w:rsidR="00CF3F69" w:rsidTr="007E4788">
        <w:trPr>
          <w:trHeight w:val="289"/>
        </w:trPr>
        <w:tc>
          <w:tcPr>
            <w:tcW w:w="2410"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ved 3. forekomst </w:t>
            </w:r>
          </w:p>
        </w:tc>
        <w:tc>
          <w:tcPr>
            <w:tcW w:w="510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Seponer behandlingen permanent </w:t>
            </w:r>
          </w:p>
        </w:tc>
        <w:tc>
          <w:tcPr>
            <w:tcW w:w="0" w:type="auto"/>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Ikke relevant </w:t>
            </w:r>
          </w:p>
        </w:tc>
      </w:tr>
      <w:tr w:rsidR="00CF3F69" w:rsidTr="007E4788">
        <w:trPr>
          <w:trHeight w:val="385"/>
        </w:trPr>
        <w:tc>
          <w:tcPr>
            <w:tcW w:w="2410"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Grad 4</w:t>
            </w:r>
          </w:p>
        </w:tc>
        <w:tc>
          <w:tcPr>
            <w:tcW w:w="5103" w:type="dxa"/>
            <w:tcBorders>
              <w:top w:val="single" w:sz="8" w:space="0" w:color="000000"/>
              <w:left w:val="single" w:sz="8" w:space="0" w:color="000000"/>
              <w:bottom w:val="single" w:sz="8" w:space="0" w:color="000000"/>
              <w:right w:val="single" w:sz="8" w:space="0" w:color="000000"/>
            </w:tcBorders>
          </w:tcPr>
          <w:p w:rsidR="00CF3F69" w:rsidRDefault="00CF3F69" w:rsidP="007E4788">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Pr>
          <w:p w:rsidR="00CF3F69" w:rsidRDefault="00CF3F69" w:rsidP="007E4788">
            <w:pPr>
              <w:rPr>
                <w:sz w:val="24"/>
                <w:szCs w:val="24"/>
              </w:rPr>
            </w:pPr>
          </w:p>
        </w:tc>
      </w:tr>
      <w:tr w:rsidR="00CF3F69" w:rsidTr="007E4788">
        <w:trPr>
          <w:trHeight w:val="289"/>
        </w:trPr>
        <w:tc>
          <w:tcPr>
            <w:tcW w:w="2410"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Ved 1. forekomst</w:t>
            </w:r>
          </w:p>
        </w:tc>
        <w:tc>
          <w:tcPr>
            <w:tcW w:w="5103" w:type="dxa"/>
            <w:tcBorders>
              <w:top w:val="single" w:sz="8" w:space="0" w:color="000000"/>
              <w:left w:val="single" w:sz="8" w:space="0" w:color="000000"/>
              <w:bottom w:val="single" w:sz="8" w:space="0" w:color="000000"/>
              <w:right w:val="single" w:sz="8" w:space="0" w:color="000000"/>
            </w:tcBorders>
          </w:tcPr>
          <w:p w:rsidR="00CF3F69" w:rsidRDefault="00CF3F69" w:rsidP="007E4788">
            <w:pPr>
              <w:rPr>
                <w:sz w:val="24"/>
                <w:szCs w:val="24"/>
              </w:rPr>
            </w:pPr>
            <w:r>
              <w:rPr>
                <w:sz w:val="24"/>
                <w:szCs w:val="24"/>
              </w:rPr>
              <w:t xml:space="preserve">Seponer behandlingen permanent </w:t>
            </w:r>
          </w:p>
          <w:p w:rsidR="00CF3F69" w:rsidRDefault="00CF3F69" w:rsidP="007E4788">
            <w:pPr>
              <w:rPr>
                <w:i/>
                <w:sz w:val="24"/>
                <w:szCs w:val="24"/>
              </w:rPr>
            </w:pPr>
            <w:r>
              <w:rPr>
                <w:i/>
                <w:sz w:val="24"/>
                <w:szCs w:val="24"/>
              </w:rPr>
              <w:t>eller</w:t>
            </w:r>
          </w:p>
          <w:p w:rsidR="00CF3F69" w:rsidRDefault="00CF3F69" w:rsidP="007E4788">
            <w:pPr>
              <w:rPr>
                <w:sz w:val="24"/>
                <w:szCs w:val="24"/>
              </w:rPr>
            </w:pPr>
            <w:r>
              <w:rPr>
                <w:sz w:val="24"/>
                <w:szCs w:val="24"/>
              </w:rPr>
              <w:t>hvis lægen skønner at det bedste for patienten er at fortsætte, så afbryd behandlingen indtil toksiteten er reduceret til 0-1- grad</w:t>
            </w:r>
          </w:p>
        </w:tc>
        <w:tc>
          <w:tcPr>
            <w:tcW w:w="0" w:type="auto"/>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50%</w:t>
            </w:r>
          </w:p>
        </w:tc>
      </w:tr>
      <w:tr w:rsidR="00CF3F69" w:rsidTr="007E4788">
        <w:trPr>
          <w:trHeight w:val="289"/>
        </w:trPr>
        <w:tc>
          <w:tcPr>
            <w:tcW w:w="2410"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Ved 2. forekomst</w:t>
            </w:r>
          </w:p>
        </w:tc>
        <w:tc>
          <w:tcPr>
            <w:tcW w:w="510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Seponer behandlingen permanent</w:t>
            </w:r>
          </w:p>
        </w:tc>
        <w:tc>
          <w:tcPr>
            <w:tcW w:w="0" w:type="auto"/>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Ikke relevant</w:t>
            </w:r>
          </w:p>
        </w:tc>
      </w:tr>
    </w:tbl>
    <w:p w:rsidR="00CF3F69" w:rsidRDefault="00CF3F69" w:rsidP="00CF3F69">
      <w:pPr>
        <w:rPr>
          <w:sz w:val="24"/>
          <w:szCs w:val="24"/>
        </w:rPr>
      </w:pPr>
    </w:p>
    <w:p w:rsidR="00CF3F69" w:rsidRDefault="00CF3F69" w:rsidP="00CF3F69">
      <w:pPr>
        <w:ind w:left="1134" w:hanging="283"/>
        <w:rPr>
          <w:sz w:val="24"/>
          <w:szCs w:val="24"/>
        </w:rPr>
      </w:pPr>
      <w:r>
        <w:rPr>
          <w:sz w:val="24"/>
          <w:szCs w:val="24"/>
          <w:lang w:val="en-GB"/>
        </w:rPr>
        <w:t>*</w:t>
      </w:r>
      <w:r>
        <w:rPr>
          <w:sz w:val="24"/>
          <w:szCs w:val="24"/>
          <w:lang w:val="en-GB"/>
        </w:rPr>
        <w:tab/>
        <w:t xml:space="preserve">Ifølge National Cancer Institute of Canada Clinical Trial Group (NCIC CTG) Common Toxicity Criteria (version 1) eller Common Terminology Criteria for Adverse Events (CTCAE) fra Cancer Therapy Evaluation Program, US National Cancer Institute, version 4,0. </w:t>
      </w:r>
      <w:r>
        <w:rPr>
          <w:sz w:val="24"/>
          <w:szCs w:val="24"/>
        </w:rPr>
        <w:t xml:space="preserve">Vedrørende hand-foot-syndrom og hyperbilirubinæmi (se pkt. 4.4). </w:t>
      </w:r>
    </w:p>
    <w:p w:rsidR="00CF3F69" w:rsidRDefault="00CF3F69" w:rsidP="00CF3F69">
      <w:pPr>
        <w:ind w:left="1134"/>
        <w:rPr>
          <w:i/>
          <w:iCs/>
          <w:sz w:val="24"/>
          <w:szCs w:val="24"/>
        </w:rPr>
      </w:pPr>
    </w:p>
    <w:p w:rsidR="00CF3F69" w:rsidRDefault="00CF3F69" w:rsidP="00CF3F69">
      <w:pPr>
        <w:ind w:left="1134"/>
        <w:rPr>
          <w:sz w:val="24"/>
          <w:szCs w:val="24"/>
        </w:rPr>
      </w:pPr>
      <w:r>
        <w:rPr>
          <w:i/>
          <w:iCs/>
          <w:sz w:val="24"/>
          <w:szCs w:val="24"/>
        </w:rPr>
        <w:t xml:space="preserve">Hæmatologi: </w:t>
      </w:r>
      <w:r>
        <w:rPr>
          <w:sz w:val="24"/>
          <w:szCs w:val="24"/>
        </w:rPr>
        <w:t>Patienter, som ved baseline har et neutrofiltal &lt; 1,5 x 10</w:t>
      </w:r>
      <w:r w:rsidRPr="00217B2D">
        <w:rPr>
          <w:sz w:val="24"/>
          <w:szCs w:val="24"/>
          <w:vertAlign w:val="superscript"/>
        </w:rPr>
        <w:t>9</w:t>
      </w:r>
      <w:r>
        <w:rPr>
          <w:sz w:val="24"/>
          <w:szCs w:val="24"/>
        </w:rPr>
        <w:t>/l og/eller et trombocyttal &lt; 100 x 10</w:t>
      </w:r>
      <w:r w:rsidRPr="00217B2D">
        <w:rPr>
          <w:sz w:val="24"/>
          <w:szCs w:val="24"/>
          <w:vertAlign w:val="superscript"/>
        </w:rPr>
        <w:t>9</w:t>
      </w:r>
      <w:r>
        <w:rPr>
          <w:sz w:val="24"/>
          <w:szCs w:val="24"/>
        </w:rPr>
        <w:t>/l, bør ikke behandles med capecitabin. Hvis uplanlagte laboratorieresultater under en behandlingscyklus viser, at neutrofiltallet falder til under 1,0 x 10</w:t>
      </w:r>
      <w:r w:rsidRPr="00217B2D">
        <w:rPr>
          <w:sz w:val="24"/>
          <w:szCs w:val="24"/>
          <w:vertAlign w:val="superscript"/>
        </w:rPr>
        <w:t>9</w:t>
      </w:r>
      <w:r>
        <w:rPr>
          <w:sz w:val="24"/>
          <w:szCs w:val="24"/>
        </w:rPr>
        <w:t>/l, eller antallet af blodplader falder til under 75 x 10</w:t>
      </w:r>
      <w:r w:rsidRPr="00217B2D">
        <w:rPr>
          <w:sz w:val="24"/>
          <w:szCs w:val="24"/>
          <w:vertAlign w:val="superscript"/>
        </w:rPr>
        <w:t>9</w:t>
      </w:r>
      <w:r>
        <w:rPr>
          <w:sz w:val="24"/>
          <w:szCs w:val="24"/>
        </w:rPr>
        <w:t xml:space="preserve">/l, bør behandling med capecitabin afbrydes. </w:t>
      </w:r>
    </w:p>
    <w:p w:rsidR="00CF3F69" w:rsidRDefault="00CF3F69" w:rsidP="00CF3F69">
      <w:pPr>
        <w:ind w:left="851"/>
        <w:rPr>
          <w:sz w:val="24"/>
          <w:szCs w:val="24"/>
        </w:rPr>
      </w:pPr>
    </w:p>
    <w:p w:rsidR="00CF3F69" w:rsidRDefault="00CF3F69" w:rsidP="00CF3F69">
      <w:pPr>
        <w:ind w:left="851"/>
        <w:rPr>
          <w:sz w:val="24"/>
          <w:szCs w:val="24"/>
        </w:rPr>
      </w:pPr>
      <w:r>
        <w:rPr>
          <w:sz w:val="24"/>
          <w:szCs w:val="24"/>
          <w:u w:val="single"/>
        </w:rPr>
        <w:t>Dosisændringer på grund af toksicitet når capecitabin anvendes i tre ugers serie i kombination med andre lægemidler</w:t>
      </w:r>
    </w:p>
    <w:p w:rsidR="00CF3F69" w:rsidRDefault="00CF3F69" w:rsidP="00CF3F69">
      <w:pPr>
        <w:ind w:left="851"/>
        <w:rPr>
          <w:sz w:val="24"/>
          <w:szCs w:val="24"/>
        </w:rPr>
      </w:pPr>
      <w:r>
        <w:rPr>
          <w:sz w:val="24"/>
          <w:szCs w:val="24"/>
        </w:rPr>
        <w:t>Når Capecitabin ”S</w:t>
      </w:r>
      <w:r w:rsidR="007E4788">
        <w:rPr>
          <w:sz w:val="24"/>
          <w:szCs w:val="24"/>
        </w:rPr>
        <w:t>TADA</w:t>
      </w:r>
      <w:r>
        <w:rPr>
          <w:sz w:val="24"/>
          <w:szCs w:val="24"/>
        </w:rPr>
        <w:t xml:space="preserve">” anvendes i tre ugers serie i kombination med andre lægemidler, skal dosisændring foretages i henhold til tabel 3 ovenfor for capecitabin og efter det pågældende produktresumé for det andet lægemiddel/de andre lægemidler. </w:t>
      </w:r>
    </w:p>
    <w:p w:rsidR="00CF3F69" w:rsidRDefault="00CF3F69" w:rsidP="00CF3F69">
      <w:pPr>
        <w:rPr>
          <w:sz w:val="24"/>
          <w:szCs w:val="24"/>
        </w:rPr>
      </w:pPr>
    </w:p>
    <w:p w:rsidR="00CF3F69" w:rsidRDefault="00CF3F69" w:rsidP="00CF3F69">
      <w:pPr>
        <w:ind w:left="851"/>
        <w:rPr>
          <w:sz w:val="24"/>
          <w:szCs w:val="24"/>
        </w:rPr>
      </w:pPr>
      <w:r>
        <w:rPr>
          <w:sz w:val="24"/>
          <w:szCs w:val="24"/>
        </w:rPr>
        <w:t>Hvis det ved starten af en behandlingsserie er indiceret at udsætte enten behandlingen med Capecitabin ”S</w:t>
      </w:r>
      <w:r w:rsidR="007E4788">
        <w:rPr>
          <w:sz w:val="24"/>
          <w:szCs w:val="24"/>
        </w:rPr>
        <w:t>TADA</w:t>
      </w:r>
      <w:r>
        <w:rPr>
          <w:sz w:val="24"/>
          <w:szCs w:val="24"/>
        </w:rPr>
        <w:t xml:space="preserve">” eller det andet lægemiddel/de andre lægemidler, skal behandlingen med alle lægemidler udsættes, indtil betingelserne for genoptagelse af behandling med alle lægemidler er opfyldt. </w:t>
      </w:r>
    </w:p>
    <w:p w:rsidR="00CF3F69" w:rsidRDefault="00CF3F69" w:rsidP="00CF3F69">
      <w:pPr>
        <w:ind w:left="851"/>
        <w:rPr>
          <w:sz w:val="24"/>
          <w:szCs w:val="24"/>
        </w:rPr>
      </w:pPr>
    </w:p>
    <w:p w:rsidR="00CF3F69" w:rsidRDefault="00CF3F69" w:rsidP="00CF3F69">
      <w:pPr>
        <w:ind w:left="851"/>
        <w:rPr>
          <w:sz w:val="24"/>
          <w:szCs w:val="24"/>
        </w:rPr>
      </w:pPr>
      <w:r>
        <w:rPr>
          <w:sz w:val="24"/>
          <w:szCs w:val="24"/>
        </w:rPr>
        <w:t>For de toksiske virkninger, der af den behandlende læge under en behandlingsserie ikke anses for at være relateret til Capecitabin ”S</w:t>
      </w:r>
      <w:r w:rsidR="007E4788">
        <w:rPr>
          <w:sz w:val="24"/>
          <w:szCs w:val="24"/>
        </w:rPr>
        <w:t>TADA</w:t>
      </w:r>
      <w:r>
        <w:rPr>
          <w:sz w:val="24"/>
          <w:szCs w:val="24"/>
        </w:rPr>
        <w:t>”, bør behandlingen med Capecitabin ”S</w:t>
      </w:r>
      <w:r w:rsidR="007E4788">
        <w:rPr>
          <w:sz w:val="24"/>
          <w:szCs w:val="24"/>
        </w:rPr>
        <w:t>TADA</w:t>
      </w:r>
      <w:r>
        <w:rPr>
          <w:sz w:val="24"/>
          <w:szCs w:val="24"/>
        </w:rPr>
        <w:t xml:space="preserve">” fortsætte, og dosis af det andet lægemiddel bør justeres i henhold til det pågældende produktresumé. </w:t>
      </w:r>
    </w:p>
    <w:p w:rsidR="00CF3F69" w:rsidRDefault="00CF3F69" w:rsidP="00CF3F69">
      <w:pPr>
        <w:ind w:left="851"/>
        <w:rPr>
          <w:sz w:val="24"/>
          <w:szCs w:val="24"/>
        </w:rPr>
      </w:pPr>
    </w:p>
    <w:p w:rsidR="00CF3F69" w:rsidRDefault="00CF3F69" w:rsidP="00CF3F69">
      <w:pPr>
        <w:ind w:left="851"/>
        <w:rPr>
          <w:sz w:val="24"/>
          <w:szCs w:val="24"/>
        </w:rPr>
      </w:pPr>
      <w:r>
        <w:rPr>
          <w:sz w:val="24"/>
          <w:szCs w:val="24"/>
        </w:rPr>
        <w:t>Hvis behandling med det/de andet/andre lægemiddel/lægemidler skal afbrydes permanent, kan behandlingen med Capecitabin ”S</w:t>
      </w:r>
      <w:r w:rsidR="007E4788">
        <w:rPr>
          <w:sz w:val="24"/>
          <w:szCs w:val="24"/>
        </w:rPr>
        <w:t>TADA</w:t>
      </w:r>
      <w:r>
        <w:rPr>
          <w:sz w:val="24"/>
          <w:szCs w:val="24"/>
        </w:rPr>
        <w:t xml:space="preserve">” genoptages, når betingelserne herfor genoptagelse er opfyldt. </w:t>
      </w:r>
    </w:p>
    <w:p w:rsidR="00CF3F69" w:rsidRDefault="00CF3F69" w:rsidP="00CF3F69">
      <w:pPr>
        <w:ind w:left="851"/>
        <w:rPr>
          <w:sz w:val="24"/>
          <w:szCs w:val="24"/>
        </w:rPr>
      </w:pPr>
    </w:p>
    <w:p w:rsidR="00CF3F69" w:rsidRDefault="00CF3F69" w:rsidP="00CF3F69">
      <w:pPr>
        <w:ind w:left="851"/>
        <w:rPr>
          <w:sz w:val="24"/>
          <w:szCs w:val="24"/>
        </w:rPr>
      </w:pPr>
      <w:r>
        <w:rPr>
          <w:sz w:val="24"/>
          <w:szCs w:val="24"/>
        </w:rPr>
        <w:t xml:space="preserve">Dette gælder for alle indikationer og for alle særlige populationer. </w:t>
      </w:r>
    </w:p>
    <w:p w:rsidR="00CF3F69" w:rsidRDefault="00CF3F69" w:rsidP="00CF3F69">
      <w:pPr>
        <w:ind w:left="851"/>
        <w:rPr>
          <w:sz w:val="24"/>
          <w:szCs w:val="24"/>
        </w:rPr>
      </w:pPr>
    </w:p>
    <w:p w:rsidR="00CF3F69" w:rsidRDefault="00CF3F69" w:rsidP="00CF3F69">
      <w:pPr>
        <w:keepNext/>
        <w:ind w:left="851"/>
        <w:rPr>
          <w:sz w:val="24"/>
          <w:szCs w:val="24"/>
        </w:rPr>
      </w:pPr>
      <w:r>
        <w:rPr>
          <w:sz w:val="24"/>
          <w:szCs w:val="24"/>
          <w:u w:val="single"/>
        </w:rPr>
        <w:lastRenderedPageBreak/>
        <w:t>Dosisændring på grund af toksicitet når capecitabin anvendes kontinuerligt i kombination med andre lægemidler</w:t>
      </w:r>
    </w:p>
    <w:p w:rsidR="00CF3F69" w:rsidRDefault="00CF3F69" w:rsidP="00CF3F69">
      <w:pPr>
        <w:ind w:left="851"/>
        <w:rPr>
          <w:sz w:val="24"/>
          <w:szCs w:val="24"/>
        </w:rPr>
      </w:pPr>
      <w:r>
        <w:rPr>
          <w:sz w:val="24"/>
          <w:szCs w:val="24"/>
        </w:rPr>
        <w:t>Dosisændring på grund af toksicitet, når Capecitabin ”S</w:t>
      </w:r>
      <w:r w:rsidR="007E4788">
        <w:rPr>
          <w:sz w:val="24"/>
          <w:szCs w:val="24"/>
        </w:rPr>
        <w:t>TADA</w:t>
      </w:r>
      <w:r>
        <w:rPr>
          <w:sz w:val="24"/>
          <w:szCs w:val="24"/>
        </w:rPr>
        <w:t xml:space="preserve">” anvendes kontinuerligt i kombination med andre lægemidler, skal foretages efter tabel 3 ovenfor for capecitabin og efter det pågældende produktresumé for det andet lægemiddel/de andre lægemidler. </w:t>
      </w:r>
    </w:p>
    <w:p w:rsidR="00CF3F69" w:rsidRDefault="00CF3F69" w:rsidP="00CF3F69">
      <w:pPr>
        <w:ind w:left="851"/>
        <w:rPr>
          <w:sz w:val="24"/>
          <w:szCs w:val="24"/>
        </w:rPr>
      </w:pPr>
    </w:p>
    <w:p w:rsidR="00CF3F69" w:rsidRDefault="00CF3F69" w:rsidP="00CF3F69">
      <w:pPr>
        <w:ind w:left="851"/>
        <w:rPr>
          <w:sz w:val="24"/>
          <w:szCs w:val="24"/>
          <w:u w:val="single"/>
        </w:rPr>
      </w:pPr>
      <w:r>
        <w:rPr>
          <w:sz w:val="24"/>
          <w:szCs w:val="24"/>
          <w:u w:val="single"/>
        </w:rPr>
        <w:t>Dosisjusteringer for særlige populationer</w:t>
      </w:r>
    </w:p>
    <w:p w:rsidR="00CF3F69" w:rsidRDefault="00CF3F69" w:rsidP="00CF3F69">
      <w:pPr>
        <w:ind w:left="851"/>
        <w:rPr>
          <w:sz w:val="24"/>
          <w:szCs w:val="24"/>
        </w:rPr>
      </w:pPr>
    </w:p>
    <w:p w:rsidR="00CF3F69" w:rsidRDefault="00CF3F69" w:rsidP="00CF3F69">
      <w:pPr>
        <w:ind w:left="851"/>
        <w:rPr>
          <w:sz w:val="24"/>
          <w:szCs w:val="24"/>
        </w:rPr>
      </w:pPr>
      <w:r w:rsidRPr="00FA38B5">
        <w:rPr>
          <w:i/>
          <w:sz w:val="24"/>
          <w:szCs w:val="24"/>
        </w:rPr>
        <w:t>Leverinsufficiens</w:t>
      </w:r>
    </w:p>
    <w:p w:rsidR="00CF3F69" w:rsidRDefault="00CF3F69" w:rsidP="00CF3F69">
      <w:pPr>
        <w:ind w:left="851"/>
        <w:rPr>
          <w:sz w:val="24"/>
          <w:szCs w:val="24"/>
        </w:rPr>
      </w:pPr>
      <w:r>
        <w:rPr>
          <w:sz w:val="24"/>
          <w:szCs w:val="24"/>
        </w:rPr>
        <w:t>På grund af utilstrækkelige tilgængelige sikkerheds- og effektdata hos patienter med nedsat leverfunktion er der ingen anbefalet dosering. Der er ingen tilgængelig data vedrørende leverinsufficiens på grund af cirrhose eller hepatitis.</w:t>
      </w:r>
    </w:p>
    <w:p w:rsidR="00CF3F69" w:rsidRDefault="00CF3F69" w:rsidP="00CF3F69">
      <w:pPr>
        <w:ind w:left="851"/>
        <w:rPr>
          <w:sz w:val="24"/>
          <w:szCs w:val="24"/>
        </w:rPr>
      </w:pPr>
    </w:p>
    <w:p w:rsidR="00CF3F69" w:rsidRDefault="00CF3F69" w:rsidP="00CF3F69">
      <w:pPr>
        <w:ind w:left="851"/>
        <w:rPr>
          <w:sz w:val="24"/>
          <w:szCs w:val="24"/>
        </w:rPr>
      </w:pPr>
      <w:r w:rsidRPr="00FA38B5">
        <w:rPr>
          <w:i/>
          <w:sz w:val="24"/>
          <w:szCs w:val="24"/>
        </w:rPr>
        <w:t>Nyreinsufficiens</w:t>
      </w:r>
    </w:p>
    <w:p w:rsidR="00CF3F69" w:rsidRDefault="00CF3F69" w:rsidP="00CF3F69">
      <w:pPr>
        <w:ind w:left="851"/>
        <w:rPr>
          <w:sz w:val="24"/>
          <w:szCs w:val="24"/>
        </w:rPr>
      </w:pPr>
      <w:r>
        <w:rPr>
          <w:sz w:val="24"/>
          <w:szCs w:val="24"/>
        </w:rPr>
        <w:t>Capecitabin er kontraindiceret til patienter med svær nyreinsufficiens (creatininclearance under 30 ml/min ved baseline) [Cockcroft og Gault]. Incidensen af bivirkninger af sværhedsgrad 3 eller 4 er højere hos patienter med moderat nyreinsufficiens (creatininclearance 30-50 ml/min ved baseline), sammenlignet med den samlede population. Til patienter med moderat nyreinsufficiens ved baseline anbefales det at reducere dosis til 75 % af en initialdosis på 1250 mg/m</w:t>
      </w:r>
      <w:r w:rsidRPr="005E693C">
        <w:rPr>
          <w:sz w:val="24"/>
          <w:szCs w:val="24"/>
          <w:vertAlign w:val="superscript"/>
        </w:rPr>
        <w:t>2</w:t>
      </w:r>
      <w:r>
        <w:rPr>
          <w:sz w:val="24"/>
          <w:szCs w:val="24"/>
        </w:rPr>
        <w:t>. Til patienter med moderat nyreinsufficiens ved baseline er det for en initialdosis på 1000 mg/m</w:t>
      </w:r>
      <w:r w:rsidRPr="005E693C">
        <w:rPr>
          <w:sz w:val="24"/>
          <w:szCs w:val="24"/>
          <w:vertAlign w:val="superscript"/>
        </w:rPr>
        <w:t>2</w:t>
      </w:r>
      <w:r>
        <w:rPr>
          <w:position w:val="8"/>
          <w:sz w:val="24"/>
          <w:szCs w:val="24"/>
          <w:vertAlign w:val="superscript"/>
        </w:rPr>
        <w:t xml:space="preserve"> </w:t>
      </w:r>
      <w:r>
        <w:rPr>
          <w:sz w:val="24"/>
          <w:szCs w:val="24"/>
        </w:rPr>
        <w:t xml:space="preserve">ikke nødvendigt med dosisjustering. Til patienter med let nyreinsufficiens (creatininclearance 51-80 ml/min ved baseline) er dosisjustering ikke nødvendig. Hvis patienterne under behandlingen får uønskede hændelser af grad 2, 3 eller 4 tilrådes omhyggelig overvågning og øjeblikkelig afbrydelse af behandlingen med efterfølgende dosisjustering som beskrevet i tabel 3 ovenover. Capecitabin bør seponeres, hvis den beregnede creatininclearance under behandling falder til et niveau under 30 ml/min. </w:t>
      </w:r>
    </w:p>
    <w:p w:rsidR="00CF3F69" w:rsidRDefault="00CF3F69" w:rsidP="00CF3F69">
      <w:pPr>
        <w:ind w:left="851"/>
        <w:rPr>
          <w:sz w:val="24"/>
          <w:szCs w:val="24"/>
        </w:rPr>
      </w:pPr>
      <w:r>
        <w:rPr>
          <w:sz w:val="24"/>
          <w:szCs w:val="24"/>
        </w:rPr>
        <w:t xml:space="preserve">Rekommandationer for dosisjustering ved nyreinsufficiens gælder både for monoterapi og for kombinationsbehandling (se også afsnittet om ældre nedenfor). </w:t>
      </w:r>
    </w:p>
    <w:p w:rsidR="00CF3F69" w:rsidRDefault="00CF3F69" w:rsidP="00CF3F69">
      <w:pPr>
        <w:rPr>
          <w:sz w:val="24"/>
          <w:szCs w:val="24"/>
        </w:rPr>
      </w:pPr>
    </w:p>
    <w:p w:rsidR="00CF3F69" w:rsidRPr="00FE08C2" w:rsidRDefault="00CF3F69" w:rsidP="00CF3F69">
      <w:pPr>
        <w:ind w:left="851"/>
        <w:rPr>
          <w:sz w:val="24"/>
          <w:szCs w:val="24"/>
          <w:u w:val="single"/>
        </w:rPr>
      </w:pPr>
      <w:r w:rsidRPr="00FE08C2">
        <w:rPr>
          <w:sz w:val="24"/>
          <w:szCs w:val="24"/>
          <w:u w:val="single"/>
        </w:rPr>
        <w:t>Ældre</w:t>
      </w:r>
    </w:p>
    <w:p w:rsidR="00CF3F69" w:rsidRDefault="00CF3F69" w:rsidP="00CF3F69">
      <w:pPr>
        <w:ind w:left="851"/>
        <w:rPr>
          <w:sz w:val="24"/>
          <w:szCs w:val="24"/>
        </w:rPr>
      </w:pPr>
      <w:r>
        <w:rPr>
          <w:sz w:val="24"/>
          <w:szCs w:val="24"/>
        </w:rPr>
        <w:t>Under monoterapi med capecitabin er justering af initialdosis ikke nødvendig. Behandlingsrelaterede bivirkninger af sværhedsgrad 3 eller 4 var dog hyppigere hos patienter ≥ 60 år sammenlignet med yngre patienter.</w:t>
      </w:r>
    </w:p>
    <w:p w:rsidR="00CF3F69" w:rsidRDefault="00CF3F69" w:rsidP="00CF3F69">
      <w:pPr>
        <w:ind w:left="851"/>
        <w:rPr>
          <w:sz w:val="24"/>
          <w:szCs w:val="24"/>
        </w:rPr>
      </w:pPr>
    </w:p>
    <w:p w:rsidR="00CF3F69" w:rsidRDefault="00CF3F69" w:rsidP="00CF3F69">
      <w:pPr>
        <w:ind w:left="851"/>
        <w:rPr>
          <w:sz w:val="24"/>
          <w:szCs w:val="24"/>
        </w:rPr>
      </w:pPr>
      <w:r>
        <w:rPr>
          <w:sz w:val="24"/>
          <w:szCs w:val="24"/>
        </w:rPr>
        <w:t xml:space="preserve">Ældre patienter ((≥ 65 år) havde, sammenlignet med yngre patienter, flere bivirkninger af grad 3 og 4, inklusive de, som førte til seponering, når capecitabin blev anvendt i kombination med andre lægemidler. Omhyggelig monitorering af patienter ≥ 60 år tilrådes. </w:t>
      </w:r>
    </w:p>
    <w:p w:rsidR="00CF3F69" w:rsidRDefault="00CF3F69" w:rsidP="00CF3F69">
      <w:pPr>
        <w:ind w:left="851"/>
        <w:rPr>
          <w:sz w:val="24"/>
          <w:szCs w:val="24"/>
        </w:rPr>
      </w:pPr>
    </w:p>
    <w:p w:rsidR="00CF3F69" w:rsidRDefault="00CF3F69" w:rsidP="00CF3F69">
      <w:pPr>
        <w:ind w:left="851"/>
        <w:rPr>
          <w:sz w:val="24"/>
          <w:szCs w:val="24"/>
        </w:rPr>
      </w:pPr>
      <w:r>
        <w:rPr>
          <w:sz w:val="24"/>
          <w:szCs w:val="24"/>
        </w:rPr>
        <w:t xml:space="preserve">- </w:t>
      </w:r>
      <w:r>
        <w:rPr>
          <w:i/>
          <w:iCs/>
          <w:sz w:val="24"/>
          <w:szCs w:val="24"/>
        </w:rPr>
        <w:t xml:space="preserve">I kombination med docetaxel: </w:t>
      </w:r>
      <w:r>
        <w:rPr>
          <w:sz w:val="24"/>
          <w:szCs w:val="24"/>
        </w:rPr>
        <w:t>Der blev observeret en øget incidens af grad 3 eller 4 behandlingsrelaterede bivirkninger og behandlingsrelaterede alvorlige bivirkninger hos patienter på 60 år og derover (se pkt. 5.1). Til patienter på 60 år og derover anbefales det at reducere initialdosis af capecitabin til 75 % af vanlig initialdosis (950 mg/m</w:t>
      </w:r>
      <w:r w:rsidRPr="00FE08C2">
        <w:rPr>
          <w:sz w:val="24"/>
          <w:szCs w:val="24"/>
          <w:vertAlign w:val="superscript"/>
        </w:rPr>
        <w:t>2</w:t>
      </w:r>
      <w:r>
        <w:rPr>
          <w:position w:val="8"/>
          <w:sz w:val="24"/>
          <w:szCs w:val="24"/>
          <w:vertAlign w:val="superscript"/>
        </w:rPr>
        <w:t xml:space="preserve"> </w:t>
      </w:r>
      <w:r>
        <w:rPr>
          <w:sz w:val="24"/>
          <w:szCs w:val="24"/>
        </w:rPr>
        <w:t>to gange daglig). Hvis der ikke ses toksicitet hos patienter ≥ 60 år, som behandles med en nedsat initial capecitabin-dosis i kombination med docetaxel, kan capecitabin-dosis med forsigtighed øges til 1250 mg/m</w:t>
      </w:r>
      <w:r w:rsidRPr="00FE08C2">
        <w:rPr>
          <w:sz w:val="24"/>
          <w:szCs w:val="24"/>
          <w:vertAlign w:val="superscript"/>
        </w:rPr>
        <w:t>2</w:t>
      </w:r>
      <w:r>
        <w:rPr>
          <w:position w:val="8"/>
          <w:sz w:val="24"/>
          <w:szCs w:val="24"/>
          <w:vertAlign w:val="superscript"/>
        </w:rPr>
        <w:t xml:space="preserve"> </w:t>
      </w:r>
      <w:r>
        <w:rPr>
          <w:sz w:val="24"/>
          <w:szCs w:val="24"/>
        </w:rPr>
        <w:t>to gange daglig.</w:t>
      </w:r>
    </w:p>
    <w:p w:rsidR="00CF3F69" w:rsidRDefault="00CF3F69" w:rsidP="00CF3F69">
      <w:pPr>
        <w:ind w:left="851"/>
        <w:rPr>
          <w:sz w:val="24"/>
          <w:szCs w:val="24"/>
        </w:rPr>
      </w:pPr>
    </w:p>
    <w:p w:rsidR="00CF3F69" w:rsidRPr="00B106E8" w:rsidRDefault="00CF3F69" w:rsidP="00CF3F69">
      <w:pPr>
        <w:ind w:left="851"/>
        <w:rPr>
          <w:sz w:val="24"/>
          <w:szCs w:val="24"/>
          <w:u w:val="single"/>
        </w:rPr>
      </w:pPr>
      <w:r w:rsidRPr="00B106E8">
        <w:rPr>
          <w:sz w:val="24"/>
          <w:szCs w:val="24"/>
          <w:u w:val="single"/>
        </w:rPr>
        <w:t>Pædiatrisk population</w:t>
      </w:r>
    </w:p>
    <w:p w:rsidR="00CF3F69" w:rsidRDefault="00CF3F69" w:rsidP="00CF3F69">
      <w:pPr>
        <w:ind w:left="851"/>
        <w:rPr>
          <w:sz w:val="24"/>
          <w:szCs w:val="24"/>
        </w:rPr>
      </w:pPr>
      <w:r>
        <w:rPr>
          <w:sz w:val="24"/>
          <w:szCs w:val="24"/>
        </w:rPr>
        <w:t>Der er ingen relevant anvendelse af capecitabin hos den pædiatriske population for indikationerne colon-, colorectal-, gastrisk og brystcancer.</w:t>
      </w:r>
    </w:p>
    <w:p w:rsidR="00CF3F69" w:rsidRPr="0091137E" w:rsidRDefault="00CF3F69" w:rsidP="00CF3F69">
      <w:pPr>
        <w:ind w:left="851"/>
        <w:rPr>
          <w:sz w:val="24"/>
          <w:szCs w:val="24"/>
        </w:rPr>
      </w:pPr>
    </w:p>
    <w:p w:rsidR="00CF3F69" w:rsidRPr="003F2D1E" w:rsidRDefault="00CF3F69" w:rsidP="00CF3F69">
      <w:pPr>
        <w:ind w:left="851"/>
        <w:rPr>
          <w:b/>
          <w:sz w:val="24"/>
          <w:szCs w:val="24"/>
          <w:u w:val="single"/>
        </w:rPr>
      </w:pPr>
      <w:r w:rsidRPr="003F2D1E">
        <w:rPr>
          <w:b/>
          <w:sz w:val="24"/>
          <w:szCs w:val="24"/>
          <w:u w:val="single"/>
        </w:rPr>
        <w:lastRenderedPageBreak/>
        <w:t>Anvendelsesmåde</w:t>
      </w:r>
    </w:p>
    <w:p w:rsidR="00CF3F69" w:rsidRPr="000E5631" w:rsidRDefault="00CF3F69" w:rsidP="00CF3F69">
      <w:pPr>
        <w:ind w:left="851"/>
        <w:rPr>
          <w:sz w:val="24"/>
          <w:szCs w:val="24"/>
        </w:rPr>
      </w:pPr>
      <w:r w:rsidRPr="000E5631">
        <w:rPr>
          <w:sz w:val="24"/>
          <w:szCs w:val="24"/>
        </w:rPr>
        <w:t>Capecitabin tabletter skal synkes med vand inden for 30 minutter efter et m</w:t>
      </w:r>
      <w:r>
        <w:rPr>
          <w:sz w:val="24"/>
          <w:szCs w:val="24"/>
        </w:rPr>
        <w:t>å</w:t>
      </w:r>
      <w:r w:rsidRPr="000E5631">
        <w:rPr>
          <w:sz w:val="24"/>
          <w:szCs w:val="24"/>
        </w:rPr>
        <w:t>lt</w:t>
      </w:r>
      <w:r>
        <w:rPr>
          <w:sz w:val="24"/>
          <w:szCs w:val="24"/>
        </w:rPr>
        <w:t>i</w:t>
      </w:r>
      <w:r w:rsidRPr="000E5631">
        <w:rPr>
          <w:sz w:val="24"/>
          <w:szCs w:val="24"/>
        </w:rPr>
        <w:t>d.</w:t>
      </w:r>
    </w:p>
    <w:p w:rsidR="00CF3F69" w:rsidRPr="00EC0B9B" w:rsidRDefault="00CF3F69" w:rsidP="00CF3F69">
      <w:pPr>
        <w:tabs>
          <w:tab w:val="left" w:pos="851"/>
        </w:tabs>
        <w:ind w:left="709"/>
        <w:rPr>
          <w:sz w:val="24"/>
          <w:szCs w:val="24"/>
        </w:rPr>
      </w:pPr>
    </w:p>
    <w:p w:rsidR="00CF3F69" w:rsidRPr="00EC0B9B" w:rsidRDefault="00CF3F69" w:rsidP="00CF3F69">
      <w:pPr>
        <w:numPr>
          <w:ilvl w:val="1"/>
          <w:numId w:val="1"/>
        </w:numPr>
        <w:rPr>
          <w:b/>
          <w:sz w:val="24"/>
          <w:szCs w:val="24"/>
        </w:rPr>
      </w:pPr>
      <w:r w:rsidRPr="00EC0B9B">
        <w:rPr>
          <w:b/>
          <w:sz w:val="24"/>
          <w:szCs w:val="24"/>
        </w:rPr>
        <w:t>Kontraindikationer</w:t>
      </w:r>
    </w:p>
    <w:p w:rsidR="00D6212E" w:rsidRDefault="00D6212E" w:rsidP="00D6212E">
      <w:pPr>
        <w:numPr>
          <w:ilvl w:val="0"/>
          <w:numId w:val="9"/>
        </w:numPr>
        <w:ind w:hanging="229"/>
        <w:rPr>
          <w:sz w:val="24"/>
          <w:szCs w:val="24"/>
        </w:rPr>
      </w:pPr>
      <w:r>
        <w:rPr>
          <w:sz w:val="24"/>
          <w:szCs w:val="24"/>
        </w:rPr>
        <w:t xml:space="preserve">Tidligere alvorlige og uventede reaktioner på behandling med fluorpyrimidin, </w:t>
      </w:r>
    </w:p>
    <w:p w:rsidR="00D6212E" w:rsidRDefault="00D6212E" w:rsidP="00D6212E">
      <w:pPr>
        <w:numPr>
          <w:ilvl w:val="0"/>
          <w:numId w:val="9"/>
        </w:numPr>
        <w:ind w:hanging="229"/>
        <w:rPr>
          <w:sz w:val="24"/>
          <w:szCs w:val="24"/>
        </w:rPr>
      </w:pPr>
      <w:r>
        <w:rPr>
          <w:sz w:val="24"/>
          <w:szCs w:val="24"/>
        </w:rPr>
        <w:t>Overfølsomhed overfor capecitabin, fluorouracil eller et eller flere af hjælpestofferne anført i pkt. 6.1,</w:t>
      </w:r>
    </w:p>
    <w:p w:rsidR="00D6212E" w:rsidRDefault="00D6212E" w:rsidP="00D6212E">
      <w:pPr>
        <w:numPr>
          <w:ilvl w:val="0"/>
          <w:numId w:val="9"/>
        </w:numPr>
        <w:ind w:hanging="229"/>
        <w:rPr>
          <w:sz w:val="24"/>
          <w:szCs w:val="24"/>
        </w:rPr>
      </w:pPr>
      <w:r>
        <w:t>Kendt fuldstændig dihydropyrimidindehydrogenase- (DPD-) mangel (se pkt. 4.4).</w:t>
      </w:r>
    </w:p>
    <w:p w:rsidR="00D6212E" w:rsidRDefault="00D6212E" w:rsidP="00D6212E">
      <w:pPr>
        <w:numPr>
          <w:ilvl w:val="0"/>
          <w:numId w:val="9"/>
        </w:numPr>
        <w:ind w:hanging="229"/>
        <w:rPr>
          <w:sz w:val="24"/>
          <w:szCs w:val="24"/>
        </w:rPr>
      </w:pPr>
      <w:r>
        <w:rPr>
          <w:sz w:val="24"/>
          <w:szCs w:val="24"/>
        </w:rPr>
        <w:t xml:space="preserve">Graviditet og amning, </w:t>
      </w:r>
    </w:p>
    <w:p w:rsidR="00CF3F69" w:rsidRPr="00FD2757" w:rsidRDefault="00CF3F69" w:rsidP="00CF3F69">
      <w:pPr>
        <w:numPr>
          <w:ilvl w:val="0"/>
          <w:numId w:val="9"/>
        </w:numPr>
        <w:ind w:hanging="229"/>
        <w:rPr>
          <w:sz w:val="24"/>
          <w:szCs w:val="24"/>
          <w:lang w:val="nb-NO"/>
        </w:rPr>
      </w:pPr>
      <w:r w:rsidRPr="00FD2757">
        <w:rPr>
          <w:sz w:val="24"/>
          <w:szCs w:val="24"/>
          <w:lang w:val="nb-NO"/>
        </w:rPr>
        <w:t xml:space="preserve">Patienter med svær leukopeni, neutropeni eller trombocytopeni, </w:t>
      </w:r>
    </w:p>
    <w:p w:rsidR="00CF3F69" w:rsidRDefault="00CF3F69" w:rsidP="00CF3F69">
      <w:pPr>
        <w:numPr>
          <w:ilvl w:val="0"/>
          <w:numId w:val="9"/>
        </w:numPr>
        <w:ind w:hanging="229"/>
        <w:rPr>
          <w:sz w:val="24"/>
          <w:szCs w:val="24"/>
        </w:rPr>
      </w:pPr>
      <w:r>
        <w:rPr>
          <w:sz w:val="24"/>
          <w:szCs w:val="24"/>
        </w:rPr>
        <w:t xml:space="preserve">Patienter med svær leverinsufficiens, </w:t>
      </w:r>
    </w:p>
    <w:p w:rsidR="00CF3F69" w:rsidRDefault="00CF3F69" w:rsidP="00CF3F69">
      <w:pPr>
        <w:numPr>
          <w:ilvl w:val="0"/>
          <w:numId w:val="9"/>
        </w:numPr>
        <w:ind w:hanging="229"/>
        <w:rPr>
          <w:sz w:val="24"/>
          <w:szCs w:val="24"/>
        </w:rPr>
      </w:pPr>
      <w:r>
        <w:rPr>
          <w:sz w:val="24"/>
          <w:szCs w:val="24"/>
        </w:rPr>
        <w:t xml:space="preserve">Patienter med svær nyreinsufficiens (creatininclearance under 30 ml/min), </w:t>
      </w:r>
    </w:p>
    <w:p w:rsidR="00CF3F69" w:rsidRDefault="00CF3F69" w:rsidP="00CF3F69">
      <w:pPr>
        <w:numPr>
          <w:ilvl w:val="0"/>
          <w:numId w:val="9"/>
        </w:numPr>
        <w:ind w:hanging="229"/>
        <w:rPr>
          <w:sz w:val="24"/>
          <w:szCs w:val="24"/>
        </w:rPr>
      </w:pPr>
      <w:r>
        <w:rPr>
          <w:sz w:val="24"/>
          <w:szCs w:val="24"/>
        </w:rPr>
        <w:t xml:space="preserve">Nylig eller samtidig behandling med brivudin (se pkt. 4.4 og 4.5 for interaktioner mellem lægemidler), </w:t>
      </w:r>
    </w:p>
    <w:p w:rsidR="00CF3F69" w:rsidRDefault="00CF3F69" w:rsidP="00CF3F69">
      <w:pPr>
        <w:numPr>
          <w:ilvl w:val="0"/>
          <w:numId w:val="9"/>
        </w:numPr>
        <w:ind w:hanging="229"/>
        <w:rPr>
          <w:sz w:val="24"/>
          <w:szCs w:val="24"/>
        </w:rPr>
      </w:pPr>
      <w:r>
        <w:rPr>
          <w:sz w:val="24"/>
          <w:szCs w:val="24"/>
        </w:rPr>
        <w:t>Hvis der forekommer kontraindikationer til nogen af lægemidlerne i kombinationsregimet, bør det pågældende lægemiddel ikke anvendes.</w:t>
      </w:r>
    </w:p>
    <w:p w:rsidR="00CF3F69" w:rsidRDefault="00CF3F69" w:rsidP="00CF3F69">
      <w:pPr>
        <w:rPr>
          <w:sz w:val="24"/>
          <w:szCs w:val="24"/>
        </w:rPr>
      </w:pPr>
    </w:p>
    <w:p w:rsidR="00CF3F69" w:rsidRPr="00EC0B9B" w:rsidRDefault="00CF3F69" w:rsidP="00CF3F69">
      <w:pPr>
        <w:numPr>
          <w:ilvl w:val="1"/>
          <w:numId w:val="1"/>
        </w:numPr>
        <w:rPr>
          <w:b/>
          <w:sz w:val="24"/>
          <w:szCs w:val="24"/>
        </w:rPr>
      </w:pPr>
      <w:r w:rsidRPr="00EC0B9B">
        <w:rPr>
          <w:b/>
          <w:sz w:val="24"/>
          <w:szCs w:val="24"/>
        </w:rPr>
        <w:t>Særlige advarsler og forsigtighedsregler vedrørende brugen</w:t>
      </w:r>
    </w:p>
    <w:p w:rsidR="00CF3F69" w:rsidRDefault="00CF3F69" w:rsidP="00CF3F69">
      <w:pPr>
        <w:ind w:left="851"/>
        <w:rPr>
          <w:i/>
          <w:iCs/>
          <w:sz w:val="24"/>
          <w:szCs w:val="24"/>
        </w:rPr>
      </w:pPr>
    </w:p>
    <w:p w:rsidR="00CF3F69" w:rsidRPr="00F903C1" w:rsidRDefault="00CF3F69" w:rsidP="00CF3F69">
      <w:pPr>
        <w:ind w:left="851"/>
        <w:rPr>
          <w:iCs/>
          <w:sz w:val="24"/>
          <w:szCs w:val="24"/>
          <w:u w:val="single"/>
        </w:rPr>
      </w:pPr>
      <w:r w:rsidRPr="00F903C1">
        <w:rPr>
          <w:iCs/>
          <w:sz w:val="24"/>
          <w:szCs w:val="24"/>
          <w:u w:val="single"/>
        </w:rPr>
        <w:t>Dosisbegrænsende toksicitet</w:t>
      </w:r>
    </w:p>
    <w:p w:rsidR="00CF3F69" w:rsidRDefault="00CF3F69" w:rsidP="00CF3F69">
      <w:pPr>
        <w:ind w:left="851"/>
        <w:rPr>
          <w:sz w:val="24"/>
          <w:szCs w:val="24"/>
        </w:rPr>
      </w:pPr>
      <w:r w:rsidRPr="00F903C1">
        <w:rPr>
          <w:iCs/>
          <w:sz w:val="24"/>
          <w:szCs w:val="24"/>
        </w:rPr>
        <w:t xml:space="preserve">Dosisbegrænsende toksicitet </w:t>
      </w:r>
      <w:r w:rsidRPr="00F903C1">
        <w:rPr>
          <w:sz w:val="24"/>
          <w:szCs w:val="24"/>
        </w:rPr>
        <w:t>omfatter diarré, mavesmerter, kvalme, stomatitis og hand-foot</w:t>
      </w:r>
      <w:r>
        <w:rPr>
          <w:sz w:val="24"/>
          <w:szCs w:val="24"/>
        </w:rPr>
        <w:t xml:space="preserve"> syndrome (hand-foot hudreaktioner, palmo-plantar erythrodysæstesi). De fleste bivirkninger er reversible og kræver ikke permanent seponering af behandlingen selvom nogle doser måske skal springes over eller reduceres. </w:t>
      </w:r>
    </w:p>
    <w:p w:rsidR="00CF3F69" w:rsidRDefault="00CF3F69" w:rsidP="00CF3F69">
      <w:pPr>
        <w:ind w:left="851"/>
        <w:rPr>
          <w:sz w:val="24"/>
          <w:szCs w:val="24"/>
        </w:rPr>
      </w:pPr>
    </w:p>
    <w:p w:rsidR="00CF3F69" w:rsidRPr="00F903C1" w:rsidRDefault="00CF3F69" w:rsidP="00CF3F69">
      <w:pPr>
        <w:ind w:left="851"/>
        <w:rPr>
          <w:iCs/>
          <w:sz w:val="24"/>
          <w:szCs w:val="24"/>
          <w:u w:val="single"/>
        </w:rPr>
      </w:pPr>
      <w:r w:rsidRPr="00F903C1">
        <w:rPr>
          <w:iCs/>
          <w:sz w:val="24"/>
          <w:szCs w:val="24"/>
          <w:u w:val="single"/>
        </w:rPr>
        <w:t>Diarré</w:t>
      </w:r>
    </w:p>
    <w:p w:rsidR="00CF3F69" w:rsidRDefault="00CF3F69" w:rsidP="00CF3F69">
      <w:pPr>
        <w:ind w:left="851"/>
        <w:rPr>
          <w:sz w:val="24"/>
          <w:szCs w:val="24"/>
        </w:rPr>
      </w:pPr>
      <w:r>
        <w:rPr>
          <w:sz w:val="24"/>
          <w:szCs w:val="24"/>
        </w:rPr>
        <w:t xml:space="preserve">Patienter med svær diarré bør monitoreres omhyggeligt og gives væske og elektrolyttilskud, hvis de dehydreres. Der kan anvendes standardbehandling imod diarré (f.eks. loperamid). NCIC </w:t>
      </w:r>
      <w:proofErr w:type="gramStart"/>
      <w:r>
        <w:rPr>
          <w:sz w:val="24"/>
          <w:szCs w:val="24"/>
        </w:rPr>
        <w:t>CTC grad</w:t>
      </w:r>
      <w:proofErr w:type="gramEnd"/>
      <w:r>
        <w:rPr>
          <w:sz w:val="24"/>
          <w:szCs w:val="24"/>
        </w:rPr>
        <w:t xml:space="preserve"> 2 diarré defineres som en øgning til 4 til 6 afføringer/dag eller natlige afføringer, grad 3 diarré som en øgning til 7 til 9 afføringer/dag eller inkontinens og malabsorption, og grad 4 diarré som en øgning til flere end 10 afføringer/dag eller stærkt blodig diarré eller behov for parenteral støttebehandling. Dosis skal reduceres om nødvendigt (se pkt. 4.2).</w:t>
      </w:r>
    </w:p>
    <w:p w:rsidR="00CF3F69" w:rsidRDefault="00CF3F69" w:rsidP="00CF3F69">
      <w:pPr>
        <w:ind w:left="851"/>
        <w:rPr>
          <w:sz w:val="24"/>
          <w:szCs w:val="24"/>
        </w:rPr>
      </w:pPr>
    </w:p>
    <w:p w:rsidR="00CF3F69" w:rsidRPr="00F903C1" w:rsidRDefault="00CF3F69" w:rsidP="00CF3F69">
      <w:pPr>
        <w:ind w:left="851"/>
        <w:rPr>
          <w:iCs/>
          <w:sz w:val="24"/>
          <w:szCs w:val="24"/>
          <w:u w:val="single"/>
        </w:rPr>
      </w:pPr>
      <w:r w:rsidRPr="00F903C1">
        <w:rPr>
          <w:iCs/>
          <w:sz w:val="24"/>
          <w:szCs w:val="24"/>
          <w:u w:val="single"/>
        </w:rPr>
        <w:t>Dehydrering</w:t>
      </w:r>
    </w:p>
    <w:p w:rsidR="00CF3F69" w:rsidRDefault="00CF3F69" w:rsidP="00CF3F69">
      <w:pPr>
        <w:ind w:left="851"/>
        <w:rPr>
          <w:sz w:val="24"/>
          <w:szCs w:val="24"/>
        </w:rPr>
      </w:pPr>
      <w:r>
        <w:rPr>
          <w:sz w:val="24"/>
          <w:szCs w:val="24"/>
        </w:rPr>
        <w:t xml:space="preserve">Dehydrering bør forebygges eller korrigeres så snart, den forekommer. Patienter med anoreksi, asteni, kvalme, opkastning eller diarré kan hurtigt blive dehydrerede. </w:t>
      </w:r>
    </w:p>
    <w:p w:rsidR="00CF3F69" w:rsidRDefault="00CF3F69" w:rsidP="00CF3F69">
      <w:pPr>
        <w:ind w:left="851"/>
        <w:rPr>
          <w:sz w:val="24"/>
          <w:szCs w:val="24"/>
        </w:rPr>
      </w:pPr>
      <w:r>
        <w:rPr>
          <w:sz w:val="24"/>
          <w:szCs w:val="24"/>
        </w:rPr>
        <w:t xml:space="preserve">Dehydrering kan forårsage akut nyresvigt, specielt hos patienter med præ-eksisterende, kompromitteret nyrefunktion, eller når capecitabin gives samtidig med kendte nefrotoksiske lægemidler. Akut nyresvigt sekundært til dehydrering kan være potentielt fatalt. Ved dehydrering af grad 2 (eller højere), bør behandlingen med capecitabin straks seponeres, og dehydreringen korrigeres. Behandlingen bør ikke genoptages, før patienten er rehydreret, og udløsende årsager er korrigerede eller kontrollerede. Dosis ændres i henhold til de ovenfor anførte retningslinjer for den udløsende bivirkning (se pkt.4.2). </w:t>
      </w:r>
    </w:p>
    <w:p w:rsidR="00CF3F69" w:rsidRDefault="00CF3F69" w:rsidP="00CF3F69">
      <w:pPr>
        <w:ind w:left="851"/>
        <w:rPr>
          <w:sz w:val="24"/>
          <w:szCs w:val="24"/>
        </w:rPr>
      </w:pPr>
    </w:p>
    <w:p w:rsidR="00CF3F69" w:rsidRDefault="00CF3F69" w:rsidP="00CF3F69">
      <w:pPr>
        <w:ind w:left="851"/>
        <w:rPr>
          <w:iCs/>
          <w:sz w:val="24"/>
          <w:szCs w:val="24"/>
          <w:u w:val="single"/>
        </w:rPr>
      </w:pPr>
      <w:r w:rsidRPr="00F903C1">
        <w:rPr>
          <w:iCs/>
          <w:sz w:val="24"/>
          <w:szCs w:val="24"/>
          <w:u w:val="single"/>
        </w:rPr>
        <w:t>Hand-foot syndrom</w:t>
      </w:r>
    </w:p>
    <w:p w:rsidR="00CF3F69" w:rsidRDefault="00CF3F69" w:rsidP="00CF3F69">
      <w:pPr>
        <w:ind w:left="851"/>
        <w:rPr>
          <w:sz w:val="24"/>
          <w:szCs w:val="24"/>
        </w:rPr>
      </w:pPr>
      <w:r>
        <w:rPr>
          <w:iCs/>
          <w:sz w:val="24"/>
          <w:szCs w:val="24"/>
        </w:rPr>
        <w:t xml:space="preserve">Hand and foot syndrom, </w:t>
      </w:r>
      <w:r>
        <w:rPr>
          <w:sz w:val="24"/>
          <w:szCs w:val="24"/>
        </w:rPr>
        <w:t>også kendt som hand-foot hudreaktion, palmo-plantar erythrodysæstesi eller kemoterapiinduceret acralt erytem.</w:t>
      </w:r>
    </w:p>
    <w:p w:rsidR="00CF3F69" w:rsidRDefault="00CF3F69" w:rsidP="00CF3F69">
      <w:pPr>
        <w:ind w:left="851"/>
        <w:rPr>
          <w:sz w:val="24"/>
          <w:szCs w:val="24"/>
        </w:rPr>
      </w:pPr>
      <w:r>
        <w:rPr>
          <w:sz w:val="24"/>
          <w:szCs w:val="24"/>
        </w:rPr>
        <w:t>Grad 1 hand-foot syndrom defineres som følelsesløshed, dysæstesi/paræstesi, prikken, hævelse eller erytem uden smerter af hænderne og/eller fødderne og/eller ubehag der ikke påvirker patienternes daglige aktiviteter.</w:t>
      </w:r>
    </w:p>
    <w:p w:rsidR="00CF3F69" w:rsidRDefault="00CF3F69" w:rsidP="00CF3F69">
      <w:pPr>
        <w:ind w:left="851"/>
        <w:rPr>
          <w:sz w:val="24"/>
          <w:szCs w:val="24"/>
        </w:rPr>
      </w:pPr>
      <w:r>
        <w:rPr>
          <w:sz w:val="24"/>
          <w:szCs w:val="24"/>
        </w:rPr>
        <w:lastRenderedPageBreak/>
        <w:t xml:space="preserve"> </w:t>
      </w:r>
    </w:p>
    <w:p w:rsidR="00CF3F69" w:rsidRDefault="00CF3F69" w:rsidP="00CF3F69">
      <w:pPr>
        <w:ind w:left="851"/>
        <w:rPr>
          <w:sz w:val="24"/>
          <w:szCs w:val="24"/>
        </w:rPr>
      </w:pPr>
      <w:r>
        <w:rPr>
          <w:sz w:val="24"/>
          <w:szCs w:val="24"/>
        </w:rPr>
        <w:t xml:space="preserve">Grad 2 hand-foot syndrom defineres som smertefuld erytem og hævelse af hænderne og/eller fødderne og/eller ubehag der påvirker patienternes daglige aktiviteter. </w:t>
      </w:r>
    </w:p>
    <w:p w:rsidR="00CF3F69" w:rsidRDefault="00CF3F69" w:rsidP="00CF3F69">
      <w:pPr>
        <w:ind w:left="851"/>
        <w:rPr>
          <w:sz w:val="24"/>
          <w:szCs w:val="24"/>
        </w:rPr>
      </w:pPr>
    </w:p>
    <w:p w:rsidR="00CF3F69" w:rsidRDefault="00CF3F69" w:rsidP="00CF3F69">
      <w:pPr>
        <w:ind w:left="851"/>
        <w:rPr>
          <w:sz w:val="24"/>
          <w:szCs w:val="24"/>
        </w:rPr>
      </w:pPr>
      <w:r>
        <w:rPr>
          <w:sz w:val="24"/>
          <w:szCs w:val="24"/>
        </w:rPr>
        <w:t>Grad 3 hand-foot syndrom defineres som fugtig afskalning, ulceration, blisterdannelse og svær smerte af hænderne og/eller fødderne og/eller svært ubehag der forårsager at patienten ikke kan passe sit arbejde og er ude af stand til at udføre daglige aktiviteter. Vedvarende eller svær hand-foot syndrom (grad 2 og derover) kan i sidste ende føre til tab af fingeraftryk, som kan påvirke patientens identifikation. Hvis der optræder grad 2 eller 3 hand-foot syndrome, skal behandlingen med capecitabin afbrydes, indtil symptomerne forsvinder eller er aftaget i intensitet til grad 1. Efter grad 3 hand-foot syndrom skal dosis sættes ned. Hvis capecitabin og cisplatin anvendes i kombination, frarådes anvendelse af vitamin B</w:t>
      </w:r>
      <w:r>
        <w:rPr>
          <w:sz w:val="24"/>
          <w:szCs w:val="24"/>
          <w:vertAlign w:val="subscript"/>
        </w:rPr>
        <w:t>6</w:t>
      </w:r>
      <w:r>
        <w:rPr>
          <w:position w:val="-8"/>
          <w:sz w:val="24"/>
          <w:szCs w:val="24"/>
          <w:vertAlign w:val="subscript"/>
        </w:rPr>
        <w:t xml:space="preserve"> </w:t>
      </w:r>
      <w:r>
        <w:rPr>
          <w:sz w:val="24"/>
          <w:szCs w:val="24"/>
        </w:rPr>
        <w:t>(pyridoxin) til behandling af symptomatisk eller sekundær profylaktisk behandling af hand-foot-syndrom, da der er offentliggjort meddelelser om, at det kan nedsætte virkningen af cisplatin. Der er evidens for at dexpanthenol er effektivt til hånd-fod-syndrom profylakse hos patienter i behandling med capecitabin.</w:t>
      </w:r>
    </w:p>
    <w:p w:rsidR="00CF3F69" w:rsidRDefault="00CF3F69" w:rsidP="00CF3F69">
      <w:pPr>
        <w:rPr>
          <w:sz w:val="24"/>
          <w:szCs w:val="24"/>
        </w:rPr>
      </w:pPr>
    </w:p>
    <w:p w:rsidR="00CF3F69" w:rsidRPr="005A4D14" w:rsidRDefault="00CF3F69" w:rsidP="00CF3F69">
      <w:pPr>
        <w:ind w:left="851"/>
        <w:rPr>
          <w:iCs/>
          <w:sz w:val="24"/>
          <w:szCs w:val="24"/>
          <w:u w:val="single"/>
        </w:rPr>
      </w:pPr>
      <w:r w:rsidRPr="005A4D14">
        <w:rPr>
          <w:iCs/>
          <w:sz w:val="24"/>
          <w:szCs w:val="24"/>
          <w:u w:val="single"/>
        </w:rPr>
        <w:t>Kardiotoksicitet</w:t>
      </w:r>
    </w:p>
    <w:p w:rsidR="00CF3F69" w:rsidRDefault="00CF3F69" w:rsidP="00CF3F69">
      <w:pPr>
        <w:ind w:left="851"/>
        <w:rPr>
          <w:sz w:val="24"/>
          <w:szCs w:val="24"/>
        </w:rPr>
      </w:pPr>
      <w:r>
        <w:rPr>
          <w:sz w:val="24"/>
          <w:szCs w:val="24"/>
        </w:rPr>
        <w:t>Fluorpyrimidinterapi har været ledsaget af kardiotoksicitet, inklusive myokardieinfarkt, angina pectoris, dysrytmier, kardiogent shock, pludselig død og ekg-ændringer (herunder meget sjældne tilfælde af QT-forlængelse). Disse bivirkninger kan optræde hyppigere hos patienter med tidligere koronarinsufficiens. Der er rapporteret om kardiale arytmier (herunder ventrikelflimren, torsades de pointes og bradykardi), angina pectoris, myokardieinfarkt, hjerteinsufficiens og kardiomyopati hos patienter, som får capecitabin. Der skal iagttages forsigtighed hos patienter, som har signifikant hjertesygdom, arytmier og angina pectoris i anamnesen (se pkt. 4.8).</w:t>
      </w:r>
    </w:p>
    <w:p w:rsidR="00CF3F69" w:rsidRDefault="00CF3F69" w:rsidP="00CF3F69">
      <w:pPr>
        <w:ind w:left="851"/>
        <w:rPr>
          <w:sz w:val="24"/>
          <w:szCs w:val="24"/>
        </w:rPr>
      </w:pPr>
    </w:p>
    <w:p w:rsidR="00CF3F69" w:rsidRPr="005A4D14" w:rsidRDefault="00CF3F69" w:rsidP="00CF3F69">
      <w:pPr>
        <w:ind w:left="851"/>
        <w:rPr>
          <w:iCs/>
          <w:sz w:val="24"/>
          <w:szCs w:val="24"/>
          <w:u w:val="single"/>
        </w:rPr>
      </w:pPr>
      <w:r w:rsidRPr="005A4D14">
        <w:rPr>
          <w:iCs/>
          <w:sz w:val="24"/>
          <w:szCs w:val="24"/>
          <w:u w:val="single"/>
        </w:rPr>
        <w:t>Hypo- eller hyperkalcæmi</w:t>
      </w:r>
    </w:p>
    <w:p w:rsidR="00CF3F69" w:rsidRDefault="00CF3F69" w:rsidP="00CF3F69">
      <w:pPr>
        <w:ind w:left="851"/>
        <w:rPr>
          <w:sz w:val="24"/>
          <w:szCs w:val="24"/>
        </w:rPr>
      </w:pPr>
      <w:r>
        <w:rPr>
          <w:sz w:val="24"/>
          <w:szCs w:val="24"/>
        </w:rPr>
        <w:t>Der er rapporteret om hypo- og hyperkalcæmi under behandling med capecitabin. Der skal iagttages forsigtighed hos patienter med tidligere hypo- eller hyperkalcæmi (se pkt. 4.8).</w:t>
      </w:r>
    </w:p>
    <w:p w:rsidR="00CF3F69" w:rsidRDefault="00CF3F69" w:rsidP="00CF3F69">
      <w:pPr>
        <w:ind w:left="851"/>
        <w:rPr>
          <w:sz w:val="24"/>
          <w:szCs w:val="24"/>
        </w:rPr>
      </w:pPr>
    </w:p>
    <w:p w:rsidR="00CF3F69" w:rsidRPr="005A4D14" w:rsidRDefault="00CF3F69" w:rsidP="00CF3F69">
      <w:pPr>
        <w:ind w:left="851"/>
        <w:rPr>
          <w:iCs/>
          <w:sz w:val="24"/>
          <w:szCs w:val="24"/>
          <w:u w:val="single"/>
        </w:rPr>
      </w:pPr>
      <w:r w:rsidRPr="005A4D14">
        <w:rPr>
          <w:iCs/>
          <w:sz w:val="24"/>
          <w:szCs w:val="24"/>
          <w:u w:val="single"/>
        </w:rPr>
        <w:t>Centrale eller perifere nervesystem</w:t>
      </w:r>
    </w:p>
    <w:p w:rsidR="00CF3F69" w:rsidRDefault="00CF3F69" w:rsidP="00CF3F69">
      <w:pPr>
        <w:ind w:left="851"/>
        <w:rPr>
          <w:sz w:val="24"/>
          <w:szCs w:val="24"/>
        </w:rPr>
      </w:pPr>
      <w:r>
        <w:rPr>
          <w:sz w:val="24"/>
          <w:szCs w:val="24"/>
        </w:rPr>
        <w:t>Der skal iagttages forsigtighed hos patienter med sygdomme i centralnervesystemet eller i det perifere nervesystem, f.eks. hjernemetastaser eller neuropati (se pkt. 4.8).</w:t>
      </w:r>
    </w:p>
    <w:p w:rsidR="00CF3F69" w:rsidRDefault="00CF3F69" w:rsidP="00CF3F69">
      <w:pPr>
        <w:ind w:left="851"/>
        <w:rPr>
          <w:sz w:val="24"/>
          <w:szCs w:val="24"/>
        </w:rPr>
      </w:pPr>
    </w:p>
    <w:p w:rsidR="00CF3F69" w:rsidRPr="005A4D14" w:rsidRDefault="00CF3F69" w:rsidP="00CF3F69">
      <w:pPr>
        <w:ind w:left="851"/>
        <w:rPr>
          <w:iCs/>
          <w:sz w:val="24"/>
          <w:szCs w:val="24"/>
          <w:u w:val="single"/>
        </w:rPr>
      </w:pPr>
      <w:r w:rsidRPr="005A4D14">
        <w:rPr>
          <w:iCs/>
          <w:sz w:val="24"/>
          <w:szCs w:val="24"/>
          <w:u w:val="single"/>
        </w:rPr>
        <w:t>Diabetes mellitus eller elektrolytforstyrrelser</w:t>
      </w:r>
    </w:p>
    <w:p w:rsidR="00CF3F69" w:rsidRDefault="00CF3F69" w:rsidP="00CF3F69">
      <w:pPr>
        <w:ind w:left="851"/>
        <w:rPr>
          <w:sz w:val="24"/>
          <w:szCs w:val="24"/>
        </w:rPr>
      </w:pPr>
      <w:r>
        <w:rPr>
          <w:sz w:val="24"/>
          <w:szCs w:val="24"/>
        </w:rPr>
        <w:t xml:space="preserve">Der skal iagttages forsigtighed hos patienter med diabetes mellitus eller elektrolytforstyrrelser, da disse kan forværres under behandling med capecitabin. </w:t>
      </w:r>
    </w:p>
    <w:p w:rsidR="00CF3F69" w:rsidRDefault="00CF3F69" w:rsidP="00CF3F69">
      <w:pPr>
        <w:ind w:left="851"/>
        <w:rPr>
          <w:sz w:val="24"/>
          <w:szCs w:val="24"/>
        </w:rPr>
      </w:pPr>
    </w:p>
    <w:p w:rsidR="00CF3F69" w:rsidRPr="005A4D14" w:rsidRDefault="00CF3F69" w:rsidP="00CF3F69">
      <w:pPr>
        <w:ind w:left="851"/>
        <w:rPr>
          <w:iCs/>
          <w:sz w:val="24"/>
          <w:szCs w:val="24"/>
          <w:u w:val="single"/>
        </w:rPr>
      </w:pPr>
      <w:r w:rsidRPr="005A4D14">
        <w:rPr>
          <w:iCs/>
          <w:sz w:val="24"/>
          <w:szCs w:val="24"/>
          <w:u w:val="single"/>
        </w:rPr>
        <w:t>Antikoagulantia af coumarintypen</w:t>
      </w:r>
    </w:p>
    <w:p w:rsidR="00CF3F69" w:rsidRDefault="00CF3F69" w:rsidP="00CF3F69">
      <w:pPr>
        <w:ind w:left="851"/>
        <w:rPr>
          <w:sz w:val="24"/>
          <w:szCs w:val="24"/>
        </w:rPr>
      </w:pPr>
      <w:r>
        <w:rPr>
          <w:sz w:val="24"/>
          <w:szCs w:val="24"/>
        </w:rPr>
        <w:t xml:space="preserve">I et interaktionsstudie med enkeltdosis administration af warfarin, var der en signifikant stigning i middel-AUC (+ 57 %) af S-warfarin. Disse resultater tyder på en interaktion, sandsynligvis på grund af capecitabins hæmning af cytokrom P450 2C9 isoenzymsystemet. Hos patienter, som samtidig får behandling med capecitabin og orale antikoagulantia af coumarintypen, skal antikoagulansresponset (INR eller protrombintiden) monitoreres tæt, og antikoagulansdosis justeres, om nødvendigt (se pkt.4.5). </w:t>
      </w:r>
    </w:p>
    <w:p w:rsidR="00CF3F69" w:rsidRDefault="00CF3F69" w:rsidP="00CF3F69">
      <w:pPr>
        <w:ind w:left="851"/>
        <w:rPr>
          <w:sz w:val="24"/>
          <w:szCs w:val="24"/>
        </w:rPr>
      </w:pPr>
    </w:p>
    <w:p w:rsidR="00CF3F69" w:rsidRPr="00A554E5" w:rsidRDefault="00CF3F69" w:rsidP="00CF3F69">
      <w:pPr>
        <w:keepNext/>
        <w:ind w:left="851"/>
        <w:rPr>
          <w:iCs/>
          <w:sz w:val="24"/>
          <w:szCs w:val="24"/>
          <w:u w:val="single"/>
        </w:rPr>
      </w:pPr>
      <w:r w:rsidRPr="00A554E5">
        <w:rPr>
          <w:iCs/>
          <w:sz w:val="24"/>
          <w:szCs w:val="24"/>
          <w:u w:val="single"/>
        </w:rPr>
        <w:t>Brivudin</w:t>
      </w:r>
    </w:p>
    <w:p w:rsidR="00CF3F69" w:rsidRPr="004E308C" w:rsidRDefault="00CF3F69" w:rsidP="00CF3F69">
      <w:pPr>
        <w:ind w:left="851"/>
        <w:rPr>
          <w:iCs/>
          <w:sz w:val="24"/>
          <w:szCs w:val="24"/>
        </w:rPr>
      </w:pPr>
      <w:r w:rsidRPr="004E308C">
        <w:rPr>
          <w:iCs/>
          <w:sz w:val="24"/>
          <w:szCs w:val="24"/>
        </w:rPr>
        <w:t>Brivudin må ikke administreres samtidig med capecitabin. Der er rapporteret dødelige tilfælde som</w:t>
      </w:r>
      <w:r>
        <w:rPr>
          <w:iCs/>
          <w:sz w:val="24"/>
          <w:szCs w:val="24"/>
        </w:rPr>
        <w:t xml:space="preserve"> </w:t>
      </w:r>
      <w:r w:rsidRPr="004E308C">
        <w:rPr>
          <w:iCs/>
          <w:sz w:val="24"/>
          <w:szCs w:val="24"/>
        </w:rPr>
        <w:t>følge af denne lægemiddelinteraktion. Der skal være en periode på mindst 4 uger mellem endt</w:t>
      </w:r>
      <w:r>
        <w:rPr>
          <w:iCs/>
          <w:sz w:val="24"/>
          <w:szCs w:val="24"/>
        </w:rPr>
        <w:t xml:space="preserve"> </w:t>
      </w:r>
      <w:r w:rsidRPr="004E308C">
        <w:rPr>
          <w:iCs/>
          <w:sz w:val="24"/>
          <w:szCs w:val="24"/>
        </w:rPr>
        <w:t xml:space="preserve">behandling med brivudin og initiering af behandling med capecitabin. </w:t>
      </w:r>
      <w:r w:rsidRPr="004E308C">
        <w:rPr>
          <w:iCs/>
          <w:sz w:val="24"/>
          <w:szCs w:val="24"/>
        </w:rPr>
        <w:lastRenderedPageBreak/>
        <w:t>Behandling med brivudin kan</w:t>
      </w:r>
      <w:r>
        <w:rPr>
          <w:iCs/>
          <w:sz w:val="24"/>
          <w:szCs w:val="24"/>
        </w:rPr>
        <w:t xml:space="preserve"> </w:t>
      </w:r>
      <w:r w:rsidRPr="004E308C">
        <w:rPr>
          <w:iCs/>
          <w:sz w:val="24"/>
          <w:szCs w:val="24"/>
        </w:rPr>
        <w:t>initieres 24 timer efter sidste dosis af capecitabin (se pkt. 4.3 og 4.5). I tilfælde af utilsigtet</w:t>
      </w:r>
      <w:r>
        <w:rPr>
          <w:iCs/>
          <w:sz w:val="24"/>
          <w:szCs w:val="24"/>
        </w:rPr>
        <w:t xml:space="preserve"> </w:t>
      </w:r>
      <w:r w:rsidRPr="004E308C">
        <w:rPr>
          <w:iCs/>
          <w:sz w:val="24"/>
          <w:szCs w:val="24"/>
        </w:rPr>
        <w:t>administration af brivudin til patienter, der behandles med capecitabin, bør der tages effektive</w:t>
      </w:r>
      <w:r>
        <w:rPr>
          <w:iCs/>
          <w:sz w:val="24"/>
          <w:szCs w:val="24"/>
        </w:rPr>
        <w:t xml:space="preserve"> </w:t>
      </w:r>
      <w:r w:rsidRPr="004E308C">
        <w:rPr>
          <w:iCs/>
          <w:sz w:val="24"/>
          <w:szCs w:val="24"/>
        </w:rPr>
        <w:t>foranstaltninger for at reducere toksiciteten af capecitabin. Øjeblikkelig hospitalsindlæggelse</w:t>
      </w:r>
      <w:r>
        <w:rPr>
          <w:iCs/>
          <w:sz w:val="24"/>
          <w:szCs w:val="24"/>
        </w:rPr>
        <w:t xml:space="preserve"> </w:t>
      </w:r>
      <w:r w:rsidRPr="004E308C">
        <w:rPr>
          <w:iCs/>
          <w:sz w:val="24"/>
          <w:szCs w:val="24"/>
        </w:rPr>
        <w:t xml:space="preserve">anbefales. Alle foranstaltninger bør indledes for at forhindre systemiske infektioner og dehydrering. </w:t>
      </w:r>
    </w:p>
    <w:p w:rsidR="00CF3F69" w:rsidRDefault="00CF3F69" w:rsidP="00CF3F69">
      <w:pPr>
        <w:ind w:left="851"/>
        <w:rPr>
          <w:iCs/>
          <w:sz w:val="24"/>
          <w:szCs w:val="24"/>
          <w:u w:val="single"/>
        </w:rPr>
      </w:pPr>
    </w:p>
    <w:p w:rsidR="00CF3F69" w:rsidRPr="005A4D14" w:rsidRDefault="00CF3F69" w:rsidP="00CF3F69">
      <w:pPr>
        <w:ind w:left="851"/>
        <w:rPr>
          <w:iCs/>
          <w:sz w:val="24"/>
          <w:szCs w:val="24"/>
          <w:u w:val="single"/>
        </w:rPr>
      </w:pPr>
      <w:r w:rsidRPr="005A4D14">
        <w:rPr>
          <w:iCs/>
          <w:sz w:val="24"/>
          <w:szCs w:val="24"/>
          <w:u w:val="single"/>
        </w:rPr>
        <w:t>Leverinsufficiens</w:t>
      </w:r>
    </w:p>
    <w:p w:rsidR="00CF3F69" w:rsidRDefault="00CF3F69" w:rsidP="00CF3F69">
      <w:pPr>
        <w:ind w:left="851"/>
        <w:rPr>
          <w:sz w:val="24"/>
          <w:szCs w:val="24"/>
        </w:rPr>
      </w:pPr>
      <w:r>
        <w:rPr>
          <w:sz w:val="24"/>
          <w:szCs w:val="24"/>
        </w:rPr>
        <w:t xml:space="preserve">Da der ikke findes sikkerheds- og effektdata hos patienter med leverinsufficiens, skal anvendelsen af capecitabin kontrolleres omhyggeligt hos patienter med let til moderat leverdysfunktion, uanset om der er levermetastaser eller ej. Hvis der forekommer behandlingsrelaterede stigninger af bilirubin &gt; 3,0 x UNL eller af hepatiske aminotransferaser (ALAT og ASAT) &gt; 2,5 x UNL, skal behandlingen med capecitabin straks afbrydes. Behandlingen med capecitabin-monoterapi kan genoptages, når bilirubin er faldet til </w:t>
      </w:r>
      <w:r>
        <w:rPr>
          <w:rFonts w:ascii="Courier New" w:hAnsi="Courier New" w:cs="Courier New"/>
          <w:sz w:val="24"/>
          <w:szCs w:val="24"/>
        </w:rPr>
        <w:t xml:space="preserve">≤ </w:t>
      </w:r>
      <w:r>
        <w:rPr>
          <w:sz w:val="24"/>
          <w:szCs w:val="24"/>
        </w:rPr>
        <w:t xml:space="preserve">3,0 x UNL eller levertransaminaserne er faldet til ≤ 2,5 x UNL. </w:t>
      </w:r>
    </w:p>
    <w:p w:rsidR="00CF3F69" w:rsidRDefault="00CF3F69" w:rsidP="00CF3F69">
      <w:pPr>
        <w:ind w:left="851"/>
        <w:rPr>
          <w:sz w:val="24"/>
          <w:szCs w:val="24"/>
        </w:rPr>
      </w:pPr>
    </w:p>
    <w:p w:rsidR="00CF3F69" w:rsidRPr="005A4D14" w:rsidRDefault="00CF3F69" w:rsidP="00CF3F69">
      <w:pPr>
        <w:ind w:left="851"/>
        <w:rPr>
          <w:iCs/>
          <w:sz w:val="24"/>
          <w:szCs w:val="24"/>
          <w:u w:val="single"/>
        </w:rPr>
      </w:pPr>
      <w:r w:rsidRPr="005A4D14">
        <w:rPr>
          <w:iCs/>
          <w:sz w:val="24"/>
          <w:szCs w:val="24"/>
          <w:u w:val="single"/>
        </w:rPr>
        <w:t>Nyreinsufficiens</w:t>
      </w:r>
    </w:p>
    <w:p w:rsidR="00CF3F69" w:rsidRDefault="00CF3F69" w:rsidP="00CF3F69">
      <w:pPr>
        <w:ind w:left="851"/>
        <w:rPr>
          <w:sz w:val="24"/>
          <w:szCs w:val="24"/>
        </w:rPr>
      </w:pPr>
      <w:r>
        <w:rPr>
          <w:sz w:val="24"/>
          <w:szCs w:val="24"/>
        </w:rPr>
        <w:t>Sammenlignet med hele populationen er hyppigheden af bivirkninger af grad 3 eller 4 forøget hos patienter med moderat nyreinsufficiens (creatininclearance 30-50 ml/min) (se pkt. 4.2 og pkt. 4.3).</w:t>
      </w:r>
    </w:p>
    <w:p w:rsidR="00447130" w:rsidRDefault="00447130" w:rsidP="00CF3F69">
      <w:pPr>
        <w:ind w:left="851"/>
        <w:rPr>
          <w:sz w:val="24"/>
          <w:szCs w:val="24"/>
        </w:rPr>
      </w:pPr>
    </w:p>
    <w:p w:rsidR="00447130" w:rsidRPr="005D6D28" w:rsidRDefault="00447130" w:rsidP="00447130">
      <w:pPr>
        <w:ind w:left="851"/>
        <w:rPr>
          <w:u w:val="single"/>
        </w:rPr>
      </w:pPr>
      <w:r w:rsidRPr="005D6D28">
        <w:rPr>
          <w:u w:val="single"/>
        </w:rPr>
        <w:t xml:space="preserve">Dihydropyrimidindehydrogenase- (DPD-) mangel: </w:t>
      </w:r>
    </w:p>
    <w:p w:rsidR="00447130" w:rsidRDefault="00447130" w:rsidP="00447130">
      <w:pPr>
        <w:ind w:left="851"/>
      </w:pPr>
      <w:r>
        <w:t xml:space="preserve">DPD-aktiviteten er hastighedsbestemmende i katabolismen af 5-fluorouracil (se pkt. 5.2). Patienter med DPD-mangel har derfor en øget risiko for fluorpyrimidinrelateret toksicitet, herunder f.eks. stomatitis, diarré, slimhindeinflammation, neutropeni og neurotoksicitet. </w:t>
      </w:r>
    </w:p>
    <w:p w:rsidR="00447130" w:rsidRDefault="00447130" w:rsidP="00447130">
      <w:pPr>
        <w:ind w:left="851"/>
      </w:pPr>
    </w:p>
    <w:p w:rsidR="00447130" w:rsidRDefault="00447130" w:rsidP="00447130">
      <w:pPr>
        <w:ind w:left="851"/>
      </w:pPr>
      <w:r>
        <w:t xml:space="preserve">Toksicitet relateret til DPD-mangel forekommer sædvanligvis under den første behandlingsserie eller efter dosisøgning. </w:t>
      </w:r>
    </w:p>
    <w:p w:rsidR="00447130" w:rsidRDefault="00447130" w:rsidP="00447130">
      <w:pPr>
        <w:ind w:left="851"/>
      </w:pPr>
    </w:p>
    <w:p w:rsidR="00447130" w:rsidRDefault="00447130" w:rsidP="00447130">
      <w:pPr>
        <w:ind w:left="851"/>
      </w:pPr>
      <w:r w:rsidRPr="005D6D28">
        <w:rPr>
          <w:u w:val="single"/>
        </w:rPr>
        <w:t>Fuldstændig DPD-mangel</w:t>
      </w:r>
      <w:r>
        <w:t xml:space="preserve"> </w:t>
      </w:r>
    </w:p>
    <w:p w:rsidR="00447130" w:rsidRDefault="00447130" w:rsidP="00447130">
      <w:pPr>
        <w:ind w:left="851"/>
      </w:pPr>
      <w:r>
        <w:t xml:space="preserve">Fuldstændig DPD-mangel er sjælden (0,01-0,5 % af kaukasiere). Patienter med fuldstændig DPD-mangel har høj risiko for livstruende eller dødelig toksicitet, og disse patienter må ikke behandles med [særnavn] (se pkt. 4.3). </w:t>
      </w:r>
    </w:p>
    <w:p w:rsidR="00447130" w:rsidRDefault="00447130" w:rsidP="00447130">
      <w:pPr>
        <w:ind w:left="851"/>
      </w:pPr>
    </w:p>
    <w:p w:rsidR="00447130" w:rsidRPr="005D6D28" w:rsidRDefault="00447130" w:rsidP="00447130">
      <w:pPr>
        <w:ind w:left="851"/>
        <w:rPr>
          <w:u w:val="single"/>
        </w:rPr>
      </w:pPr>
      <w:r w:rsidRPr="005D6D28">
        <w:rPr>
          <w:u w:val="single"/>
        </w:rPr>
        <w:t xml:space="preserve">Delvis DPD-mangel </w:t>
      </w:r>
    </w:p>
    <w:p w:rsidR="00447130" w:rsidRDefault="00447130" w:rsidP="00447130">
      <w:pPr>
        <w:ind w:left="851"/>
      </w:pPr>
      <w:r>
        <w:t xml:space="preserve">Delvis DPD-mangel vurderes at påvirke 3-9 % af den kaukasiske befolkning. Patienter med delvis DPD-mangel har en øget risiko for svær eller potentielt livstruende toksicitet. En reduceret startdosis bør overvejes for at begrænse denne toksicitet. DPD-mangel skal betragtes som en parameter, der skal tages højde for i forbindelse med andre rutinemæssige foranstaltninger til dosisreduktion. Initial dosisreduktion kan påvirke effekten af behandlingen. Hvis der ikke ses alvorlig toksicitet, kan efterfølgende doser forøges med omhyggelig monitorering. </w:t>
      </w:r>
    </w:p>
    <w:p w:rsidR="00447130" w:rsidRDefault="00447130" w:rsidP="00447130">
      <w:pPr>
        <w:ind w:left="851"/>
      </w:pPr>
    </w:p>
    <w:p w:rsidR="00447130" w:rsidRPr="005D6D28" w:rsidRDefault="00447130" w:rsidP="00447130">
      <w:pPr>
        <w:ind w:left="851"/>
        <w:rPr>
          <w:u w:val="single"/>
        </w:rPr>
      </w:pPr>
      <w:r w:rsidRPr="005D6D28">
        <w:rPr>
          <w:u w:val="single"/>
        </w:rPr>
        <w:t xml:space="preserve">Testning for DPD-mangel </w:t>
      </w:r>
    </w:p>
    <w:p w:rsidR="00447130" w:rsidRDefault="00447130" w:rsidP="00447130">
      <w:pPr>
        <w:ind w:left="851"/>
      </w:pPr>
      <w:r>
        <w:t xml:space="preserve">Testning af fænotype og/eller genotype inden initiering af behandling med </w:t>
      </w:r>
      <w:r>
        <w:rPr>
          <w:sz w:val="24"/>
          <w:szCs w:val="24"/>
        </w:rPr>
        <w:t>capecitabin</w:t>
      </w:r>
      <w:r w:rsidDel="00E5301B">
        <w:t xml:space="preserve"> </w:t>
      </w:r>
      <w:r>
        <w:t xml:space="preserve">anbefales, på trods af usikkerheder omkring optimale testmetoder før behandling. Der skal tages hensyn til relevante kliniske retningslinjer. </w:t>
      </w:r>
    </w:p>
    <w:p w:rsidR="00447130" w:rsidRDefault="00447130" w:rsidP="00447130">
      <w:pPr>
        <w:ind w:left="851"/>
      </w:pPr>
    </w:p>
    <w:p w:rsidR="00447130" w:rsidRPr="005D6D28" w:rsidRDefault="00447130" w:rsidP="00447130">
      <w:pPr>
        <w:ind w:left="851"/>
        <w:rPr>
          <w:u w:val="single"/>
        </w:rPr>
      </w:pPr>
      <w:r w:rsidRPr="005D6D28">
        <w:rPr>
          <w:u w:val="single"/>
        </w:rPr>
        <w:t xml:space="preserve">Genotypisk karakterisering af DPD-mangel </w:t>
      </w:r>
    </w:p>
    <w:p w:rsidR="00447130" w:rsidRDefault="00447130" w:rsidP="00447130">
      <w:pPr>
        <w:ind w:left="851"/>
      </w:pPr>
      <w:r>
        <w:t xml:space="preserve">Testning før behandling for sjældne mutationer af </w:t>
      </w:r>
      <w:proofErr w:type="gramStart"/>
      <w:r>
        <w:t>DPYD genet</w:t>
      </w:r>
      <w:proofErr w:type="gramEnd"/>
      <w:r>
        <w:t xml:space="preserve"> kan identificere patienter med DPD-mangel.</w:t>
      </w:r>
    </w:p>
    <w:p w:rsidR="00447130" w:rsidRDefault="00447130" w:rsidP="00447130">
      <w:pPr>
        <w:ind w:left="851"/>
      </w:pPr>
    </w:p>
    <w:p w:rsidR="00447130" w:rsidRDefault="00447130" w:rsidP="00447130">
      <w:pPr>
        <w:ind w:left="851"/>
      </w:pPr>
      <w:r>
        <w:t xml:space="preserve">De fire varianter af DPYD c.1905+1G&gt;A [også betegnet som DPYD*2A], C.1679T&gt;G [DPYD*13], c.2846A&gt;T and c.1236G&gt;A/HapB3 kan forårsage fuldstændigt fravær eller </w:t>
      </w:r>
      <w:r>
        <w:lastRenderedPageBreak/>
        <w:t xml:space="preserve">reduktion af DPD enzymaktivitet. Andre sjældne varianter kan også være forbundet med en øget risiko for svær eller livstruende toksicitet. </w:t>
      </w:r>
    </w:p>
    <w:p w:rsidR="00447130" w:rsidRDefault="00447130" w:rsidP="00447130">
      <w:pPr>
        <w:ind w:left="851"/>
      </w:pPr>
    </w:p>
    <w:p w:rsidR="00447130" w:rsidRDefault="00447130" w:rsidP="00447130">
      <w:pPr>
        <w:ind w:left="851"/>
      </w:pPr>
      <w:r>
        <w:t xml:space="preserve">Visse homozygote og sammensatte heterozygote mutationer i DPYD-genlocuset (f.eks. kombinationer af de fire varianter med mindst én allel af c.1905+1G&gt;A or c.1679T&gt;G) er kendt for at forårsage fuldstændig eller næsten fuldstændig mangel på DPD enzymaktivitet. </w:t>
      </w:r>
    </w:p>
    <w:p w:rsidR="00447130" w:rsidRDefault="00447130" w:rsidP="00447130">
      <w:pPr>
        <w:ind w:left="851"/>
      </w:pPr>
    </w:p>
    <w:p w:rsidR="00447130" w:rsidRDefault="00447130" w:rsidP="00447130">
      <w:pPr>
        <w:ind w:left="851"/>
      </w:pPr>
      <w:r>
        <w:t xml:space="preserve">Patienter med visse heterozygote </w:t>
      </w:r>
      <w:proofErr w:type="gramStart"/>
      <w:r>
        <w:t>DPYD varianter</w:t>
      </w:r>
      <w:proofErr w:type="gramEnd"/>
      <w:r>
        <w:t xml:space="preserve"> (inklusive c.1905+1G&gt;A, c.1679T&gt;G, c.2846A&gt;T and c.1236G&gt;A/HapB3 varianter) har en øget risiko for svær toksicitet ved behandling med fluorpyrimidiner. </w:t>
      </w:r>
    </w:p>
    <w:p w:rsidR="00447130" w:rsidRDefault="00447130" w:rsidP="00447130">
      <w:pPr>
        <w:ind w:left="851"/>
      </w:pPr>
    </w:p>
    <w:p w:rsidR="00447130" w:rsidRDefault="00447130" w:rsidP="00447130">
      <w:pPr>
        <w:ind w:left="851"/>
      </w:pPr>
      <w:r>
        <w:t xml:space="preserve">Frekvensen af den heterozygote c.1905+1G&gt;A genotype i </w:t>
      </w:r>
      <w:proofErr w:type="gramStart"/>
      <w:r>
        <w:t>DPYD genet</w:t>
      </w:r>
      <w:proofErr w:type="gramEnd"/>
      <w:r>
        <w:t xml:space="preserve"> hos kaukasiske patienter er omkring 1 %, 1,1 % for c.2846A&gt;T, 2,6 – 6,3 % for c.1236G&gt;A/HapB3 varianter og 0,07 til 0,1 % for c.1679T&gt;G. </w:t>
      </w:r>
    </w:p>
    <w:p w:rsidR="00447130" w:rsidRDefault="00447130" w:rsidP="00447130">
      <w:pPr>
        <w:ind w:left="851"/>
      </w:pPr>
    </w:p>
    <w:p w:rsidR="00447130" w:rsidRDefault="00447130" w:rsidP="00447130">
      <w:pPr>
        <w:ind w:left="851"/>
      </w:pPr>
      <w:r>
        <w:t xml:space="preserve">Der er begrænsede data for frekvensen af de fire </w:t>
      </w:r>
      <w:proofErr w:type="gramStart"/>
      <w:r>
        <w:t>DPYD varianter</w:t>
      </w:r>
      <w:proofErr w:type="gramEnd"/>
      <w:r>
        <w:t xml:space="preserve"> i andre populationer end den kaukasiske. På nuværende tidspunkt betragtes de fire </w:t>
      </w:r>
      <w:proofErr w:type="gramStart"/>
      <w:r>
        <w:t>DPYD varianter</w:t>
      </w:r>
      <w:proofErr w:type="gramEnd"/>
      <w:r>
        <w:t xml:space="preserve"> (c.1905+1G&gt;A, c.1679T&gt;G, c.2846A&gt;T and c.1236G&gt;A/HapB3) som stort set fraværende i populationer af afrikansk (-amerikansk) eller asiatisk oprindelse. </w:t>
      </w:r>
    </w:p>
    <w:p w:rsidR="00447130" w:rsidRDefault="00447130" w:rsidP="00447130">
      <w:pPr>
        <w:ind w:left="851"/>
      </w:pPr>
    </w:p>
    <w:p w:rsidR="00447130" w:rsidRDefault="00447130" w:rsidP="00447130">
      <w:pPr>
        <w:ind w:left="851"/>
        <w:rPr>
          <w:u w:val="single"/>
        </w:rPr>
      </w:pPr>
      <w:r w:rsidRPr="005D6D28">
        <w:rPr>
          <w:u w:val="single"/>
        </w:rPr>
        <w:t xml:space="preserve">Fænotypisk karakterisering af DPD-mangel </w:t>
      </w:r>
    </w:p>
    <w:p w:rsidR="00447130" w:rsidRDefault="00447130" w:rsidP="00447130">
      <w:pPr>
        <w:ind w:left="851"/>
      </w:pPr>
      <w:r>
        <w:t xml:space="preserve">Ved fænotypisk karakterisering af DPD-mangel anbefales måling af præterapeutiske blodniveauer af det endogene DPD-substrat uracil (U) i plasma. </w:t>
      </w:r>
    </w:p>
    <w:p w:rsidR="00447130" w:rsidRDefault="00447130" w:rsidP="00447130">
      <w:pPr>
        <w:ind w:left="851"/>
      </w:pPr>
    </w:p>
    <w:p w:rsidR="00447130" w:rsidRDefault="00447130" w:rsidP="00447130">
      <w:pPr>
        <w:ind w:left="851"/>
      </w:pPr>
      <w:r>
        <w:t>Forhøjede uracilkoncentrationer før behandling er forbundet med en øget risiko for toksicitet. På trods af usikkerheder omkring uracil-grænseværdier, der definerer fuldstændig og delvis DPD-mangel, skal et uracil-niveau i blodet &gt; 16 ng/ml og &lt; 150 ng/ml betragtes som indikativ for delvis DPD-mangel og forbindes med øget risiko for fluorpyrimidintoksicitet. Et uracil-niveau i blodet &gt; 150 ng/ml skal betragtes som indikativ for fuldstændig DPD-mangel og forbindes med en risiko for livstruende eller dødelig fluorpyrimidintoksicitet.</w:t>
      </w:r>
    </w:p>
    <w:p w:rsidR="00D3057E" w:rsidRDefault="00D3057E" w:rsidP="00CF3F69">
      <w:pPr>
        <w:ind w:left="851"/>
        <w:rPr>
          <w:sz w:val="24"/>
          <w:szCs w:val="24"/>
          <w:u w:val="single"/>
        </w:rPr>
      </w:pPr>
    </w:p>
    <w:p w:rsidR="00CF3F69" w:rsidRPr="005A4D14" w:rsidRDefault="00CF3F69" w:rsidP="00CF3F69">
      <w:pPr>
        <w:ind w:left="851"/>
        <w:rPr>
          <w:sz w:val="24"/>
          <w:szCs w:val="24"/>
          <w:u w:val="single"/>
        </w:rPr>
      </w:pPr>
      <w:r>
        <w:rPr>
          <w:sz w:val="24"/>
          <w:szCs w:val="24"/>
          <w:u w:val="single"/>
        </w:rPr>
        <w:t>Opthalmologiske komplikationer</w:t>
      </w:r>
    </w:p>
    <w:p w:rsidR="00CF3F69" w:rsidRPr="005A4D14" w:rsidRDefault="00CF3F69" w:rsidP="00CF3F69">
      <w:pPr>
        <w:ind w:left="851"/>
        <w:rPr>
          <w:sz w:val="24"/>
          <w:szCs w:val="24"/>
        </w:rPr>
      </w:pPr>
      <w:r w:rsidRPr="005A4D14">
        <w:rPr>
          <w:sz w:val="24"/>
          <w:szCs w:val="24"/>
        </w:rPr>
        <w:t>Patienter bør monitoreres omhyggeligt for ophthalmologiske komplikationer som keratitis og corneale lidelser, specielt hvis de har en tidligere øjenlidelse. Behandling af øjenlidelser bør initieres som klinisk relevant.</w:t>
      </w:r>
    </w:p>
    <w:p w:rsidR="00CF3F69" w:rsidRPr="005A4D14" w:rsidRDefault="00CF3F69" w:rsidP="00CF3F69">
      <w:pPr>
        <w:ind w:left="851"/>
        <w:rPr>
          <w:sz w:val="24"/>
          <w:szCs w:val="24"/>
        </w:rPr>
      </w:pPr>
    </w:p>
    <w:p w:rsidR="00CF3F69" w:rsidRPr="005A4D14" w:rsidRDefault="00CF3F69" w:rsidP="00CF3F69">
      <w:pPr>
        <w:ind w:left="851"/>
        <w:rPr>
          <w:sz w:val="24"/>
          <w:szCs w:val="24"/>
          <w:u w:val="single"/>
        </w:rPr>
      </w:pPr>
      <w:r>
        <w:rPr>
          <w:sz w:val="24"/>
          <w:szCs w:val="24"/>
          <w:u w:val="single"/>
        </w:rPr>
        <w:t>Alvorlige hudreaktioner</w:t>
      </w:r>
    </w:p>
    <w:p w:rsidR="00CF3F69" w:rsidRPr="005A4D14" w:rsidRDefault="00CF3F69" w:rsidP="00CF3F69">
      <w:pPr>
        <w:ind w:left="851"/>
        <w:rPr>
          <w:sz w:val="24"/>
          <w:szCs w:val="24"/>
        </w:rPr>
      </w:pPr>
      <w:r w:rsidRPr="005A4D14">
        <w:rPr>
          <w:sz w:val="24"/>
          <w:szCs w:val="24"/>
        </w:rPr>
        <w:t>Capecitabin kan inducere alvorlige hudreaktioner som Stevens-Johnsons sundrom samt Toksisk Epidermal Nekrolyse. Behandling med capecitabin bør afbrydes permanent hos patienter, som oplever en alvorlig hudreaktion under behandling.</w:t>
      </w:r>
    </w:p>
    <w:p w:rsidR="00CF3F69" w:rsidRPr="005A4D14" w:rsidRDefault="00CF3F69" w:rsidP="00CF3F69">
      <w:pPr>
        <w:ind w:left="851"/>
        <w:rPr>
          <w:sz w:val="24"/>
          <w:szCs w:val="24"/>
        </w:rPr>
      </w:pPr>
    </w:p>
    <w:p w:rsidR="00CF3F69" w:rsidRDefault="00CF3F69" w:rsidP="00CF3F69">
      <w:pPr>
        <w:ind w:left="851"/>
        <w:rPr>
          <w:sz w:val="24"/>
          <w:szCs w:val="24"/>
        </w:rPr>
      </w:pPr>
      <w:r w:rsidRPr="004E308C">
        <w:rPr>
          <w:sz w:val="24"/>
          <w:szCs w:val="24"/>
        </w:rPr>
        <w:t>Hjælpestoffer</w:t>
      </w:r>
    </w:p>
    <w:p w:rsidR="00CF3F69" w:rsidRDefault="00CF3F69" w:rsidP="00CF3F69">
      <w:pPr>
        <w:ind w:left="851"/>
        <w:rPr>
          <w:i/>
          <w:sz w:val="24"/>
          <w:szCs w:val="24"/>
        </w:rPr>
      </w:pPr>
      <w:r>
        <w:rPr>
          <w:i/>
          <w:sz w:val="24"/>
          <w:szCs w:val="24"/>
        </w:rPr>
        <w:t>Lactose</w:t>
      </w:r>
    </w:p>
    <w:p w:rsidR="00CF3F69" w:rsidRDefault="00CF3F69" w:rsidP="00CF3F69">
      <w:pPr>
        <w:ind w:left="851"/>
        <w:rPr>
          <w:sz w:val="24"/>
          <w:szCs w:val="24"/>
        </w:rPr>
      </w:pPr>
      <w:r w:rsidRPr="009B4BE2">
        <w:rPr>
          <w:sz w:val="24"/>
          <w:szCs w:val="24"/>
        </w:rPr>
        <w:t>Da</w:t>
      </w:r>
      <w:r>
        <w:rPr>
          <w:sz w:val="24"/>
          <w:szCs w:val="24"/>
        </w:rPr>
        <w:t xml:space="preserve"> dette lægemiddel indeholder vandfri lactose som hjælpestof, bør patienter med arvelig galactoseintolerans, en særlig form for hereditær lactasemangel (Lapp Lactase deficiency) eller glucose/galactosemalabsorption ikke anvende denne medicin. </w:t>
      </w:r>
    </w:p>
    <w:p w:rsidR="00CF3F69" w:rsidRDefault="00CF3F69" w:rsidP="00CF3F69">
      <w:pPr>
        <w:ind w:left="851"/>
        <w:rPr>
          <w:sz w:val="24"/>
          <w:szCs w:val="24"/>
        </w:rPr>
      </w:pPr>
    </w:p>
    <w:p w:rsidR="00CF3F69" w:rsidRDefault="00CF3F69" w:rsidP="00CF3F69">
      <w:pPr>
        <w:ind w:left="851"/>
        <w:rPr>
          <w:sz w:val="24"/>
          <w:szCs w:val="24"/>
        </w:rPr>
      </w:pPr>
      <w:r>
        <w:rPr>
          <w:i/>
          <w:sz w:val="24"/>
          <w:szCs w:val="24"/>
        </w:rPr>
        <w:t>Natrium</w:t>
      </w:r>
    </w:p>
    <w:p w:rsidR="00CF3F69" w:rsidRDefault="00CF3F69" w:rsidP="00CF3F69">
      <w:pPr>
        <w:ind w:left="851"/>
        <w:rPr>
          <w:sz w:val="24"/>
          <w:szCs w:val="24"/>
        </w:rPr>
      </w:pPr>
      <w:r w:rsidRPr="00940A3A">
        <w:rPr>
          <w:sz w:val="24"/>
          <w:szCs w:val="24"/>
        </w:rPr>
        <w:t>Dette lægemiddel indeholder mindre end 1 mmol</w:t>
      </w:r>
      <w:r>
        <w:rPr>
          <w:sz w:val="24"/>
          <w:szCs w:val="24"/>
        </w:rPr>
        <w:t xml:space="preserve"> </w:t>
      </w:r>
      <w:r w:rsidRPr="00940A3A">
        <w:rPr>
          <w:sz w:val="24"/>
          <w:szCs w:val="24"/>
        </w:rPr>
        <w:t xml:space="preserve">(23 mg) natrium pr. </w:t>
      </w:r>
      <w:r>
        <w:rPr>
          <w:sz w:val="24"/>
          <w:szCs w:val="24"/>
        </w:rPr>
        <w:t xml:space="preserve">filmovertrukken tablet, </w:t>
      </w:r>
      <w:r w:rsidRPr="00940A3A">
        <w:rPr>
          <w:sz w:val="24"/>
          <w:szCs w:val="24"/>
        </w:rPr>
        <w:t>dvs. den er i det væsentlige natrium-fri.</w:t>
      </w:r>
      <w:r>
        <w:rPr>
          <w:sz w:val="24"/>
          <w:szCs w:val="24"/>
        </w:rPr>
        <w:t xml:space="preserve"> </w:t>
      </w:r>
    </w:p>
    <w:p w:rsidR="004C1F74" w:rsidRDefault="004C1F74">
      <w:pPr>
        <w:rPr>
          <w:sz w:val="24"/>
          <w:szCs w:val="24"/>
        </w:rPr>
      </w:pPr>
      <w:r>
        <w:rPr>
          <w:sz w:val="24"/>
          <w:szCs w:val="24"/>
        </w:rPr>
        <w:br w:type="page"/>
      </w:r>
    </w:p>
    <w:p w:rsidR="00CF3F69" w:rsidRPr="00EC0B9B" w:rsidRDefault="00CF3F69" w:rsidP="00CF3F69">
      <w:pPr>
        <w:numPr>
          <w:ilvl w:val="1"/>
          <w:numId w:val="1"/>
        </w:numPr>
        <w:rPr>
          <w:b/>
          <w:sz w:val="24"/>
          <w:szCs w:val="24"/>
        </w:rPr>
      </w:pPr>
      <w:r w:rsidRPr="00EC0B9B">
        <w:rPr>
          <w:b/>
          <w:sz w:val="24"/>
          <w:szCs w:val="24"/>
        </w:rPr>
        <w:lastRenderedPageBreak/>
        <w:t>Interaktion med andre lægemidler og andre former for interaktion</w:t>
      </w:r>
    </w:p>
    <w:p w:rsidR="00CF3F69" w:rsidRPr="00554DCA" w:rsidRDefault="00CF3F69" w:rsidP="00CF3F69">
      <w:pPr>
        <w:ind w:left="851"/>
        <w:rPr>
          <w:sz w:val="24"/>
          <w:szCs w:val="24"/>
        </w:rPr>
      </w:pPr>
      <w:r w:rsidRPr="00554DCA">
        <w:rPr>
          <w:sz w:val="24"/>
          <w:szCs w:val="24"/>
        </w:rPr>
        <w:t>Interaktionsundersøgelser er kun udført hos voksne.</w:t>
      </w:r>
    </w:p>
    <w:p w:rsidR="00CF3F69" w:rsidRPr="00554DCA" w:rsidRDefault="00CF3F69" w:rsidP="00CF3F69">
      <w:pPr>
        <w:ind w:left="851"/>
        <w:rPr>
          <w:sz w:val="24"/>
          <w:szCs w:val="24"/>
        </w:rPr>
      </w:pPr>
    </w:p>
    <w:p w:rsidR="00CF3F69" w:rsidRPr="00554DCA" w:rsidRDefault="00CF3F69" w:rsidP="00CF3F69">
      <w:pPr>
        <w:ind w:left="851"/>
        <w:rPr>
          <w:sz w:val="24"/>
          <w:szCs w:val="24"/>
          <w:u w:val="single"/>
        </w:rPr>
      </w:pPr>
      <w:r w:rsidRPr="00554DCA">
        <w:rPr>
          <w:sz w:val="24"/>
          <w:szCs w:val="24"/>
          <w:u w:val="single"/>
        </w:rPr>
        <w:t>Interaktion med andre lægemidler</w:t>
      </w:r>
    </w:p>
    <w:p w:rsidR="00CF3F69" w:rsidRPr="00554DCA" w:rsidRDefault="00CF3F69" w:rsidP="00CF3F69">
      <w:pPr>
        <w:ind w:left="851"/>
        <w:rPr>
          <w:sz w:val="24"/>
          <w:szCs w:val="24"/>
        </w:rPr>
      </w:pPr>
    </w:p>
    <w:p w:rsidR="00CF3F69" w:rsidRPr="00554DCA" w:rsidRDefault="00CF3F69" w:rsidP="00CF3F69">
      <w:pPr>
        <w:ind w:left="851"/>
        <w:rPr>
          <w:i/>
          <w:sz w:val="24"/>
          <w:szCs w:val="24"/>
        </w:rPr>
      </w:pPr>
      <w:r w:rsidRPr="00554DCA">
        <w:rPr>
          <w:i/>
          <w:sz w:val="24"/>
          <w:szCs w:val="24"/>
        </w:rPr>
        <w:t>Cytochrom P-450 2C9 substrater</w:t>
      </w:r>
    </w:p>
    <w:p w:rsidR="00CF3F69" w:rsidRPr="00554DCA" w:rsidRDefault="00CF3F69" w:rsidP="00CF3F69">
      <w:pPr>
        <w:ind w:left="851"/>
        <w:rPr>
          <w:sz w:val="24"/>
          <w:szCs w:val="24"/>
        </w:rPr>
      </w:pPr>
      <w:r w:rsidRPr="00554DCA">
        <w:rPr>
          <w:sz w:val="24"/>
          <w:szCs w:val="24"/>
        </w:rPr>
        <w:t>Der er ikke udført andre studier mellem capecitabin og andre CYP2C9 substrater for interaktioner end for warfarin. Der bør udvises forsigtighed, når capecitabin administreres samtidig med 2C9 substrater (f.eks. phenytoin). Se også interaktion med coumarin-derivative antikoagulantia nedenfor samt pkt. 4.4.</w:t>
      </w:r>
    </w:p>
    <w:p w:rsidR="00CF3F69" w:rsidRPr="00554DCA" w:rsidRDefault="00CF3F69" w:rsidP="00CF3F69">
      <w:pPr>
        <w:ind w:left="851"/>
        <w:rPr>
          <w:sz w:val="24"/>
          <w:szCs w:val="24"/>
        </w:rPr>
      </w:pPr>
    </w:p>
    <w:p w:rsidR="00CF3F69" w:rsidRPr="00554DCA" w:rsidRDefault="00CF3F69" w:rsidP="00CF3F69">
      <w:pPr>
        <w:keepNext/>
        <w:ind w:left="851"/>
        <w:rPr>
          <w:i/>
          <w:iCs/>
          <w:sz w:val="24"/>
          <w:szCs w:val="24"/>
        </w:rPr>
      </w:pPr>
      <w:r w:rsidRPr="00554DCA">
        <w:rPr>
          <w:i/>
          <w:iCs/>
          <w:sz w:val="24"/>
          <w:szCs w:val="24"/>
        </w:rPr>
        <w:t>Antikoagulantia af coumarintypen</w:t>
      </w:r>
    </w:p>
    <w:p w:rsidR="00CF3F69" w:rsidRPr="00554DCA" w:rsidRDefault="00CF3F69" w:rsidP="00CF3F69">
      <w:pPr>
        <w:ind w:left="851"/>
        <w:rPr>
          <w:sz w:val="24"/>
          <w:szCs w:val="24"/>
        </w:rPr>
      </w:pPr>
      <w:r w:rsidRPr="00554DCA">
        <w:rPr>
          <w:sz w:val="24"/>
          <w:szCs w:val="24"/>
        </w:rPr>
        <w:t>Der er rapporteret om ændrede koagulationsparametre og/eller ændret blødning hos patienter, som tog capecitabin sammen med antikoagulantia af coumarintypen såsom warfarin og phenprocoumon. Disse bivirkninger indtraf fra flere dage og op til flere måneder efter påbegyndelsen af behandlingen med capecitabin og, i nogle få tilfælde, i op til en måned efter ophør med capecitabin. I et klinisk farmakokinetisk interaktionsstudie øgede behandling med capecitabin, efter en enkelt dosis på 20 mg warfarin, S-warfarin-AUC med 57 %, og INR-værdien steg med 91 %. Da R-warfarins metabolisme ikke var påvirket, tyder disse resultater på, at capecitabin nedregulerer isoenzym 2C9, men ikke har effekt på isoenzymerne 1A2 og 3A4. Patienter som tager antikoagulantia af coumarintypen sammen med capecitabin, skal kontrolleres regelmæssigt mht. ændringer i deres koagulationsparametre (PT eller INR), og antikoagulans dosis skal om nødvendigt justeres.</w:t>
      </w:r>
    </w:p>
    <w:p w:rsidR="00CF3F69" w:rsidRPr="00554DCA" w:rsidRDefault="00CF3F69" w:rsidP="00CF3F69">
      <w:pPr>
        <w:ind w:left="851"/>
        <w:rPr>
          <w:sz w:val="24"/>
          <w:szCs w:val="24"/>
        </w:rPr>
      </w:pPr>
    </w:p>
    <w:p w:rsidR="00CF3F69" w:rsidRPr="00554DCA" w:rsidRDefault="00CF3F69" w:rsidP="00CF3F69">
      <w:pPr>
        <w:ind w:left="851"/>
        <w:rPr>
          <w:i/>
          <w:iCs/>
          <w:sz w:val="24"/>
          <w:szCs w:val="24"/>
        </w:rPr>
      </w:pPr>
      <w:r w:rsidRPr="00554DCA">
        <w:rPr>
          <w:i/>
          <w:iCs/>
          <w:sz w:val="24"/>
          <w:szCs w:val="24"/>
        </w:rPr>
        <w:t>Phenytoin</w:t>
      </w:r>
    </w:p>
    <w:p w:rsidR="00CF3F69" w:rsidRPr="00554DCA" w:rsidRDefault="00CF3F69" w:rsidP="00CF3F69">
      <w:pPr>
        <w:ind w:left="851"/>
        <w:rPr>
          <w:sz w:val="24"/>
          <w:szCs w:val="24"/>
        </w:rPr>
      </w:pPr>
      <w:r w:rsidRPr="00554DCA">
        <w:rPr>
          <w:sz w:val="24"/>
          <w:szCs w:val="24"/>
        </w:rPr>
        <w:t>I enkelte tilfælde er der, under samtidig behandling med capecitabin og phenytoin, rapporteret om stigninger i plasmakoncentrationerne af phenytoin, som har medført symptomer på fenytoinintoksikation. Patienter, som tager phenytoin og capecitabin samtidigt, skal kontrolleres regelmæssigt med hensyn til stigninger i phenytoin-plasmakoncentrationerne.</w:t>
      </w:r>
    </w:p>
    <w:p w:rsidR="00CF3F69" w:rsidRPr="00554DCA" w:rsidRDefault="00CF3F69" w:rsidP="00CF3F69">
      <w:pPr>
        <w:ind w:left="851"/>
        <w:rPr>
          <w:sz w:val="24"/>
          <w:szCs w:val="24"/>
        </w:rPr>
      </w:pPr>
    </w:p>
    <w:p w:rsidR="00CF3F69" w:rsidRPr="00554DCA" w:rsidRDefault="00CF3F69" w:rsidP="00CF3F69">
      <w:pPr>
        <w:ind w:left="851"/>
        <w:rPr>
          <w:i/>
          <w:iCs/>
          <w:sz w:val="24"/>
          <w:szCs w:val="24"/>
        </w:rPr>
      </w:pPr>
      <w:r w:rsidRPr="00554DCA">
        <w:rPr>
          <w:i/>
          <w:iCs/>
          <w:sz w:val="24"/>
          <w:szCs w:val="24"/>
        </w:rPr>
        <w:t>Folinsyre/folsyre</w:t>
      </w:r>
    </w:p>
    <w:p w:rsidR="00CF3F69" w:rsidRPr="00554DCA" w:rsidRDefault="00CF3F69" w:rsidP="00CF3F69">
      <w:pPr>
        <w:ind w:left="851"/>
        <w:rPr>
          <w:sz w:val="24"/>
          <w:szCs w:val="24"/>
        </w:rPr>
      </w:pPr>
      <w:r w:rsidRPr="00554DCA">
        <w:rPr>
          <w:iCs/>
          <w:sz w:val="24"/>
          <w:szCs w:val="24"/>
        </w:rPr>
        <w:t>E</w:t>
      </w:r>
      <w:r w:rsidRPr="00554DCA">
        <w:rPr>
          <w:sz w:val="24"/>
          <w:szCs w:val="24"/>
        </w:rPr>
        <w:t>t studie om kombination af capecitabin og folinsyre tyder på, at folinsyre ikke har væsentlig effekt på farmakokinetikken af capecitabin og dets metabolitter. Folinsyre har imidlertid en effekt på capecitabins farmakodynamik, og dets toksicitet kan blive forstærket af folinsyre: Maksimum tolererbar dosis (MTD) af capecitabin efter behandling med capecitabin alene er ved intermitterende behandling 3000 mg/m</w:t>
      </w:r>
      <w:r w:rsidRPr="00554DCA">
        <w:rPr>
          <w:sz w:val="24"/>
          <w:szCs w:val="24"/>
          <w:vertAlign w:val="superscript"/>
        </w:rPr>
        <w:t>2</w:t>
      </w:r>
      <w:r w:rsidRPr="00EA77A5">
        <w:t xml:space="preserve"> </w:t>
      </w:r>
      <w:r w:rsidRPr="00554DCA">
        <w:rPr>
          <w:sz w:val="24"/>
          <w:szCs w:val="24"/>
        </w:rPr>
        <w:t>pr. dag, hvorimod den kun er 2000 mg/m</w:t>
      </w:r>
      <w:r w:rsidRPr="00554DCA">
        <w:rPr>
          <w:sz w:val="24"/>
          <w:szCs w:val="24"/>
          <w:vertAlign w:val="superscript"/>
        </w:rPr>
        <w:t>2</w:t>
      </w:r>
      <w:r w:rsidRPr="004B6F00">
        <w:t xml:space="preserve"> </w:t>
      </w:r>
      <w:r w:rsidRPr="00554DCA">
        <w:rPr>
          <w:sz w:val="24"/>
          <w:szCs w:val="24"/>
        </w:rPr>
        <w:t>pr. dag, når capecitabin kombineres med folinsyre (30 mg oralt). Den forstærkede toksicitet kan være relevant ved skift fra 5-FU/LV til et capecitabin regime. Det kan også være relevant med supplement af folinsyre ved folatmangel på grund af ligheden mellem folinsyre og folsyre.</w:t>
      </w:r>
    </w:p>
    <w:p w:rsidR="00CF3F69" w:rsidRPr="00554DCA" w:rsidRDefault="00CF3F69" w:rsidP="00CF3F69">
      <w:pPr>
        <w:ind w:left="851"/>
        <w:rPr>
          <w:sz w:val="24"/>
          <w:szCs w:val="24"/>
        </w:rPr>
      </w:pPr>
    </w:p>
    <w:p w:rsidR="00CF3F69" w:rsidRPr="00554DCA" w:rsidRDefault="00CF3F69" w:rsidP="00CF3F69">
      <w:pPr>
        <w:ind w:left="851"/>
        <w:rPr>
          <w:i/>
          <w:iCs/>
          <w:sz w:val="24"/>
          <w:szCs w:val="24"/>
        </w:rPr>
      </w:pPr>
      <w:r w:rsidRPr="00554DCA">
        <w:rPr>
          <w:i/>
          <w:iCs/>
          <w:sz w:val="24"/>
          <w:szCs w:val="24"/>
        </w:rPr>
        <w:t>Brivudin</w:t>
      </w:r>
    </w:p>
    <w:p w:rsidR="00CF3F69" w:rsidRPr="00554DCA" w:rsidRDefault="00CF3F69" w:rsidP="00CF3F69">
      <w:pPr>
        <w:ind w:left="851"/>
        <w:rPr>
          <w:sz w:val="24"/>
          <w:szCs w:val="24"/>
        </w:rPr>
      </w:pPr>
      <w:r w:rsidRPr="00554DCA">
        <w:rPr>
          <w:sz w:val="24"/>
          <w:szCs w:val="24"/>
        </w:rPr>
        <w:t>Der er beskrevet en klinisk signifikant interaktion mellem</w:t>
      </w:r>
      <w:r w:rsidRPr="00173A4F">
        <w:t xml:space="preserve"> </w:t>
      </w:r>
      <w:r w:rsidRPr="00554DCA">
        <w:rPr>
          <w:sz w:val="24"/>
          <w:szCs w:val="24"/>
        </w:rPr>
        <w:t>brivudin og fluorpyrimidiner (f.eks. capecitabin, 5-Fluorouacil, tegafur), som et resultat af brivudins hæmning af dihydropyrimidin</w:t>
      </w:r>
      <w:r w:rsidRPr="00554DCA">
        <w:rPr>
          <w:sz w:val="24"/>
          <w:szCs w:val="24"/>
        </w:rPr>
        <w:softHyphen/>
        <w:t>dehydrogenase. Interaktionen, som medfører øget fluoropyrimidin</w:t>
      </w:r>
      <w:r w:rsidRPr="00554DCA">
        <w:rPr>
          <w:sz w:val="24"/>
          <w:szCs w:val="24"/>
        </w:rPr>
        <w:softHyphen/>
        <w:t>toksicitet, er potentiel dødelig. Brivudin må derfor ikke administreres sammen med capecitabin (se pkt. 4.3 og 4.4). Der skal være en periode på mindst 4 uger mellem endt behandling brivudin og initieringen af capecitabin behandling. Behandling med brivudin kan initieres 24 timer efter sidste dosis af capecitabin.</w:t>
      </w:r>
    </w:p>
    <w:p w:rsidR="00CF3F69" w:rsidRPr="00554DCA" w:rsidRDefault="00CF3F69" w:rsidP="00CF3F69">
      <w:pPr>
        <w:ind w:left="851"/>
        <w:rPr>
          <w:sz w:val="24"/>
          <w:szCs w:val="24"/>
        </w:rPr>
      </w:pPr>
    </w:p>
    <w:p w:rsidR="00CF3F69" w:rsidRPr="00554DCA" w:rsidRDefault="00CF3F69" w:rsidP="00CF3F69">
      <w:pPr>
        <w:ind w:left="851"/>
        <w:rPr>
          <w:i/>
          <w:iCs/>
          <w:sz w:val="24"/>
          <w:szCs w:val="24"/>
        </w:rPr>
      </w:pPr>
      <w:r w:rsidRPr="00554DCA">
        <w:rPr>
          <w:i/>
          <w:iCs/>
          <w:sz w:val="24"/>
          <w:szCs w:val="24"/>
        </w:rPr>
        <w:lastRenderedPageBreak/>
        <w:t>Antacida</w:t>
      </w:r>
    </w:p>
    <w:p w:rsidR="00CF3F69" w:rsidRPr="00554DCA" w:rsidRDefault="00CF3F69" w:rsidP="00CF3F69">
      <w:pPr>
        <w:ind w:left="851"/>
        <w:rPr>
          <w:sz w:val="24"/>
          <w:szCs w:val="24"/>
        </w:rPr>
      </w:pPr>
      <w:r w:rsidRPr="00554DCA">
        <w:rPr>
          <w:sz w:val="24"/>
          <w:szCs w:val="24"/>
        </w:rPr>
        <w:t>Man har undersøgt virkningen af et antacidum indeholdende aluminiumhydroxid og magnesiumhydroxid på capecitabins farmakokinetik. Der var en mindre stigning i plasmakoncentrationerne af capecitabin og en af metabolitterne (5’DFCR), men ingen virkning på de 3 hovedmetabolitter (5’DFUR, 5-FU og FBAL).</w:t>
      </w:r>
    </w:p>
    <w:p w:rsidR="00CF3F69" w:rsidRPr="00554DCA" w:rsidRDefault="00CF3F69" w:rsidP="00CF3F69">
      <w:pPr>
        <w:ind w:left="851"/>
        <w:rPr>
          <w:sz w:val="24"/>
          <w:szCs w:val="24"/>
        </w:rPr>
      </w:pPr>
    </w:p>
    <w:p w:rsidR="00CF3F69" w:rsidRPr="00554DCA" w:rsidRDefault="00CF3F69" w:rsidP="00CF3F69">
      <w:pPr>
        <w:ind w:left="851"/>
        <w:rPr>
          <w:i/>
          <w:iCs/>
          <w:sz w:val="24"/>
          <w:szCs w:val="24"/>
        </w:rPr>
      </w:pPr>
      <w:r w:rsidRPr="00554DCA">
        <w:rPr>
          <w:i/>
          <w:iCs/>
          <w:sz w:val="24"/>
          <w:szCs w:val="24"/>
        </w:rPr>
        <w:t>Allopurinol</w:t>
      </w:r>
    </w:p>
    <w:p w:rsidR="00CF3F69" w:rsidRPr="00554DCA" w:rsidRDefault="00CF3F69" w:rsidP="00CF3F69">
      <w:pPr>
        <w:ind w:left="851"/>
        <w:rPr>
          <w:sz w:val="24"/>
          <w:szCs w:val="24"/>
        </w:rPr>
      </w:pPr>
      <w:r w:rsidRPr="00554DCA">
        <w:rPr>
          <w:sz w:val="24"/>
          <w:szCs w:val="24"/>
        </w:rPr>
        <w:t>Der er set interaktion mellem allopurinol og 5-FU, med mulig nedsat effekt af 5-FU. Samtidig anvendelse af allopurinol og capecitabin bør undgås.</w:t>
      </w:r>
    </w:p>
    <w:p w:rsidR="00CF3F69" w:rsidRPr="00554DCA" w:rsidRDefault="00CF3F69" w:rsidP="00CF3F69">
      <w:pPr>
        <w:ind w:left="851"/>
        <w:rPr>
          <w:sz w:val="24"/>
          <w:szCs w:val="24"/>
        </w:rPr>
      </w:pPr>
    </w:p>
    <w:p w:rsidR="00CF3F69" w:rsidRPr="00554DCA" w:rsidRDefault="00CF3F69" w:rsidP="00CF3F69">
      <w:pPr>
        <w:keepNext/>
        <w:ind w:left="851"/>
        <w:rPr>
          <w:i/>
          <w:iCs/>
          <w:sz w:val="24"/>
          <w:szCs w:val="24"/>
        </w:rPr>
      </w:pPr>
      <w:r w:rsidRPr="00554DCA">
        <w:rPr>
          <w:i/>
          <w:iCs/>
          <w:sz w:val="24"/>
          <w:szCs w:val="24"/>
        </w:rPr>
        <w:t>Interferon-alfa</w:t>
      </w:r>
    </w:p>
    <w:p w:rsidR="00CF3F69" w:rsidRPr="00554DCA" w:rsidRDefault="00CF3F69" w:rsidP="00CF3F69">
      <w:pPr>
        <w:ind w:left="851"/>
        <w:rPr>
          <w:sz w:val="24"/>
          <w:szCs w:val="24"/>
        </w:rPr>
      </w:pPr>
      <w:r w:rsidRPr="00554DCA">
        <w:rPr>
          <w:sz w:val="24"/>
          <w:szCs w:val="24"/>
        </w:rPr>
        <w:t>Capecitabins MTD var 2000 mg/m</w:t>
      </w:r>
      <w:r w:rsidRPr="00554DCA">
        <w:rPr>
          <w:sz w:val="24"/>
          <w:szCs w:val="24"/>
          <w:vertAlign w:val="superscript"/>
        </w:rPr>
        <w:t>2</w:t>
      </w:r>
      <w:r w:rsidRPr="00554DCA">
        <w:rPr>
          <w:sz w:val="24"/>
          <w:szCs w:val="24"/>
        </w:rPr>
        <w:t>/dag, når det kombineredes med interferon alfa-2a (3 MIE/m</w:t>
      </w:r>
      <w:r w:rsidRPr="00554DCA">
        <w:rPr>
          <w:sz w:val="24"/>
          <w:szCs w:val="24"/>
          <w:vertAlign w:val="superscript"/>
        </w:rPr>
        <w:t>2</w:t>
      </w:r>
      <w:r w:rsidRPr="00554DCA">
        <w:rPr>
          <w:sz w:val="24"/>
          <w:szCs w:val="24"/>
        </w:rPr>
        <w:t>/dag) sammenlignet med 3000 mg/m</w:t>
      </w:r>
      <w:r w:rsidRPr="00554DCA">
        <w:rPr>
          <w:sz w:val="24"/>
          <w:szCs w:val="24"/>
          <w:vertAlign w:val="superscript"/>
        </w:rPr>
        <w:t>2</w:t>
      </w:r>
      <w:r w:rsidRPr="00554DCA">
        <w:rPr>
          <w:sz w:val="24"/>
          <w:szCs w:val="24"/>
        </w:rPr>
        <w:t xml:space="preserve">/dag, når capecitabin blev givet alene. </w:t>
      </w:r>
    </w:p>
    <w:p w:rsidR="00CF3F69" w:rsidRPr="00554DCA" w:rsidRDefault="00CF3F69" w:rsidP="00CF3F69">
      <w:pPr>
        <w:ind w:left="851"/>
        <w:rPr>
          <w:sz w:val="24"/>
          <w:szCs w:val="24"/>
        </w:rPr>
      </w:pPr>
    </w:p>
    <w:p w:rsidR="00CF3F69" w:rsidRPr="00554DCA" w:rsidRDefault="00CF3F69" w:rsidP="00CF3F69">
      <w:pPr>
        <w:ind w:left="851"/>
        <w:rPr>
          <w:i/>
          <w:iCs/>
          <w:sz w:val="24"/>
          <w:szCs w:val="24"/>
        </w:rPr>
      </w:pPr>
      <w:r w:rsidRPr="00554DCA">
        <w:rPr>
          <w:i/>
          <w:iCs/>
          <w:sz w:val="24"/>
          <w:szCs w:val="24"/>
        </w:rPr>
        <w:t>Stråleterapi</w:t>
      </w:r>
    </w:p>
    <w:p w:rsidR="00CF3F69" w:rsidRPr="00554DCA" w:rsidRDefault="00CF3F69" w:rsidP="00CF3F69">
      <w:pPr>
        <w:ind w:left="851"/>
        <w:rPr>
          <w:sz w:val="24"/>
          <w:szCs w:val="24"/>
        </w:rPr>
      </w:pPr>
      <w:r w:rsidRPr="00554DCA">
        <w:rPr>
          <w:sz w:val="24"/>
          <w:szCs w:val="24"/>
        </w:rPr>
        <w:t>MTD for capecitabin alene ved anvendelse af det intermitterende regime er 3000 mg/m</w:t>
      </w:r>
      <w:r w:rsidRPr="00554DCA">
        <w:rPr>
          <w:sz w:val="24"/>
          <w:szCs w:val="24"/>
          <w:vertAlign w:val="superscript"/>
        </w:rPr>
        <w:t>2</w:t>
      </w:r>
      <w:r w:rsidRPr="00554DCA">
        <w:rPr>
          <w:position w:val="8"/>
          <w:sz w:val="24"/>
          <w:szCs w:val="24"/>
          <w:vertAlign w:val="superscript"/>
        </w:rPr>
        <w:t xml:space="preserve"> </w:t>
      </w:r>
      <w:r w:rsidRPr="00554DCA">
        <w:rPr>
          <w:sz w:val="24"/>
          <w:szCs w:val="24"/>
        </w:rPr>
        <w:t>pr. dag, hvorimod MTD er 2000 mg/m</w:t>
      </w:r>
      <w:r w:rsidRPr="00554DCA">
        <w:rPr>
          <w:sz w:val="24"/>
          <w:szCs w:val="24"/>
          <w:vertAlign w:val="superscript"/>
        </w:rPr>
        <w:t>2</w:t>
      </w:r>
      <w:r w:rsidRPr="004B6F00">
        <w:t xml:space="preserve"> </w:t>
      </w:r>
      <w:r w:rsidRPr="00554DCA">
        <w:rPr>
          <w:sz w:val="24"/>
          <w:szCs w:val="24"/>
        </w:rPr>
        <w:t>pr. dag, når capecitabin kombineres med stråleterapi ved kolorektalkræft, enten ved anvendelse af en kontinuerlig behandling eller anvendt daglig fra mandag til fredag under en seks ugers serie med stråleterapi.</w:t>
      </w:r>
    </w:p>
    <w:p w:rsidR="00CF3F69" w:rsidRPr="00554DCA" w:rsidRDefault="00CF3F69" w:rsidP="00CF3F69">
      <w:pPr>
        <w:ind w:left="851"/>
        <w:rPr>
          <w:sz w:val="24"/>
          <w:szCs w:val="24"/>
        </w:rPr>
      </w:pPr>
    </w:p>
    <w:p w:rsidR="00CF3F69" w:rsidRPr="00554DCA" w:rsidRDefault="00CF3F69" w:rsidP="00CF3F69">
      <w:pPr>
        <w:ind w:left="851"/>
        <w:rPr>
          <w:i/>
          <w:iCs/>
          <w:sz w:val="24"/>
          <w:szCs w:val="24"/>
        </w:rPr>
      </w:pPr>
      <w:r w:rsidRPr="00554DCA">
        <w:rPr>
          <w:i/>
          <w:iCs/>
          <w:sz w:val="24"/>
          <w:szCs w:val="24"/>
        </w:rPr>
        <w:t>Oxaliplatin</w:t>
      </w:r>
    </w:p>
    <w:p w:rsidR="00CF3F69" w:rsidRPr="00554DCA" w:rsidRDefault="00CF3F69" w:rsidP="00CF3F69">
      <w:pPr>
        <w:ind w:left="851"/>
        <w:rPr>
          <w:sz w:val="24"/>
          <w:szCs w:val="24"/>
        </w:rPr>
      </w:pPr>
      <w:r w:rsidRPr="00554DCA">
        <w:rPr>
          <w:sz w:val="24"/>
          <w:szCs w:val="24"/>
        </w:rPr>
        <w:t xml:space="preserve">Der optrådte ingen klinisk betydende forskelle i eksponeringen for capecitabin eller dets metabolitter, frit platin eller </w:t>
      </w:r>
      <w:proofErr w:type="gramStart"/>
      <w:r w:rsidRPr="00554DCA">
        <w:rPr>
          <w:sz w:val="24"/>
          <w:szCs w:val="24"/>
        </w:rPr>
        <w:t>total platin</w:t>
      </w:r>
      <w:proofErr w:type="gramEnd"/>
      <w:r w:rsidRPr="00554DCA">
        <w:rPr>
          <w:sz w:val="24"/>
          <w:szCs w:val="24"/>
        </w:rPr>
        <w:t>, når capecitabin blev administreret i kombination med oxaliplatin eller i kombination med oxaliplatin og bevacizumab.</w:t>
      </w:r>
    </w:p>
    <w:p w:rsidR="00CF3F69" w:rsidRPr="00554DCA" w:rsidRDefault="00CF3F69" w:rsidP="00CF3F69">
      <w:pPr>
        <w:ind w:left="851"/>
        <w:rPr>
          <w:sz w:val="24"/>
          <w:szCs w:val="24"/>
        </w:rPr>
      </w:pPr>
    </w:p>
    <w:p w:rsidR="00CF3F69" w:rsidRPr="00554DCA" w:rsidRDefault="00CF3F69" w:rsidP="00CF3F69">
      <w:pPr>
        <w:ind w:left="851"/>
        <w:rPr>
          <w:i/>
          <w:iCs/>
          <w:sz w:val="24"/>
          <w:szCs w:val="24"/>
        </w:rPr>
      </w:pPr>
      <w:r w:rsidRPr="00554DCA">
        <w:rPr>
          <w:i/>
          <w:iCs/>
          <w:sz w:val="24"/>
          <w:szCs w:val="24"/>
        </w:rPr>
        <w:t>Bevacizumab</w:t>
      </w:r>
    </w:p>
    <w:p w:rsidR="00CF3F69" w:rsidRPr="00554DCA" w:rsidRDefault="00CF3F69" w:rsidP="00CF3F69">
      <w:pPr>
        <w:ind w:left="851"/>
        <w:rPr>
          <w:sz w:val="24"/>
          <w:szCs w:val="24"/>
        </w:rPr>
      </w:pPr>
      <w:r w:rsidRPr="00554DCA">
        <w:rPr>
          <w:sz w:val="24"/>
          <w:szCs w:val="24"/>
        </w:rPr>
        <w:t>Bevacizumab havde ingen klinisk signifikant virkning på capecitabins farmakokinetiske parametre eller dets metabolitter under tilstedeværelse af oxaliplatin.</w:t>
      </w:r>
    </w:p>
    <w:p w:rsidR="00CF3F69" w:rsidRPr="00554DCA" w:rsidRDefault="00CF3F69" w:rsidP="00CF3F69">
      <w:pPr>
        <w:ind w:left="851"/>
        <w:rPr>
          <w:sz w:val="24"/>
          <w:szCs w:val="24"/>
        </w:rPr>
      </w:pPr>
    </w:p>
    <w:p w:rsidR="00CF3F69" w:rsidRPr="00554DCA" w:rsidRDefault="00CF3F69" w:rsidP="00CF3F69">
      <w:pPr>
        <w:ind w:left="851"/>
        <w:rPr>
          <w:sz w:val="24"/>
          <w:szCs w:val="24"/>
        </w:rPr>
      </w:pPr>
      <w:r w:rsidRPr="00554DCA">
        <w:rPr>
          <w:sz w:val="24"/>
          <w:szCs w:val="24"/>
          <w:u w:val="single"/>
        </w:rPr>
        <w:t>Interaktion med føde</w:t>
      </w:r>
    </w:p>
    <w:p w:rsidR="00CF3F69" w:rsidRPr="00554DCA" w:rsidRDefault="00CF3F69" w:rsidP="00CF3F69">
      <w:pPr>
        <w:ind w:left="851"/>
        <w:rPr>
          <w:sz w:val="24"/>
          <w:szCs w:val="24"/>
        </w:rPr>
      </w:pPr>
      <w:r w:rsidRPr="00554DCA">
        <w:rPr>
          <w:sz w:val="24"/>
          <w:szCs w:val="24"/>
        </w:rPr>
        <w:t>I alle kliniske undersøgelser blev patienterne instrueret i at tage capecitabin senest 30 min efter et måltid. Da sikkerheds- og effektdata er baseret på administration sammen med maden, anbefales det at tage capecitabin sammen med et måltid. Administration sammen med mad nedsætter absorptionshastigheden af capecitabin (se pkt.5.2).</w:t>
      </w:r>
    </w:p>
    <w:p w:rsidR="00CF3F69" w:rsidRPr="00EC0B9B" w:rsidRDefault="00CF3F69" w:rsidP="00CF3F69">
      <w:pPr>
        <w:tabs>
          <w:tab w:val="left" w:pos="851"/>
        </w:tabs>
        <w:ind w:left="851"/>
        <w:rPr>
          <w:sz w:val="24"/>
          <w:szCs w:val="24"/>
        </w:rPr>
      </w:pPr>
    </w:p>
    <w:p w:rsidR="00CF3F69" w:rsidRPr="00EC0B9B" w:rsidRDefault="00D3057E" w:rsidP="00CF3F69">
      <w:pPr>
        <w:numPr>
          <w:ilvl w:val="1"/>
          <w:numId w:val="1"/>
        </w:numPr>
        <w:rPr>
          <w:b/>
          <w:sz w:val="24"/>
          <w:szCs w:val="24"/>
        </w:rPr>
      </w:pPr>
      <w:r>
        <w:rPr>
          <w:b/>
          <w:sz w:val="24"/>
          <w:szCs w:val="24"/>
        </w:rPr>
        <w:t>Fertilitet, g</w:t>
      </w:r>
      <w:r w:rsidR="00CF3F69" w:rsidRPr="00EC0B9B">
        <w:rPr>
          <w:b/>
          <w:sz w:val="24"/>
          <w:szCs w:val="24"/>
        </w:rPr>
        <w:t>raviditet og amning</w:t>
      </w:r>
    </w:p>
    <w:p w:rsidR="00CF3F69" w:rsidRDefault="00CF3F69" w:rsidP="00CF3F69">
      <w:pPr>
        <w:tabs>
          <w:tab w:val="left" w:pos="851"/>
        </w:tabs>
        <w:ind w:left="851"/>
        <w:rPr>
          <w:sz w:val="24"/>
          <w:szCs w:val="24"/>
        </w:rPr>
      </w:pPr>
    </w:p>
    <w:p w:rsidR="00D3057E" w:rsidRDefault="00D3057E" w:rsidP="00D3057E">
      <w:pPr>
        <w:ind w:left="851"/>
        <w:rPr>
          <w:sz w:val="24"/>
          <w:szCs w:val="24"/>
        </w:rPr>
      </w:pPr>
      <w:r>
        <w:rPr>
          <w:sz w:val="24"/>
          <w:szCs w:val="24"/>
          <w:u w:val="single"/>
        </w:rPr>
        <w:t>Kvinder i den fertile alder/antikonception til mænd og kvinder</w:t>
      </w:r>
    </w:p>
    <w:p w:rsidR="00D3057E" w:rsidRDefault="00D3057E" w:rsidP="00D3057E">
      <w:pPr>
        <w:ind w:left="851"/>
        <w:rPr>
          <w:sz w:val="24"/>
          <w:szCs w:val="24"/>
        </w:rPr>
      </w:pPr>
      <w:r>
        <w:rPr>
          <w:sz w:val="24"/>
          <w:szCs w:val="24"/>
        </w:rPr>
        <w:t>Kvinder i den fertile alder skal rådes til ikke at blive gravide, så længe de behandles med capecitabin. Hvis en patient bliver gravid under behandling med capecitabin, skal hun informeres om den mulige risiko for fostret. En effektiv svangerskabsforebyggelse skal anvendes under behandling og 6 måneder efter den sidste dosis af capetitabin.</w:t>
      </w:r>
    </w:p>
    <w:p w:rsidR="00D3057E" w:rsidRDefault="00D3057E" w:rsidP="00D3057E">
      <w:pPr>
        <w:ind w:left="851"/>
        <w:rPr>
          <w:sz w:val="24"/>
          <w:szCs w:val="24"/>
        </w:rPr>
      </w:pPr>
      <w:r>
        <w:rPr>
          <w:sz w:val="24"/>
          <w:szCs w:val="24"/>
        </w:rPr>
        <w:t xml:space="preserve">Baseret på genetiske toksikologiske fund, bør mandlige patienter med kvindelige partner, med reproduktivt potentiale, benytte effektiv prævention under behandlingen og 3 måneder efter den sidste dosis af capetitabin. </w:t>
      </w:r>
    </w:p>
    <w:p w:rsidR="00D3057E" w:rsidRDefault="00D3057E" w:rsidP="00D3057E">
      <w:pPr>
        <w:ind w:left="851"/>
        <w:rPr>
          <w:sz w:val="24"/>
          <w:szCs w:val="24"/>
        </w:rPr>
      </w:pPr>
    </w:p>
    <w:p w:rsidR="00D3057E" w:rsidRDefault="00D3057E" w:rsidP="00D3057E">
      <w:pPr>
        <w:ind w:left="851"/>
        <w:rPr>
          <w:sz w:val="24"/>
          <w:szCs w:val="24"/>
        </w:rPr>
      </w:pPr>
      <w:r>
        <w:rPr>
          <w:sz w:val="24"/>
          <w:szCs w:val="24"/>
          <w:u w:val="single"/>
        </w:rPr>
        <w:t>Graviditet</w:t>
      </w:r>
    </w:p>
    <w:p w:rsidR="00D3057E" w:rsidRDefault="00D3057E" w:rsidP="00D3057E">
      <w:pPr>
        <w:ind w:left="851"/>
        <w:rPr>
          <w:sz w:val="24"/>
          <w:szCs w:val="24"/>
        </w:rPr>
      </w:pPr>
      <w:r>
        <w:rPr>
          <w:sz w:val="24"/>
          <w:szCs w:val="24"/>
        </w:rPr>
        <w:t xml:space="preserve">Der er ingen data fra anvendelse af capecitabin til gravide kvinder, men det antages imidlertid, at capecitabin kan forårsage føtale skader, hvis det gives til gravide. I reproduktionstoksicitetsundersøgelser på dyr forårsagede administration af capecitabin </w:t>
      </w:r>
      <w:r>
        <w:rPr>
          <w:sz w:val="24"/>
          <w:szCs w:val="24"/>
        </w:rPr>
        <w:lastRenderedPageBreak/>
        <w:t xml:space="preserve">embryoletalitet og teratogenicitet. Disse fund er forventede virkninger af fluorpyrimidinderivater. Capecitabin er kontraindiceret under graviditet. </w:t>
      </w:r>
    </w:p>
    <w:p w:rsidR="00D3057E" w:rsidRDefault="00D3057E" w:rsidP="00D3057E">
      <w:pPr>
        <w:ind w:left="851"/>
        <w:rPr>
          <w:sz w:val="24"/>
          <w:szCs w:val="24"/>
        </w:rPr>
      </w:pPr>
    </w:p>
    <w:p w:rsidR="00D3057E" w:rsidRDefault="00D3057E" w:rsidP="00D3057E">
      <w:pPr>
        <w:ind w:left="851"/>
        <w:rPr>
          <w:sz w:val="24"/>
          <w:szCs w:val="24"/>
          <w:u w:val="single"/>
        </w:rPr>
      </w:pPr>
      <w:r>
        <w:rPr>
          <w:sz w:val="24"/>
          <w:szCs w:val="24"/>
          <w:u w:val="single"/>
        </w:rPr>
        <w:t>Amning</w:t>
      </w:r>
    </w:p>
    <w:p w:rsidR="00D3057E" w:rsidRDefault="00D3057E" w:rsidP="00D3057E">
      <w:pPr>
        <w:ind w:left="851"/>
        <w:rPr>
          <w:sz w:val="24"/>
          <w:szCs w:val="24"/>
        </w:rPr>
      </w:pPr>
      <w:r>
        <w:rPr>
          <w:sz w:val="24"/>
          <w:szCs w:val="24"/>
        </w:rPr>
        <w:t>Det er ukendt, om capecitabin udskilles i human mælk. Ingen studier er blevet udført for at vurdere capecitabin påvirkningen af mælkeproduktionen eller dets tilstedeværelse i human mælk. Der er fundet betragtelige koncentrationer af capecitabin og dets metabolitter i mælken hos diegivende mus. Da potentialet for skade det ammende barn er ukendt, bør amning seponeres under behandling med capecitabin og i 2 uger efter den sidste dosis.</w:t>
      </w:r>
    </w:p>
    <w:p w:rsidR="00D3057E" w:rsidRDefault="00D3057E" w:rsidP="00D3057E">
      <w:pPr>
        <w:ind w:left="851"/>
        <w:rPr>
          <w:sz w:val="24"/>
          <w:szCs w:val="24"/>
        </w:rPr>
      </w:pPr>
    </w:p>
    <w:p w:rsidR="00D3057E" w:rsidRDefault="00D3057E" w:rsidP="00D3057E">
      <w:pPr>
        <w:tabs>
          <w:tab w:val="left" w:pos="851"/>
        </w:tabs>
        <w:ind w:left="851"/>
        <w:rPr>
          <w:sz w:val="24"/>
          <w:szCs w:val="24"/>
        </w:rPr>
      </w:pPr>
      <w:r>
        <w:rPr>
          <w:sz w:val="24"/>
          <w:szCs w:val="24"/>
          <w:u w:val="single"/>
        </w:rPr>
        <w:t>Fertilitet</w:t>
      </w:r>
    </w:p>
    <w:p w:rsidR="00D3057E" w:rsidRDefault="00D3057E" w:rsidP="00D3057E">
      <w:pPr>
        <w:tabs>
          <w:tab w:val="left" w:pos="851"/>
        </w:tabs>
        <w:ind w:left="851"/>
        <w:rPr>
          <w:sz w:val="24"/>
          <w:szCs w:val="24"/>
        </w:rPr>
      </w:pPr>
      <w:r>
        <w:rPr>
          <w:sz w:val="24"/>
          <w:szCs w:val="24"/>
        </w:rPr>
        <w:t>Der er ingen data på capecitabins virkning på fertilitet. Pivotal studierne for capecitabin inkluderede kvinder i den fødedygtige alder samt mænd, underforudsætning af deres accept af at anvende en acceptabel måde af antikonception for at undgå graviditet gennem studiets varighed og i en rimelig periode derefter.</w:t>
      </w:r>
    </w:p>
    <w:p w:rsidR="00D3057E" w:rsidRDefault="00D3057E" w:rsidP="00D3057E">
      <w:pPr>
        <w:tabs>
          <w:tab w:val="left" w:pos="851"/>
        </w:tabs>
        <w:ind w:left="851"/>
        <w:rPr>
          <w:sz w:val="24"/>
          <w:szCs w:val="24"/>
        </w:rPr>
      </w:pPr>
      <w:r>
        <w:rPr>
          <w:sz w:val="24"/>
          <w:szCs w:val="24"/>
        </w:rPr>
        <w:t>I dyrestudier blev der observeret effekt på fertilitet (se pkt. 5.3).</w:t>
      </w:r>
    </w:p>
    <w:p w:rsidR="00CF3F69" w:rsidRPr="00EC0B9B" w:rsidRDefault="00CF3F69" w:rsidP="00D3057E">
      <w:pPr>
        <w:tabs>
          <w:tab w:val="left" w:pos="851"/>
        </w:tabs>
        <w:rPr>
          <w:sz w:val="24"/>
          <w:szCs w:val="24"/>
        </w:rPr>
      </w:pPr>
    </w:p>
    <w:p w:rsidR="00CF3F69" w:rsidRPr="00EC0B9B" w:rsidRDefault="00CF3F69" w:rsidP="00CF3F69">
      <w:pPr>
        <w:numPr>
          <w:ilvl w:val="1"/>
          <w:numId w:val="1"/>
        </w:numPr>
        <w:rPr>
          <w:b/>
          <w:sz w:val="24"/>
          <w:szCs w:val="24"/>
        </w:rPr>
      </w:pPr>
      <w:r w:rsidRPr="00EC0B9B">
        <w:rPr>
          <w:b/>
          <w:sz w:val="24"/>
          <w:szCs w:val="24"/>
        </w:rPr>
        <w:t xml:space="preserve">Virkning på evnen til at føre motorkøretøj </w:t>
      </w:r>
      <w:r w:rsidR="00D3057E">
        <w:rPr>
          <w:b/>
          <w:sz w:val="24"/>
          <w:szCs w:val="24"/>
        </w:rPr>
        <w:t>og</w:t>
      </w:r>
      <w:r w:rsidRPr="00EC0B9B">
        <w:rPr>
          <w:b/>
          <w:sz w:val="24"/>
          <w:szCs w:val="24"/>
        </w:rPr>
        <w:t xml:space="preserve"> betjene maskiner</w:t>
      </w:r>
    </w:p>
    <w:p w:rsidR="00CF3F69" w:rsidRDefault="00CF3F69" w:rsidP="00CF3F69">
      <w:pPr>
        <w:ind w:left="851"/>
        <w:rPr>
          <w:sz w:val="24"/>
          <w:szCs w:val="24"/>
        </w:rPr>
      </w:pPr>
      <w:r>
        <w:rPr>
          <w:sz w:val="24"/>
          <w:szCs w:val="24"/>
        </w:rPr>
        <w:t>Ikke mærkning.</w:t>
      </w:r>
    </w:p>
    <w:p w:rsidR="00CF3F69" w:rsidRDefault="00CF3F69" w:rsidP="00CF3F69">
      <w:pPr>
        <w:ind w:left="851"/>
        <w:rPr>
          <w:sz w:val="24"/>
          <w:szCs w:val="24"/>
        </w:rPr>
      </w:pPr>
      <w:r>
        <w:rPr>
          <w:sz w:val="24"/>
          <w:szCs w:val="24"/>
        </w:rPr>
        <w:t xml:space="preserve">Capecitabin påvirker i mindre eller moderat grad evnen til at føre motorkøretøj eller betjene maskiner. Capecitabin kan forårsage svimmelhed, træthed og kvalme. </w:t>
      </w:r>
    </w:p>
    <w:p w:rsidR="00CF3F69" w:rsidRPr="00EC0B9B" w:rsidRDefault="00CF3F69" w:rsidP="00CF3F69">
      <w:pPr>
        <w:tabs>
          <w:tab w:val="left" w:pos="851"/>
        </w:tabs>
        <w:rPr>
          <w:sz w:val="24"/>
          <w:szCs w:val="24"/>
        </w:rPr>
      </w:pPr>
    </w:p>
    <w:p w:rsidR="00CF3F69" w:rsidRPr="00EC0B9B" w:rsidRDefault="00CF3F69" w:rsidP="00CF3F69">
      <w:pPr>
        <w:numPr>
          <w:ilvl w:val="1"/>
          <w:numId w:val="1"/>
        </w:numPr>
        <w:rPr>
          <w:b/>
          <w:sz w:val="24"/>
          <w:szCs w:val="24"/>
        </w:rPr>
      </w:pPr>
      <w:r w:rsidRPr="00EC0B9B">
        <w:rPr>
          <w:b/>
          <w:sz w:val="24"/>
          <w:szCs w:val="24"/>
        </w:rPr>
        <w:t>Bivirkninger</w:t>
      </w:r>
    </w:p>
    <w:p w:rsidR="00CF3F69" w:rsidRDefault="00CF3F69" w:rsidP="00CF3F69">
      <w:pPr>
        <w:ind w:left="851"/>
        <w:rPr>
          <w:sz w:val="24"/>
          <w:szCs w:val="24"/>
        </w:rPr>
      </w:pPr>
    </w:p>
    <w:p w:rsidR="00CF3F69" w:rsidRPr="00B20128" w:rsidRDefault="00CF3F69" w:rsidP="00CF3F69">
      <w:pPr>
        <w:ind w:left="851"/>
        <w:rPr>
          <w:sz w:val="24"/>
          <w:szCs w:val="24"/>
          <w:u w:val="single"/>
        </w:rPr>
      </w:pPr>
      <w:r w:rsidRPr="00B20128">
        <w:rPr>
          <w:iCs/>
          <w:sz w:val="24"/>
          <w:szCs w:val="24"/>
          <w:u w:val="single"/>
        </w:rPr>
        <w:t xml:space="preserve">Sammendrag af sikkerhedsprofilen </w:t>
      </w:r>
    </w:p>
    <w:p w:rsidR="00CF3F69" w:rsidRDefault="00CF3F69" w:rsidP="00CF3F69">
      <w:pPr>
        <w:ind w:left="851"/>
        <w:rPr>
          <w:sz w:val="24"/>
          <w:szCs w:val="24"/>
        </w:rPr>
      </w:pPr>
      <w:r>
        <w:rPr>
          <w:sz w:val="24"/>
          <w:szCs w:val="24"/>
        </w:rPr>
        <w:t xml:space="preserve">Den overordnede sikkerhedsprofil for capecitabin er baseret på data fra flere end 3000 patienter, der fik capecitabin-monoterapi eller capecitabin i kombination med forskellige kemoterapiregimer indenfor flere indikationer. Sikkerhedsprofilen for capecitabin-monoterapi i populationerne med metastatisk brystkræft, metastatisk kolorektalkræft og adjuverende kolonkræft er sammenlignelige. Detaljeret beskrivelse af de største forsøg inklusive forsøgsdesign og overordnede effektresultater findes i pkt. 5.1. </w:t>
      </w:r>
    </w:p>
    <w:p w:rsidR="00CF3F69" w:rsidRDefault="00CF3F69" w:rsidP="00CF3F69">
      <w:pPr>
        <w:ind w:left="851"/>
        <w:rPr>
          <w:sz w:val="24"/>
          <w:szCs w:val="24"/>
        </w:rPr>
      </w:pPr>
      <w:r>
        <w:rPr>
          <w:sz w:val="24"/>
          <w:szCs w:val="24"/>
        </w:rPr>
        <w:t xml:space="preserve">De mest almindelige rapporterede og/eller klinisk relevante behandlingsrelaterede bivirkninger var gastrointestinale symptomer (specielt diarré, kvalme, opkastning, mavesmerter og stomatitis), hand-foot syndrom (palmo-plantar erytrodysæstesi), træthed, asteni, anoreksi, kardiotoksicitet, øget renal dysfunktion hos dem med præeksisterende kompromitteret nyrefunktion samt trombose/embolisme. </w:t>
      </w:r>
    </w:p>
    <w:p w:rsidR="00CF3F69" w:rsidRDefault="00CF3F69" w:rsidP="00CF3F69">
      <w:pPr>
        <w:ind w:left="851"/>
        <w:rPr>
          <w:sz w:val="24"/>
          <w:szCs w:val="24"/>
        </w:rPr>
      </w:pPr>
    </w:p>
    <w:p w:rsidR="00CF3F69" w:rsidRPr="00B20128" w:rsidRDefault="00CF3F69" w:rsidP="00CF3F69">
      <w:pPr>
        <w:ind w:left="851"/>
        <w:rPr>
          <w:sz w:val="24"/>
          <w:szCs w:val="24"/>
          <w:u w:val="single"/>
        </w:rPr>
      </w:pPr>
      <w:r>
        <w:rPr>
          <w:iCs/>
          <w:sz w:val="24"/>
          <w:szCs w:val="24"/>
          <w:u w:val="single"/>
        </w:rPr>
        <w:t>B</w:t>
      </w:r>
      <w:r w:rsidRPr="00B20128">
        <w:rPr>
          <w:iCs/>
          <w:sz w:val="24"/>
          <w:szCs w:val="24"/>
          <w:u w:val="single"/>
        </w:rPr>
        <w:t xml:space="preserve">ivirkninger i tabelform </w:t>
      </w:r>
    </w:p>
    <w:p w:rsidR="00CF3F69" w:rsidRDefault="00CF3F69" w:rsidP="00CF3F69">
      <w:pPr>
        <w:ind w:left="851"/>
        <w:rPr>
          <w:sz w:val="24"/>
          <w:szCs w:val="24"/>
        </w:rPr>
      </w:pPr>
      <w:r>
        <w:rPr>
          <w:sz w:val="24"/>
          <w:szCs w:val="24"/>
        </w:rPr>
        <w:t>De bivirkninger, der af den behandlende investigator blev vurderet som muligvis, sandsynligvis eller tvivlsomt relateret til administrationen af capecitabin er angivet i tabel 4 for capecitabin givet som monoterapi og i tabel 5 for capecitabin givet i kombination med forskellige kemoterapiregimer indenfor flere indikationer. De efterfølgende overskrifter rangerer bivirkningerne efter frekvens: Meget almindelig (≥ 1/10), almindelig (≥ 1/100 til &lt; 1/10), ikke almindelig (≥ 1/1000 til &lt; 1/100), sjælden (≥ 1/10.000 til &lt; 1/1.000), meget sjælden (&lt; 1/10.000). Inden for hver enkelt frekvensgruppe er bivirkningerne opstillet efter, hvor alvorlige de er. De alvorligste bivirkninger er anført først.</w:t>
      </w:r>
    </w:p>
    <w:p w:rsidR="00CF3F69" w:rsidRDefault="00CF3F69" w:rsidP="00CF3F69">
      <w:pPr>
        <w:ind w:left="851"/>
        <w:rPr>
          <w:sz w:val="24"/>
          <w:szCs w:val="24"/>
        </w:rPr>
      </w:pPr>
    </w:p>
    <w:p w:rsidR="00CF3F69" w:rsidRDefault="00CF3F69" w:rsidP="00CF3F69">
      <w:pPr>
        <w:ind w:left="851"/>
        <w:rPr>
          <w:sz w:val="24"/>
          <w:szCs w:val="24"/>
        </w:rPr>
      </w:pPr>
      <w:r>
        <w:rPr>
          <w:sz w:val="24"/>
          <w:szCs w:val="24"/>
          <w:u w:val="single"/>
        </w:rPr>
        <w:t>Capecitabin-monoterapi</w:t>
      </w:r>
    </w:p>
    <w:p w:rsidR="00CF3F69" w:rsidRDefault="00CF3F69" w:rsidP="00CF3F69">
      <w:pPr>
        <w:ind w:left="851"/>
        <w:rPr>
          <w:sz w:val="24"/>
          <w:szCs w:val="24"/>
        </w:rPr>
      </w:pPr>
      <w:r>
        <w:rPr>
          <w:sz w:val="24"/>
          <w:szCs w:val="24"/>
        </w:rPr>
        <w:t xml:space="preserve">Tabel 4 anfører de bivirkninger, der er forbundet med anvendelsen af capecitabin-monoterapi baseret på en samlet analyse af sikkerhedsdata fra 3 store studier med flere end </w:t>
      </w:r>
      <w:r>
        <w:rPr>
          <w:sz w:val="24"/>
          <w:szCs w:val="24"/>
        </w:rPr>
        <w:lastRenderedPageBreak/>
        <w:t xml:space="preserve">1900 patienter (studierne M66001, SO14695 og SO14796). Bivirkningerne er anført i passende frekvensgruppering ud fra den overordnede hyppighed i den samlede analyse. </w:t>
      </w:r>
    </w:p>
    <w:p w:rsidR="00CF3F69" w:rsidRDefault="00CF3F69" w:rsidP="00CF3F69">
      <w:pPr>
        <w:rPr>
          <w:sz w:val="24"/>
          <w:szCs w:val="24"/>
        </w:rPr>
      </w:pPr>
    </w:p>
    <w:p w:rsidR="00CF3F69" w:rsidRDefault="00CF3F69" w:rsidP="00CF3F69">
      <w:pPr>
        <w:ind w:left="851"/>
        <w:rPr>
          <w:sz w:val="24"/>
          <w:szCs w:val="24"/>
        </w:rPr>
      </w:pPr>
      <w:r>
        <w:rPr>
          <w:sz w:val="24"/>
          <w:szCs w:val="24"/>
        </w:rPr>
        <w:t>Tabel 4: Sammenfatning af relaterede bivirkninger, som blev rapporteret hos patienter behandlet med capecitabin-monoterapi.</w:t>
      </w:r>
    </w:p>
    <w:p w:rsidR="00CF3F69" w:rsidRDefault="00CF3F69" w:rsidP="00CF3F69">
      <w:pPr>
        <w:ind w:left="851"/>
        <w:rPr>
          <w:sz w:val="24"/>
          <w:szCs w:val="24"/>
        </w:rPr>
      </w:pPr>
    </w:p>
    <w:tbl>
      <w:tblPr>
        <w:tblW w:w="10348" w:type="dxa"/>
        <w:tblInd w:w="108" w:type="dxa"/>
        <w:tblLayout w:type="fixed"/>
        <w:tblLook w:val="04A0" w:firstRow="1" w:lastRow="0" w:firstColumn="1" w:lastColumn="0" w:noHBand="0" w:noVBand="1"/>
      </w:tblPr>
      <w:tblGrid>
        <w:gridCol w:w="2127"/>
        <w:gridCol w:w="2126"/>
        <w:gridCol w:w="1701"/>
        <w:gridCol w:w="2693"/>
        <w:gridCol w:w="1701"/>
      </w:tblGrid>
      <w:tr w:rsidR="00CF3F69" w:rsidTr="007E4788">
        <w:trPr>
          <w:trHeight w:val="1558"/>
          <w:tblHeader/>
        </w:trPr>
        <w:tc>
          <w:tcPr>
            <w:tcW w:w="2127"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b/>
                <w:sz w:val="24"/>
                <w:szCs w:val="24"/>
              </w:rPr>
            </w:pPr>
            <w:r>
              <w:rPr>
                <w:b/>
                <w:bCs/>
                <w:sz w:val="24"/>
                <w:szCs w:val="24"/>
              </w:rPr>
              <w:t xml:space="preserve">Systemorganklas-se </w:t>
            </w:r>
          </w:p>
        </w:tc>
        <w:tc>
          <w:tcPr>
            <w:tcW w:w="2126"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jc w:val="center"/>
              <w:rPr>
                <w:b/>
                <w:sz w:val="24"/>
                <w:szCs w:val="24"/>
              </w:rPr>
            </w:pPr>
            <w:r>
              <w:rPr>
                <w:b/>
                <w:bCs/>
                <w:sz w:val="24"/>
                <w:szCs w:val="24"/>
              </w:rPr>
              <w:t>Meget almindelig</w:t>
            </w:r>
          </w:p>
          <w:p w:rsidR="00CF3F69" w:rsidRDefault="00CF3F69" w:rsidP="007E4788">
            <w:pPr>
              <w:jc w:val="center"/>
              <w:rPr>
                <w:sz w:val="24"/>
                <w:szCs w:val="24"/>
              </w:rPr>
            </w:pPr>
            <w:r>
              <w:rPr>
                <w:b/>
                <w:bCs/>
                <w:sz w:val="24"/>
                <w:szCs w:val="24"/>
              </w:rPr>
              <w:t>Alle grader</w:t>
            </w:r>
          </w:p>
        </w:tc>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jc w:val="center"/>
              <w:rPr>
                <w:b/>
                <w:sz w:val="24"/>
                <w:szCs w:val="24"/>
              </w:rPr>
            </w:pPr>
            <w:r>
              <w:rPr>
                <w:b/>
                <w:bCs/>
                <w:sz w:val="24"/>
                <w:szCs w:val="24"/>
              </w:rPr>
              <w:t>Almindelig</w:t>
            </w:r>
          </w:p>
          <w:p w:rsidR="00CF3F69" w:rsidRDefault="00CF3F69" w:rsidP="007E4788">
            <w:pPr>
              <w:jc w:val="center"/>
              <w:rPr>
                <w:sz w:val="24"/>
                <w:szCs w:val="24"/>
              </w:rPr>
            </w:pPr>
            <w:r>
              <w:rPr>
                <w:b/>
                <w:bCs/>
                <w:sz w:val="24"/>
                <w:szCs w:val="24"/>
              </w:rPr>
              <w:t>Alle grader</w:t>
            </w:r>
          </w:p>
        </w:tc>
        <w:tc>
          <w:tcPr>
            <w:tcW w:w="269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jc w:val="center"/>
              <w:rPr>
                <w:b/>
                <w:sz w:val="24"/>
                <w:szCs w:val="24"/>
              </w:rPr>
            </w:pPr>
            <w:r>
              <w:rPr>
                <w:b/>
                <w:bCs/>
                <w:sz w:val="24"/>
                <w:szCs w:val="24"/>
              </w:rPr>
              <w:t>Ikke almindelig</w:t>
            </w:r>
          </w:p>
          <w:p w:rsidR="00CF3F69" w:rsidRDefault="00CF3F69" w:rsidP="007E4788">
            <w:pPr>
              <w:jc w:val="center"/>
              <w:rPr>
                <w:sz w:val="24"/>
                <w:szCs w:val="24"/>
              </w:rPr>
            </w:pPr>
            <w:r>
              <w:rPr>
                <w:b/>
                <w:bCs/>
                <w:sz w:val="24"/>
                <w:szCs w:val="24"/>
              </w:rPr>
              <w:t>Alvorlige og/eller livstruende (grad 3-4) eller vurderet som klinisk relevant</w:t>
            </w:r>
          </w:p>
        </w:tc>
        <w:tc>
          <w:tcPr>
            <w:tcW w:w="1701" w:type="dxa"/>
            <w:tcBorders>
              <w:top w:val="single" w:sz="8" w:space="0" w:color="000000"/>
              <w:left w:val="single" w:sz="8" w:space="0" w:color="000000"/>
              <w:bottom w:val="single" w:sz="8" w:space="0" w:color="000000"/>
              <w:right w:val="single" w:sz="8" w:space="0" w:color="000000"/>
            </w:tcBorders>
          </w:tcPr>
          <w:p w:rsidR="00CF3F69" w:rsidRDefault="00CF3F69" w:rsidP="007E4788">
            <w:pPr>
              <w:jc w:val="center"/>
              <w:rPr>
                <w:b/>
                <w:bCs/>
                <w:sz w:val="24"/>
                <w:szCs w:val="24"/>
              </w:rPr>
            </w:pPr>
            <w:r>
              <w:rPr>
                <w:b/>
                <w:bCs/>
                <w:color w:val="000000"/>
                <w:sz w:val="24"/>
                <w:szCs w:val="24"/>
              </w:rPr>
              <w:t>Sjælden/me-get sjælden (erfaringer efter markedsfø-ring)</w:t>
            </w:r>
          </w:p>
        </w:tc>
      </w:tr>
      <w:tr w:rsidR="00CF3F69" w:rsidTr="007E4788">
        <w:trPr>
          <w:trHeight w:val="2821"/>
        </w:trPr>
        <w:tc>
          <w:tcPr>
            <w:tcW w:w="2127"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i/>
                <w:iCs/>
                <w:sz w:val="24"/>
                <w:szCs w:val="24"/>
              </w:rPr>
              <w:t xml:space="preserve">Infektioner og parasitære sygdomme </w:t>
            </w:r>
          </w:p>
        </w:tc>
        <w:tc>
          <w:tcPr>
            <w:tcW w:w="2126"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 </w:t>
            </w:r>
          </w:p>
        </w:tc>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Herpes viral infektion, </w:t>
            </w:r>
          </w:p>
          <w:p w:rsidR="00CF3F69" w:rsidRDefault="00CF3F69" w:rsidP="007E4788">
            <w:pPr>
              <w:rPr>
                <w:sz w:val="24"/>
                <w:szCs w:val="24"/>
              </w:rPr>
            </w:pPr>
            <w:r>
              <w:rPr>
                <w:sz w:val="24"/>
                <w:szCs w:val="24"/>
              </w:rPr>
              <w:t xml:space="preserve">Nasopharyn-gitis, </w:t>
            </w:r>
          </w:p>
          <w:p w:rsidR="00CF3F69" w:rsidRDefault="00CF3F69" w:rsidP="007E4788">
            <w:pPr>
              <w:rPr>
                <w:sz w:val="24"/>
                <w:szCs w:val="24"/>
              </w:rPr>
            </w:pPr>
            <w:r>
              <w:rPr>
                <w:sz w:val="24"/>
                <w:szCs w:val="24"/>
              </w:rPr>
              <w:t xml:space="preserve">Infektion i de nedre luftveje </w:t>
            </w:r>
          </w:p>
        </w:tc>
        <w:tc>
          <w:tcPr>
            <w:tcW w:w="2693" w:type="dxa"/>
            <w:tcBorders>
              <w:top w:val="single" w:sz="8" w:space="0" w:color="000000"/>
              <w:left w:val="single" w:sz="8" w:space="0" w:color="000000"/>
              <w:bottom w:val="single" w:sz="8" w:space="0" w:color="000000"/>
              <w:right w:val="single" w:sz="8" w:space="0" w:color="000000"/>
            </w:tcBorders>
            <w:hideMark/>
          </w:tcPr>
          <w:p w:rsidR="00CF3F69" w:rsidRPr="00CD507A" w:rsidRDefault="00CF3F69" w:rsidP="007E4788">
            <w:pPr>
              <w:rPr>
                <w:sz w:val="24"/>
                <w:szCs w:val="24"/>
              </w:rPr>
            </w:pPr>
            <w:r w:rsidRPr="00CD507A">
              <w:rPr>
                <w:sz w:val="24"/>
                <w:szCs w:val="24"/>
              </w:rPr>
              <w:t xml:space="preserve">Sepsis, </w:t>
            </w:r>
          </w:p>
          <w:p w:rsidR="00CF3F69" w:rsidRPr="00CD507A" w:rsidRDefault="00CF3F69" w:rsidP="007E4788">
            <w:pPr>
              <w:rPr>
                <w:sz w:val="24"/>
                <w:szCs w:val="24"/>
              </w:rPr>
            </w:pPr>
            <w:r w:rsidRPr="00CD507A">
              <w:rPr>
                <w:sz w:val="24"/>
                <w:szCs w:val="24"/>
              </w:rPr>
              <w:t xml:space="preserve">Urinvejsinfektion, </w:t>
            </w:r>
          </w:p>
          <w:p w:rsidR="00CF3F69" w:rsidRPr="00CD507A" w:rsidRDefault="00CF3F69" w:rsidP="007E4788">
            <w:pPr>
              <w:rPr>
                <w:sz w:val="24"/>
                <w:szCs w:val="24"/>
              </w:rPr>
            </w:pPr>
            <w:r w:rsidRPr="00CD507A">
              <w:rPr>
                <w:sz w:val="24"/>
                <w:szCs w:val="24"/>
              </w:rPr>
              <w:t xml:space="preserve">Cellulitis, </w:t>
            </w:r>
          </w:p>
          <w:p w:rsidR="00CF3F69" w:rsidRPr="00CD507A" w:rsidRDefault="00CF3F69" w:rsidP="007E4788">
            <w:pPr>
              <w:rPr>
                <w:sz w:val="24"/>
                <w:szCs w:val="24"/>
              </w:rPr>
            </w:pPr>
            <w:r w:rsidRPr="00CD507A">
              <w:rPr>
                <w:sz w:val="24"/>
                <w:szCs w:val="24"/>
              </w:rPr>
              <w:t xml:space="preserve">Tonsillitis, </w:t>
            </w:r>
          </w:p>
          <w:p w:rsidR="00CF3F69" w:rsidRPr="00CD507A" w:rsidRDefault="00CF3F69" w:rsidP="007E4788">
            <w:pPr>
              <w:rPr>
                <w:sz w:val="24"/>
                <w:szCs w:val="24"/>
              </w:rPr>
            </w:pPr>
            <w:r w:rsidRPr="00CD507A">
              <w:rPr>
                <w:sz w:val="24"/>
                <w:szCs w:val="24"/>
              </w:rPr>
              <w:t xml:space="preserve">Pharyngitis, </w:t>
            </w:r>
          </w:p>
          <w:p w:rsidR="00CF3F69" w:rsidRDefault="00CF3F69" w:rsidP="007E4788">
            <w:pPr>
              <w:rPr>
                <w:sz w:val="24"/>
                <w:szCs w:val="24"/>
                <w:lang w:val="en-GB"/>
              </w:rPr>
            </w:pPr>
            <w:r>
              <w:rPr>
                <w:sz w:val="24"/>
                <w:szCs w:val="24"/>
                <w:lang w:val="en-GB"/>
              </w:rPr>
              <w:t xml:space="preserve">Oral candidiasis, </w:t>
            </w:r>
          </w:p>
          <w:p w:rsidR="00CF3F69" w:rsidRDefault="00CF3F69" w:rsidP="007E4788">
            <w:pPr>
              <w:rPr>
                <w:sz w:val="24"/>
                <w:szCs w:val="24"/>
                <w:lang w:val="en-GB"/>
              </w:rPr>
            </w:pPr>
            <w:r>
              <w:rPr>
                <w:sz w:val="24"/>
                <w:szCs w:val="24"/>
                <w:lang w:val="en-GB"/>
              </w:rPr>
              <w:t xml:space="preserve">Influenza, </w:t>
            </w:r>
          </w:p>
          <w:p w:rsidR="00CF3F69" w:rsidRPr="00CD507A" w:rsidRDefault="00CF3F69" w:rsidP="007E4788">
            <w:pPr>
              <w:rPr>
                <w:sz w:val="24"/>
                <w:szCs w:val="24"/>
                <w:lang w:val="en-US"/>
              </w:rPr>
            </w:pPr>
            <w:r w:rsidRPr="00CD507A">
              <w:rPr>
                <w:sz w:val="24"/>
                <w:szCs w:val="24"/>
                <w:lang w:val="en-US"/>
              </w:rPr>
              <w:t xml:space="preserve">Gastroenteritis, </w:t>
            </w:r>
          </w:p>
          <w:p w:rsidR="00CF3F69" w:rsidRPr="00CD507A" w:rsidRDefault="00CF3F69" w:rsidP="007E4788">
            <w:pPr>
              <w:rPr>
                <w:sz w:val="24"/>
                <w:szCs w:val="24"/>
                <w:lang w:val="en-US"/>
              </w:rPr>
            </w:pPr>
            <w:r w:rsidRPr="00CD507A">
              <w:rPr>
                <w:sz w:val="24"/>
                <w:szCs w:val="24"/>
                <w:lang w:val="en-US"/>
              </w:rPr>
              <w:t xml:space="preserve">Svampeinfektion, </w:t>
            </w:r>
          </w:p>
          <w:p w:rsidR="00CF3F69" w:rsidRDefault="00CF3F69" w:rsidP="007E4788">
            <w:pPr>
              <w:rPr>
                <w:sz w:val="24"/>
                <w:szCs w:val="24"/>
              </w:rPr>
            </w:pPr>
            <w:r>
              <w:rPr>
                <w:sz w:val="24"/>
                <w:szCs w:val="24"/>
              </w:rPr>
              <w:t xml:space="preserve">Infektion, </w:t>
            </w:r>
          </w:p>
          <w:p w:rsidR="00CF3F69" w:rsidRDefault="00CF3F69" w:rsidP="007E4788">
            <w:pPr>
              <w:rPr>
                <w:sz w:val="24"/>
                <w:szCs w:val="24"/>
              </w:rPr>
            </w:pPr>
            <w:r>
              <w:rPr>
                <w:sz w:val="24"/>
                <w:szCs w:val="24"/>
              </w:rPr>
              <w:t xml:space="preserve">Tandbyld </w:t>
            </w:r>
          </w:p>
        </w:tc>
        <w:tc>
          <w:tcPr>
            <w:tcW w:w="1701" w:type="dxa"/>
            <w:tcBorders>
              <w:top w:val="single" w:sz="8" w:space="0" w:color="000000"/>
              <w:left w:val="single" w:sz="8" w:space="0" w:color="000000"/>
              <w:bottom w:val="single" w:sz="8" w:space="0" w:color="000000"/>
              <w:right w:val="single" w:sz="8" w:space="0" w:color="000000"/>
            </w:tcBorders>
          </w:tcPr>
          <w:p w:rsidR="00CF3F69" w:rsidRPr="00CD507A" w:rsidRDefault="00CF3F69" w:rsidP="007E4788">
            <w:pPr>
              <w:rPr>
                <w:sz w:val="24"/>
                <w:szCs w:val="24"/>
              </w:rPr>
            </w:pPr>
          </w:p>
        </w:tc>
      </w:tr>
      <w:tr w:rsidR="00CF3F69" w:rsidTr="007E4788">
        <w:trPr>
          <w:trHeight w:val="1052"/>
        </w:trPr>
        <w:tc>
          <w:tcPr>
            <w:tcW w:w="2127"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i/>
                <w:iCs/>
                <w:sz w:val="24"/>
                <w:szCs w:val="24"/>
              </w:rPr>
              <w:t>Benigne, maligne og uspecificerede tumorer (</w:t>
            </w:r>
            <w:proofErr w:type="gramStart"/>
            <w:r>
              <w:rPr>
                <w:i/>
                <w:iCs/>
                <w:sz w:val="24"/>
                <w:szCs w:val="24"/>
              </w:rPr>
              <w:t>inkl.cyster</w:t>
            </w:r>
            <w:proofErr w:type="gramEnd"/>
            <w:r>
              <w:rPr>
                <w:i/>
                <w:iCs/>
                <w:sz w:val="24"/>
                <w:szCs w:val="24"/>
              </w:rPr>
              <w:t xml:space="preserve"> og polypper) </w:t>
            </w:r>
          </w:p>
        </w:tc>
        <w:tc>
          <w:tcPr>
            <w:tcW w:w="2126"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 </w:t>
            </w:r>
          </w:p>
        </w:tc>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 </w:t>
            </w:r>
          </w:p>
        </w:tc>
        <w:tc>
          <w:tcPr>
            <w:tcW w:w="2693" w:type="dxa"/>
            <w:tcBorders>
              <w:top w:val="single" w:sz="8" w:space="0" w:color="000000"/>
              <w:left w:val="single" w:sz="8" w:space="0" w:color="000000"/>
              <w:bottom w:val="single" w:sz="8" w:space="0" w:color="000000"/>
              <w:right w:val="single" w:sz="8" w:space="0" w:color="000000"/>
            </w:tcBorders>
          </w:tcPr>
          <w:p w:rsidR="00CF3F69" w:rsidRDefault="00CF3F69" w:rsidP="007E4788">
            <w:pPr>
              <w:rPr>
                <w:sz w:val="24"/>
                <w:szCs w:val="24"/>
              </w:rPr>
            </w:pPr>
            <w:r>
              <w:rPr>
                <w:sz w:val="24"/>
                <w:szCs w:val="24"/>
              </w:rPr>
              <w:t>Lipom</w:t>
            </w:r>
          </w:p>
        </w:tc>
        <w:tc>
          <w:tcPr>
            <w:tcW w:w="1701" w:type="dxa"/>
            <w:tcBorders>
              <w:top w:val="single" w:sz="8" w:space="0" w:color="000000"/>
              <w:left w:val="single" w:sz="8" w:space="0" w:color="000000"/>
              <w:bottom w:val="single" w:sz="8" w:space="0" w:color="000000"/>
              <w:right w:val="single" w:sz="8" w:space="0" w:color="000000"/>
            </w:tcBorders>
          </w:tcPr>
          <w:p w:rsidR="00CF3F69" w:rsidRDefault="00CF3F69" w:rsidP="007E4788">
            <w:pPr>
              <w:rPr>
                <w:sz w:val="24"/>
                <w:szCs w:val="24"/>
              </w:rPr>
            </w:pPr>
          </w:p>
        </w:tc>
      </w:tr>
      <w:tr w:rsidR="00CF3F69" w:rsidRPr="00782B6E" w:rsidTr="007E4788">
        <w:trPr>
          <w:trHeight w:val="2567"/>
        </w:trPr>
        <w:tc>
          <w:tcPr>
            <w:tcW w:w="2127" w:type="dxa"/>
            <w:tcBorders>
              <w:top w:val="single" w:sz="8" w:space="0" w:color="000000"/>
              <w:left w:val="single" w:sz="8" w:space="0" w:color="000000"/>
              <w:bottom w:val="single" w:sz="8" w:space="0" w:color="000000"/>
              <w:right w:val="single" w:sz="8" w:space="0" w:color="000000"/>
            </w:tcBorders>
            <w:hideMark/>
          </w:tcPr>
          <w:p w:rsidR="00CF3F69" w:rsidRPr="00782B6E" w:rsidRDefault="00CF3F69" w:rsidP="007E4788">
            <w:pPr>
              <w:rPr>
                <w:sz w:val="24"/>
                <w:szCs w:val="24"/>
              </w:rPr>
            </w:pPr>
            <w:r w:rsidRPr="00782B6E">
              <w:rPr>
                <w:iCs/>
                <w:sz w:val="24"/>
                <w:szCs w:val="24"/>
              </w:rPr>
              <w:t xml:space="preserve">Blod- og lymfesystem </w:t>
            </w:r>
          </w:p>
        </w:tc>
        <w:tc>
          <w:tcPr>
            <w:tcW w:w="2126" w:type="dxa"/>
            <w:tcBorders>
              <w:top w:val="single" w:sz="8" w:space="0" w:color="000000"/>
              <w:left w:val="single" w:sz="8" w:space="0" w:color="000000"/>
              <w:bottom w:val="single" w:sz="8" w:space="0" w:color="000000"/>
              <w:right w:val="single" w:sz="8" w:space="0" w:color="000000"/>
            </w:tcBorders>
            <w:hideMark/>
          </w:tcPr>
          <w:p w:rsidR="00CF3F69" w:rsidRPr="00782B6E" w:rsidRDefault="00CF3F69" w:rsidP="007E4788">
            <w:pPr>
              <w:rPr>
                <w:sz w:val="24"/>
                <w:szCs w:val="24"/>
              </w:rPr>
            </w:pPr>
            <w:r w:rsidRPr="00782B6E">
              <w:rPr>
                <w:sz w:val="24"/>
                <w:szCs w:val="24"/>
              </w:rPr>
              <w:t xml:space="preserve">- </w:t>
            </w:r>
          </w:p>
        </w:tc>
        <w:tc>
          <w:tcPr>
            <w:tcW w:w="1701" w:type="dxa"/>
            <w:tcBorders>
              <w:top w:val="single" w:sz="8" w:space="0" w:color="000000"/>
              <w:left w:val="single" w:sz="8" w:space="0" w:color="000000"/>
              <w:bottom w:val="single" w:sz="8" w:space="0" w:color="000000"/>
              <w:right w:val="single" w:sz="8" w:space="0" w:color="000000"/>
            </w:tcBorders>
            <w:hideMark/>
          </w:tcPr>
          <w:p w:rsidR="00CF3F69" w:rsidRPr="00782B6E" w:rsidRDefault="00CF3F69" w:rsidP="007E4788">
            <w:pPr>
              <w:rPr>
                <w:sz w:val="24"/>
                <w:szCs w:val="24"/>
              </w:rPr>
            </w:pPr>
            <w:r w:rsidRPr="00782B6E">
              <w:rPr>
                <w:sz w:val="24"/>
                <w:szCs w:val="24"/>
              </w:rPr>
              <w:t xml:space="preserve">Neutropeni, </w:t>
            </w:r>
          </w:p>
          <w:p w:rsidR="00CF3F69" w:rsidRPr="00782B6E" w:rsidRDefault="00CF3F69" w:rsidP="007E4788">
            <w:pPr>
              <w:rPr>
                <w:sz w:val="24"/>
                <w:szCs w:val="24"/>
              </w:rPr>
            </w:pPr>
            <w:r w:rsidRPr="00782B6E">
              <w:rPr>
                <w:sz w:val="24"/>
                <w:szCs w:val="24"/>
              </w:rPr>
              <w:t xml:space="preserve">Anæmi </w:t>
            </w:r>
          </w:p>
        </w:tc>
        <w:tc>
          <w:tcPr>
            <w:tcW w:w="2693" w:type="dxa"/>
            <w:tcBorders>
              <w:top w:val="single" w:sz="8" w:space="0" w:color="000000"/>
              <w:left w:val="single" w:sz="8" w:space="0" w:color="000000"/>
              <w:bottom w:val="single" w:sz="8" w:space="0" w:color="000000"/>
              <w:right w:val="single" w:sz="8" w:space="0" w:color="000000"/>
            </w:tcBorders>
            <w:hideMark/>
          </w:tcPr>
          <w:p w:rsidR="00CF3F69" w:rsidRPr="00782B6E" w:rsidRDefault="00CF3F69" w:rsidP="007E4788">
            <w:pPr>
              <w:rPr>
                <w:sz w:val="24"/>
                <w:szCs w:val="24"/>
                <w:lang w:val="en-GB"/>
              </w:rPr>
            </w:pPr>
            <w:r w:rsidRPr="00782B6E">
              <w:rPr>
                <w:sz w:val="24"/>
                <w:szCs w:val="24"/>
                <w:lang w:val="en-GB"/>
              </w:rPr>
              <w:t xml:space="preserve">Febril neutropeni, </w:t>
            </w:r>
          </w:p>
          <w:p w:rsidR="00CF3F69" w:rsidRPr="00782B6E" w:rsidRDefault="00CF3F69" w:rsidP="007E4788">
            <w:pPr>
              <w:rPr>
                <w:sz w:val="24"/>
                <w:szCs w:val="24"/>
                <w:lang w:val="en-GB"/>
              </w:rPr>
            </w:pPr>
            <w:r w:rsidRPr="00782B6E">
              <w:rPr>
                <w:sz w:val="24"/>
                <w:szCs w:val="24"/>
                <w:lang w:val="en-GB"/>
              </w:rPr>
              <w:t xml:space="preserve">Pancytopeni, </w:t>
            </w:r>
          </w:p>
          <w:p w:rsidR="00CF3F69" w:rsidRPr="00782B6E" w:rsidRDefault="00CF3F69" w:rsidP="007E4788">
            <w:pPr>
              <w:rPr>
                <w:sz w:val="24"/>
                <w:szCs w:val="24"/>
                <w:lang w:val="en-GB"/>
              </w:rPr>
            </w:pPr>
            <w:r w:rsidRPr="00782B6E">
              <w:rPr>
                <w:sz w:val="24"/>
                <w:szCs w:val="24"/>
                <w:lang w:val="en-GB"/>
              </w:rPr>
              <w:t xml:space="preserve">Granulocytopeni, </w:t>
            </w:r>
          </w:p>
          <w:p w:rsidR="00CF3F69" w:rsidRPr="00782B6E" w:rsidRDefault="00CF3F69" w:rsidP="007E4788">
            <w:pPr>
              <w:rPr>
                <w:sz w:val="24"/>
                <w:szCs w:val="24"/>
                <w:lang w:val="en-GB"/>
              </w:rPr>
            </w:pPr>
            <w:r w:rsidRPr="00782B6E">
              <w:rPr>
                <w:sz w:val="24"/>
                <w:szCs w:val="24"/>
                <w:lang w:val="en-GB"/>
              </w:rPr>
              <w:t xml:space="preserve">Thrombocytopeni, </w:t>
            </w:r>
          </w:p>
          <w:p w:rsidR="00CF3F69" w:rsidRPr="00782B6E" w:rsidRDefault="00CF3F69" w:rsidP="007E4788">
            <w:pPr>
              <w:rPr>
                <w:sz w:val="24"/>
                <w:szCs w:val="24"/>
              </w:rPr>
            </w:pPr>
            <w:r w:rsidRPr="00782B6E">
              <w:rPr>
                <w:sz w:val="24"/>
                <w:szCs w:val="24"/>
              </w:rPr>
              <w:t xml:space="preserve">Leukopeni, </w:t>
            </w:r>
          </w:p>
          <w:p w:rsidR="00CF3F69" w:rsidRPr="00782B6E" w:rsidRDefault="00CF3F69" w:rsidP="007E4788">
            <w:pPr>
              <w:rPr>
                <w:sz w:val="24"/>
                <w:szCs w:val="24"/>
              </w:rPr>
            </w:pPr>
            <w:r w:rsidRPr="00782B6E">
              <w:rPr>
                <w:sz w:val="24"/>
                <w:szCs w:val="24"/>
              </w:rPr>
              <w:t xml:space="preserve">Hæmolytisk anæmi, </w:t>
            </w:r>
          </w:p>
          <w:p w:rsidR="00CF3F69" w:rsidRPr="00782B6E" w:rsidRDefault="00CF3F69" w:rsidP="007E4788">
            <w:pPr>
              <w:rPr>
                <w:sz w:val="24"/>
                <w:szCs w:val="24"/>
              </w:rPr>
            </w:pPr>
            <w:r w:rsidRPr="00782B6E">
              <w:rPr>
                <w:sz w:val="24"/>
                <w:szCs w:val="24"/>
              </w:rPr>
              <w:t xml:space="preserve">Øget international normaliseret ratio (INR)/forlænget </w:t>
            </w:r>
          </w:p>
          <w:p w:rsidR="00CF3F69" w:rsidRPr="00782B6E" w:rsidRDefault="00CF3F69" w:rsidP="007E4788">
            <w:pPr>
              <w:rPr>
                <w:sz w:val="24"/>
                <w:szCs w:val="24"/>
              </w:rPr>
            </w:pPr>
            <w:r w:rsidRPr="00782B6E">
              <w:rPr>
                <w:sz w:val="24"/>
                <w:szCs w:val="24"/>
              </w:rPr>
              <w:t xml:space="preserve">protrombintid </w:t>
            </w:r>
          </w:p>
        </w:tc>
        <w:tc>
          <w:tcPr>
            <w:tcW w:w="1701" w:type="dxa"/>
            <w:tcBorders>
              <w:top w:val="single" w:sz="8" w:space="0" w:color="000000"/>
              <w:left w:val="single" w:sz="8" w:space="0" w:color="000000"/>
              <w:bottom w:val="single" w:sz="8" w:space="0" w:color="000000"/>
              <w:right w:val="single" w:sz="8" w:space="0" w:color="000000"/>
            </w:tcBorders>
          </w:tcPr>
          <w:p w:rsidR="00CF3F69" w:rsidRPr="00782B6E" w:rsidRDefault="00CF3F69" w:rsidP="007E4788">
            <w:pPr>
              <w:rPr>
                <w:sz w:val="24"/>
                <w:szCs w:val="24"/>
                <w:lang w:val="en-GB"/>
              </w:rPr>
            </w:pPr>
          </w:p>
        </w:tc>
      </w:tr>
      <w:tr w:rsidR="00CF3F69" w:rsidTr="007E4788">
        <w:trPr>
          <w:trHeight w:val="292"/>
        </w:trPr>
        <w:tc>
          <w:tcPr>
            <w:tcW w:w="2127"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i/>
                <w:iCs/>
                <w:sz w:val="24"/>
                <w:szCs w:val="24"/>
              </w:rPr>
              <w:t xml:space="preserve">Immunsystemet </w:t>
            </w:r>
          </w:p>
        </w:tc>
        <w:tc>
          <w:tcPr>
            <w:tcW w:w="2126"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 </w:t>
            </w:r>
          </w:p>
        </w:tc>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 </w:t>
            </w:r>
          </w:p>
        </w:tc>
        <w:tc>
          <w:tcPr>
            <w:tcW w:w="269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Hypersensitivitet </w:t>
            </w:r>
          </w:p>
        </w:tc>
        <w:tc>
          <w:tcPr>
            <w:tcW w:w="1701" w:type="dxa"/>
            <w:tcBorders>
              <w:top w:val="single" w:sz="8" w:space="0" w:color="000000"/>
              <w:left w:val="single" w:sz="8" w:space="0" w:color="000000"/>
              <w:bottom w:val="single" w:sz="8" w:space="0" w:color="000000"/>
              <w:right w:val="single" w:sz="8" w:space="0" w:color="000000"/>
            </w:tcBorders>
          </w:tcPr>
          <w:p w:rsidR="00CF3F69" w:rsidRDefault="00CF3F69" w:rsidP="007E4788">
            <w:pPr>
              <w:rPr>
                <w:sz w:val="24"/>
                <w:szCs w:val="24"/>
              </w:rPr>
            </w:pPr>
          </w:p>
        </w:tc>
      </w:tr>
      <w:tr w:rsidR="00CF3F69" w:rsidTr="007E4788">
        <w:trPr>
          <w:trHeight w:val="1304"/>
        </w:trPr>
        <w:tc>
          <w:tcPr>
            <w:tcW w:w="2127" w:type="dxa"/>
            <w:tcBorders>
              <w:top w:val="single" w:sz="8" w:space="0" w:color="000000"/>
              <w:left w:val="single" w:sz="8" w:space="0" w:color="000000"/>
              <w:bottom w:val="single" w:sz="8" w:space="0" w:color="000000"/>
              <w:right w:val="single" w:sz="8" w:space="0" w:color="000000"/>
            </w:tcBorders>
          </w:tcPr>
          <w:p w:rsidR="00CF3F69" w:rsidRDefault="00CF3F69" w:rsidP="007E4788">
            <w:pPr>
              <w:rPr>
                <w:sz w:val="24"/>
                <w:szCs w:val="24"/>
                <w:lang w:eastAsia="da-DK"/>
              </w:rPr>
            </w:pPr>
            <w:r>
              <w:rPr>
                <w:i/>
                <w:iCs/>
                <w:sz w:val="24"/>
                <w:szCs w:val="24"/>
              </w:rPr>
              <w:t>Metabolisme og ernæring</w:t>
            </w:r>
          </w:p>
        </w:tc>
        <w:tc>
          <w:tcPr>
            <w:tcW w:w="2126"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Anoreksi </w:t>
            </w:r>
          </w:p>
        </w:tc>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Dehydrering,</w:t>
            </w:r>
          </w:p>
          <w:p w:rsidR="00CF3F69" w:rsidRDefault="00CF3F69" w:rsidP="007E4788">
            <w:pPr>
              <w:rPr>
                <w:sz w:val="24"/>
                <w:szCs w:val="24"/>
              </w:rPr>
            </w:pPr>
            <w:r>
              <w:rPr>
                <w:sz w:val="24"/>
                <w:szCs w:val="24"/>
              </w:rPr>
              <w:t xml:space="preserve">Vægttab </w:t>
            </w:r>
          </w:p>
        </w:tc>
        <w:tc>
          <w:tcPr>
            <w:tcW w:w="269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Diabetes, </w:t>
            </w:r>
          </w:p>
          <w:p w:rsidR="00CF3F69" w:rsidRDefault="00CF3F69" w:rsidP="007E4788">
            <w:pPr>
              <w:rPr>
                <w:sz w:val="24"/>
                <w:szCs w:val="24"/>
              </w:rPr>
            </w:pPr>
            <w:r>
              <w:rPr>
                <w:sz w:val="24"/>
                <w:szCs w:val="24"/>
              </w:rPr>
              <w:t xml:space="preserve">Hypokaliæmi, </w:t>
            </w:r>
          </w:p>
          <w:p w:rsidR="00CF3F69" w:rsidRDefault="00CF3F69" w:rsidP="007E4788">
            <w:pPr>
              <w:rPr>
                <w:sz w:val="24"/>
                <w:szCs w:val="24"/>
              </w:rPr>
            </w:pPr>
            <w:r>
              <w:rPr>
                <w:sz w:val="24"/>
                <w:szCs w:val="24"/>
              </w:rPr>
              <w:t xml:space="preserve">Appetitforstyrrelser, </w:t>
            </w:r>
          </w:p>
          <w:p w:rsidR="00CF3F69" w:rsidRDefault="00CF3F69" w:rsidP="007E4788">
            <w:pPr>
              <w:rPr>
                <w:sz w:val="24"/>
                <w:szCs w:val="24"/>
              </w:rPr>
            </w:pPr>
            <w:r>
              <w:rPr>
                <w:sz w:val="24"/>
                <w:szCs w:val="24"/>
              </w:rPr>
              <w:t xml:space="preserve">Underernæring, </w:t>
            </w:r>
          </w:p>
          <w:p w:rsidR="00CF3F69" w:rsidRDefault="00CF3F69" w:rsidP="007E4788">
            <w:pPr>
              <w:rPr>
                <w:sz w:val="24"/>
                <w:szCs w:val="24"/>
              </w:rPr>
            </w:pPr>
            <w:r>
              <w:rPr>
                <w:sz w:val="24"/>
                <w:szCs w:val="24"/>
              </w:rPr>
              <w:t xml:space="preserve">Hypertriglyceridæmi </w:t>
            </w:r>
          </w:p>
        </w:tc>
        <w:tc>
          <w:tcPr>
            <w:tcW w:w="1701" w:type="dxa"/>
            <w:tcBorders>
              <w:top w:val="single" w:sz="8" w:space="0" w:color="000000"/>
              <w:left w:val="single" w:sz="8" w:space="0" w:color="000000"/>
              <w:bottom w:val="single" w:sz="8" w:space="0" w:color="000000"/>
              <w:right w:val="single" w:sz="8" w:space="0" w:color="000000"/>
            </w:tcBorders>
          </w:tcPr>
          <w:p w:rsidR="00CF3F69" w:rsidRDefault="00CF3F69" w:rsidP="007E4788">
            <w:pPr>
              <w:rPr>
                <w:sz w:val="24"/>
                <w:szCs w:val="24"/>
              </w:rPr>
            </w:pPr>
          </w:p>
        </w:tc>
      </w:tr>
      <w:tr w:rsidR="00CF3F69" w:rsidTr="007E4788">
        <w:trPr>
          <w:trHeight w:val="1004"/>
        </w:trPr>
        <w:tc>
          <w:tcPr>
            <w:tcW w:w="2127"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i/>
                <w:iCs/>
                <w:sz w:val="24"/>
                <w:szCs w:val="24"/>
              </w:rPr>
            </w:pPr>
            <w:r>
              <w:rPr>
                <w:i/>
                <w:iCs/>
                <w:sz w:val="24"/>
                <w:szCs w:val="24"/>
              </w:rPr>
              <w:t xml:space="preserve">Psykiske forstyrrelser </w:t>
            </w:r>
          </w:p>
        </w:tc>
        <w:tc>
          <w:tcPr>
            <w:tcW w:w="2126"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w:t>
            </w:r>
          </w:p>
        </w:tc>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Søvnløshed,</w:t>
            </w:r>
          </w:p>
          <w:p w:rsidR="00CF3F69" w:rsidRDefault="00CF3F69" w:rsidP="007E4788">
            <w:pPr>
              <w:rPr>
                <w:sz w:val="24"/>
                <w:szCs w:val="24"/>
              </w:rPr>
            </w:pPr>
            <w:r>
              <w:rPr>
                <w:sz w:val="24"/>
                <w:szCs w:val="24"/>
              </w:rPr>
              <w:t>Depression</w:t>
            </w:r>
          </w:p>
        </w:tc>
        <w:tc>
          <w:tcPr>
            <w:tcW w:w="269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Konfusion,</w:t>
            </w:r>
          </w:p>
          <w:p w:rsidR="00CF3F69" w:rsidRDefault="00CF3F69" w:rsidP="007E4788">
            <w:pPr>
              <w:rPr>
                <w:sz w:val="24"/>
                <w:szCs w:val="24"/>
              </w:rPr>
            </w:pPr>
            <w:r>
              <w:rPr>
                <w:sz w:val="24"/>
                <w:szCs w:val="24"/>
              </w:rPr>
              <w:t>Panikanfald,</w:t>
            </w:r>
          </w:p>
          <w:p w:rsidR="00CF3F69" w:rsidRDefault="00CF3F69" w:rsidP="007E4788">
            <w:pPr>
              <w:rPr>
                <w:sz w:val="24"/>
                <w:szCs w:val="24"/>
              </w:rPr>
            </w:pPr>
            <w:r>
              <w:rPr>
                <w:sz w:val="24"/>
                <w:szCs w:val="24"/>
              </w:rPr>
              <w:t>Nedtrykthed,</w:t>
            </w:r>
          </w:p>
          <w:p w:rsidR="00CF3F69" w:rsidRDefault="00CF3F69" w:rsidP="007E4788">
            <w:pPr>
              <w:rPr>
                <w:sz w:val="24"/>
                <w:szCs w:val="24"/>
              </w:rPr>
            </w:pPr>
            <w:r>
              <w:rPr>
                <w:sz w:val="24"/>
                <w:szCs w:val="24"/>
              </w:rPr>
              <w:t>Nedsat libido</w:t>
            </w:r>
          </w:p>
        </w:tc>
        <w:tc>
          <w:tcPr>
            <w:tcW w:w="1701" w:type="dxa"/>
            <w:tcBorders>
              <w:top w:val="single" w:sz="8" w:space="0" w:color="000000"/>
              <w:left w:val="single" w:sz="8" w:space="0" w:color="000000"/>
              <w:bottom w:val="single" w:sz="8" w:space="0" w:color="000000"/>
              <w:right w:val="single" w:sz="8" w:space="0" w:color="000000"/>
            </w:tcBorders>
          </w:tcPr>
          <w:p w:rsidR="00CF3F69" w:rsidRDefault="00CF3F69" w:rsidP="007E4788">
            <w:pPr>
              <w:rPr>
                <w:sz w:val="24"/>
                <w:szCs w:val="24"/>
              </w:rPr>
            </w:pPr>
          </w:p>
        </w:tc>
      </w:tr>
      <w:tr w:rsidR="00CF3F69" w:rsidTr="007E4788">
        <w:trPr>
          <w:trHeight w:val="1304"/>
        </w:trPr>
        <w:tc>
          <w:tcPr>
            <w:tcW w:w="2127"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i/>
                <w:iCs/>
                <w:sz w:val="24"/>
                <w:szCs w:val="24"/>
              </w:rPr>
            </w:pPr>
            <w:r>
              <w:rPr>
                <w:i/>
                <w:iCs/>
                <w:sz w:val="24"/>
                <w:szCs w:val="24"/>
              </w:rPr>
              <w:lastRenderedPageBreak/>
              <w:t>Nervesystemet</w:t>
            </w:r>
          </w:p>
        </w:tc>
        <w:tc>
          <w:tcPr>
            <w:tcW w:w="2126"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w:t>
            </w:r>
          </w:p>
        </w:tc>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Hovedpine, </w:t>
            </w:r>
          </w:p>
          <w:p w:rsidR="00CF3F69" w:rsidRDefault="00CF3F69" w:rsidP="007E4788">
            <w:pPr>
              <w:rPr>
                <w:sz w:val="24"/>
                <w:szCs w:val="24"/>
              </w:rPr>
            </w:pPr>
            <w:r>
              <w:rPr>
                <w:sz w:val="24"/>
                <w:szCs w:val="24"/>
              </w:rPr>
              <w:t>Sløvhed,</w:t>
            </w:r>
          </w:p>
          <w:p w:rsidR="00CF3F69" w:rsidRDefault="00CF3F69" w:rsidP="007E4788">
            <w:pPr>
              <w:rPr>
                <w:sz w:val="24"/>
                <w:szCs w:val="24"/>
              </w:rPr>
            </w:pPr>
            <w:r>
              <w:rPr>
                <w:sz w:val="24"/>
                <w:szCs w:val="24"/>
              </w:rPr>
              <w:t>Svimmelhed,</w:t>
            </w:r>
          </w:p>
          <w:p w:rsidR="00CF3F69" w:rsidRDefault="00CF3F69" w:rsidP="007E4788">
            <w:pPr>
              <w:rPr>
                <w:sz w:val="24"/>
                <w:szCs w:val="24"/>
              </w:rPr>
            </w:pPr>
            <w:r>
              <w:rPr>
                <w:sz w:val="24"/>
                <w:szCs w:val="24"/>
              </w:rPr>
              <w:t>Paræstesi,</w:t>
            </w:r>
          </w:p>
          <w:p w:rsidR="00CF3F69" w:rsidRDefault="00CF3F69" w:rsidP="007E4788">
            <w:pPr>
              <w:rPr>
                <w:sz w:val="24"/>
                <w:szCs w:val="24"/>
              </w:rPr>
            </w:pPr>
            <w:r>
              <w:rPr>
                <w:sz w:val="24"/>
                <w:szCs w:val="24"/>
              </w:rPr>
              <w:t>Smagsforstyrrelser</w:t>
            </w:r>
          </w:p>
        </w:tc>
        <w:tc>
          <w:tcPr>
            <w:tcW w:w="269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Afasi,</w:t>
            </w:r>
          </w:p>
          <w:p w:rsidR="00CF3F69" w:rsidRDefault="00CF3F69" w:rsidP="007E4788">
            <w:pPr>
              <w:rPr>
                <w:sz w:val="24"/>
                <w:szCs w:val="24"/>
              </w:rPr>
            </w:pPr>
            <w:r>
              <w:rPr>
                <w:sz w:val="24"/>
                <w:szCs w:val="24"/>
              </w:rPr>
              <w:t>Hukommelsessvækkelse,</w:t>
            </w:r>
          </w:p>
          <w:p w:rsidR="00CF3F69" w:rsidRDefault="00CF3F69" w:rsidP="007E4788">
            <w:pPr>
              <w:rPr>
                <w:sz w:val="24"/>
                <w:szCs w:val="24"/>
              </w:rPr>
            </w:pPr>
            <w:r>
              <w:rPr>
                <w:sz w:val="24"/>
                <w:szCs w:val="24"/>
              </w:rPr>
              <w:t>Ataksi,</w:t>
            </w:r>
          </w:p>
          <w:p w:rsidR="00CF3F69" w:rsidRDefault="00CF3F69" w:rsidP="007E4788">
            <w:pPr>
              <w:rPr>
                <w:sz w:val="24"/>
                <w:szCs w:val="24"/>
              </w:rPr>
            </w:pPr>
            <w:r>
              <w:rPr>
                <w:sz w:val="24"/>
                <w:szCs w:val="24"/>
              </w:rPr>
              <w:t>Synkope,</w:t>
            </w:r>
          </w:p>
          <w:p w:rsidR="00CF3F69" w:rsidRDefault="00CF3F69" w:rsidP="007E4788">
            <w:pPr>
              <w:rPr>
                <w:sz w:val="24"/>
                <w:szCs w:val="24"/>
              </w:rPr>
            </w:pPr>
            <w:r>
              <w:rPr>
                <w:sz w:val="24"/>
                <w:szCs w:val="24"/>
              </w:rPr>
              <w:t>Balanceforstyrrelser,</w:t>
            </w:r>
          </w:p>
          <w:p w:rsidR="00CF3F69" w:rsidRDefault="00CF3F69" w:rsidP="007E4788">
            <w:pPr>
              <w:rPr>
                <w:sz w:val="24"/>
                <w:szCs w:val="24"/>
              </w:rPr>
            </w:pPr>
            <w:r>
              <w:rPr>
                <w:sz w:val="24"/>
                <w:szCs w:val="24"/>
              </w:rPr>
              <w:t>Føleforstyrrelser,</w:t>
            </w:r>
          </w:p>
          <w:p w:rsidR="00CF3F69" w:rsidRDefault="00CF3F69" w:rsidP="007E4788">
            <w:pPr>
              <w:rPr>
                <w:sz w:val="24"/>
                <w:szCs w:val="24"/>
              </w:rPr>
            </w:pPr>
            <w:r>
              <w:rPr>
                <w:sz w:val="24"/>
                <w:szCs w:val="24"/>
              </w:rPr>
              <w:t>Perifer neuropati</w:t>
            </w:r>
          </w:p>
        </w:tc>
        <w:tc>
          <w:tcPr>
            <w:tcW w:w="1701" w:type="dxa"/>
            <w:tcBorders>
              <w:top w:val="single" w:sz="8" w:space="0" w:color="000000"/>
              <w:left w:val="single" w:sz="8" w:space="0" w:color="000000"/>
              <w:bottom w:val="single" w:sz="8" w:space="0" w:color="000000"/>
              <w:right w:val="single" w:sz="8" w:space="0" w:color="000000"/>
            </w:tcBorders>
          </w:tcPr>
          <w:p w:rsidR="00CF3F69" w:rsidRDefault="00CF3F69" w:rsidP="007E4788">
            <w:pPr>
              <w:rPr>
                <w:sz w:val="24"/>
                <w:szCs w:val="24"/>
              </w:rPr>
            </w:pPr>
            <w:r>
              <w:rPr>
                <w:color w:val="000000"/>
                <w:sz w:val="24"/>
                <w:szCs w:val="24"/>
              </w:rPr>
              <w:t>Toksisk leukoencefalo-pati (meget sjælden)</w:t>
            </w:r>
          </w:p>
        </w:tc>
      </w:tr>
      <w:tr w:rsidR="00CF3F69" w:rsidTr="007E4788">
        <w:trPr>
          <w:trHeight w:val="947"/>
        </w:trPr>
        <w:tc>
          <w:tcPr>
            <w:tcW w:w="2127"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i/>
                <w:iCs/>
                <w:sz w:val="24"/>
                <w:szCs w:val="24"/>
              </w:rPr>
            </w:pPr>
            <w:r>
              <w:rPr>
                <w:i/>
                <w:iCs/>
                <w:sz w:val="24"/>
                <w:szCs w:val="24"/>
              </w:rPr>
              <w:t>Øjne</w:t>
            </w:r>
          </w:p>
        </w:tc>
        <w:tc>
          <w:tcPr>
            <w:tcW w:w="2126"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w:t>
            </w:r>
          </w:p>
        </w:tc>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Øget tåresekretion,</w:t>
            </w:r>
          </w:p>
          <w:p w:rsidR="00CF3F69" w:rsidRDefault="00CF3F69" w:rsidP="007E4788">
            <w:pPr>
              <w:rPr>
                <w:sz w:val="24"/>
                <w:szCs w:val="24"/>
              </w:rPr>
            </w:pPr>
            <w:r>
              <w:rPr>
                <w:sz w:val="24"/>
                <w:szCs w:val="24"/>
              </w:rPr>
              <w:t>Conjunctivitis,</w:t>
            </w:r>
          </w:p>
          <w:p w:rsidR="00CF3F69" w:rsidRDefault="00CF3F69" w:rsidP="007E4788">
            <w:pPr>
              <w:rPr>
                <w:sz w:val="24"/>
                <w:szCs w:val="24"/>
              </w:rPr>
            </w:pPr>
            <w:r>
              <w:rPr>
                <w:sz w:val="24"/>
                <w:szCs w:val="24"/>
              </w:rPr>
              <w:t>Øjenirritation</w:t>
            </w:r>
          </w:p>
        </w:tc>
        <w:tc>
          <w:tcPr>
            <w:tcW w:w="269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Nedsat visual skarphed, </w:t>
            </w:r>
          </w:p>
          <w:p w:rsidR="00CF3F69" w:rsidRDefault="00CF3F69" w:rsidP="007E4788">
            <w:pPr>
              <w:rPr>
                <w:sz w:val="24"/>
                <w:szCs w:val="24"/>
              </w:rPr>
            </w:pPr>
            <w:r>
              <w:rPr>
                <w:sz w:val="24"/>
                <w:szCs w:val="24"/>
              </w:rPr>
              <w:t>Diplopi</w:t>
            </w:r>
          </w:p>
        </w:tc>
        <w:tc>
          <w:tcPr>
            <w:tcW w:w="1701" w:type="dxa"/>
            <w:tcBorders>
              <w:top w:val="single" w:sz="8" w:space="0" w:color="000000"/>
              <w:left w:val="single" w:sz="8" w:space="0" w:color="000000"/>
              <w:bottom w:val="single" w:sz="8" w:space="0" w:color="000000"/>
              <w:right w:val="single" w:sz="8" w:space="0" w:color="000000"/>
            </w:tcBorders>
          </w:tcPr>
          <w:p w:rsidR="00CF3F69" w:rsidRDefault="00CF3F69" w:rsidP="007E4788">
            <w:pPr>
              <w:rPr>
                <w:sz w:val="24"/>
                <w:szCs w:val="24"/>
              </w:rPr>
            </w:pPr>
            <w:r>
              <w:rPr>
                <w:color w:val="000000"/>
                <w:sz w:val="24"/>
                <w:szCs w:val="24"/>
              </w:rPr>
              <w:t>Stenosis canaliculus lacrimalis (sjælden), Hornhinde-sygdom (sjælden), Keratitis (sjælden), Punktat keratitis (sjælden)</w:t>
            </w:r>
          </w:p>
        </w:tc>
      </w:tr>
      <w:tr w:rsidR="00CF3F69" w:rsidTr="007E4788">
        <w:trPr>
          <w:trHeight w:val="549"/>
        </w:trPr>
        <w:tc>
          <w:tcPr>
            <w:tcW w:w="2127"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i/>
                <w:iCs/>
                <w:sz w:val="24"/>
                <w:szCs w:val="24"/>
              </w:rPr>
            </w:pPr>
            <w:r>
              <w:rPr>
                <w:i/>
                <w:iCs/>
                <w:sz w:val="24"/>
                <w:szCs w:val="24"/>
              </w:rPr>
              <w:t>Øre og labyrint</w:t>
            </w:r>
          </w:p>
        </w:tc>
        <w:tc>
          <w:tcPr>
            <w:tcW w:w="2126"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w:t>
            </w:r>
          </w:p>
        </w:tc>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w:t>
            </w:r>
          </w:p>
        </w:tc>
        <w:tc>
          <w:tcPr>
            <w:tcW w:w="269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Vertigo,</w:t>
            </w:r>
          </w:p>
          <w:p w:rsidR="00CF3F69" w:rsidRDefault="00CF3F69" w:rsidP="007E4788">
            <w:pPr>
              <w:rPr>
                <w:sz w:val="24"/>
                <w:szCs w:val="24"/>
              </w:rPr>
            </w:pPr>
            <w:r>
              <w:rPr>
                <w:sz w:val="24"/>
                <w:szCs w:val="24"/>
              </w:rPr>
              <w:t>Øresmerter</w:t>
            </w:r>
          </w:p>
        </w:tc>
        <w:tc>
          <w:tcPr>
            <w:tcW w:w="1701" w:type="dxa"/>
            <w:tcBorders>
              <w:top w:val="single" w:sz="8" w:space="0" w:color="000000"/>
              <w:left w:val="single" w:sz="8" w:space="0" w:color="000000"/>
              <w:bottom w:val="single" w:sz="8" w:space="0" w:color="000000"/>
              <w:right w:val="single" w:sz="8" w:space="0" w:color="000000"/>
            </w:tcBorders>
          </w:tcPr>
          <w:p w:rsidR="00CF3F69" w:rsidRDefault="00CF3F69" w:rsidP="007E4788">
            <w:pPr>
              <w:rPr>
                <w:sz w:val="24"/>
                <w:szCs w:val="24"/>
              </w:rPr>
            </w:pPr>
          </w:p>
        </w:tc>
      </w:tr>
      <w:tr w:rsidR="00CF3F69" w:rsidTr="007E4788">
        <w:trPr>
          <w:trHeight w:val="835"/>
        </w:trPr>
        <w:tc>
          <w:tcPr>
            <w:tcW w:w="2127"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i/>
                <w:iCs/>
                <w:sz w:val="24"/>
                <w:szCs w:val="24"/>
              </w:rPr>
            </w:pPr>
            <w:r>
              <w:rPr>
                <w:i/>
                <w:iCs/>
                <w:sz w:val="24"/>
                <w:szCs w:val="24"/>
              </w:rPr>
              <w:t>Hjerte</w:t>
            </w:r>
          </w:p>
        </w:tc>
        <w:tc>
          <w:tcPr>
            <w:tcW w:w="2126"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w:t>
            </w:r>
          </w:p>
        </w:tc>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w:t>
            </w:r>
          </w:p>
        </w:tc>
        <w:tc>
          <w:tcPr>
            <w:tcW w:w="2693" w:type="dxa"/>
            <w:tcBorders>
              <w:top w:val="single" w:sz="8" w:space="0" w:color="000000"/>
              <w:left w:val="single" w:sz="8" w:space="0" w:color="000000"/>
              <w:bottom w:val="single" w:sz="8" w:space="0" w:color="000000"/>
              <w:right w:val="single" w:sz="8" w:space="0" w:color="000000"/>
            </w:tcBorders>
            <w:hideMark/>
          </w:tcPr>
          <w:p w:rsidR="00CF3F69" w:rsidRPr="00CD507A" w:rsidRDefault="00CF3F69" w:rsidP="007E4788">
            <w:pPr>
              <w:rPr>
                <w:sz w:val="24"/>
                <w:szCs w:val="24"/>
                <w:lang w:val="en-US"/>
              </w:rPr>
            </w:pPr>
            <w:r w:rsidRPr="00CD507A">
              <w:rPr>
                <w:sz w:val="24"/>
                <w:szCs w:val="24"/>
                <w:lang w:val="en-US"/>
              </w:rPr>
              <w:t>Ustabil angina,</w:t>
            </w:r>
          </w:p>
          <w:p w:rsidR="00CF3F69" w:rsidRPr="00CD507A" w:rsidRDefault="00CF3F69" w:rsidP="007E4788">
            <w:pPr>
              <w:rPr>
                <w:sz w:val="24"/>
                <w:szCs w:val="24"/>
                <w:lang w:val="en-US"/>
              </w:rPr>
            </w:pPr>
            <w:r w:rsidRPr="00CD507A">
              <w:rPr>
                <w:sz w:val="24"/>
                <w:szCs w:val="24"/>
                <w:lang w:val="en-US"/>
              </w:rPr>
              <w:t>Angina pectoris,</w:t>
            </w:r>
          </w:p>
          <w:p w:rsidR="00CF3F69" w:rsidRPr="00CD507A" w:rsidRDefault="00CF3F69" w:rsidP="007E4788">
            <w:pPr>
              <w:rPr>
                <w:sz w:val="24"/>
                <w:szCs w:val="24"/>
                <w:lang w:val="en-US"/>
              </w:rPr>
            </w:pPr>
            <w:r w:rsidRPr="00CD507A">
              <w:rPr>
                <w:sz w:val="24"/>
                <w:szCs w:val="24"/>
                <w:lang w:val="en-US"/>
              </w:rPr>
              <w:t>Myokardiel iskæmi,</w:t>
            </w:r>
          </w:p>
          <w:p w:rsidR="00CF3F69" w:rsidRDefault="00CF3F69" w:rsidP="007E4788">
            <w:pPr>
              <w:rPr>
                <w:sz w:val="24"/>
                <w:szCs w:val="24"/>
              </w:rPr>
            </w:pPr>
            <w:r>
              <w:rPr>
                <w:sz w:val="24"/>
                <w:szCs w:val="24"/>
              </w:rPr>
              <w:t>Atrieflimmer,</w:t>
            </w:r>
          </w:p>
          <w:p w:rsidR="00CF3F69" w:rsidRDefault="00CF3F69" w:rsidP="007E4788">
            <w:pPr>
              <w:rPr>
                <w:sz w:val="24"/>
                <w:szCs w:val="24"/>
              </w:rPr>
            </w:pPr>
            <w:r>
              <w:rPr>
                <w:sz w:val="24"/>
                <w:szCs w:val="24"/>
              </w:rPr>
              <w:t>Arytmi,</w:t>
            </w:r>
          </w:p>
          <w:p w:rsidR="00CF3F69" w:rsidRDefault="00CF3F69" w:rsidP="007E4788">
            <w:pPr>
              <w:rPr>
                <w:sz w:val="24"/>
                <w:szCs w:val="24"/>
              </w:rPr>
            </w:pPr>
            <w:r>
              <w:rPr>
                <w:sz w:val="24"/>
                <w:szCs w:val="24"/>
              </w:rPr>
              <w:t>Takykardi,</w:t>
            </w:r>
          </w:p>
          <w:p w:rsidR="00CF3F69" w:rsidRDefault="00CF3F69" w:rsidP="007E4788">
            <w:pPr>
              <w:rPr>
                <w:sz w:val="24"/>
                <w:szCs w:val="24"/>
              </w:rPr>
            </w:pPr>
            <w:r>
              <w:rPr>
                <w:sz w:val="24"/>
                <w:szCs w:val="24"/>
              </w:rPr>
              <w:t>Sinus takykardi,</w:t>
            </w:r>
          </w:p>
          <w:p w:rsidR="00CF3F69" w:rsidRDefault="00CF3F69" w:rsidP="007E4788">
            <w:pPr>
              <w:rPr>
                <w:sz w:val="24"/>
                <w:szCs w:val="24"/>
              </w:rPr>
            </w:pPr>
            <w:r>
              <w:rPr>
                <w:sz w:val="24"/>
                <w:szCs w:val="24"/>
              </w:rPr>
              <w:t>Palpitationer</w:t>
            </w:r>
          </w:p>
        </w:tc>
        <w:tc>
          <w:tcPr>
            <w:tcW w:w="1701" w:type="dxa"/>
            <w:tcBorders>
              <w:top w:val="single" w:sz="8" w:space="0" w:color="000000"/>
              <w:left w:val="single" w:sz="8" w:space="0" w:color="000000"/>
              <w:bottom w:val="single" w:sz="8" w:space="0" w:color="000000"/>
              <w:right w:val="single" w:sz="8" w:space="0" w:color="000000"/>
            </w:tcBorders>
          </w:tcPr>
          <w:p w:rsidR="00CF3F69" w:rsidRDefault="00CF3F69" w:rsidP="007E4788">
            <w:pPr>
              <w:widowControl w:val="0"/>
              <w:autoSpaceDE w:val="0"/>
              <w:autoSpaceDN w:val="0"/>
              <w:adjustRightInd w:val="0"/>
              <w:rPr>
                <w:color w:val="000000"/>
                <w:sz w:val="24"/>
                <w:szCs w:val="24"/>
              </w:rPr>
            </w:pPr>
            <w:r>
              <w:rPr>
                <w:color w:val="000000"/>
                <w:sz w:val="24"/>
                <w:szCs w:val="24"/>
              </w:rPr>
              <w:t>Ventrikel-flimmer (sjælden),</w:t>
            </w:r>
          </w:p>
          <w:p w:rsidR="00CF3F69" w:rsidRPr="00E1394D" w:rsidRDefault="00CF3F69" w:rsidP="007E4788">
            <w:pPr>
              <w:rPr>
                <w:sz w:val="24"/>
                <w:szCs w:val="24"/>
              </w:rPr>
            </w:pPr>
            <w:r>
              <w:rPr>
                <w:color w:val="000000"/>
                <w:sz w:val="24"/>
                <w:szCs w:val="24"/>
              </w:rPr>
              <w:t>QT-forlæn-gelse (sjælden), Torsades de pointes (sjælden), Bradykardi (sjælden), Karspasme (sjælden)</w:t>
            </w:r>
          </w:p>
        </w:tc>
      </w:tr>
      <w:tr w:rsidR="00CF3F69" w:rsidTr="007E4788">
        <w:trPr>
          <w:trHeight w:val="1722"/>
        </w:trPr>
        <w:tc>
          <w:tcPr>
            <w:tcW w:w="2127"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i/>
                <w:iCs/>
                <w:sz w:val="24"/>
                <w:szCs w:val="24"/>
              </w:rPr>
            </w:pPr>
            <w:r>
              <w:rPr>
                <w:i/>
                <w:iCs/>
                <w:sz w:val="24"/>
                <w:szCs w:val="24"/>
              </w:rPr>
              <w:t>Vaskulære sygdomme</w:t>
            </w:r>
          </w:p>
        </w:tc>
        <w:tc>
          <w:tcPr>
            <w:tcW w:w="2126"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w:t>
            </w:r>
          </w:p>
        </w:tc>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Thrombofle-bitis</w:t>
            </w:r>
          </w:p>
        </w:tc>
        <w:tc>
          <w:tcPr>
            <w:tcW w:w="2693" w:type="dxa"/>
            <w:tcBorders>
              <w:top w:val="single" w:sz="8" w:space="0" w:color="000000"/>
              <w:left w:val="single" w:sz="8" w:space="0" w:color="000000"/>
              <w:bottom w:val="single" w:sz="8" w:space="0" w:color="000000"/>
              <w:right w:val="single" w:sz="8" w:space="0" w:color="000000"/>
            </w:tcBorders>
          </w:tcPr>
          <w:p w:rsidR="00CF3F69" w:rsidRDefault="00CF3F69" w:rsidP="007E4788">
            <w:pPr>
              <w:rPr>
                <w:sz w:val="24"/>
                <w:szCs w:val="24"/>
              </w:rPr>
            </w:pPr>
            <w:r>
              <w:rPr>
                <w:sz w:val="24"/>
                <w:szCs w:val="24"/>
              </w:rPr>
              <w:t>Dyb venethrombose,</w:t>
            </w:r>
          </w:p>
          <w:p w:rsidR="00CF3F69" w:rsidRDefault="00CF3F69" w:rsidP="007E4788">
            <w:pPr>
              <w:rPr>
                <w:sz w:val="24"/>
                <w:szCs w:val="24"/>
              </w:rPr>
            </w:pPr>
            <w:r>
              <w:rPr>
                <w:sz w:val="24"/>
                <w:szCs w:val="24"/>
              </w:rPr>
              <w:t>Hypertension,</w:t>
            </w:r>
          </w:p>
          <w:p w:rsidR="00CF3F69" w:rsidRDefault="00CF3F69" w:rsidP="007E4788">
            <w:pPr>
              <w:rPr>
                <w:sz w:val="24"/>
                <w:szCs w:val="24"/>
              </w:rPr>
            </w:pPr>
            <w:r>
              <w:rPr>
                <w:sz w:val="24"/>
                <w:szCs w:val="24"/>
              </w:rPr>
              <w:t>Petekkier,</w:t>
            </w:r>
          </w:p>
          <w:p w:rsidR="00CF3F69" w:rsidRDefault="00CF3F69" w:rsidP="007E4788">
            <w:pPr>
              <w:rPr>
                <w:sz w:val="24"/>
                <w:szCs w:val="24"/>
              </w:rPr>
            </w:pPr>
            <w:r>
              <w:rPr>
                <w:sz w:val="24"/>
                <w:szCs w:val="24"/>
              </w:rPr>
              <w:t>Hypotension,</w:t>
            </w:r>
          </w:p>
          <w:p w:rsidR="00CF3F69" w:rsidRDefault="00CF3F69" w:rsidP="007E4788">
            <w:pPr>
              <w:rPr>
                <w:sz w:val="24"/>
                <w:szCs w:val="24"/>
              </w:rPr>
            </w:pPr>
            <w:r>
              <w:rPr>
                <w:sz w:val="24"/>
                <w:szCs w:val="24"/>
              </w:rPr>
              <w:t>Hedeture,</w:t>
            </w:r>
          </w:p>
          <w:p w:rsidR="00CF3F69" w:rsidRDefault="00CF3F69" w:rsidP="007E4788">
            <w:pPr>
              <w:rPr>
                <w:sz w:val="24"/>
                <w:szCs w:val="24"/>
              </w:rPr>
            </w:pPr>
            <w:r>
              <w:rPr>
                <w:sz w:val="24"/>
                <w:szCs w:val="24"/>
              </w:rPr>
              <w:t>Perifer kuldefølelse</w:t>
            </w:r>
          </w:p>
        </w:tc>
        <w:tc>
          <w:tcPr>
            <w:tcW w:w="1701" w:type="dxa"/>
            <w:tcBorders>
              <w:top w:val="single" w:sz="8" w:space="0" w:color="000000"/>
              <w:left w:val="single" w:sz="8" w:space="0" w:color="000000"/>
              <w:bottom w:val="single" w:sz="8" w:space="0" w:color="000000"/>
              <w:right w:val="single" w:sz="8" w:space="0" w:color="000000"/>
            </w:tcBorders>
          </w:tcPr>
          <w:p w:rsidR="00CF3F69" w:rsidRDefault="00CF3F69" w:rsidP="007E4788">
            <w:pPr>
              <w:rPr>
                <w:sz w:val="24"/>
                <w:szCs w:val="24"/>
              </w:rPr>
            </w:pPr>
          </w:p>
        </w:tc>
      </w:tr>
      <w:tr w:rsidR="00CF3F69" w:rsidTr="007E4788">
        <w:trPr>
          <w:trHeight w:val="1304"/>
        </w:trPr>
        <w:tc>
          <w:tcPr>
            <w:tcW w:w="2127"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i/>
                <w:iCs/>
                <w:sz w:val="24"/>
                <w:szCs w:val="24"/>
              </w:rPr>
            </w:pPr>
            <w:r>
              <w:rPr>
                <w:i/>
                <w:iCs/>
                <w:sz w:val="24"/>
                <w:szCs w:val="24"/>
              </w:rPr>
              <w:t>Luftveje, thorax og mediastinum</w:t>
            </w:r>
          </w:p>
        </w:tc>
        <w:tc>
          <w:tcPr>
            <w:tcW w:w="2126"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w:t>
            </w:r>
          </w:p>
        </w:tc>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Dyspnø,</w:t>
            </w:r>
          </w:p>
          <w:p w:rsidR="00CF3F69" w:rsidRDefault="00CF3F69" w:rsidP="007E4788">
            <w:pPr>
              <w:rPr>
                <w:sz w:val="24"/>
                <w:szCs w:val="24"/>
              </w:rPr>
            </w:pPr>
            <w:r>
              <w:rPr>
                <w:sz w:val="24"/>
                <w:szCs w:val="24"/>
              </w:rPr>
              <w:t>Epistaxis,</w:t>
            </w:r>
          </w:p>
          <w:p w:rsidR="00CF3F69" w:rsidRDefault="00CF3F69" w:rsidP="007E4788">
            <w:pPr>
              <w:rPr>
                <w:sz w:val="24"/>
                <w:szCs w:val="24"/>
              </w:rPr>
            </w:pPr>
            <w:r>
              <w:rPr>
                <w:sz w:val="24"/>
                <w:szCs w:val="24"/>
              </w:rPr>
              <w:t>Hoste,</w:t>
            </w:r>
          </w:p>
          <w:p w:rsidR="00CF3F69" w:rsidRDefault="00CF3F69" w:rsidP="007E4788">
            <w:pPr>
              <w:rPr>
                <w:sz w:val="24"/>
                <w:szCs w:val="24"/>
              </w:rPr>
            </w:pPr>
            <w:r>
              <w:rPr>
                <w:sz w:val="24"/>
                <w:szCs w:val="24"/>
              </w:rPr>
              <w:t>Rindende næse</w:t>
            </w:r>
          </w:p>
        </w:tc>
        <w:tc>
          <w:tcPr>
            <w:tcW w:w="2693" w:type="dxa"/>
            <w:tcBorders>
              <w:top w:val="single" w:sz="8" w:space="0" w:color="000000"/>
              <w:left w:val="single" w:sz="8" w:space="0" w:color="000000"/>
              <w:bottom w:val="single" w:sz="8" w:space="0" w:color="000000"/>
              <w:right w:val="single" w:sz="8" w:space="0" w:color="000000"/>
            </w:tcBorders>
          </w:tcPr>
          <w:p w:rsidR="00CF3F69" w:rsidRDefault="00CF3F69" w:rsidP="007E4788">
            <w:pPr>
              <w:rPr>
                <w:sz w:val="24"/>
                <w:szCs w:val="24"/>
              </w:rPr>
            </w:pPr>
            <w:r>
              <w:rPr>
                <w:sz w:val="24"/>
                <w:szCs w:val="24"/>
              </w:rPr>
              <w:t>Pulmonær emboli,</w:t>
            </w:r>
          </w:p>
          <w:p w:rsidR="00CF3F69" w:rsidRDefault="00CF3F69" w:rsidP="007E4788">
            <w:pPr>
              <w:rPr>
                <w:sz w:val="24"/>
                <w:szCs w:val="24"/>
              </w:rPr>
            </w:pPr>
            <w:r>
              <w:rPr>
                <w:sz w:val="24"/>
                <w:szCs w:val="24"/>
              </w:rPr>
              <w:t>Pneumothorax,</w:t>
            </w:r>
          </w:p>
          <w:p w:rsidR="00CF3F69" w:rsidRDefault="00CF3F69" w:rsidP="007E4788">
            <w:pPr>
              <w:rPr>
                <w:sz w:val="24"/>
                <w:szCs w:val="24"/>
              </w:rPr>
            </w:pPr>
            <w:r>
              <w:rPr>
                <w:sz w:val="24"/>
                <w:szCs w:val="24"/>
              </w:rPr>
              <w:t>Hæmoptyse,</w:t>
            </w:r>
          </w:p>
          <w:p w:rsidR="00CF3F69" w:rsidRDefault="00CF3F69" w:rsidP="007E4788">
            <w:pPr>
              <w:rPr>
                <w:sz w:val="24"/>
                <w:szCs w:val="24"/>
              </w:rPr>
            </w:pPr>
            <w:r>
              <w:rPr>
                <w:sz w:val="24"/>
                <w:szCs w:val="24"/>
              </w:rPr>
              <w:t>Asthma,</w:t>
            </w:r>
          </w:p>
          <w:p w:rsidR="00CF3F69" w:rsidRDefault="00CF3F69" w:rsidP="007E4788">
            <w:pPr>
              <w:rPr>
                <w:sz w:val="24"/>
                <w:szCs w:val="24"/>
              </w:rPr>
            </w:pPr>
            <w:r>
              <w:rPr>
                <w:sz w:val="24"/>
                <w:szCs w:val="24"/>
              </w:rPr>
              <w:lastRenderedPageBreak/>
              <w:t>Funktionsdyspnø</w:t>
            </w:r>
          </w:p>
        </w:tc>
        <w:tc>
          <w:tcPr>
            <w:tcW w:w="1701" w:type="dxa"/>
            <w:tcBorders>
              <w:top w:val="single" w:sz="8" w:space="0" w:color="000000"/>
              <w:left w:val="single" w:sz="8" w:space="0" w:color="000000"/>
              <w:bottom w:val="single" w:sz="8" w:space="0" w:color="000000"/>
              <w:right w:val="single" w:sz="8" w:space="0" w:color="000000"/>
            </w:tcBorders>
          </w:tcPr>
          <w:p w:rsidR="00CF3F69" w:rsidRDefault="00CF3F69" w:rsidP="007E4788">
            <w:pPr>
              <w:rPr>
                <w:sz w:val="24"/>
                <w:szCs w:val="24"/>
              </w:rPr>
            </w:pPr>
          </w:p>
        </w:tc>
      </w:tr>
      <w:tr w:rsidR="00CF3F69" w:rsidTr="007E4788">
        <w:trPr>
          <w:trHeight w:val="1304"/>
        </w:trPr>
        <w:tc>
          <w:tcPr>
            <w:tcW w:w="2127" w:type="dxa"/>
            <w:tcBorders>
              <w:top w:val="single" w:sz="8" w:space="0" w:color="000000"/>
              <w:left w:val="single" w:sz="8" w:space="0" w:color="000000"/>
              <w:bottom w:val="single" w:sz="8" w:space="0" w:color="000000"/>
              <w:right w:val="single" w:sz="8" w:space="0" w:color="000000"/>
            </w:tcBorders>
          </w:tcPr>
          <w:p w:rsidR="00CF3F69" w:rsidRDefault="00CF3F69" w:rsidP="007E4788">
            <w:pPr>
              <w:rPr>
                <w:i/>
                <w:iCs/>
                <w:sz w:val="24"/>
                <w:szCs w:val="24"/>
              </w:rPr>
            </w:pPr>
            <w:r>
              <w:rPr>
                <w:i/>
                <w:iCs/>
                <w:sz w:val="24"/>
                <w:szCs w:val="24"/>
              </w:rPr>
              <w:t>Mave-tarmkanalen</w:t>
            </w:r>
          </w:p>
        </w:tc>
        <w:tc>
          <w:tcPr>
            <w:tcW w:w="2126"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Diarré,</w:t>
            </w:r>
          </w:p>
          <w:p w:rsidR="00CF3F69" w:rsidRDefault="00CF3F69" w:rsidP="007E4788">
            <w:pPr>
              <w:rPr>
                <w:sz w:val="24"/>
                <w:szCs w:val="24"/>
              </w:rPr>
            </w:pPr>
            <w:r>
              <w:rPr>
                <w:sz w:val="24"/>
                <w:szCs w:val="24"/>
              </w:rPr>
              <w:t>Opkastning,</w:t>
            </w:r>
          </w:p>
          <w:p w:rsidR="00CF3F69" w:rsidRDefault="00CF3F69" w:rsidP="007E4788">
            <w:pPr>
              <w:rPr>
                <w:sz w:val="24"/>
                <w:szCs w:val="24"/>
              </w:rPr>
            </w:pPr>
            <w:r>
              <w:rPr>
                <w:sz w:val="24"/>
                <w:szCs w:val="24"/>
              </w:rPr>
              <w:t>Kvalme,</w:t>
            </w:r>
          </w:p>
          <w:p w:rsidR="00CF3F69" w:rsidRDefault="00CF3F69" w:rsidP="007E4788">
            <w:pPr>
              <w:rPr>
                <w:sz w:val="24"/>
                <w:szCs w:val="24"/>
              </w:rPr>
            </w:pPr>
            <w:r>
              <w:rPr>
                <w:sz w:val="24"/>
                <w:szCs w:val="24"/>
              </w:rPr>
              <w:t>Stomatitis,</w:t>
            </w:r>
          </w:p>
          <w:p w:rsidR="00CF3F69" w:rsidRDefault="00CF3F69" w:rsidP="007E4788">
            <w:pPr>
              <w:rPr>
                <w:sz w:val="24"/>
                <w:szCs w:val="24"/>
              </w:rPr>
            </w:pPr>
            <w:r>
              <w:rPr>
                <w:sz w:val="24"/>
                <w:szCs w:val="24"/>
              </w:rPr>
              <w:t>Abdominalsmerter</w:t>
            </w:r>
          </w:p>
        </w:tc>
        <w:tc>
          <w:tcPr>
            <w:tcW w:w="1701" w:type="dxa"/>
            <w:tcBorders>
              <w:top w:val="single" w:sz="8" w:space="0" w:color="000000"/>
              <w:left w:val="single" w:sz="8" w:space="0" w:color="000000"/>
              <w:bottom w:val="single" w:sz="8" w:space="0" w:color="000000"/>
              <w:right w:val="single" w:sz="8" w:space="0" w:color="000000"/>
            </w:tcBorders>
          </w:tcPr>
          <w:p w:rsidR="00CF3F69" w:rsidRDefault="00CF3F69" w:rsidP="007E4788">
            <w:pPr>
              <w:rPr>
                <w:sz w:val="24"/>
                <w:szCs w:val="24"/>
              </w:rPr>
            </w:pPr>
            <w:r>
              <w:rPr>
                <w:sz w:val="24"/>
                <w:szCs w:val="24"/>
              </w:rPr>
              <w:t>Gastrointesti-nal blødning,</w:t>
            </w:r>
          </w:p>
          <w:p w:rsidR="00CF3F69" w:rsidRDefault="00CF3F69" w:rsidP="007E4788">
            <w:pPr>
              <w:rPr>
                <w:sz w:val="24"/>
                <w:szCs w:val="24"/>
              </w:rPr>
            </w:pPr>
            <w:r>
              <w:rPr>
                <w:sz w:val="24"/>
                <w:szCs w:val="24"/>
              </w:rPr>
              <w:t>Konstipation,</w:t>
            </w:r>
          </w:p>
          <w:p w:rsidR="00CF3F69" w:rsidRDefault="00CF3F69" w:rsidP="007E4788">
            <w:pPr>
              <w:rPr>
                <w:sz w:val="24"/>
                <w:szCs w:val="24"/>
              </w:rPr>
            </w:pPr>
            <w:r>
              <w:rPr>
                <w:sz w:val="24"/>
                <w:szCs w:val="24"/>
              </w:rPr>
              <w:t>Øvre abdominale smerter,</w:t>
            </w:r>
          </w:p>
          <w:p w:rsidR="00CF3F69" w:rsidRDefault="00CF3F69" w:rsidP="007E4788">
            <w:pPr>
              <w:rPr>
                <w:sz w:val="24"/>
                <w:szCs w:val="24"/>
              </w:rPr>
            </w:pPr>
            <w:r>
              <w:rPr>
                <w:sz w:val="24"/>
                <w:szCs w:val="24"/>
              </w:rPr>
              <w:t>Dyspepsi,</w:t>
            </w:r>
          </w:p>
          <w:p w:rsidR="00CF3F69" w:rsidRDefault="00CF3F69" w:rsidP="007E4788">
            <w:pPr>
              <w:rPr>
                <w:sz w:val="24"/>
                <w:szCs w:val="24"/>
              </w:rPr>
            </w:pPr>
            <w:r>
              <w:rPr>
                <w:sz w:val="24"/>
                <w:szCs w:val="24"/>
              </w:rPr>
              <w:t>Flatulens,</w:t>
            </w:r>
          </w:p>
          <w:p w:rsidR="00CF3F69" w:rsidRDefault="00CF3F69" w:rsidP="007E4788">
            <w:pPr>
              <w:rPr>
                <w:sz w:val="24"/>
                <w:szCs w:val="24"/>
              </w:rPr>
            </w:pPr>
            <w:r>
              <w:rPr>
                <w:sz w:val="24"/>
                <w:szCs w:val="24"/>
              </w:rPr>
              <w:t>Mundtørhed</w:t>
            </w:r>
          </w:p>
          <w:p w:rsidR="00CF3F69" w:rsidRDefault="00CF3F69" w:rsidP="007E4788">
            <w:pPr>
              <w:rPr>
                <w:sz w:val="24"/>
                <w:szCs w:val="24"/>
              </w:rPr>
            </w:pPr>
          </w:p>
        </w:tc>
        <w:tc>
          <w:tcPr>
            <w:tcW w:w="269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Intestinal obstruktion,</w:t>
            </w:r>
          </w:p>
          <w:p w:rsidR="00CF3F69" w:rsidRDefault="00CF3F69" w:rsidP="007E4788">
            <w:pPr>
              <w:rPr>
                <w:sz w:val="24"/>
                <w:szCs w:val="24"/>
              </w:rPr>
            </w:pPr>
            <w:r>
              <w:rPr>
                <w:sz w:val="24"/>
                <w:szCs w:val="24"/>
              </w:rPr>
              <w:t>Ascites,</w:t>
            </w:r>
          </w:p>
          <w:p w:rsidR="00CF3F69" w:rsidRDefault="00CF3F69" w:rsidP="007E4788">
            <w:pPr>
              <w:rPr>
                <w:sz w:val="24"/>
                <w:szCs w:val="24"/>
              </w:rPr>
            </w:pPr>
            <w:r>
              <w:rPr>
                <w:sz w:val="24"/>
                <w:szCs w:val="24"/>
              </w:rPr>
              <w:t>Enteritis,</w:t>
            </w:r>
          </w:p>
          <w:p w:rsidR="00CF3F69" w:rsidRDefault="00CF3F69" w:rsidP="007E4788">
            <w:pPr>
              <w:rPr>
                <w:sz w:val="24"/>
                <w:szCs w:val="24"/>
              </w:rPr>
            </w:pPr>
            <w:r>
              <w:rPr>
                <w:sz w:val="24"/>
                <w:szCs w:val="24"/>
              </w:rPr>
              <w:t>Gastritis,</w:t>
            </w:r>
          </w:p>
          <w:p w:rsidR="00CF3F69" w:rsidRDefault="00CF3F69" w:rsidP="007E4788">
            <w:pPr>
              <w:rPr>
                <w:sz w:val="24"/>
                <w:szCs w:val="24"/>
              </w:rPr>
            </w:pPr>
            <w:r>
              <w:rPr>
                <w:sz w:val="24"/>
                <w:szCs w:val="24"/>
              </w:rPr>
              <w:t>Dysfagi,</w:t>
            </w:r>
          </w:p>
          <w:p w:rsidR="00CF3F69" w:rsidRDefault="00CF3F69" w:rsidP="007E4788">
            <w:pPr>
              <w:rPr>
                <w:sz w:val="24"/>
                <w:szCs w:val="24"/>
              </w:rPr>
            </w:pPr>
            <w:r>
              <w:rPr>
                <w:sz w:val="24"/>
                <w:szCs w:val="24"/>
              </w:rPr>
              <w:t>Nedre abdominale smerter,</w:t>
            </w:r>
          </w:p>
          <w:p w:rsidR="00CF3F69" w:rsidRDefault="00CF3F69" w:rsidP="007E4788">
            <w:pPr>
              <w:rPr>
                <w:sz w:val="24"/>
                <w:szCs w:val="24"/>
              </w:rPr>
            </w:pPr>
            <w:r>
              <w:rPr>
                <w:sz w:val="24"/>
                <w:szCs w:val="24"/>
              </w:rPr>
              <w:t>Esophagitis,</w:t>
            </w:r>
          </w:p>
          <w:p w:rsidR="00CF3F69" w:rsidRDefault="00CF3F69" w:rsidP="007E4788">
            <w:pPr>
              <w:rPr>
                <w:sz w:val="24"/>
                <w:szCs w:val="24"/>
              </w:rPr>
            </w:pPr>
            <w:r>
              <w:rPr>
                <w:sz w:val="24"/>
                <w:szCs w:val="24"/>
              </w:rPr>
              <w:t>Abdominalt ubehag,</w:t>
            </w:r>
          </w:p>
          <w:p w:rsidR="00CF3F69" w:rsidRDefault="00CF3F69" w:rsidP="007E4788">
            <w:pPr>
              <w:rPr>
                <w:sz w:val="24"/>
                <w:szCs w:val="24"/>
              </w:rPr>
            </w:pPr>
            <w:r>
              <w:rPr>
                <w:sz w:val="24"/>
                <w:szCs w:val="24"/>
              </w:rPr>
              <w:t>Gastroøsofageal reflux,</w:t>
            </w:r>
          </w:p>
          <w:p w:rsidR="00CF3F69" w:rsidRDefault="00CF3F69" w:rsidP="007E4788">
            <w:pPr>
              <w:rPr>
                <w:sz w:val="24"/>
                <w:szCs w:val="24"/>
              </w:rPr>
            </w:pPr>
            <w:r>
              <w:rPr>
                <w:sz w:val="24"/>
                <w:szCs w:val="24"/>
              </w:rPr>
              <w:t>Colitis,</w:t>
            </w:r>
          </w:p>
          <w:p w:rsidR="00CF3F69" w:rsidRDefault="00CF3F69" w:rsidP="007E4788">
            <w:pPr>
              <w:rPr>
                <w:sz w:val="24"/>
                <w:szCs w:val="24"/>
              </w:rPr>
            </w:pPr>
            <w:r>
              <w:rPr>
                <w:sz w:val="24"/>
                <w:szCs w:val="24"/>
              </w:rPr>
              <w:t>Blod i afføringen</w:t>
            </w:r>
          </w:p>
        </w:tc>
        <w:tc>
          <w:tcPr>
            <w:tcW w:w="1701" w:type="dxa"/>
            <w:tcBorders>
              <w:top w:val="single" w:sz="8" w:space="0" w:color="000000"/>
              <w:left w:val="single" w:sz="8" w:space="0" w:color="000000"/>
              <w:bottom w:val="single" w:sz="8" w:space="0" w:color="000000"/>
              <w:right w:val="single" w:sz="8" w:space="0" w:color="000000"/>
            </w:tcBorders>
          </w:tcPr>
          <w:p w:rsidR="00CF3F69" w:rsidRDefault="00CF3F69" w:rsidP="007E4788">
            <w:pPr>
              <w:rPr>
                <w:sz w:val="24"/>
                <w:szCs w:val="24"/>
              </w:rPr>
            </w:pPr>
          </w:p>
        </w:tc>
      </w:tr>
      <w:tr w:rsidR="00CF3F69" w:rsidTr="007E4788">
        <w:trPr>
          <w:trHeight w:val="1063"/>
        </w:trPr>
        <w:tc>
          <w:tcPr>
            <w:tcW w:w="2127"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i/>
                <w:iCs/>
                <w:sz w:val="24"/>
                <w:szCs w:val="24"/>
              </w:rPr>
            </w:pPr>
            <w:r>
              <w:rPr>
                <w:i/>
                <w:iCs/>
                <w:sz w:val="24"/>
                <w:szCs w:val="24"/>
              </w:rPr>
              <w:t>Lever og galdeveje</w:t>
            </w:r>
          </w:p>
        </w:tc>
        <w:tc>
          <w:tcPr>
            <w:tcW w:w="2126"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w:t>
            </w:r>
          </w:p>
        </w:tc>
        <w:tc>
          <w:tcPr>
            <w:tcW w:w="1701" w:type="dxa"/>
            <w:tcBorders>
              <w:top w:val="single" w:sz="8" w:space="0" w:color="000000"/>
              <w:left w:val="single" w:sz="8" w:space="0" w:color="000000"/>
              <w:bottom w:val="single" w:sz="8" w:space="0" w:color="000000"/>
              <w:right w:val="single" w:sz="8" w:space="0" w:color="000000"/>
            </w:tcBorders>
          </w:tcPr>
          <w:p w:rsidR="00CF3F69" w:rsidRDefault="00CF3F69" w:rsidP="007E4788">
            <w:pPr>
              <w:rPr>
                <w:sz w:val="24"/>
                <w:szCs w:val="24"/>
              </w:rPr>
            </w:pPr>
            <w:r>
              <w:rPr>
                <w:sz w:val="24"/>
                <w:szCs w:val="24"/>
              </w:rPr>
              <w:t>Hyperbilirubinæmi,</w:t>
            </w:r>
          </w:p>
          <w:p w:rsidR="00CF3F69" w:rsidRDefault="00CF3F69" w:rsidP="007E4788">
            <w:pPr>
              <w:rPr>
                <w:sz w:val="24"/>
                <w:szCs w:val="24"/>
              </w:rPr>
            </w:pPr>
            <w:r>
              <w:rPr>
                <w:sz w:val="24"/>
                <w:szCs w:val="24"/>
              </w:rPr>
              <w:t>Unormal leverfunktionstest</w:t>
            </w:r>
          </w:p>
        </w:tc>
        <w:tc>
          <w:tcPr>
            <w:tcW w:w="269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Gulsot</w:t>
            </w:r>
          </w:p>
        </w:tc>
        <w:tc>
          <w:tcPr>
            <w:tcW w:w="1701" w:type="dxa"/>
            <w:tcBorders>
              <w:top w:val="single" w:sz="8" w:space="0" w:color="000000"/>
              <w:left w:val="single" w:sz="8" w:space="0" w:color="000000"/>
              <w:bottom w:val="single" w:sz="8" w:space="0" w:color="000000"/>
              <w:right w:val="single" w:sz="8" w:space="0" w:color="000000"/>
            </w:tcBorders>
          </w:tcPr>
          <w:p w:rsidR="00CF3F69" w:rsidRDefault="00CF3F69" w:rsidP="007E4788">
            <w:pPr>
              <w:rPr>
                <w:sz w:val="24"/>
                <w:szCs w:val="24"/>
              </w:rPr>
            </w:pPr>
            <w:r>
              <w:rPr>
                <w:color w:val="000000"/>
                <w:sz w:val="24"/>
                <w:szCs w:val="24"/>
              </w:rPr>
              <w:t>Leversvigt (sjælden), Kolestatisk hepatitis (sjælden)</w:t>
            </w:r>
          </w:p>
        </w:tc>
      </w:tr>
      <w:tr w:rsidR="00CF3F69" w:rsidRPr="00EF2902" w:rsidTr="007E4788">
        <w:trPr>
          <w:trHeight w:val="1304"/>
        </w:trPr>
        <w:tc>
          <w:tcPr>
            <w:tcW w:w="2127"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i/>
                <w:iCs/>
                <w:sz w:val="24"/>
                <w:szCs w:val="24"/>
              </w:rPr>
            </w:pPr>
            <w:r>
              <w:rPr>
                <w:i/>
                <w:iCs/>
                <w:sz w:val="24"/>
                <w:szCs w:val="24"/>
              </w:rPr>
              <w:t>Hud og subkutane væv</w:t>
            </w:r>
          </w:p>
        </w:tc>
        <w:tc>
          <w:tcPr>
            <w:tcW w:w="2126"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Palmar-plantar erythrodysæstesi syndrom**</w:t>
            </w:r>
          </w:p>
        </w:tc>
        <w:tc>
          <w:tcPr>
            <w:tcW w:w="1701" w:type="dxa"/>
            <w:tcBorders>
              <w:top w:val="single" w:sz="8" w:space="0" w:color="000000"/>
              <w:left w:val="single" w:sz="8" w:space="0" w:color="000000"/>
              <w:bottom w:val="single" w:sz="8" w:space="0" w:color="000000"/>
              <w:right w:val="single" w:sz="8" w:space="0" w:color="000000"/>
            </w:tcBorders>
          </w:tcPr>
          <w:p w:rsidR="00CF3F69" w:rsidRDefault="00CF3F69" w:rsidP="007E4788">
            <w:pPr>
              <w:rPr>
                <w:sz w:val="24"/>
                <w:szCs w:val="24"/>
              </w:rPr>
            </w:pPr>
            <w:r>
              <w:rPr>
                <w:sz w:val="24"/>
                <w:szCs w:val="24"/>
              </w:rPr>
              <w:t>Udslæt,</w:t>
            </w:r>
          </w:p>
          <w:p w:rsidR="00CF3F69" w:rsidRDefault="00CF3F69" w:rsidP="007E4788">
            <w:pPr>
              <w:rPr>
                <w:sz w:val="24"/>
                <w:szCs w:val="24"/>
              </w:rPr>
            </w:pPr>
            <w:r>
              <w:rPr>
                <w:sz w:val="24"/>
                <w:szCs w:val="24"/>
              </w:rPr>
              <w:t>Alopeci,</w:t>
            </w:r>
          </w:p>
          <w:p w:rsidR="00CF3F69" w:rsidRDefault="00CF3F69" w:rsidP="007E4788">
            <w:pPr>
              <w:rPr>
                <w:sz w:val="24"/>
                <w:szCs w:val="24"/>
              </w:rPr>
            </w:pPr>
            <w:r>
              <w:rPr>
                <w:sz w:val="24"/>
                <w:szCs w:val="24"/>
              </w:rPr>
              <w:t>Erythem,</w:t>
            </w:r>
          </w:p>
          <w:p w:rsidR="00CF3F69" w:rsidRDefault="00CF3F69" w:rsidP="007E4788">
            <w:pPr>
              <w:rPr>
                <w:sz w:val="24"/>
                <w:szCs w:val="24"/>
              </w:rPr>
            </w:pPr>
            <w:r>
              <w:rPr>
                <w:sz w:val="24"/>
                <w:szCs w:val="24"/>
              </w:rPr>
              <w:t>Tør hud,</w:t>
            </w:r>
          </w:p>
          <w:p w:rsidR="00CF3F69" w:rsidRDefault="00CF3F69" w:rsidP="007E4788">
            <w:pPr>
              <w:rPr>
                <w:sz w:val="24"/>
                <w:szCs w:val="24"/>
              </w:rPr>
            </w:pPr>
            <w:r>
              <w:rPr>
                <w:sz w:val="24"/>
                <w:szCs w:val="24"/>
              </w:rPr>
              <w:t>Pruritus,</w:t>
            </w:r>
          </w:p>
          <w:p w:rsidR="00CF3F69" w:rsidRDefault="00CF3F69" w:rsidP="007E4788">
            <w:pPr>
              <w:rPr>
                <w:sz w:val="24"/>
                <w:szCs w:val="24"/>
              </w:rPr>
            </w:pPr>
            <w:r>
              <w:rPr>
                <w:sz w:val="24"/>
                <w:szCs w:val="24"/>
              </w:rPr>
              <w:t xml:space="preserve">Hyperpigmentering af huden, </w:t>
            </w:r>
          </w:p>
          <w:p w:rsidR="00CF3F69" w:rsidRDefault="00CF3F69" w:rsidP="007E4788">
            <w:pPr>
              <w:rPr>
                <w:sz w:val="24"/>
                <w:szCs w:val="24"/>
              </w:rPr>
            </w:pPr>
            <w:r>
              <w:rPr>
                <w:sz w:val="24"/>
                <w:szCs w:val="24"/>
              </w:rPr>
              <w:t>Makuløst udslæt,</w:t>
            </w:r>
          </w:p>
          <w:p w:rsidR="00CF3F69" w:rsidRDefault="00CF3F69" w:rsidP="007E4788">
            <w:pPr>
              <w:rPr>
                <w:sz w:val="24"/>
                <w:szCs w:val="24"/>
              </w:rPr>
            </w:pPr>
            <w:r>
              <w:rPr>
                <w:sz w:val="24"/>
                <w:szCs w:val="24"/>
              </w:rPr>
              <w:t>Afskalning af huden,</w:t>
            </w:r>
          </w:p>
          <w:p w:rsidR="00CF3F69" w:rsidRDefault="00CF3F69" w:rsidP="007E4788">
            <w:pPr>
              <w:rPr>
                <w:sz w:val="24"/>
                <w:szCs w:val="24"/>
              </w:rPr>
            </w:pPr>
            <w:r>
              <w:rPr>
                <w:sz w:val="24"/>
                <w:szCs w:val="24"/>
              </w:rPr>
              <w:t>Dermatitis,</w:t>
            </w:r>
          </w:p>
          <w:p w:rsidR="00CF3F69" w:rsidRDefault="00CF3F69" w:rsidP="007E4788">
            <w:pPr>
              <w:rPr>
                <w:sz w:val="24"/>
                <w:szCs w:val="24"/>
              </w:rPr>
            </w:pPr>
            <w:r>
              <w:rPr>
                <w:sz w:val="24"/>
                <w:szCs w:val="24"/>
              </w:rPr>
              <w:t>Pigmentændringer,</w:t>
            </w:r>
          </w:p>
          <w:p w:rsidR="00CF3F69" w:rsidRDefault="00CF3F69" w:rsidP="007E4788">
            <w:pPr>
              <w:rPr>
                <w:sz w:val="24"/>
                <w:szCs w:val="24"/>
              </w:rPr>
            </w:pPr>
            <w:r>
              <w:rPr>
                <w:sz w:val="24"/>
                <w:szCs w:val="24"/>
              </w:rPr>
              <w:t>Neglesygdom</w:t>
            </w:r>
          </w:p>
        </w:tc>
        <w:tc>
          <w:tcPr>
            <w:tcW w:w="269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Vabler,</w:t>
            </w:r>
          </w:p>
          <w:p w:rsidR="00CF3F69" w:rsidRDefault="00CF3F69" w:rsidP="007E4788">
            <w:pPr>
              <w:rPr>
                <w:sz w:val="24"/>
                <w:szCs w:val="24"/>
              </w:rPr>
            </w:pPr>
            <w:r>
              <w:rPr>
                <w:sz w:val="24"/>
                <w:szCs w:val="24"/>
              </w:rPr>
              <w:t>Sår i huden,</w:t>
            </w:r>
          </w:p>
          <w:p w:rsidR="00CF3F69" w:rsidRDefault="00CF3F69" w:rsidP="007E4788">
            <w:pPr>
              <w:rPr>
                <w:sz w:val="24"/>
                <w:szCs w:val="24"/>
              </w:rPr>
            </w:pPr>
            <w:r>
              <w:rPr>
                <w:sz w:val="24"/>
                <w:szCs w:val="24"/>
              </w:rPr>
              <w:t>Udslæt,</w:t>
            </w:r>
          </w:p>
          <w:p w:rsidR="00CF3F69" w:rsidRDefault="00CF3F69" w:rsidP="007E4788">
            <w:pPr>
              <w:rPr>
                <w:sz w:val="24"/>
                <w:szCs w:val="24"/>
              </w:rPr>
            </w:pPr>
            <w:r>
              <w:rPr>
                <w:sz w:val="24"/>
                <w:szCs w:val="24"/>
              </w:rPr>
              <w:t>Urticaria,</w:t>
            </w:r>
          </w:p>
          <w:p w:rsidR="00CF3F69" w:rsidRDefault="00CF3F69" w:rsidP="007E4788">
            <w:pPr>
              <w:rPr>
                <w:sz w:val="24"/>
                <w:szCs w:val="24"/>
              </w:rPr>
            </w:pPr>
            <w:r>
              <w:rPr>
                <w:sz w:val="24"/>
                <w:szCs w:val="24"/>
              </w:rPr>
              <w:t>Fotosensitivitets</w:t>
            </w:r>
            <w:r>
              <w:rPr>
                <w:sz w:val="24"/>
                <w:szCs w:val="24"/>
              </w:rPr>
              <w:softHyphen/>
              <w:t>reaktioner,</w:t>
            </w:r>
          </w:p>
          <w:p w:rsidR="00CF3F69" w:rsidRDefault="00CF3F69" w:rsidP="007E4788">
            <w:pPr>
              <w:rPr>
                <w:sz w:val="24"/>
                <w:szCs w:val="24"/>
              </w:rPr>
            </w:pPr>
            <w:r>
              <w:rPr>
                <w:sz w:val="24"/>
                <w:szCs w:val="24"/>
              </w:rPr>
              <w:t>Palmart erythem,</w:t>
            </w:r>
          </w:p>
          <w:p w:rsidR="00CF3F69" w:rsidRDefault="00CF3F69" w:rsidP="007E4788">
            <w:pPr>
              <w:rPr>
                <w:sz w:val="24"/>
                <w:szCs w:val="24"/>
              </w:rPr>
            </w:pPr>
            <w:r>
              <w:rPr>
                <w:sz w:val="24"/>
                <w:szCs w:val="24"/>
              </w:rPr>
              <w:t>Hævelse i ansigtet,</w:t>
            </w:r>
          </w:p>
          <w:p w:rsidR="00CF3F69" w:rsidRDefault="00CF3F69" w:rsidP="007E4788">
            <w:pPr>
              <w:rPr>
                <w:sz w:val="24"/>
                <w:szCs w:val="24"/>
              </w:rPr>
            </w:pPr>
            <w:r>
              <w:rPr>
                <w:sz w:val="24"/>
                <w:szCs w:val="24"/>
              </w:rPr>
              <w:t>Purpura,</w:t>
            </w:r>
          </w:p>
          <w:p w:rsidR="00CF3F69" w:rsidRDefault="00CF3F69" w:rsidP="007E4788">
            <w:pPr>
              <w:rPr>
                <w:sz w:val="24"/>
                <w:szCs w:val="24"/>
              </w:rPr>
            </w:pPr>
            <w:r>
              <w:rPr>
                <w:sz w:val="24"/>
                <w:szCs w:val="24"/>
              </w:rPr>
              <w:t>Radiation recall syndrome</w:t>
            </w:r>
          </w:p>
        </w:tc>
        <w:tc>
          <w:tcPr>
            <w:tcW w:w="1701" w:type="dxa"/>
            <w:tcBorders>
              <w:top w:val="single" w:sz="8" w:space="0" w:color="000000"/>
              <w:left w:val="single" w:sz="8" w:space="0" w:color="000000"/>
              <w:bottom w:val="single" w:sz="8" w:space="0" w:color="000000"/>
              <w:right w:val="single" w:sz="8" w:space="0" w:color="000000"/>
            </w:tcBorders>
          </w:tcPr>
          <w:p w:rsidR="00CF3F69" w:rsidRDefault="00CF3F69" w:rsidP="007E4788">
            <w:pPr>
              <w:rPr>
                <w:color w:val="000000"/>
                <w:sz w:val="24"/>
                <w:szCs w:val="24"/>
              </w:rPr>
            </w:pPr>
            <w:r>
              <w:rPr>
                <w:color w:val="000000"/>
                <w:sz w:val="24"/>
                <w:szCs w:val="24"/>
              </w:rPr>
              <w:t>Kutan lupus erythematosus (sjælden), Alvorlige hudreaktioner såsom Stevens-Johnsons syndrom og toksisk epidermal nekrolyse (meget sjælden) (se pkt. 4.4)</w:t>
            </w:r>
          </w:p>
          <w:p w:rsidR="00CF3F69" w:rsidRPr="00EF2902" w:rsidRDefault="00CF3F69" w:rsidP="007E4788">
            <w:pPr>
              <w:rPr>
                <w:sz w:val="24"/>
                <w:szCs w:val="24"/>
              </w:rPr>
            </w:pPr>
          </w:p>
        </w:tc>
      </w:tr>
      <w:tr w:rsidR="00CF3F69" w:rsidTr="007E4788">
        <w:trPr>
          <w:trHeight w:val="1304"/>
        </w:trPr>
        <w:tc>
          <w:tcPr>
            <w:tcW w:w="2127"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i/>
                <w:iCs/>
                <w:sz w:val="24"/>
                <w:szCs w:val="24"/>
              </w:rPr>
            </w:pPr>
            <w:r>
              <w:rPr>
                <w:i/>
                <w:iCs/>
                <w:sz w:val="24"/>
                <w:szCs w:val="24"/>
              </w:rPr>
              <w:t>Knogler, led, muskler og bindevæv</w:t>
            </w:r>
          </w:p>
        </w:tc>
        <w:tc>
          <w:tcPr>
            <w:tcW w:w="2126"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w:t>
            </w:r>
          </w:p>
        </w:tc>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Ekstremitets</w:t>
            </w:r>
            <w:r>
              <w:rPr>
                <w:sz w:val="24"/>
                <w:szCs w:val="24"/>
              </w:rPr>
              <w:softHyphen/>
              <w:t>smerter,</w:t>
            </w:r>
          </w:p>
          <w:p w:rsidR="00CF3F69" w:rsidRDefault="00CF3F69" w:rsidP="007E4788">
            <w:pPr>
              <w:rPr>
                <w:sz w:val="24"/>
                <w:szCs w:val="24"/>
              </w:rPr>
            </w:pPr>
            <w:r>
              <w:rPr>
                <w:sz w:val="24"/>
                <w:szCs w:val="24"/>
              </w:rPr>
              <w:t>Rygsmerter,</w:t>
            </w:r>
          </w:p>
          <w:p w:rsidR="00CF3F69" w:rsidRDefault="00CF3F69" w:rsidP="007E4788">
            <w:pPr>
              <w:rPr>
                <w:sz w:val="24"/>
                <w:szCs w:val="24"/>
              </w:rPr>
            </w:pPr>
            <w:r>
              <w:rPr>
                <w:sz w:val="24"/>
                <w:szCs w:val="24"/>
              </w:rPr>
              <w:t>Ledsmerter</w:t>
            </w:r>
          </w:p>
        </w:tc>
        <w:tc>
          <w:tcPr>
            <w:tcW w:w="2693" w:type="dxa"/>
            <w:tcBorders>
              <w:top w:val="single" w:sz="8" w:space="0" w:color="000000"/>
              <w:left w:val="single" w:sz="8" w:space="0" w:color="000000"/>
              <w:bottom w:val="single" w:sz="8" w:space="0" w:color="000000"/>
              <w:right w:val="single" w:sz="8" w:space="0" w:color="000000"/>
            </w:tcBorders>
          </w:tcPr>
          <w:p w:rsidR="00CF3F69" w:rsidRDefault="00CF3F69" w:rsidP="007E4788">
            <w:pPr>
              <w:rPr>
                <w:sz w:val="24"/>
                <w:szCs w:val="24"/>
              </w:rPr>
            </w:pPr>
            <w:r>
              <w:rPr>
                <w:sz w:val="24"/>
                <w:szCs w:val="24"/>
              </w:rPr>
              <w:t>Hævelse af led,</w:t>
            </w:r>
          </w:p>
          <w:p w:rsidR="00CF3F69" w:rsidRDefault="00CF3F69" w:rsidP="007E4788">
            <w:pPr>
              <w:rPr>
                <w:sz w:val="24"/>
                <w:szCs w:val="24"/>
              </w:rPr>
            </w:pPr>
            <w:r>
              <w:rPr>
                <w:sz w:val="24"/>
                <w:szCs w:val="24"/>
              </w:rPr>
              <w:t>Knoglesmerter,</w:t>
            </w:r>
          </w:p>
          <w:p w:rsidR="00CF3F69" w:rsidRDefault="00CF3F69" w:rsidP="007E4788">
            <w:pPr>
              <w:rPr>
                <w:sz w:val="24"/>
                <w:szCs w:val="24"/>
              </w:rPr>
            </w:pPr>
            <w:r>
              <w:rPr>
                <w:sz w:val="24"/>
                <w:szCs w:val="24"/>
              </w:rPr>
              <w:t>Ansigtssmerter,</w:t>
            </w:r>
          </w:p>
          <w:p w:rsidR="00CF3F69" w:rsidRDefault="00CF3F69" w:rsidP="007E4788">
            <w:pPr>
              <w:rPr>
                <w:sz w:val="24"/>
                <w:szCs w:val="24"/>
              </w:rPr>
            </w:pPr>
            <w:r>
              <w:rPr>
                <w:sz w:val="24"/>
                <w:szCs w:val="24"/>
              </w:rPr>
              <w:t>Muskuloskeletal stivhed,</w:t>
            </w:r>
          </w:p>
          <w:p w:rsidR="00CF3F69" w:rsidRDefault="00CF3F69" w:rsidP="007E4788">
            <w:pPr>
              <w:rPr>
                <w:sz w:val="24"/>
                <w:szCs w:val="24"/>
              </w:rPr>
            </w:pPr>
            <w:r>
              <w:rPr>
                <w:sz w:val="24"/>
                <w:szCs w:val="24"/>
              </w:rPr>
              <w:t>Muskelsvaghed</w:t>
            </w:r>
          </w:p>
        </w:tc>
        <w:tc>
          <w:tcPr>
            <w:tcW w:w="1701" w:type="dxa"/>
            <w:tcBorders>
              <w:top w:val="single" w:sz="8" w:space="0" w:color="000000"/>
              <w:left w:val="single" w:sz="8" w:space="0" w:color="000000"/>
              <w:bottom w:val="single" w:sz="8" w:space="0" w:color="000000"/>
              <w:right w:val="single" w:sz="8" w:space="0" w:color="000000"/>
            </w:tcBorders>
          </w:tcPr>
          <w:p w:rsidR="00CF3F69" w:rsidRDefault="00CF3F69" w:rsidP="007E4788">
            <w:pPr>
              <w:rPr>
                <w:sz w:val="24"/>
                <w:szCs w:val="24"/>
              </w:rPr>
            </w:pPr>
          </w:p>
        </w:tc>
      </w:tr>
      <w:tr w:rsidR="00CF3F69" w:rsidTr="007E4788">
        <w:trPr>
          <w:trHeight w:val="1304"/>
        </w:trPr>
        <w:tc>
          <w:tcPr>
            <w:tcW w:w="2127"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i/>
                <w:iCs/>
                <w:sz w:val="24"/>
                <w:szCs w:val="24"/>
              </w:rPr>
            </w:pPr>
            <w:r>
              <w:rPr>
                <w:i/>
                <w:iCs/>
                <w:sz w:val="24"/>
                <w:szCs w:val="24"/>
              </w:rPr>
              <w:lastRenderedPageBreak/>
              <w:t>Nyrer og urinveje</w:t>
            </w:r>
          </w:p>
        </w:tc>
        <w:tc>
          <w:tcPr>
            <w:tcW w:w="2126"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w:t>
            </w:r>
          </w:p>
        </w:tc>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w:t>
            </w:r>
          </w:p>
        </w:tc>
        <w:tc>
          <w:tcPr>
            <w:tcW w:w="269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Hydronefrose,</w:t>
            </w:r>
          </w:p>
          <w:p w:rsidR="00CF3F69" w:rsidRDefault="00CF3F69" w:rsidP="007E4788">
            <w:pPr>
              <w:rPr>
                <w:sz w:val="24"/>
                <w:szCs w:val="24"/>
              </w:rPr>
            </w:pPr>
            <w:r>
              <w:rPr>
                <w:sz w:val="24"/>
                <w:szCs w:val="24"/>
              </w:rPr>
              <w:t>Urininkontinens,</w:t>
            </w:r>
          </w:p>
          <w:p w:rsidR="00CF3F69" w:rsidRDefault="00CF3F69" w:rsidP="007E4788">
            <w:pPr>
              <w:rPr>
                <w:sz w:val="24"/>
                <w:szCs w:val="24"/>
              </w:rPr>
            </w:pPr>
            <w:r>
              <w:rPr>
                <w:sz w:val="24"/>
                <w:szCs w:val="24"/>
              </w:rPr>
              <w:t>Hæmaturi,</w:t>
            </w:r>
          </w:p>
          <w:p w:rsidR="00CF3F69" w:rsidRDefault="00CF3F69" w:rsidP="007E4788">
            <w:pPr>
              <w:rPr>
                <w:sz w:val="24"/>
                <w:szCs w:val="24"/>
              </w:rPr>
            </w:pPr>
            <w:r>
              <w:rPr>
                <w:sz w:val="24"/>
                <w:szCs w:val="24"/>
              </w:rPr>
              <w:t>Nokturi,</w:t>
            </w:r>
          </w:p>
          <w:p w:rsidR="00CF3F69" w:rsidRDefault="00CF3F69" w:rsidP="007E4788">
            <w:pPr>
              <w:rPr>
                <w:sz w:val="24"/>
                <w:szCs w:val="24"/>
              </w:rPr>
            </w:pPr>
            <w:r>
              <w:rPr>
                <w:sz w:val="24"/>
                <w:szCs w:val="24"/>
              </w:rPr>
              <w:t>Forøget blodkreatinin</w:t>
            </w:r>
          </w:p>
        </w:tc>
        <w:tc>
          <w:tcPr>
            <w:tcW w:w="1701" w:type="dxa"/>
            <w:tcBorders>
              <w:top w:val="single" w:sz="8" w:space="0" w:color="000000"/>
              <w:left w:val="single" w:sz="8" w:space="0" w:color="000000"/>
              <w:bottom w:val="single" w:sz="8" w:space="0" w:color="000000"/>
              <w:right w:val="single" w:sz="8" w:space="0" w:color="000000"/>
            </w:tcBorders>
          </w:tcPr>
          <w:p w:rsidR="00CF3F69" w:rsidRDefault="00CF3F69" w:rsidP="007E4788">
            <w:pPr>
              <w:rPr>
                <w:sz w:val="24"/>
                <w:szCs w:val="24"/>
              </w:rPr>
            </w:pPr>
          </w:p>
        </w:tc>
      </w:tr>
      <w:tr w:rsidR="00CF3F69" w:rsidTr="007E4788">
        <w:trPr>
          <w:trHeight w:val="621"/>
        </w:trPr>
        <w:tc>
          <w:tcPr>
            <w:tcW w:w="2127"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i/>
                <w:iCs/>
                <w:sz w:val="24"/>
                <w:szCs w:val="24"/>
              </w:rPr>
            </w:pPr>
            <w:r>
              <w:rPr>
                <w:i/>
                <w:iCs/>
                <w:sz w:val="24"/>
                <w:szCs w:val="24"/>
              </w:rPr>
              <w:t>Det reproduktive system og mammae</w:t>
            </w:r>
          </w:p>
        </w:tc>
        <w:tc>
          <w:tcPr>
            <w:tcW w:w="2126"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w:t>
            </w:r>
          </w:p>
        </w:tc>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w:t>
            </w:r>
          </w:p>
        </w:tc>
        <w:tc>
          <w:tcPr>
            <w:tcW w:w="269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Vaginal blødning</w:t>
            </w:r>
          </w:p>
        </w:tc>
        <w:tc>
          <w:tcPr>
            <w:tcW w:w="1701" w:type="dxa"/>
            <w:tcBorders>
              <w:top w:val="single" w:sz="8" w:space="0" w:color="000000"/>
              <w:left w:val="single" w:sz="8" w:space="0" w:color="000000"/>
              <w:bottom w:val="single" w:sz="8" w:space="0" w:color="000000"/>
              <w:right w:val="single" w:sz="8" w:space="0" w:color="000000"/>
            </w:tcBorders>
          </w:tcPr>
          <w:p w:rsidR="00CF3F69" w:rsidRDefault="00CF3F69" w:rsidP="007E4788">
            <w:pPr>
              <w:rPr>
                <w:sz w:val="24"/>
                <w:szCs w:val="24"/>
              </w:rPr>
            </w:pPr>
          </w:p>
        </w:tc>
      </w:tr>
      <w:tr w:rsidR="00CF3F69" w:rsidTr="007E4788">
        <w:trPr>
          <w:trHeight w:val="1304"/>
        </w:trPr>
        <w:tc>
          <w:tcPr>
            <w:tcW w:w="2127"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i/>
                <w:iCs/>
                <w:sz w:val="24"/>
                <w:szCs w:val="24"/>
              </w:rPr>
            </w:pPr>
            <w:r>
              <w:rPr>
                <w:i/>
                <w:iCs/>
                <w:sz w:val="24"/>
                <w:szCs w:val="24"/>
              </w:rPr>
              <w:t>Almensymptomer og reaktioner på administrations-stedet</w:t>
            </w:r>
          </w:p>
        </w:tc>
        <w:tc>
          <w:tcPr>
            <w:tcW w:w="2126"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Træthed, </w:t>
            </w:r>
          </w:p>
          <w:p w:rsidR="00CF3F69" w:rsidRDefault="00CF3F69" w:rsidP="007E4788">
            <w:pPr>
              <w:rPr>
                <w:sz w:val="24"/>
                <w:szCs w:val="24"/>
              </w:rPr>
            </w:pPr>
            <w:r>
              <w:rPr>
                <w:sz w:val="24"/>
                <w:szCs w:val="24"/>
              </w:rPr>
              <w:t>Asteni</w:t>
            </w:r>
          </w:p>
        </w:tc>
        <w:tc>
          <w:tcPr>
            <w:tcW w:w="1701"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Feber,</w:t>
            </w:r>
          </w:p>
          <w:p w:rsidR="00CF3F69" w:rsidRDefault="00CF3F69" w:rsidP="007E4788">
            <w:pPr>
              <w:rPr>
                <w:sz w:val="24"/>
                <w:szCs w:val="24"/>
              </w:rPr>
            </w:pPr>
            <w:r>
              <w:rPr>
                <w:sz w:val="24"/>
                <w:szCs w:val="24"/>
              </w:rPr>
              <w:t>Perifere ødemer,</w:t>
            </w:r>
          </w:p>
          <w:p w:rsidR="00CF3F69" w:rsidRDefault="00CF3F69" w:rsidP="007E4788">
            <w:pPr>
              <w:rPr>
                <w:sz w:val="24"/>
                <w:szCs w:val="24"/>
              </w:rPr>
            </w:pPr>
            <w:r>
              <w:rPr>
                <w:sz w:val="24"/>
                <w:szCs w:val="24"/>
              </w:rPr>
              <w:t>Utilpashed,</w:t>
            </w:r>
          </w:p>
          <w:p w:rsidR="00CF3F69" w:rsidRDefault="00CF3F69" w:rsidP="007E4788">
            <w:pPr>
              <w:rPr>
                <w:sz w:val="24"/>
                <w:szCs w:val="24"/>
              </w:rPr>
            </w:pPr>
            <w:r>
              <w:rPr>
                <w:sz w:val="24"/>
                <w:szCs w:val="24"/>
              </w:rPr>
              <w:t>Brystsmerter</w:t>
            </w:r>
          </w:p>
        </w:tc>
        <w:tc>
          <w:tcPr>
            <w:tcW w:w="269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Ødem,</w:t>
            </w:r>
          </w:p>
          <w:p w:rsidR="00CF3F69" w:rsidRDefault="00CF3F69" w:rsidP="007E4788">
            <w:pPr>
              <w:rPr>
                <w:sz w:val="24"/>
                <w:szCs w:val="24"/>
              </w:rPr>
            </w:pPr>
            <w:r>
              <w:rPr>
                <w:sz w:val="24"/>
                <w:szCs w:val="24"/>
              </w:rPr>
              <w:t>Kuldegysninger,</w:t>
            </w:r>
          </w:p>
          <w:p w:rsidR="00CF3F69" w:rsidRDefault="00CF3F69" w:rsidP="007E4788">
            <w:pPr>
              <w:rPr>
                <w:sz w:val="24"/>
                <w:szCs w:val="24"/>
              </w:rPr>
            </w:pPr>
            <w:r>
              <w:rPr>
                <w:sz w:val="24"/>
                <w:szCs w:val="24"/>
              </w:rPr>
              <w:t>Influenzalignende symptomer,</w:t>
            </w:r>
          </w:p>
          <w:p w:rsidR="00CF3F69" w:rsidRDefault="00CF3F69" w:rsidP="007E4788">
            <w:pPr>
              <w:rPr>
                <w:sz w:val="24"/>
                <w:szCs w:val="24"/>
              </w:rPr>
            </w:pPr>
            <w:r>
              <w:rPr>
                <w:sz w:val="24"/>
                <w:szCs w:val="24"/>
              </w:rPr>
              <w:t>Kulderystelser,</w:t>
            </w:r>
          </w:p>
          <w:p w:rsidR="00CF3F69" w:rsidRDefault="00CF3F69" w:rsidP="007E4788">
            <w:pPr>
              <w:rPr>
                <w:sz w:val="24"/>
                <w:szCs w:val="24"/>
              </w:rPr>
            </w:pPr>
            <w:r>
              <w:rPr>
                <w:sz w:val="24"/>
                <w:szCs w:val="24"/>
              </w:rPr>
              <w:t>Øget kropstemperatur</w:t>
            </w:r>
          </w:p>
        </w:tc>
        <w:tc>
          <w:tcPr>
            <w:tcW w:w="1701" w:type="dxa"/>
            <w:tcBorders>
              <w:top w:val="single" w:sz="8" w:space="0" w:color="000000"/>
              <w:left w:val="single" w:sz="8" w:space="0" w:color="000000"/>
              <w:bottom w:val="single" w:sz="8" w:space="0" w:color="000000"/>
              <w:right w:val="single" w:sz="8" w:space="0" w:color="000000"/>
            </w:tcBorders>
          </w:tcPr>
          <w:p w:rsidR="00CF3F69" w:rsidRDefault="00CF3F69" w:rsidP="007E4788">
            <w:pPr>
              <w:rPr>
                <w:sz w:val="24"/>
                <w:szCs w:val="24"/>
              </w:rPr>
            </w:pPr>
          </w:p>
        </w:tc>
      </w:tr>
    </w:tbl>
    <w:p w:rsidR="00CF3F69" w:rsidRDefault="00CF3F69" w:rsidP="00CF3F69">
      <w:pPr>
        <w:ind w:left="851"/>
        <w:rPr>
          <w:sz w:val="24"/>
          <w:szCs w:val="24"/>
        </w:rPr>
      </w:pPr>
    </w:p>
    <w:p w:rsidR="00CF3F69" w:rsidRPr="00E1394D" w:rsidRDefault="00CF3F69" w:rsidP="00CF3F69">
      <w:pPr>
        <w:rPr>
          <w:color w:val="000000"/>
          <w:position w:val="8"/>
          <w:sz w:val="20"/>
          <w:szCs w:val="24"/>
        </w:rPr>
      </w:pPr>
      <w:r w:rsidRPr="00E1394D">
        <w:rPr>
          <w:color w:val="000000"/>
          <w:position w:val="8"/>
          <w:sz w:val="20"/>
          <w:szCs w:val="24"/>
        </w:rPr>
        <w:t>** Baseret på efter-markedsførings erfaring, vedvarende eller alvorlig palmar-plantar erythrodysæstesi syndrom kan føre til tab af fingeraftryk (se afsnit 4.4).</w:t>
      </w:r>
    </w:p>
    <w:p w:rsidR="00CF3F69" w:rsidRDefault="00CF3F69" w:rsidP="00CF3F69">
      <w:pPr>
        <w:ind w:left="851"/>
        <w:rPr>
          <w:sz w:val="24"/>
          <w:szCs w:val="24"/>
        </w:rPr>
      </w:pPr>
    </w:p>
    <w:p w:rsidR="00CF3F69" w:rsidRDefault="00CF3F69" w:rsidP="00CF3F69">
      <w:pPr>
        <w:ind w:left="851"/>
        <w:rPr>
          <w:color w:val="000000"/>
          <w:position w:val="8"/>
          <w:sz w:val="24"/>
          <w:szCs w:val="24"/>
        </w:rPr>
      </w:pPr>
      <w:r w:rsidRPr="00EC1E11">
        <w:rPr>
          <w:color w:val="000000"/>
          <w:position w:val="8"/>
          <w:sz w:val="24"/>
          <w:szCs w:val="24"/>
          <w:u w:val="single"/>
        </w:rPr>
        <w:t>Capecitabin i kombinationsbehandling</w:t>
      </w:r>
    </w:p>
    <w:p w:rsidR="00CF3F69" w:rsidRPr="00250C6D" w:rsidRDefault="00CF3F69" w:rsidP="00CF3F69">
      <w:pPr>
        <w:ind w:left="851"/>
        <w:rPr>
          <w:sz w:val="24"/>
          <w:szCs w:val="24"/>
        </w:rPr>
      </w:pPr>
      <w:r w:rsidRPr="00250C6D">
        <w:rPr>
          <w:sz w:val="24"/>
          <w:szCs w:val="24"/>
        </w:rPr>
        <w:t xml:space="preserve">Tabel 5 viser de bivirkninger, der er forbundet med anvendelsen af capecitabin administreret i kombination med forskellige kemoterapiregimer indenfor flere indikationer. De er baseret på sikkerhedsdata fra flere end 3000 patienter. Bivirkningerne er anført i en passende frekvensgruppering (Meget almindelig eller Almindelig) i henhold til den højeste hyppighed, der er set i et af de store kliniske studier. Bivirkningerne er kun anført, hvis de er set ud over dem, set med capecitabin-monoterapi eller set i en højere frekvensgruppe sammenlignet med capecitabin-monoterapi (se tabel 4). Ikke almindelige bivirkninger, der er rapporteret ved behandling med capecitabin i kombination med andre lægemidler, er i overensstemmelse med de bivirkningsrapporteringer, der er rapporteret for capecitabin-monoterapi eller for monoterapi med kombinationslægemidlet (i litteratur og/eller respektive produktresuméer). </w:t>
      </w:r>
    </w:p>
    <w:p w:rsidR="00CF3F69" w:rsidRPr="00250C6D" w:rsidRDefault="00CF3F69" w:rsidP="00CF3F69">
      <w:pPr>
        <w:ind w:left="851"/>
        <w:rPr>
          <w:sz w:val="24"/>
          <w:szCs w:val="24"/>
        </w:rPr>
      </w:pPr>
      <w:r w:rsidRPr="00250C6D">
        <w:rPr>
          <w:sz w:val="24"/>
          <w:szCs w:val="24"/>
        </w:rPr>
        <w:t>Nogle af bivirkningerne er reaktioner, som er almindeligt observeret med kombinations</w:t>
      </w:r>
      <w:r>
        <w:rPr>
          <w:sz w:val="24"/>
          <w:szCs w:val="24"/>
        </w:rPr>
        <w:softHyphen/>
      </w:r>
      <w:r w:rsidRPr="00250C6D">
        <w:rPr>
          <w:sz w:val="24"/>
          <w:szCs w:val="24"/>
        </w:rPr>
        <w:t>lægemidlet (f.eks. perifer sensorisk neuropati med docetaxel eller oxaliplatin, hypertension set med bevacizumab); en forværring ved capecitabin-behandlingen kan dog ikke udelukkes.</w:t>
      </w:r>
    </w:p>
    <w:p w:rsidR="00CF3F69" w:rsidRPr="00E95CDB" w:rsidRDefault="00CF3F69" w:rsidP="00CF3F69">
      <w:pPr>
        <w:ind w:left="851"/>
        <w:rPr>
          <w:color w:val="000000"/>
          <w:position w:val="8"/>
          <w:sz w:val="24"/>
          <w:szCs w:val="24"/>
        </w:rPr>
      </w:pPr>
    </w:p>
    <w:p w:rsidR="00CF3F69" w:rsidRDefault="00CF3F69" w:rsidP="00CF3F69">
      <w:pPr>
        <w:ind w:left="851"/>
        <w:rPr>
          <w:sz w:val="24"/>
          <w:szCs w:val="24"/>
        </w:rPr>
      </w:pPr>
      <w:r>
        <w:rPr>
          <w:sz w:val="24"/>
          <w:szCs w:val="24"/>
        </w:rPr>
        <w:t xml:space="preserve">Tabel 5: Sammenfatning af relaterede bivirkninger, som blev rapporteret hos patienter, der blev behandlet med </w:t>
      </w:r>
      <w:r w:rsidRPr="00625214">
        <w:rPr>
          <w:sz w:val="24"/>
          <w:szCs w:val="24"/>
        </w:rPr>
        <w:t xml:space="preserve">capecitabin </w:t>
      </w:r>
      <w:r>
        <w:rPr>
          <w:sz w:val="24"/>
          <w:szCs w:val="24"/>
        </w:rPr>
        <w:t>i kombinationsbehandling set ud over bivirkninger efter behandling med capecitabin–monoterapi eller set i en højere frekvensgruppe sammenlignet med capecitabin-monoterapi.</w:t>
      </w:r>
    </w:p>
    <w:p w:rsidR="00CF3F69" w:rsidRDefault="00CF3F69" w:rsidP="00CF3F69">
      <w:pPr>
        <w:ind w:left="851"/>
        <w:rPr>
          <w:sz w:val="24"/>
          <w:szCs w:val="24"/>
        </w:rPr>
      </w:pPr>
    </w:p>
    <w:tbl>
      <w:tblPr>
        <w:tblW w:w="0" w:type="auto"/>
        <w:tblInd w:w="108" w:type="dxa"/>
        <w:tblLayout w:type="fixed"/>
        <w:tblLook w:val="04A0" w:firstRow="1" w:lastRow="0" w:firstColumn="1" w:lastColumn="0" w:noHBand="0" w:noVBand="1"/>
      </w:tblPr>
      <w:tblGrid>
        <w:gridCol w:w="2843"/>
        <w:gridCol w:w="1693"/>
        <w:gridCol w:w="2694"/>
        <w:gridCol w:w="2516"/>
      </w:tblGrid>
      <w:tr w:rsidR="00CF3F69" w:rsidTr="007E4788">
        <w:trPr>
          <w:trHeight w:val="798"/>
          <w:tblHeader/>
        </w:trPr>
        <w:tc>
          <w:tcPr>
            <w:tcW w:w="284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b/>
                <w:sz w:val="24"/>
                <w:szCs w:val="24"/>
              </w:rPr>
            </w:pPr>
            <w:r>
              <w:rPr>
                <w:b/>
                <w:bCs/>
                <w:sz w:val="24"/>
                <w:szCs w:val="24"/>
              </w:rPr>
              <w:lastRenderedPageBreak/>
              <w:t xml:space="preserve">Systemorganklasse </w:t>
            </w:r>
          </w:p>
        </w:tc>
        <w:tc>
          <w:tcPr>
            <w:tcW w:w="1693" w:type="dxa"/>
            <w:tcBorders>
              <w:top w:val="single" w:sz="8" w:space="0" w:color="000000"/>
              <w:left w:val="single" w:sz="8" w:space="0" w:color="000000"/>
              <w:bottom w:val="single" w:sz="8" w:space="0" w:color="000000"/>
              <w:right w:val="single" w:sz="8" w:space="0" w:color="000000"/>
            </w:tcBorders>
          </w:tcPr>
          <w:p w:rsidR="00CF3F69" w:rsidRPr="00250C6D" w:rsidRDefault="00CF3F69" w:rsidP="007E4788">
            <w:pPr>
              <w:jc w:val="center"/>
              <w:rPr>
                <w:b/>
                <w:bCs/>
                <w:sz w:val="24"/>
                <w:szCs w:val="24"/>
              </w:rPr>
            </w:pPr>
            <w:r>
              <w:rPr>
                <w:b/>
                <w:bCs/>
                <w:sz w:val="24"/>
                <w:szCs w:val="24"/>
              </w:rPr>
              <w:t>Meget almindelig</w:t>
            </w:r>
          </w:p>
          <w:p w:rsidR="00CF3F69" w:rsidRDefault="00CF3F69" w:rsidP="007E4788">
            <w:pPr>
              <w:jc w:val="center"/>
              <w:rPr>
                <w:sz w:val="24"/>
                <w:szCs w:val="24"/>
              </w:rPr>
            </w:pPr>
            <w:r>
              <w:rPr>
                <w:b/>
                <w:bCs/>
                <w:sz w:val="24"/>
                <w:szCs w:val="24"/>
              </w:rPr>
              <w:t>Alle grader</w:t>
            </w:r>
          </w:p>
        </w:tc>
        <w:tc>
          <w:tcPr>
            <w:tcW w:w="2694" w:type="dxa"/>
            <w:tcBorders>
              <w:top w:val="single" w:sz="8" w:space="0" w:color="000000"/>
              <w:left w:val="single" w:sz="8" w:space="0" w:color="000000"/>
              <w:bottom w:val="single" w:sz="8" w:space="0" w:color="000000"/>
              <w:right w:val="single" w:sz="8" w:space="0" w:color="000000"/>
            </w:tcBorders>
          </w:tcPr>
          <w:p w:rsidR="00CF3F69" w:rsidRPr="00250C6D" w:rsidRDefault="00CF3F69" w:rsidP="007E4788">
            <w:pPr>
              <w:jc w:val="center"/>
              <w:rPr>
                <w:b/>
                <w:bCs/>
                <w:sz w:val="24"/>
                <w:szCs w:val="24"/>
              </w:rPr>
            </w:pPr>
            <w:r>
              <w:rPr>
                <w:b/>
                <w:bCs/>
                <w:sz w:val="24"/>
                <w:szCs w:val="24"/>
              </w:rPr>
              <w:t>Almindelig</w:t>
            </w:r>
          </w:p>
          <w:p w:rsidR="00CF3F69" w:rsidRDefault="00CF3F69" w:rsidP="007E4788">
            <w:pPr>
              <w:jc w:val="center"/>
              <w:rPr>
                <w:sz w:val="24"/>
                <w:szCs w:val="24"/>
              </w:rPr>
            </w:pPr>
            <w:r>
              <w:rPr>
                <w:b/>
                <w:bCs/>
                <w:sz w:val="24"/>
                <w:szCs w:val="24"/>
              </w:rPr>
              <w:t>Alle grader</w:t>
            </w:r>
          </w:p>
        </w:tc>
        <w:tc>
          <w:tcPr>
            <w:tcW w:w="2516" w:type="dxa"/>
            <w:tcBorders>
              <w:top w:val="single" w:sz="8" w:space="0" w:color="000000"/>
              <w:left w:val="single" w:sz="8" w:space="0" w:color="000000"/>
              <w:bottom w:val="single" w:sz="8" w:space="0" w:color="000000"/>
              <w:right w:val="single" w:sz="8" w:space="0" w:color="000000"/>
            </w:tcBorders>
          </w:tcPr>
          <w:p w:rsidR="00CF3F69" w:rsidRDefault="00CF3F69" w:rsidP="007E4788">
            <w:pPr>
              <w:jc w:val="center"/>
              <w:rPr>
                <w:b/>
                <w:bCs/>
                <w:sz w:val="24"/>
                <w:szCs w:val="24"/>
              </w:rPr>
            </w:pPr>
            <w:r>
              <w:rPr>
                <w:b/>
                <w:bCs/>
                <w:color w:val="000000"/>
                <w:sz w:val="24"/>
                <w:szCs w:val="24"/>
              </w:rPr>
              <w:t>Sjælden/meget sjælden (erfaringer efter markedsføring)</w:t>
            </w:r>
          </w:p>
        </w:tc>
      </w:tr>
      <w:tr w:rsidR="00CF3F69" w:rsidTr="007E4788">
        <w:trPr>
          <w:trHeight w:val="1334"/>
        </w:trPr>
        <w:tc>
          <w:tcPr>
            <w:tcW w:w="284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i/>
                <w:iCs/>
                <w:sz w:val="24"/>
                <w:szCs w:val="24"/>
              </w:rPr>
            </w:pPr>
            <w:r>
              <w:rPr>
                <w:i/>
                <w:iCs/>
                <w:sz w:val="24"/>
                <w:szCs w:val="24"/>
              </w:rPr>
              <w:t xml:space="preserve">Infektioner og parasitære sygdomme </w:t>
            </w:r>
          </w:p>
        </w:tc>
        <w:tc>
          <w:tcPr>
            <w:tcW w:w="169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 </w:t>
            </w:r>
          </w:p>
        </w:tc>
        <w:tc>
          <w:tcPr>
            <w:tcW w:w="2694"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Herpes zoster, urinvejsinfektion, oral candidiasis, øvre luftvejsinfektion, rhinitis, influenza, </w:t>
            </w:r>
            <w:r>
              <w:rPr>
                <w:position w:val="8"/>
                <w:sz w:val="24"/>
                <w:szCs w:val="24"/>
                <w:vertAlign w:val="superscript"/>
              </w:rPr>
              <w:t>+</w:t>
            </w:r>
            <w:r>
              <w:rPr>
                <w:sz w:val="24"/>
                <w:szCs w:val="24"/>
              </w:rPr>
              <w:t>infektion, oral herpes</w:t>
            </w:r>
          </w:p>
        </w:tc>
        <w:tc>
          <w:tcPr>
            <w:tcW w:w="2516" w:type="dxa"/>
            <w:tcBorders>
              <w:top w:val="single" w:sz="8" w:space="0" w:color="000000"/>
              <w:left w:val="single" w:sz="8" w:space="0" w:color="000000"/>
              <w:bottom w:val="single" w:sz="8" w:space="0" w:color="000000"/>
              <w:right w:val="single" w:sz="8" w:space="0" w:color="000000"/>
            </w:tcBorders>
          </w:tcPr>
          <w:p w:rsidR="00CF3F69" w:rsidRDefault="00CF3F69" w:rsidP="007E4788">
            <w:pPr>
              <w:rPr>
                <w:sz w:val="24"/>
                <w:szCs w:val="24"/>
              </w:rPr>
            </w:pPr>
          </w:p>
        </w:tc>
      </w:tr>
      <w:tr w:rsidR="00CF3F69" w:rsidTr="007E4788">
        <w:trPr>
          <w:trHeight w:val="815"/>
        </w:trPr>
        <w:tc>
          <w:tcPr>
            <w:tcW w:w="284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i/>
                <w:iCs/>
                <w:sz w:val="24"/>
                <w:szCs w:val="24"/>
              </w:rPr>
              <w:t xml:space="preserve">Blod og lymfesystem </w:t>
            </w:r>
          </w:p>
        </w:tc>
        <w:tc>
          <w:tcPr>
            <w:tcW w:w="1693" w:type="dxa"/>
            <w:tcBorders>
              <w:top w:val="single" w:sz="8" w:space="0" w:color="000000"/>
              <w:left w:val="single" w:sz="8" w:space="0" w:color="000000"/>
              <w:bottom w:val="single" w:sz="8" w:space="0" w:color="000000"/>
              <w:right w:val="single" w:sz="8" w:space="0" w:color="000000"/>
            </w:tcBorders>
            <w:hideMark/>
          </w:tcPr>
          <w:p w:rsidR="00CF3F69" w:rsidRPr="00CD507A" w:rsidRDefault="00CF3F69" w:rsidP="007E4788">
            <w:pPr>
              <w:rPr>
                <w:sz w:val="24"/>
                <w:szCs w:val="24"/>
                <w:lang w:val="en-US"/>
              </w:rPr>
            </w:pPr>
            <w:r w:rsidRPr="00CD507A">
              <w:rPr>
                <w:position w:val="8"/>
                <w:sz w:val="24"/>
                <w:szCs w:val="24"/>
                <w:vertAlign w:val="superscript"/>
                <w:lang w:val="en-US"/>
              </w:rPr>
              <w:t>+</w:t>
            </w:r>
            <w:r w:rsidRPr="00CD507A">
              <w:rPr>
                <w:sz w:val="24"/>
                <w:szCs w:val="24"/>
                <w:lang w:val="en-US"/>
              </w:rPr>
              <w:t xml:space="preserve">Neutropeni, </w:t>
            </w:r>
            <w:r w:rsidRPr="00CD507A">
              <w:rPr>
                <w:position w:val="8"/>
                <w:sz w:val="24"/>
                <w:szCs w:val="24"/>
                <w:vertAlign w:val="superscript"/>
                <w:lang w:val="en-US"/>
              </w:rPr>
              <w:t>+</w:t>
            </w:r>
            <w:r w:rsidRPr="00CD507A">
              <w:rPr>
                <w:sz w:val="24"/>
                <w:szCs w:val="24"/>
                <w:lang w:val="en-US"/>
              </w:rPr>
              <w:t xml:space="preserve">leukopeni, </w:t>
            </w:r>
            <w:r w:rsidRPr="00CD507A">
              <w:rPr>
                <w:position w:val="8"/>
                <w:sz w:val="24"/>
                <w:szCs w:val="24"/>
                <w:vertAlign w:val="superscript"/>
                <w:lang w:val="en-US"/>
              </w:rPr>
              <w:t>+</w:t>
            </w:r>
            <w:r w:rsidRPr="00CD507A">
              <w:rPr>
                <w:sz w:val="24"/>
                <w:szCs w:val="24"/>
                <w:lang w:val="en-US"/>
              </w:rPr>
              <w:t xml:space="preserve">anæmi, </w:t>
            </w:r>
            <w:r w:rsidRPr="00CD507A">
              <w:rPr>
                <w:position w:val="8"/>
                <w:sz w:val="24"/>
                <w:szCs w:val="24"/>
                <w:vertAlign w:val="superscript"/>
                <w:lang w:val="en-US"/>
              </w:rPr>
              <w:t>+</w:t>
            </w:r>
            <w:r w:rsidRPr="00CD507A">
              <w:rPr>
                <w:sz w:val="24"/>
                <w:szCs w:val="24"/>
                <w:lang w:val="en-US"/>
              </w:rPr>
              <w:t>neutropenisk feber, trombocyto</w:t>
            </w:r>
            <w:r>
              <w:rPr>
                <w:sz w:val="24"/>
                <w:szCs w:val="24"/>
                <w:lang w:val="en-US"/>
              </w:rPr>
              <w:t>-</w:t>
            </w:r>
            <w:r w:rsidRPr="00CD507A">
              <w:rPr>
                <w:sz w:val="24"/>
                <w:szCs w:val="24"/>
                <w:lang w:val="en-US"/>
              </w:rPr>
              <w:t xml:space="preserve">peni </w:t>
            </w:r>
          </w:p>
        </w:tc>
        <w:tc>
          <w:tcPr>
            <w:tcW w:w="2694"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Knoglemarvsdepression, </w:t>
            </w:r>
            <w:r>
              <w:rPr>
                <w:position w:val="8"/>
                <w:sz w:val="24"/>
                <w:szCs w:val="24"/>
                <w:vertAlign w:val="superscript"/>
              </w:rPr>
              <w:t>+</w:t>
            </w:r>
            <w:r>
              <w:rPr>
                <w:sz w:val="24"/>
                <w:szCs w:val="24"/>
              </w:rPr>
              <w:t xml:space="preserve">febril neutropeni </w:t>
            </w:r>
          </w:p>
        </w:tc>
        <w:tc>
          <w:tcPr>
            <w:tcW w:w="2516" w:type="dxa"/>
            <w:tcBorders>
              <w:top w:val="single" w:sz="8" w:space="0" w:color="000000"/>
              <w:left w:val="single" w:sz="8" w:space="0" w:color="000000"/>
              <w:bottom w:val="single" w:sz="8" w:space="0" w:color="000000"/>
              <w:right w:val="single" w:sz="8" w:space="0" w:color="000000"/>
            </w:tcBorders>
          </w:tcPr>
          <w:p w:rsidR="00CF3F69" w:rsidRDefault="00CF3F69" w:rsidP="007E4788">
            <w:pPr>
              <w:rPr>
                <w:sz w:val="24"/>
                <w:szCs w:val="24"/>
              </w:rPr>
            </w:pPr>
          </w:p>
        </w:tc>
      </w:tr>
      <w:tr w:rsidR="00CF3F69" w:rsidTr="007E4788">
        <w:trPr>
          <w:trHeight w:val="292"/>
        </w:trPr>
        <w:tc>
          <w:tcPr>
            <w:tcW w:w="284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i/>
                <w:iCs/>
                <w:sz w:val="24"/>
                <w:szCs w:val="24"/>
              </w:rPr>
              <w:t xml:space="preserve">Immunsystemet </w:t>
            </w:r>
          </w:p>
        </w:tc>
        <w:tc>
          <w:tcPr>
            <w:tcW w:w="169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 </w:t>
            </w:r>
          </w:p>
        </w:tc>
        <w:tc>
          <w:tcPr>
            <w:tcW w:w="2694"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Hypersensitivitet </w:t>
            </w:r>
          </w:p>
        </w:tc>
        <w:tc>
          <w:tcPr>
            <w:tcW w:w="2516" w:type="dxa"/>
            <w:tcBorders>
              <w:top w:val="single" w:sz="8" w:space="0" w:color="000000"/>
              <w:left w:val="single" w:sz="8" w:space="0" w:color="000000"/>
              <w:bottom w:val="single" w:sz="8" w:space="0" w:color="000000"/>
              <w:right w:val="single" w:sz="8" w:space="0" w:color="000000"/>
            </w:tcBorders>
          </w:tcPr>
          <w:p w:rsidR="00CF3F69" w:rsidRDefault="00D3057E" w:rsidP="007E4788">
            <w:pPr>
              <w:rPr>
                <w:sz w:val="24"/>
                <w:szCs w:val="24"/>
              </w:rPr>
            </w:pPr>
            <w:r>
              <w:t>Angioødem (sjælden)</w:t>
            </w:r>
          </w:p>
        </w:tc>
      </w:tr>
      <w:tr w:rsidR="00CF3F69" w:rsidTr="007E4788">
        <w:trPr>
          <w:trHeight w:val="797"/>
        </w:trPr>
        <w:tc>
          <w:tcPr>
            <w:tcW w:w="284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i/>
                <w:iCs/>
                <w:sz w:val="24"/>
                <w:szCs w:val="24"/>
              </w:rPr>
              <w:t xml:space="preserve">Metabolisme og ernæring </w:t>
            </w:r>
          </w:p>
        </w:tc>
        <w:tc>
          <w:tcPr>
            <w:tcW w:w="169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Nedsat appetit </w:t>
            </w:r>
          </w:p>
        </w:tc>
        <w:tc>
          <w:tcPr>
            <w:tcW w:w="2694"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Hypokaliæmi, hyponatriæmi, hypomagnesiæmi, hypokalcæmi, hyperglycæmi </w:t>
            </w:r>
          </w:p>
        </w:tc>
        <w:tc>
          <w:tcPr>
            <w:tcW w:w="2516" w:type="dxa"/>
            <w:tcBorders>
              <w:top w:val="single" w:sz="8" w:space="0" w:color="000000"/>
              <w:left w:val="single" w:sz="8" w:space="0" w:color="000000"/>
              <w:bottom w:val="single" w:sz="8" w:space="0" w:color="000000"/>
              <w:right w:val="single" w:sz="8" w:space="0" w:color="000000"/>
            </w:tcBorders>
          </w:tcPr>
          <w:p w:rsidR="00CF3F69" w:rsidRDefault="00CF3F69" w:rsidP="007E4788">
            <w:pPr>
              <w:rPr>
                <w:sz w:val="24"/>
                <w:szCs w:val="24"/>
              </w:rPr>
            </w:pPr>
          </w:p>
        </w:tc>
      </w:tr>
      <w:tr w:rsidR="00CF3F69" w:rsidTr="007E4788">
        <w:trPr>
          <w:trHeight w:val="292"/>
        </w:trPr>
        <w:tc>
          <w:tcPr>
            <w:tcW w:w="284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i/>
                <w:iCs/>
                <w:sz w:val="24"/>
                <w:szCs w:val="24"/>
              </w:rPr>
              <w:t xml:space="preserve">Psykiske forstyrrelser </w:t>
            </w:r>
          </w:p>
        </w:tc>
        <w:tc>
          <w:tcPr>
            <w:tcW w:w="169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 </w:t>
            </w:r>
          </w:p>
        </w:tc>
        <w:tc>
          <w:tcPr>
            <w:tcW w:w="2694"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Søvnforstyrrelser, angst </w:t>
            </w:r>
          </w:p>
        </w:tc>
        <w:tc>
          <w:tcPr>
            <w:tcW w:w="2516" w:type="dxa"/>
            <w:tcBorders>
              <w:top w:val="single" w:sz="8" w:space="0" w:color="000000"/>
              <w:left w:val="single" w:sz="8" w:space="0" w:color="000000"/>
              <w:bottom w:val="single" w:sz="8" w:space="0" w:color="000000"/>
              <w:right w:val="single" w:sz="8" w:space="0" w:color="000000"/>
            </w:tcBorders>
          </w:tcPr>
          <w:p w:rsidR="00CF3F69" w:rsidRDefault="00CF3F69" w:rsidP="007E4788">
            <w:pPr>
              <w:rPr>
                <w:sz w:val="24"/>
                <w:szCs w:val="24"/>
              </w:rPr>
            </w:pPr>
          </w:p>
        </w:tc>
      </w:tr>
      <w:tr w:rsidR="00CF3F69" w:rsidTr="007E4788">
        <w:trPr>
          <w:trHeight w:val="552"/>
        </w:trPr>
        <w:tc>
          <w:tcPr>
            <w:tcW w:w="284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i/>
                <w:iCs/>
                <w:sz w:val="24"/>
                <w:szCs w:val="24"/>
              </w:rPr>
              <w:t xml:space="preserve">Nervesystemet </w:t>
            </w:r>
          </w:p>
        </w:tc>
        <w:tc>
          <w:tcPr>
            <w:tcW w:w="169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Paræstesi, dysæstesi, perifer neuropati, perifer sensorisk neuropati, dysgeusi, hovedpine </w:t>
            </w:r>
          </w:p>
        </w:tc>
        <w:tc>
          <w:tcPr>
            <w:tcW w:w="2694"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Neurotoksicitet, tremor, neuralgi, hypersensitivitetsreak-tioner, hypoæstesi </w:t>
            </w:r>
          </w:p>
        </w:tc>
        <w:tc>
          <w:tcPr>
            <w:tcW w:w="2516" w:type="dxa"/>
            <w:tcBorders>
              <w:top w:val="single" w:sz="8" w:space="0" w:color="000000"/>
              <w:left w:val="single" w:sz="8" w:space="0" w:color="000000"/>
              <w:bottom w:val="single" w:sz="8" w:space="0" w:color="000000"/>
              <w:right w:val="single" w:sz="8" w:space="0" w:color="000000"/>
            </w:tcBorders>
          </w:tcPr>
          <w:p w:rsidR="00CF3F69" w:rsidRDefault="00CF3F69" w:rsidP="007E4788">
            <w:pPr>
              <w:rPr>
                <w:sz w:val="24"/>
                <w:szCs w:val="24"/>
              </w:rPr>
            </w:pPr>
          </w:p>
        </w:tc>
      </w:tr>
      <w:tr w:rsidR="00CF3F69" w:rsidTr="007E4788">
        <w:trPr>
          <w:trHeight w:val="796"/>
        </w:trPr>
        <w:tc>
          <w:tcPr>
            <w:tcW w:w="284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i/>
                <w:iCs/>
                <w:sz w:val="24"/>
                <w:szCs w:val="24"/>
              </w:rPr>
              <w:t xml:space="preserve">Øjne </w:t>
            </w:r>
          </w:p>
        </w:tc>
        <w:tc>
          <w:tcPr>
            <w:tcW w:w="169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Øget tåresekretion </w:t>
            </w:r>
          </w:p>
        </w:tc>
        <w:tc>
          <w:tcPr>
            <w:tcW w:w="2694"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Synsforstyrrelser, tørre øjne, øjensmerter, synsnedsættelse, sløret syn </w:t>
            </w:r>
          </w:p>
        </w:tc>
        <w:tc>
          <w:tcPr>
            <w:tcW w:w="2516" w:type="dxa"/>
            <w:tcBorders>
              <w:top w:val="single" w:sz="8" w:space="0" w:color="000000"/>
              <w:left w:val="single" w:sz="8" w:space="0" w:color="000000"/>
              <w:bottom w:val="single" w:sz="8" w:space="0" w:color="000000"/>
              <w:right w:val="single" w:sz="8" w:space="0" w:color="000000"/>
            </w:tcBorders>
          </w:tcPr>
          <w:p w:rsidR="00CF3F69" w:rsidRDefault="00CF3F69" w:rsidP="007E4788">
            <w:pPr>
              <w:rPr>
                <w:sz w:val="24"/>
                <w:szCs w:val="24"/>
              </w:rPr>
            </w:pPr>
          </w:p>
        </w:tc>
      </w:tr>
      <w:tr w:rsidR="00CF3F69" w:rsidTr="007E4788">
        <w:trPr>
          <w:trHeight w:val="292"/>
        </w:trPr>
        <w:tc>
          <w:tcPr>
            <w:tcW w:w="284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i/>
                <w:iCs/>
                <w:sz w:val="24"/>
                <w:szCs w:val="24"/>
              </w:rPr>
              <w:t xml:space="preserve">Øre og labyrint </w:t>
            </w:r>
          </w:p>
        </w:tc>
        <w:tc>
          <w:tcPr>
            <w:tcW w:w="169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 </w:t>
            </w:r>
          </w:p>
        </w:tc>
        <w:tc>
          <w:tcPr>
            <w:tcW w:w="2694"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Tinnitus, hypoakusis </w:t>
            </w:r>
          </w:p>
        </w:tc>
        <w:tc>
          <w:tcPr>
            <w:tcW w:w="2516" w:type="dxa"/>
            <w:tcBorders>
              <w:top w:val="single" w:sz="8" w:space="0" w:color="000000"/>
              <w:left w:val="single" w:sz="8" w:space="0" w:color="000000"/>
              <w:bottom w:val="single" w:sz="8" w:space="0" w:color="000000"/>
              <w:right w:val="single" w:sz="8" w:space="0" w:color="000000"/>
            </w:tcBorders>
          </w:tcPr>
          <w:p w:rsidR="00CF3F69" w:rsidRDefault="00CF3F69" w:rsidP="007E4788">
            <w:pPr>
              <w:rPr>
                <w:sz w:val="24"/>
                <w:szCs w:val="24"/>
              </w:rPr>
            </w:pPr>
          </w:p>
        </w:tc>
      </w:tr>
      <w:tr w:rsidR="00CF3F69" w:rsidTr="007E4788">
        <w:trPr>
          <w:trHeight w:val="544"/>
        </w:trPr>
        <w:tc>
          <w:tcPr>
            <w:tcW w:w="284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i/>
                <w:iCs/>
                <w:sz w:val="24"/>
                <w:szCs w:val="24"/>
              </w:rPr>
              <w:t xml:space="preserve">Hjerte </w:t>
            </w:r>
          </w:p>
        </w:tc>
        <w:tc>
          <w:tcPr>
            <w:tcW w:w="169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 </w:t>
            </w:r>
          </w:p>
        </w:tc>
        <w:tc>
          <w:tcPr>
            <w:tcW w:w="2694"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color w:val="212121"/>
                <w:sz w:val="24"/>
                <w:szCs w:val="24"/>
              </w:rPr>
              <w:t>Atrieflimren</w:t>
            </w:r>
            <w:r>
              <w:rPr>
                <w:sz w:val="24"/>
                <w:szCs w:val="24"/>
              </w:rPr>
              <w:t xml:space="preserve">, iskæmisk hjertesygdom/infarkt </w:t>
            </w:r>
          </w:p>
        </w:tc>
        <w:tc>
          <w:tcPr>
            <w:tcW w:w="2516" w:type="dxa"/>
            <w:tcBorders>
              <w:top w:val="single" w:sz="8" w:space="0" w:color="000000"/>
              <w:left w:val="single" w:sz="8" w:space="0" w:color="000000"/>
              <w:bottom w:val="single" w:sz="8" w:space="0" w:color="000000"/>
              <w:right w:val="single" w:sz="8" w:space="0" w:color="000000"/>
            </w:tcBorders>
          </w:tcPr>
          <w:p w:rsidR="00CF3F69" w:rsidRDefault="00CF3F69" w:rsidP="007E4788">
            <w:pPr>
              <w:rPr>
                <w:color w:val="212121"/>
                <w:sz w:val="24"/>
                <w:szCs w:val="24"/>
              </w:rPr>
            </w:pPr>
          </w:p>
        </w:tc>
      </w:tr>
      <w:tr w:rsidR="00CF3F69" w:rsidTr="007E4788">
        <w:trPr>
          <w:trHeight w:val="796"/>
        </w:trPr>
        <w:tc>
          <w:tcPr>
            <w:tcW w:w="284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i/>
                <w:iCs/>
                <w:sz w:val="24"/>
                <w:szCs w:val="24"/>
              </w:rPr>
              <w:t xml:space="preserve">Vaskulære sygdomme </w:t>
            </w:r>
          </w:p>
        </w:tc>
        <w:tc>
          <w:tcPr>
            <w:tcW w:w="169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Ødem i underekstremiteter, hypertension, </w:t>
            </w:r>
            <w:r>
              <w:rPr>
                <w:position w:val="8"/>
                <w:sz w:val="24"/>
                <w:szCs w:val="24"/>
                <w:vertAlign w:val="superscript"/>
              </w:rPr>
              <w:t>+</w:t>
            </w:r>
            <w:r>
              <w:rPr>
                <w:sz w:val="24"/>
                <w:szCs w:val="24"/>
              </w:rPr>
              <w:t xml:space="preserve">embolisme og tromboser </w:t>
            </w:r>
          </w:p>
        </w:tc>
        <w:tc>
          <w:tcPr>
            <w:tcW w:w="2694"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color w:val="212121"/>
                <w:sz w:val="24"/>
                <w:szCs w:val="24"/>
              </w:rPr>
              <w:t xml:space="preserve">Rødmen, hypotension, </w:t>
            </w:r>
            <w:r>
              <w:rPr>
                <w:sz w:val="24"/>
                <w:szCs w:val="24"/>
              </w:rPr>
              <w:t xml:space="preserve">hypertensiv krise, hedetur, flebitis </w:t>
            </w:r>
          </w:p>
        </w:tc>
        <w:tc>
          <w:tcPr>
            <w:tcW w:w="2516" w:type="dxa"/>
            <w:tcBorders>
              <w:top w:val="single" w:sz="8" w:space="0" w:color="000000"/>
              <w:left w:val="single" w:sz="8" w:space="0" w:color="000000"/>
              <w:bottom w:val="single" w:sz="8" w:space="0" w:color="000000"/>
              <w:right w:val="single" w:sz="8" w:space="0" w:color="000000"/>
            </w:tcBorders>
          </w:tcPr>
          <w:p w:rsidR="00CF3F69" w:rsidRDefault="00CF3F69" w:rsidP="007E4788">
            <w:pPr>
              <w:rPr>
                <w:color w:val="212121"/>
                <w:sz w:val="24"/>
                <w:szCs w:val="24"/>
              </w:rPr>
            </w:pPr>
          </w:p>
        </w:tc>
      </w:tr>
      <w:tr w:rsidR="00CF3F69" w:rsidTr="007E4788">
        <w:trPr>
          <w:trHeight w:val="545"/>
        </w:trPr>
        <w:tc>
          <w:tcPr>
            <w:tcW w:w="284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i/>
                <w:iCs/>
                <w:sz w:val="24"/>
                <w:szCs w:val="24"/>
              </w:rPr>
              <w:t xml:space="preserve">Luftveje, thorax og mediastinum </w:t>
            </w:r>
          </w:p>
        </w:tc>
        <w:tc>
          <w:tcPr>
            <w:tcW w:w="169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Ondt i halsen, pharynxdysæstesi </w:t>
            </w:r>
          </w:p>
        </w:tc>
        <w:tc>
          <w:tcPr>
            <w:tcW w:w="2694"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Hikke, pharyngolaryngeal smerte, dysfoni </w:t>
            </w:r>
          </w:p>
        </w:tc>
        <w:tc>
          <w:tcPr>
            <w:tcW w:w="2516" w:type="dxa"/>
            <w:tcBorders>
              <w:top w:val="single" w:sz="8" w:space="0" w:color="000000"/>
              <w:left w:val="single" w:sz="8" w:space="0" w:color="000000"/>
              <w:bottom w:val="single" w:sz="8" w:space="0" w:color="000000"/>
              <w:right w:val="single" w:sz="8" w:space="0" w:color="000000"/>
            </w:tcBorders>
          </w:tcPr>
          <w:p w:rsidR="00CF3F69" w:rsidRDefault="00CF3F69" w:rsidP="007E4788">
            <w:pPr>
              <w:rPr>
                <w:sz w:val="24"/>
                <w:szCs w:val="24"/>
              </w:rPr>
            </w:pPr>
          </w:p>
        </w:tc>
      </w:tr>
      <w:tr w:rsidR="00CF3F69" w:rsidTr="007E4788">
        <w:trPr>
          <w:trHeight w:val="2315"/>
        </w:trPr>
        <w:tc>
          <w:tcPr>
            <w:tcW w:w="284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i/>
                <w:iCs/>
                <w:sz w:val="24"/>
                <w:szCs w:val="24"/>
              </w:rPr>
              <w:lastRenderedPageBreak/>
              <w:t xml:space="preserve">Mave-tarmkanalen </w:t>
            </w:r>
          </w:p>
        </w:tc>
        <w:tc>
          <w:tcPr>
            <w:tcW w:w="169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Obstipation, dyspepsi </w:t>
            </w:r>
          </w:p>
        </w:tc>
        <w:tc>
          <w:tcPr>
            <w:tcW w:w="2694"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Øvre gastrointestinal blødning, sår i munden, gastritis, abdominal distension, gastroøsofageal refluxsygdom, smerter i munden, dysfagi, rektal blødning, nedre abdominalsmerter, oral dysæstesi, oral paræstesi, oral hypoæstesi, abdominal ubehag </w:t>
            </w:r>
          </w:p>
        </w:tc>
        <w:tc>
          <w:tcPr>
            <w:tcW w:w="2516" w:type="dxa"/>
            <w:tcBorders>
              <w:top w:val="single" w:sz="8" w:space="0" w:color="000000"/>
              <w:left w:val="single" w:sz="8" w:space="0" w:color="000000"/>
              <w:bottom w:val="single" w:sz="8" w:space="0" w:color="000000"/>
              <w:right w:val="single" w:sz="8" w:space="0" w:color="000000"/>
            </w:tcBorders>
          </w:tcPr>
          <w:p w:rsidR="00CF3F69" w:rsidRDefault="00CF3F69" w:rsidP="007E4788">
            <w:pPr>
              <w:rPr>
                <w:sz w:val="24"/>
                <w:szCs w:val="24"/>
              </w:rPr>
            </w:pPr>
          </w:p>
        </w:tc>
      </w:tr>
      <w:tr w:rsidR="00CF3F69" w:rsidTr="007E4788">
        <w:trPr>
          <w:trHeight w:val="292"/>
        </w:trPr>
        <w:tc>
          <w:tcPr>
            <w:tcW w:w="284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i/>
                <w:iCs/>
                <w:sz w:val="24"/>
                <w:szCs w:val="24"/>
              </w:rPr>
              <w:t xml:space="preserve">Lever og galdeveje </w:t>
            </w:r>
          </w:p>
        </w:tc>
        <w:tc>
          <w:tcPr>
            <w:tcW w:w="169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 </w:t>
            </w:r>
          </w:p>
        </w:tc>
        <w:tc>
          <w:tcPr>
            <w:tcW w:w="2694"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Unormal leverfunktion </w:t>
            </w:r>
          </w:p>
        </w:tc>
        <w:tc>
          <w:tcPr>
            <w:tcW w:w="2516" w:type="dxa"/>
            <w:tcBorders>
              <w:top w:val="single" w:sz="8" w:space="0" w:color="000000"/>
              <w:left w:val="single" w:sz="8" w:space="0" w:color="000000"/>
              <w:bottom w:val="single" w:sz="8" w:space="0" w:color="000000"/>
              <w:right w:val="single" w:sz="8" w:space="0" w:color="000000"/>
            </w:tcBorders>
          </w:tcPr>
          <w:p w:rsidR="00CF3F69" w:rsidRDefault="00CF3F69" w:rsidP="007E4788">
            <w:pPr>
              <w:rPr>
                <w:sz w:val="24"/>
                <w:szCs w:val="24"/>
              </w:rPr>
            </w:pPr>
          </w:p>
        </w:tc>
      </w:tr>
      <w:tr w:rsidR="00CF3F69" w:rsidTr="007E4788">
        <w:trPr>
          <w:trHeight w:val="544"/>
        </w:trPr>
        <w:tc>
          <w:tcPr>
            <w:tcW w:w="284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i/>
                <w:iCs/>
                <w:sz w:val="24"/>
                <w:szCs w:val="24"/>
              </w:rPr>
              <w:t xml:space="preserve">Hud og subkutane væv </w:t>
            </w:r>
          </w:p>
        </w:tc>
        <w:tc>
          <w:tcPr>
            <w:tcW w:w="169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Alopeci, neglesygdom-me </w:t>
            </w:r>
          </w:p>
        </w:tc>
        <w:tc>
          <w:tcPr>
            <w:tcW w:w="2694"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Hyperhidrosis, erytematøst udslæt, urticaria, nattesved </w:t>
            </w:r>
          </w:p>
        </w:tc>
        <w:tc>
          <w:tcPr>
            <w:tcW w:w="2516" w:type="dxa"/>
            <w:tcBorders>
              <w:top w:val="single" w:sz="8" w:space="0" w:color="000000"/>
              <w:left w:val="single" w:sz="8" w:space="0" w:color="000000"/>
              <w:bottom w:val="single" w:sz="8" w:space="0" w:color="000000"/>
              <w:right w:val="single" w:sz="8" w:space="0" w:color="000000"/>
            </w:tcBorders>
          </w:tcPr>
          <w:p w:rsidR="00CF3F69" w:rsidRDefault="00CF3F69" w:rsidP="007E4788">
            <w:pPr>
              <w:rPr>
                <w:sz w:val="24"/>
                <w:szCs w:val="24"/>
              </w:rPr>
            </w:pPr>
          </w:p>
        </w:tc>
      </w:tr>
      <w:tr w:rsidR="00CF3F69" w:rsidTr="007E4788">
        <w:trPr>
          <w:trHeight w:val="545"/>
        </w:trPr>
        <w:tc>
          <w:tcPr>
            <w:tcW w:w="284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i/>
                <w:iCs/>
                <w:sz w:val="24"/>
                <w:szCs w:val="24"/>
              </w:rPr>
              <w:t xml:space="preserve">Knogler, led, muskler og bindevæv </w:t>
            </w:r>
          </w:p>
        </w:tc>
        <w:tc>
          <w:tcPr>
            <w:tcW w:w="169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Myalgi, artralgi, smerter i eks-tremiteterne </w:t>
            </w:r>
          </w:p>
        </w:tc>
        <w:tc>
          <w:tcPr>
            <w:tcW w:w="2694"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Kæbesmerter, muskelspasmer, trismus, muskelsvaghed </w:t>
            </w:r>
          </w:p>
        </w:tc>
        <w:tc>
          <w:tcPr>
            <w:tcW w:w="2516" w:type="dxa"/>
            <w:tcBorders>
              <w:top w:val="single" w:sz="8" w:space="0" w:color="000000"/>
              <w:left w:val="single" w:sz="8" w:space="0" w:color="000000"/>
              <w:bottom w:val="single" w:sz="8" w:space="0" w:color="000000"/>
              <w:right w:val="single" w:sz="8" w:space="0" w:color="000000"/>
            </w:tcBorders>
          </w:tcPr>
          <w:p w:rsidR="00CF3F69" w:rsidRDefault="00CF3F69" w:rsidP="007E4788">
            <w:pPr>
              <w:rPr>
                <w:sz w:val="24"/>
                <w:szCs w:val="24"/>
              </w:rPr>
            </w:pPr>
          </w:p>
        </w:tc>
      </w:tr>
      <w:tr w:rsidR="00CF3F69" w:rsidTr="007E4788">
        <w:trPr>
          <w:trHeight w:val="545"/>
        </w:trPr>
        <w:tc>
          <w:tcPr>
            <w:tcW w:w="284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i/>
                <w:iCs/>
                <w:sz w:val="24"/>
                <w:szCs w:val="24"/>
              </w:rPr>
            </w:pPr>
            <w:r>
              <w:rPr>
                <w:i/>
                <w:iCs/>
                <w:sz w:val="24"/>
                <w:szCs w:val="24"/>
              </w:rPr>
              <w:t>Nyrer og urinveje</w:t>
            </w:r>
          </w:p>
        </w:tc>
        <w:tc>
          <w:tcPr>
            <w:tcW w:w="169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w:t>
            </w:r>
          </w:p>
        </w:tc>
        <w:tc>
          <w:tcPr>
            <w:tcW w:w="2694"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Hæmaturi, proteinuri, nedsat renal kreatininclearance, dysuri</w:t>
            </w:r>
          </w:p>
        </w:tc>
        <w:tc>
          <w:tcPr>
            <w:tcW w:w="2516" w:type="dxa"/>
            <w:tcBorders>
              <w:top w:val="single" w:sz="8" w:space="0" w:color="000000"/>
              <w:left w:val="single" w:sz="8" w:space="0" w:color="000000"/>
              <w:bottom w:val="single" w:sz="8" w:space="0" w:color="000000"/>
              <w:right w:val="single" w:sz="8" w:space="0" w:color="000000"/>
            </w:tcBorders>
          </w:tcPr>
          <w:p w:rsidR="00CF3F69" w:rsidRDefault="00CF3F69" w:rsidP="007E4788">
            <w:pPr>
              <w:rPr>
                <w:sz w:val="24"/>
                <w:szCs w:val="24"/>
              </w:rPr>
            </w:pPr>
            <w:r>
              <w:rPr>
                <w:color w:val="000000"/>
                <w:sz w:val="24"/>
                <w:szCs w:val="24"/>
              </w:rPr>
              <w:t>Akut nyresvigt som følge af dehydrering (sjælden)</w:t>
            </w:r>
          </w:p>
        </w:tc>
      </w:tr>
      <w:tr w:rsidR="00CF3F69" w:rsidTr="007E4788">
        <w:trPr>
          <w:trHeight w:val="545"/>
        </w:trPr>
        <w:tc>
          <w:tcPr>
            <w:tcW w:w="284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i/>
                <w:iCs/>
                <w:sz w:val="24"/>
                <w:szCs w:val="24"/>
              </w:rPr>
            </w:pPr>
            <w:r>
              <w:rPr>
                <w:i/>
                <w:iCs/>
                <w:sz w:val="24"/>
                <w:szCs w:val="24"/>
              </w:rPr>
              <w:t>Almene symptomer og reaktioner på administrationsstedet</w:t>
            </w:r>
          </w:p>
        </w:tc>
        <w:tc>
          <w:tcPr>
            <w:tcW w:w="169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Pyreksi, svaghed, </w:t>
            </w:r>
            <w:r>
              <w:rPr>
                <w:sz w:val="24"/>
                <w:szCs w:val="24"/>
                <w:vertAlign w:val="superscript"/>
              </w:rPr>
              <w:t>+</w:t>
            </w:r>
            <w:r>
              <w:rPr>
                <w:sz w:val="24"/>
                <w:szCs w:val="24"/>
              </w:rPr>
              <w:t>letargi, temperatur-intolerance</w:t>
            </w:r>
          </w:p>
        </w:tc>
        <w:tc>
          <w:tcPr>
            <w:tcW w:w="2694"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Mukosal inflammation, smerter i ekstremiteterne, smerter, kuldegysninger, brystsmerter, influenzalignende symptomer, </w:t>
            </w:r>
            <w:r>
              <w:rPr>
                <w:sz w:val="24"/>
                <w:szCs w:val="24"/>
                <w:vertAlign w:val="superscript"/>
              </w:rPr>
              <w:t>+</w:t>
            </w:r>
            <w:r>
              <w:rPr>
                <w:sz w:val="24"/>
                <w:szCs w:val="24"/>
              </w:rPr>
              <w:t>feber, infusionsrelateret reaktion, reaktion på injektionsstedet, smerter på infusionsstedet, smerter på injektionsstedet</w:t>
            </w:r>
          </w:p>
        </w:tc>
        <w:tc>
          <w:tcPr>
            <w:tcW w:w="2516" w:type="dxa"/>
            <w:tcBorders>
              <w:top w:val="single" w:sz="8" w:space="0" w:color="000000"/>
              <w:left w:val="single" w:sz="8" w:space="0" w:color="000000"/>
              <w:bottom w:val="single" w:sz="8" w:space="0" w:color="000000"/>
              <w:right w:val="single" w:sz="8" w:space="0" w:color="000000"/>
            </w:tcBorders>
          </w:tcPr>
          <w:p w:rsidR="00CF3F69" w:rsidRDefault="00CF3F69" w:rsidP="007E4788">
            <w:pPr>
              <w:rPr>
                <w:sz w:val="24"/>
                <w:szCs w:val="24"/>
              </w:rPr>
            </w:pPr>
          </w:p>
        </w:tc>
      </w:tr>
      <w:tr w:rsidR="00CF3F69" w:rsidTr="007E4788">
        <w:trPr>
          <w:trHeight w:val="545"/>
        </w:trPr>
        <w:tc>
          <w:tcPr>
            <w:tcW w:w="284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i/>
                <w:iCs/>
                <w:sz w:val="24"/>
                <w:szCs w:val="24"/>
              </w:rPr>
            </w:pPr>
            <w:r>
              <w:rPr>
                <w:i/>
                <w:iCs/>
                <w:sz w:val="24"/>
                <w:szCs w:val="24"/>
              </w:rPr>
              <w:t>Traumer, forgiftninger og behandlingskomplikationer</w:t>
            </w:r>
          </w:p>
        </w:tc>
        <w:tc>
          <w:tcPr>
            <w:tcW w:w="1693"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w:t>
            </w:r>
          </w:p>
        </w:tc>
        <w:tc>
          <w:tcPr>
            <w:tcW w:w="2694"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Kontusion</w:t>
            </w:r>
          </w:p>
        </w:tc>
        <w:tc>
          <w:tcPr>
            <w:tcW w:w="2516" w:type="dxa"/>
            <w:tcBorders>
              <w:top w:val="single" w:sz="8" w:space="0" w:color="000000"/>
              <w:left w:val="single" w:sz="8" w:space="0" w:color="000000"/>
              <w:bottom w:val="single" w:sz="8" w:space="0" w:color="000000"/>
              <w:right w:val="single" w:sz="8" w:space="0" w:color="000000"/>
            </w:tcBorders>
          </w:tcPr>
          <w:p w:rsidR="00CF3F69" w:rsidRDefault="00CF3F69" w:rsidP="007E4788">
            <w:pPr>
              <w:rPr>
                <w:sz w:val="24"/>
                <w:szCs w:val="24"/>
              </w:rPr>
            </w:pPr>
          </w:p>
        </w:tc>
      </w:tr>
    </w:tbl>
    <w:p w:rsidR="00CF3F69" w:rsidRDefault="00CF3F69" w:rsidP="00CF3F69">
      <w:pPr>
        <w:ind w:left="851"/>
        <w:rPr>
          <w:sz w:val="24"/>
          <w:szCs w:val="24"/>
        </w:rPr>
      </w:pPr>
    </w:p>
    <w:p w:rsidR="00CF3F69" w:rsidRDefault="00CF3F69" w:rsidP="00CF3F69">
      <w:pPr>
        <w:ind w:left="851"/>
        <w:rPr>
          <w:sz w:val="24"/>
          <w:szCs w:val="24"/>
        </w:rPr>
      </w:pPr>
    </w:p>
    <w:p w:rsidR="00CF3F69" w:rsidRDefault="00CF3F69" w:rsidP="00CF3F69">
      <w:pPr>
        <w:ind w:left="709"/>
        <w:rPr>
          <w:sz w:val="24"/>
          <w:szCs w:val="24"/>
        </w:rPr>
      </w:pPr>
      <w:r>
        <w:rPr>
          <w:sz w:val="24"/>
          <w:szCs w:val="24"/>
          <w:vertAlign w:val="superscript"/>
        </w:rPr>
        <w:t xml:space="preserve">+ </w:t>
      </w:r>
      <w:r>
        <w:rPr>
          <w:sz w:val="24"/>
          <w:szCs w:val="24"/>
        </w:rPr>
        <w:t>For hver term er hyppigheden baseret på bivirkninger af alle grader. For termer markeret med ”+” er hyppigheden baseret på bivirkninger af grad 3-4. Bivirkningerne er anført i frekvensgruppering ud fra den højeste hyppighed set i et af de store kliniske studier.</w:t>
      </w:r>
    </w:p>
    <w:p w:rsidR="00CF3F69" w:rsidRDefault="00CF3F69" w:rsidP="00CF3F69">
      <w:pPr>
        <w:ind w:left="709"/>
        <w:rPr>
          <w:iCs/>
          <w:sz w:val="24"/>
          <w:szCs w:val="24"/>
          <w:u w:val="single"/>
        </w:rPr>
      </w:pPr>
    </w:p>
    <w:p w:rsidR="00CF3F69" w:rsidRPr="007B435F" w:rsidRDefault="00CF3F69" w:rsidP="00CF3F69">
      <w:pPr>
        <w:ind w:left="851"/>
        <w:rPr>
          <w:iCs/>
          <w:sz w:val="24"/>
          <w:szCs w:val="24"/>
          <w:u w:val="single"/>
        </w:rPr>
      </w:pPr>
      <w:r w:rsidRPr="007B435F">
        <w:rPr>
          <w:iCs/>
          <w:sz w:val="24"/>
          <w:szCs w:val="24"/>
          <w:u w:val="single"/>
        </w:rPr>
        <w:t xml:space="preserve">Beskrivelse af udvalgte bivirkninger </w:t>
      </w:r>
    </w:p>
    <w:p w:rsidR="00CF3F69" w:rsidRDefault="00CF3F69" w:rsidP="00CF3F69">
      <w:pPr>
        <w:ind w:left="851"/>
        <w:rPr>
          <w:i/>
          <w:iCs/>
          <w:sz w:val="24"/>
          <w:szCs w:val="24"/>
        </w:rPr>
      </w:pPr>
    </w:p>
    <w:p w:rsidR="00CF3F69" w:rsidRDefault="00CF3F69" w:rsidP="00CF3F69">
      <w:pPr>
        <w:ind w:left="851"/>
        <w:rPr>
          <w:sz w:val="24"/>
          <w:szCs w:val="24"/>
          <w:lang w:val="sv-SE"/>
        </w:rPr>
      </w:pPr>
      <w:r>
        <w:rPr>
          <w:i/>
          <w:iCs/>
          <w:sz w:val="24"/>
          <w:szCs w:val="24"/>
          <w:lang w:val="sv-SE"/>
        </w:rPr>
        <w:t>Hand-foot syndrom (se pkt. 4.4)</w:t>
      </w:r>
    </w:p>
    <w:p w:rsidR="00CF3F69" w:rsidRDefault="00CF3F69" w:rsidP="00CF3F69">
      <w:pPr>
        <w:ind w:left="851"/>
        <w:rPr>
          <w:sz w:val="24"/>
          <w:szCs w:val="24"/>
        </w:rPr>
      </w:pPr>
      <w:r>
        <w:rPr>
          <w:sz w:val="24"/>
          <w:szCs w:val="24"/>
        </w:rPr>
        <w:lastRenderedPageBreak/>
        <w:t>For capecitabindosis på 1250 mg/m</w:t>
      </w:r>
      <w:r w:rsidRPr="00141864">
        <w:rPr>
          <w:sz w:val="24"/>
          <w:szCs w:val="24"/>
          <w:vertAlign w:val="superscript"/>
        </w:rPr>
        <w:t>2</w:t>
      </w:r>
      <w:r w:rsidRPr="004B6F00">
        <w:t xml:space="preserve"> </w:t>
      </w:r>
      <w:r>
        <w:rPr>
          <w:sz w:val="24"/>
          <w:szCs w:val="24"/>
        </w:rPr>
        <w:t>to gange daglig på dagene 1 til 14 hver 3. uge blev der observeret hand-foot syndrom i alle grader med en hyppighed på 53 % til 60 % i capecitabin-monoterapistudierne (bestående af studier i adjuverende behandling af kolonkræft, behandling af metastatisk kolorektalkræft og behandling af brystkræft). Den observerede hyppighed var på 63 % i capecitabin/docetaxel-armen i behandlingen af metastatisk brystkræft. For en capecitabindosis på 1000 mg/m</w:t>
      </w:r>
      <w:r w:rsidRPr="00141864">
        <w:rPr>
          <w:sz w:val="24"/>
          <w:szCs w:val="24"/>
          <w:vertAlign w:val="superscript"/>
        </w:rPr>
        <w:t>2</w:t>
      </w:r>
      <w:r>
        <w:rPr>
          <w:position w:val="8"/>
          <w:sz w:val="24"/>
          <w:szCs w:val="24"/>
          <w:vertAlign w:val="superscript"/>
        </w:rPr>
        <w:t xml:space="preserve"> </w:t>
      </w:r>
      <w:r>
        <w:rPr>
          <w:sz w:val="24"/>
          <w:szCs w:val="24"/>
        </w:rPr>
        <w:t xml:space="preserve">to gange daglig på dagene 1 til 14 hver 3. uge blev der observeret hand-foot syndrom i alle grader med en hyppighed på 22 % til 30 % i capecitabin-kombinationsbehandling. </w:t>
      </w:r>
    </w:p>
    <w:p w:rsidR="00CF3F69" w:rsidRDefault="00CF3F69" w:rsidP="00CF3F69">
      <w:pPr>
        <w:ind w:left="851"/>
        <w:rPr>
          <w:sz w:val="24"/>
          <w:szCs w:val="24"/>
        </w:rPr>
      </w:pPr>
    </w:p>
    <w:p w:rsidR="00CF3F69" w:rsidRDefault="00CF3F69" w:rsidP="00CF3F69">
      <w:pPr>
        <w:ind w:left="851"/>
        <w:rPr>
          <w:sz w:val="24"/>
          <w:szCs w:val="24"/>
        </w:rPr>
      </w:pPr>
      <w:r>
        <w:rPr>
          <w:sz w:val="24"/>
          <w:szCs w:val="24"/>
        </w:rPr>
        <w:t xml:space="preserve">En metaanalyse af 14 kliniske studier med data fra mere end 4700 patienter, som er blevet behandlet med capecitabin-monoterapi eller capecitabin i kombination med forskellige kemoterapiregimer indenfor flere indikationer (kolonkræft, kolorektalkræft, ventrikelkræft og brystkræft) viste, at hand-foot syndrom (alle grader) forekom hos 2066 (43 %) patienter gennemsnitligt 239 [95 % konfidensinterval 201, 288] dage efter behandlingsstart med capecitabin. I alle studierne kombineret var følgende kovarianter statistisk signifikant associeret med en øget risiko for udviklingen af hand-foot syndrom: stigende capecitabin-startdosis (gram), faldende kumulativ capecitabin-dosis (0,1 *kg), stigende relativ dosisintensitet i de første seks uger, længere behandlingsvarighed (uger), stigende alder (ved 10-års forøgelse), kvindeligt køn og med en god ECOG performancestatus ved baseline (0 versus ≥1). </w:t>
      </w:r>
    </w:p>
    <w:p w:rsidR="00CF3F69" w:rsidRDefault="00CF3F69" w:rsidP="00CF3F69">
      <w:pPr>
        <w:ind w:left="851"/>
        <w:rPr>
          <w:sz w:val="24"/>
          <w:szCs w:val="24"/>
        </w:rPr>
      </w:pPr>
    </w:p>
    <w:p w:rsidR="00CF3F69" w:rsidRDefault="00CF3F69" w:rsidP="00CF3F69">
      <w:pPr>
        <w:ind w:left="851"/>
        <w:rPr>
          <w:sz w:val="24"/>
          <w:szCs w:val="24"/>
        </w:rPr>
      </w:pPr>
      <w:r>
        <w:rPr>
          <w:i/>
          <w:iCs/>
          <w:sz w:val="24"/>
          <w:szCs w:val="24"/>
        </w:rPr>
        <w:t>Diarré (se pkt. 4.4)</w:t>
      </w:r>
    </w:p>
    <w:p w:rsidR="00CF3F69" w:rsidRDefault="00CF3F69" w:rsidP="00CF3F69">
      <w:pPr>
        <w:ind w:left="851"/>
        <w:rPr>
          <w:sz w:val="24"/>
          <w:szCs w:val="24"/>
        </w:rPr>
      </w:pPr>
      <w:r>
        <w:rPr>
          <w:sz w:val="24"/>
          <w:szCs w:val="24"/>
        </w:rPr>
        <w:t xml:space="preserve">Capecitabin kan inducere forekomsten af diarré, hvilket er observeret i op til 50 % af patienterne. </w:t>
      </w:r>
    </w:p>
    <w:p w:rsidR="00CF3F69" w:rsidRDefault="00CF3F69" w:rsidP="00CF3F69">
      <w:pPr>
        <w:ind w:left="851"/>
        <w:rPr>
          <w:sz w:val="24"/>
          <w:szCs w:val="24"/>
        </w:rPr>
      </w:pPr>
      <w:r>
        <w:rPr>
          <w:sz w:val="24"/>
          <w:szCs w:val="24"/>
        </w:rPr>
        <w:t xml:space="preserve">En metaanalyse af 14 kliniske studier med data fra mere end 4700 patienter, som er blevet behandlet med capecitabin, viste i alle studier kombineret at følgende kovarianter var statistisk signifikant associeret med en øget risiko for udviklingen af diarré: stigende capecitabin-startdosis (gram), længere behandlingsvarighed (uger), stigende alder (ved 10-års forøgelse) samt kvindeligt køn. Følgende kovarianter var statistisk signifikant associeret med en faldende risiko for udviklingen af diarré: øget kumulativ capecitabin-dosis (0,1 *kg) og med stigende relativ dosisintensitet i de første seks uger. </w:t>
      </w:r>
    </w:p>
    <w:p w:rsidR="00CF3F69" w:rsidRDefault="00CF3F69" w:rsidP="00CF3F69">
      <w:pPr>
        <w:ind w:left="851"/>
        <w:rPr>
          <w:sz w:val="24"/>
          <w:szCs w:val="24"/>
        </w:rPr>
      </w:pPr>
    </w:p>
    <w:p w:rsidR="00CF3F69" w:rsidRDefault="00CF3F69" w:rsidP="00CF3F69">
      <w:pPr>
        <w:ind w:left="851"/>
        <w:rPr>
          <w:sz w:val="24"/>
          <w:szCs w:val="24"/>
        </w:rPr>
      </w:pPr>
      <w:r>
        <w:rPr>
          <w:i/>
          <w:iCs/>
          <w:sz w:val="24"/>
          <w:szCs w:val="24"/>
        </w:rPr>
        <w:t>Kardiotoksicitet (se pkt. 4.4)</w:t>
      </w:r>
    </w:p>
    <w:p w:rsidR="00CF3F69" w:rsidRDefault="00CF3F69" w:rsidP="00CF3F69">
      <w:pPr>
        <w:ind w:left="851"/>
        <w:rPr>
          <w:sz w:val="24"/>
          <w:szCs w:val="24"/>
        </w:rPr>
      </w:pPr>
      <w:r>
        <w:rPr>
          <w:sz w:val="24"/>
          <w:szCs w:val="24"/>
        </w:rPr>
        <w:t xml:space="preserve">Ud over de bivirkninger, der er anført i tabel 4 og 5, blev der i forbindelse med capecitabin-monoterapi observeret bivirkninger med en hyppighed på mindre end 0,1 %. Bivirkningerne er baseret på en samlet analyse af kliniske sikkerhedsdata fra 7 kliniske studier med 949 patienter (2 fase III- og 5 fase II-kliniske studier i metastatisk kolorektalkræft og metastatisk brystkræft) og omfatter: Kardiomyopati, hjerteinsufficiens, dødsfald og ventrikulære ekstrasystoler. </w:t>
      </w:r>
    </w:p>
    <w:p w:rsidR="00CF3F69" w:rsidRDefault="00CF3F69" w:rsidP="00CF3F69">
      <w:pPr>
        <w:ind w:left="851"/>
        <w:rPr>
          <w:sz w:val="24"/>
          <w:szCs w:val="24"/>
        </w:rPr>
      </w:pPr>
    </w:p>
    <w:p w:rsidR="00CF3F69" w:rsidRDefault="00CF3F69" w:rsidP="00CF3F69">
      <w:pPr>
        <w:ind w:left="851"/>
        <w:rPr>
          <w:sz w:val="24"/>
          <w:szCs w:val="24"/>
        </w:rPr>
      </w:pPr>
      <w:r>
        <w:rPr>
          <w:i/>
          <w:iCs/>
          <w:sz w:val="24"/>
          <w:szCs w:val="24"/>
        </w:rPr>
        <w:t>Encephalopati</w:t>
      </w:r>
    </w:p>
    <w:p w:rsidR="00CF3F69" w:rsidRDefault="00CF3F69" w:rsidP="00CF3F69">
      <w:pPr>
        <w:ind w:left="851"/>
        <w:rPr>
          <w:sz w:val="24"/>
          <w:szCs w:val="24"/>
        </w:rPr>
      </w:pPr>
      <w:r>
        <w:rPr>
          <w:sz w:val="24"/>
          <w:szCs w:val="24"/>
        </w:rPr>
        <w:t xml:space="preserve">Baseret på en samlet analyse af kliniske sikkerhedsdata fra 7 kliniske studier, blev der ud over de bivirkninger, som er anført i tabel 4 og 5, observeret encephalopati som værende forbundet med anvendelsen af capecitabin-monoterapi med en hyppighed på mindre end 0,1%. </w:t>
      </w:r>
    </w:p>
    <w:p w:rsidR="00CF3F69" w:rsidRDefault="00CF3F69" w:rsidP="00CF3F69">
      <w:pPr>
        <w:ind w:left="851"/>
        <w:rPr>
          <w:iCs/>
          <w:sz w:val="24"/>
          <w:szCs w:val="24"/>
          <w:u w:val="single"/>
        </w:rPr>
      </w:pPr>
    </w:p>
    <w:p w:rsidR="00CF3F69" w:rsidRPr="007B435F" w:rsidRDefault="00CF3F69" w:rsidP="00CF3F69">
      <w:pPr>
        <w:ind w:left="851"/>
        <w:rPr>
          <w:sz w:val="24"/>
          <w:szCs w:val="24"/>
          <w:u w:val="single"/>
        </w:rPr>
      </w:pPr>
      <w:r w:rsidRPr="007B435F">
        <w:rPr>
          <w:iCs/>
          <w:sz w:val="24"/>
          <w:szCs w:val="24"/>
          <w:u w:val="single"/>
        </w:rPr>
        <w:t xml:space="preserve">Særlige populationer </w:t>
      </w:r>
    </w:p>
    <w:p w:rsidR="00CF3F69" w:rsidRDefault="00CF3F69" w:rsidP="00CF3F69">
      <w:pPr>
        <w:ind w:left="851"/>
        <w:rPr>
          <w:i/>
          <w:iCs/>
          <w:sz w:val="24"/>
          <w:szCs w:val="24"/>
        </w:rPr>
      </w:pPr>
    </w:p>
    <w:p w:rsidR="00CF3F69" w:rsidRDefault="00CF3F69" w:rsidP="00CF3F69">
      <w:pPr>
        <w:ind w:left="851"/>
        <w:rPr>
          <w:sz w:val="24"/>
          <w:szCs w:val="24"/>
        </w:rPr>
      </w:pPr>
      <w:r>
        <w:rPr>
          <w:i/>
          <w:iCs/>
          <w:sz w:val="24"/>
          <w:szCs w:val="24"/>
        </w:rPr>
        <w:t>Ældre patienter (se pkt. 4.2)</w:t>
      </w:r>
    </w:p>
    <w:p w:rsidR="00CF3F69" w:rsidRDefault="00CF3F69" w:rsidP="00CF3F69">
      <w:pPr>
        <w:ind w:left="851"/>
        <w:rPr>
          <w:sz w:val="24"/>
          <w:szCs w:val="24"/>
        </w:rPr>
      </w:pPr>
      <w:r>
        <w:rPr>
          <w:sz w:val="24"/>
          <w:szCs w:val="24"/>
        </w:rPr>
        <w:t xml:space="preserve">En analyse af sikkerhedsdata fra patienter ≥ 60 år, som behandledes med capecitabin-monoterapi og en analyse af patienter, som behandledes med capecitabin plus docetaxel, </w:t>
      </w:r>
      <w:r>
        <w:rPr>
          <w:sz w:val="24"/>
          <w:szCs w:val="24"/>
        </w:rPr>
        <w:lastRenderedPageBreak/>
        <w:t xml:space="preserve">viste en stigning i incidensen af behandlingsrelaterede bivirkninger af grad 3 og 4 og af behandlingsrelaterede alvorlige bivirkninger, sammenlignet med patienter &lt; 60 år. Der var flere patienter ≥ 60 år, som behandledes med capecitabin plus docetaxel, som måtte stoppe behandlingen tidligt på grund af bivirkninger, sammenlignet med patienter &lt; 60 år. </w:t>
      </w:r>
    </w:p>
    <w:p w:rsidR="00CF3F69" w:rsidRDefault="00CF3F69" w:rsidP="00CF3F69">
      <w:pPr>
        <w:ind w:left="851"/>
        <w:rPr>
          <w:sz w:val="24"/>
          <w:szCs w:val="24"/>
        </w:rPr>
      </w:pPr>
      <w:r>
        <w:rPr>
          <w:sz w:val="24"/>
          <w:szCs w:val="24"/>
        </w:rPr>
        <w:t xml:space="preserve">Resultaterne fra en metaanalyse af 14 kliniske studier med data fra mere end 4700 patienter, som er blevet behandlet med capecitabin, viste at i alle studier kombineret, var stigende alder (ved 10-års forøgelse) statistisk signifikant associeret med en øget risiko for udviklingen af hand-foot syndrom og diarré og med en faldende risiko for at udvikle neutropeni. </w:t>
      </w:r>
    </w:p>
    <w:p w:rsidR="00CF3F69" w:rsidRDefault="00CF3F69" w:rsidP="00CF3F69">
      <w:pPr>
        <w:ind w:left="851"/>
        <w:rPr>
          <w:sz w:val="24"/>
          <w:szCs w:val="24"/>
        </w:rPr>
      </w:pPr>
    </w:p>
    <w:p w:rsidR="00CF3F69" w:rsidRDefault="00CF3F69" w:rsidP="00CF3F69">
      <w:pPr>
        <w:ind w:left="851"/>
        <w:rPr>
          <w:sz w:val="24"/>
          <w:szCs w:val="24"/>
        </w:rPr>
      </w:pPr>
      <w:r>
        <w:rPr>
          <w:i/>
          <w:iCs/>
          <w:sz w:val="24"/>
          <w:szCs w:val="24"/>
        </w:rPr>
        <w:t>Køn</w:t>
      </w:r>
    </w:p>
    <w:p w:rsidR="00CF3F69" w:rsidRDefault="00CF3F69" w:rsidP="00CF3F69">
      <w:pPr>
        <w:ind w:left="851"/>
        <w:rPr>
          <w:sz w:val="24"/>
          <w:szCs w:val="24"/>
        </w:rPr>
      </w:pPr>
      <w:r>
        <w:rPr>
          <w:sz w:val="24"/>
          <w:szCs w:val="24"/>
        </w:rPr>
        <w:t xml:space="preserve">Resultaterne fra en metaanalyse af 14 kliniske studier med data fra mere end 4700 patienter, som er blevet behandlet med capecitabin, viste at i alle studier kombineret, var kvindeligt køn statistisk signifikant associeret med en øget risiko for udviklingen af hand-foot syndrom og diarré og med en faldende risiko for at udvikle neutropeni. </w:t>
      </w:r>
    </w:p>
    <w:p w:rsidR="00CF3F69" w:rsidRDefault="00CF3F69" w:rsidP="00CF3F69">
      <w:pPr>
        <w:ind w:left="851"/>
        <w:rPr>
          <w:sz w:val="24"/>
          <w:szCs w:val="24"/>
        </w:rPr>
      </w:pPr>
    </w:p>
    <w:p w:rsidR="00CF3F69" w:rsidRDefault="00CF3F69" w:rsidP="00CF3F69">
      <w:pPr>
        <w:ind w:left="851"/>
        <w:rPr>
          <w:sz w:val="24"/>
          <w:szCs w:val="24"/>
        </w:rPr>
      </w:pPr>
      <w:r>
        <w:rPr>
          <w:i/>
          <w:iCs/>
          <w:sz w:val="24"/>
          <w:szCs w:val="24"/>
        </w:rPr>
        <w:t>Patienter med nedsat nyrefunktion (se pkt. 4.2, 4.4 og 5.2)</w:t>
      </w:r>
    </w:p>
    <w:p w:rsidR="00CF3F69" w:rsidRDefault="00CF3F69" w:rsidP="00CF3F69">
      <w:pPr>
        <w:ind w:left="851"/>
        <w:rPr>
          <w:sz w:val="24"/>
          <w:szCs w:val="24"/>
        </w:rPr>
      </w:pPr>
      <w:r>
        <w:rPr>
          <w:sz w:val="24"/>
          <w:szCs w:val="24"/>
        </w:rPr>
        <w:t>En analyse af sikkerhedsdata fra patienter, som fik capecitabin-monoterapi (kolorektalkræft) og som havde nyreinsufficiens ved baseline, viste, at der var en stigning i hyppigheden af behandlingsrelaterede bivirkninger, grad 3 og 4, sammenlignet med patienter med normal nyrefunktion (36 % hos patienter uden nyreinsufficiens n=268 vs. henholdsvis 41 % hos patienter med let nyreinsufficiens n=257 og 54 % hos patienter med moderat nyreinsufficiens n=59) (se pkt. 5.2). Patienter med moderat nyreinsufficiens fik hyppigere dosis reduceret (44 %) vs. 33 % og 32 % hos patienter med ingen eller let nyreinsufficiens og havde flere tidlige behandlingsophør (21 % behandlingsophør i de første to serier) vs. 5 % og 8 % hos patienter med ingen eller let nyreinsufficiens.</w:t>
      </w:r>
    </w:p>
    <w:p w:rsidR="00CF3F69" w:rsidRDefault="00CF3F69" w:rsidP="00CF3F69">
      <w:pPr>
        <w:ind w:left="851"/>
        <w:rPr>
          <w:sz w:val="24"/>
          <w:szCs w:val="24"/>
        </w:rPr>
      </w:pPr>
    </w:p>
    <w:p w:rsidR="00CF3F69" w:rsidRPr="008F49E1" w:rsidRDefault="00CF3F69" w:rsidP="00CF3F69">
      <w:pPr>
        <w:autoSpaceDE w:val="0"/>
        <w:autoSpaceDN w:val="0"/>
        <w:ind w:left="851"/>
        <w:rPr>
          <w:sz w:val="24"/>
          <w:szCs w:val="24"/>
          <w:u w:val="single"/>
          <w:lang w:eastAsia="da-DK"/>
        </w:rPr>
      </w:pPr>
      <w:r w:rsidRPr="008F49E1">
        <w:rPr>
          <w:sz w:val="24"/>
          <w:szCs w:val="24"/>
          <w:u w:val="single"/>
          <w:lang w:eastAsia="da-DK"/>
        </w:rPr>
        <w:t>Indberetning af formodede bivirkninger</w:t>
      </w:r>
    </w:p>
    <w:p w:rsidR="00CF3F69" w:rsidRPr="008F49E1" w:rsidRDefault="00CF3F69" w:rsidP="00CF3F69">
      <w:pPr>
        <w:ind w:left="851"/>
        <w:rPr>
          <w:sz w:val="24"/>
          <w:szCs w:val="24"/>
          <w:lang w:eastAsia="da-DK"/>
        </w:rPr>
      </w:pPr>
      <w:r w:rsidRPr="008F49E1">
        <w:rPr>
          <w:sz w:val="24"/>
          <w:szCs w:val="24"/>
          <w:lang w:eastAsia="da-DK"/>
        </w:rPr>
        <w:t>Når lægemidlet er godkendt, er indberetning af formodede bivirkninger vigtig. Det muliggør løbende overvågning af benefit/risk-forholdet for lægemidlet. Læger og sundhedspersonale anmodes om at indberette alle formodede bivirkninger via:</w:t>
      </w:r>
    </w:p>
    <w:p w:rsidR="00CF3F69" w:rsidRPr="008F49E1" w:rsidRDefault="00CF3F69" w:rsidP="00CF3F69">
      <w:pPr>
        <w:ind w:left="851"/>
        <w:rPr>
          <w:sz w:val="24"/>
          <w:szCs w:val="24"/>
          <w:lang w:eastAsia="da-DK"/>
        </w:rPr>
      </w:pPr>
    </w:p>
    <w:p w:rsidR="00CF3F69" w:rsidRPr="007A276A" w:rsidRDefault="00CF3F69" w:rsidP="00CF3F69">
      <w:pPr>
        <w:ind w:left="851"/>
        <w:rPr>
          <w:sz w:val="24"/>
          <w:szCs w:val="24"/>
          <w:lang w:eastAsia="da-DK"/>
        </w:rPr>
      </w:pPr>
      <w:r w:rsidRPr="007A276A">
        <w:rPr>
          <w:sz w:val="24"/>
          <w:szCs w:val="24"/>
          <w:lang w:eastAsia="da-DK"/>
        </w:rPr>
        <w:t>Lægemiddelstyrelsen</w:t>
      </w:r>
    </w:p>
    <w:p w:rsidR="00CF3F69" w:rsidRPr="007A276A" w:rsidRDefault="00CF3F69" w:rsidP="00CF3F69">
      <w:pPr>
        <w:ind w:left="851"/>
        <w:rPr>
          <w:sz w:val="24"/>
          <w:szCs w:val="24"/>
          <w:lang w:eastAsia="da-DK"/>
        </w:rPr>
      </w:pPr>
      <w:r w:rsidRPr="007A276A">
        <w:rPr>
          <w:sz w:val="24"/>
          <w:szCs w:val="24"/>
          <w:lang w:eastAsia="da-DK"/>
        </w:rPr>
        <w:t>Axel Heides Gade 1</w:t>
      </w:r>
    </w:p>
    <w:p w:rsidR="00CF3F69" w:rsidRPr="007A276A" w:rsidRDefault="00CF3F69" w:rsidP="00CF3F69">
      <w:pPr>
        <w:ind w:left="851"/>
        <w:rPr>
          <w:sz w:val="24"/>
          <w:szCs w:val="24"/>
          <w:lang w:eastAsia="da-DK"/>
        </w:rPr>
      </w:pPr>
      <w:r w:rsidRPr="007A276A">
        <w:rPr>
          <w:sz w:val="24"/>
          <w:szCs w:val="24"/>
          <w:lang w:eastAsia="da-DK"/>
        </w:rPr>
        <w:t>DK-2300 København S</w:t>
      </w:r>
    </w:p>
    <w:p w:rsidR="00CF3F69" w:rsidRPr="007A276A" w:rsidRDefault="00CF3F69" w:rsidP="00CF3F69">
      <w:pPr>
        <w:ind w:left="851"/>
        <w:rPr>
          <w:sz w:val="24"/>
          <w:szCs w:val="24"/>
          <w:lang w:val="en-US" w:eastAsia="da-DK"/>
        </w:rPr>
      </w:pPr>
      <w:r w:rsidRPr="007A276A">
        <w:rPr>
          <w:sz w:val="24"/>
          <w:szCs w:val="24"/>
          <w:lang w:val="en-US" w:eastAsia="da-DK"/>
        </w:rPr>
        <w:t xml:space="preserve">Websted: </w:t>
      </w:r>
      <w:hyperlink r:id="rId8" w:history="1">
        <w:r w:rsidRPr="007A276A">
          <w:rPr>
            <w:color w:val="0000FF"/>
            <w:sz w:val="24"/>
            <w:u w:val="single"/>
            <w:lang w:val="en-US" w:eastAsia="da-DK"/>
          </w:rPr>
          <w:t>www.meldenbivirkning.dk</w:t>
        </w:r>
      </w:hyperlink>
    </w:p>
    <w:p w:rsidR="00CF3F69" w:rsidRPr="00A96B70" w:rsidRDefault="00CF3F69" w:rsidP="00CF3F69">
      <w:pPr>
        <w:ind w:left="851"/>
        <w:rPr>
          <w:sz w:val="24"/>
          <w:szCs w:val="24"/>
          <w:lang w:val="en-US"/>
        </w:rPr>
      </w:pPr>
    </w:p>
    <w:p w:rsidR="00CF3F69" w:rsidRPr="00EC0B9B" w:rsidRDefault="00CF3F69" w:rsidP="00CF3F69">
      <w:pPr>
        <w:numPr>
          <w:ilvl w:val="1"/>
          <w:numId w:val="1"/>
        </w:numPr>
        <w:rPr>
          <w:b/>
          <w:sz w:val="24"/>
          <w:szCs w:val="24"/>
        </w:rPr>
      </w:pPr>
      <w:r w:rsidRPr="00EC0B9B">
        <w:rPr>
          <w:b/>
          <w:sz w:val="24"/>
          <w:szCs w:val="24"/>
        </w:rPr>
        <w:t>Overdosering</w:t>
      </w:r>
    </w:p>
    <w:p w:rsidR="00CF3F69" w:rsidRDefault="00CF3F69" w:rsidP="00CF3F69">
      <w:pPr>
        <w:ind w:left="851"/>
        <w:rPr>
          <w:sz w:val="24"/>
          <w:szCs w:val="24"/>
        </w:rPr>
      </w:pPr>
      <w:r>
        <w:rPr>
          <w:sz w:val="24"/>
          <w:szCs w:val="24"/>
        </w:rPr>
        <w:t xml:space="preserve">Symptomerne på akut overdosering omfatter kvalme, opkastning, diarré, mucositis, gastrointestinal irritation og blødning samt knoglemarvssuppression. Den medicinske behandling af overdosering omfatter de sædvanlige terapeutiske og støttende medicinske interventioner, som sigter på at afhjælpe de kliniske symptomer og forebygge evt. komplikationer. </w:t>
      </w:r>
    </w:p>
    <w:p w:rsidR="00CF3F69" w:rsidRPr="00EC0B9B" w:rsidRDefault="00CF3F69" w:rsidP="00CF3F69">
      <w:pPr>
        <w:tabs>
          <w:tab w:val="left" w:pos="851"/>
        </w:tabs>
        <w:rPr>
          <w:sz w:val="24"/>
          <w:szCs w:val="24"/>
        </w:rPr>
      </w:pPr>
    </w:p>
    <w:p w:rsidR="00CF3F69" w:rsidRPr="00EC0B9B" w:rsidRDefault="00CF3F69" w:rsidP="00CF3F69">
      <w:pPr>
        <w:numPr>
          <w:ilvl w:val="1"/>
          <w:numId w:val="1"/>
        </w:numPr>
        <w:rPr>
          <w:b/>
          <w:sz w:val="24"/>
          <w:szCs w:val="24"/>
        </w:rPr>
      </w:pPr>
      <w:r w:rsidRPr="00EC0B9B">
        <w:rPr>
          <w:b/>
          <w:sz w:val="24"/>
          <w:szCs w:val="24"/>
        </w:rPr>
        <w:t>Udlevering</w:t>
      </w:r>
    </w:p>
    <w:p w:rsidR="00CF3F69" w:rsidRDefault="00CF3F69" w:rsidP="00CF3F69">
      <w:pPr>
        <w:ind w:left="851"/>
        <w:rPr>
          <w:sz w:val="24"/>
          <w:szCs w:val="24"/>
        </w:rPr>
      </w:pPr>
      <w:r>
        <w:rPr>
          <w:sz w:val="24"/>
          <w:szCs w:val="24"/>
        </w:rPr>
        <w:t>NBS – kun til sygehuse og speciallæger i onkologi.</w:t>
      </w:r>
    </w:p>
    <w:p w:rsidR="001E06B0" w:rsidRDefault="001E06B0" w:rsidP="00CF3F69">
      <w:pPr>
        <w:ind w:left="851"/>
        <w:rPr>
          <w:sz w:val="24"/>
          <w:szCs w:val="24"/>
        </w:rPr>
      </w:pPr>
    </w:p>
    <w:p w:rsidR="001E06B0" w:rsidRDefault="001E06B0" w:rsidP="00CF3F69">
      <w:pPr>
        <w:ind w:left="851"/>
        <w:rPr>
          <w:sz w:val="24"/>
          <w:szCs w:val="24"/>
        </w:rPr>
      </w:pPr>
    </w:p>
    <w:p w:rsidR="001E06B0" w:rsidRDefault="001E06B0" w:rsidP="00CF3F69">
      <w:pPr>
        <w:ind w:left="851"/>
        <w:rPr>
          <w:sz w:val="24"/>
          <w:szCs w:val="24"/>
        </w:rPr>
      </w:pPr>
    </w:p>
    <w:p w:rsidR="00CF3F69" w:rsidRPr="00EC0B9B" w:rsidRDefault="00CF3F69" w:rsidP="00CF3F69">
      <w:pPr>
        <w:tabs>
          <w:tab w:val="left" w:pos="851"/>
        </w:tabs>
        <w:rPr>
          <w:sz w:val="24"/>
          <w:szCs w:val="24"/>
        </w:rPr>
      </w:pPr>
    </w:p>
    <w:p w:rsidR="00CF3F69" w:rsidRPr="00EC0B9B" w:rsidRDefault="00CF3F69" w:rsidP="00CF3F69">
      <w:pPr>
        <w:tabs>
          <w:tab w:val="left" w:pos="851"/>
        </w:tabs>
        <w:rPr>
          <w:sz w:val="24"/>
          <w:szCs w:val="24"/>
        </w:rPr>
      </w:pPr>
    </w:p>
    <w:p w:rsidR="00CF3F69" w:rsidRPr="00EC0B9B" w:rsidRDefault="00CF3F69" w:rsidP="00CF3F69">
      <w:pPr>
        <w:numPr>
          <w:ilvl w:val="0"/>
          <w:numId w:val="1"/>
        </w:numPr>
        <w:rPr>
          <w:b/>
          <w:sz w:val="24"/>
          <w:szCs w:val="24"/>
        </w:rPr>
      </w:pPr>
      <w:r w:rsidRPr="00EC0B9B">
        <w:rPr>
          <w:b/>
          <w:sz w:val="24"/>
          <w:szCs w:val="24"/>
        </w:rPr>
        <w:lastRenderedPageBreak/>
        <w:t>FARMAKOLOGISKE EGENSKABER</w:t>
      </w:r>
    </w:p>
    <w:p w:rsidR="00CF3F69" w:rsidRDefault="00CF3F69" w:rsidP="00CF3F69">
      <w:pPr>
        <w:tabs>
          <w:tab w:val="num" w:pos="2159"/>
        </w:tabs>
        <w:rPr>
          <w:sz w:val="24"/>
          <w:szCs w:val="24"/>
        </w:rPr>
      </w:pPr>
    </w:p>
    <w:p w:rsidR="001E06B0" w:rsidRDefault="001E06B0" w:rsidP="00CF3F69">
      <w:pPr>
        <w:tabs>
          <w:tab w:val="num" w:pos="2159"/>
        </w:tabs>
        <w:rPr>
          <w:b/>
          <w:sz w:val="24"/>
          <w:szCs w:val="24"/>
        </w:rPr>
      </w:pPr>
    </w:p>
    <w:p w:rsidR="00CF3F69" w:rsidRDefault="00CF3F69" w:rsidP="00CF3F69">
      <w:pPr>
        <w:numPr>
          <w:ilvl w:val="1"/>
          <w:numId w:val="2"/>
        </w:numPr>
        <w:tabs>
          <w:tab w:val="num" w:pos="851"/>
        </w:tabs>
        <w:ind w:left="851" w:hanging="851"/>
        <w:rPr>
          <w:b/>
          <w:sz w:val="24"/>
          <w:szCs w:val="24"/>
        </w:rPr>
      </w:pPr>
      <w:r w:rsidRPr="00EC0B9B">
        <w:rPr>
          <w:b/>
          <w:sz w:val="24"/>
          <w:szCs w:val="24"/>
        </w:rPr>
        <w:t>Farmakodynamiske egenskaber</w:t>
      </w:r>
    </w:p>
    <w:p w:rsidR="001E06B0" w:rsidRPr="00EC0B9B" w:rsidRDefault="001E06B0" w:rsidP="001E06B0">
      <w:pPr>
        <w:ind w:left="855"/>
        <w:rPr>
          <w:b/>
          <w:sz w:val="24"/>
          <w:szCs w:val="24"/>
        </w:rPr>
      </w:pPr>
      <w:r w:rsidRPr="001E06B0">
        <w:rPr>
          <w:sz w:val="24"/>
          <w:szCs w:val="24"/>
        </w:rPr>
        <w:t>Farmakoterapeutisk klassifikation: Cytostatikum</w:t>
      </w:r>
      <w:r>
        <w:rPr>
          <w:sz w:val="24"/>
          <w:szCs w:val="24"/>
        </w:rPr>
        <w:t xml:space="preserve"> (antimetabolit), </w:t>
      </w:r>
      <w:proofErr w:type="gramStart"/>
      <w:r>
        <w:rPr>
          <w:sz w:val="24"/>
          <w:szCs w:val="24"/>
        </w:rPr>
        <w:t>ATC kode</w:t>
      </w:r>
      <w:proofErr w:type="gramEnd"/>
      <w:r>
        <w:rPr>
          <w:sz w:val="24"/>
          <w:szCs w:val="24"/>
        </w:rPr>
        <w:t>: L01BC06.</w:t>
      </w:r>
    </w:p>
    <w:p w:rsidR="001E06B0" w:rsidRPr="00EC0B9B" w:rsidRDefault="001E06B0" w:rsidP="001E06B0">
      <w:pPr>
        <w:tabs>
          <w:tab w:val="num" w:pos="2159"/>
        </w:tabs>
        <w:ind w:left="851"/>
        <w:rPr>
          <w:b/>
          <w:sz w:val="24"/>
          <w:szCs w:val="24"/>
        </w:rPr>
      </w:pPr>
    </w:p>
    <w:p w:rsidR="00CF3F69" w:rsidRDefault="00CF3F69" w:rsidP="00CF3F69">
      <w:pPr>
        <w:ind w:left="851"/>
        <w:rPr>
          <w:sz w:val="24"/>
          <w:szCs w:val="24"/>
        </w:rPr>
      </w:pPr>
      <w:r>
        <w:rPr>
          <w:sz w:val="24"/>
          <w:szCs w:val="24"/>
        </w:rPr>
        <w:t xml:space="preserve">Capecitabin er et non-cytotoksisk fluorpyrimidincarbamat, som virker som en oral administreret prækursor for det cytotoksiske 5- fluorouracil (5-FU). capecitabin aktiveres via flere enzymatiske trin (se pkt. 5.2). Enzymet thymidinfosforylase (ThyPase), som er involveret i den endelige omdannelse til 5-FU, findes i tumorvæv, men også i normalt væv, om end i lavere koncentrationer. I humane cancerxenotransplantationsmodeller har capecitabin vist en synergistisk effekt i kombination med docetaxel, som kan være relateret til docetaxels opregulering af thymidinfosforylase. </w:t>
      </w:r>
    </w:p>
    <w:p w:rsidR="00CF3F69" w:rsidRDefault="00CF3F69" w:rsidP="00CF3F69">
      <w:pPr>
        <w:ind w:left="851"/>
        <w:rPr>
          <w:sz w:val="24"/>
          <w:szCs w:val="24"/>
        </w:rPr>
      </w:pPr>
      <w:r>
        <w:rPr>
          <w:sz w:val="24"/>
          <w:szCs w:val="24"/>
        </w:rPr>
        <w:t xml:space="preserve">Der er holdepunkter for at metabolismen af 5-FU i den anabolske pathway blokerer metyleringen af desoxyuridylsyre til thymidylssyre og derved interfererer med desoxyribonukleinsyresyntesen (DNA). Inkorporeringen af 5-FU medfører hæmning af RNA og proteinsyntesen. Da DNA og RNA er nødvendige for celledelingen og cellevæksten, virker 5-FU muligvis ved at skabe et thymidindeficit, som provokerer ubalanceret vækst og død af en celle. Virkningen af DNA og </w:t>
      </w:r>
      <w:proofErr w:type="gramStart"/>
      <w:r>
        <w:rPr>
          <w:sz w:val="24"/>
          <w:szCs w:val="24"/>
        </w:rPr>
        <w:t>RNA deprivation</w:t>
      </w:r>
      <w:proofErr w:type="gramEnd"/>
      <w:r>
        <w:rPr>
          <w:sz w:val="24"/>
          <w:szCs w:val="24"/>
        </w:rPr>
        <w:t xml:space="preserve"> er tydeligst på de celler, som prolifererer hurtigst, og som metaboliserer 5-FU hurtigere. </w:t>
      </w:r>
    </w:p>
    <w:p w:rsidR="00CF3F69" w:rsidRDefault="00CF3F69" w:rsidP="00CF3F69">
      <w:pPr>
        <w:ind w:left="851"/>
        <w:rPr>
          <w:sz w:val="24"/>
          <w:szCs w:val="24"/>
        </w:rPr>
      </w:pPr>
    </w:p>
    <w:p w:rsidR="00CF3F69" w:rsidRPr="00504DFF" w:rsidRDefault="00CF3F69" w:rsidP="00CF3F69">
      <w:pPr>
        <w:ind w:left="851"/>
        <w:rPr>
          <w:b/>
          <w:sz w:val="24"/>
          <w:szCs w:val="24"/>
        </w:rPr>
      </w:pPr>
      <w:r>
        <w:rPr>
          <w:b/>
          <w:sz w:val="24"/>
          <w:szCs w:val="24"/>
        </w:rPr>
        <w:t>Kolon- og kolorektalkræft</w:t>
      </w:r>
    </w:p>
    <w:p w:rsidR="00CF3F69" w:rsidRDefault="00CF3F69" w:rsidP="00CF3F69">
      <w:pPr>
        <w:ind w:left="851"/>
        <w:rPr>
          <w:sz w:val="24"/>
          <w:szCs w:val="24"/>
          <w:u w:val="single"/>
        </w:rPr>
      </w:pPr>
    </w:p>
    <w:p w:rsidR="00CF3F69" w:rsidRDefault="00CF3F69" w:rsidP="00CF3F69">
      <w:pPr>
        <w:ind w:left="851"/>
        <w:rPr>
          <w:sz w:val="24"/>
          <w:szCs w:val="24"/>
          <w:u w:val="single"/>
        </w:rPr>
      </w:pPr>
      <w:r>
        <w:rPr>
          <w:sz w:val="24"/>
          <w:szCs w:val="24"/>
          <w:u w:val="single"/>
        </w:rPr>
        <w:t xml:space="preserve">Adjuverende monoterapi med </w:t>
      </w:r>
      <w:r w:rsidRPr="00504DFF">
        <w:rPr>
          <w:sz w:val="24"/>
          <w:szCs w:val="24"/>
          <w:u w:val="single"/>
        </w:rPr>
        <w:t xml:space="preserve">capecitabin </w:t>
      </w:r>
      <w:r>
        <w:rPr>
          <w:sz w:val="24"/>
          <w:szCs w:val="24"/>
          <w:u w:val="single"/>
        </w:rPr>
        <w:t xml:space="preserve">ved kolonkræft </w:t>
      </w:r>
    </w:p>
    <w:p w:rsidR="00CF3F69" w:rsidRDefault="00CF3F69" w:rsidP="00CF3F69">
      <w:pPr>
        <w:ind w:left="851"/>
        <w:rPr>
          <w:sz w:val="24"/>
          <w:szCs w:val="24"/>
        </w:rPr>
      </w:pPr>
      <w:r>
        <w:rPr>
          <w:sz w:val="24"/>
          <w:szCs w:val="24"/>
        </w:rPr>
        <w:t>Data fra et randomiseret, kontrolleret, klinisk fase III-multicenterstudie hos patienter med kolonkræft i stadium III (Dukes’ stadium C) støtter anvendelsen af capecitabin som adjuverende behandling af patienter med kolonkræft (XACT-Studie; M66001). I dette studie blev 1987 patienter randomiseret til behandling med capecitabin (1250 mg/m</w:t>
      </w:r>
      <w:r>
        <w:rPr>
          <w:sz w:val="24"/>
          <w:szCs w:val="24"/>
          <w:vertAlign w:val="superscript"/>
        </w:rPr>
        <w:t xml:space="preserve">2 </w:t>
      </w:r>
      <w:r>
        <w:rPr>
          <w:sz w:val="24"/>
          <w:szCs w:val="24"/>
        </w:rPr>
        <w:t>to gange daglig i 2 uger, efterfulgt af en uges pause, givet som 3-ugers serier i 24 uger) eller til behandling med 5-FU og leucovorin (Mayo Clinic-regime: 20 mg/m</w:t>
      </w:r>
      <w:r>
        <w:rPr>
          <w:sz w:val="24"/>
          <w:szCs w:val="24"/>
          <w:vertAlign w:val="superscript"/>
        </w:rPr>
        <w:t xml:space="preserve">2 </w:t>
      </w:r>
      <w:r>
        <w:rPr>
          <w:sz w:val="24"/>
          <w:szCs w:val="24"/>
        </w:rPr>
        <w:t>leucovorin i.v., efterfulgt af 425 mg/m</w:t>
      </w:r>
      <w:r>
        <w:rPr>
          <w:sz w:val="24"/>
          <w:szCs w:val="24"/>
          <w:vertAlign w:val="superscript"/>
        </w:rPr>
        <w:t xml:space="preserve">2 </w:t>
      </w:r>
      <w:r>
        <w:rPr>
          <w:sz w:val="24"/>
          <w:szCs w:val="24"/>
        </w:rPr>
        <w:t xml:space="preserve">5-FU i.v. som bolus på dag 1 til 5, hver 28. dag i 24 uger). Capecitabin var mindst ækvivalent med 5-FU/LV i.v. med hensyn til sygdomsfri overlevelse i protokolpopulationen (hazard ratio 0,92; 95 % konfidensinterval 0,80-1,06). I testene hos den samlede randomiseringspopulation for forskel mellem capecitabin og 5-FU/LV mht. sygdomsfri og samlet overlevelse var hazard ratios hhv. 0,88 (95 % konfidensinterval 0,77 – 1,01; p = 0,068) og 0,86 (95 % konfidensinterval 0,74 – 1,01; p = 0,060). Den mediane tid for follow/up på analysetidspunktet var 6,9 år. I en forudplanlagt multivariat Cox-analyse blev det vist, at capecitabin er bedre sammenlignet med bolus 5-FU/LV. Følgende faktorer var præspecificerede i den statistiske analyseplan for inklusion i modellen: Alder, tid fra operation til randomisering, køn, CEA-værdier ved baseline, lymfeknuder ved baseline samt land. I den samlede randomiseringspopulation blev capecitabin vist at være bedre end 5-FU/LV mht. sygdomsfri overlevelse (hazard ratio 0,849; 95 % konfidensinterval 0,739 - 0,976; p = 0,0212) og mht. samlet overlevelse (hazard ratio 0,828; 95 % konfidensinterval 0,705 - 0,971; p = 0,0203). </w:t>
      </w:r>
    </w:p>
    <w:p w:rsidR="00CF3F69" w:rsidRDefault="00CF3F69" w:rsidP="00CF3F69">
      <w:pPr>
        <w:rPr>
          <w:sz w:val="24"/>
          <w:szCs w:val="24"/>
        </w:rPr>
      </w:pPr>
    </w:p>
    <w:p w:rsidR="00CF3F69" w:rsidRDefault="00CF3F69" w:rsidP="00CF3F69">
      <w:pPr>
        <w:ind w:left="851"/>
        <w:rPr>
          <w:sz w:val="24"/>
          <w:szCs w:val="24"/>
          <w:u w:val="single"/>
        </w:rPr>
      </w:pPr>
      <w:r>
        <w:rPr>
          <w:sz w:val="24"/>
          <w:szCs w:val="24"/>
          <w:u w:val="single"/>
        </w:rPr>
        <w:t xml:space="preserve">Adjuverende kombinationsterapi ved kolonkræft </w:t>
      </w:r>
    </w:p>
    <w:p w:rsidR="00CF3F69" w:rsidRDefault="00CF3F69" w:rsidP="00CF3F69">
      <w:pPr>
        <w:ind w:left="851"/>
        <w:rPr>
          <w:sz w:val="24"/>
          <w:szCs w:val="24"/>
        </w:rPr>
      </w:pPr>
      <w:r>
        <w:rPr>
          <w:sz w:val="24"/>
          <w:szCs w:val="24"/>
        </w:rPr>
        <w:t>Data fra et randomiseret, kontrolleret, klinisk fase III-multicenterstudie hos patienter med kolonkræft i stadium III (Dukes’ stadium C) støtter anvendelsen af capecitabin i kombination med oxaliplatin (XELOX) til adjuverende behandling af patienter med kolonkræft (studie NO16968). I dette studie blev 944 patienter randomiseret til 3-ugers-cykler i 24 uger med capecitabin (1000 mg/m</w:t>
      </w:r>
      <w:r>
        <w:rPr>
          <w:sz w:val="24"/>
          <w:szCs w:val="24"/>
          <w:vertAlign w:val="superscript"/>
        </w:rPr>
        <w:t xml:space="preserve">2 </w:t>
      </w:r>
      <w:r>
        <w:rPr>
          <w:sz w:val="24"/>
          <w:szCs w:val="24"/>
        </w:rPr>
        <w:t xml:space="preserve">to gange daglig i 2 uger, efterfulgt af én </w:t>
      </w:r>
      <w:r>
        <w:rPr>
          <w:sz w:val="24"/>
          <w:szCs w:val="24"/>
        </w:rPr>
        <w:lastRenderedPageBreak/>
        <w:t>uges pause) i kombination med oxaliplatin (130 mg/m</w:t>
      </w:r>
      <w:r>
        <w:rPr>
          <w:sz w:val="24"/>
          <w:szCs w:val="24"/>
          <w:vertAlign w:val="superscript"/>
        </w:rPr>
        <w:t xml:space="preserve">2 </w:t>
      </w:r>
      <w:r>
        <w:rPr>
          <w:sz w:val="24"/>
          <w:szCs w:val="24"/>
        </w:rPr>
        <w:t>intravenøs infusion over 2 timer på dag 1 hver 3. uge). 942 patienter blev randomiseret til bolus 5-FU og leucovorin. I den primære analyse af sygdomsfri overlevelse hos ITT-populationen, viste XELOX sig at være signifikant superior i forhold til 5-FU/LV (hazard ratio = 0,80, 95 % konfidensinterval = [0,69; 0,93], p = 0,0045). Raten for 3 års sygdomsfri overlevelse var 71 % for XELOX versus 67 % for 5-FU/LV. Analysen for det sekundære endepunkt, relapsfri overlevelse, støtter dissse resultater med en hazard ratio på 0,78 (95 % konfidensinterval = [0,67; 0,92], p = 0,0024) for XELOX versus 5-FU/LV. XELOX viste en tendens til en bedre samlet overlevelse med en hazard ratio på 0,87 (95 % konfidensinterval = [0,72; 1,05], p = 0,1486), hvilket svarer til en reduktion i risikoen for dødsfald på 13 %. Raten for 5 års samlet overlevelse var 78 % for XELOX versus 74 % for 5-FU/LV. Effektdata er baseret på en gennemsnitlig observationstid på 59 måneder for samlet overlevelse og 57 måneder for sygdomsfri overlevelse. Hos ITT-populationen var raten for behandlingsophør på grund af bivirkninger højere i XELOX kombinationsterapi-armen (21 %) sammenlignet med den i 5-FU/LV monoterapi-armen (9 %).</w:t>
      </w:r>
    </w:p>
    <w:p w:rsidR="00CF3F69" w:rsidRDefault="00CF3F69" w:rsidP="00CF3F69">
      <w:pPr>
        <w:ind w:left="851"/>
        <w:rPr>
          <w:sz w:val="24"/>
          <w:szCs w:val="24"/>
        </w:rPr>
      </w:pPr>
      <w:r>
        <w:rPr>
          <w:sz w:val="24"/>
          <w:szCs w:val="24"/>
        </w:rPr>
        <w:t xml:space="preserve"> </w:t>
      </w:r>
    </w:p>
    <w:p w:rsidR="00CF3F69" w:rsidRDefault="00CF3F69" w:rsidP="00CF3F69">
      <w:pPr>
        <w:ind w:left="851"/>
        <w:rPr>
          <w:sz w:val="24"/>
          <w:szCs w:val="24"/>
          <w:u w:val="single"/>
        </w:rPr>
      </w:pPr>
      <w:r>
        <w:rPr>
          <w:sz w:val="24"/>
          <w:szCs w:val="24"/>
          <w:u w:val="single"/>
        </w:rPr>
        <w:t xml:space="preserve">Monoterapi med </w:t>
      </w:r>
      <w:r w:rsidRPr="00DD0B72">
        <w:rPr>
          <w:sz w:val="24"/>
          <w:szCs w:val="24"/>
          <w:u w:val="single"/>
        </w:rPr>
        <w:t xml:space="preserve">capecitabin </w:t>
      </w:r>
      <w:r>
        <w:rPr>
          <w:sz w:val="24"/>
          <w:szCs w:val="24"/>
          <w:u w:val="single"/>
        </w:rPr>
        <w:t xml:space="preserve">ved metastatisk kolorektalkræft </w:t>
      </w:r>
    </w:p>
    <w:p w:rsidR="00CF3F69" w:rsidRDefault="00CF3F69" w:rsidP="00CF3F69">
      <w:pPr>
        <w:ind w:left="851"/>
        <w:rPr>
          <w:sz w:val="24"/>
          <w:szCs w:val="24"/>
        </w:rPr>
      </w:pPr>
      <w:r>
        <w:rPr>
          <w:sz w:val="24"/>
          <w:szCs w:val="24"/>
        </w:rPr>
        <w:t>Data fra to identisk designede, randomiserede, kontrollerede, kliniske multicenterstudier i fase III (SO14695; SO14796) støtter anvendelsen af capecitabin til 1. linjebehandling af metastatisk kolorektalkræft. I studierne blev 603 patienter randomiserede til behandling med capecitabin (1250 mg/m</w:t>
      </w:r>
      <w:r w:rsidRPr="00D85146">
        <w:rPr>
          <w:sz w:val="24"/>
          <w:szCs w:val="24"/>
          <w:vertAlign w:val="superscript"/>
        </w:rPr>
        <w:t>2</w:t>
      </w:r>
      <w:r>
        <w:rPr>
          <w:sz w:val="24"/>
          <w:szCs w:val="24"/>
        </w:rPr>
        <w:t xml:space="preserve"> to gange daglig i 2 uger, efterfulgt af en uges pause, og givet som 3-ugers serier). 604 patienter randomiseredes til behandling med 5-FU og leucovirin (Mayo regime: 20 mg/m</w:t>
      </w:r>
      <w:r w:rsidRPr="00D85146">
        <w:rPr>
          <w:sz w:val="24"/>
          <w:szCs w:val="24"/>
          <w:vertAlign w:val="superscript"/>
        </w:rPr>
        <w:t>2</w:t>
      </w:r>
      <w:r>
        <w:rPr>
          <w:sz w:val="24"/>
          <w:szCs w:val="24"/>
        </w:rPr>
        <w:t xml:space="preserve"> leucovirin i.v. efterfulgt af en 5-FU bolus på 425 mg/m</w:t>
      </w:r>
      <w:r w:rsidRPr="00D85146">
        <w:rPr>
          <w:sz w:val="24"/>
          <w:szCs w:val="24"/>
          <w:vertAlign w:val="superscript"/>
        </w:rPr>
        <w:t>2</w:t>
      </w:r>
      <w:r>
        <w:rPr>
          <w:sz w:val="24"/>
          <w:szCs w:val="24"/>
        </w:rPr>
        <w:t xml:space="preserve"> i.v. på dag 1 til 5, hver 28. dag). De totale objektive responsrater i den totale randomiserede population var (investigators vurdering) 25,7 % (capecitabin) vs. 16,7 % (Mayo regime), p&lt; 0,0002. Den mediane tid til progression var 140 dage (capecitabin) vs. 144 dage (Mayo regime). Den mediane overlevelse var 392 dage (capecitabin) vs. 391 dage (Mayo regime). Der er for tiden ingen data om capecitabin-monoterapi af kolorektalkræft sammenlignet med 1. linjekombinationsbehandlinger. </w:t>
      </w:r>
    </w:p>
    <w:p w:rsidR="00CF3F69" w:rsidRDefault="00CF3F69" w:rsidP="00CF3F69">
      <w:pPr>
        <w:ind w:left="851"/>
        <w:rPr>
          <w:sz w:val="24"/>
          <w:szCs w:val="24"/>
        </w:rPr>
      </w:pPr>
    </w:p>
    <w:p w:rsidR="00CF3F69" w:rsidRDefault="00CF3F69" w:rsidP="00CF3F69">
      <w:pPr>
        <w:ind w:left="851"/>
        <w:rPr>
          <w:sz w:val="24"/>
          <w:szCs w:val="24"/>
          <w:u w:val="single"/>
        </w:rPr>
      </w:pPr>
      <w:r>
        <w:rPr>
          <w:sz w:val="24"/>
          <w:szCs w:val="24"/>
          <w:u w:val="single"/>
        </w:rPr>
        <w:t xml:space="preserve">Kombinationsterapi i 1. linjebehandling af metastatisk kolorektalkræft </w:t>
      </w:r>
    </w:p>
    <w:p w:rsidR="00CF3F69" w:rsidRDefault="00CF3F69" w:rsidP="00CF3F69">
      <w:pPr>
        <w:ind w:left="851"/>
        <w:rPr>
          <w:sz w:val="24"/>
          <w:szCs w:val="24"/>
        </w:rPr>
      </w:pPr>
      <w:r>
        <w:rPr>
          <w:sz w:val="24"/>
          <w:szCs w:val="24"/>
        </w:rPr>
        <w:t>Data fra et multicenter, randomiseret, kontrolleret klinisk fase III-studie (NO16966) understøtter anvendelsen af capecitabin i kombination med oxaliplatin eller i kombination med oxaliplatin og bevacizumab til 1. linjebehandling af metastatisk kolorektalkræft. Studiet indeholdte to dele: En initial 2-arms del, i hvilken 634 patienter blev randomiseret i to forskellige behandlingsgrupper, inkluderende XELOX eller FOLFOX-4, og efterfølgende 2*2 design, i hvilken 1.401 patienter blev randomiseret til 4 forskellige behandlingsgrupper, inkluderende XELOX plus placebo, FOLFOX-4 plus placebo, XELOX plus bevacizumab og FOLFOX-4 plus bevacizumab. Se tabel 6 vedrørende behandlingsregimer.</w:t>
      </w:r>
    </w:p>
    <w:p w:rsidR="00CF3F69" w:rsidRDefault="00CF3F69" w:rsidP="00CF3F69">
      <w:pPr>
        <w:rPr>
          <w:sz w:val="24"/>
          <w:szCs w:val="24"/>
        </w:rPr>
      </w:pPr>
    </w:p>
    <w:p w:rsidR="00CF3F69" w:rsidRDefault="00CF3F69" w:rsidP="00CF3F69">
      <w:pPr>
        <w:ind w:left="851"/>
        <w:rPr>
          <w:sz w:val="24"/>
          <w:szCs w:val="24"/>
        </w:rPr>
      </w:pPr>
      <w:r>
        <w:rPr>
          <w:sz w:val="24"/>
          <w:szCs w:val="24"/>
        </w:rPr>
        <w:t xml:space="preserve">Tabe1 6: Behandlingsregimer i Studie NO16966 (mCRC) </w:t>
      </w:r>
    </w:p>
    <w:tbl>
      <w:tblPr>
        <w:tblW w:w="0" w:type="auto"/>
        <w:tblInd w:w="108" w:type="dxa"/>
        <w:tblLook w:val="04A0" w:firstRow="1" w:lastRow="0" w:firstColumn="1" w:lastColumn="0" w:noHBand="0" w:noVBand="1"/>
      </w:tblPr>
      <w:tblGrid>
        <w:gridCol w:w="3094"/>
        <w:gridCol w:w="1740"/>
        <w:gridCol w:w="2016"/>
        <w:gridCol w:w="2660"/>
      </w:tblGrid>
      <w:tr w:rsidR="00CF3F69" w:rsidTr="007E4788">
        <w:trPr>
          <w:trHeight w:val="267"/>
        </w:trPr>
        <w:tc>
          <w:tcPr>
            <w:tcW w:w="3094" w:type="dxa"/>
            <w:tcBorders>
              <w:top w:val="single" w:sz="8" w:space="0" w:color="000000"/>
              <w:left w:val="single" w:sz="8" w:space="0" w:color="000000"/>
              <w:bottom w:val="single" w:sz="8" w:space="0" w:color="000000"/>
              <w:right w:val="single" w:sz="8" w:space="0" w:color="000000"/>
            </w:tcBorders>
          </w:tcPr>
          <w:p w:rsidR="00CF3F69" w:rsidRDefault="00CF3F69" w:rsidP="007E4788">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F3F69" w:rsidRDefault="00CF3F69" w:rsidP="007E4788">
            <w:pPr>
              <w:rPr>
                <w:b/>
                <w:sz w:val="24"/>
                <w:szCs w:val="24"/>
              </w:rPr>
            </w:pPr>
            <w:r>
              <w:rPr>
                <w:b/>
                <w:bCs/>
                <w:sz w:val="24"/>
                <w:szCs w:val="24"/>
              </w:rPr>
              <w:t>Behandling</w:t>
            </w:r>
          </w:p>
        </w:tc>
        <w:tc>
          <w:tcPr>
            <w:tcW w:w="0" w:type="auto"/>
            <w:tcBorders>
              <w:top w:val="single" w:sz="8" w:space="0" w:color="000000"/>
              <w:left w:val="single" w:sz="8" w:space="0" w:color="000000"/>
              <w:bottom w:val="single" w:sz="8" w:space="0" w:color="000000"/>
              <w:right w:val="single" w:sz="8" w:space="0" w:color="000000"/>
            </w:tcBorders>
            <w:hideMark/>
          </w:tcPr>
          <w:p w:rsidR="00CF3F69" w:rsidRDefault="00CF3F69" w:rsidP="007E4788">
            <w:pPr>
              <w:rPr>
                <w:b/>
                <w:sz w:val="24"/>
                <w:szCs w:val="24"/>
              </w:rPr>
            </w:pPr>
            <w:r>
              <w:rPr>
                <w:b/>
                <w:sz w:val="24"/>
                <w:szCs w:val="24"/>
              </w:rPr>
              <w:t>Startdosis</w:t>
            </w:r>
          </w:p>
        </w:tc>
        <w:tc>
          <w:tcPr>
            <w:tcW w:w="0" w:type="auto"/>
            <w:tcBorders>
              <w:top w:val="single" w:sz="8" w:space="0" w:color="000000"/>
              <w:left w:val="single" w:sz="8" w:space="0" w:color="000000"/>
              <w:bottom w:val="single" w:sz="8" w:space="0" w:color="000000"/>
              <w:right w:val="single" w:sz="8" w:space="0" w:color="000000"/>
            </w:tcBorders>
            <w:hideMark/>
          </w:tcPr>
          <w:p w:rsidR="00CF3F69" w:rsidRDefault="00CF3F69" w:rsidP="007E4788">
            <w:pPr>
              <w:rPr>
                <w:b/>
                <w:sz w:val="24"/>
                <w:szCs w:val="24"/>
              </w:rPr>
            </w:pPr>
            <w:r>
              <w:rPr>
                <w:b/>
                <w:bCs/>
                <w:sz w:val="24"/>
                <w:szCs w:val="24"/>
              </w:rPr>
              <w:t xml:space="preserve">Plan </w:t>
            </w:r>
          </w:p>
        </w:tc>
      </w:tr>
      <w:tr w:rsidR="00CF3F69" w:rsidTr="007E4788">
        <w:trPr>
          <w:trHeight w:val="1342"/>
        </w:trPr>
        <w:tc>
          <w:tcPr>
            <w:tcW w:w="3094" w:type="dxa"/>
            <w:vMerge w:val="restart"/>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FOLFOX-4 </w:t>
            </w:r>
          </w:p>
          <w:p w:rsidR="00CF3F69" w:rsidRDefault="00CF3F69" w:rsidP="007E4788">
            <w:pPr>
              <w:rPr>
                <w:sz w:val="24"/>
                <w:szCs w:val="24"/>
              </w:rPr>
            </w:pPr>
            <w:r>
              <w:rPr>
                <w:sz w:val="24"/>
                <w:szCs w:val="24"/>
              </w:rPr>
              <w:t xml:space="preserve">eller </w:t>
            </w:r>
          </w:p>
          <w:p w:rsidR="00CF3F69" w:rsidRDefault="00CF3F69" w:rsidP="007E4788">
            <w:pPr>
              <w:rPr>
                <w:sz w:val="24"/>
                <w:szCs w:val="24"/>
              </w:rPr>
            </w:pPr>
            <w:r>
              <w:rPr>
                <w:sz w:val="24"/>
                <w:szCs w:val="24"/>
              </w:rPr>
              <w:t xml:space="preserve">FOLFOX-4 + Bevacizumab </w:t>
            </w:r>
          </w:p>
        </w:tc>
        <w:tc>
          <w:tcPr>
            <w:tcW w:w="0" w:type="auto"/>
            <w:tcBorders>
              <w:top w:val="single" w:sz="8" w:space="0" w:color="000000"/>
              <w:left w:val="single" w:sz="8" w:space="0" w:color="000000"/>
              <w:bottom w:val="nil"/>
              <w:right w:val="single" w:sz="8" w:space="0" w:color="000000"/>
            </w:tcBorders>
            <w:hideMark/>
          </w:tcPr>
          <w:p w:rsidR="00CF3F69" w:rsidRDefault="00CF3F69" w:rsidP="007E4788">
            <w:pPr>
              <w:rPr>
                <w:sz w:val="24"/>
                <w:szCs w:val="24"/>
              </w:rPr>
            </w:pPr>
            <w:r>
              <w:rPr>
                <w:sz w:val="24"/>
                <w:szCs w:val="24"/>
              </w:rPr>
              <w:t>Oxaliplatin</w:t>
            </w:r>
          </w:p>
        </w:tc>
        <w:tc>
          <w:tcPr>
            <w:tcW w:w="0" w:type="auto"/>
            <w:tcBorders>
              <w:top w:val="single" w:sz="8" w:space="0" w:color="000000"/>
              <w:left w:val="single" w:sz="8" w:space="0" w:color="000000"/>
              <w:bottom w:val="nil"/>
              <w:right w:val="single" w:sz="8" w:space="0" w:color="000000"/>
            </w:tcBorders>
            <w:hideMark/>
          </w:tcPr>
          <w:p w:rsidR="00CF3F69" w:rsidRDefault="00CF3F69" w:rsidP="007E4788">
            <w:pPr>
              <w:rPr>
                <w:sz w:val="24"/>
                <w:szCs w:val="24"/>
              </w:rPr>
            </w:pPr>
            <w:r>
              <w:rPr>
                <w:sz w:val="24"/>
                <w:szCs w:val="24"/>
              </w:rPr>
              <w:t>85 mg/m</w:t>
            </w:r>
            <w:r w:rsidRPr="00D85146">
              <w:rPr>
                <w:sz w:val="24"/>
                <w:szCs w:val="24"/>
                <w:vertAlign w:val="superscript"/>
              </w:rPr>
              <w:t>2</w:t>
            </w:r>
            <w:r>
              <w:rPr>
                <w:sz w:val="24"/>
                <w:szCs w:val="24"/>
              </w:rPr>
              <w:t xml:space="preserve"> i.v. 2 timer</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Oxaliplatin på dag 1, hver 2. uge </w:t>
            </w:r>
          </w:p>
          <w:p w:rsidR="00CF3F69" w:rsidRDefault="00CF3F69" w:rsidP="007E4788">
            <w:pPr>
              <w:rPr>
                <w:sz w:val="24"/>
                <w:szCs w:val="24"/>
              </w:rPr>
            </w:pPr>
            <w:r>
              <w:rPr>
                <w:sz w:val="24"/>
                <w:szCs w:val="24"/>
              </w:rPr>
              <w:t xml:space="preserve">Leucovorin på dag 1 og 2, hver 2. uge </w:t>
            </w:r>
          </w:p>
          <w:p w:rsidR="00CF3F69" w:rsidRDefault="00CF3F69" w:rsidP="007E4788">
            <w:pPr>
              <w:rPr>
                <w:sz w:val="24"/>
                <w:szCs w:val="24"/>
              </w:rPr>
            </w:pPr>
            <w:r>
              <w:rPr>
                <w:sz w:val="24"/>
                <w:szCs w:val="24"/>
              </w:rPr>
              <w:lastRenderedPageBreak/>
              <w:t>5-fluorouracil i.v. bolus/infusion, hver på dag 1 og 2, hver 2. uge</w:t>
            </w:r>
          </w:p>
        </w:tc>
      </w:tr>
      <w:tr w:rsidR="00CF3F69" w:rsidTr="007E4788">
        <w:trPr>
          <w:trHeight w:val="28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F3F69" w:rsidRDefault="00CF3F69" w:rsidP="007E4788">
            <w:pPr>
              <w:rPr>
                <w:sz w:val="24"/>
                <w:szCs w:val="24"/>
              </w:rPr>
            </w:pPr>
          </w:p>
        </w:tc>
        <w:tc>
          <w:tcPr>
            <w:tcW w:w="0" w:type="auto"/>
            <w:tcBorders>
              <w:top w:val="nil"/>
              <w:left w:val="single" w:sz="8" w:space="0" w:color="000000"/>
              <w:bottom w:val="nil"/>
              <w:right w:val="single" w:sz="8" w:space="0" w:color="000000"/>
            </w:tcBorders>
            <w:hideMark/>
          </w:tcPr>
          <w:p w:rsidR="00CF3F69" w:rsidRDefault="00CF3F69" w:rsidP="007E4788">
            <w:pPr>
              <w:rPr>
                <w:sz w:val="24"/>
                <w:szCs w:val="24"/>
              </w:rPr>
            </w:pPr>
            <w:r>
              <w:rPr>
                <w:sz w:val="24"/>
                <w:szCs w:val="24"/>
              </w:rPr>
              <w:t>Leucovorin</w:t>
            </w:r>
          </w:p>
        </w:tc>
        <w:tc>
          <w:tcPr>
            <w:tcW w:w="0" w:type="auto"/>
            <w:tcBorders>
              <w:top w:val="nil"/>
              <w:left w:val="single" w:sz="8" w:space="0" w:color="000000"/>
              <w:bottom w:val="nil"/>
              <w:right w:val="single" w:sz="8" w:space="0" w:color="000000"/>
            </w:tcBorders>
            <w:hideMark/>
          </w:tcPr>
          <w:p w:rsidR="00CF3F69" w:rsidRDefault="00CF3F69" w:rsidP="007E4788">
            <w:pPr>
              <w:rPr>
                <w:sz w:val="24"/>
                <w:szCs w:val="24"/>
              </w:rPr>
            </w:pPr>
            <w:r>
              <w:rPr>
                <w:sz w:val="24"/>
                <w:szCs w:val="24"/>
              </w:rPr>
              <w:t>200 mg/m</w:t>
            </w:r>
            <w:r w:rsidRPr="00D85146">
              <w:rPr>
                <w:sz w:val="24"/>
                <w:szCs w:val="24"/>
                <w:vertAlign w:val="superscript"/>
              </w:rPr>
              <w:t>2</w:t>
            </w:r>
            <w:r>
              <w:rPr>
                <w:sz w:val="24"/>
                <w:szCs w:val="24"/>
              </w:rPr>
              <w:t xml:space="preserve"> i.v. 2 timer</w:t>
            </w:r>
          </w:p>
          <w:p w:rsidR="00CF3F69" w:rsidRDefault="00CF3F69" w:rsidP="007E4788">
            <w:pPr>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F3F69" w:rsidRDefault="00CF3F69" w:rsidP="007E4788">
            <w:pPr>
              <w:rPr>
                <w:sz w:val="24"/>
                <w:szCs w:val="24"/>
              </w:rPr>
            </w:pPr>
          </w:p>
        </w:tc>
      </w:tr>
      <w:tr w:rsidR="00CF3F69" w:rsidTr="007E4788">
        <w:trPr>
          <w:trHeight w:val="76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F3F69" w:rsidRDefault="00CF3F69" w:rsidP="007E4788">
            <w:pPr>
              <w:rPr>
                <w:sz w:val="24"/>
                <w:szCs w:val="24"/>
              </w:rPr>
            </w:pPr>
          </w:p>
        </w:tc>
        <w:tc>
          <w:tcPr>
            <w:tcW w:w="0" w:type="auto"/>
            <w:tcBorders>
              <w:top w:val="nil"/>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5-Fluorouracil</w:t>
            </w:r>
          </w:p>
        </w:tc>
        <w:tc>
          <w:tcPr>
            <w:tcW w:w="0" w:type="auto"/>
            <w:tcBorders>
              <w:top w:val="nil"/>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400 mg/m</w:t>
            </w:r>
            <w:r w:rsidRPr="00D85146">
              <w:rPr>
                <w:sz w:val="24"/>
                <w:szCs w:val="24"/>
                <w:vertAlign w:val="superscript"/>
              </w:rPr>
              <w:t>2</w:t>
            </w:r>
            <w:r>
              <w:rPr>
                <w:sz w:val="24"/>
                <w:szCs w:val="24"/>
              </w:rPr>
              <w:t xml:space="preserve"> i.v. bolus, efterfulgt af 600 mg/ m</w:t>
            </w:r>
            <w:r w:rsidRPr="00D85146">
              <w:rPr>
                <w:sz w:val="24"/>
                <w:szCs w:val="24"/>
                <w:vertAlign w:val="superscript"/>
              </w:rPr>
              <w:t>2</w:t>
            </w:r>
            <w:r>
              <w:rPr>
                <w:sz w:val="24"/>
                <w:szCs w:val="24"/>
              </w:rPr>
              <w:t xml:space="preserve"> i.v. 22 timer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F3F69" w:rsidRDefault="00CF3F69" w:rsidP="007E4788">
            <w:pPr>
              <w:rPr>
                <w:sz w:val="24"/>
                <w:szCs w:val="24"/>
              </w:rPr>
            </w:pPr>
          </w:p>
        </w:tc>
      </w:tr>
      <w:tr w:rsidR="00CF3F69" w:rsidTr="007E4788">
        <w:trPr>
          <w:trHeight w:val="50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F3F69" w:rsidRDefault="00CF3F69" w:rsidP="007E4788">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Placebo eller Bevacizumab</w:t>
            </w:r>
          </w:p>
        </w:tc>
        <w:tc>
          <w:tcPr>
            <w:tcW w:w="0" w:type="auto"/>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5 mg/kg i.v. 30-90 min.</w:t>
            </w:r>
          </w:p>
        </w:tc>
        <w:tc>
          <w:tcPr>
            <w:tcW w:w="0" w:type="auto"/>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Dag 1, før FOLFOX-4, hver 2. uge</w:t>
            </w:r>
          </w:p>
        </w:tc>
      </w:tr>
      <w:tr w:rsidR="00CF3F69" w:rsidTr="007E4788">
        <w:trPr>
          <w:trHeight w:val="1102"/>
        </w:trPr>
        <w:tc>
          <w:tcPr>
            <w:tcW w:w="3094" w:type="dxa"/>
            <w:vMerge w:val="restart"/>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XELOX </w:t>
            </w:r>
          </w:p>
          <w:p w:rsidR="00CF3F69" w:rsidRDefault="00CF3F69" w:rsidP="007E4788">
            <w:pPr>
              <w:rPr>
                <w:sz w:val="24"/>
                <w:szCs w:val="24"/>
              </w:rPr>
            </w:pPr>
            <w:r>
              <w:rPr>
                <w:sz w:val="24"/>
                <w:szCs w:val="24"/>
              </w:rPr>
              <w:t xml:space="preserve">eller </w:t>
            </w:r>
          </w:p>
          <w:p w:rsidR="00CF3F69" w:rsidRDefault="00CF3F69" w:rsidP="007E4788">
            <w:pPr>
              <w:rPr>
                <w:sz w:val="24"/>
                <w:szCs w:val="24"/>
              </w:rPr>
            </w:pPr>
            <w:r>
              <w:rPr>
                <w:sz w:val="24"/>
                <w:szCs w:val="24"/>
              </w:rPr>
              <w:t xml:space="preserve">XELOX+ Bevacizumab </w:t>
            </w:r>
          </w:p>
        </w:tc>
        <w:tc>
          <w:tcPr>
            <w:tcW w:w="0" w:type="auto"/>
            <w:tcBorders>
              <w:top w:val="single" w:sz="8" w:space="0" w:color="000000"/>
              <w:left w:val="single" w:sz="8" w:space="0" w:color="000000"/>
              <w:bottom w:val="nil"/>
              <w:right w:val="single" w:sz="8" w:space="0" w:color="000000"/>
            </w:tcBorders>
            <w:hideMark/>
          </w:tcPr>
          <w:p w:rsidR="00CF3F69" w:rsidRDefault="00CF3F69" w:rsidP="007E4788">
            <w:pPr>
              <w:rPr>
                <w:sz w:val="24"/>
                <w:szCs w:val="24"/>
              </w:rPr>
            </w:pPr>
            <w:r>
              <w:rPr>
                <w:sz w:val="24"/>
                <w:szCs w:val="24"/>
              </w:rPr>
              <w:t>Oxaliplatin</w:t>
            </w:r>
          </w:p>
        </w:tc>
        <w:tc>
          <w:tcPr>
            <w:tcW w:w="0" w:type="auto"/>
            <w:tcBorders>
              <w:top w:val="single" w:sz="8" w:space="0" w:color="000000"/>
              <w:left w:val="single" w:sz="8" w:space="0" w:color="000000"/>
              <w:bottom w:val="nil"/>
              <w:right w:val="single" w:sz="8" w:space="0" w:color="000000"/>
            </w:tcBorders>
            <w:hideMark/>
          </w:tcPr>
          <w:p w:rsidR="00CF3F69" w:rsidRDefault="00CF3F69" w:rsidP="007E4788">
            <w:pPr>
              <w:rPr>
                <w:sz w:val="24"/>
                <w:szCs w:val="24"/>
              </w:rPr>
            </w:pPr>
            <w:r>
              <w:rPr>
                <w:sz w:val="24"/>
                <w:szCs w:val="24"/>
              </w:rPr>
              <w:t>130 mg/m</w:t>
            </w:r>
            <w:r w:rsidRPr="00D85146">
              <w:rPr>
                <w:sz w:val="24"/>
                <w:szCs w:val="24"/>
                <w:vertAlign w:val="superscript"/>
              </w:rPr>
              <w:t>2</w:t>
            </w:r>
            <w:r>
              <w:rPr>
                <w:sz w:val="24"/>
                <w:szCs w:val="24"/>
              </w:rPr>
              <w:t xml:space="preserve"> i.v. 2 timer</w:t>
            </w:r>
          </w:p>
        </w:tc>
        <w:tc>
          <w:tcPr>
            <w:tcW w:w="0" w:type="auto"/>
            <w:vMerge w:val="restart"/>
            <w:tcBorders>
              <w:top w:val="single" w:sz="8" w:space="0" w:color="000000"/>
              <w:left w:val="single" w:sz="8" w:space="0" w:color="000000"/>
              <w:bottom w:val="nil"/>
              <w:right w:val="single" w:sz="8" w:space="0" w:color="000000"/>
            </w:tcBorders>
            <w:hideMark/>
          </w:tcPr>
          <w:p w:rsidR="00CF3F69" w:rsidRDefault="00CF3F69" w:rsidP="007E4788">
            <w:pPr>
              <w:rPr>
                <w:sz w:val="24"/>
                <w:szCs w:val="24"/>
              </w:rPr>
            </w:pPr>
            <w:r>
              <w:rPr>
                <w:sz w:val="24"/>
                <w:szCs w:val="24"/>
              </w:rPr>
              <w:t xml:space="preserve">Oxaliplatin på dag 1, hver 3. uge </w:t>
            </w:r>
          </w:p>
          <w:p w:rsidR="00CF3F69" w:rsidRDefault="00CF3F69" w:rsidP="007E4788">
            <w:pPr>
              <w:rPr>
                <w:sz w:val="24"/>
                <w:szCs w:val="24"/>
              </w:rPr>
            </w:pPr>
            <w:r>
              <w:rPr>
                <w:sz w:val="24"/>
                <w:szCs w:val="24"/>
              </w:rPr>
              <w:t>Capecitabin oral to gange daglig i 2 uger (efterfulgt af 1 uge uden behandling)</w:t>
            </w:r>
          </w:p>
        </w:tc>
      </w:tr>
      <w:tr w:rsidR="00CF3F69" w:rsidTr="007E4788">
        <w:trPr>
          <w:trHeight w:val="52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F3F69" w:rsidRDefault="00CF3F69" w:rsidP="007E4788">
            <w:pPr>
              <w:rPr>
                <w:sz w:val="24"/>
                <w:szCs w:val="24"/>
              </w:rPr>
            </w:pPr>
          </w:p>
        </w:tc>
        <w:tc>
          <w:tcPr>
            <w:tcW w:w="0" w:type="auto"/>
            <w:tcBorders>
              <w:top w:val="nil"/>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Capecitabin</w:t>
            </w:r>
          </w:p>
        </w:tc>
        <w:tc>
          <w:tcPr>
            <w:tcW w:w="0" w:type="auto"/>
            <w:tcBorders>
              <w:top w:val="nil"/>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1.000 mg/m</w:t>
            </w:r>
            <w:r w:rsidRPr="00D85146">
              <w:rPr>
                <w:sz w:val="24"/>
                <w:szCs w:val="24"/>
                <w:vertAlign w:val="superscript"/>
              </w:rPr>
              <w:t>2</w:t>
            </w:r>
            <w:r>
              <w:rPr>
                <w:sz w:val="24"/>
                <w:szCs w:val="24"/>
              </w:rPr>
              <w:t xml:space="preserve"> oral 2 gange daglig</w:t>
            </w:r>
          </w:p>
        </w:tc>
        <w:tc>
          <w:tcPr>
            <w:tcW w:w="0" w:type="auto"/>
            <w:vMerge/>
            <w:tcBorders>
              <w:top w:val="single" w:sz="8" w:space="0" w:color="000000"/>
              <w:left w:val="single" w:sz="8" w:space="0" w:color="000000"/>
              <w:bottom w:val="nil"/>
              <w:right w:val="single" w:sz="8" w:space="0" w:color="000000"/>
            </w:tcBorders>
            <w:vAlign w:val="center"/>
            <w:hideMark/>
          </w:tcPr>
          <w:p w:rsidR="00CF3F69" w:rsidRDefault="00CF3F69" w:rsidP="007E4788">
            <w:pPr>
              <w:rPr>
                <w:sz w:val="24"/>
                <w:szCs w:val="24"/>
              </w:rPr>
            </w:pPr>
          </w:p>
        </w:tc>
      </w:tr>
      <w:tr w:rsidR="00CF3F69" w:rsidTr="007E4788">
        <w:trPr>
          <w:trHeight w:val="50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F3F69" w:rsidRDefault="00CF3F69" w:rsidP="007E4788">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Placebo eller Bevacizumab </w:t>
            </w:r>
          </w:p>
        </w:tc>
        <w:tc>
          <w:tcPr>
            <w:tcW w:w="0" w:type="auto"/>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7,5 mg/kg i.v. 30-90 min</w:t>
            </w:r>
          </w:p>
        </w:tc>
        <w:tc>
          <w:tcPr>
            <w:tcW w:w="0" w:type="auto"/>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Dag 1, før XELOX, hver 3. uge</w:t>
            </w:r>
          </w:p>
        </w:tc>
      </w:tr>
      <w:tr w:rsidR="00CF3F69" w:rsidTr="007E4788">
        <w:trPr>
          <w:trHeight w:val="263"/>
        </w:trPr>
        <w:tc>
          <w:tcPr>
            <w:tcW w:w="9746" w:type="dxa"/>
            <w:gridSpan w:val="4"/>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5-Fluorouracil: i.v. bolus injektion umiddelbart efter leucovorin</w:t>
            </w:r>
          </w:p>
        </w:tc>
      </w:tr>
    </w:tbl>
    <w:p w:rsidR="00CF3F69" w:rsidRDefault="00CF3F69" w:rsidP="00CF3F69">
      <w:pPr>
        <w:rPr>
          <w:sz w:val="24"/>
          <w:szCs w:val="24"/>
        </w:rPr>
      </w:pPr>
    </w:p>
    <w:p w:rsidR="00CF3F69" w:rsidRDefault="00CF3F69" w:rsidP="00CF3F69">
      <w:pPr>
        <w:ind w:left="851"/>
        <w:rPr>
          <w:sz w:val="24"/>
          <w:szCs w:val="24"/>
        </w:rPr>
      </w:pPr>
      <w:r>
        <w:rPr>
          <w:sz w:val="24"/>
          <w:szCs w:val="24"/>
        </w:rPr>
        <w:t>I den egnede patientpopulation og intent-to-treat-populationen blev der demonstreret non-inferioritet af XELOX-armen, sammenlignet med FOLFOX-4-armen, med hensyn til progressionsfri overlevelse (se tabel 7). Resultaterne indikerer, at XELOX er ækvivalent med FOLFOX-4 med hensyn til den samlede overlevelse (se tabel 7). En sammenligning af XELOX plus bevacizumab versus FOLFOX-4 plus bevacizumab var en præspecificeret eksplorativ analyse. Sammenligningen viste, at XELOX plus bevacizumab svarede til FOLFOX-4 plus bevacizumab med hensyn til progressionsfri overlevelse (hazard ratio 1,01; 97,5 % konfidensinterval 0,84-1,22). Den mediane follow-up-tid på tidspunktet for de primære analyser i intent-to-treat-populationen var 1,5 år; data fra analyser efter yderligere et års follow-up fremgår også af tabel 7. Analysen af progressionsfri overlevelse on-treatment bekræftede dog ikke resultaterne fra den generelle progressionsfri overlevelse og samlede overlevelse: Hazard ratioen for XELOX versus FOLFOX-4 var 1,24 med 97,5 % konfidensinterval 1,07-1,44. Selvom sensitivitetsanalyser viser, at forskelle i behandlingsskemaer og tidspunkt for tumorvurdering påvirker analysen for progressionsfri overlevelse on-treatment, er der ikke fundet en fyldestgørende forklaring på dette fund.</w:t>
      </w:r>
    </w:p>
    <w:p w:rsidR="00CF3F69" w:rsidRDefault="00CF3F69" w:rsidP="00CF3F69">
      <w:pPr>
        <w:ind w:left="851"/>
        <w:rPr>
          <w:sz w:val="24"/>
          <w:szCs w:val="24"/>
        </w:rPr>
      </w:pPr>
    </w:p>
    <w:p w:rsidR="00CF3F69" w:rsidRDefault="00CF3F69" w:rsidP="00CF3F69">
      <w:pPr>
        <w:ind w:left="851"/>
        <w:rPr>
          <w:sz w:val="24"/>
          <w:szCs w:val="24"/>
        </w:rPr>
      </w:pPr>
      <w:r>
        <w:rPr>
          <w:sz w:val="24"/>
          <w:szCs w:val="24"/>
        </w:rPr>
        <w:t>Tabel 7 :Nøgleresultaterne for effekt af non-inferioritetsanalysen af studie NO16966</w:t>
      </w:r>
    </w:p>
    <w:tbl>
      <w:tblPr>
        <w:tblW w:w="0" w:type="auto"/>
        <w:tblInd w:w="108" w:type="dxa"/>
        <w:tblLook w:val="04A0" w:firstRow="1" w:lastRow="0" w:firstColumn="1" w:lastColumn="0" w:noHBand="0" w:noVBand="1"/>
      </w:tblPr>
      <w:tblGrid>
        <w:gridCol w:w="1600"/>
        <w:gridCol w:w="3131"/>
        <w:gridCol w:w="3152"/>
        <w:gridCol w:w="1647"/>
      </w:tblGrid>
      <w:tr w:rsidR="00CF3F69" w:rsidTr="007E4788">
        <w:trPr>
          <w:trHeight w:val="240"/>
        </w:trPr>
        <w:tc>
          <w:tcPr>
            <w:tcW w:w="9746" w:type="dxa"/>
            <w:gridSpan w:val="4"/>
            <w:tcBorders>
              <w:top w:val="single" w:sz="8" w:space="0" w:color="000000"/>
              <w:left w:val="nil"/>
              <w:bottom w:val="single" w:sz="8" w:space="0" w:color="000000"/>
              <w:right w:val="nil"/>
            </w:tcBorders>
            <w:shd w:val="clear" w:color="auto" w:fill="B3B3B3"/>
            <w:hideMark/>
          </w:tcPr>
          <w:p w:rsidR="00CF3F69" w:rsidRDefault="00CF3F69" w:rsidP="007E4788">
            <w:pPr>
              <w:rPr>
                <w:sz w:val="24"/>
                <w:szCs w:val="24"/>
              </w:rPr>
            </w:pPr>
            <w:r>
              <w:rPr>
                <w:sz w:val="24"/>
                <w:szCs w:val="24"/>
              </w:rPr>
              <w:t xml:space="preserve"> </w:t>
            </w:r>
            <w:r>
              <w:rPr>
                <w:bCs/>
                <w:sz w:val="24"/>
                <w:szCs w:val="24"/>
              </w:rPr>
              <w:t xml:space="preserve">PRIMÆRE ANALYSE </w:t>
            </w:r>
          </w:p>
        </w:tc>
      </w:tr>
      <w:tr w:rsidR="00CF3F69" w:rsidTr="007E4788">
        <w:trPr>
          <w:trHeight w:val="653"/>
        </w:trPr>
        <w:tc>
          <w:tcPr>
            <w:tcW w:w="4824" w:type="dxa"/>
            <w:gridSpan w:val="2"/>
            <w:tcBorders>
              <w:top w:val="single" w:sz="8" w:space="0" w:color="000000"/>
              <w:left w:val="nil"/>
              <w:bottom w:val="single" w:sz="8" w:space="0" w:color="000000"/>
              <w:right w:val="single" w:sz="8" w:space="0" w:color="000000"/>
            </w:tcBorders>
            <w:hideMark/>
          </w:tcPr>
          <w:p w:rsidR="00CF3F69" w:rsidRDefault="00CF3F69" w:rsidP="007E4788">
            <w:pPr>
              <w:rPr>
                <w:sz w:val="24"/>
                <w:szCs w:val="24"/>
              </w:rPr>
            </w:pPr>
            <w:r>
              <w:rPr>
                <w:bCs/>
                <w:sz w:val="24"/>
                <w:szCs w:val="24"/>
              </w:rPr>
              <w:t xml:space="preserve">XELOX/XELOX+P/ XELOX+BV </w:t>
            </w:r>
          </w:p>
          <w:p w:rsidR="00CF3F69" w:rsidRDefault="00CF3F69" w:rsidP="007E4788">
            <w:pPr>
              <w:rPr>
                <w:sz w:val="24"/>
                <w:szCs w:val="24"/>
              </w:rPr>
            </w:pPr>
            <w:r>
              <w:rPr>
                <w:bCs/>
                <w:sz w:val="24"/>
                <w:szCs w:val="24"/>
              </w:rPr>
              <w:t xml:space="preserve">(EPP*: N=967; ITT**: N=1017) </w:t>
            </w:r>
          </w:p>
        </w:tc>
        <w:tc>
          <w:tcPr>
            <w:tcW w:w="4922" w:type="dxa"/>
            <w:gridSpan w:val="2"/>
            <w:tcBorders>
              <w:top w:val="single" w:sz="8" w:space="0" w:color="000000"/>
              <w:left w:val="single" w:sz="8" w:space="0" w:color="000000"/>
              <w:bottom w:val="single" w:sz="8" w:space="0" w:color="000000"/>
              <w:right w:val="nil"/>
            </w:tcBorders>
            <w:hideMark/>
          </w:tcPr>
          <w:p w:rsidR="00CF3F69" w:rsidRDefault="00CF3F69" w:rsidP="007E4788">
            <w:pPr>
              <w:rPr>
                <w:sz w:val="24"/>
                <w:szCs w:val="24"/>
              </w:rPr>
            </w:pPr>
            <w:r>
              <w:rPr>
                <w:bCs/>
                <w:sz w:val="24"/>
                <w:szCs w:val="24"/>
              </w:rPr>
              <w:t xml:space="preserve">FOLFOX-4/FOLFOX-4+P/ FOLFOX-4+BV </w:t>
            </w:r>
          </w:p>
          <w:p w:rsidR="00CF3F69" w:rsidRDefault="00CF3F69" w:rsidP="007E4788">
            <w:pPr>
              <w:rPr>
                <w:sz w:val="24"/>
                <w:szCs w:val="24"/>
              </w:rPr>
            </w:pPr>
            <w:r>
              <w:rPr>
                <w:bCs/>
                <w:sz w:val="24"/>
                <w:szCs w:val="24"/>
              </w:rPr>
              <w:t xml:space="preserve">(EPP*: N = 937; ITT**: N= 1017) </w:t>
            </w:r>
          </w:p>
        </w:tc>
      </w:tr>
      <w:tr w:rsidR="00CF3F69" w:rsidTr="007E4788">
        <w:trPr>
          <w:trHeight w:val="448"/>
        </w:trPr>
        <w:tc>
          <w:tcPr>
            <w:tcW w:w="1605" w:type="dxa"/>
            <w:tcBorders>
              <w:top w:val="single" w:sz="8" w:space="0" w:color="000000"/>
              <w:left w:val="nil"/>
              <w:bottom w:val="single" w:sz="8" w:space="0" w:color="000000"/>
              <w:right w:val="single" w:sz="8" w:space="0" w:color="000000"/>
            </w:tcBorders>
            <w:hideMark/>
          </w:tcPr>
          <w:p w:rsidR="00CF3F69" w:rsidRDefault="00CF3F69" w:rsidP="007E4788">
            <w:pPr>
              <w:rPr>
                <w:sz w:val="24"/>
                <w:szCs w:val="24"/>
              </w:rPr>
            </w:pPr>
            <w:r>
              <w:rPr>
                <w:bCs/>
                <w:sz w:val="24"/>
                <w:szCs w:val="24"/>
              </w:rPr>
              <w:t xml:space="preserve">Population </w:t>
            </w:r>
          </w:p>
        </w:tc>
        <w:tc>
          <w:tcPr>
            <w:tcW w:w="6467" w:type="dxa"/>
            <w:gridSpan w:val="2"/>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bCs/>
                <w:sz w:val="24"/>
                <w:szCs w:val="24"/>
              </w:rPr>
              <w:t xml:space="preserve">Mediane tid til event (dage) </w:t>
            </w:r>
          </w:p>
        </w:tc>
        <w:tc>
          <w:tcPr>
            <w:tcW w:w="1674" w:type="dxa"/>
            <w:tcBorders>
              <w:top w:val="single" w:sz="8" w:space="0" w:color="000000"/>
              <w:left w:val="single" w:sz="8" w:space="0" w:color="000000"/>
              <w:bottom w:val="single" w:sz="8" w:space="0" w:color="000000"/>
              <w:right w:val="nil"/>
            </w:tcBorders>
            <w:hideMark/>
          </w:tcPr>
          <w:p w:rsidR="00CF3F69" w:rsidRDefault="00CF3F69" w:rsidP="007E4788">
            <w:pPr>
              <w:rPr>
                <w:sz w:val="24"/>
                <w:szCs w:val="24"/>
              </w:rPr>
            </w:pPr>
            <w:r>
              <w:rPr>
                <w:bCs/>
                <w:sz w:val="24"/>
                <w:szCs w:val="24"/>
              </w:rPr>
              <w:t xml:space="preserve">HR </w:t>
            </w:r>
          </w:p>
          <w:p w:rsidR="00CF3F69" w:rsidRDefault="00CF3F69" w:rsidP="007E4788">
            <w:pPr>
              <w:rPr>
                <w:sz w:val="24"/>
                <w:szCs w:val="24"/>
              </w:rPr>
            </w:pPr>
            <w:r>
              <w:rPr>
                <w:bCs/>
                <w:sz w:val="24"/>
                <w:szCs w:val="24"/>
              </w:rPr>
              <w:t xml:space="preserve">(97,5% KI) </w:t>
            </w:r>
          </w:p>
        </w:tc>
      </w:tr>
      <w:tr w:rsidR="00CF3F69" w:rsidTr="007E4788">
        <w:trPr>
          <w:trHeight w:val="240"/>
        </w:trPr>
        <w:tc>
          <w:tcPr>
            <w:tcW w:w="9746" w:type="dxa"/>
            <w:gridSpan w:val="4"/>
            <w:tcBorders>
              <w:top w:val="single" w:sz="8" w:space="0" w:color="000000"/>
              <w:left w:val="nil"/>
              <w:bottom w:val="single" w:sz="8" w:space="0" w:color="000000"/>
              <w:right w:val="nil"/>
            </w:tcBorders>
            <w:shd w:val="clear" w:color="auto" w:fill="B3B3B3"/>
            <w:hideMark/>
          </w:tcPr>
          <w:p w:rsidR="00CF3F69" w:rsidRDefault="00CF3F69" w:rsidP="007E4788">
            <w:pPr>
              <w:rPr>
                <w:sz w:val="24"/>
                <w:szCs w:val="24"/>
              </w:rPr>
            </w:pPr>
            <w:r>
              <w:rPr>
                <w:bCs/>
                <w:sz w:val="24"/>
                <w:szCs w:val="24"/>
              </w:rPr>
              <w:t xml:space="preserve">Parameter: Progressionsfri overlevelse </w:t>
            </w:r>
          </w:p>
        </w:tc>
      </w:tr>
      <w:tr w:rsidR="00CF3F69" w:rsidTr="007E4788">
        <w:trPr>
          <w:trHeight w:val="450"/>
        </w:trPr>
        <w:tc>
          <w:tcPr>
            <w:tcW w:w="1605" w:type="dxa"/>
            <w:tcBorders>
              <w:top w:val="single" w:sz="8" w:space="0" w:color="000000"/>
              <w:left w:val="nil"/>
              <w:bottom w:val="single" w:sz="8" w:space="0" w:color="000000"/>
              <w:right w:val="single" w:sz="8" w:space="0" w:color="000000"/>
            </w:tcBorders>
            <w:hideMark/>
          </w:tcPr>
          <w:p w:rsidR="00CF3F69" w:rsidRDefault="00CF3F69" w:rsidP="007E4788">
            <w:pPr>
              <w:rPr>
                <w:sz w:val="24"/>
                <w:szCs w:val="24"/>
              </w:rPr>
            </w:pPr>
            <w:r>
              <w:rPr>
                <w:sz w:val="24"/>
                <w:szCs w:val="24"/>
              </w:rPr>
              <w:t xml:space="preserve">EPP </w:t>
            </w:r>
          </w:p>
          <w:p w:rsidR="00CF3F69" w:rsidRDefault="00CF3F69" w:rsidP="007E4788">
            <w:pPr>
              <w:rPr>
                <w:sz w:val="24"/>
                <w:szCs w:val="24"/>
              </w:rPr>
            </w:pPr>
            <w:r>
              <w:rPr>
                <w:sz w:val="24"/>
                <w:szCs w:val="24"/>
              </w:rPr>
              <w:t xml:space="preserve">ITT </w:t>
            </w:r>
          </w:p>
        </w:tc>
        <w:tc>
          <w:tcPr>
            <w:tcW w:w="3219"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241 </w:t>
            </w:r>
          </w:p>
          <w:p w:rsidR="00CF3F69" w:rsidRDefault="00CF3F69" w:rsidP="007E4788">
            <w:pPr>
              <w:rPr>
                <w:sz w:val="24"/>
                <w:szCs w:val="24"/>
              </w:rPr>
            </w:pPr>
            <w:r>
              <w:rPr>
                <w:sz w:val="24"/>
                <w:szCs w:val="24"/>
              </w:rPr>
              <w:t xml:space="preserve">244 </w:t>
            </w:r>
          </w:p>
        </w:tc>
        <w:tc>
          <w:tcPr>
            <w:tcW w:w="3248"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259 </w:t>
            </w:r>
          </w:p>
          <w:p w:rsidR="00CF3F69" w:rsidRDefault="00CF3F69" w:rsidP="007E4788">
            <w:pPr>
              <w:rPr>
                <w:sz w:val="24"/>
                <w:szCs w:val="24"/>
              </w:rPr>
            </w:pPr>
            <w:r>
              <w:rPr>
                <w:sz w:val="24"/>
                <w:szCs w:val="24"/>
              </w:rPr>
              <w:t xml:space="preserve">259 </w:t>
            </w:r>
          </w:p>
        </w:tc>
        <w:tc>
          <w:tcPr>
            <w:tcW w:w="1674" w:type="dxa"/>
            <w:tcBorders>
              <w:top w:val="single" w:sz="8" w:space="0" w:color="000000"/>
              <w:left w:val="single" w:sz="8" w:space="0" w:color="000000"/>
              <w:bottom w:val="single" w:sz="8" w:space="0" w:color="000000"/>
              <w:right w:val="nil"/>
            </w:tcBorders>
            <w:hideMark/>
          </w:tcPr>
          <w:p w:rsidR="00CF3F69" w:rsidRDefault="00CF3F69" w:rsidP="007E4788">
            <w:pPr>
              <w:rPr>
                <w:sz w:val="24"/>
                <w:szCs w:val="24"/>
              </w:rPr>
            </w:pPr>
            <w:r>
              <w:rPr>
                <w:sz w:val="24"/>
                <w:szCs w:val="24"/>
              </w:rPr>
              <w:t xml:space="preserve">1,05 (094; 1,18) </w:t>
            </w:r>
          </w:p>
          <w:p w:rsidR="00CF3F69" w:rsidRDefault="00CF3F69" w:rsidP="007E4788">
            <w:pPr>
              <w:rPr>
                <w:sz w:val="24"/>
                <w:szCs w:val="24"/>
              </w:rPr>
            </w:pPr>
            <w:r>
              <w:rPr>
                <w:sz w:val="24"/>
                <w:szCs w:val="24"/>
              </w:rPr>
              <w:t xml:space="preserve">1,04 (0,93; 1,16) </w:t>
            </w:r>
          </w:p>
        </w:tc>
      </w:tr>
      <w:tr w:rsidR="00CF3F69" w:rsidTr="007E4788">
        <w:trPr>
          <w:trHeight w:val="240"/>
        </w:trPr>
        <w:tc>
          <w:tcPr>
            <w:tcW w:w="9746" w:type="dxa"/>
            <w:gridSpan w:val="4"/>
            <w:tcBorders>
              <w:top w:val="single" w:sz="8" w:space="0" w:color="000000"/>
              <w:left w:val="nil"/>
              <w:bottom w:val="single" w:sz="8" w:space="0" w:color="000000"/>
              <w:right w:val="nil"/>
            </w:tcBorders>
            <w:shd w:val="clear" w:color="auto" w:fill="B3B3B3"/>
            <w:hideMark/>
          </w:tcPr>
          <w:p w:rsidR="00CF3F69" w:rsidRDefault="00CF3F69" w:rsidP="007E4788">
            <w:pPr>
              <w:rPr>
                <w:sz w:val="24"/>
                <w:szCs w:val="24"/>
              </w:rPr>
            </w:pPr>
            <w:r>
              <w:rPr>
                <w:bCs/>
                <w:sz w:val="24"/>
                <w:szCs w:val="24"/>
              </w:rPr>
              <w:t xml:space="preserve">Parameter: Samlet overlevelse </w:t>
            </w:r>
          </w:p>
        </w:tc>
      </w:tr>
      <w:tr w:rsidR="00CF3F69" w:rsidTr="007E4788">
        <w:trPr>
          <w:trHeight w:val="444"/>
        </w:trPr>
        <w:tc>
          <w:tcPr>
            <w:tcW w:w="1605" w:type="dxa"/>
            <w:tcBorders>
              <w:top w:val="single" w:sz="8" w:space="0" w:color="000000"/>
              <w:left w:val="nil"/>
              <w:bottom w:val="single" w:sz="8" w:space="0" w:color="000000"/>
              <w:right w:val="single" w:sz="8" w:space="0" w:color="000000"/>
            </w:tcBorders>
            <w:hideMark/>
          </w:tcPr>
          <w:p w:rsidR="00CF3F69" w:rsidRDefault="00CF3F69" w:rsidP="007E4788">
            <w:pPr>
              <w:rPr>
                <w:sz w:val="24"/>
                <w:szCs w:val="24"/>
              </w:rPr>
            </w:pPr>
            <w:r>
              <w:rPr>
                <w:sz w:val="24"/>
                <w:szCs w:val="24"/>
              </w:rPr>
              <w:t xml:space="preserve">EPP </w:t>
            </w:r>
          </w:p>
          <w:p w:rsidR="00CF3F69" w:rsidRDefault="00CF3F69" w:rsidP="007E4788">
            <w:pPr>
              <w:rPr>
                <w:sz w:val="24"/>
                <w:szCs w:val="24"/>
              </w:rPr>
            </w:pPr>
            <w:r>
              <w:rPr>
                <w:sz w:val="24"/>
                <w:szCs w:val="24"/>
              </w:rPr>
              <w:t xml:space="preserve">ITT </w:t>
            </w:r>
          </w:p>
        </w:tc>
        <w:tc>
          <w:tcPr>
            <w:tcW w:w="3219"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577 </w:t>
            </w:r>
          </w:p>
          <w:p w:rsidR="00CF3F69" w:rsidRDefault="00CF3F69" w:rsidP="007E4788">
            <w:pPr>
              <w:rPr>
                <w:sz w:val="24"/>
                <w:szCs w:val="24"/>
              </w:rPr>
            </w:pPr>
            <w:r>
              <w:rPr>
                <w:sz w:val="24"/>
                <w:szCs w:val="24"/>
              </w:rPr>
              <w:t xml:space="preserve">581 </w:t>
            </w:r>
          </w:p>
        </w:tc>
        <w:tc>
          <w:tcPr>
            <w:tcW w:w="3248"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549 </w:t>
            </w:r>
          </w:p>
          <w:p w:rsidR="00CF3F69" w:rsidRDefault="00CF3F69" w:rsidP="007E4788">
            <w:pPr>
              <w:rPr>
                <w:sz w:val="24"/>
                <w:szCs w:val="24"/>
              </w:rPr>
            </w:pPr>
            <w:r>
              <w:rPr>
                <w:sz w:val="24"/>
                <w:szCs w:val="24"/>
              </w:rPr>
              <w:t xml:space="preserve">553 </w:t>
            </w:r>
          </w:p>
        </w:tc>
        <w:tc>
          <w:tcPr>
            <w:tcW w:w="1674" w:type="dxa"/>
            <w:tcBorders>
              <w:top w:val="single" w:sz="8" w:space="0" w:color="000000"/>
              <w:left w:val="single" w:sz="8" w:space="0" w:color="000000"/>
              <w:bottom w:val="single" w:sz="8" w:space="0" w:color="000000"/>
              <w:right w:val="nil"/>
            </w:tcBorders>
            <w:hideMark/>
          </w:tcPr>
          <w:p w:rsidR="00CF3F69" w:rsidRDefault="00CF3F69" w:rsidP="007E4788">
            <w:pPr>
              <w:rPr>
                <w:sz w:val="24"/>
                <w:szCs w:val="24"/>
              </w:rPr>
            </w:pPr>
            <w:r>
              <w:rPr>
                <w:sz w:val="24"/>
                <w:szCs w:val="24"/>
              </w:rPr>
              <w:t xml:space="preserve">0,97 (0,84; 1,14) </w:t>
            </w:r>
          </w:p>
          <w:p w:rsidR="00CF3F69" w:rsidRDefault="00CF3F69" w:rsidP="007E4788">
            <w:pPr>
              <w:rPr>
                <w:sz w:val="24"/>
                <w:szCs w:val="24"/>
              </w:rPr>
            </w:pPr>
            <w:r>
              <w:rPr>
                <w:sz w:val="24"/>
                <w:szCs w:val="24"/>
              </w:rPr>
              <w:t xml:space="preserve">0,96 (0,83; 1,12) </w:t>
            </w:r>
          </w:p>
        </w:tc>
      </w:tr>
      <w:tr w:rsidR="00CF3F69" w:rsidTr="007E4788">
        <w:trPr>
          <w:trHeight w:val="240"/>
        </w:trPr>
        <w:tc>
          <w:tcPr>
            <w:tcW w:w="9746" w:type="dxa"/>
            <w:gridSpan w:val="4"/>
            <w:tcBorders>
              <w:top w:val="single" w:sz="8" w:space="0" w:color="000000"/>
              <w:left w:val="nil"/>
              <w:bottom w:val="single" w:sz="8" w:space="0" w:color="000000"/>
              <w:right w:val="nil"/>
            </w:tcBorders>
            <w:shd w:val="clear" w:color="auto" w:fill="B3B3B3"/>
            <w:hideMark/>
          </w:tcPr>
          <w:p w:rsidR="00CF3F69" w:rsidRDefault="00CF3F69" w:rsidP="007E4788">
            <w:pPr>
              <w:rPr>
                <w:sz w:val="24"/>
                <w:szCs w:val="24"/>
              </w:rPr>
            </w:pPr>
            <w:r>
              <w:rPr>
                <w:bCs/>
                <w:sz w:val="24"/>
                <w:szCs w:val="24"/>
              </w:rPr>
              <w:t xml:space="preserve">ET ÅRS YDERLIGERE FOLLOW UP </w:t>
            </w:r>
          </w:p>
        </w:tc>
      </w:tr>
      <w:tr w:rsidR="00CF3F69" w:rsidTr="007E4788">
        <w:trPr>
          <w:trHeight w:val="447"/>
        </w:trPr>
        <w:tc>
          <w:tcPr>
            <w:tcW w:w="1605" w:type="dxa"/>
            <w:tcBorders>
              <w:top w:val="single" w:sz="8" w:space="0" w:color="000000"/>
              <w:left w:val="nil"/>
              <w:bottom w:val="single" w:sz="8" w:space="0" w:color="000000"/>
              <w:right w:val="single" w:sz="8" w:space="0" w:color="000000"/>
            </w:tcBorders>
            <w:hideMark/>
          </w:tcPr>
          <w:p w:rsidR="00CF3F69" w:rsidRDefault="00CF3F69" w:rsidP="007E4788">
            <w:pPr>
              <w:rPr>
                <w:sz w:val="24"/>
                <w:szCs w:val="24"/>
              </w:rPr>
            </w:pPr>
            <w:r>
              <w:rPr>
                <w:bCs/>
                <w:sz w:val="24"/>
                <w:szCs w:val="24"/>
              </w:rPr>
              <w:lastRenderedPageBreak/>
              <w:t xml:space="preserve">Population </w:t>
            </w:r>
          </w:p>
        </w:tc>
        <w:tc>
          <w:tcPr>
            <w:tcW w:w="6467" w:type="dxa"/>
            <w:gridSpan w:val="2"/>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bCs/>
                <w:sz w:val="24"/>
                <w:szCs w:val="24"/>
              </w:rPr>
              <w:t xml:space="preserve">Mediane tid til event (dage) </w:t>
            </w:r>
          </w:p>
        </w:tc>
        <w:tc>
          <w:tcPr>
            <w:tcW w:w="1674" w:type="dxa"/>
            <w:tcBorders>
              <w:top w:val="single" w:sz="8" w:space="0" w:color="000000"/>
              <w:left w:val="single" w:sz="8" w:space="0" w:color="000000"/>
              <w:bottom w:val="single" w:sz="8" w:space="0" w:color="000000"/>
              <w:right w:val="nil"/>
            </w:tcBorders>
            <w:hideMark/>
          </w:tcPr>
          <w:p w:rsidR="00CF3F69" w:rsidRDefault="00CF3F69" w:rsidP="007E4788">
            <w:pPr>
              <w:rPr>
                <w:sz w:val="24"/>
                <w:szCs w:val="24"/>
              </w:rPr>
            </w:pPr>
            <w:r>
              <w:rPr>
                <w:bCs/>
                <w:sz w:val="24"/>
                <w:szCs w:val="24"/>
              </w:rPr>
              <w:t xml:space="preserve">HR </w:t>
            </w:r>
          </w:p>
          <w:p w:rsidR="00CF3F69" w:rsidRDefault="00CF3F69" w:rsidP="007E4788">
            <w:pPr>
              <w:rPr>
                <w:sz w:val="24"/>
                <w:szCs w:val="24"/>
              </w:rPr>
            </w:pPr>
            <w:r>
              <w:rPr>
                <w:bCs/>
                <w:sz w:val="24"/>
                <w:szCs w:val="24"/>
              </w:rPr>
              <w:t xml:space="preserve">(97,5% KI) </w:t>
            </w:r>
          </w:p>
        </w:tc>
      </w:tr>
      <w:tr w:rsidR="00CF3F69" w:rsidTr="007E4788">
        <w:trPr>
          <w:trHeight w:val="240"/>
        </w:trPr>
        <w:tc>
          <w:tcPr>
            <w:tcW w:w="9746" w:type="dxa"/>
            <w:gridSpan w:val="4"/>
            <w:tcBorders>
              <w:top w:val="single" w:sz="8" w:space="0" w:color="000000"/>
              <w:left w:val="nil"/>
              <w:bottom w:val="single" w:sz="8" w:space="0" w:color="000000"/>
              <w:right w:val="nil"/>
            </w:tcBorders>
            <w:shd w:val="clear" w:color="auto" w:fill="B3B3B3"/>
            <w:hideMark/>
          </w:tcPr>
          <w:p w:rsidR="00CF3F69" w:rsidRDefault="00CF3F69" w:rsidP="007E4788">
            <w:pPr>
              <w:rPr>
                <w:sz w:val="24"/>
                <w:szCs w:val="24"/>
              </w:rPr>
            </w:pPr>
            <w:r>
              <w:rPr>
                <w:bCs/>
                <w:sz w:val="24"/>
                <w:szCs w:val="24"/>
              </w:rPr>
              <w:t xml:space="preserve">Parameter: Progressionsfri overlevelse </w:t>
            </w:r>
          </w:p>
        </w:tc>
      </w:tr>
      <w:tr w:rsidR="00CF3F69" w:rsidTr="007E4788">
        <w:trPr>
          <w:trHeight w:val="450"/>
        </w:trPr>
        <w:tc>
          <w:tcPr>
            <w:tcW w:w="1605" w:type="dxa"/>
            <w:tcBorders>
              <w:top w:val="single" w:sz="8" w:space="0" w:color="000000"/>
              <w:left w:val="nil"/>
              <w:bottom w:val="single" w:sz="8" w:space="0" w:color="000000"/>
              <w:right w:val="single" w:sz="8" w:space="0" w:color="000000"/>
            </w:tcBorders>
            <w:hideMark/>
          </w:tcPr>
          <w:p w:rsidR="00CF3F69" w:rsidRDefault="00CF3F69" w:rsidP="007E4788">
            <w:pPr>
              <w:rPr>
                <w:sz w:val="24"/>
                <w:szCs w:val="24"/>
              </w:rPr>
            </w:pPr>
            <w:r>
              <w:rPr>
                <w:sz w:val="24"/>
                <w:szCs w:val="24"/>
              </w:rPr>
              <w:t xml:space="preserve">EPP </w:t>
            </w:r>
          </w:p>
          <w:p w:rsidR="00CF3F69" w:rsidRDefault="00CF3F69" w:rsidP="007E4788">
            <w:pPr>
              <w:rPr>
                <w:sz w:val="24"/>
                <w:szCs w:val="24"/>
              </w:rPr>
            </w:pPr>
            <w:r>
              <w:rPr>
                <w:sz w:val="24"/>
                <w:szCs w:val="24"/>
              </w:rPr>
              <w:t xml:space="preserve">ITT </w:t>
            </w:r>
          </w:p>
        </w:tc>
        <w:tc>
          <w:tcPr>
            <w:tcW w:w="3219"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242 </w:t>
            </w:r>
          </w:p>
          <w:p w:rsidR="00CF3F69" w:rsidRDefault="00CF3F69" w:rsidP="007E4788">
            <w:pPr>
              <w:rPr>
                <w:sz w:val="24"/>
                <w:szCs w:val="24"/>
              </w:rPr>
            </w:pPr>
            <w:r>
              <w:rPr>
                <w:sz w:val="24"/>
                <w:szCs w:val="24"/>
              </w:rPr>
              <w:t xml:space="preserve">244 </w:t>
            </w:r>
          </w:p>
        </w:tc>
        <w:tc>
          <w:tcPr>
            <w:tcW w:w="3248"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259 </w:t>
            </w:r>
          </w:p>
          <w:p w:rsidR="00CF3F69" w:rsidRDefault="00CF3F69" w:rsidP="007E4788">
            <w:pPr>
              <w:rPr>
                <w:sz w:val="24"/>
                <w:szCs w:val="24"/>
              </w:rPr>
            </w:pPr>
            <w:r>
              <w:rPr>
                <w:sz w:val="24"/>
                <w:szCs w:val="24"/>
              </w:rPr>
              <w:t xml:space="preserve">259 </w:t>
            </w:r>
          </w:p>
        </w:tc>
        <w:tc>
          <w:tcPr>
            <w:tcW w:w="1674" w:type="dxa"/>
            <w:tcBorders>
              <w:top w:val="single" w:sz="8" w:space="0" w:color="000000"/>
              <w:left w:val="single" w:sz="8" w:space="0" w:color="000000"/>
              <w:bottom w:val="single" w:sz="8" w:space="0" w:color="000000"/>
              <w:right w:val="nil"/>
            </w:tcBorders>
            <w:hideMark/>
          </w:tcPr>
          <w:p w:rsidR="00CF3F69" w:rsidRDefault="00CF3F69" w:rsidP="007E4788">
            <w:pPr>
              <w:rPr>
                <w:sz w:val="24"/>
                <w:szCs w:val="24"/>
              </w:rPr>
            </w:pPr>
            <w:r>
              <w:rPr>
                <w:sz w:val="24"/>
                <w:szCs w:val="24"/>
              </w:rPr>
              <w:t xml:space="preserve">1,02 (0,92; 1,14) </w:t>
            </w:r>
          </w:p>
          <w:p w:rsidR="00CF3F69" w:rsidRDefault="00CF3F69" w:rsidP="007E4788">
            <w:pPr>
              <w:rPr>
                <w:sz w:val="24"/>
                <w:szCs w:val="24"/>
              </w:rPr>
            </w:pPr>
            <w:r>
              <w:rPr>
                <w:sz w:val="24"/>
                <w:szCs w:val="24"/>
              </w:rPr>
              <w:t xml:space="preserve">1,01 (0,91; 1,12) </w:t>
            </w:r>
          </w:p>
        </w:tc>
      </w:tr>
      <w:tr w:rsidR="00CF3F69" w:rsidTr="007E4788">
        <w:trPr>
          <w:trHeight w:val="240"/>
        </w:trPr>
        <w:tc>
          <w:tcPr>
            <w:tcW w:w="9746" w:type="dxa"/>
            <w:gridSpan w:val="4"/>
            <w:tcBorders>
              <w:top w:val="single" w:sz="8" w:space="0" w:color="000000"/>
              <w:left w:val="nil"/>
              <w:bottom w:val="single" w:sz="8" w:space="0" w:color="000000"/>
              <w:right w:val="nil"/>
            </w:tcBorders>
            <w:shd w:val="clear" w:color="auto" w:fill="B3B3B3"/>
            <w:hideMark/>
          </w:tcPr>
          <w:p w:rsidR="00CF3F69" w:rsidRDefault="00CF3F69" w:rsidP="007E4788">
            <w:pPr>
              <w:rPr>
                <w:sz w:val="24"/>
                <w:szCs w:val="24"/>
              </w:rPr>
            </w:pPr>
            <w:r>
              <w:rPr>
                <w:bCs/>
                <w:sz w:val="24"/>
                <w:szCs w:val="24"/>
              </w:rPr>
              <w:t xml:space="preserve">Parameter: Samlet overlevelse </w:t>
            </w:r>
          </w:p>
        </w:tc>
      </w:tr>
      <w:tr w:rsidR="00CF3F69" w:rsidTr="007E4788">
        <w:trPr>
          <w:trHeight w:val="443"/>
        </w:trPr>
        <w:tc>
          <w:tcPr>
            <w:tcW w:w="1605" w:type="dxa"/>
            <w:tcBorders>
              <w:top w:val="single" w:sz="8" w:space="0" w:color="000000"/>
              <w:left w:val="nil"/>
              <w:bottom w:val="single" w:sz="8" w:space="0" w:color="000000"/>
              <w:right w:val="single" w:sz="8" w:space="0" w:color="000000"/>
            </w:tcBorders>
            <w:hideMark/>
          </w:tcPr>
          <w:p w:rsidR="00CF3F69" w:rsidRDefault="00CF3F69" w:rsidP="007E4788">
            <w:pPr>
              <w:rPr>
                <w:sz w:val="24"/>
                <w:szCs w:val="24"/>
              </w:rPr>
            </w:pPr>
            <w:r>
              <w:rPr>
                <w:sz w:val="24"/>
                <w:szCs w:val="24"/>
              </w:rPr>
              <w:t xml:space="preserve">EPP </w:t>
            </w:r>
          </w:p>
          <w:p w:rsidR="00CF3F69" w:rsidRDefault="00CF3F69" w:rsidP="007E4788">
            <w:pPr>
              <w:rPr>
                <w:sz w:val="24"/>
                <w:szCs w:val="24"/>
              </w:rPr>
            </w:pPr>
            <w:r>
              <w:rPr>
                <w:sz w:val="24"/>
                <w:szCs w:val="24"/>
              </w:rPr>
              <w:t xml:space="preserve">ITT </w:t>
            </w:r>
          </w:p>
        </w:tc>
        <w:tc>
          <w:tcPr>
            <w:tcW w:w="3219"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600 </w:t>
            </w:r>
          </w:p>
          <w:p w:rsidR="00CF3F69" w:rsidRDefault="00CF3F69" w:rsidP="007E4788">
            <w:pPr>
              <w:rPr>
                <w:sz w:val="24"/>
                <w:szCs w:val="24"/>
              </w:rPr>
            </w:pPr>
            <w:r>
              <w:rPr>
                <w:sz w:val="24"/>
                <w:szCs w:val="24"/>
              </w:rPr>
              <w:t xml:space="preserve">602 </w:t>
            </w:r>
          </w:p>
        </w:tc>
        <w:tc>
          <w:tcPr>
            <w:tcW w:w="3248"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594 </w:t>
            </w:r>
          </w:p>
          <w:p w:rsidR="00CF3F69" w:rsidRDefault="00CF3F69" w:rsidP="007E4788">
            <w:pPr>
              <w:rPr>
                <w:sz w:val="24"/>
                <w:szCs w:val="24"/>
              </w:rPr>
            </w:pPr>
            <w:r>
              <w:rPr>
                <w:sz w:val="24"/>
                <w:szCs w:val="24"/>
              </w:rPr>
              <w:t xml:space="preserve">596 </w:t>
            </w:r>
          </w:p>
        </w:tc>
        <w:tc>
          <w:tcPr>
            <w:tcW w:w="1674" w:type="dxa"/>
            <w:tcBorders>
              <w:top w:val="single" w:sz="8" w:space="0" w:color="000000"/>
              <w:left w:val="single" w:sz="8" w:space="0" w:color="000000"/>
              <w:bottom w:val="single" w:sz="8" w:space="0" w:color="000000"/>
              <w:right w:val="nil"/>
            </w:tcBorders>
            <w:hideMark/>
          </w:tcPr>
          <w:p w:rsidR="00CF3F69" w:rsidRDefault="00CF3F69" w:rsidP="007E4788">
            <w:pPr>
              <w:rPr>
                <w:sz w:val="24"/>
                <w:szCs w:val="24"/>
              </w:rPr>
            </w:pPr>
            <w:r>
              <w:rPr>
                <w:sz w:val="24"/>
                <w:szCs w:val="24"/>
              </w:rPr>
              <w:t xml:space="preserve">1,00 (0,88; 1,13) </w:t>
            </w:r>
          </w:p>
          <w:p w:rsidR="00CF3F69" w:rsidRDefault="00CF3F69" w:rsidP="007E4788">
            <w:pPr>
              <w:rPr>
                <w:sz w:val="24"/>
                <w:szCs w:val="24"/>
              </w:rPr>
            </w:pPr>
            <w:r>
              <w:rPr>
                <w:sz w:val="24"/>
                <w:szCs w:val="24"/>
              </w:rPr>
              <w:t xml:space="preserve">0,99 (0,88; 1,12) </w:t>
            </w:r>
          </w:p>
        </w:tc>
      </w:tr>
    </w:tbl>
    <w:p w:rsidR="00CF3F69" w:rsidRDefault="00CF3F69" w:rsidP="00CF3F69">
      <w:pPr>
        <w:ind w:left="851"/>
        <w:rPr>
          <w:sz w:val="24"/>
          <w:szCs w:val="24"/>
          <w:lang w:val="en-GB"/>
        </w:rPr>
      </w:pPr>
      <w:r>
        <w:rPr>
          <w:sz w:val="24"/>
          <w:szCs w:val="24"/>
          <w:lang w:val="en-GB"/>
        </w:rPr>
        <w:t xml:space="preserve">*EPP=egnet patientpopulation; **ITT=intent-to-treat population </w:t>
      </w:r>
    </w:p>
    <w:p w:rsidR="00CF3F69" w:rsidRDefault="00CF3F69" w:rsidP="00CF3F69">
      <w:pPr>
        <w:rPr>
          <w:sz w:val="24"/>
          <w:szCs w:val="24"/>
          <w:lang w:val="en-GB"/>
        </w:rPr>
      </w:pPr>
    </w:p>
    <w:p w:rsidR="00CF3F69" w:rsidRDefault="00CF3F69" w:rsidP="00CF3F69">
      <w:pPr>
        <w:ind w:left="851"/>
        <w:rPr>
          <w:sz w:val="24"/>
          <w:szCs w:val="24"/>
        </w:rPr>
      </w:pPr>
      <w:r>
        <w:rPr>
          <w:sz w:val="24"/>
          <w:szCs w:val="24"/>
        </w:rPr>
        <w:t>I et randomiseret, kontrolleret fase III-forsøg (CAIRO) blev effekten af anvendelsen af capecitabin ved en beguýndelsesdosis på 1.000 mg/m</w:t>
      </w:r>
      <w:r w:rsidRPr="00A11285">
        <w:rPr>
          <w:sz w:val="24"/>
          <w:szCs w:val="24"/>
          <w:vertAlign w:val="superscript"/>
        </w:rPr>
        <w:t>2</w:t>
      </w:r>
      <w:r>
        <w:rPr>
          <w:sz w:val="24"/>
          <w:szCs w:val="24"/>
        </w:rPr>
        <w:t xml:space="preserve"> i 2 uger hver 3. uge i kombination med irinotecan som 1. linjebehandling af patienter med metastatisk kolorektalkræft undersøgt. 820 patienter blev randomiseret til at få enten sekventiel behandling (n = 410) eller kombinationsbehandling (n = 410). Den sekventielle behandling bestod af 1. linje med capecitabin (1250 mg/m</w:t>
      </w:r>
      <w:r w:rsidRPr="00A11285">
        <w:rPr>
          <w:sz w:val="24"/>
          <w:szCs w:val="24"/>
          <w:vertAlign w:val="superscript"/>
        </w:rPr>
        <w:t>2</w:t>
      </w:r>
      <w:r>
        <w:rPr>
          <w:sz w:val="24"/>
          <w:szCs w:val="24"/>
        </w:rPr>
        <w:t xml:space="preserve"> to gange daglig i 14 dage), 2. linjebehandling med irinotecan (350 mg/m</w:t>
      </w:r>
      <w:r w:rsidRPr="00154EE2">
        <w:rPr>
          <w:sz w:val="24"/>
          <w:szCs w:val="24"/>
          <w:vertAlign w:val="superscript"/>
        </w:rPr>
        <w:t>2</w:t>
      </w:r>
      <w:r>
        <w:rPr>
          <w:sz w:val="24"/>
          <w:szCs w:val="24"/>
        </w:rPr>
        <w:t xml:space="preserve"> på dag 1) og 3. linjebehandling en kombination af capecitabin (1000 mg/m</w:t>
      </w:r>
      <w:r w:rsidRPr="00A11285">
        <w:rPr>
          <w:sz w:val="24"/>
          <w:szCs w:val="24"/>
          <w:vertAlign w:val="superscript"/>
        </w:rPr>
        <w:t>2</w:t>
      </w:r>
      <w:r>
        <w:rPr>
          <w:sz w:val="24"/>
          <w:szCs w:val="24"/>
        </w:rPr>
        <w:t xml:space="preserve"> 2 gange daglig i 14 dage) med oxaliplatin (130 mg/m</w:t>
      </w:r>
      <w:r w:rsidRPr="00154EE2">
        <w:rPr>
          <w:sz w:val="24"/>
          <w:szCs w:val="24"/>
          <w:vertAlign w:val="superscript"/>
        </w:rPr>
        <w:t>2</w:t>
      </w:r>
      <w:r>
        <w:rPr>
          <w:sz w:val="24"/>
          <w:szCs w:val="24"/>
        </w:rPr>
        <w:t xml:space="preserve"> på dag 1). Kombinationsbehandlingen bestod af 1. linje med capecitabin (1000 mg/m</w:t>
      </w:r>
      <w:r w:rsidRPr="00154EE2">
        <w:rPr>
          <w:sz w:val="24"/>
          <w:szCs w:val="24"/>
          <w:vertAlign w:val="superscript"/>
        </w:rPr>
        <w:t>2</w:t>
      </w:r>
      <w:r>
        <w:rPr>
          <w:sz w:val="24"/>
          <w:szCs w:val="24"/>
        </w:rPr>
        <w:t xml:space="preserve"> to gange daglig i 14 dage) kombineret med irinotecan (250 mg/m</w:t>
      </w:r>
      <w:r w:rsidRPr="00154EE2">
        <w:rPr>
          <w:sz w:val="24"/>
          <w:szCs w:val="24"/>
          <w:vertAlign w:val="superscript"/>
        </w:rPr>
        <w:t>2</w:t>
      </w:r>
      <w:r>
        <w:rPr>
          <w:sz w:val="24"/>
          <w:szCs w:val="24"/>
        </w:rPr>
        <w:t xml:space="preserve"> på dag 1) (XELIRI) og 2. linjebehandling med capecitabin (1000 mg/m</w:t>
      </w:r>
      <w:r w:rsidRPr="00154EE2">
        <w:rPr>
          <w:sz w:val="24"/>
          <w:szCs w:val="24"/>
          <w:vertAlign w:val="superscript"/>
        </w:rPr>
        <w:t>2</w:t>
      </w:r>
      <w:r>
        <w:rPr>
          <w:sz w:val="24"/>
          <w:szCs w:val="24"/>
        </w:rPr>
        <w:t xml:space="preserve"> to gange daglig i 14 dage) plus oxaliplatin (130 mg/m</w:t>
      </w:r>
      <w:r w:rsidRPr="00154EE2">
        <w:rPr>
          <w:sz w:val="24"/>
          <w:szCs w:val="24"/>
          <w:vertAlign w:val="superscript"/>
        </w:rPr>
        <w:t>2</w:t>
      </w:r>
      <w:r>
        <w:rPr>
          <w:sz w:val="24"/>
          <w:szCs w:val="24"/>
        </w:rPr>
        <w:t xml:space="preserve"> på dag 1). Alle behandlingsserier blev administreret med 3 ugers interval. I 1. linjebehandlingen var den mediane progressionsfri overlevelse i intent-to-treat-populationen 5,8 måneder (95 % konfidensinterval 5,1 – 6,2 måneder) for capecitabin monoterapi og 7,8 måneder (95 % konfidensinterval 7,0 -8,3 måneder; p = 0,0002) for XELIRI.</w:t>
      </w:r>
    </w:p>
    <w:p w:rsidR="00CF3F69" w:rsidRDefault="00CF3F69" w:rsidP="00CF3F69">
      <w:pPr>
        <w:ind w:left="851"/>
        <w:rPr>
          <w:sz w:val="24"/>
          <w:szCs w:val="24"/>
        </w:rPr>
      </w:pPr>
      <w:r>
        <w:rPr>
          <w:sz w:val="24"/>
          <w:szCs w:val="24"/>
        </w:rPr>
        <w:t>Dette var imidlertid associeret med en forhøjet incidens af gastrointestinal toksicitet og neutropeni under 1. linje-behandling med XELIRI (henholdsvis 26 % og 11 % for XELIRI og 1. linje capecitabin).</w:t>
      </w:r>
    </w:p>
    <w:p w:rsidR="00CF3F69" w:rsidRDefault="00CF3F69" w:rsidP="00CF3F69">
      <w:pPr>
        <w:ind w:left="851"/>
        <w:rPr>
          <w:sz w:val="24"/>
          <w:szCs w:val="24"/>
        </w:rPr>
      </w:pPr>
    </w:p>
    <w:p w:rsidR="00CF3F69" w:rsidRDefault="00CF3F69" w:rsidP="00CF3F69">
      <w:pPr>
        <w:ind w:left="851"/>
        <w:rPr>
          <w:sz w:val="24"/>
          <w:szCs w:val="24"/>
        </w:rPr>
      </w:pPr>
      <w:r>
        <w:rPr>
          <w:sz w:val="24"/>
          <w:szCs w:val="24"/>
        </w:rPr>
        <w:t>XELIRI har været sammenlignet med 5-FU + irinotecan (FOLFIRI) i tre randomiserede forsøg hos patienter med metastatisk colorektal cancer. XELIRI regimet inkluderede capecitabin 1.000 mg/m</w:t>
      </w:r>
      <w:r w:rsidRPr="0091137E">
        <w:rPr>
          <w:sz w:val="24"/>
          <w:szCs w:val="24"/>
          <w:vertAlign w:val="superscript"/>
        </w:rPr>
        <w:t>2</w:t>
      </w:r>
      <w:r>
        <w:rPr>
          <w:sz w:val="24"/>
          <w:szCs w:val="24"/>
        </w:rPr>
        <w:t xml:space="preserve"> to gange daglig på dag 1 til 14 i en 3 uger cyklus kombineret med irinotecan 250 mg/m</w:t>
      </w:r>
      <w:r w:rsidRPr="00B61CA9">
        <w:rPr>
          <w:sz w:val="24"/>
          <w:szCs w:val="24"/>
          <w:vertAlign w:val="superscript"/>
        </w:rPr>
        <w:t>2</w:t>
      </w:r>
      <w:r>
        <w:rPr>
          <w:sz w:val="24"/>
          <w:szCs w:val="24"/>
        </w:rPr>
        <w:t xml:space="preserve"> på dag 1. I det største studie (BICC-C), blev patienterne randomiserede til at modtage enten det åbne FOLFIRI (n=144), bolus 5-FU (mlFL) (n=145) eller XELIRI (n=141) og blev yderligere randomiseret til at modtage enten dobbelt-blind behandling med celecoxib eller placebo. Median PFS var 7,6 måneder for FOLFIRI, 5,9 måneder for mlFL (p=0,004) (for sammenligningen med FOLFIRI), og 5,8 måneder for XELIRI (p=0,015). Median OS var 23,1 måneder for FOLFIRI, 17,6 måneder for mlFL (p=0,09) og 18,9 måneder for XELIRI (p=0,27). Patienter behandlet med XELIRI oplevede udtalt gastrointestinal toksicitet sammenlignet med FOLFIRI (diarré 48 % og 14 % for henholdsvis XELIRI og og FOLFIRI).</w:t>
      </w:r>
    </w:p>
    <w:p w:rsidR="00CF3F69" w:rsidRDefault="00CF3F69" w:rsidP="00CF3F69">
      <w:pPr>
        <w:ind w:left="851"/>
        <w:rPr>
          <w:sz w:val="24"/>
          <w:szCs w:val="24"/>
        </w:rPr>
      </w:pPr>
    </w:p>
    <w:p w:rsidR="00CF3F69" w:rsidRDefault="00CF3F69" w:rsidP="00CF3F69">
      <w:pPr>
        <w:ind w:left="851"/>
        <w:rPr>
          <w:sz w:val="24"/>
          <w:szCs w:val="24"/>
        </w:rPr>
      </w:pPr>
      <w:r>
        <w:rPr>
          <w:sz w:val="24"/>
          <w:szCs w:val="24"/>
        </w:rPr>
        <w:t xml:space="preserve">I </w:t>
      </w:r>
      <w:proofErr w:type="gramStart"/>
      <w:r>
        <w:rPr>
          <w:sz w:val="24"/>
          <w:szCs w:val="24"/>
        </w:rPr>
        <w:t>EORTC studiet</w:t>
      </w:r>
      <w:proofErr w:type="gramEnd"/>
      <w:r>
        <w:rPr>
          <w:sz w:val="24"/>
          <w:szCs w:val="24"/>
        </w:rPr>
        <w:t xml:space="preserve"> blev patienterne randomiseret til at modtage enten det åbne FOLFIRI (n=41) eller XELIRI (n=44) med yderligere randomisering til enten dobbelt-blind behandling med celecoxib eller placebo. Median PFS og overlevelsestider i alt (OS) var kortere for XELIRI versus FOLFIRI (PFS 5,9 versus 9,6 måneder og OS 14,8 versus 19,9 </w:t>
      </w:r>
      <w:r>
        <w:rPr>
          <w:sz w:val="24"/>
          <w:szCs w:val="24"/>
        </w:rPr>
        <w:lastRenderedPageBreak/>
        <w:t>måneder), til hvilke yderligere rater af diarré blev beskrevet hos patienter, som modtog XELIRI regimet (41 % XELIRI, 5,1 % FOLFIRI).</w:t>
      </w:r>
    </w:p>
    <w:p w:rsidR="00CF3F69" w:rsidRDefault="00CF3F69" w:rsidP="00CF3F69">
      <w:pPr>
        <w:ind w:left="851"/>
        <w:rPr>
          <w:sz w:val="24"/>
          <w:szCs w:val="24"/>
        </w:rPr>
      </w:pPr>
      <w:r>
        <w:rPr>
          <w:sz w:val="24"/>
          <w:szCs w:val="24"/>
        </w:rPr>
        <w:t>I studiet, publiceret af Skof et at, blev patienterne randomiseret til at modtage enten FOLFIRI eller XELIRI. Responsraterne i alt var 49 % i XELIRI- og 48 % i FOLFIRI armen (p=0,76). Efter endt behandling var 37 % af patienterne i XELIRI- og 26 % af patienterne i FOLFIRI armen uden evidens af sygdommen (p=0,56). Toksicitet var den samme mellem behandlingerne med undtagelse af neutropeni, som blev beskrevet mere almindelig hos patienter behandlet med FOLFIRI.</w:t>
      </w:r>
    </w:p>
    <w:p w:rsidR="00CF3F69" w:rsidRDefault="00CF3F69" w:rsidP="00CF3F69">
      <w:pPr>
        <w:ind w:left="851"/>
        <w:rPr>
          <w:sz w:val="24"/>
          <w:szCs w:val="24"/>
        </w:rPr>
      </w:pPr>
    </w:p>
    <w:p w:rsidR="00CF3F69" w:rsidRPr="00F40CA9" w:rsidRDefault="00CF3F69" w:rsidP="00CF3F69">
      <w:pPr>
        <w:ind w:left="851"/>
        <w:rPr>
          <w:sz w:val="24"/>
          <w:szCs w:val="24"/>
        </w:rPr>
      </w:pPr>
      <w:r>
        <w:rPr>
          <w:sz w:val="24"/>
          <w:szCs w:val="24"/>
        </w:rPr>
        <w:t xml:space="preserve">Montagnani et al anvendte resultaterne fra de tre ovennævnte studier til at vise en overordnet analyse af randomiserede studier ved sammenligning af FOLFIRI og XELIRI behandlingsregimer i behandlingen af mCRC. En signifikant reduktion i risikoen for progression var associeret med FOLFIRI (HR, 0,76; </w:t>
      </w:r>
      <w:r w:rsidRPr="00F40CA9">
        <w:rPr>
          <w:sz w:val="24"/>
          <w:szCs w:val="24"/>
        </w:rPr>
        <w:t xml:space="preserve">95 % </w:t>
      </w:r>
      <w:r w:rsidRPr="00F40CA9">
        <w:rPr>
          <w:sz w:val="24"/>
          <w:szCs w:val="24"/>
          <w:lang w:eastAsia="de-DE"/>
        </w:rPr>
        <w:t>CI</w:t>
      </w:r>
      <w:r>
        <w:rPr>
          <w:sz w:val="24"/>
          <w:szCs w:val="24"/>
        </w:rPr>
        <w:t>, 0,62-0,95; p&lt;0,01), et resultat delvis på grund af dårlig tolerance til det anvendte XELIRI regime.</w:t>
      </w:r>
    </w:p>
    <w:p w:rsidR="00CF3F69" w:rsidRDefault="00CF3F69" w:rsidP="00CF3F69">
      <w:pPr>
        <w:ind w:left="851"/>
        <w:rPr>
          <w:sz w:val="24"/>
          <w:szCs w:val="24"/>
        </w:rPr>
      </w:pPr>
    </w:p>
    <w:p w:rsidR="00CF3F69" w:rsidRPr="0056076E" w:rsidRDefault="00CF3F69" w:rsidP="00CF3F69">
      <w:pPr>
        <w:ind w:left="851"/>
        <w:rPr>
          <w:sz w:val="24"/>
          <w:szCs w:val="24"/>
        </w:rPr>
      </w:pPr>
      <w:r>
        <w:rPr>
          <w:sz w:val="24"/>
          <w:szCs w:val="24"/>
        </w:rPr>
        <w:t>Data fra et randomiseret, klinisk studie (Souglakos et al, 2012) sammenlignende FOLFIRI + bevacizumab med XELIRI + bevacizumab viste ingen signifikante forskelle i PFS eller OS mellem behandlingerne. Patienterne blev randomiserede til at modtage enten FOLFIRI plus bevacizumab (Arm-A, n-167) eller XELIRI plus bevacizumab (Arm-B, n=166). For Arm B, anvendte XELIRI regimet capecitabin 1.000 mg/m</w:t>
      </w:r>
      <w:r w:rsidRPr="00957631">
        <w:rPr>
          <w:sz w:val="24"/>
          <w:szCs w:val="24"/>
          <w:vertAlign w:val="superscript"/>
        </w:rPr>
        <w:t>2</w:t>
      </w:r>
      <w:r>
        <w:rPr>
          <w:sz w:val="24"/>
          <w:szCs w:val="24"/>
        </w:rPr>
        <w:t xml:space="preserve"> to gange daglig i 14 dage + irinotecan 250 mg/m</w:t>
      </w:r>
      <w:r>
        <w:rPr>
          <w:sz w:val="24"/>
          <w:szCs w:val="24"/>
          <w:vertAlign w:val="superscript"/>
        </w:rPr>
        <w:t>2</w:t>
      </w:r>
      <w:r>
        <w:rPr>
          <w:sz w:val="24"/>
          <w:szCs w:val="24"/>
        </w:rPr>
        <w:t xml:space="preserve"> på dag 1. Median progression-fri overlevelse (PFS) var 10,0 og 8,9 måneder; p=0,64, overlevelse i alt 25,7 og 27,5 måneder; p=0.55 og responsrater henholdsvis 45,5 og 39,8 %; p=0,32 for FOLFIRI-Bev og XELIRI-Bev. Patienter behandlet med XELIRI + bevacizumab rapporterede en signifikant højere incidens af diarré, febril neutropeni og hånd-fod hudreaktioner end patienter behandlet med FOLFIRI + bevacizumab; med signifikant forhøjede behandlingsforsinkelser, dosisreduktioner og afbrydelser af behandlingen.</w:t>
      </w:r>
    </w:p>
    <w:p w:rsidR="00CF3F69" w:rsidRDefault="00CF3F69" w:rsidP="00CF3F69">
      <w:pPr>
        <w:ind w:left="851"/>
        <w:rPr>
          <w:sz w:val="24"/>
          <w:szCs w:val="24"/>
        </w:rPr>
      </w:pPr>
    </w:p>
    <w:p w:rsidR="00CF3F69" w:rsidRDefault="00CF3F69" w:rsidP="00CF3F69">
      <w:pPr>
        <w:ind w:left="851"/>
        <w:rPr>
          <w:sz w:val="24"/>
          <w:szCs w:val="24"/>
        </w:rPr>
      </w:pPr>
      <w:r>
        <w:rPr>
          <w:sz w:val="24"/>
          <w:szCs w:val="24"/>
        </w:rPr>
        <w:t>Data fra et randomiseret, kontrolleret fase II-multicenterforsøg (AIO KRK 0604) støtter anvendelsen af en initial capecitabin-dosis på 800 mg/m</w:t>
      </w:r>
      <w:r w:rsidRPr="00154EE2">
        <w:rPr>
          <w:sz w:val="24"/>
          <w:szCs w:val="24"/>
          <w:vertAlign w:val="superscript"/>
        </w:rPr>
        <w:t>2</w:t>
      </w:r>
      <w:r>
        <w:rPr>
          <w:sz w:val="24"/>
          <w:szCs w:val="24"/>
        </w:rPr>
        <w:t xml:space="preserve"> i 2 uger hver 3. uge i kombination med irinotecan og bevacizumab som 1. linjebehandling af patienter med metastatisk kolorektalkræft.</w:t>
      </w:r>
    </w:p>
    <w:p w:rsidR="00CF3F69" w:rsidRDefault="00CF3F69" w:rsidP="00CF3F69">
      <w:pPr>
        <w:ind w:left="851"/>
        <w:rPr>
          <w:sz w:val="24"/>
          <w:szCs w:val="24"/>
        </w:rPr>
      </w:pPr>
      <w:r>
        <w:rPr>
          <w:sz w:val="24"/>
          <w:szCs w:val="24"/>
        </w:rPr>
        <w:t>20 patienter blev randomiseret til et modificeret XELIRI regime med capecitabin (800 mg/m</w:t>
      </w:r>
      <w:r w:rsidRPr="00D85146">
        <w:rPr>
          <w:sz w:val="24"/>
          <w:szCs w:val="24"/>
          <w:vertAlign w:val="superscript"/>
        </w:rPr>
        <w:t>2</w:t>
      </w:r>
      <w:r>
        <w:rPr>
          <w:sz w:val="24"/>
          <w:szCs w:val="24"/>
        </w:rPr>
        <w:t xml:space="preserve"> to gange daglig i to uger efterfulgt af 7 dages pause), irinotecan (200 mg/m</w:t>
      </w:r>
      <w:r w:rsidRPr="00154EE2">
        <w:rPr>
          <w:sz w:val="24"/>
          <w:szCs w:val="24"/>
          <w:vertAlign w:val="superscript"/>
        </w:rPr>
        <w:t>2</w:t>
      </w:r>
      <w:r>
        <w:rPr>
          <w:sz w:val="24"/>
          <w:szCs w:val="24"/>
        </w:rPr>
        <w:t xml:space="preserve"> som en 30 minutters infusion på dag 1 hver 3. uge) og bevacizumab (7,5 mg/kg som en 30 til 90 minutters infusion på dag 1 hver 3. uge).</w:t>
      </w:r>
    </w:p>
    <w:p w:rsidR="00CF3F69" w:rsidRDefault="00CF3F69" w:rsidP="00CF3F69">
      <w:pPr>
        <w:ind w:left="851"/>
        <w:rPr>
          <w:sz w:val="24"/>
          <w:szCs w:val="24"/>
        </w:rPr>
      </w:pPr>
      <w:r>
        <w:rPr>
          <w:sz w:val="24"/>
          <w:szCs w:val="24"/>
        </w:rPr>
        <w:t>127 patienter blevrandomiseret til behandling med capecitabin (1000 mg/m</w:t>
      </w:r>
      <w:r w:rsidRPr="00D17DCF">
        <w:rPr>
          <w:sz w:val="24"/>
          <w:szCs w:val="24"/>
          <w:vertAlign w:val="superscript"/>
        </w:rPr>
        <w:t>2</w:t>
      </w:r>
      <w:r>
        <w:rPr>
          <w:sz w:val="24"/>
          <w:szCs w:val="24"/>
        </w:rPr>
        <w:t xml:space="preserve"> to gange daglig i to uger efterfulgt af 7 dages pause), oxaliplatin (130 mg/m</w:t>
      </w:r>
      <w:r w:rsidRPr="00D17DCF">
        <w:rPr>
          <w:sz w:val="24"/>
          <w:szCs w:val="24"/>
          <w:vertAlign w:val="superscript"/>
        </w:rPr>
        <w:t>2</w:t>
      </w:r>
      <w:r>
        <w:rPr>
          <w:sz w:val="24"/>
          <w:szCs w:val="24"/>
        </w:rPr>
        <w:t xml:space="preserve"> som en 2 timers infusion på dag 1 hver 3. uge) og bevacizumab (7,5 mg/m</w:t>
      </w:r>
      <w:r w:rsidRPr="00D17DCF">
        <w:rPr>
          <w:sz w:val="24"/>
          <w:szCs w:val="24"/>
          <w:vertAlign w:val="superscript"/>
        </w:rPr>
        <w:t>2</w:t>
      </w:r>
      <w:r>
        <w:rPr>
          <w:sz w:val="24"/>
          <w:szCs w:val="24"/>
        </w:rPr>
        <w:t xml:space="preserve"> som en 30 til 90 minutters infusion på dag 1 hver 3. uge). Ved at følge en gennemsnitlig varighed af follow-up for populationen i studiet i 26,2 måneder var responsen på behandling som vist nedenfor:</w:t>
      </w:r>
    </w:p>
    <w:p w:rsidR="00CF3F69" w:rsidRDefault="00CF3F69" w:rsidP="00CF3F69">
      <w:pPr>
        <w:ind w:left="851"/>
        <w:rPr>
          <w:sz w:val="24"/>
          <w:szCs w:val="24"/>
        </w:rPr>
      </w:pPr>
    </w:p>
    <w:p w:rsidR="00CF3F69" w:rsidRPr="00BD4D15" w:rsidRDefault="00CF3F69" w:rsidP="00CF3F69">
      <w:pPr>
        <w:tabs>
          <w:tab w:val="left" w:pos="2127"/>
        </w:tabs>
        <w:ind w:left="851"/>
        <w:rPr>
          <w:sz w:val="24"/>
          <w:szCs w:val="24"/>
        </w:rPr>
      </w:pPr>
      <w:r w:rsidRPr="00BD4D15">
        <w:rPr>
          <w:sz w:val="24"/>
          <w:szCs w:val="24"/>
        </w:rPr>
        <w:t xml:space="preserve">Tabel </w:t>
      </w:r>
      <w:r>
        <w:rPr>
          <w:sz w:val="24"/>
          <w:szCs w:val="24"/>
        </w:rPr>
        <w:t xml:space="preserve">8: </w:t>
      </w:r>
      <w:r w:rsidRPr="00BD4D15">
        <w:rPr>
          <w:sz w:val="24"/>
          <w:szCs w:val="24"/>
        </w:rPr>
        <w:t xml:space="preserve">Nøgle-effekt resultater forAIO </w:t>
      </w:r>
      <w:proofErr w:type="gramStart"/>
      <w:r w:rsidRPr="00BD4D15">
        <w:rPr>
          <w:sz w:val="24"/>
          <w:szCs w:val="24"/>
        </w:rPr>
        <w:t>KRK studiet</w:t>
      </w:r>
      <w:proofErr w:type="gramEnd"/>
    </w:p>
    <w:tbl>
      <w:tblPr>
        <w:tblStyle w:val="Tabel-Gitter"/>
        <w:tblW w:w="0" w:type="auto"/>
        <w:tblInd w:w="851" w:type="dxa"/>
        <w:tblLook w:val="04A0" w:firstRow="1" w:lastRow="0" w:firstColumn="1" w:lastColumn="0" w:noHBand="0" w:noVBand="1"/>
      </w:tblPr>
      <w:tblGrid>
        <w:gridCol w:w="1483"/>
        <w:gridCol w:w="2959"/>
        <w:gridCol w:w="2572"/>
        <w:gridCol w:w="1763"/>
      </w:tblGrid>
      <w:tr w:rsidR="00CF3F69" w:rsidRPr="00BD4D15" w:rsidTr="007E4788">
        <w:tc>
          <w:tcPr>
            <w:tcW w:w="1525" w:type="dxa"/>
          </w:tcPr>
          <w:p w:rsidR="00CF3F69" w:rsidRPr="00BD4D15" w:rsidRDefault="00CF3F69" w:rsidP="007E4788">
            <w:pPr>
              <w:rPr>
                <w:sz w:val="24"/>
                <w:szCs w:val="24"/>
              </w:rPr>
            </w:pPr>
          </w:p>
        </w:tc>
        <w:tc>
          <w:tcPr>
            <w:tcW w:w="3040" w:type="dxa"/>
          </w:tcPr>
          <w:p w:rsidR="00CF3F69" w:rsidRPr="00A6334D" w:rsidRDefault="00CF3F69" w:rsidP="007E4788">
            <w:pPr>
              <w:jc w:val="center"/>
              <w:rPr>
                <w:b/>
                <w:sz w:val="24"/>
                <w:szCs w:val="24"/>
              </w:rPr>
            </w:pPr>
            <w:r w:rsidRPr="00A6334D">
              <w:rPr>
                <w:b/>
                <w:sz w:val="24"/>
                <w:szCs w:val="24"/>
              </w:rPr>
              <w:t>XELOX + bevacizumab</w:t>
            </w:r>
          </w:p>
          <w:p w:rsidR="00CF3F69" w:rsidRPr="00BD4D15" w:rsidRDefault="00CF3F69" w:rsidP="007E4788">
            <w:pPr>
              <w:jc w:val="center"/>
              <w:rPr>
                <w:sz w:val="24"/>
                <w:szCs w:val="24"/>
              </w:rPr>
            </w:pPr>
          </w:p>
          <w:p w:rsidR="00CF3F69" w:rsidRPr="00BD4D15" w:rsidRDefault="00CF3F69" w:rsidP="007E4788">
            <w:pPr>
              <w:jc w:val="center"/>
              <w:rPr>
                <w:b/>
                <w:sz w:val="24"/>
                <w:szCs w:val="24"/>
              </w:rPr>
            </w:pPr>
            <w:r w:rsidRPr="00BD4D15">
              <w:rPr>
                <w:b/>
                <w:sz w:val="24"/>
                <w:szCs w:val="24"/>
              </w:rPr>
              <w:t>(ITT: N=127)</w:t>
            </w:r>
          </w:p>
        </w:tc>
        <w:tc>
          <w:tcPr>
            <w:tcW w:w="2630" w:type="dxa"/>
          </w:tcPr>
          <w:p w:rsidR="00CF3F69" w:rsidRPr="00BD4D15" w:rsidRDefault="00CF3F69" w:rsidP="007E4788">
            <w:pPr>
              <w:jc w:val="center"/>
              <w:rPr>
                <w:b/>
                <w:sz w:val="24"/>
                <w:szCs w:val="24"/>
              </w:rPr>
            </w:pPr>
            <w:r w:rsidRPr="00BD4D15">
              <w:rPr>
                <w:b/>
                <w:sz w:val="24"/>
                <w:szCs w:val="24"/>
              </w:rPr>
              <w:t>Modificeret XELIRI + bevacizumab</w:t>
            </w:r>
          </w:p>
          <w:p w:rsidR="00CF3F69" w:rsidRPr="00BD4D15" w:rsidRDefault="00CF3F69" w:rsidP="007E4788">
            <w:pPr>
              <w:jc w:val="center"/>
              <w:rPr>
                <w:b/>
                <w:sz w:val="24"/>
                <w:szCs w:val="24"/>
              </w:rPr>
            </w:pPr>
            <w:r w:rsidRPr="00BD4D15">
              <w:rPr>
                <w:b/>
                <w:sz w:val="24"/>
                <w:szCs w:val="24"/>
              </w:rPr>
              <w:t>(ITT: N=120)</w:t>
            </w:r>
          </w:p>
        </w:tc>
        <w:tc>
          <w:tcPr>
            <w:tcW w:w="1808" w:type="dxa"/>
          </w:tcPr>
          <w:p w:rsidR="00CF3F69" w:rsidRPr="00BD4D15" w:rsidRDefault="00CF3F69" w:rsidP="007E4788">
            <w:pPr>
              <w:jc w:val="center"/>
              <w:rPr>
                <w:b/>
                <w:sz w:val="24"/>
                <w:szCs w:val="24"/>
              </w:rPr>
            </w:pPr>
            <w:r w:rsidRPr="00BD4D15">
              <w:rPr>
                <w:b/>
                <w:sz w:val="24"/>
                <w:szCs w:val="24"/>
              </w:rPr>
              <w:t>Hazard ratio</w:t>
            </w:r>
          </w:p>
          <w:p w:rsidR="00CF3F69" w:rsidRPr="00BD4D15" w:rsidRDefault="00CF3F69" w:rsidP="007E4788">
            <w:pPr>
              <w:jc w:val="center"/>
              <w:rPr>
                <w:b/>
                <w:sz w:val="24"/>
                <w:szCs w:val="24"/>
              </w:rPr>
            </w:pPr>
            <w:r w:rsidRPr="00BD4D15">
              <w:rPr>
                <w:b/>
                <w:sz w:val="24"/>
                <w:szCs w:val="24"/>
              </w:rPr>
              <w:t>95 % CI</w:t>
            </w:r>
          </w:p>
          <w:p w:rsidR="00CF3F69" w:rsidRPr="00BD4D15" w:rsidRDefault="00CF3F69" w:rsidP="007E4788">
            <w:pPr>
              <w:jc w:val="center"/>
              <w:rPr>
                <w:sz w:val="24"/>
                <w:szCs w:val="24"/>
              </w:rPr>
            </w:pPr>
            <w:r w:rsidRPr="00BD4D15">
              <w:rPr>
                <w:b/>
                <w:sz w:val="24"/>
                <w:szCs w:val="24"/>
              </w:rPr>
              <w:t>P værdi</w:t>
            </w:r>
          </w:p>
        </w:tc>
      </w:tr>
      <w:tr w:rsidR="00CF3F69" w:rsidRPr="00BD4D15" w:rsidTr="007E4788">
        <w:tc>
          <w:tcPr>
            <w:tcW w:w="9003" w:type="dxa"/>
            <w:gridSpan w:val="4"/>
          </w:tcPr>
          <w:p w:rsidR="00CF3F69" w:rsidRPr="00BD4D15" w:rsidRDefault="00CF3F69" w:rsidP="007E4788">
            <w:pPr>
              <w:rPr>
                <w:b/>
                <w:sz w:val="24"/>
                <w:szCs w:val="24"/>
              </w:rPr>
            </w:pPr>
            <w:r w:rsidRPr="00BD4D15">
              <w:rPr>
                <w:b/>
                <w:sz w:val="24"/>
                <w:szCs w:val="24"/>
              </w:rPr>
              <w:t>Progressionsfri overlevelse efter 6 måneder</w:t>
            </w:r>
          </w:p>
        </w:tc>
      </w:tr>
      <w:tr w:rsidR="00CF3F69" w:rsidRPr="00BD4D15" w:rsidTr="007E4788">
        <w:tc>
          <w:tcPr>
            <w:tcW w:w="1525" w:type="dxa"/>
          </w:tcPr>
          <w:p w:rsidR="00CF3F69" w:rsidRPr="00BD4D15" w:rsidRDefault="00CF3F69" w:rsidP="007E4788">
            <w:pPr>
              <w:jc w:val="center"/>
              <w:rPr>
                <w:b/>
                <w:sz w:val="24"/>
                <w:szCs w:val="24"/>
              </w:rPr>
            </w:pPr>
            <w:r w:rsidRPr="00BD4D15">
              <w:rPr>
                <w:b/>
                <w:sz w:val="24"/>
                <w:szCs w:val="24"/>
              </w:rPr>
              <w:t>ITT</w:t>
            </w:r>
          </w:p>
          <w:p w:rsidR="00CF3F69" w:rsidRPr="00BD4D15" w:rsidRDefault="00CF3F69" w:rsidP="007E4788">
            <w:pPr>
              <w:jc w:val="center"/>
              <w:rPr>
                <w:b/>
                <w:sz w:val="24"/>
                <w:szCs w:val="24"/>
              </w:rPr>
            </w:pPr>
            <w:r w:rsidRPr="00BD4D15">
              <w:rPr>
                <w:b/>
                <w:sz w:val="24"/>
                <w:szCs w:val="24"/>
              </w:rPr>
              <w:t>95 % CI</w:t>
            </w:r>
          </w:p>
        </w:tc>
        <w:tc>
          <w:tcPr>
            <w:tcW w:w="3040" w:type="dxa"/>
          </w:tcPr>
          <w:p w:rsidR="00CF3F69" w:rsidRPr="00612697" w:rsidRDefault="00CF3F69" w:rsidP="007E4788">
            <w:pPr>
              <w:jc w:val="center"/>
              <w:rPr>
                <w:sz w:val="24"/>
                <w:szCs w:val="24"/>
              </w:rPr>
            </w:pPr>
            <w:r w:rsidRPr="00612697">
              <w:rPr>
                <w:sz w:val="24"/>
                <w:szCs w:val="24"/>
              </w:rPr>
              <w:t>76 %</w:t>
            </w:r>
          </w:p>
          <w:p w:rsidR="00CF3F69" w:rsidRPr="00612697" w:rsidRDefault="00CF3F69" w:rsidP="007E4788">
            <w:pPr>
              <w:jc w:val="center"/>
              <w:rPr>
                <w:sz w:val="24"/>
                <w:szCs w:val="24"/>
              </w:rPr>
            </w:pPr>
            <w:r w:rsidRPr="00612697">
              <w:rPr>
                <w:sz w:val="24"/>
                <w:szCs w:val="24"/>
              </w:rPr>
              <w:t>69</w:t>
            </w:r>
            <w:r>
              <w:rPr>
                <w:sz w:val="24"/>
                <w:szCs w:val="24"/>
              </w:rPr>
              <w:t>-</w:t>
            </w:r>
            <w:r w:rsidRPr="00612697">
              <w:rPr>
                <w:sz w:val="24"/>
                <w:szCs w:val="24"/>
              </w:rPr>
              <w:t>84 %</w:t>
            </w:r>
          </w:p>
        </w:tc>
        <w:tc>
          <w:tcPr>
            <w:tcW w:w="2630" w:type="dxa"/>
          </w:tcPr>
          <w:p w:rsidR="00CF3F69" w:rsidRPr="00612697" w:rsidRDefault="00CF3F69" w:rsidP="007E4788">
            <w:pPr>
              <w:jc w:val="center"/>
              <w:rPr>
                <w:sz w:val="24"/>
                <w:szCs w:val="24"/>
              </w:rPr>
            </w:pPr>
            <w:r w:rsidRPr="00612697">
              <w:rPr>
                <w:sz w:val="24"/>
                <w:szCs w:val="24"/>
              </w:rPr>
              <w:t>84 %</w:t>
            </w:r>
          </w:p>
          <w:p w:rsidR="00CF3F69" w:rsidRPr="00612697" w:rsidRDefault="00CF3F69" w:rsidP="007E4788">
            <w:pPr>
              <w:jc w:val="center"/>
              <w:rPr>
                <w:sz w:val="24"/>
                <w:szCs w:val="24"/>
              </w:rPr>
            </w:pPr>
            <w:r w:rsidRPr="00612697">
              <w:rPr>
                <w:sz w:val="24"/>
                <w:szCs w:val="24"/>
              </w:rPr>
              <w:t>77</w:t>
            </w:r>
            <w:r>
              <w:rPr>
                <w:sz w:val="24"/>
                <w:szCs w:val="24"/>
              </w:rPr>
              <w:t>-</w:t>
            </w:r>
            <w:r w:rsidRPr="00612697">
              <w:rPr>
                <w:sz w:val="24"/>
                <w:szCs w:val="24"/>
              </w:rPr>
              <w:t>90 %</w:t>
            </w:r>
          </w:p>
        </w:tc>
        <w:tc>
          <w:tcPr>
            <w:tcW w:w="1808" w:type="dxa"/>
          </w:tcPr>
          <w:p w:rsidR="00CF3F69" w:rsidRPr="00BD4D15" w:rsidRDefault="00CF3F69" w:rsidP="007E4788">
            <w:pPr>
              <w:jc w:val="center"/>
              <w:rPr>
                <w:b/>
                <w:sz w:val="24"/>
                <w:szCs w:val="24"/>
              </w:rPr>
            </w:pPr>
            <w:r w:rsidRPr="00BD4D15">
              <w:rPr>
                <w:b/>
                <w:sz w:val="24"/>
                <w:szCs w:val="24"/>
              </w:rPr>
              <w:t>-</w:t>
            </w:r>
          </w:p>
        </w:tc>
      </w:tr>
      <w:tr w:rsidR="00CF3F69" w:rsidRPr="00BD4D15" w:rsidTr="007E4788">
        <w:tc>
          <w:tcPr>
            <w:tcW w:w="9003" w:type="dxa"/>
            <w:gridSpan w:val="4"/>
          </w:tcPr>
          <w:p w:rsidR="00CF3F69" w:rsidRPr="00BD4D15" w:rsidRDefault="00CF3F69" w:rsidP="007E4788">
            <w:pPr>
              <w:rPr>
                <w:b/>
                <w:sz w:val="24"/>
                <w:szCs w:val="24"/>
              </w:rPr>
            </w:pPr>
            <w:r w:rsidRPr="00BD4D15">
              <w:rPr>
                <w:b/>
                <w:sz w:val="24"/>
                <w:szCs w:val="24"/>
              </w:rPr>
              <w:t>Median progressionsfri overlevelse</w:t>
            </w:r>
          </w:p>
        </w:tc>
      </w:tr>
      <w:tr w:rsidR="00CF3F69" w:rsidRPr="00BD4D15" w:rsidTr="007E4788">
        <w:tc>
          <w:tcPr>
            <w:tcW w:w="1525" w:type="dxa"/>
          </w:tcPr>
          <w:p w:rsidR="00CF3F69" w:rsidRPr="00A6334D" w:rsidRDefault="00CF3F69" w:rsidP="007E4788">
            <w:pPr>
              <w:jc w:val="both"/>
              <w:rPr>
                <w:sz w:val="24"/>
                <w:szCs w:val="24"/>
              </w:rPr>
            </w:pPr>
            <w:r w:rsidRPr="00A6334D">
              <w:rPr>
                <w:b/>
                <w:bCs/>
                <w:sz w:val="24"/>
                <w:szCs w:val="24"/>
              </w:rPr>
              <w:t>ITT</w:t>
            </w:r>
          </w:p>
          <w:p w:rsidR="00CF3F69" w:rsidRPr="00BD4D15" w:rsidRDefault="00CF3F69" w:rsidP="007E4788">
            <w:pPr>
              <w:rPr>
                <w:b/>
                <w:sz w:val="24"/>
                <w:szCs w:val="24"/>
              </w:rPr>
            </w:pPr>
            <w:r w:rsidRPr="00A6334D">
              <w:rPr>
                <w:b/>
                <w:bCs/>
                <w:sz w:val="24"/>
                <w:szCs w:val="24"/>
              </w:rPr>
              <w:lastRenderedPageBreak/>
              <w:t>9</w:t>
            </w:r>
            <w:r w:rsidRPr="00A6334D">
              <w:rPr>
                <w:b/>
                <w:bCs/>
                <w:spacing w:val="-1"/>
                <w:sz w:val="24"/>
                <w:szCs w:val="24"/>
              </w:rPr>
              <w:t>5</w:t>
            </w:r>
            <w:r w:rsidRPr="00A6334D">
              <w:rPr>
                <w:b/>
                <w:bCs/>
                <w:sz w:val="24"/>
                <w:szCs w:val="24"/>
              </w:rPr>
              <w:t> %</w:t>
            </w:r>
            <w:r w:rsidRPr="00A6334D">
              <w:rPr>
                <w:b/>
                <w:bCs/>
                <w:spacing w:val="1"/>
                <w:sz w:val="24"/>
                <w:szCs w:val="24"/>
              </w:rPr>
              <w:t xml:space="preserve"> </w:t>
            </w:r>
            <w:r w:rsidRPr="00A6334D">
              <w:rPr>
                <w:b/>
                <w:bCs/>
                <w:sz w:val="24"/>
                <w:szCs w:val="24"/>
              </w:rPr>
              <w:t>CI</w:t>
            </w:r>
          </w:p>
        </w:tc>
        <w:tc>
          <w:tcPr>
            <w:tcW w:w="3040" w:type="dxa"/>
          </w:tcPr>
          <w:p w:rsidR="00CF3F69" w:rsidRPr="00612697" w:rsidRDefault="00CF3F69" w:rsidP="007E4788">
            <w:pPr>
              <w:jc w:val="center"/>
              <w:rPr>
                <w:sz w:val="24"/>
                <w:szCs w:val="24"/>
              </w:rPr>
            </w:pPr>
            <w:r w:rsidRPr="00612697">
              <w:rPr>
                <w:bCs/>
                <w:sz w:val="24"/>
                <w:szCs w:val="24"/>
              </w:rPr>
              <w:lastRenderedPageBreak/>
              <w:t xml:space="preserve">1,4 </w:t>
            </w:r>
            <w:r w:rsidRPr="00612697">
              <w:rPr>
                <w:bCs/>
                <w:spacing w:val="-1"/>
                <w:sz w:val="24"/>
                <w:szCs w:val="24"/>
              </w:rPr>
              <w:t>måneder</w:t>
            </w:r>
          </w:p>
          <w:p w:rsidR="00CF3F69" w:rsidRPr="00612697" w:rsidRDefault="00CF3F69" w:rsidP="007E4788">
            <w:pPr>
              <w:jc w:val="center"/>
              <w:rPr>
                <w:sz w:val="24"/>
                <w:szCs w:val="24"/>
              </w:rPr>
            </w:pPr>
            <w:r w:rsidRPr="00612697">
              <w:rPr>
                <w:bCs/>
                <w:spacing w:val="1"/>
                <w:sz w:val="24"/>
                <w:szCs w:val="24"/>
              </w:rPr>
              <w:lastRenderedPageBreak/>
              <w:t>9,</w:t>
            </w:r>
            <w:r w:rsidRPr="00612697">
              <w:rPr>
                <w:bCs/>
                <w:sz w:val="24"/>
                <w:szCs w:val="24"/>
              </w:rPr>
              <w:t>0</w:t>
            </w:r>
            <w:r>
              <w:rPr>
                <w:bCs/>
                <w:sz w:val="24"/>
                <w:szCs w:val="24"/>
              </w:rPr>
              <w:t>-</w:t>
            </w:r>
            <w:r w:rsidRPr="00612697">
              <w:rPr>
                <w:bCs/>
                <w:spacing w:val="1"/>
                <w:sz w:val="24"/>
                <w:szCs w:val="24"/>
              </w:rPr>
              <w:t>1</w:t>
            </w:r>
            <w:r w:rsidRPr="00612697">
              <w:rPr>
                <w:bCs/>
                <w:spacing w:val="-1"/>
                <w:sz w:val="24"/>
                <w:szCs w:val="24"/>
              </w:rPr>
              <w:t>2,</w:t>
            </w:r>
            <w:r w:rsidRPr="00612697">
              <w:rPr>
                <w:bCs/>
                <w:spacing w:val="1"/>
                <w:sz w:val="24"/>
                <w:szCs w:val="24"/>
              </w:rPr>
              <w:t>0</w:t>
            </w:r>
          </w:p>
        </w:tc>
        <w:tc>
          <w:tcPr>
            <w:tcW w:w="2630" w:type="dxa"/>
          </w:tcPr>
          <w:p w:rsidR="00CF3F69" w:rsidRPr="00612697" w:rsidRDefault="00CF3F69" w:rsidP="007E4788">
            <w:pPr>
              <w:jc w:val="center"/>
              <w:rPr>
                <w:sz w:val="24"/>
                <w:szCs w:val="24"/>
              </w:rPr>
            </w:pPr>
            <w:r w:rsidRPr="00612697">
              <w:rPr>
                <w:bCs/>
                <w:sz w:val="24"/>
                <w:szCs w:val="24"/>
              </w:rPr>
              <w:lastRenderedPageBreak/>
              <w:t xml:space="preserve">12,1 </w:t>
            </w:r>
            <w:r w:rsidRPr="00612697">
              <w:rPr>
                <w:bCs/>
                <w:spacing w:val="-1"/>
                <w:sz w:val="24"/>
                <w:szCs w:val="24"/>
              </w:rPr>
              <w:t>måneder</w:t>
            </w:r>
          </w:p>
          <w:p w:rsidR="00CF3F69" w:rsidRPr="00612697" w:rsidRDefault="00CF3F69" w:rsidP="007E4788">
            <w:pPr>
              <w:jc w:val="center"/>
              <w:rPr>
                <w:sz w:val="24"/>
                <w:szCs w:val="24"/>
              </w:rPr>
            </w:pPr>
            <w:r w:rsidRPr="00612697">
              <w:rPr>
                <w:bCs/>
                <w:sz w:val="24"/>
                <w:szCs w:val="24"/>
              </w:rPr>
              <w:lastRenderedPageBreak/>
              <w:t>10,8</w:t>
            </w:r>
            <w:r>
              <w:rPr>
                <w:bCs/>
                <w:sz w:val="24"/>
                <w:szCs w:val="24"/>
              </w:rPr>
              <w:t>-</w:t>
            </w:r>
            <w:r w:rsidRPr="00612697">
              <w:rPr>
                <w:bCs/>
                <w:sz w:val="24"/>
                <w:szCs w:val="24"/>
              </w:rPr>
              <w:t>13,2</w:t>
            </w:r>
          </w:p>
        </w:tc>
        <w:tc>
          <w:tcPr>
            <w:tcW w:w="1808" w:type="dxa"/>
          </w:tcPr>
          <w:p w:rsidR="00CF3F69" w:rsidRPr="00612697" w:rsidRDefault="00CF3F69" w:rsidP="007E4788">
            <w:pPr>
              <w:jc w:val="center"/>
              <w:rPr>
                <w:sz w:val="24"/>
                <w:szCs w:val="24"/>
              </w:rPr>
            </w:pPr>
            <w:r w:rsidRPr="00612697">
              <w:rPr>
                <w:bCs/>
                <w:spacing w:val="1"/>
                <w:sz w:val="24"/>
                <w:szCs w:val="24"/>
              </w:rPr>
              <w:lastRenderedPageBreak/>
              <w:t>0</w:t>
            </w:r>
            <w:r w:rsidRPr="00612697">
              <w:rPr>
                <w:bCs/>
                <w:spacing w:val="-1"/>
                <w:sz w:val="24"/>
                <w:szCs w:val="24"/>
              </w:rPr>
              <w:t>,</w:t>
            </w:r>
            <w:r w:rsidRPr="00612697">
              <w:rPr>
                <w:bCs/>
                <w:spacing w:val="1"/>
                <w:sz w:val="24"/>
                <w:szCs w:val="24"/>
              </w:rPr>
              <w:t>93</w:t>
            </w:r>
          </w:p>
          <w:p w:rsidR="00CF3F69" w:rsidRPr="00612697" w:rsidRDefault="00CF3F69" w:rsidP="007E4788">
            <w:pPr>
              <w:jc w:val="center"/>
              <w:rPr>
                <w:sz w:val="24"/>
                <w:szCs w:val="24"/>
              </w:rPr>
            </w:pPr>
            <w:r w:rsidRPr="00612697">
              <w:rPr>
                <w:bCs/>
                <w:spacing w:val="1"/>
                <w:sz w:val="24"/>
                <w:szCs w:val="24"/>
              </w:rPr>
              <w:lastRenderedPageBreak/>
              <w:t>0,8</w:t>
            </w:r>
            <w:r w:rsidRPr="00612697">
              <w:rPr>
                <w:bCs/>
                <w:sz w:val="24"/>
                <w:szCs w:val="24"/>
              </w:rPr>
              <w:t>2</w:t>
            </w:r>
            <w:r>
              <w:rPr>
                <w:bCs/>
                <w:sz w:val="24"/>
                <w:szCs w:val="24"/>
              </w:rPr>
              <w:t>-</w:t>
            </w:r>
            <w:r w:rsidRPr="00612697">
              <w:rPr>
                <w:bCs/>
                <w:spacing w:val="-1"/>
                <w:sz w:val="24"/>
                <w:szCs w:val="24"/>
              </w:rPr>
              <w:t>1,0</w:t>
            </w:r>
            <w:r w:rsidRPr="00612697">
              <w:rPr>
                <w:bCs/>
                <w:sz w:val="24"/>
                <w:szCs w:val="24"/>
              </w:rPr>
              <w:t>7</w:t>
            </w:r>
          </w:p>
          <w:p w:rsidR="00CF3F69" w:rsidRPr="00612697" w:rsidRDefault="00CF3F69" w:rsidP="007E4788">
            <w:pPr>
              <w:jc w:val="center"/>
              <w:rPr>
                <w:sz w:val="24"/>
                <w:szCs w:val="24"/>
              </w:rPr>
            </w:pPr>
            <w:r w:rsidRPr="00612697">
              <w:rPr>
                <w:bCs/>
                <w:sz w:val="24"/>
                <w:szCs w:val="24"/>
              </w:rPr>
              <w:t>p=0,30</w:t>
            </w:r>
          </w:p>
        </w:tc>
      </w:tr>
      <w:tr w:rsidR="00CF3F69" w:rsidRPr="00BD4D15" w:rsidTr="007E4788">
        <w:tc>
          <w:tcPr>
            <w:tcW w:w="9003" w:type="dxa"/>
            <w:gridSpan w:val="4"/>
          </w:tcPr>
          <w:p w:rsidR="00CF3F69" w:rsidRPr="00BD4D15" w:rsidRDefault="00CF3F69" w:rsidP="007E4788">
            <w:pPr>
              <w:rPr>
                <w:b/>
                <w:sz w:val="24"/>
                <w:szCs w:val="24"/>
              </w:rPr>
            </w:pPr>
            <w:r w:rsidRPr="00A6334D">
              <w:rPr>
                <w:b/>
                <w:bCs/>
                <w:spacing w:val="-1"/>
                <w:sz w:val="24"/>
                <w:szCs w:val="24"/>
              </w:rPr>
              <w:lastRenderedPageBreak/>
              <w:t>M</w:t>
            </w:r>
            <w:r w:rsidRPr="00A6334D">
              <w:rPr>
                <w:b/>
                <w:bCs/>
                <w:sz w:val="24"/>
                <w:szCs w:val="24"/>
              </w:rPr>
              <w:t>edian</w:t>
            </w:r>
            <w:r w:rsidRPr="00A6334D">
              <w:rPr>
                <w:b/>
                <w:bCs/>
                <w:spacing w:val="-1"/>
                <w:sz w:val="24"/>
                <w:szCs w:val="24"/>
              </w:rPr>
              <w:t xml:space="preserve"> </w:t>
            </w:r>
            <w:r w:rsidRPr="00A6334D">
              <w:rPr>
                <w:b/>
                <w:bCs/>
                <w:sz w:val="24"/>
                <w:szCs w:val="24"/>
              </w:rPr>
              <w:t>ove</w:t>
            </w:r>
            <w:r w:rsidRPr="00A6334D">
              <w:rPr>
                <w:b/>
                <w:bCs/>
                <w:spacing w:val="-1"/>
                <w:sz w:val="24"/>
                <w:szCs w:val="24"/>
              </w:rPr>
              <w:t>rlevelse i alt</w:t>
            </w:r>
          </w:p>
        </w:tc>
      </w:tr>
      <w:tr w:rsidR="00CF3F69" w:rsidRPr="00BD4D15" w:rsidTr="007E4788">
        <w:tc>
          <w:tcPr>
            <w:tcW w:w="1525" w:type="dxa"/>
          </w:tcPr>
          <w:p w:rsidR="00CF3F69" w:rsidRPr="00A6334D" w:rsidRDefault="00CF3F69" w:rsidP="007E4788">
            <w:pPr>
              <w:jc w:val="both"/>
              <w:rPr>
                <w:sz w:val="24"/>
                <w:szCs w:val="24"/>
              </w:rPr>
            </w:pPr>
            <w:r w:rsidRPr="00A6334D">
              <w:rPr>
                <w:b/>
                <w:bCs/>
                <w:sz w:val="24"/>
                <w:szCs w:val="24"/>
              </w:rPr>
              <w:t>ITT</w:t>
            </w:r>
          </w:p>
          <w:p w:rsidR="00CF3F69" w:rsidRPr="00BD4D15" w:rsidRDefault="00CF3F69" w:rsidP="007E4788">
            <w:pPr>
              <w:rPr>
                <w:b/>
                <w:sz w:val="24"/>
                <w:szCs w:val="24"/>
              </w:rPr>
            </w:pPr>
            <w:r w:rsidRPr="00A6334D">
              <w:rPr>
                <w:b/>
                <w:bCs/>
                <w:sz w:val="24"/>
                <w:szCs w:val="24"/>
              </w:rPr>
              <w:t>9</w:t>
            </w:r>
            <w:r w:rsidRPr="00A6334D">
              <w:rPr>
                <w:b/>
                <w:bCs/>
                <w:spacing w:val="-1"/>
                <w:sz w:val="24"/>
                <w:szCs w:val="24"/>
              </w:rPr>
              <w:t>5</w:t>
            </w:r>
            <w:r w:rsidRPr="00A6334D">
              <w:rPr>
                <w:b/>
                <w:bCs/>
                <w:sz w:val="24"/>
                <w:szCs w:val="24"/>
              </w:rPr>
              <w:t> %</w:t>
            </w:r>
            <w:r w:rsidRPr="00A6334D">
              <w:rPr>
                <w:b/>
                <w:bCs/>
                <w:spacing w:val="1"/>
                <w:sz w:val="24"/>
                <w:szCs w:val="24"/>
              </w:rPr>
              <w:t xml:space="preserve"> </w:t>
            </w:r>
            <w:r w:rsidRPr="00A6334D">
              <w:rPr>
                <w:b/>
                <w:bCs/>
                <w:sz w:val="24"/>
                <w:szCs w:val="24"/>
              </w:rPr>
              <w:t>CI</w:t>
            </w:r>
          </w:p>
        </w:tc>
        <w:tc>
          <w:tcPr>
            <w:tcW w:w="3040" w:type="dxa"/>
          </w:tcPr>
          <w:p w:rsidR="00CF3F69" w:rsidRPr="00612697" w:rsidRDefault="00CF3F69" w:rsidP="007E4788">
            <w:pPr>
              <w:jc w:val="center"/>
              <w:rPr>
                <w:sz w:val="24"/>
                <w:szCs w:val="24"/>
              </w:rPr>
            </w:pPr>
            <w:r w:rsidRPr="00612697">
              <w:rPr>
                <w:bCs/>
                <w:sz w:val="24"/>
                <w:szCs w:val="24"/>
              </w:rPr>
              <w:t xml:space="preserve">24,4 </w:t>
            </w:r>
            <w:r w:rsidRPr="00612697">
              <w:rPr>
                <w:bCs/>
                <w:spacing w:val="-1"/>
                <w:sz w:val="24"/>
                <w:szCs w:val="24"/>
              </w:rPr>
              <w:t>m</w:t>
            </w:r>
            <w:r w:rsidRPr="00612697">
              <w:rPr>
                <w:bCs/>
                <w:spacing w:val="1"/>
                <w:sz w:val="24"/>
                <w:szCs w:val="24"/>
              </w:rPr>
              <w:t>o</w:t>
            </w:r>
            <w:r w:rsidRPr="00612697">
              <w:rPr>
                <w:bCs/>
                <w:sz w:val="24"/>
                <w:szCs w:val="24"/>
              </w:rPr>
              <w:t>nths</w:t>
            </w:r>
          </w:p>
          <w:p w:rsidR="00CF3F69" w:rsidRPr="00612697" w:rsidRDefault="00CF3F69" w:rsidP="007E4788">
            <w:pPr>
              <w:jc w:val="center"/>
              <w:rPr>
                <w:sz w:val="24"/>
                <w:szCs w:val="24"/>
              </w:rPr>
            </w:pPr>
            <w:r w:rsidRPr="00612697">
              <w:rPr>
                <w:bCs/>
                <w:sz w:val="24"/>
                <w:szCs w:val="24"/>
              </w:rPr>
              <w:t>19,3</w:t>
            </w:r>
            <w:r>
              <w:rPr>
                <w:bCs/>
                <w:sz w:val="24"/>
                <w:szCs w:val="24"/>
              </w:rPr>
              <w:t>-</w:t>
            </w:r>
            <w:r w:rsidRPr="00612697">
              <w:rPr>
                <w:bCs/>
                <w:sz w:val="24"/>
                <w:szCs w:val="24"/>
              </w:rPr>
              <w:t>30,7</w:t>
            </w:r>
          </w:p>
        </w:tc>
        <w:tc>
          <w:tcPr>
            <w:tcW w:w="2630" w:type="dxa"/>
          </w:tcPr>
          <w:p w:rsidR="00CF3F69" w:rsidRPr="00612697" w:rsidRDefault="00CF3F69" w:rsidP="007E4788">
            <w:pPr>
              <w:jc w:val="center"/>
              <w:rPr>
                <w:sz w:val="24"/>
                <w:szCs w:val="24"/>
              </w:rPr>
            </w:pPr>
            <w:r w:rsidRPr="00612697">
              <w:rPr>
                <w:bCs/>
                <w:sz w:val="24"/>
                <w:szCs w:val="24"/>
              </w:rPr>
              <w:t xml:space="preserve">25,5 </w:t>
            </w:r>
            <w:r w:rsidRPr="00612697">
              <w:rPr>
                <w:bCs/>
                <w:spacing w:val="-1"/>
                <w:sz w:val="24"/>
                <w:szCs w:val="24"/>
              </w:rPr>
              <w:t>m</w:t>
            </w:r>
            <w:r w:rsidRPr="00612697">
              <w:rPr>
                <w:bCs/>
                <w:spacing w:val="1"/>
                <w:sz w:val="24"/>
                <w:szCs w:val="24"/>
              </w:rPr>
              <w:t>o</w:t>
            </w:r>
            <w:r w:rsidRPr="00612697">
              <w:rPr>
                <w:bCs/>
                <w:sz w:val="24"/>
                <w:szCs w:val="24"/>
              </w:rPr>
              <w:t>nths</w:t>
            </w:r>
          </w:p>
          <w:p w:rsidR="00CF3F69" w:rsidRPr="00612697" w:rsidRDefault="00CF3F69" w:rsidP="007E4788">
            <w:pPr>
              <w:jc w:val="center"/>
              <w:rPr>
                <w:sz w:val="24"/>
                <w:szCs w:val="24"/>
              </w:rPr>
            </w:pPr>
            <w:r w:rsidRPr="00612697">
              <w:rPr>
                <w:bCs/>
                <w:sz w:val="24"/>
                <w:szCs w:val="24"/>
              </w:rPr>
              <w:t>21,0</w:t>
            </w:r>
            <w:r>
              <w:rPr>
                <w:bCs/>
                <w:sz w:val="24"/>
                <w:szCs w:val="24"/>
              </w:rPr>
              <w:t>-</w:t>
            </w:r>
            <w:r w:rsidRPr="00612697">
              <w:rPr>
                <w:bCs/>
                <w:sz w:val="24"/>
                <w:szCs w:val="24"/>
              </w:rPr>
              <w:t>31,0</w:t>
            </w:r>
          </w:p>
        </w:tc>
        <w:tc>
          <w:tcPr>
            <w:tcW w:w="1808" w:type="dxa"/>
          </w:tcPr>
          <w:p w:rsidR="00CF3F69" w:rsidRPr="00612697" w:rsidRDefault="00CF3F69" w:rsidP="007E4788">
            <w:pPr>
              <w:jc w:val="center"/>
              <w:rPr>
                <w:sz w:val="24"/>
                <w:szCs w:val="24"/>
              </w:rPr>
            </w:pPr>
            <w:r w:rsidRPr="00612697">
              <w:rPr>
                <w:bCs/>
                <w:spacing w:val="1"/>
                <w:sz w:val="24"/>
                <w:szCs w:val="24"/>
              </w:rPr>
              <w:t>0,90</w:t>
            </w:r>
          </w:p>
          <w:p w:rsidR="00CF3F69" w:rsidRPr="00612697" w:rsidRDefault="00CF3F69" w:rsidP="007E4788">
            <w:pPr>
              <w:jc w:val="center"/>
              <w:rPr>
                <w:sz w:val="24"/>
                <w:szCs w:val="24"/>
              </w:rPr>
            </w:pPr>
            <w:r w:rsidRPr="00612697">
              <w:rPr>
                <w:bCs/>
                <w:spacing w:val="1"/>
                <w:sz w:val="24"/>
                <w:szCs w:val="24"/>
              </w:rPr>
              <w:t>0,6</w:t>
            </w:r>
            <w:r w:rsidRPr="00612697">
              <w:rPr>
                <w:bCs/>
                <w:sz w:val="24"/>
                <w:szCs w:val="24"/>
              </w:rPr>
              <w:t>8</w:t>
            </w:r>
            <w:r>
              <w:rPr>
                <w:bCs/>
                <w:sz w:val="24"/>
                <w:szCs w:val="24"/>
              </w:rPr>
              <w:t>-</w:t>
            </w:r>
            <w:r w:rsidRPr="00612697">
              <w:rPr>
                <w:bCs/>
                <w:spacing w:val="-1"/>
                <w:sz w:val="24"/>
                <w:szCs w:val="24"/>
              </w:rPr>
              <w:t>1,1</w:t>
            </w:r>
            <w:r w:rsidRPr="00612697">
              <w:rPr>
                <w:bCs/>
                <w:sz w:val="24"/>
                <w:szCs w:val="24"/>
              </w:rPr>
              <w:t>9</w:t>
            </w:r>
          </w:p>
          <w:p w:rsidR="00CF3F69" w:rsidRPr="00612697" w:rsidRDefault="00CF3F69" w:rsidP="007E4788">
            <w:pPr>
              <w:jc w:val="center"/>
              <w:rPr>
                <w:sz w:val="24"/>
                <w:szCs w:val="24"/>
              </w:rPr>
            </w:pPr>
            <w:r w:rsidRPr="00612697">
              <w:rPr>
                <w:bCs/>
                <w:sz w:val="24"/>
                <w:szCs w:val="24"/>
              </w:rPr>
              <w:t>p=0,45</w:t>
            </w:r>
          </w:p>
        </w:tc>
      </w:tr>
    </w:tbl>
    <w:p w:rsidR="00CF3F69" w:rsidRDefault="00CF3F69" w:rsidP="00CF3F69">
      <w:pPr>
        <w:ind w:left="851"/>
        <w:rPr>
          <w:sz w:val="24"/>
          <w:szCs w:val="24"/>
        </w:rPr>
      </w:pPr>
    </w:p>
    <w:p w:rsidR="00CF3F69" w:rsidRPr="006015D5" w:rsidRDefault="00CF3F69" w:rsidP="00CF3F69">
      <w:pPr>
        <w:ind w:left="851"/>
        <w:rPr>
          <w:sz w:val="24"/>
          <w:szCs w:val="24"/>
        </w:rPr>
      </w:pPr>
      <w:r w:rsidRPr="006015D5">
        <w:rPr>
          <w:iCs/>
          <w:sz w:val="24"/>
          <w:szCs w:val="24"/>
          <w:u w:val="single"/>
        </w:rPr>
        <w:t xml:space="preserve">Kombinationsterapi i 2. linjebehandling af metastatisk kolorektalkræft </w:t>
      </w:r>
    </w:p>
    <w:p w:rsidR="00CF3F69" w:rsidRDefault="00CF3F69" w:rsidP="00CF3F69">
      <w:pPr>
        <w:ind w:left="851"/>
        <w:rPr>
          <w:sz w:val="24"/>
          <w:szCs w:val="24"/>
        </w:rPr>
      </w:pPr>
      <w:r>
        <w:rPr>
          <w:sz w:val="24"/>
          <w:szCs w:val="24"/>
        </w:rPr>
        <w:t xml:space="preserve">Data fra et multicenter, randomiseret, kontrolleret klinisk fase III-studie (NO16967) understøtter anvendelsen af capecitabin i kombination med oxaliplatin til 2. linjebehandling af metastatisk kolorektalkræft. I denne undersøgelse blev 627 patienter med metastatisk kolorektalkræft, som tidligere havde modtaget behandling med irinotecan i kombination med fluoropyrimidin som 1. linje-behandling, randomiseret til behandling med XELOX eller FOLFOX-4. For doseringen af XELOX og FOLFOX-4 (uden tillæg af placebo eller bevacizumab) se tabel 6. Det blev vist, at XELOX var non-inferiør i forhold til FOLFOX-4 med hensyn til progressionsfri overlevelse i per-protokolpopulationen og intent-to-treat-populationen (se tabel 9). Resultaterne indikerer, at XELOX er ækvivalent med FOLFOX-4 med hensyn til samlet overlevelse (se tabel 9). Den mediane follow-up tid på tidspunktet for den primære analyse i intent-to-treat-populationen var 2,1 år. Data fra analyser efter yderligere 6 måneders follow-up fremgår også af tabel 9. </w:t>
      </w:r>
    </w:p>
    <w:p w:rsidR="00CF3F69" w:rsidRDefault="00CF3F69" w:rsidP="00CF3F69">
      <w:pPr>
        <w:ind w:left="851"/>
        <w:rPr>
          <w:sz w:val="24"/>
          <w:szCs w:val="24"/>
        </w:rPr>
      </w:pPr>
    </w:p>
    <w:p w:rsidR="00CF3F69" w:rsidRDefault="00CF3F69" w:rsidP="00CF3F69">
      <w:pPr>
        <w:ind w:left="851"/>
        <w:rPr>
          <w:sz w:val="24"/>
          <w:szCs w:val="24"/>
        </w:rPr>
      </w:pPr>
      <w:r>
        <w:rPr>
          <w:sz w:val="24"/>
          <w:szCs w:val="24"/>
        </w:rPr>
        <w:t xml:space="preserve">Tabel 9: Nøgleresultater fra non-inferioritetsanalyserne af studie NO16967 </w:t>
      </w:r>
    </w:p>
    <w:tbl>
      <w:tblPr>
        <w:tblW w:w="0" w:type="auto"/>
        <w:tblInd w:w="108" w:type="dxa"/>
        <w:tblLook w:val="04A0" w:firstRow="1" w:lastRow="0" w:firstColumn="1" w:lastColumn="0" w:noHBand="0" w:noVBand="1"/>
      </w:tblPr>
      <w:tblGrid>
        <w:gridCol w:w="2677"/>
        <w:gridCol w:w="2110"/>
        <w:gridCol w:w="2356"/>
        <w:gridCol w:w="535"/>
        <w:gridCol w:w="1852"/>
      </w:tblGrid>
      <w:tr w:rsidR="00CF3F69" w:rsidTr="007E4788">
        <w:trPr>
          <w:trHeight w:val="240"/>
        </w:trPr>
        <w:tc>
          <w:tcPr>
            <w:tcW w:w="10080" w:type="dxa"/>
            <w:gridSpan w:val="5"/>
            <w:tcBorders>
              <w:top w:val="single" w:sz="8" w:space="0" w:color="000000"/>
              <w:left w:val="nil"/>
              <w:bottom w:val="single" w:sz="8" w:space="0" w:color="000000"/>
              <w:right w:val="nil"/>
            </w:tcBorders>
            <w:shd w:val="clear" w:color="auto" w:fill="B3B3B3"/>
            <w:hideMark/>
          </w:tcPr>
          <w:p w:rsidR="00CF3F69" w:rsidRDefault="00CF3F69" w:rsidP="007E4788">
            <w:pPr>
              <w:rPr>
                <w:sz w:val="24"/>
                <w:szCs w:val="24"/>
              </w:rPr>
            </w:pPr>
            <w:r>
              <w:rPr>
                <w:bCs/>
                <w:sz w:val="24"/>
                <w:szCs w:val="24"/>
              </w:rPr>
              <w:t xml:space="preserve">PRIMÆRE ANALYSE </w:t>
            </w:r>
          </w:p>
        </w:tc>
      </w:tr>
      <w:tr w:rsidR="00CF3F69" w:rsidRPr="008E69EF" w:rsidTr="007E4788">
        <w:trPr>
          <w:trHeight w:val="448"/>
        </w:trPr>
        <w:tc>
          <w:tcPr>
            <w:tcW w:w="2803" w:type="dxa"/>
            <w:tcBorders>
              <w:top w:val="single" w:sz="8" w:space="0" w:color="000000"/>
              <w:left w:val="nil"/>
              <w:bottom w:val="single" w:sz="8" w:space="0" w:color="000000"/>
              <w:right w:val="single" w:sz="8" w:space="0" w:color="000000"/>
            </w:tcBorders>
            <w:hideMark/>
          </w:tcPr>
          <w:p w:rsidR="00CF3F69" w:rsidRDefault="00CF3F69" w:rsidP="007E4788">
            <w:pPr>
              <w:rPr>
                <w:sz w:val="24"/>
                <w:szCs w:val="24"/>
                <w:lang w:val="sv-SE"/>
              </w:rPr>
            </w:pPr>
            <w:r>
              <w:rPr>
                <w:bCs/>
                <w:sz w:val="24"/>
                <w:szCs w:val="24"/>
                <w:lang w:val="sv-SE"/>
              </w:rPr>
              <w:t xml:space="preserve">XELOX </w:t>
            </w:r>
          </w:p>
          <w:p w:rsidR="00CF3F69" w:rsidRDefault="00CF3F69" w:rsidP="007E4788">
            <w:pPr>
              <w:rPr>
                <w:sz w:val="24"/>
                <w:szCs w:val="24"/>
                <w:lang w:val="sv-SE"/>
              </w:rPr>
            </w:pPr>
            <w:r>
              <w:rPr>
                <w:bCs/>
                <w:sz w:val="24"/>
                <w:szCs w:val="24"/>
                <w:lang w:val="sv-SE"/>
              </w:rPr>
              <w:t xml:space="preserve">(PPP*: N=251; ITT**: N=313) </w:t>
            </w:r>
          </w:p>
        </w:tc>
        <w:tc>
          <w:tcPr>
            <w:tcW w:w="7277" w:type="dxa"/>
            <w:gridSpan w:val="4"/>
            <w:tcBorders>
              <w:top w:val="single" w:sz="8" w:space="0" w:color="000000"/>
              <w:left w:val="single" w:sz="8" w:space="0" w:color="000000"/>
              <w:bottom w:val="single" w:sz="8" w:space="0" w:color="000000"/>
              <w:right w:val="nil"/>
            </w:tcBorders>
            <w:hideMark/>
          </w:tcPr>
          <w:p w:rsidR="00CF3F69" w:rsidRDefault="00CF3F69" w:rsidP="007E4788">
            <w:pPr>
              <w:rPr>
                <w:sz w:val="24"/>
                <w:szCs w:val="24"/>
                <w:lang w:val="sv-SE"/>
              </w:rPr>
            </w:pPr>
            <w:r>
              <w:rPr>
                <w:bCs/>
                <w:sz w:val="24"/>
                <w:szCs w:val="24"/>
                <w:lang w:val="sv-SE"/>
              </w:rPr>
              <w:t xml:space="preserve">FOLFOX-4 </w:t>
            </w:r>
          </w:p>
          <w:p w:rsidR="00CF3F69" w:rsidRDefault="00CF3F69" w:rsidP="007E4788">
            <w:pPr>
              <w:rPr>
                <w:sz w:val="24"/>
                <w:szCs w:val="24"/>
                <w:lang w:val="sv-SE"/>
              </w:rPr>
            </w:pPr>
            <w:r>
              <w:rPr>
                <w:bCs/>
                <w:sz w:val="24"/>
                <w:szCs w:val="24"/>
                <w:lang w:val="sv-SE"/>
              </w:rPr>
              <w:t xml:space="preserve">(PPP*: N = 252; ITT**: N= 314) </w:t>
            </w:r>
          </w:p>
        </w:tc>
      </w:tr>
      <w:tr w:rsidR="00CF3F69" w:rsidTr="007E4788">
        <w:trPr>
          <w:trHeight w:val="447"/>
        </w:trPr>
        <w:tc>
          <w:tcPr>
            <w:tcW w:w="2803" w:type="dxa"/>
            <w:tcBorders>
              <w:top w:val="single" w:sz="8" w:space="0" w:color="000000"/>
              <w:left w:val="nil"/>
              <w:bottom w:val="single" w:sz="8" w:space="0" w:color="000000"/>
              <w:right w:val="single" w:sz="8" w:space="0" w:color="000000"/>
            </w:tcBorders>
            <w:hideMark/>
          </w:tcPr>
          <w:p w:rsidR="00CF3F69" w:rsidRDefault="00CF3F69" w:rsidP="007E4788">
            <w:pPr>
              <w:rPr>
                <w:sz w:val="24"/>
                <w:szCs w:val="24"/>
              </w:rPr>
            </w:pPr>
            <w:r>
              <w:rPr>
                <w:bCs/>
                <w:sz w:val="24"/>
                <w:szCs w:val="24"/>
              </w:rPr>
              <w:t xml:space="preserve">Population </w:t>
            </w:r>
          </w:p>
        </w:tc>
        <w:tc>
          <w:tcPr>
            <w:tcW w:w="5342" w:type="dxa"/>
            <w:gridSpan w:val="3"/>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bCs/>
                <w:sz w:val="24"/>
                <w:szCs w:val="24"/>
              </w:rPr>
              <w:t xml:space="preserve">Mediane tid til event (dage) </w:t>
            </w:r>
          </w:p>
        </w:tc>
        <w:tc>
          <w:tcPr>
            <w:tcW w:w="1935" w:type="dxa"/>
            <w:tcBorders>
              <w:top w:val="single" w:sz="8" w:space="0" w:color="000000"/>
              <w:left w:val="single" w:sz="8" w:space="0" w:color="000000"/>
              <w:bottom w:val="single" w:sz="8" w:space="0" w:color="000000"/>
              <w:right w:val="nil"/>
            </w:tcBorders>
            <w:hideMark/>
          </w:tcPr>
          <w:p w:rsidR="00CF3F69" w:rsidRDefault="00CF3F69" w:rsidP="007E4788">
            <w:pPr>
              <w:rPr>
                <w:sz w:val="24"/>
                <w:szCs w:val="24"/>
              </w:rPr>
            </w:pPr>
            <w:r>
              <w:rPr>
                <w:bCs/>
                <w:sz w:val="24"/>
                <w:szCs w:val="24"/>
              </w:rPr>
              <w:t xml:space="preserve">HR </w:t>
            </w:r>
          </w:p>
          <w:p w:rsidR="00CF3F69" w:rsidRDefault="00CF3F69" w:rsidP="007E4788">
            <w:pPr>
              <w:rPr>
                <w:sz w:val="24"/>
                <w:szCs w:val="24"/>
              </w:rPr>
            </w:pPr>
            <w:r>
              <w:rPr>
                <w:bCs/>
                <w:sz w:val="24"/>
                <w:szCs w:val="24"/>
              </w:rPr>
              <w:t xml:space="preserve">(97,5% KI) </w:t>
            </w:r>
          </w:p>
        </w:tc>
      </w:tr>
      <w:tr w:rsidR="00CF3F69" w:rsidTr="007E4788">
        <w:trPr>
          <w:trHeight w:val="240"/>
        </w:trPr>
        <w:tc>
          <w:tcPr>
            <w:tcW w:w="10080" w:type="dxa"/>
            <w:gridSpan w:val="5"/>
            <w:tcBorders>
              <w:top w:val="single" w:sz="8" w:space="0" w:color="000000"/>
              <w:left w:val="nil"/>
              <w:bottom w:val="single" w:sz="8" w:space="0" w:color="000000"/>
              <w:right w:val="nil"/>
            </w:tcBorders>
            <w:shd w:val="clear" w:color="auto" w:fill="B3B3B3"/>
            <w:hideMark/>
          </w:tcPr>
          <w:p w:rsidR="00CF3F69" w:rsidRDefault="00CF3F69" w:rsidP="007E4788">
            <w:pPr>
              <w:rPr>
                <w:sz w:val="24"/>
                <w:szCs w:val="24"/>
              </w:rPr>
            </w:pPr>
            <w:r>
              <w:rPr>
                <w:bCs/>
                <w:sz w:val="24"/>
                <w:szCs w:val="24"/>
              </w:rPr>
              <w:t xml:space="preserve">Parameter: Progressionsfri overlevelse </w:t>
            </w:r>
          </w:p>
        </w:tc>
      </w:tr>
      <w:tr w:rsidR="00CF3F69" w:rsidTr="007E4788">
        <w:trPr>
          <w:trHeight w:val="450"/>
        </w:trPr>
        <w:tc>
          <w:tcPr>
            <w:tcW w:w="2803" w:type="dxa"/>
            <w:tcBorders>
              <w:top w:val="single" w:sz="8" w:space="0" w:color="000000"/>
              <w:left w:val="nil"/>
              <w:bottom w:val="single" w:sz="8" w:space="0" w:color="000000"/>
              <w:right w:val="single" w:sz="8" w:space="0" w:color="000000"/>
            </w:tcBorders>
            <w:hideMark/>
          </w:tcPr>
          <w:p w:rsidR="00CF3F69" w:rsidRDefault="00CF3F69" w:rsidP="007E4788">
            <w:pPr>
              <w:rPr>
                <w:sz w:val="24"/>
                <w:szCs w:val="24"/>
              </w:rPr>
            </w:pPr>
            <w:r>
              <w:rPr>
                <w:sz w:val="24"/>
                <w:szCs w:val="24"/>
              </w:rPr>
              <w:t xml:space="preserve">PPP </w:t>
            </w:r>
          </w:p>
          <w:p w:rsidR="00CF3F69" w:rsidRDefault="00CF3F69" w:rsidP="007E4788">
            <w:pPr>
              <w:rPr>
                <w:sz w:val="24"/>
                <w:szCs w:val="24"/>
              </w:rPr>
            </w:pPr>
            <w:r>
              <w:rPr>
                <w:sz w:val="24"/>
                <w:szCs w:val="24"/>
              </w:rPr>
              <w:t xml:space="preserve">ITT </w:t>
            </w:r>
          </w:p>
        </w:tc>
        <w:tc>
          <w:tcPr>
            <w:tcW w:w="2246"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154 </w:t>
            </w:r>
          </w:p>
          <w:p w:rsidR="00CF3F69" w:rsidRDefault="00CF3F69" w:rsidP="007E4788">
            <w:pPr>
              <w:rPr>
                <w:sz w:val="24"/>
                <w:szCs w:val="24"/>
              </w:rPr>
            </w:pPr>
            <w:r>
              <w:rPr>
                <w:sz w:val="24"/>
                <w:szCs w:val="24"/>
              </w:rPr>
              <w:t xml:space="preserve">144 </w:t>
            </w:r>
          </w:p>
        </w:tc>
        <w:tc>
          <w:tcPr>
            <w:tcW w:w="2514"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168 </w:t>
            </w:r>
          </w:p>
          <w:p w:rsidR="00CF3F69" w:rsidRDefault="00CF3F69" w:rsidP="007E4788">
            <w:pPr>
              <w:rPr>
                <w:sz w:val="24"/>
                <w:szCs w:val="24"/>
              </w:rPr>
            </w:pPr>
            <w:r>
              <w:rPr>
                <w:sz w:val="24"/>
                <w:szCs w:val="24"/>
              </w:rPr>
              <w:t xml:space="preserve">146 </w:t>
            </w:r>
          </w:p>
        </w:tc>
        <w:tc>
          <w:tcPr>
            <w:tcW w:w="2517" w:type="dxa"/>
            <w:gridSpan w:val="2"/>
            <w:tcBorders>
              <w:top w:val="single" w:sz="8" w:space="0" w:color="000000"/>
              <w:left w:val="single" w:sz="8" w:space="0" w:color="000000"/>
              <w:bottom w:val="single" w:sz="8" w:space="0" w:color="000000"/>
              <w:right w:val="nil"/>
            </w:tcBorders>
            <w:hideMark/>
          </w:tcPr>
          <w:p w:rsidR="00CF3F69" w:rsidRDefault="00CF3F69" w:rsidP="007E4788">
            <w:pPr>
              <w:rPr>
                <w:sz w:val="24"/>
                <w:szCs w:val="24"/>
              </w:rPr>
            </w:pPr>
            <w:r>
              <w:rPr>
                <w:sz w:val="24"/>
                <w:szCs w:val="24"/>
              </w:rPr>
              <w:t xml:space="preserve">1,03 (0,87; 1,24) </w:t>
            </w:r>
          </w:p>
          <w:p w:rsidR="00CF3F69" w:rsidRDefault="00CF3F69" w:rsidP="007E4788">
            <w:pPr>
              <w:rPr>
                <w:sz w:val="24"/>
                <w:szCs w:val="24"/>
              </w:rPr>
            </w:pPr>
            <w:r>
              <w:rPr>
                <w:sz w:val="24"/>
                <w:szCs w:val="24"/>
              </w:rPr>
              <w:t xml:space="preserve">0,97 (0,83; 1,14) </w:t>
            </w:r>
          </w:p>
        </w:tc>
      </w:tr>
      <w:tr w:rsidR="00CF3F69" w:rsidTr="007E4788">
        <w:trPr>
          <w:trHeight w:val="240"/>
        </w:trPr>
        <w:tc>
          <w:tcPr>
            <w:tcW w:w="10080" w:type="dxa"/>
            <w:gridSpan w:val="5"/>
            <w:tcBorders>
              <w:top w:val="single" w:sz="8" w:space="0" w:color="000000"/>
              <w:left w:val="nil"/>
              <w:bottom w:val="single" w:sz="8" w:space="0" w:color="000000"/>
              <w:right w:val="nil"/>
            </w:tcBorders>
            <w:shd w:val="clear" w:color="auto" w:fill="B3B3B3"/>
            <w:hideMark/>
          </w:tcPr>
          <w:p w:rsidR="00CF3F69" w:rsidRDefault="00CF3F69" w:rsidP="007E4788">
            <w:pPr>
              <w:rPr>
                <w:sz w:val="24"/>
                <w:szCs w:val="24"/>
              </w:rPr>
            </w:pPr>
            <w:r>
              <w:rPr>
                <w:bCs/>
                <w:sz w:val="24"/>
                <w:szCs w:val="24"/>
              </w:rPr>
              <w:t xml:space="preserve">Parameter: Samlet overlevelse </w:t>
            </w:r>
          </w:p>
        </w:tc>
      </w:tr>
      <w:tr w:rsidR="00CF3F69" w:rsidTr="007E4788">
        <w:trPr>
          <w:trHeight w:val="443"/>
        </w:trPr>
        <w:tc>
          <w:tcPr>
            <w:tcW w:w="2803" w:type="dxa"/>
            <w:tcBorders>
              <w:top w:val="single" w:sz="8" w:space="0" w:color="000000"/>
              <w:left w:val="nil"/>
              <w:bottom w:val="single" w:sz="8" w:space="0" w:color="000000"/>
              <w:right w:val="single" w:sz="8" w:space="0" w:color="000000"/>
            </w:tcBorders>
            <w:hideMark/>
          </w:tcPr>
          <w:p w:rsidR="00CF3F69" w:rsidRDefault="00CF3F69" w:rsidP="007E4788">
            <w:pPr>
              <w:rPr>
                <w:sz w:val="24"/>
                <w:szCs w:val="24"/>
              </w:rPr>
            </w:pPr>
            <w:r>
              <w:rPr>
                <w:sz w:val="24"/>
                <w:szCs w:val="24"/>
              </w:rPr>
              <w:t xml:space="preserve">PPP </w:t>
            </w:r>
          </w:p>
          <w:p w:rsidR="00CF3F69" w:rsidRDefault="00CF3F69" w:rsidP="007E4788">
            <w:pPr>
              <w:rPr>
                <w:sz w:val="24"/>
                <w:szCs w:val="24"/>
              </w:rPr>
            </w:pPr>
            <w:r>
              <w:rPr>
                <w:sz w:val="24"/>
                <w:szCs w:val="24"/>
              </w:rPr>
              <w:t xml:space="preserve">ITT </w:t>
            </w:r>
          </w:p>
        </w:tc>
        <w:tc>
          <w:tcPr>
            <w:tcW w:w="2246"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388 </w:t>
            </w:r>
          </w:p>
          <w:p w:rsidR="00CF3F69" w:rsidRDefault="00CF3F69" w:rsidP="007E4788">
            <w:pPr>
              <w:rPr>
                <w:sz w:val="24"/>
                <w:szCs w:val="24"/>
              </w:rPr>
            </w:pPr>
            <w:r>
              <w:rPr>
                <w:sz w:val="24"/>
                <w:szCs w:val="24"/>
              </w:rPr>
              <w:t xml:space="preserve">363 </w:t>
            </w:r>
          </w:p>
        </w:tc>
        <w:tc>
          <w:tcPr>
            <w:tcW w:w="2514"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401 </w:t>
            </w:r>
          </w:p>
          <w:p w:rsidR="00CF3F69" w:rsidRDefault="00CF3F69" w:rsidP="007E4788">
            <w:pPr>
              <w:rPr>
                <w:sz w:val="24"/>
                <w:szCs w:val="24"/>
              </w:rPr>
            </w:pPr>
            <w:r>
              <w:rPr>
                <w:sz w:val="24"/>
                <w:szCs w:val="24"/>
              </w:rPr>
              <w:t xml:space="preserve">382 </w:t>
            </w:r>
          </w:p>
        </w:tc>
        <w:tc>
          <w:tcPr>
            <w:tcW w:w="2517" w:type="dxa"/>
            <w:gridSpan w:val="2"/>
            <w:tcBorders>
              <w:top w:val="single" w:sz="8" w:space="0" w:color="000000"/>
              <w:left w:val="single" w:sz="8" w:space="0" w:color="000000"/>
              <w:bottom w:val="single" w:sz="8" w:space="0" w:color="000000"/>
              <w:right w:val="nil"/>
            </w:tcBorders>
            <w:hideMark/>
          </w:tcPr>
          <w:p w:rsidR="00CF3F69" w:rsidRDefault="00CF3F69" w:rsidP="007E4788">
            <w:pPr>
              <w:rPr>
                <w:sz w:val="24"/>
                <w:szCs w:val="24"/>
              </w:rPr>
            </w:pPr>
            <w:r>
              <w:rPr>
                <w:sz w:val="24"/>
                <w:szCs w:val="24"/>
              </w:rPr>
              <w:t xml:space="preserve">1,07 (0,88; 1,31) </w:t>
            </w:r>
          </w:p>
          <w:p w:rsidR="00CF3F69" w:rsidRDefault="00CF3F69" w:rsidP="007E4788">
            <w:pPr>
              <w:rPr>
                <w:sz w:val="24"/>
                <w:szCs w:val="24"/>
              </w:rPr>
            </w:pPr>
            <w:r>
              <w:rPr>
                <w:sz w:val="24"/>
                <w:szCs w:val="24"/>
              </w:rPr>
              <w:t xml:space="preserve">1,03 (0,87; 1,23) </w:t>
            </w:r>
          </w:p>
        </w:tc>
      </w:tr>
      <w:tr w:rsidR="00CF3F69" w:rsidTr="007E4788">
        <w:trPr>
          <w:trHeight w:val="240"/>
        </w:trPr>
        <w:tc>
          <w:tcPr>
            <w:tcW w:w="10080" w:type="dxa"/>
            <w:gridSpan w:val="5"/>
            <w:tcBorders>
              <w:top w:val="single" w:sz="8" w:space="0" w:color="000000"/>
              <w:left w:val="nil"/>
              <w:bottom w:val="single" w:sz="8" w:space="0" w:color="000000"/>
              <w:right w:val="nil"/>
            </w:tcBorders>
            <w:shd w:val="clear" w:color="auto" w:fill="B3B3B3"/>
            <w:hideMark/>
          </w:tcPr>
          <w:p w:rsidR="00CF3F69" w:rsidRDefault="00CF3F69" w:rsidP="007E4788">
            <w:pPr>
              <w:rPr>
                <w:sz w:val="24"/>
                <w:szCs w:val="24"/>
              </w:rPr>
            </w:pPr>
            <w:r>
              <w:rPr>
                <w:bCs/>
                <w:sz w:val="24"/>
                <w:szCs w:val="24"/>
              </w:rPr>
              <w:t xml:space="preserve">6 MÅNEDERS YDERLIGERE FOLLOW UP </w:t>
            </w:r>
          </w:p>
        </w:tc>
      </w:tr>
      <w:tr w:rsidR="00CF3F69" w:rsidTr="007E4788">
        <w:trPr>
          <w:trHeight w:val="447"/>
        </w:trPr>
        <w:tc>
          <w:tcPr>
            <w:tcW w:w="2803" w:type="dxa"/>
            <w:tcBorders>
              <w:top w:val="single" w:sz="8" w:space="0" w:color="000000"/>
              <w:left w:val="nil"/>
              <w:bottom w:val="single" w:sz="8" w:space="0" w:color="000000"/>
              <w:right w:val="single" w:sz="8" w:space="0" w:color="000000"/>
            </w:tcBorders>
            <w:hideMark/>
          </w:tcPr>
          <w:p w:rsidR="00CF3F69" w:rsidRDefault="00CF3F69" w:rsidP="007E4788">
            <w:pPr>
              <w:rPr>
                <w:sz w:val="24"/>
                <w:szCs w:val="24"/>
              </w:rPr>
            </w:pPr>
            <w:r>
              <w:rPr>
                <w:bCs/>
                <w:sz w:val="24"/>
                <w:szCs w:val="24"/>
              </w:rPr>
              <w:t xml:space="preserve">Population </w:t>
            </w:r>
          </w:p>
        </w:tc>
        <w:tc>
          <w:tcPr>
            <w:tcW w:w="4760" w:type="dxa"/>
            <w:gridSpan w:val="2"/>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bCs/>
                <w:sz w:val="24"/>
                <w:szCs w:val="24"/>
              </w:rPr>
              <w:t xml:space="preserve">Mediane tid til event (dage) </w:t>
            </w:r>
          </w:p>
        </w:tc>
        <w:tc>
          <w:tcPr>
            <w:tcW w:w="2517" w:type="dxa"/>
            <w:gridSpan w:val="2"/>
            <w:tcBorders>
              <w:top w:val="single" w:sz="8" w:space="0" w:color="000000"/>
              <w:left w:val="single" w:sz="8" w:space="0" w:color="000000"/>
              <w:bottom w:val="single" w:sz="8" w:space="0" w:color="000000"/>
              <w:right w:val="nil"/>
            </w:tcBorders>
            <w:hideMark/>
          </w:tcPr>
          <w:p w:rsidR="00CF3F69" w:rsidRDefault="00CF3F69" w:rsidP="007E4788">
            <w:pPr>
              <w:rPr>
                <w:sz w:val="24"/>
                <w:szCs w:val="24"/>
              </w:rPr>
            </w:pPr>
            <w:r>
              <w:rPr>
                <w:bCs/>
                <w:sz w:val="24"/>
                <w:szCs w:val="24"/>
              </w:rPr>
              <w:t xml:space="preserve">HR </w:t>
            </w:r>
          </w:p>
          <w:p w:rsidR="00CF3F69" w:rsidRDefault="00CF3F69" w:rsidP="007E4788">
            <w:pPr>
              <w:rPr>
                <w:sz w:val="24"/>
                <w:szCs w:val="24"/>
              </w:rPr>
            </w:pPr>
            <w:r>
              <w:rPr>
                <w:bCs/>
                <w:sz w:val="24"/>
                <w:szCs w:val="24"/>
              </w:rPr>
              <w:t xml:space="preserve">(97,5% KI) </w:t>
            </w:r>
          </w:p>
        </w:tc>
      </w:tr>
      <w:tr w:rsidR="00CF3F69" w:rsidTr="007E4788">
        <w:trPr>
          <w:trHeight w:val="240"/>
        </w:trPr>
        <w:tc>
          <w:tcPr>
            <w:tcW w:w="10080" w:type="dxa"/>
            <w:gridSpan w:val="5"/>
            <w:tcBorders>
              <w:top w:val="single" w:sz="8" w:space="0" w:color="000000"/>
              <w:left w:val="nil"/>
              <w:bottom w:val="single" w:sz="8" w:space="0" w:color="000000"/>
              <w:right w:val="nil"/>
            </w:tcBorders>
            <w:shd w:val="clear" w:color="auto" w:fill="B3B3B3"/>
            <w:hideMark/>
          </w:tcPr>
          <w:p w:rsidR="00CF3F69" w:rsidRDefault="00CF3F69" w:rsidP="007E4788">
            <w:pPr>
              <w:rPr>
                <w:sz w:val="24"/>
                <w:szCs w:val="24"/>
              </w:rPr>
            </w:pPr>
            <w:r>
              <w:rPr>
                <w:bCs/>
                <w:sz w:val="24"/>
                <w:szCs w:val="24"/>
              </w:rPr>
              <w:t xml:space="preserve">Parameter: Progressionsfri overlevelse </w:t>
            </w:r>
          </w:p>
        </w:tc>
      </w:tr>
      <w:tr w:rsidR="00CF3F69" w:rsidTr="007E4788">
        <w:trPr>
          <w:trHeight w:val="451"/>
        </w:trPr>
        <w:tc>
          <w:tcPr>
            <w:tcW w:w="2803" w:type="dxa"/>
            <w:tcBorders>
              <w:top w:val="single" w:sz="8" w:space="0" w:color="000000"/>
              <w:left w:val="nil"/>
              <w:bottom w:val="single" w:sz="8" w:space="0" w:color="000000"/>
              <w:right w:val="single" w:sz="8" w:space="0" w:color="000000"/>
            </w:tcBorders>
            <w:hideMark/>
          </w:tcPr>
          <w:p w:rsidR="00CF3F69" w:rsidRDefault="00CF3F69" w:rsidP="007E4788">
            <w:pPr>
              <w:rPr>
                <w:sz w:val="24"/>
                <w:szCs w:val="24"/>
              </w:rPr>
            </w:pPr>
            <w:r>
              <w:rPr>
                <w:sz w:val="24"/>
                <w:szCs w:val="24"/>
              </w:rPr>
              <w:t xml:space="preserve">PPP </w:t>
            </w:r>
          </w:p>
          <w:p w:rsidR="00CF3F69" w:rsidRDefault="00CF3F69" w:rsidP="007E4788">
            <w:pPr>
              <w:rPr>
                <w:sz w:val="24"/>
                <w:szCs w:val="24"/>
              </w:rPr>
            </w:pPr>
            <w:r>
              <w:rPr>
                <w:sz w:val="24"/>
                <w:szCs w:val="24"/>
              </w:rPr>
              <w:t xml:space="preserve">ITT </w:t>
            </w:r>
          </w:p>
        </w:tc>
        <w:tc>
          <w:tcPr>
            <w:tcW w:w="2246"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154 </w:t>
            </w:r>
          </w:p>
          <w:p w:rsidR="00CF3F69" w:rsidRDefault="00CF3F69" w:rsidP="007E4788">
            <w:pPr>
              <w:rPr>
                <w:sz w:val="24"/>
                <w:szCs w:val="24"/>
              </w:rPr>
            </w:pPr>
            <w:r>
              <w:rPr>
                <w:sz w:val="24"/>
                <w:szCs w:val="24"/>
              </w:rPr>
              <w:t xml:space="preserve">143 </w:t>
            </w:r>
          </w:p>
        </w:tc>
        <w:tc>
          <w:tcPr>
            <w:tcW w:w="2514"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166 </w:t>
            </w:r>
          </w:p>
          <w:p w:rsidR="00CF3F69" w:rsidRDefault="00CF3F69" w:rsidP="007E4788">
            <w:pPr>
              <w:rPr>
                <w:sz w:val="24"/>
                <w:szCs w:val="24"/>
              </w:rPr>
            </w:pPr>
            <w:r>
              <w:rPr>
                <w:sz w:val="24"/>
                <w:szCs w:val="24"/>
              </w:rPr>
              <w:t xml:space="preserve">146 </w:t>
            </w:r>
          </w:p>
        </w:tc>
        <w:tc>
          <w:tcPr>
            <w:tcW w:w="2517" w:type="dxa"/>
            <w:gridSpan w:val="2"/>
            <w:tcBorders>
              <w:top w:val="single" w:sz="8" w:space="0" w:color="000000"/>
              <w:left w:val="single" w:sz="8" w:space="0" w:color="000000"/>
              <w:bottom w:val="single" w:sz="8" w:space="0" w:color="000000"/>
              <w:right w:val="nil"/>
            </w:tcBorders>
            <w:hideMark/>
          </w:tcPr>
          <w:p w:rsidR="00CF3F69" w:rsidRDefault="00CF3F69" w:rsidP="007E4788">
            <w:pPr>
              <w:rPr>
                <w:sz w:val="24"/>
                <w:szCs w:val="24"/>
              </w:rPr>
            </w:pPr>
            <w:r>
              <w:rPr>
                <w:sz w:val="24"/>
                <w:szCs w:val="24"/>
              </w:rPr>
              <w:t xml:space="preserve">1,04 (0,87; 1,24) </w:t>
            </w:r>
          </w:p>
          <w:p w:rsidR="00CF3F69" w:rsidRDefault="00CF3F69" w:rsidP="007E4788">
            <w:pPr>
              <w:rPr>
                <w:sz w:val="24"/>
                <w:szCs w:val="24"/>
              </w:rPr>
            </w:pPr>
            <w:r>
              <w:rPr>
                <w:sz w:val="24"/>
                <w:szCs w:val="24"/>
              </w:rPr>
              <w:t xml:space="preserve">0,97 (0,83; 1,14) </w:t>
            </w:r>
          </w:p>
        </w:tc>
      </w:tr>
      <w:tr w:rsidR="00CF3F69" w:rsidTr="007E4788">
        <w:trPr>
          <w:trHeight w:val="240"/>
        </w:trPr>
        <w:tc>
          <w:tcPr>
            <w:tcW w:w="10080" w:type="dxa"/>
            <w:gridSpan w:val="5"/>
            <w:tcBorders>
              <w:top w:val="single" w:sz="8" w:space="0" w:color="000000"/>
              <w:left w:val="nil"/>
              <w:bottom w:val="single" w:sz="8" w:space="0" w:color="000000"/>
              <w:right w:val="nil"/>
            </w:tcBorders>
            <w:shd w:val="clear" w:color="auto" w:fill="B3B3B3"/>
            <w:hideMark/>
          </w:tcPr>
          <w:p w:rsidR="00CF3F69" w:rsidRDefault="00CF3F69" w:rsidP="007E4788">
            <w:pPr>
              <w:rPr>
                <w:sz w:val="24"/>
                <w:szCs w:val="24"/>
              </w:rPr>
            </w:pPr>
            <w:r>
              <w:rPr>
                <w:bCs/>
                <w:sz w:val="24"/>
                <w:szCs w:val="24"/>
              </w:rPr>
              <w:t xml:space="preserve">Parameter: Samlet overlevelse </w:t>
            </w:r>
          </w:p>
        </w:tc>
      </w:tr>
      <w:tr w:rsidR="00CF3F69" w:rsidTr="007E4788">
        <w:trPr>
          <w:trHeight w:val="443"/>
        </w:trPr>
        <w:tc>
          <w:tcPr>
            <w:tcW w:w="2803" w:type="dxa"/>
            <w:tcBorders>
              <w:top w:val="single" w:sz="8" w:space="0" w:color="000000"/>
              <w:left w:val="nil"/>
              <w:bottom w:val="single" w:sz="8" w:space="0" w:color="000000"/>
              <w:right w:val="single" w:sz="8" w:space="0" w:color="000000"/>
            </w:tcBorders>
            <w:hideMark/>
          </w:tcPr>
          <w:p w:rsidR="00CF3F69" w:rsidRDefault="00CF3F69" w:rsidP="007E4788">
            <w:pPr>
              <w:rPr>
                <w:sz w:val="24"/>
                <w:szCs w:val="24"/>
              </w:rPr>
            </w:pPr>
            <w:r>
              <w:rPr>
                <w:sz w:val="24"/>
                <w:szCs w:val="24"/>
              </w:rPr>
              <w:t xml:space="preserve">PPP </w:t>
            </w:r>
          </w:p>
          <w:p w:rsidR="00CF3F69" w:rsidRDefault="00CF3F69" w:rsidP="007E4788">
            <w:pPr>
              <w:rPr>
                <w:sz w:val="24"/>
                <w:szCs w:val="24"/>
              </w:rPr>
            </w:pPr>
            <w:r>
              <w:rPr>
                <w:sz w:val="24"/>
                <w:szCs w:val="24"/>
              </w:rPr>
              <w:t xml:space="preserve">ITT </w:t>
            </w:r>
          </w:p>
        </w:tc>
        <w:tc>
          <w:tcPr>
            <w:tcW w:w="2246"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393 </w:t>
            </w:r>
          </w:p>
          <w:p w:rsidR="00CF3F69" w:rsidRDefault="00CF3F69" w:rsidP="007E4788">
            <w:pPr>
              <w:rPr>
                <w:sz w:val="24"/>
                <w:szCs w:val="24"/>
              </w:rPr>
            </w:pPr>
            <w:r>
              <w:rPr>
                <w:sz w:val="24"/>
                <w:szCs w:val="24"/>
              </w:rPr>
              <w:t xml:space="preserve">363 </w:t>
            </w:r>
          </w:p>
        </w:tc>
        <w:tc>
          <w:tcPr>
            <w:tcW w:w="2514" w:type="dxa"/>
            <w:tcBorders>
              <w:top w:val="single" w:sz="8" w:space="0" w:color="000000"/>
              <w:left w:val="single" w:sz="8" w:space="0" w:color="000000"/>
              <w:bottom w:val="single" w:sz="8" w:space="0" w:color="000000"/>
              <w:right w:val="single" w:sz="8" w:space="0" w:color="000000"/>
            </w:tcBorders>
            <w:hideMark/>
          </w:tcPr>
          <w:p w:rsidR="00CF3F69" w:rsidRDefault="00CF3F69" w:rsidP="007E4788">
            <w:pPr>
              <w:rPr>
                <w:sz w:val="24"/>
                <w:szCs w:val="24"/>
              </w:rPr>
            </w:pPr>
            <w:r>
              <w:rPr>
                <w:sz w:val="24"/>
                <w:szCs w:val="24"/>
              </w:rPr>
              <w:t xml:space="preserve">402 </w:t>
            </w:r>
          </w:p>
          <w:p w:rsidR="00CF3F69" w:rsidRDefault="00CF3F69" w:rsidP="007E4788">
            <w:pPr>
              <w:rPr>
                <w:sz w:val="24"/>
                <w:szCs w:val="24"/>
              </w:rPr>
            </w:pPr>
            <w:r>
              <w:rPr>
                <w:sz w:val="24"/>
                <w:szCs w:val="24"/>
              </w:rPr>
              <w:t xml:space="preserve">382 </w:t>
            </w:r>
          </w:p>
        </w:tc>
        <w:tc>
          <w:tcPr>
            <w:tcW w:w="2517" w:type="dxa"/>
            <w:gridSpan w:val="2"/>
            <w:tcBorders>
              <w:top w:val="single" w:sz="8" w:space="0" w:color="000000"/>
              <w:left w:val="single" w:sz="8" w:space="0" w:color="000000"/>
              <w:bottom w:val="single" w:sz="8" w:space="0" w:color="000000"/>
              <w:right w:val="nil"/>
            </w:tcBorders>
            <w:hideMark/>
          </w:tcPr>
          <w:p w:rsidR="00CF3F69" w:rsidRDefault="00CF3F69" w:rsidP="007E4788">
            <w:pPr>
              <w:rPr>
                <w:sz w:val="24"/>
                <w:szCs w:val="24"/>
              </w:rPr>
            </w:pPr>
            <w:r>
              <w:rPr>
                <w:sz w:val="24"/>
                <w:szCs w:val="24"/>
              </w:rPr>
              <w:t xml:space="preserve">1,05 (0,88; 1,27) </w:t>
            </w:r>
          </w:p>
          <w:p w:rsidR="00CF3F69" w:rsidRDefault="00CF3F69" w:rsidP="007E4788">
            <w:pPr>
              <w:rPr>
                <w:sz w:val="24"/>
                <w:szCs w:val="24"/>
              </w:rPr>
            </w:pPr>
            <w:r>
              <w:rPr>
                <w:sz w:val="24"/>
                <w:szCs w:val="24"/>
              </w:rPr>
              <w:t xml:space="preserve">1,02 (0,86; 1,21) </w:t>
            </w:r>
          </w:p>
        </w:tc>
      </w:tr>
    </w:tbl>
    <w:p w:rsidR="00CF3F69" w:rsidRDefault="00CF3F69" w:rsidP="00CF3F69">
      <w:pPr>
        <w:rPr>
          <w:sz w:val="24"/>
          <w:szCs w:val="24"/>
          <w:lang w:val="en-GB"/>
        </w:rPr>
      </w:pPr>
      <w:r>
        <w:rPr>
          <w:sz w:val="24"/>
          <w:szCs w:val="24"/>
          <w:lang w:val="en-GB"/>
        </w:rPr>
        <w:t xml:space="preserve">*PPP=per protokol population; **ITT=intent-to-treat population </w:t>
      </w:r>
    </w:p>
    <w:p w:rsidR="00CF3F69" w:rsidRDefault="00CF3F69" w:rsidP="00CF3F69">
      <w:pPr>
        <w:ind w:left="851"/>
        <w:rPr>
          <w:sz w:val="24"/>
          <w:szCs w:val="24"/>
          <w:lang w:val="en-GB"/>
        </w:rPr>
      </w:pPr>
    </w:p>
    <w:p w:rsidR="00CF3F69" w:rsidRDefault="00CF3F69" w:rsidP="00CF3F69">
      <w:pPr>
        <w:ind w:left="851"/>
        <w:rPr>
          <w:sz w:val="24"/>
          <w:szCs w:val="24"/>
        </w:rPr>
      </w:pPr>
      <w:r>
        <w:rPr>
          <w:sz w:val="24"/>
          <w:szCs w:val="24"/>
          <w:u w:val="single"/>
        </w:rPr>
        <w:t>Fremskreden ventrikelkræf</w:t>
      </w:r>
      <w:r w:rsidRPr="00294563">
        <w:rPr>
          <w:sz w:val="24"/>
          <w:szCs w:val="24"/>
          <w:u w:val="single"/>
        </w:rPr>
        <w:t>t</w:t>
      </w:r>
    </w:p>
    <w:p w:rsidR="00CF3F69" w:rsidRDefault="00CF3F69" w:rsidP="00CF3F69">
      <w:pPr>
        <w:ind w:left="851"/>
        <w:rPr>
          <w:sz w:val="24"/>
          <w:szCs w:val="24"/>
        </w:rPr>
      </w:pPr>
      <w:r>
        <w:rPr>
          <w:sz w:val="24"/>
          <w:szCs w:val="24"/>
        </w:rPr>
        <w:t>Data fra et randomiseret, kontrolleret, klinisk fase III-multicenterstudie hos patienter med fremskreden ventrikelkræft støtter anvendelsen af capecitabin som 1. linjebehandling af fremskreden ventrikelkræft (ML17032). I dette studie blev 160 patienter randomiseret til behandling med capecitabin (1000 mg/m</w:t>
      </w:r>
      <w:r w:rsidRPr="009C7ED9">
        <w:rPr>
          <w:sz w:val="24"/>
          <w:szCs w:val="24"/>
          <w:vertAlign w:val="superscript"/>
        </w:rPr>
        <w:t>2</w:t>
      </w:r>
      <w:r>
        <w:rPr>
          <w:sz w:val="24"/>
          <w:szCs w:val="24"/>
        </w:rPr>
        <w:t xml:space="preserve"> to gange daglig i 2 uger efterfulgt af 7 dages </w:t>
      </w:r>
      <w:r>
        <w:rPr>
          <w:sz w:val="24"/>
          <w:szCs w:val="24"/>
        </w:rPr>
        <w:lastRenderedPageBreak/>
        <w:t>pause) og cisplatin (80 mg/m</w:t>
      </w:r>
      <w:r w:rsidRPr="009C7ED9">
        <w:rPr>
          <w:sz w:val="24"/>
          <w:szCs w:val="24"/>
          <w:vertAlign w:val="superscript"/>
        </w:rPr>
        <w:t>2</w:t>
      </w:r>
      <w:r>
        <w:rPr>
          <w:sz w:val="24"/>
          <w:szCs w:val="24"/>
        </w:rPr>
        <w:t xml:space="preserve"> som en 2-timers infusion hver 3. uge). I alt blev 156 patienter randomiseret til behandling med 5-FU (800 mg/m</w:t>
      </w:r>
      <w:r w:rsidRPr="00D85146">
        <w:rPr>
          <w:sz w:val="24"/>
          <w:szCs w:val="24"/>
          <w:vertAlign w:val="superscript"/>
        </w:rPr>
        <w:t>2</w:t>
      </w:r>
      <w:r>
        <w:rPr>
          <w:sz w:val="24"/>
          <w:szCs w:val="24"/>
        </w:rPr>
        <w:t xml:space="preserve"> daglig som kontinuerlig infusion på dag 1 til 5 hver 3. uge) og cisplatin (80 mg/m</w:t>
      </w:r>
      <w:r w:rsidRPr="009C7ED9">
        <w:rPr>
          <w:sz w:val="24"/>
          <w:szCs w:val="24"/>
          <w:vertAlign w:val="superscript"/>
        </w:rPr>
        <w:t>2</w:t>
      </w:r>
      <w:r>
        <w:rPr>
          <w:sz w:val="24"/>
          <w:szCs w:val="24"/>
        </w:rPr>
        <w:t xml:space="preserve"> som en 2-timers infusion på dag 1 hver 3. uge). Capecitabin var i kombination med cisplatin non-inferiørt i forhold til 5-FU i kombination med cisplatin med hensyn til progressionsfri overlevelse i per protokolanalysen (hazard ratio 0,81; 95 % konfidensinterval 0,63 – 1,04). Den mediane progressionsfrie overlevelse var 5,6 måneder (capecitabin + cisplatin) versus 5,0 måneder (5-FU + cisplatin). Resultatet for hazard ratio for varighed af overlevelse (samlet overlevelse) svarede til resultatet for hazard ratio for progressionsfri overlevelse (hazard ratio 0,85, 95 % konfidensinterval 0,64 – 1,13). Den mediane varighed for overlevelse var 10,5 måneder (capecitabin + cisplatin) versus 9,3 måneder (5-FU + cisplatin). </w:t>
      </w:r>
    </w:p>
    <w:p w:rsidR="00CF3F69" w:rsidRDefault="00CF3F69" w:rsidP="00CF3F69">
      <w:pPr>
        <w:ind w:left="851"/>
        <w:rPr>
          <w:sz w:val="24"/>
          <w:szCs w:val="24"/>
        </w:rPr>
      </w:pPr>
      <w:r>
        <w:rPr>
          <w:sz w:val="24"/>
          <w:szCs w:val="24"/>
        </w:rPr>
        <w:t xml:space="preserve">Data fra et randomiseret fase III-multicenterstudie, der sammenlignede capecitabin med 5-FU og i kombination med enten oxaliplatin eller cisplatin til patienter med fremskreden ventrikelkræft, støtter anvendelse af capecitabin til 1. linjebehandling af fremskreden ventrikelkræft (REAL-2). I dette studie blev 1002 patienter randomiseret i et 2x2 faktor design til en af følgende fire arme: </w:t>
      </w:r>
    </w:p>
    <w:p w:rsidR="00CF3F69" w:rsidRDefault="00CF3F69" w:rsidP="00CF3F69">
      <w:pPr>
        <w:ind w:left="851"/>
        <w:rPr>
          <w:sz w:val="24"/>
          <w:szCs w:val="24"/>
        </w:rPr>
      </w:pPr>
      <w:r>
        <w:rPr>
          <w:sz w:val="24"/>
          <w:szCs w:val="24"/>
        </w:rPr>
        <w:t>- ECF: epirubicin (50 mg/ m</w:t>
      </w:r>
      <w:r w:rsidRPr="00685C2E">
        <w:rPr>
          <w:sz w:val="24"/>
          <w:szCs w:val="24"/>
          <w:vertAlign w:val="superscript"/>
        </w:rPr>
        <w:t>2</w:t>
      </w:r>
      <w:r>
        <w:rPr>
          <w:sz w:val="24"/>
          <w:szCs w:val="24"/>
        </w:rPr>
        <w:t xml:space="preserve"> som bolus på dag 1 hver 3. uge), cisplatin (60 mg/m</w:t>
      </w:r>
      <w:r w:rsidRPr="009C7ED9">
        <w:rPr>
          <w:sz w:val="24"/>
          <w:szCs w:val="24"/>
          <w:vertAlign w:val="superscript"/>
        </w:rPr>
        <w:t>2</w:t>
      </w:r>
      <w:r>
        <w:rPr>
          <w:sz w:val="24"/>
          <w:szCs w:val="24"/>
        </w:rPr>
        <w:t xml:space="preserve"> som en to-timers infusion på dag 1 hver 3. uge) og 5-FU (200 mg/m</w:t>
      </w:r>
      <w:r w:rsidRPr="009C7ED9">
        <w:rPr>
          <w:sz w:val="24"/>
          <w:szCs w:val="24"/>
          <w:vertAlign w:val="superscript"/>
        </w:rPr>
        <w:t>2</w:t>
      </w:r>
      <w:r>
        <w:rPr>
          <w:sz w:val="24"/>
          <w:szCs w:val="24"/>
        </w:rPr>
        <w:t xml:space="preserve"> daglig givet som kontinuerlig infusion via et centralt venekateter). </w:t>
      </w:r>
    </w:p>
    <w:p w:rsidR="00CF3F69" w:rsidRDefault="00CF3F69" w:rsidP="00CF3F69">
      <w:pPr>
        <w:ind w:left="851"/>
        <w:rPr>
          <w:sz w:val="24"/>
          <w:szCs w:val="24"/>
        </w:rPr>
      </w:pPr>
      <w:r>
        <w:rPr>
          <w:sz w:val="24"/>
          <w:szCs w:val="24"/>
        </w:rPr>
        <w:t>- ECX: epirubicin (50 mg/ m</w:t>
      </w:r>
      <w:r w:rsidRPr="00685C2E">
        <w:rPr>
          <w:sz w:val="24"/>
          <w:szCs w:val="24"/>
          <w:vertAlign w:val="superscript"/>
        </w:rPr>
        <w:t>2</w:t>
      </w:r>
      <w:r>
        <w:rPr>
          <w:sz w:val="24"/>
          <w:szCs w:val="24"/>
        </w:rPr>
        <w:t xml:space="preserve"> som bolus på dag 1 hver 3. uge), cisplatin (60 mg/m</w:t>
      </w:r>
      <w:r w:rsidRPr="00685C2E">
        <w:rPr>
          <w:sz w:val="24"/>
          <w:szCs w:val="24"/>
          <w:vertAlign w:val="superscript"/>
        </w:rPr>
        <w:t>2</w:t>
      </w:r>
      <w:r>
        <w:rPr>
          <w:sz w:val="24"/>
          <w:szCs w:val="24"/>
        </w:rPr>
        <w:t xml:space="preserve"> som en to-timers infusion på dag 1 hver 3. uge) og capecitabin (625 mg/m</w:t>
      </w:r>
      <w:r w:rsidRPr="00685C2E">
        <w:rPr>
          <w:sz w:val="24"/>
          <w:szCs w:val="24"/>
          <w:vertAlign w:val="superscript"/>
        </w:rPr>
        <w:t>2</w:t>
      </w:r>
      <w:r>
        <w:rPr>
          <w:sz w:val="24"/>
          <w:szCs w:val="24"/>
        </w:rPr>
        <w:t xml:space="preserve"> to gange daglig givet kontinuerligt). </w:t>
      </w:r>
    </w:p>
    <w:p w:rsidR="00CF3F69" w:rsidRDefault="00CF3F69" w:rsidP="00CF3F69">
      <w:pPr>
        <w:ind w:left="851"/>
        <w:rPr>
          <w:sz w:val="24"/>
          <w:szCs w:val="24"/>
        </w:rPr>
      </w:pPr>
      <w:r>
        <w:rPr>
          <w:sz w:val="24"/>
          <w:szCs w:val="24"/>
        </w:rPr>
        <w:t>- EOF: epirubicin (50 mg/ m</w:t>
      </w:r>
      <w:r w:rsidRPr="00685C2E">
        <w:rPr>
          <w:sz w:val="24"/>
          <w:szCs w:val="24"/>
          <w:vertAlign w:val="superscript"/>
        </w:rPr>
        <w:t>2</w:t>
      </w:r>
      <w:r>
        <w:rPr>
          <w:sz w:val="24"/>
          <w:szCs w:val="24"/>
        </w:rPr>
        <w:t xml:space="preserve"> som bolus på dag 1 hver 3. uge), oxaliplatin (130 mg/m</w:t>
      </w:r>
      <w:r w:rsidRPr="00685C2E">
        <w:rPr>
          <w:sz w:val="24"/>
          <w:szCs w:val="24"/>
          <w:vertAlign w:val="superscript"/>
        </w:rPr>
        <w:t>2</w:t>
      </w:r>
      <w:r>
        <w:rPr>
          <w:sz w:val="24"/>
          <w:szCs w:val="24"/>
        </w:rPr>
        <w:t xml:space="preserve"> som en to-timers infusion på dag 1 hver 3. uge) og 5-FU (200 mg/m</w:t>
      </w:r>
      <w:r w:rsidRPr="00685C2E">
        <w:rPr>
          <w:sz w:val="24"/>
          <w:szCs w:val="24"/>
          <w:vertAlign w:val="superscript"/>
        </w:rPr>
        <w:t xml:space="preserve">2 </w:t>
      </w:r>
      <w:r>
        <w:rPr>
          <w:sz w:val="24"/>
          <w:szCs w:val="24"/>
        </w:rPr>
        <w:t xml:space="preserve">daglig givet som kontinuerlig infusion via en central linje). </w:t>
      </w:r>
    </w:p>
    <w:p w:rsidR="00CF3F69" w:rsidRDefault="00CF3F69" w:rsidP="00CF3F69">
      <w:pPr>
        <w:ind w:left="851"/>
        <w:rPr>
          <w:sz w:val="24"/>
          <w:szCs w:val="24"/>
        </w:rPr>
      </w:pPr>
      <w:r>
        <w:rPr>
          <w:sz w:val="24"/>
          <w:szCs w:val="24"/>
        </w:rPr>
        <w:t>- EOX: epirubicin (50 mg/m</w:t>
      </w:r>
      <w:r w:rsidRPr="00685C2E">
        <w:rPr>
          <w:sz w:val="24"/>
          <w:szCs w:val="24"/>
          <w:vertAlign w:val="superscript"/>
        </w:rPr>
        <w:t xml:space="preserve">2 </w:t>
      </w:r>
      <w:r>
        <w:rPr>
          <w:sz w:val="24"/>
          <w:szCs w:val="24"/>
        </w:rPr>
        <w:t>som bolus på dag 1 hver 3. uge), oxaliplatin (130 mg/m</w:t>
      </w:r>
      <w:r w:rsidRPr="00685C2E">
        <w:rPr>
          <w:sz w:val="24"/>
          <w:szCs w:val="24"/>
          <w:vertAlign w:val="superscript"/>
        </w:rPr>
        <w:t>2</w:t>
      </w:r>
      <w:r>
        <w:rPr>
          <w:sz w:val="24"/>
          <w:szCs w:val="24"/>
        </w:rPr>
        <w:t xml:space="preserve"> som en to-timers infusion på dag 1 hver 3. uge) og capecitabin (625 mg/m</w:t>
      </w:r>
      <w:r w:rsidRPr="00685C2E">
        <w:rPr>
          <w:sz w:val="24"/>
          <w:szCs w:val="24"/>
          <w:vertAlign w:val="superscript"/>
        </w:rPr>
        <w:t>2</w:t>
      </w:r>
      <w:r>
        <w:rPr>
          <w:sz w:val="24"/>
          <w:szCs w:val="24"/>
        </w:rPr>
        <w:t xml:space="preserve"> to gange daglig givet kontinuerligt).</w:t>
      </w:r>
    </w:p>
    <w:p w:rsidR="00CF3F69" w:rsidRDefault="00CF3F69" w:rsidP="00CF3F69">
      <w:pPr>
        <w:ind w:left="851"/>
        <w:rPr>
          <w:sz w:val="24"/>
          <w:szCs w:val="24"/>
        </w:rPr>
      </w:pPr>
    </w:p>
    <w:p w:rsidR="00CF3F69" w:rsidRDefault="00CF3F69" w:rsidP="00CF3F69">
      <w:pPr>
        <w:ind w:left="851"/>
        <w:rPr>
          <w:sz w:val="24"/>
          <w:szCs w:val="24"/>
        </w:rPr>
      </w:pPr>
      <w:r>
        <w:rPr>
          <w:sz w:val="24"/>
          <w:szCs w:val="24"/>
        </w:rPr>
        <w:t xml:space="preserve">Den primære effektanalyse i per protokolpopulationen demonstrerede non-inferioritet i samlet overlevelse for capecitabin versus 5-FU regimerne (hazard ratio 0,86; 95 % konfidensinterval 0,8-0,99) og for oxaliplatin mod cisplatinbaserede regimer (hazard ratio 0,92; 95 % konfidensinterval 0,80-1,1). Den mediane samlede overlevelse var 10,9 måneder for de capecitabinbaserede regimer og 9,6 måneder for de 5-FU-baserede regimer. Den mediane samlede overlevelse var 10,0 måneder for de cisplatinbaserede regimer og 10,4 måneder for de oxaliplatin-baserede regimer. </w:t>
      </w:r>
    </w:p>
    <w:p w:rsidR="00CF3F69" w:rsidRDefault="00CF3F69" w:rsidP="00CF3F69">
      <w:pPr>
        <w:ind w:left="851"/>
        <w:rPr>
          <w:sz w:val="24"/>
          <w:szCs w:val="24"/>
        </w:rPr>
      </w:pPr>
      <w:r>
        <w:rPr>
          <w:sz w:val="24"/>
          <w:szCs w:val="24"/>
        </w:rPr>
        <w:t>Capecitabin har også været anvendt i kombination med oxaliplatin til behandling af fremskreden ventrikelkræft. Studier med capecitabin-monoterapi indikerer, at capecitabin har effekt i fremskreden ventrikelkræft.</w:t>
      </w:r>
    </w:p>
    <w:p w:rsidR="00CF3F69" w:rsidRDefault="00CF3F69" w:rsidP="00CF3F69">
      <w:pPr>
        <w:ind w:left="851"/>
        <w:rPr>
          <w:sz w:val="24"/>
          <w:szCs w:val="24"/>
        </w:rPr>
      </w:pPr>
    </w:p>
    <w:p w:rsidR="00CF3F69" w:rsidRDefault="00CF3F69" w:rsidP="00CF3F69">
      <w:pPr>
        <w:ind w:left="851"/>
        <w:rPr>
          <w:sz w:val="24"/>
          <w:szCs w:val="24"/>
          <w:u w:val="single"/>
        </w:rPr>
      </w:pPr>
      <w:r>
        <w:rPr>
          <w:sz w:val="24"/>
          <w:szCs w:val="24"/>
          <w:u w:val="single"/>
        </w:rPr>
        <w:t xml:space="preserve">Kolonkræft, kolorektalkræft og fremskreden ventrikelkræft, metaanalyse </w:t>
      </w:r>
    </w:p>
    <w:p w:rsidR="00CF3F69" w:rsidRPr="001E06B0" w:rsidRDefault="00CF3F69" w:rsidP="001E06B0">
      <w:pPr>
        <w:ind w:left="851"/>
        <w:rPr>
          <w:sz w:val="24"/>
          <w:szCs w:val="24"/>
        </w:rPr>
      </w:pPr>
      <w:r>
        <w:rPr>
          <w:sz w:val="24"/>
          <w:szCs w:val="24"/>
        </w:rPr>
        <w:t xml:space="preserve">En metaanalyse af seks kliniske forsøg (studie SO14695, SO14796, M66001, NO16966, NO16967 og M17032) støtter, at capecitabin kan erstatte 5-FU i mono- og kombinationsbehandling af gastrointestinal kræft. Den poolede analyse omfatter 3097 patienter, som blev behandlet med regimer, som indeholdt capecitabin, og 3074 patienter, som blev behandlet med regimer, som indeholdt 5-FU. Den mediane samlede overlevelse var 703 dage (95 % konfidensinterval: 671, 745) hos patienter, som blev behandlet med regimer, der indeholdt capecitabin og 683 dage (95 % konfidensinterval: 646, 715) hos patienter, som blev behandlet med regimer, der indeholdt 5-FU. Hazard ratio for samlet overlevelse var 0,94 (95 % konfidensinterval: 0,89; 1,00: p = 0,0489). Det indikerer, at </w:t>
      </w:r>
      <w:r>
        <w:rPr>
          <w:sz w:val="24"/>
          <w:szCs w:val="24"/>
        </w:rPr>
        <w:lastRenderedPageBreak/>
        <w:t>regimer, som indeholder capecitabin, er non-inferiøre i forhold til regimer, som indeholder 5-FU.</w:t>
      </w:r>
    </w:p>
    <w:p w:rsidR="00CF3F69" w:rsidRDefault="00CF3F69" w:rsidP="00CF3F69">
      <w:pPr>
        <w:keepNext/>
        <w:ind w:left="851"/>
        <w:rPr>
          <w:sz w:val="24"/>
          <w:szCs w:val="24"/>
          <w:u w:val="single"/>
        </w:rPr>
      </w:pPr>
    </w:p>
    <w:p w:rsidR="00CF3F69" w:rsidRPr="0062649C" w:rsidRDefault="00CF3F69" w:rsidP="00CF3F69">
      <w:pPr>
        <w:keepNext/>
        <w:ind w:left="851"/>
        <w:rPr>
          <w:sz w:val="24"/>
          <w:szCs w:val="24"/>
          <w:u w:val="single"/>
        </w:rPr>
      </w:pPr>
      <w:r>
        <w:rPr>
          <w:sz w:val="24"/>
          <w:szCs w:val="24"/>
          <w:u w:val="single"/>
        </w:rPr>
        <w:t>Brystkræft</w:t>
      </w:r>
    </w:p>
    <w:p w:rsidR="00CF3F69" w:rsidRDefault="00CF3F69" w:rsidP="00CF3F69">
      <w:pPr>
        <w:ind w:left="851"/>
        <w:rPr>
          <w:sz w:val="24"/>
          <w:szCs w:val="24"/>
        </w:rPr>
      </w:pPr>
    </w:p>
    <w:p w:rsidR="00CF3F69" w:rsidRPr="00A502D4" w:rsidRDefault="00CF3F69" w:rsidP="00CF3F69">
      <w:pPr>
        <w:ind w:left="851"/>
        <w:rPr>
          <w:i/>
          <w:sz w:val="24"/>
          <w:szCs w:val="24"/>
        </w:rPr>
      </w:pPr>
      <w:r w:rsidRPr="00A502D4">
        <w:rPr>
          <w:i/>
          <w:sz w:val="24"/>
          <w:szCs w:val="24"/>
        </w:rPr>
        <w:t xml:space="preserve">Kombinationsbehandling med capecitabin og docetaxel ved lokal advanceret eller metastatisk brystkræft </w:t>
      </w:r>
    </w:p>
    <w:p w:rsidR="00CF3F69" w:rsidRDefault="00CF3F69" w:rsidP="00CF3F69">
      <w:pPr>
        <w:ind w:left="851"/>
        <w:rPr>
          <w:sz w:val="24"/>
          <w:szCs w:val="24"/>
        </w:rPr>
      </w:pPr>
      <w:r>
        <w:rPr>
          <w:sz w:val="24"/>
          <w:szCs w:val="24"/>
        </w:rPr>
        <w:t>Data fra et randomiseret, kontrolleret, klinisk fase III-multicenterstudie støtter anvendelsen af capecitabin i kombination med docetaxel til behandling af patienter med lokal fremskreden eller metastatisk brystkræft hos hvem cytotoksisk kemoterapi, inklusive et anthracyklin, har svigtet. I dette studie randomiseredes 255 patienter til behandling med capecitabin (1250 mg/m</w:t>
      </w:r>
      <w:r w:rsidRPr="00E017FE">
        <w:rPr>
          <w:sz w:val="24"/>
          <w:szCs w:val="24"/>
          <w:vertAlign w:val="superscript"/>
        </w:rPr>
        <w:t>2</w:t>
      </w:r>
      <w:r>
        <w:rPr>
          <w:sz w:val="24"/>
          <w:szCs w:val="24"/>
        </w:rPr>
        <w:t xml:space="preserve"> to gange daglig i 2 uger efterfulgt af en uges pause og behandling med docetaxel 75 mg/m</w:t>
      </w:r>
      <w:r w:rsidRPr="00E017FE">
        <w:rPr>
          <w:sz w:val="24"/>
          <w:szCs w:val="24"/>
          <w:vertAlign w:val="superscript"/>
        </w:rPr>
        <w:t>2</w:t>
      </w:r>
      <w:r>
        <w:rPr>
          <w:sz w:val="24"/>
          <w:szCs w:val="24"/>
        </w:rPr>
        <w:t xml:space="preserve"> som 1 times intravøs infusion hver 3. uge). 256 patienter blev randomiseret til behandling med docetaxel alene (100 mg/m</w:t>
      </w:r>
      <w:r w:rsidRPr="00E017FE">
        <w:rPr>
          <w:sz w:val="24"/>
          <w:szCs w:val="24"/>
          <w:vertAlign w:val="superscript"/>
        </w:rPr>
        <w:t>2</w:t>
      </w:r>
      <w:r>
        <w:rPr>
          <w:sz w:val="24"/>
          <w:szCs w:val="24"/>
        </w:rPr>
        <w:t xml:space="preserve"> som 1 times intravøs infusion hver 3. uge). Overlevelsen var bedre i kombinationsarmen med capecitabin + docetaxel (p = 0,0126). Den mediane overlevelse var 442 dage (docetaxel + capecitabin) vs. 352 dage (docetaxel alene). De totale objektive responsrater i den totale randomiserede population (investigators vurdering) var 41,6 % (capecitabin + docetaxel) vs. 29,7 % (docetaxel alene); p = 0,0058. Tid indtil progressiv sygdom var længere i kombinationsarmen med capecitabin+ docetaxel (p &lt; 0,0001). Den mediane tid indtil progression var 186 dage (capecitabin + docetaxel) vs. 128 dage (docetaxel alene). </w:t>
      </w:r>
    </w:p>
    <w:p w:rsidR="00CF3F69" w:rsidRDefault="00CF3F69" w:rsidP="00CF3F69">
      <w:pPr>
        <w:ind w:left="851"/>
        <w:rPr>
          <w:sz w:val="24"/>
          <w:szCs w:val="24"/>
        </w:rPr>
      </w:pPr>
    </w:p>
    <w:p w:rsidR="00CF3F69" w:rsidRDefault="00CF3F69" w:rsidP="00CF3F69">
      <w:pPr>
        <w:ind w:left="851"/>
        <w:rPr>
          <w:sz w:val="24"/>
          <w:szCs w:val="24"/>
        </w:rPr>
      </w:pPr>
      <w:r>
        <w:rPr>
          <w:i/>
          <w:iCs/>
          <w:sz w:val="24"/>
          <w:szCs w:val="24"/>
        </w:rPr>
        <w:t>Monoterapi med capecitabin efter svigt af taxaner og kemoterapi, som indeholder antracykliner, og af patienter til hvem behandling med antracykliner ikke er indiceret:</w:t>
      </w:r>
    </w:p>
    <w:p w:rsidR="00CF3F69" w:rsidRDefault="00CF3F69" w:rsidP="00CF3F69">
      <w:pPr>
        <w:ind w:left="851"/>
        <w:rPr>
          <w:sz w:val="24"/>
          <w:szCs w:val="24"/>
        </w:rPr>
      </w:pPr>
      <w:r>
        <w:rPr>
          <w:sz w:val="24"/>
          <w:szCs w:val="24"/>
        </w:rPr>
        <w:t>Data fra to kliniske multicenterstudier i fase II støtter anvendelsen af capecitabin-monoterapi hos patienter, hos hvem taxoider og et anthracyklinindeholdende kemoterapiregime har svigtet, eller hos hvem yderligere anthracyklinbehandling ikke er indiceret. I disse studier blev 236 patienter behandlet med capecitabin (1250 mg/m</w:t>
      </w:r>
      <w:r>
        <w:rPr>
          <w:sz w:val="24"/>
          <w:szCs w:val="24"/>
          <w:vertAlign w:val="superscript"/>
        </w:rPr>
        <w:t xml:space="preserve">2 </w:t>
      </w:r>
      <w:r>
        <w:rPr>
          <w:sz w:val="24"/>
          <w:szCs w:val="24"/>
        </w:rPr>
        <w:t>to gange daglig i 2 uger efterfulgt af en uges pause). De totale objektive responsrater (investigators vurdering) var 20 % (første studie) og 25 % (andet studie). Den mediane tid indtil progression var 93 og 98 dage. Den mediane overlevelse var 384 og 373 dage.</w:t>
      </w:r>
    </w:p>
    <w:p w:rsidR="00CF3F69" w:rsidRDefault="00CF3F69" w:rsidP="00CF3F69">
      <w:pPr>
        <w:ind w:left="851"/>
        <w:rPr>
          <w:sz w:val="24"/>
          <w:szCs w:val="24"/>
        </w:rPr>
      </w:pPr>
    </w:p>
    <w:p w:rsidR="00CF3F69" w:rsidRDefault="00CF3F69" w:rsidP="00CF3F69">
      <w:pPr>
        <w:ind w:left="851"/>
        <w:rPr>
          <w:sz w:val="24"/>
          <w:szCs w:val="24"/>
        </w:rPr>
      </w:pPr>
      <w:r>
        <w:rPr>
          <w:sz w:val="24"/>
          <w:szCs w:val="24"/>
          <w:u w:val="single"/>
        </w:rPr>
        <w:t>Alle indikationer</w:t>
      </w:r>
    </w:p>
    <w:p w:rsidR="00CF3F69" w:rsidRDefault="00CF3F69" w:rsidP="00CF3F69">
      <w:pPr>
        <w:ind w:left="851"/>
        <w:rPr>
          <w:sz w:val="24"/>
          <w:szCs w:val="24"/>
        </w:rPr>
      </w:pPr>
      <w:r>
        <w:rPr>
          <w:sz w:val="24"/>
          <w:szCs w:val="24"/>
        </w:rPr>
        <w:t>En metaanalyse af 14 kliniske studier med data fra mere end 4.700 patienter, som er blevet behandlet med capecitabin-monoterapi eller capecitabin i kombination med forskellige kemoterapiregimer indenfor flere indikationer (kolonkræft, kolorektalkræft, ventrikelkræft og brystkræft) viste, at patienter behandlet med capecitabin, som udviklede hand-foot syndrom, havde en længere samlet overlevelse sammenlignet med patienter, som ikke udviklede hand-foot syndrom: gennemsnitlige samlede overlevelse var 1100 dage (95 % konfidensinterval 1007; 1200) versus 691 dage (95 % konfidensinterval 638; 754). Hazard ratio var 0,61 (95 % konfidensinterval 0,56; 0,66).</w:t>
      </w:r>
    </w:p>
    <w:p w:rsidR="00CF3F69" w:rsidRDefault="00CF3F69" w:rsidP="00CF3F69">
      <w:pPr>
        <w:ind w:left="851"/>
        <w:rPr>
          <w:sz w:val="24"/>
          <w:szCs w:val="24"/>
        </w:rPr>
      </w:pPr>
    </w:p>
    <w:p w:rsidR="00CF3F69" w:rsidRDefault="00CF3F69" w:rsidP="00CF3F69">
      <w:pPr>
        <w:tabs>
          <w:tab w:val="left" w:pos="851"/>
        </w:tabs>
        <w:ind w:left="851"/>
        <w:rPr>
          <w:sz w:val="24"/>
          <w:szCs w:val="24"/>
        </w:rPr>
      </w:pPr>
      <w:r>
        <w:rPr>
          <w:sz w:val="24"/>
          <w:szCs w:val="24"/>
          <w:u w:val="single"/>
        </w:rPr>
        <w:t>Pædiatrisk population</w:t>
      </w:r>
    </w:p>
    <w:p w:rsidR="00CF3F69" w:rsidRPr="00381C27" w:rsidRDefault="00CF3F69" w:rsidP="00CF3F69">
      <w:pPr>
        <w:tabs>
          <w:tab w:val="left" w:pos="851"/>
        </w:tabs>
        <w:ind w:left="851"/>
        <w:rPr>
          <w:sz w:val="24"/>
          <w:szCs w:val="24"/>
        </w:rPr>
      </w:pPr>
      <w:r>
        <w:rPr>
          <w:sz w:val="24"/>
          <w:szCs w:val="24"/>
        </w:rPr>
        <w:t>Det europæiske lægemiddelagentur har fraveget betingelsen om at foretage studier med capecitabin i alle undergrupper i den pædiatriske population ved adenocarcinom i colon og rectum, gastrisk adenocarcinom og bryst carcinom (se pkt. 4.2 for information til pædiatrisk anvendelse).</w:t>
      </w:r>
    </w:p>
    <w:p w:rsidR="00CF3F69" w:rsidRPr="00EC0B9B" w:rsidRDefault="00CF3F69" w:rsidP="00CF3F69">
      <w:pPr>
        <w:tabs>
          <w:tab w:val="left" w:pos="851"/>
        </w:tabs>
        <w:ind w:left="851"/>
        <w:rPr>
          <w:sz w:val="24"/>
          <w:szCs w:val="24"/>
        </w:rPr>
      </w:pPr>
    </w:p>
    <w:p w:rsidR="00CF3F69" w:rsidRPr="00EC0B9B" w:rsidRDefault="00CF3F69" w:rsidP="00CF3F69">
      <w:pPr>
        <w:numPr>
          <w:ilvl w:val="1"/>
          <w:numId w:val="3"/>
        </w:numPr>
        <w:rPr>
          <w:b/>
          <w:sz w:val="24"/>
          <w:szCs w:val="24"/>
        </w:rPr>
      </w:pPr>
      <w:r w:rsidRPr="00EC0B9B">
        <w:rPr>
          <w:b/>
          <w:sz w:val="24"/>
          <w:szCs w:val="24"/>
        </w:rPr>
        <w:t>Farmakokinetiske egenskaber</w:t>
      </w:r>
    </w:p>
    <w:p w:rsidR="00CF3F69" w:rsidRDefault="00CF3F69" w:rsidP="00CF3F69">
      <w:pPr>
        <w:ind w:left="851"/>
        <w:rPr>
          <w:sz w:val="24"/>
          <w:szCs w:val="24"/>
        </w:rPr>
      </w:pPr>
      <w:r>
        <w:rPr>
          <w:sz w:val="24"/>
          <w:szCs w:val="24"/>
        </w:rPr>
        <w:t>Capecitabins farmakokinetik er undersøgt i dosisintervallet 502 – 3.514 mg/m</w:t>
      </w:r>
      <w:r w:rsidRPr="00D85146">
        <w:rPr>
          <w:sz w:val="24"/>
          <w:szCs w:val="24"/>
          <w:vertAlign w:val="superscript"/>
        </w:rPr>
        <w:t>2</w:t>
      </w:r>
      <w:r>
        <w:rPr>
          <w:sz w:val="24"/>
          <w:szCs w:val="24"/>
        </w:rPr>
        <w:t>/dag. Parametrene for capecitabin, 5’-deoxy-5-fluorocytidin (5’-DFCR) og 5’-deoxy-5-</w:t>
      </w:r>
      <w:r>
        <w:rPr>
          <w:sz w:val="24"/>
          <w:szCs w:val="24"/>
        </w:rPr>
        <w:lastRenderedPageBreak/>
        <w:t xml:space="preserve">fluorouridin (5’-DFUR) var ens på dag 1 og 14. AUC for 5-FU var 30-35 % højere på dag 14. Dosisreduktion af capecitabin nedsætter den systemiske eksponering for 5-FU mere end svarende til dosisproportionaliteten på grund af den aktive metabolits non-lineære farmakokinetik. </w:t>
      </w:r>
    </w:p>
    <w:p w:rsidR="00CF3F69" w:rsidRDefault="00CF3F69" w:rsidP="00CF3F69">
      <w:pPr>
        <w:ind w:left="851"/>
        <w:rPr>
          <w:sz w:val="24"/>
          <w:szCs w:val="24"/>
        </w:rPr>
      </w:pPr>
    </w:p>
    <w:p w:rsidR="00CF3F69" w:rsidRPr="003F2867" w:rsidRDefault="00CF3F69" w:rsidP="00CF3F69">
      <w:pPr>
        <w:ind w:left="851"/>
        <w:rPr>
          <w:sz w:val="24"/>
          <w:szCs w:val="24"/>
          <w:u w:val="single"/>
        </w:rPr>
      </w:pPr>
      <w:r w:rsidRPr="003F2867">
        <w:rPr>
          <w:sz w:val="24"/>
          <w:szCs w:val="24"/>
          <w:u w:val="single"/>
        </w:rPr>
        <w:t>Absorption</w:t>
      </w:r>
    </w:p>
    <w:p w:rsidR="00CF3F69" w:rsidRDefault="00CF3F69" w:rsidP="00CF3F69">
      <w:pPr>
        <w:ind w:left="851"/>
        <w:rPr>
          <w:sz w:val="24"/>
          <w:szCs w:val="24"/>
        </w:rPr>
      </w:pPr>
      <w:r>
        <w:rPr>
          <w:sz w:val="24"/>
          <w:szCs w:val="24"/>
        </w:rPr>
        <w:t>Efter oral administration absorberes capecitabin hurtigt og fuldstændigt efterfulgt af en omfattende omdannelse til metabolitterne 5’-DFCR og 5‘-DFUR. Administration sammen med føde nedsætter hastigheden af capecitabinabsorptionen, men medfører kun mindre virkning på 5‘-DFURs AUC og på AUC af den efterfølgende metabolit 5-FU. Efter en dosis på mg/m</w:t>
      </w:r>
      <w:r w:rsidRPr="00D85146">
        <w:rPr>
          <w:sz w:val="24"/>
          <w:szCs w:val="24"/>
          <w:vertAlign w:val="superscript"/>
        </w:rPr>
        <w:t>2</w:t>
      </w:r>
      <w:r>
        <w:rPr>
          <w:sz w:val="24"/>
          <w:szCs w:val="24"/>
        </w:rPr>
        <w:t xml:space="preserve"> efter indtagelse af føde var peak-plasmakoncentrationerne på dag 14 (Cmax, μg/ml) for capecitabin, 5’-DFCR, 5’-DFUR, 5-FU og FBAL 4,67; 3,05; 12,1; 0,95 og 5,46. Tiden indtil peak-plasmakoncentrationen (T</w:t>
      </w:r>
      <w:r w:rsidRPr="00EA77A5">
        <w:rPr>
          <w:sz w:val="24"/>
          <w:szCs w:val="24"/>
          <w:vertAlign w:val="subscript"/>
        </w:rPr>
        <w:t>max</w:t>
      </w:r>
      <w:r>
        <w:rPr>
          <w:sz w:val="24"/>
          <w:szCs w:val="24"/>
        </w:rPr>
        <w:t xml:space="preserve">, timer) var 1,50; 2,00; 2,00; 2,00 og 3,34. AUC0-∞ værdierne (μg•time/ml var 7,75; 7,24; 24,6; 2,03 og 36,3). </w:t>
      </w:r>
    </w:p>
    <w:p w:rsidR="00CF3F69" w:rsidRDefault="00CF3F69" w:rsidP="00CF3F69">
      <w:pPr>
        <w:ind w:left="851"/>
        <w:rPr>
          <w:sz w:val="24"/>
          <w:szCs w:val="24"/>
        </w:rPr>
      </w:pPr>
    </w:p>
    <w:p w:rsidR="00CF3F69" w:rsidRPr="003F2867" w:rsidRDefault="00CF3F69" w:rsidP="00CF3F69">
      <w:pPr>
        <w:ind w:left="851"/>
        <w:rPr>
          <w:sz w:val="24"/>
          <w:szCs w:val="24"/>
          <w:u w:val="single"/>
        </w:rPr>
      </w:pPr>
      <w:r w:rsidRPr="003F2867">
        <w:rPr>
          <w:sz w:val="24"/>
          <w:szCs w:val="24"/>
          <w:u w:val="single"/>
        </w:rPr>
        <w:t>Fordeling</w:t>
      </w:r>
    </w:p>
    <w:p w:rsidR="00CF3F69" w:rsidRDefault="00CF3F69" w:rsidP="00CF3F69">
      <w:pPr>
        <w:ind w:left="851"/>
        <w:rPr>
          <w:sz w:val="24"/>
          <w:szCs w:val="24"/>
        </w:rPr>
      </w:pPr>
      <w:r>
        <w:rPr>
          <w:sz w:val="24"/>
          <w:szCs w:val="24"/>
        </w:rPr>
        <w:t>Humane plasmaundersøgelser in vitro har vist at capecitabin, 5′-DFCR, 5′-DFUR og 5-FU er hhv. 54 %, 10 %, 62 % og 10 % bundet til protein, hovedsageligt til albumin.</w:t>
      </w:r>
    </w:p>
    <w:p w:rsidR="00CF3F69" w:rsidRDefault="00CF3F69" w:rsidP="00CF3F69">
      <w:pPr>
        <w:ind w:left="851"/>
        <w:rPr>
          <w:sz w:val="24"/>
          <w:szCs w:val="24"/>
        </w:rPr>
      </w:pPr>
    </w:p>
    <w:p w:rsidR="00CF3F69" w:rsidRPr="003F2867" w:rsidRDefault="00CF3F69" w:rsidP="00CF3F69">
      <w:pPr>
        <w:ind w:left="851"/>
        <w:rPr>
          <w:sz w:val="24"/>
          <w:szCs w:val="24"/>
          <w:u w:val="single"/>
        </w:rPr>
      </w:pPr>
      <w:r w:rsidRPr="003F2867">
        <w:rPr>
          <w:sz w:val="24"/>
          <w:szCs w:val="24"/>
          <w:u w:val="single"/>
        </w:rPr>
        <w:t>Biotransformation</w:t>
      </w:r>
    </w:p>
    <w:p w:rsidR="00CF3F69" w:rsidRDefault="00CF3F69" w:rsidP="00CF3F69">
      <w:pPr>
        <w:ind w:left="851"/>
        <w:rPr>
          <w:sz w:val="24"/>
          <w:szCs w:val="24"/>
        </w:rPr>
      </w:pPr>
      <w:r>
        <w:rPr>
          <w:sz w:val="24"/>
          <w:szCs w:val="24"/>
        </w:rPr>
        <w:t xml:space="preserve">Capecitabin metaboliseres først af hepatisk carboxylesterase til 5’-DFCR, som derefter omdannes til 5’-DFUR af cytidindeaminase, som fortrinsvis findes i leveren og i tumorvæv. Den videre katalytiske aktivering af 5’-DFUR sker derefter ved hjælp af thymidinfosforylase (ThyPase). Enzymerne, som er involveret i den katalytiske aktivering, findes i tumorvæv, men også i normalt væv, om end i lavere koncentrationer. Den sekventielle enzymatiske biotransformation af capecitabin til 5-FU fører til højere koncentrationer inden i tumorcellerne. For så vidt angår kolorektale tumorer synes dannelsen af 5-FU hovedsageligt at være lokaliseret til stromale tumorceller. Efter oral administration af capecitabin til patienter med kolorektalkræft var forholdet mellem koncentrationen af 5-FU i de kolorektale tumorer og i de tilstødende væv 3,2 (spændvidde: 0,9-8,0). Forholdet mellem koncentrationen af 5-FU i tumor og plasma var 21,4 (spændvidde: 3,9-59,9, n=8), mens forholdet mellem normalt væv og plasma var 8,9 (spændvidde: 3,0-25,8, n=8). Thymidinfosforylaseaktiviteten var 4 gange større i primært kolorektalt tumorvæv end i det tilstødende normale væv. I henhold til immunohistokemiske studier synes thymidinfosforylase hovedsageligt lokaliseret i stromale tumorceller. </w:t>
      </w:r>
    </w:p>
    <w:p w:rsidR="00CF3F69" w:rsidRDefault="00CF3F69" w:rsidP="00CF3F69">
      <w:pPr>
        <w:ind w:left="851"/>
        <w:rPr>
          <w:sz w:val="24"/>
          <w:szCs w:val="24"/>
        </w:rPr>
      </w:pPr>
      <w:r>
        <w:rPr>
          <w:sz w:val="24"/>
          <w:szCs w:val="24"/>
        </w:rPr>
        <w:t>5-FU nedbrydes yderligere af enzymet dihydropyrimidindehydrogenase (DPD) til det meget mindre toksiske dihydro-5-fluoruracil (FUH</w:t>
      </w:r>
      <w:r>
        <w:rPr>
          <w:sz w:val="24"/>
          <w:szCs w:val="24"/>
          <w:vertAlign w:val="subscript"/>
        </w:rPr>
        <w:t>2</w:t>
      </w:r>
      <w:r>
        <w:rPr>
          <w:sz w:val="24"/>
          <w:szCs w:val="24"/>
        </w:rPr>
        <w:t xml:space="preserve">). Dihydropyrimidinase spalter pyrimidinringen til 5-fluoro-ureidopropionsyre (FUPA). Endeligt spalter β-ureido-propionase FUPA til α-fluoro-β-alanin (FBAL), som udskilles i urinen. Dihydropyrimidindehydrogenase (DPD) aktiviteten er det hastighedsbestemmende trin. </w:t>
      </w:r>
      <w:proofErr w:type="gramStart"/>
      <w:r>
        <w:rPr>
          <w:sz w:val="24"/>
          <w:szCs w:val="24"/>
        </w:rPr>
        <w:t>DPD deficit</w:t>
      </w:r>
      <w:proofErr w:type="gramEnd"/>
      <w:r>
        <w:rPr>
          <w:sz w:val="24"/>
          <w:szCs w:val="24"/>
        </w:rPr>
        <w:t xml:space="preserve"> kan medføre øget toksicitet af capecitabin (se pkt. 4.3 og 4.4). </w:t>
      </w:r>
    </w:p>
    <w:p w:rsidR="00CF3F69" w:rsidRDefault="00CF3F69" w:rsidP="00CF3F69">
      <w:pPr>
        <w:ind w:left="851"/>
        <w:rPr>
          <w:sz w:val="24"/>
          <w:szCs w:val="24"/>
        </w:rPr>
      </w:pPr>
    </w:p>
    <w:p w:rsidR="00CF3F69" w:rsidRPr="003F2867" w:rsidRDefault="00CF3F69" w:rsidP="00CF3F69">
      <w:pPr>
        <w:ind w:left="851"/>
        <w:rPr>
          <w:iCs/>
          <w:sz w:val="24"/>
          <w:szCs w:val="24"/>
          <w:u w:val="single"/>
        </w:rPr>
      </w:pPr>
      <w:r w:rsidRPr="003F2867">
        <w:rPr>
          <w:iCs/>
          <w:sz w:val="24"/>
          <w:szCs w:val="24"/>
          <w:u w:val="single"/>
        </w:rPr>
        <w:t>Elimination</w:t>
      </w:r>
    </w:p>
    <w:p w:rsidR="00CF3F69" w:rsidRDefault="00CF3F69" w:rsidP="00CF3F69">
      <w:pPr>
        <w:ind w:left="851"/>
        <w:rPr>
          <w:sz w:val="24"/>
          <w:szCs w:val="24"/>
        </w:rPr>
      </w:pPr>
      <w:r>
        <w:rPr>
          <w:sz w:val="24"/>
          <w:szCs w:val="24"/>
        </w:rPr>
        <w:t>Eliminationshalveringstiden (t</w:t>
      </w:r>
      <w:r>
        <w:rPr>
          <w:sz w:val="24"/>
          <w:szCs w:val="24"/>
          <w:vertAlign w:val="subscript"/>
        </w:rPr>
        <w:t xml:space="preserve">½, </w:t>
      </w:r>
      <w:r>
        <w:rPr>
          <w:sz w:val="24"/>
          <w:szCs w:val="24"/>
        </w:rPr>
        <w:t xml:space="preserve">timer) for capecitabin, 5’-DFCR, 5’-DFUR, 5-FU og FBAL var 0,85, 1,11, 0,66, 0,76 og 3,23. Capecitabin og dets metabolitter udskilles primært i urinen. 95,5 % af den indgivne capecitabindosis genfandtes i urinen. Udskillelse i fæces er minimal (2,6 %). Hovedmetabolitten som udskilles i urinen er FBAL, der repræsenterer 57 % af den indgivne dosis. Ca. 3 % af den indgivne dosis udskilles uændret i urinen. </w:t>
      </w:r>
    </w:p>
    <w:p w:rsidR="00CF3F69" w:rsidRDefault="00CF3F69" w:rsidP="00CF3F69">
      <w:pPr>
        <w:ind w:left="851"/>
        <w:rPr>
          <w:sz w:val="24"/>
          <w:szCs w:val="24"/>
        </w:rPr>
      </w:pPr>
    </w:p>
    <w:p w:rsidR="00CF3F69" w:rsidRPr="00CD0427" w:rsidRDefault="00CF3F69" w:rsidP="00CF3F69">
      <w:pPr>
        <w:keepNext/>
        <w:ind w:left="851"/>
        <w:rPr>
          <w:sz w:val="24"/>
          <w:szCs w:val="24"/>
          <w:u w:val="single"/>
        </w:rPr>
      </w:pPr>
      <w:r w:rsidRPr="00CD0427">
        <w:rPr>
          <w:iCs/>
          <w:sz w:val="24"/>
          <w:szCs w:val="24"/>
          <w:u w:val="single"/>
        </w:rPr>
        <w:lastRenderedPageBreak/>
        <w:t>Kombinationsbehandling</w:t>
      </w:r>
    </w:p>
    <w:p w:rsidR="00CF3F69" w:rsidRDefault="00CF3F69" w:rsidP="00CF3F69">
      <w:pPr>
        <w:ind w:left="851"/>
        <w:rPr>
          <w:sz w:val="24"/>
          <w:szCs w:val="24"/>
        </w:rPr>
      </w:pPr>
      <w:r>
        <w:rPr>
          <w:sz w:val="24"/>
          <w:szCs w:val="24"/>
        </w:rPr>
        <w:t>Fase I-studier, som evaluerede capecitabins effekt på enten docetaxels eller paclitaxels farmakokinetik og vice versa, viste ingen effekt af capecitabin på hverken docetaxels eller paclitaxels farmakokinetik (C</w:t>
      </w:r>
      <w:r>
        <w:rPr>
          <w:sz w:val="24"/>
          <w:szCs w:val="24"/>
          <w:vertAlign w:val="subscript"/>
        </w:rPr>
        <w:t xml:space="preserve">max </w:t>
      </w:r>
      <w:r>
        <w:rPr>
          <w:sz w:val="24"/>
          <w:szCs w:val="24"/>
        </w:rPr>
        <w:t xml:space="preserve">og AUC) og inden effekt af docetaxel eller paclitaxel på 5’-DFUR’s farmakokinetik. </w:t>
      </w:r>
    </w:p>
    <w:p w:rsidR="00CF3F69" w:rsidRDefault="00CF3F69" w:rsidP="00CF3F69">
      <w:pPr>
        <w:ind w:left="851"/>
        <w:rPr>
          <w:sz w:val="24"/>
          <w:szCs w:val="24"/>
        </w:rPr>
      </w:pPr>
    </w:p>
    <w:p w:rsidR="00CF3F69" w:rsidRPr="00CD0427" w:rsidRDefault="00CF3F69" w:rsidP="00CF3F69">
      <w:pPr>
        <w:ind w:left="851"/>
        <w:rPr>
          <w:iCs/>
          <w:sz w:val="24"/>
          <w:szCs w:val="24"/>
          <w:u w:val="single"/>
        </w:rPr>
      </w:pPr>
      <w:r w:rsidRPr="00CD0427">
        <w:rPr>
          <w:iCs/>
          <w:sz w:val="24"/>
          <w:szCs w:val="24"/>
          <w:u w:val="single"/>
        </w:rPr>
        <w:t>Farmakokinetik i specielle populationer</w:t>
      </w:r>
    </w:p>
    <w:p w:rsidR="00CF3F69" w:rsidRDefault="00CF3F69" w:rsidP="00CF3F69">
      <w:pPr>
        <w:ind w:left="851"/>
        <w:rPr>
          <w:sz w:val="24"/>
          <w:szCs w:val="24"/>
        </w:rPr>
      </w:pPr>
      <w:r>
        <w:rPr>
          <w:sz w:val="24"/>
          <w:szCs w:val="24"/>
        </w:rPr>
        <w:t>Efter capecitabin-behandling af 505 patienter med kolorektalkræft, som fik mg/m</w:t>
      </w:r>
      <w:r>
        <w:rPr>
          <w:sz w:val="24"/>
          <w:szCs w:val="24"/>
          <w:vertAlign w:val="superscript"/>
        </w:rPr>
        <w:t>2</w:t>
      </w:r>
      <w:r w:rsidRPr="004B6F00">
        <w:t xml:space="preserve"> </w:t>
      </w:r>
      <w:r>
        <w:rPr>
          <w:sz w:val="24"/>
          <w:szCs w:val="24"/>
        </w:rPr>
        <w:t xml:space="preserve">to gange daglig, blev der foretaget en populationsfarmakokinetisk analyse. Køn, tilstedeværelse eller fravær af levermetastaser ved baseline, Karnofsky Performance Status, total bilirubin, serum-albumin, ASAT og ALAT havde ingen statistisk signifikant effekt på farmakokinetikken af 5’-DFUR, 5-FU og FBAL. </w:t>
      </w:r>
    </w:p>
    <w:p w:rsidR="00CF3F69" w:rsidRDefault="00CF3F69" w:rsidP="00CF3F69">
      <w:pPr>
        <w:ind w:left="851"/>
        <w:rPr>
          <w:sz w:val="24"/>
          <w:szCs w:val="24"/>
        </w:rPr>
      </w:pPr>
    </w:p>
    <w:p w:rsidR="00CF3F69" w:rsidRDefault="00CF3F69" w:rsidP="00CF3F69">
      <w:pPr>
        <w:ind w:left="851"/>
        <w:rPr>
          <w:bCs/>
          <w:i/>
          <w:iCs/>
          <w:sz w:val="24"/>
          <w:szCs w:val="24"/>
        </w:rPr>
      </w:pPr>
      <w:r>
        <w:rPr>
          <w:i/>
          <w:iCs/>
          <w:sz w:val="24"/>
          <w:szCs w:val="24"/>
        </w:rPr>
        <w:t>Patienter med leverinsufficiens pga. levermetastaser</w:t>
      </w:r>
    </w:p>
    <w:p w:rsidR="00CF3F69" w:rsidRDefault="00CF3F69" w:rsidP="00CF3F69">
      <w:pPr>
        <w:ind w:left="851"/>
        <w:rPr>
          <w:sz w:val="24"/>
          <w:szCs w:val="24"/>
        </w:rPr>
      </w:pPr>
      <w:r>
        <w:rPr>
          <w:sz w:val="24"/>
          <w:szCs w:val="24"/>
        </w:rPr>
        <w:t xml:space="preserve">I henhold til et farmakokinetisk studie på kræftpatienter med let til moderat leverinsufficiens pga. levermetastaser kan capecitabins biotilgængelighed og eksponeringen for 5-FU øges sammenlignet med patienter uden leverinsufficiens. Der findes ingen farmakokinetiske data om patienter med svær leverinsufficiens. </w:t>
      </w:r>
    </w:p>
    <w:p w:rsidR="00CF3F69" w:rsidRDefault="00CF3F69" w:rsidP="00CF3F69">
      <w:pPr>
        <w:ind w:left="851"/>
        <w:rPr>
          <w:sz w:val="24"/>
          <w:szCs w:val="24"/>
        </w:rPr>
      </w:pPr>
    </w:p>
    <w:p w:rsidR="00CF3F69" w:rsidRDefault="00CF3F69" w:rsidP="00CF3F69">
      <w:pPr>
        <w:ind w:left="851"/>
        <w:rPr>
          <w:i/>
          <w:iCs/>
          <w:sz w:val="24"/>
          <w:szCs w:val="24"/>
        </w:rPr>
      </w:pPr>
      <w:r>
        <w:rPr>
          <w:i/>
          <w:iCs/>
          <w:sz w:val="24"/>
          <w:szCs w:val="24"/>
        </w:rPr>
        <w:t>Patienter med nyreinsufficiens</w:t>
      </w:r>
    </w:p>
    <w:p w:rsidR="00CF3F69" w:rsidRDefault="00CF3F69" w:rsidP="00CF3F69">
      <w:pPr>
        <w:ind w:left="851"/>
        <w:rPr>
          <w:sz w:val="24"/>
          <w:szCs w:val="24"/>
        </w:rPr>
      </w:pPr>
      <w:r>
        <w:rPr>
          <w:sz w:val="24"/>
          <w:szCs w:val="24"/>
        </w:rPr>
        <w:t xml:space="preserve">Baseret på et farmakokinetisk studie hos kræftpatienter med let til svær nyreinsufficiens er der ingen tegn på effekt af creatininclearance på farmakokinetikken af det intakte lægemiddel og 5-FU. Creatininclearance påvirkede den systemiske eksponering af 5’-DFUR (35 % stigning i AUC, når creatininclearance aftog med 50 %) og FBAL (114 % stigning i AUC, når creatininclearance aftog med 50 %). FBAL er en metabolit uden antiproliferativ aktivitet. </w:t>
      </w:r>
    </w:p>
    <w:p w:rsidR="00CF3F69" w:rsidRDefault="00CF3F69" w:rsidP="00CF3F69">
      <w:pPr>
        <w:ind w:left="851"/>
        <w:rPr>
          <w:sz w:val="24"/>
          <w:szCs w:val="24"/>
        </w:rPr>
      </w:pPr>
    </w:p>
    <w:p w:rsidR="00CF3F69" w:rsidRDefault="00CF3F69" w:rsidP="00CF3F69">
      <w:pPr>
        <w:ind w:left="851"/>
        <w:rPr>
          <w:bCs/>
          <w:i/>
          <w:iCs/>
          <w:sz w:val="24"/>
          <w:szCs w:val="24"/>
        </w:rPr>
      </w:pPr>
      <w:r>
        <w:rPr>
          <w:i/>
          <w:iCs/>
          <w:sz w:val="24"/>
          <w:szCs w:val="24"/>
        </w:rPr>
        <w:t>Ældre patienter</w:t>
      </w:r>
    </w:p>
    <w:p w:rsidR="00CF3F69" w:rsidRDefault="00CF3F69" w:rsidP="00CF3F69">
      <w:pPr>
        <w:ind w:left="851"/>
        <w:rPr>
          <w:sz w:val="24"/>
          <w:szCs w:val="24"/>
        </w:rPr>
      </w:pPr>
      <w:r>
        <w:rPr>
          <w:sz w:val="24"/>
          <w:szCs w:val="24"/>
        </w:rPr>
        <w:t xml:space="preserve">Baseret på populationsfarmakokinetiske analyser, som omfattede patienter i mange aldre (27-86 år), og som omfattede 234 (46 %) patienter, som var mindst 65 år, spillede alderen ingen rolle for farmakokinetikken af 5’-DFUR og 5-FU. FBAL’s AUC steg med alderen (20 % stigning i alder medførte 15 % stigning i FBAL’s AUC). Denne stigning skyldes formentlig en ændring i nyrefunktionen. </w:t>
      </w:r>
    </w:p>
    <w:p w:rsidR="00CF3F69" w:rsidRDefault="00CF3F69" w:rsidP="00CF3F69">
      <w:pPr>
        <w:ind w:left="851"/>
        <w:rPr>
          <w:sz w:val="24"/>
          <w:szCs w:val="24"/>
        </w:rPr>
      </w:pPr>
      <w:r>
        <w:rPr>
          <w:sz w:val="24"/>
          <w:szCs w:val="24"/>
        </w:rPr>
        <w:t>Etniske faktorer: Efter oral administration af 825 mg/m</w:t>
      </w:r>
      <w:r w:rsidRPr="00CD0427">
        <w:rPr>
          <w:sz w:val="24"/>
          <w:szCs w:val="24"/>
          <w:vertAlign w:val="superscript"/>
        </w:rPr>
        <w:t>2</w:t>
      </w:r>
      <w:r>
        <w:rPr>
          <w:sz w:val="24"/>
          <w:szCs w:val="24"/>
        </w:rPr>
        <w:t xml:space="preserve"> capecitabin to gange daglig i 14 dage, havde patienter af japansk oprindelse (n=18) omkring 36 % lavere C</w:t>
      </w:r>
      <w:r w:rsidRPr="004B6F00">
        <w:rPr>
          <w:sz w:val="24"/>
          <w:szCs w:val="24"/>
          <w:vertAlign w:val="subscript"/>
        </w:rPr>
        <w:t>max</w:t>
      </w:r>
      <w:r>
        <w:rPr>
          <w:sz w:val="24"/>
          <w:szCs w:val="24"/>
        </w:rPr>
        <w:t xml:space="preserve"> og 24 % lavere AUC for capecitabin end patienter af kaukasisk oprindelse (n=22). Patienter af japansk oprindelse havde også omkring 25 % lavere C</w:t>
      </w:r>
      <w:r w:rsidRPr="004B6F00">
        <w:rPr>
          <w:sz w:val="24"/>
          <w:szCs w:val="24"/>
          <w:vertAlign w:val="subscript"/>
        </w:rPr>
        <w:t>max</w:t>
      </w:r>
      <w:r>
        <w:rPr>
          <w:sz w:val="24"/>
          <w:szCs w:val="24"/>
        </w:rPr>
        <w:t xml:space="preserve"> og 34 % lavere AUC for FBAL end patienter af kaukasisk oprindelse. Den kliniske betydning af disse forskelle er ukendt. Der forekom ingen signifikant forskel i eksponeringen af andre metabolitter (5´-DFCR, 5´-DFUR og 5-FU).</w:t>
      </w:r>
    </w:p>
    <w:p w:rsidR="00CF3F69" w:rsidRPr="00EC0B9B" w:rsidRDefault="00CF3F69" w:rsidP="00CF3F69">
      <w:pPr>
        <w:tabs>
          <w:tab w:val="left" w:pos="851"/>
        </w:tabs>
        <w:rPr>
          <w:sz w:val="24"/>
          <w:szCs w:val="24"/>
        </w:rPr>
      </w:pPr>
    </w:p>
    <w:p w:rsidR="00CF3F69" w:rsidRPr="00EC0B9B" w:rsidRDefault="00D3057E" w:rsidP="00CF3F69">
      <w:pPr>
        <w:numPr>
          <w:ilvl w:val="1"/>
          <w:numId w:val="4"/>
        </w:numPr>
        <w:rPr>
          <w:b/>
          <w:sz w:val="24"/>
          <w:szCs w:val="24"/>
        </w:rPr>
      </w:pPr>
      <w:r>
        <w:rPr>
          <w:b/>
          <w:sz w:val="24"/>
          <w:szCs w:val="24"/>
        </w:rPr>
        <w:t>Non-</w:t>
      </w:r>
      <w:r w:rsidR="00CF3F69" w:rsidRPr="00EC0B9B">
        <w:rPr>
          <w:b/>
          <w:sz w:val="24"/>
          <w:szCs w:val="24"/>
        </w:rPr>
        <w:t>kliniske sikkerhedsdata</w:t>
      </w:r>
    </w:p>
    <w:p w:rsidR="00CF3F69" w:rsidRDefault="00CF3F69" w:rsidP="00CF3F69">
      <w:pPr>
        <w:ind w:left="851"/>
        <w:rPr>
          <w:sz w:val="24"/>
          <w:szCs w:val="24"/>
        </w:rPr>
      </w:pPr>
      <w:r>
        <w:rPr>
          <w:sz w:val="24"/>
          <w:szCs w:val="24"/>
        </w:rPr>
        <w:t xml:space="preserve">I toksicitetsforsøg med gentagne doser førte daglig oral administration af capecitabin til cynomolgusabe og mus til toksiske virkninger, typiske for fluorpyrimidiner, på det gastrointestinale, det lymfoide og det hæmatopoietiske system. De toksiske virkninger var reversible. Efter behandling med capecitabin er der set hudtoksicitet, karakteriseret ved degenerative/regressive forandringer. Capecitabin var fri for hepatisk og </w:t>
      </w:r>
      <w:proofErr w:type="gramStart"/>
      <w:r>
        <w:rPr>
          <w:sz w:val="24"/>
          <w:szCs w:val="24"/>
        </w:rPr>
        <w:t>CNS toksicitet</w:t>
      </w:r>
      <w:proofErr w:type="gramEnd"/>
      <w:r>
        <w:rPr>
          <w:sz w:val="24"/>
          <w:szCs w:val="24"/>
        </w:rPr>
        <w:t>. Der blev set kardiovaskulær toksicitet (f.eks. forlængelse af PR- og QT-intervallet) hos cynomolgusabe efter intravenøs administration (100 mg/kg), men ikke efter gentagen oral dosering (1.379 mg/m</w:t>
      </w:r>
      <w:r w:rsidRPr="00D85146">
        <w:rPr>
          <w:sz w:val="24"/>
          <w:szCs w:val="24"/>
          <w:vertAlign w:val="superscript"/>
        </w:rPr>
        <w:t>2</w:t>
      </w:r>
      <w:r>
        <w:rPr>
          <w:sz w:val="24"/>
          <w:szCs w:val="24"/>
        </w:rPr>
        <w:t>/dag).</w:t>
      </w:r>
    </w:p>
    <w:p w:rsidR="00CF3F69" w:rsidRDefault="00CF3F69" w:rsidP="00CF3F69">
      <w:pPr>
        <w:ind w:left="851"/>
        <w:rPr>
          <w:sz w:val="24"/>
          <w:szCs w:val="24"/>
        </w:rPr>
      </w:pPr>
      <w:r>
        <w:rPr>
          <w:sz w:val="24"/>
          <w:szCs w:val="24"/>
        </w:rPr>
        <w:lastRenderedPageBreak/>
        <w:t xml:space="preserve">Et to-års carcinogenicitetsstudie på mus gav ikke holdepunkter for at capecitabin var carcinogent. </w:t>
      </w:r>
    </w:p>
    <w:p w:rsidR="00CF3F69" w:rsidRDefault="00CF3F69" w:rsidP="00CF3F69">
      <w:pPr>
        <w:ind w:left="851"/>
        <w:rPr>
          <w:sz w:val="24"/>
          <w:szCs w:val="24"/>
        </w:rPr>
      </w:pPr>
      <w:r>
        <w:rPr>
          <w:sz w:val="24"/>
          <w:szCs w:val="24"/>
        </w:rPr>
        <w:t>I standardfertilitetsundersøgelser blev der observeret påvirkning af fertiliteten på hunmus, som fik capecitabin, men effekten var dog reversibel efter en stoffri periode. Desuden indtraf der i en 13-ugers undersøgelse atrofiske og degenerative forandringer i reproduktionsorganerne hos hanmus; forandringerne var dog reversible efter en stoffri periode (se pkt. 4.6).</w:t>
      </w:r>
    </w:p>
    <w:p w:rsidR="00CF3F69" w:rsidRDefault="00CF3F69" w:rsidP="00CF3F69">
      <w:pPr>
        <w:ind w:left="851"/>
        <w:rPr>
          <w:sz w:val="24"/>
          <w:szCs w:val="24"/>
        </w:rPr>
      </w:pPr>
      <w:r>
        <w:rPr>
          <w:sz w:val="24"/>
          <w:szCs w:val="24"/>
        </w:rPr>
        <w:t xml:space="preserve">I embryotoksiske forsøg og i teratogenicitetsforsøg hos mus blev der set dosisrelaterede stigninger i føtal resorption og teratogenicitet. Hos aber blev der set abort og embryoletalitet efter høje doser, men der var ikke tegn på teratogenicitet. </w:t>
      </w:r>
    </w:p>
    <w:p w:rsidR="00CF3F69" w:rsidRDefault="00CF3F69" w:rsidP="00CF3F69">
      <w:pPr>
        <w:ind w:left="851"/>
        <w:rPr>
          <w:sz w:val="24"/>
          <w:szCs w:val="24"/>
        </w:rPr>
      </w:pPr>
      <w:r>
        <w:rPr>
          <w:sz w:val="24"/>
          <w:szCs w:val="24"/>
        </w:rPr>
        <w:t xml:space="preserve">Capecitabin var ikke mutagent </w:t>
      </w:r>
      <w:r>
        <w:rPr>
          <w:i/>
          <w:iCs/>
          <w:sz w:val="24"/>
          <w:szCs w:val="24"/>
        </w:rPr>
        <w:t xml:space="preserve">in vitro </w:t>
      </w:r>
      <w:r>
        <w:rPr>
          <w:sz w:val="24"/>
          <w:szCs w:val="24"/>
        </w:rPr>
        <w:t>overfor bakterier (Ames test) eller overfor celler fra pattedyr (kinesisk hamster V79/</w:t>
      </w:r>
      <w:proofErr w:type="gramStart"/>
      <w:r>
        <w:rPr>
          <w:sz w:val="24"/>
          <w:szCs w:val="24"/>
        </w:rPr>
        <w:t>HPRT gene</w:t>
      </w:r>
      <w:proofErr w:type="gramEnd"/>
      <w:r>
        <w:rPr>
          <w:sz w:val="24"/>
          <w:szCs w:val="24"/>
        </w:rPr>
        <w:t xml:space="preserve"> mutation assay). Capecitabin var dog ligesom andre nukleosidanaloger (dvs. 5-FU) klastogent på humane lymfocytter (</w:t>
      </w:r>
      <w:r>
        <w:rPr>
          <w:i/>
          <w:iCs/>
          <w:sz w:val="24"/>
          <w:szCs w:val="24"/>
        </w:rPr>
        <w:t>in vitro</w:t>
      </w:r>
      <w:r>
        <w:rPr>
          <w:sz w:val="24"/>
          <w:szCs w:val="24"/>
        </w:rPr>
        <w:t xml:space="preserve">), og der var </w:t>
      </w:r>
      <w:proofErr w:type="gramStart"/>
      <w:r>
        <w:rPr>
          <w:sz w:val="24"/>
          <w:szCs w:val="24"/>
        </w:rPr>
        <w:t>et positivt trend</w:t>
      </w:r>
      <w:proofErr w:type="gramEnd"/>
      <w:r>
        <w:rPr>
          <w:sz w:val="24"/>
          <w:szCs w:val="24"/>
        </w:rPr>
        <w:t xml:space="preserve"> i </w:t>
      </w:r>
      <w:r>
        <w:rPr>
          <w:i/>
          <w:iCs/>
          <w:sz w:val="24"/>
          <w:szCs w:val="24"/>
        </w:rPr>
        <w:t xml:space="preserve">in vivo </w:t>
      </w:r>
      <w:r>
        <w:rPr>
          <w:sz w:val="24"/>
          <w:szCs w:val="24"/>
        </w:rPr>
        <w:t xml:space="preserve">mikronukleustesten på mus. </w:t>
      </w:r>
    </w:p>
    <w:p w:rsidR="00CF3F69" w:rsidRPr="00EC0B9B" w:rsidRDefault="00CF3F69" w:rsidP="00CF3F69">
      <w:pPr>
        <w:tabs>
          <w:tab w:val="left" w:pos="851"/>
        </w:tabs>
        <w:rPr>
          <w:sz w:val="24"/>
          <w:szCs w:val="24"/>
        </w:rPr>
      </w:pPr>
    </w:p>
    <w:p w:rsidR="00CF3F69" w:rsidRPr="00EC0B9B" w:rsidRDefault="00CF3F69" w:rsidP="00CF3F69">
      <w:pPr>
        <w:numPr>
          <w:ilvl w:val="0"/>
          <w:numId w:val="3"/>
        </w:numPr>
        <w:rPr>
          <w:b/>
          <w:sz w:val="24"/>
          <w:szCs w:val="24"/>
        </w:rPr>
      </w:pPr>
      <w:r w:rsidRPr="00EC0B9B">
        <w:rPr>
          <w:b/>
          <w:sz w:val="24"/>
          <w:szCs w:val="24"/>
        </w:rPr>
        <w:t>FARMACEUTISKE OPLYSNINGER</w:t>
      </w:r>
    </w:p>
    <w:p w:rsidR="00CF3F69" w:rsidRPr="00EC0B9B" w:rsidRDefault="00CF3F69" w:rsidP="00CF3F69">
      <w:pPr>
        <w:tabs>
          <w:tab w:val="left" w:pos="851"/>
        </w:tabs>
        <w:rPr>
          <w:b/>
          <w:sz w:val="24"/>
          <w:szCs w:val="24"/>
        </w:rPr>
      </w:pPr>
    </w:p>
    <w:p w:rsidR="00CF3F69" w:rsidRPr="00EC0B9B" w:rsidRDefault="00CF3F69" w:rsidP="00CF3F69">
      <w:pPr>
        <w:numPr>
          <w:ilvl w:val="1"/>
          <w:numId w:val="5"/>
        </w:numPr>
        <w:rPr>
          <w:b/>
          <w:sz w:val="24"/>
          <w:szCs w:val="24"/>
        </w:rPr>
      </w:pPr>
      <w:r w:rsidRPr="00EC0B9B">
        <w:rPr>
          <w:b/>
          <w:sz w:val="24"/>
          <w:szCs w:val="24"/>
        </w:rPr>
        <w:t>Hjælpestoffer</w:t>
      </w:r>
    </w:p>
    <w:p w:rsidR="00CF3F69" w:rsidRDefault="00CF3F69" w:rsidP="00CF3F69">
      <w:pPr>
        <w:ind w:left="851"/>
        <w:rPr>
          <w:sz w:val="24"/>
          <w:szCs w:val="24"/>
        </w:rPr>
      </w:pPr>
    </w:p>
    <w:p w:rsidR="00CF3F69" w:rsidRPr="007B1094" w:rsidRDefault="00CF3F69" w:rsidP="00CF3F69">
      <w:pPr>
        <w:ind w:left="851"/>
        <w:rPr>
          <w:sz w:val="24"/>
          <w:szCs w:val="24"/>
          <w:u w:val="single"/>
        </w:rPr>
      </w:pPr>
      <w:r w:rsidRPr="007B1094">
        <w:rPr>
          <w:sz w:val="24"/>
          <w:szCs w:val="24"/>
          <w:u w:val="single"/>
        </w:rPr>
        <w:t>150 mg</w:t>
      </w:r>
    </w:p>
    <w:p w:rsidR="00CF3F69" w:rsidRDefault="00CF3F69" w:rsidP="00CF3F69">
      <w:pPr>
        <w:ind w:left="851"/>
        <w:rPr>
          <w:sz w:val="24"/>
          <w:szCs w:val="24"/>
        </w:rPr>
      </w:pPr>
    </w:p>
    <w:p w:rsidR="00CF3F69" w:rsidRPr="007B1094" w:rsidRDefault="00CF3F69" w:rsidP="00CF3F69">
      <w:pPr>
        <w:ind w:left="851"/>
        <w:rPr>
          <w:i/>
          <w:sz w:val="24"/>
          <w:szCs w:val="24"/>
        </w:rPr>
      </w:pPr>
      <w:r>
        <w:rPr>
          <w:i/>
          <w:sz w:val="24"/>
          <w:szCs w:val="24"/>
        </w:rPr>
        <w:t>Tabletkerne</w:t>
      </w:r>
    </w:p>
    <w:p w:rsidR="00CF3F69" w:rsidRDefault="00CF3F69" w:rsidP="00CF3F69">
      <w:pPr>
        <w:ind w:left="851"/>
        <w:rPr>
          <w:sz w:val="24"/>
          <w:szCs w:val="24"/>
        </w:rPr>
      </w:pPr>
      <w:r>
        <w:rPr>
          <w:sz w:val="24"/>
          <w:szCs w:val="24"/>
        </w:rPr>
        <w:t>Lactose</w:t>
      </w:r>
    </w:p>
    <w:p w:rsidR="00CF3F69" w:rsidRDefault="00CF3F69" w:rsidP="00CF3F69">
      <w:pPr>
        <w:ind w:left="851"/>
        <w:rPr>
          <w:sz w:val="24"/>
          <w:szCs w:val="24"/>
        </w:rPr>
      </w:pPr>
      <w:r>
        <w:rPr>
          <w:sz w:val="24"/>
          <w:szCs w:val="24"/>
        </w:rPr>
        <w:t>Cellulose, mikrokrystallinsk</w:t>
      </w:r>
    </w:p>
    <w:p w:rsidR="00CF3F69" w:rsidRDefault="00CF3F69" w:rsidP="00CF3F69">
      <w:pPr>
        <w:ind w:left="851"/>
        <w:rPr>
          <w:sz w:val="24"/>
          <w:szCs w:val="24"/>
        </w:rPr>
      </w:pPr>
      <w:r>
        <w:rPr>
          <w:sz w:val="24"/>
          <w:szCs w:val="24"/>
        </w:rPr>
        <w:t>Croscarmellosenatrium</w:t>
      </w:r>
    </w:p>
    <w:p w:rsidR="00CF3F69" w:rsidRDefault="00CF3F69" w:rsidP="00CF3F69">
      <w:pPr>
        <w:ind w:left="851"/>
        <w:rPr>
          <w:sz w:val="24"/>
          <w:szCs w:val="24"/>
        </w:rPr>
      </w:pPr>
      <w:r>
        <w:rPr>
          <w:sz w:val="24"/>
          <w:szCs w:val="24"/>
        </w:rPr>
        <w:t>Hypromellose</w:t>
      </w:r>
    </w:p>
    <w:p w:rsidR="00CF3F69" w:rsidRDefault="00CF3F69" w:rsidP="00CF3F69">
      <w:pPr>
        <w:ind w:left="851"/>
        <w:rPr>
          <w:sz w:val="24"/>
          <w:szCs w:val="24"/>
        </w:rPr>
      </w:pPr>
      <w:r>
        <w:rPr>
          <w:sz w:val="24"/>
          <w:szCs w:val="24"/>
        </w:rPr>
        <w:t>Magnesiumsterat</w:t>
      </w:r>
    </w:p>
    <w:p w:rsidR="00CF3F69" w:rsidRDefault="00CF3F69" w:rsidP="00CF3F69">
      <w:pPr>
        <w:ind w:left="851"/>
        <w:rPr>
          <w:sz w:val="24"/>
          <w:szCs w:val="24"/>
        </w:rPr>
      </w:pPr>
    </w:p>
    <w:p w:rsidR="00CF3F69" w:rsidRDefault="00CF3F69" w:rsidP="00CF3F69">
      <w:pPr>
        <w:ind w:left="851"/>
        <w:rPr>
          <w:sz w:val="24"/>
          <w:szCs w:val="24"/>
        </w:rPr>
      </w:pPr>
      <w:r w:rsidRPr="007B1094">
        <w:rPr>
          <w:i/>
          <w:sz w:val="24"/>
          <w:szCs w:val="24"/>
        </w:rPr>
        <w:t>Tabletovertræk</w:t>
      </w:r>
    </w:p>
    <w:p w:rsidR="00CF3F69" w:rsidRDefault="00CF3F69" w:rsidP="00CF3F69">
      <w:pPr>
        <w:ind w:left="851"/>
        <w:rPr>
          <w:sz w:val="24"/>
          <w:szCs w:val="24"/>
        </w:rPr>
      </w:pPr>
      <w:r>
        <w:rPr>
          <w:sz w:val="24"/>
          <w:szCs w:val="24"/>
        </w:rPr>
        <w:t>Hypromellose</w:t>
      </w:r>
    </w:p>
    <w:p w:rsidR="00CF3F69" w:rsidRDefault="00CF3F69" w:rsidP="00CF3F69">
      <w:pPr>
        <w:ind w:left="851"/>
        <w:rPr>
          <w:sz w:val="24"/>
          <w:szCs w:val="24"/>
        </w:rPr>
      </w:pPr>
      <w:r>
        <w:rPr>
          <w:sz w:val="24"/>
          <w:szCs w:val="24"/>
        </w:rPr>
        <w:t>Talkum</w:t>
      </w:r>
    </w:p>
    <w:p w:rsidR="00CF3F69" w:rsidRDefault="00CF3F69" w:rsidP="00CF3F69">
      <w:pPr>
        <w:ind w:left="851"/>
        <w:rPr>
          <w:sz w:val="24"/>
          <w:szCs w:val="24"/>
        </w:rPr>
      </w:pPr>
      <w:r>
        <w:rPr>
          <w:sz w:val="24"/>
          <w:szCs w:val="24"/>
        </w:rPr>
        <w:t>Titandioxid (E171)</w:t>
      </w:r>
    </w:p>
    <w:p w:rsidR="00CF3F69" w:rsidRDefault="00CF3F69" w:rsidP="00CF3F69">
      <w:pPr>
        <w:ind w:left="851"/>
        <w:rPr>
          <w:sz w:val="24"/>
          <w:szCs w:val="24"/>
        </w:rPr>
      </w:pPr>
      <w:r>
        <w:rPr>
          <w:sz w:val="24"/>
          <w:szCs w:val="24"/>
        </w:rPr>
        <w:t>Jernoxid, rød (E172)</w:t>
      </w:r>
    </w:p>
    <w:p w:rsidR="00CF3F69" w:rsidRDefault="00CF3F69" w:rsidP="00CF3F69">
      <w:pPr>
        <w:ind w:left="851"/>
        <w:rPr>
          <w:sz w:val="24"/>
          <w:szCs w:val="24"/>
        </w:rPr>
      </w:pPr>
      <w:r>
        <w:rPr>
          <w:sz w:val="24"/>
          <w:szCs w:val="24"/>
        </w:rPr>
        <w:t>Jernoxid, gul (E172)</w:t>
      </w:r>
    </w:p>
    <w:p w:rsidR="00CF3F69" w:rsidRDefault="00CF3F69" w:rsidP="00CF3F69">
      <w:pPr>
        <w:ind w:left="851"/>
        <w:rPr>
          <w:sz w:val="24"/>
          <w:szCs w:val="24"/>
        </w:rPr>
      </w:pPr>
    </w:p>
    <w:p w:rsidR="00CF3F69" w:rsidRPr="007B1094" w:rsidRDefault="00CF3F69" w:rsidP="00CF3F69">
      <w:pPr>
        <w:ind w:left="851"/>
        <w:rPr>
          <w:sz w:val="24"/>
          <w:szCs w:val="24"/>
          <w:u w:val="single"/>
        </w:rPr>
      </w:pPr>
      <w:r w:rsidRPr="007B1094">
        <w:rPr>
          <w:sz w:val="24"/>
          <w:szCs w:val="24"/>
          <w:u w:val="single"/>
        </w:rPr>
        <w:t>500 mg</w:t>
      </w:r>
    </w:p>
    <w:p w:rsidR="00CF3F69" w:rsidRDefault="00CF3F69" w:rsidP="00CF3F69">
      <w:pPr>
        <w:ind w:left="851"/>
        <w:rPr>
          <w:sz w:val="24"/>
          <w:szCs w:val="24"/>
        </w:rPr>
      </w:pPr>
    </w:p>
    <w:p w:rsidR="00CF3F69" w:rsidRPr="007B1094" w:rsidRDefault="00CF3F69" w:rsidP="00CF3F69">
      <w:pPr>
        <w:ind w:left="851"/>
        <w:rPr>
          <w:i/>
          <w:sz w:val="24"/>
          <w:szCs w:val="24"/>
        </w:rPr>
      </w:pPr>
      <w:r>
        <w:rPr>
          <w:i/>
          <w:sz w:val="24"/>
          <w:szCs w:val="24"/>
        </w:rPr>
        <w:t>Tabletkerne</w:t>
      </w:r>
    </w:p>
    <w:p w:rsidR="00CF3F69" w:rsidRDefault="00CF3F69" w:rsidP="00CF3F69">
      <w:pPr>
        <w:ind w:left="851"/>
        <w:rPr>
          <w:sz w:val="24"/>
          <w:szCs w:val="24"/>
        </w:rPr>
      </w:pPr>
      <w:r>
        <w:rPr>
          <w:sz w:val="24"/>
          <w:szCs w:val="24"/>
        </w:rPr>
        <w:t>Lactose</w:t>
      </w:r>
    </w:p>
    <w:p w:rsidR="00CF3F69" w:rsidRDefault="00CF3F69" w:rsidP="00CF3F69">
      <w:pPr>
        <w:ind w:left="851"/>
        <w:rPr>
          <w:sz w:val="24"/>
          <w:szCs w:val="24"/>
        </w:rPr>
      </w:pPr>
      <w:r>
        <w:rPr>
          <w:sz w:val="24"/>
          <w:szCs w:val="24"/>
        </w:rPr>
        <w:t>Cellulose, mikrokrystallinsk</w:t>
      </w:r>
    </w:p>
    <w:p w:rsidR="00CF3F69" w:rsidRDefault="00CF3F69" w:rsidP="00CF3F69">
      <w:pPr>
        <w:ind w:left="851"/>
        <w:rPr>
          <w:sz w:val="24"/>
          <w:szCs w:val="24"/>
        </w:rPr>
      </w:pPr>
      <w:r>
        <w:rPr>
          <w:sz w:val="24"/>
          <w:szCs w:val="24"/>
        </w:rPr>
        <w:t>Croscarmellosenatrium</w:t>
      </w:r>
    </w:p>
    <w:p w:rsidR="00CF3F69" w:rsidRDefault="00CF3F69" w:rsidP="00CF3F69">
      <w:pPr>
        <w:ind w:left="851"/>
        <w:rPr>
          <w:sz w:val="24"/>
          <w:szCs w:val="24"/>
        </w:rPr>
      </w:pPr>
      <w:r>
        <w:rPr>
          <w:sz w:val="24"/>
          <w:szCs w:val="24"/>
        </w:rPr>
        <w:t>Hypromellose</w:t>
      </w:r>
    </w:p>
    <w:p w:rsidR="00CF3F69" w:rsidRDefault="00CF3F69" w:rsidP="00CF3F69">
      <w:pPr>
        <w:ind w:left="851"/>
        <w:rPr>
          <w:sz w:val="24"/>
          <w:szCs w:val="24"/>
        </w:rPr>
      </w:pPr>
      <w:r>
        <w:rPr>
          <w:sz w:val="24"/>
          <w:szCs w:val="24"/>
        </w:rPr>
        <w:t>Magnesiumsterat</w:t>
      </w:r>
    </w:p>
    <w:p w:rsidR="00CF3F69" w:rsidRDefault="00CF3F69" w:rsidP="00CF3F69">
      <w:pPr>
        <w:ind w:left="851"/>
        <w:rPr>
          <w:sz w:val="24"/>
          <w:szCs w:val="24"/>
        </w:rPr>
      </w:pPr>
    </w:p>
    <w:p w:rsidR="00CF3F69" w:rsidRPr="007B1094" w:rsidRDefault="00CF3F69" w:rsidP="00CF3F69">
      <w:pPr>
        <w:ind w:left="851"/>
        <w:rPr>
          <w:i/>
          <w:sz w:val="24"/>
          <w:szCs w:val="24"/>
        </w:rPr>
      </w:pPr>
      <w:r>
        <w:rPr>
          <w:i/>
          <w:sz w:val="24"/>
          <w:szCs w:val="24"/>
        </w:rPr>
        <w:t>Tabletovertræk</w:t>
      </w:r>
    </w:p>
    <w:p w:rsidR="00CF3F69" w:rsidRDefault="00CF3F69" w:rsidP="00CF3F69">
      <w:pPr>
        <w:ind w:left="851"/>
        <w:rPr>
          <w:sz w:val="24"/>
          <w:szCs w:val="24"/>
        </w:rPr>
      </w:pPr>
      <w:r>
        <w:rPr>
          <w:sz w:val="24"/>
          <w:szCs w:val="24"/>
        </w:rPr>
        <w:t>Hypromellose</w:t>
      </w:r>
    </w:p>
    <w:p w:rsidR="00CF3F69" w:rsidRDefault="00CF3F69" w:rsidP="00CF3F69">
      <w:pPr>
        <w:ind w:left="851"/>
        <w:rPr>
          <w:sz w:val="24"/>
          <w:szCs w:val="24"/>
        </w:rPr>
      </w:pPr>
      <w:r>
        <w:rPr>
          <w:sz w:val="24"/>
          <w:szCs w:val="24"/>
        </w:rPr>
        <w:t>Talkum</w:t>
      </w:r>
    </w:p>
    <w:p w:rsidR="00CF3F69" w:rsidRDefault="00CF3F69" w:rsidP="00CF3F69">
      <w:pPr>
        <w:ind w:left="851"/>
        <w:rPr>
          <w:sz w:val="24"/>
          <w:szCs w:val="24"/>
        </w:rPr>
      </w:pPr>
      <w:r>
        <w:rPr>
          <w:sz w:val="24"/>
          <w:szCs w:val="24"/>
        </w:rPr>
        <w:t>Titandioxid (E171)</w:t>
      </w:r>
    </w:p>
    <w:p w:rsidR="00CF3F69" w:rsidRDefault="00CF3F69" w:rsidP="00CF3F69">
      <w:pPr>
        <w:ind w:left="851"/>
        <w:rPr>
          <w:sz w:val="24"/>
          <w:szCs w:val="24"/>
        </w:rPr>
      </w:pPr>
      <w:r>
        <w:rPr>
          <w:sz w:val="24"/>
          <w:szCs w:val="24"/>
        </w:rPr>
        <w:t>Jernoxid, rød (E172)</w:t>
      </w:r>
    </w:p>
    <w:p w:rsidR="00CF3F69" w:rsidRDefault="00CF3F69" w:rsidP="00CF3F69">
      <w:pPr>
        <w:ind w:left="851"/>
        <w:rPr>
          <w:sz w:val="24"/>
          <w:szCs w:val="24"/>
        </w:rPr>
      </w:pPr>
      <w:r>
        <w:rPr>
          <w:sz w:val="24"/>
          <w:szCs w:val="24"/>
        </w:rPr>
        <w:t>Jernoxid, gul (E172)</w:t>
      </w:r>
    </w:p>
    <w:p w:rsidR="00CF3F69" w:rsidRPr="00EC0B9B" w:rsidRDefault="00CF3F69" w:rsidP="00CF3F69">
      <w:pPr>
        <w:tabs>
          <w:tab w:val="left" w:pos="851"/>
        </w:tabs>
        <w:ind w:left="851"/>
        <w:rPr>
          <w:sz w:val="24"/>
          <w:szCs w:val="24"/>
        </w:rPr>
      </w:pPr>
    </w:p>
    <w:p w:rsidR="00CF3F69" w:rsidRPr="00EC0B9B" w:rsidRDefault="00CF3F69" w:rsidP="00CF3F69">
      <w:pPr>
        <w:numPr>
          <w:ilvl w:val="1"/>
          <w:numId w:val="5"/>
        </w:numPr>
        <w:rPr>
          <w:b/>
          <w:sz w:val="24"/>
          <w:szCs w:val="24"/>
        </w:rPr>
      </w:pPr>
      <w:r w:rsidRPr="00EC0B9B">
        <w:rPr>
          <w:b/>
          <w:sz w:val="24"/>
          <w:szCs w:val="24"/>
        </w:rPr>
        <w:lastRenderedPageBreak/>
        <w:t>Uforligeligheder</w:t>
      </w:r>
    </w:p>
    <w:p w:rsidR="00CF3F69" w:rsidRDefault="00CF3F69" w:rsidP="00CF3F69">
      <w:pPr>
        <w:ind w:left="851"/>
        <w:rPr>
          <w:sz w:val="24"/>
          <w:szCs w:val="24"/>
        </w:rPr>
      </w:pPr>
      <w:r>
        <w:rPr>
          <w:sz w:val="24"/>
          <w:szCs w:val="24"/>
        </w:rPr>
        <w:t>Ikke relevant.</w:t>
      </w:r>
    </w:p>
    <w:p w:rsidR="00CF3F69" w:rsidRPr="00EC0B9B" w:rsidRDefault="00CF3F69" w:rsidP="00CF3F69">
      <w:pPr>
        <w:tabs>
          <w:tab w:val="left" w:pos="851"/>
        </w:tabs>
        <w:ind w:left="851"/>
        <w:rPr>
          <w:sz w:val="24"/>
          <w:szCs w:val="24"/>
        </w:rPr>
      </w:pPr>
    </w:p>
    <w:p w:rsidR="00CF3F69" w:rsidRPr="00EC0B9B" w:rsidRDefault="00CF3F69" w:rsidP="00CF3F69">
      <w:pPr>
        <w:numPr>
          <w:ilvl w:val="1"/>
          <w:numId w:val="5"/>
        </w:numPr>
        <w:rPr>
          <w:b/>
          <w:sz w:val="24"/>
          <w:szCs w:val="24"/>
        </w:rPr>
      </w:pPr>
      <w:r w:rsidRPr="00EC0B9B">
        <w:rPr>
          <w:b/>
          <w:sz w:val="24"/>
          <w:szCs w:val="24"/>
        </w:rPr>
        <w:t>Opbevaringstid</w:t>
      </w:r>
    </w:p>
    <w:p w:rsidR="00BC52AC" w:rsidRPr="00BC52AC" w:rsidRDefault="00BC52AC" w:rsidP="00BC52AC">
      <w:pPr>
        <w:ind w:left="851"/>
        <w:rPr>
          <w:spacing w:val="-3"/>
          <w:sz w:val="24"/>
          <w:szCs w:val="24"/>
        </w:rPr>
      </w:pPr>
      <w:r w:rsidRPr="00BC52AC">
        <w:rPr>
          <w:spacing w:val="-3"/>
          <w:sz w:val="24"/>
          <w:szCs w:val="24"/>
        </w:rPr>
        <w:t>Capecitabin Stada 150 mg filmovertrukne tabletter: 36 måneder</w:t>
      </w:r>
    </w:p>
    <w:p w:rsidR="00CF3F69" w:rsidRDefault="00BC52AC" w:rsidP="00BC52AC">
      <w:pPr>
        <w:ind w:left="851"/>
        <w:rPr>
          <w:spacing w:val="-3"/>
          <w:sz w:val="24"/>
          <w:szCs w:val="24"/>
        </w:rPr>
      </w:pPr>
      <w:r w:rsidRPr="00BC52AC">
        <w:rPr>
          <w:spacing w:val="-3"/>
          <w:sz w:val="24"/>
          <w:szCs w:val="24"/>
        </w:rPr>
        <w:t>Capecitabin Stada 500 mg filmovertrukne tabletter: 24 måneder</w:t>
      </w:r>
    </w:p>
    <w:p w:rsidR="00CF3F69" w:rsidRPr="00EC0B9B" w:rsidRDefault="00CF3F69" w:rsidP="00CF3F69">
      <w:pPr>
        <w:tabs>
          <w:tab w:val="left" w:pos="851"/>
        </w:tabs>
        <w:ind w:left="851"/>
        <w:rPr>
          <w:sz w:val="24"/>
          <w:szCs w:val="24"/>
        </w:rPr>
      </w:pPr>
    </w:p>
    <w:p w:rsidR="00CF3F69" w:rsidRPr="00EC0B9B" w:rsidRDefault="00CF3F69" w:rsidP="00CF3F69">
      <w:pPr>
        <w:numPr>
          <w:ilvl w:val="1"/>
          <w:numId w:val="5"/>
        </w:numPr>
        <w:rPr>
          <w:b/>
          <w:sz w:val="24"/>
          <w:szCs w:val="24"/>
        </w:rPr>
      </w:pPr>
      <w:r w:rsidRPr="00EC0B9B">
        <w:rPr>
          <w:b/>
          <w:sz w:val="24"/>
          <w:szCs w:val="24"/>
        </w:rPr>
        <w:t>Særlige opbevaringsforhold</w:t>
      </w:r>
    </w:p>
    <w:p w:rsidR="00CF3F69" w:rsidRDefault="00BC52AC" w:rsidP="00CF3F69">
      <w:pPr>
        <w:ind w:left="851"/>
        <w:rPr>
          <w:sz w:val="24"/>
          <w:szCs w:val="24"/>
        </w:rPr>
      </w:pPr>
      <w:r w:rsidRPr="00BC52AC">
        <w:rPr>
          <w:sz w:val="24"/>
          <w:szCs w:val="24"/>
        </w:rPr>
        <w:t>Må ikke opbevares ved temperaturer over 25 °C</w:t>
      </w:r>
      <w:r>
        <w:rPr>
          <w:sz w:val="24"/>
          <w:szCs w:val="24"/>
        </w:rPr>
        <w:t>.</w:t>
      </w:r>
    </w:p>
    <w:p w:rsidR="00CF3F69" w:rsidRPr="00EC0B9B" w:rsidRDefault="00CF3F69" w:rsidP="00CF3F69">
      <w:pPr>
        <w:tabs>
          <w:tab w:val="left" w:pos="851"/>
        </w:tabs>
        <w:ind w:left="851"/>
        <w:rPr>
          <w:sz w:val="24"/>
          <w:szCs w:val="24"/>
        </w:rPr>
      </w:pPr>
    </w:p>
    <w:p w:rsidR="00CF3F69" w:rsidRPr="00EC0B9B" w:rsidRDefault="00CF3F69" w:rsidP="00CF3F69">
      <w:pPr>
        <w:numPr>
          <w:ilvl w:val="1"/>
          <w:numId w:val="5"/>
        </w:numPr>
        <w:rPr>
          <w:b/>
          <w:sz w:val="24"/>
          <w:szCs w:val="24"/>
        </w:rPr>
      </w:pPr>
      <w:r w:rsidRPr="00EC0B9B">
        <w:rPr>
          <w:b/>
          <w:sz w:val="24"/>
          <w:szCs w:val="24"/>
        </w:rPr>
        <w:t>Emballagetype og pakningsstørrelser</w:t>
      </w:r>
    </w:p>
    <w:p w:rsidR="00CF3F69" w:rsidRDefault="00CF3F69" w:rsidP="00CF3F69">
      <w:pPr>
        <w:ind w:left="851"/>
        <w:rPr>
          <w:sz w:val="24"/>
          <w:szCs w:val="24"/>
        </w:rPr>
      </w:pPr>
      <w:r>
        <w:rPr>
          <w:sz w:val="24"/>
          <w:szCs w:val="24"/>
        </w:rPr>
        <w:t>Klar PVC/PVdC-Aluminium blister.</w:t>
      </w:r>
    </w:p>
    <w:p w:rsidR="00CF3F69" w:rsidRDefault="00CF3F69" w:rsidP="00CF3F69">
      <w:pPr>
        <w:ind w:left="851"/>
        <w:rPr>
          <w:sz w:val="24"/>
          <w:szCs w:val="24"/>
        </w:rPr>
      </w:pPr>
      <w:r>
        <w:rPr>
          <w:sz w:val="24"/>
          <w:szCs w:val="24"/>
        </w:rPr>
        <w:t>Aluminium-Aluminium blister.</w:t>
      </w:r>
    </w:p>
    <w:p w:rsidR="00CF3F69" w:rsidRDefault="00CF3F69" w:rsidP="00CF3F69">
      <w:pPr>
        <w:ind w:left="851"/>
        <w:rPr>
          <w:sz w:val="24"/>
          <w:szCs w:val="24"/>
        </w:rPr>
      </w:pPr>
    </w:p>
    <w:p w:rsidR="00CF3F69" w:rsidRDefault="00CF3F69" w:rsidP="00CF3F69">
      <w:pPr>
        <w:ind w:left="851"/>
        <w:rPr>
          <w:sz w:val="24"/>
          <w:szCs w:val="24"/>
        </w:rPr>
      </w:pPr>
      <w:r>
        <w:rPr>
          <w:sz w:val="24"/>
          <w:szCs w:val="24"/>
        </w:rPr>
        <w:t>Pakningsstørrelser: 30, 60, 120, 180 og 240 stk.</w:t>
      </w:r>
    </w:p>
    <w:p w:rsidR="00CF3F69" w:rsidRDefault="00CF3F69" w:rsidP="00CF3F69">
      <w:pPr>
        <w:ind w:left="851"/>
        <w:rPr>
          <w:sz w:val="24"/>
          <w:szCs w:val="24"/>
        </w:rPr>
      </w:pPr>
      <w:r>
        <w:rPr>
          <w:sz w:val="24"/>
          <w:szCs w:val="24"/>
        </w:rPr>
        <w:t>Ikke alle pakningsstørrelser er nødvendigvis markedsført.</w:t>
      </w:r>
    </w:p>
    <w:p w:rsidR="00CF3F69" w:rsidRPr="00EC0B9B" w:rsidRDefault="00CF3F69" w:rsidP="00CF3F69">
      <w:pPr>
        <w:tabs>
          <w:tab w:val="left" w:pos="851"/>
        </w:tabs>
        <w:ind w:left="851"/>
        <w:rPr>
          <w:sz w:val="24"/>
          <w:szCs w:val="24"/>
        </w:rPr>
      </w:pPr>
    </w:p>
    <w:p w:rsidR="00CF3F69" w:rsidRPr="00EC0B9B" w:rsidRDefault="00CF3F69" w:rsidP="00CF3F69">
      <w:pPr>
        <w:numPr>
          <w:ilvl w:val="1"/>
          <w:numId w:val="5"/>
        </w:numPr>
        <w:rPr>
          <w:b/>
          <w:sz w:val="24"/>
          <w:szCs w:val="24"/>
        </w:rPr>
      </w:pPr>
      <w:r w:rsidRPr="00EC0B9B">
        <w:rPr>
          <w:b/>
          <w:sz w:val="24"/>
          <w:szCs w:val="24"/>
        </w:rPr>
        <w:t xml:space="preserve">Regler for </w:t>
      </w:r>
      <w:r w:rsidR="001E06B0">
        <w:rPr>
          <w:b/>
          <w:sz w:val="24"/>
          <w:szCs w:val="24"/>
        </w:rPr>
        <w:t>bortskaffelse</w:t>
      </w:r>
      <w:r w:rsidRPr="00EC0B9B">
        <w:rPr>
          <w:b/>
          <w:sz w:val="24"/>
          <w:szCs w:val="24"/>
        </w:rPr>
        <w:t xml:space="preserve"> og anden håndtering</w:t>
      </w:r>
    </w:p>
    <w:p w:rsidR="00CF3F69" w:rsidRDefault="00CF3F69" w:rsidP="00CF3F69">
      <w:pPr>
        <w:ind w:left="851"/>
        <w:rPr>
          <w:sz w:val="24"/>
          <w:szCs w:val="24"/>
        </w:rPr>
      </w:pPr>
      <w:r>
        <w:rPr>
          <w:sz w:val="24"/>
          <w:szCs w:val="24"/>
        </w:rPr>
        <w:t>Ingen særlige forholdsregler.</w:t>
      </w:r>
    </w:p>
    <w:p w:rsidR="00CF3F69" w:rsidRPr="00EC0B9B" w:rsidRDefault="00CF3F69" w:rsidP="00CF3F69">
      <w:pPr>
        <w:tabs>
          <w:tab w:val="left" w:pos="851"/>
        </w:tabs>
        <w:ind w:left="851"/>
        <w:jc w:val="both"/>
        <w:rPr>
          <w:sz w:val="24"/>
          <w:szCs w:val="24"/>
        </w:rPr>
      </w:pPr>
    </w:p>
    <w:p w:rsidR="00CF3F69" w:rsidRPr="00EC0B9B" w:rsidRDefault="00CF3F69" w:rsidP="00CF3F69">
      <w:pPr>
        <w:tabs>
          <w:tab w:val="left" w:pos="851"/>
        </w:tabs>
        <w:rPr>
          <w:b/>
          <w:sz w:val="24"/>
          <w:szCs w:val="24"/>
        </w:rPr>
      </w:pPr>
      <w:r w:rsidRPr="00EC0B9B">
        <w:rPr>
          <w:b/>
          <w:sz w:val="24"/>
          <w:szCs w:val="24"/>
        </w:rPr>
        <w:t>7.</w:t>
      </w:r>
      <w:r w:rsidRPr="00EC0B9B">
        <w:rPr>
          <w:b/>
          <w:sz w:val="24"/>
          <w:szCs w:val="24"/>
        </w:rPr>
        <w:tab/>
        <w:t>INDEHAVER AF MARKEDSFØRINGSTILLADELSEN</w:t>
      </w:r>
    </w:p>
    <w:p w:rsidR="00CF3F69" w:rsidRDefault="00CF3F69" w:rsidP="00CF3F69">
      <w:pPr>
        <w:ind w:left="851"/>
        <w:rPr>
          <w:sz w:val="24"/>
          <w:szCs w:val="24"/>
          <w:lang w:val="sv-SE"/>
        </w:rPr>
      </w:pPr>
      <w:r>
        <w:rPr>
          <w:sz w:val="24"/>
          <w:szCs w:val="24"/>
          <w:lang w:val="sv-SE"/>
        </w:rPr>
        <w:t>STADA Arzneimittel AG</w:t>
      </w:r>
    </w:p>
    <w:p w:rsidR="00CF3F69" w:rsidRDefault="00CF3F69" w:rsidP="00CF3F69">
      <w:pPr>
        <w:ind w:left="851"/>
        <w:rPr>
          <w:sz w:val="24"/>
          <w:szCs w:val="24"/>
          <w:lang w:val="sv-SE"/>
        </w:rPr>
      </w:pPr>
      <w:r>
        <w:rPr>
          <w:sz w:val="24"/>
          <w:szCs w:val="24"/>
          <w:lang w:val="sv-SE"/>
        </w:rPr>
        <w:t xml:space="preserve">Stadastr. </w:t>
      </w:r>
      <w:proofErr w:type="gramStart"/>
      <w:r>
        <w:rPr>
          <w:sz w:val="24"/>
          <w:szCs w:val="24"/>
          <w:lang w:val="sv-SE"/>
        </w:rPr>
        <w:t>2-18</w:t>
      </w:r>
      <w:proofErr w:type="gramEnd"/>
    </w:p>
    <w:p w:rsidR="00CF3F69" w:rsidRDefault="00CF3F69" w:rsidP="00CF3F69">
      <w:pPr>
        <w:ind w:left="851"/>
        <w:rPr>
          <w:sz w:val="24"/>
          <w:szCs w:val="24"/>
          <w:lang w:val="sv-SE"/>
        </w:rPr>
      </w:pPr>
      <w:proofErr w:type="gramStart"/>
      <w:r>
        <w:rPr>
          <w:sz w:val="24"/>
          <w:szCs w:val="24"/>
          <w:lang w:val="sv-SE"/>
        </w:rPr>
        <w:t>61118</w:t>
      </w:r>
      <w:proofErr w:type="gramEnd"/>
      <w:r>
        <w:rPr>
          <w:sz w:val="24"/>
          <w:szCs w:val="24"/>
          <w:lang w:val="sv-SE"/>
        </w:rPr>
        <w:t xml:space="preserve"> Bad Vilbel</w:t>
      </w:r>
    </w:p>
    <w:p w:rsidR="00CF3F69" w:rsidRDefault="00CF3F69" w:rsidP="00CF3F69">
      <w:pPr>
        <w:ind w:left="851"/>
        <w:rPr>
          <w:sz w:val="24"/>
          <w:szCs w:val="24"/>
          <w:lang w:val="sv-SE"/>
        </w:rPr>
      </w:pPr>
      <w:r>
        <w:rPr>
          <w:sz w:val="24"/>
          <w:szCs w:val="24"/>
          <w:lang w:val="sv-SE"/>
        </w:rPr>
        <w:t>Tyskland</w:t>
      </w:r>
    </w:p>
    <w:p w:rsidR="00CF3F69" w:rsidRDefault="00CF3F69" w:rsidP="00CF3F69">
      <w:pPr>
        <w:ind w:left="851"/>
        <w:rPr>
          <w:sz w:val="24"/>
          <w:szCs w:val="24"/>
          <w:lang w:val="sv-SE"/>
        </w:rPr>
      </w:pPr>
    </w:p>
    <w:p w:rsidR="00CF3F69" w:rsidRPr="002433A1" w:rsidRDefault="00CF3F69" w:rsidP="00CF3F69">
      <w:pPr>
        <w:ind w:left="851"/>
        <w:rPr>
          <w:b/>
          <w:sz w:val="24"/>
          <w:szCs w:val="24"/>
        </w:rPr>
      </w:pPr>
      <w:r w:rsidRPr="002433A1">
        <w:rPr>
          <w:b/>
          <w:sz w:val="24"/>
          <w:szCs w:val="24"/>
        </w:rPr>
        <w:t>Repræsentant</w:t>
      </w:r>
    </w:p>
    <w:p w:rsidR="00CF3F69" w:rsidRDefault="00CF3F69" w:rsidP="00CF3F69">
      <w:pPr>
        <w:ind w:left="851"/>
        <w:rPr>
          <w:sz w:val="24"/>
          <w:szCs w:val="24"/>
        </w:rPr>
      </w:pPr>
      <w:r>
        <w:rPr>
          <w:sz w:val="24"/>
          <w:szCs w:val="24"/>
        </w:rPr>
        <w:t>PharmaCoDane ApS</w:t>
      </w:r>
    </w:p>
    <w:p w:rsidR="00CF3F69" w:rsidRDefault="00CF3F69" w:rsidP="00CF3F69">
      <w:pPr>
        <w:ind w:left="851"/>
        <w:rPr>
          <w:sz w:val="24"/>
          <w:szCs w:val="24"/>
        </w:rPr>
      </w:pPr>
      <w:r>
        <w:rPr>
          <w:sz w:val="24"/>
          <w:szCs w:val="24"/>
        </w:rPr>
        <w:t>Marielundvej 46A</w:t>
      </w:r>
    </w:p>
    <w:p w:rsidR="00CF3F69" w:rsidRDefault="00CF3F69" w:rsidP="00CF3F69">
      <w:pPr>
        <w:ind w:left="851"/>
        <w:rPr>
          <w:sz w:val="24"/>
          <w:szCs w:val="24"/>
        </w:rPr>
      </w:pPr>
      <w:r>
        <w:rPr>
          <w:sz w:val="24"/>
          <w:szCs w:val="24"/>
        </w:rPr>
        <w:t>2730 Herlev</w:t>
      </w:r>
    </w:p>
    <w:p w:rsidR="00CF3F69" w:rsidRPr="00EC0B9B" w:rsidRDefault="00CF3F69" w:rsidP="00CF3F69">
      <w:pPr>
        <w:tabs>
          <w:tab w:val="left" w:pos="851"/>
        </w:tabs>
        <w:ind w:left="851"/>
        <w:rPr>
          <w:sz w:val="24"/>
          <w:szCs w:val="24"/>
        </w:rPr>
      </w:pPr>
    </w:p>
    <w:p w:rsidR="00CF3F69" w:rsidRPr="00EC0B9B" w:rsidRDefault="00CF3F69" w:rsidP="00CF3F69">
      <w:pPr>
        <w:tabs>
          <w:tab w:val="left" w:pos="851"/>
        </w:tabs>
        <w:rPr>
          <w:b/>
          <w:sz w:val="24"/>
          <w:szCs w:val="24"/>
        </w:rPr>
      </w:pPr>
      <w:r w:rsidRPr="00EC0B9B">
        <w:rPr>
          <w:b/>
          <w:sz w:val="24"/>
          <w:szCs w:val="24"/>
        </w:rPr>
        <w:t>8.</w:t>
      </w:r>
      <w:r w:rsidRPr="00EC0B9B">
        <w:rPr>
          <w:b/>
          <w:sz w:val="24"/>
          <w:szCs w:val="24"/>
        </w:rPr>
        <w:tab/>
        <w:t>MARKEDSFØRINGSTILLADELSESNUMMER (</w:t>
      </w:r>
      <w:r w:rsidR="001E06B0">
        <w:rPr>
          <w:b/>
          <w:sz w:val="24"/>
          <w:szCs w:val="24"/>
        </w:rPr>
        <w:t>-</w:t>
      </w:r>
      <w:r w:rsidRPr="00EC0B9B">
        <w:rPr>
          <w:b/>
          <w:sz w:val="24"/>
          <w:szCs w:val="24"/>
        </w:rPr>
        <w:t>NUMRE)</w:t>
      </w:r>
    </w:p>
    <w:p w:rsidR="00CF3F69" w:rsidRDefault="00CF3F69" w:rsidP="00CF3F69">
      <w:pPr>
        <w:tabs>
          <w:tab w:val="left" w:pos="851"/>
          <w:tab w:val="left" w:pos="1843"/>
        </w:tabs>
        <w:ind w:left="851" w:hanging="851"/>
        <w:rPr>
          <w:sz w:val="24"/>
          <w:szCs w:val="24"/>
        </w:rPr>
      </w:pPr>
      <w:r w:rsidRPr="00EC0B9B">
        <w:rPr>
          <w:sz w:val="24"/>
          <w:szCs w:val="24"/>
        </w:rPr>
        <w:tab/>
      </w:r>
      <w:r>
        <w:rPr>
          <w:sz w:val="24"/>
          <w:szCs w:val="24"/>
        </w:rPr>
        <w:t>150 mg:</w:t>
      </w:r>
      <w:r>
        <w:rPr>
          <w:sz w:val="24"/>
          <w:szCs w:val="24"/>
        </w:rPr>
        <w:tab/>
        <w:t>48679</w:t>
      </w:r>
    </w:p>
    <w:p w:rsidR="00CF3F69" w:rsidRDefault="00CF3F69" w:rsidP="00CF3F69">
      <w:pPr>
        <w:tabs>
          <w:tab w:val="left" w:pos="851"/>
          <w:tab w:val="left" w:pos="1843"/>
        </w:tabs>
        <w:ind w:left="851" w:hanging="851"/>
        <w:rPr>
          <w:sz w:val="24"/>
          <w:szCs w:val="24"/>
        </w:rPr>
      </w:pPr>
      <w:r>
        <w:rPr>
          <w:sz w:val="24"/>
          <w:szCs w:val="24"/>
        </w:rPr>
        <w:tab/>
        <w:t>500 mg:</w:t>
      </w:r>
      <w:r>
        <w:rPr>
          <w:sz w:val="24"/>
          <w:szCs w:val="24"/>
        </w:rPr>
        <w:tab/>
        <w:t>48680</w:t>
      </w:r>
    </w:p>
    <w:p w:rsidR="00CF3F69" w:rsidRPr="00EC0B9B" w:rsidRDefault="00CF3F69" w:rsidP="00CF3F69">
      <w:pPr>
        <w:tabs>
          <w:tab w:val="left" w:pos="851"/>
          <w:tab w:val="left" w:pos="1843"/>
        </w:tabs>
        <w:ind w:left="851" w:hanging="851"/>
        <w:rPr>
          <w:sz w:val="24"/>
          <w:szCs w:val="24"/>
        </w:rPr>
      </w:pPr>
    </w:p>
    <w:p w:rsidR="00CF3F69" w:rsidRPr="00EC0B9B" w:rsidRDefault="00CF3F69" w:rsidP="00CF3F69">
      <w:pPr>
        <w:tabs>
          <w:tab w:val="left" w:pos="851"/>
        </w:tabs>
        <w:rPr>
          <w:b/>
          <w:sz w:val="24"/>
          <w:szCs w:val="24"/>
        </w:rPr>
      </w:pPr>
      <w:r w:rsidRPr="00EC0B9B">
        <w:rPr>
          <w:b/>
          <w:sz w:val="24"/>
          <w:szCs w:val="24"/>
        </w:rPr>
        <w:t>9.</w:t>
      </w:r>
      <w:r w:rsidRPr="00EC0B9B">
        <w:rPr>
          <w:b/>
          <w:sz w:val="24"/>
          <w:szCs w:val="24"/>
        </w:rPr>
        <w:tab/>
        <w:t>DATO FOR FØRSTE MARKEDSFØRINGSTILLADELSE</w:t>
      </w:r>
    </w:p>
    <w:p w:rsidR="00CF3F69" w:rsidRPr="00EC0B9B" w:rsidRDefault="00CF3F69" w:rsidP="00CF3F69">
      <w:pPr>
        <w:tabs>
          <w:tab w:val="left" w:pos="851"/>
        </w:tabs>
        <w:rPr>
          <w:sz w:val="24"/>
          <w:szCs w:val="24"/>
        </w:rPr>
      </w:pPr>
      <w:r w:rsidRPr="00EC0B9B">
        <w:rPr>
          <w:sz w:val="24"/>
          <w:szCs w:val="24"/>
        </w:rPr>
        <w:tab/>
      </w:r>
      <w:r>
        <w:rPr>
          <w:sz w:val="24"/>
          <w:szCs w:val="24"/>
        </w:rPr>
        <w:t>29. marts 2012</w:t>
      </w:r>
    </w:p>
    <w:p w:rsidR="00CF3F69" w:rsidRPr="00EC0B9B" w:rsidRDefault="00CF3F69" w:rsidP="00CF3F69">
      <w:pPr>
        <w:tabs>
          <w:tab w:val="left" w:pos="851"/>
        </w:tabs>
        <w:rPr>
          <w:sz w:val="24"/>
          <w:szCs w:val="24"/>
        </w:rPr>
      </w:pPr>
    </w:p>
    <w:p w:rsidR="00CF3F69" w:rsidRPr="00EC0B9B" w:rsidRDefault="00CF3F69" w:rsidP="00CF3F69">
      <w:pPr>
        <w:tabs>
          <w:tab w:val="left" w:pos="851"/>
        </w:tabs>
        <w:rPr>
          <w:b/>
          <w:sz w:val="24"/>
          <w:szCs w:val="24"/>
        </w:rPr>
      </w:pPr>
      <w:r w:rsidRPr="00EC0B9B">
        <w:rPr>
          <w:b/>
          <w:sz w:val="24"/>
          <w:szCs w:val="24"/>
        </w:rPr>
        <w:t>10.</w:t>
      </w:r>
      <w:r w:rsidRPr="00EC0B9B">
        <w:rPr>
          <w:b/>
          <w:sz w:val="24"/>
          <w:szCs w:val="24"/>
        </w:rPr>
        <w:tab/>
        <w:t>DATO FOR ÆNDRING AF TEKSTEN</w:t>
      </w:r>
    </w:p>
    <w:p w:rsidR="00CF3F69" w:rsidRDefault="00CF3F69" w:rsidP="00CF3F69">
      <w:pPr>
        <w:tabs>
          <w:tab w:val="left" w:pos="851"/>
        </w:tabs>
        <w:rPr>
          <w:sz w:val="24"/>
          <w:szCs w:val="24"/>
        </w:rPr>
      </w:pPr>
      <w:r>
        <w:rPr>
          <w:sz w:val="24"/>
          <w:szCs w:val="24"/>
        </w:rPr>
        <w:tab/>
      </w:r>
      <w:r w:rsidR="00BC52AC">
        <w:rPr>
          <w:sz w:val="24"/>
          <w:szCs w:val="24"/>
        </w:rPr>
        <w:t>22. maj 2024</w:t>
      </w:r>
      <w:bookmarkStart w:id="0" w:name="_GoBack"/>
      <w:bookmarkEnd w:id="0"/>
    </w:p>
    <w:p w:rsidR="00CF3F69" w:rsidRPr="00C95551" w:rsidRDefault="00CF3F69" w:rsidP="00CF3F69">
      <w:pPr>
        <w:tabs>
          <w:tab w:val="left" w:pos="851"/>
        </w:tabs>
        <w:rPr>
          <w:sz w:val="24"/>
          <w:szCs w:val="24"/>
        </w:rPr>
      </w:pPr>
    </w:p>
    <w:p w:rsidR="00CF3F69" w:rsidRPr="00D405F3" w:rsidRDefault="00CF3F69" w:rsidP="00CF3F69"/>
    <w:p w:rsidR="00CF3F69" w:rsidRPr="00FD2A10" w:rsidRDefault="00CF3F69" w:rsidP="00CF3F69"/>
    <w:p w:rsidR="009260DE" w:rsidRPr="00CF3F69" w:rsidRDefault="009260DE" w:rsidP="00CF3F69"/>
    <w:sectPr w:rsidR="009260DE" w:rsidRPr="00CF3F6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E5E" w:rsidRDefault="00A83E5E">
      <w:r>
        <w:separator/>
      </w:r>
    </w:p>
  </w:endnote>
  <w:endnote w:type="continuationSeparator" w:id="0">
    <w:p w:rsidR="00A83E5E" w:rsidRDefault="00A83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E5E" w:rsidRDefault="00A83E5E">
    <w:pPr>
      <w:pStyle w:val="Sidefod"/>
      <w:pBdr>
        <w:bottom w:val="single" w:sz="6" w:space="1" w:color="auto"/>
      </w:pBdr>
    </w:pPr>
  </w:p>
  <w:p w:rsidR="00A83E5E" w:rsidRDefault="00A83E5E" w:rsidP="00C42586">
    <w:pPr>
      <w:pStyle w:val="Sidefod"/>
      <w:tabs>
        <w:tab w:val="clear" w:pos="4819"/>
        <w:tab w:val="left" w:pos="8505"/>
      </w:tabs>
      <w:rPr>
        <w:i/>
        <w:sz w:val="18"/>
        <w:szCs w:val="18"/>
      </w:rPr>
    </w:pPr>
  </w:p>
  <w:p w:rsidR="00A83E5E" w:rsidRPr="00B373D7" w:rsidRDefault="00A83E5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Capecitabin Stada, filmovertrukne tabletter 150 mg og 500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E5E" w:rsidRDefault="00A83E5E">
      <w:r>
        <w:separator/>
      </w:r>
    </w:p>
  </w:footnote>
  <w:footnote w:type="continuationSeparator" w:id="0">
    <w:p w:rsidR="00A83E5E" w:rsidRDefault="00A83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286CC6"/>
    <w:multiLevelType w:val="hybridMultilevel"/>
    <w:tmpl w:val="7BB2E2DE"/>
    <w:lvl w:ilvl="0" w:tplc="F7DAE93E">
      <w:start w:val="1"/>
      <w:numFmt w:val="bullet"/>
      <w:lvlText w:val=""/>
      <w:lvlJc w:val="left"/>
      <w:pPr>
        <w:tabs>
          <w:tab w:val="num" w:pos="1080"/>
        </w:tabs>
        <w:ind w:left="108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7E1D676F"/>
    <w:multiLevelType w:val="hybridMultilevel"/>
    <w:tmpl w:val="82B01F88"/>
    <w:lvl w:ilvl="0" w:tplc="E96EC0A8">
      <w:numFmt w:val="bullet"/>
      <w:lvlText w:val="-"/>
      <w:lvlJc w:val="left"/>
      <w:pPr>
        <w:ind w:left="1211" w:hanging="360"/>
      </w:pPr>
      <w:rPr>
        <w:rFonts w:ascii="Times New Roman" w:eastAsia="Times New Roman" w:hAnsi="Times New Roman" w:cs="Times New Roman"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6"/>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F69"/>
    <w:rsid w:val="000259B9"/>
    <w:rsid w:val="00041491"/>
    <w:rsid w:val="00050D16"/>
    <w:rsid w:val="00074F2A"/>
    <w:rsid w:val="000A1CA8"/>
    <w:rsid w:val="000A466B"/>
    <w:rsid w:val="000B058C"/>
    <w:rsid w:val="000E4EE6"/>
    <w:rsid w:val="001312D6"/>
    <w:rsid w:val="001454E2"/>
    <w:rsid w:val="001638AA"/>
    <w:rsid w:val="00186815"/>
    <w:rsid w:val="001A1D86"/>
    <w:rsid w:val="001E06B0"/>
    <w:rsid w:val="00206CE8"/>
    <w:rsid w:val="0021526C"/>
    <w:rsid w:val="00283A2B"/>
    <w:rsid w:val="002B30AD"/>
    <w:rsid w:val="002C2C01"/>
    <w:rsid w:val="003A29AE"/>
    <w:rsid w:val="003A32D7"/>
    <w:rsid w:val="003B4074"/>
    <w:rsid w:val="003C769A"/>
    <w:rsid w:val="003F1838"/>
    <w:rsid w:val="003F5483"/>
    <w:rsid w:val="00447130"/>
    <w:rsid w:val="00447314"/>
    <w:rsid w:val="0045746C"/>
    <w:rsid w:val="0049104B"/>
    <w:rsid w:val="004C1F74"/>
    <w:rsid w:val="004E3B12"/>
    <w:rsid w:val="00532310"/>
    <w:rsid w:val="00560ECC"/>
    <w:rsid w:val="00565F0F"/>
    <w:rsid w:val="0058733B"/>
    <w:rsid w:val="00594A86"/>
    <w:rsid w:val="00596D86"/>
    <w:rsid w:val="00637F5A"/>
    <w:rsid w:val="006560B1"/>
    <w:rsid w:val="006756DD"/>
    <w:rsid w:val="00737275"/>
    <w:rsid w:val="00740EEC"/>
    <w:rsid w:val="00771C8A"/>
    <w:rsid w:val="0078011A"/>
    <w:rsid w:val="00782AF4"/>
    <w:rsid w:val="00790EE7"/>
    <w:rsid w:val="007B6649"/>
    <w:rsid w:val="007E4788"/>
    <w:rsid w:val="0081546F"/>
    <w:rsid w:val="0082576E"/>
    <w:rsid w:val="008E69EF"/>
    <w:rsid w:val="00907F75"/>
    <w:rsid w:val="009260DE"/>
    <w:rsid w:val="0093258A"/>
    <w:rsid w:val="009C7BA3"/>
    <w:rsid w:val="009D1F5A"/>
    <w:rsid w:val="00A83E5E"/>
    <w:rsid w:val="00B003BF"/>
    <w:rsid w:val="00B34083"/>
    <w:rsid w:val="00B373D7"/>
    <w:rsid w:val="00B65F08"/>
    <w:rsid w:val="00BC52AC"/>
    <w:rsid w:val="00C36276"/>
    <w:rsid w:val="00C42586"/>
    <w:rsid w:val="00C60CCD"/>
    <w:rsid w:val="00C84483"/>
    <w:rsid w:val="00C95551"/>
    <w:rsid w:val="00CB20D7"/>
    <w:rsid w:val="00CF3F69"/>
    <w:rsid w:val="00D020B0"/>
    <w:rsid w:val="00D11748"/>
    <w:rsid w:val="00D3057E"/>
    <w:rsid w:val="00D3183A"/>
    <w:rsid w:val="00D366CF"/>
    <w:rsid w:val="00D6212E"/>
    <w:rsid w:val="00E108AA"/>
    <w:rsid w:val="00E31812"/>
    <w:rsid w:val="00E3749A"/>
    <w:rsid w:val="00E7437F"/>
    <w:rsid w:val="00E865B8"/>
    <w:rsid w:val="00EC0B9B"/>
    <w:rsid w:val="00ED5E9F"/>
    <w:rsid w:val="00ED784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E5B42B"/>
  <w15:chartTrackingRefBased/>
  <w15:docId w15:val="{CFB77BFC-8132-435D-AD54-226D9041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CF3F69"/>
    <w:rPr>
      <w:color w:val="808080"/>
    </w:rPr>
  </w:style>
  <w:style w:type="table" w:styleId="Tabel-Gitter">
    <w:name w:val="Table Grid"/>
    <w:basedOn w:val="Tabel-Normal"/>
    <w:uiPriority w:val="59"/>
    <w:rsid w:val="00CF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CF3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829104606">
      <w:bodyDiv w:val="1"/>
      <w:marLeft w:val="0"/>
      <w:marRight w:val="0"/>
      <w:marTop w:val="0"/>
      <w:marBottom w:val="0"/>
      <w:divBdr>
        <w:top w:val="none" w:sz="0" w:space="0" w:color="auto"/>
        <w:left w:val="none" w:sz="0" w:space="0" w:color="auto"/>
        <w:bottom w:val="none" w:sz="0" w:space="0" w:color="auto"/>
        <w:right w:val="none" w:sz="0" w:space="0" w:color="auto"/>
      </w:divBdr>
    </w:div>
    <w:div w:id="940916549">
      <w:bodyDiv w:val="1"/>
      <w:marLeft w:val="0"/>
      <w:marRight w:val="0"/>
      <w:marTop w:val="0"/>
      <w:marBottom w:val="0"/>
      <w:divBdr>
        <w:top w:val="none" w:sz="0" w:space="0" w:color="auto"/>
        <w:left w:val="none" w:sz="0" w:space="0" w:color="auto"/>
        <w:bottom w:val="none" w:sz="0" w:space="0" w:color="auto"/>
        <w:right w:val="none" w:sz="0" w:space="0" w:color="auto"/>
      </w:divBdr>
    </w:div>
    <w:div w:id="1231232314">
      <w:bodyDiv w:val="1"/>
      <w:marLeft w:val="0"/>
      <w:marRight w:val="0"/>
      <w:marTop w:val="0"/>
      <w:marBottom w:val="0"/>
      <w:divBdr>
        <w:top w:val="none" w:sz="0" w:space="0" w:color="auto"/>
        <w:left w:val="none" w:sz="0" w:space="0" w:color="auto"/>
        <w:bottom w:val="none" w:sz="0" w:space="0" w:color="auto"/>
        <w:right w:val="none" w:sz="0" w:space="0" w:color="auto"/>
      </w:divBdr>
    </w:div>
    <w:div w:id="127055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11095</Words>
  <Characters>71525</Characters>
  <Application>Microsoft Office Word</Application>
  <DocSecurity>0</DocSecurity>
  <Lines>596</Lines>
  <Paragraphs>164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Kristine Skov</dc:creator>
  <cp:keywords/>
  <dc:description>2024012856 + 2024012857 _x000d_
SPC pkt. 6.3+6.4_x000d_
Ændring af holdbar for 500mg fra 36 måneder til 24 måneder samt opbevaringbetingelse for begge styrker til 25C</dc:description>
  <cp:lastModifiedBy>Kristine Skov Hansen</cp:lastModifiedBy>
  <cp:revision>2</cp:revision>
  <cp:lastPrinted>2012-08-22T08:53:00Z</cp:lastPrinted>
  <dcterms:created xsi:type="dcterms:W3CDTF">2024-05-22T17:52:00Z</dcterms:created>
  <dcterms:modified xsi:type="dcterms:W3CDTF">2024-05-22T17:52:00Z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