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22B5" w14:textId="428814AE" w:rsidR="009260DE" w:rsidRPr="00CD2342" w:rsidRDefault="0021526C" w:rsidP="00CD2342">
      <w:pPr>
        <w:rPr>
          <w:b/>
          <w:sz w:val="24"/>
          <w:szCs w:val="24"/>
        </w:rPr>
      </w:pPr>
      <w:r w:rsidRPr="00CD2342">
        <w:rPr>
          <w:noProof/>
          <w:sz w:val="24"/>
          <w:szCs w:val="24"/>
          <w:lang w:eastAsia="da-DK"/>
        </w:rPr>
        <w:drawing>
          <wp:anchor distT="0" distB="0" distL="114300" distR="114300" simplePos="0" relativeHeight="251658240" behindDoc="0" locked="0" layoutInCell="1" allowOverlap="1" wp14:anchorId="1F294AE8" wp14:editId="0E2B6B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D2342">
        <w:rPr>
          <w:sz w:val="24"/>
          <w:szCs w:val="24"/>
        </w:rPr>
        <w:br w:type="textWrapping" w:clear="all"/>
      </w:r>
    </w:p>
    <w:p w14:paraId="61115E4E" w14:textId="6F9999CF" w:rsidR="009260DE" w:rsidRPr="00DF7198" w:rsidRDefault="009260DE" w:rsidP="009260DE">
      <w:pPr>
        <w:pStyle w:val="Titel"/>
        <w:tabs>
          <w:tab w:val="right" w:pos="9356"/>
        </w:tabs>
        <w:jc w:val="left"/>
        <w:rPr>
          <w:szCs w:val="24"/>
          <w:lang w:eastAsia="en-US"/>
        </w:rPr>
      </w:pPr>
      <w:r w:rsidRPr="00DF7198">
        <w:rPr>
          <w:szCs w:val="24"/>
          <w:lang w:eastAsia="en-US"/>
        </w:rPr>
        <w:tab/>
      </w:r>
      <w:r w:rsidR="00DF7198" w:rsidRPr="00DF7198">
        <w:rPr>
          <w:szCs w:val="24"/>
          <w:lang w:eastAsia="en-US"/>
        </w:rPr>
        <w:t>15. januar 2025</w:t>
      </w:r>
    </w:p>
    <w:p w14:paraId="725BCD8B" w14:textId="77777777" w:rsidR="009260DE" w:rsidRPr="00CD2342" w:rsidRDefault="009260DE" w:rsidP="009260DE">
      <w:pPr>
        <w:pStyle w:val="Titel"/>
        <w:tabs>
          <w:tab w:val="left" w:pos="8222"/>
        </w:tabs>
        <w:jc w:val="left"/>
        <w:rPr>
          <w:b w:val="0"/>
          <w:szCs w:val="24"/>
        </w:rPr>
      </w:pPr>
    </w:p>
    <w:p w14:paraId="46E94D53" w14:textId="77777777" w:rsidR="009260DE" w:rsidRPr="00CD2342" w:rsidRDefault="009260DE" w:rsidP="009260DE">
      <w:pPr>
        <w:pStyle w:val="Titel"/>
        <w:jc w:val="left"/>
        <w:rPr>
          <w:b w:val="0"/>
          <w:szCs w:val="24"/>
        </w:rPr>
      </w:pPr>
    </w:p>
    <w:p w14:paraId="7F483E7E" w14:textId="77777777" w:rsidR="009260DE" w:rsidRPr="00CD2342" w:rsidRDefault="009260DE" w:rsidP="009260DE">
      <w:pPr>
        <w:pStyle w:val="Titel"/>
        <w:jc w:val="left"/>
        <w:rPr>
          <w:b w:val="0"/>
          <w:szCs w:val="24"/>
        </w:rPr>
      </w:pPr>
    </w:p>
    <w:p w14:paraId="119263B5" w14:textId="77777777" w:rsidR="009260DE" w:rsidRPr="00CD2342" w:rsidRDefault="009260DE" w:rsidP="009260DE">
      <w:pPr>
        <w:jc w:val="center"/>
        <w:rPr>
          <w:b/>
          <w:sz w:val="24"/>
          <w:szCs w:val="24"/>
        </w:rPr>
      </w:pPr>
      <w:r w:rsidRPr="00CD2342">
        <w:rPr>
          <w:b/>
          <w:sz w:val="24"/>
          <w:szCs w:val="24"/>
        </w:rPr>
        <w:t>PRODUKTRESUMÉ</w:t>
      </w:r>
    </w:p>
    <w:p w14:paraId="3807DB04" w14:textId="77777777" w:rsidR="009260DE" w:rsidRPr="00CD2342" w:rsidRDefault="009260DE" w:rsidP="009260DE">
      <w:pPr>
        <w:jc w:val="center"/>
        <w:rPr>
          <w:b/>
          <w:sz w:val="24"/>
          <w:szCs w:val="24"/>
        </w:rPr>
      </w:pPr>
    </w:p>
    <w:p w14:paraId="2069EE24" w14:textId="77777777" w:rsidR="009260DE" w:rsidRPr="00CD2342" w:rsidRDefault="009260DE" w:rsidP="009260DE">
      <w:pPr>
        <w:jc w:val="center"/>
        <w:rPr>
          <w:b/>
          <w:sz w:val="24"/>
          <w:szCs w:val="24"/>
        </w:rPr>
      </w:pPr>
      <w:r w:rsidRPr="00CD2342">
        <w:rPr>
          <w:b/>
          <w:sz w:val="24"/>
          <w:szCs w:val="24"/>
        </w:rPr>
        <w:t>for</w:t>
      </w:r>
    </w:p>
    <w:p w14:paraId="1AE18BB6" w14:textId="77777777" w:rsidR="000B058C" w:rsidRPr="00CD2342" w:rsidRDefault="000B058C" w:rsidP="009260DE">
      <w:pPr>
        <w:jc w:val="center"/>
        <w:rPr>
          <w:b/>
          <w:sz w:val="24"/>
          <w:szCs w:val="24"/>
        </w:rPr>
      </w:pPr>
    </w:p>
    <w:p w14:paraId="59B9742C" w14:textId="1C675C1F" w:rsidR="009260DE" w:rsidRPr="00CD2342" w:rsidRDefault="00CA0C6D" w:rsidP="009260DE">
      <w:pPr>
        <w:jc w:val="center"/>
        <w:rPr>
          <w:b/>
          <w:sz w:val="24"/>
          <w:szCs w:val="24"/>
        </w:rPr>
      </w:pPr>
      <w:proofErr w:type="spellStart"/>
      <w:r w:rsidRPr="00CD2342">
        <w:rPr>
          <w:b/>
          <w:sz w:val="24"/>
          <w:szCs w:val="24"/>
        </w:rPr>
        <w:t>Carblit</w:t>
      </w:r>
      <w:proofErr w:type="spellEnd"/>
      <w:r w:rsidRPr="00CD2342">
        <w:rPr>
          <w:b/>
          <w:sz w:val="24"/>
          <w:szCs w:val="24"/>
        </w:rPr>
        <w:t>, tabletter</w:t>
      </w:r>
    </w:p>
    <w:p w14:paraId="3AAA9885" w14:textId="77777777" w:rsidR="009260DE" w:rsidRPr="00CD2342" w:rsidRDefault="009260DE" w:rsidP="009260DE">
      <w:pPr>
        <w:jc w:val="both"/>
        <w:rPr>
          <w:sz w:val="24"/>
          <w:szCs w:val="24"/>
        </w:rPr>
      </w:pPr>
    </w:p>
    <w:p w14:paraId="3DAA0CAB" w14:textId="77777777" w:rsidR="009260DE" w:rsidRPr="00CD2342" w:rsidRDefault="009260DE" w:rsidP="009260DE">
      <w:pPr>
        <w:jc w:val="both"/>
        <w:rPr>
          <w:sz w:val="24"/>
          <w:szCs w:val="24"/>
        </w:rPr>
      </w:pPr>
    </w:p>
    <w:p w14:paraId="3FB4DA9B" w14:textId="77777777" w:rsidR="009260DE" w:rsidRPr="00CD2342" w:rsidRDefault="009260DE" w:rsidP="009260DE">
      <w:pPr>
        <w:tabs>
          <w:tab w:val="left" w:pos="851"/>
        </w:tabs>
        <w:ind w:left="851" w:hanging="851"/>
        <w:rPr>
          <w:b/>
          <w:sz w:val="24"/>
          <w:szCs w:val="24"/>
        </w:rPr>
      </w:pPr>
      <w:r w:rsidRPr="00CD2342">
        <w:rPr>
          <w:b/>
          <w:sz w:val="24"/>
          <w:szCs w:val="24"/>
        </w:rPr>
        <w:t>0.</w:t>
      </w:r>
      <w:r w:rsidRPr="00CD2342">
        <w:rPr>
          <w:b/>
          <w:sz w:val="24"/>
          <w:szCs w:val="24"/>
        </w:rPr>
        <w:tab/>
        <w:t>D.SP.NR.</w:t>
      </w:r>
    </w:p>
    <w:p w14:paraId="18334806" w14:textId="3F0DA99E" w:rsidR="009260DE" w:rsidRPr="00CD2342" w:rsidRDefault="00CA0C6D" w:rsidP="009260DE">
      <w:pPr>
        <w:tabs>
          <w:tab w:val="left" w:pos="851"/>
        </w:tabs>
        <w:ind w:left="851"/>
        <w:rPr>
          <w:sz w:val="24"/>
          <w:szCs w:val="24"/>
        </w:rPr>
      </w:pPr>
      <w:r w:rsidRPr="00CD2342">
        <w:rPr>
          <w:sz w:val="24"/>
          <w:szCs w:val="24"/>
        </w:rPr>
        <w:t>33495</w:t>
      </w:r>
    </w:p>
    <w:p w14:paraId="025ECE3F" w14:textId="77777777" w:rsidR="009260DE" w:rsidRPr="00CD2342" w:rsidRDefault="009260DE" w:rsidP="009260DE">
      <w:pPr>
        <w:tabs>
          <w:tab w:val="left" w:pos="851"/>
        </w:tabs>
        <w:ind w:left="851"/>
        <w:rPr>
          <w:sz w:val="24"/>
          <w:szCs w:val="24"/>
        </w:rPr>
      </w:pPr>
    </w:p>
    <w:p w14:paraId="0A1B05FB" w14:textId="77777777" w:rsidR="009260DE" w:rsidRPr="00CD2342" w:rsidRDefault="009260DE" w:rsidP="009260DE">
      <w:pPr>
        <w:tabs>
          <w:tab w:val="left" w:pos="851"/>
        </w:tabs>
        <w:ind w:left="851" w:hanging="851"/>
        <w:rPr>
          <w:b/>
          <w:sz w:val="24"/>
          <w:szCs w:val="24"/>
        </w:rPr>
      </w:pPr>
      <w:r w:rsidRPr="00CD2342">
        <w:rPr>
          <w:b/>
          <w:sz w:val="24"/>
          <w:szCs w:val="24"/>
        </w:rPr>
        <w:t>1.</w:t>
      </w:r>
      <w:r w:rsidRPr="00CD2342">
        <w:rPr>
          <w:b/>
          <w:sz w:val="24"/>
          <w:szCs w:val="24"/>
        </w:rPr>
        <w:tab/>
        <w:t>LÆGEMIDLETS NAVN</w:t>
      </w:r>
    </w:p>
    <w:p w14:paraId="49C11F6A" w14:textId="396B2F2A" w:rsidR="009260DE" w:rsidRPr="00CD2342" w:rsidRDefault="00CA0C6D" w:rsidP="009260DE">
      <w:pPr>
        <w:tabs>
          <w:tab w:val="left" w:pos="851"/>
        </w:tabs>
        <w:ind w:left="851"/>
        <w:rPr>
          <w:sz w:val="24"/>
          <w:szCs w:val="24"/>
        </w:rPr>
      </w:pPr>
      <w:proofErr w:type="spellStart"/>
      <w:r w:rsidRPr="00CD2342">
        <w:rPr>
          <w:sz w:val="24"/>
          <w:szCs w:val="24"/>
        </w:rPr>
        <w:t>Carblit</w:t>
      </w:r>
      <w:proofErr w:type="spellEnd"/>
    </w:p>
    <w:p w14:paraId="10DEFCF1" w14:textId="77777777" w:rsidR="009260DE" w:rsidRPr="00CD2342" w:rsidRDefault="009260DE" w:rsidP="009260DE">
      <w:pPr>
        <w:tabs>
          <w:tab w:val="left" w:pos="851"/>
        </w:tabs>
        <w:ind w:left="851"/>
        <w:rPr>
          <w:sz w:val="24"/>
          <w:szCs w:val="24"/>
        </w:rPr>
      </w:pPr>
    </w:p>
    <w:p w14:paraId="559A7321" w14:textId="77777777" w:rsidR="009260DE" w:rsidRPr="00CD2342" w:rsidRDefault="009260DE" w:rsidP="009260DE">
      <w:pPr>
        <w:tabs>
          <w:tab w:val="left" w:pos="851"/>
        </w:tabs>
        <w:ind w:left="851" w:hanging="851"/>
        <w:rPr>
          <w:b/>
          <w:sz w:val="24"/>
          <w:szCs w:val="24"/>
        </w:rPr>
      </w:pPr>
      <w:r w:rsidRPr="00CD2342">
        <w:rPr>
          <w:b/>
          <w:sz w:val="24"/>
          <w:szCs w:val="24"/>
        </w:rPr>
        <w:t>2.</w:t>
      </w:r>
      <w:r w:rsidRPr="00CD2342">
        <w:rPr>
          <w:b/>
          <w:sz w:val="24"/>
          <w:szCs w:val="24"/>
        </w:rPr>
        <w:tab/>
        <w:t>KVALITATIV OG KVANTITATIV SAMMENSÆTNING</w:t>
      </w:r>
    </w:p>
    <w:p w14:paraId="0CB2986E" w14:textId="77777777" w:rsidR="00165A40" w:rsidRPr="00CD2342" w:rsidRDefault="00165A40" w:rsidP="00165A40">
      <w:pPr>
        <w:ind w:left="851" w:hanging="1"/>
        <w:rPr>
          <w:spacing w:val="-3"/>
          <w:sz w:val="24"/>
          <w:szCs w:val="24"/>
          <w:lang w:eastAsia="da-DK"/>
        </w:rPr>
      </w:pPr>
      <w:r w:rsidRPr="00CD2342">
        <w:rPr>
          <w:spacing w:val="-3"/>
          <w:sz w:val="24"/>
          <w:szCs w:val="24"/>
        </w:rPr>
        <w:tab/>
        <w:t xml:space="preserve">1 tablet indeholder 300 mg </w:t>
      </w:r>
      <w:proofErr w:type="spellStart"/>
      <w:r w:rsidRPr="00CD2342">
        <w:rPr>
          <w:spacing w:val="-3"/>
          <w:sz w:val="24"/>
          <w:szCs w:val="24"/>
        </w:rPr>
        <w:t>lithiumcarbonat</w:t>
      </w:r>
      <w:proofErr w:type="spellEnd"/>
      <w:r w:rsidRPr="00CD2342">
        <w:rPr>
          <w:spacing w:val="-3"/>
          <w:sz w:val="24"/>
          <w:szCs w:val="24"/>
        </w:rPr>
        <w:t xml:space="preserve"> svarende til 56 mg Li+ (lig med 8,1 mmol Li+).</w:t>
      </w:r>
    </w:p>
    <w:p w14:paraId="3A8E6DA8" w14:textId="77777777" w:rsidR="00165A40" w:rsidRPr="00CD2342" w:rsidRDefault="00165A40" w:rsidP="00165A40">
      <w:pPr>
        <w:ind w:left="851" w:hanging="1"/>
        <w:rPr>
          <w:spacing w:val="-3"/>
          <w:sz w:val="24"/>
          <w:szCs w:val="24"/>
        </w:rPr>
      </w:pPr>
    </w:p>
    <w:p w14:paraId="05119AA1" w14:textId="77777777" w:rsidR="00165A40" w:rsidRPr="00CD2342" w:rsidRDefault="00165A40" w:rsidP="00165A40">
      <w:pPr>
        <w:ind w:left="1700" w:hanging="850"/>
        <w:rPr>
          <w:spacing w:val="-3"/>
          <w:sz w:val="24"/>
          <w:szCs w:val="24"/>
          <w:u w:val="single"/>
        </w:rPr>
      </w:pPr>
      <w:r w:rsidRPr="00CD2342">
        <w:rPr>
          <w:spacing w:val="-3"/>
          <w:sz w:val="24"/>
          <w:szCs w:val="24"/>
          <w:u w:val="single"/>
        </w:rPr>
        <w:t>Hjælpestof, som behandleren skal være opmærksom på:</w:t>
      </w:r>
    </w:p>
    <w:p w14:paraId="0F65C8BD" w14:textId="77777777" w:rsidR="00165A40" w:rsidRPr="00CD2342" w:rsidRDefault="00165A40" w:rsidP="00165A40">
      <w:pPr>
        <w:ind w:left="851" w:hanging="1"/>
        <w:rPr>
          <w:spacing w:val="-3"/>
          <w:sz w:val="24"/>
          <w:szCs w:val="24"/>
        </w:rPr>
      </w:pPr>
      <w:r w:rsidRPr="00CD2342">
        <w:rPr>
          <w:spacing w:val="-3"/>
          <w:sz w:val="24"/>
          <w:szCs w:val="24"/>
        </w:rPr>
        <w:t xml:space="preserve">1 tablet indeholder 57 mg </w:t>
      </w:r>
      <w:proofErr w:type="spellStart"/>
      <w:r w:rsidRPr="00CD2342">
        <w:rPr>
          <w:spacing w:val="-3"/>
          <w:sz w:val="24"/>
          <w:szCs w:val="24"/>
        </w:rPr>
        <w:t>lactose</w:t>
      </w:r>
      <w:proofErr w:type="spellEnd"/>
      <w:r w:rsidRPr="00CD2342">
        <w:rPr>
          <w:spacing w:val="-3"/>
          <w:sz w:val="24"/>
          <w:szCs w:val="24"/>
        </w:rPr>
        <w:t xml:space="preserve"> (som monohydrat)</w:t>
      </w:r>
    </w:p>
    <w:p w14:paraId="4ED2C19E" w14:textId="77777777" w:rsidR="00165A40" w:rsidRPr="00CD2342" w:rsidRDefault="00165A40" w:rsidP="00165A40">
      <w:pPr>
        <w:ind w:left="851" w:hanging="1"/>
        <w:rPr>
          <w:spacing w:val="-3"/>
          <w:sz w:val="24"/>
          <w:szCs w:val="24"/>
        </w:rPr>
      </w:pPr>
    </w:p>
    <w:p w14:paraId="065AA4C4" w14:textId="77777777" w:rsidR="00165A40" w:rsidRPr="00CD2342" w:rsidRDefault="00165A40" w:rsidP="00165A40">
      <w:pPr>
        <w:ind w:left="851" w:hanging="1"/>
        <w:rPr>
          <w:spacing w:val="-3"/>
          <w:sz w:val="24"/>
          <w:szCs w:val="24"/>
        </w:rPr>
      </w:pPr>
      <w:r w:rsidRPr="00CD2342">
        <w:rPr>
          <w:spacing w:val="-3"/>
          <w:sz w:val="24"/>
          <w:szCs w:val="24"/>
        </w:rPr>
        <w:tab/>
        <w:t>Alle hjælpestoffer er anført under pkt. 6.1.</w:t>
      </w:r>
    </w:p>
    <w:p w14:paraId="2112C81E" w14:textId="77777777" w:rsidR="009260DE" w:rsidRPr="00CD2342" w:rsidRDefault="009260DE" w:rsidP="009260DE">
      <w:pPr>
        <w:tabs>
          <w:tab w:val="left" w:pos="851"/>
        </w:tabs>
        <w:ind w:left="851"/>
        <w:rPr>
          <w:sz w:val="24"/>
          <w:szCs w:val="24"/>
        </w:rPr>
      </w:pPr>
    </w:p>
    <w:p w14:paraId="6893F08D" w14:textId="77777777" w:rsidR="009260DE" w:rsidRPr="00CD2342" w:rsidRDefault="009260DE" w:rsidP="009260DE">
      <w:pPr>
        <w:tabs>
          <w:tab w:val="left" w:pos="851"/>
        </w:tabs>
        <w:ind w:left="851" w:hanging="851"/>
        <w:rPr>
          <w:b/>
          <w:sz w:val="24"/>
          <w:szCs w:val="24"/>
        </w:rPr>
      </w:pPr>
      <w:r w:rsidRPr="00CD2342">
        <w:rPr>
          <w:b/>
          <w:sz w:val="24"/>
          <w:szCs w:val="24"/>
        </w:rPr>
        <w:t>3.</w:t>
      </w:r>
      <w:r w:rsidRPr="00CD2342">
        <w:rPr>
          <w:b/>
          <w:sz w:val="24"/>
          <w:szCs w:val="24"/>
        </w:rPr>
        <w:tab/>
        <w:t>LÆGEMIDDELFORM</w:t>
      </w:r>
    </w:p>
    <w:p w14:paraId="27E1E1D1" w14:textId="254B12D2" w:rsidR="00165A40" w:rsidRPr="00CD2342" w:rsidRDefault="00165A40" w:rsidP="00165A40">
      <w:pPr>
        <w:ind w:left="851" w:hanging="1"/>
        <w:rPr>
          <w:spacing w:val="-3"/>
          <w:sz w:val="24"/>
          <w:szCs w:val="24"/>
          <w:lang w:eastAsia="da-DK"/>
        </w:rPr>
      </w:pPr>
      <w:r w:rsidRPr="00CD2342">
        <w:rPr>
          <w:spacing w:val="-3"/>
          <w:sz w:val="24"/>
          <w:szCs w:val="24"/>
        </w:rPr>
        <w:tab/>
        <w:t>Tabletter</w:t>
      </w:r>
    </w:p>
    <w:p w14:paraId="1FA0DAE8" w14:textId="77777777" w:rsidR="00165A40" w:rsidRPr="00CD2342" w:rsidRDefault="00165A40" w:rsidP="00165A40">
      <w:pPr>
        <w:ind w:left="851" w:hanging="1"/>
        <w:rPr>
          <w:spacing w:val="-3"/>
          <w:sz w:val="24"/>
          <w:szCs w:val="24"/>
        </w:rPr>
      </w:pPr>
    </w:p>
    <w:p w14:paraId="78FAB0CC" w14:textId="77777777" w:rsidR="00165A40" w:rsidRPr="00CD2342" w:rsidRDefault="00165A40" w:rsidP="00165A40">
      <w:pPr>
        <w:ind w:left="851" w:hanging="1"/>
        <w:rPr>
          <w:spacing w:val="-3"/>
          <w:sz w:val="24"/>
          <w:szCs w:val="24"/>
        </w:rPr>
      </w:pPr>
      <w:r w:rsidRPr="00CD2342">
        <w:rPr>
          <w:spacing w:val="-3"/>
          <w:sz w:val="24"/>
          <w:szCs w:val="24"/>
        </w:rPr>
        <w:t>Hvid, rund, plan tablet med skråkant og med delekærv på den ene side.</w:t>
      </w:r>
    </w:p>
    <w:p w14:paraId="445D7CFE" w14:textId="77777777" w:rsidR="00165A40" w:rsidRPr="00CD2342" w:rsidRDefault="00165A40" w:rsidP="00165A40">
      <w:pPr>
        <w:ind w:left="850"/>
        <w:rPr>
          <w:spacing w:val="-3"/>
          <w:sz w:val="24"/>
          <w:szCs w:val="24"/>
        </w:rPr>
      </w:pPr>
      <w:r w:rsidRPr="00CD2342">
        <w:rPr>
          <w:spacing w:val="-3"/>
          <w:sz w:val="24"/>
          <w:szCs w:val="24"/>
        </w:rPr>
        <w:t>Diameter: 10 mm, tykkelse: 4 mm</w:t>
      </w:r>
    </w:p>
    <w:p w14:paraId="5190F1EA" w14:textId="77777777" w:rsidR="00165A40" w:rsidRPr="00CD2342" w:rsidRDefault="00165A40" w:rsidP="00165A40">
      <w:pPr>
        <w:ind w:left="850"/>
        <w:rPr>
          <w:spacing w:val="-3"/>
          <w:sz w:val="24"/>
          <w:szCs w:val="24"/>
        </w:rPr>
      </w:pPr>
    </w:p>
    <w:p w14:paraId="409D8F73" w14:textId="77777777" w:rsidR="00165A40" w:rsidRPr="00CD2342" w:rsidRDefault="00165A40" w:rsidP="00165A40">
      <w:pPr>
        <w:ind w:left="850"/>
        <w:rPr>
          <w:spacing w:val="-3"/>
          <w:sz w:val="24"/>
          <w:szCs w:val="24"/>
        </w:rPr>
      </w:pPr>
      <w:r w:rsidRPr="00CD2342">
        <w:rPr>
          <w:spacing w:val="-3"/>
          <w:sz w:val="24"/>
          <w:szCs w:val="24"/>
        </w:rPr>
        <w:t>Tabletten har kun delekærv for at muliggøre deling af tabletten, så den er nemmere at sluge. Tabletten kan ikke deles i to lige store doser.</w:t>
      </w:r>
    </w:p>
    <w:p w14:paraId="692E51E2" w14:textId="77777777" w:rsidR="009260DE" w:rsidRPr="00CD2342" w:rsidRDefault="009260DE" w:rsidP="009260DE">
      <w:pPr>
        <w:tabs>
          <w:tab w:val="left" w:pos="851"/>
        </w:tabs>
        <w:ind w:left="851"/>
        <w:rPr>
          <w:sz w:val="24"/>
          <w:szCs w:val="24"/>
        </w:rPr>
      </w:pPr>
    </w:p>
    <w:p w14:paraId="31083B7F" w14:textId="77777777" w:rsidR="009260DE" w:rsidRPr="00CD2342" w:rsidRDefault="009260DE" w:rsidP="009260DE">
      <w:pPr>
        <w:tabs>
          <w:tab w:val="left" w:pos="851"/>
        </w:tabs>
        <w:ind w:left="851"/>
        <w:rPr>
          <w:sz w:val="24"/>
          <w:szCs w:val="24"/>
        </w:rPr>
      </w:pPr>
    </w:p>
    <w:p w14:paraId="23DF3C4C" w14:textId="77777777" w:rsidR="009260DE" w:rsidRPr="00CD2342" w:rsidRDefault="009260DE" w:rsidP="009260DE">
      <w:pPr>
        <w:tabs>
          <w:tab w:val="left" w:pos="851"/>
        </w:tabs>
        <w:ind w:left="851" w:hanging="851"/>
        <w:rPr>
          <w:b/>
          <w:sz w:val="24"/>
          <w:szCs w:val="24"/>
        </w:rPr>
      </w:pPr>
      <w:r w:rsidRPr="00CD2342">
        <w:rPr>
          <w:b/>
          <w:sz w:val="24"/>
          <w:szCs w:val="24"/>
        </w:rPr>
        <w:t>4.</w:t>
      </w:r>
      <w:r w:rsidRPr="00CD2342">
        <w:rPr>
          <w:b/>
          <w:sz w:val="24"/>
          <w:szCs w:val="24"/>
        </w:rPr>
        <w:tab/>
        <w:t>KLINISKE OPLYSNINGER</w:t>
      </w:r>
    </w:p>
    <w:p w14:paraId="4618FC30" w14:textId="77777777" w:rsidR="009260DE" w:rsidRPr="00CD2342" w:rsidRDefault="009260DE" w:rsidP="009260DE">
      <w:pPr>
        <w:tabs>
          <w:tab w:val="left" w:pos="851"/>
        </w:tabs>
        <w:ind w:left="851"/>
        <w:rPr>
          <w:b/>
          <w:sz w:val="24"/>
          <w:szCs w:val="24"/>
        </w:rPr>
      </w:pPr>
    </w:p>
    <w:p w14:paraId="478F8957" w14:textId="77777777" w:rsidR="009260DE" w:rsidRPr="00CD2342" w:rsidRDefault="009260DE" w:rsidP="009260DE">
      <w:pPr>
        <w:tabs>
          <w:tab w:val="left" w:pos="851"/>
        </w:tabs>
        <w:ind w:left="851" w:hanging="851"/>
        <w:rPr>
          <w:b/>
          <w:sz w:val="24"/>
          <w:szCs w:val="24"/>
          <w:u w:val="single"/>
        </w:rPr>
      </w:pPr>
      <w:r w:rsidRPr="00CD2342">
        <w:rPr>
          <w:b/>
          <w:sz w:val="24"/>
          <w:szCs w:val="24"/>
        </w:rPr>
        <w:t>4.1</w:t>
      </w:r>
      <w:r w:rsidRPr="00CD2342">
        <w:rPr>
          <w:b/>
          <w:sz w:val="24"/>
          <w:szCs w:val="24"/>
        </w:rPr>
        <w:tab/>
        <w:t>Terapeutiske indikationer</w:t>
      </w:r>
    </w:p>
    <w:p w14:paraId="0D249912" w14:textId="77777777" w:rsidR="00165A40" w:rsidRPr="00CD2342" w:rsidRDefault="00165A40" w:rsidP="00165A40">
      <w:pPr>
        <w:numPr>
          <w:ilvl w:val="0"/>
          <w:numId w:val="6"/>
        </w:numPr>
        <w:ind w:left="1276" w:hanging="425"/>
        <w:rPr>
          <w:spacing w:val="-3"/>
          <w:sz w:val="24"/>
          <w:szCs w:val="24"/>
          <w:lang w:eastAsia="da-DK"/>
        </w:rPr>
      </w:pPr>
      <w:r w:rsidRPr="00CD2342">
        <w:rPr>
          <w:spacing w:val="-3"/>
          <w:sz w:val="24"/>
          <w:szCs w:val="24"/>
        </w:rPr>
        <w:t xml:space="preserve">Mani </w:t>
      </w:r>
    </w:p>
    <w:p w14:paraId="501108CD" w14:textId="77777777" w:rsidR="00165A40" w:rsidRPr="00CD2342" w:rsidRDefault="00165A40" w:rsidP="00165A40">
      <w:pPr>
        <w:numPr>
          <w:ilvl w:val="0"/>
          <w:numId w:val="6"/>
        </w:numPr>
        <w:ind w:left="1276" w:hanging="425"/>
        <w:rPr>
          <w:spacing w:val="-3"/>
          <w:sz w:val="24"/>
          <w:szCs w:val="24"/>
        </w:rPr>
      </w:pPr>
      <w:r w:rsidRPr="00CD2342">
        <w:rPr>
          <w:spacing w:val="-3"/>
          <w:sz w:val="24"/>
          <w:szCs w:val="24"/>
        </w:rPr>
        <w:t>Antimanisk behandling af bipolar lidelse og profylakse for at forhindre alvorlige, hyppige faser.</w:t>
      </w:r>
    </w:p>
    <w:p w14:paraId="388B8254" w14:textId="77777777" w:rsidR="00165A40" w:rsidRPr="00CD2342" w:rsidRDefault="00165A40" w:rsidP="00165A40">
      <w:pPr>
        <w:numPr>
          <w:ilvl w:val="0"/>
          <w:numId w:val="6"/>
        </w:numPr>
        <w:ind w:left="1276" w:hanging="425"/>
        <w:rPr>
          <w:spacing w:val="-3"/>
          <w:sz w:val="24"/>
          <w:szCs w:val="24"/>
        </w:rPr>
      </w:pPr>
      <w:proofErr w:type="spellStart"/>
      <w:r w:rsidRPr="00CD2342">
        <w:rPr>
          <w:spacing w:val="-3"/>
          <w:sz w:val="24"/>
          <w:szCs w:val="24"/>
        </w:rPr>
        <w:t>Adjuverende</w:t>
      </w:r>
      <w:proofErr w:type="spellEnd"/>
      <w:r w:rsidRPr="00CD2342">
        <w:rPr>
          <w:spacing w:val="-3"/>
          <w:sz w:val="24"/>
          <w:szCs w:val="24"/>
        </w:rPr>
        <w:t xml:space="preserve"> behandling til </w:t>
      </w:r>
      <w:proofErr w:type="spellStart"/>
      <w:r w:rsidRPr="00CD2342">
        <w:rPr>
          <w:spacing w:val="-3"/>
          <w:sz w:val="24"/>
          <w:szCs w:val="24"/>
        </w:rPr>
        <w:t>antidepressiva</w:t>
      </w:r>
      <w:proofErr w:type="spellEnd"/>
      <w:r w:rsidRPr="00CD2342">
        <w:rPr>
          <w:spacing w:val="-3"/>
          <w:sz w:val="24"/>
          <w:szCs w:val="24"/>
        </w:rPr>
        <w:t xml:space="preserve"> ved svær depressiv lidelse.</w:t>
      </w:r>
    </w:p>
    <w:p w14:paraId="5B13B2E5" w14:textId="77777777" w:rsidR="00165A40" w:rsidRPr="00CD2342" w:rsidRDefault="00165A40" w:rsidP="00165A40">
      <w:pPr>
        <w:ind w:left="851"/>
        <w:rPr>
          <w:spacing w:val="-3"/>
          <w:sz w:val="24"/>
          <w:szCs w:val="24"/>
        </w:rPr>
      </w:pPr>
    </w:p>
    <w:p w14:paraId="1DC2E7FD" w14:textId="77777777" w:rsidR="00165A40" w:rsidRPr="00CD2342" w:rsidRDefault="00165A40" w:rsidP="00165A40">
      <w:pPr>
        <w:ind w:left="851"/>
        <w:rPr>
          <w:spacing w:val="-3"/>
          <w:sz w:val="24"/>
          <w:szCs w:val="24"/>
        </w:rPr>
      </w:pPr>
      <w:r w:rsidRPr="00CD2342">
        <w:rPr>
          <w:spacing w:val="-3"/>
          <w:sz w:val="24"/>
          <w:szCs w:val="24"/>
        </w:rPr>
        <w:t>Dette produkt er beregnet til brug hos voksne ≥18 år.</w:t>
      </w:r>
    </w:p>
    <w:p w14:paraId="2A11CEF5" w14:textId="1FE9B70C" w:rsidR="0084597B" w:rsidRDefault="0084597B">
      <w:pPr>
        <w:rPr>
          <w:sz w:val="24"/>
          <w:szCs w:val="24"/>
        </w:rPr>
      </w:pPr>
      <w:r>
        <w:rPr>
          <w:sz w:val="24"/>
          <w:szCs w:val="24"/>
        </w:rPr>
        <w:br w:type="page"/>
      </w:r>
    </w:p>
    <w:p w14:paraId="6420059F" w14:textId="77777777" w:rsidR="009260DE" w:rsidRPr="00CD2342" w:rsidRDefault="009260DE" w:rsidP="009260DE">
      <w:pPr>
        <w:tabs>
          <w:tab w:val="left" w:pos="851"/>
        </w:tabs>
        <w:ind w:left="851"/>
        <w:rPr>
          <w:sz w:val="24"/>
          <w:szCs w:val="24"/>
        </w:rPr>
      </w:pPr>
    </w:p>
    <w:p w14:paraId="083D6247" w14:textId="77777777" w:rsidR="009260DE" w:rsidRPr="00CD2342" w:rsidRDefault="009260DE" w:rsidP="009260DE">
      <w:pPr>
        <w:tabs>
          <w:tab w:val="left" w:pos="851"/>
        </w:tabs>
        <w:ind w:left="851" w:hanging="851"/>
        <w:rPr>
          <w:b/>
          <w:sz w:val="24"/>
          <w:szCs w:val="24"/>
        </w:rPr>
      </w:pPr>
      <w:r w:rsidRPr="00CD2342">
        <w:rPr>
          <w:b/>
          <w:sz w:val="24"/>
          <w:szCs w:val="24"/>
        </w:rPr>
        <w:t>4.2</w:t>
      </w:r>
      <w:r w:rsidRPr="00CD2342">
        <w:rPr>
          <w:b/>
          <w:sz w:val="24"/>
          <w:szCs w:val="24"/>
        </w:rPr>
        <w:tab/>
        <w:t xml:space="preserve">Dosering og </w:t>
      </w:r>
      <w:r w:rsidR="002C1EC0" w:rsidRPr="00CD2342">
        <w:rPr>
          <w:b/>
          <w:sz w:val="24"/>
          <w:szCs w:val="24"/>
        </w:rPr>
        <w:t>administration</w:t>
      </w:r>
    </w:p>
    <w:p w14:paraId="570C7EAF" w14:textId="77777777" w:rsidR="00165A40" w:rsidRPr="00CD2342" w:rsidRDefault="00165A40" w:rsidP="00165A40">
      <w:pPr>
        <w:ind w:left="851"/>
        <w:rPr>
          <w:spacing w:val="-3"/>
          <w:sz w:val="24"/>
          <w:szCs w:val="24"/>
          <w:lang w:eastAsia="da-DK"/>
        </w:rPr>
      </w:pPr>
      <w:proofErr w:type="spellStart"/>
      <w:r w:rsidRPr="00CD2342">
        <w:rPr>
          <w:spacing w:val="-3"/>
          <w:sz w:val="24"/>
          <w:szCs w:val="24"/>
        </w:rPr>
        <w:t>Lithiumcarbonat</w:t>
      </w:r>
      <w:proofErr w:type="spellEnd"/>
      <w:r w:rsidRPr="00CD2342">
        <w:rPr>
          <w:spacing w:val="-3"/>
          <w:sz w:val="24"/>
          <w:szCs w:val="24"/>
        </w:rPr>
        <w:t xml:space="preserve"> har et smalt terapeutisk vindue (0,6-1,2 mmol/L). Den terapeutiske dosis er individualiseret og bestemt af serum-</w:t>
      </w:r>
      <w:proofErr w:type="spellStart"/>
      <w:r w:rsidRPr="00CD2342">
        <w:rPr>
          <w:spacing w:val="-3"/>
          <w:sz w:val="24"/>
          <w:szCs w:val="24"/>
        </w:rPr>
        <w:t>lithiumniveauer</w:t>
      </w:r>
      <w:proofErr w:type="spellEnd"/>
      <w:r w:rsidRPr="00CD2342">
        <w:rPr>
          <w:spacing w:val="-3"/>
          <w:sz w:val="24"/>
          <w:szCs w:val="24"/>
        </w:rPr>
        <w:t xml:space="preserve"> (se pkt. 4.4 "Overvågning"). Patientens alder, vægt og nyrefunktion (</w:t>
      </w:r>
      <w:proofErr w:type="spellStart"/>
      <w:r w:rsidRPr="00CD2342">
        <w:rPr>
          <w:spacing w:val="-3"/>
          <w:sz w:val="24"/>
          <w:szCs w:val="24"/>
        </w:rPr>
        <w:t>kreatininclearance</w:t>
      </w:r>
      <w:proofErr w:type="spellEnd"/>
      <w:r w:rsidRPr="00CD2342">
        <w:rPr>
          <w:spacing w:val="-3"/>
          <w:sz w:val="24"/>
          <w:szCs w:val="24"/>
        </w:rPr>
        <w:t>) bør tages i betragtning under dosering.</w:t>
      </w:r>
    </w:p>
    <w:p w14:paraId="1564DE5D" w14:textId="77777777" w:rsidR="00165A40" w:rsidRPr="00CD2342" w:rsidRDefault="00165A40" w:rsidP="00165A40">
      <w:pPr>
        <w:ind w:left="851"/>
        <w:rPr>
          <w:spacing w:val="-3"/>
          <w:sz w:val="24"/>
          <w:szCs w:val="24"/>
        </w:rPr>
      </w:pPr>
    </w:p>
    <w:p w14:paraId="59B340A5" w14:textId="77777777" w:rsidR="00165A40" w:rsidRPr="00CD2342" w:rsidRDefault="00165A40" w:rsidP="00CD2342">
      <w:pPr>
        <w:ind w:left="851"/>
        <w:rPr>
          <w:sz w:val="24"/>
          <w:szCs w:val="24"/>
          <w:u w:val="single"/>
        </w:rPr>
      </w:pPr>
      <w:r w:rsidRPr="00CD2342">
        <w:rPr>
          <w:sz w:val="24"/>
          <w:szCs w:val="24"/>
          <w:u w:val="single"/>
        </w:rPr>
        <w:t>Profylaktisk behandling</w:t>
      </w:r>
    </w:p>
    <w:p w14:paraId="4CC3CFE2" w14:textId="77777777" w:rsidR="00165A40" w:rsidRPr="00CD2342" w:rsidRDefault="00165A40" w:rsidP="00CD2342">
      <w:pPr>
        <w:ind w:left="851"/>
        <w:rPr>
          <w:sz w:val="24"/>
          <w:szCs w:val="24"/>
        </w:rPr>
      </w:pPr>
      <w:r w:rsidRPr="00CD2342">
        <w:rPr>
          <w:sz w:val="24"/>
          <w:szCs w:val="24"/>
        </w:rPr>
        <w:t xml:space="preserve">Første uge: 1 tablet (300 mg (8,1 mmol)) bør administreres dagligt. </w:t>
      </w:r>
    </w:p>
    <w:p w14:paraId="0F0AF80E" w14:textId="77777777" w:rsidR="00165A40" w:rsidRPr="00CD2342" w:rsidRDefault="00165A40" w:rsidP="00CD2342">
      <w:pPr>
        <w:ind w:left="851"/>
        <w:rPr>
          <w:sz w:val="24"/>
          <w:szCs w:val="24"/>
        </w:rPr>
      </w:pPr>
    </w:p>
    <w:p w14:paraId="32DAFA97" w14:textId="77777777" w:rsidR="00165A40" w:rsidRPr="00CD2342" w:rsidRDefault="00165A40" w:rsidP="00CD2342">
      <w:pPr>
        <w:ind w:left="851"/>
        <w:rPr>
          <w:sz w:val="24"/>
          <w:szCs w:val="24"/>
        </w:rPr>
      </w:pPr>
      <w:r w:rsidRPr="00CD2342">
        <w:rPr>
          <w:sz w:val="24"/>
          <w:szCs w:val="24"/>
        </w:rPr>
        <w:t xml:space="preserve">Efter 1 uge bestemmes </w:t>
      </w:r>
      <w:proofErr w:type="spellStart"/>
      <w:r w:rsidRPr="00CD2342">
        <w:rPr>
          <w:sz w:val="24"/>
          <w:szCs w:val="24"/>
        </w:rPr>
        <w:t>serumlithiumkoncentrationen</w:t>
      </w:r>
      <w:proofErr w:type="spellEnd"/>
      <w:r w:rsidRPr="00CD2342">
        <w:rPr>
          <w:sz w:val="24"/>
          <w:szCs w:val="24"/>
        </w:rPr>
        <w:t xml:space="preserve">, og dosis justeres så 12 timers serum- </w:t>
      </w:r>
      <w:proofErr w:type="spellStart"/>
      <w:r w:rsidRPr="00CD2342">
        <w:rPr>
          <w:sz w:val="24"/>
          <w:szCs w:val="24"/>
        </w:rPr>
        <w:t>lithiumkoncentrationen</w:t>
      </w:r>
      <w:proofErr w:type="spellEnd"/>
      <w:r w:rsidRPr="00CD2342">
        <w:rPr>
          <w:sz w:val="24"/>
          <w:szCs w:val="24"/>
        </w:rPr>
        <w:t xml:space="preserve"> ligger på 0,6-0,8 mmol/l. Under vedligeholdelsesbehandling bestemmes </w:t>
      </w:r>
      <w:proofErr w:type="spellStart"/>
      <w:r w:rsidRPr="00CD2342">
        <w:rPr>
          <w:sz w:val="24"/>
          <w:szCs w:val="24"/>
        </w:rPr>
        <w:t>serumlithiumniveauer</w:t>
      </w:r>
      <w:proofErr w:type="spellEnd"/>
      <w:r w:rsidRPr="00CD2342">
        <w:rPr>
          <w:sz w:val="24"/>
          <w:szCs w:val="24"/>
        </w:rPr>
        <w:t xml:space="preserve"> hver 2.-6. måned (se pkt. 4.4).</w:t>
      </w:r>
    </w:p>
    <w:p w14:paraId="15CC53F7" w14:textId="77777777" w:rsidR="00165A40" w:rsidRPr="00CD2342" w:rsidRDefault="00165A40" w:rsidP="00CD2342">
      <w:pPr>
        <w:ind w:left="851"/>
        <w:rPr>
          <w:sz w:val="24"/>
          <w:szCs w:val="24"/>
        </w:rPr>
      </w:pPr>
    </w:p>
    <w:p w14:paraId="5ABDEDCA" w14:textId="77777777" w:rsidR="00165A40" w:rsidRPr="00CD2342" w:rsidRDefault="00165A40" w:rsidP="00CD2342">
      <w:pPr>
        <w:ind w:left="851"/>
        <w:rPr>
          <w:sz w:val="24"/>
          <w:szCs w:val="24"/>
        </w:rPr>
      </w:pPr>
      <w:r w:rsidRPr="00CD2342">
        <w:rPr>
          <w:sz w:val="24"/>
          <w:szCs w:val="24"/>
        </w:rPr>
        <w:t>Ved recidiv forøges dosis.</w:t>
      </w:r>
    </w:p>
    <w:p w14:paraId="43584E07" w14:textId="77777777" w:rsidR="00165A40" w:rsidRPr="00CD2342" w:rsidRDefault="00165A40" w:rsidP="00CD2342">
      <w:pPr>
        <w:ind w:left="851"/>
        <w:rPr>
          <w:sz w:val="24"/>
          <w:szCs w:val="24"/>
        </w:rPr>
      </w:pPr>
    </w:p>
    <w:p w14:paraId="2DB62EBF" w14:textId="77777777" w:rsidR="00165A40" w:rsidRPr="00CD2342" w:rsidRDefault="00165A40" w:rsidP="00CD2342">
      <w:pPr>
        <w:ind w:left="851"/>
        <w:rPr>
          <w:sz w:val="24"/>
          <w:szCs w:val="24"/>
          <w:u w:val="single"/>
        </w:rPr>
      </w:pPr>
      <w:r w:rsidRPr="00CD2342">
        <w:rPr>
          <w:sz w:val="24"/>
          <w:szCs w:val="24"/>
          <w:u w:val="single"/>
        </w:rPr>
        <w:t>Akut mani</w:t>
      </w:r>
    </w:p>
    <w:p w14:paraId="412C24D0" w14:textId="77777777" w:rsidR="00165A40" w:rsidRPr="00CD2342" w:rsidRDefault="00165A40" w:rsidP="00165A40">
      <w:pPr>
        <w:ind w:left="851"/>
        <w:rPr>
          <w:spacing w:val="-3"/>
          <w:sz w:val="24"/>
          <w:szCs w:val="24"/>
        </w:rPr>
      </w:pPr>
      <w:r w:rsidRPr="00CD2342">
        <w:rPr>
          <w:spacing w:val="-3"/>
          <w:sz w:val="24"/>
          <w:szCs w:val="24"/>
        </w:rPr>
        <w:t>Startdosis bør være høj: 4-5 tabletter (1200-1500 mg (32,4 – 40,5 mmol)) dagligt fordelt på 4 doser.</w:t>
      </w:r>
    </w:p>
    <w:p w14:paraId="558D07B8" w14:textId="77777777" w:rsidR="00165A40" w:rsidRPr="00CD2342" w:rsidRDefault="00165A40" w:rsidP="00165A40">
      <w:pPr>
        <w:ind w:left="851"/>
        <w:rPr>
          <w:spacing w:val="-3"/>
          <w:sz w:val="24"/>
          <w:szCs w:val="24"/>
        </w:rPr>
      </w:pPr>
    </w:p>
    <w:p w14:paraId="1E6DF49D" w14:textId="77777777" w:rsidR="00165A40" w:rsidRPr="00CD2342" w:rsidRDefault="00165A40" w:rsidP="00165A40">
      <w:pPr>
        <w:ind w:left="851"/>
        <w:rPr>
          <w:spacing w:val="-3"/>
          <w:sz w:val="24"/>
          <w:szCs w:val="24"/>
        </w:rPr>
      </w:pPr>
      <w:proofErr w:type="spellStart"/>
      <w:r w:rsidRPr="00CD2342">
        <w:rPr>
          <w:spacing w:val="-3"/>
          <w:sz w:val="24"/>
          <w:szCs w:val="24"/>
        </w:rPr>
        <w:t>Serumlithiumkoncentrationen</w:t>
      </w:r>
      <w:proofErr w:type="spellEnd"/>
      <w:r w:rsidRPr="00CD2342">
        <w:rPr>
          <w:spacing w:val="-3"/>
          <w:sz w:val="24"/>
          <w:szCs w:val="24"/>
        </w:rPr>
        <w:t xml:space="preserve"> bør kontrolleres i begyndelsen hver anden dag og bør ikke overstige 1,2 mmol/l. Efter ca. 1 uge halveres dosis (se pkt. 4.4).</w:t>
      </w:r>
    </w:p>
    <w:p w14:paraId="7B4DEB8C" w14:textId="77777777" w:rsidR="00165A40" w:rsidRPr="00CD2342" w:rsidRDefault="00165A40" w:rsidP="00165A40">
      <w:pPr>
        <w:ind w:left="851"/>
        <w:rPr>
          <w:spacing w:val="-3"/>
          <w:sz w:val="24"/>
          <w:szCs w:val="24"/>
        </w:rPr>
      </w:pPr>
    </w:p>
    <w:p w14:paraId="775242C2" w14:textId="77777777" w:rsidR="00165A40" w:rsidRPr="002566A7" w:rsidRDefault="00165A40" w:rsidP="002566A7">
      <w:pPr>
        <w:ind w:left="851"/>
        <w:rPr>
          <w:sz w:val="24"/>
          <w:szCs w:val="24"/>
          <w:u w:val="single"/>
        </w:rPr>
      </w:pPr>
      <w:proofErr w:type="spellStart"/>
      <w:r w:rsidRPr="002566A7">
        <w:rPr>
          <w:sz w:val="24"/>
          <w:szCs w:val="24"/>
          <w:u w:val="single"/>
        </w:rPr>
        <w:t>Adjuverende</w:t>
      </w:r>
      <w:proofErr w:type="spellEnd"/>
      <w:r w:rsidRPr="002566A7">
        <w:rPr>
          <w:sz w:val="24"/>
          <w:szCs w:val="24"/>
          <w:u w:val="single"/>
        </w:rPr>
        <w:t xml:space="preserve"> behandling til </w:t>
      </w:r>
      <w:proofErr w:type="spellStart"/>
      <w:r w:rsidRPr="002566A7">
        <w:rPr>
          <w:sz w:val="24"/>
          <w:szCs w:val="24"/>
          <w:u w:val="single"/>
        </w:rPr>
        <w:t>antidepressiva</w:t>
      </w:r>
      <w:proofErr w:type="spellEnd"/>
      <w:r w:rsidRPr="002566A7">
        <w:rPr>
          <w:sz w:val="24"/>
          <w:szCs w:val="24"/>
          <w:u w:val="single"/>
        </w:rPr>
        <w:t xml:space="preserve"> ved svær depressiv lidelse </w:t>
      </w:r>
    </w:p>
    <w:p w14:paraId="29D7F1B5" w14:textId="77777777" w:rsidR="00165A40" w:rsidRPr="00CD2342" w:rsidRDefault="00165A40" w:rsidP="00165A40">
      <w:pPr>
        <w:ind w:left="851"/>
        <w:rPr>
          <w:spacing w:val="-3"/>
          <w:sz w:val="24"/>
          <w:szCs w:val="24"/>
        </w:rPr>
      </w:pPr>
      <w:r w:rsidRPr="00CD2342">
        <w:rPr>
          <w:spacing w:val="-3"/>
          <w:sz w:val="24"/>
          <w:szCs w:val="24"/>
        </w:rPr>
        <w:t>Startdosis: 1 tablet (300 mg (8,1 mmol)) 2 gange dagligt. Dosis bør justeres opad som angivet af plasma-</w:t>
      </w:r>
      <w:proofErr w:type="spellStart"/>
      <w:r w:rsidRPr="00CD2342">
        <w:rPr>
          <w:spacing w:val="-3"/>
          <w:sz w:val="24"/>
          <w:szCs w:val="24"/>
        </w:rPr>
        <w:t>lithiumniveauer</w:t>
      </w:r>
      <w:proofErr w:type="spellEnd"/>
      <w:r w:rsidRPr="00CD2342">
        <w:rPr>
          <w:spacing w:val="-3"/>
          <w:sz w:val="24"/>
          <w:szCs w:val="24"/>
        </w:rPr>
        <w:t xml:space="preserve"> (niveauer kan opnås 5 dage efter dosisjustering).</w:t>
      </w:r>
    </w:p>
    <w:p w14:paraId="5C606F83" w14:textId="77777777" w:rsidR="00165A40" w:rsidRPr="00CD2342" w:rsidRDefault="00165A40" w:rsidP="00165A40">
      <w:pPr>
        <w:ind w:left="851"/>
        <w:rPr>
          <w:spacing w:val="-3"/>
          <w:sz w:val="24"/>
          <w:szCs w:val="24"/>
        </w:rPr>
      </w:pPr>
      <w:r w:rsidRPr="00CD2342">
        <w:rPr>
          <w:spacing w:val="-3"/>
          <w:sz w:val="24"/>
          <w:szCs w:val="24"/>
        </w:rPr>
        <w:t>Vedligeholdelsesdosis: 2-3 tablets (600-900 mg (16,2-24,3 mmol)) dagligt fordelt på 1</w:t>
      </w:r>
      <w:r w:rsidRPr="00CD2342">
        <w:rPr>
          <w:spacing w:val="-3"/>
          <w:sz w:val="24"/>
          <w:szCs w:val="24"/>
        </w:rPr>
        <w:noBreakHyphen/>
        <w:t>2 doser (for at reducere risikoen for nyreinsufficiens).</w:t>
      </w:r>
    </w:p>
    <w:p w14:paraId="7AA2EEB8" w14:textId="77777777" w:rsidR="00165A40" w:rsidRPr="00CD2342" w:rsidRDefault="00165A40" w:rsidP="00165A40">
      <w:pPr>
        <w:ind w:left="851"/>
        <w:rPr>
          <w:spacing w:val="-3"/>
          <w:sz w:val="24"/>
          <w:szCs w:val="24"/>
        </w:rPr>
      </w:pPr>
    </w:p>
    <w:p w14:paraId="57AD0BE4" w14:textId="4AD4DFCD" w:rsidR="00165A40" w:rsidRPr="00CD2342" w:rsidRDefault="00165A40" w:rsidP="00165A40">
      <w:pPr>
        <w:ind w:left="851"/>
        <w:rPr>
          <w:spacing w:val="-3"/>
          <w:sz w:val="24"/>
          <w:szCs w:val="24"/>
        </w:rPr>
      </w:pPr>
      <w:r w:rsidRPr="00CD2342">
        <w:rPr>
          <w:spacing w:val="-3"/>
          <w:sz w:val="24"/>
          <w:szCs w:val="24"/>
        </w:rPr>
        <w:t xml:space="preserve">Målkoncentrationen af </w:t>
      </w:r>
      <w:proofErr w:type="spellStart"/>
      <w:r w:rsidRPr="00CD2342">
        <w:rPr>
          <w:spacing w:val="-3"/>
          <w:sz w:val="24"/>
          <w:szCs w:val="24"/>
        </w:rPr>
        <w:t>serumlithium</w:t>
      </w:r>
      <w:proofErr w:type="spellEnd"/>
      <w:r w:rsidRPr="00CD2342">
        <w:rPr>
          <w:spacing w:val="-3"/>
          <w:sz w:val="24"/>
          <w:szCs w:val="24"/>
        </w:rPr>
        <w:t xml:space="preserve"> ved </w:t>
      </w:r>
      <w:proofErr w:type="spellStart"/>
      <w:r w:rsidRPr="00CD2342">
        <w:rPr>
          <w:spacing w:val="-3"/>
          <w:sz w:val="24"/>
          <w:szCs w:val="24"/>
        </w:rPr>
        <w:t>adjuverende</w:t>
      </w:r>
      <w:proofErr w:type="spellEnd"/>
      <w:r w:rsidRPr="00CD2342">
        <w:rPr>
          <w:spacing w:val="-3"/>
          <w:sz w:val="24"/>
          <w:szCs w:val="24"/>
        </w:rPr>
        <w:t xml:space="preserve"> behandling til </w:t>
      </w:r>
      <w:proofErr w:type="spellStart"/>
      <w:r w:rsidRPr="00CD2342">
        <w:rPr>
          <w:spacing w:val="-3"/>
          <w:sz w:val="24"/>
          <w:szCs w:val="24"/>
        </w:rPr>
        <w:t>antidepressiva</w:t>
      </w:r>
      <w:proofErr w:type="spellEnd"/>
      <w:r w:rsidRPr="00CD2342">
        <w:rPr>
          <w:spacing w:val="-3"/>
          <w:sz w:val="24"/>
          <w:szCs w:val="24"/>
        </w:rPr>
        <w:t xml:space="preserve"> ligger i området 0,5</w:t>
      </w:r>
      <w:r w:rsidRPr="00CD2342">
        <w:rPr>
          <w:spacing w:val="-3"/>
          <w:sz w:val="24"/>
          <w:szCs w:val="24"/>
        </w:rPr>
        <w:noBreakHyphen/>
        <w:t xml:space="preserve">0,8 mmol/l, men </w:t>
      </w:r>
      <w:proofErr w:type="spellStart"/>
      <w:r w:rsidRPr="00CD2342">
        <w:rPr>
          <w:spacing w:val="-3"/>
          <w:sz w:val="24"/>
          <w:szCs w:val="24"/>
        </w:rPr>
        <w:t>serumlithiumkoncentrationer</w:t>
      </w:r>
      <w:proofErr w:type="spellEnd"/>
      <w:r w:rsidRPr="00CD2342">
        <w:rPr>
          <w:spacing w:val="-3"/>
          <w:sz w:val="24"/>
          <w:szCs w:val="24"/>
        </w:rPr>
        <w:t xml:space="preserve"> på op til 1,2 mmol/l kan målrettes for optimal klinisk respons.</w:t>
      </w:r>
    </w:p>
    <w:p w14:paraId="24AE1E32" w14:textId="77777777" w:rsidR="00165A40" w:rsidRPr="00CD2342" w:rsidRDefault="00165A40" w:rsidP="00165A40">
      <w:pPr>
        <w:ind w:left="851"/>
        <w:rPr>
          <w:spacing w:val="-3"/>
          <w:sz w:val="24"/>
          <w:szCs w:val="24"/>
        </w:rPr>
      </w:pPr>
    </w:p>
    <w:p w14:paraId="46C91B03" w14:textId="77777777" w:rsidR="00165A40" w:rsidRPr="002566A7" w:rsidRDefault="00165A40" w:rsidP="002566A7">
      <w:pPr>
        <w:ind w:left="851"/>
        <w:rPr>
          <w:sz w:val="24"/>
          <w:szCs w:val="24"/>
          <w:u w:val="single"/>
        </w:rPr>
      </w:pPr>
      <w:r w:rsidRPr="002566A7">
        <w:rPr>
          <w:sz w:val="24"/>
          <w:szCs w:val="24"/>
          <w:u w:val="single"/>
        </w:rPr>
        <w:t>Ældre (&gt;65 år)</w:t>
      </w:r>
    </w:p>
    <w:p w14:paraId="2C1E1A6F" w14:textId="77777777" w:rsidR="00165A40" w:rsidRPr="00CD2342" w:rsidRDefault="00165A40" w:rsidP="00165A40">
      <w:pPr>
        <w:ind w:left="851"/>
        <w:rPr>
          <w:spacing w:val="-3"/>
          <w:sz w:val="24"/>
          <w:szCs w:val="24"/>
        </w:rPr>
      </w:pPr>
      <w:r w:rsidRPr="00CD2342">
        <w:rPr>
          <w:spacing w:val="-3"/>
          <w:sz w:val="24"/>
          <w:szCs w:val="24"/>
        </w:rPr>
        <w:t>På grund af lavere distributionsvolumen (</w:t>
      </w:r>
      <w:proofErr w:type="spellStart"/>
      <w:r w:rsidRPr="00CD2342">
        <w:rPr>
          <w:spacing w:val="-3"/>
          <w:sz w:val="24"/>
          <w:szCs w:val="24"/>
        </w:rPr>
        <w:t>Vd</w:t>
      </w:r>
      <w:proofErr w:type="spellEnd"/>
      <w:r w:rsidRPr="00CD2342">
        <w:rPr>
          <w:spacing w:val="-3"/>
          <w:sz w:val="24"/>
          <w:szCs w:val="24"/>
        </w:rPr>
        <w:t xml:space="preserve">) for </w:t>
      </w:r>
      <w:proofErr w:type="spellStart"/>
      <w:r w:rsidRPr="00CD2342">
        <w:rPr>
          <w:spacing w:val="-3"/>
          <w:sz w:val="24"/>
          <w:szCs w:val="24"/>
        </w:rPr>
        <w:t>lithium</w:t>
      </w:r>
      <w:proofErr w:type="spellEnd"/>
      <w:r w:rsidRPr="00CD2342">
        <w:rPr>
          <w:spacing w:val="-3"/>
          <w:sz w:val="24"/>
          <w:szCs w:val="24"/>
        </w:rPr>
        <w:t xml:space="preserve"> skal dosis til ældre være lavere for at opnå en ønsket koncentration ved </w:t>
      </w:r>
      <w:proofErr w:type="spellStart"/>
      <w:r w:rsidRPr="00CD2342">
        <w:rPr>
          <w:i/>
          <w:iCs/>
          <w:spacing w:val="-3"/>
          <w:sz w:val="24"/>
          <w:szCs w:val="24"/>
        </w:rPr>
        <w:t>steady</w:t>
      </w:r>
      <w:proofErr w:type="spellEnd"/>
      <w:r w:rsidRPr="00CD2342">
        <w:rPr>
          <w:i/>
          <w:iCs/>
          <w:spacing w:val="-3"/>
          <w:sz w:val="24"/>
          <w:szCs w:val="24"/>
        </w:rPr>
        <w:t xml:space="preserve"> </w:t>
      </w:r>
      <w:proofErr w:type="spellStart"/>
      <w:r w:rsidRPr="00CD2342">
        <w:rPr>
          <w:i/>
          <w:iCs/>
          <w:spacing w:val="-3"/>
          <w:sz w:val="24"/>
          <w:szCs w:val="24"/>
        </w:rPr>
        <w:t>state</w:t>
      </w:r>
      <w:proofErr w:type="spellEnd"/>
      <w:r w:rsidRPr="00CD2342">
        <w:rPr>
          <w:spacing w:val="-3"/>
          <w:sz w:val="24"/>
          <w:szCs w:val="24"/>
        </w:rPr>
        <w:t xml:space="preserve"> (Css). På grund af det aldersrelaterede fald i </w:t>
      </w:r>
      <w:proofErr w:type="spellStart"/>
      <w:r w:rsidRPr="00CD2342">
        <w:rPr>
          <w:spacing w:val="-3"/>
          <w:sz w:val="24"/>
          <w:szCs w:val="24"/>
        </w:rPr>
        <w:t>glomerulær</w:t>
      </w:r>
      <w:proofErr w:type="spellEnd"/>
      <w:r w:rsidRPr="00CD2342">
        <w:rPr>
          <w:spacing w:val="-3"/>
          <w:sz w:val="24"/>
          <w:szCs w:val="24"/>
        </w:rPr>
        <w:t xml:space="preserve"> filtrationshastighed kan nedsat </w:t>
      </w:r>
      <w:proofErr w:type="spellStart"/>
      <w:r w:rsidRPr="00CD2342">
        <w:rPr>
          <w:spacing w:val="-3"/>
          <w:sz w:val="24"/>
          <w:szCs w:val="24"/>
        </w:rPr>
        <w:t>lithiumclearance</w:t>
      </w:r>
      <w:proofErr w:type="spellEnd"/>
      <w:r w:rsidRPr="00CD2342">
        <w:rPr>
          <w:spacing w:val="-3"/>
          <w:sz w:val="24"/>
          <w:szCs w:val="24"/>
        </w:rPr>
        <w:t xml:space="preserve"> desuden resultere i ændrede eller toksiske </w:t>
      </w:r>
      <w:proofErr w:type="spellStart"/>
      <w:r w:rsidRPr="00CD2342">
        <w:rPr>
          <w:spacing w:val="-3"/>
          <w:sz w:val="24"/>
          <w:szCs w:val="24"/>
        </w:rPr>
        <w:t>serumlithiumkoncentrationer</w:t>
      </w:r>
      <w:proofErr w:type="spellEnd"/>
      <w:r w:rsidRPr="00CD2342">
        <w:rPr>
          <w:spacing w:val="-3"/>
          <w:sz w:val="24"/>
          <w:szCs w:val="24"/>
        </w:rPr>
        <w:t xml:space="preserve"> hos ældre patienter. En nyrefunktionstest er nødvendig før behandlingsstart (</w:t>
      </w:r>
      <w:proofErr w:type="spellStart"/>
      <w:r w:rsidRPr="00CD2342">
        <w:rPr>
          <w:spacing w:val="-3"/>
          <w:sz w:val="24"/>
          <w:szCs w:val="24"/>
        </w:rPr>
        <w:t>kreatininclearance</w:t>
      </w:r>
      <w:proofErr w:type="spellEnd"/>
      <w:r w:rsidRPr="00CD2342">
        <w:rPr>
          <w:spacing w:val="-3"/>
          <w:sz w:val="24"/>
          <w:szCs w:val="24"/>
        </w:rPr>
        <w:t xml:space="preserve"> og/eller </w:t>
      </w:r>
      <w:proofErr w:type="spellStart"/>
      <w:r w:rsidRPr="00CD2342">
        <w:rPr>
          <w:spacing w:val="-3"/>
          <w:sz w:val="24"/>
          <w:szCs w:val="24"/>
        </w:rPr>
        <w:t>eGFR</w:t>
      </w:r>
      <w:proofErr w:type="spellEnd"/>
      <w:r w:rsidRPr="00CD2342">
        <w:rPr>
          <w:spacing w:val="-3"/>
          <w:sz w:val="24"/>
          <w:szCs w:val="24"/>
        </w:rPr>
        <w:t xml:space="preserve">). </w:t>
      </w:r>
      <w:proofErr w:type="spellStart"/>
      <w:r w:rsidRPr="00CD2342">
        <w:rPr>
          <w:spacing w:val="-3"/>
          <w:sz w:val="24"/>
          <w:szCs w:val="24"/>
        </w:rPr>
        <w:t>Lithiumdoser</w:t>
      </w:r>
      <w:proofErr w:type="spellEnd"/>
      <w:r w:rsidRPr="00CD2342">
        <w:rPr>
          <w:spacing w:val="-3"/>
          <w:sz w:val="24"/>
          <w:szCs w:val="24"/>
        </w:rPr>
        <w:t xml:space="preserve"> bør reduceres med 25</w:t>
      </w:r>
      <w:r w:rsidRPr="00CD2342">
        <w:rPr>
          <w:spacing w:val="-3"/>
          <w:sz w:val="24"/>
          <w:szCs w:val="24"/>
        </w:rPr>
        <w:noBreakHyphen/>
        <w:t xml:space="preserve">35 % hos ældre. Desuden anbefales øget overvågning af </w:t>
      </w:r>
      <w:proofErr w:type="spellStart"/>
      <w:r w:rsidRPr="00CD2342">
        <w:rPr>
          <w:spacing w:val="-3"/>
          <w:sz w:val="24"/>
          <w:szCs w:val="24"/>
        </w:rPr>
        <w:t>serumlithiumkoncentrationen</w:t>
      </w:r>
      <w:proofErr w:type="spellEnd"/>
      <w:r w:rsidRPr="00CD2342">
        <w:rPr>
          <w:spacing w:val="-3"/>
          <w:sz w:val="24"/>
          <w:szCs w:val="24"/>
        </w:rPr>
        <w:t>.</w:t>
      </w:r>
    </w:p>
    <w:p w14:paraId="19E8CDB9" w14:textId="77777777" w:rsidR="00165A40" w:rsidRPr="00CD2342" w:rsidRDefault="00165A40" w:rsidP="00165A40">
      <w:pPr>
        <w:ind w:left="851"/>
        <w:rPr>
          <w:spacing w:val="-3"/>
          <w:sz w:val="24"/>
          <w:szCs w:val="24"/>
        </w:rPr>
      </w:pPr>
    </w:p>
    <w:p w14:paraId="1328EAEE" w14:textId="77777777" w:rsidR="00165A40" w:rsidRPr="002566A7" w:rsidRDefault="00165A40" w:rsidP="002566A7">
      <w:pPr>
        <w:ind w:left="851"/>
        <w:rPr>
          <w:sz w:val="24"/>
          <w:szCs w:val="24"/>
          <w:u w:val="single"/>
        </w:rPr>
      </w:pPr>
      <w:r w:rsidRPr="002566A7">
        <w:rPr>
          <w:sz w:val="24"/>
          <w:szCs w:val="24"/>
          <w:u w:val="single"/>
        </w:rPr>
        <w:t xml:space="preserve">Undersøgelser forud for </w:t>
      </w:r>
      <w:proofErr w:type="spellStart"/>
      <w:r w:rsidRPr="002566A7">
        <w:rPr>
          <w:sz w:val="24"/>
          <w:szCs w:val="24"/>
          <w:u w:val="single"/>
        </w:rPr>
        <w:t>lithiumbehandling</w:t>
      </w:r>
      <w:proofErr w:type="spellEnd"/>
    </w:p>
    <w:p w14:paraId="23C97332" w14:textId="77777777" w:rsidR="00165A40" w:rsidRPr="00CD2342" w:rsidRDefault="00165A40" w:rsidP="00165A40">
      <w:pPr>
        <w:ind w:left="851"/>
        <w:rPr>
          <w:spacing w:val="-3"/>
          <w:sz w:val="24"/>
          <w:szCs w:val="24"/>
        </w:rPr>
      </w:pPr>
      <w:r w:rsidRPr="00CD2342">
        <w:rPr>
          <w:spacing w:val="-3"/>
          <w:sz w:val="24"/>
          <w:szCs w:val="24"/>
        </w:rPr>
        <w:t>Et EKG før behandlingsstart er påkrævet hos patienter &gt;40 år. (se også pkt. 4.4 for langtidsovervågning)</w:t>
      </w:r>
    </w:p>
    <w:p w14:paraId="02550AA0" w14:textId="77777777" w:rsidR="00165A40" w:rsidRPr="00CD2342" w:rsidRDefault="00165A40" w:rsidP="00165A40">
      <w:pPr>
        <w:ind w:left="851"/>
        <w:rPr>
          <w:spacing w:val="-3"/>
          <w:sz w:val="24"/>
          <w:szCs w:val="24"/>
        </w:rPr>
      </w:pPr>
    </w:p>
    <w:p w14:paraId="13855E37" w14:textId="77777777" w:rsidR="00165A40" w:rsidRPr="00CD2342" w:rsidRDefault="00165A40" w:rsidP="00165A40">
      <w:pPr>
        <w:ind w:left="851"/>
        <w:rPr>
          <w:spacing w:val="-3"/>
          <w:sz w:val="24"/>
          <w:szCs w:val="24"/>
        </w:rPr>
      </w:pPr>
      <w:r w:rsidRPr="00CD2342">
        <w:rPr>
          <w:spacing w:val="-3"/>
          <w:sz w:val="24"/>
          <w:szCs w:val="24"/>
        </w:rPr>
        <w:t xml:space="preserve">Serumcalcium og </w:t>
      </w:r>
      <w:proofErr w:type="spellStart"/>
      <w:r w:rsidRPr="00CD2342">
        <w:rPr>
          <w:spacing w:val="-3"/>
          <w:sz w:val="24"/>
          <w:szCs w:val="24"/>
        </w:rPr>
        <w:t>thyreoideafunktion</w:t>
      </w:r>
      <w:proofErr w:type="spellEnd"/>
      <w:r w:rsidRPr="00CD2342">
        <w:rPr>
          <w:spacing w:val="-3"/>
          <w:sz w:val="24"/>
          <w:szCs w:val="24"/>
        </w:rPr>
        <w:t xml:space="preserve"> skal monitoreres hos patienter før </w:t>
      </w:r>
      <w:proofErr w:type="spellStart"/>
      <w:r w:rsidRPr="00CD2342">
        <w:rPr>
          <w:spacing w:val="-3"/>
          <w:sz w:val="24"/>
          <w:szCs w:val="24"/>
        </w:rPr>
        <w:t>lithiumbehandling</w:t>
      </w:r>
      <w:proofErr w:type="spellEnd"/>
      <w:r w:rsidRPr="00CD2342">
        <w:rPr>
          <w:spacing w:val="-3"/>
          <w:sz w:val="24"/>
          <w:szCs w:val="24"/>
        </w:rPr>
        <w:t xml:space="preserve">. En nyrefunktionstest er påkrævet for at afgøre, om der er nedsat nyrefunktion før behandlingsstart (måling af </w:t>
      </w:r>
      <w:proofErr w:type="spellStart"/>
      <w:r w:rsidRPr="00CD2342">
        <w:rPr>
          <w:spacing w:val="-3"/>
          <w:sz w:val="24"/>
          <w:szCs w:val="24"/>
        </w:rPr>
        <w:t>kreatininclearance</w:t>
      </w:r>
      <w:proofErr w:type="spellEnd"/>
      <w:r w:rsidRPr="00CD2342">
        <w:rPr>
          <w:spacing w:val="-3"/>
          <w:sz w:val="24"/>
          <w:szCs w:val="24"/>
        </w:rPr>
        <w:t xml:space="preserve"> og/eller </w:t>
      </w:r>
      <w:proofErr w:type="spellStart"/>
      <w:r w:rsidRPr="00CD2342">
        <w:rPr>
          <w:spacing w:val="-3"/>
          <w:sz w:val="24"/>
          <w:szCs w:val="24"/>
        </w:rPr>
        <w:t>eGFR</w:t>
      </w:r>
      <w:proofErr w:type="spellEnd"/>
      <w:r w:rsidRPr="00CD2342">
        <w:rPr>
          <w:spacing w:val="-3"/>
          <w:sz w:val="24"/>
          <w:szCs w:val="24"/>
        </w:rPr>
        <w:t xml:space="preserve">). Øget monitoreringsfrekvens af </w:t>
      </w:r>
      <w:proofErr w:type="spellStart"/>
      <w:r w:rsidRPr="00CD2342">
        <w:rPr>
          <w:spacing w:val="-3"/>
          <w:sz w:val="24"/>
          <w:szCs w:val="24"/>
        </w:rPr>
        <w:t>serumlithiumkoncentrationer</w:t>
      </w:r>
      <w:proofErr w:type="spellEnd"/>
      <w:r w:rsidRPr="00CD2342">
        <w:rPr>
          <w:spacing w:val="-3"/>
          <w:sz w:val="24"/>
          <w:szCs w:val="24"/>
        </w:rPr>
        <w:t xml:space="preserve"> anbefales i tilfælde af nedsat nyrefunktion. (se også pkt. 4.4 for langtidsovervågning)</w:t>
      </w:r>
    </w:p>
    <w:p w14:paraId="7E7C1F66" w14:textId="3B84A2CB" w:rsidR="0084597B" w:rsidRDefault="0084597B">
      <w:pPr>
        <w:rPr>
          <w:spacing w:val="-3"/>
          <w:sz w:val="24"/>
          <w:szCs w:val="24"/>
        </w:rPr>
      </w:pPr>
      <w:r>
        <w:rPr>
          <w:spacing w:val="-3"/>
          <w:sz w:val="24"/>
          <w:szCs w:val="24"/>
        </w:rPr>
        <w:br w:type="page"/>
      </w:r>
    </w:p>
    <w:p w14:paraId="6A660D27" w14:textId="77777777" w:rsidR="00165A40" w:rsidRPr="00CD2342" w:rsidRDefault="00165A40" w:rsidP="00165A40">
      <w:pPr>
        <w:ind w:left="851"/>
        <w:rPr>
          <w:spacing w:val="-3"/>
          <w:sz w:val="24"/>
          <w:szCs w:val="24"/>
        </w:rPr>
      </w:pPr>
    </w:p>
    <w:p w14:paraId="7ACD7E78" w14:textId="77777777" w:rsidR="00165A40" w:rsidRPr="002566A7" w:rsidRDefault="00165A40" w:rsidP="002566A7">
      <w:pPr>
        <w:ind w:left="851"/>
        <w:rPr>
          <w:sz w:val="24"/>
          <w:szCs w:val="24"/>
          <w:u w:val="single"/>
        </w:rPr>
      </w:pPr>
      <w:r w:rsidRPr="002566A7">
        <w:rPr>
          <w:sz w:val="24"/>
          <w:szCs w:val="24"/>
          <w:u w:val="single"/>
        </w:rPr>
        <w:t>Pædiatrisk population</w:t>
      </w:r>
    </w:p>
    <w:p w14:paraId="3879A985" w14:textId="77777777" w:rsidR="00165A40" w:rsidRPr="00CD2342" w:rsidRDefault="00165A40" w:rsidP="00165A40">
      <w:pPr>
        <w:ind w:left="851"/>
        <w:rPr>
          <w:spacing w:val="-3"/>
          <w:sz w:val="24"/>
          <w:szCs w:val="24"/>
        </w:rPr>
      </w:pPr>
      <w:r w:rsidRPr="00CD2342">
        <w:rPr>
          <w:spacing w:val="-3"/>
          <w:sz w:val="24"/>
          <w:szCs w:val="24"/>
        </w:rPr>
        <w:t>Børn og unge (&lt; 18 år): Litiumkarbonat bør ikke administreres på grund af manglende erfaring.</w:t>
      </w:r>
    </w:p>
    <w:p w14:paraId="2E692AC2" w14:textId="77777777" w:rsidR="00165A40" w:rsidRPr="00CD2342" w:rsidRDefault="00165A40" w:rsidP="00165A40">
      <w:pPr>
        <w:ind w:left="851"/>
        <w:rPr>
          <w:spacing w:val="-3"/>
          <w:sz w:val="24"/>
          <w:szCs w:val="24"/>
        </w:rPr>
      </w:pPr>
    </w:p>
    <w:p w14:paraId="139A2D58" w14:textId="77777777" w:rsidR="00165A40" w:rsidRPr="002566A7" w:rsidRDefault="00165A40" w:rsidP="002566A7">
      <w:pPr>
        <w:ind w:left="851"/>
        <w:rPr>
          <w:sz w:val="24"/>
          <w:szCs w:val="24"/>
          <w:u w:val="single"/>
        </w:rPr>
      </w:pPr>
      <w:r w:rsidRPr="002566A7">
        <w:rPr>
          <w:sz w:val="24"/>
          <w:szCs w:val="24"/>
          <w:u w:val="single"/>
        </w:rPr>
        <w:t>Fedme</w:t>
      </w:r>
    </w:p>
    <w:p w14:paraId="1CCA4CC8" w14:textId="77777777" w:rsidR="00165A40" w:rsidRPr="002566A7" w:rsidRDefault="00165A40" w:rsidP="002566A7">
      <w:pPr>
        <w:ind w:left="851"/>
        <w:rPr>
          <w:sz w:val="24"/>
          <w:szCs w:val="24"/>
        </w:rPr>
      </w:pPr>
      <w:proofErr w:type="spellStart"/>
      <w:r w:rsidRPr="002566A7">
        <w:rPr>
          <w:sz w:val="24"/>
          <w:szCs w:val="24"/>
        </w:rPr>
        <w:t>Lithium-clearance</w:t>
      </w:r>
      <w:proofErr w:type="spellEnd"/>
      <w:r w:rsidRPr="002566A7">
        <w:rPr>
          <w:sz w:val="24"/>
          <w:szCs w:val="24"/>
        </w:rPr>
        <w:t xml:space="preserve"> korrelerer signifikant med den samlede kropsvægt. Anbefalingen til overvægtige patienter er at starte behandlingen med lavere initialdoser af </w:t>
      </w:r>
      <w:proofErr w:type="spellStart"/>
      <w:r w:rsidRPr="002566A7">
        <w:rPr>
          <w:sz w:val="24"/>
          <w:szCs w:val="24"/>
        </w:rPr>
        <w:t>lithium</w:t>
      </w:r>
      <w:proofErr w:type="spellEnd"/>
      <w:r w:rsidRPr="002566A7">
        <w:rPr>
          <w:sz w:val="24"/>
          <w:szCs w:val="24"/>
        </w:rPr>
        <w:t>. Vedligeholdelsesdosis bør vejledes af plasmakoncentrationsmålinger.</w:t>
      </w:r>
    </w:p>
    <w:p w14:paraId="17F056E5" w14:textId="77777777" w:rsidR="00165A40" w:rsidRPr="002566A7" w:rsidRDefault="00165A40" w:rsidP="002566A7">
      <w:pPr>
        <w:ind w:left="851"/>
        <w:rPr>
          <w:sz w:val="24"/>
          <w:szCs w:val="24"/>
        </w:rPr>
      </w:pPr>
    </w:p>
    <w:p w14:paraId="7A42588B" w14:textId="77777777" w:rsidR="00165A40" w:rsidRPr="002566A7" w:rsidRDefault="00165A40" w:rsidP="002566A7">
      <w:pPr>
        <w:ind w:left="851"/>
        <w:rPr>
          <w:sz w:val="24"/>
          <w:szCs w:val="24"/>
          <w:u w:val="single"/>
        </w:rPr>
      </w:pPr>
      <w:r w:rsidRPr="002566A7">
        <w:rPr>
          <w:sz w:val="24"/>
          <w:szCs w:val="24"/>
          <w:u w:val="single"/>
        </w:rPr>
        <w:t>Administration</w:t>
      </w:r>
    </w:p>
    <w:p w14:paraId="5E4BC607" w14:textId="77777777" w:rsidR="00165A40" w:rsidRPr="00CD2342" w:rsidRDefault="00165A40" w:rsidP="00165A40">
      <w:pPr>
        <w:ind w:left="851"/>
        <w:rPr>
          <w:spacing w:val="-3"/>
          <w:sz w:val="24"/>
          <w:szCs w:val="24"/>
        </w:rPr>
      </w:pPr>
      <w:proofErr w:type="spellStart"/>
      <w:r w:rsidRPr="00CD2342">
        <w:rPr>
          <w:spacing w:val="-3"/>
          <w:sz w:val="24"/>
          <w:szCs w:val="24"/>
        </w:rPr>
        <w:t>Carblit</w:t>
      </w:r>
      <w:proofErr w:type="spellEnd"/>
      <w:r w:rsidRPr="00CD2342">
        <w:rPr>
          <w:spacing w:val="-3"/>
          <w:sz w:val="24"/>
          <w:szCs w:val="24"/>
        </w:rPr>
        <w:t xml:space="preserve"> skal tages før eller efter måltider på foreskrevne fastsatte tidspunkter. Dette er nødvendigt for at holde </w:t>
      </w:r>
      <w:proofErr w:type="spellStart"/>
      <w:r w:rsidRPr="00CD2342">
        <w:rPr>
          <w:spacing w:val="-3"/>
          <w:sz w:val="24"/>
          <w:szCs w:val="24"/>
        </w:rPr>
        <w:t>lithiumniveauet</w:t>
      </w:r>
      <w:proofErr w:type="spellEnd"/>
      <w:r w:rsidRPr="00CD2342">
        <w:rPr>
          <w:spacing w:val="-3"/>
          <w:sz w:val="24"/>
          <w:szCs w:val="24"/>
        </w:rPr>
        <w:t xml:space="preserve"> i blodet konstant. (se også pkt. 4.4).</w:t>
      </w:r>
    </w:p>
    <w:p w14:paraId="1BF8EC5D" w14:textId="77777777" w:rsidR="00165A40" w:rsidRPr="00CD2342" w:rsidRDefault="00165A40" w:rsidP="00165A40">
      <w:pPr>
        <w:ind w:left="851"/>
        <w:rPr>
          <w:spacing w:val="-3"/>
          <w:sz w:val="24"/>
          <w:szCs w:val="24"/>
        </w:rPr>
      </w:pPr>
    </w:p>
    <w:p w14:paraId="37905BE4" w14:textId="77777777" w:rsidR="00165A40" w:rsidRPr="00CD2342" w:rsidRDefault="00165A40" w:rsidP="00165A40">
      <w:pPr>
        <w:ind w:left="851"/>
        <w:rPr>
          <w:spacing w:val="-3"/>
          <w:sz w:val="24"/>
          <w:szCs w:val="24"/>
        </w:rPr>
      </w:pPr>
      <w:r w:rsidRPr="00CD2342">
        <w:rPr>
          <w:spacing w:val="-3"/>
          <w:sz w:val="24"/>
          <w:szCs w:val="24"/>
        </w:rPr>
        <w:t xml:space="preserve">I tilfælde af utålelige eller alvorlige </w:t>
      </w:r>
      <w:proofErr w:type="spellStart"/>
      <w:r w:rsidRPr="00CD2342">
        <w:rPr>
          <w:spacing w:val="-3"/>
          <w:sz w:val="24"/>
          <w:szCs w:val="24"/>
        </w:rPr>
        <w:t>gastrointestinale</w:t>
      </w:r>
      <w:proofErr w:type="spellEnd"/>
      <w:r w:rsidRPr="00CD2342">
        <w:rPr>
          <w:spacing w:val="-3"/>
          <w:sz w:val="24"/>
          <w:szCs w:val="24"/>
        </w:rPr>
        <w:t xml:space="preserve"> bivirkninger, anbefales det at tage </w:t>
      </w:r>
      <w:proofErr w:type="spellStart"/>
      <w:r w:rsidRPr="00CD2342">
        <w:rPr>
          <w:spacing w:val="-3"/>
          <w:sz w:val="24"/>
          <w:szCs w:val="24"/>
        </w:rPr>
        <w:t>Carblit</w:t>
      </w:r>
      <w:proofErr w:type="spellEnd"/>
      <w:r w:rsidRPr="00CD2342">
        <w:rPr>
          <w:spacing w:val="-3"/>
          <w:sz w:val="24"/>
          <w:szCs w:val="24"/>
        </w:rPr>
        <w:t xml:space="preserve"> sammen med mad og/eller at reducere dosis. Når de </w:t>
      </w:r>
      <w:proofErr w:type="spellStart"/>
      <w:r w:rsidRPr="00CD2342">
        <w:rPr>
          <w:spacing w:val="-3"/>
          <w:sz w:val="24"/>
          <w:szCs w:val="24"/>
        </w:rPr>
        <w:t>gastrointestinale</w:t>
      </w:r>
      <w:proofErr w:type="spellEnd"/>
      <w:r w:rsidRPr="00CD2342">
        <w:rPr>
          <w:spacing w:val="-3"/>
          <w:sz w:val="24"/>
          <w:szCs w:val="24"/>
        </w:rPr>
        <w:t xml:space="preserve"> bivirkninger aftager, bør dosis gradvist øges til måldosis. Dog kan samtidig administration af </w:t>
      </w:r>
      <w:proofErr w:type="spellStart"/>
      <w:r w:rsidRPr="00CD2342">
        <w:rPr>
          <w:spacing w:val="-3"/>
          <w:sz w:val="24"/>
          <w:szCs w:val="24"/>
        </w:rPr>
        <w:t>lithium</w:t>
      </w:r>
      <w:proofErr w:type="spellEnd"/>
      <w:r w:rsidRPr="00CD2342">
        <w:rPr>
          <w:spacing w:val="-3"/>
          <w:sz w:val="24"/>
          <w:szCs w:val="24"/>
        </w:rPr>
        <w:t xml:space="preserve"> med mad og diæt ændre </w:t>
      </w:r>
      <w:proofErr w:type="spellStart"/>
      <w:r w:rsidRPr="00CD2342">
        <w:rPr>
          <w:spacing w:val="-3"/>
          <w:sz w:val="24"/>
          <w:szCs w:val="24"/>
        </w:rPr>
        <w:t>lithiumabsorptionen</w:t>
      </w:r>
      <w:proofErr w:type="spellEnd"/>
      <w:r w:rsidRPr="00CD2342">
        <w:rPr>
          <w:spacing w:val="-3"/>
          <w:sz w:val="24"/>
          <w:szCs w:val="24"/>
        </w:rPr>
        <w:t>. Forsigtighed bør derfor udvises (se pkt. 4.4).</w:t>
      </w:r>
    </w:p>
    <w:p w14:paraId="4F588923" w14:textId="77777777" w:rsidR="009260DE" w:rsidRPr="00CD2342" w:rsidRDefault="009260DE" w:rsidP="009260DE">
      <w:pPr>
        <w:tabs>
          <w:tab w:val="left" w:pos="851"/>
        </w:tabs>
        <w:ind w:left="851"/>
        <w:rPr>
          <w:sz w:val="24"/>
          <w:szCs w:val="24"/>
        </w:rPr>
      </w:pPr>
    </w:p>
    <w:p w14:paraId="1291E174" w14:textId="77777777" w:rsidR="009260DE" w:rsidRPr="00CD2342" w:rsidRDefault="009260DE" w:rsidP="009260DE">
      <w:pPr>
        <w:tabs>
          <w:tab w:val="left" w:pos="851"/>
        </w:tabs>
        <w:ind w:left="851" w:hanging="851"/>
        <w:rPr>
          <w:b/>
          <w:sz w:val="24"/>
          <w:szCs w:val="24"/>
        </w:rPr>
      </w:pPr>
      <w:r w:rsidRPr="00CD2342">
        <w:rPr>
          <w:b/>
          <w:sz w:val="24"/>
          <w:szCs w:val="24"/>
        </w:rPr>
        <w:t>4.3</w:t>
      </w:r>
      <w:r w:rsidRPr="00CD2342">
        <w:rPr>
          <w:b/>
          <w:sz w:val="24"/>
          <w:szCs w:val="24"/>
        </w:rPr>
        <w:tab/>
        <w:t>Kontraindikationer</w:t>
      </w:r>
    </w:p>
    <w:p w14:paraId="4428031B" w14:textId="77777777" w:rsidR="00165A40" w:rsidRPr="002566A7" w:rsidRDefault="00165A40" w:rsidP="002566A7">
      <w:pPr>
        <w:pStyle w:val="Listeafsnit"/>
        <w:numPr>
          <w:ilvl w:val="0"/>
          <w:numId w:val="12"/>
        </w:numPr>
        <w:ind w:left="1276" w:hanging="425"/>
        <w:rPr>
          <w:sz w:val="24"/>
          <w:szCs w:val="24"/>
          <w:lang w:eastAsia="da-DK"/>
        </w:rPr>
      </w:pPr>
      <w:r w:rsidRPr="002566A7">
        <w:rPr>
          <w:sz w:val="24"/>
          <w:szCs w:val="24"/>
        </w:rPr>
        <w:t xml:space="preserve">Overfølsomhed over for </w:t>
      </w:r>
      <w:proofErr w:type="spellStart"/>
      <w:r w:rsidRPr="002566A7">
        <w:rPr>
          <w:sz w:val="24"/>
          <w:szCs w:val="24"/>
        </w:rPr>
        <w:t>lithiumcarbonat</w:t>
      </w:r>
      <w:proofErr w:type="spellEnd"/>
      <w:r w:rsidRPr="002566A7">
        <w:rPr>
          <w:sz w:val="24"/>
          <w:szCs w:val="24"/>
        </w:rPr>
        <w:t xml:space="preserve"> eller over for et eller flere af hjælpestofferne anført i pkt. 6.1</w:t>
      </w:r>
    </w:p>
    <w:p w14:paraId="4E0C0C4F" w14:textId="77777777" w:rsidR="00165A40" w:rsidRPr="002566A7" w:rsidRDefault="00165A40" w:rsidP="002566A7">
      <w:pPr>
        <w:pStyle w:val="Listeafsnit"/>
        <w:numPr>
          <w:ilvl w:val="0"/>
          <w:numId w:val="12"/>
        </w:numPr>
        <w:ind w:left="1276" w:hanging="425"/>
        <w:rPr>
          <w:sz w:val="24"/>
          <w:szCs w:val="24"/>
        </w:rPr>
      </w:pPr>
      <w:r w:rsidRPr="002566A7">
        <w:rPr>
          <w:sz w:val="24"/>
          <w:szCs w:val="24"/>
        </w:rPr>
        <w:t xml:space="preserve">Hjertesygdom (f.eks. risiko for </w:t>
      </w:r>
      <w:proofErr w:type="spellStart"/>
      <w:r w:rsidRPr="002566A7">
        <w:rPr>
          <w:sz w:val="24"/>
          <w:szCs w:val="24"/>
        </w:rPr>
        <w:t>arytmi</w:t>
      </w:r>
      <w:proofErr w:type="spellEnd"/>
      <w:r w:rsidRPr="002566A7">
        <w:rPr>
          <w:sz w:val="24"/>
          <w:szCs w:val="24"/>
        </w:rPr>
        <w:t xml:space="preserve"> inklusive </w:t>
      </w:r>
      <w:proofErr w:type="spellStart"/>
      <w:r w:rsidRPr="002566A7">
        <w:rPr>
          <w:sz w:val="24"/>
          <w:szCs w:val="24"/>
        </w:rPr>
        <w:t>Brugada</w:t>
      </w:r>
      <w:proofErr w:type="spellEnd"/>
      <w:r w:rsidRPr="002566A7">
        <w:rPr>
          <w:sz w:val="24"/>
          <w:szCs w:val="24"/>
        </w:rPr>
        <w:t xml:space="preserve"> syndrom eller mistænkt </w:t>
      </w:r>
      <w:proofErr w:type="spellStart"/>
      <w:r w:rsidRPr="002566A7">
        <w:rPr>
          <w:sz w:val="24"/>
          <w:szCs w:val="24"/>
        </w:rPr>
        <w:t>Brugada</w:t>
      </w:r>
      <w:proofErr w:type="spellEnd"/>
      <w:r w:rsidRPr="002566A7">
        <w:rPr>
          <w:sz w:val="24"/>
          <w:szCs w:val="24"/>
        </w:rPr>
        <w:t xml:space="preserve"> syndrom, hjerteinsufficiens) </w:t>
      </w:r>
    </w:p>
    <w:p w14:paraId="3F4102F3" w14:textId="77777777" w:rsidR="00165A40" w:rsidRPr="002566A7" w:rsidRDefault="00165A40" w:rsidP="002566A7">
      <w:pPr>
        <w:pStyle w:val="Listeafsnit"/>
        <w:numPr>
          <w:ilvl w:val="0"/>
          <w:numId w:val="12"/>
        </w:numPr>
        <w:ind w:left="1276" w:hanging="425"/>
        <w:rPr>
          <w:sz w:val="24"/>
          <w:szCs w:val="24"/>
        </w:rPr>
      </w:pPr>
      <w:r w:rsidRPr="002566A7">
        <w:rPr>
          <w:sz w:val="24"/>
          <w:szCs w:val="24"/>
        </w:rPr>
        <w:t>Medicinske tilstande forbundet med lavt natriumniveau i kroppen (f.eks. Addisons sygdom) eller natriummetabolismeforstyrrelse, saltfattig diæt</w:t>
      </w:r>
    </w:p>
    <w:p w14:paraId="3C1AEC5C" w14:textId="77777777" w:rsidR="00165A40" w:rsidRPr="002566A7" w:rsidRDefault="00165A40" w:rsidP="002566A7">
      <w:pPr>
        <w:pStyle w:val="Listeafsnit"/>
        <w:numPr>
          <w:ilvl w:val="0"/>
          <w:numId w:val="12"/>
        </w:numPr>
        <w:ind w:left="1276" w:hanging="425"/>
        <w:rPr>
          <w:sz w:val="24"/>
          <w:szCs w:val="24"/>
        </w:rPr>
      </w:pPr>
      <w:proofErr w:type="spellStart"/>
      <w:r w:rsidRPr="002566A7">
        <w:rPr>
          <w:sz w:val="24"/>
          <w:szCs w:val="24"/>
        </w:rPr>
        <w:t>Hypothyroidisme</w:t>
      </w:r>
      <w:proofErr w:type="spellEnd"/>
    </w:p>
    <w:p w14:paraId="6FEA5538" w14:textId="77777777" w:rsidR="00165A40" w:rsidRPr="002566A7" w:rsidRDefault="00165A40" w:rsidP="002566A7">
      <w:pPr>
        <w:pStyle w:val="Listeafsnit"/>
        <w:numPr>
          <w:ilvl w:val="0"/>
          <w:numId w:val="12"/>
        </w:numPr>
        <w:ind w:left="1276" w:hanging="425"/>
        <w:rPr>
          <w:sz w:val="24"/>
          <w:szCs w:val="24"/>
        </w:rPr>
      </w:pPr>
      <w:r w:rsidRPr="002566A7">
        <w:rPr>
          <w:sz w:val="24"/>
          <w:szCs w:val="24"/>
        </w:rPr>
        <w:t>Svær nyreinsufficiens</w:t>
      </w:r>
    </w:p>
    <w:p w14:paraId="0BD43058" w14:textId="77777777" w:rsidR="00165A40" w:rsidRPr="002566A7" w:rsidRDefault="00165A40" w:rsidP="002566A7">
      <w:pPr>
        <w:pStyle w:val="Listeafsnit"/>
        <w:numPr>
          <w:ilvl w:val="0"/>
          <w:numId w:val="12"/>
        </w:numPr>
        <w:ind w:left="1276" w:hanging="425"/>
        <w:rPr>
          <w:sz w:val="24"/>
          <w:szCs w:val="24"/>
        </w:rPr>
      </w:pPr>
      <w:proofErr w:type="spellStart"/>
      <w:r w:rsidRPr="002566A7">
        <w:rPr>
          <w:sz w:val="24"/>
          <w:szCs w:val="24"/>
        </w:rPr>
        <w:t>Keratosis</w:t>
      </w:r>
      <w:proofErr w:type="spellEnd"/>
      <w:r w:rsidRPr="002566A7">
        <w:rPr>
          <w:sz w:val="24"/>
          <w:szCs w:val="24"/>
        </w:rPr>
        <w:t xml:space="preserve"> </w:t>
      </w:r>
      <w:proofErr w:type="spellStart"/>
      <w:r w:rsidRPr="002566A7">
        <w:rPr>
          <w:sz w:val="24"/>
          <w:szCs w:val="24"/>
        </w:rPr>
        <w:t>follicularis</w:t>
      </w:r>
      <w:proofErr w:type="spellEnd"/>
      <w:r w:rsidRPr="002566A7">
        <w:rPr>
          <w:sz w:val="24"/>
          <w:szCs w:val="24"/>
        </w:rPr>
        <w:t xml:space="preserve"> (</w:t>
      </w:r>
      <w:proofErr w:type="spellStart"/>
      <w:r w:rsidRPr="002566A7">
        <w:rPr>
          <w:sz w:val="24"/>
          <w:szCs w:val="24"/>
        </w:rPr>
        <w:t>Dariers</w:t>
      </w:r>
      <w:proofErr w:type="spellEnd"/>
      <w:r w:rsidRPr="002566A7">
        <w:rPr>
          <w:sz w:val="24"/>
          <w:szCs w:val="24"/>
        </w:rPr>
        <w:t xml:space="preserve"> sygdom) </w:t>
      </w:r>
    </w:p>
    <w:p w14:paraId="664F6221" w14:textId="77777777" w:rsidR="00165A40" w:rsidRPr="002566A7" w:rsidRDefault="00165A40" w:rsidP="002566A7">
      <w:pPr>
        <w:pStyle w:val="Listeafsnit"/>
        <w:numPr>
          <w:ilvl w:val="0"/>
          <w:numId w:val="12"/>
        </w:numPr>
        <w:ind w:left="1276" w:hanging="425"/>
        <w:rPr>
          <w:sz w:val="24"/>
          <w:szCs w:val="24"/>
        </w:rPr>
      </w:pPr>
      <w:r w:rsidRPr="002566A7">
        <w:rPr>
          <w:sz w:val="24"/>
          <w:szCs w:val="24"/>
        </w:rPr>
        <w:t>Amning</w:t>
      </w:r>
    </w:p>
    <w:p w14:paraId="142CD9AF" w14:textId="77777777" w:rsidR="009260DE" w:rsidRPr="00CD2342" w:rsidRDefault="009260DE" w:rsidP="009260DE">
      <w:pPr>
        <w:tabs>
          <w:tab w:val="left" w:pos="851"/>
        </w:tabs>
        <w:ind w:left="851"/>
        <w:rPr>
          <w:sz w:val="24"/>
          <w:szCs w:val="24"/>
        </w:rPr>
      </w:pPr>
    </w:p>
    <w:p w14:paraId="17A7C9EC" w14:textId="77777777" w:rsidR="009260DE" w:rsidRPr="00CD2342" w:rsidRDefault="009260DE" w:rsidP="009260DE">
      <w:pPr>
        <w:tabs>
          <w:tab w:val="left" w:pos="851"/>
        </w:tabs>
        <w:ind w:left="851" w:hanging="851"/>
        <w:rPr>
          <w:b/>
          <w:sz w:val="24"/>
          <w:szCs w:val="24"/>
        </w:rPr>
      </w:pPr>
      <w:r w:rsidRPr="00CD2342">
        <w:rPr>
          <w:b/>
          <w:sz w:val="24"/>
          <w:szCs w:val="24"/>
        </w:rPr>
        <w:t>4.4</w:t>
      </w:r>
      <w:r w:rsidRPr="00CD2342">
        <w:rPr>
          <w:b/>
          <w:sz w:val="24"/>
          <w:szCs w:val="24"/>
        </w:rPr>
        <w:tab/>
        <w:t>Særlige advarsler og forsigtighedsregler vedrørende brugen</w:t>
      </w:r>
    </w:p>
    <w:p w14:paraId="4B853D8D" w14:textId="77777777" w:rsidR="00165A40" w:rsidRPr="00CD2342" w:rsidRDefault="00165A40" w:rsidP="00165A40">
      <w:pPr>
        <w:ind w:left="851"/>
        <w:rPr>
          <w:spacing w:val="-3"/>
          <w:sz w:val="24"/>
          <w:szCs w:val="24"/>
          <w:lang w:eastAsia="da-DK"/>
        </w:rPr>
      </w:pPr>
      <w:proofErr w:type="spellStart"/>
      <w:r w:rsidRPr="00CD2342">
        <w:rPr>
          <w:spacing w:val="-3"/>
          <w:sz w:val="24"/>
          <w:szCs w:val="24"/>
        </w:rPr>
        <w:t>Lithiumcarbonat</w:t>
      </w:r>
      <w:proofErr w:type="spellEnd"/>
      <w:r w:rsidRPr="00CD2342">
        <w:rPr>
          <w:spacing w:val="-3"/>
          <w:sz w:val="24"/>
          <w:szCs w:val="24"/>
        </w:rPr>
        <w:t xml:space="preserve"> har et smalt terapeutisk vindue, så tæt monitorering er påkrævet (se pkt. 4.2).</w:t>
      </w:r>
    </w:p>
    <w:p w14:paraId="519714DA" w14:textId="77777777" w:rsidR="00165A40" w:rsidRPr="00CD2342" w:rsidRDefault="00165A40" w:rsidP="00165A40">
      <w:pPr>
        <w:ind w:left="851"/>
        <w:rPr>
          <w:spacing w:val="-3"/>
          <w:sz w:val="24"/>
          <w:szCs w:val="24"/>
        </w:rPr>
      </w:pPr>
    </w:p>
    <w:p w14:paraId="2C07C5BD" w14:textId="77777777" w:rsidR="00165A40" w:rsidRPr="00CD2342" w:rsidRDefault="00165A40" w:rsidP="00165A40">
      <w:pPr>
        <w:ind w:left="851"/>
        <w:rPr>
          <w:spacing w:val="-3"/>
          <w:sz w:val="24"/>
          <w:szCs w:val="24"/>
        </w:rPr>
      </w:pPr>
      <w:r w:rsidRPr="00CD2342">
        <w:rPr>
          <w:spacing w:val="-3"/>
          <w:sz w:val="24"/>
          <w:szCs w:val="24"/>
        </w:rPr>
        <w:t xml:space="preserve">Terapeutiske effekter og de fleste bivirkninger er korreleret med </w:t>
      </w:r>
      <w:proofErr w:type="spellStart"/>
      <w:r w:rsidRPr="00CD2342">
        <w:rPr>
          <w:spacing w:val="-3"/>
          <w:sz w:val="24"/>
          <w:szCs w:val="24"/>
        </w:rPr>
        <w:t>serumlithiumkoncentrationer</w:t>
      </w:r>
      <w:proofErr w:type="spellEnd"/>
      <w:r w:rsidRPr="00CD2342">
        <w:rPr>
          <w:spacing w:val="-3"/>
          <w:sz w:val="24"/>
          <w:szCs w:val="24"/>
        </w:rPr>
        <w:t>.</w:t>
      </w:r>
    </w:p>
    <w:p w14:paraId="4139B5A2" w14:textId="77777777" w:rsidR="00165A40" w:rsidRPr="00CD2342" w:rsidRDefault="00165A40" w:rsidP="00165A40">
      <w:pPr>
        <w:ind w:left="851"/>
        <w:rPr>
          <w:spacing w:val="-3"/>
          <w:sz w:val="24"/>
          <w:szCs w:val="24"/>
        </w:rPr>
      </w:pPr>
    </w:p>
    <w:p w14:paraId="5DF9D6C0" w14:textId="77777777" w:rsidR="00165A40" w:rsidRPr="002566A7" w:rsidRDefault="00165A40" w:rsidP="002566A7">
      <w:pPr>
        <w:ind w:left="851"/>
        <w:rPr>
          <w:sz w:val="24"/>
          <w:szCs w:val="24"/>
          <w:u w:val="single"/>
        </w:rPr>
      </w:pPr>
      <w:r w:rsidRPr="002566A7">
        <w:rPr>
          <w:sz w:val="24"/>
          <w:szCs w:val="24"/>
          <w:u w:val="single"/>
        </w:rPr>
        <w:t>Monitorering</w:t>
      </w:r>
    </w:p>
    <w:p w14:paraId="54B067DA" w14:textId="77777777" w:rsidR="00165A40" w:rsidRPr="00CD2342" w:rsidRDefault="00165A40" w:rsidP="00165A40">
      <w:pPr>
        <w:ind w:left="851"/>
        <w:rPr>
          <w:spacing w:val="-3"/>
          <w:sz w:val="24"/>
          <w:szCs w:val="24"/>
        </w:rPr>
      </w:pPr>
      <w:r w:rsidRPr="00CD2342">
        <w:rPr>
          <w:spacing w:val="-3"/>
          <w:sz w:val="24"/>
          <w:szCs w:val="24"/>
        </w:rPr>
        <w:t xml:space="preserve">Periodisk monitorering af </w:t>
      </w:r>
      <w:proofErr w:type="spellStart"/>
      <w:r w:rsidRPr="00CD2342">
        <w:rPr>
          <w:spacing w:val="-3"/>
          <w:sz w:val="24"/>
          <w:szCs w:val="24"/>
        </w:rPr>
        <w:t>serumlithiumkoncentrationer</w:t>
      </w:r>
      <w:proofErr w:type="spellEnd"/>
      <w:r w:rsidRPr="00CD2342">
        <w:rPr>
          <w:spacing w:val="-3"/>
          <w:sz w:val="24"/>
          <w:szCs w:val="24"/>
        </w:rPr>
        <w:t xml:space="preserve"> er påkrævet under behandling med </w:t>
      </w:r>
      <w:proofErr w:type="spellStart"/>
      <w:r w:rsidRPr="00CD2342">
        <w:rPr>
          <w:spacing w:val="-3"/>
          <w:sz w:val="24"/>
          <w:szCs w:val="24"/>
        </w:rPr>
        <w:t>lithiumcarbonat</w:t>
      </w:r>
      <w:proofErr w:type="spellEnd"/>
      <w:r w:rsidRPr="00CD2342">
        <w:rPr>
          <w:spacing w:val="-3"/>
          <w:sz w:val="24"/>
          <w:szCs w:val="24"/>
        </w:rPr>
        <w:t>.</w:t>
      </w:r>
    </w:p>
    <w:p w14:paraId="0E8D09D0" w14:textId="77777777" w:rsidR="00165A40" w:rsidRPr="00CD2342" w:rsidRDefault="00165A40" w:rsidP="00165A40">
      <w:pPr>
        <w:ind w:left="851"/>
        <w:rPr>
          <w:spacing w:val="-3"/>
          <w:sz w:val="24"/>
          <w:szCs w:val="24"/>
        </w:rPr>
      </w:pPr>
    </w:p>
    <w:p w14:paraId="53BE2E74" w14:textId="0272CA02" w:rsidR="00165A40" w:rsidRPr="00CD2342" w:rsidRDefault="00165A40" w:rsidP="00165A40">
      <w:pPr>
        <w:ind w:left="851"/>
        <w:rPr>
          <w:spacing w:val="-3"/>
          <w:sz w:val="24"/>
          <w:szCs w:val="24"/>
        </w:rPr>
      </w:pPr>
      <w:r w:rsidRPr="00CD2342">
        <w:rPr>
          <w:spacing w:val="-3"/>
          <w:sz w:val="24"/>
          <w:szCs w:val="24"/>
        </w:rPr>
        <w:t xml:space="preserve">Serumkoncentrationen af </w:t>
      </w:r>
      <w:proofErr w:type="spellStart"/>
      <w:r w:rsidRPr="00CD2342">
        <w:rPr>
          <w:spacing w:val="-3"/>
          <w:sz w:val="24"/>
          <w:szCs w:val="24"/>
        </w:rPr>
        <w:t>lithium</w:t>
      </w:r>
      <w:proofErr w:type="spellEnd"/>
      <w:r w:rsidRPr="00CD2342">
        <w:rPr>
          <w:spacing w:val="-3"/>
          <w:sz w:val="24"/>
          <w:szCs w:val="24"/>
        </w:rPr>
        <w:t xml:space="preserve"> skal måles hver 5. til 7. dag fra initiering, indtil stabilisering er opnået, medmindre hyppigere monitorering er indiceret. Derudover med jævne mellemrum i hele behandlingens varighed.</w:t>
      </w:r>
    </w:p>
    <w:p w14:paraId="4208F354" w14:textId="77777777" w:rsidR="00165A40" w:rsidRPr="00CD2342" w:rsidRDefault="00165A40" w:rsidP="00165A40">
      <w:pPr>
        <w:ind w:left="851"/>
        <w:rPr>
          <w:spacing w:val="-3"/>
          <w:sz w:val="24"/>
          <w:szCs w:val="24"/>
        </w:rPr>
      </w:pPr>
    </w:p>
    <w:p w14:paraId="6C6BB986" w14:textId="77777777" w:rsidR="00165A40" w:rsidRPr="00CD2342" w:rsidRDefault="00165A40" w:rsidP="00165A40">
      <w:pPr>
        <w:ind w:left="851"/>
        <w:rPr>
          <w:spacing w:val="-3"/>
          <w:sz w:val="24"/>
          <w:szCs w:val="24"/>
        </w:rPr>
      </w:pPr>
      <w:r w:rsidRPr="00CD2342">
        <w:rPr>
          <w:spacing w:val="-3"/>
          <w:sz w:val="24"/>
          <w:szCs w:val="24"/>
        </w:rPr>
        <w:t xml:space="preserve">Ekstra monitorering af </w:t>
      </w:r>
      <w:proofErr w:type="spellStart"/>
      <w:r w:rsidRPr="00CD2342">
        <w:rPr>
          <w:spacing w:val="-3"/>
          <w:sz w:val="24"/>
          <w:szCs w:val="24"/>
        </w:rPr>
        <w:t>serumlithiumkoncentrationer</w:t>
      </w:r>
      <w:proofErr w:type="spellEnd"/>
      <w:r w:rsidRPr="00CD2342">
        <w:rPr>
          <w:spacing w:val="-3"/>
          <w:sz w:val="24"/>
          <w:szCs w:val="24"/>
        </w:rPr>
        <w:t xml:space="preserve"> er påkrævet ved ændring i dosis eller i natriumindtagelse.</w:t>
      </w:r>
    </w:p>
    <w:p w14:paraId="7BB94BFA" w14:textId="77777777" w:rsidR="00165A40" w:rsidRPr="00CD2342" w:rsidRDefault="00165A40" w:rsidP="00165A40">
      <w:pPr>
        <w:ind w:left="851"/>
        <w:rPr>
          <w:spacing w:val="-3"/>
          <w:sz w:val="24"/>
          <w:szCs w:val="24"/>
        </w:rPr>
      </w:pPr>
    </w:p>
    <w:p w14:paraId="0EA4B13B" w14:textId="77777777" w:rsidR="00165A40" w:rsidRPr="00CD2342" w:rsidRDefault="00165A40" w:rsidP="00165A40">
      <w:pPr>
        <w:ind w:left="851"/>
        <w:rPr>
          <w:spacing w:val="-3"/>
          <w:sz w:val="24"/>
          <w:szCs w:val="24"/>
        </w:rPr>
      </w:pPr>
      <w:r w:rsidRPr="00CD2342">
        <w:rPr>
          <w:spacing w:val="-3"/>
          <w:sz w:val="24"/>
          <w:szCs w:val="24"/>
        </w:rPr>
        <w:t xml:space="preserve">For at bestemme </w:t>
      </w:r>
      <w:proofErr w:type="spellStart"/>
      <w:r w:rsidRPr="00CD2342">
        <w:rPr>
          <w:spacing w:val="-3"/>
          <w:sz w:val="24"/>
          <w:szCs w:val="24"/>
        </w:rPr>
        <w:t>lithiumkoncentrationen</w:t>
      </w:r>
      <w:proofErr w:type="spellEnd"/>
      <w:r w:rsidRPr="00CD2342">
        <w:rPr>
          <w:spacing w:val="-3"/>
          <w:sz w:val="24"/>
          <w:szCs w:val="24"/>
        </w:rPr>
        <w:t xml:space="preserve"> i blodet skal blodet udtages 12 ± 0,5 timer efter sidste dosis.</w:t>
      </w:r>
    </w:p>
    <w:p w14:paraId="5F2FDE34" w14:textId="77777777" w:rsidR="00165A40" w:rsidRPr="00CD2342" w:rsidRDefault="00165A40" w:rsidP="00165A40">
      <w:pPr>
        <w:ind w:left="851"/>
        <w:rPr>
          <w:spacing w:val="-3"/>
          <w:sz w:val="24"/>
          <w:szCs w:val="24"/>
        </w:rPr>
      </w:pPr>
    </w:p>
    <w:p w14:paraId="4A6C4C74" w14:textId="77777777" w:rsidR="00165A40" w:rsidRPr="00CD2342" w:rsidRDefault="00165A40" w:rsidP="00165A40">
      <w:pPr>
        <w:ind w:left="851"/>
        <w:rPr>
          <w:spacing w:val="-3"/>
          <w:sz w:val="24"/>
          <w:szCs w:val="24"/>
        </w:rPr>
      </w:pPr>
      <w:r w:rsidRPr="00CD2342">
        <w:rPr>
          <w:spacing w:val="-3"/>
          <w:sz w:val="24"/>
          <w:szCs w:val="24"/>
        </w:rPr>
        <w:t xml:space="preserve">Regelmæssig monitorering af serumkalcium, skjoldbruskkirtelfunktion, nyrefunktion og EKG/hjerte hos patienter i </w:t>
      </w:r>
      <w:proofErr w:type="spellStart"/>
      <w:r w:rsidRPr="00CD2342">
        <w:rPr>
          <w:spacing w:val="-3"/>
          <w:sz w:val="24"/>
          <w:szCs w:val="24"/>
        </w:rPr>
        <w:t>lithiumbehandling</w:t>
      </w:r>
      <w:proofErr w:type="spellEnd"/>
      <w:r w:rsidRPr="00CD2342">
        <w:rPr>
          <w:spacing w:val="-3"/>
          <w:sz w:val="24"/>
          <w:szCs w:val="24"/>
        </w:rPr>
        <w:t xml:space="preserve"> er påkrævet.</w:t>
      </w:r>
    </w:p>
    <w:p w14:paraId="37BDD6A2" w14:textId="77777777" w:rsidR="00165A40" w:rsidRPr="00CD2342" w:rsidRDefault="00165A40" w:rsidP="00165A40">
      <w:pPr>
        <w:ind w:left="851"/>
        <w:rPr>
          <w:spacing w:val="-3"/>
          <w:sz w:val="24"/>
          <w:szCs w:val="24"/>
        </w:rPr>
      </w:pPr>
    </w:p>
    <w:p w14:paraId="08DFCC30" w14:textId="77777777" w:rsidR="00165A40" w:rsidRPr="00CD2342" w:rsidRDefault="00165A40" w:rsidP="00165A40">
      <w:pPr>
        <w:ind w:left="851"/>
        <w:rPr>
          <w:spacing w:val="-3"/>
          <w:sz w:val="24"/>
          <w:szCs w:val="24"/>
        </w:rPr>
      </w:pPr>
      <w:r w:rsidRPr="00CD2342">
        <w:rPr>
          <w:spacing w:val="-3"/>
          <w:sz w:val="24"/>
          <w:szCs w:val="24"/>
        </w:rPr>
        <w:t xml:space="preserve">På grund af risikoen for </w:t>
      </w:r>
      <w:proofErr w:type="spellStart"/>
      <w:r w:rsidRPr="00CD2342">
        <w:rPr>
          <w:spacing w:val="-3"/>
          <w:sz w:val="24"/>
          <w:szCs w:val="24"/>
        </w:rPr>
        <w:t>hyperparathyroidisme</w:t>
      </w:r>
      <w:proofErr w:type="spellEnd"/>
      <w:r w:rsidRPr="00CD2342">
        <w:rPr>
          <w:spacing w:val="-3"/>
          <w:sz w:val="24"/>
          <w:szCs w:val="24"/>
        </w:rPr>
        <w:t xml:space="preserve"> bør serumkalcium bestemmes før behandlingsstart, 6 måneder og 1 år efter behandlingsstart. Desuden bør der ved langtidsbehandling udføres årlige kontroller (se pkt. 4.8).</w:t>
      </w:r>
    </w:p>
    <w:p w14:paraId="0CA8FDEB" w14:textId="77777777" w:rsidR="00165A40" w:rsidRPr="00CD2342" w:rsidRDefault="00165A40" w:rsidP="00165A40">
      <w:pPr>
        <w:ind w:left="851"/>
        <w:rPr>
          <w:spacing w:val="-3"/>
          <w:sz w:val="24"/>
          <w:szCs w:val="24"/>
        </w:rPr>
      </w:pPr>
    </w:p>
    <w:p w14:paraId="4A21E7DA" w14:textId="77777777" w:rsidR="00165A40" w:rsidRPr="002566A7" w:rsidRDefault="00165A40" w:rsidP="002566A7">
      <w:pPr>
        <w:ind w:left="851"/>
        <w:rPr>
          <w:sz w:val="24"/>
          <w:szCs w:val="24"/>
          <w:u w:val="single"/>
        </w:rPr>
      </w:pPr>
      <w:r w:rsidRPr="002566A7">
        <w:rPr>
          <w:sz w:val="24"/>
          <w:szCs w:val="24"/>
          <w:u w:val="single"/>
        </w:rPr>
        <w:t>Administration, skema og effekt af diæt</w:t>
      </w:r>
    </w:p>
    <w:p w14:paraId="11C87AFA" w14:textId="78C21341" w:rsidR="00165A40" w:rsidRPr="00CD2342" w:rsidRDefault="00165A40" w:rsidP="00165A40">
      <w:pPr>
        <w:ind w:left="851"/>
        <w:rPr>
          <w:spacing w:val="-3"/>
          <w:sz w:val="24"/>
          <w:szCs w:val="24"/>
        </w:rPr>
      </w:pPr>
      <w:r w:rsidRPr="00CD2342">
        <w:rPr>
          <w:spacing w:val="-3"/>
          <w:sz w:val="24"/>
          <w:szCs w:val="24"/>
        </w:rPr>
        <w:t xml:space="preserve">Samtidig indtagelse af mad har en tendens til at øge </w:t>
      </w:r>
      <w:proofErr w:type="spellStart"/>
      <w:r w:rsidRPr="00CD2342">
        <w:rPr>
          <w:spacing w:val="-3"/>
          <w:sz w:val="24"/>
          <w:szCs w:val="24"/>
        </w:rPr>
        <w:t>lithiumabsorptionen</w:t>
      </w:r>
      <w:proofErr w:type="spellEnd"/>
      <w:r w:rsidRPr="00CD2342">
        <w:rPr>
          <w:spacing w:val="-3"/>
          <w:sz w:val="24"/>
          <w:szCs w:val="24"/>
        </w:rPr>
        <w:t xml:space="preserve"> sammenlignet med fastetilstande, selvom biotilgængeligheden af </w:t>
      </w:r>
      <w:proofErr w:type="spellStart"/>
      <w:r w:rsidR="002566A7">
        <w:rPr>
          <w:spacing w:val="-3"/>
          <w:sz w:val="24"/>
          <w:szCs w:val="24"/>
        </w:rPr>
        <w:t>li</w:t>
      </w:r>
      <w:r w:rsidRPr="00CD2342">
        <w:rPr>
          <w:spacing w:val="-3"/>
          <w:sz w:val="24"/>
          <w:szCs w:val="24"/>
        </w:rPr>
        <w:t>thium</w:t>
      </w:r>
      <w:proofErr w:type="spellEnd"/>
      <w:r w:rsidRPr="00CD2342">
        <w:rPr>
          <w:spacing w:val="-3"/>
          <w:sz w:val="24"/>
          <w:szCs w:val="24"/>
        </w:rPr>
        <w:t xml:space="preserve"> reduceres af en kost med højt fedtindhold sammenlignet med en almindelig kost. Derfor bør der udvises forsigtighed med hensyn til </w:t>
      </w:r>
      <w:proofErr w:type="spellStart"/>
      <w:r w:rsidRPr="00CD2342">
        <w:rPr>
          <w:spacing w:val="-3"/>
          <w:sz w:val="24"/>
          <w:szCs w:val="24"/>
        </w:rPr>
        <w:t>lithiumadministration</w:t>
      </w:r>
      <w:proofErr w:type="spellEnd"/>
      <w:r w:rsidRPr="00CD2342">
        <w:rPr>
          <w:spacing w:val="-3"/>
          <w:sz w:val="24"/>
          <w:szCs w:val="24"/>
        </w:rPr>
        <w:t xml:space="preserve"> (dvs. følg instruktionerne til at tage før eller efter måltider) samt ved væsentlige ændringer i sammensætningen (dvs. type mad med et højt fedtindhold).</w:t>
      </w:r>
    </w:p>
    <w:p w14:paraId="5322880F" w14:textId="77777777" w:rsidR="00165A40" w:rsidRPr="00CD2342" w:rsidRDefault="00165A40" w:rsidP="00165A40">
      <w:pPr>
        <w:ind w:left="851"/>
        <w:rPr>
          <w:spacing w:val="-3"/>
          <w:sz w:val="24"/>
          <w:szCs w:val="24"/>
        </w:rPr>
      </w:pPr>
    </w:p>
    <w:p w14:paraId="6ECA8CF9" w14:textId="77777777" w:rsidR="00165A40" w:rsidRPr="00CD2342" w:rsidRDefault="00165A40" w:rsidP="00165A40">
      <w:pPr>
        <w:ind w:left="851"/>
        <w:rPr>
          <w:spacing w:val="-3"/>
          <w:sz w:val="24"/>
          <w:szCs w:val="24"/>
        </w:rPr>
      </w:pPr>
      <w:r w:rsidRPr="00CD2342">
        <w:rPr>
          <w:spacing w:val="-3"/>
          <w:sz w:val="24"/>
          <w:szCs w:val="24"/>
        </w:rPr>
        <w:t xml:space="preserve">Ved ændring af diæten kræves yderligere monitorering af </w:t>
      </w:r>
      <w:proofErr w:type="spellStart"/>
      <w:r w:rsidRPr="00CD2342">
        <w:rPr>
          <w:spacing w:val="-3"/>
          <w:sz w:val="24"/>
          <w:szCs w:val="24"/>
        </w:rPr>
        <w:t>serumlithiumniveauet</w:t>
      </w:r>
      <w:proofErr w:type="spellEnd"/>
      <w:r w:rsidRPr="00CD2342">
        <w:rPr>
          <w:spacing w:val="-3"/>
          <w:sz w:val="24"/>
          <w:szCs w:val="24"/>
        </w:rPr>
        <w:t>, indtil målserumkoncentrationen er nået.</w:t>
      </w:r>
    </w:p>
    <w:p w14:paraId="6B8F3161" w14:textId="77777777" w:rsidR="00165A40" w:rsidRPr="00CD2342" w:rsidRDefault="00165A40" w:rsidP="00165A40">
      <w:pPr>
        <w:ind w:left="851"/>
        <w:rPr>
          <w:spacing w:val="-3"/>
          <w:sz w:val="24"/>
          <w:szCs w:val="24"/>
        </w:rPr>
      </w:pPr>
    </w:p>
    <w:p w14:paraId="6F663911" w14:textId="77777777" w:rsidR="00165A40" w:rsidRPr="002566A7" w:rsidRDefault="00165A40" w:rsidP="002566A7">
      <w:pPr>
        <w:ind w:left="851"/>
        <w:rPr>
          <w:sz w:val="24"/>
          <w:szCs w:val="24"/>
          <w:u w:val="single"/>
        </w:rPr>
      </w:pPr>
      <w:proofErr w:type="spellStart"/>
      <w:r w:rsidRPr="002566A7">
        <w:rPr>
          <w:sz w:val="24"/>
          <w:szCs w:val="24"/>
          <w:u w:val="single"/>
        </w:rPr>
        <w:t>Interkurrente</w:t>
      </w:r>
      <w:proofErr w:type="spellEnd"/>
      <w:r w:rsidRPr="002566A7">
        <w:rPr>
          <w:sz w:val="24"/>
          <w:szCs w:val="24"/>
          <w:u w:val="single"/>
        </w:rPr>
        <w:t xml:space="preserve"> sygdomme, tilstande ved ændret væske- og elektrolytbalance</w:t>
      </w:r>
    </w:p>
    <w:p w14:paraId="3FA8317E" w14:textId="77777777" w:rsidR="00165A40" w:rsidRPr="00CD2342" w:rsidRDefault="00165A40" w:rsidP="00165A40">
      <w:pPr>
        <w:ind w:left="851"/>
        <w:rPr>
          <w:spacing w:val="-3"/>
          <w:sz w:val="24"/>
          <w:szCs w:val="24"/>
        </w:rPr>
      </w:pPr>
      <w:r w:rsidRPr="00CD2342">
        <w:rPr>
          <w:spacing w:val="-3"/>
          <w:sz w:val="24"/>
          <w:szCs w:val="24"/>
        </w:rPr>
        <w:t xml:space="preserve">Ekstra kontrol af </w:t>
      </w:r>
      <w:proofErr w:type="spellStart"/>
      <w:r w:rsidRPr="00CD2342">
        <w:rPr>
          <w:spacing w:val="-3"/>
          <w:sz w:val="24"/>
          <w:szCs w:val="24"/>
        </w:rPr>
        <w:t>serumlithiumkoncentrationen</w:t>
      </w:r>
      <w:proofErr w:type="spellEnd"/>
      <w:r w:rsidRPr="00CD2342">
        <w:rPr>
          <w:spacing w:val="-3"/>
          <w:sz w:val="24"/>
          <w:szCs w:val="24"/>
        </w:rPr>
        <w:t xml:space="preserve"> er nødvendig ved recidiv, svære bivirkninger, </w:t>
      </w:r>
      <w:proofErr w:type="spellStart"/>
      <w:r w:rsidRPr="00CD2342">
        <w:rPr>
          <w:spacing w:val="-3"/>
          <w:sz w:val="24"/>
          <w:szCs w:val="24"/>
        </w:rPr>
        <w:t>interkurrente</w:t>
      </w:r>
      <w:proofErr w:type="spellEnd"/>
      <w:r w:rsidRPr="00CD2342">
        <w:rPr>
          <w:spacing w:val="-3"/>
          <w:sz w:val="24"/>
          <w:szCs w:val="24"/>
        </w:rPr>
        <w:t xml:space="preserve"> sygdomme, episoder med opkast eller andre tilstande eller behandlinger, der medfører ændret væske- og elektrolytbalance, herunder behandling med </w:t>
      </w:r>
      <w:proofErr w:type="spellStart"/>
      <w:r w:rsidRPr="00CD2342">
        <w:rPr>
          <w:spacing w:val="-3"/>
          <w:sz w:val="24"/>
          <w:szCs w:val="24"/>
        </w:rPr>
        <w:t>diuretika</w:t>
      </w:r>
      <w:proofErr w:type="spellEnd"/>
      <w:r w:rsidRPr="00CD2342">
        <w:rPr>
          <w:spacing w:val="-3"/>
          <w:sz w:val="24"/>
          <w:szCs w:val="24"/>
        </w:rPr>
        <w:t xml:space="preserve">. Patienter skal gøres opmærksomme på vigtigheden af at indrapportere, hvis der udvikles </w:t>
      </w:r>
      <w:proofErr w:type="spellStart"/>
      <w:r w:rsidRPr="00CD2342">
        <w:rPr>
          <w:spacing w:val="-3"/>
          <w:sz w:val="24"/>
          <w:szCs w:val="24"/>
        </w:rPr>
        <w:t>polyuri</w:t>
      </w:r>
      <w:proofErr w:type="spellEnd"/>
      <w:r w:rsidRPr="00CD2342">
        <w:rPr>
          <w:spacing w:val="-3"/>
          <w:sz w:val="24"/>
          <w:szCs w:val="24"/>
        </w:rPr>
        <w:t xml:space="preserve"> eller polydipsi.</w:t>
      </w:r>
    </w:p>
    <w:p w14:paraId="327F9367" w14:textId="77777777" w:rsidR="00165A40" w:rsidRPr="00CD2342" w:rsidRDefault="00165A40" w:rsidP="00165A40">
      <w:pPr>
        <w:ind w:left="851"/>
        <w:rPr>
          <w:spacing w:val="-3"/>
          <w:sz w:val="24"/>
          <w:szCs w:val="24"/>
        </w:rPr>
      </w:pPr>
    </w:p>
    <w:p w14:paraId="6346AE15" w14:textId="77777777" w:rsidR="00165A40" w:rsidRPr="00CD2342" w:rsidRDefault="00165A40" w:rsidP="00165A40">
      <w:pPr>
        <w:pStyle w:val="Brdtekstindrykning"/>
        <w:spacing w:after="0"/>
        <w:ind w:left="851"/>
        <w:rPr>
          <w:rStyle w:val="afsnitspacer"/>
          <w:sz w:val="24"/>
          <w:szCs w:val="24"/>
        </w:rPr>
      </w:pPr>
      <w:r w:rsidRPr="00CD2342">
        <w:rPr>
          <w:rStyle w:val="afsnitspacer"/>
          <w:sz w:val="24"/>
          <w:szCs w:val="24"/>
        </w:rPr>
        <w:t>Forsigtighed tilrådes ved somatisk sygdom med feber, slankekur, og saltfattig kost.</w:t>
      </w:r>
    </w:p>
    <w:p w14:paraId="29914967" w14:textId="77777777" w:rsidR="00165A40" w:rsidRPr="00CD2342" w:rsidRDefault="00165A40" w:rsidP="00165A40">
      <w:pPr>
        <w:pStyle w:val="Brdtekstindrykning"/>
        <w:spacing w:after="0"/>
        <w:ind w:left="851"/>
        <w:rPr>
          <w:rStyle w:val="afsnitspacer"/>
          <w:sz w:val="24"/>
          <w:szCs w:val="24"/>
        </w:rPr>
      </w:pPr>
      <w:r w:rsidRPr="00CD2342">
        <w:rPr>
          <w:rStyle w:val="afsnitspacer"/>
          <w:sz w:val="24"/>
          <w:szCs w:val="24"/>
        </w:rPr>
        <w:t>Under disse omstændigheder skal behandlingen midlertidigt seponeres, eller dosis skal nedsættes og serumniveauet kontrolleres.</w:t>
      </w:r>
      <w:r w:rsidRPr="00CD2342">
        <w:rPr>
          <w:sz w:val="24"/>
          <w:szCs w:val="24"/>
        </w:rPr>
        <w:t xml:space="preserve"> E</w:t>
      </w:r>
      <w:r w:rsidRPr="00CD2342">
        <w:rPr>
          <w:rStyle w:val="afsnitspacer"/>
          <w:sz w:val="24"/>
          <w:szCs w:val="24"/>
        </w:rPr>
        <w:t xml:space="preserve">lektrolytforstyrrelser som følge af </w:t>
      </w:r>
      <w:proofErr w:type="spellStart"/>
      <w:r w:rsidRPr="00CD2342">
        <w:rPr>
          <w:rStyle w:val="afsnitspacer"/>
          <w:sz w:val="24"/>
          <w:szCs w:val="24"/>
        </w:rPr>
        <w:t>gastrointestinale</w:t>
      </w:r>
      <w:proofErr w:type="spellEnd"/>
      <w:r w:rsidRPr="00CD2342">
        <w:rPr>
          <w:rStyle w:val="afsnitspacer"/>
          <w:sz w:val="24"/>
          <w:szCs w:val="24"/>
        </w:rPr>
        <w:t xml:space="preserve">, </w:t>
      </w:r>
      <w:proofErr w:type="spellStart"/>
      <w:r w:rsidRPr="00CD2342">
        <w:rPr>
          <w:rStyle w:val="afsnitspacer"/>
          <w:sz w:val="24"/>
          <w:szCs w:val="24"/>
        </w:rPr>
        <w:t>kardiovaskulær</w:t>
      </w:r>
      <w:proofErr w:type="spellEnd"/>
      <w:r w:rsidRPr="00CD2342">
        <w:rPr>
          <w:rStyle w:val="afsnitspacer"/>
          <w:sz w:val="24"/>
          <w:szCs w:val="24"/>
        </w:rPr>
        <w:t xml:space="preserve"> eller </w:t>
      </w:r>
      <w:proofErr w:type="spellStart"/>
      <w:r w:rsidRPr="00CD2342">
        <w:rPr>
          <w:rStyle w:val="afsnitspacer"/>
          <w:sz w:val="24"/>
          <w:szCs w:val="24"/>
        </w:rPr>
        <w:t>renal</w:t>
      </w:r>
      <w:proofErr w:type="spellEnd"/>
      <w:r w:rsidRPr="00CD2342">
        <w:rPr>
          <w:rStyle w:val="afsnitspacer"/>
          <w:sz w:val="24"/>
          <w:szCs w:val="24"/>
        </w:rPr>
        <w:t xml:space="preserve"> </w:t>
      </w:r>
      <w:proofErr w:type="spellStart"/>
      <w:r w:rsidRPr="00CD2342">
        <w:rPr>
          <w:rStyle w:val="afsnitspacer"/>
          <w:sz w:val="24"/>
          <w:szCs w:val="24"/>
        </w:rPr>
        <w:t>dysregulering</w:t>
      </w:r>
      <w:proofErr w:type="spellEnd"/>
      <w:r w:rsidRPr="00CD2342">
        <w:rPr>
          <w:rStyle w:val="afsnitspacer"/>
          <w:sz w:val="24"/>
          <w:szCs w:val="24"/>
        </w:rPr>
        <w:t xml:space="preserve"> kan føre til øget risiko for yderligere </w:t>
      </w:r>
      <w:proofErr w:type="spellStart"/>
      <w:r w:rsidRPr="00CD2342">
        <w:rPr>
          <w:rStyle w:val="afsnitspacer"/>
          <w:sz w:val="24"/>
          <w:szCs w:val="24"/>
        </w:rPr>
        <w:t>dysregulering</w:t>
      </w:r>
      <w:proofErr w:type="spellEnd"/>
      <w:r w:rsidRPr="00CD2342">
        <w:rPr>
          <w:rStyle w:val="afsnitspacer"/>
          <w:sz w:val="24"/>
          <w:szCs w:val="24"/>
        </w:rPr>
        <w:t xml:space="preserve"> og neurologiske komplikationer. På grund af den risiko, der er forbundet med dehydrering, bør der tilføres væske parenteralt til </w:t>
      </w:r>
      <w:proofErr w:type="spellStart"/>
      <w:r w:rsidRPr="00CD2342">
        <w:rPr>
          <w:rStyle w:val="afsnitspacer"/>
          <w:sz w:val="24"/>
          <w:szCs w:val="24"/>
        </w:rPr>
        <w:t>lithiumbehandlede</w:t>
      </w:r>
      <w:proofErr w:type="spellEnd"/>
      <w:r w:rsidRPr="00CD2342">
        <w:rPr>
          <w:rStyle w:val="afsnitspacer"/>
          <w:sz w:val="24"/>
          <w:szCs w:val="24"/>
        </w:rPr>
        <w:t xml:space="preserve"> patienter, som er i koma, som har voldsomme opkastninger, samt ved faste inden anæstesi. </w:t>
      </w:r>
    </w:p>
    <w:p w14:paraId="45B9ABDD" w14:textId="77777777" w:rsidR="00165A40" w:rsidRPr="00CD2342" w:rsidRDefault="00165A40" w:rsidP="00165A40">
      <w:pPr>
        <w:pStyle w:val="Brdtekstindrykning"/>
        <w:spacing w:after="0"/>
        <w:ind w:left="851"/>
        <w:rPr>
          <w:rStyle w:val="afsnitspacer"/>
          <w:sz w:val="24"/>
          <w:szCs w:val="24"/>
        </w:rPr>
      </w:pPr>
    </w:p>
    <w:p w14:paraId="7F032701" w14:textId="77777777" w:rsidR="00165A40" w:rsidRPr="00CD2342" w:rsidRDefault="00165A40" w:rsidP="00165A40">
      <w:pPr>
        <w:pStyle w:val="Brdtekstindrykning"/>
        <w:spacing w:after="0"/>
        <w:ind w:left="851"/>
        <w:rPr>
          <w:rStyle w:val="afsnitspacer"/>
          <w:sz w:val="24"/>
          <w:szCs w:val="24"/>
        </w:rPr>
      </w:pPr>
      <w:proofErr w:type="spellStart"/>
      <w:r w:rsidRPr="00CD2342">
        <w:rPr>
          <w:rStyle w:val="afsnitspacer"/>
          <w:sz w:val="24"/>
          <w:szCs w:val="24"/>
        </w:rPr>
        <w:t>Lithiumbehandling</w:t>
      </w:r>
      <w:proofErr w:type="spellEnd"/>
      <w:r w:rsidRPr="00CD2342">
        <w:rPr>
          <w:rStyle w:val="afsnitspacer"/>
          <w:sz w:val="24"/>
          <w:szCs w:val="24"/>
        </w:rPr>
        <w:t xml:space="preserve"> bør generelt seponeres 24-48 timer forud for større kirurgiske indgreb.</w:t>
      </w:r>
    </w:p>
    <w:p w14:paraId="36FC5CE1" w14:textId="77777777" w:rsidR="00165A40" w:rsidRPr="00CD2342" w:rsidRDefault="00165A40" w:rsidP="00165A40">
      <w:pPr>
        <w:pStyle w:val="Brdtekstindrykning"/>
        <w:spacing w:after="0"/>
        <w:ind w:left="851"/>
        <w:rPr>
          <w:rStyle w:val="afsnitspacer"/>
          <w:sz w:val="24"/>
          <w:szCs w:val="24"/>
        </w:rPr>
      </w:pPr>
      <w:r w:rsidRPr="00CD2342">
        <w:rPr>
          <w:rStyle w:val="afsnitspacer"/>
          <w:sz w:val="24"/>
          <w:szCs w:val="24"/>
        </w:rPr>
        <w:t xml:space="preserve">Beslutningen om at afbryde </w:t>
      </w:r>
      <w:proofErr w:type="spellStart"/>
      <w:r w:rsidRPr="00CD2342">
        <w:rPr>
          <w:rStyle w:val="afsnitspacer"/>
          <w:sz w:val="24"/>
          <w:szCs w:val="24"/>
        </w:rPr>
        <w:t>lithiumbehandlingen</w:t>
      </w:r>
      <w:proofErr w:type="spellEnd"/>
      <w:r w:rsidRPr="00CD2342">
        <w:rPr>
          <w:rStyle w:val="afsnitspacer"/>
          <w:sz w:val="24"/>
          <w:szCs w:val="24"/>
        </w:rPr>
        <w:t xml:space="preserve"> op til 72 timer før større operation bør dog overvejes under hensyntagen til risikoen for lægemiddelinteraktion med anæstesi, risiko for abstinenssymptomer og risiko for tilbagefald eller forværring af den mentale tilstand. Behandlingen bør genoptages postoperativt, når nyrefunktionen og væske-elektrolytbalancen er normaliseret. Ved mindre operationer kan </w:t>
      </w:r>
      <w:proofErr w:type="spellStart"/>
      <w:r w:rsidRPr="00CD2342">
        <w:rPr>
          <w:rStyle w:val="afsnitspacer"/>
          <w:sz w:val="24"/>
          <w:szCs w:val="24"/>
        </w:rPr>
        <w:t>lithium</w:t>
      </w:r>
      <w:proofErr w:type="spellEnd"/>
      <w:r w:rsidRPr="00CD2342">
        <w:rPr>
          <w:rStyle w:val="afsnitspacer"/>
          <w:sz w:val="24"/>
          <w:szCs w:val="24"/>
        </w:rPr>
        <w:t xml:space="preserve"> normalt fortsættes, hvis </w:t>
      </w:r>
      <w:proofErr w:type="spellStart"/>
      <w:r w:rsidRPr="00CD2342">
        <w:rPr>
          <w:rStyle w:val="afsnitspacer"/>
          <w:sz w:val="24"/>
          <w:szCs w:val="24"/>
        </w:rPr>
        <w:t>serumlithiumniveauerne</w:t>
      </w:r>
      <w:proofErr w:type="spellEnd"/>
      <w:r w:rsidRPr="00CD2342">
        <w:rPr>
          <w:rStyle w:val="afsnitspacer"/>
          <w:sz w:val="24"/>
          <w:szCs w:val="24"/>
        </w:rPr>
        <w:t xml:space="preserve"> ikke er i det toksiske område, nyrefunktionen er normal, samt væske/elektrolytstatus er stabil (se pkt. 4.5).</w:t>
      </w:r>
    </w:p>
    <w:p w14:paraId="0A8405F9" w14:textId="77777777" w:rsidR="00165A40" w:rsidRPr="00CD2342" w:rsidRDefault="00165A40" w:rsidP="00165A40">
      <w:pPr>
        <w:pStyle w:val="Brdtekstindrykning"/>
        <w:spacing w:after="0"/>
        <w:ind w:left="851"/>
        <w:rPr>
          <w:rStyle w:val="afsnitspacer"/>
          <w:sz w:val="24"/>
          <w:szCs w:val="24"/>
        </w:rPr>
      </w:pPr>
    </w:p>
    <w:p w14:paraId="05E5D9F5" w14:textId="77777777" w:rsidR="00165A40" w:rsidRPr="00CD2342" w:rsidRDefault="00165A40" w:rsidP="00165A40">
      <w:pPr>
        <w:pStyle w:val="Brdtekstindrykning"/>
        <w:spacing w:after="0"/>
        <w:ind w:left="851"/>
        <w:rPr>
          <w:rStyle w:val="afsnitspacer"/>
          <w:sz w:val="24"/>
          <w:szCs w:val="24"/>
        </w:rPr>
      </w:pPr>
      <w:proofErr w:type="spellStart"/>
      <w:r w:rsidRPr="00CD2342">
        <w:rPr>
          <w:rStyle w:val="afsnitspacer"/>
          <w:sz w:val="24"/>
          <w:szCs w:val="24"/>
        </w:rPr>
        <w:t>Lithium</w:t>
      </w:r>
      <w:proofErr w:type="spellEnd"/>
      <w:r w:rsidRPr="00CD2342">
        <w:rPr>
          <w:rStyle w:val="afsnitspacer"/>
          <w:sz w:val="24"/>
          <w:szCs w:val="24"/>
        </w:rPr>
        <w:t xml:space="preserve"> kan interagere med </w:t>
      </w:r>
      <w:proofErr w:type="spellStart"/>
      <w:r w:rsidRPr="00CD2342">
        <w:rPr>
          <w:rStyle w:val="afsnitspacer"/>
          <w:sz w:val="24"/>
          <w:szCs w:val="24"/>
        </w:rPr>
        <w:t>neuromuskulære</w:t>
      </w:r>
      <w:proofErr w:type="spellEnd"/>
      <w:r w:rsidRPr="00CD2342">
        <w:rPr>
          <w:rStyle w:val="afsnitspacer"/>
          <w:sz w:val="24"/>
          <w:szCs w:val="24"/>
        </w:rPr>
        <w:t xml:space="preserve"> blokerende midler og forstærke deres virkninger, hvilket kan forårsage forlænget paralyse. Tæt monitorering af </w:t>
      </w:r>
      <w:proofErr w:type="spellStart"/>
      <w:r w:rsidRPr="00CD2342">
        <w:rPr>
          <w:rStyle w:val="afsnitspacer"/>
          <w:sz w:val="24"/>
          <w:szCs w:val="24"/>
        </w:rPr>
        <w:t>neuromuskulær</w:t>
      </w:r>
      <w:proofErr w:type="spellEnd"/>
      <w:r w:rsidRPr="00CD2342">
        <w:rPr>
          <w:rStyle w:val="afsnitspacer"/>
          <w:sz w:val="24"/>
          <w:szCs w:val="24"/>
        </w:rPr>
        <w:t xml:space="preserve"> funktion er vigtig for at undgå komplikationer i forhold til længerevarende </w:t>
      </w:r>
      <w:proofErr w:type="spellStart"/>
      <w:r w:rsidRPr="00CD2342">
        <w:rPr>
          <w:rStyle w:val="afsnitspacer"/>
          <w:sz w:val="24"/>
          <w:szCs w:val="24"/>
        </w:rPr>
        <w:t>neuromuskulær</w:t>
      </w:r>
      <w:proofErr w:type="spellEnd"/>
      <w:r w:rsidRPr="00CD2342">
        <w:rPr>
          <w:rStyle w:val="afsnitspacer"/>
          <w:sz w:val="24"/>
          <w:szCs w:val="24"/>
        </w:rPr>
        <w:t xml:space="preserve"> blokade.</w:t>
      </w:r>
    </w:p>
    <w:p w14:paraId="5DE73DD4" w14:textId="77777777" w:rsidR="00165A40" w:rsidRPr="00CD2342" w:rsidRDefault="00165A40" w:rsidP="00165A40">
      <w:pPr>
        <w:pStyle w:val="Brdtekstindrykning"/>
        <w:spacing w:after="0"/>
        <w:ind w:left="851"/>
        <w:rPr>
          <w:rStyle w:val="afsnitspacer"/>
          <w:sz w:val="24"/>
          <w:szCs w:val="24"/>
          <w:u w:val="single"/>
        </w:rPr>
      </w:pPr>
    </w:p>
    <w:p w14:paraId="0B3BE634" w14:textId="77777777" w:rsidR="00165A40" w:rsidRPr="002566A7" w:rsidRDefault="00165A40" w:rsidP="002566A7">
      <w:pPr>
        <w:ind w:left="851"/>
        <w:rPr>
          <w:sz w:val="24"/>
          <w:szCs w:val="24"/>
          <w:u w:val="single"/>
        </w:rPr>
      </w:pPr>
      <w:r w:rsidRPr="002566A7">
        <w:rPr>
          <w:sz w:val="24"/>
          <w:szCs w:val="24"/>
          <w:u w:val="single"/>
        </w:rPr>
        <w:t>Eksisterende sygdomme</w:t>
      </w:r>
    </w:p>
    <w:p w14:paraId="13FB19DB" w14:textId="77777777" w:rsidR="00165A40" w:rsidRPr="00CD2342" w:rsidRDefault="00165A40" w:rsidP="00165A40">
      <w:pPr>
        <w:numPr>
          <w:ilvl w:val="0"/>
          <w:numId w:val="7"/>
        </w:numPr>
        <w:rPr>
          <w:spacing w:val="-3"/>
          <w:sz w:val="24"/>
          <w:szCs w:val="24"/>
        </w:rPr>
      </w:pPr>
      <w:r w:rsidRPr="00CD2342">
        <w:rPr>
          <w:spacing w:val="-3"/>
          <w:sz w:val="24"/>
          <w:szCs w:val="24"/>
        </w:rPr>
        <w:t xml:space="preserve">Højere risiko for venøs </w:t>
      </w:r>
      <w:proofErr w:type="spellStart"/>
      <w:r w:rsidRPr="00CD2342">
        <w:rPr>
          <w:spacing w:val="-3"/>
          <w:sz w:val="24"/>
          <w:szCs w:val="24"/>
        </w:rPr>
        <w:t>tromboemboli</w:t>
      </w:r>
      <w:proofErr w:type="spellEnd"/>
      <w:r w:rsidRPr="00CD2342">
        <w:rPr>
          <w:spacing w:val="-3"/>
          <w:sz w:val="24"/>
          <w:szCs w:val="24"/>
        </w:rPr>
        <w:t xml:space="preserve"> (VTE) er blevet rapporteret hos patienter i behandling med </w:t>
      </w:r>
      <w:proofErr w:type="spellStart"/>
      <w:r w:rsidRPr="00CD2342">
        <w:rPr>
          <w:spacing w:val="-3"/>
          <w:sz w:val="24"/>
          <w:szCs w:val="24"/>
        </w:rPr>
        <w:t>lithium</w:t>
      </w:r>
      <w:proofErr w:type="spellEnd"/>
      <w:r w:rsidRPr="00CD2342">
        <w:rPr>
          <w:spacing w:val="-3"/>
          <w:sz w:val="24"/>
          <w:szCs w:val="24"/>
        </w:rPr>
        <w:t xml:space="preserve"> (se pkt. 4.8). Patienter i behandling med antipsykotika har ofte erhvervede risikofaktorer for VTE. Derfor bør alle risikofaktorer for VTE klarlægges før og under behandling med </w:t>
      </w:r>
      <w:proofErr w:type="spellStart"/>
      <w:r w:rsidRPr="00CD2342">
        <w:rPr>
          <w:spacing w:val="-3"/>
          <w:sz w:val="24"/>
          <w:szCs w:val="24"/>
        </w:rPr>
        <w:t>Carblit</w:t>
      </w:r>
      <w:proofErr w:type="spellEnd"/>
      <w:r w:rsidRPr="00CD2342">
        <w:rPr>
          <w:spacing w:val="-3"/>
          <w:sz w:val="24"/>
          <w:szCs w:val="24"/>
        </w:rPr>
        <w:t xml:space="preserve"> og der bør tages forebyggende forholdsregler.</w:t>
      </w:r>
    </w:p>
    <w:p w14:paraId="231BAC8B" w14:textId="77777777" w:rsidR="00165A40" w:rsidRPr="00CD2342" w:rsidRDefault="00165A40" w:rsidP="00165A40">
      <w:pPr>
        <w:numPr>
          <w:ilvl w:val="0"/>
          <w:numId w:val="7"/>
        </w:numPr>
        <w:rPr>
          <w:spacing w:val="-3"/>
          <w:sz w:val="24"/>
          <w:szCs w:val="24"/>
        </w:rPr>
      </w:pPr>
      <w:proofErr w:type="spellStart"/>
      <w:r w:rsidRPr="00CD2342">
        <w:rPr>
          <w:sz w:val="24"/>
          <w:szCs w:val="24"/>
        </w:rPr>
        <w:t>Lithium</w:t>
      </w:r>
      <w:proofErr w:type="spellEnd"/>
      <w:r w:rsidRPr="00CD2342">
        <w:rPr>
          <w:sz w:val="24"/>
          <w:szCs w:val="24"/>
        </w:rPr>
        <w:t xml:space="preserve"> kan afsløre eller forværre </w:t>
      </w:r>
      <w:proofErr w:type="spellStart"/>
      <w:r w:rsidRPr="00CD2342">
        <w:rPr>
          <w:sz w:val="24"/>
          <w:szCs w:val="24"/>
        </w:rPr>
        <w:t>Brugada</w:t>
      </w:r>
      <w:proofErr w:type="spellEnd"/>
      <w:r w:rsidRPr="00CD2342">
        <w:rPr>
          <w:sz w:val="24"/>
          <w:szCs w:val="24"/>
        </w:rPr>
        <w:t xml:space="preserve"> syndrom, som er en arvelig sygdom i hjertets natriumkanal med karakteristiske EKG-forandringer (højresidigt grenblok og forhøjelse af ST-segmentet i de højre prækordiale afledninger), hvilket kan forårsage hjertestop eller pludselig død. </w:t>
      </w:r>
      <w:proofErr w:type="spellStart"/>
      <w:r w:rsidRPr="00CD2342">
        <w:rPr>
          <w:sz w:val="24"/>
          <w:szCs w:val="24"/>
        </w:rPr>
        <w:t>Lithium</w:t>
      </w:r>
      <w:proofErr w:type="spellEnd"/>
      <w:r w:rsidRPr="00CD2342">
        <w:rPr>
          <w:sz w:val="24"/>
          <w:szCs w:val="24"/>
        </w:rPr>
        <w:t xml:space="preserve"> bør ikke administreres til patienter med </w:t>
      </w:r>
      <w:proofErr w:type="spellStart"/>
      <w:r w:rsidRPr="00CD2342">
        <w:rPr>
          <w:sz w:val="24"/>
          <w:szCs w:val="24"/>
        </w:rPr>
        <w:t>Brugada</w:t>
      </w:r>
      <w:proofErr w:type="spellEnd"/>
      <w:r w:rsidRPr="00CD2342">
        <w:rPr>
          <w:sz w:val="24"/>
          <w:szCs w:val="24"/>
        </w:rPr>
        <w:t xml:space="preserve"> syndrom eller en familiær anamnese med </w:t>
      </w:r>
      <w:proofErr w:type="spellStart"/>
      <w:r w:rsidRPr="00CD2342">
        <w:rPr>
          <w:sz w:val="24"/>
          <w:szCs w:val="24"/>
        </w:rPr>
        <w:t>Brugada</w:t>
      </w:r>
      <w:proofErr w:type="spellEnd"/>
      <w:r w:rsidRPr="00CD2342">
        <w:rPr>
          <w:sz w:val="24"/>
          <w:szCs w:val="24"/>
        </w:rPr>
        <w:t xml:space="preserve"> syndrom (se pkt. 4.3). </w:t>
      </w:r>
    </w:p>
    <w:p w14:paraId="77B71CFF" w14:textId="77777777" w:rsidR="00165A40" w:rsidRPr="00CD2342" w:rsidRDefault="00165A40" w:rsidP="00165A40">
      <w:pPr>
        <w:numPr>
          <w:ilvl w:val="0"/>
          <w:numId w:val="7"/>
        </w:numPr>
        <w:rPr>
          <w:spacing w:val="-3"/>
          <w:sz w:val="24"/>
          <w:szCs w:val="24"/>
        </w:rPr>
      </w:pPr>
      <w:r w:rsidRPr="00CD2342">
        <w:rPr>
          <w:spacing w:val="-3"/>
          <w:sz w:val="24"/>
          <w:szCs w:val="24"/>
        </w:rPr>
        <w:t xml:space="preserve">Forsigtighed tilrådes hos patienter med en </w:t>
      </w:r>
      <w:r w:rsidRPr="00CD2342">
        <w:rPr>
          <w:sz w:val="24"/>
          <w:szCs w:val="24"/>
        </w:rPr>
        <w:t xml:space="preserve">familiær anamnese </w:t>
      </w:r>
      <w:r w:rsidRPr="00CD2342">
        <w:rPr>
          <w:spacing w:val="-3"/>
          <w:sz w:val="24"/>
          <w:szCs w:val="24"/>
        </w:rPr>
        <w:t xml:space="preserve">med hjertestop eller pludselig død. Som en sikkerhedsforanstaltning er </w:t>
      </w:r>
      <w:proofErr w:type="spellStart"/>
      <w:r w:rsidRPr="00CD2342">
        <w:rPr>
          <w:spacing w:val="-3"/>
          <w:sz w:val="24"/>
          <w:szCs w:val="24"/>
        </w:rPr>
        <w:t>lithium</w:t>
      </w:r>
      <w:proofErr w:type="spellEnd"/>
      <w:r w:rsidRPr="00CD2342">
        <w:rPr>
          <w:spacing w:val="-3"/>
          <w:sz w:val="24"/>
          <w:szCs w:val="24"/>
        </w:rPr>
        <w:t xml:space="preserve"> kontraindiceret hos patienter med medfødt langt QT-syndrom, hos patienter med risikofaktorer for forlængelse af QT-intervallet (som omfatter hjertesygdom, bradykardi, skjoldbruskkirtelsygdom, </w:t>
      </w:r>
      <w:proofErr w:type="spellStart"/>
      <w:r w:rsidRPr="00CD2342">
        <w:rPr>
          <w:spacing w:val="-3"/>
          <w:sz w:val="24"/>
          <w:szCs w:val="24"/>
        </w:rPr>
        <w:t>hypokaliæmi</w:t>
      </w:r>
      <w:proofErr w:type="spellEnd"/>
      <w:r w:rsidRPr="00CD2342">
        <w:rPr>
          <w:spacing w:val="-3"/>
          <w:sz w:val="24"/>
          <w:szCs w:val="24"/>
        </w:rPr>
        <w:t xml:space="preserve">, </w:t>
      </w:r>
      <w:proofErr w:type="spellStart"/>
      <w:r w:rsidRPr="00CD2342">
        <w:rPr>
          <w:spacing w:val="-3"/>
          <w:sz w:val="24"/>
          <w:szCs w:val="24"/>
        </w:rPr>
        <w:t>hypomagnesiæmi</w:t>
      </w:r>
      <w:proofErr w:type="spellEnd"/>
      <w:r w:rsidRPr="00CD2342">
        <w:rPr>
          <w:spacing w:val="-3"/>
          <w:sz w:val="24"/>
          <w:szCs w:val="24"/>
        </w:rPr>
        <w:t xml:space="preserve">, </w:t>
      </w:r>
      <w:proofErr w:type="spellStart"/>
      <w:r w:rsidRPr="00CD2342">
        <w:rPr>
          <w:spacing w:val="-3"/>
          <w:sz w:val="24"/>
          <w:szCs w:val="24"/>
        </w:rPr>
        <w:t>hypokalcæmi</w:t>
      </w:r>
      <w:proofErr w:type="spellEnd"/>
      <w:r w:rsidRPr="00CD2342">
        <w:rPr>
          <w:spacing w:val="-3"/>
          <w:sz w:val="24"/>
          <w:szCs w:val="24"/>
        </w:rPr>
        <w:t>. Samtidig behandling med QT-forlængende lægemidler skal være ledsaget af kontrol-EKG-monitorering (se pkt. 4.5 og 4.8).</w:t>
      </w:r>
    </w:p>
    <w:p w14:paraId="46E04DEF" w14:textId="77777777" w:rsidR="00165A40" w:rsidRPr="00CD2342" w:rsidRDefault="00165A40" w:rsidP="00165A40">
      <w:pPr>
        <w:numPr>
          <w:ilvl w:val="0"/>
          <w:numId w:val="7"/>
        </w:numPr>
        <w:rPr>
          <w:spacing w:val="-3"/>
          <w:sz w:val="24"/>
          <w:szCs w:val="24"/>
        </w:rPr>
      </w:pPr>
      <w:r w:rsidRPr="00CD2342">
        <w:rPr>
          <w:spacing w:val="-3"/>
          <w:sz w:val="24"/>
          <w:szCs w:val="24"/>
        </w:rPr>
        <w:t>Et EKG er påkrævet hos patienter &gt;40 år før behandlingsstart. (se pkt.4.2).</w:t>
      </w:r>
    </w:p>
    <w:p w14:paraId="261AA7DC" w14:textId="77777777" w:rsidR="00165A40" w:rsidRPr="00CD2342" w:rsidRDefault="00165A40" w:rsidP="00165A40">
      <w:pPr>
        <w:numPr>
          <w:ilvl w:val="0"/>
          <w:numId w:val="7"/>
        </w:numPr>
        <w:rPr>
          <w:rStyle w:val="afsnitspacer"/>
          <w:sz w:val="24"/>
          <w:szCs w:val="24"/>
        </w:rPr>
      </w:pPr>
      <w:r w:rsidRPr="00CD2342">
        <w:rPr>
          <w:rStyle w:val="afsnitspacer"/>
          <w:sz w:val="24"/>
          <w:szCs w:val="24"/>
        </w:rPr>
        <w:t xml:space="preserve">Patienter med manifest epilepsi, alvorlig patologisk EEG og andre krampetilstande, lettere EKG-forstyrrelser, hypotension, </w:t>
      </w:r>
      <w:proofErr w:type="spellStart"/>
      <w:r w:rsidRPr="00CD2342">
        <w:rPr>
          <w:rStyle w:val="afsnitspacer"/>
          <w:sz w:val="24"/>
          <w:szCs w:val="24"/>
        </w:rPr>
        <w:t>neuromuskulære</w:t>
      </w:r>
      <w:proofErr w:type="spellEnd"/>
      <w:r w:rsidRPr="00CD2342">
        <w:rPr>
          <w:rStyle w:val="afsnitspacer"/>
          <w:sz w:val="24"/>
          <w:szCs w:val="24"/>
        </w:rPr>
        <w:t xml:space="preserve"> sygdomme som </w:t>
      </w:r>
      <w:proofErr w:type="spellStart"/>
      <w:r w:rsidRPr="00CD2342">
        <w:rPr>
          <w:rStyle w:val="afsnitspacer"/>
          <w:sz w:val="24"/>
          <w:szCs w:val="24"/>
        </w:rPr>
        <w:t>myasthenia</w:t>
      </w:r>
      <w:proofErr w:type="spellEnd"/>
      <w:r w:rsidRPr="00CD2342">
        <w:rPr>
          <w:rStyle w:val="afsnitspacer"/>
          <w:sz w:val="24"/>
          <w:szCs w:val="24"/>
        </w:rPr>
        <w:t xml:space="preserve"> </w:t>
      </w:r>
      <w:proofErr w:type="spellStart"/>
      <w:r w:rsidRPr="00CD2342">
        <w:rPr>
          <w:rStyle w:val="afsnitspacer"/>
          <w:sz w:val="24"/>
          <w:szCs w:val="24"/>
        </w:rPr>
        <w:t>gravis</w:t>
      </w:r>
      <w:proofErr w:type="spellEnd"/>
      <w:r w:rsidRPr="00CD2342">
        <w:rPr>
          <w:rStyle w:val="afsnitspacer"/>
          <w:sz w:val="24"/>
          <w:szCs w:val="24"/>
        </w:rPr>
        <w:t xml:space="preserve"> og psoriasis samt ældre bør følges nøje.</w:t>
      </w:r>
    </w:p>
    <w:p w14:paraId="67A67B2F" w14:textId="77777777" w:rsidR="00165A40" w:rsidRPr="00CD2342" w:rsidRDefault="00165A40" w:rsidP="00165A40">
      <w:pPr>
        <w:numPr>
          <w:ilvl w:val="0"/>
          <w:numId w:val="7"/>
        </w:numPr>
        <w:rPr>
          <w:rStyle w:val="afsnitspacer"/>
          <w:sz w:val="24"/>
          <w:szCs w:val="24"/>
        </w:rPr>
      </w:pPr>
      <w:r w:rsidRPr="00CD2342">
        <w:rPr>
          <w:rStyle w:val="afsnitspacer"/>
          <w:sz w:val="24"/>
          <w:szCs w:val="24"/>
        </w:rPr>
        <w:t xml:space="preserve">Der er risiko for forværring af bipolare/maniske tilstande efter hurtig </w:t>
      </w:r>
      <w:proofErr w:type="spellStart"/>
      <w:r w:rsidRPr="00CD2342">
        <w:rPr>
          <w:rStyle w:val="afsnitspacer"/>
          <w:sz w:val="24"/>
          <w:szCs w:val="24"/>
        </w:rPr>
        <w:t>lithium</w:t>
      </w:r>
      <w:proofErr w:type="spellEnd"/>
      <w:r w:rsidRPr="00CD2342">
        <w:rPr>
          <w:rStyle w:val="afsnitspacer"/>
          <w:sz w:val="24"/>
          <w:szCs w:val="24"/>
        </w:rPr>
        <w:t xml:space="preserve"> </w:t>
      </w:r>
      <w:proofErr w:type="spellStart"/>
      <w:r w:rsidRPr="00CD2342">
        <w:rPr>
          <w:rStyle w:val="afsnitspacer"/>
          <w:sz w:val="24"/>
          <w:szCs w:val="24"/>
        </w:rPr>
        <w:t>seponering</w:t>
      </w:r>
      <w:proofErr w:type="spellEnd"/>
      <w:r w:rsidRPr="00CD2342">
        <w:rPr>
          <w:rStyle w:val="afsnitspacer"/>
          <w:sz w:val="24"/>
          <w:szCs w:val="24"/>
        </w:rPr>
        <w:t>.</w:t>
      </w:r>
    </w:p>
    <w:p w14:paraId="78D0B939" w14:textId="77777777" w:rsidR="00165A40" w:rsidRPr="00CD2342" w:rsidRDefault="00165A40" w:rsidP="00165A40">
      <w:pPr>
        <w:ind w:left="851"/>
        <w:rPr>
          <w:sz w:val="24"/>
          <w:szCs w:val="24"/>
        </w:rPr>
      </w:pPr>
    </w:p>
    <w:p w14:paraId="7A5EC946" w14:textId="77777777" w:rsidR="00165A40" w:rsidRPr="00CD2342" w:rsidRDefault="00165A40" w:rsidP="00165A40">
      <w:pPr>
        <w:ind w:left="851"/>
        <w:rPr>
          <w:sz w:val="24"/>
          <w:szCs w:val="24"/>
        </w:rPr>
      </w:pPr>
      <w:r w:rsidRPr="00CD2342">
        <w:rPr>
          <w:sz w:val="24"/>
          <w:szCs w:val="24"/>
        </w:rPr>
        <w:t xml:space="preserve">Patienter og deres pårørende bør informeres om symptomerne på </w:t>
      </w:r>
      <w:proofErr w:type="spellStart"/>
      <w:r w:rsidRPr="00CD2342">
        <w:rPr>
          <w:sz w:val="24"/>
          <w:szCs w:val="24"/>
        </w:rPr>
        <w:t>lithiumforgiftning</w:t>
      </w:r>
      <w:proofErr w:type="spellEnd"/>
      <w:r w:rsidRPr="00CD2342">
        <w:rPr>
          <w:sz w:val="24"/>
          <w:szCs w:val="24"/>
        </w:rPr>
        <w:t xml:space="preserve"> (se pkt. 4.9). Hvis disse opleves, bør </w:t>
      </w:r>
      <w:proofErr w:type="spellStart"/>
      <w:r w:rsidRPr="00CD2342">
        <w:rPr>
          <w:sz w:val="24"/>
          <w:szCs w:val="24"/>
        </w:rPr>
        <w:t>lithiumbehandling</w:t>
      </w:r>
      <w:proofErr w:type="spellEnd"/>
      <w:r w:rsidRPr="00CD2342">
        <w:rPr>
          <w:sz w:val="24"/>
          <w:szCs w:val="24"/>
        </w:rPr>
        <w:t xml:space="preserve"> afbrydes, og en læge bør konsulteres.</w:t>
      </w:r>
    </w:p>
    <w:p w14:paraId="215C6F27" w14:textId="77777777" w:rsidR="00165A40" w:rsidRPr="00CD2342" w:rsidRDefault="00165A40" w:rsidP="00165A40">
      <w:pPr>
        <w:ind w:left="851"/>
        <w:rPr>
          <w:sz w:val="24"/>
          <w:szCs w:val="24"/>
        </w:rPr>
      </w:pPr>
    </w:p>
    <w:p w14:paraId="7220F438" w14:textId="77777777" w:rsidR="00165A40" w:rsidRPr="002566A7" w:rsidRDefault="00165A40" w:rsidP="002566A7">
      <w:pPr>
        <w:ind w:left="851"/>
        <w:rPr>
          <w:sz w:val="24"/>
          <w:szCs w:val="24"/>
          <w:u w:val="single"/>
        </w:rPr>
      </w:pPr>
      <w:r w:rsidRPr="002566A7">
        <w:rPr>
          <w:sz w:val="24"/>
          <w:szCs w:val="24"/>
          <w:u w:val="single"/>
        </w:rPr>
        <w:t xml:space="preserve">Malignt </w:t>
      </w:r>
      <w:proofErr w:type="spellStart"/>
      <w:r w:rsidRPr="002566A7">
        <w:rPr>
          <w:sz w:val="24"/>
          <w:szCs w:val="24"/>
          <w:u w:val="single"/>
        </w:rPr>
        <w:t>neuroleptikasyndrom</w:t>
      </w:r>
      <w:proofErr w:type="spellEnd"/>
      <w:r w:rsidRPr="002566A7">
        <w:rPr>
          <w:sz w:val="24"/>
          <w:szCs w:val="24"/>
          <w:u w:val="single"/>
        </w:rPr>
        <w:t xml:space="preserve"> </w:t>
      </w:r>
    </w:p>
    <w:p w14:paraId="75460C5D" w14:textId="77777777" w:rsidR="00165A40" w:rsidRPr="002566A7" w:rsidRDefault="00165A40" w:rsidP="002566A7">
      <w:pPr>
        <w:ind w:left="851"/>
        <w:rPr>
          <w:sz w:val="24"/>
          <w:szCs w:val="24"/>
        </w:rPr>
      </w:pPr>
      <w:r w:rsidRPr="002566A7">
        <w:rPr>
          <w:sz w:val="24"/>
          <w:szCs w:val="24"/>
        </w:rPr>
        <w:t xml:space="preserve">Malignt </w:t>
      </w:r>
      <w:proofErr w:type="spellStart"/>
      <w:r w:rsidRPr="002566A7">
        <w:rPr>
          <w:sz w:val="24"/>
          <w:szCs w:val="24"/>
        </w:rPr>
        <w:t>neuroleptikasyndrom</w:t>
      </w:r>
      <w:proofErr w:type="spellEnd"/>
      <w:r w:rsidRPr="002566A7">
        <w:rPr>
          <w:sz w:val="24"/>
          <w:szCs w:val="24"/>
        </w:rPr>
        <w:t xml:space="preserve"> karakteriseret ved </w:t>
      </w:r>
      <w:proofErr w:type="spellStart"/>
      <w:r w:rsidRPr="002566A7">
        <w:rPr>
          <w:sz w:val="24"/>
          <w:szCs w:val="24"/>
        </w:rPr>
        <w:t>hypertermi</w:t>
      </w:r>
      <w:proofErr w:type="spellEnd"/>
      <w:r w:rsidRPr="002566A7">
        <w:rPr>
          <w:sz w:val="24"/>
          <w:szCs w:val="24"/>
        </w:rPr>
        <w:t xml:space="preserve">, muskelrigiditet, autonom inhabilitet, påvirket bevidsthedsniveau og forhøjet serum </w:t>
      </w:r>
      <w:proofErr w:type="spellStart"/>
      <w:r w:rsidRPr="002566A7">
        <w:rPr>
          <w:sz w:val="24"/>
          <w:szCs w:val="24"/>
        </w:rPr>
        <w:t>kreatin</w:t>
      </w:r>
      <w:proofErr w:type="spellEnd"/>
      <w:r w:rsidRPr="002566A7">
        <w:rPr>
          <w:sz w:val="24"/>
          <w:szCs w:val="24"/>
        </w:rPr>
        <w:t xml:space="preserve"> </w:t>
      </w:r>
      <w:proofErr w:type="spellStart"/>
      <w:r w:rsidRPr="002566A7">
        <w:rPr>
          <w:sz w:val="24"/>
          <w:szCs w:val="24"/>
        </w:rPr>
        <w:t>fosfokinase</w:t>
      </w:r>
      <w:proofErr w:type="spellEnd"/>
      <w:r w:rsidRPr="002566A7">
        <w:rPr>
          <w:sz w:val="24"/>
          <w:szCs w:val="24"/>
        </w:rPr>
        <w:t xml:space="preserve"> er rapporteret hos patienter, der behandles med antipsykotika (herunder </w:t>
      </w:r>
      <w:proofErr w:type="spellStart"/>
      <w:r w:rsidRPr="002566A7">
        <w:rPr>
          <w:sz w:val="24"/>
          <w:szCs w:val="24"/>
        </w:rPr>
        <w:t>lithium</w:t>
      </w:r>
      <w:proofErr w:type="spellEnd"/>
      <w:r w:rsidRPr="002566A7">
        <w:rPr>
          <w:sz w:val="24"/>
          <w:szCs w:val="24"/>
        </w:rPr>
        <w:t xml:space="preserve">) (se pkt. 4.8).  </w:t>
      </w:r>
    </w:p>
    <w:p w14:paraId="1B554E17" w14:textId="77777777" w:rsidR="00165A40" w:rsidRPr="002566A7" w:rsidRDefault="00165A40" w:rsidP="002566A7">
      <w:pPr>
        <w:ind w:left="851"/>
        <w:rPr>
          <w:sz w:val="24"/>
          <w:szCs w:val="24"/>
        </w:rPr>
      </w:pPr>
      <w:r w:rsidRPr="002566A7">
        <w:rPr>
          <w:sz w:val="24"/>
          <w:szCs w:val="24"/>
        </w:rPr>
        <w:t xml:space="preserve">Hvis de nævnte symptomer opstår skal </w:t>
      </w:r>
      <w:proofErr w:type="spellStart"/>
      <w:r w:rsidRPr="002566A7">
        <w:rPr>
          <w:sz w:val="24"/>
          <w:szCs w:val="24"/>
        </w:rPr>
        <w:t>Carblit</w:t>
      </w:r>
      <w:proofErr w:type="spellEnd"/>
      <w:r w:rsidRPr="002566A7">
        <w:rPr>
          <w:sz w:val="24"/>
          <w:szCs w:val="24"/>
        </w:rPr>
        <w:t xml:space="preserve"> seponeres.</w:t>
      </w:r>
    </w:p>
    <w:p w14:paraId="32A17709" w14:textId="77777777" w:rsidR="00165A40" w:rsidRPr="002566A7" w:rsidRDefault="00165A40" w:rsidP="002566A7">
      <w:pPr>
        <w:ind w:left="851"/>
        <w:rPr>
          <w:sz w:val="24"/>
          <w:szCs w:val="24"/>
        </w:rPr>
      </w:pPr>
    </w:p>
    <w:p w14:paraId="77607453" w14:textId="77777777" w:rsidR="00165A40" w:rsidRPr="002566A7" w:rsidRDefault="00165A40" w:rsidP="002566A7">
      <w:pPr>
        <w:ind w:left="851"/>
        <w:rPr>
          <w:sz w:val="24"/>
          <w:szCs w:val="24"/>
          <w:u w:val="single"/>
        </w:rPr>
      </w:pPr>
      <w:r w:rsidRPr="002566A7">
        <w:rPr>
          <w:sz w:val="24"/>
          <w:szCs w:val="24"/>
          <w:u w:val="single"/>
        </w:rPr>
        <w:t xml:space="preserve">Nyretumorer </w:t>
      </w:r>
    </w:p>
    <w:p w14:paraId="4A5B8F1C" w14:textId="77777777" w:rsidR="00165A40" w:rsidRPr="002566A7" w:rsidRDefault="00165A40" w:rsidP="002566A7">
      <w:pPr>
        <w:ind w:left="851"/>
        <w:rPr>
          <w:sz w:val="24"/>
          <w:szCs w:val="24"/>
        </w:rPr>
      </w:pPr>
      <w:r w:rsidRPr="002566A7">
        <w:rPr>
          <w:sz w:val="24"/>
          <w:szCs w:val="24"/>
        </w:rPr>
        <w:t xml:space="preserve">Der er rapporteret mikrocyster, </w:t>
      </w:r>
      <w:proofErr w:type="spellStart"/>
      <w:r w:rsidRPr="002566A7">
        <w:rPr>
          <w:sz w:val="24"/>
          <w:szCs w:val="24"/>
        </w:rPr>
        <w:t>onkocytomer</w:t>
      </w:r>
      <w:proofErr w:type="spellEnd"/>
      <w:r w:rsidRPr="002566A7">
        <w:rPr>
          <w:sz w:val="24"/>
          <w:szCs w:val="24"/>
        </w:rPr>
        <w:t xml:space="preserve"> og karcinom i nyrernes samlerør hos patienter med svært nedsat nyrefunktion, som har fået </w:t>
      </w:r>
      <w:proofErr w:type="spellStart"/>
      <w:r w:rsidRPr="002566A7">
        <w:rPr>
          <w:sz w:val="24"/>
          <w:szCs w:val="24"/>
        </w:rPr>
        <w:t>lithium</w:t>
      </w:r>
      <w:proofErr w:type="spellEnd"/>
      <w:r w:rsidRPr="002566A7">
        <w:rPr>
          <w:sz w:val="24"/>
          <w:szCs w:val="24"/>
        </w:rPr>
        <w:t xml:space="preserve"> i mere end 10 år (se pkt. 4.8).</w:t>
      </w:r>
    </w:p>
    <w:p w14:paraId="358E01DC" w14:textId="77777777" w:rsidR="00165A40" w:rsidRPr="002566A7" w:rsidRDefault="00165A40" w:rsidP="002566A7">
      <w:pPr>
        <w:ind w:left="851"/>
        <w:rPr>
          <w:sz w:val="24"/>
          <w:szCs w:val="24"/>
        </w:rPr>
      </w:pPr>
    </w:p>
    <w:p w14:paraId="23EA22D9" w14:textId="77777777" w:rsidR="00165A40" w:rsidRPr="002566A7" w:rsidRDefault="00165A40" w:rsidP="002566A7">
      <w:pPr>
        <w:ind w:left="851"/>
        <w:rPr>
          <w:sz w:val="24"/>
          <w:szCs w:val="24"/>
          <w:u w:val="single"/>
        </w:rPr>
      </w:pPr>
      <w:r w:rsidRPr="002566A7">
        <w:rPr>
          <w:sz w:val="24"/>
          <w:szCs w:val="24"/>
          <w:u w:val="single"/>
        </w:rPr>
        <w:t>Immunsystemet</w:t>
      </w:r>
    </w:p>
    <w:p w14:paraId="6847B513" w14:textId="77777777" w:rsidR="00165A40" w:rsidRPr="002566A7" w:rsidRDefault="00165A40" w:rsidP="002566A7">
      <w:pPr>
        <w:ind w:left="851"/>
        <w:rPr>
          <w:sz w:val="24"/>
          <w:szCs w:val="24"/>
        </w:rPr>
      </w:pPr>
      <w:r w:rsidRPr="002566A7">
        <w:rPr>
          <w:sz w:val="24"/>
          <w:szCs w:val="24"/>
        </w:rPr>
        <w:t xml:space="preserve">Leukocytose i relation til </w:t>
      </w:r>
      <w:proofErr w:type="spellStart"/>
      <w:r w:rsidRPr="002566A7">
        <w:rPr>
          <w:sz w:val="24"/>
          <w:szCs w:val="24"/>
        </w:rPr>
        <w:t>lithiumbehandling</w:t>
      </w:r>
      <w:proofErr w:type="spellEnd"/>
      <w:r w:rsidRPr="002566A7">
        <w:rPr>
          <w:sz w:val="24"/>
          <w:szCs w:val="24"/>
        </w:rPr>
        <w:t xml:space="preserve"> samt en stigning i antinukleare antistoffer er blevet rapporteret (se pkt. 4.8). I tilfælde af en potentiel risiko for immunforstyrrelser bør patienten monitoreres periodisk.</w:t>
      </w:r>
    </w:p>
    <w:p w14:paraId="21FA765E" w14:textId="77777777" w:rsidR="00165A40" w:rsidRPr="002566A7" w:rsidRDefault="00165A40" w:rsidP="002566A7">
      <w:pPr>
        <w:ind w:left="851"/>
        <w:rPr>
          <w:sz w:val="24"/>
          <w:szCs w:val="24"/>
        </w:rPr>
      </w:pPr>
    </w:p>
    <w:p w14:paraId="209BAD2C" w14:textId="77777777" w:rsidR="00165A40" w:rsidRPr="002566A7" w:rsidRDefault="00165A40" w:rsidP="002566A7">
      <w:pPr>
        <w:ind w:left="851"/>
        <w:rPr>
          <w:sz w:val="24"/>
          <w:szCs w:val="24"/>
          <w:u w:val="single"/>
        </w:rPr>
      </w:pPr>
      <w:r w:rsidRPr="002566A7">
        <w:rPr>
          <w:sz w:val="24"/>
          <w:szCs w:val="24"/>
          <w:u w:val="single"/>
        </w:rPr>
        <w:t>Skjoldbruskkirtelfunktion</w:t>
      </w:r>
    </w:p>
    <w:p w14:paraId="0F4F2D3B" w14:textId="77777777" w:rsidR="00165A40" w:rsidRPr="00CD2342" w:rsidRDefault="00165A40" w:rsidP="00165A40">
      <w:pPr>
        <w:ind w:left="851"/>
        <w:rPr>
          <w:spacing w:val="-3"/>
          <w:sz w:val="24"/>
          <w:szCs w:val="24"/>
        </w:rPr>
      </w:pPr>
      <w:r w:rsidRPr="00CD2342">
        <w:rPr>
          <w:spacing w:val="-3"/>
          <w:sz w:val="24"/>
          <w:szCs w:val="24"/>
        </w:rPr>
        <w:t xml:space="preserve">Sjældne tilfælde af åbenlys </w:t>
      </w:r>
      <w:proofErr w:type="spellStart"/>
      <w:r w:rsidRPr="00CD2342">
        <w:rPr>
          <w:spacing w:val="-3"/>
          <w:sz w:val="24"/>
          <w:szCs w:val="24"/>
        </w:rPr>
        <w:t>hypothyroidisme</w:t>
      </w:r>
      <w:proofErr w:type="spellEnd"/>
      <w:r w:rsidRPr="00CD2342">
        <w:rPr>
          <w:spacing w:val="-3"/>
          <w:sz w:val="24"/>
          <w:szCs w:val="24"/>
        </w:rPr>
        <w:t xml:space="preserve"> (nedsat fri </w:t>
      </w:r>
      <w:proofErr w:type="spellStart"/>
      <w:r w:rsidRPr="00CD2342">
        <w:rPr>
          <w:spacing w:val="-3"/>
          <w:sz w:val="24"/>
          <w:szCs w:val="24"/>
        </w:rPr>
        <w:t>thyroxin</w:t>
      </w:r>
      <w:proofErr w:type="spellEnd"/>
      <w:r w:rsidRPr="00CD2342">
        <w:rPr>
          <w:spacing w:val="-3"/>
          <w:sz w:val="24"/>
          <w:szCs w:val="24"/>
        </w:rPr>
        <w:t xml:space="preserve">) eller hyppigere subklinisk </w:t>
      </w:r>
      <w:proofErr w:type="spellStart"/>
      <w:r w:rsidRPr="00CD2342">
        <w:rPr>
          <w:spacing w:val="-3"/>
          <w:sz w:val="24"/>
          <w:szCs w:val="24"/>
        </w:rPr>
        <w:t>hypothyroidisme</w:t>
      </w:r>
      <w:proofErr w:type="spellEnd"/>
      <w:r w:rsidRPr="00CD2342">
        <w:rPr>
          <w:spacing w:val="-3"/>
          <w:sz w:val="24"/>
          <w:szCs w:val="24"/>
        </w:rPr>
        <w:t xml:space="preserve"> (øget niveau af </w:t>
      </w:r>
      <w:proofErr w:type="spellStart"/>
      <w:r w:rsidRPr="00CD2342">
        <w:rPr>
          <w:spacing w:val="-3"/>
          <w:sz w:val="24"/>
          <w:szCs w:val="24"/>
        </w:rPr>
        <w:t>thyreoideastimulerende</w:t>
      </w:r>
      <w:proofErr w:type="spellEnd"/>
      <w:r w:rsidRPr="00CD2342">
        <w:rPr>
          <w:spacing w:val="-3"/>
          <w:sz w:val="24"/>
          <w:szCs w:val="24"/>
        </w:rPr>
        <w:t xml:space="preserve"> hormon) har lav klinisk relevans. Lejlighedsvise tilfælde af autoimmun </w:t>
      </w:r>
      <w:proofErr w:type="spellStart"/>
      <w:r w:rsidRPr="00CD2342">
        <w:rPr>
          <w:spacing w:val="-3"/>
          <w:sz w:val="24"/>
          <w:szCs w:val="24"/>
        </w:rPr>
        <w:t>thyroiditis</w:t>
      </w:r>
      <w:proofErr w:type="spellEnd"/>
      <w:r w:rsidRPr="00CD2342">
        <w:rPr>
          <w:spacing w:val="-3"/>
          <w:sz w:val="24"/>
          <w:szCs w:val="24"/>
        </w:rPr>
        <w:t xml:space="preserve"> (</w:t>
      </w:r>
      <w:proofErr w:type="spellStart"/>
      <w:r w:rsidRPr="00CD2342">
        <w:rPr>
          <w:spacing w:val="-3"/>
          <w:sz w:val="24"/>
          <w:szCs w:val="24"/>
        </w:rPr>
        <w:t>thyreoidea</w:t>
      </w:r>
      <w:proofErr w:type="spellEnd"/>
      <w:r w:rsidRPr="00CD2342">
        <w:rPr>
          <w:spacing w:val="-3"/>
          <w:sz w:val="24"/>
          <w:szCs w:val="24"/>
        </w:rPr>
        <w:t xml:space="preserve">-autoantistoffer) er blevet beskrevet i forbindelse med </w:t>
      </w:r>
      <w:proofErr w:type="spellStart"/>
      <w:r w:rsidRPr="00CD2342">
        <w:rPr>
          <w:spacing w:val="-3"/>
          <w:sz w:val="24"/>
          <w:szCs w:val="24"/>
        </w:rPr>
        <w:t>lithiumbehandling</w:t>
      </w:r>
      <w:proofErr w:type="spellEnd"/>
      <w:r w:rsidRPr="00CD2342">
        <w:rPr>
          <w:spacing w:val="-3"/>
          <w:sz w:val="24"/>
          <w:szCs w:val="24"/>
        </w:rPr>
        <w:t xml:space="preserve">. Hvis serum-TSH er over 10 </w:t>
      </w:r>
      <w:proofErr w:type="spellStart"/>
      <w:r w:rsidRPr="00CD2342">
        <w:rPr>
          <w:spacing w:val="-3"/>
          <w:sz w:val="24"/>
          <w:szCs w:val="24"/>
        </w:rPr>
        <w:t>mU</w:t>
      </w:r>
      <w:proofErr w:type="spellEnd"/>
      <w:r w:rsidRPr="00CD2342">
        <w:rPr>
          <w:spacing w:val="-3"/>
          <w:sz w:val="24"/>
          <w:szCs w:val="24"/>
        </w:rPr>
        <w:t xml:space="preserve">/L, er der høj risiko for progression til åbenlys </w:t>
      </w:r>
      <w:proofErr w:type="spellStart"/>
      <w:r w:rsidRPr="00CD2342">
        <w:rPr>
          <w:spacing w:val="-3"/>
          <w:sz w:val="24"/>
          <w:szCs w:val="24"/>
        </w:rPr>
        <w:t>hypothyroidisme</w:t>
      </w:r>
      <w:proofErr w:type="spellEnd"/>
      <w:r w:rsidRPr="00CD2342">
        <w:rPr>
          <w:spacing w:val="-3"/>
          <w:sz w:val="24"/>
          <w:szCs w:val="24"/>
        </w:rPr>
        <w:t xml:space="preserve">, og </w:t>
      </w:r>
      <w:proofErr w:type="spellStart"/>
      <w:r w:rsidRPr="00CD2342">
        <w:rPr>
          <w:spacing w:val="-3"/>
          <w:sz w:val="24"/>
          <w:szCs w:val="24"/>
        </w:rPr>
        <w:t>levothyroxinatrium</w:t>
      </w:r>
      <w:proofErr w:type="spellEnd"/>
      <w:r w:rsidRPr="00CD2342">
        <w:rPr>
          <w:spacing w:val="-3"/>
          <w:sz w:val="24"/>
          <w:szCs w:val="24"/>
        </w:rPr>
        <w:t xml:space="preserve"> bør ordineres, uanset om patienten er symptomatisk. </w:t>
      </w:r>
      <w:proofErr w:type="spellStart"/>
      <w:r w:rsidRPr="00CD2342">
        <w:rPr>
          <w:spacing w:val="-3"/>
          <w:sz w:val="24"/>
          <w:szCs w:val="24"/>
        </w:rPr>
        <w:t>Lithiumbehandling</w:t>
      </w:r>
      <w:proofErr w:type="spellEnd"/>
      <w:r w:rsidRPr="00CD2342">
        <w:rPr>
          <w:spacing w:val="-3"/>
          <w:sz w:val="24"/>
          <w:szCs w:val="24"/>
        </w:rPr>
        <w:t xml:space="preserve"> kan således fortsættes ved samtidig behandling med </w:t>
      </w:r>
      <w:proofErr w:type="spellStart"/>
      <w:r w:rsidRPr="00CD2342">
        <w:rPr>
          <w:spacing w:val="-3"/>
          <w:sz w:val="24"/>
          <w:szCs w:val="24"/>
        </w:rPr>
        <w:t>levothyroxinnatrium</w:t>
      </w:r>
      <w:proofErr w:type="spellEnd"/>
      <w:r w:rsidRPr="00CD2342">
        <w:rPr>
          <w:spacing w:val="-3"/>
          <w:sz w:val="24"/>
          <w:szCs w:val="24"/>
        </w:rPr>
        <w:t>.</w:t>
      </w:r>
    </w:p>
    <w:p w14:paraId="6B86E568" w14:textId="77777777" w:rsidR="00165A40" w:rsidRPr="00CD2342" w:rsidRDefault="00165A40" w:rsidP="00165A40">
      <w:pPr>
        <w:ind w:left="851"/>
        <w:rPr>
          <w:spacing w:val="-3"/>
          <w:sz w:val="24"/>
          <w:szCs w:val="24"/>
        </w:rPr>
      </w:pPr>
    </w:p>
    <w:p w14:paraId="311BB0BB" w14:textId="77777777" w:rsidR="00165A40" w:rsidRPr="00CD2342" w:rsidRDefault="00165A40" w:rsidP="00165A40">
      <w:pPr>
        <w:ind w:left="851"/>
        <w:rPr>
          <w:spacing w:val="-3"/>
          <w:sz w:val="24"/>
          <w:szCs w:val="24"/>
        </w:rPr>
      </w:pPr>
      <w:r w:rsidRPr="00CD2342">
        <w:rPr>
          <w:spacing w:val="-3"/>
          <w:sz w:val="24"/>
          <w:szCs w:val="24"/>
        </w:rPr>
        <w:t xml:space="preserve">Skjoldbruskkirtlens funktion bør monitoreres før påbegyndelse af </w:t>
      </w:r>
      <w:proofErr w:type="spellStart"/>
      <w:r w:rsidRPr="00CD2342">
        <w:rPr>
          <w:spacing w:val="-3"/>
          <w:sz w:val="24"/>
          <w:szCs w:val="24"/>
        </w:rPr>
        <w:t>lithiumbehandling</w:t>
      </w:r>
      <w:proofErr w:type="spellEnd"/>
      <w:r w:rsidRPr="00CD2342">
        <w:rPr>
          <w:spacing w:val="-3"/>
          <w:sz w:val="24"/>
          <w:szCs w:val="24"/>
        </w:rPr>
        <w:t>, efter 3 måneder og derefter hver 6.-12. måned efter påbegyndelse af behandlingen.</w:t>
      </w:r>
    </w:p>
    <w:p w14:paraId="0E57C9C8" w14:textId="68136EFA" w:rsidR="0084597B" w:rsidRDefault="0084597B">
      <w:pPr>
        <w:rPr>
          <w:sz w:val="24"/>
          <w:szCs w:val="24"/>
        </w:rPr>
      </w:pPr>
      <w:r>
        <w:rPr>
          <w:sz w:val="24"/>
          <w:szCs w:val="24"/>
        </w:rPr>
        <w:br w:type="page"/>
      </w:r>
    </w:p>
    <w:p w14:paraId="4C95568B" w14:textId="77777777" w:rsidR="00165A40" w:rsidRPr="002566A7" w:rsidRDefault="00165A40" w:rsidP="002566A7">
      <w:pPr>
        <w:ind w:left="851"/>
        <w:rPr>
          <w:sz w:val="24"/>
          <w:szCs w:val="24"/>
        </w:rPr>
      </w:pPr>
    </w:p>
    <w:p w14:paraId="58E4BAF2" w14:textId="77777777" w:rsidR="00165A40" w:rsidRPr="002566A7" w:rsidRDefault="00165A40" w:rsidP="002566A7">
      <w:pPr>
        <w:ind w:left="851"/>
        <w:rPr>
          <w:bCs/>
          <w:sz w:val="24"/>
          <w:szCs w:val="24"/>
          <w:u w:val="single"/>
        </w:rPr>
      </w:pPr>
      <w:proofErr w:type="spellStart"/>
      <w:r w:rsidRPr="002566A7">
        <w:rPr>
          <w:bCs/>
          <w:sz w:val="24"/>
          <w:szCs w:val="24"/>
          <w:u w:val="single"/>
        </w:rPr>
        <w:t>Gastrointestinale</w:t>
      </w:r>
      <w:proofErr w:type="spellEnd"/>
      <w:r w:rsidRPr="002566A7">
        <w:rPr>
          <w:bCs/>
          <w:sz w:val="24"/>
          <w:szCs w:val="24"/>
          <w:u w:val="single"/>
        </w:rPr>
        <w:t xml:space="preserve"> bivirkninger</w:t>
      </w:r>
    </w:p>
    <w:p w14:paraId="59E4C615" w14:textId="77777777" w:rsidR="00165A40" w:rsidRPr="002566A7" w:rsidRDefault="00165A40" w:rsidP="002566A7">
      <w:pPr>
        <w:ind w:left="851"/>
        <w:rPr>
          <w:sz w:val="24"/>
          <w:szCs w:val="24"/>
        </w:rPr>
      </w:pPr>
      <w:proofErr w:type="spellStart"/>
      <w:r w:rsidRPr="002566A7">
        <w:rPr>
          <w:sz w:val="24"/>
          <w:szCs w:val="24"/>
        </w:rPr>
        <w:t>Gastrointestinale</w:t>
      </w:r>
      <w:proofErr w:type="spellEnd"/>
      <w:r w:rsidRPr="002566A7">
        <w:rPr>
          <w:sz w:val="24"/>
          <w:szCs w:val="24"/>
        </w:rPr>
        <w:t xml:space="preserve"> bivirkninger kan forekomme ved påbegyndelse af behandling med </w:t>
      </w:r>
      <w:proofErr w:type="spellStart"/>
      <w:r w:rsidRPr="002566A7">
        <w:rPr>
          <w:sz w:val="24"/>
          <w:szCs w:val="24"/>
        </w:rPr>
        <w:t>lithium</w:t>
      </w:r>
      <w:proofErr w:type="spellEnd"/>
      <w:r w:rsidRPr="002566A7">
        <w:rPr>
          <w:sz w:val="24"/>
          <w:szCs w:val="24"/>
        </w:rPr>
        <w:t>. Oftest er disse bivirkninger selvbegrænsende og aftager gradvist efter de første par uger (se pkt. 4.2).</w:t>
      </w:r>
    </w:p>
    <w:p w14:paraId="388FEA3F" w14:textId="77777777" w:rsidR="00165A40" w:rsidRPr="002566A7" w:rsidRDefault="00165A40" w:rsidP="002566A7">
      <w:pPr>
        <w:ind w:left="851"/>
        <w:rPr>
          <w:sz w:val="24"/>
          <w:szCs w:val="24"/>
        </w:rPr>
      </w:pPr>
    </w:p>
    <w:p w14:paraId="041A4BD5" w14:textId="77777777" w:rsidR="00165A40" w:rsidRPr="002566A7" w:rsidRDefault="00165A40" w:rsidP="002566A7">
      <w:pPr>
        <w:ind w:left="851"/>
        <w:rPr>
          <w:bCs/>
          <w:sz w:val="24"/>
          <w:szCs w:val="24"/>
          <w:u w:val="single"/>
        </w:rPr>
      </w:pPr>
      <w:r w:rsidRPr="002566A7">
        <w:rPr>
          <w:bCs/>
          <w:sz w:val="24"/>
          <w:szCs w:val="24"/>
          <w:u w:val="single"/>
        </w:rPr>
        <w:t>Hjælpestoffer</w:t>
      </w:r>
    </w:p>
    <w:p w14:paraId="7FDBCECA" w14:textId="77777777" w:rsidR="00165A40" w:rsidRPr="002566A7" w:rsidRDefault="00165A40" w:rsidP="002566A7">
      <w:pPr>
        <w:ind w:left="851"/>
        <w:rPr>
          <w:sz w:val="24"/>
          <w:szCs w:val="24"/>
        </w:rPr>
      </w:pPr>
      <w:r w:rsidRPr="002566A7">
        <w:rPr>
          <w:sz w:val="24"/>
          <w:szCs w:val="24"/>
        </w:rPr>
        <w:t xml:space="preserve">Dette lægemiddel indeholder </w:t>
      </w:r>
      <w:proofErr w:type="spellStart"/>
      <w:r w:rsidRPr="002566A7">
        <w:rPr>
          <w:sz w:val="24"/>
          <w:szCs w:val="24"/>
        </w:rPr>
        <w:t>lactose</w:t>
      </w:r>
      <w:proofErr w:type="spellEnd"/>
      <w:r w:rsidRPr="002566A7">
        <w:rPr>
          <w:sz w:val="24"/>
          <w:szCs w:val="24"/>
        </w:rPr>
        <w:t xml:space="preserve"> og bør ikke anvendes til patienter med hereditær </w:t>
      </w:r>
      <w:proofErr w:type="spellStart"/>
      <w:r w:rsidRPr="002566A7">
        <w:rPr>
          <w:sz w:val="24"/>
          <w:szCs w:val="24"/>
        </w:rPr>
        <w:t>galactoseintolerans</w:t>
      </w:r>
      <w:proofErr w:type="spellEnd"/>
      <w:r w:rsidRPr="002566A7">
        <w:rPr>
          <w:sz w:val="24"/>
          <w:szCs w:val="24"/>
        </w:rPr>
        <w:t xml:space="preserve">, total </w:t>
      </w:r>
      <w:proofErr w:type="spellStart"/>
      <w:r w:rsidRPr="002566A7">
        <w:rPr>
          <w:sz w:val="24"/>
          <w:szCs w:val="24"/>
        </w:rPr>
        <w:t>lactasemangel</w:t>
      </w:r>
      <w:proofErr w:type="spellEnd"/>
      <w:r w:rsidRPr="002566A7">
        <w:rPr>
          <w:sz w:val="24"/>
          <w:szCs w:val="24"/>
        </w:rPr>
        <w:t xml:space="preserve"> eller </w:t>
      </w:r>
      <w:proofErr w:type="spellStart"/>
      <w:r w:rsidRPr="002566A7">
        <w:rPr>
          <w:sz w:val="24"/>
          <w:szCs w:val="24"/>
        </w:rPr>
        <w:t>glucose</w:t>
      </w:r>
      <w:proofErr w:type="spellEnd"/>
      <w:r w:rsidRPr="002566A7">
        <w:rPr>
          <w:sz w:val="24"/>
          <w:szCs w:val="24"/>
        </w:rPr>
        <w:t>/</w:t>
      </w:r>
      <w:proofErr w:type="spellStart"/>
      <w:r w:rsidRPr="002566A7">
        <w:rPr>
          <w:sz w:val="24"/>
          <w:szCs w:val="24"/>
        </w:rPr>
        <w:t>galactosemalabsorption</w:t>
      </w:r>
      <w:proofErr w:type="spellEnd"/>
      <w:r w:rsidRPr="002566A7">
        <w:rPr>
          <w:sz w:val="24"/>
          <w:szCs w:val="24"/>
        </w:rPr>
        <w:t>.</w:t>
      </w:r>
    </w:p>
    <w:p w14:paraId="2E99263A" w14:textId="77777777" w:rsidR="00165A40" w:rsidRPr="002566A7" w:rsidRDefault="00165A40" w:rsidP="002566A7">
      <w:pPr>
        <w:ind w:left="851"/>
        <w:rPr>
          <w:sz w:val="24"/>
          <w:szCs w:val="24"/>
        </w:rPr>
      </w:pPr>
    </w:p>
    <w:p w14:paraId="445C48E0" w14:textId="579B4943" w:rsidR="00165A40" w:rsidRPr="00CD2342" w:rsidRDefault="00165A40" w:rsidP="00165A40">
      <w:pPr>
        <w:pStyle w:val="Brdtekst"/>
        <w:spacing w:after="0"/>
        <w:ind w:left="851"/>
        <w:rPr>
          <w:szCs w:val="24"/>
        </w:rPr>
      </w:pPr>
      <w:r w:rsidRPr="00CD2342">
        <w:rPr>
          <w:szCs w:val="24"/>
        </w:rPr>
        <w:t>Dette lægemiddel indeholder mindre end 1 mmol natrium (23 mg) per dosis; dvs. det er i det væsentlige natriumfrit</w:t>
      </w:r>
    </w:p>
    <w:p w14:paraId="081D2CC1" w14:textId="77777777" w:rsidR="009260DE" w:rsidRPr="00CD2342" w:rsidRDefault="009260DE" w:rsidP="009260DE">
      <w:pPr>
        <w:tabs>
          <w:tab w:val="left" w:pos="851"/>
        </w:tabs>
        <w:ind w:left="851"/>
        <w:rPr>
          <w:sz w:val="24"/>
          <w:szCs w:val="24"/>
        </w:rPr>
      </w:pPr>
    </w:p>
    <w:p w14:paraId="624A915C" w14:textId="77777777" w:rsidR="009260DE" w:rsidRPr="00CD2342" w:rsidRDefault="009260DE" w:rsidP="009260DE">
      <w:pPr>
        <w:tabs>
          <w:tab w:val="left" w:pos="851"/>
        </w:tabs>
        <w:ind w:left="851" w:hanging="851"/>
        <w:rPr>
          <w:b/>
          <w:sz w:val="24"/>
          <w:szCs w:val="24"/>
        </w:rPr>
      </w:pPr>
      <w:r w:rsidRPr="00CD2342">
        <w:rPr>
          <w:b/>
          <w:sz w:val="24"/>
          <w:szCs w:val="24"/>
        </w:rPr>
        <w:t>4.5</w:t>
      </w:r>
      <w:r w:rsidRPr="00CD2342">
        <w:rPr>
          <w:b/>
          <w:sz w:val="24"/>
          <w:szCs w:val="24"/>
        </w:rPr>
        <w:tab/>
        <w:t>Interaktion med andre lægemidler og andre former for interaktion</w:t>
      </w:r>
    </w:p>
    <w:p w14:paraId="2147C027" w14:textId="77777777" w:rsidR="002566A7" w:rsidRDefault="002566A7" w:rsidP="002566A7">
      <w:pPr>
        <w:ind w:left="851"/>
        <w:rPr>
          <w:sz w:val="24"/>
          <w:szCs w:val="24"/>
          <w:u w:val="single"/>
        </w:rPr>
      </w:pPr>
    </w:p>
    <w:p w14:paraId="3961BC8C" w14:textId="58B48B10" w:rsidR="00165A40" w:rsidRPr="002566A7" w:rsidRDefault="00165A40" w:rsidP="002566A7">
      <w:pPr>
        <w:ind w:left="851"/>
        <w:rPr>
          <w:sz w:val="24"/>
          <w:szCs w:val="24"/>
          <w:u w:val="single"/>
          <w:lang w:eastAsia="da-DK"/>
        </w:rPr>
      </w:pPr>
      <w:r w:rsidRPr="002566A7">
        <w:rPr>
          <w:sz w:val="24"/>
          <w:szCs w:val="24"/>
          <w:u w:val="single"/>
        </w:rPr>
        <w:t xml:space="preserve">Samtidig administration </w:t>
      </w:r>
      <w:proofErr w:type="spellStart"/>
      <w:r w:rsidRPr="002566A7">
        <w:rPr>
          <w:sz w:val="24"/>
          <w:szCs w:val="24"/>
          <w:u w:val="single"/>
        </w:rPr>
        <w:t>lithium</w:t>
      </w:r>
      <w:proofErr w:type="spellEnd"/>
      <w:r w:rsidRPr="002566A7">
        <w:rPr>
          <w:sz w:val="24"/>
          <w:szCs w:val="24"/>
          <w:u w:val="single"/>
        </w:rPr>
        <w:t xml:space="preserve"> og følgende lægemidler kan føre til øgede </w:t>
      </w:r>
      <w:proofErr w:type="spellStart"/>
      <w:r w:rsidRPr="002566A7">
        <w:rPr>
          <w:sz w:val="24"/>
          <w:szCs w:val="24"/>
          <w:u w:val="single"/>
        </w:rPr>
        <w:t>lithiumkoncentrationer</w:t>
      </w:r>
      <w:proofErr w:type="spellEnd"/>
      <w:r w:rsidRPr="002566A7">
        <w:rPr>
          <w:sz w:val="24"/>
          <w:szCs w:val="24"/>
          <w:u w:val="single"/>
        </w:rPr>
        <w:t xml:space="preserve"> og en risiko for toksicitet:</w:t>
      </w:r>
    </w:p>
    <w:p w14:paraId="758B2484" w14:textId="0E03CED0" w:rsidR="00165A40" w:rsidRPr="00CD2342" w:rsidRDefault="00165A40" w:rsidP="00165A40">
      <w:pPr>
        <w:numPr>
          <w:ilvl w:val="0"/>
          <w:numId w:val="8"/>
        </w:numPr>
        <w:rPr>
          <w:spacing w:val="-3"/>
          <w:sz w:val="24"/>
          <w:szCs w:val="24"/>
        </w:rPr>
      </w:pPr>
      <w:r w:rsidRPr="00CD2342">
        <w:rPr>
          <w:spacing w:val="-3"/>
          <w:sz w:val="24"/>
          <w:szCs w:val="24"/>
        </w:rPr>
        <w:t xml:space="preserve">Lægemidler, der kan forårsage nyreinsufficiens, har potentiale til at få </w:t>
      </w:r>
      <w:proofErr w:type="spellStart"/>
      <w:r w:rsidRPr="00CD2342">
        <w:rPr>
          <w:spacing w:val="-3"/>
          <w:sz w:val="24"/>
          <w:szCs w:val="24"/>
        </w:rPr>
        <w:t>lithiumniveauerne</w:t>
      </w:r>
      <w:proofErr w:type="spellEnd"/>
      <w:r w:rsidRPr="00CD2342">
        <w:rPr>
          <w:spacing w:val="-3"/>
          <w:sz w:val="24"/>
          <w:szCs w:val="24"/>
        </w:rPr>
        <w:t xml:space="preserve"> til at stige og derved forårsage toksicitet. Hvis brugen af sådanne lægemidler er uundgåelig, skal </w:t>
      </w:r>
      <w:proofErr w:type="spellStart"/>
      <w:r w:rsidRPr="00CD2342">
        <w:rPr>
          <w:spacing w:val="-3"/>
          <w:sz w:val="24"/>
          <w:szCs w:val="24"/>
        </w:rPr>
        <w:t>lithiumserumniveauet</w:t>
      </w:r>
      <w:proofErr w:type="spellEnd"/>
      <w:r w:rsidRPr="00CD2342">
        <w:rPr>
          <w:spacing w:val="-3"/>
          <w:sz w:val="24"/>
          <w:szCs w:val="24"/>
        </w:rPr>
        <w:t xml:space="preserve"> monitoreres tæt og dosis tilpasses efter behov.</w:t>
      </w:r>
    </w:p>
    <w:p w14:paraId="7604DE1A" w14:textId="4321B0EB" w:rsidR="00165A40" w:rsidRPr="00CD2342" w:rsidRDefault="00165A40" w:rsidP="00165A40">
      <w:pPr>
        <w:numPr>
          <w:ilvl w:val="0"/>
          <w:numId w:val="8"/>
        </w:numPr>
        <w:rPr>
          <w:spacing w:val="-3"/>
          <w:sz w:val="24"/>
          <w:szCs w:val="24"/>
        </w:rPr>
      </w:pPr>
      <w:proofErr w:type="spellStart"/>
      <w:r w:rsidRPr="00CD2342">
        <w:rPr>
          <w:spacing w:val="-3"/>
          <w:sz w:val="24"/>
          <w:szCs w:val="24"/>
        </w:rPr>
        <w:t>Antiinfektiva</w:t>
      </w:r>
      <w:proofErr w:type="spellEnd"/>
      <w:r w:rsidRPr="00CD2342">
        <w:rPr>
          <w:spacing w:val="-3"/>
          <w:sz w:val="24"/>
          <w:szCs w:val="24"/>
        </w:rPr>
        <w:t xml:space="preserve">: En stigning i </w:t>
      </w:r>
      <w:proofErr w:type="spellStart"/>
      <w:r w:rsidRPr="00CD2342">
        <w:rPr>
          <w:spacing w:val="-3"/>
          <w:sz w:val="24"/>
          <w:szCs w:val="24"/>
        </w:rPr>
        <w:t>lithiumkoncentration</w:t>
      </w:r>
      <w:proofErr w:type="spellEnd"/>
      <w:r w:rsidRPr="00CD2342">
        <w:rPr>
          <w:spacing w:val="-3"/>
          <w:sz w:val="24"/>
          <w:szCs w:val="24"/>
        </w:rPr>
        <w:t xml:space="preserve"> med kliniske tegn på toksicitet under samtidig administration af </w:t>
      </w:r>
      <w:proofErr w:type="spellStart"/>
      <w:r w:rsidRPr="00CD2342">
        <w:rPr>
          <w:spacing w:val="-3"/>
          <w:sz w:val="24"/>
          <w:szCs w:val="24"/>
        </w:rPr>
        <w:t>antiinfektiva</w:t>
      </w:r>
      <w:proofErr w:type="spellEnd"/>
      <w:r w:rsidRPr="00CD2342">
        <w:rPr>
          <w:spacing w:val="-3"/>
          <w:sz w:val="24"/>
          <w:szCs w:val="24"/>
        </w:rPr>
        <w:t xml:space="preserve"> såsom </w:t>
      </w:r>
      <w:proofErr w:type="spellStart"/>
      <w:r w:rsidRPr="00CD2342">
        <w:rPr>
          <w:spacing w:val="-3"/>
          <w:sz w:val="24"/>
          <w:szCs w:val="24"/>
        </w:rPr>
        <w:t>trimethoprim</w:t>
      </w:r>
      <w:proofErr w:type="spellEnd"/>
      <w:r w:rsidRPr="00CD2342">
        <w:rPr>
          <w:spacing w:val="-3"/>
          <w:sz w:val="24"/>
          <w:szCs w:val="24"/>
        </w:rPr>
        <w:t xml:space="preserve">, </w:t>
      </w:r>
      <w:proofErr w:type="spellStart"/>
      <w:r w:rsidRPr="00CD2342">
        <w:rPr>
          <w:spacing w:val="-3"/>
          <w:sz w:val="24"/>
          <w:szCs w:val="24"/>
        </w:rPr>
        <w:t>metronidazol</w:t>
      </w:r>
      <w:proofErr w:type="spellEnd"/>
      <w:r w:rsidRPr="00CD2342">
        <w:rPr>
          <w:spacing w:val="-3"/>
          <w:sz w:val="24"/>
          <w:szCs w:val="24"/>
        </w:rPr>
        <w:t xml:space="preserve">, </w:t>
      </w:r>
      <w:proofErr w:type="spellStart"/>
      <w:r w:rsidRPr="00CD2342">
        <w:rPr>
          <w:spacing w:val="-3"/>
          <w:sz w:val="24"/>
          <w:szCs w:val="24"/>
        </w:rPr>
        <w:t>tetracykliner</w:t>
      </w:r>
      <w:proofErr w:type="spellEnd"/>
      <w:r w:rsidRPr="00CD2342">
        <w:rPr>
          <w:spacing w:val="-3"/>
          <w:sz w:val="24"/>
          <w:szCs w:val="24"/>
        </w:rPr>
        <w:t xml:space="preserve">, </w:t>
      </w:r>
      <w:proofErr w:type="spellStart"/>
      <w:r w:rsidRPr="00CD2342">
        <w:rPr>
          <w:spacing w:val="-3"/>
          <w:sz w:val="24"/>
          <w:szCs w:val="24"/>
        </w:rPr>
        <w:t>spectinomycin</w:t>
      </w:r>
      <w:proofErr w:type="spellEnd"/>
      <w:r w:rsidRPr="00CD2342">
        <w:rPr>
          <w:spacing w:val="-3"/>
          <w:sz w:val="24"/>
          <w:szCs w:val="24"/>
        </w:rPr>
        <w:t xml:space="preserve"> og </w:t>
      </w:r>
      <w:proofErr w:type="spellStart"/>
      <w:r w:rsidRPr="00CD2342">
        <w:rPr>
          <w:spacing w:val="-3"/>
          <w:sz w:val="24"/>
          <w:szCs w:val="24"/>
        </w:rPr>
        <w:t>levofloxacin</w:t>
      </w:r>
      <w:proofErr w:type="spellEnd"/>
      <w:r w:rsidRPr="00CD2342">
        <w:rPr>
          <w:spacing w:val="-3"/>
          <w:sz w:val="24"/>
          <w:szCs w:val="24"/>
        </w:rPr>
        <w:t xml:space="preserve"> er sjældent blevet rapporteret.</w:t>
      </w:r>
    </w:p>
    <w:p w14:paraId="33C978EB" w14:textId="77777777" w:rsidR="00165A40" w:rsidRPr="00CD2342" w:rsidRDefault="00165A40" w:rsidP="00165A40">
      <w:pPr>
        <w:numPr>
          <w:ilvl w:val="0"/>
          <w:numId w:val="8"/>
        </w:numPr>
        <w:rPr>
          <w:spacing w:val="-3"/>
          <w:sz w:val="24"/>
          <w:szCs w:val="24"/>
        </w:rPr>
      </w:pPr>
      <w:r w:rsidRPr="00CD2342">
        <w:rPr>
          <w:spacing w:val="-3"/>
          <w:sz w:val="24"/>
          <w:szCs w:val="24"/>
        </w:rPr>
        <w:t xml:space="preserve">Cyclo-oxygenase-2 (COX-2) </w:t>
      </w:r>
      <w:proofErr w:type="spellStart"/>
      <w:r w:rsidRPr="00CD2342">
        <w:rPr>
          <w:spacing w:val="-3"/>
          <w:sz w:val="24"/>
          <w:szCs w:val="24"/>
        </w:rPr>
        <w:t>hæmmere</w:t>
      </w:r>
      <w:proofErr w:type="spellEnd"/>
      <w:r w:rsidRPr="00CD2342">
        <w:rPr>
          <w:spacing w:val="-3"/>
          <w:sz w:val="24"/>
          <w:szCs w:val="24"/>
        </w:rPr>
        <w:t xml:space="preserve">: </w:t>
      </w:r>
      <w:proofErr w:type="spellStart"/>
      <w:r w:rsidRPr="00CD2342">
        <w:rPr>
          <w:spacing w:val="-3"/>
          <w:sz w:val="24"/>
          <w:szCs w:val="24"/>
        </w:rPr>
        <w:t>Serumlithiumkoncentrationer</w:t>
      </w:r>
      <w:proofErr w:type="spellEnd"/>
      <w:r w:rsidRPr="00CD2342">
        <w:rPr>
          <w:spacing w:val="-3"/>
          <w:sz w:val="24"/>
          <w:szCs w:val="24"/>
        </w:rPr>
        <w:t xml:space="preserve"> skal monitoreres hyppigere, hvis NSAID-behandling initieres eller seponeres. Kliniske tegn på toksicitet forbundet med en stigning i </w:t>
      </w:r>
      <w:proofErr w:type="spellStart"/>
      <w:r w:rsidRPr="00CD2342">
        <w:rPr>
          <w:spacing w:val="-3"/>
          <w:sz w:val="24"/>
          <w:szCs w:val="24"/>
        </w:rPr>
        <w:t>lithiumkoncentrationer</w:t>
      </w:r>
      <w:proofErr w:type="spellEnd"/>
      <w:r w:rsidRPr="00CD2342">
        <w:rPr>
          <w:spacing w:val="-3"/>
          <w:sz w:val="24"/>
          <w:szCs w:val="24"/>
        </w:rPr>
        <w:t xml:space="preserve"> under samtidig administration med </w:t>
      </w:r>
      <w:proofErr w:type="spellStart"/>
      <w:r w:rsidRPr="00CD2342">
        <w:rPr>
          <w:spacing w:val="-3"/>
          <w:sz w:val="24"/>
          <w:szCs w:val="24"/>
        </w:rPr>
        <w:t>rofecoxib</w:t>
      </w:r>
      <w:proofErr w:type="spellEnd"/>
      <w:r w:rsidRPr="00CD2342">
        <w:rPr>
          <w:spacing w:val="-3"/>
          <w:sz w:val="24"/>
          <w:szCs w:val="24"/>
        </w:rPr>
        <w:t xml:space="preserve"> og </w:t>
      </w:r>
      <w:proofErr w:type="spellStart"/>
      <w:r w:rsidRPr="00CD2342">
        <w:rPr>
          <w:spacing w:val="-3"/>
          <w:sz w:val="24"/>
          <w:szCs w:val="24"/>
        </w:rPr>
        <w:t>celecoxib</w:t>
      </w:r>
      <w:proofErr w:type="spellEnd"/>
      <w:r w:rsidRPr="00CD2342">
        <w:rPr>
          <w:spacing w:val="-3"/>
          <w:sz w:val="24"/>
          <w:szCs w:val="24"/>
        </w:rPr>
        <w:t xml:space="preserve"> er sjældent blevet beskrevet. </w:t>
      </w:r>
    </w:p>
    <w:p w14:paraId="53309162" w14:textId="014953BE" w:rsidR="00165A40" w:rsidRPr="00CD2342" w:rsidRDefault="00165A40" w:rsidP="00165A40">
      <w:pPr>
        <w:numPr>
          <w:ilvl w:val="0"/>
          <w:numId w:val="8"/>
        </w:numPr>
        <w:rPr>
          <w:spacing w:val="-3"/>
          <w:sz w:val="24"/>
          <w:szCs w:val="24"/>
        </w:rPr>
      </w:pPr>
      <w:proofErr w:type="spellStart"/>
      <w:r w:rsidRPr="00CD2342">
        <w:rPr>
          <w:spacing w:val="-3"/>
          <w:sz w:val="24"/>
          <w:szCs w:val="24"/>
        </w:rPr>
        <w:t>Angiotensin</w:t>
      </w:r>
      <w:proofErr w:type="spellEnd"/>
      <w:r w:rsidRPr="00CD2342">
        <w:rPr>
          <w:spacing w:val="-3"/>
          <w:sz w:val="24"/>
          <w:szCs w:val="24"/>
        </w:rPr>
        <w:t xml:space="preserve"> II-antagonister (f.eks. </w:t>
      </w:r>
      <w:proofErr w:type="spellStart"/>
      <w:r w:rsidRPr="00CD2342">
        <w:rPr>
          <w:spacing w:val="-3"/>
          <w:sz w:val="24"/>
          <w:szCs w:val="24"/>
        </w:rPr>
        <w:t>losartan</w:t>
      </w:r>
      <w:proofErr w:type="spellEnd"/>
      <w:r w:rsidRPr="00CD2342">
        <w:rPr>
          <w:spacing w:val="-3"/>
          <w:sz w:val="24"/>
          <w:szCs w:val="24"/>
        </w:rPr>
        <w:t xml:space="preserve">, </w:t>
      </w:r>
      <w:proofErr w:type="spellStart"/>
      <w:r w:rsidRPr="00CD2342">
        <w:rPr>
          <w:spacing w:val="-3"/>
          <w:sz w:val="24"/>
          <w:szCs w:val="24"/>
        </w:rPr>
        <w:t>irbesartan</w:t>
      </w:r>
      <w:proofErr w:type="spellEnd"/>
      <w:r w:rsidRPr="00CD2342">
        <w:rPr>
          <w:spacing w:val="-3"/>
          <w:sz w:val="24"/>
          <w:szCs w:val="24"/>
        </w:rPr>
        <w:t>) og ACE-</w:t>
      </w:r>
      <w:proofErr w:type="spellStart"/>
      <w:r w:rsidRPr="00CD2342">
        <w:rPr>
          <w:spacing w:val="-3"/>
          <w:sz w:val="24"/>
          <w:szCs w:val="24"/>
        </w:rPr>
        <w:t>hæmmere</w:t>
      </w:r>
      <w:proofErr w:type="spellEnd"/>
      <w:r w:rsidRPr="00CD2342">
        <w:rPr>
          <w:spacing w:val="-3"/>
          <w:sz w:val="24"/>
          <w:szCs w:val="24"/>
        </w:rPr>
        <w:t xml:space="preserve"> (f.eks. </w:t>
      </w:r>
      <w:proofErr w:type="spellStart"/>
      <w:r w:rsidRPr="00CD2342">
        <w:rPr>
          <w:spacing w:val="-3"/>
          <w:sz w:val="24"/>
          <w:szCs w:val="24"/>
        </w:rPr>
        <w:t>enalapril</w:t>
      </w:r>
      <w:proofErr w:type="spellEnd"/>
      <w:r w:rsidRPr="00CD2342">
        <w:rPr>
          <w:spacing w:val="-3"/>
          <w:sz w:val="24"/>
          <w:szCs w:val="24"/>
        </w:rPr>
        <w:t xml:space="preserve">, </w:t>
      </w:r>
      <w:proofErr w:type="spellStart"/>
      <w:r w:rsidRPr="00CD2342">
        <w:rPr>
          <w:spacing w:val="-3"/>
          <w:sz w:val="24"/>
          <w:szCs w:val="24"/>
        </w:rPr>
        <w:t>lisinopril</w:t>
      </w:r>
      <w:proofErr w:type="spellEnd"/>
      <w:r w:rsidRPr="00CD2342">
        <w:rPr>
          <w:spacing w:val="-3"/>
          <w:sz w:val="24"/>
          <w:szCs w:val="24"/>
        </w:rPr>
        <w:t xml:space="preserve">, </w:t>
      </w:r>
      <w:proofErr w:type="spellStart"/>
      <w:r w:rsidRPr="00CD2342">
        <w:rPr>
          <w:spacing w:val="-3"/>
          <w:sz w:val="24"/>
          <w:szCs w:val="24"/>
        </w:rPr>
        <w:t>ramipril</w:t>
      </w:r>
      <w:proofErr w:type="spellEnd"/>
      <w:r w:rsidRPr="00CD2342">
        <w:rPr>
          <w:spacing w:val="-3"/>
          <w:sz w:val="24"/>
          <w:szCs w:val="24"/>
        </w:rPr>
        <w:t xml:space="preserve">) hæmmer udskillelsen af natrium i urinen, hvilket kan føre til </w:t>
      </w:r>
      <w:proofErr w:type="spellStart"/>
      <w:r w:rsidRPr="00CD2342">
        <w:rPr>
          <w:spacing w:val="-3"/>
          <w:sz w:val="24"/>
          <w:szCs w:val="24"/>
        </w:rPr>
        <w:t>lithiumretention</w:t>
      </w:r>
      <w:proofErr w:type="spellEnd"/>
      <w:r w:rsidRPr="00CD2342">
        <w:rPr>
          <w:spacing w:val="-3"/>
          <w:sz w:val="24"/>
          <w:szCs w:val="24"/>
        </w:rPr>
        <w:t xml:space="preserve">, især hos patienter med nedsat nyrefunktion. Afhængigt af serumkoncentrationerne skal </w:t>
      </w:r>
      <w:proofErr w:type="spellStart"/>
      <w:r w:rsidRPr="00CD2342">
        <w:rPr>
          <w:spacing w:val="-3"/>
          <w:sz w:val="24"/>
          <w:szCs w:val="24"/>
        </w:rPr>
        <w:t>lithiumdosis</w:t>
      </w:r>
      <w:proofErr w:type="spellEnd"/>
      <w:r w:rsidRPr="00CD2342">
        <w:rPr>
          <w:spacing w:val="-3"/>
          <w:sz w:val="24"/>
          <w:szCs w:val="24"/>
        </w:rPr>
        <w:t xml:space="preserve"> muligvis justeres.</w:t>
      </w:r>
    </w:p>
    <w:p w14:paraId="0946376B" w14:textId="77777777" w:rsidR="00165A40" w:rsidRPr="00CD2342" w:rsidRDefault="00165A40" w:rsidP="00165A40">
      <w:pPr>
        <w:numPr>
          <w:ilvl w:val="0"/>
          <w:numId w:val="8"/>
        </w:numPr>
        <w:rPr>
          <w:spacing w:val="-3"/>
          <w:sz w:val="24"/>
          <w:szCs w:val="24"/>
        </w:rPr>
      </w:pPr>
      <w:proofErr w:type="spellStart"/>
      <w:r w:rsidRPr="00CD2342">
        <w:rPr>
          <w:spacing w:val="-3"/>
          <w:sz w:val="24"/>
          <w:szCs w:val="24"/>
        </w:rPr>
        <w:t>Diuretika</w:t>
      </w:r>
      <w:proofErr w:type="spellEnd"/>
      <w:r w:rsidRPr="00CD2342">
        <w:rPr>
          <w:spacing w:val="-3"/>
          <w:sz w:val="24"/>
          <w:szCs w:val="24"/>
        </w:rPr>
        <w:t xml:space="preserve">: Natriumhæmmende </w:t>
      </w:r>
      <w:proofErr w:type="spellStart"/>
      <w:r w:rsidRPr="00CD2342">
        <w:rPr>
          <w:spacing w:val="-3"/>
          <w:sz w:val="24"/>
          <w:szCs w:val="24"/>
        </w:rPr>
        <w:t>diuretika</w:t>
      </w:r>
      <w:proofErr w:type="spellEnd"/>
      <w:r w:rsidRPr="00CD2342">
        <w:rPr>
          <w:spacing w:val="-3"/>
          <w:sz w:val="24"/>
          <w:szCs w:val="24"/>
        </w:rPr>
        <w:t xml:space="preserve"> (</w:t>
      </w:r>
      <w:proofErr w:type="spellStart"/>
      <w:r w:rsidRPr="00CD2342">
        <w:rPr>
          <w:spacing w:val="-3"/>
          <w:sz w:val="24"/>
          <w:szCs w:val="24"/>
        </w:rPr>
        <w:t>thiazider</w:t>
      </w:r>
      <w:proofErr w:type="spellEnd"/>
      <w:r w:rsidRPr="00CD2342">
        <w:rPr>
          <w:spacing w:val="-3"/>
          <w:sz w:val="24"/>
          <w:szCs w:val="24"/>
        </w:rPr>
        <w:t xml:space="preserve"> og loop-</w:t>
      </w:r>
      <w:proofErr w:type="spellStart"/>
      <w:r w:rsidRPr="00CD2342">
        <w:rPr>
          <w:spacing w:val="-3"/>
          <w:sz w:val="24"/>
          <w:szCs w:val="24"/>
        </w:rPr>
        <w:t>diuretika</w:t>
      </w:r>
      <w:proofErr w:type="spellEnd"/>
      <w:r w:rsidRPr="00CD2342">
        <w:rPr>
          <w:spacing w:val="-3"/>
          <w:sz w:val="24"/>
          <w:szCs w:val="24"/>
        </w:rPr>
        <w:t xml:space="preserve">) kan nedsætte </w:t>
      </w:r>
      <w:proofErr w:type="spellStart"/>
      <w:r w:rsidRPr="00CD2342">
        <w:rPr>
          <w:spacing w:val="-3"/>
          <w:sz w:val="24"/>
          <w:szCs w:val="24"/>
        </w:rPr>
        <w:t>lithiumudskillelsen</w:t>
      </w:r>
      <w:proofErr w:type="spellEnd"/>
      <w:r w:rsidRPr="00CD2342">
        <w:rPr>
          <w:spacing w:val="-3"/>
          <w:sz w:val="24"/>
          <w:szCs w:val="24"/>
        </w:rPr>
        <w:t xml:space="preserve"> og forårsage </w:t>
      </w:r>
      <w:proofErr w:type="spellStart"/>
      <w:r w:rsidRPr="00CD2342">
        <w:rPr>
          <w:spacing w:val="-3"/>
          <w:sz w:val="24"/>
          <w:szCs w:val="24"/>
        </w:rPr>
        <w:t>lithiumforgiftning</w:t>
      </w:r>
      <w:proofErr w:type="spellEnd"/>
      <w:r w:rsidRPr="00CD2342">
        <w:rPr>
          <w:spacing w:val="-3"/>
          <w:sz w:val="24"/>
          <w:szCs w:val="24"/>
        </w:rPr>
        <w:t>.</w:t>
      </w:r>
    </w:p>
    <w:p w14:paraId="65C8BD0A" w14:textId="77777777" w:rsidR="00165A40" w:rsidRPr="00CD2342" w:rsidRDefault="00165A40" w:rsidP="00165A40">
      <w:pPr>
        <w:numPr>
          <w:ilvl w:val="0"/>
          <w:numId w:val="8"/>
        </w:numPr>
        <w:rPr>
          <w:spacing w:val="-3"/>
          <w:sz w:val="24"/>
          <w:szCs w:val="24"/>
        </w:rPr>
      </w:pPr>
      <w:proofErr w:type="spellStart"/>
      <w:r w:rsidRPr="00CD2342">
        <w:rPr>
          <w:spacing w:val="-3"/>
          <w:sz w:val="24"/>
          <w:szCs w:val="24"/>
        </w:rPr>
        <w:t>Carbamazepin</w:t>
      </w:r>
      <w:proofErr w:type="spellEnd"/>
      <w:r w:rsidRPr="00CD2342">
        <w:rPr>
          <w:spacing w:val="-3"/>
          <w:sz w:val="24"/>
          <w:szCs w:val="24"/>
        </w:rPr>
        <w:t xml:space="preserve">, </w:t>
      </w:r>
      <w:proofErr w:type="spellStart"/>
      <w:r w:rsidRPr="00CD2342">
        <w:rPr>
          <w:spacing w:val="-3"/>
          <w:sz w:val="24"/>
          <w:szCs w:val="24"/>
        </w:rPr>
        <w:t>phenytoin</w:t>
      </w:r>
      <w:proofErr w:type="spellEnd"/>
      <w:r w:rsidRPr="00CD2342">
        <w:rPr>
          <w:spacing w:val="-3"/>
          <w:sz w:val="24"/>
          <w:szCs w:val="24"/>
        </w:rPr>
        <w:t xml:space="preserve">: Kan øge plasmakoncentrationerne af </w:t>
      </w:r>
      <w:proofErr w:type="spellStart"/>
      <w:r w:rsidRPr="00CD2342">
        <w:rPr>
          <w:spacing w:val="-3"/>
          <w:sz w:val="24"/>
          <w:szCs w:val="24"/>
        </w:rPr>
        <w:t>lithium</w:t>
      </w:r>
      <w:proofErr w:type="spellEnd"/>
      <w:r w:rsidRPr="00CD2342">
        <w:rPr>
          <w:spacing w:val="-3"/>
          <w:sz w:val="24"/>
          <w:szCs w:val="24"/>
        </w:rPr>
        <w:t>.</w:t>
      </w:r>
    </w:p>
    <w:p w14:paraId="6109192C" w14:textId="77777777" w:rsidR="00165A40" w:rsidRPr="00CD2342" w:rsidRDefault="00165A40" w:rsidP="00165A40">
      <w:pPr>
        <w:numPr>
          <w:ilvl w:val="0"/>
          <w:numId w:val="8"/>
        </w:numPr>
        <w:rPr>
          <w:spacing w:val="-3"/>
          <w:sz w:val="24"/>
          <w:szCs w:val="24"/>
        </w:rPr>
      </w:pPr>
      <w:r w:rsidRPr="00CD2342">
        <w:rPr>
          <w:spacing w:val="-3"/>
          <w:sz w:val="24"/>
          <w:szCs w:val="24"/>
        </w:rPr>
        <w:t xml:space="preserve">Andre lægemidler, der påvirker elektrolytbalancen, f.eks. steroider, kan ændre </w:t>
      </w:r>
      <w:proofErr w:type="spellStart"/>
      <w:r w:rsidRPr="00CD2342">
        <w:rPr>
          <w:spacing w:val="-3"/>
          <w:sz w:val="24"/>
          <w:szCs w:val="24"/>
        </w:rPr>
        <w:t>lithiumudskillelsen</w:t>
      </w:r>
      <w:proofErr w:type="spellEnd"/>
      <w:r w:rsidRPr="00CD2342">
        <w:rPr>
          <w:spacing w:val="-3"/>
          <w:sz w:val="24"/>
          <w:szCs w:val="24"/>
        </w:rPr>
        <w:t xml:space="preserve"> og bør derfor undgås.</w:t>
      </w:r>
    </w:p>
    <w:p w14:paraId="3517A672" w14:textId="77777777" w:rsidR="00165A40" w:rsidRPr="00CD2342" w:rsidRDefault="00165A40" w:rsidP="00165A40">
      <w:pPr>
        <w:ind w:left="851"/>
        <w:rPr>
          <w:spacing w:val="-3"/>
          <w:sz w:val="24"/>
          <w:szCs w:val="24"/>
        </w:rPr>
      </w:pPr>
    </w:p>
    <w:p w14:paraId="675927BF" w14:textId="77777777" w:rsidR="00165A40" w:rsidRPr="00CD2342" w:rsidRDefault="00165A40" w:rsidP="00165A40">
      <w:pPr>
        <w:ind w:left="851"/>
        <w:rPr>
          <w:spacing w:val="-3"/>
          <w:sz w:val="24"/>
          <w:szCs w:val="24"/>
          <w:u w:val="single"/>
        </w:rPr>
      </w:pPr>
      <w:r w:rsidRPr="00CD2342">
        <w:rPr>
          <w:spacing w:val="-3"/>
          <w:sz w:val="24"/>
          <w:szCs w:val="24"/>
          <w:u w:val="single"/>
        </w:rPr>
        <w:t xml:space="preserve">Samtidig administration af følgende lægemidler med </w:t>
      </w:r>
      <w:proofErr w:type="spellStart"/>
      <w:r w:rsidRPr="00CD2342">
        <w:rPr>
          <w:spacing w:val="-3"/>
          <w:sz w:val="24"/>
          <w:szCs w:val="24"/>
          <w:u w:val="single"/>
        </w:rPr>
        <w:t>lithium</w:t>
      </w:r>
      <w:proofErr w:type="spellEnd"/>
      <w:r w:rsidRPr="00CD2342">
        <w:rPr>
          <w:spacing w:val="-3"/>
          <w:sz w:val="24"/>
          <w:szCs w:val="24"/>
          <w:u w:val="single"/>
        </w:rPr>
        <w:t xml:space="preserve"> kan føre til nedsat plasmakoncentration af </w:t>
      </w:r>
      <w:proofErr w:type="spellStart"/>
      <w:r w:rsidRPr="00CD2342">
        <w:rPr>
          <w:spacing w:val="-3"/>
          <w:sz w:val="24"/>
          <w:szCs w:val="24"/>
          <w:u w:val="single"/>
        </w:rPr>
        <w:t>lithium</w:t>
      </w:r>
      <w:proofErr w:type="spellEnd"/>
      <w:r w:rsidRPr="00CD2342">
        <w:rPr>
          <w:spacing w:val="-3"/>
          <w:sz w:val="24"/>
          <w:szCs w:val="24"/>
          <w:u w:val="single"/>
        </w:rPr>
        <w:t xml:space="preserve"> og en risiko for tab af effekt:</w:t>
      </w:r>
    </w:p>
    <w:p w14:paraId="6256BD66" w14:textId="77777777" w:rsidR="00165A40" w:rsidRPr="00CD2342" w:rsidRDefault="00165A40" w:rsidP="00165A40">
      <w:pPr>
        <w:numPr>
          <w:ilvl w:val="0"/>
          <w:numId w:val="9"/>
        </w:numPr>
        <w:rPr>
          <w:spacing w:val="-3"/>
          <w:sz w:val="24"/>
          <w:szCs w:val="24"/>
        </w:rPr>
      </w:pPr>
      <w:proofErr w:type="spellStart"/>
      <w:r w:rsidRPr="00CD2342">
        <w:rPr>
          <w:spacing w:val="-3"/>
          <w:sz w:val="24"/>
          <w:szCs w:val="24"/>
        </w:rPr>
        <w:t>Natriumbicarbonat</w:t>
      </w:r>
      <w:proofErr w:type="spellEnd"/>
    </w:p>
    <w:p w14:paraId="34ACEB4A" w14:textId="77777777" w:rsidR="00165A40" w:rsidRPr="00CD2342" w:rsidRDefault="00165A40" w:rsidP="00165A40">
      <w:pPr>
        <w:numPr>
          <w:ilvl w:val="0"/>
          <w:numId w:val="9"/>
        </w:numPr>
        <w:rPr>
          <w:spacing w:val="-3"/>
          <w:sz w:val="24"/>
          <w:szCs w:val="24"/>
        </w:rPr>
      </w:pPr>
      <w:proofErr w:type="spellStart"/>
      <w:r w:rsidRPr="00CD2342">
        <w:rPr>
          <w:spacing w:val="-3"/>
          <w:sz w:val="24"/>
          <w:szCs w:val="24"/>
        </w:rPr>
        <w:t>Xanthiner</w:t>
      </w:r>
      <w:proofErr w:type="spellEnd"/>
      <w:r w:rsidRPr="00CD2342">
        <w:rPr>
          <w:spacing w:val="-3"/>
          <w:sz w:val="24"/>
          <w:szCs w:val="24"/>
        </w:rPr>
        <w:t xml:space="preserve"> (</w:t>
      </w:r>
      <w:proofErr w:type="spellStart"/>
      <w:r w:rsidRPr="00CD2342">
        <w:rPr>
          <w:spacing w:val="-3"/>
          <w:sz w:val="24"/>
          <w:szCs w:val="24"/>
        </w:rPr>
        <w:t>theophyllin</w:t>
      </w:r>
      <w:proofErr w:type="spellEnd"/>
      <w:r w:rsidRPr="00CD2342">
        <w:rPr>
          <w:spacing w:val="-3"/>
          <w:sz w:val="24"/>
          <w:szCs w:val="24"/>
        </w:rPr>
        <w:t xml:space="preserve">, koffein): </w:t>
      </w:r>
      <w:proofErr w:type="spellStart"/>
      <w:r w:rsidRPr="00CD2342">
        <w:rPr>
          <w:spacing w:val="-3"/>
          <w:sz w:val="24"/>
          <w:szCs w:val="24"/>
        </w:rPr>
        <w:t>Serumlithium</w:t>
      </w:r>
      <w:proofErr w:type="spellEnd"/>
      <w:r w:rsidRPr="00CD2342">
        <w:rPr>
          <w:spacing w:val="-3"/>
          <w:sz w:val="24"/>
          <w:szCs w:val="24"/>
        </w:rPr>
        <w:t xml:space="preserve"> reduceres med 20-30 % på grund af øget </w:t>
      </w:r>
      <w:proofErr w:type="spellStart"/>
      <w:r w:rsidRPr="00CD2342">
        <w:rPr>
          <w:spacing w:val="-3"/>
          <w:sz w:val="24"/>
          <w:szCs w:val="24"/>
        </w:rPr>
        <w:t>renal</w:t>
      </w:r>
      <w:proofErr w:type="spellEnd"/>
      <w:r w:rsidRPr="00CD2342">
        <w:rPr>
          <w:spacing w:val="-3"/>
          <w:sz w:val="24"/>
          <w:szCs w:val="24"/>
        </w:rPr>
        <w:t xml:space="preserve"> </w:t>
      </w:r>
      <w:proofErr w:type="spellStart"/>
      <w:r w:rsidRPr="00CD2342">
        <w:rPr>
          <w:spacing w:val="-3"/>
          <w:sz w:val="24"/>
          <w:szCs w:val="24"/>
        </w:rPr>
        <w:t>clearance</w:t>
      </w:r>
      <w:proofErr w:type="spellEnd"/>
      <w:r w:rsidRPr="00CD2342">
        <w:rPr>
          <w:spacing w:val="-3"/>
          <w:sz w:val="24"/>
          <w:szCs w:val="24"/>
        </w:rPr>
        <w:t xml:space="preserve"> under samtidig administration med </w:t>
      </w:r>
      <w:proofErr w:type="spellStart"/>
      <w:r w:rsidRPr="00CD2342">
        <w:rPr>
          <w:spacing w:val="-3"/>
          <w:sz w:val="24"/>
          <w:szCs w:val="24"/>
        </w:rPr>
        <w:t>theophyllin</w:t>
      </w:r>
      <w:proofErr w:type="spellEnd"/>
      <w:r w:rsidRPr="00CD2342">
        <w:rPr>
          <w:spacing w:val="-3"/>
          <w:sz w:val="24"/>
          <w:szCs w:val="24"/>
        </w:rPr>
        <w:t xml:space="preserve">. Interaktionen kan forårsage tab af effekt. Når </w:t>
      </w:r>
      <w:proofErr w:type="spellStart"/>
      <w:r w:rsidRPr="00CD2342">
        <w:rPr>
          <w:spacing w:val="-3"/>
          <w:sz w:val="24"/>
          <w:szCs w:val="24"/>
        </w:rPr>
        <w:t>teophyllinbehandlingen</w:t>
      </w:r>
      <w:proofErr w:type="spellEnd"/>
      <w:r w:rsidRPr="00CD2342">
        <w:rPr>
          <w:spacing w:val="-3"/>
          <w:sz w:val="24"/>
          <w:szCs w:val="24"/>
        </w:rPr>
        <w:t xml:space="preserve"> stoppes, er der risiko for </w:t>
      </w:r>
      <w:proofErr w:type="spellStart"/>
      <w:r w:rsidRPr="00CD2342">
        <w:rPr>
          <w:spacing w:val="-3"/>
          <w:sz w:val="24"/>
          <w:szCs w:val="24"/>
        </w:rPr>
        <w:t>lithiumforgiftning</w:t>
      </w:r>
      <w:proofErr w:type="spellEnd"/>
      <w:r w:rsidRPr="00CD2342">
        <w:rPr>
          <w:spacing w:val="-3"/>
          <w:sz w:val="24"/>
          <w:szCs w:val="24"/>
        </w:rPr>
        <w:t xml:space="preserve">, hvis </w:t>
      </w:r>
      <w:proofErr w:type="spellStart"/>
      <w:r w:rsidRPr="00CD2342">
        <w:rPr>
          <w:spacing w:val="-3"/>
          <w:sz w:val="24"/>
          <w:szCs w:val="24"/>
        </w:rPr>
        <w:t>lithiumdosis</w:t>
      </w:r>
      <w:proofErr w:type="spellEnd"/>
      <w:r w:rsidRPr="00CD2342">
        <w:rPr>
          <w:spacing w:val="-3"/>
          <w:sz w:val="24"/>
          <w:szCs w:val="24"/>
        </w:rPr>
        <w:t xml:space="preserve"> blev øget under samtidig behandling.</w:t>
      </w:r>
    </w:p>
    <w:p w14:paraId="68CB4BAC" w14:textId="77777777" w:rsidR="00165A40" w:rsidRPr="00CD2342" w:rsidRDefault="00165A40" w:rsidP="00165A40">
      <w:pPr>
        <w:numPr>
          <w:ilvl w:val="0"/>
          <w:numId w:val="9"/>
        </w:numPr>
        <w:rPr>
          <w:spacing w:val="-3"/>
          <w:sz w:val="24"/>
          <w:szCs w:val="24"/>
        </w:rPr>
      </w:pPr>
      <w:r w:rsidRPr="00CD2342">
        <w:rPr>
          <w:spacing w:val="-3"/>
          <w:sz w:val="24"/>
          <w:szCs w:val="24"/>
        </w:rPr>
        <w:t xml:space="preserve">Indtagelse af koffein kan øge den </w:t>
      </w:r>
      <w:proofErr w:type="spellStart"/>
      <w:r w:rsidRPr="00CD2342">
        <w:rPr>
          <w:spacing w:val="-3"/>
          <w:sz w:val="24"/>
          <w:szCs w:val="24"/>
        </w:rPr>
        <w:t>renale</w:t>
      </w:r>
      <w:proofErr w:type="spellEnd"/>
      <w:r w:rsidRPr="00CD2342">
        <w:rPr>
          <w:spacing w:val="-3"/>
          <w:sz w:val="24"/>
          <w:szCs w:val="24"/>
        </w:rPr>
        <w:t xml:space="preserve"> </w:t>
      </w:r>
      <w:proofErr w:type="spellStart"/>
      <w:r w:rsidRPr="00CD2342">
        <w:rPr>
          <w:spacing w:val="-3"/>
          <w:sz w:val="24"/>
          <w:szCs w:val="24"/>
        </w:rPr>
        <w:t>clearance</w:t>
      </w:r>
      <w:proofErr w:type="spellEnd"/>
      <w:r w:rsidRPr="00CD2342">
        <w:rPr>
          <w:spacing w:val="-3"/>
          <w:sz w:val="24"/>
          <w:szCs w:val="24"/>
        </w:rPr>
        <w:t xml:space="preserve"> af </w:t>
      </w:r>
      <w:proofErr w:type="spellStart"/>
      <w:r w:rsidRPr="00CD2342">
        <w:rPr>
          <w:spacing w:val="-3"/>
          <w:sz w:val="24"/>
          <w:szCs w:val="24"/>
        </w:rPr>
        <w:t>lithium</w:t>
      </w:r>
      <w:proofErr w:type="spellEnd"/>
      <w:r w:rsidRPr="00CD2342">
        <w:rPr>
          <w:spacing w:val="-3"/>
          <w:sz w:val="24"/>
          <w:szCs w:val="24"/>
        </w:rPr>
        <w:t xml:space="preserve">. Potentiel </w:t>
      </w:r>
      <w:proofErr w:type="spellStart"/>
      <w:r w:rsidRPr="00CD2342">
        <w:rPr>
          <w:spacing w:val="-3"/>
          <w:sz w:val="24"/>
          <w:szCs w:val="24"/>
        </w:rPr>
        <w:t>lithiumforgiftning</w:t>
      </w:r>
      <w:proofErr w:type="spellEnd"/>
      <w:r w:rsidRPr="00CD2342">
        <w:rPr>
          <w:spacing w:val="-3"/>
          <w:sz w:val="24"/>
          <w:szCs w:val="24"/>
        </w:rPr>
        <w:t xml:space="preserve"> kan ses i tilfælde af koffeinabstinenser efter langvarig samtidig indtagelse, med en resulterende 20-25 % stigning i </w:t>
      </w:r>
      <w:proofErr w:type="spellStart"/>
      <w:r w:rsidRPr="00CD2342">
        <w:rPr>
          <w:spacing w:val="-3"/>
          <w:sz w:val="24"/>
          <w:szCs w:val="24"/>
        </w:rPr>
        <w:t>serumlithiumkoncentrationen</w:t>
      </w:r>
      <w:proofErr w:type="spellEnd"/>
      <w:r w:rsidRPr="00CD2342">
        <w:rPr>
          <w:spacing w:val="-3"/>
          <w:sz w:val="24"/>
          <w:szCs w:val="24"/>
        </w:rPr>
        <w:t>.</w:t>
      </w:r>
    </w:p>
    <w:p w14:paraId="5A2304DC" w14:textId="77777777" w:rsidR="00165A40" w:rsidRPr="00CD2342" w:rsidRDefault="00165A40" w:rsidP="00165A40">
      <w:pPr>
        <w:numPr>
          <w:ilvl w:val="0"/>
          <w:numId w:val="9"/>
        </w:numPr>
        <w:rPr>
          <w:spacing w:val="-3"/>
          <w:sz w:val="24"/>
          <w:szCs w:val="24"/>
        </w:rPr>
      </w:pPr>
      <w:proofErr w:type="spellStart"/>
      <w:r w:rsidRPr="00CD2342">
        <w:rPr>
          <w:spacing w:val="-3"/>
          <w:sz w:val="24"/>
          <w:szCs w:val="24"/>
        </w:rPr>
        <w:t>Carboanhydrasehæmmere</w:t>
      </w:r>
      <w:proofErr w:type="spellEnd"/>
      <w:r w:rsidRPr="00CD2342">
        <w:rPr>
          <w:spacing w:val="-3"/>
          <w:sz w:val="24"/>
          <w:szCs w:val="24"/>
        </w:rPr>
        <w:t xml:space="preserve"> (f.eks. </w:t>
      </w:r>
      <w:proofErr w:type="spellStart"/>
      <w:r w:rsidRPr="00CD2342">
        <w:rPr>
          <w:spacing w:val="-3"/>
          <w:sz w:val="24"/>
          <w:szCs w:val="24"/>
        </w:rPr>
        <w:t>acetazolamid</w:t>
      </w:r>
      <w:proofErr w:type="spellEnd"/>
      <w:r w:rsidRPr="00CD2342">
        <w:rPr>
          <w:spacing w:val="-3"/>
          <w:sz w:val="24"/>
          <w:szCs w:val="24"/>
        </w:rPr>
        <w:t>).</w:t>
      </w:r>
    </w:p>
    <w:p w14:paraId="0C7E6409" w14:textId="1825F7A7" w:rsidR="0084597B" w:rsidRDefault="0084597B">
      <w:pPr>
        <w:rPr>
          <w:spacing w:val="-3"/>
          <w:sz w:val="24"/>
          <w:szCs w:val="24"/>
        </w:rPr>
      </w:pPr>
      <w:r>
        <w:rPr>
          <w:spacing w:val="-3"/>
          <w:sz w:val="24"/>
          <w:szCs w:val="24"/>
        </w:rPr>
        <w:br w:type="page"/>
      </w:r>
    </w:p>
    <w:p w14:paraId="039A7D64" w14:textId="77777777" w:rsidR="00165A40" w:rsidRPr="00CD2342" w:rsidRDefault="00165A40" w:rsidP="00165A40">
      <w:pPr>
        <w:ind w:left="851"/>
        <w:rPr>
          <w:spacing w:val="-3"/>
          <w:sz w:val="24"/>
          <w:szCs w:val="24"/>
        </w:rPr>
      </w:pPr>
    </w:p>
    <w:p w14:paraId="67D06743" w14:textId="77777777" w:rsidR="00165A40" w:rsidRPr="00CD2342" w:rsidRDefault="00165A40" w:rsidP="00165A40">
      <w:pPr>
        <w:ind w:left="851"/>
        <w:rPr>
          <w:spacing w:val="-3"/>
          <w:sz w:val="24"/>
          <w:szCs w:val="24"/>
          <w:u w:val="single"/>
        </w:rPr>
      </w:pPr>
      <w:r w:rsidRPr="00CD2342">
        <w:rPr>
          <w:spacing w:val="-3"/>
          <w:sz w:val="24"/>
          <w:szCs w:val="24"/>
          <w:u w:val="single"/>
        </w:rPr>
        <w:t>Andre interaktioner</w:t>
      </w:r>
    </w:p>
    <w:p w14:paraId="411665CF" w14:textId="77777777" w:rsidR="00165A40" w:rsidRPr="00CD2342" w:rsidRDefault="00165A40" w:rsidP="00165A40">
      <w:pPr>
        <w:numPr>
          <w:ilvl w:val="0"/>
          <w:numId w:val="10"/>
        </w:numPr>
        <w:rPr>
          <w:spacing w:val="-3"/>
          <w:sz w:val="24"/>
          <w:szCs w:val="24"/>
        </w:rPr>
      </w:pPr>
      <w:r w:rsidRPr="00CD2342">
        <w:rPr>
          <w:spacing w:val="-3"/>
          <w:sz w:val="24"/>
          <w:szCs w:val="24"/>
        </w:rPr>
        <w:t xml:space="preserve">Antipsykotika (f.eks. </w:t>
      </w:r>
      <w:proofErr w:type="spellStart"/>
      <w:r w:rsidRPr="00CD2342">
        <w:rPr>
          <w:spacing w:val="-3"/>
          <w:sz w:val="24"/>
          <w:szCs w:val="24"/>
        </w:rPr>
        <w:t>haloperidol</w:t>
      </w:r>
      <w:proofErr w:type="spellEnd"/>
      <w:r w:rsidRPr="00CD2342">
        <w:rPr>
          <w:spacing w:val="-3"/>
          <w:sz w:val="24"/>
          <w:szCs w:val="24"/>
        </w:rPr>
        <w:t xml:space="preserve">, </w:t>
      </w:r>
      <w:proofErr w:type="spellStart"/>
      <w:r w:rsidRPr="00CD2342">
        <w:rPr>
          <w:spacing w:val="-3"/>
          <w:sz w:val="24"/>
          <w:szCs w:val="24"/>
        </w:rPr>
        <w:t>olanzapin</w:t>
      </w:r>
      <w:proofErr w:type="spellEnd"/>
      <w:r w:rsidRPr="00CD2342">
        <w:rPr>
          <w:spacing w:val="-3"/>
          <w:sz w:val="24"/>
          <w:szCs w:val="24"/>
        </w:rPr>
        <w:t xml:space="preserve">, </w:t>
      </w:r>
      <w:proofErr w:type="spellStart"/>
      <w:r w:rsidRPr="00CD2342">
        <w:rPr>
          <w:spacing w:val="-3"/>
          <w:sz w:val="24"/>
          <w:szCs w:val="24"/>
        </w:rPr>
        <w:t>clozapin</w:t>
      </w:r>
      <w:proofErr w:type="spellEnd"/>
      <w:r w:rsidRPr="00CD2342">
        <w:rPr>
          <w:spacing w:val="-3"/>
          <w:sz w:val="24"/>
          <w:szCs w:val="24"/>
        </w:rPr>
        <w:t xml:space="preserve">): Ekstrapyramidale motoriske symptomer og forvirring er blevet rapporteret i sjældne tilfælde efter kombinationsbehandling med store doser antipsykotika. Typiske antipsykotika i kombination med </w:t>
      </w:r>
      <w:proofErr w:type="spellStart"/>
      <w:r w:rsidRPr="00CD2342">
        <w:rPr>
          <w:spacing w:val="-3"/>
          <w:sz w:val="24"/>
          <w:szCs w:val="24"/>
        </w:rPr>
        <w:t>lithium</w:t>
      </w:r>
      <w:proofErr w:type="spellEnd"/>
      <w:r w:rsidRPr="00CD2342">
        <w:rPr>
          <w:spacing w:val="-3"/>
          <w:sz w:val="24"/>
          <w:szCs w:val="24"/>
        </w:rPr>
        <w:t xml:space="preserve"> kan forårsage alvorlige ekstrapyramidale motoriske lidelser (pseudoparkinsonisme).</w:t>
      </w:r>
    </w:p>
    <w:p w14:paraId="134C8254" w14:textId="77777777" w:rsidR="00165A40" w:rsidRPr="00CD2342" w:rsidRDefault="00165A40" w:rsidP="00165A40">
      <w:pPr>
        <w:numPr>
          <w:ilvl w:val="0"/>
          <w:numId w:val="10"/>
        </w:numPr>
        <w:rPr>
          <w:spacing w:val="-3"/>
          <w:sz w:val="24"/>
          <w:szCs w:val="24"/>
        </w:rPr>
      </w:pPr>
      <w:r w:rsidRPr="00CD2342">
        <w:rPr>
          <w:spacing w:val="-3"/>
          <w:sz w:val="24"/>
          <w:szCs w:val="24"/>
        </w:rPr>
        <w:t>Lægemidler, der kan interferere med serotoninmetabolismen (f.eks. MAO-</w:t>
      </w:r>
      <w:proofErr w:type="spellStart"/>
      <w:r w:rsidRPr="00CD2342">
        <w:rPr>
          <w:spacing w:val="-3"/>
          <w:sz w:val="24"/>
          <w:szCs w:val="24"/>
        </w:rPr>
        <w:t>hæmmere</w:t>
      </w:r>
      <w:proofErr w:type="spellEnd"/>
      <w:r w:rsidRPr="00CD2342">
        <w:rPr>
          <w:spacing w:val="-3"/>
          <w:sz w:val="24"/>
          <w:szCs w:val="24"/>
        </w:rPr>
        <w:t xml:space="preserve"> eller selektive </w:t>
      </w:r>
      <w:proofErr w:type="spellStart"/>
      <w:r w:rsidRPr="00CD2342">
        <w:rPr>
          <w:spacing w:val="-3"/>
          <w:sz w:val="24"/>
          <w:szCs w:val="24"/>
        </w:rPr>
        <w:t>serotoningenoptagshæmmere</w:t>
      </w:r>
      <w:proofErr w:type="spellEnd"/>
      <w:r w:rsidRPr="00CD2342">
        <w:rPr>
          <w:spacing w:val="-3"/>
          <w:sz w:val="24"/>
          <w:szCs w:val="24"/>
        </w:rPr>
        <w:t xml:space="preserve"> (</w:t>
      </w:r>
      <w:proofErr w:type="spellStart"/>
      <w:r w:rsidRPr="00CD2342">
        <w:rPr>
          <w:spacing w:val="-3"/>
          <w:sz w:val="24"/>
          <w:szCs w:val="24"/>
        </w:rPr>
        <w:t>SSRIer</w:t>
      </w:r>
      <w:proofErr w:type="spellEnd"/>
      <w:r w:rsidRPr="00CD2342">
        <w:rPr>
          <w:spacing w:val="-3"/>
          <w:sz w:val="24"/>
          <w:szCs w:val="24"/>
        </w:rPr>
        <w:t xml:space="preserve">) såsom </w:t>
      </w:r>
      <w:proofErr w:type="spellStart"/>
      <w:r w:rsidRPr="00CD2342">
        <w:rPr>
          <w:spacing w:val="-3"/>
          <w:sz w:val="24"/>
          <w:szCs w:val="24"/>
        </w:rPr>
        <w:t>citalopram</w:t>
      </w:r>
      <w:proofErr w:type="spellEnd"/>
      <w:r w:rsidRPr="00CD2342">
        <w:rPr>
          <w:spacing w:val="-3"/>
          <w:sz w:val="24"/>
          <w:szCs w:val="24"/>
        </w:rPr>
        <w:t>; og noradrenalin-</w:t>
      </w:r>
      <w:proofErr w:type="spellStart"/>
      <w:r w:rsidRPr="00CD2342">
        <w:rPr>
          <w:spacing w:val="-3"/>
          <w:sz w:val="24"/>
          <w:szCs w:val="24"/>
        </w:rPr>
        <w:t>genoptagelseshæmmere</w:t>
      </w:r>
      <w:proofErr w:type="spellEnd"/>
      <w:r w:rsidRPr="00CD2342">
        <w:rPr>
          <w:spacing w:val="-3"/>
          <w:sz w:val="24"/>
          <w:szCs w:val="24"/>
        </w:rPr>
        <w:t xml:space="preserve"> (</w:t>
      </w:r>
      <w:proofErr w:type="spellStart"/>
      <w:r w:rsidRPr="00CD2342">
        <w:rPr>
          <w:spacing w:val="-3"/>
          <w:sz w:val="24"/>
          <w:szCs w:val="24"/>
        </w:rPr>
        <w:t>SNRIer</w:t>
      </w:r>
      <w:proofErr w:type="spellEnd"/>
      <w:r w:rsidRPr="00CD2342">
        <w:rPr>
          <w:spacing w:val="-3"/>
          <w:sz w:val="24"/>
          <w:szCs w:val="24"/>
        </w:rPr>
        <w:t xml:space="preserve">), tricykliske </w:t>
      </w:r>
      <w:proofErr w:type="spellStart"/>
      <w:r w:rsidRPr="00CD2342">
        <w:rPr>
          <w:spacing w:val="-3"/>
          <w:sz w:val="24"/>
          <w:szCs w:val="24"/>
        </w:rPr>
        <w:t>antidepressiva</w:t>
      </w:r>
      <w:proofErr w:type="spellEnd"/>
      <w:r w:rsidRPr="00CD2342">
        <w:rPr>
          <w:spacing w:val="-3"/>
          <w:sz w:val="24"/>
          <w:szCs w:val="24"/>
        </w:rPr>
        <w:t xml:space="preserve"> eller visse opioider (f.eks. </w:t>
      </w:r>
      <w:proofErr w:type="spellStart"/>
      <w:r w:rsidRPr="00CD2342">
        <w:rPr>
          <w:spacing w:val="-3"/>
          <w:sz w:val="24"/>
          <w:szCs w:val="24"/>
        </w:rPr>
        <w:t>buprenorphin</w:t>
      </w:r>
      <w:proofErr w:type="spellEnd"/>
      <w:r w:rsidRPr="00CD2342">
        <w:rPr>
          <w:spacing w:val="-3"/>
          <w:sz w:val="24"/>
          <w:szCs w:val="24"/>
        </w:rPr>
        <w:t xml:space="preserve">): Samtidig administration kan forårsage </w:t>
      </w:r>
      <w:proofErr w:type="spellStart"/>
      <w:r w:rsidRPr="00CD2342">
        <w:rPr>
          <w:spacing w:val="-3"/>
          <w:sz w:val="24"/>
          <w:szCs w:val="24"/>
        </w:rPr>
        <w:t>serotonergt</w:t>
      </w:r>
      <w:proofErr w:type="spellEnd"/>
      <w:r w:rsidRPr="00CD2342">
        <w:rPr>
          <w:spacing w:val="-3"/>
          <w:sz w:val="24"/>
          <w:szCs w:val="24"/>
        </w:rPr>
        <w:t xml:space="preserve"> syndrom med søvnforstyrrelser, agitation og </w:t>
      </w:r>
      <w:proofErr w:type="spellStart"/>
      <w:r w:rsidRPr="00CD2342">
        <w:rPr>
          <w:spacing w:val="-3"/>
          <w:sz w:val="24"/>
          <w:szCs w:val="24"/>
        </w:rPr>
        <w:t>tremor</w:t>
      </w:r>
      <w:proofErr w:type="spellEnd"/>
      <w:r w:rsidRPr="00CD2342">
        <w:rPr>
          <w:spacing w:val="-3"/>
          <w:sz w:val="24"/>
          <w:szCs w:val="24"/>
        </w:rPr>
        <w:t xml:space="preserve"> og i alvorlige tilfælde </w:t>
      </w:r>
      <w:proofErr w:type="spellStart"/>
      <w:r w:rsidRPr="00CD2342">
        <w:rPr>
          <w:spacing w:val="-3"/>
          <w:sz w:val="24"/>
          <w:szCs w:val="24"/>
        </w:rPr>
        <w:t>myoklonus</w:t>
      </w:r>
      <w:proofErr w:type="spellEnd"/>
      <w:r w:rsidRPr="00CD2342">
        <w:rPr>
          <w:spacing w:val="-3"/>
          <w:sz w:val="24"/>
          <w:szCs w:val="24"/>
        </w:rPr>
        <w:t xml:space="preserve">, temperaturstigning og forvirring. </w:t>
      </w:r>
    </w:p>
    <w:p w14:paraId="793098F8" w14:textId="77777777" w:rsidR="00165A40" w:rsidRPr="00CD2342" w:rsidRDefault="00165A40" w:rsidP="00165A40">
      <w:pPr>
        <w:numPr>
          <w:ilvl w:val="0"/>
          <w:numId w:val="10"/>
        </w:numPr>
        <w:rPr>
          <w:spacing w:val="-3"/>
          <w:sz w:val="24"/>
          <w:szCs w:val="24"/>
        </w:rPr>
      </w:pPr>
      <w:proofErr w:type="spellStart"/>
      <w:r w:rsidRPr="00CD2342">
        <w:rPr>
          <w:spacing w:val="-3"/>
          <w:sz w:val="24"/>
          <w:szCs w:val="24"/>
        </w:rPr>
        <w:t>Jodforbindelser</w:t>
      </w:r>
      <w:proofErr w:type="spellEnd"/>
      <w:r w:rsidRPr="00CD2342">
        <w:rPr>
          <w:spacing w:val="-3"/>
          <w:sz w:val="24"/>
          <w:szCs w:val="24"/>
        </w:rPr>
        <w:t xml:space="preserve">: Den </w:t>
      </w:r>
      <w:proofErr w:type="spellStart"/>
      <w:r w:rsidRPr="00CD2342">
        <w:rPr>
          <w:spacing w:val="-3"/>
          <w:sz w:val="24"/>
          <w:szCs w:val="24"/>
        </w:rPr>
        <w:t>thyreostatiske</w:t>
      </w:r>
      <w:proofErr w:type="spellEnd"/>
      <w:r w:rsidRPr="00CD2342">
        <w:rPr>
          <w:spacing w:val="-3"/>
          <w:sz w:val="24"/>
          <w:szCs w:val="24"/>
        </w:rPr>
        <w:t xml:space="preserve"> effekt forstærkes.</w:t>
      </w:r>
    </w:p>
    <w:p w14:paraId="586954BC" w14:textId="77777777" w:rsidR="00165A40" w:rsidRPr="00CD2342" w:rsidRDefault="00165A40" w:rsidP="00165A40">
      <w:pPr>
        <w:numPr>
          <w:ilvl w:val="0"/>
          <w:numId w:val="10"/>
        </w:numPr>
        <w:rPr>
          <w:spacing w:val="-3"/>
          <w:sz w:val="24"/>
          <w:szCs w:val="24"/>
        </w:rPr>
      </w:pPr>
      <w:proofErr w:type="spellStart"/>
      <w:r w:rsidRPr="00CD2342">
        <w:rPr>
          <w:spacing w:val="-3"/>
          <w:sz w:val="24"/>
          <w:szCs w:val="24"/>
        </w:rPr>
        <w:t>Neuroleptika</w:t>
      </w:r>
      <w:proofErr w:type="spellEnd"/>
      <w:r w:rsidRPr="00CD2342">
        <w:rPr>
          <w:spacing w:val="-3"/>
          <w:sz w:val="24"/>
          <w:szCs w:val="24"/>
        </w:rPr>
        <w:t xml:space="preserve"> og </w:t>
      </w:r>
      <w:proofErr w:type="spellStart"/>
      <w:r w:rsidRPr="00CD2342">
        <w:rPr>
          <w:spacing w:val="-3"/>
          <w:sz w:val="24"/>
          <w:szCs w:val="24"/>
        </w:rPr>
        <w:t>antidepressiva</w:t>
      </w:r>
      <w:proofErr w:type="spellEnd"/>
      <w:r w:rsidRPr="00CD2342">
        <w:rPr>
          <w:spacing w:val="-3"/>
          <w:sz w:val="24"/>
          <w:szCs w:val="24"/>
        </w:rPr>
        <w:t xml:space="preserve">: Øget virkning ved samtidig administration med </w:t>
      </w:r>
      <w:proofErr w:type="spellStart"/>
      <w:r w:rsidRPr="00CD2342">
        <w:rPr>
          <w:spacing w:val="-3"/>
          <w:sz w:val="24"/>
          <w:szCs w:val="24"/>
        </w:rPr>
        <w:t>lithium</w:t>
      </w:r>
      <w:proofErr w:type="spellEnd"/>
      <w:r w:rsidRPr="00CD2342">
        <w:rPr>
          <w:spacing w:val="-3"/>
          <w:sz w:val="24"/>
          <w:szCs w:val="24"/>
        </w:rPr>
        <w:t xml:space="preserve">. Kombinationsbehandling med </w:t>
      </w:r>
      <w:proofErr w:type="spellStart"/>
      <w:r w:rsidRPr="00CD2342">
        <w:rPr>
          <w:spacing w:val="-3"/>
          <w:sz w:val="24"/>
          <w:szCs w:val="24"/>
        </w:rPr>
        <w:t>antidepressiva</w:t>
      </w:r>
      <w:proofErr w:type="spellEnd"/>
      <w:r w:rsidRPr="00CD2342">
        <w:rPr>
          <w:spacing w:val="-3"/>
          <w:sz w:val="24"/>
          <w:szCs w:val="24"/>
        </w:rPr>
        <w:t xml:space="preserve"> kan accentuere </w:t>
      </w:r>
      <w:proofErr w:type="spellStart"/>
      <w:r w:rsidRPr="00CD2342">
        <w:rPr>
          <w:spacing w:val="-3"/>
          <w:sz w:val="24"/>
          <w:szCs w:val="24"/>
        </w:rPr>
        <w:t>håndtremor</w:t>
      </w:r>
      <w:proofErr w:type="spellEnd"/>
      <w:r w:rsidRPr="00CD2342">
        <w:rPr>
          <w:spacing w:val="-3"/>
          <w:sz w:val="24"/>
          <w:szCs w:val="24"/>
        </w:rPr>
        <w:t xml:space="preserve">, som muligvis kan behandles med betablokkere (f.eks. </w:t>
      </w:r>
      <w:proofErr w:type="spellStart"/>
      <w:r w:rsidRPr="00CD2342">
        <w:rPr>
          <w:spacing w:val="-3"/>
          <w:sz w:val="24"/>
          <w:szCs w:val="24"/>
        </w:rPr>
        <w:t>propranolol</w:t>
      </w:r>
      <w:proofErr w:type="spellEnd"/>
      <w:r w:rsidRPr="00CD2342">
        <w:rPr>
          <w:spacing w:val="-3"/>
          <w:sz w:val="24"/>
          <w:szCs w:val="24"/>
        </w:rPr>
        <w:t>).</w:t>
      </w:r>
    </w:p>
    <w:p w14:paraId="5BE486D6" w14:textId="4CCC6F60" w:rsidR="00165A40" w:rsidRPr="00CD2342" w:rsidRDefault="00165A40" w:rsidP="00165A40">
      <w:pPr>
        <w:numPr>
          <w:ilvl w:val="0"/>
          <w:numId w:val="10"/>
        </w:numPr>
        <w:rPr>
          <w:spacing w:val="-3"/>
          <w:sz w:val="24"/>
          <w:szCs w:val="24"/>
        </w:rPr>
      </w:pPr>
      <w:proofErr w:type="spellStart"/>
      <w:r w:rsidRPr="00CD2342">
        <w:rPr>
          <w:spacing w:val="-3"/>
          <w:sz w:val="24"/>
          <w:szCs w:val="24"/>
        </w:rPr>
        <w:t>Curare</w:t>
      </w:r>
      <w:proofErr w:type="spellEnd"/>
      <w:r w:rsidRPr="00CD2342">
        <w:rPr>
          <w:spacing w:val="-3"/>
          <w:sz w:val="24"/>
          <w:szCs w:val="24"/>
        </w:rPr>
        <w:t xml:space="preserve">-lignende lægemidler (muskelafslappende lægemidler) og anæstesilægemidler: Kombinationen af </w:t>
      </w:r>
      <w:proofErr w:type="spellStart"/>
      <w:r w:rsidRPr="00CD2342">
        <w:rPr>
          <w:spacing w:val="-3"/>
          <w:sz w:val="24"/>
          <w:szCs w:val="24"/>
        </w:rPr>
        <w:t>lithium</w:t>
      </w:r>
      <w:proofErr w:type="spellEnd"/>
      <w:r w:rsidRPr="00CD2342">
        <w:rPr>
          <w:spacing w:val="-3"/>
          <w:sz w:val="24"/>
          <w:szCs w:val="24"/>
        </w:rPr>
        <w:t xml:space="preserve"> og ikke-</w:t>
      </w:r>
      <w:proofErr w:type="spellStart"/>
      <w:r w:rsidRPr="00CD2342">
        <w:rPr>
          <w:spacing w:val="-3"/>
          <w:sz w:val="24"/>
          <w:szCs w:val="24"/>
        </w:rPr>
        <w:t>depolariserende</w:t>
      </w:r>
      <w:proofErr w:type="spellEnd"/>
      <w:r w:rsidRPr="00CD2342">
        <w:rPr>
          <w:spacing w:val="-3"/>
          <w:sz w:val="24"/>
          <w:szCs w:val="24"/>
        </w:rPr>
        <w:t xml:space="preserve"> </w:t>
      </w:r>
      <w:proofErr w:type="spellStart"/>
      <w:r w:rsidRPr="00CD2342">
        <w:rPr>
          <w:spacing w:val="-3"/>
          <w:sz w:val="24"/>
          <w:szCs w:val="24"/>
        </w:rPr>
        <w:t>blokkere</w:t>
      </w:r>
      <w:proofErr w:type="spellEnd"/>
      <w:r w:rsidRPr="00CD2342">
        <w:rPr>
          <w:spacing w:val="-3"/>
          <w:sz w:val="24"/>
          <w:szCs w:val="24"/>
        </w:rPr>
        <w:t xml:space="preserve"> resulterer i en </w:t>
      </w:r>
      <w:proofErr w:type="spellStart"/>
      <w:r w:rsidRPr="00CD2342">
        <w:rPr>
          <w:spacing w:val="-3"/>
          <w:sz w:val="24"/>
          <w:szCs w:val="24"/>
        </w:rPr>
        <w:t>synergistisk</w:t>
      </w:r>
      <w:proofErr w:type="spellEnd"/>
      <w:r w:rsidRPr="00CD2342">
        <w:rPr>
          <w:spacing w:val="-3"/>
          <w:sz w:val="24"/>
          <w:szCs w:val="24"/>
        </w:rPr>
        <w:t xml:space="preserve"> hæmning af </w:t>
      </w:r>
      <w:proofErr w:type="spellStart"/>
      <w:r w:rsidRPr="00CD2342">
        <w:rPr>
          <w:spacing w:val="-3"/>
          <w:sz w:val="24"/>
          <w:szCs w:val="24"/>
        </w:rPr>
        <w:t>neuromuskulær</w:t>
      </w:r>
      <w:proofErr w:type="spellEnd"/>
      <w:r w:rsidRPr="00CD2342">
        <w:rPr>
          <w:spacing w:val="-3"/>
          <w:sz w:val="24"/>
          <w:szCs w:val="24"/>
        </w:rPr>
        <w:t xml:space="preserve"> transmission. På den anden side forlænger </w:t>
      </w:r>
      <w:proofErr w:type="spellStart"/>
      <w:r w:rsidRPr="00CD2342">
        <w:rPr>
          <w:spacing w:val="-3"/>
          <w:sz w:val="24"/>
          <w:szCs w:val="24"/>
        </w:rPr>
        <w:t>lithium</w:t>
      </w:r>
      <w:proofErr w:type="spellEnd"/>
      <w:r w:rsidRPr="00CD2342">
        <w:rPr>
          <w:spacing w:val="-3"/>
          <w:sz w:val="24"/>
          <w:szCs w:val="24"/>
        </w:rPr>
        <w:t xml:space="preserve"> </w:t>
      </w:r>
      <w:proofErr w:type="spellStart"/>
      <w:r w:rsidRPr="00CD2342">
        <w:rPr>
          <w:spacing w:val="-3"/>
          <w:sz w:val="24"/>
          <w:szCs w:val="24"/>
        </w:rPr>
        <w:t>latensen</w:t>
      </w:r>
      <w:proofErr w:type="spellEnd"/>
      <w:r w:rsidRPr="00CD2342">
        <w:rPr>
          <w:spacing w:val="-3"/>
          <w:sz w:val="24"/>
          <w:szCs w:val="24"/>
        </w:rPr>
        <w:t xml:space="preserve"> (tid til indtræden) og varigheden af </w:t>
      </w:r>
      <w:proofErr w:type="spellStart"/>
      <w:r w:rsidRPr="00CD2342">
        <w:rPr>
          <w:spacing w:val="-3"/>
          <w:sz w:val="24"/>
          <w:szCs w:val="24"/>
        </w:rPr>
        <w:t>neuromuskulær</w:t>
      </w:r>
      <w:proofErr w:type="spellEnd"/>
      <w:r w:rsidRPr="00CD2342">
        <w:rPr>
          <w:spacing w:val="-3"/>
          <w:sz w:val="24"/>
          <w:szCs w:val="24"/>
        </w:rPr>
        <w:t xml:space="preserve"> blokade produceret af både </w:t>
      </w:r>
      <w:proofErr w:type="spellStart"/>
      <w:r w:rsidRPr="00CD2342">
        <w:rPr>
          <w:spacing w:val="-3"/>
          <w:sz w:val="24"/>
          <w:szCs w:val="24"/>
        </w:rPr>
        <w:t>depolariserende</w:t>
      </w:r>
      <w:proofErr w:type="spellEnd"/>
      <w:r w:rsidRPr="00CD2342">
        <w:rPr>
          <w:spacing w:val="-3"/>
          <w:sz w:val="24"/>
          <w:szCs w:val="24"/>
        </w:rPr>
        <w:t xml:space="preserve"> og ikke-</w:t>
      </w:r>
      <w:proofErr w:type="spellStart"/>
      <w:r w:rsidRPr="00CD2342">
        <w:rPr>
          <w:spacing w:val="-3"/>
          <w:sz w:val="24"/>
          <w:szCs w:val="24"/>
        </w:rPr>
        <w:t>depolariserende</w:t>
      </w:r>
      <w:proofErr w:type="spellEnd"/>
      <w:r w:rsidRPr="00CD2342">
        <w:rPr>
          <w:spacing w:val="-3"/>
          <w:sz w:val="24"/>
          <w:szCs w:val="24"/>
        </w:rPr>
        <w:t xml:space="preserve"> </w:t>
      </w:r>
      <w:proofErr w:type="spellStart"/>
      <w:r w:rsidRPr="00CD2342">
        <w:rPr>
          <w:spacing w:val="-3"/>
          <w:sz w:val="24"/>
          <w:szCs w:val="24"/>
        </w:rPr>
        <w:t>neuromuskulære</w:t>
      </w:r>
      <w:proofErr w:type="spellEnd"/>
      <w:r w:rsidRPr="00CD2342">
        <w:rPr>
          <w:spacing w:val="-3"/>
          <w:sz w:val="24"/>
          <w:szCs w:val="24"/>
        </w:rPr>
        <w:t xml:space="preserve"> blokademidler. Se </w:t>
      </w:r>
      <w:r w:rsidR="005909F8">
        <w:rPr>
          <w:spacing w:val="-3"/>
          <w:sz w:val="24"/>
          <w:szCs w:val="24"/>
        </w:rPr>
        <w:t>pkt.</w:t>
      </w:r>
      <w:r w:rsidRPr="00CD2342">
        <w:rPr>
          <w:spacing w:val="-3"/>
          <w:sz w:val="24"/>
          <w:szCs w:val="24"/>
        </w:rPr>
        <w:t xml:space="preserve"> 4.4.</w:t>
      </w:r>
    </w:p>
    <w:p w14:paraId="5364BB52" w14:textId="77777777" w:rsidR="009260DE" w:rsidRPr="00CD2342" w:rsidRDefault="009260DE" w:rsidP="009260DE">
      <w:pPr>
        <w:tabs>
          <w:tab w:val="left" w:pos="851"/>
        </w:tabs>
        <w:ind w:left="851"/>
        <w:rPr>
          <w:sz w:val="24"/>
          <w:szCs w:val="24"/>
        </w:rPr>
      </w:pPr>
    </w:p>
    <w:p w14:paraId="5A7309EF" w14:textId="77777777" w:rsidR="009260DE" w:rsidRPr="00CD2342" w:rsidRDefault="009260DE" w:rsidP="009260DE">
      <w:pPr>
        <w:tabs>
          <w:tab w:val="left" w:pos="851"/>
        </w:tabs>
        <w:ind w:left="851" w:hanging="851"/>
        <w:rPr>
          <w:b/>
          <w:sz w:val="24"/>
          <w:szCs w:val="24"/>
        </w:rPr>
      </w:pPr>
      <w:r w:rsidRPr="00CD2342">
        <w:rPr>
          <w:b/>
          <w:sz w:val="24"/>
          <w:szCs w:val="24"/>
        </w:rPr>
        <w:t>4.6</w:t>
      </w:r>
      <w:r w:rsidRPr="00CD2342">
        <w:rPr>
          <w:b/>
          <w:sz w:val="24"/>
          <w:szCs w:val="24"/>
        </w:rPr>
        <w:tab/>
      </w:r>
      <w:r w:rsidR="0071241E" w:rsidRPr="00CD2342">
        <w:rPr>
          <w:b/>
          <w:sz w:val="24"/>
          <w:szCs w:val="24"/>
        </w:rPr>
        <w:t>Fertilitet, g</w:t>
      </w:r>
      <w:r w:rsidRPr="00CD2342">
        <w:rPr>
          <w:b/>
          <w:sz w:val="24"/>
          <w:szCs w:val="24"/>
        </w:rPr>
        <w:t>raviditet og amning</w:t>
      </w:r>
    </w:p>
    <w:p w14:paraId="6B90976D" w14:textId="77777777" w:rsidR="002566A7" w:rsidRDefault="002566A7" w:rsidP="002566A7">
      <w:pPr>
        <w:ind w:left="851"/>
        <w:rPr>
          <w:sz w:val="24"/>
          <w:szCs w:val="24"/>
          <w:u w:val="single"/>
        </w:rPr>
      </w:pPr>
    </w:p>
    <w:p w14:paraId="371BF398" w14:textId="6F034590" w:rsidR="00165A40" w:rsidRPr="002566A7" w:rsidRDefault="00165A40" w:rsidP="002566A7">
      <w:pPr>
        <w:ind w:left="851"/>
        <w:rPr>
          <w:sz w:val="24"/>
          <w:szCs w:val="24"/>
          <w:u w:val="single"/>
          <w:lang w:eastAsia="da-DK"/>
        </w:rPr>
      </w:pPr>
      <w:r w:rsidRPr="002566A7">
        <w:rPr>
          <w:sz w:val="24"/>
          <w:szCs w:val="24"/>
          <w:u w:val="single"/>
        </w:rPr>
        <w:t>Graviditet</w:t>
      </w:r>
    </w:p>
    <w:p w14:paraId="465CDACC" w14:textId="77777777" w:rsidR="00165A40" w:rsidRPr="00CD2342" w:rsidRDefault="00165A40" w:rsidP="00165A40">
      <w:pPr>
        <w:ind w:left="851"/>
        <w:rPr>
          <w:sz w:val="24"/>
          <w:szCs w:val="24"/>
        </w:rPr>
      </w:pPr>
      <w:r w:rsidRPr="00CD2342">
        <w:rPr>
          <w:sz w:val="24"/>
          <w:szCs w:val="24"/>
        </w:rPr>
        <w:t xml:space="preserve">Dyrestudier har vist, at </w:t>
      </w:r>
      <w:proofErr w:type="spellStart"/>
      <w:r w:rsidRPr="00CD2342">
        <w:rPr>
          <w:sz w:val="24"/>
          <w:szCs w:val="24"/>
        </w:rPr>
        <w:t>lithium</w:t>
      </w:r>
      <w:proofErr w:type="spellEnd"/>
      <w:r w:rsidRPr="00CD2342">
        <w:rPr>
          <w:sz w:val="24"/>
          <w:szCs w:val="24"/>
        </w:rPr>
        <w:t xml:space="preserve"> påvirker graviditet og fosterudvikling, hvilket resulterer i nedsat </w:t>
      </w:r>
      <w:proofErr w:type="spellStart"/>
      <w:r w:rsidRPr="00CD2342">
        <w:rPr>
          <w:sz w:val="24"/>
          <w:szCs w:val="24"/>
        </w:rPr>
        <w:t>vaskulogenese</w:t>
      </w:r>
      <w:proofErr w:type="spellEnd"/>
      <w:r w:rsidRPr="00CD2342">
        <w:rPr>
          <w:sz w:val="24"/>
          <w:szCs w:val="24"/>
        </w:rPr>
        <w:t xml:space="preserve"> og skeletabnormiteter (se pkt. 5.3). Derfor er ultralyds- og EKG-overvågning af fosteret påkrævet, hvis </w:t>
      </w:r>
      <w:proofErr w:type="spellStart"/>
      <w:r w:rsidRPr="00CD2342">
        <w:rPr>
          <w:sz w:val="24"/>
          <w:szCs w:val="24"/>
        </w:rPr>
        <w:t>lithium</w:t>
      </w:r>
      <w:proofErr w:type="spellEnd"/>
      <w:r w:rsidRPr="00CD2342">
        <w:rPr>
          <w:sz w:val="24"/>
          <w:szCs w:val="24"/>
        </w:rPr>
        <w:t xml:space="preserve"> administreres.</w:t>
      </w:r>
    </w:p>
    <w:p w14:paraId="73429002" w14:textId="77777777" w:rsidR="00165A40" w:rsidRPr="00CD2342" w:rsidRDefault="00165A40" w:rsidP="00165A40">
      <w:pPr>
        <w:ind w:left="851"/>
        <w:rPr>
          <w:sz w:val="24"/>
          <w:szCs w:val="24"/>
        </w:rPr>
      </w:pPr>
    </w:p>
    <w:p w14:paraId="5B9B9D01" w14:textId="77777777" w:rsidR="00165A40" w:rsidRPr="00CD2342" w:rsidRDefault="00165A40" w:rsidP="00165A40">
      <w:pPr>
        <w:ind w:left="851"/>
        <w:rPr>
          <w:sz w:val="24"/>
          <w:szCs w:val="24"/>
        </w:rPr>
      </w:pPr>
      <w:proofErr w:type="spellStart"/>
      <w:r w:rsidRPr="00CD2342">
        <w:rPr>
          <w:sz w:val="24"/>
          <w:szCs w:val="24"/>
        </w:rPr>
        <w:t>Lithium</w:t>
      </w:r>
      <w:proofErr w:type="spellEnd"/>
      <w:r w:rsidRPr="00CD2342">
        <w:rPr>
          <w:sz w:val="24"/>
          <w:szCs w:val="24"/>
        </w:rPr>
        <w:t xml:space="preserve"> krydser placenta og når samme koncentration i fosteret som hos moderen. Under graviditet er </w:t>
      </w:r>
      <w:proofErr w:type="spellStart"/>
      <w:r w:rsidRPr="00CD2342">
        <w:rPr>
          <w:sz w:val="24"/>
          <w:szCs w:val="24"/>
        </w:rPr>
        <w:t>lithiumsalte</w:t>
      </w:r>
      <w:proofErr w:type="spellEnd"/>
      <w:r w:rsidRPr="00CD2342">
        <w:rPr>
          <w:sz w:val="24"/>
          <w:szCs w:val="24"/>
        </w:rPr>
        <w:t xml:space="preserve"> klassificeret som kategori D (positivt bevis på risiko).</w:t>
      </w:r>
    </w:p>
    <w:p w14:paraId="7BE30800" w14:textId="77777777" w:rsidR="00165A40" w:rsidRPr="00CD2342" w:rsidRDefault="00165A40" w:rsidP="00165A40">
      <w:pPr>
        <w:ind w:left="851"/>
        <w:rPr>
          <w:sz w:val="24"/>
          <w:szCs w:val="24"/>
        </w:rPr>
      </w:pPr>
      <w:proofErr w:type="spellStart"/>
      <w:r w:rsidRPr="00CD2342">
        <w:rPr>
          <w:sz w:val="24"/>
          <w:szCs w:val="24"/>
        </w:rPr>
        <w:t>Lithiumcarbonat</w:t>
      </w:r>
      <w:proofErr w:type="spellEnd"/>
      <w:r w:rsidRPr="00CD2342">
        <w:rPr>
          <w:sz w:val="24"/>
          <w:szCs w:val="24"/>
        </w:rPr>
        <w:t xml:space="preserve"> bør ikke anvendes under graviditet, medmindre fordelene for moderen opvejer de mulige risici for fosteret. Brug af </w:t>
      </w:r>
      <w:proofErr w:type="spellStart"/>
      <w:r w:rsidRPr="00CD2342">
        <w:rPr>
          <w:sz w:val="24"/>
          <w:szCs w:val="24"/>
        </w:rPr>
        <w:t>lithium</w:t>
      </w:r>
      <w:proofErr w:type="spellEnd"/>
      <w:r w:rsidRPr="00CD2342">
        <w:rPr>
          <w:sz w:val="24"/>
          <w:szCs w:val="24"/>
        </w:rPr>
        <w:t xml:space="preserve"> tæt på termin kan medføre alvorlig, men oftest reversibel, toksicitet hos den nyfødte.</w:t>
      </w:r>
    </w:p>
    <w:p w14:paraId="4FB6E3A2" w14:textId="77777777" w:rsidR="00165A40" w:rsidRPr="00CD2342" w:rsidRDefault="00165A40" w:rsidP="00165A40">
      <w:pPr>
        <w:ind w:left="851"/>
        <w:rPr>
          <w:sz w:val="24"/>
          <w:szCs w:val="24"/>
        </w:rPr>
      </w:pPr>
    </w:p>
    <w:p w14:paraId="36478C9A" w14:textId="77777777" w:rsidR="00165A40" w:rsidRPr="00CD2342" w:rsidRDefault="00165A40" w:rsidP="00165A40">
      <w:pPr>
        <w:ind w:left="851"/>
        <w:rPr>
          <w:sz w:val="24"/>
          <w:szCs w:val="24"/>
        </w:rPr>
      </w:pPr>
      <w:proofErr w:type="spellStart"/>
      <w:r w:rsidRPr="00CD2342">
        <w:rPr>
          <w:sz w:val="24"/>
          <w:szCs w:val="24"/>
        </w:rPr>
        <w:t>Lithiumforgiftning</w:t>
      </w:r>
      <w:proofErr w:type="spellEnd"/>
      <w:r w:rsidRPr="00CD2342">
        <w:rPr>
          <w:sz w:val="24"/>
          <w:szCs w:val="24"/>
        </w:rPr>
        <w:t xml:space="preserve"> forekommer hos nyfødte børn af mødre, som har terapeutiske </w:t>
      </w:r>
      <w:proofErr w:type="spellStart"/>
      <w:r w:rsidRPr="00CD2342">
        <w:rPr>
          <w:sz w:val="24"/>
          <w:szCs w:val="24"/>
        </w:rPr>
        <w:t>lithiumniveauer</w:t>
      </w:r>
      <w:proofErr w:type="spellEnd"/>
      <w:r w:rsidRPr="00CD2342">
        <w:rPr>
          <w:sz w:val="24"/>
          <w:szCs w:val="24"/>
        </w:rPr>
        <w:t xml:space="preserve"> i blodet, eller som har modtaget </w:t>
      </w:r>
      <w:proofErr w:type="spellStart"/>
      <w:r w:rsidRPr="00CD2342">
        <w:rPr>
          <w:sz w:val="24"/>
          <w:szCs w:val="24"/>
        </w:rPr>
        <w:t>lithiumbehandling</w:t>
      </w:r>
      <w:proofErr w:type="spellEnd"/>
      <w:r w:rsidRPr="00CD2342">
        <w:rPr>
          <w:sz w:val="24"/>
          <w:szCs w:val="24"/>
        </w:rPr>
        <w:t xml:space="preserve"> i den prænatale periode i de sidste uger af graviditeten: Lav </w:t>
      </w:r>
      <w:proofErr w:type="spellStart"/>
      <w:r w:rsidRPr="00CD2342">
        <w:rPr>
          <w:sz w:val="24"/>
          <w:szCs w:val="24"/>
        </w:rPr>
        <w:t>Apgar</w:t>
      </w:r>
      <w:proofErr w:type="spellEnd"/>
      <w:r w:rsidRPr="00CD2342">
        <w:rPr>
          <w:sz w:val="24"/>
          <w:szCs w:val="24"/>
        </w:rPr>
        <w:t xml:space="preserve">-score, cyanose, </w:t>
      </w:r>
      <w:proofErr w:type="spellStart"/>
      <w:r w:rsidRPr="00CD2342">
        <w:rPr>
          <w:sz w:val="24"/>
          <w:szCs w:val="24"/>
        </w:rPr>
        <w:t>hypotoni</w:t>
      </w:r>
      <w:proofErr w:type="spellEnd"/>
      <w:r w:rsidRPr="00CD2342">
        <w:rPr>
          <w:sz w:val="24"/>
          <w:szCs w:val="24"/>
        </w:rPr>
        <w:t xml:space="preserve">, respirationsdepression, sløvhed, muligvis gulsot og hjerte og skjoldbruskkirtel dysfunktion. De nyfødte bør derfor overvåges nøje. Hvis </w:t>
      </w:r>
      <w:proofErr w:type="spellStart"/>
      <w:r w:rsidRPr="00CD2342">
        <w:rPr>
          <w:sz w:val="24"/>
          <w:szCs w:val="24"/>
        </w:rPr>
        <w:t>lithiumbehandling</w:t>
      </w:r>
      <w:proofErr w:type="spellEnd"/>
      <w:r w:rsidRPr="00CD2342">
        <w:rPr>
          <w:sz w:val="24"/>
          <w:szCs w:val="24"/>
        </w:rPr>
        <w:t xml:space="preserve"> er strengt nødvendig, skal dosis halveres en uge før den forventede termin, mens behandlingen bør seponeres fra moderens smerter begynder til dagen efter fødslen, da </w:t>
      </w:r>
      <w:proofErr w:type="spellStart"/>
      <w:r w:rsidRPr="00CD2342">
        <w:rPr>
          <w:sz w:val="24"/>
          <w:szCs w:val="24"/>
        </w:rPr>
        <w:t>serumlithiumniveauer</w:t>
      </w:r>
      <w:proofErr w:type="spellEnd"/>
      <w:r w:rsidRPr="00CD2342">
        <w:rPr>
          <w:sz w:val="24"/>
          <w:szCs w:val="24"/>
        </w:rPr>
        <w:t xml:space="preserve"> kan svinge.</w:t>
      </w:r>
    </w:p>
    <w:p w14:paraId="71E9C61C" w14:textId="77777777" w:rsidR="00165A40" w:rsidRPr="00CD2342" w:rsidRDefault="00165A40" w:rsidP="00165A40">
      <w:pPr>
        <w:ind w:left="851"/>
        <w:rPr>
          <w:sz w:val="24"/>
          <w:szCs w:val="24"/>
        </w:rPr>
      </w:pPr>
    </w:p>
    <w:p w14:paraId="30621C08" w14:textId="77777777" w:rsidR="00165A40" w:rsidRPr="005909F8" w:rsidRDefault="00165A40" w:rsidP="005909F8">
      <w:pPr>
        <w:ind w:left="851"/>
        <w:rPr>
          <w:sz w:val="24"/>
          <w:szCs w:val="24"/>
          <w:u w:val="single"/>
        </w:rPr>
      </w:pPr>
      <w:r w:rsidRPr="005909F8">
        <w:rPr>
          <w:sz w:val="24"/>
          <w:szCs w:val="24"/>
          <w:u w:val="single"/>
        </w:rPr>
        <w:t>Amning</w:t>
      </w:r>
    </w:p>
    <w:p w14:paraId="3EDA1C20" w14:textId="77777777" w:rsidR="00165A40" w:rsidRPr="005909F8" w:rsidRDefault="00165A40" w:rsidP="005909F8">
      <w:pPr>
        <w:ind w:left="851"/>
        <w:rPr>
          <w:sz w:val="24"/>
          <w:szCs w:val="24"/>
        </w:rPr>
      </w:pPr>
      <w:proofErr w:type="spellStart"/>
      <w:r w:rsidRPr="005909F8">
        <w:rPr>
          <w:sz w:val="24"/>
          <w:szCs w:val="24"/>
        </w:rPr>
        <w:t>Lithium</w:t>
      </w:r>
      <w:proofErr w:type="spellEnd"/>
      <w:r w:rsidRPr="005909F8">
        <w:rPr>
          <w:sz w:val="24"/>
          <w:szCs w:val="24"/>
        </w:rPr>
        <w:t xml:space="preserve"> udskilles i modermælk. Amning bør derfor afbrydes under behandling med </w:t>
      </w:r>
      <w:proofErr w:type="spellStart"/>
      <w:r w:rsidRPr="005909F8">
        <w:rPr>
          <w:sz w:val="24"/>
          <w:szCs w:val="24"/>
        </w:rPr>
        <w:t>Carblit</w:t>
      </w:r>
      <w:proofErr w:type="spellEnd"/>
      <w:r w:rsidRPr="005909F8">
        <w:rPr>
          <w:sz w:val="24"/>
          <w:szCs w:val="24"/>
        </w:rPr>
        <w:t>.</w:t>
      </w:r>
    </w:p>
    <w:p w14:paraId="5075BA76" w14:textId="77777777" w:rsidR="00165A40" w:rsidRPr="005909F8" w:rsidRDefault="00165A40" w:rsidP="005909F8">
      <w:pPr>
        <w:ind w:left="851"/>
        <w:rPr>
          <w:sz w:val="24"/>
          <w:szCs w:val="24"/>
        </w:rPr>
      </w:pPr>
    </w:p>
    <w:p w14:paraId="4F7F1B9B" w14:textId="77777777" w:rsidR="00165A40" w:rsidRPr="005909F8" w:rsidRDefault="00165A40" w:rsidP="005909F8">
      <w:pPr>
        <w:ind w:left="851"/>
        <w:rPr>
          <w:sz w:val="24"/>
          <w:szCs w:val="24"/>
          <w:u w:val="single"/>
        </w:rPr>
      </w:pPr>
      <w:r w:rsidRPr="005909F8">
        <w:rPr>
          <w:sz w:val="24"/>
          <w:szCs w:val="24"/>
          <w:u w:val="single"/>
        </w:rPr>
        <w:t>Fertilitet</w:t>
      </w:r>
    </w:p>
    <w:p w14:paraId="5A52E1DF" w14:textId="77777777" w:rsidR="00165A40" w:rsidRPr="005909F8" w:rsidRDefault="00165A40" w:rsidP="005909F8">
      <w:pPr>
        <w:ind w:left="851"/>
        <w:rPr>
          <w:sz w:val="24"/>
          <w:szCs w:val="24"/>
        </w:rPr>
      </w:pPr>
      <w:r w:rsidRPr="005909F8">
        <w:rPr>
          <w:sz w:val="24"/>
          <w:szCs w:val="24"/>
        </w:rPr>
        <w:t>Dyrestudier har påvist bivirkninger på mandlig fertilitet (se pkt. 5.3).</w:t>
      </w:r>
    </w:p>
    <w:p w14:paraId="62260EF7" w14:textId="77777777" w:rsidR="009260DE" w:rsidRPr="00CD2342" w:rsidRDefault="009260DE" w:rsidP="009260DE">
      <w:pPr>
        <w:tabs>
          <w:tab w:val="left" w:pos="851"/>
        </w:tabs>
        <w:ind w:left="851"/>
        <w:rPr>
          <w:sz w:val="24"/>
          <w:szCs w:val="24"/>
        </w:rPr>
      </w:pPr>
    </w:p>
    <w:p w14:paraId="69190939" w14:textId="77777777" w:rsidR="009260DE" w:rsidRPr="00CD2342" w:rsidRDefault="009260DE" w:rsidP="009260DE">
      <w:pPr>
        <w:tabs>
          <w:tab w:val="left" w:pos="851"/>
        </w:tabs>
        <w:ind w:left="851" w:hanging="851"/>
        <w:rPr>
          <w:b/>
          <w:sz w:val="24"/>
          <w:szCs w:val="24"/>
        </w:rPr>
      </w:pPr>
      <w:r w:rsidRPr="00CD2342">
        <w:rPr>
          <w:b/>
          <w:sz w:val="24"/>
          <w:szCs w:val="24"/>
        </w:rPr>
        <w:t>4.7</w:t>
      </w:r>
      <w:r w:rsidRPr="00CD2342">
        <w:rPr>
          <w:b/>
          <w:sz w:val="24"/>
          <w:szCs w:val="24"/>
        </w:rPr>
        <w:tab/>
        <w:t xml:space="preserve">Virkning på evnen til at føre motorkøretøj </w:t>
      </w:r>
      <w:r w:rsidR="0071241E" w:rsidRPr="00CD2342">
        <w:rPr>
          <w:b/>
          <w:sz w:val="24"/>
          <w:szCs w:val="24"/>
        </w:rPr>
        <w:t>og</w:t>
      </w:r>
      <w:r w:rsidRPr="00CD2342">
        <w:rPr>
          <w:b/>
          <w:sz w:val="24"/>
          <w:szCs w:val="24"/>
        </w:rPr>
        <w:t xml:space="preserve"> betjene maskiner</w:t>
      </w:r>
    </w:p>
    <w:p w14:paraId="72AD0835" w14:textId="77777777" w:rsidR="00165A40" w:rsidRPr="00CD2342" w:rsidRDefault="00165A40" w:rsidP="00165A40">
      <w:pPr>
        <w:ind w:left="850" w:hanging="850"/>
        <w:rPr>
          <w:spacing w:val="-3"/>
          <w:sz w:val="24"/>
          <w:szCs w:val="24"/>
          <w:lang w:eastAsia="da-DK"/>
        </w:rPr>
      </w:pPr>
      <w:r w:rsidRPr="00CD2342">
        <w:rPr>
          <w:spacing w:val="-3"/>
          <w:sz w:val="24"/>
          <w:szCs w:val="24"/>
        </w:rPr>
        <w:tab/>
        <w:t>Ikke mærkning.</w:t>
      </w:r>
    </w:p>
    <w:p w14:paraId="7320C3A6" w14:textId="77777777" w:rsidR="00165A40" w:rsidRPr="00CD2342" w:rsidRDefault="00165A40" w:rsidP="00165A40">
      <w:pPr>
        <w:ind w:left="851"/>
        <w:rPr>
          <w:spacing w:val="-3"/>
          <w:sz w:val="24"/>
          <w:szCs w:val="24"/>
        </w:rPr>
      </w:pPr>
      <w:r w:rsidRPr="00CD2342">
        <w:rPr>
          <w:spacing w:val="-3"/>
          <w:sz w:val="24"/>
          <w:szCs w:val="24"/>
        </w:rPr>
        <w:t xml:space="preserve">Dette lægemiddel påvirker evnen til at føre motorkøretøj eller betjene maskiner i mindre eller moderat grad. </w:t>
      </w:r>
    </w:p>
    <w:p w14:paraId="4AFEB4CF" w14:textId="77777777" w:rsidR="00165A40" w:rsidRPr="00CD2342" w:rsidRDefault="00165A40" w:rsidP="00165A40">
      <w:pPr>
        <w:ind w:left="851"/>
        <w:rPr>
          <w:spacing w:val="-3"/>
          <w:sz w:val="24"/>
          <w:szCs w:val="24"/>
        </w:rPr>
      </w:pPr>
    </w:p>
    <w:p w14:paraId="286B4CA1" w14:textId="77777777" w:rsidR="00165A40" w:rsidRPr="00CD2342" w:rsidRDefault="00165A40" w:rsidP="00165A40">
      <w:pPr>
        <w:ind w:left="851"/>
        <w:rPr>
          <w:spacing w:val="-3"/>
          <w:sz w:val="24"/>
          <w:szCs w:val="24"/>
        </w:rPr>
      </w:pPr>
      <w:proofErr w:type="spellStart"/>
      <w:r w:rsidRPr="00CD2342">
        <w:rPr>
          <w:spacing w:val="-3"/>
          <w:sz w:val="24"/>
          <w:szCs w:val="24"/>
        </w:rPr>
        <w:t>Lithium</w:t>
      </w:r>
      <w:proofErr w:type="spellEnd"/>
      <w:r w:rsidRPr="00CD2342">
        <w:rPr>
          <w:spacing w:val="-3"/>
          <w:sz w:val="24"/>
          <w:szCs w:val="24"/>
        </w:rPr>
        <w:t xml:space="preserve"> kan forårsage forstyrrelser af CNS (se pkt. 4.8). Patienter bør derfor advares om de mulige farer, når de fører motorkøretøj eller betjener maskiner, især i den første fase af behandlingen.</w:t>
      </w:r>
    </w:p>
    <w:p w14:paraId="57AA1EE8" w14:textId="77777777" w:rsidR="009260DE" w:rsidRPr="00CD2342" w:rsidRDefault="009260DE" w:rsidP="009260DE">
      <w:pPr>
        <w:tabs>
          <w:tab w:val="left" w:pos="851"/>
        </w:tabs>
        <w:ind w:left="851"/>
        <w:rPr>
          <w:sz w:val="24"/>
          <w:szCs w:val="24"/>
        </w:rPr>
      </w:pPr>
    </w:p>
    <w:p w14:paraId="3470980E" w14:textId="77777777" w:rsidR="009260DE" w:rsidRPr="00CD2342" w:rsidRDefault="009260DE" w:rsidP="009260DE">
      <w:pPr>
        <w:tabs>
          <w:tab w:val="left" w:pos="851"/>
        </w:tabs>
        <w:ind w:left="851" w:hanging="851"/>
        <w:rPr>
          <w:b/>
          <w:sz w:val="24"/>
          <w:szCs w:val="24"/>
        </w:rPr>
      </w:pPr>
      <w:r w:rsidRPr="00CD2342">
        <w:rPr>
          <w:b/>
          <w:sz w:val="24"/>
          <w:szCs w:val="24"/>
        </w:rPr>
        <w:t>4.8</w:t>
      </w:r>
      <w:r w:rsidRPr="00CD2342">
        <w:rPr>
          <w:b/>
          <w:sz w:val="24"/>
          <w:szCs w:val="24"/>
        </w:rPr>
        <w:tab/>
        <w:t>Bivirkninger</w:t>
      </w:r>
    </w:p>
    <w:p w14:paraId="31E50927" w14:textId="77777777" w:rsidR="00165A40" w:rsidRPr="00CD2342" w:rsidRDefault="00165A40" w:rsidP="00165A40">
      <w:pPr>
        <w:ind w:left="850" w:firstLine="1"/>
        <w:rPr>
          <w:spacing w:val="-3"/>
          <w:sz w:val="24"/>
          <w:szCs w:val="24"/>
          <w:lang w:eastAsia="da-DK"/>
        </w:rPr>
      </w:pPr>
      <w:r w:rsidRPr="00CD2342">
        <w:rPr>
          <w:spacing w:val="-3"/>
          <w:sz w:val="24"/>
          <w:szCs w:val="24"/>
        </w:rPr>
        <w:t xml:space="preserve">Bivirkninger er normalt forbundet med </w:t>
      </w:r>
      <w:proofErr w:type="spellStart"/>
      <w:r w:rsidRPr="00CD2342">
        <w:rPr>
          <w:spacing w:val="-3"/>
          <w:sz w:val="24"/>
          <w:szCs w:val="24"/>
        </w:rPr>
        <w:t>serumlithiumkoncentrationer</w:t>
      </w:r>
      <w:proofErr w:type="spellEnd"/>
      <w:r w:rsidRPr="00CD2342">
        <w:rPr>
          <w:spacing w:val="-3"/>
          <w:sz w:val="24"/>
          <w:szCs w:val="24"/>
        </w:rPr>
        <w:t xml:space="preserve"> og er mindre almindelige hos patienter med </w:t>
      </w:r>
      <w:proofErr w:type="spellStart"/>
      <w:r w:rsidRPr="00CD2342">
        <w:rPr>
          <w:spacing w:val="-3"/>
          <w:sz w:val="24"/>
          <w:szCs w:val="24"/>
        </w:rPr>
        <w:t>plasmalithiumkoncentrationer</w:t>
      </w:r>
      <w:proofErr w:type="spellEnd"/>
      <w:r w:rsidRPr="00CD2342">
        <w:rPr>
          <w:spacing w:val="-3"/>
          <w:sz w:val="24"/>
          <w:szCs w:val="24"/>
        </w:rPr>
        <w:t xml:space="preserve"> under 1,0 mmol/l.</w:t>
      </w:r>
    </w:p>
    <w:p w14:paraId="3A9CFDFA" w14:textId="77777777" w:rsidR="00165A40" w:rsidRPr="00CD2342" w:rsidRDefault="00165A40" w:rsidP="00165A40">
      <w:pPr>
        <w:ind w:left="850" w:firstLine="1"/>
        <w:rPr>
          <w:spacing w:val="-3"/>
          <w:sz w:val="24"/>
          <w:szCs w:val="24"/>
        </w:rPr>
      </w:pPr>
    </w:p>
    <w:p w14:paraId="33C82D5F" w14:textId="77777777" w:rsidR="00165A40" w:rsidRPr="00CD2342" w:rsidRDefault="00165A40" w:rsidP="00165A40">
      <w:pPr>
        <w:pStyle w:val="Brdtekst"/>
        <w:ind w:left="851"/>
        <w:rPr>
          <w:szCs w:val="24"/>
        </w:rPr>
      </w:pPr>
      <w:r w:rsidRPr="00CD2342">
        <w:rPr>
          <w:szCs w:val="24"/>
        </w:rPr>
        <w:t xml:space="preserve">Bivirkningerne anføres nedenfor i henhold til </w:t>
      </w:r>
      <w:proofErr w:type="spellStart"/>
      <w:r w:rsidRPr="00CD2342">
        <w:rPr>
          <w:szCs w:val="24"/>
        </w:rPr>
        <w:t>MedDRA</w:t>
      </w:r>
      <w:proofErr w:type="spellEnd"/>
      <w:r w:rsidRPr="00CD2342">
        <w:rPr>
          <w:szCs w:val="24"/>
        </w:rPr>
        <w:t xml:space="preserve"> organklasser og frekvens. Frekvenserne defineres som: Meget almindelig (</w:t>
      </w:r>
      <w:r w:rsidRPr="00CD2342">
        <w:rPr>
          <w:szCs w:val="24"/>
        </w:rPr>
        <w:sym w:font="Symbol" w:char="F0B3"/>
      </w:r>
      <w:r w:rsidRPr="00CD2342">
        <w:rPr>
          <w:szCs w:val="24"/>
        </w:rPr>
        <w:t>1/10), almindelig (</w:t>
      </w:r>
      <w:r w:rsidRPr="00CD2342">
        <w:rPr>
          <w:szCs w:val="24"/>
        </w:rPr>
        <w:sym w:font="Symbol" w:char="F0B3"/>
      </w:r>
      <w:r w:rsidRPr="00CD2342">
        <w:rPr>
          <w:szCs w:val="24"/>
        </w:rPr>
        <w:t>1/100 til &lt;1/10), ikke almindelig (</w:t>
      </w:r>
      <w:r w:rsidRPr="00CD2342">
        <w:rPr>
          <w:szCs w:val="24"/>
        </w:rPr>
        <w:sym w:font="Symbol" w:char="F0B3"/>
      </w:r>
      <w:r w:rsidRPr="00CD2342">
        <w:rPr>
          <w:szCs w:val="24"/>
        </w:rPr>
        <w:t>1/1.000 til &lt;1/100), sjælden (</w:t>
      </w:r>
      <w:r w:rsidRPr="00CD2342">
        <w:rPr>
          <w:szCs w:val="24"/>
        </w:rPr>
        <w:sym w:font="Symbol" w:char="F0B3"/>
      </w:r>
      <w:r w:rsidRPr="00CD2342">
        <w:rPr>
          <w:szCs w:val="24"/>
        </w:rPr>
        <w:t>1/10.000 til &lt;1/1.000), meget sjælden (&lt;1/10.000), ikke kendt (kan ikke estimeres ud fra forhåndenværende data).</w:t>
      </w:r>
    </w:p>
    <w:p w14:paraId="21816F47" w14:textId="77777777" w:rsidR="00165A40" w:rsidRPr="00CD2342" w:rsidRDefault="00165A40" w:rsidP="00165A40">
      <w:pPr>
        <w:ind w:left="850" w:firstLine="1"/>
        <w:rPr>
          <w:spacing w:val="-3"/>
          <w:sz w:val="24"/>
          <w:szCs w:val="24"/>
        </w:rPr>
      </w:pPr>
    </w:p>
    <w:tbl>
      <w:tblPr>
        <w:tblW w:w="8850" w:type="dxa"/>
        <w:tblInd w:w="817" w:type="dxa"/>
        <w:tblLayout w:type="fixed"/>
        <w:tblCellMar>
          <w:left w:w="0" w:type="dxa"/>
          <w:right w:w="0" w:type="dxa"/>
        </w:tblCellMar>
        <w:tblLook w:val="04A0" w:firstRow="1" w:lastRow="0" w:firstColumn="1" w:lastColumn="0" w:noHBand="0" w:noVBand="1"/>
      </w:tblPr>
      <w:tblGrid>
        <w:gridCol w:w="4111"/>
        <w:gridCol w:w="4739"/>
      </w:tblGrid>
      <w:tr w:rsidR="00165A40" w:rsidRPr="00CD2342" w14:paraId="18946828" w14:textId="77777777" w:rsidTr="00165A40">
        <w:trPr>
          <w:trHeight w:val="397"/>
          <w:tblHeader/>
        </w:trPr>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96C17E" w14:textId="77777777" w:rsidR="00165A40" w:rsidRPr="00CD2342" w:rsidRDefault="00165A40">
            <w:pPr>
              <w:keepLines/>
              <w:widowControl w:val="0"/>
              <w:rPr>
                <w:sz w:val="24"/>
                <w:szCs w:val="24"/>
                <w:u w:val="single"/>
                <w:lang w:val="en-GB" w:eastAsia="en-GB"/>
              </w:rPr>
            </w:pPr>
            <w:r w:rsidRPr="00CD2342">
              <w:rPr>
                <w:b/>
                <w:noProof/>
                <w:sz w:val="24"/>
                <w:szCs w:val="24"/>
                <w:lang w:val="en-GB" w:eastAsia="en-GB"/>
              </w:rPr>
              <w:t>Systemorganklasser</w:t>
            </w:r>
          </w:p>
        </w:tc>
        <w:tc>
          <w:tcPr>
            <w:tcW w:w="4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8A02A6" w14:textId="77777777" w:rsidR="00165A40" w:rsidRPr="00CD2342" w:rsidRDefault="00165A40">
            <w:pPr>
              <w:keepLines/>
              <w:widowControl w:val="0"/>
              <w:ind w:hanging="34"/>
              <w:rPr>
                <w:sz w:val="24"/>
                <w:szCs w:val="24"/>
                <w:lang w:val="en-GB" w:eastAsia="en-GB"/>
              </w:rPr>
            </w:pPr>
            <w:r w:rsidRPr="00CD2342">
              <w:rPr>
                <w:b/>
                <w:noProof/>
                <w:sz w:val="24"/>
                <w:szCs w:val="24"/>
                <w:lang w:val="en-GB" w:eastAsia="en-GB"/>
              </w:rPr>
              <w:t>MedDRA term</w:t>
            </w:r>
          </w:p>
        </w:tc>
      </w:tr>
      <w:tr w:rsidR="00165A40" w:rsidRPr="00CD2342" w14:paraId="329D47E2"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06C95CF" w14:textId="77777777" w:rsidR="00165A40" w:rsidRPr="00CD2342" w:rsidRDefault="00165A40">
            <w:pPr>
              <w:pStyle w:val="Titel"/>
              <w:keepNext/>
              <w:jc w:val="left"/>
              <w:rPr>
                <w:noProof/>
                <w:szCs w:val="24"/>
                <w:lang w:val="en-GB" w:eastAsia="en-GB"/>
              </w:rPr>
            </w:pPr>
            <w:r w:rsidRPr="00CD2342">
              <w:rPr>
                <w:noProof/>
                <w:szCs w:val="24"/>
                <w:lang w:val="en-GB" w:eastAsia="en-GB"/>
              </w:rPr>
              <w:t>Blod og lymfesystem</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0BBE06B" w14:textId="77777777" w:rsidR="00165A40" w:rsidRPr="00CD2342" w:rsidRDefault="00165A40">
            <w:pPr>
              <w:pStyle w:val="Titel"/>
              <w:keepNext/>
              <w:jc w:val="left"/>
              <w:rPr>
                <w:noProof/>
                <w:szCs w:val="24"/>
                <w:lang w:val="en-GB" w:eastAsia="en-GB"/>
              </w:rPr>
            </w:pPr>
          </w:p>
        </w:tc>
      </w:tr>
      <w:tr w:rsidR="00165A40" w:rsidRPr="00CD2342" w14:paraId="43A90BBF"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DB68DD" w14:textId="77777777" w:rsidR="00165A40" w:rsidRPr="00CD2342" w:rsidRDefault="00165A40">
            <w:pPr>
              <w:pStyle w:val="Titel"/>
              <w:keepNext/>
              <w:jc w:val="left"/>
              <w:rPr>
                <w:i/>
                <w:iCs/>
                <w:noProof/>
                <w:szCs w:val="24"/>
                <w:lang w:val="en-GB" w:eastAsia="en-GB"/>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A52D63B" w14:textId="77777777" w:rsidR="00165A40" w:rsidRPr="00CD2342" w:rsidRDefault="00165A40">
            <w:pPr>
              <w:pStyle w:val="Titel"/>
              <w:keepNext/>
              <w:jc w:val="left"/>
              <w:rPr>
                <w:b w:val="0"/>
                <w:bCs/>
                <w:noProof/>
                <w:szCs w:val="24"/>
                <w:lang w:val="en-GB" w:eastAsia="en-GB"/>
              </w:rPr>
            </w:pPr>
            <w:r w:rsidRPr="00CD2342">
              <w:rPr>
                <w:b w:val="0"/>
                <w:bCs/>
                <w:noProof/>
                <w:szCs w:val="24"/>
                <w:lang w:val="en-GB" w:eastAsia="en-GB"/>
              </w:rPr>
              <w:t>Reversibel leukocytose, mild agranulocytose</w:t>
            </w:r>
          </w:p>
          <w:p w14:paraId="16F15726" w14:textId="77777777" w:rsidR="00165A40" w:rsidRPr="00CD2342" w:rsidRDefault="00165A40">
            <w:pPr>
              <w:pStyle w:val="Titel"/>
              <w:keepNext/>
              <w:jc w:val="left"/>
              <w:rPr>
                <w:b w:val="0"/>
                <w:bCs/>
                <w:noProof/>
                <w:szCs w:val="24"/>
                <w:lang w:val="en-GB" w:eastAsia="en-GB"/>
              </w:rPr>
            </w:pPr>
          </w:p>
        </w:tc>
      </w:tr>
      <w:tr w:rsidR="00165A40" w:rsidRPr="00CD2342" w14:paraId="44A66C08"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734680B" w14:textId="77777777" w:rsidR="00165A40" w:rsidRPr="00CD2342" w:rsidRDefault="00165A40">
            <w:pPr>
              <w:pStyle w:val="Titel"/>
              <w:keepNext/>
              <w:jc w:val="left"/>
              <w:rPr>
                <w:b w:val="0"/>
                <w:noProof/>
                <w:szCs w:val="24"/>
                <w:lang w:val="en-GB" w:eastAsia="en-GB"/>
              </w:rPr>
            </w:pPr>
            <w:bookmarkStart w:id="0" w:name="_Hlk173243077"/>
            <w:r w:rsidRPr="00CD2342">
              <w:rPr>
                <w:noProof/>
                <w:szCs w:val="24"/>
                <w:lang w:val="en-GB" w:eastAsia="en-GB"/>
              </w:rPr>
              <w:t>Det endokrine system</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08836AD" w14:textId="77777777" w:rsidR="00165A40" w:rsidRPr="00CD2342" w:rsidRDefault="00165A40">
            <w:pPr>
              <w:pStyle w:val="Titel"/>
              <w:keepNext/>
              <w:jc w:val="left"/>
              <w:rPr>
                <w:b w:val="0"/>
                <w:i/>
                <w:noProof/>
                <w:szCs w:val="24"/>
                <w:lang w:val="en-GB" w:eastAsia="en-GB"/>
              </w:rPr>
            </w:pPr>
          </w:p>
        </w:tc>
        <w:bookmarkEnd w:id="0"/>
      </w:tr>
      <w:tr w:rsidR="00165A40" w:rsidRPr="00CD2342" w14:paraId="1641C48D"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F8B38F0" w14:textId="77777777" w:rsidR="00165A40" w:rsidRPr="00CD2342" w:rsidRDefault="00165A40">
            <w:pPr>
              <w:pStyle w:val="Titel"/>
              <w:keepNext/>
              <w:jc w:val="left"/>
              <w:rPr>
                <w:b w:val="0"/>
                <w:bCs/>
                <w:i/>
                <w:iCs/>
                <w:noProof/>
                <w:szCs w:val="24"/>
                <w:lang w:val="en-GB" w:eastAsia="en-GB"/>
              </w:rPr>
            </w:pPr>
            <w:r w:rsidRPr="00CD2342">
              <w:rPr>
                <w:b w:val="0"/>
                <w:bCs/>
                <w:i/>
                <w:iCs/>
                <w:noProof/>
                <w:szCs w:val="24"/>
                <w:lang w:val="en-GB" w:eastAsia="en-GB"/>
              </w:rPr>
              <w:t>Meget almindelig</w:t>
            </w:r>
          </w:p>
          <w:p w14:paraId="5B141458" w14:textId="77777777" w:rsidR="00165A40" w:rsidRPr="00CD2342" w:rsidRDefault="00165A40">
            <w:pPr>
              <w:pStyle w:val="Titel"/>
              <w:keepNext/>
              <w:jc w:val="left"/>
              <w:rPr>
                <w:noProof/>
                <w:szCs w:val="24"/>
                <w:lang w:val="en-GB" w:eastAsia="en-GB"/>
              </w:rPr>
            </w:pP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C5D66E9" w14:textId="77777777" w:rsidR="00165A40" w:rsidRPr="00CD2342" w:rsidRDefault="00165A40">
            <w:pPr>
              <w:pStyle w:val="Titel"/>
              <w:keepNext/>
              <w:jc w:val="left"/>
              <w:rPr>
                <w:b w:val="0"/>
                <w:i/>
                <w:noProof/>
                <w:szCs w:val="24"/>
                <w:lang w:val="en-GB" w:eastAsia="en-GB"/>
              </w:rPr>
            </w:pPr>
            <w:r w:rsidRPr="00CD2342">
              <w:rPr>
                <w:b w:val="0"/>
                <w:noProof/>
                <w:szCs w:val="24"/>
                <w:lang w:val="en-GB" w:eastAsia="en-GB"/>
              </w:rPr>
              <w:t>TSH-stigning, struma</w:t>
            </w:r>
          </w:p>
        </w:tc>
      </w:tr>
      <w:tr w:rsidR="00165A40" w:rsidRPr="00CD2342" w14:paraId="24676F2C"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tcPr>
          <w:p w14:paraId="741E08C5" w14:textId="77777777" w:rsidR="00165A40" w:rsidRPr="00CD2342" w:rsidRDefault="00165A40">
            <w:pPr>
              <w:pStyle w:val="Titel"/>
              <w:keepNext/>
              <w:jc w:val="left"/>
              <w:rPr>
                <w:b w:val="0"/>
                <w:bCs/>
                <w:i/>
                <w:iCs/>
                <w:noProof/>
                <w:szCs w:val="24"/>
                <w:lang w:val="en-GB" w:eastAsia="en-GB"/>
              </w:rPr>
            </w:pPr>
            <w:r w:rsidRPr="00CD2342">
              <w:rPr>
                <w:b w:val="0"/>
                <w:bCs/>
                <w:i/>
                <w:iCs/>
                <w:noProof/>
                <w:szCs w:val="24"/>
                <w:lang w:val="en-GB" w:eastAsia="en-GB"/>
              </w:rPr>
              <w:t>Almindelig</w:t>
            </w:r>
          </w:p>
          <w:p w14:paraId="3F436C92" w14:textId="77777777" w:rsidR="00165A40" w:rsidRPr="00CD2342" w:rsidRDefault="00165A40">
            <w:pPr>
              <w:pStyle w:val="Titel"/>
              <w:keepNext/>
              <w:jc w:val="left"/>
              <w:rPr>
                <w:b w:val="0"/>
                <w:bCs/>
                <w:i/>
                <w:iCs/>
                <w:noProof/>
                <w:szCs w:val="24"/>
                <w:lang w:val="en-GB" w:eastAsia="en-GB"/>
              </w:rPr>
            </w:pP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18A8F263" w14:textId="77777777" w:rsidR="00165A40" w:rsidRPr="00CD2342" w:rsidRDefault="00165A40">
            <w:pPr>
              <w:pStyle w:val="Titel"/>
              <w:keepNext/>
              <w:jc w:val="left"/>
              <w:rPr>
                <w:b w:val="0"/>
                <w:noProof/>
                <w:szCs w:val="24"/>
                <w:lang w:val="en-GB" w:eastAsia="en-GB"/>
              </w:rPr>
            </w:pPr>
            <w:proofErr w:type="spellStart"/>
            <w:r w:rsidRPr="00CD2342">
              <w:rPr>
                <w:b w:val="0"/>
                <w:spacing w:val="-3"/>
                <w:szCs w:val="24"/>
                <w:lang w:val="en-GB" w:eastAsia="en-GB"/>
              </w:rPr>
              <w:t>Hypothyreose</w:t>
            </w:r>
            <w:proofErr w:type="spellEnd"/>
            <w:r w:rsidRPr="00CD2342">
              <w:rPr>
                <w:b w:val="0"/>
                <w:spacing w:val="-3"/>
                <w:szCs w:val="24"/>
                <w:lang w:val="en-GB" w:eastAsia="en-GB"/>
              </w:rPr>
              <w:t xml:space="preserve">, </w:t>
            </w:r>
            <w:proofErr w:type="spellStart"/>
            <w:r w:rsidRPr="00CD2342">
              <w:rPr>
                <w:b w:val="0"/>
                <w:spacing w:val="-3"/>
                <w:szCs w:val="24"/>
                <w:lang w:val="en-GB" w:eastAsia="en-GB"/>
              </w:rPr>
              <w:t>subklinisk</w:t>
            </w:r>
            <w:proofErr w:type="spellEnd"/>
            <w:r w:rsidRPr="00CD2342">
              <w:rPr>
                <w:b w:val="0"/>
                <w:spacing w:val="-3"/>
                <w:szCs w:val="24"/>
                <w:lang w:val="en-GB" w:eastAsia="en-GB"/>
              </w:rPr>
              <w:t xml:space="preserve"> </w:t>
            </w:r>
            <w:proofErr w:type="spellStart"/>
            <w:r w:rsidRPr="00CD2342">
              <w:rPr>
                <w:b w:val="0"/>
                <w:spacing w:val="-3"/>
                <w:szCs w:val="24"/>
                <w:lang w:val="en-GB" w:eastAsia="en-GB"/>
              </w:rPr>
              <w:t>hypothyreose</w:t>
            </w:r>
            <w:proofErr w:type="spellEnd"/>
            <w:r w:rsidRPr="00CD2342">
              <w:rPr>
                <w:b w:val="0"/>
                <w:spacing w:val="-3"/>
                <w:szCs w:val="24"/>
                <w:lang w:val="en-GB" w:eastAsia="en-GB"/>
              </w:rPr>
              <w:t xml:space="preserve">, </w:t>
            </w:r>
            <w:r w:rsidRPr="00CD2342">
              <w:rPr>
                <w:b w:val="0"/>
                <w:noProof/>
                <w:szCs w:val="24"/>
                <w:lang w:val="en-GB" w:eastAsia="en-GB"/>
              </w:rPr>
              <w:t>hyperparathyroidisme</w:t>
            </w:r>
          </w:p>
        </w:tc>
      </w:tr>
      <w:tr w:rsidR="00165A40" w:rsidRPr="00CD2342" w14:paraId="12F1EAF4"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F20AF18" w14:textId="77777777" w:rsidR="00165A40" w:rsidRPr="00CD2342" w:rsidRDefault="00165A40">
            <w:pPr>
              <w:pStyle w:val="Titel"/>
              <w:jc w:val="left"/>
              <w:rPr>
                <w:b w:val="0"/>
                <w:bCs/>
                <w:i/>
                <w:iCs/>
                <w:noProof/>
                <w:szCs w:val="24"/>
                <w:lang w:val="en-GB" w:eastAsia="en-GB"/>
              </w:rPr>
            </w:pPr>
            <w:r w:rsidRPr="00CD2342">
              <w:rPr>
                <w:b w:val="0"/>
                <w:i/>
                <w:iCs/>
                <w:noProof/>
                <w:szCs w:val="24"/>
                <w:lang w:val="en-GB" w:eastAsia="en-GB"/>
              </w:rPr>
              <w:t>Ikke kendt</w:t>
            </w:r>
          </w:p>
          <w:p w14:paraId="13EA09D5" w14:textId="77777777" w:rsidR="00165A40" w:rsidRPr="00CD2342" w:rsidRDefault="00165A40">
            <w:pPr>
              <w:pStyle w:val="Titel"/>
              <w:jc w:val="left"/>
              <w:rPr>
                <w:b w:val="0"/>
                <w:bCs/>
                <w:i/>
                <w:iCs/>
                <w:noProof/>
                <w:szCs w:val="24"/>
                <w:lang w:val="en-GB" w:eastAsia="en-GB"/>
              </w:rPr>
            </w:pP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487E941" w14:textId="77777777" w:rsidR="00165A40" w:rsidRPr="00CD2342" w:rsidRDefault="00165A40">
            <w:pPr>
              <w:pStyle w:val="Titel"/>
              <w:jc w:val="left"/>
              <w:rPr>
                <w:b w:val="0"/>
                <w:noProof/>
                <w:szCs w:val="24"/>
                <w:lang w:eastAsia="en-GB"/>
              </w:rPr>
            </w:pPr>
            <w:r w:rsidRPr="00CD2342">
              <w:rPr>
                <w:b w:val="0"/>
                <w:noProof/>
                <w:szCs w:val="24"/>
                <w:lang w:eastAsia="en-GB"/>
              </w:rPr>
              <w:t>Thyrotoksikose, hyperthyreose</w:t>
            </w:r>
            <w:r w:rsidRPr="00CD2342">
              <w:rPr>
                <w:noProof/>
                <w:szCs w:val="24"/>
                <w:lang w:eastAsia="en-GB"/>
              </w:rPr>
              <w:t xml:space="preserve">  </w:t>
            </w:r>
            <w:r w:rsidRPr="00CD2342">
              <w:rPr>
                <w:b w:val="0"/>
                <w:noProof/>
                <w:szCs w:val="24"/>
                <w:lang w:eastAsia="en-GB"/>
              </w:rPr>
              <w:t>(efter ophør eller nedsat behandling)</w:t>
            </w:r>
          </w:p>
          <w:p w14:paraId="3D0C10EB" w14:textId="77777777" w:rsidR="00165A40" w:rsidRPr="00CD2342" w:rsidRDefault="00165A40">
            <w:pPr>
              <w:pStyle w:val="Titel"/>
              <w:jc w:val="left"/>
              <w:rPr>
                <w:b w:val="0"/>
                <w:noProof/>
                <w:szCs w:val="24"/>
                <w:lang w:eastAsia="en-GB"/>
              </w:rPr>
            </w:pPr>
          </w:p>
        </w:tc>
      </w:tr>
      <w:tr w:rsidR="00165A40" w:rsidRPr="00CD2342" w14:paraId="011B8C05"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5CF557A" w14:textId="77777777" w:rsidR="00165A40" w:rsidRPr="00CD2342" w:rsidRDefault="00165A40">
            <w:pPr>
              <w:pStyle w:val="Titel"/>
              <w:keepNext/>
              <w:jc w:val="left"/>
              <w:rPr>
                <w:noProof/>
                <w:szCs w:val="24"/>
                <w:lang w:val="en-GB" w:eastAsia="en-GB"/>
              </w:rPr>
            </w:pPr>
            <w:r w:rsidRPr="00CD2342">
              <w:rPr>
                <w:noProof/>
                <w:szCs w:val="24"/>
                <w:lang w:val="en-GB" w:eastAsia="en-GB"/>
              </w:rPr>
              <w:t xml:space="preserve">Metabolisme og ernæring  </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E0F040F" w14:textId="77777777" w:rsidR="00165A40" w:rsidRPr="00CD2342" w:rsidRDefault="00165A40">
            <w:pPr>
              <w:pStyle w:val="Titel"/>
              <w:keepNext/>
              <w:jc w:val="left"/>
              <w:rPr>
                <w:noProof/>
                <w:szCs w:val="24"/>
                <w:lang w:val="en-GB" w:eastAsia="en-GB"/>
              </w:rPr>
            </w:pPr>
          </w:p>
        </w:tc>
      </w:tr>
      <w:tr w:rsidR="00165A40" w:rsidRPr="00CD2342" w14:paraId="1605861A"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18D743C2" w14:textId="77777777" w:rsidR="00165A40" w:rsidRPr="00CD2342" w:rsidRDefault="00165A40">
            <w:pPr>
              <w:pStyle w:val="Titel"/>
              <w:keepNext/>
              <w:jc w:val="left"/>
              <w:rPr>
                <w:bCs/>
                <w:i/>
                <w:iCs/>
                <w:noProof/>
                <w:szCs w:val="24"/>
                <w:lang w:val="en-GB" w:eastAsia="en-GB"/>
              </w:rPr>
            </w:pPr>
            <w:r w:rsidRPr="00CD2342">
              <w:rPr>
                <w:b w:val="0"/>
                <w:bCs/>
                <w:i/>
                <w:iCs/>
                <w:noProof/>
                <w:szCs w:val="24"/>
                <w:lang w:val="en-GB" w:eastAsia="en-GB"/>
              </w:rPr>
              <w:t>Meget 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154F15D7" w14:textId="77777777" w:rsidR="00165A40" w:rsidRPr="00CD2342" w:rsidRDefault="00165A40">
            <w:pPr>
              <w:pStyle w:val="Titel"/>
              <w:jc w:val="left"/>
              <w:rPr>
                <w:b w:val="0"/>
                <w:bCs/>
                <w:noProof/>
                <w:szCs w:val="24"/>
                <w:lang w:val="en-GB" w:eastAsia="en-GB"/>
              </w:rPr>
            </w:pPr>
            <w:r w:rsidRPr="00CD2342">
              <w:rPr>
                <w:b w:val="0"/>
                <w:noProof/>
                <w:szCs w:val="24"/>
                <w:lang w:val="en-GB" w:eastAsia="en-GB"/>
              </w:rPr>
              <w:t xml:space="preserve">Vægtøgning </w:t>
            </w:r>
          </w:p>
        </w:tc>
      </w:tr>
      <w:tr w:rsidR="00165A40" w:rsidRPr="00CD2342" w14:paraId="6E3791BA"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6CF65CFC" w14:textId="77777777" w:rsidR="00165A40" w:rsidRPr="00CD2342" w:rsidRDefault="00165A40">
            <w:pPr>
              <w:keepNext/>
              <w:rPr>
                <w:i/>
                <w:iCs/>
                <w:noProof/>
                <w:sz w:val="24"/>
                <w:szCs w:val="24"/>
                <w:lang w:val="en-GB" w:eastAsia="en-GB"/>
              </w:rPr>
            </w:pPr>
            <w:r w:rsidRPr="00CD2342">
              <w:rPr>
                <w:i/>
                <w:iCs/>
                <w:noProof/>
                <w:sz w:val="24"/>
                <w:szCs w:val="24"/>
                <w:lang w:val="en-GB" w:eastAsia="en-GB"/>
              </w:rPr>
              <w:t>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25A2752" w14:textId="77777777" w:rsidR="00165A40" w:rsidRPr="00CD2342" w:rsidRDefault="00165A40">
            <w:pPr>
              <w:pStyle w:val="Titel"/>
              <w:keepNext/>
              <w:jc w:val="left"/>
              <w:rPr>
                <w:b w:val="0"/>
                <w:noProof/>
                <w:szCs w:val="24"/>
                <w:lang w:val="en-GB" w:eastAsia="en-GB"/>
              </w:rPr>
            </w:pPr>
            <w:r w:rsidRPr="00CD2342">
              <w:rPr>
                <w:b w:val="0"/>
                <w:noProof/>
                <w:szCs w:val="24"/>
                <w:lang w:val="en-GB" w:eastAsia="en-GB"/>
              </w:rPr>
              <w:t>Polydipsi</w:t>
            </w:r>
          </w:p>
          <w:p w14:paraId="17A34916" w14:textId="77777777" w:rsidR="00165A40" w:rsidRPr="00CD2342" w:rsidRDefault="00165A40">
            <w:pPr>
              <w:pStyle w:val="Titel"/>
              <w:keepNext/>
              <w:jc w:val="left"/>
              <w:rPr>
                <w:b w:val="0"/>
                <w:noProof/>
                <w:szCs w:val="24"/>
                <w:lang w:val="en-GB" w:eastAsia="en-GB"/>
              </w:rPr>
            </w:pPr>
          </w:p>
        </w:tc>
      </w:tr>
      <w:tr w:rsidR="00165A40" w:rsidRPr="00CD2342" w14:paraId="736EE5B4"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4DE8A5F" w14:textId="77777777" w:rsidR="00165A40" w:rsidRPr="00CD2342" w:rsidRDefault="00165A40">
            <w:pPr>
              <w:pStyle w:val="Titel"/>
              <w:keepNext/>
              <w:jc w:val="left"/>
              <w:rPr>
                <w:noProof/>
                <w:szCs w:val="24"/>
                <w:lang w:val="en-GB" w:eastAsia="en-GB"/>
              </w:rPr>
            </w:pPr>
            <w:r w:rsidRPr="00CD2342">
              <w:rPr>
                <w:noProof/>
                <w:szCs w:val="24"/>
                <w:lang w:val="en-GB" w:eastAsia="en-GB"/>
              </w:rPr>
              <w:t>Psykiske forstyrrelser</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86F5DD1" w14:textId="77777777" w:rsidR="00165A40" w:rsidRPr="00CD2342" w:rsidRDefault="00165A40">
            <w:pPr>
              <w:pStyle w:val="Titel"/>
              <w:keepNext/>
              <w:jc w:val="left"/>
              <w:rPr>
                <w:noProof/>
                <w:szCs w:val="24"/>
                <w:lang w:val="en-GB" w:eastAsia="en-GB"/>
              </w:rPr>
            </w:pPr>
          </w:p>
        </w:tc>
      </w:tr>
      <w:tr w:rsidR="00165A40" w:rsidRPr="00CD2342" w14:paraId="16E25AE7"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006F0EE0" w14:textId="77777777" w:rsidR="00165A40" w:rsidRPr="00CD2342" w:rsidRDefault="00165A40">
            <w:pPr>
              <w:pStyle w:val="Titel"/>
              <w:jc w:val="left"/>
              <w:rPr>
                <w:b w:val="0"/>
                <w:bCs/>
                <w:i/>
                <w:iCs/>
                <w:noProof/>
                <w:szCs w:val="24"/>
                <w:lang w:val="en-GB" w:eastAsia="en-GB"/>
              </w:rPr>
            </w:pPr>
            <w:r w:rsidRPr="00CD2342">
              <w:rPr>
                <w:b w:val="0"/>
                <w:bCs/>
                <w:i/>
                <w:iCs/>
                <w:noProof/>
                <w:szCs w:val="24"/>
                <w:lang w:val="en-GB" w:eastAsia="en-GB"/>
              </w:rPr>
              <w:t>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F9A4AD1" w14:textId="77777777" w:rsidR="00165A40" w:rsidRPr="00CD2342" w:rsidRDefault="00165A40">
            <w:pPr>
              <w:pStyle w:val="Titel"/>
              <w:jc w:val="left"/>
              <w:rPr>
                <w:b w:val="0"/>
                <w:noProof/>
                <w:szCs w:val="24"/>
                <w:lang w:val="en-GB" w:eastAsia="en-GB"/>
              </w:rPr>
            </w:pPr>
            <w:r w:rsidRPr="00CD2342">
              <w:rPr>
                <w:b w:val="0"/>
                <w:noProof/>
                <w:szCs w:val="24"/>
                <w:lang w:val="en-GB" w:eastAsia="en-GB"/>
              </w:rPr>
              <w:t>Konfusion, døsighed</w:t>
            </w:r>
          </w:p>
          <w:p w14:paraId="1D350A8C" w14:textId="77777777" w:rsidR="00165A40" w:rsidRPr="00CD2342" w:rsidRDefault="00165A40">
            <w:pPr>
              <w:pStyle w:val="Titel"/>
              <w:jc w:val="left"/>
              <w:rPr>
                <w:b w:val="0"/>
                <w:noProof/>
                <w:szCs w:val="24"/>
                <w:lang w:val="en-GB" w:eastAsia="en-GB"/>
              </w:rPr>
            </w:pPr>
          </w:p>
        </w:tc>
      </w:tr>
      <w:tr w:rsidR="00165A40" w:rsidRPr="00CD2342" w14:paraId="274629DF"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4C612AF" w14:textId="77777777" w:rsidR="00165A40" w:rsidRPr="00CD2342" w:rsidRDefault="00165A40">
            <w:pPr>
              <w:pStyle w:val="Titel"/>
              <w:keepNext/>
              <w:jc w:val="left"/>
              <w:rPr>
                <w:noProof/>
                <w:szCs w:val="24"/>
                <w:lang w:val="en-GB" w:eastAsia="en-GB"/>
              </w:rPr>
            </w:pPr>
            <w:r w:rsidRPr="00CD2342">
              <w:rPr>
                <w:bCs/>
                <w:noProof/>
                <w:szCs w:val="24"/>
                <w:lang w:val="en-GB" w:eastAsia="en-GB"/>
              </w:rPr>
              <w:t>Nervesystemet</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DC770FB" w14:textId="77777777" w:rsidR="00165A40" w:rsidRPr="00CD2342" w:rsidRDefault="00165A40">
            <w:pPr>
              <w:pStyle w:val="Titel"/>
              <w:keepNext/>
              <w:jc w:val="left"/>
              <w:rPr>
                <w:noProof/>
                <w:szCs w:val="24"/>
                <w:lang w:val="en-GB" w:eastAsia="en-GB"/>
              </w:rPr>
            </w:pPr>
          </w:p>
        </w:tc>
      </w:tr>
      <w:tr w:rsidR="00165A40" w:rsidRPr="00CD2342" w14:paraId="584E966C"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49C11DF0" w14:textId="77777777" w:rsidR="00165A40" w:rsidRPr="00CD2342" w:rsidRDefault="00165A40">
            <w:pPr>
              <w:rPr>
                <w:i/>
                <w:iCs/>
                <w:noProof/>
                <w:sz w:val="24"/>
                <w:szCs w:val="24"/>
                <w:lang w:val="en-GB" w:eastAsia="en-GB"/>
              </w:rPr>
            </w:pPr>
            <w:r w:rsidRPr="00CD2342">
              <w:rPr>
                <w:i/>
                <w:iCs/>
                <w:noProof/>
                <w:sz w:val="24"/>
                <w:szCs w:val="24"/>
                <w:lang w:val="en-GB" w:eastAsia="en-GB"/>
              </w:rPr>
              <w:t>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10A6566F" w14:textId="77777777" w:rsidR="00165A40" w:rsidRPr="00CD2342" w:rsidRDefault="00165A40">
            <w:pPr>
              <w:rPr>
                <w:b/>
                <w:bCs/>
                <w:noProof/>
                <w:sz w:val="24"/>
                <w:szCs w:val="24"/>
                <w:lang w:eastAsia="en-GB"/>
              </w:rPr>
            </w:pPr>
            <w:r w:rsidRPr="00CD2342">
              <w:rPr>
                <w:spacing w:val="-3"/>
                <w:sz w:val="24"/>
                <w:szCs w:val="24"/>
                <w:lang w:eastAsia="en-GB"/>
              </w:rPr>
              <w:t xml:space="preserve">Fin </w:t>
            </w:r>
            <w:proofErr w:type="spellStart"/>
            <w:r w:rsidRPr="00CD2342">
              <w:rPr>
                <w:spacing w:val="-3"/>
                <w:sz w:val="24"/>
                <w:szCs w:val="24"/>
                <w:lang w:eastAsia="en-GB"/>
              </w:rPr>
              <w:t>håndtremor</w:t>
            </w:r>
            <w:proofErr w:type="spellEnd"/>
            <w:r w:rsidRPr="00CD2342">
              <w:rPr>
                <w:spacing w:val="-3"/>
                <w:sz w:val="24"/>
                <w:szCs w:val="24"/>
                <w:lang w:eastAsia="en-GB"/>
              </w:rPr>
              <w:t>, let nedsat koncentration og reaktionsevne</w:t>
            </w:r>
          </w:p>
        </w:tc>
      </w:tr>
      <w:tr w:rsidR="00165A40" w:rsidRPr="00CD2342" w14:paraId="54943DB3"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59ED8C9E" w14:textId="77777777" w:rsidR="00165A40" w:rsidRPr="00CD2342" w:rsidRDefault="00165A40">
            <w:pPr>
              <w:rPr>
                <w:i/>
                <w:iCs/>
                <w:sz w:val="24"/>
                <w:szCs w:val="24"/>
                <w:lang w:val="en-GB" w:eastAsia="en-GB"/>
              </w:rPr>
            </w:pPr>
            <w:r w:rsidRPr="00CD2342">
              <w:rPr>
                <w:i/>
                <w:iCs/>
                <w:noProof/>
                <w:sz w:val="24"/>
                <w:szCs w:val="24"/>
                <w:lang w:val="en-GB" w:eastAsia="en-GB"/>
              </w:rPr>
              <w:t>Ikke 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09386C02" w14:textId="77777777" w:rsidR="00165A40" w:rsidRPr="00CD2342" w:rsidRDefault="00165A40">
            <w:pPr>
              <w:pStyle w:val="Titel"/>
              <w:jc w:val="left"/>
              <w:rPr>
                <w:spacing w:val="-3"/>
                <w:szCs w:val="24"/>
                <w:lang w:eastAsia="en-GB"/>
              </w:rPr>
            </w:pPr>
            <w:r w:rsidRPr="00CD2342">
              <w:rPr>
                <w:b w:val="0"/>
                <w:noProof/>
                <w:szCs w:val="24"/>
                <w:lang w:eastAsia="en-GB"/>
              </w:rPr>
              <w:t>Reversible parkinsonlignende symptomer, hovedpine, svimmelhed</w:t>
            </w:r>
          </w:p>
        </w:tc>
      </w:tr>
      <w:tr w:rsidR="00165A40" w:rsidRPr="00CD2342" w14:paraId="56A33488"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0FE5FA" w14:textId="77777777" w:rsidR="00165A40" w:rsidRPr="00CD2342" w:rsidRDefault="00165A40">
            <w:pPr>
              <w:rPr>
                <w:i/>
                <w:iCs/>
                <w:noProof/>
                <w:sz w:val="24"/>
                <w:szCs w:val="24"/>
                <w:lang w:val="en-GB" w:eastAsia="en-GB"/>
              </w:rPr>
            </w:pPr>
            <w:r w:rsidRPr="00CD2342">
              <w:rPr>
                <w:i/>
                <w:iCs/>
                <w:noProof/>
                <w:sz w:val="24"/>
                <w:szCs w:val="24"/>
                <w:lang w:val="en-GB" w:eastAsia="en-GB"/>
              </w:rPr>
              <w:t xml:space="preserve">Sjælden </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AF67B84" w14:textId="77777777" w:rsidR="00165A40" w:rsidRPr="00CD2342" w:rsidRDefault="00165A40">
            <w:pPr>
              <w:rPr>
                <w:spacing w:val="-3"/>
                <w:sz w:val="24"/>
                <w:szCs w:val="24"/>
                <w:lang w:val="en-GB" w:eastAsia="en-GB"/>
              </w:rPr>
            </w:pPr>
            <w:proofErr w:type="spellStart"/>
            <w:r w:rsidRPr="00CD2342">
              <w:rPr>
                <w:spacing w:val="-3"/>
                <w:sz w:val="24"/>
                <w:szCs w:val="24"/>
                <w:lang w:val="en-GB" w:eastAsia="en-GB"/>
              </w:rPr>
              <w:t>Malignt</w:t>
            </w:r>
            <w:proofErr w:type="spellEnd"/>
            <w:r w:rsidRPr="00CD2342">
              <w:rPr>
                <w:spacing w:val="-3"/>
                <w:sz w:val="24"/>
                <w:szCs w:val="24"/>
                <w:lang w:val="en-GB" w:eastAsia="en-GB"/>
              </w:rPr>
              <w:t xml:space="preserve"> </w:t>
            </w:r>
            <w:proofErr w:type="spellStart"/>
            <w:r w:rsidRPr="00CD2342">
              <w:rPr>
                <w:spacing w:val="-3"/>
                <w:sz w:val="24"/>
                <w:szCs w:val="24"/>
                <w:lang w:val="en-GB" w:eastAsia="en-GB"/>
              </w:rPr>
              <w:t>neuroleptikasyndrom</w:t>
            </w:r>
            <w:proofErr w:type="spellEnd"/>
            <w:r w:rsidRPr="00CD2342">
              <w:rPr>
                <w:spacing w:val="-3"/>
                <w:sz w:val="24"/>
                <w:szCs w:val="24"/>
                <w:lang w:val="en-GB" w:eastAsia="en-GB"/>
              </w:rPr>
              <w:t>, EEG-</w:t>
            </w:r>
            <w:proofErr w:type="spellStart"/>
            <w:r w:rsidRPr="00CD2342">
              <w:rPr>
                <w:spacing w:val="-3"/>
                <w:sz w:val="24"/>
                <w:szCs w:val="24"/>
                <w:lang w:val="en-GB" w:eastAsia="en-GB"/>
              </w:rPr>
              <w:t>ændringer</w:t>
            </w:r>
            <w:proofErr w:type="spellEnd"/>
          </w:p>
          <w:p w14:paraId="1CED4CAC" w14:textId="77777777" w:rsidR="00165A40" w:rsidRPr="00CD2342" w:rsidRDefault="00165A40">
            <w:pPr>
              <w:rPr>
                <w:spacing w:val="-3"/>
                <w:sz w:val="24"/>
                <w:szCs w:val="24"/>
                <w:lang w:val="en-GB" w:eastAsia="en-GB"/>
              </w:rPr>
            </w:pPr>
            <w:r w:rsidRPr="00CD2342">
              <w:rPr>
                <w:spacing w:val="-3"/>
                <w:sz w:val="24"/>
                <w:szCs w:val="24"/>
                <w:lang w:val="en-GB" w:eastAsia="en-GB"/>
              </w:rPr>
              <w:t xml:space="preserve"> </w:t>
            </w:r>
          </w:p>
        </w:tc>
      </w:tr>
      <w:tr w:rsidR="00165A40" w:rsidRPr="00CD2342" w14:paraId="53E6AC22"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E231B46" w14:textId="77777777" w:rsidR="00165A40" w:rsidRPr="00CD2342" w:rsidRDefault="00165A40">
            <w:pPr>
              <w:pStyle w:val="Titel"/>
              <w:keepNext/>
              <w:jc w:val="left"/>
              <w:rPr>
                <w:b w:val="0"/>
                <w:noProof/>
                <w:szCs w:val="24"/>
                <w:lang w:val="en-GB" w:eastAsia="en-GB"/>
              </w:rPr>
            </w:pPr>
            <w:bookmarkStart w:id="1" w:name="_Hlk176778880"/>
            <w:r w:rsidRPr="00CD2342">
              <w:rPr>
                <w:bCs/>
                <w:noProof/>
                <w:szCs w:val="24"/>
                <w:lang w:val="en-GB" w:eastAsia="en-GB"/>
              </w:rPr>
              <w:t>Hjerte</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3DA2C6A" w14:textId="77777777" w:rsidR="00165A40" w:rsidRPr="00CD2342" w:rsidRDefault="00165A40">
            <w:pPr>
              <w:pStyle w:val="Titel"/>
              <w:keepNext/>
              <w:jc w:val="left"/>
              <w:rPr>
                <w:noProof/>
                <w:szCs w:val="24"/>
                <w:lang w:val="en-GB" w:eastAsia="en-GB"/>
              </w:rPr>
            </w:pPr>
          </w:p>
        </w:tc>
      </w:tr>
      <w:tr w:rsidR="00165A40" w:rsidRPr="00CD2342" w14:paraId="3D784C4A"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53667515" w14:textId="77777777" w:rsidR="00165A40" w:rsidRPr="00CD2342" w:rsidRDefault="00165A40">
            <w:pPr>
              <w:pStyle w:val="Titel"/>
              <w:keepNext/>
              <w:jc w:val="left"/>
              <w:rPr>
                <w:b w:val="0"/>
                <w:bCs/>
                <w:i/>
                <w:iCs/>
                <w:noProof/>
                <w:szCs w:val="24"/>
                <w:lang w:val="en-GB" w:eastAsia="en-GB"/>
              </w:rPr>
            </w:pPr>
            <w:r w:rsidRPr="00CD2342">
              <w:rPr>
                <w:b w:val="0"/>
                <w:bCs/>
                <w:i/>
                <w:iCs/>
                <w:noProof/>
                <w:szCs w:val="24"/>
                <w:lang w:val="en-GB" w:eastAsia="en-GB"/>
              </w:rPr>
              <w:t>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1CA69394" w14:textId="77777777" w:rsidR="00165A40" w:rsidRPr="00CD2342" w:rsidRDefault="00165A40">
            <w:pPr>
              <w:pStyle w:val="Titel"/>
              <w:keepNext/>
              <w:jc w:val="left"/>
              <w:rPr>
                <w:b w:val="0"/>
                <w:noProof/>
                <w:szCs w:val="24"/>
                <w:lang w:eastAsia="en-GB"/>
              </w:rPr>
            </w:pPr>
            <w:r w:rsidRPr="00CD2342">
              <w:rPr>
                <w:b w:val="0"/>
                <w:bCs/>
                <w:noProof/>
                <w:szCs w:val="24"/>
                <w:lang w:eastAsia="en-GB"/>
              </w:rPr>
              <w:t>T-tak affladning i EKG</w:t>
            </w:r>
          </w:p>
        </w:tc>
      </w:tr>
      <w:tr w:rsidR="00165A40" w:rsidRPr="00CD2342" w14:paraId="1145A93E"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B137D36" w14:textId="77777777" w:rsidR="00165A40" w:rsidRPr="00CD2342" w:rsidRDefault="00165A40">
            <w:pPr>
              <w:keepNext/>
              <w:rPr>
                <w:bCs/>
                <w:i/>
                <w:iCs/>
                <w:noProof/>
                <w:sz w:val="24"/>
                <w:szCs w:val="24"/>
                <w:lang w:val="en-GB" w:eastAsia="en-GB"/>
              </w:rPr>
            </w:pPr>
            <w:r w:rsidRPr="00CD2342">
              <w:rPr>
                <w:i/>
                <w:iCs/>
                <w:noProof/>
                <w:sz w:val="24"/>
                <w:szCs w:val="24"/>
                <w:lang w:val="en-GB" w:eastAsia="en-GB"/>
              </w:rPr>
              <w:t>Ikke 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5B761A6" w14:textId="77777777" w:rsidR="00165A40" w:rsidRPr="00CD2342" w:rsidRDefault="00165A40">
            <w:pPr>
              <w:pStyle w:val="Titel"/>
              <w:keepNext/>
              <w:jc w:val="left"/>
              <w:rPr>
                <w:b w:val="0"/>
                <w:bCs/>
                <w:noProof/>
                <w:szCs w:val="24"/>
                <w:lang w:val="en-GB" w:eastAsia="en-GB"/>
              </w:rPr>
            </w:pPr>
            <w:r w:rsidRPr="00CD2342">
              <w:rPr>
                <w:b w:val="0"/>
                <w:bCs/>
                <w:noProof/>
                <w:szCs w:val="24"/>
                <w:lang w:val="en-GB" w:eastAsia="en-GB"/>
              </w:rPr>
              <w:t>Ændret sinusaktivitet, atrioventrikulært blok, arytmi</w:t>
            </w:r>
          </w:p>
          <w:p w14:paraId="2729FFC3" w14:textId="77777777" w:rsidR="00165A40" w:rsidRPr="00CD2342" w:rsidRDefault="00165A40">
            <w:pPr>
              <w:pStyle w:val="Titel"/>
              <w:keepNext/>
              <w:jc w:val="left"/>
              <w:rPr>
                <w:b w:val="0"/>
                <w:szCs w:val="24"/>
                <w:lang w:val="en-GB" w:eastAsia="en-GB"/>
              </w:rPr>
            </w:pPr>
          </w:p>
        </w:tc>
        <w:bookmarkEnd w:id="1"/>
      </w:tr>
      <w:tr w:rsidR="00165A40" w:rsidRPr="00CD2342" w14:paraId="6567B656"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87A7B5A" w14:textId="77777777" w:rsidR="00165A40" w:rsidRPr="00CD2342" w:rsidRDefault="00165A40">
            <w:pPr>
              <w:pStyle w:val="Titel"/>
              <w:keepNext/>
              <w:jc w:val="left"/>
              <w:rPr>
                <w:noProof/>
                <w:szCs w:val="24"/>
                <w:lang w:val="en-GB" w:eastAsia="en-GB"/>
              </w:rPr>
            </w:pPr>
            <w:r w:rsidRPr="00CD2342">
              <w:rPr>
                <w:noProof/>
                <w:szCs w:val="24"/>
                <w:lang w:val="en-GB" w:eastAsia="en-GB"/>
              </w:rPr>
              <w:t>Vaskulære sygdomme</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DDAFEA4" w14:textId="77777777" w:rsidR="00165A40" w:rsidRPr="00CD2342" w:rsidRDefault="00165A40">
            <w:pPr>
              <w:pStyle w:val="Titel"/>
              <w:keepNext/>
              <w:jc w:val="left"/>
              <w:rPr>
                <w:noProof/>
                <w:szCs w:val="24"/>
                <w:lang w:val="en-GB" w:eastAsia="en-GB"/>
              </w:rPr>
            </w:pPr>
          </w:p>
        </w:tc>
      </w:tr>
      <w:tr w:rsidR="00165A40" w:rsidRPr="00CD2342" w14:paraId="508EA572"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CAFC80" w14:textId="77777777" w:rsidR="00165A40" w:rsidRPr="00CD2342" w:rsidRDefault="00165A40">
            <w:pPr>
              <w:pStyle w:val="Titel"/>
              <w:jc w:val="left"/>
              <w:rPr>
                <w:i/>
                <w:iCs/>
                <w:noProof/>
                <w:szCs w:val="24"/>
                <w:lang w:val="en-GB" w:eastAsia="en-GB"/>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44458C9F" w14:textId="77777777" w:rsidR="00165A40" w:rsidRPr="00CD2342" w:rsidRDefault="00165A40">
            <w:pPr>
              <w:pStyle w:val="Titel"/>
              <w:jc w:val="left"/>
              <w:rPr>
                <w:b w:val="0"/>
                <w:noProof/>
                <w:szCs w:val="24"/>
                <w:lang w:eastAsia="en-GB"/>
              </w:rPr>
            </w:pPr>
            <w:r w:rsidRPr="00CD2342">
              <w:rPr>
                <w:b w:val="0"/>
                <w:noProof/>
                <w:szCs w:val="24"/>
                <w:lang w:eastAsia="en-GB"/>
              </w:rPr>
              <w:t xml:space="preserve">Venøs tromboemboli, herunder tilfælde af pulmonær emboli og tilfælde af dyb venøs trombose, har været rapporteret </w:t>
            </w:r>
          </w:p>
          <w:p w14:paraId="3B308C99" w14:textId="77777777" w:rsidR="00165A40" w:rsidRPr="00CD2342" w:rsidRDefault="00165A40">
            <w:pPr>
              <w:pStyle w:val="Titel"/>
              <w:jc w:val="left"/>
              <w:rPr>
                <w:b w:val="0"/>
                <w:noProof/>
                <w:szCs w:val="24"/>
                <w:lang w:eastAsia="en-GB"/>
              </w:rPr>
            </w:pPr>
          </w:p>
        </w:tc>
      </w:tr>
      <w:tr w:rsidR="00165A40" w:rsidRPr="00CD2342" w14:paraId="73B3422E"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B6DD46B" w14:textId="77777777" w:rsidR="00165A40" w:rsidRPr="00CD2342" w:rsidRDefault="00165A40">
            <w:pPr>
              <w:pStyle w:val="Titel"/>
              <w:keepNext/>
              <w:jc w:val="left"/>
              <w:rPr>
                <w:noProof/>
                <w:szCs w:val="24"/>
                <w:lang w:val="en-GB" w:eastAsia="en-GB"/>
              </w:rPr>
            </w:pPr>
            <w:r w:rsidRPr="00CD2342">
              <w:rPr>
                <w:noProof/>
                <w:szCs w:val="24"/>
                <w:lang w:val="en-GB" w:eastAsia="en-GB"/>
              </w:rPr>
              <w:t xml:space="preserve">Mave-tarm-kanalen  </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F7AC3B9" w14:textId="77777777" w:rsidR="00165A40" w:rsidRPr="00CD2342" w:rsidRDefault="00165A40">
            <w:pPr>
              <w:pStyle w:val="Titel"/>
              <w:keepNext/>
              <w:jc w:val="left"/>
              <w:rPr>
                <w:noProof/>
                <w:szCs w:val="24"/>
                <w:lang w:val="en-GB" w:eastAsia="en-GB"/>
              </w:rPr>
            </w:pPr>
          </w:p>
        </w:tc>
      </w:tr>
      <w:tr w:rsidR="00165A40" w:rsidRPr="00CD2342" w14:paraId="4345F9F8"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EFEE4D5" w14:textId="77777777" w:rsidR="00165A40" w:rsidRPr="00CD2342" w:rsidRDefault="00165A40">
            <w:pPr>
              <w:pStyle w:val="Titel"/>
              <w:jc w:val="left"/>
              <w:rPr>
                <w:b w:val="0"/>
                <w:bCs/>
                <w:i/>
                <w:iCs/>
                <w:noProof/>
                <w:szCs w:val="24"/>
                <w:lang w:val="en-GB" w:eastAsia="en-GB"/>
              </w:rPr>
            </w:pPr>
            <w:r w:rsidRPr="00CD2342">
              <w:rPr>
                <w:b w:val="0"/>
                <w:bCs/>
                <w:i/>
                <w:iCs/>
                <w:noProof/>
                <w:szCs w:val="24"/>
                <w:lang w:val="en-GB" w:eastAsia="en-GB"/>
              </w:rPr>
              <w:t>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39D9E9D" w14:textId="77777777" w:rsidR="00165A40" w:rsidRPr="00CD2342" w:rsidRDefault="00165A40">
            <w:pPr>
              <w:pStyle w:val="Titel"/>
              <w:jc w:val="left"/>
              <w:rPr>
                <w:b w:val="0"/>
                <w:noProof/>
                <w:szCs w:val="24"/>
                <w:lang w:eastAsia="en-GB"/>
              </w:rPr>
            </w:pPr>
            <w:r w:rsidRPr="00CD2342">
              <w:rPr>
                <w:b w:val="0"/>
                <w:noProof/>
                <w:szCs w:val="24"/>
                <w:lang w:eastAsia="en-GB"/>
              </w:rPr>
              <w:t>Diaré, kvalme, mavesmerter (specielt under de første behandlingsuger)</w:t>
            </w:r>
          </w:p>
          <w:p w14:paraId="60DAC1B4" w14:textId="77777777" w:rsidR="00165A40" w:rsidRPr="00CD2342" w:rsidRDefault="00165A40">
            <w:pPr>
              <w:pStyle w:val="Titel"/>
              <w:jc w:val="left"/>
              <w:rPr>
                <w:b w:val="0"/>
                <w:noProof/>
                <w:szCs w:val="24"/>
                <w:lang w:eastAsia="en-GB"/>
              </w:rPr>
            </w:pPr>
          </w:p>
        </w:tc>
      </w:tr>
      <w:tr w:rsidR="00165A40" w:rsidRPr="00CD2342" w14:paraId="3B9ABF30"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6E93884A" w14:textId="77777777" w:rsidR="00165A40" w:rsidRPr="00CD2342" w:rsidRDefault="00165A40">
            <w:pPr>
              <w:pStyle w:val="Titel"/>
              <w:keepNext/>
              <w:jc w:val="left"/>
              <w:rPr>
                <w:noProof/>
                <w:szCs w:val="24"/>
                <w:lang w:val="en-GB" w:eastAsia="en-GB"/>
              </w:rPr>
            </w:pPr>
            <w:r w:rsidRPr="00CD2342">
              <w:rPr>
                <w:noProof/>
                <w:szCs w:val="24"/>
                <w:lang w:val="en-GB" w:eastAsia="en-GB"/>
              </w:rPr>
              <w:t>Hud og subkutane væv</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2CE07FFC" w14:textId="77777777" w:rsidR="00165A40" w:rsidRPr="00CD2342" w:rsidRDefault="00165A40">
            <w:pPr>
              <w:pStyle w:val="Titel"/>
              <w:keepNext/>
              <w:jc w:val="left"/>
              <w:rPr>
                <w:noProof/>
                <w:szCs w:val="24"/>
                <w:lang w:val="en-GB" w:eastAsia="en-GB"/>
              </w:rPr>
            </w:pPr>
          </w:p>
        </w:tc>
      </w:tr>
      <w:tr w:rsidR="00165A40" w:rsidRPr="00CD2342" w14:paraId="6754524A"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3AA569B5" w14:textId="77777777" w:rsidR="00165A40" w:rsidRPr="00CD2342" w:rsidRDefault="00165A40">
            <w:pPr>
              <w:keepNext/>
              <w:rPr>
                <w:i/>
                <w:iCs/>
                <w:noProof/>
                <w:sz w:val="24"/>
                <w:szCs w:val="24"/>
                <w:lang w:val="en-GB" w:eastAsia="en-GB"/>
              </w:rPr>
            </w:pPr>
            <w:r w:rsidRPr="00CD2342">
              <w:rPr>
                <w:i/>
                <w:iCs/>
                <w:noProof/>
                <w:sz w:val="24"/>
                <w:szCs w:val="24"/>
                <w:lang w:val="en-GB" w:eastAsia="en-GB"/>
              </w:rPr>
              <w:t>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76D5135A" w14:textId="77777777" w:rsidR="00165A40" w:rsidRPr="00CD2342" w:rsidRDefault="00165A40">
            <w:pPr>
              <w:pStyle w:val="Titel"/>
              <w:keepNext/>
              <w:jc w:val="left"/>
              <w:rPr>
                <w:b w:val="0"/>
                <w:noProof/>
                <w:szCs w:val="24"/>
                <w:lang w:val="en-GB" w:eastAsia="en-GB"/>
              </w:rPr>
            </w:pPr>
            <w:r w:rsidRPr="00CD2342">
              <w:rPr>
                <w:b w:val="0"/>
                <w:noProof/>
                <w:szCs w:val="24"/>
                <w:lang w:val="en-GB" w:eastAsia="en-GB"/>
              </w:rPr>
              <w:t>Akne</w:t>
            </w:r>
          </w:p>
        </w:tc>
      </w:tr>
      <w:tr w:rsidR="00165A40" w:rsidRPr="00CD2342" w14:paraId="60633F71"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28E5BE9F" w14:textId="77777777" w:rsidR="00165A40" w:rsidRPr="00CD2342" w:rsidRDefault="00165A40">
            <w:pPr>
              <w:rPr>
                <w:i/>
                <w:iCs/>
                <w:noProof/>
                <w:sz w:val="24"/>
                <w:szCs w:val="24"/>
                <w:lang w:val="en-GB" w:eastAsia="en-GB"/>
              </w:rPr>
            </w:pPr>
            <w:r w:rsidRPr="00CD2342">
              <w:rPr>
                <w:i/>
                <w:iCs/>
                <w:noProof/>
                <w:sz w:val="24"/>
                <w:szCs w:val="24"/>
                <w:lang w:val="en-GB" w:eastAsia="en-GB"/>
              </w:rPr>
              <w:t>Ikke 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10CE9628" w14:textId="77777777" w:rsidR="00165A40" w:rsidRPr="00CD2342" w:rsidRDefault="00165A40">
            <w:pPr>
              <w:pStyle w:val="Titel"/>
              <w:jc w:val="left"/>
              <w:rPr>
                <w:b w:val="0"/>
                <w:noProof/>
                <w:szCs w:val="24"/>
                <w:lang w:eastAsia="en-GB"/>
              </w:rPr>
            </w:pPr>
            <w:r w:rsidRPr="00CD2342">
              <w:rPr>
                <w:b w:val="0"/>
                <w:noProof/>
                <w:szCs w:val="24"/>
                <w:lang w:eastAsia="en-GB"/>
              </w:rPr>
              <w:t>Psoriasis (forværring eller forekomst af), alopeci</w:t>
            </w:r>
          </w:p>
        </w:tc>
      </w:tr>
      <w:tr w:rsidR="00165A40" w:rsidRPr="00CD2342" w14:paraId="404C9C58"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A85B3C2" w14:textId="77777777" w:rsidR="00165A40" w:rsidRPr="00CD2342" w:rsidRDefault="00165A40">
            <w:pPr>
              <w:pStyle w:val="Titel"/>
              <w:jc w:val="left"/>
              <w:rPr>
                <w:b w:val="0"/>
                <w:bCs/>
                <w:i/>
                <w:iCs/>
                <w:noProof/>
                <w:szCs w:val="24"/>
                <w:lang w:val="en-GB" w:eastAsia="en-GB"/>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564DEDEB" w14:textId="77777777" w:rsidR="00165A40" w:rsidRPr="00CD2342" w:rsidRDefault="00165A40">
            <w:pPr>
              <w:pStyle w:val="Titel"/>
              <w:jc w:val="left"/>
              <w:rPr>
                <w:b w:val="0"/>
                <w:noProof/>
                <w:szCs w:val="24"/>
                <w:lang w:val="en-GB" w:eastAsia="en-GB"/>
              </w:rPr>
            </w:pPr>
            <w:r w:rsidRPr="00CD2342">
              <w:rPr>
                <w:b w:val="0"/>
                <w:noProof/>
                <w:szCs w:val="24"/>
                <w:lang w:val="en-GB" w:eastAsia="en-GB"/>
              </w:rPr>
              <w:t>Lichenoid lægemiddelreaktion</w:t>
            </w:r>
          </w:p>
          <w:p w14:paraId="06AD456A" w14:textId="77777777" w:rsidR="00165A40" w:rsidRPr="00CD2342" w:rsidRDefault="00165A40">
            <w:pPr>
              <w:pStyle w:val="Titel"/>
              <w:jc w:val="left"/>
              <w:rPr>
                <w:b w:val="0"/>
                <w:noProof/>
                <w:szCs w:val="24"/>
                <w:lang w:val="en-GB" w:eastAsia="en-GB"/>
              </w:rPr>
            </w:pPr>
          </w:p>
        </w:tc>
      </w:tr>
      <w:tr w:rsidR="00165A40" w:rsidRPr="00CD2342" w14:paraId="1780E1BB"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616B595" w14:textId="77777777" w:rsidR="00165A40" w:rsidRPr="00CD2342" w:rsidRDefault="00165A40">
            <w:pPr>
              <w:pStyle w:val="Titel"/>
              <w:keepNext/>
              <w:jc w:val="left"/>
              <w:rPr>
                <w:noProof/>
                <w:szCs w:val="24"/>
                <w:lang w:eastAsia="en-GB"/>
              </w:rPr>
            </w:pPr>
            <w:r w:rsidRPr="00CD2342">
              <w:rPr>
                <w:noProof/>
                <w:szCs w:val="24"/>
                <w:lang w:eastAsia="en-GB"/>
              </w:rPr>
              <w:t>Knogler, led, muskler og bindevæv</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040F842" w14:textId="77777777" w:rsidR="00165A40" w:rsidRPr="00CD2342" w:rsidRDefault="00165A40">
            <w:pPr>
              <w:pStyle w:val="Titel"/>
              <w:keepNext/>
              <w:jc w:val="left"/>
              <w:rPr>
                <w:noProof/>
                <w:szCs w:val="24"/>
                <w:lang w:eastAsia="en-GB"/>
              </w:rPr>
            </w:pPr>
          </w:p>
        </w:tc>
      </w:tr>
      <w:tr w:rsidR="00165A40" w:rsidRPr="00CD2342" w14:paraId="7F0FB8FF"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46609009" w14:textId="77777777" w:rsidR="00165A40" w:rsidRPr="00CD2342" w:rsidRDefault="00165A40">
            <w:pPr>
              <w:rPr>
                <w:i/>
                <w:iCs/>
                <w:noProof/>
                <w:sz w:val="24"/>
                <w:szCs w:val="24"/>
                <w:lang w:val="en-GB" w:eastAsia="en-GB"/>
              </w:rPr>
            </w:pPr>
            <w:r w:rsidRPr="00CD2342">
              <w:rPr>
                <w:i/>
                <w:iCs/>
                <w:noProof/>
                <w:sz w:val="24"/>
                <w:szCs w:val="24"/>
                <w:lang w:val="en-GB" w:eastAsia="en-GB"/>
              </w:rPr>
              <w:t>Ikke 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1827F97" w14:textId="77777777" w:rsidR="00165A40" w:rsidRPr="00CD2342" w:rsidRDefault="00165A40">
            <w:pPr>
              <w:pStyle w:val="Titel"/>
              <w:jc w:val="left"/>
              <w:rPr>
                <w:b w:val="0"/>
                <w:noProof/>
                <w:szCs w:val="24"/>
                <w:lang w:val="en-GB" w:eastAsia="en-GB"/>
              </w:rPr>
            </w:pPr>
            <w:r w:rsidRPr="00CD2342">
              <w:rPr>
                <w:b w:val="0"/>
                <w:noProof/>
                <w:szCs w:val="24"/>
                <w:lang w:val="en-GB" w:eastAsia="en-GB"/>
              </w:rPr>
              <w:t>Muskelsvaghed</w:t>
            </w:r>
          </w:p>
          <w:p w14:paraId="066580ED" w14:textId="77777777" w:rsidR="00165A40" w:rsidRPr="00CD2342" w:rsidRDefault="00165A40">
            <w:pPr>
              <w:pStyle w:val="Titel"/>
              <w:jc w:val="left"/>
              <w:rPr>
                <w:b w:val="0"/>
                <w:noProof/>
                <w:szCs w:val="24"/>
                <w:lang w:val="en-GB" w:eastAsia="en-GB"/>
              </w:rPr>
            </w:pPr>
          </w:p>
        </w:tc>
      </w:tr>
      <w:tr w:rsidR="00165A40" w:rsidRPr="00CD2342" w14:paraId="22117AC1"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938FD1E" w14:textId="77777777" w:rsidR="00165A40" w:rsidRPr="00CD2342" w:rsidRDefault="00165A40">
            <w:pPr>
              <w:pStyle w:val="Titel"/>
              <w:keepNext/>
              <w:jc w:val="left"/>
              <w:rPr>
                <w:noProof/>
                <w:szCs w:val="24"/>
                <w:lang w:val="en-GB" w:eastAsia="en-GB"/>
              </w:rPr>
            </w:pPr>
            <w:r w:rsidRPr="00CD2342">
              <w:rPr>
                <w:noProof/>
                <w:szCs w:val="24"/>
                <w:lang w:val="en-GB" w:eastAsia="en-GB"/>
              </w:rPr>
              <w:t>Nyrer og urinveje</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A532078" w14:textId="77777777" w:rsidR="00165A40" w:rsidRPr="00CD2342" w:rsidRDefault="00165A40">
            <w:pPr>
              <w:pStyle w:val="Titel"/>
              <w:keepNext/>
              <w:jc w:val="left"/>
              <w:rPr>
                <w:noProof/>
                <w:szCs w:val="24"/>
                <w:lang w:val="en-GB" w:eastAsia="en-GB"/>
              </w:rPr>
            </w:pPr>
          </w:p>
        </w:tc>
      </w:tr>
      <w:tr w:rsidR="00165A40" w:rsidRPr="00CD2342" w14:paraId="0CEA7D2B"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139F0BD1" w14:textId="77777777" w:rsidR="00165A40" w:rsidRPr="00CD2342" w:rsidRDefault="00165A40">
            <w:pPr>
              <w:pStyle w:val="Titel"/>
              <w:keepNext/>
              <w:jc w:val="left"/>
              <w:rPr>
                <w:b w:val="0"/>
                <w:bCs/>
                <w:i/>
                <w:iCs/>
                <w:noProof/>
                <w:szCs w:val="24"/>
                <w:lang w:val="en-GB" w:eastAsia="en-GB"/>
              </w:rPr>
            </w:pPr>
            <w:r w:rsidRPr="00CD2342">
              <w:rPr>
                <w:b w:val="0"/>
                <w:bCs/>
                <w:i/>
                <w:iCs/>
                <w:noProof/>
                <w:szCs w:val="24"/>
                <w:lang w:val="en-GB" w:eastAsia="en-GB"/>
              </w:rPr>
              <w:t>Meget 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57951243" w14:textId="77777777" w:rsidR="00165A40" w:rsidRPr="00CD2342" w:rsidRDefault="00165A40">
            <w:pPr>
              <w:pStyle w:val="Titel"/>
              <w:keepNext/>
              <w:jc w:val="left"/>
              <w:rPr>
                <w:b w:val="0"/>
                <w:noProof/>
                <w:szCs w:val="24"/>
                <w:lang w:val="en-GB" w:eastAsia="en-GB"/>
              </w:rPr>
            </w:pPr>
            <w:r w:rsidRPr="00CD2342">
              <w:rPr>
                <w:b w:val="0"/>
                <w:noProof/>
                <w:szCs w:val="24"/>
                <w:lang w:val="en-GB" w:eastAsia="en-GB"/>
              </w:rPr>
              <w:t>Nefrogen diabetes insidipus</w:t>
            </w:r>
          </w:p>
        </w:tc>
      </w:tr>
      <w:tr w:rsidR="00165A40" w:rsidRPr="00CD2342" w14:paraId="485DFB0D" w14:textId="77777777" w:rsidTr="00165A40">
        <w:tc>
          <w:tcPr>
            <w:tcW w:w="4111" w:type="dxa"/>
            <w:tcBorders>
              <w:top w:val="nil"/>
              <w:left w:val="single" w:sz="4" w:space="0" w:color="auto"/>
              <w:bottom w:val="nil"/>
              <w:right w:val="single" w:sz="4" w:space="0" w:color="auto"/>
            </w:tcBorders>
            <w:tcMar>
              <w:top w:w="0" w:type="dxa"/>
              <w:left w:w="108" w:type="dxa"/>
              <w:bottom w:w="0" w:type="dxa"/>
              <w:right w:w="108" w:type="dxa"/>
            </w:tcMar>
            <w:hideMark/>
          </w:tcPr>
          <w:p w14:paraId="1AD09285" w14:textId="77777777" w:rsidR="00165A40" w:rsidRPr="00CD2342" w:rsidRDefault="00165A40">
            <w:pPr>
              <w:keepNext/>
              <w:rPr>
                <w:i/>
                <w:iCs/>
                <w:noProof/>
                <w:sz w:val="24"/>
                <w:szCs w:val="24"/>
                <w:lang w:val="en-GB" w:eastAsia="en-GB"/>
              </w:rPr>
            </w:pPr>
            <w:r w:rsidRPr="00CD2342">
              <w:rPr>
                <w:i/>
                <w:iCs/>
                <w:noProof/>
                <w:sz w:val="24"/>
                <w:szCs w:val="24"/>
                <w:lang w:val="en-GB" w:eastAsia="en-GB"/>
              </w:rPr>
              <w:t>Almindelig</w:t>
            </w:r>
          </w:p>
        </w:tc>
        <w:tc>
          <w:tcPr>
            <w:tcW w:w="4740" w:type="dxa"/>
            <w:tcBorders>
              <w:top w:val="nil"/>
              <w:left w:val="single" w:sz="4" w:space="0" w:color="auto"/>
              <w:bottom w:val="nil"/>
              <w:right w:val="single" w:sz="4" w:space="0" w:color="auto"/>
            </w:tcBorders>
            <w:tcMar>
              <w:top w:w="0" w:type="dxa"/>
              <w:left w:w="108" w:type="dxa"/>
              <w:bottom w:w="0" w:type="dxa"/>
              <w:right w:w="108" w:type="dxa"/>
            </w:tcMar>
            <w:hideMark/>
          </w:tcPr>
          <w:p w14:paraId="4E91BF20" w14:textId="77777777" w:rsidR="00165A40" w:rsidRPr="00CD2342" w:rsidRDefault="00165A40">
            <w:pPr>
              <w:pStyle w:val="Titel"/>
              <w:keepNext/>
              <w:jc w:val="left"/>
              <w:rPr>
                <w:b w:val="0"/>
                <w:noProof/>
                <w:szCs w:val="24"/>
                <w:lang w:val="en-GB" w:eastAsia="en-GB"/>
              </w:rPr>
            </w:pPr>
            <w:r w:rsidRPr="00CD2342">
              <w:rPr>
                <w:b w:val="0"/>
                <w:noProof/>
                <w:szCs w:val="24"/>
                <w:lang w:val="en-GB" w:eastAsia="en-GB"/>
              </w:rPr>
              <w:t>Polyuri</w:t>
            </w:r>
          </w:p>
        </w:tc>
      </w:tr>
      <w:tr w:rsidR="00165A40" w:rsidRPr="00CD2342" w14:paraId="430266EB"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875060D" w14:textId="77777777" w:rsidR="00165A40" w:rsidRPr="00CD2342" w:rsidRDefault="00165A40">
            <w:pPr>
              <w:rPr>
                <w:i/>
                <w:iCs/>
                <w:noProof/>
                <w:sz w:val="24"/>
                <w:szCs w:val="24"/>
                <w:lang w:val="en-GB" w:eastAsia="en-GB"/>
              </w:rPr>
            </w:pPr>
            <w:r w:rsidRPr="00CD2342">
              <w:rPr>
                <w:i/>
                <w:iCs/>
                <w:noProof/>
                <w:sz w:val="24"/>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C7602E2" w14:textId="77777777" w:rsidR="00165A40" w:rsidRPr="00CD2342" w:rsidRDefault="00165A40">
            <w:pPr>
              <w:pStyle w:val="Titel"/>
              <w:jc w:val="left"/>
              <w:rPr>
                <w:b w:val="0"/>
                <w:noProof/>
                <w:szCs w:val="24"/>
                <w:lang w:eastAsia="en-GB"/>
              </w:rPr>
            </w:pPr>
            <w:r w:rsidRPr="00CD2342">
              <w:rPr>
                <w:b w:val="0"/>
                <w:noProof/>
                <w:szCs w:val="24"/>
                <w:lang w:eastAsia="en-GB"/>
              </w:rPr>
              <w:t>Mikrocyster, onkocytomer og karcinomer i samlerørene i nyrerne (ved langvarig behandling) (se pkt. 4.4)</w:t>
            </w:r>
          </w:p>
          <w:p w14:paraId="765949A0" w14:textId="77777777" w:rsidR="00165A40" w:rsidRPr="00CD2342" w:rsidRDefault="00165A40">
            <w:pPr>
              <w:pStyle w:val="Titel"/>
              <w:jc w:val="left"/>
              <w:rPr>
                <w:b w:val="0"/>
                <w:noProof/>
                <w:szCs w:val="24"/>
                <w:lang w:eastAsia="en-GB"/>
              </w:rPr>
            </w:pPr>
            <w:r w:rsidRPr="00CD2342">
              <w:rPr>
                <w:b w:val="0"/>
                <w:noProof/>
                <w:szCs w:val="24"/>
                <w:lang w:eastAsia="en-GB"/>
              </w:rPr>
              <w:t>Nedsat nyrefunktion (ved langvarig behandling)</w:t>
            </w:r>
          </w:p>
          <w:p w14:paraId="5A6A81CC" w14:textId="77777777" w:rsidR="00165A40" w:rsidRPr="00CD2342" w:rsidRDefault="00165A40">
            <w:pPr>
              <w:pStyle w:val="Titel"/>
              <w:jc w:val="left"/>
              <w:rPr>
                <w:b w:val="0"/>
                <w:noProof/>
                <w:szCs w:val="24"/>
                <w:lang w:eastAsia="en-GB"/>
              </w:rPr>
            </w:pPr>
          </w:p>
        </w:tc>
      </w:tr>
      <w:tr w:rsidR="00165A40" w:rsidRPr="00CD2342" w14:paraId="19BCD175"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E333038" w14:textId="77777777" w:rsidR="00165A40" w:rsidRPr="00CD2342" w:rsidRDefault="00165A40">
            <w:pPr>
              <w:rPr>
                <w:b/>
                <w:bCs/>
                <w:noProof/>
                <w:sz w:val="24"/>
                <w:szCs w:val="24"/>
                <w:lang w:eastAsia="en-GB"/>
              </w:rPr>
            </w:pPr>
            <w:r w:rsidRPr="00CD2342">
              <w:rPr>
                <w:b/>
                <w:bCs/>
                <w:noProof/>
                <w:sz w:val="24"/>
                <w:szCs w:val="24"/>
                <w:lang w:eastAsia="en-GB"/>
              </w:rPr>
              <w:t xml:space="preserve">Det reproduktive system og mammae   </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1CCDAEEF" w14:textId="77777777" w:rsidR="00165A40" w:rsidRPr="00CD2342" w:rsidRDefault="00165A40">
            <w:pPr>
              <w:pStyle w:val="Titel"/>
              <w:jc w:val="left"/>
              <w:rPr>
                <w:b w:val="0"/>
                <w:noProof/>
                <w:szCs w:val="24"/>
                <w:lang w:eastAsia="en-GB"/>
              </w:rPr>
            </w:pPr>
          </w:p>
        </w:tc>
      </w:tr>
      <w:tr w:rsidR="00165A40" w:rsidRPr="00CD2342" w14:paraId="3AA71766"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BBC25AE" w14:textId="77777777" w:rsidR="00165A40" w:rsidRPr="00CD2342" w:rsidRDefault="00165A40">
            <w:pPr>
              <w:rPr>
                <w:b/>
                <w:bCs/>
                <w:noProof/>
                <w:sz w:val="24"/>
                <w:szCs w:val="24"/>
                <w:lang w:val="en-GB" w:eastAsia="en-GB"/>
              </w:rPr>
            </w:pPr>
            <w:r w:rsidRPr="00CD2342">
              <w:rPr>
                <w:i/>
                <w:iCs/>
                <w:noProof/>
                <w:sz w:val="24"/>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7BFE7C8B" w14:textId="77777777" w:rsidR="00165A40" w:rsidRPr="00CD2342" w:rsidRDefault="00165A40">
            <w:pPr>
              <w:pStyle w:val="Titel"/>
              <w:jc w:val="left"/>
              <w:rPr>
                <w:b w:val="0"/>
                <w:noProof/>
                <w:szCs w:val="24"/>
                <w:lang w:val="en-GB" w:eastAsia="en-GB"/>
              </w:rPr>
            </w:pPr>
            <w:r w:rsidRPr="00CD2342">
              <w:rPr>
                <w:b w:val="0"/>
                <w:noProof/>
                <w:szCs w:val="24"/>
                <w:lang w:val="en-GB" w:eastAsia="en-GB"/>
              </w:rPr>
              <w:t>Seksuel dysfunktion</w:t>
            </w:r>
          </w:p>
          <w:p w14:paraId="6CFCD5E8" w14:textId="77777777" w:rsidR="00165A40" w:rsidRPr="00CD2342" w:rsidRDefault="00165A40">
            <w:pPr>
              <w:pStyle w:val="Titel"/>
              <w:jc w:val="left"/>
              <w:rPr>
                <w:b w:val="0"/>
                <w:noProof/>
                <w:szCs w:val="24"/>
                <w:lang w:val="en-GB" w:eastAsia="en-GB"/>
              </w:rPr>
            </w:pPr>
          </w:p>
        </w:tc>
      </w:tr>
      <w:tr w:rsidR="00165A40" w:rsidRPr="00CD2342" w14:paraId="758CF3C3"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739701C" w14:textId="77777777" w:rsidR="00165A40" w:rsidRPr="00CD2342" w:rsidRDefault="00165A40">
            <w:pPr>
              <w:rPr>
                <w:b/>
                <w:bCs/>
                <w:noProof/>
                <w:sz w:val="24"/>
                <w:szCs w:val="24"/>
                <w:lang w:eastAsia="en-GB"/>
              </w:rPr>
            </w:pPr>
            <w:r w:rsidRPr="00CD2342">
              <w:rPr>
                <w:b/>
                <w:bCs/>
                <w:noProof/>
                <w:sz w:val="24"/>
                <w:szCs w:val="24"/>
                <w:lang w:eastAsia="en-GB"/>
              </w:rPr>
              <w:t xml:space="preserve">Graviditet, puerperium og den perinatale periode </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318EA3A9" w14:textId="77777777" w:rsidR="00165A40" w:rsidRPr="00CD2342" w:rsidRDefault="00165A40">
            <w:pPr>
              <w:pStyle w:val="Titel"/>
              <w:keepNext/>
              <w:jc w:val="left"/>
              <w:rPr>
                <w:noProof/>
                <w:szCs w:val="24"/>
                <w:lang w:eastAsia="en-GB"/>
              </w:rPr>
            </w:pPr>
          </w:p>
          <w:p w14:paraId="48295ACB" w14:textId="77777777" w:rsidR="00165A40" w:rsidRPr="00CD2342" w:rsidRDefault="00165A40">
            <w:pPr>
              <w:pStyle w:val="Titel"/>
              <w:keepNext/>
              <w:jc w:val="left"/>
              <w:rPr>
                <w:noProof/>
                <w:szCs w:val="24"/>
                <w:lang w:eastAsia="en-GB"/>
              </w:rPr>
            </w:pPr>
          </w:p>
        </w:tc>
      </w:tr>
      <w:tr w:rsidR="00165A40" w:rsidRPr="00CD2342" w14:paraId="3A034C3B"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3B706DC3" w14:textId="77777777" w:rsidR="00165A40" w:rsidRPr="00CD2342" w:rsidRDefault="00165A40">
            <w:pPr>
              <w:pStyle w:val="Titel"/>
              <w:jc w:val="left"/>
              <w:rPr>
                <w:bCs/>
                <w:i/>
                <w:iCs/>
                <w:szCs w:val="24"/>
                <w:lang w:val="en-GB" w:eastAsia="sv-SE"/>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632F974C" w14:textId="77777777" w:rsidR="00165A40" w:rsidRPr="00CD2342" w:rsidRDefault="00165A40">
            <w:pPr>
              <w:autoSpaceDE w:val="0"/>
              <w:autoSpaceDN w:val="0"/>
              <w:adjustRightInd w:val="0"/>
              <w:rPr>
                <w:snapToGrid w:val="0"/>
                <w:sz w:val="24"/>
                <w:szCs w:val="24"/>
                <w:lang w:val="en-GB" w:eastAsia="en-GB"/>
              </w:rPr>
            </w:pPr>
            <w:proofErr w:type="spellStart"/>
            <w:r w:rsidRPr="00CD2342">
              <w:rPr>
                <w:snapToGrid w:val="0"/>
                <w:sz w:val="24"/>
                <w:szCs w:val="24"/>
                <w:lang w:val="en-GB" w:eastAsia="en-GB"/>
              </w:rPr>
              <w:t>Neonatalt</w:t>
            </w:r>
            <w:proofErr w:type="spellEnd"/>
            <w:r w:rsidRPr="00CD2342">
              <w:rPr>
                <w:snapToGrid w:val="0"/>
                <w:sz w:val="24"/>
                <w:szCs w:val="24"/>
                <w:lang w:val="en-GB" w:eastAsia="en-GB"/>
              </w:rPr>
              <w:t xml:space="preserve"> </w:t>
            </w:r>
            <w:proofErr w:type="spellStart"/>
            <w:r w:rsidRPr="00CD2342">
              <w:rPr>
                <w:snapToGrid w:val="0"/>
                <w:sz w:val="24"/>
                <w:szCs w:val="24"/>
                <w:lang w:val="en-GB" w:eastAsia="en-GB"/>
              </w:rPr>
              <w:t>abstinenssyndrom</w:t>
            </w:r>
            <w:proofErr w:type="spellEnd"/>
            <w:r w:rsidRPr="00CD2342">
              <w:rPr>
                <w:snapToGrid w:val="0"/>
                <w:sz w:val="24"/>
                <w:szCs w:val="24"/>
                <w:lang w:val="en-GB" w:eastAsia="en-GB"/>
              </w:rPr>
              <w:t xml:space="preserve"> (se pkt. 4.6) </w:t>
            </w:r>
          </w:p>
          <w:p w14:paraId="33CC270F" w14:textId="77777777" w:rsidR="00165A40" w:rsidRPr="00CD2342" w:rsidRDefault="00165A40">
            <w:pPr>
              <w:autoSpaceDE w:val="0"/>
              <w:autoSpaceDN w:val="0"/>
              <w:adjustRightInd w:val="0"/>
              <w:rPr>
                <w:snapToGrid w:val="0"/>
                <w:sz w:val="24"/>
                <w:szCs w:val="24"/>
                <w:lang w:val="en-GB" w:eastAsia="en-GB"/>
              </w:rPr>
            </w:pPr>
          </w:p>
        </w:tc>
      </w:tr>
      <w:tr w:rsidR="00165A40" w:rsidRPr="00CD2342" w14:paraId="242E968A" w14:textId="77777777" w:rsidTr="00165A40">
        <w:trPr>
          <w:trHeight w:val="313"/>
        </w:trPr>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B904ED9" w14:textId="77777777" w:rsidR="00165A40" w:rsidRPr="00CD2342" w:rsidRDefault="00165A40">
            <w:pPr>
              <w:pStyle w:val="Titel"/>
              <w:keepNext/>
              <w:jc w:val="left"/>
              <w:rPr>
                <w:noProof/>
                <w:szCs w:val="24"/>
                <w:lang w:val="en-GB" w:eastAsia="en-GB"/>
              </w:rPr>
            </w:pPr>
            <w:r w:rsidRPr="00CD2342">
              <w:rPr>
                <w:noProof/>
                <w:szCs w:val="24"/>
                <w:lang w:val="en-GB" w:eastAsia="en-GB"/>
              </w:rPr>
              <w:t>Immunsystemet</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5A2DA562" w14:textId="77777777" w:rsidR="00165A40" w:rsidRPr="00CD2342" w:rsidRDefault="00165A40">
            <w:pPr>
              <w:pStyle w:val="Titel"/>
              <w:jc w:val="left"/>
              <w:rPr>
                <w:snapToGrid w:val="0"/>
                <w:szCs w:val="24"/>
                <w:lang w:val="en-GB" w:eastAsia="en-GB"/>
              </w:rPr>
            </w:pPr>
          </w:p>
        </w:tc>
      </w:tr>
      <w:tr w:rsidR="00165A40" w:rsidRPr="00CD2342" w14:paraId="31C53754" w14:textId="77777777" w:rsidTr="00165A40">
        <w:trPr>
          <w:trHeight w:val="313"/>
        </w:trPr>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2A52023A" w14:textId="77777777" w:rsidR="00165A40" w:rsidRPr="00CD2342" w:rsidRDefault="00165A40">
            <w:pPr>
              <w:pStyle w:val="Titel"/>
              <w:keepNext/>
              <w:jc w:val="left"/>
              <w:rPr>
                <w:noProof/>
                <w:szCs w:val="24"/>
                <w:lang w:val="en-GB" w:eastAsia="en-GB"/>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72C3999" w14:textId="77777777" w:rsidR="00165A40" w:rsidRPr="00CD2342" w:rsidRDefault="00165A40">
            <w:pPr>
              <w:pStyle w:val="Titel"/>
              <w:jc w:val="left"/>
              <w:rPr>
                <w:b w:val="0"/>
                <w:noProof/>
                <w:szCs w:val="24"/>
                <w:lang w:eastAsia="en-GB"/>
              </w:rPr>
            </w:pPr>
            <w:r w:rsidRPr="00CD2342">
              <w:rPr>
                <w:b w:val="0"/>
                <w:noProof/>
                <w:szCs w:val="24"/>
                <w:lang w:eastAsia="en-GB"/>
              </w:rPr>
              <w:t>Stigning i antinukleære antistoffer (se pkt. 4.4)</w:t>
            </w:r>
          </w:p>
          <w:p w14:paraId="66AA63D8" w14:textId="77777777" w:rsidR="00165A40" w:rsidRPr="00CD2342" w:rsidRDefault="00165A40">
            <w:pPr>
              <w:pStyle w:val="Titel"/>
              <w:jc w:val="left"/>
              <w:rPr>
                <w:snapToGrid w:val="0"/>
                <w:szCs w:val="24"/>
                <w:lang w:eastAsia="en-GB"/>
              </w:rPr>
            </w:pPr>
          </w:p>
        </w:tc>
      </w:tr>
      <w:tr w:rsidR="00165A40" w:rsidRPr="00CD2342" w14:paraId="6EFF65D6" w14:textId="77777777" w:rsidTr="00165A40">
        <w:trPr>
          <w:trHeight w:val="276"/>
        </w:trPr>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5E84D88" w14:textId="77777777" w:rsidR="00165A40" w:rsidRPr="00CD2342" w:rsidRDefault="00165A40">
            <w:pPr>
              <w:pStyle w:val="Titel"/>
              <w:keepNext/>
              <w:jc w:val="left"/>
              <w:rPr>
                <w:b w:val="0"/>
                <w:bCs/>
                <w:i/>
                <w:iCs/>
                <w:noProof/>
                <w:szCs w:val="24"/>
                <w:lang w:val="en-GB" w:eastAsia="en-GB"/>
              </w:rPr>
            </w:pPr>
            <w:bookmarkStart w:id="2" w:name="_Hlk176778941"/>
            <w:r w:rsidRPr="00CD2342">
              <w:rPr>
                <w:noProof/>
                <w:szCs w:val="24"/>
                <w:lang w:val="en-GB" w:eastAsia="en-GB"/>
              </w:rPr>
              <w:t>Øjne</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6BF34733" w14:textId="77777777" w:rsidR="00165A40" w:rsidRPr="00CD2342" w:rsidRDefault="00165A40">
            <w:pPr>
              <w:autoSpaceDE w:val="0"/>
              <w:autoSpaceDN w:val="0"/>
              <w:adjustRightInd w:val="0"/>
              <w:rPr>
                <w:snapToGrid w:val="0"/>
                <w:sz w:val="24"/>
                <w:szCs w:val="24"/>
                <w:lang w:val="en-GB" w:eastAsia="en-GB"/>
              </w:rPr>
            </w:pPr>
          </w:p>
        </w:tc>
      </w:tr>
      <w:tr w:rsidR="00165A40" w:rsidRPr="00CD2342" w14:paraId="685670C0" w14:textId="77777777" w:rsidTr="00165A40">
        <w:trPr>
          <w:trHeight w:val="276"/>
        </w:trPr>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56F2BBC0" w14:textId="77777777" w:rsidR="00165A40" w:rsidRPr="00CD2342" w:rsidRDefault="00165A40">
            <w:pPr>
              <w:pStyle w:val="Titel"/>
              <w:keepNext/>
              <w:jc w:val="left"/>
              <w:rPr>
                <w:noProof/>
                <w:szCs w:val="24"/>
                <w:lang w:val="en-GB" w:eastAsia="en-GB"/>
              </w:rPr>
            </w:pPr>
            <w:r w:rsidRPr="00CD2342">
              <w:rPr>
                <w:b w:val="0"/>
                <w:bCs/>
                <w:i/>
                <w:iCs/>
                <w:noProof/>
                <w:szCs w:val="24"/>
                <w:lang w:val="en-GB" w:eastAsia="en-GB"/>
              </w:rPr>
              <w:t>Ikke kendt</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39199C14" w14:textId="77777777" w:rsidR="00165A40" w:rsidRPr="00CD2342" w:rsidRDefault="00165A40">
            <w:pPr>
              <w:autoSpaceDE w:val="0"/>
              <w:autoSpaceDN w:val="0"/>
              <w:adjustRightInd w:val="0"/>
              <w:rPr>
                <w:bCs/>
                <w:sz w:val="24"/>
                <w:szCs w:val="24"/>
                <w:lang w:val="en-GB" w:eastAsia="en-GB"/>
              </w:rPr>
            </w:pPr>
            <w:proofErr w:type="spellStart"/>
            <w:r w:rsidRPr="00CD2342">
              <w:rPr>
                <w:bCs/>
                <w:sz w:val="24"/>
                <w:szCs w:val="24"/>
                <w:lang w:val="en-GB" w:eastAsia="en-GB"/>
              </w:rPr>
              <w:t>Synsforstyrrelser</w:t>
            </w:r>
            <w:proofErr w:type="spellEnd"/>
          </w:p>
          <w:p w14:paraId="26857140" w14:textId="77777777" w:rsidR="00165A40" w:rsidRPr="00CD2342" w:rsidRDefault="00165A40">
            <w:pPr>
              <w:autoSpaceDE w:val="0"/>
              <w:autoSpaceDN w:val="0"/>
              <w:adjustRightInd w:val="0"/>
              <w:rPr>
                <w:snapToGrid w:val="0"/>
                <w:sz w:val="24"/>
                <w:szCs w:val="24"/>
                <w:lang w:val="en-GB" w:eastAsia="en-GB"/>
              </w:rPr>
            </w:pPr>
          </w:p>
        </w:tc>
        <w:bookmarkEnd w:id="2"/>
      </w:tr>
      <w:tr w:rsidR="00165A40" w:rsidRPr="00CD2342" w14:paraId="2844E5F5" w14:textId="77777777" w:rsidTr="00165A40">
        <w:tc>
          <w:tcPr>
            <w:tcW w:w="411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5730610C" w14:textId="77777777" w:rsidR="00165A40" w:rsidRPr="00CD2342" w:rsidRDefault="00165A40">
            <w:pPr>
              <w:pStyle w:val="Titel"/>
              <w:keepNext/>
              <w:jc w:val="left"/>
              <w:rPr>
                <w:noProof/>
                <w:szCs w:val="24"/>
                <w:lang w:eastAsia="en-GB"/>
              </w:rPr>
            </w:pPr>
            <w:r w:rsidRPr="00CD2342">
              <w:rPr>
                <w:noProof/>
                <w:szCs w:val="24"/>
                <w:lang w:eastAsia="en-GB"/>
              </w:rPr>
              <w:t>Almene symptomer og reaktioner på administrationsstedet</w:t>
            </w:r>
          </w:p>
        </w:tc>
        <w:tc>
          <w:tcPr>
            <w:tcW w:w="4740"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7607E764" w14:textId="77777777" w:rsidR="00165A40" w:rsidRPr="00CD2342" w:rsidRDefault="00165A40">
            <w:pPr>
              <w:pStyle w:val="Titel"/>
              <w:keepNext/>
              <w:jc w:val="left"/>
              <w:rPr>
                <w:noProof/>
                <w:szCs w:val="24"/>
                <w:lang w:eastAsia="en-GB"/>
              </w:rPr>
            </w:pPr>
          </w:p>
        </w:tc>
      </w:tr>
      <w:tr w:rsidR="00165A40" w:rsidRPr="00CD2342" w14:paraId="2A29C221" w14:textId="77777777" w:rsidTr="00165A40">
        <w:tc>
          <w:tcPr>
            <w:tcW w:w="411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14:paraId="7636C0F1" w14:textId="77777777" w:rsidR="00165A40" w:rsidRPr="00CD2342" w:rsidRDefault="00165A40">
            <w:pPr>
              <w:rPr>
                <w:i/>
                <w:iCs/>
                <w:noProof/>
                <w:sz w:val="24"/>
                <w:szCs w:val="24"/>
                <w:lang w:val="en-GB" w:eastAsia="en-GB"/>
              </w:rPr>
            </w:pPr>
            <w:r w:rsidRPr="00CD2342">
              <w:rPr>
                <w:i/>
                <w:iCs/>
                <w:noProof/>
                <w:sz w:val="24"/>
                <w:szCs w:val="24"/>
                <w:lang w:val="en-GB" w:eastAsia="en-GB"/>
              </w:rPr>
              <w:t>Almindelig</w:t>
            </w:r>
          </w:p>
        </w:tc>
        <w:tc>
          <w:tcPr>
            <w:tcW w:w="4740"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D94CEB2" w14:textId="77777777" w:rsidR="00165A40" w:rsidRPr="00CD2342" w:rsidRDefault="00165A40">
            <w:pPr>
              <w:pStyle w:val="Titel"/>
              <w:jc w:val="left"/>
              <w:rPr>
                <w:b w:val="0"/>
                <w:noProof/>
                <w:szCs w:val="24"/>
                <w:lang w:val="en-GB" w:eastAsia="en-GB"/>
              </w:rPr>
            </w:pPr>
            <w:r w:rsidRPr="00CD2342">
              <w:rPr>
                <w:b w:val="0"/>
                <w:noProof/>
                <w:szCs w:val="24"/>
                <w:lang w:val="en-GB" w:eastAsia="en-GB"/>
              </w:rPr>
              <w:t>Ødem</w:t>
            </w:r>
          </w:p>
          <w:p w14:paraId="40CA40EE" w14:textId="77777777" w:rsidR="00165A40" w:rsidRPr="00CD2342" w:rsidRDefault="00165A40">
            <w:pPr>
              <w:pStyle w:val="Titel"/>
              <w:jc w:val="left"/>
              <w:rPr>
                <w:b w:val="0"/>
                <w:noProof/>
                <w:szCs w:val="24"/>
                <w:lang w:val="en-GB" w:eastAsia="en-GB"/>
              </w:rPr>
            </w:pPr>
          </w:p>
        </w:tc>
      </w:tr>
    </w:tbl>
    <w:p w14:paraId="1F093366" w14:textId="77777777" w:rsidR="00165A40" w:rsidRPr="00CD2342" w:rsidRDefault="00165A40" w:rsidP="00165A40">
      <w:pPr>
        <w:ind w:left="850" w:firstLine="1"/>
        <w:rPr>
          <w:spacing w:val="-3"/>
          <w:sz w:val="24"/>
          <w:szCs w:val="24"/>
          <w:lang w:eastAsia="da-DK"/>
        </w:rPr>
      </w:pPr>
    </w:p>
    <w:p w14:paraId="3F058781" w14:textId="77777777" w:rsidR="00165A40" w:rsidRPr="005909F8" w:rsidRDefault="00165A40" w:rsidP="00165A40">
      <w:pPr>
        <w:shd w:val="clear" w:color="auto" w:fill="FFFFFF"/>
        <w:ind w:left="851"/>
        <w:rPr>
          <w:sz w:val="24"/>
          <w:szCs w:val="24"/>
          <w:u w:val="single"/>
        </w:rPr>
      </w:pPr>
      <w:r w:rsidRPr="005909F8">
        <w:rPr>
          <w:bCs/>
          <w:sz w:val="24"/>
          <w:szCs w:val="24"/>
          <w:u w:val="single"/>
        </w:rPr>
        <w:t>Indberetning af formodede bivirkninger</w:t>
      </w:r>
    </w:p>
    <w:p w14:paraId="522C2339" w14:textId="74AB0B0F" w:rsidR="00165A40" w:rsidRPr="00CD2342" w:rsidRDefault="00165A40" w:rsidP="00165A40">
      <w:pPr>
        <w:shd w:val="clear" w:color="auto" w:fill="FFFFFF"/>
        <w:ind w:left="851"/>
        <w:rPr>
          <w:sz w:val="24"/>
          <w:szCs w:val="24"/>
        </w:rPr>
      </w:pPr>
      <w:r w:rsidRPr="00CD2342">
        <w:rPr>
          <w:sz w:val="24"/>
          <w:szCs w:val="24"/>
        </w:rPr>
        <w:t>Når lægemidlet er godkendt, er indberetning af formodede bivirkninger vigtig. Det muliggør løbende overvågning af benefit/</w:t>
      </w:r>
      <w:proofErr w:type="spellStart"/>
      <w:r w:rsidRPr="00CD2342">
        <w:rPr>
          <w:sz w:val="24"/>
          <w:szCs w:val="24"/>
        </w:rPr>
        <w:t>risk</w:t>
      </w:r>
      <w:proofErr w:type="spellEnd"/>
      <w:r w:rsidRPr="00CD2342">
        <w:rPr>
          <w:sz w:val="24"/>
          <w:szCs w:val="24"/>
        </w:rPr>
        <w:t xml:space="preserve">-forholdet for lægemidlet. </w:t>
      </w:r>
      <w:r w:rsidR="005909F8">
        <w:rPr>
          <w:sz w:val="24"/>
          <w:szCs w:val="24"/>
        </w:rPr>
        <w:t>S</w:t>
      </w:r>
      <w:r w:rsidRPr="00CD2342">
        <w:rPr>
          <w:sz w:val="24"/>
          <w:szCs w:val="24"/>
        </w:rPr>
        <w:t>undhedsperson</w:t>
      </w:r>
      <w:r w:rsidR="005909F8">
        <w:rPr>
          <w:sz w:val="24"/>
          <w:szCs w:val="24"/>
        </w:rPr>
        <w:t>er</w:t>
      </w:r>
      <w:r w:rsidRPr="00CD2342">
        <w:rPr>
          <w:sz w:val="24"/>
          <w:szCs w:val="24"/>
        </w:rPr>
        <w:t xml:space="preserve"> anmodes om at indberette alle formodede bivirkninger via: </w:t>
      </w:r>
    </w:p>
    <w:p w14:paraId="025026DD" w14:textId="77777777" w:rsidR="00165A40" w:rsidRPr="00CD2342" w:rsidRDefault="00165A40" w:rsidP="00165A40">
      <w:pPr>
        <w:shd w:val="clear" w:color="auto" w:fill="FFFFFF"/>
        <w:ind w:left="851"/>
        <w:rPr>
          <w:sz w:val="24"/>
          <w:szCs w:val="24"/>
        </w:rPr>
      </w:pPr>
    </w:p>
    <w:p w14:paraId="58B9FF58" w14:textId="0627BBA3" w:rsidR="009260DE" w:rsidRPr="00CD2342" w:rsidRDefault="00165A40" w:rsidP="00A10294">
      <w:pPr>
        <w:tabs>
          <w:tab w:val="left" w:pos="851"/>
        </w:tabs>
        <w:ind w:left="851"/>
        <w:rPr>
          <w:sz w:val="24"/>
          <w:szCs w:val="24"/>
        </w:rPr>
      </w:pPr>
      <w:r w:rsidRPr="00CD2342">
        <w:rPr>
          <w:sz w:val="24"/>
          <w:szCs w:val="24"/>
        </w:rPr>
        <w:t>Lægemiddelstyrelsen</w:t>
      </w:r>
      <w:r w:rsidRPr="00CD2342">
        <w:rPr>
          <w:sz w:val="24"/>
          <w:szCs w:val="24"/>
        </w:rPr>
        <w:br/>
        <w:t>Axel Heides Gade 1</w:t>
      </w:r>
      <w:r w:rsidRPr="00CD2342">
        <w:rPr>
          <w:sz w:val="24"/>
          <w:szCs w:val="24"/>
        </w:rPr>
        <w:br/>
        <w:t>DK-2300 København S</w:t>
      </w:r>
      <w:r w:rsidRPr="00CD2342">
        <w:rPr>
          <w:sz w:val="24"/>
          <w:szCs w:val="24"/>
        </w:rPr>
        <w:br/>
        <w:t xml:space="preserve">Websted: </w:t>
      </w:r>
      <w:hyperlink r:id="rId8" w:history="1">
        <w:r w:rsidRPr="00CD2342">
          <w:rPr>
            <w:rStyle w:val="Hyperlink"/>
            <w:color w:val="000000"/>
            <w:sz w:val="24"/>
            <w:szCs w:val="24"/>
          </w:rPr>
          <w:t>www.meldenbivirkning.dk</w:t>
        </w:r>
      </w:hyperlink>
      <w:r w:rsidRPr="00CD2342">
        <w:rPr>
          <w:sz w:val="24"/>
          <w:szCs w:val="24"/>
        </w:rPr>
        <w:br/>
      </w:r>
    </w:p>
    <w:p w14:paraId="7285A769" w14:textId="77777777" w:rsidR="009260DE" w:rsidRPr="00CD2342" w:rsidRDefault="009260DE" w:rsidP="009260DE">
      <w:pPr>
        <w:tabs>
          <w:tab w:val="left" w:pos="851"/>
        </w:tabs>
        <w:ind w:left="851" w:hanging="851"/>
        <w:rPr>
          <w:b/>
          <w:sz w:val="24"/>
          <w:szCs w:val="24"/>
        </w:rPr>
      </w:pPr>
      <w:r w:rsidRPr="00CD2342">
        <w:rPr>
          <w:b/>
          <w:sz w:val="24"/>
          <w:szCs w:val="24"/>
        </w:rPr>
        <w:t>4.9</w:t>
      </w:r>
      <w:r w:rsidRPr="00CD2342">
        <w:rPr>
          <w:b/>
          <w:sz w:val="24"/>
          <w:szCs w:val="24"/>
        </w:rPr>
        <w:tab/>
        <w:t>Overdosering</w:t>
      </w:r>
    </w:p>
    <w:p w14:paraId="391F9429" w14:textId="77777777" w:rsidR="00165A40" w:rsidRPr="00CD2342" w:rsidRDefault="00165A40" w:rsidP="00165A40">
      <w:pPr>
        <w:ind w:left="851"/>
        <w:rPr>
          <w:spacing w:val="-3"/>
          <w:sz w:val="24"/>
          <w:szCs w:val="24"/>
          <w:lang w:eastAsia="da-DK"/>
        </w:rPr>
      </w:pPr>
      <w:r w:rsidRPr="00CD2342">
        <w:rPr>
          <w:spacing w:val="-3"/>
          <w:sz w:val="24"/>
          <w:szCs w:val="24"/>
        </w:rPr>
        <w:t>Toksiske bivirkninger kan forventes ved serum-</w:t>
      </w:r>
      <w:proofErr w:type="spellStart"/>
      <w:r w:rsidRPr="00CD2342">
        <w:rPr>
          <w:spacing w:val="-3"/>
          <w:sz w:val="24"/>
          <w:szCs w:val="24"/>
        </w:rPr>
        <w:t>lithium</w:t>
      </w:r>
      <w:proofErr w:type="spellEnd"/>
      <w:r w:rsidRPr="00CD2342">
        <w:rPr>
          <w:spacing w:val="-3"/>
          <w:sz w:val="24"/>
          <w:szCs w:val="24"/>
        </w:rPr>
        <w:t xml:space="preserve">-koncentrationer på ca. 1,5 mmol/l, selvom de kan forekomme ved lavere koncentrationer. De kræver øjeblikkelig </w:t>
      </w:r>
      <w:proofErr w:type="spellStart"/>
      <w:r w:rsidRPr="00CD2342">
        <w:rPr>
          <w:spacing w:val="-3"/>
          <w:sz w:val="24"/>
          <w:szCs w:val="24"/>
        </w:rPr>
        <w:t>seponering</w:t>
      </w:r>
      <w:proofErr w:type="spellEnd"/>
      <w:r w:rsidRPr="00CD2342">
        <w:rPr>
          <w:spacing w:val="-3"/>
          <w:sz w:val="24"/>
          <w:szCs w:val="24"/>
        </w:rPr>
        <w:t xml:space="preserve"> af behandlingen og bør altid overvejes meget alvorligt.</w:t>
      </w:r>
    </w:p>
    <w:p w14:paraId="0B83AEBB" w14:textId="77777777" w:rsidR="00165A40" w:rsidRPr="00CD2342" w:rsidRDefault="00165A40" w:rsidP="00165A40">
      <w:pPr>
        <w:ind w:left="851"/>
        <w:rPr>
          <w:spacing w:val="-3"/>
          <w:sz w:val="24"/>
          <w:szCs w:val="24"/>
        </w:rPr>
      </w:pPr>
    </w:p>
    <w:p w14:paraId="55D2FA7F" w14:textId="77777777" w:rsidR="00165A40" w:rsidRPr="00CD2342" w:rsidRDefault="00165A40" w:rsidP="00165A40">
      <w:pPr>
        <w:ind w:left="851"/>
        <w:rPr>
          <w:spacing w:val="-3"/>
          <w:sz w:val="24"/>
          <w:szCs w:val="24"/>
        </w:rPr>
      </w:pPr>
      <w:r w:rsidRPr="00CD2342">
        <w:rPr>
          <w:spacing w:val="-3"/>
          <w:sz w:val="24"/>
          <w:szCs w:val="24"/>
        </w:rPr>
        <w:t xml:space="preserve">Naive patienter, som ikke tidligere har været udsat for </w:t>
      </w:r>
      <w:proofErr w:type="spellStart"/>
      <w:r w:rsidRPr="00CD2342">
        <w:rPr>
          <w:spacing w:val="-3"/>
          <w:sz w:val="24"/>
          <w:szCs w:val="24"/>
        </w:rPr>
        <w:t>lithium</w:t>
      </w:r>
      <w:proofErr w:type="spellEnd"/>
      <w:r w:rsidRPr="00CD2342">
        <w:rPr>
          <w:spacing w:val="-3"/>
          <w:sz w:val="24"/>
          <w:szCs w:val="24"/>
        </w:rPr>
        <w:t>, kan have risiko for akut toksicitet primært på grund af overdosering.</w:t>
      </w:r>
    </w:p>
    <w:p w14:paraId="19E0CDAE" w14:textId="77777777" w:rsidR="00165A40" w:rsidRPr="00CD2342" w:rsidRDefault="00165A40" w:rsidP="00165A40">
      <w:pPr>
        <w:ind w:left="851"/>
        <w:rPr>
          <w:spacing w:val="-3"/>
          <w:sz w:val="24"/>
          <w:szCs w:val="24"/>
        </w:rPr>
      </w:pPr>
    </w:p>
    <w:p w14:paraId="603F4322" w14:textId="77777777" w:rsidR="00165A40" w:rsidRPr="00CD2342" w:rsidRDefault="00165A40" w:rsidP="00165A40">
      <w:pPr>
        <w:ind w:left="851"/>
        <w:rPr>
          <w:spacing w:val="-3"/>
          <w:sz w:val="24"/>
          <w:szCs w:val="24"/>
        </w:rPr>
      </w:pPr>
      <w:r w:rsidRPr="00CD2342">
        <w:rPr>
          <w:spacing w:val="-3"/>
          <w:sz w:val="24"/>
          <w:szCs w:val="24"/>
        </w:rPr>
        <w:t xml:space="preserve">Patienter i langvarig </w:t>
      </w:r>
      <w:proofErr w:type="spellStart"/>
      <w:r w:rsidRPr="00CD2342">
        <w:rPr>
          <w:spacing w:val="-3"/>
          <w:sz w:val="24"/>
          <w:szCs w:val="24"/>
        </w:rPr>
        <w:t>lithiumbehandling</w:t>
      </w:r>
      <w:proofErr w:type="spellEnd"/>
      <w:r w:rsidRPr="00CD2342">
        <w:rPr>
          <w:spacing w:val="-3"/>
          <w:sz w:val="24"/>
          <w:szCs w:val="24"/>
        </w:rPr>
        <w:t xml:space="preserve"> kan opleve kronisk toksicitet, som kan udvikle sig gradvist over tid og ofte opstår på grund af faktorer, der nedsætter nyrefunktionen eller </w:t>
      </w:r>
      <w:proofErr w:type="spellStart"/>
      <w:r w:rsidRPr="00CD2342">
        <w:rPr>
          <w:spacing w:val="-3"/>
          <w:sz w:val="24"/>
          <w:szCs w:val="24"/>
        </w:rPr>
        <w:t>lithiumclearance</w:t>
      </w:r>
      <w:proofErr w:type="spellEnd"/>
      <w:r w:rsidRPr="00CD2342">
        <w:rPr>
          <w:spacing w:val="-3"/>
          <w:sz w:val="24"/>
          <w:szCs w:val="24"/>
        </w:rPr>
        <w:t xml:space="preserve"> (såsom dehydrering, lægemiddelinteraktion eller ændringer i sundhedstilstand).</w:t>
      </w:r>
    </w:p>
    <w:p w14:paraId="75FF4EA8" w14:textId="77777777" w:rsidR="00165A40" w:rsidRPr="00CD2342" w:rsidRDefault="00165A40" w:rsidP="00165A40">
      <w:pPr>
        <w:ind w:left="851"/>
        <w:rPr>
          <w:spacing w:val="-3"/>
          <w:sz w:val="24"/>
          <w:szCs w:val="24"/>
        </w:rPr>
      </w:pPr>
    </w:p>
    <w:p w14:paraId="5E798508" w14:textId="77777777" w:rsidR="00165A40" w:rsidRPr="00CD2342" w:rsidRDefault="00165A40" w:rsidP="00165A40">
      <w:pPr>
        <w:ind w:left="851"/>
        <w:rPr>
          <w:spacing w:val="-3"/>
          <w:sz w:val="24"/>
          <w:szCs w:val="24"/>
        </w:rPr>
      </w:pPr>
      <w:r w:rsidRPr="00CD2342">
        <w:rPr>
          <w:spacing w:val="-3"/>
          <w:sz w:val="24"/>
          <w:szCs w:val="24"/>
        </w:rPr>
        <w:t xml:space="preserve">Resultater fra studier med rotter indikerede, at patienter, der allerede er på </w:t>
      </w:r>
      <w:proofErr w:type="spellStart"/>
      <w:r w:rsidRPr="00CD2342">
        <w:rPr>
          <w:spacing w:val="-3"/>
          <w:sz w:val="24"/>
          <w:szCs w:val="24"/>
        </w:rPr>
        <w:t>lithium</w:t>
      </w:r>
      <w:proofErr w:type="spellEnd"/>
      <w:r w:rsidRPr="00CD2342">
        <w:rPr>
          <w:spacing w:val="-3"/>
          <w:sz w:val="24"/>
          <w:szCs w:val="24"/>
        </w:rPr>
        <w:t xml:space="preserve">, kan være mere følsomme over for </w:t>
      </w:r>
      <w:proofErr w:type="spellStart"/>
      <w:r w:rsidRPr="00CD2342">
        <w:rPr>
          <w:spacing w:val="-3"/>
          <w:sz w:val="24"/>
          <w:szCs w:val="24"/>
        </w:rPr>
        <w:t>lithiumforgiftning</w:t>
      </w:r>
      <w:proofErr w:type="spellEnd"/>
      <w:r w:rsidRPr="00CD2342">
        <w:rPr>
          <w:spacing w:val="-3"/>
          <w:sz w:val="24"/>
          <w:szCs w:val="24"/>
        </w:rPr>
        <w:t xml:space="preserve"> end patienter, der er naive over for </w:t>
      </w:r>
      <w:proofErr w:type="spellStart"/>
      <w:r w:rsidRPr="00CD2342">
        <w:rPr>
          <w:spacing w:val="-3"/>
          <w:sz w:val="24"/>
          <w:szCs w:val="24"/>
        </w:rPr>
        <w:t>lithium</w:t>
      </w:r>
      <w:proofErr w:type="spellEnd"/>
      <w:r w:rsidRPr="00CD2342">
        <w:rPr>
          <w:spacing w:val="-3"/>
          <w:sz w:val="24"/>
          <w:szCs w:val="24"/>
        </w:rPr>
        <w:t xml:space="preserve">, da de maksimale serum- og hjernekoncentrationer kan være forsinket, hvilket resulterer i længere varighed af høj </w:t>
      </w:r>
      <w:proofErr w:type="spellStart"/>
      <w:r w:rsidRPr="00CD2342">
        <w:rPr>
          <w:spacing w:val="-3"/>
          <w:sz w:val="24"/>
          <w:szCs w:val="24"/>
        </w:rPr>
        <w:t>lithiumeksponering</w:t>
      </w:r>
      <w:proofErr w:type="spellEnd"/>
      <w:r w:rsidRPr="00CD2342">
        <w:rPr>
          <w:spacing w:val="-3"/>
          <w:sz w:val="24"/>
          <w:szCs w:val="24"/>
        </w:rPr>
        <w:t xml:space="preserve"> hos patienter, der allerede er i behandling med </w:t>
      </w:r>
      <w:proofErr w:type="spellStart"/>
      <w:r w:rsidRPr="00CD2342">
        <w:rPr>
          <w:spacing w:val="-3"/>
          <w:sz w:val="24"/>
          <w:szCs w:val="24"/>
        </w:rPr>
        <w:t>lithium</w:t>
      </w:r>
      <w:proofErr w:type="spellEnd"/>
      <w:r w:rsidRPr="00CD2342">
        <w:rPr>
          <w:spacing w:val="-3"/>
          <w:sz w:val="24"/>
          <w:szCs w:val="24"/>
        </w:rPr>
        <w:t>.</w:t>
      </w:r>
    </w:p>
    <w:p w14:paraId="76F16370" w14:textId="77777777" w:rsidR="00165A40" w:rsidRPr="00CD2342" w:rsidRDefault="00165A40" w:rsidP="00165A40">
      <w:pPr>
        <w:ind w:left="851"/>
        <w:rPr>
          <w:spacing w:val="-3"/>
          <w:sz w:val="24"/>
          <w:szCs w:val="24"/>
        </w:rPr>
      </w:pPr>
    </w:p>
    <w:p w14:paraId="2580B03B" w14:textId="77777777" w:rsidR="00165A40" w:rsidRPr="005909F8" w:rsidRDefault="00165A40" w:rsidP="005909F8">
      <w:pPr>
        <w:ind w:left="851"/>
        <w:rPr>
          <w:sz w:val="24"/>
          <w:szCs w:val="24"/>
          <w:u w:val="single"/>
        </w:rPr>
      </w:pPr>
      <w:r w:rsidRPr="005909F8">
        <w:rPr>
          <w:sz w:val="24"/>
          <w:szCs w:val="24"/>
          <w:u w:val="single"/>
        </w:rPr>
        <w:t>Symptomer</w:t>
      </w:r>
    </w:p>
    <w:p w14:paraId="54F59AAE" w14:textId="77777777" w:rsidR="00165A40" w:rsidRPr="00CD2342" w:rsidRDefault="00165A40" w:rsidP="00165A40">
      <w:pPr>
        <w:ind w:left="851"/>
        <w:rPr>
          <w:spacing w:val="-3"/>
          <w:sz w:val="24"/>
          <w:szCs w:val="24"/>
        </w:rPr>
      </w:pPr>
      <w:r w:rsidRPr="00CD2342">
        <w:rPr>
          <w:spacing w:val="-3"/>
          <w:sz w:val="24"/>
          <w:szCs w:val="24"/>
        </w:rPr>
        <w:t xml:space="preserve">Mild til moderat toksicitet omfatter grov </w:t>
      </w:r>
      <w:proofErr w:type="spellStart"/>
      <w:r w:rsidRPr="00CD2342">
        <w:rPr>
          <w:spacing w:val="-3"/>
          <w:sz w:val="24"/>
          <w:szCs w:val="24"/>
        </w:rPr>
        <w:t>tremor</w:t>
      </w:r>
      <w:proofErr w:type="spellEnd"/>
      <w:r w:rsidRPr="00CD2342">
        <w:rPr>
          <w:spacing w:val="-3"/>
          <w:sz w:val="24"/>
          <w:szCs w:val="24"/>
        </w:rPr>
        <w:t xml:space="preserve">, sløvhed, træthed, forvirring, agitation, delirium, </w:t>
      </w:r>
      <w:proofErr w:type="spellStart"/>
      <w:r w:rsidRPr="00CD2342">
        <w:rPr>
          <w:spacing w:val="-3"/>
          <w:sz w:val="24"/>
          <w:szCs w:val="24"/>
        </w:rPr>
        <w:t>takykardi</w:t>
      </w:r>
      <w:proofErr w:type="spellEnd"/>
      <w:r w:rsidRPr="00CD2342">
        <w:rPr>
          <w:spacing w:val="-3"/>
          <w:sz w:val="24"/>
          <w:szCs w:val="24"/>
        </w:rPr>
        <w:t xml:space="preserve">, sløret tale, </w:t>
      </w:r>
      <w:proofErr w:type="spellStart"/>
      <w:r w:rsidRPr="00CD2342">
        <w:rPr>
          <w:spacing w:val="-3"/>
          <w:sz w:val="24"/>
          <w:szCs w:val="24"/>
        </w:rPr>
        <w:t>fascikulationer</w:t>
      </w:r>
      <w:proofErr w:type="spellEnd"/>
      <w:r w:rsidRPr="00CD2342">
        <w:rPr>
          <w:spacing w:val="-3"/>
          <w:sz w:val="24"/>
          <w:szCs w:val="24"/>
        </w:rPr>
        <w:t xml:space="preserve">, </w:t>
      </w:r>
      <w:proofErr w:type="spellStart"/>
      <w:r w:rsidRPr="00CD2342">
        <w:rPr>
          <w:spacing w:val="-3"/>
          <w:sz w:val="24"/>
          <w:szCs w:val="24"/>
        </w:rPr>
        <w:t>hypertoni</w:t>
      </w:r>
      <w:proofErr w:type="spellEnd"/>
      <w:r w:rsidRPr="00CD2342">
        <w:rPr>
          <w:spacing w:val="-3"/>
          <w:sz w:val="24"/>
          <w:szCs w:val="24"/>
        </w:rPr>
        <w:t>, kvalme, opkastning og diarré.</w:t>
      </w:r>
    </w:p>
    <w:p w14:paraId="6D3BD77B" w14:textId="77777777" w:rsidR="00165A40" w:rsidRPr="00CD2342" w:rsidRDefault="00165A40" w:rsidP="00165A40">
      <w:pPr>
        <w:ind w:left="851"/>
        <w:rPr>
          <w:spacing w:val="-3"/>
          <w:sz w:val="24"/>
          <w:szCs w:val="24"/>
        </w:rPr>
      </w:pPr>
    </w:p>
    <w:p w14:paraId="2BC67475" w14:textId="77777777" w:rsidR="00165A40" w:rsidRPr="00CD2342" w:rsidRDefault="00165A40" w:rsidP="00165A40">
      <w:pPr>
        <w:ind w:left="851"/>
        <w:rPr>
          <w:spacing w:val="-3"/>
          <w:sz w:val="24"/>
          <w:szCs w:val="24"/>
        </w:rPr>
      </w:pPr>
      <w:r w:rsidRPr="00CD2342">
        <w:rPr>
          <w:spacing w:val="-3"/>
          <w:sz w:val="24"/>
          <w:szCs w:val="24"/>
        </w:rPr>
        <w:t xml:space="preserve">Alvorlig toksicitet omfatter bevidsthedssvækkelse, koma, </w:t>
      </w:r>
      <w:proofErr w:type="spellStart"/>
      <w:r w:rsidRPr="00CD2342">
        <w:rPr>
          <w:spacing w:val="-3"/>
          <w:sz w:val="24"/>
          <w:szCs w:val="24"/>
        </w:rPr>
        <w:t>epilepti</w:t>
      </w:r>
      <w:r w:rsidRPr="00CD2342">
        <w:rPr>
          <w:spacing w:val="-3"/>
          <w:sz w:val="24"/>
          <w:szCs w:val="24"/>
        </w:rPr>
        <w:softHyphen/>
        <w:t>for</w:t>
      </w:r>
      <w:r w:rsidRPr="00CD2342">
        <w:rPr>
          <w:spacing w:val="-3"/>
          <w:sz w:val="24"/>
          <w:szCs w:val="24"/>
        </w:rPr>
        <w:softHyphen/>
        <w:t>me</w:t>
      </w:r>
      <w:proofErr w:type="spellEnd"/>
      <w:r w:rsidRPr="00CD2342">
        <w:rPr>
          <w:spacing w:val="-3"/>
          <w:sz w:val="24"/>
          <w:szCs w:val="24"/>
        </w:rPr>
        <w:t xml:space="preserve"> krampeanfald, </w:t>
      </w:r>
      <w:proofErr w:type="spellStart"/>
      <w:r w:rsidRPr="00CD2342">
        <w:rPr>
          <w:spacing w:val="-3"/>
          <w:sz w:val="24"/>
          <w:szCs w:val="24"/>
        </w:rPr>
        <w:t>hypertermi</w:t>
      </w:r>
      <w:proofErr w:type="spellEnd"/>
      <w:r w:rsidRPr="00CD2342">
        <w:rPr>
          <w:spacing w:val="-3"/>
          <w:sz w:val="24"/>
          <w:szCs w:val="24"/>
        </w:rPr>
        <w:t>, hypotension, EEG- og EKG-forandringer, risiko for nyresvigt og død.</w:t>
      </w:r>
    </w:p>
    <w:p w14:paraId="776E8032" w14:textId="77777777" w:rsidR="00165A40" w:rsidRPr="00CD2342" w:rsidRDefault="00165A40" w:rsidP="00165A40">
      <w:pPr>
        <w:ind w:left="851"/>
        <w:rPr>
          <w:spacing w:val="-3"/>
          <w:sz w:val="24"/>
          <w:szCs w:val="24"/>
        </w:rPr>
      </w:pPr>
    </w:p>
    <w:p w14:paraId="6538FA3E" w14:textId="77777777" w:rsidR="00165A40" w:rsidRPr="005909F8" w:rsidRDefault="00165A40" w:rsidP="005909F8">
      <w:pPr>
        <w:ind w:left="851"/>
        <w:rPr>
          <w:sz w:val="24"/>
          <w:szCs w:val="24"/>
          <w:u w:val="single"/>
        </w:rPr>
      </w:pPr>
      <w:r w:rsidRPr="005909F8">
        <w:rPr>
          <w:sz w:val="24"/>
          <w:szCs w:val="24"/>
          <w:u w:val="single"/>
        </w:rPr>
        <w:t>Behandling</w:t>
      </w:r>
    </w:p>
    <w:p w14:paraId="55E514EF" w14:textId="77777777" w:rsidR="00165A40" w:rsidRPr="00CD2342" w:rsidRDefault="00165A40" w:rsidP="00165A40">
      <w:pPr>
        <w:ind w:left="851"/>
        <w:rPr>
          <w:spacing w:val="-3"/>
          <w:sz w:val="24"/>
          <w:szCs w:val="24"/>
        </w:rPr>
      </w:pPr>
      <w:r w:rsidRPr="00CD2342">
        <w:rPr>
          <w:spacing w:val="-3"/>
          <w:sz w:val="24"/>
          <w:szCs w:val="24"/>
        </w:rPr>
        <w:t xml:space="preserve">Patientens tilstand kræver intensiv pleje, udover justering af salt- og væskebalance, vedligeholdelse af cirkulation og respiration og administration af symptomgivende lægemidler, kan </w:t>
      </w:r>
      <w:proofErr w:type="spellStart"/>
      <w:r w:rsidRPr="00CD2342">
        <w:rPr>
          <w:spacing w:val="-3"/>
          <w:sz w:val="24"/>
          <w:szCs w:val="24"/>
        </w:rPr>
        <w:t>peritonealdialyse</w:t>
      </w:r>
      <w:proofErr w:type="spellEnd"/>
      <w:r w:rsidRPr="00CD2342">
        <w:rPr>
          <w:spacing w:val="-3"/>
          <w:sz w:val="24"/>
          <w:szCs w:val="24"/>
        </w:rPr>
        <w:t xml:space="preserve"> eller hæmodialyse være påkrævet i de mest alvorlige tilfælde.</w:t>
      </w:r>
    </w:p>
    <w:p w14:paraId="6701466C" w14:textId="77777777" w:rsidR="009260DE" w:rsidRPr="00CD2342" w:rsidRDefault="009260DE" w:rsidP="009260DE">
      <w:pPr>
        <w:tabs>
          <w:tab w:val="left" w:pos="851"/>
        </w:tabs>
        <w:ind w:left="851"/>
        <w:rPr>
          <w:sz w:val="24"/>
          <w:szCs w:val="24"/>
        </w:rPr>
      </w:pPr>
    </w:p>
    <w:p w14:paraId="36F784C9" w14:textId="77777777" w:rsidR="009260DE" w:rsidRPr="00CD2342" w:rsidRDefault="009260DE" w:rsidP="009260DE">
      <w:pPr>
        <w:tabs>
          <w:tab w:val="left" w:pos="851"/>
        </w:tabs>
        <w:ind w:left="851" w:hanging="851"/>
        <w:rPr>
          <w:b/>
          <w:sz w:val="24"/>
          <w:szCs w:val="24"/>
        </w:rPr>
      </w:pPr>
      <w:r w:rsidRPr="00CD2342">
        <w:rPr>
          <w:b/>
          <w:sz w:val="24"/>
          <w:szCs w:val="24"/>
        </w:rPr>
        <w:t>4.10</w:t>
      </w:r>
      <w:r w:rsidRPr="00CD2342">
        <w:rPr>
          <w:b/>
          <w:sz w:val="24"/>
          <w:szCs w:val="24"/>
        </w:rPr>
        <w:tab/>
        <w:t>Udlevering</w:t>
      </w:r>
    </w:p>
    <w:p w14:paraId="50ADEDE8" w14:textId="31186849" w:rsidR="009260DE" w:rsidRPr="00CD2342" w:rsidRDefault="00165A40" w:rsidP="009260DE">
      <w:pPr>
        <w:tabs>
          <w:tab w:val="left" w:pos="851"/>
        </w:tabs>
        <w:ind w:left="851"/>
        <w:rPr>
          <w:sz w:val="24"/>
          <w:szCs w:val="24"/>
        </w:rPr>
      </w:pPr>
      <w:r w:rsidRPr="00CD2342">
        <w:rPr>
          <w:sz w:val="24"/>
          <w:szCs w:val="24"/>
        </w:rPr>
        <w:t>B</w:t>
      </w:r>
    </w:p>
    <w:p w14:paraId="3B8CC3C9" w14:textId="77777777" w:rsidR="009260DE" w:rsidRPr="00CD2342" w:rsidRDefault="009260DE" w:rsidP="009260DE">
      <w:pPr>
        <w:tabs>
          <w:tab w:val="left" w:pos="851"/>
        </w:tabs>
        <w:ind w:left="851"/>
        <w:rPr>
          <w:sz w:val="24"/>
          <w:szCs w:val="24"/>
        </w:rPr>
      </w:pPr>
    </w:p>
    <w:p w14:paraId="223FBC14" w14:textId="77777777" w:rsidR="009260DE" w:rsidRPr="00CD2342" w:rsidRDefault="009260DE" w:rsidP="009260DE">
      <w:pPr>
        <w:tabs>
          <w:tab w:val="left" w:pos="851"/>
        </w:tabs>
        <w:ind w:left="851"/>
        <w:rPr>
          <w:sz w:val="24"/>
          <w:szCs w:val="24"/>
        </w:rPr>
      </w:pPr>
    </w:p>
    <w:p w14:paraId="021F1EBD" w14:textId="77777777" w:rsidR="009260DE" w:rsidRPr="00CD2342" w:rsidRDefault="009260DE" w:rsidP="009260DE">
      <w:pPr>
        <w:tabs>
          <w:tab w:val="left" w:pos="851"/>
        </w:tabs>
        <w:ind w:left="851" w:hanging="851"/>
        <w:rPr>
          <w:b/>
          <w:sz w:val="24"/>
          <w:szCs w:val="24"/>
        </w:rPr>
      </w:pPr>
      <w:r w:rsidRPr="00CD2342">
        <w:rPr>
          <w:b/>
          <w:sz w:val="24"/>
          <w:szCs w:val="24"/>
        </w:rPr>
        <w:t>5.</w:t>
      </w:r>
      <w:r w:rsidRPr="00CD2342">
        <w:rPr>
          <w:b/>
          <w:sz w:val="24"/>
          <w:szCs w:val="24"/>
        </w:rPr>
        <w:tab/>
        <w:t>FARMAKOLOGISKE EGENSKABER</w:t>
      </w:r>
    </w:p>
    <w:p w14:paraId="7EEAF978" w14:textId="77777777" w:rsidR="009260DE" w:rsidRPr="00CD2342" w:rsidRDefault="009260DE" w:rsidP="009260DE">
      <w:pPr>
        <w:tabs>
          <w:tab w:val="left" w:pos="851"/>
        </w:tabs>
        <w:ind w:left="851"/>
        <w:rPr>
          <w:sz w:val="24"/>
          <w:szCs w:val="24"/>
        </w:rPr>
      </w:pPr>
    </w:p>
    <w:p w14:paraId="1771755F" w14:textId="77777777" w:rsidR="009260DE" w:rsidRPr="00CD2342" w:rsidRDefault="009260DE" w:rsidP="009260DE">
      <w:pPr>
        <w:tabs>
          <w:tab w:val="num" w:pos="851"/>
        </w:tabs>
        <w:ind w:left="851" w:hanging="851"/>
        <w:rPr>
          <w:b/>
          <w:sz w:val="24"/>
          <w:szCs w:val="24"/>
        </w:rPr>
      </w:pPr>
      <w:r w:rsidRPr="00CD2342">
        <w:rPr>
          <w:b/>
          <w:sz w:val="24"/>
          <w:szCs w:val="24"/>
        </w:rPr>
        <w:t>5.1</w:t>
      </w:r>
      <w:r w:rsidRPr="00CD2342">
        <w:rPr>
          <w:b/>
          <w:sz w:val="24"/>
          <w:szCs w:val="24"/>
        </w:rPr>
        <w:tab/>
      </w:r>
      <w:proofErr w:type="spellStart"/>
      <w:r w:rsidRPr="00CD2342">
        <w:rPr>
          <w:b/>
          <w:sz w:val="24"/>
          <w:szCs w:val="24"/>
        </w:rPr>
        <w:t>Farmakodynamiske</w:t>
      </w:r>
      <w:proofErr w:type="spellEnd"/>
      <w:r w:rsidRPr="00CD2342">
        <w:rPr>
          <w:b/>
          <w:sz w:val="24"/>
          <w:szCs w:val="24"/>
        </w:rPr>
        <w:t xml:space="preserve"> egenskaber</w:t>
      </w:r>
    </w:p>
    <w:p w14:paraId="7861F674" w14:textId="5BDD3FED" w:rsidR="00165A40" w:rsidRPr="00CD2342" w:rsidRDefault="00165A40" w:rsidP="00165A40">
      <w:pPr>
        <w:ind w:left="850" w:hanging="850"/>
        <w:rPr>
          <w:spacing w:val="-3"/>
          <w:sz w:val="24"/>
          <w:szCs w:val="24"/>
          <w:lang w:eastAsia="da-DK"/>
        </w:rPr>
      </w:pPr>
      <w:r w:rsidRPr="00CD2342">
        <w:rPr>
          <w:b/>
          <w:spacing w:val="-3"/>
          <w:sz w:val="24"/>
          <w:szCs w:val="24"/>
        </w:rPr>
        <w:tab/>
      </w:r>
      <w:proofErr w:type="spellStart"/>
      <w:r w:rsidRPr="00CD2342">
        <w:rPr>
          <w:spacing w:val="-3"/>
          <w:sz w:val="24"/>
          <w:szCs w:val="24"/>
        </w:rPr>
        <w:t>Farmakoterapeutisk</w:t>
      </w:r>
      <w:proofErr w:type="spellEnd"/>
      <w:r w:rsidRPr="00CD2342">
        <w:rPr>
          <w:spacing w:val="-3"/>
          <w:sz w:val="24"/>
          <w:szCs w:val="24"/>
        </w:rPr>
        <w:t xml:space="preserve"> klassifikation: </w:t>
      </w:r>
      <w:proofErr w:type="spellStart"/>
      <w:r w:rsidRPr="00CD2342">
        <w:rPr>
          <w:spacing w:val="-3"/>
          <w:sz w:val="24"/>
          <w:szCs w:val="24"/>
        </w:rPr>
        <w:t>Psykoleptika</w:t>
      </w:r>
      <w:proofErr w:type="spellEnd"/>
      <w:r w:rsidRPr="00CD2342">
        <w:rPr>
          <w:spacing w:val="-3"/>
          <w:sz w:val="24"/>
          <w:szCs w:val="24"/>
        </w:rPr>
        <w:t>, antipsykotika</w:t>
      </w:r>
      <w:r w:rsidR="0036550B">
        <w:rPr>
          <w:spacing w:val="-3"/>
          <w:sz w:val="24"/>
          <w:szCs w:val="24"/>
        </w:rPr>
        <w:t>,</w:t>
      </w:r>
      <w:r w:rsidRPr="00CD2342">
        <w:rPr>
          <w:spacing w:val="-3"/>
          <w:sz w:val="24"/>
          <w:szCs w:val="24"/>
        </w:rPr>
        <w:t xml:space="preserve"> ATC-kode: N05AN01.</w:t>
      </w:r>
    </w:p>
    <w:p w14:paraId="6138C104" w14:textId="77777777" w:rsidR="00165A40" w:rsidRPr="00CD2342" w:rsidRDefault="00165A40" w:rsidP="00165A40">
      <w:pPr>
        <w:ind w:left="850"/>
        <w:rPr>
          <w:spacing w:val="-3"/>
          <w:sz w:val="24"/>
          <w:szCs w:val="24"/>
        </w:rPr>
      </w:pPr>
    </w:p>
    <w:p w14:paraId="5951A07A" w14:textId="77777777" w:rsidR="00165A40" w:rsidRPr="00CD2342" w:rsidRDefault="00165A40" w:rsidP="00165A40">
      <w:pPr>
        <w:ind w:left="850"/>
        <w:rPr>
          <w:spacing w:val="-3"/>
          <w:sz w:val="24"/>
          <w:szCs w:val="24"/>
        </w:rPr>
      </w:pPr>
      <w:proofErr w:type="spellStart"/>
      <w:r w:rsidRPr="00CD2342">
        <w:rPr>
          <w:spacing w:val="-3"/>
          <w:sz w:val="24"/>
          <w:szCs w:val="24"/>
        </w:rPr>
        <w:t>Lithium</w:t>
      </w:r>
      <w:proofErr w:type="spellEnd"/>
      <w:r w:rsidRPr="00CD2342">
        <w:rPr>
          <w:spacing w:val="-3"/>
          <w:sz w:val="24"/>
          <w:szCs w:val="24"/>
        </w:rPr>
        <w:t xml:space="preserve"> er en monovalent kation. </w:t>
      </w:r>
      <w:proofErr w:type="spellStart"/>
      <w:r w:rsidRPr="00CD2342">
        <w:rPr>
          <w:spacing w:val="-3"/>
          <w:sz w:val="24"/>
          <w:szCs w:val="24"/>
        </w:rPr>
        <w:t>Lithiumcarbonat</w:t>
      </w:r>
      <w:proofErr w:type="spellEnd"/>
      <w:r w:rsidRPr="00CD2342">
        <w:rPr>
          <w:spacing w:val="-3"/>
          <w:sz w:val="24"/>
          <w:szCs w:val="24"/>
        </w:rPr>
        <w:t xml:space="preserve"> er </w:t>
      </w:r>
      <w:proofErr w:type="spellStart"/>
      <w:r w:rsidRPr="00CD2342">
        <w:rPr>
          <w:spacing w:val="-3"/>
          <w:sz w:val="24"/>
          <w:szCs w:val="24"/>
        </w:rPr>
        <w:t>carbonatsaltet</w:t>
      </w:r>
      <w:proofErr w:type="spellEnd"/>
      <w:r w:rsidRPr="00CD2342">
        <w:rPr>
          <w:spacing w:val="-3"/>
          <w:sz w:val="24"/>
          <w:szCs w:val="24"/>
        </w:rPr>
        <w:t xml:space="preserve"> af </w:t>
      </w:r>
      <w:proofErr w:type="spellStart"/>
      <w:r w:rsidRPr="00CD2342">
        <w:rPr>
          <w:spacing w:val="-3"/>
          <w:sz w:val="24"/>
          <w:szCs w:val="24"/>
        </w:rPr>
        <w:t>lithium</w:t>
      </w:r>
      <w:proofErr w:type="spellEnd"/>
      <w:r w:rsidRPr="00CD2342">
        <w:rPr>
          <w:spacing w:val="-3"/>
          <w:sz w:val="24"/>
          <w:szCs w:val="24"/>
        </w:rPr>
        <w:t xml:space="preserve">, et blødt alkalimetal, med antimaniske og </w:t>
      </w:r>
      <w:proofErr w:type="spellStart"/>
      <w:r w:rsidRPr="00CD2342">
        <w:rPr>
          <w:spacing w:val="-3"/>
          <w:sz w:val="24"/>
          <w:szCs w:val="24"/>
        </w:rPr>
        <w:t>hæmatopoietiske</w:t>
      </w:r>
      <w:proofErr w:type="spellEnd"/>
      <w:r w:rsidRPr="00CD2342">
        <w:rPr>
          <w:spacing w:val="-3"/>
          <w:sz w:val="24"/>
          <w:szCs w:val="24"/>
        </w:rPr>
        <w:t xml:space="preserve"> aktiviteter.</w:t>
      </w:r>
    </w:p>
    <w:p w14:paraId="2B8642FC" w14:textId="77777777" w:rsidR="00165A40" w:rsidRPr="00CD2342" w:rsidRDefault="00165A40" w:rsidP="00165A40">
      <w:pPr>
        <w:ind w:left="850"/>
        <w:rPr>
          <w:spacing w:val="-3"/>
          <w:sz w:val="24"/>
          <w:szCs w:val="24"/>
        </w:rPr>
      </w:pPr>
    </w:p>
    <w:p w14:paraId="58C48F25" w14:textId="26B363D7" w:rsidR="00165A40" w:rsidRPr="00CD2342" w:rsidRDefault="00165A40" w:rsidP="00165A40">
      <w:pPr>
        <w:ind w:left="850"/>
        <w:rPr>
          <w:spacing w:val="-3"/>
          <w:sz w:val="24"/>
          <w:szCs w:val="24"/>
        </w:rPr>
      </w:pPr>
      <w:r w:rsidRPr="00CD2342">
        <w:rPr>
          <w:spacing w:val="-3"/>
          <w:sz w:val="24"/>
          <w:szCs w:val="24"/>
        </w:rPr>
        <w:t xml:space="preserve">Virkemåden af </w:t>
      </w:r>
      <w:proofErr w:type="spellStart"/>
      <w:r w:rsidRPr="00CD2342">
        <w:rPr>
          <w:spacing w:val="-3"/>
          <w:sz w:val="24"/>
          <w:szCs w:val="24"/>
        </w:rPr>
        <w:t>lithium</w:t>
      </w:r>
      <w:proofErr w:type="spellEnd"/>
      <w:r w:rsidRPr="00CD2342">
        <w:rPr>
          <w:spacing w:val="-3"/>
          <w:sz w:val="24"/>
          <w:szCs w:val="24"/>
        </w:rPr>
        <w:t xml:space="preserve"> er endnu ikke klarlagt. Det udøver sin virkning i flere retninger. </w:t>
      </w:r>
      <w:proofErr w:type="spellStart"/>
      <w:r w:rsidRPr="00CD2342">
        <w:rPr>
          <w:spacing w:val="-3"/>
          <w:sz w:val="24"/>
          <w:szCs w:val="24"/>
        </w:rPr>
        <w:t>Lithiums</w:t>
      </w:r>
      <w:proofErr w:type="spellEnd"/>
      <w:r w:rsidRPr="00CD2342">
        <w:rPr>
          <w:spacing w:val="-3"/>
          <w:sz w:val="24"/>
          <w:szCs w:val="24"/>
        </w:rPr>
        <w:t xml:space="preserve"> terapeutiske virkning kan skyldes en række virkninger, lige fra </w:t>
      </w:r>
      <w:proofErr w:type="spellStart"/>
      <w:r w:rsidRPr="00CD2342">
        <w:rPr>
          <w:spacing w:val="-3"/>
          <w:sz w:val="24"/>
          <w:szCs w:val="24"/>
        </w:rPr>
        <w:t>inhibering</w:t>
      </w:r>
      <w:proofErr w:type="spellEnd"/>
      <w:r w:rsidRPr="00CD2342">
        <w:rPr>
          <w:spacing w:val="-3"/>
          <w:sz w:val="24"/>
          <w:szCs w:val="24"/>
        </w:rPr>
        <w:t xml:space="preserve"> af enzymer såsom </w:t>
      </w:r>
      <w:proofErr w:type="spellStart"/>
      <w:r w:rsidRPr="00CD2342">
        <w:rPr>
          <w:spacing w:val="-3"/>
          <w:sz w:val="24"/>
          <w:szCs w:val="24"/>
        </w:rPr>
        <w:t>glykogensyntase</w:t>
      </w:r>
      <w:proofErr w:type="spellEnd"/>
      <w:r w:rsidRPr="00CD2342">
        <w:rPr>
          <w:spacing w:val="-3"/>
          <w:sz w:val="24"/>
          <w:szCs w:val="24"/>
        </w:rPr>
        <w:t xml:space="preserve"> </w:t>
      </w:r>
      <w:proofErr w:type="spellStart"/>
      <w:r w:rsidRPr="00CD2342">
        <w:rPr>
          <w:spacing w:val="-3"/>
          <w:sz w:val="24"/>
          <w:szCs w:val="24"/>
        </w:rPr>
        <w:t>kinase</w:t>
      </w:r>
      <w:proofErr w:type="spellEnd"/>
      <w:r w:rsidRPr="00CD2342">
        <w:rPr>
          <w:spacing w:val="-3"/>
          <w:sz w:val="24"/>
          <w:szCs w:val="24"/>
        </w:rPr>
        <w:t xml:space="preserve"> 3, </w:t>
      </w:r>
      <w:proofErr w:type="spellStart"/>
      <w:r w:rsidRPr="00CD2342">
        <w:rPr>
          <w:spacing w:val="-3"/>
          <w:sz w:val="24"/>
          <w:szCs w:val="24"/>
        </w:rPr>
        <w:t>inositolphosphataser</w:t>
      </w:r>
      <w:proofErr w:type="spellEnd"/>
      <w:r w:rsidRPr="00CD2342">
        <w:rPr>
          <w:spacing w:val="-3"/>
          <w:sz w:val="24"/>
          <w:szCs w:val="24"/>
        </w:rPr>
        <w:t xml:space="preserve"> eller modulering af glutamatreceptorer:</w:t>
      </w:r>
    </w:p>
    <w:p w14:paraId="07B450DE" w14:textId="77777777" w:rsidR="00165A40" w:rsidRPr="00CD2342" w:rsidRDefault="00165A40" w:rsidP="00165A40">
      <w:pPr>
        <w:ind w:left="850"/>
        <w:rPr>
          <w:spacing w:val="-3"/>
          <w:sz w:val="24"/>
          <w:szCs w:val="24"/>
        </w:rPr>
      </w:pPr>
    </w:p>
    <w:p w14:paraId="2B8F00A2" w14:textId="57B95337" w:rsidR="00165A40" w:rsidRPr="00CD2342" w:rsidRDefault="00165A40" w:rsidP="00165A40">
      <w:pPr>
        <w:ind w:left="850"/>
        <w:rPr>
          <w:spacing w:val="-3"/>
          <w:sz w:val="24"/>
          <w:szCs w:val="24"/>
        </w:rPr>
      </w:pPr>
      <w:r w:rsidRPr="00CD2342">
        <w:rPr>
          <w:spacing w:val="-3"/>
          <w:sz w:val="24"/>
          <w:szCs w:val="24"/>
        </w:rPr>
        <w:t xml:space="preserve">Som følge heraf reducerer </w:t>
      </w:r>
      <w:proofErr w:type="spellStart"/>
      <w:r w:rsidRPr="00CD2342">
        <w:rPr>
          <w:spacing w:val="-3"/>
          <w:sz w:val="24"/>
          <w:szCs w:val="24"/>
        </w:rPr>
        <w:t>lithium</w:t>
      </w:r>
      <w:proofErr w:type="spellEnd"/>
      <w:r w:rsidRPr="00CD2342">
        <w:rPr>
          <w:spacing w:val="-3"/>
          <w:sz w:val="24"/>
          <w:szCs w:val="24"/>
        </w:rPr>
        <w:t xml:space="preserve"> omsætningen af noradrenalin og dopamin og hæmmer udviklingen af superfølsomhed af dopaminreceptorer over for effekten af antipsykotika, og disse kan være forbundet med antimaniske effekter.</w:t>
      </w:r>
    </w:p>
    <w:p w14:paraId="2818123B" w14:textId="77777777" w:rsidR="00165A40" w:rsidRPr="00CD2342" w:rsidRDefault="00165A40" w:rsidP="00165A40">
      <w:pPr>
        <w:ind w:left="850"/>
        <w:rPr>
          <w:spacing w:val="-3"/>
          <w:sz w:val="24"/>
          <w:szCs w:val="24"/>
        </w:rPr>
      </w:pPr>
    </w:p>
    <w:p w14:paraId="3E8030EF" w14:textId="1AEC80E0" w:rsidR="00165A40" w:rsidRPr="00CD2342" w:rsidRDefault="00165A40" w:rsidP="00165A40">
      <w:pPr>
        <w:ind w:left="850"/>
        <w:rPr>
          <w:spacing w:val="-3"/>
          <w:sz w:val="24"/>
          <w:szCs w:val="24"/>
        </w:rPr>
      </w:pPr>
      <w:r w:rsidRPr="00CD2342">
        <w:rPr>
          <w:spacing w:val="-3"/>
          <w:sz w:val="24"/>
          <w:szCs w:val="24"/>
        </w:rPr>
        <w:t xml:space="preserve">Ved højere koncentrationer hæmmer </w:t>
      </w:r>
      <w:proofErr w:type="spellStart"/>
      <w:r w:rsidRPr="00CD2342">
        <w:rPr>
          <w:spacing w:val="-3"/>
          <w:sz w:val="24"/>
          <w:szCs w:val="24"/>
        </w:rPr>
        <w:t>lithium</w:t>
      </w:r>
      <w:proofErr w:type="spellEnd"/>
      <w:r w:rsidRPr="00CD2342">
        <w:rPr>
          <w:spacing w:val="-3"/>
          <w:sz w:val="24"/>
          <w:szCs w:val="24"/>
        </w:rPr>
        <w:t xml:space="preserve"> også </w:t>
      </w:r>
      <w:proofErr w:type="spellStart"/>
      <w:r w:rsidRPr="00CD2342">
        <w:rPr>
          <w:spacing w:val="-3"/>
          <w:sz w:val="24"/>
          <w:szCs w:val="24"/>
        </w:rPr>
        <w:t>adenylatcyclaseaktivitet</w:t>
      </w:r>
      <w:proofErr w:type="spellEnd"/>
      <w:r w:rsidRPr="00CD2342">
        <w:rPr>
          <w:spacing w:val="-3"/>
          <w:sz w:val="24"/>
          <w:szCs w:val="24"/>
        </w:rPr>
        <w:t xml:space="preserve">. Dette kan forklare den </w:t>
      </w:r>
      <w:proofErr w:type="spellStart"/>
      <w:r w:rsidRPr="00CD2342">
        <w:rPr>
          <w:spacing w:val="-3"/>
          <w:sz w:val="24"/>
          <w:szCs w:val="24"/>
        </w:rPr>
        <w:t>thyrotoksiske</w:t>
      </w:r>
      <w:proofErr w:type="spellEnd"/>
      <w:r w:rsidRPr="00CD2342">
        <w:rPr>
          <w:spacing w:val="-3"/>
          <w:sz w:val="24"/>
          <w:szCs w:val="24"/>
        </w:rPr>
        <w:t xml:space="preserve"> effekt og antagonismen af nyrevirkningen af det antidiuretiske hormon, da både TRH- og ADH-receptorer binder til </w:t>
      </w:r>
      <w:proofErr w:type="spellStart"/>
      <w:r w:rsidRPr="00CD2342">
        <w:rPr>
          <w:spacing w:val="-3"/>
          <w:sz w:val="24"/>
          <w:szCs w:val="24"/>
        </w:rPr>
        <w:t>adenylatcyclase</w:t>
      </w:r>
      <w:proofErr w:type="spellEnd"/>
      <w:r w:rsidRPr="00CD2342">
        <w:rPr>
          <w:spacing w:val="-3"/>
          <w:sz w:val="24"/>
          <w:szCs w:val="24"/>
        </w:rPr>
        <w:t>.</w:t>
      </w:r>
    </w:p>
    <w:p w14:paraId="56E20FF3" w14:textId="77777777" w:rsidR="00165A40" w:rsidRPr="00CD2342" w:rsidRDefault="00165A40" w:rsidP="00165A40">
      <w:pPr>
        <w:ind w:left="850"/>
        <w:rPr>
          <w:spacing w:val="-3"/>
          <w:sz w:val="24"/>
          <w:szCs w:val="24"/>
        </w:rPr>
      </w:pPr>
    </w:p>
    <w:p w14:paraId="398AAFED" w14:textId="77777777" w:rsidR="00165A40" w:rsidRPr="00CD2342" w:rsidRDefault="00165A40" w:rsidP="00165A40">
      <w:pPr>
        <w:ind w:left="850" w:firstLine="1"/>
        <w:rPr>
          <w:spacing w:val="-3"/>
          <w:sz w:val="24"/>
          <w:szCs w:val="24"/>
        </w:rPr>
      </w:pPr>
      <w:r w:rsidRPr="00CD2342">
        <w:rPr>
          <w:spacing w:val="-3"/>
          <w:sz w:val="24"/>
          <w:szCs w:val="24"/>
        </w:rPr>
        <w:t xml:space="preserve">Subklinisk </w:t>
      </w:r>
      <w:proofErr w:type="spellStart"/>
      <w:r w:rsidRPr="00CD2342">
        <w:rPr>
          <w:spacing w:val="-3"/>
          <w:sz w:val="24"/>
          <w:szCs w:val="24"/>
        </w:rPr>
        <w:t>hypothyroidisme</w:t>
      </w:r>
      <w:proofErr w:type="spellEnd"/>
      <w:r w:rsidRPr="00CD2342">
        <w:rPr>
          <w:spacing w:val="-3"/>
          <w:sz w:val="24"/>
          <w:szCs w:val="24"/>
        </w:rPr>
        <w:t xml:space="preserve"> (øget niveau af </w:t>
      </w:r>
      <w:proofErr w:type="spellStart"/>
      <w:r w:rsidRPr="00CD2342">
        <w:rPr>
          <w:spacing w:val="-3"/>
          <w:sz w:val="24"/>
          <w:szCs w:val="24"/>
        </w:rPr>
        <w:t>thyreoidea</w:t>
      </w:r>
      <w:proofErr w:type="spellEnd"/>
      <w:r w:rsidRPr="00CD2342">
        <w:rPr>
          <w:spacing w:val="-3"/>
          <w:sz w:val="24"/>
          <w:szCs w:val="24"/>
        </w:rPr>
        <w:t xml:space="preserve">-stimulerende hormon) har lav klinisk relevans for </w:t>
      </w:r>
      <w:proofErr w:type="spellStart"/>
      <w:r w:rsidRPr="00CD2342">
        <w:rPr>
          <w:spacing w:val="-3"/>
          <w:sz w:val="24"/>
          <w:szCs w:val="24"/>
        </w:rPr>
        <w:t>lithiums</w:t>
      </w:r>
      <w:proofErr w:type="spellEnd"/>
      <w:r w:rsidRPr="00CD2342">
        <w:rPr>
          <w:spacing w:val="-3"/>
          <w:sz w:val="24"/>
          <w:szCs w:val="24"/>
        </w:rPr>
        <w:t xml:space="preserve"> potentielle virkninger på skjoldbruskkirtelfunktionen.</w:t>
      </w:r>
    </w:p>
    <w:p w14:paraId="188BD7FD" w14:textId="77777777" w:rsidR="00165A40" w:rsidRPr="00CD2342" w:rsidRDefault="00165A40" w:rsidP="00165A40">
      <w:pPr>
        <w:ind w:left="851" w:hanging="1"/>
        <w:rPr>
          <w:spacing w:val="-3"/>
          <w:sz w:val="24"/>
          <w:szCs w:val="24"/>
        </w:rPr>
      </w:pPr>
    </w:p>
    <w:p w14:paraId="47E9C3ED" w14:textId="77777777" w:rsidR="00165A40" w:rsidRPr="00CD2342" w:rsidRDefault="00165A40" w:rsidP="00165A40">
      <w:pPr>
        <w:ind w:left="850" w:firstLine="1"/>
        <w:rPr>
          <w:spacing w:val="-3"/>
          <w:sz w:val="24"/>
          <w:szCs w:val="24"/>
        </w:rPr>
      </w:pPr>
      <w:proofErr w:type="spellStart"/>
      <w:r w:rsidRPr="00CD2342">
        <w:rPr>
          <w:spacing w:val="-3"/>
          <w:sz w:val="24"/>
          <w:szCs w:val="24"/>
        </w:rPr>
        <w:t>Lithiumterapirelateret</w:t>
      </w:r>
      <w:proofErr w:type="spellEnd"/>
      <w:r w:rsidRPr="00CD2342">
        <w:rPr>
          <w:spacing w:val="-3"/>
          <w:sz w:val="24"/>
          <w:szCs w:val="24"/>
        </w:rPr>
        <w:t xml:space="preserve"> leukocytose såvel som stigning i </w:t>
      </w:r>
      <w:proofErr w:type="spellStart"/>
      <w:r w:rsidRPr="00CD2342">
        <w:rPr>
          <w:spacing w:val="-3"/>
          <w:sz w:val="24"/>
          <w:szCs w:val="24"/>
        </w:rPr>
        <w:t>antinukleære</w:t>
      </w:r>
      <w:proofErr w:type="spellEnd"/>
      <w:r w:rsidRPr="00CD2342">
        <w:rPr>
          <w:spacing w:val="-3"/>
          <w:sz w:val="24"/>
          <w:szCs w:val="24"/>
        </w:rPr>
        <w:t xml:space="preserve"> antistoffer er blevet beskrevet som </w:t>
      </w:r>
      <w:proofErr w:type="spellStart"/>
      <w:r w:rsidRPr="00CD2342">
        <w:rPr>
          <w:spacing w:val="-3"/>
          <w:sz w:val="24"/>
          <w:szCs w:val="24"/>
        </w:rPr>
        <w:t>serumlithiumkoncentrationsrelaterede</w:t>
      </w:r>
      <w:proofErr w:type="spellEnd"/>
      <w:r w:rsidRPr="00CD2342">
        <w:rPr>
          <w:spacing w:val="-3"/>
          <w:sz w:val="24"/>
          <w:szCs w:val="24"/>
        </w:rPr>
        <w:t xml:space="preserve"> bivirkninger. </w:t>
      </w:r>
      <w:proofErr w:type="spellStart"/>
      <w:r w:rsidRPr="00CD2342">
        <w:rPr>
          <w:spacing w:val="-3"/>
          <w:sz w:val="24"/>
          <w:szCs w:val="24"/>
        </w:rPr>
        <w:t>Lithiums</w:t>
      </w:r>
      <w:proofErr w:type="spellEnd"/>
      <w:r w:rsidRPr="00CD2342">
        <w:rPr>
          <w:spacing w:val="-3"/>
          <w:sz w:val="24"/>
          <w:szCs w:val="24"/>
        </w:rPr>
        <w:t xml:space="preserve"> potentielle effekt på immunsystemet kan berettige periodisk kontrol, især hos patienter med immunforstyrrelser i deres sygehistorie.</w:t>
      </w:r>
    </w:p>
    <w:p w14:paraId="6C9D4C8B" w14:textId="77777777" w:rsidR="009260DE" w:rsidRPr="00CD2342" w:rsidRDefault="009260DE" w:rsidP="009260DE">
      <w:pPr>
        <w:tabs>
          <w:tab w:val="left" w:pos="851"/>
        </w:tabs>
        <w:ind w:left="851"/>
        <w:rPr>
          <w:sz w:val="24"/>
          <w:szCs w:val="24"/>
        </w:rPr>
      </w:pPr>
    </w:p>
    <w:p w14:paraId="698E526D" w14:textId="77777777" w:rsidR="009260DE" w:rsidRPr="00CD2342" w:rsidRDefault="009260DE" w:rsidP="009260DE">
      <w:pPr>
        <w:tabs>
          <w:tab w:val="left" w:pos="851"/>
        </w:tabs>
        <w:ind w:left="851" w:hanging="851"/>
        <w:rPr>
          <w:b/>
          <w:sz w:val="24"/>
          <w:szCs w:val="24"/>
        </w:rPr>
      </w:pPr>
      <w:r w:rsidRPr="00CD2342">
        <w:rPr>
          <w:b/>
          <w:sz w:val="24"/>
          <w:szCs w:val="24"/>
        </w:rPr>
        <w:t>5.2</w:t>
      </w:r>
      <w:r w:rsidRPr="00CD2342">
        <w:rPr>
          <w:b/>
          <w:sz w:val="24"/>
          <w:szCs w:val="24"/>
        </w:rPr>
        <w:tab/>
      </w:r>
      <w:proofErr w:type="spellStart"/>
      <w:r w:rsidRPr="00CD2342">
        <w:rPr>
          <w:b/>
          <w:sz w:val="24"/>
          <w:szCs w:val="24"/>
        </w:rPr>
        <w:t>Farmakokinetiske</w:t>
      </w:r>
      <w:proofErr w:type="spellEnd"/>
      <w:r w:rsidRPr="00CD2342">
        <w:rPr>
          <w:b/>
          <w:sz w:val="24"/>
          <w:szCs w:val="24"/>
        </w:rPr>
        <w:t xml:space="preserve"> egenskaber</w:t>
      </w:r>
    </w:p>
    <w:p w14:paraId="0B2EBF27" w14:textId="77777777" w:rsidR="005909F8" w:rsidRDefault="005909F8" w:rsidP="005909F8">
      <w:pPr>
        <w:ind w:left="851"/>
        <w:rPr>
          <w:sz w:val="24"/>
          <w:szCs w:val="24"/>
        </w:rPr>
      </w:pPr>
    </w:p>
    <w:p w14:paraId="75430249" w14:textId="7B8DD4EF" w:rsidR="00165A40" w:rsidRPr="005909F8" w:rsidRDefault="00165A40" w:rsidP="005909F8">
      <w:pPr>
        <w:ind w:left="851"/>
        <w:rPr>
          <w:sz w:val="24"/>
          <w:szCs w:val="24"/>
          <w:u w:val="single"/>
          <w:lang w:eastAsia="da-DK"/>
        </w:rPr>
      </w:pPr>
      <w:r w:rsidRPr="005909F8">
        <w:rPr>
          <w:sz w:val="24"/>
          <w:szCs w:val="24"/>
          <w:u w:val="single"/>
        </w:rPr>
        <w:t xml:space="preserve">Absorption </w:t>
      </w:r>
    </w:p>
    <w:p w14:paraId="26BB94C5" w14:textId="77777777" w:rsidR="00165A40" w:rsidRPr="005909F8" w:rsidRDefault="00165A40" w:rsidP="005909F8">
      <w:pPr>
        <w:ind w:left="851"/>
        <w:rPr>
          <w:spacing w:val="-3"/>
          <w:sz w:val="24"/>
          <w:szCs w:val="24"/>
        </w:rPr>
      </w:pPr>
      <w:proofErr w:type="spellStart"/>
      <w:r w:rsidRPr="005909F8">
        <w:rPr>
          <w:spacing w:val="-3"/>
          <w:sz w:val="24"/>
          <w:szCs w:val="24"/>
        </w:rPr>
        <w:t>Lithium</w:t>
      </w:r>
      <w:proofErr w:type="spellEnd"/>
      <w:r w:rsidRPr="005909F8">
        <w:rPr>
          <w:spacing w:val="-3"/>
          <w:sz w:val="24"/>
          <w:szCs w:val="24"/>
        </w:rPr>
        <w:t xml:space="preserve"> absorberes let fra mave-tarm-kanalen med en biotilgængelighed på 80-100 %. Maksimal plasmakoncentration opnås indenfor 1-2 timer</w:t>
      </w:r>
      <w:r w:rsidRPr="005909F8">
        <w:rPr>
          <w:sz w:val="24"/>
          <w:szCs w:val="24"/>
        </w:rPr>
        <w:t xml:space="preserve"> </w:t>
      </w:r>
      <w:r w:rsidRPr="005909F8">
        <w:rPr>
          <w:spacing w:val="-3"/>
          <w:sz w:val="24"/>
          <w:szCs w:val="24"/>
        </w:rPr>
        <w:t>for standard frigivelsesdosisformer efter oral administration. Der er direkte proportionalitet mellem den administrerede dosis og serumkoncentrationen.</w:t>
      </w:r>
    </w:p>
    <w:p w14:paraId="054712ED" w14:textId="77777777" w:rsidR="00165A40" w:rsidRPr="005909F8" w:rsidRDefault="00165A40" w:rsidP="005909F8">
      <w:pPr>
        <w:ind w:left="851"/>
        <w:rPr>
          <w:spacing w:val="-3"/>
          <w:sz w:val="24"/>
          <w:szCs w:val="24"/>
        </w:rPr>
      </w:pPr>
    </w:p>
    <w:p w14:paraId="12ADBAE8" w14:textId="77777777" w:rsidR="00165A40" w:rsidRPr="005909F8" w:rsidRDefault="00165A40" w:rsidP="005909F8">
      <w:pPr>
        <w:ind w:left="851"/>
        <w:rPr>
          <w:sz w:val="24"/>
          <w:szCs w:val="24"/>
          <w:u w:val="single"/>
        </w:rPr>
      </w:pPr>
      <w:r w:rsidRPr="005909F8">
        <w:rPr>
          <w:sz w:val="24"/>
          <w:szCs w:val="24"/>
          <w:u w:val="single"/>
        </w:rPr>
        <w:t>Fordeling</w:t>
      </w:r>
    </w:p>
    <w:p w14:paraId="2DE82196" w14:textId="77777777" w:rsidR="00165A40" w:rsidRPr="005909F8" w:rsidRDefault="00165A40" w:rsidP="005909F8">
      <w:pPr>
        <w:ind w:left="851"/>
        <w:rPr>
          <w:spacing w:val="-3"/>
          <w:sz w:val="24"/>
          <w:szCs w:val="24"/>
        </w:rPr>
      </w:pPr>
      <w:proofErr w:type="spellStart"/>
      <w:r w:rsidRPr="005909F8">
        <w:rPr>
          <w:spacing w:val="-3"/>
          <w:sz w:val="24"/>
          <w:szCs w:val="24"/>
        </w:rPr>
        <w:t>Lithium</w:t>
      </w:r>
      <w:proofErr w:type="spellEnd"/>
      <w:r w:rsidRPr="005909F8">
        <w:rPr>
          <w:spacing w:val="-3"/>
          <w:sz w:val="24"/>
          <w:szCs w:val="24"/>
        </w:rPr>
        <w:t xml:space="preserve"> fordeles i kropsvæsken (</w:t>
      </w:r>
      <w:proofErr w:type="spellStart"/>
      <w:r w:rsidRPr="005909F8">
        <w:rPr>
          <w:spacing w:val="-3"/>
          <w:sz w:val="24"/>
          <w:szCs w:val="24"/>
        </w:rPr>
        <w:t>Vd</w:t>
      </w:r>
      <w:proofErr w:type="spellEnd"/>
      <w:r w:rsidRPr="005909F8">
        <w:rPr>
          <w:spacing w:val="-3"/>
          <w:sz w:val="24"/>
          <w:szCs w:val="24"/>
        </w:rPr>
        <w:t xml:space="preserve"> 0,7-1,0 l/kg). Det krydser blod-hjerne-barrieren langsomt. Ved </w:t>
      </w:r>
      <w:proofErr w:type="spellStart"/>
      <w:r w:rsidRPr="005909F8">
        <w:rPr>
          <w:i/>
          <w:iCs/>
          <w:spacing w:val="-3"/>
          <w:sz w:val="24"/>
          <w:szCs w:val="24"/>
        </w:rPr>
        <w:t>steady</w:t>
      </w:r>
      <w:proofErr w:type="spellEnd"/>
      <w:r w:rsidRPr="005909F8">
        <w:rPr>
          <w:i/>
          <w:iCs/>
          <w:spacing w:val="-3"/>
          <w:sz w:val="24"/>
          <w:szCs w:val="24"/>
        </w:rPr>
        <w:t xml:space="preserve"> </w:t>
      </w:r>
      <w:proofErr w:type="spellStart"/>
      <w:r w:rsidRPr="005909F8">
        <w:rPr>
          <w:i/>
          <w:iCs/>
          <w:spacing w:val="-3"/>
          <w:sz w:val="24"/>
          <w:szCs w:val="24"/>
        </w:rPr>
        <w:t>state</w:t>
      </w:r>
      <w:proofErr w:type="spellEnd"/>
      <w:r w:rsidRPr="005909F8">
        <w:rPr>
          <w:spacing w:val="-3"/>
          <w:sz w:val="24"/>
          <w:szCs w:val="24"/>
        </w:rPr>
        <w:t xml:space="preserve"> er </w:t>
      </w:r>
      <w:proofErr w:type="spellStart"/>
      <w:r w:rsidRPr="005909F8">
        <w:rPr>
          <w:spacing w:val="-3"/>
          <w:sz w:val="24"/>
          <w:szCs w:val="24"/>
        </w:rPr>
        <w:t>lithiumkoncentrationen</w:t>
      </w:r>
      <w:proofErr w:type="spellEnd"/>
      <w:r w:rsidRPr="005909F8">
        <w:rPr>
          <w:spacing w:val="-3"/>
          <w:sz w:val="24"/>
          <w:szCs w:val="24"/>
        </w:rPr>
        <w:t xml:space="preserve"> i cerebrospinalvæsken 40-50 % af plasmaniveauerne.</w:t>
      </w:r>
    </w:p>
    <w:p w14:paraId="3D5D4006" w14:textId="77777777" w:rsidR="00165A40" w:rsidRPr="005909F8" w:rsidRDefault="00165A40" w:rsidP="005909F8">
      <w:pPr>
        <w:ind w:left="851"/>
        <w:rPr>
          <w:spacing w:val="-3"/>
          <w:sz w:val="24"/>
          <w:szCs w:val="24"/>
        </w:rPr>
      </w:pPr>
    </w:p>
    <w:p w14:paraId="3D6DF96D" w14:textId="77777777" w:rsidR="00165A40" w:rsidRPr="005909F8" w:rsidRDefault="00165A40" w:rsidP="005909F8">
      <w:pPr>
        <w:ind w:left="851"/>
        <w:rPr>
          <w:sz w:val="24"/>
          <w:szCs w:val="24"/>
          <w:u w:val="single"/>
        </w:rPr>
      </w:pPr>
      <w:r w:rsidRPr="005909F8">
        <w:rPr>
          <w:sz w:val="24"/>
          <w:szCs w:val="24"/>
          <w:u w:val="single"/>
        </w:rPr>
        <w:t>Biotransformation og elimination</w:t>
      </w:r>
    </w:p>
    <w:p w14:paraId="3F069CDF" w14:textId="77777777" w:rsidR="00165A40" w:rsidRPr="005909F8" w:rsidRDefault="00165A40" w:rsidP="005909F8">
      <w:pPr>
        <w:ind w:left="851"/>
        <w:rPr>
          <w:spacing w:val="-3"/>
          <w:sz w:val="24"/>
          <w:szCs w:val="24"/>
        </w:rPr>
      </w:pPr>
      <w:r w:rsidRPr="005909F8">
        <w:rPr>
          <w:spacing w:val="-3"/>
          <w:sz w:val="24"/>
          <w:szCs w:val="24"/>
        </w:rPr>
        <w:t xml:space="preserve">Plasmakoncentrationer afhænger af nyrefunktionen, mulige diætrestriktioner (f.eks. en diæt med lavt natriumindhold), patientens somatiske tilstand og andre lægemiddelbehandlinger (f.eks. </w:t>
      </w:r>
      <w:proofErr w:type="spellStart"/>
      <w:r w:rsidRPr="005909F8">
        <w:rPr>
          <w:spacing w:val="-3"/>
          <w:sz w:val="24"/>
          <w:szCs w:val="24"/>
        </w:rPr>
        <w:t>diuretika</w:t>
      </w:r>
      <w:proofErr w:type="spellEnd"/>
      <w:r w:rsidRPr="005909F8">
        <w:rPr>
          <w:spacing w:val="-3"/>
          <w:sz w:val="24"/>
          <w:szCs w:val="24"/>
        </w:rPr>
        <w:t xml:space="preserve">). </w:t>
      </w:r>
      <w:proofErr w:type="spellStart"/>
      <w:r w:rsidRPr="005909F8">
        <w:rPr>
          <w:spacing w:val="-3"/>
          <w:sz w:val="24"/>
          <w:szCs w:val="24"/>
        </w:rPr>
        <w:t>Lithium</w:t>
      </w:r>
      <w:proofErr w:type="spellEnd"/>
      <w:r w:rsidRPr="005909F8">
        <w:rPr>
          <w:spacing w:val="-3"/>
          <w:sz w:val="24"/>
          <w:szCs w:val="24"/>
        </w:rPr>
        <w:t xml:space="preserve"> udskilles hovedsageligt </w:t>
      </w:r>
      <w:proofErr w:type="spellStart"/>
      <w:r w:rsidRPr="005909F8">
        <w:rPr>
          <w:spacing w:val="-3"/>
          <w:sz w:val="24"/>
          <w:szCs w:val="24"/>
        </w:rPr>
        <w:t>uomdannet</w:t>
      </w:r>
      <w:proofErr w:type="spellEnd"/>
      <w:r w:rsidRPr="005909F8">
        <w:rPr>
          <w:spacing w:val="-3"/>
          <w:sz w:val="24"/>
          <w:szCs w:val="24"/>
        </w:rPr>
        <w:t xml:space="preserve"> gennem nyrerne som en fri ion i urinen med en plasmahalveringstid på 16-30 timer.</w:t>
      </w:r>
    </w:p>
    <w:p w14:paraId="6D4FF475" w14:textId="77777777" w:rsidR="009260DE" w:rsidRPr="00CD2342" w:rsidRDefault="009260DE" w:rsidP="009260DE">
      <w:pPr>
        <w:tabs>
          <w:tab w:val="left" w:pos="851"/>
        </w:tabs>
        <w:ind w:left="851"/>
        <w:rPr>
          <w:sz w:val="24"/>
          <w:szCs w:val="24"/>
        </w:rPr>
      </w:pPr>
    </w:p>
    <w:p w14:paraId="2F621F12" w14:textId="77777777" w:rsidR="009260DE" w:rsidRPr="00CD2342" w:rsidRDefault="009260DE" w:rsidP="009260DE">
      <w:pPr>
        <w:tabs>
          <w:tab w:val="left" w:pos="851"/>
        </w:tabs>
        <w:ind w:left="851" w:hanging="851"/>
        <w:rPr>
          <w:b/>
          <w:sz w:val="24"/>
          <w:szCs w:val="24"/>
        </w:rPr>
      </w:pPr>
      <w:r w:rsidRPr="00CD2342">
        <w:rPr>
          <w:b/>
          <w:sz w:val="24"/>
          <w:szCs w:val="24"/>
        </w:rPr>
        <w:t>5.3</w:t>
      </w:r>
      <w:r w:rsidRPr="00CD2342">
        <w:rPr>
          <w:b/>
          <w:sz w:val="24"/>
          <w:szCs w:val="24"/>
        </w:rPr>
        <w:tab/>
      </w:r>
      <w:r w:rsidR="00BD7931" w:rsidRPr="00CD2342">
        <w:rPr>
          <w:b/>
          <w:sz w:val="24"/>
          <w:szCs w:val="24"/>
        </w:rPr>
        <w:t>Non-</w:t>
      </w:r>
      <w:r w:rsidRPr="00CD2342">
        <w:rPr>
          <w:b/>
          <w:sz w:val="24"/>
          <w:szCs w:val="24"/>
        </w:rPr>
        <w:t>kliniske sikkerhedsdata</w:t>
      </w:r>
    </w:p>
    <w:p w14:paraId="1517735A" w14:textId="77777777" w:rsidR="00165A40" w:rsidRPr="00CD2342" w:rsidRDefault="00165A40" w:rsidP="00165A40">
      <w:pPr>
        <w:ind w:left="851" w:hanging="1"/>
        <w:rPr>
          <w:bCs/>
          <w:spacing w:val="-3"/>
          <w:sz w:val="24"/>
          <w:szCs w:val="24"/>
          <w:lang w:eastAsia="da-DK"/>
        </w:rPr>
      </w:pPr>
      <w:r w:rsidRPr="00CD2342">
        <w:rPr>
          <w:bCs/>
          <w:spacing w:val="-3"/>
          <w:sz w:val="24"/>
          <w:szCs w:val="24"/>
        </w:rPr>
        <w:t xml:space="preserve">I reproduktionstoksikologiske undersøgelser hos rotter forårsagede </w:t>
      </w:r>
      <w:proofErr w:type="spellStart"/>
      <w:r w:rsidRPr="00CD2342">
        <w:rPr>
          <w:bCs/>
          <w:spacing w:val="-3"/>
          <w:sz w:val="24"/>
          <w:szCs w:val="24"/>
        </w:rPr>
        <w:t>lithium</w:t>
      </w:r>
      <w:proofErr w:type="spellEnd"/>
      <w:r w:rsidRPr="00CD2342">
        <w:rPr>
          <w:bCs/>
          <w:spacing w:val="-3"/>
          <w:sz w:val="24"/>
          <w:szCs w:val="24"/>
        </w:rPr>
        <w:t xml:space="preserve"> i klinisk relevante doser en reduktion i fostervægten, antallet af levende fostre, forsinket udvikling af skelettet og nyretoksicitet hos nyfødte ved </w:t>
      </w:r>
      <w:proofErr w:type="spellStart"/>
      <w:r w:rsidRPr="00CD2342">
        <w:rPr>
          <w:bCs/>
          <w:spacing w:val="-3"/>
          <w:sz w:val="24"/>
          <w:szCs w:val="24"/>
        </w:rPr>
        <w:t>maternelle</w:t>
      </w:r>
      <w:proofErr w:type="spellEnd"/>
      <w:r w:rsidRPr="00CD2342">
        <w:rPr>
          <w:bCs/>
          <w:spacing w:val="-3"/>
          <w:sz w:val="24"/>
          <w:szCs w:val="24"/>
        </w:rPr>
        <w:t xml:space="preserve"> toksiske doser. Hos hanrotter forårsagede </w:t>
      </w:r>
      <w:proofErr w:type="spellStart"/>
      <w:r w:rsidRPr="00CD2342">
        <w:rPr>
          <w:bCs/>
          <w:spacing w:val="-3"/>
          <w:sz w:val="24"/>
          <w:szCs w:val="24"/>
        </w:rPr>
        <w:t>lithium</w:t>
      </w:r>
      <w:proofErr w:type="spellEnd"/>
      <w:r w:rsidRPr="00CD2342">
        <w:rPr>
          <w:bCs/>
          <w:spacing w:val="-3"/>
          <w:sz w:val="24"/>
          <w:szCs w:val="24"/>
        </w:rPr>
        <w:t xml:space="preserve"> morfologiske og histologiske ændringer i sædrørets epitel og spermatider ved doser, der er sammenlignelige med human dosering og reduceret testikelvægt og sædproduktion ved doser mere end 20 gange højere end den humane administrerede dosis. I forsøg med rotter har </w:t>
      </w:r>
      <w:proofErr w:type="spellStart"/>
      <w:r w:rsidRPr="00CD2342">
        <w:rPr>
          <w:bCs/>
          <w:spacing w:val="-3"/>
          <w:sz w:val="24"/>
          <w:szCs w:val="24"/>
        </w:rPr>
        <w:t>lithium</w:t>
      </w:r>
      <w:proofErr w:type="spellEnd"/>
      <w:r w:rsidRPr="00CD2342">
        <w:rPr>
          <w:bCs/>
          <w:spacing w:val="-3"/>
          <w:sz w:val="24"/>
          <w:szCs w:val="24"/>
        </w:rPr>
        <w:t xml:space="preserve"> forårsaget </w:t>
      </w:r>
      <w:proofErr w:type="spellStart"/>
      <w:r w:rsidRPr="00CD2342">
        <w:rPr>
          <w:bCs/>
          <w:spacing w:val="-3"/>
          <w:sz w:val="24"/>
          <w:szCs w:val="24"/>
        </w:rPr>
        <w:t>histopatologiske</w:t>
      </w:r>
      <w:proofErr w:type="spellEnd"/>
      <w:r w:rsidRPr="00CD2342">
        <w:rPr>
          <w:bCs/>
          <w:spacing w:val="-3"/>
          <w:sz w:val="24"/>
          <w:szCs w:val="24"/>
        </w:rPr>
        <w:t xml:space="preserve"> ændringer i nefroner og forstørrelse af skjoldbruskkirtlen. Høje koncentrationer af </w:t>
      </w:r>
      <w:proofErr w:type="spellStart"/>
      <w:r w:rsidRPr="00CD2342">
        <w:rPr>
          <w:bCs/>
          <w:spacing w:val="-3"/>
          <w:sz w:val="24"/>
          <w:szCs w:val="24"/>
        </w:rPr>
        <w:t>lithium</w:t>
      </w:r>
      <w:proofErr w:type="spellEnd"/>
      <w:r w:rsidRPr="00CD2342">
        <w:rPr>
          <w:bCs/>
          <w:spacing w:val="-3"/>
          <w:sz w:val="24"/>
          <w:szCs w:val="24"/>
        </w:rPr>
        <w:t xml:space="preserve"> er potentielt </w:t>
      </w:r>
      <w:proofErr w:type="spellStart"/>
      <w:r w:rsidRPr="00CD2342">
        <w:rPr>
          <w:bCs/>
          <w:spacing w:val="-3"/>
          <w:sz w:val="24"/>
          <w:szCs w:val="24"/>
        </w:rPr>
        <w:t>teratogene</w:t>
      </w:r>
      <w:proofErr w:type="spellEnd"/>
      <w:r w:rsidRPr="00CD2342">
        <w:rPr>
          <w:bCs/>
          <w:spacing w:val="-3"/>
          <w:sz w:val="24"/>
          <w:szCs w:val="24"/>
        </w:rPr>
        <w:t xml:space="preserve"> hos rotter og mus.</w:t>
      </w:r>
    </w:p>
    <w:p w14:paraId="3FB0EF27" w14:textId="77777777" w:rsidR="00165A40" w:rsidRPr="00CD2342" w:rsidRDefault="00165A40" w:rsidP="00165A40">
      <w:pPr>
        <w:ind w:left="851" w:hanging="1"/>
        <w:rPr>
          <w:bCs/>
          <w:spacing w:val="-3"/>
          <w:sz w:val="24"/>
          <w:szCs w:val="24"/>
        </w:rPr>
      </w:pPr>
    </w:p>
    <w:p w14:paraId="01D39280" w14:textId="77777777" w:rsidR="00165A40" w:rsidRPr="00CD2342" w:rsidRDefault="00165A40" w:rsidP="00165A40">
      <w:pPr>
        <w:ind w:left="851" w:hanging="1"/>
        <w:rPr>
          <w:bCs/>
          <w:spacing w:val="-3"/>
          <w:sz w:val="24"/>
          <w:szCs w:val="24"/>
        </w:rPr>
      </w:pPr>
      <w:r w:rsidRPr="00CD2342">
        <w:rPr>
          <w:bCs/>
          <w:spacing w:val="-3"/>
          <w:sz w:val="24"/>
          <w:szCs w:val="24"/>
        </w:rPr>
        <w:t xml:space="preserve">Yderligere indsendte non-kliniske data afslørede ikke klinisk relevante bivirkninger af </w:t>
      </w:r>
      <w:proofErr w:type="spellStart"/>
      <w:r w:rsidRPr="00CD2342">
        <w:rPr>
          <w:bCs/>
          <w:spacing w:val="-3"/>
          <w:sz w:val="24"/>
          <w:szCs w:val="24"/>
        </w:rPr>
        <w:t>lithiumbehandling</w:t>
      </w:r>
      <w:proofErr w:type="spellEnd"/>
      <w:r w:rsidRPr="00CD2342">
        <w:rPr>
          <w:bCs/>
          <w:spacing w:val="-3"/>
          <w:sz w:val="24"/>
          <w:szCs w:val="24"/>
        </w:rPr>
        <w:t>, som ikke allerede er nævnt her eller beskrevet i andre afsnit af produktresuméet.</w:t>
      </w:r>
    </w:p>
    <w:p w14:paraId="02E9DFC3" w14:textId="77777777" w:rsidR="009260DE" w:rsidRPr="00CD2342" w:rsidRDefault="009260DE" w:rsidP="009260DE">
      <w:pPr>
        <w:tabs>
          <w:tab w:val="left" w:pos="851"/>
        </w:tabs>
        <w:ind w:left="851"/>
        <w:rPr>
          <w:sz w:val="24"/>
          <w:szCs w:val="24"/>
        </w:rPr>
      </w:pPr>
    </w:p>
    <w:p w14:paraId="6139E81F" w14:textId="77777777" w:rsidR="009260DE" w:rsidRPr="00CD2342" w:rsidRDefault="009260DE" w:rsidP="009260DE">
      <w:pPr>
        <w:tabs>
          <w:tab w:val="left" w:pos="851"/>
        </w:tabs>
        <w:ind w:left="851"/>
        <w:rPr>
          <w:sz w:val="24"/>
          <w:szCs w:val="24"/>
        </w:rPr>
      </w:pPr>
    </w:p>
    <w:p w14:paraId="058AD485" w14:textId="77777777" w:rsidR="009260DE" w:rsidRPr="00CD2342" w:rsidRDefault="009260DE" w:rsidP="009260DE">
      <w:pPr>
        <w:tabs>
          <w:tab w:val="left" w:pos="851"/>
        </w:tabs>
        <w:ind w:left="851" w:hanging="851"/>
        <w:rPr>
          <w:b/>
          <w:sz w:val="24"/>
          <w:szCs w:val="24"/>
        </w:rPr>
      </w:pPr>
      <w:r w:rsidRPr="00CD2342">
        <w:rPr>
          <w:b/>
          <w:sz w:val="24"/>
          <w:szCs w:val="24"/>
        </w:rPr>
        <w:t>6.</w:t>
      </w:r>
      <w:r w:rsidRPr="00CD2342">
        <w:rPr>
          <w:b/>
          <w:sz w:val="24"/>
          <w:szCs w:val="24"/>
        </w:rPr>
        <w:tab/>
        <w:t>FARMACEUTISKE OPLYSNINGER</w:t>
      </w:r>
    </w:p>
    <w:p w14:paraId="3A07A1F9" w14:textId="77777777" w:rsidR="009260DE" w:rsidRPr="00CD2342" w:rsidRDefault="009260DE" w:rsidP="009260DE">
      <w:pPr>
        <w:tabs>
          <w:tab w:val="left" w:pos="851"/>
        </w:tabs>
        <w:ind w:left="851"/>
        <w:rPr>
          <w:sz w:val="24"/>
          <w:szCs w:val="24"/>
        </w:rPr>
      </w:pPr>
    </w:p>
    <w:p w14:paraId="51DD9503" w14:textId="77777777" w:rsidR="009260DE" w:rsidRPr="00CD2342" w:rsidRDefault="009260DE" w:rsidP="009260DE">
      <w:pPr>
        <w:tabs>
          <w:tab w:val="left" w:pos="851"/>
        </w:tabs>
        <w:ind w:left="851" w:hanging="851"/>
        <w:rPr>
          <w:b/>
          <w:sz w:val="24"/>
          <w:szCs w:val="24"/>
        </w:rPr>
      </w:pPr>
      <w:r w:rsidRPr="00CD2342">
        <w:rPr>
          <w:b/>
          <w:sz w:val="24"/>
          <w:szCs w:val="24"/>
        </w:rPr>
        <w:t>6.1</w:t>
      </w:r>
      <w:r w:rsidRPr="00CD2342">
        <w:rPr>
          <w:b/>
          <w:sz w:val="24"/>
          <w:szCs w:val="24"/>
        </w:rPr>
        <w:tab/>
        <w:t>Hjælpestoffer</w:t>
      </w:r>
    </w:p>
    <w:p w14:paraId="6A2ADAB9" w14:textId="77777777" w:rsidR="00165A40" w:rsidRPr="00CD2342" w:rsidRDefault="00165A40" w:rsidP="00165A40">
      <w:pPr>
        <w:ind w:left="851" w:hanging="1"/>
        <w:rPr>
          <w:bCs/>
          <w:spacing w:val="-3"/>
          <w:sz w:val="24"/>
          <w:szCs w:val="24"/>
          <w:lang w:eastAsia="da-DK"/>
        </w:rPr>
      </w:pPr>
      <w:proofErr w:type="spellStart"/>
      <w:r w:rsidRPr="00CD2342">
        <w:rPr>
          <w:bCs/>
          <w:spacing w:val="-3"/>
          <w:sz w:val="24"/>
          <w:szCs w:val="24"/>
        </w:rPr>
        <w:t>Silica</w:t>
      </w:r>
      <w:proofErr w:type="spellEnd"/>
      <w:r w:rsidRPr="00CD2342">
        <w:rPr>
          <w:bCs/>
          <w:spacing w:val="-3"/>
          <w:sz w:val="24"/>
          <w:szCs w:val="24"/>
        </w:rPr>
        <w:t xml:space="preserve">, kolloid vandfri </w:t>
      </w:r>
    </w:p>
    <w:p w14:paraId="0915C832" w14:textId="77777777" w:rsidR="00165A40" w:rsidRPr="00CD2342" w:rsidRDefault="00165A40" w:rsidP="00165A40">
      <w:pPr>
        <w:ind w:left="851" w:hanging="1"/>
        <w:rPr>
          <w:spacing w:val="-3"/>
          <w:sz w:val="24"/>
          <w:szCs w:val="24"/>
          <w:lang w:val="en-US"/>
        </w:rPr>
      </w:pPr>
      <w:proofErr w:type="spellStart"/>
      <w:r w:rsidRPr="00CD2342">
        <w:rPr>
          <w:spacing w:val="-3"/>
          <w:sz w:val="24"/>
          <w:szCs w:val="24"/>
          <w:lang w:val="en-US"/>
        </w:rPr>
        <w:t>Magnesiumstearat</w:t>
      </w:r>
      <w:proofErr w:type="spellEnd"/>
      <w:r w:rsidRPr="00CD2342">
        <w:rPr>
          <w:spacing w:val="-3"/>
          <w:sz w:val="24"/>
          <w:szCs w:val="24"/>
          <w:lang w:val="en-US"/>
        </w:rPr>
        <w:t xml:space="preserve"> </w:t>
      </w:r>
    </w:p>
    <w:p w14:paraId="23ADE99A" w14:textId="77777777" w:rsidR="00165A40" w:rsidRPr="00CD2342" w:rsidRDefault="00165A40" w:rsidP="00165A40">
      <w:pPr>
        <w:ind w:left="851" w:hanging="1"/>
        <w:rPr>
          <w:spacing w:val="-3"/>
          <w:sz w:val="24"/>
          <w:szCs w:val="24"/>
          <w:lang w:val="en-US"/>
        </w:rPr>
      </w:pPr>
      <w:r w:rsidRPr="00CD2342">
        <w:rPr>
          <w:spacing w:val="-3"/>
          <w:sz w:val="24"/>
          <w:szCs w:val="24"/>
          <w:lang w:val="en-US"/>
        </w:rPr>
        <w:t>Talcum (E553b)</w:t>
      </w:r>
    </w:p>
    <w:p w14:paraId="61E77EB4" w14:textId="77777777" w:rsidR="00165A40" w:rsidRPr="00CD2342" w:rsidRDefault="00165A40" w:rsidP="00165A40">
      <w:pPr>
        <w:ind w:left="851" w:hanging="1"/>
        <w:rPr>
          <w:spacing w:val="-3"/>
          <w:sz w:val="24"/>
          <w:szCs w:val="24"/>
          <w:lang w:val="en-US"/>
        </w:rPr>
      </w:pPr>
      <w:proofErr w:type="spellStart"/>
      <w:r w:rsidRPr="00CD2342">
        <w:rPr>
          <w:spacing w:val="-3"/>
          <w:sz w:val="24"/>
          <w:szCs w:val="24"/>
          <w:lang w:val="en-US"/>
        </w:rPr>
        <w:t>Carboxymethylstivelsesnatrium</w:t>
      </w:r>
      <w:proofErr w:type="spellEnd"/>
      <w:r w:rsidRPr="00CD2342">
        <w:rPr>
          <w:spacing w:val="-3"/>
          <w:sz w:val="24"/>
          <w:szCs w:val="24"/>
          <w:lang w:val="en-US"/>
        </w:rPr>
        <w:t> (type A)</w:t>
      </w:r>
    </w:p>
    <w:p w14:paraId="08F49D5B" w14:textId="77777777" w:rsidR="00165A40" w:rsidRPr="00CD2342" w:rsidRDefault="00165A40" w:rsidP="00165A40">
      <w:pPr>
        <w:ind w:left="851" w:hanging="1"/>
        <w:rPr>
          <w:spacing w:val="-3"/>
          <w:sz w:val="24"/>
          <w:szCs w:val="24"/>
        </w:rPr>
      </w:pPr>
      <w:proofErr w:type="spellStart"/>
      <w:r w:rsidRPr="00CD2342">
        <w:rPr>
          <w:spacing w:val="-3"/>
          <w:sz w:val="24"/>
          <w:szCs w:val="24"/>
        </w:rPr>
        <w:t>Povidon</w:t>
      </w:r>
      <w:proofErr w:type="spellEnd"/>
      <w:r w:rsidRPr="00CD2342">
        <w:rPr>
          <w:spacing w:val="-3"/>
          <w:sz w:val="24"/>
          <w:szCs w:val="24"/>
        </w:rPr>
        <w:t xml:space="preserve"> </w:t>
      </w:r>
    </w:p>
    <w:p w14:paraId="2B4556FE" w14:textId="77777777" w:rsidR="00165A40" w:rsidRPr="00CD2342" w:rsidRDefault="00165A40" w:rsidP="00165A40">
      <w:pPr>
        <w:ind w:left="851" w:hanging="1"/>
        <w:rPr>
          <w:spacing w:val="-3"/>
          <w:sz w:val="24"/>
          <w:szCs w:val="24"/>
        </w:rPr>
      </w:pPr>
      <w:proofErr w:type="spellStart"/>
      <w:r w:rsidRPr="00CD2342">
        <w:rPr>
          <w:spacing w:val="-3"/>
          <w:sz w:val="24"/>
          <w:szCs w:val="24"/>
        </w:rPr>
        <w:t>Lactosemonohydrat</w:t>
      </w:r>
      <w:proofErr w:type="spellEnd"/>
    </w:p>
    <w:p w14:paraId="1E272B30" w14:textId="77777777" w:rsidR="00165A40" w:rsidRPr="00CD2342" w:rsidRDefault="00165A40" w:rsidP="00165A40">
      <w:pPr>
        <w:ind w:left="851" w:hanging="1"/>
        <w:rPr>
          <w:spacing w:val="-3"/>
          <w:sz w:val="24"/>
          <w:szCs w:val="24"/>
        </w:rPr>
      </w:pPr>
      <w:r w:rsidRPr="00CD2342">
        <w:rPr>
          <w:spacing w:val="-3"/>
          <w:sz w:val="24"/>
          <w:szCs w:val="24"/>
        </w:rPr>
        <w:t>Majsstivelse</w:t>
      </w:r>
    </w:p>
    <w:p w14:paraId="73F71639" w14:textId="77777777" w:rsidR="009260DE" w:rsidRPr="00CD2342" w:rsidRDefault="009260DE" w:rsidP="009260DE">
      <w:pPr>
        <w:tabs>
          <w:tab w:val="left" w:pos="851"/>
        </w:tabs>
        <w:ind w:left="851"/>
        <w:rPr>
          <w:sz w:val="24"/>
          <w:szCs w:val="24"/>
        </w:rPr>
      </w:pPr>
    </w:p>
    <w:p w14:paraId="691C6E9B" w14:textId="77777777" w:rsidR="009260DE" w:rsidRPr="00CD2342" w:rsidRDefault="009260DE" w:rsidP="009260DE">
      <w:pPr>
        <w:tabs>
          <w:tab w:val="left" w:pos="851"/>
        </w:tabs>
        <w:ind w:left="851" w:hanging="851"/>
        <w:rPr>
          <w:b/>
          <w:sz w:val="24"/>
          <w:szCs w:val="24"/>
        </w:rPr>
      </w:pPr>
      <w:r w:rsidRPr="00CD2342">
        <w:rPr>
          <w:b/>
          <w:sz w:val="24"/>
          <w:szCs w:val="24"/>
        </w:rPr>
        <w:t>6.2</w:t>
      </w:r>
      <w:r w:rsidRPr="00CD2342">
        <w:rPr>
          <w:b/>
          <w:sz w:val="24"/>
          <w:szCs w:val="24"/>
        </w:rPr>
        <w:tab/>
        <w:t>Uforligeligheder</w:t>
      </w:r>
    </w:p>
    <w:p w14:paraId="218A1CA2" w14:textId="77777777" w:rsidR="00165A40" w:rsidRPr="00CD2342" w:rsidRDefault="00165A40" w:rsidP="00165A40">
      <w:pPr>
        <w:ind w:left="850" w:hanging="850"/>
        <w:rPr>
          <w:spacing w:val="-3"/>
          <w:sz w:val="24"/>
          <w:szCs w:val="24"/>
          <w:lang w:eastAsia="da-DK"/>
        </w:rPr>
      </w:pPr>
      <w:r w:rsidRPr="00CD2342">
        <w:rPr>
          <w:b/>
          <w:spacing w:val="-3"/>
          <w:sz w:val="24"/>
          <w:szCs w:val="24"/>
        </w:rPr>
        <w:tab/>
      </w:r>
      <w:r w:rsidRPr="00CD2342">
        <w:rPr>
          <w:spacing w:val="-3"/>
          <w:sz w:val="24"/>
          <w:szCs w:val="24"/>
        </w:rPr>
        <w:t>Ikke relevant.</w:t>
      </w:r>
    </w:p>
    <w:p w14:paraId="6E9BE131" w14:textId="77777777" w:rsidR="009260DE" w:rsidRPr="00CD2342" w:rsidRDefault="009260DE" w:rsidP="009260DE">
      <w:pPr>
        <w:tabs>
          <w:tab w:val="left" w:pos="851"/>
        </w:tabs>
        <w:ind w:left="851"/>
        <w:rPr>
          <w:sz w:val="24"/>
          <w:szCs w:val="24"/>
        </w:rPr>
      </w:pPr>
    </w:p>
    <w:p w14:paraId="6D1AF8FB" w14:textId="77777777" w:rsidR="009260DE" w:rsidRPr="00CD2342" w:rsidRDefault="009260DE" w:rsidP="009260DE">
      <w:pPr>
        <w:tabs>
          <w:tab w:val="left" w:pos="851"/>
        </w:tabs>
        <w:ind w:left="851" w:hanging="851"/>
        <w:rPr>
          <w:b/>
          <w:sz w:val="24"/>
          <w:szCs w:val="24"/>
        </w:rPr>
      </w:pPr>
      <w:r w:rsidRPr="00CD2342">
        <w:rPr>
          <w:b/>
          <w:sz w:val="24"/>
          <w:szCs w:val="24"/>
        </w:rPr>
        <w:t>6.3</w:t>
      </w:r>
      <w:r w:rsidRPr="00CD2342">
        <w:rPr>
          <w:b/>
          <w:sz w:val="24"/>
          <w:szCs w:val="24"/>
        </w:rPr>
        <w:tab/>
        <w:t>Opbevaringstid</w:t>
      </w:r>
    </w:p>
    <w:p w14:paraId="05F10464" w14:textId="77777777" w:rsidR="00165A40" w:rsidRPr="00CD2342" w:rsidRDefault="00165A40" w:rsidP="00165A40">
      <w:pPr>
        <w:ind w:left="850" w:hanging="850"/>
        <w:rPr>
          <w:spacing w:val="-3"/>
          <w:sz w:val="24"/>
          <w:szCs w:val="24"/>
          <w:lang w:eastAsia="da-DK"/>
        </w:rPr>
      </w:pPr>
      <w:r w:rsidRPr="00CD2342">
        <w:rPr>
          <w:b/>
          <w:spacing w:val="-3"/>
          <w:sz w:val="24"/>
          <w:szCs w:val="24"/>
        </w:rPr>
        <w:tab/>
      </w:r>
      <w:r w:rsidRPr="00CD2342">
        <w:rPr>
          <w:bCs/>
          <w:spacing w:val="-3"/>
          <w:sz w:val="24"/>
          <w:szCs w:val="24"/>
        </w:rPr>
        <w:t>2</w:t>
      </w:r>
      <w:r w:rsidRPr="00CD2342">
        <w:rPr>
          <w:spacing w:val="-3"/>
          <w:sz w:val="24"/>
          <w:szCs w:val="24"/>
        </w:rPr>
        <w:t xml:space="preserve"> år.</w:t>
      </w:r>
    </w:p>
    <w:p w14:paraId="17EC8CED" w14:textId="77777777" w:rsidR="009260DE" w:rsidRPr="00CD2342" w:rsidRDefault="009260DE" w:rsidP="009260DE">
      <w:pPr>
        <w:tabs>
          <w:tab w:val="left" w:pos="851"/>
        </w:tabs>
        <w:ind w:left="851"/>
        <w:rPr>
          <w:sz w:val="24"/>
          <w:szCs w:val="24"/>
        </w:rPr>
      </w:pPr>
    </w:p>
    <w:p w14:paraId="68E71D16" w14:textId="77777777" w:rsidR="009260DE" w:rsidRPr="00CD2342" w:rsidRDefault="009260DE" w:rsidP="009260DE">
      <w:pPr>
        <w:tabs>
          <w:tab w:val="left" w:pos="851"/>
        </w:tabs>
        <w:ind w:left="851" w:hanging="851"/>
        <w:rPr>
          <w:b/>
          <w:sz w:val="24"/>
          <w:szCs w:val="24"/>
        </w:rPr>
      </w:pPr>
      <w:r w:rsidRPr="00CD2342">
        <w:rPr>
          <w:b/>
          <w:sz w:val="24"/>
          <w:szCs w:val="24"/>
        </w:rPr>
        <w:t>6.4</w:t>
      </w:r>
      <w:r w:rsidRPr="00CD2342">
        <w:rPr>
          <w:b/>
          <w:sz w:val="24"/>
          <w:szCs w:val="24"/>
        </w:rPr>
        <w:tab/>
        <w:t>Særlige opbevaringsforhold</w:t>
      </w:r>
    </w:p>
    <w:p w14:paraId="0D74583B" w14:textId="77777777" w:rsidR="00165A40" w:rsidRPr="00CD2342" w:rsidRDefault="00165A40" w:rsidP="00165A40">
      <w:pPr>
        <w:ind w:left="851" w:hanging="1"/>
        <w:rPr>
          <w:bCs/>
          <w:spacing w:val="-3"/>
          <w:sz w:val="24"/>
          <w:szCs w:val="24"/>
          <w:lang w:eastAsia="da-DK"/>
        </w:rPr>
      </w:pPr>
      <w:r w:rsidRPr="00CD2342">
        <w:rPr>
          <w:bCs/>
          <w:spacing w:val="-3"/>
          <w:sz w:val="24"/>
          <w:szCs w:val="24"/>
        </w:rPr>
        <w:t>Dette lægemiddel kræver ingen særlige forholdsregler vedrørende opbevaringen.</w:t>
      </w:r>
    </w:p>
    <w:p w14:paraId="7B51FA67" w14:textId="77777777" w:rsidR="009260DE" w:rsidRPr="00CD2342" w:rsidRDefault="009260DE" w:rsidP="009260DE">
      <w:pPr>
        <w:tabs>
          <w:tab w:val="left" w:pos="851"/>
        </w:tabs>
        <w:ind w:left="851"/>
        <w:rPr>
          <w:sz w:val="24"/>
          <w:szCs w:val="24"/>
        </w:rPr>
      </w:pPr>
    </w:p>
    <w:p w14:paraId="13003F3A" w14:textId="77777777" w:rsidR="009260DE" w:rsidRPr="00CD2342" w:rsidRDefault="009260DE" w:rsidP="009260DE">
      <w:pPr>
        <w:tabs>
          <w:tab w:val="left" w:pos="851"/>
        </w:tabs>
        <w:ind w:left="851" w:hanging="851"/>
        <w:rPr>
          <w:b/>
          <w:sz w:val="24"/>
          <w:szCs w:val="24"/>
        </w:rPr>
      </w:pPr>
      <w:r w:rsidRPr="00CD2342">
        <w:rPr>
          <w:b/>
          <w:sz w:val="24"/>
          <w:szCs w:val="24"/>
        </w:rPr>
        <w:t>6.5</w:t>
      </w:r>
      <w:r w:rsidRPr="00CD2342">
        <w:rPr>
          <w:b/>
          <w:sz w:val="24"/>
          <w:szCs w:val="24"/>
        </w:rPr>
        <w:tab/>
        <w:t>Emballagetype og pakningsstørrelser</w:t>
      </w:r>
    </w:p>
    <w:p w14:paraId="651AB293" w14:textId="77777777" w:rsidR="00165A40" w:rsidRPr="00CD2342" w:rsidRDefault="00165A40" w:rsidP="00165A40">
      <w:pPr>
        <w:ind w:left="850"/>
        <w:rPr>
          <w:bCs/>
          <w:spacing w:val="-3"/>
          <w:sz w:val="24"/>
          <w:szCs w:val="24"/>
          <w:lang w:eastAsia="da-DK"/>
        </w:rPr>
      </w:pPr>
      <w:r w:rsidRPr="00CD2342">
        <w:rPr>
          <w:bCs/>
          <w:spacing w:val="-3"/>
          <w:sz w:val="24"/>
          <w:szCs w:val="24"/>
        </w:rPr>
        <w:t xml:space="preserve">Gennemsigtig, ravgul glasflaske med LDPE/HDPE-skruelåg og integreret </w:t>
      </w:r>
      <w:proofErr w:type="spellStart"/>
      <w:r w:rsidRPr="00CD2342">
        <w:rPr>
          <w:bCs/>
          <w:spacing w:val="-3"/>
          <w:sz w:val="24"/>
          <w:szCs w:val="24"/>
        </w:rPr>
        <w:t>silicagel</w:t>
      </w:r>
      <w:proofErr w:type="spellEnd"/>
      <w:r w:rsidRPr="00CD2342">
        <w:rPr>
          <w:bCs/>
          <w:spacing w:val="-3"/>
          <w:sz w:val="24"/>
          <w:szCs w:val="24"/>
        </w:rPr>
        <w:t xml:space="preserve"> tørremiddel.</w:t>
      </w:r>
    </w:p>
    <w:p w14:paraId="4C4192BC" w14:textId="77777777" w:rsidR="00165A40" w:rsidRPr="00CD2342" w:rsidRDefault="00165A40" w:rsidP="00165A40">
      <w:pPr>
        <w:ind w:left="850"/>
        <w:rPr>
          <w:bCs/>
          <w:spacing w:val="-3"/>
          <w:sz w:val="24"/>
          <w:szCs w:val="24"/>
        </w:rPr>
      </w:pPr>
    </w:p>
    <w:p w14:paraId="0AA70E44" w14:textId="77777777" w:rsidR="00165A40" w:rsidRPr="00CD2342" w:rsidRDefault="00165A40" w:rsidP="00165A40">
      <w:pPr>
        <w:ind w:left="850"/>
        <w:rPr>
          <w:bCs/>
          <w:spacing w:val="-3"/>
          <w:sz w:val="24"/>
          <w:szCs w:val="24"/>
        </w:rPr>
      </w:pPr>
      <w:r w:rsidRPr="00CD2342">
        <w:rPr>
          <w:bCs/>
          <w:spacing w:val="-3"/>
          <w:sz w:val="24"/>
          <w:szCs w:val="24"/>
        </w:rPr>
        <w:t>Pakningsstørrelse: 100 tabletter</w:t>
      </w:r>
    </w:p>
    <w:p w14:paraId="39511915" w14:textId="77777777" w:rsidR="009260DE" w:rsidRPr="00CD2342" w:rsidRDefault="009260DE" w:rsidP="009260DE">
      <w:pPr>
        <w:tabs>
          <w:tab w:val="left" w:pos="851"/>
        </w:tabs>
        <w:ind w:left="851"/>
        <w:rPr>
          <w:sz w:val="24"/>
          <w:szCs w:val="24"/>
        </w:rPr>
      </w:pPr>
    </w:p>
    <w:p w14:paraId="773C1F1B" w14:textId="77777777" w:rsidR="009260DE" w:rsidRPr="00CD2342" w:rsidRDefault="009260DE" w:rsidP="009260DE">
      <w:pPr>
        <w:tabs>
          <w:tab w:val="left" w:pos="851"/>
        </w:tabs>
        <w:ind w:left="851" w:hanging="851"/>
        <w:rPr>
          <w:b/>
          <w:sz w:val="24"/>
          <w:szCs w:val="24"/>
        </w:rPr>
      </w:pPr>
      <w:r w:rsidRPr="00CD2342">
        <w:rPr>
          <w:b/>
          <w:sz w:val="24"/>
          <w:szCs w:val="24"/>
        </w:rPr>
        <w:t>6.6</w:t>
      </w:r>
      <w:r w:rsidRPr="00CD2342">
        <w:rPr>
          <w:b/>
          <w:sz w:val="24"/>
          <w:szCs w:val="24"/>
        </w:rPr>
        <w:tab/>
        <w:t xml:space="preserve">Regler for </w:t>
      </w:r>
      <w:r w:rsidR="00BD7931" w:rsidRPr="00CD2342">
        <w:rPr>
          <w:b/>
          <w:sz w:val="24"/>
          <w:szCs w:val="24"/>
        </w:rPr>
        <w:t>bortskaffelse</w:t>
      </w:r>
      <w:r w:rsidRPr="00CD2342">
        <w:rPr>
          <w:b/>
          <w:sz w:val="24"/>
          <w:szCs w:val="24"/>
        </w:rPr>
        <w:t xml:space="preserve"> og anden håndtering</w:t>
      </w:r>
    </w:p>
    <w:p w14:paraId="22E3BA67" w14:textId="77777777" w:rsidR="00165A40" w:rsidRPr="00CD2342" w:rsidRDefault="00165A40" w:rsidP="00165A40">
      <w:pPr>
        <w:ind w:left="850"/>
        <w:rPr>
          <w:spacing w:val="-3"/>
          <w:sz w:val="24"/>
          <w:szCs w:val="24"/>
          <w:lang w:eastAsia="da-DK"/>
        </w:rPr>
      </w:pPr>
      <w:r w:rsidRPr="00CD2342">
        <w:rPr>
          <w:spacing w:val="-3"/>
          <w:sz w:val="24"/>
          <w:szCs w:val="24"/>
        </w:rPr>
        <w:t xml:space="preserve">Ikke anvendt </w:t>
      </w:r>
      <w:r w:rsidRPr="00CD2342">
        <w:rPr>
          <w:bCs/>
          <w:spacing w:val="-3"/>
          <w:sz w:val="24"/>
          <w:szCs w:val="24"/>
        </w:rPr>
        <w:t>lægemiddel</w:t>
      </w:r>
      <w:r w:rsidRPr="00CD2342">
        <w:rPr>
          <w:spacing w:val="-3"/>
          <w:sz w:val="24"/>
          <w:szCs w:val="24"/>
        </w:rPr>
        <w:t xml:space="preserve"> samt affald heraf skal bortskaffes i henhold til lokale retningslinjer.</w:t>
      </w:r>
    </w:p>
    <w:p w14:paraId="17B3F392" w14:textId="77777777" w:rsidR="009260DE" w:rsidRPr="00CD2342" w:rsidRDefault="009260DE" w:rsidP="000730CA">
      <w:pPr>
        <w:tabs>
          <w:tab w:val="left" w:pos="851"/>
        </w:tabs>
        <w:ind w:left="851"/>
        <w:rPr>
          <w:sz w:val="24"/>
          <w:szCs w:val="24"/>
        </w:rPr>
      </w:pPr>
    </w:p>
    <w:p w14:paraId="6D93DEBC" w14:textId="77777777" w:rsidR="009260DE" w:rsidRPr="00CD2342" w:rsidRDefault="009260DE" w:rsidP="009260DE">
      <w:pPr>
        <w:tabs>
          <w:tab w:val="left" w:pos="851"/>
        </w:tabs>
        <w:ind w:left="851" w:hanging="851"/>
        <w:rPr>
          <w:b/>
          <w:sz w:val="24"/>
          <w:szCs w:val="24"/>
        </w:rPr>
      </w:pPr>
      <w:r w:rsidRPr="00CD2342">
        <w:rPr>
          <w:b/>
          <w:sz w:val="24"/>
          <w:szCs w:val="24"/>
        </w:rPr>
        <w:t>7.</w:t>
      </w:r>
      <w:r w:rsidRPr="00CD2342">
        <w:rPr>
          <w:b/>
          <w:sz w:val="24"/>
          <w:szCs w:val="24"/>
        </w:rPr>
        <w:tab/>
        <w:t>INDEHAVER AF MARKEDSFØRINGSTILLADELSEN</w:t>
      </w:r>
    </w:p>
    <w:p w14:paraId="4901E24F" w14:textId="77777777" w:rsidR="00165A40" w:rsidRPr="00CD2342" w:rsidRDefault="00165A40" w:rsidP="00165A40">
      <w:pPr>
        <w:ind w:left="850"/>
        <w:rPr>
          <w:spacing w:val="-3"/>
          <w:sz w:val="24"/>
          <w:szCs w:val="24"/>
          <w:lang w:eastAsia="da-DK"/>
        </w:rPr>
      </w:pPr>
      <w:r w:rsidRPr="00CD2342">
        <w:rPr>
          <w:spacing w:val="-3"/>
          <w:sz w:val="24"/>
          <w:szCs w:val="24"/>
        </w:rPr>
        <w:t xml:space="preserve">XGX Pharma ApS </w:t>
      </w:r>
    </w:p>
    <w:p w14:paraId="6853C4D7" w14:textId="77777777" w:rsidR="00165A40" w:rsidRPr="00CD2342" w:rsidRDefault="00165A40" w:rsidP="00165A40">
      <w:pPr>
        <w:ind w:left="850"/>
        <w:rPr>
          <w:spacing w:val="-3"/>
          <w:sz w:val="24"/>
          <w:szCs w:val="24"/>
        </w:rPr>
      </w:pPr>
      <w:r w:rsidRPr="00CD2342">
        <w:rPr>
          <w:spacing w:val="-3"/>
          <w:sz w:val="24"/>
          <w:szCs w:val="24"/>
        </w:rPr>
        <w:t>Frederiksgade 11, st.th</w:t>
      </w:r>
    </w:p>
    <w:p w14:paraId="70B36BA1" w14:textId="77777777" w:rsidR="00165A40" w:rsidRPr="00CD2342" w:rsidRDefault="00165A40" w:rsidP="00165A40">
      <w:pPr>
        <w:ind w:left="850"/>
        <w:rPr>
          <w:spacing w:val="-3"/>
          <w:sz w:val="24"/>
          <w:szCs w:val="24"/>
        </w:rPr>
      </w:pPr>
      <w:r w:rsidRPr="00CD2342">
        <w:rPr>
          <w:spacing w:val="-3"/>
          <w:sz w:val="24"/>
          <w:szCs w:val="24"/>
        </w:rPr>
        <w:t>1265 København</w:t>
      </w:r>
    </w:p>
    <w:p w14:paraId="48A4AB63" w14:textId="77777777" w:rsidR="00641C65" w:rsidRPr="00CD2342" w:rsidRDefault="00641C65" w:rsidP="009260DE">
      <w:pPr>
        <w:tabs>
          <w:tab w:val="left" w:pos="851"/>
        </w:tabs>
        <w:ind w:left="851"/>
        <w:rPr>
          <w:sz w:val="24"/>
          <w:szCs w:val="24"/>
        </w:rPr>
      </w:pPr>
    </w:p>
    <w:p w14:paraId="704FD625" w14:textId="77777777" w:rsidR="009260DE" w:rsidRPr="00CD2342" w:rsidRDefault="009260DE" w:rsidP="009260DE">
      <w:pPr>
        <w:tabs>
          <w:tab w:val="left" w:pos="851"/>
        </w:tabs>
        <w:ind w:left="851" w:hanging="851"/>
        <w:rPr>
          <w:b/>
          <w:sz w:val="24"/>
          <w:szCs w:val="24"/>
        </w:rPr>
      </w:pPr>
      <w:r w:rsidRPr="00CD2342">
        <w:rPr>
          <w:b/>
          <w:sz w:val="24"/>
          <w:szCs w:val="24"/>
        </w:rPr>
        <w:t>8.</w:t>
      </w:r>
      <w:r w:rsidRPr="00CD2342">
        <w:rPr>
          <w:b/>
          <w:sz w:val="24"/>
          <w:szCs w:val="24"/>
        </w:rPr>
        <w:tab/>
        <w:t>MARKEDSFØRINGSTILLADELSESNUMMER (</w:t>
      </w:r>
      <w:r w:rsidR="00BF6243" w:rsidRPr="00CD2342">
        <w:rPr>
          <w:b/>
          <w:sz w:val="24"/>
          <w:szCs w:val="24"/>
        </w:rPr>
        <w:t>-</w:t>
      </w:r>
      <w:r w:rsidRPr="00CD2342">
        <w:rPr>
          <w:b/>
          <w:sz w:val="24"/>
          <w:szCs w:val="24"/>
        </w:rPr>
        <w:t>NUMRE)</w:t>
      </w:r>
    </w:p>
    <w:p w14:paraId="41D739D6" w14:textId="6149E1F0" w:rsidR="009260DE" w:rsidRPr="00CD2342" w:rsidRDefault="00165A40" w:rsidP="009260DE">
      <w:pPr>
        <w:tabs>
          <w:tab w:val="left" w:pos="851"/>
        </w:tabs>
        <w:ind w:left="851"/>
        <w:rPr>
          <w:sz w:val="24"/>
          <w:szCs w:val="24"/>
        </w:rPr>
      </w:pPr>
      <w:r w:rsidRPr="00CD2342">
        <w:rPr>
          <w:sz w:val="24"/>
          <w:szCs w:val="24"/>
        </w:rPr>
        <w:t>69697</w:t>
      </w:r>
    </w:p>
    <w:p w14:paraId="78D28BE6" w14:textId="77777777" w:rsidR="009260DE" w:rsidRPr="00CD2342" w:rsidRDefault="009260DE" w:rsidP="009260DE">
      <w:pPr>
        <w:tabs>
          <w:tab w:val="left" w:pos="851"/>
        </w:tabs>
        <w:ind w:left="851"/>
        <w:jc w:val="both"/>
        <w:rPr>
          <w:sz w:val="24"/>
          <w:szCs w:val="24"/>
        </w:rPr>
      </w:pPr>
    </w:p>
    <w:p w14:paraId="404DE97F" w14:textId="77777777" w:rsidR="009260DE" w:rsidRPr="00CD2342" w:rsidRDefault="009260DE" w:rsidP="009260DE">
      <w:pPr>
        <w:tabs>
          <w:tab w:val="left" w:pos="851"/>
        </w:tabs>
        <w:ind w:left="851" w:hanging="851"/>
        <w:rPr>
          <w:b/>
          <w:sz w:val="24"/>
          <w:szCs w:val="24"/>
        </w:rPr>
      </w:pPr>
      <w:r w:rsidRPr="00CD2342">
        <w:rPr>
          <w:b/>
          <w:sz w:val="24"/>
          <w:szCs w:val="24"/>
        </w:rPr>
        <w:t>9.</w:t>
      </w:r>
      <w:r w:rsidRPr="00CD2342">
        <w:rPr>
          <w:b/>
          <w:sz w:val="24"/>
          <w:szCs w:val="24"/>
        </w:rPr>
        <w:tab/>
        <w:t>DATO FOR FØRSTE MARKEDSFØRINGSTILLADELSE</w:t>
      </w:r>
    </w:p>
    <w:p w14:paraId="08037931" w14:textId="69641B08" w:rsidR="009260DE" w:rsidRPr="00CD2342" w:rsidRDefault="00DF7198" w:rsidP="009260DE">
      <w:pPr>
        <w:tabs>
          <w:tab w:val="left" w:pos="851"/>
        </w:tabs>
        <w:ind w:left="851"/>
        <w:rPr>
          <w:sz w:val="24"/>
          <w:szCs w:val="24"/>
        </w:rPr>
      </w:pPr>
      <w:r>
        <w:rPr>
          <w:sz w:val="24"/>
          <w:szCs w:val="24"/>
        </w:rPr>
        <w:t>15. januar 2025</w:t>
      </w:r>
      <w:bookmarkStart w:id="3" w:name="_GoBack"/>
      <w:bookmarkEnd w:id="3"/>
    </w:p>
    <w:p w14:paraId="084D0E4B" w14:textId="77777777" w:rsidR="009260DE" w:rsidRPr="00CD2342" w:rsidRDefault="009260DE" w:rsidP="009260DE">
      <w:pPr>
        <w:tabs>
          <w:tab w:val="left" w:pos="851"/>
        </w:tabs>
        <w:ind w:left="851"/>
        <w:rPr>
          <w:sz w:val="24"/>
          <w:szCs w:val="24"/>
        </w:rPr>
      </w:pPr>
    </w:p>
    <w:p w14:paraId="0F29FD49" w14:textId="77777777" w:rsidR="009260DE" w:rsidRPr="00CD2342" w:rsidRDefault="009260DE" w:rsidP="009260DE">
      <w:pPr>
        <w:tabs>
          <w:tab w:val="left" w:pos="851"/>
        </w:tabs>
        <w:ind w:left="851" w:hanging="851"/>
        <w:rPr>
          <w:b/>
          <w:sz w:val="24"/>
          <w:szCs w:val="24"/>
        </w:rPr>
      </w:pPr>
      <w:r w:rsidRPr="00CD2342">
        <w:rPr>
          <w:b/>
          <w:sz w:val="24"/>
          <w:szCs w:val="24"/>
        </w:rPr>
        <w:t>10.</w:t>
      </w:r>
      <w:r w:rsidRPr="00CD2342">
        <w:rPr>
          <w:b/>
          <w:sz w:val="24"/>
          <w:szCs w:val="24"/>
        </w:rPr>
        <w:tab/>
        <w:t>DATO FOR ÆNDRING AF TEKSTEN</w:t>
      </w:r>
    </w:p>
    <w:p w14:paraId="58E6892C" w14:textId="32C325CC" w:rsidR="009260DE" w:rsidRPr="00CD2342" w:rsidRDefault="00165A40" w:rsidP="009260DE">
      <w:pPr>
        <w:tabs>
          <w:tab w:val="left" w:pos="851"/>
        </w:tabs>
        <w:ind w:left="851"/>
        <w:rPr>
          <w:sz w:val="24"/>
          <w:szCs w:val="24"/>
        </w:rPr>
      </w:pPr>
      <w:r w:rsidRPr="00CD2342">
        <w:rPr>
          <w:sz w:val="24"/>
          <w:szCs w:val="24"/>
        </w:rPr>
        <w:t>-</w:t>
      </w:r>
    </w:p>
    <w:sectPr w:rsidR="009260DE" w:rsidRPr="00CD234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2753A" w14:textId="77777777" w:rsidR="0093369B" w:rsidRDefault="0093369B">
      <w:r>
        <w:separator/>
      </w:r>
    </w:p>
  </w:endnote>
  <w:endnote w:type="continuationSeparator" w:id="0">
    <w:p w14:paraId="1642F274" w14:textId="77777777" w:rsidR="0093369B" w:rsidRDefault="00933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9B66" w14:textId="77777777" w:rsidR="000259B9" w:rsidRDefault="000259B9">
    <w:pPr>
      <w:pStyle w:val="Sidefod"/>
      <w:pBdr>
        <w:bottom w:val="single" w:sz="6" w:space="1" w:color="auto"/>
      </w:pBdr>
    </w:pPr>
  </w:p>
  <w:p w14:paraId="0BE7933E" w14:textId="77777777" w:rsidR="000259B9" w:rsidRDefault="000259B9" w:rsidP="00C42586">
    <w:pPr>
      <w:pStyle w:val="Sidefod"/>
      <w:tabs>
        <w:tab w:val="clear" w:pos="4819"/>
        <w:tab w:val="left" w:pos="8505"/>
      </w:tabs>
      <w:rPr>
        <w:i/>
        <w:sz w:val="18"/>
        <w:szCs w:val="18"/>
      </w:rPr>
    </w:pPr>
  </w:p>
  <w:p w14:paraId="4E085650" w14:textId="2D7AA93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F7198">
      <w:rPr>
        <w:i/>
        <w:noProof/>
        <w:sz w:val="18"/>
        <w:szCs w:val="18"/>
      </w:rPr>
      <w:t>Carblit, tabletter 300 mg (8,1 mmol Li+).docx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6711D" w14:textId="77777777" w:rsidR="0093369B" w:rsidRDefault="0093369B">
      <w:r>
        <w:separator/>
      </w:r>
    </w:p>
  </w:footnote>
  <w:footnote w:type="continuationSeparator" w:id="0">
    <w:p w14:paraId="64C4199D" w14:textId="77777777" w:rsidR="0093369B" w:rsidRDefault="00933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8B5AD3"/>
    <w:multiLevelType w:val="hybridMultilevel"/>
    <w:tmpl w:val="14C296F2"/>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C40F00"/>
    <w:multiLevelType w:val="hybridMultilevel"/>
    <w:tmpl w:val="49107BB6"/>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5" w15:restartNumberingAfterBreak="0">
    <w:nsid w:val="3D1804C6"/>
    <w:multiLevelType w:val="hybridMultilevel"/>
    <w:tmpl w:val="C57CAB3A"/>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32C1572"/>
    <w:multiLevelType w:val="hybridMultilevel"/>
    <w:tmpl w:val="F482A144"/>
    <w:lvl w:ilvl="0" w:tplc="0EE02BA8">
      <w:start w:val="1"/>
      <w:numFmt w:val="bullet"/>
      <w:lvlText w:val="-"/>
      <w:lvlJc w:val="left"/>
      <w:pPr>
        <w:ind w:left="1211" w:hanging="360"/>
      </w:pPr>
      <w:rPr>
        <w:rFonts w:ascii="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105390"/>
    <w:multiLevelType w:val="hybridMultilevel"/>
    <w:tmpl w:val="C2A0F3EE"/>
    <w:lvl w:ilvl="0" w:tplc="0EE02BA8">
      <w:start w:val="1"/>
      <w:numFmt w:val="bullet"/>
      <w:lvlText w:val="-"/>
      <w:lvlJc w:val="left"/>
      <w:pPr>
        <w:ind w:left="1570" w:hanging="360"/>
      </w:pPr>
      <w:rPr>
        <w:rFonts w:ascii="Times New Roman" w:hAnsi="Times New Roman" w:cs="Times New Roman" w:hint="default"/>
      </w:rPr>
    </w:lvl>
    <w:lvl w:ilvl="1" w:tplc="FFFFFFFF">
      <w:start w:val="1"/>
      <w:numFmt w:val="bullet"/>
      <w:lvlText w:val="o"/>
      <w:lvlJc w:val="left"/>
      <w:pPr>
        <w:ind w:left="2290" w:hanging="360"/>
      </w:pPr>
      <w:rPr>
        <w:rFonts w:ascii="Courier New" w:hAnsi="Courier New" w:cs="Courier New" w:hint="default"/>
      </w:rPr>
    </w:lvl>
    <w:lvl w:ilvl="2" w:tplc="FFFFFFFF">
      <w:start w:val="1"/>
      <w:numFmt w:val="bullet"/>
      <w:lvlText w:val=""/>
      <w:lvlJc w:val="left"/>
      <w:pPr>
        <w:ind w:left="3010" w:hanging="360"/>
      </w:pPr>
      <w:rPr>
        <w:rFonts w:ascii="Wingdings" w:hAnsi="Wingdings" w:hint="default"/>
      </w:rPr>
    </w:lvl>
    <w:lvl w:ilvl="3" w:tplc="FFFFFFFF">
      <w:start w:val="1"/>
      <w:numFmt w:val="bullet"/>
      <w:lvlText w:val=""/>
      <w:lvlJc w:val="left"/>
      <w:pPr>
        <w:ind w:left="3730" w:hanging="360"/>
      </w:pPr>
      <w:rPr>
        <w:rFonts w:ascii="Symbol" w:hAnsi="Symbol" w:hint="default"/>
      </w:rPr>
    </w:lvl>
    <w:lvl w:ilvl="4" w:tplc="FFFFFFFF">
      <w:start w:val="1"/>
      <w:numFmt w:val="bullet"/>
      <w:lvlText w:val="o"/>
      <w:lvlJc w:val="left"/>
      <w:pPr>
        <w:ind w:left="4450" w:hanging="360"/>
      </w:pPr>
      <w:rPr>
        <w:rFonts w:ascii="Courier New" w:hAnsi="Courier New" w:cs="Courier New" w:hint="default"/>
      </w:rPr>
    </w:lvl>
    <w:lvl w:ilvl="5" w:tplc="FFFFFFFF">
      <w:start w:val="1"/>
      <w:numFmt w:val="bullet"/>
      <w:lvlText w:val=""/>
      <w:lvlJc w:val="left"/>
      <w:pPr>
        <w:ind w:left="5170" w:hanging="360"/>
      </w:pPr>
      <w:rPr>
        <w:rFonts w:ascii="Wingdings" w:hAnsi="Wingdings" w:hint="default"/>
      </w:rPr>
    </w:lvl>
    <w:lvl w:ilvl="6" w:tplc="FFFFFFFF">
      <w:start w:val="1"/>
      <w:numFmt w:val="bullet"/>
      <w:lvlText w:val=""/>
      <w:lvlJc w:val="left"/>
      <w:pPr>
        <w:ind w:left="5890" w:hanging="360"/>
      </w:pPr>
      <w:rPr>
        <w:rFonts w:ascii="Symbol" w:hAnsi="Symbol" w:hint="default"/>
      </w:rPr>
    </w:lvl>
    <w:lvl w:ilvl="7" w:tplc="FFFFFFFF">
      <w:start w:val="1"/>
      <w:numFmt w:val="bullet"/>
      <w:lvlText w:val="o"/>
      <w:lvlJc w:val="left"/>
      <w:pPr>
        <w:ind w:left="6610" w:hanging="360"/>
      </w:pPr>
      <w:rPr>
        <w:rFonts w:ascii="Courier New" w:hAnsi="Courier New" w:cs="Courier New" w:hint="default"/>
      </w:rPr>
    </w:lvl>
    <w:lvl w:ilvl="8" w:tplc="FFFFFFFF">
      <w:start w:val="1"/>
      <w:numFmt w:val="bullet"/>
      <w:lvlText w:val=""/>
      <w:lvlJc w:val="left"/>
      <w:pPr>
        <w:ind w:left="7330" w:hanging="360"/>
      </w:pPr>
      <w:rPr>
        <w:rFonts w:ascii="Wingdings" w:hAnsi="Wingdings" w:hint="default"/>
      </w:rPr>
    </w:lvl>
  </w:abstractNum>
  <w:abstractNum w:abstractNumId="10" w15:restartNumberingAfterBreak="0">
    <w:nsid w:val="5A6C36F7"/>
    <w:multiLevelType w:val="hybridMultilevel"/>
    <w:tmpl w:val="C2E8B29E"/>
    <w:lvl w:ilvl="0" w:tplc="0EE02BA8">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
  </w:num>
  <w:num w:numId="9">
    <w:abstractNumId w:val="5"/>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9B"/>
    <w:rsid w:val="000259B9"/>
    <w:rsid w:val="00041491"/>
    <w:rsid w:val="00050D16"/>
    <w:rsid w:val="000730CA"/>
    <w:rsid w:val="00074F2A"/>
    <w:rsid w:val="000A1CA8"/>
    <w:rsid w:val="000A466B"/>
    <w:rsid w:val="000B058C"/>
    <w:rsid w:val="000D68B0"/>
    <w:rsid w:val="000E4EE6"/>
    <w:rsid w:val="001454E2"/>
    <w:rsid w:val="00165A40"/>
    <w:rsid w:val="00177286"/>
    <w:rsid w:val="00206CE8"/>
    <w:rsid w:val="0021526C"/>
    <w:rsid w:val="002566A7"/>
    <w:rsid w:val="00283A2B"/>
    <w:rsid w:val="002B30AD"/>
    <w:rsid w:val="002C1EC0"/>
    <w:rsid w:val="002C2C01"/>
    <w:rsid w:val="0036550B"/>
    <w:rsid w:val="003A29AE"/>
    <w:rsid w:val="003A32D7"/>
    <w:rsid w:val="003B4074"/>
    <w:rsid w:val="003C769A"/>
    <w:rsid w:val="003D3A90"/>
    <w:rsid w:val="003F1838"/>
    <w:rsid w:val="004251C1"/>
    <w:rsid w:val="0045746C"/>
    <w:rsid w:val="0049104B"/>
    <w:rsid w:val="004E3B12"/>
    <w:rsid w:val="00532310"/>
    <w:rsid w:val="00565F0F"/>
    <w:rsid w:val="005909F8"/>
    <w:rsid w:val="00594A86"/>
    <w:rsid w:val="00596D86"/>
    <w:rsid w:val="005B745B"/>
    <w:rsid w:val="00637F5A"/>
    <w:rsid w:val="00641C65"/>
    <w:rsid w:val="006560B1"/>
    <w:rsid w:val="006756DD"/>
    <w:rsid w:val="0071241E"/>
    <w:rsid w:val="00737275"/>
    <w:rsid w:val="00740EEC"/>
    <w:rsid w:val="0078011A"/>
    <w:rsid w:val="00782AF4"/>
    <w:rsid w:val="00790EE7"/>
    <w:rsid w:val="007B6649"/>
    <w:rsid w:val="0082576E"/>
    <w:rsid w:val="0084597B"/>
    <w:rsid w:val="0089346F"/>
    <w:rsid w:val="00907F75"/>
    <w:rsid w:val="009260DE"/>
    <w:rsid w:val="0093258A"/>
    <w:rsid w:val="0093369B"/>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A0C6D"/>
    <w:rsid w:val="00CB20D7"/>
    <w:rsid w:val="00CD2342"/>
    <w:rsid w:val="00D020B0"/>
    <w:rsid w:val="00D11748"/>
    <w:rsid w:val="00D237F6"/>
    <w:rsid w:val="00D34D98"/>
    <w:rsid w:val="00D366CF"/>
    <w:rsid w:val="00D93992"/>
    <w:rsid w:val="00DF7198"/>
    <w:rsid w:val="00E108AA"/>
    <w:rsid w:val="00E3749A"/>
    <w:rsid w:val="00E7437F"/>
    <w:rsid w:val="00E865B8"/>
    <w:rsid w:val="00EC0B9B"/>
    <w:rsid w:val="00ED5E9F"/>
    <w:rsid w:val="00F21BD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CDF60"/>
  <w15:chartTrackingRefBased/>
  <w15:docId w15:val="{91A9AC97-EDB2-4D55-8B0F-33CFE074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165A40"/>
    <w:pPr>
      <w:spacing w:after="120"/>
      <w:ind w:left="283"/>
    </w:pPr>
    <w:rPr>
      <w:lang w:eastAsia="da-DK"/>
    </w:rPr>
  </w:style>
  <w:style w:type="character" w:customStyle="1" w:styleId="BrdtekstindrykningTegn">
    <w:name w:val="Brødtekstindrykning Tegn"/>
    <w:basedOn w:val="Standardskrifttypeiafsnit"/>
    <w:link w:val="Brdtekstindrykning"/>
    <w:semiHidden/>
    <w:rsid w:val="00165A40"/>
    <w:rPr>
      <w:sz w:val="23"/>
    </w:rPr>
  </w:style>
  <w:style w:type="paragraph" w:styleId="Brdtekst">
    <w:name w:val="Body Text"/>
    <w:basedOn w:val="Normal"/>
    <w:link w:val="BrdtekstTegn"/>
    <w:uiPriority w:val="99"/>
    <w:semiHidden/>
    <w:unhideWhenUsed/>
    <w:rsid w:val="00165A40"/>
    <w:pPr>
      <w:spacing w:after="120"/>
    </w:pPr>
    <w:rPr>
      <w:sz w:val="24"/>
      <w:lang w:eastAsia="da-DK"/>
    </w:rPr>
  </w:style>
  <w:style w:type="character" w:customStyle="1" w:styleId="BrdtekstTegn">
    <w:name w:val="Brødtekst Tegn"/>
    <w:basedOn w:val="Standardskrifttypeiafsnit"/>
    <w:link w:val="Brdtekst"/>
    <w:uiPriority w:val="99"/>
    <w:semiHidden/>
    <w:rsid w:val="00165A40"/>
    <w:rPr>
      <w:sz w:val="24"/>
    </w:rPr>
  </w:style>
  <w:style w:type="character" w:customStyle="1" w:styleId="afsnitspacer">
    <w:name w:val="afsnitspacer"/>
    <w:basedOn w:val="Standardskrifttypeiafsnit"/>
    <w:rsid w:val="00165A40"/>
  </w:style>
  <w:style w:type="character" w:styleId="Hyperlink">
    <w:name w:val="Hyperlink"/>
    <w:uiPriority w:val="99"/>
    <w:semiHidden/>
    <w:unhideWhenUsed/>
    <w:rsid w:val="00165A40"/>
    <w:rPr>
      <w:color w:val="0000FF"/>
      <w:u w:val="single"/>
    </w:rPr>
  </w:style>
  <w:style w:type="paragraph" w:styleId="Listeafsnit">
    <w:name w:val="List Paragraph"/>
    <w:basedOn w:val="Normal"/>
    <w:uiPriority w:val="34"/>
    <w:qFormat/>
    <w:rsid w:val="00256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0922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865056">
      <w:bodyDiv w:val="1"/>
      <w:marLeft w:val="0"/>
      <w:marRight w:val="0"/>
      <w:marTop w:val="0"/>
      <w:marBottom w:val="0"/>
      <w:divBdr>
        <w:top w:val="none" w:sz="0" w:space="0" w:color="auto"/>
        <w:left w:val="none" w:sz="0" w:space="0" w:color="auto"/>
        <w:bottom w:val="none" w:sz="0" w:space="0" w:color="auto"/>
        <w:right w:val="none" w:sz="0" w:space="0" w:color="auto"/>
      </w:divBdr>
    </w:div>
    <w:div w:id="273900179">
      <w:bodyDiv w:val="1"/>
      <w:marLeft w:val="0"/>
      <w:marRight w:val="0"/>
      <w:marTop w:val="0"/>
      <w:marBottom w:val="0"/>
      <w:divBdr>
        <w:top w:val="none" w:sz="0" w:space="0" w:color="auto"/>
        <w:left w:val="none" w:sz="0" w:space="0" w:color="auto"/>
        <w:bottom w:val="none" w:sz="0" w:space="0" w:color="auto"/>
        <w:right w:val="none" w:sz="0" w:space="0" w:color="auto"/>
      </w:divBdr>
    </w:div>
    <w:div w:id="330767000">
      <w:bodyDiv w:val="1"/>
      <w:marLeft w:val="0"/>
      <w:marRight w:val="0"/>
      <w:marTop w:val="0"/>
      <w:marBottom w:val="0"/>
      <w:divBdr>
        <w:top w:val="none" w:sz="0" w:space="0" w:color="auto"/>
        <w:left w:val="none" w:sz="0" w:space="0" w:color="auto"/>
        <w:bottom w:val="none" w:sz="0" w:space="0" w:color="auto"/>
        <w:right w:val="none" w:sz="0" w:space="0" w:color="auto"/>
      </w:divBdr>
    </w:div>
    <w:div w:id="396317935">
      <w:bodyDiv w:val="1"/>
      <w:marLeft w:val="0"/>
      <w:marRight w:val="0"/>
      <w:marTop w:val="0"/>
      <w:marBottom w:val="0"/>
      <w:divBdr>
        <w:top w:val="none" w:sz="0" w:space="0" w:color="auto"/>
        <w:left w:val="none" w:sz="0" w:space="0" w:color="auto"/>
        <w:bottom w:val="none" w:sz="0" w:space="0" w:color="auto"/>
        <w:right w:val="none" w:sz="0" w:space="0" w:color="auto"/>
      </w:divBdr>
    </w:div>
    <w:div w:id="546769635">
      <w:bodyDiv w:val="1"/>
      <w:marLeft w:val="0"/>
      <w:marRight w:val="0"/>
      <w:marTop w:val="0"/>
      <w:marBottom w:val="0"/>
      <w:divBdr>
        <w:top w:val="none" w:sz="0" w:space="0" w:color="auto"/>
        <w:left w:val="none" w:sz="0" w:space="0" w:color="auto"/>
        <w:bottom w:val="none" w:sz="0" w:space="0" w:color="auto"/>
        <w:right w:val="none" w:sz="0" w:space="0" w:color="auto"/>
      </w:divBdr>
    </w:div>
    <w:div w:id="566038973">
      <w:bodyDiv w:val="1"/>
      <w:marLeft w:val="0"/>
      <w:marRight w:val="0"/>
      <w:marTop w:val="0"/>
      <w:marBottom w:val="0"/>
      <w:divBdr>
        <w:top w:val="none" w:sz="0" w:space="0" w:color="auto"/>
        <w:left w:val="none" w:sz="0" w:space="0" w:color="auto"/>
        <w:bottom w:val="none" w:sz="0" w:space="0" w:color="auto"/>
        <w:right w:val="none" w:sz="0" w:space="0" w:color="auto"/>
      </w:divBdr>
    </w:div>
    <w:div w:id="595676790">
      <w:bodyDiv w:val="1"/>
      <w:marLeft w:val="0"/>
      <w:marRight w:val="0"/>
      <w:marTop w:val="0"/>
      <w:marBottom w:val="0"/>
      <w:divBdr>
        <w:top w:val="none" w:sz="0" w:space="0" w:color="auto"/>
        <w:left w:val="none" w:sz="0" w:space="0" w:color="auto"/>
        <w:bottom w:val="none" w:sz="0" w:space="0" w:color="auto"/>
        <w:right w:val="none" w:sz="0" w:space="0" w:color="auto"/>
      </w:divBdr>
    </w:div>
    <w:div w:id="696661586">
      <w:bodyDiv w:val="1"/>
      <w:marLeft w:val="0"/>
      <w:marRight w:val="0"/>
      <w:marTop w:val="0"/>
      <w:marBottom w:val="0"/>
      <w:divBdr>
        <w:top w:val="none" w:sz="0" w:space="0" w:color="auto"/>
        <w:left w:val="none" w:sz="0" w:space="0" w:color="auto"/>
        <w:bottom w:val="none" w:sz="0" w:space="0" w:color="auto"/>
        <w:right w:val="none" w:sz="0" w:space="0" w:color="auto"/>
      </w:divBdr>
    </w:div>
    <w:div w:id="779108962">
      <w:bodyDiv w:val="1"/>
      <w:marLeft w:val="0"/>
      <w:marRight w:val="0"/>
      <w:marTop w:val="0"/>
      <w:marBottom w:val="0"/>
      <w:divBdr>
        <w:top w:val="none" w:sz="0" w:space="0" w:color="auto"/>
        <w:left w:val="none" w:sz="0" w:space="0" w:color="auto"/>
        <w:bottom w:val="none" w:sz="0" w:space="0" w:color="auto"/>
        <w:right w:val="none" w:sz="0" w:space="0" w:color="auto"/>
      </w:divBdr>
    </w:div>
    <w:div w:id="822893375">
      <w:bodyDiv w:val="1"/>
      <w:marLeft w:val="0"/>
      <w:marRight w:val="0"/>
      <w:marTop w:val="0"/>
      <w:marBottom w:val="0"/>
      <w:divBdr>
        <w:top w:val="none" w:sz="0" w:space="0" w:color="auto"/>
        <w:left w:val="none" w:sz="0" w:space="0" w:color="auto"/>
        <w:bottom w:val="none" w:sz="0" w:space="0" w:color="auto"/>
        <w:right w:val="none" w:sz="0" w:space="0" w:color="auto"/>
      </w:divBdr>
    </w:div>
    <w:div w:id="959914562">
      <w:bodyDiv w:val="1"/>
      <w:marLeft w:val="0"/>
      <w:marRight w:val="0"/>
      <w:marTop w:val="0"/>
      <w:marBottom w:val="0"/>
      <w:divBdr>
        <w:top w:val="none" w:sz="0" w:space="0" w:color="auto"/>
        <w:left w:val="none" w:sz="0" w:space="0" w:color="auto"/>
        <w:bottom w:val="none" w:sz="0" w:space="0" w:color="auto"/>
        <w:right w:val="none" w:sz="0" w:space="0" w:color="auto"/>
      </w:divBdr>
    </w:div>
    <w:div w:id="1022978420">
      <w:bodyDiv w:val="1"/>
      <w:marLeft w:val="0"/>
      <w:marRight w:val="0"/>
      <w:marTop w:val="0"/>
      <w:marBottom w:val="0"/>
      <w:divBdr>
        <w:top w:val="none" w:sz="0" w:space="0" w:color="auto"/>
        <w:left w:val="none" w:sz="0" w:space="0" w:color="auto"/>
        <w:bottom w:val="none" w:sz="0" w:space="0" w:color="auto"/>
        <w:right w:val="none" w:sz="0" w:space="0" w:color="auto"/>
      </w:divBdr>
    </w:div>
    <w:div w:id="1039015172">
      <w:bodyDiv w:val="1"/>
      <w:marLeft w:val="0"/>
      <w:marRight w:val="0"/>
      <w:marTop w:val="0"/>
      <w:marBottom w:val="0"/>
      <w:divBdr>
        <w:top w:val="none" w:sz="0" w:space="0" w:color="auto"/>
        <w:left w:val="none" w:sz="0" w:space="0" w:color="auto"/>
        <w:bottom w:val="none" w:sz="0" w:space="0" w:color="auto"/>
        <w:right w:val="none" w:sz="0" w:space="0" w:color="auto"/>
      </w:divBdr>
    </w:div>
    <w:div w:id="1108238253">
      <w:bodyDiv w:val="1"/>
      <w:marLeft w:val="0"/>
      <w:marRight w:val="0"/>
      <w:marTop w:val="0"/>
      <w:marBottom w:val="0"/>
      <w:divBdr>
        <w:top w:val="none" w:sz="0" w:space="0" w:color="auto"/>
        <w:left w:val="none" w:sz="0" w:space="0" w:color="auto"/>
        <w:bottom w:val="none" w:sz="0" w:space="0" w:color="auto"/>
        <w:right w:val="none" w:sz="0" w:space="0" w:color="auto"/>
      </w:divBdr>
    </w:div>
    <w:div w:id="1643578937">
      <w:bodyDiv w:val="1"/>
      <w:marLeft w:val="0"/>
      <w:marRight w:val="0"/>
      <w:marTop w:val="0"/>
      <w:marBottom w:val="0"/>
      <w:divBdr>
        <w:top w:val="none" w:sz="0" w:space="0" w:color="auto"/>
        <w:left w:val="none" w:sz="0" w:space="0" w:color="auto"/>
        <w:bottom w:val="none" w:sz="0" w:space="0" w:color="auto"/>
        <w:right w:val="none" w:sz="0" w:space="0" w:color="auto"/>
      </w:divBdr>
    </w:div>
    <w:div w:id="1863394141">
      <w:bodyDiv w:val="1"/>
      <w:marLeft w:val="0"/>
      <w:marRight w:val="0"/>
      <w:marTop w:val="0"/>
      <w:marBottom w:val="0"/>
      <w:divBdr>
        <w:top w:val="none" w:sz="0" w:space="0" w:color="auto"/>
        <w:left w:val="none" w:sz="0" w:space="0" w:color="auto"/>
        <w:bottom w:val="none" w:sz="0" w:space="0" w:color="auto"/>
        <w:right w:val="none" w:sz="0" w:space="0" w:color="auto"/>
      </w:divBdr>
    </w:div>
    <w:div w:id="2003196242">
      <w:bodyDiv w:val="1"/>
      <w:marLeft w:val="0"/>
      <w:marRight w:val="0"/>
      <w:marTop w:val="0"/>
      <w:marBottom w:val="0"/>
      <w:divBdr>
        <w:top w:val="none" w:sz="0" w:space="0" w:color="auto"/>
        <w:left w:val="none" w:sz="0" w:space="0" w:color="auto"/>
        <w:bottom w:val="none" w:sz="0" w:space="0" w:color="auto"/>
        <w:right w:val="none" w:sz="0" w:space="0" w:color="auto"/>
      </w:divBdr>
    </w:div>
    <w:div w:id="2047019949">
      <w:bodyDiv w:val="1"/>
      <w:marLeft w:val="0"/>
      <w:marRight w:val="0"/>
      <w:marTop w:val="0"/>
      <w:marBottom w:val="0"/>
      <w:divBdr>
        <w:top w:val="none" w:sz="0" w:space="0" w:color="auto"/>
        <w:left w:val="none" w:sz="0" w:space="0" w:color="auto"/>
        <w:bottom w:val="none" w:sz="0" w:space="0" w:color="auto"/>
        <w:right w:val="none" w:sz="0" w:space="0" w:color="auto"/>
      </w:divBdr>
    </w:div>
    <w:div w:id="2054183614">
      <w:bodyDiv w:val="1"/>
      <w:marLeft w:val="0"/>
      <w:marRight w:val="0"/>
      <w:marTop w:val="0"/>
      <w:marBottom w:val="0"/>
      <w:divBdr>
        <w:top w:val="none" w:sz="0" w:space="0" w:color="auto"/>
        <w:left w:val="none" w:sz="0" w:space="0" w:color="auto"/>
        <w:bottom w:val="none" w:sz="0" w:space="0" w:color="auto"/>
        <w:right w:val="none" w:sz="0" w:space="0" w:color="auto"/>
      </w:divBdr>
    </w:div>
    <w:div w:id="21118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23</TotalTime>
  <Pages>12</Pages>
  <Words>3349</Words>
  <Characters>23776</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2023054750, MT</dc:description>
  <cp:lastModifiedBy>Gitte Jørgensen</cp:lastModifiedBy>
  <cp:revision>10</cp:revision>
  <cp:lastPrinted>2012-08-22T08:53:00Z</cp:lastPrinted>
  <dcterms:created xsi:type="dcterms:W3CDTF">2025-01-10T13:29:00Z</dcterms:created>
  <dcterms:modified xsi:type="dcterms:W3CDTF">2025-01-15T11:27:00Z</dcterms:modified>
</cp:coreProperties>
</file>