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8A4FF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0A3C432" wp14:editId="05AAA44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2CDE8349" w14:textId="77777777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6F5F4748" w14:textId="0BF03430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4D0D42">
        <w:rPr>
          <w:szCs w:val="24"/>
        </w:rPr>
        <w:t>21. december</w:t>
      </w:r>
      <w:r w:rsidR="00D13CD0">
        <w:rPr>
          <w:szCs w:val="24"/>
        </w:rPr>
        <w:t xml:space="preserve"> 2023</w:t>
      </w:r>
    </w:p>
    <w:p w14:paraId="353E851A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A84F84F" w14:textId="5B417924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1A36BB94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40C6DE2E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28465424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2D16C338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5D4C0286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4809BDF3" w14:textId="77777777" w:rsidR="009260DE" w:rsidRPr="00C84483" w:rsidRDefault="00E33F0E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Carbomedac</w:t>
      </w:r>
      <w:proofErr w:type="spellEnd"/>
      <w:r>
        <w:rPr>
          <w:b/>
          <w:sz w:val="24"/>
          <w:szCs w:val="24"/>
        </w:rPr>
        <w:t>, koncentrat til infusionsvæske, opløsning</w:t>
      </w:r>
    </w:p>
    <w:p w14:paraId="38C8E300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0DB95B08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1AE6083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05D501D1" w14:textId="064F94EF" w:rsidR="009260DE" w:rsidRPr="00C84483" w:rsidRDefault="003D4CE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32977</w:t>
      </w:r>
    </w:p>
    <w:p w14:paraId="57B3636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F8396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28BF3B53" w14:textId="0D5175E4" w:rsidR="009260DE" w:rsidRPr="00C84483" w:rsidRDefault="003D4CE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Carbomedac</w:t>
      </w:r>
      <w:proofErr w:type="spellEnd"/>
    </w:p>
    <w:p w14:paraId="4B53B23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EA059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4F530F9D" w14:textId="77777777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 xml:space="preserve">Hver ml indeholder 10 mg </w:t>
      </w:r>
      <w:proofErr w:type="spellStart"/>
      <w:r w:rsidRPr="003D4CE1">
        <w:rPr>
          <w:sz w:val="24"/>
          <w:szCs w:val="24"/>
        </w:rPr>
        <w:t>carboplatin</w:t>
      </w:r>
      <w:proofErr w:type="spellEnd"/>
      <w:r w:rsidRPr="003D4CE1">
        <w:rPr>
          <w:sz w:val="24"/>
          <w:szCs w:val="24"/>
        </w:rPr>
        <w:t>.</w:t>
      </w:r>
    </w:p>
    <w:p w14:paraId="408AD8E5" w14:textId="77777777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</w:p>
    <w:p w14:paraId="29AFA162" w14:textId="20434F85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 xml:space="preserve">1 hætteglas </w:t>
      </w:r>
      <w:r>
        <w:rPr>
          <w:sz w:val="24"/>
          <w:szCs w:val="24"/>
        </w:rPr>
        <w:t>á</w:t>
      </w:r>
      <w:r w:rsidRPr="003D4CE1">
        <w:rPr>
          <w:sz w:val="24"/>
          <w:szCs w:val="24"/>
        </w:rPr>
        <w:t xml:space="preserve"> 5 ml koncentrat til infusionsvæske, opløsning, indeholder 50 mg </w:t>
      </w:r>
      <w:proofErr w:type="spellStart"/>
      <w:r w:rsidRPr="003D4CE1">
        <w:rPr>
          <w:sz w:val="24"/>
          <w:szCs w:val="24"/>
        </w:rPr>
        <w:t>carboplatin</w:t>
      </w:r>
      <w:proofErr w:type="spellEnd"/>
      <w:r w:rsidRPr="003D4CE1">
        <w:rPr>
          <w:sz w:val="24"/>
          <w:szCs w:val="24"/>
        </w:rPr>
        <w:t>.</w:t>
      </w:r>
    </w:p>
    <w:p w14:paraId="51CEFE6C" w14:textId="4728A99F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 xml:space="preserve">1 hætteglas </w:t>
      </w:r>
      <w:r>
        <w:rPr>
          <w:sz w:val="24"/>
          <w:szCs w:val="24"/>
        </w:rPr>
        <w:t>á</w:t>
      </w:r>
      <w:r w:rsidRPr="003D4CE1">
        <w:rPr>
          <w:sz w:val="24"/>
          <w:szCs w:val="24"/>
        </w:rPr>
        <w:t xml:space="preserve"> 15 ml koncentrat til infusionsvæske, opløsning, indeholder 150 mg </w:t>
      </w:r>
      <w:proofErr w:type="spellStart"/>
      <w:r w:rsidRPr="003D4CE1">
        <w:rPr>
          <w:sz w:val="24"/>
          <w:szCs w:val="24"/>
        </w:rPr>
        <w:t>carboplatin</w:t>
      </w:r>
      <w:proofErr w:type="spellEnd"/>
      <w:r w:rsidRPr="003D4CE1">
        <w:rPr>
          <w:sz w:val="24"/>
          <w:szCs w:val="24"/>
        </w:rPr>
        <w:t>.</w:t>
      </w:r>
    </w:p>
    <w:p w14:paraId="0D035C90" w14:textId="651E20DF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 xml:space="preserve">1 hætteglas </w:t>
      </w:r>
      <w:r>
        <w:rPr>
          <w:sz w:val="24"/>
          <w:szCs w:val="24"/>
        </w:rPr>
        <w:t>á</w:t>
      </w:r>
      <w:r w:rsidRPr="003D4CE1">
        <w:rPr>
          <w:sz w:val="24"/>
          <w:szCs w:val="24"/>
        </w:rPr>
        <w:t xml:space="preserve"> 45 ml koncentrat til infusionsvæske, opløsning, indeholder 450 mg </w:t>
      </w:r>
      <w:proofErr w:type="spellStart"/>
      <w:r w:rsidRPr="003D4CE1">
        <w:rPr>
          <w:sz w:val="24"/>
          <w:szCs w:val="24"/>
        </w:rPr>
        <w:t>carboplatin</w:t>
      </w:r>
      <w:proofErr w:type="spellEnd"/>
      <w:r w:rsidRPr="003D4CE1">
        <w:rPr>
          <w:sz w:val="24"/>
          <w:szCs w:val="24"/>
        </w:rPr>
        <w:t>.</w:t>
      </w:r>
    </w:p>
    <w:p w14:paraId="5502C64B" w14:textId="5F9F9FB9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 xml:space="preserve">1 hætteglas </w:t>
      </w:r>
      <w:r>
        <w:rPr>
          <w:sz w:val="24"/>
          <w:szCs w:val="24"/>
        </w:rPr>
        <w:t>á</w:t>
      </w:r>
      <w:r w:rsidRPr="003D4CE1">
        <w:rPr>
          <w:sz w:val="24"/>
          <w:szCs w:val="24"/>
        </w:rPr>
        <w:t xml:space="preserve"> 60 ml koncentrat til infusionsvæske, opløsning, indeholder 600 mg </w:t>
      </w:r>
      <w:proofErr w:type="spellStart"/>
      <w:r w:rsidRPr="003D4CE1">
        <w:rPr>
          <w:sz w:val="24"/>
          <w:szCs w:val="24"/>
        </w:rPr>
        <w:t>carboplatin</w:t>
      </w:r>
      <w:proofErr w:type="spellEnd"/>
      <w:r w:rsidRPr="003D4CE1">
        <w:rPr>
          <w:sz w:val="24"/>
          <w:szCs w:val="24"/>
        </w:rPr>
        <w:t>.</w:t>
      </w:r>
    </w:p>
    <w:p w14:paraId="667E1E1C" w14:textId="0D4C10EA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 xml:space="preserve">1 hætteglas </w:t>
      </w:r>
      <w:r>
        <w:rPr>
          <w:sz w:val="24"/>
          <w:szCs w:val="24"/>
        </w:rPr>
        <w:t>á</w:t>
      </w:r>
      <w:r w:rsidRPr="003D4CE1">
        <w:rPr>
          <w:sz w:val="24"/>
          <w:szCs w:val="24"/>
        </w:rPr>
        <w:t xml:space="preserve"> 100 ml koncentrat til infusionsvæske, opløsning, indeholder 1.000 mg </w:t>
      </w:r>
      <w:proofErr w:type="spellStart"/>
      <w:r w:rsidRPr="003D4CE1">
        <w:rPr>
          <w:sz w:val="24"/>
          <w:szCs w:val="24"/>
        </w:rPr>
        <w:t>carboplatin</w:t>
      </w:r>
      <w:proofErr w:type="spellEnd"/>
      <w:r w:rsidRPr="003D4CE1">
        <w:rPr>
          <w:sz w:val="24"/>
          <w:szCs w:val="24"/>
        </w:rPr>
        <w:t>.</w:t>
      </w:r>
    </w:p>
    <w:p w14:paraId="0F560379" w14:textId="77777777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</w:p>
    <w:p w14:paraId="71CFF0A0" w14:textId="77777777" w:rsidR="003D4CE1" w:rsidRPr="003D4CE1" w:rsidRDefault="003D4CE1" w:rsidP="003D4CE1">
      <w:pPr>
        <w:tabs>
          <w:tab w:val="left" w:pos="851"/>
        </w:tabs>
        <w:ind w:left="851"/>
        <w:rPr>
          <w:sz w:val="24"/>
          <w:szCs w:val="24"/>
        </w:rPr>
      </w:pPr>
      <w:r w:rsidRPr="003D4CE1">
        <w:rPr>
          <w:sz w:val="24"/>
          <w:szCs w:val="24"/>
        </w:rPr>
        <w:t>Alle hjælpestoffer er anført under pkt. 6.1.</w:t>
      </w:r>
    </w:p>
    <w:p w14:paraId="6FDC164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50D0D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45F2C803" w14:textId="0AF1B4A0" w:rsidR="00AD6ED0" w:rsidRPr="00AD6ED0" w:rsidRDefault="00AD6ED0" w:rsidP="00AD6ED0">
      <w:pPr>
        <w:tabs>
          <w:tab w:val="left" w:pos="851"/>
        </w:tabs>
        <w:ind w:left="851"/>
        <w:rPr>
          <w:sz w:val="24"/>
          <w:szCs w:val="24"/>
        </w:rPr>
      </w:pPr>
      <w:r w:rsidRPr="00AD6ED0">
        <w:rPr>
          <w:sz w:val="24"/>
          <w:szCs w:val="24"/>
        </w:rPr>
        <w:t>Koncentrat til infusionsvæske, opløsning</w:t>
      </w:r>
    </w:p>
    <w:p w14:paraId="0DEFF4B5" w14:textId="77777777" w:rsidR="00AD6ED0" w:rsidRPr="00AD6ED0" w:rsidRDefault="00AD6ED0" w:rsidP="00AD6ED0">
      <w:pPr>
        <w:tabs>
          <w:tab w:val="left" w:pos="851"/>
        </w:tabs>
        <w:ind w:left="851"/>
        <w:rPr>
          <w:sz w:val="24"/>
          <w:szCs w:val="24"/>
        </w:rPr>
      </w:pPr>
    </w:p>
    <w:p w14:paraId="498B8085" w14:textId="77777777" w:rsidR="00AD6ED0" w:rsidRPr="00AD6ED0" w:rsidRDefault="00AD6ED0" w:rsidP="00AD6ED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6ED0">
        <w:rPr>
          <w:sz w:val="24"/>
          <w:szCs w:val="24"/>
        </w:rPr>
        <w:t>Carbomedac</w:t>
      </w:r>
      <w:proofErr w:type="spellEnd"/>
      <w:r w:rsidRPr="00AD6ED0">
        <w:rPr>
          <w:sz w:val="24"/>
          <w:szCs w:val="24"/>
        </w:rPr>
        <w:t xml:space="preserve"> er en klar, farveløs til svagt gul opløsning.</w:t>
      </w:r>
    </w:p>
    <w:p w14:paraId="4DB6771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040E3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A231C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535CFC1B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1407D0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0E16506B" w14:textId="77777777" w:rsidR="00AD6ED0" w:rsidRPr="00AD6ED0" w:rsidRDefault="00AD6ED0" w:rsidP="00AD6ED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D6ED0">
        <w:rPr>
          <w:sz w:val="24"/>
          <w:szCs w:val="24"/>
        </w:rPr>
        <w:t>Carbomedac</w:t>
      </w:r>
      <w:proofErr w:type="spellEnd"/>
      <w:r w:rsidRPr="00AD6ED0">
        <w:rPr>
          <w:sz w:val="24"/>
          <w:szCs w:val="24"/>
        </w:rPr>
        <w:t xml:space="preserve"> alene eller i kombination med andre </w:t>
      </w:r>
      <w:proofErr w:type="spellStart"/>
      <w:r w:rsidRPr="00AD6ED0">
        <w:rPr>
          <w:sz w:val="24"/>
          <w:szCs w:val="24"/>
        </w:rPr>
        <w:t>antineoplastiske</w:t>
      </w:r>
      <w:proofErr w:type="spellEnd"/>
      <w:r w:rsidRPr="00AD6ED0">
        <w:rPr>
          <w:sz w:val="24"/>
          <w:szCs w:val="24"/>
        </w:rPr>
        <w:t xml:space="preserve"> lægemidler er indiceret til behandling af følgende maligne tumorer:</w:t>
      </w:r>
    </w:p>
    <w:p w14:paraId="7115A35B" w14:textId="77777777" w:rsidR="00AD6ED0" w:rsidRPr="00AD6ED0" w:rsidRDefault="00AD6ED0" w:rsidP="006D235A">
      <w:pPr>
        <w:ind w:left="1134" w:hanging="283"/>
        <w:rPr>
          <w:sz w:val="24"/>
          <w:szCs w:val="24"/>
        </w:rPr>
      </w:pPr>
      <w:r w:rsidRPr="00AD6ED0">
        <w:rPr>
          <w:sz w:val="24"/>
          <w:szCs w:val="24"/>
        </w:rPr>
        <w:t>•</w:t>
      </w:r>
      <w:r w:rsidRPr="00AD6ED0">
        <w:rPr>
          <w:sz w:val="24"/>
          <w:szCs w:val="24"/>
        </w:rPr>
        <w:tab/>
        <w:t xml:space="preserve">fremskredent ovariekarcinom af </w:t>
      </w:r>
      <w:proofErr w:type="spellStart"/>
      <w:r w:rsidRPr="00AD6ED0">
        <w:rPr>
          <w:sz w:val="24"/>
          <w:szCs w:val="24"/>
        </w:rPr>
        <w:t>epitelial</w:t>
      </w:r>
      <w:proofErr w:type="spellEnd"/>
      <w:r w:rsidRPr="00AD6ED0">
        <w:rPr>
          <w:sz w:val="24"/>
          <w:szCs w:val="24"/>
        </w:rPr>
        <w:t xml:space="preserve"> oprindelse</w:t>
      </w:r>
    </w:p>
    <w:p w14:paraId="6628C534" w14:textId="77777777" w:rsidR="00AD6ED0" w:rsidRPr="00AD6ED0" w:rsidRDefault="00AD6ED0" w:rsidP="006D235A">
      <w:pPr>
        <w:ind w:left="1134"/>
        <w:rPr>
          <w:sz w:val="24"/>
          <w:szCs w:val="24"/>
        </w:rPr>
      </w:pPr>
      <w:r w:rsidRPr="00AD6ED0">
        <w:rPr>
          <w:sz w:val="24"/>
          <w:szCs w:val="24"/>
        </w:rPr>
        <w:t>a) første linje-behandling</w:t>
      </w:r>
    </w:p>
    <w:p w14:paraId="45225281" w14:textId="77777777" w:rsidR="00AD6ED0" w:rsidRPr="00AD6ED0" w:rsidRDefault="00AD6ED0" w:rsidP="006D235A">
      <w:pPr>
        <w:ind w:left="1134"/>
        <w:rPr>
          <w:sz w:val="24"/>
          <w:szCs w:val="24"/>
        </w:rPr>
      </w:pPr>
      <w:r w:rsidRPr="00AD6ED0">
        <w:rPr>
          <w:sz w:val="24"/>
          <w:szCs w:val="24"/>
        </w:rPr>
        <w:lastRenderedPageBreak/>
        <w:t>b) anden linje-behandling, når andre behandlinger har været resultatløse</w:t>
      </w:r>
    </w:p>
    <w:p w14:paraId="50C3E6F2" w14:textId="77777777" w:rsidR="00AD6ED0" w:rsidRPr="00AD6ED0" w:rsidRDefault="00AD6ED0" w:rsidP="006D235A">
      <w:pPr>
        <w:ind w:left="1134" w:hanging="283"/>
        <w:rPr>
          <w:sz w:val="24"/>
          <w:szCs w:val="24"/>
        </w:rPr>
      </w:pPr>
      <w:r w:rsidRPr="00AD6ED0">
        <w:rPr>
          <w:sz w:val="24"/>
          <w:szCs w:val="24"/>
        </w:rPr>
        <w:t>•</w:t>
      </w:r>
      <w:r w:rsidRPr="00AD6ED0">
        <w:rPr>
          <w:sz w:val="24"/>
          <w:szCs w:val="24"/>
        </w:rPr>
        <w:tab/>
        <w:t>småcellet lungekarcinom</w:t>
      </w:r>
    </w:p>
    <w:p w14:paraId="17FE359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5AC2A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431BEF31" w14:textId="77777777" w:rsidR="007B5CB3" w:rsidRPr="007B5CB3" w:rsidRDefault="007B5CB3" w:rsidP="007B5CB3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8E71567" w14:textId="77777777" w:rsidR="004D0D42" w:rsidRPr="00B63CD0" w:rsidRDefault="004D0D42" w:rsidP="004D0D42">
      <w:pPr>
        <w:tabs>
          <w:tab w:val="left" w:pos="851"/>
        </w:tabs>
        <w:ind w:left="851"/>
        <w:rPr>
          <w:b/>
          <w:sz w:val="24"/>
          <w:szCs w:val="24"/>
        </w:rPr>
      </w:pPr>
      <w:r w:rsidRPr="00B63CD0">
        <w:rPr>
          <w:b/>
          <w:sz w:val="24"/>
          <w:szCs w:val="24"/>
        </w:rPr>
        <w:t>Dosering</w:t>
      </w:r>
    </w:p>
    <w:p w14:paraId="642CED8D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Den anbefalede dosis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hos tidligere ubehandlede voksne patienter med normal nyrefunktion er 400 mg/m² administreret som en intravenøs enkeltdosis-infusion over 15 til 60 minutter. Alternativt henvises til nedenstående </w:t>
      </w:r>
      <w:proofErr w:type="spellStart"/>
      <w:r w:rsidRPr="00B63CD0">
        <w:rPr>
          <w:sz w:val="24"/>
          <w:szCs w:val="24"/>
        </w:rPr>
        <w:t>Calvert</w:t>
      </w:r>
      <w:proofErr w:type="spellEnd"/>
      <w:r w:rsidRPr="00B63CD0">
        <w:rPr>
          <w:sz w:val="24"/>
          <w:szCs w:val="24"/>
        </w:rPr>
        <w:t>-formel:</w:t>
      </w:r>
    </w:p>
    <w:p w14:paraId="2AA231F6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Dosis (mg) = mål-AUC (mg/ml x min.) x [</w:t>
      </w:r>
      <w:proofErr w:type="gramStart"/>
      <w:r w:rsidRPr="00B63CD0">
        <w:rPr>
          <w:sz w:val="24"/>
          <w:szCs w:val="24"/>
        </w:rPr>
        <w:t>GFR ml/min.</w:t>
      </w:r>
      <w:proofErr w:type="gramEnd"/>
      <w:r w:rsidRPr="00B63CD0">
        <w:rPr>
          <w:sz w:val="24"/>
          <w:szCs w:val="24"/>
        </w:rPr>
        <w:t> + 25]</w:t>
      </w:r>
    </w:p>
    <w:p w14:paraId="2B6367E3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1F9527D0" w14:textId="77777777" w:rsidR="004D0D42" w:rsidRPr="00B63CD0" w:rsidRDefault="004D0D42" w:rsidP="004D0D42">
      <w:pPr>
        <w:tabs>
          <w:tab w:val="left" w:pos="851"/>
          <w:tab w:val="left" w:pos="3119"/>
          <w:tab w:val="left" w:pos="6521"/>
        </w:tabs>
        <w:ind w:left="851"/>
        <w:rPr>
          <w:sz w:val="24"/>
          <w:szCs w:val="24"/>
        </w:rPr>
      </w:pPr>
      <w:r w:rsidRPr="00B63CD0">
        <w:rPr>
          <w:b/>
          <w:bCs/>
          <w:sz w:val="24"/>
          <w:szCs w:val="24"/>
          <w:u w:val="single"/>
        </w:rPr>
        <w:t>Mål-AUC</w:t>
      </w:r>
      <w:r w:rsidRPr="00B63CD0">
        <w:rPr>
          <w:b/>
          <w:bCs/>
          <w:sz w:val="24"/>
          <w:szCs w:val="24"/>
          <w:u w:val="single"/>
        </w:rPr>
        <w:tab/>
        <w:t>Planlagt kemoterapi</w:t>
      </w:r>
      <w:r w:rsidRPr="00B63CD0">
        <w:rPr>
          <w:b/>
          <w:bCs/>
          <w:sz w:val="24"/>
          <w:szCs w:val="24"/>
          <w:u w:val="single"/>
        </w:rPr>
        <w:tab/>
        <w:t>Patientens behandlingsstatus</w:t>
      </w:r>
    </w:p>
    <w:p w14:paraId="382520D1" w14:textId="77777777" w:rsidR="004D0D42" w:rsidRPr="00B63CD0" w:rsidRDefault="004D0D42" w:rsidP="004D0D42">
      <w:pPr>
        <w:tabs>
          <w:tab w:val="left" w:pos="851"/>
          <w:tab w:val="left" w:pos="3119"/>
          <w:tab w:val="left" w:pos="652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5 – 7 mg/ml min.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-monoterapi</w:t>
      </w:r>
      <w:r w:rsidRPr="00B63CD0">
        <w:rPr>
          <w:sz w:val="24"/>
          <w:szCs w:val="24"/>
        </w:rPr>
        <w:tab/>
        <w:t>tidligere ubehandlet</w:t>
      </w:r>
    </w:p>
    <w:p w14:paraId="0368CBFE" w14:textId="77777777" w:rsidR="004D0D42" w:rsidRPr="00B63CD0" w:rsidRDefault="004D0D42" w:rsidP="004D0D42">
      <w:pPr>
        <w:tabs>
          <w:tab w:val="left" w:pos="3119"/>
          <w:tab w:val="left" w:pos="6521"/>
        </w:tabs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4 – 6 mg/ml min.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-monoterapi</w:t>
      </w:r>
      <w:r w:rsidRPr="00B63CD0">
        <w:rPr>
          <w:sz w:val="24"/>
          <w:szCs w:val="24"/>
        </w:rPr>
        <w:tab/>
        <w:t>tidligere behandlet</w:t>
      </w:r>
    </w:p>
    <w:p w14:paraId="66668F7C" w14:textId="77777777" w:rsidR="004D0D42" w:rsidRPr="00B63CD0" w:rsidRDefault="004D0D42" w:rsidP="004D0D42">
      <w:pPr>
        <w:tabs>
          <w:tab w:val="left" w:pos="851"/>
          <w:tab w:val="left" w:pos="3119"/>
          <w:tab w:val="left" w:pos="652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4 – 6 mg/ml min.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plus </w:t>
      </w:r>
      <w:proofErr w:type="spellStart"/>
      <w:r w:rsidRPr="00B63CD0">
        <w:rPr>
          <w:sz w:val="24"/>
          <w:szCs w:val="24"/>
        </w:rPr>
        <w:t>cyclophosphamid</w:t>
      </w:r>
      <w:proofErr w:type="spellEnd"/>
      <w:r w:rsidRPr="00B63CD0">
        <w:rPr>
          <w:sz w:val="24"/>
          <w:szCs w:val="24"/>
        </w:rPr>
        <w:tab/>
        <w:t>tidligere ubehandlet</w:t>
      </w:r>
    </w:p>
    <w:p w14:paraId="079B7B71" w14:textId="77777777" w:rsidR="004D0D42" w:rsidRPr="00B63CD0" w:rsidRDefault="004D0D42" w:rsidP="004D0D42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72DB4709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i/>
          <w:iCs/>
          <w:sz w:val="24"/>
          <w:szCs w:val="24"/>
        </w:rPr>
        <w:t xml:space="preserve">Bemærk: </w:t>
      </w:r>
      <w:proofErr w:type="spellStart"/>
      <w:r w:rsidRPr="00B63CD0">
        <w:rPr>
          <w:i/>
          <w:iCs/>
          <w:sz w:val="24"/>
          <w:szCs w:val="24"/>
        </w:rPr>
        <w:t>Calvert</w:t>
      </w:r>
      <w:proofErr w:type="spellEnd"/>
      <w:r w:rsidRPr="00B63CD0">
        <w:rPr>
          <w:i/>
          <w:iCs/>
          <w:sz w:val="24"/>
          <w:szCs w:val="24"/>
        </w:rPr>
        <w:t xml:space="preserve">-formlen beregner den samlede dosis </w:t>
      </w:r>
      <w:proofErr w:type="spellStart"/>
      <w:r w:rsidRPr="00B63CD0">
        <w:rPr>
          <w:i/>
          <w:iCs/>
          <w:sz w:val="24"/>
          <w:szCs w:val="24"/>
        </w:rPr>
        <w:t>carboplatin</w:t>
      </w:r>
      <w:proofErr w:type="spellEnd"/>
      <w:r w:rsidRPr="00B63CD0">
        <w:rPr>
          <w:i/>
          <w:iCs/>
          <w:sz w:val="24"/>
          <w:szCs w:val="24"/>
        </w:rPr>
        <w:t xml:space="preserve"> i mg og ikke i mg/m².</w:t>
      </w:r>
    </w:p>
    <w:p w14:paraId="61410BD2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176F5254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Calvert</w:t>
      </w:r>
      <w:proofErr w:type="spellEnd"/>
      <w:r w:rsidRPr="00B63CD0">
        <w:rPr>
          <w:sz w:val="24"/>
          <w:szCs w:val="24"/>
        </w:rPr>
        <w:t>-formlen må ikke bruges til patienter, der før behandlingen har fået omfattende behandling med følgende regimer:</w:t>
      </w:r>
    </w:p>
    <w:p w14:paraId="24B62E98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Mitomycin</w:t>
      </w:r>
      <w:proofErr w:type="spellEnd"/>
      <w:r w:rsidRPr="00B63CD0">
        <w:rPr>
          <w:sz w:val="24"/>
          <w:szCs w:val="24"/>
        </w:rPr>
        <w:t> C</w:t>
      </w:r>
    </w:p>
    <w:p w14:paraId="7C263B08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Nitrosourea</w:t>
      </w:r>
      <w:proofErr w:type="spellEnd"/>
    </w:p>
    <w:p w14:paraId="61B39C7D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  <w:t xml:space="preserve">Kombinationsbehandling med </w:t>
      </w:r>
      <w:proofErr w:type="spellStart"/>
      <w:r w:rsidRPr="00B63CD0">
        <w:rPr>
          <w:sz w:val="24"/>
          <w:szCs w:val="24"/>
        </w:rPr>
        <w:t>doxorubicin</w:t>
      </w:r>
      <w:proofErr w:type="spellEnd"/>
      <w:r w:rsidRPr="00B63CD0">
        <w:rPr>
          <w:sz w:val="24"/>
          <w:szCs w:val="24"/>
        </w:rPr>
        <w:t>/</w:t>
      </w:r>
      <w:proofErr w:type="spellStart"/>
      <w:r w:rsidRPr="00B63CD0">
        <w:rPr>
          <w:sz w:val="24"/>
          <w:szCs w:val="24"/>
        </w:rPr>
        <w:t>cyclophosphamid</w:t>
      </w:r>
      <w:proofErr w:type="spellEnd"/>
      <w:r w:rsidRPr="00B63CD0">
        <w:rPr>
          <w:sz w:val="24"/>
          <w:szCs w:val="24"/>
        </w:rPr>
        <w:t>/</w:t>
      </w:r>
      <w:proofErr w:type="spellStart"/>
      <w:r w:rsidRPr="00B63CD0">
        <w:rPr>
          <w:sz w:val="24"/>
          <w:szCs w:val="24"/>
        </w:rPr>
        <w:t>cisplatin</w:t>
      </w:r>
      <w:proofErr w:type="spellEnd"/>
    </w:p>
    <w:p w14:paraId="4287478B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  <w:t>Kombinationsbehandling med 5 eller flere stoffer</w:t>
      </w:r>
    </w:p>
    <w:p w14:paraId="5AD07B0F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  <w:t>Strålebehandling ≥ 4.500 rad, med fokus på et 20 x 20 cm område eller på mere end et område.</w:t>
      </w:r>
    </w:p>
    <w:p w14:paraId="0B0DC6F1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2A95D2E2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bør afbrydes, hvis tumoren ikke reagerer, sygdommen progredierer, og/eller der opstår ikke-tålelige bivirkninger.</w:t>
      </w:r>
    </w:p>
    <w:p w14:paraId="50C7FEF1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238C5166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Behandlingen bør ikke gentages før efter fire uger efter det tidligere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-forløb, og/eller før </w:t>
      </w:r>
      <w:proofErr w:type="spellStart"/>
      <w:r w:rsidRPr="00B63CD0">
        <w:rPr>
          <w:sz w:val="24"/>
          <w:szCs w:val="24"/>
        </w:rPr>
        <w:t>neutrofil</w:t>
      </w:r>
      <w:proofErr w:type="spellEnd"/>
      <w:r w:rsidRPr="00B63CD0">
        <w:rPr>
          <w:sz w:val="24"/>
          <w:szCs w:val="24"/>
        </w:rPr>
        <w:t xml:space="preserve">-tallet er på mindst 2.000 celler/mm³, og blodpladetallet er på mindst 100.000 celler/mm³ </w:t>
      </w:r>
      <w:r w:rsidRPr="004D0D42">
        <w:rPr>
          <w:sz w:val="24"/>
          <w:szCs w:val="24"/>
        </w:rPr>
        <w:t>(se pkt. 4.4)</w:t>
      </w:r>
      <w:r w:rsidRPr="00B63CD0">
        <w:rPr>
          <w:sz w:val="24"/>
          <w:szCs w:val="24"/>
        </w:rPr>
        <w:t>.</w:t>
      </w:r>
    </w:p>
    <w:p w14:paraId="591B7478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0D500533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Det anbefales at nedsætte den initiale dosis med 20 – 25 % hos patienter med risikofaktorer såsom tidligere </w:t>
      </w:r>
      <w:proofErr w:type="spellStart"/>
      <w:r w:rsidRPr="00B63CD0">
        <w:rPr>
          <w:sz w:val="24"/>
          <w:szCs w:val="24"/>
        </w:rPr>
        <w:t>myelosuppressiv</w:t>
      </w:r>
      <w:proofErr w:type="spellEnd"/>
      <w:r w:rsidRPr="00B63CD0">
        <w:rPr>
          <w:sz w:val="24"/>
          <w:szCs w:val="24"/>
        </w:rPr>
        <w:t xml:space="preserve"> behandling </w:t>
      </w:r>
      <w:r w:rsidRPr="004D0D42">
        <w:rPr>
          <w:sz w:val="24"/>
          <w:szCs w:val="24"/>
        </w:rPr>
        <w:t>(se også pkt. 4.4)</w:t>
      </w:r>
      <w:r w:rsidRPr="00B63CD0">
        <w:rPr>
          <w:sz w:val="24"/>
          <w:szCs w:val="24"/>
        </w:rPr>
        <w:t xml:space="preserve"> og dårlig performancestatus (ECOG-</w:t>
      </w:r>
      <w:proofErr w:type="spellStart"/>
      <w:r w:rsidRPr="00B63CD0">
        <w:rPr>
          <w:sz w:val="24"/>
          <w:szCs w:val="24"/>
        </w:rPr>
        <w:t>Zubrod</w:t>
      </w:r>
      <w:proofErr w:type="spellEnd"/>
      <w:r w:rsidRPr="00B63CD0">
        <w:rPr>
          <w:sz w:val="24"/>
          <w:szCs w:val="24"/>
        </w:rPr>
        <w:t xml:space="preserve"> 2 – 4 eller </w:t>
      </w:r>
      <w:proofErr w:type="spellStart"/>
      <w:r w:rsidRPr="00B63CD0">
        <w:rPr>
          <w:sz w:val="24"/>
          <w:szCs w:val="24"/>
        </w:rPr>
        <w:t>Karnofsky</w:t>
      </w:r>
      <w:proofErr w:type="spellEnd"/>
      <w:r w:rsidRPr="00B63CD0">
        <w:rPr>
          <w:sz w:val="24"/>
          <w:szCs w:val="24"/>
        </w:rPr>
        <w:t xml:space="preserve"> under 80).</w:t>
      </w:r>
    </w:p>
    <w:p w14:paraId="51E434B1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3AC648DC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Det anbefales at bestemme hæmatologisk nadir ved ugentlige blodtællinger i de initiale forløb af behandlingen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med henblik på fremtidig dosisjustering.</w:t>
      </w:r>
    </w:p>
    <w:p w14:paraId="63E6029A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09FEB041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Ældre</w:t>
      </w:r>
    </w:p>
    <w:p w14:paraId="0ABC6D15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Det kan være nødvendigt at foretage dosisjustering initialt eller efterfølgende, afhængigt af patientens fysiske tilstand </w:t>
      </w:r>
      <w:r w:rsidRPr="004D0D42">
        <w:rPr>
          <w:sz w:val="24"/>
          <w:szCs w:val="24"/>
        </w:rPr>
        <w:t>(se pkt. 4.4)</w:t>
      </w:r>
      <w:r w:rsidRPr="00B63CD0">
        <w:rPr>
          <w:sz w:val="24"/>
          <w:szCs w:val="24"/>
        </w:rPr>
        <w:t>.</w:t>
      </w:r>
    </w:p>
    <w:p w14:paraId="79B16C55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2695F171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Nedsat nyrefunktion</w:t>
      </w:r>
    </w:p>
    <w:p w14:paraId="615C3991" w14:textId="77777777" w:rsidR="004D0D42" w:rsidRPr="004D0D42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4D0D42">
        <w:rPr>
          <w:sz w:val="24"/>
          <w:szCs w:val="24"/>
        </w:rPr>
        <w:t xml:space="preserve">For at opnå optimal brug af </w:t>
      </w:r>
      <w:proofErr w:type="spellStart"/>
      <w:r w:rsidRPr="004D0D42">
        <w:rPr>
          <w:sz w:val="24"/>
          <w:szCs w:val="24"/>
        </w:rPr>
        <w:t>carboplatin</w:t>
      </w:r>
      <w:proofErr w:type="spellEnd"/>
      <w:r w:rsidRPr="004D0D42">
        <w:rPr>
          <w:sz w:val="24"/>
          <w:szCs w:val="24"/>
        </w:rPr>
        <w:t xml:space="preserve"> hos patienter med nedsat nyrefunktion, skal dosisjusteringerne være tilstrækkelige, og både hæmatologiske nadir-værdier og nyrefunktionen skal monitoreres hyppigt (se pkt. 4.4).</w:t>
      </w:r>
    </w:p>
    <w:p w14:paraId="2A194E63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7E0F638" w14:textId="10408342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lastRenderedPageBreak/>
        <w:t xml:space="preserve">Patienter med </w:t>
      </w:r>
      <w:proofErr w:type="spellStart"/>
      <w:r w:rsidRPr="00B63CD0">
        <w:rPr>
          <w:sz w:val="24"/>
          <w:szCs w:val="24"/>
        </w:rPr>
        <w:t>kreatininclearance</w:t>
      </w:r>
      <w:proofErr w:type="spellEnd"/>
      <w:r w:rsidRPr="00B63CD0">
        <w:rPr>
          <w:sz w:val="24"/>
          <w:szCs w:val="24"/>
        </w:rPr>
        <w:t xml:space="preserve"> under 60 ml/min har </w:t>
      </w:r>
      <w:r w:rsidRPr="00B63CD0">
        <w:rPr>
          <w:sz w:val="22"/>
          <w:szCs w:val="22"/>
        </w:rPr>
        <w:t>forhøjet</w:t>
      </w:r>
      <w:r w:rsidRPr="00B63CD0">
        <w:rPr>
          <w:sz w:val="24"/>
          <w:szCs w:val="24"/>
        </w:rPr>
        <w:t xml:space="preserve"> risiko for svær </w:t>
      </w:r>
      <w:proofErr w:type="spellStart"/>
      <w:r w:rsidRPr="00B63CD0">
        <w:rPr>
          <w:sz w:val="24"/>
          <w:szCs w:val="24"/>
        </w:rPr>
        <w:t>myelosuppression</w:t>
      </w:r>
      <w:proofErr w:type="spellEnd"/>
      <w:r w:rsidRPr="00B63CD0">
        <w:rPr>
          <w:sz w:val="24"/>
          <w:szCs w:val="24"/>
        </w:rPr>
        <w:t xml:space="preserve">. Hyppigheden af svær </w:t>
      </w:r>
      <w:proofErr w:type="spellStart"/>
      <w:r w:rsidRPr="00B63CD0">
        <w:rPr>
          <w:sz w:val="24"/>
          <w:szCs w:val="24"/>
        </w:rPr>
        <w:t>leukopeni</w:t>
      </w:r>
      <w:proofErr w:type="spellEnd"/>
      <w:r w:rsidRPr="00B63CD0">
        <w:rPr>
          <w:sz w:val="24"/>
          <w:szCs w:val="24"/>
        </w:rPr>
        <w:t xml:space="preserve">, </w:t>
      </w:r>
      <w:proofErr w:type="spellStart"/>
      <w:r w:rsidRPr="00B63CD0">
        <w:rPr>
          <w:sz w:val="24"/>
          <w:szCs w:val="24"/>
        </w:rPr>
        <w:t>neutropeni</w:t>
      </w:r>
      <w:proofErr w:type="spellEnd"/>
      <w:r w:rsidRPr="00B63CD0">
        <w:rPr>
          <w:sz w:val="24"/>
          <w:szCs w:val="24"/>
        </w:rPr>
        <w:t xml:space="preserve"> eller </w:t>
      </w:r>
      <w:proofErr w:type="spellStart"/>
      <w:r w:rsidRPr="00B63CD0">
        <w:rPr>
          <w:sz w:val="24"/>
          <w:szCs w:val="24"/>
        </w:rPr>
        <w:t>trombocytopeni</w:t>
      </w:r>
      <w:proofErr w:type="spellEnd"/>
      <w:r w:rsidRPr="00B63CD0">
        <w:rPr>
          <w:sz w:val="24"/>
          <w:szCs w:val="24"/>
        </w:rPr>
        <w:t xml:space="preserve"> er blevet holdt på omkring 25 % med følgende dosisanbefalinger:</w:t>
      </w:r>
    </w:p>
    <w:p w14:paraId="7C529C67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977"/>
      </w:tblGrid>
      <w:tr w:rsidR="004D0D42" w:rsidRPr="00B63CD0" w14:paraId="4673D0FF" w14:textId="77777777" w:rsidTr="004D0D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285D" w14:textId="77777777" w:rsidR="004D0D42" w:rsidRPr="00B63CD0" w:rsidRDefault="004D0D42" w:rsidP="004D0D42">
            <w:pPr>
              <w:rPr>
                <w:sz w:val="24"/>
                <w:szCs w:val="24"/>
              </w:rPr>
            </w:pPr>
            <w:proofErr w:type="spellStart"/>
            <w:r w:rsidRPr="00B63CD0">
              <w:rPr>
                <w:sz w:val="24"/>
                <w:szCs w:val="24"/>
              </w:rPr>
              <w:t>Kreatininclearance</w:t>
            </w:r>
            <w:proofErr w:type="spellEnd"/>
            <w:r w:rsidRPr="00B63CD0">
              <w:rPr>
                <w:sz w:val="24"/>
                <w:szCs w:val="24"/>
              </w:rPr>
              <w:t xml:space="preserve"> ved </w:t>
            </w:r>
            <w:r w:rsidRPr="00B63CD0">
              <w:rPr>
                <w:i/>
                <w:iCs/>
                <w:sz w:val="24"/>
                <w:szCs w:val="24"/>
              </w:rPr>
              <w:t>baseline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1E86" w14:textId="77777777" w:rsidR="004D0D42" w:rsidRPr="00B63CD0" w:rsidRDefault="004D0D42" w:rsidP="004D0D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63CD0">
              <w:rPr>
                <w:sz w:val="24"/>
                <w:szCs w:val="24"/>
              </w:rPr>
              <w:t>Første dosis (dag 1)</w:t>
            </w:r>
          </w:p>
        </w:tc>
      </w:tr>
      <w:tr w:rsidR="004D0D42" w:rsidRPr="00B63CD0" w14:paraId="7F1490AA" w14:textId="77777777" w:rsidTr="004D0D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A11" w14:textId="77777777" w:rsidR="004D0D42" w:rsidRPr="00B63CD0" w:rsidRDefault="004D0D42" w:rsidP="004D0D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63CD0">
              <w:rPr>
                <w:sz w:val="24"/>
                <w:szCs w:val="24"/>
              </w:rPr>
              <w:t>41 – 59 ml/min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2971" w14:textId="77777777" w:rsidR="004D0D42" w:rsidRPr="00B63CD0" w:rsidRDefault="004D0D42" w:rsidP="004D0D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63CD0">
              <w:rPr>
                <w:sz w:val="24"/>
                <w:szCs w:val="24"/>
              </w:rPr>
              <w:t xml:space="preserve">250 mg/m² </w:t>
            </w:r>
            <w:proofErr w:type="spellStart"/>
            <w:r w:rsidRPr="00B63CD0">
              <w:rPr>
                <w:sz w:val="24"/>
                <w:szCs w:val="24"/>
              </w:rPr>
              <w:t>i.v</w:t>
            </w:r>
            <w:proofErr w:type="spellEnd"/>
            <w:r w:rsidRPr="00B63CD0">
              <w:rPr>
                <w:sz w:val="24"/>
                <w:szCs w:val="24"/>
              </w:rPr>
              <w:t>.</w:t>
            </w:r>
          </w:p>
        </w:tc>
      </w:tr>
      <w:tr w:rsidR="004D0D42" w:rsidRPr="00B63CD0" w14:paraId="761891F9" w14:textId="77777777" w:rsidTr="004D0D4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C7F0" w14:textId="77777777" w:rsidR="004D0D42" w:rsidRPr="00B63CD0" w:rsidRDefault="004D0D42" w:rsidP="004D0D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63CD0">
              <w:rPr>
                <w:sz w:val="24"/>
                <w:szCs w:val="24"/>
              </w:rPr>
              <w:t>16 – 40 ml/min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1789" w14:textId="77777777" w:rsidR="004D0D42" w:rsidRPr="00B63CD0" w:rsidRDefault="004D0D42" w:rsidP="004D0D4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63CD0">
              <w:rPr>
                <w:sz w:val="24"/>
                <w:szCs w:val="24"/>
              </w:rPr>
              <w:t xml:space="preserve">200 mg/m² </w:t>
            </w:r>
            <w:proofErr w:type="spellStart"/>
            <w:r w:rsidRPr="00B63CD0">
              <w:rPr>
                <w:sz w:val="24"/>
                <w:szCs w:val="24"/>
              </w:rPr>
              <w:t>i.v</w:t>
            </w:r>
            <w:proofErr w:type="spellEnd"/>
            <w:r w:rsidRPr="00B63CD0">
              <w:rPr>
                <w:sz w:val="24"/>
                <w:szCs w:val="24"/>
              </w:rPr>
              <w:t>.</w:t>
            </w:r>
          </w:p>
        </w:tc>
      </w:tr>
    </w:tbl>
    <w:p w14:paraId="27A4E7EF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7C6273A4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Hos patienter med </w:t>
      </w:r>
      <w:proofErr w:type="spellStart"/>
      <w:r w:rsidRPr="00B63CD0">
        <w:rPr>
          <w:sz w:val="24"/>
          <w:szCs w:val="24"/>
        </w:rPr>
        <w:t>kreatininclearance</w:t>
      </w:r>
      <w:proofErr w:type="spellEnd"/>
      <w:r w:rsidRPr="00B63CD0">
        <w:rPr>
          <w:sz w:val="24"/>
          <w:szCs w:val="24"/>
        </w:rPr>
        <w:t xml:space="preserve"> under 30 ml/min skal der foretages en individuel benefit/</w:t>
      </w:r>
      <w:proofErr w:type="spellStart"/>
      <w:r w:rsidRPr="00B63CD0">
        <w:rPr>
          <w:sz w:val="24"/>
          <w:szCs w:val="24"/>
        </w:rPr>
        <w:t>risk</w:t>
      </w:r>
      <w:proofErr w:type="spellEnd"/>
      <w:r w:rsidRPr="00B63CD0">
        <w:rPr>
          <w:sz w:val="24"/>
          <w:szCs w:val="24"/>
        </w:rPr>
        <w:t xml:space="preserve">-vurdering før påbegyndelse af 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.</w:t>
      </w:r>
    </w:p>
    <w:p w14:paraId="67FB6724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32B0C6FE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Der foreligger utilstrækkelige data om anvendelse af </w:t>
      </w:r>
      <w:proofErr w:type="spellStart"/>
      <w:r w:rsidRPr="00B63CD0">
        <w:rPr>
          <w:sz w:val="24"/>
          <w:szCs w:val="24"/>
        </w:rPr>
        <w:t>carboplatininjektion</w:t>
      </w:r>
      <w:proofErr w:type="spellEnd"/>
      <w:r w:rsidRPr="00B63CD0">
        <w:rPr>
          <w:sz w:val="24"/>
          <w:szCs w:val="24"/>
        </w:rPr>
        <w:t xml:space="preserve"> hos patienter med </w:t>
      </w:r>
      <w:proofErr w:type="spellStart"/>
      <w:r w:rsidRPr="00B63CD0">
        <w:rPr>
          <w:sz w:val="24"/>
          <w:szCs w:val="24"/>
        </w:rPr>
        <w:t>kreatininclearance</w:t>
      </w:r>
      <w:proofErr w:type="spellEnd"/>
      <w:r w:rsidRPr="00B63CD0">
        <w:rPr>
          <w:sz w:val="24"/>
          <w:szCs w:val="24"/>
        </w:rPr>
        <w:t xml:space="preserve"> på 15 ml/min eller derunder, til at tillade en behandlingsanbefaling.</w:t>
      </w:r>
    </w:p>
    <w:p w14:paraId="42CEBBDD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68BAB3DC" w14:textId="15F839C5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Alle ovenstående dosisanbefalinger gælder for det første behandlingsforløb. Efterfølgende doser skal justeres i henhold til patientens tolerance og det acceptable </w:t>
      </w:r>
      <w:proofErr w:type="spellStart"/>
      <w:r w:rsidRPr="00B63CD0">
        <w:rPr>
          <w:sz w:val="24"/>
          <w:szCs w:val="24"/>
        </w:rPr>
        <w:t>myelosuppressionsniveau</w:t>
      </w:r>
      <w:proofErr w:type="spellEnd"/>
      <w:r w:rsidRPr="00B63CD0">
        <w:rPr>
          <w:sz w:val="24"/>
          <w:szCs w:val="24"/>
        </w:rPr>
        <w:t>.</w:t>
      </w:r>
    </w:p>
    <w:p w14:paraId="3FACCC20" w14:textId="77777777" w:rsidR="004D0D42" w:rsidRPr="00B63CD0" w:rsidRDefault="004D0D42" w:rsidP="004D0D42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14:paraId="631FB8EC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Kombinationsbehandling</w:t>
      </w:r>
    </w:p>
    <w:p w14:paraId="530612A5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For at opnå optimal brug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i kombination med andre </w:t>
      </w:r>
      <w:proofErr w:type="spellStart"/>
      <w:r w:rsidRPr="00B63CD0">
        <w:rPr>
          <w:sz w:val="24"/>
          <w:szCs w:val="24"/>
        </w:rPr>
        <w:t>myelosuppressive</w:t>
      </w:r>
      <w:proofErr w:type="spellEnd"/>
      <w:r w:rsidRPr="00B63CD0">
        <w:rPr>
          <w:sz w:val="24"/>
          <w:szCs w:val="24"/>
        </w:rPr>
        <w:t xml:space="preserve"> stoffer, skal der foretages dosisjusteringer i henhold til </w:t>
      </w:r>
      <w:proofErr w:type="spellStart"/>
      <w:r w:rsidRPr="00B63CD0">
        <w:rPr>
          <w:sz w:val="24"/>
          <w:szCs w:val="24"/>
        </w:rPr>
        <w:t>regimen</w:t>
      </w:r>
      <w:proofErr w:type="spellEnd"/>
      <w:r w:rsidRPr="00B63CD0">
        <w:rPr>
          <w:sz w:val="24"/>
          <w:szCs w:val="24"/>
        </w:rPr>
        <w:t xml:space="preserve"> og behandlingsplan </w:t>
      </w:r>
      <w:r w:rsidRPr="004D0D42">
        <w:rPr>
          <w:sz w:val="24"/>
          <w:szCs w:val="24"/>
        </w:rPr>
        <w:t>(se pkt. 4.4)</w:t>
      </w:r>
      <w:r w:rsidRPr="00B63CD0">
        <w:rPr>
          <w:sz w:val="24"/>
          <w:szCs w:val="24"/>
        </w:rPr>
        <w:t>.</w:t>
      </w:r>
    </w:p>
    <w:p w14:paraId="2B0626C6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260A43D0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Pædiatrisk population</w:t>
      </w:r>
    </w:p>
    <w:p w14:paraId="72D839C8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Da der ikke er tilstrækkelig erfaring med brug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hos børn, kan der ikke gives nogen specifikke dosisanbefalinger.</w:t>
      </w:r>
    </w:p>
    <w:p w14:paraId="6C2DA8D6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EB30B43" w14:textId="77777777" w:rsidR="004D0D42" w:rsidRPr="00B63CD0" w:rsidRDefault="004D0D42" w:rsidP="004D0D42">
      <w:pPr>
        <w:tabs>
          <w:tab w:val="left" w:pos="851"/>
        </w:tabs>
        <w:ind w:left="851"/>
        <w:rPr>
          <w:b/>
          <w:sz w:val="24"/>
          <w:szCs w:val="24"/>
        </w:rPr>
      </w:pPr>
      <w:r w:rsidRPr="00B63CD0">
        <w:rPr>
          <w:b/>
          <w:sz w:val="24"/>
          <w:szCs w:val="24"/>
        </w:rPr>
        <w:t>Administration</w:t>
      </w:r>
    </w:p>
    <w:p w14:paraId="25C3C403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må kun anvendes intravenøst.</w:t>
      </w:r>
    </w:p>
    <w:p w14:paraId="6243632E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4E40CF79" w14:textId="77777777" w:rsidR="004D0D42" w:rsidRPr="00B63CD0" w:rsidRDefault="004D0D42" w:rsidP="004D0D42">
      <w:pPr>
        <w:tabs>
          <w:tab w:val="left" w:pos="851"/>
        </w:tabs>
        <w:ind w:left="851"/>
        <w:rPr>
          <w:i/>
          <w:sz w:val="24"/>
          <w:szCs w:val="24"/>
        </w:rPr>
      </w:pPr>
      <w:r w:rsidRPr="00B63CD0">
        <w:rPr>
          <w:i/>
          <w:sz w:val="24"/>
          <w:szCs w:val="24"/>
        </w:rPr>
        <w:t>Sikkerhedsforanstaltninger, der skal tages før håndtering eller administration af lægemidlet</w:t>
      </w:r>
    </w:p>
    <w:p w14:paraId="27644726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4D0A4FC0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Fortynding</w:t>
      </w:r>
    </w:p>
    <w:p w14:paraId="1FA25583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Lægemidlet må fortyndes med 50 mg/ml (5 %) </w:t>
      </w:r>
      <w:proofErr w:type="spellStart"/>
      <w:r w:rsidRPr="00B63CD0">
        <w:rPr>
          <w:sz w:val="24"/>
          <w:szCs w:val="24"/>
        </w:rPr>
        <w:t>glucoseinfusionsvæske</w:t>
      </w:r>
      <w:proofErr w:type="spellEnd"/>
      <w:r w:rsidRPr="00B63CD0">
        <w:rPr>
          <w:sz w:val="24"/>
          <w:szCs w:val="24"/>
        </w:rPr>
        <w:t>, opløsning, til koncentrationer mellem 0,4 – 2 mg/ml, eller 9 mg/ml (0,9 %) natriumkloridinfusionsvæske, opløsning, til en koncentration på 2 mg/ml.</w:t>
      </w:r>
    </w:p>
    <w:p w14:paraId="31B7577C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6BF40874" w14:textId="3C01F01F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kan interagere med aluminium under dannelse af sort bundfald. Kanyler, injektionssprøjter, katetre eller </w:t>
      </w:r>
      <w:proofErr w:type="spellStart"/>
      <w:r w:rsidRPr="00B63CD0">
        <w:rPr>
          <w:sz w:val="24"/>
          <w:szCs w:val="24"/>
        </w:rPr>
        <w:t>i.v</w:t>
      </w:r>
      <w:proofErr w:type="spellEnd"/>
      <w:r w:rsidRPr="00B63CD0">
        <w:rPr>
          <w:sz w:val="24"/>
          <w:szCs w:val="24"/>
        </w:rPr>
        <w:t xml:space="preserve">.-administrationssæt, der indeholder dele af aluminium, som kan komme i kontakt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, må ikke anvendes til klargøring eller administration af lægemidlet (se pkt. 6.2).</w:t>
      </w:r>
    </w:p>
    <w:p w14:paraId="2B06CD7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0518E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2A682FE5" w14:textId="77777777" w:rsidR="004D0D42" w:rsidRPr="00B63CD0" w:rsidRDefault="00667223" w:rsidP="004D0D42">
      <w:pPr>
        <w:ind w:left="1134" w:hanging="283"/>
        <w:rPr>
          <w:sz w:val="24"/>
          <w:szCs w:val="24"/>
        </w:rPr>
      </w:pPr>
      <w:r w:rsidRPr="00667223">
        <w:rPr>
          <w:sz w:val="24"/>
          <w:szCs w:val="24"/>
        </w:rPr>
        <w:t>•</w:t>
      </w:r>
      <w:r w:rsidRPr="00667223">
        <w:rPr>
          <w:sz w:val="24"/>
          <w:szCs w:val="24"/>
        </w:rPr>
        <w:tab/>
      </w:r>
      <w:r w:rsidR="004D0D42" w:rsidRPr="00B63CD0">
        <w:rPr>
          <w:sz w:val="24"/>
          <w:szCs w:val="24"/>
        </w:rPr>
        <w:t>Overfølsomhed over for det aktive stof eller over for et eller flere af hjælpestofferne anført i pkt. 6.1.</w:t>
      </w:r>
    </w:p>
    <w:p w14:paraId="7A022B38" w14:textId="77777777" w:rsidR="004D0D42" w:rsidRPr="00B63CD0" w:rsidRDefault="004D0D42" w:rsidP="004D0D42">
      <w:pPr>
        <w:tabs>
          <w:tab w:val="left" w:pos="851"/>
        </w:tabs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  <w:t xml:space="preserve">Præeksisterende svært nedsat nyrefunktion </w:t>
      </w:r>
      <w:r w:rsidRPr="00B63CD0">
        <w:rPr>
          <w:b/>
          <w:sz w:val="24"/>
          <w:szCs w:val="24"/>
        </w:rPr>
        <w:t>(</w:t>
      </w:r>
      <w:proofErr w:type="spellStart"/>
      <w:r w:rsidRPr="00B63CD0">
        <w:rPr>
          <w:b/>
          <w:sz w:val="24"/>
          <w:szCs w:val="24"/>
        </w:rPr>
        <w:t>kreatininclearance</w:t>
      </w:r>
      <w:proofErr w:type="spellEnd"/>
      <w:r w:rsidRPr="00B63CD0">
        <w:rPr>
          <w:b/>
          <w:sz w:val="24"/>
          <w:szCs w:val="24"/>
        </w:rPr>
        <w:t xml:space="preserve"> &lt; 30 ml/min)</w:t>
      </w:r>
      <w:r w:rsidRPr="00B63CD0">
        <w:rPr>
          <w:sz w:val="24"/>
          <w:szCs w:val="24"/>
        </w:rPr>
        <w:t>, medmindre lægen og patienten skønner, at de mulige fordele af behandlingen opvejer risici (</w:t>
      </w:r>
      <w:r w:rsidRPr="004D0D42">
        <w:rPr>
          <w:sz w:val="24"/>
          <w:szCs w:val="24"/>
        </w:rPr>
        <w:t>se pkt. 4.2)</w:t>
      </w:r>
      <w:r w:rsidRPr="00B63CD0">
        <w:rPr>
          <w:sz w:val="24"/>
          <w:szCs w:val="24"/>
        </w:rPr>
        <w:t>.</w:t>
      </w:r>
    </w:p>
    <w:p w14:paraId="40410B0A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  <w:t xml:space="preserve">Svær </w:t>
      </w:r>
      <w:proofErr w:type="spellStart"/>
      <w:r w:rsidRPr="00B63CD0">
        <w:rPr>
          <w:sz w:val="24"/>
          <w:szCs w:val="24"/>
        </w:rPr>
        <w:t>myelosuppression</w:t>
      </w:r>
      <w:proofErr w:type="spellEnd"/>
    </w:p>
    <w:p w14:paraId="1A5156AD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t>•</w:t>
      </w:r>
      <w:r w:rsidRPr="00B63CD0">
        <w:rPr>
          <w:sz w:val="24"/>
          <w:szCs w:val="24"/>
        </w:rPr>
        <w:tab/>
        <w:t>Blødende tumorer</w:t>
      </w:r>
    </w:p>
    <w:p w14:paraId="3D76EEBC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sz w:val="24"/>
          <w:szCs w:val="24"/>
        </w:rPr>
        <w:lastRenderedPageBreak/>
        <w:t>•</w:t>
      </w:r>
      <w:r w:rsidRPr="00B63CD0">
        <w:rPr>
          <w:sz w:val="24"/>
          <w:szCs w:val="24"/>
        </w:rPr>
        <w:tab/>
        <w:t>Anvendelse sammen med vaccine mod gul feber (se pkt. 4.5)</w:t>
      </w:r>
    </w:p>
    <w:p w14:paraId="16B16B81" w14:textId="5BE207A0" w:rsidR="004D0D42" w:rsidRPr="004D0D42" w:rsidRDefault="004D0D42" w:rsidP="004D0D42">
      <w:pPr>
        <w:pStyle w:val="Listeafsnit"/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D0D42">
        <w:rPr>
          <w:sz w:val="24"/>
          <w:szCs w:val="24"/>
        </w:rPr>
        <w:t xml:space="preserve">Patienter med svær allergisk reaktion på platinholdige </w:t>
      </w:r>
      <w:r w:rsidRPr="00B63CD0">
        <w:rPr>
          <w:sz w:val="24"/>
          <w:szCs w:val="24"/>
        </w:rPr>
        <w:t>lægemidler</w:t>
      </w:r>
      <w:r w:rsidRPr="004D0D42">
        <w:rPr>
          <w:sz w:val="24"/>
          <w:szCs w:val="24"/>
        </w:rPr>
        <w:t xml:space="preserve"> i anamnesen</w:t>
      </w:r>
    </w:p>
    <w:p w14:paraId="2F75F919" w14:textId="77777777" w:rsidR="004D0D42" w:rsidRPr="004D0D42" w:rsidRDefault="004D0D42" w:rsidP="004D0D42">
      <w:pPr>
        <w:pStyle w:val="Listeafsnit"/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D0D42">
        <w:rPr>
          <w:sz w:val="24"/>
          <w:szCs w:val="24"/>
        </w:rPr>
        <w:t>Amning (se pkt. 4.6)</w:t>
      </w:r>
    </w:p>
    <w:p w14:paraId="5B54BF17" w14:textId="36BDCCD7" w:rsidR="009260DE" w:rsidRPr="00C84483" w:rsidRDefault="009260DE" w:rsidP="004D0D42">
      <w:pPr>
        <w:ind w:left="1134" w:hanging="283"/>
        <w:rPr>
          <w:sz w:val="24"/>
          <w:szCs w:val="24"/>
        </w:rPr>
      </w:pPr>
    </w:p>
    <w:p w14:paraId="5D33CAF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5BCB623A" w14:textId="49BCC87F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bør kun anvendes på centre med det fornødne udstyr, af læger med erfaring i brugen af aktive stoffer til cancer-kemoterapi. Diagnostiske og behandlingsmæssige faciliteter skal være tilgængelige for håndtering af behandling og eventuelle komplikationer. Der skal regelmæssigt tages blodbilleder og prøver for nyre- og leverfunktion, og lægemidlet skal seponeres, hvis der observeres unormal knoglemarvssuppression eller unormal nyre- eller leverfunktion.</w:t>
      </w:r>
    </w:p>
    <w:p w14:paraId="2484259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CA2AF26" w14:textId="77777777" w:rsidR="004D0D42" w:rsidRPr="00B63CD0" w:rsidRDefault="004D0D42" w:rsidP="004D0D42">
      <w:pPr>
        <w:keepNext/>
        <w:autoSpaceDE w:val="0"/>
        <w:autoSpaceDN w:val="0"/>
        <w:adjustRightInd w:val="0"/>
        <w:ind w:left="851"/>
        <w:rPr>
          <w:bCs/>
          <w:sz w:val="24"/>
          <w:szCs w:val="24"/>
          <w:u w:val="single"/>
        </w:rPr>
      </w:pPr>
      <w:r w:rsidRPr="00B63CD0">
        <w:rPr>
          <w:bCs/>
          <w:sz w:val="24"/>
          <w:szCs w:val="24"/>
          <w:u w:val="single"/>
        </w:rPr>
        <w:t>Hæmatologisk toksicitet</w:t>
      </w:r>
    </w:p>
    <w:p w14:paraId="3F51CE20" w14:textId="79E2E00E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t>Leukopeni</w:t>
      </w:r>
      <w:proofErr w:type="spellEnd"/>
      <w:r w:rsidRPr="00B63CD0">
        <w:rPr>
          <w:sz w:val="24"/>
          <w:szCs w:val="24"/>
          <w:lang w:eastAsia="de-DE"/>
        </w:rPr>
        <w:t xml:space="preserve">, </w:t>
      </w:r>
      <w:proofErr w:type="spellStart"/>
      <w:r w:rsidRPr="00B63CD0">
        <w:rPr>
          <w:sz w:val="24"/>
          <w:szCs w:val="24"/>
          <w:lang w:eastAsia="de-DE"/>
        </w:rPr>
        <w:t>neutropeni</w:t>
      </w:r>
      <w:proofErr w:type="spellEnd"/>
      <w:r w:rsidRPr="00B63CD0">
        <w:rPr>
          <w:sz w:val="24"/>
          <w:szCs w:val="24"/>
          <w:lang w:eastAsia="de-DE"/>
        </w:rPr>
        <w:t xml:space="preserve"> og </w:t>
      </w:r>
      <w:proofErr w:type="spellStart"/>
      <w:r w:rsidRPr="00B63CD0">
        <w:rPr>
          <w:sz w:val="24"/>
          <w:szCs w:val="24"/>
          <w:lang w:eastAsia="de-DE"/>
        </w:rPr>
        <w:t>trombocytopeni</w:t>
      </w:r>
      <w:proofErr w:type="spellEnd"/>
      <w:r w:rsidRPr="00B63CD0">
        <w:rPr>
          <w:sz w:val="24"/>
          <w:szCs w:val="24"/>
          <w:lang w:eastAsia="de-DE"/>
        </w:rPr>
        <w:t xml:space="preserve"> er dosisafhængige og dosisbegrænsende. Det perifere blodbillede bør kontrolleres hyppigt i løbet af behandlingen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og, hvis der opstår toksicitet, indtil der ses bedring. Mediandagen for nadir er dag 21 hos patienter, der får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som enkeltstof og dag 15 hos patienter, der får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i kombination med andre kemoterapeutika. Normalt bør enkelte, intermitterende behandlingsforløb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ikke gentages, indtil leukocyt-, </w:t>
      </w:r>
      <w:proofErr w:type="spellStart"/>
      <w:r w:rsidRPr="00B63CD0">
        <w:rPr>
          <w:sz w:val="24"/>
          <w:szCs w:val="24"/>
          <w:lang w:eastAsia="de-DE"/>
        </w:rPr>
        <w:t>neutrofil</w:t>
      </w:r>
      <w:proofErr w:type="spellEnd"/>
      <w:r w:rsidRPr="00B63CD0">
        <w:rPr>
          <w:sz w:val="24"/>
          <w:szCs w:val="24"/>
          <w:lang w:eastAsia="de-DE"/>
        </w:rPr>
        <w:t xml:space="preserve">- og </w:t>
      </w:r>
      <w:proofErr w:type="spellStart"/>
      <w:r w:rsidRPr="00B63CD0">
        <w:rPr>
          <w:sz w:val="24"/>
          <w:szCs w:val="24"/>
          <w:lang w:eastAsia="de-DE"/>
        </w:rPr>
        <w:t>trombocyttallene</w:t>
      </w:r>
      <w:proofErr w:type="spellEnd"/>
      <w:r w:rsidRPr="00B63CD0">
        <w:rPr>
          <w:sz w:val="24"/>
          <w:szCs w:val="24"/>
          <w:lang w:eastAsia="de-DE"/>
        </w:rPr>
        <w:t xml:space="preserve"> er vendt tilbage til normalt niveau. Behandlingen bør ikke gentages indtil 4 uger efter det tidligere behandlingsforløb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, og/eller indtil </w:t>
      </w:r>
      <w:proofErr w:type="spellStart"/>
      <w:r w:rsidRPr="00B63CD0">
        <w:rPr>
          <w:sz w:val="24"/>
          <w:szCs w:val="24"/>
          <w:lang w:eastAsia="de-DE"/>
        </w:rPr>
        <w:t>neutrofiltallet</w:t>
      </w:r>
      <w:proofErr w:type="spellEnd"/>
      <w:r w:rsidRPr="00B63CD0">
        <w:rPr>
          <w:sz w:val="24"/>
          <w:szCs w:val="24"/>
          <w:lang w:eastAsia="de-DE"/>
        </w:rPr>
        <w:t xml:space="preserve"> er mindst 2.000 celler/mm³ og </w:t>
      </w:r>
      <w:proofErr w:type="spellStart"/>
      <w:r w:rsidRPr="00B63CD0">
        <w:rPr>
          <w:sz w:val="24"/>
          <w:szCs w:val="24"/>
          <w:lang w:eastAsia="de-DE"/>
        </w:rPr>
        <w:t>trombocyttallet</w:t>
      </w:r>
      <w:proofErr w:type="spellEnd"/>
      <w:r w:rsidRPr="00B63CD0">
        <w:rPr>
          <w:sz w:val="24"/>
          <w:szCs w:val="24"/>
          <w:lang w:eastAsia="de-DE"/>
        </w:rPr>
        <w:t xml:space="preserve"> er mindst 100.000 celler/mm³. Det kan være nødvendigt med transfusioner, og dosisreduktion anbefales for efterfølgende behandling.</w:t>
      </w:r>
    </w:p>
    <w:p w14:paraId="405D81FC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E506AA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63CD0">
        <w:rPr>
          <w:sz w:val="24"/>
          <w:szCs w:val="24"/>
        </w:rPr>
        <w:t>Anæmi forekommer hyppigt og kumulativt. En transfusion er meget sjældent nødvendig.</w:t>
      </w:r>
    </w:p>
    <w:p w14:paraId="4E1854C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t>Hæmolytisk</w:t>
      </w:r>
      <w:proofErr w:type="spellEnd"/>
      <w:r w:rsidRPr="00B63CD0">
        <w:rPr>
          <w:sz w:val="24"/>
          <w:szCs w:val="24"/>
          <w:lang w:eastAsia="de-DE"/>
        </w:rPr>
        <w:t xml:space="preserve"> anæmi med tilstedeværelse af serologiske lægemiddelinducerede antistoffer er rapporteret hos patienter, der blev behandlet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. Denne hændelse kan være fatal.</w:t>
      </w:r>
    </w:p>
    <w:p w14:paraId="1679DE9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C5C2CF4" w14:textId="2E6A095B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63CD0">
        <w:rPr>
          <w:sz w:val="24"/>
          <w:szCs w:val="24"/>
        </w:rPr>
        <w:t xml:space="preserve">Sværhedsgraden af </w:t>
      </w:r>
      <w:proofErr w:type="spellStart"/>
      <w:r w:rsidRPr="00B63CD0">
        <w:rPr>
          <w:sz w:val="24"/>
          <w:szCs w:val="24"/>
        </w:rPr>
        <w:t>myelosuppression</w:t>
      </w:r>
      <w:proofErr w:type="spellEnd"/>
      <w:r w:rsidRPr="00B63CD0">
        <w:rPr>
          <w:sz w:val="24"/>
          <w:szCs w:val="24"/>
        </w:rPr>
        <w:t xml:space="preserve">, især </w:t>
      </w:r>
      <w:proofErr w:type="spellStart"/>
      <w:r w:rsidRPr="00B63CD0">
        <w:rPr>
          <w:sz w:val="24"/>
          <w:szCs w:val="24"/>
        </w:rPr>
        <w:t>trombocytopeni</w:t>
      </w:r>
      <w:proofErr w:type="spellEnd"/>
      <w:r w:rsidRPr="00B63CD0">
        <w:rPr>
          <w:sz w:val="24"/>
          <w:szCs w:val="24"/>
        </w:rPr>
        <w:t xml:space="preserve">, er forøget hos patienter med tidligere behandling (særligt med </w:t>
      </w:r>
      <w:proofErr w:type="spellStart"/>
      <w:r w:rsidRPr="00B63CD0">
        <w:rPr>
          <w:sz w:val="24"/>
          <w:szCs w:val="24"/>
        </w:rPr>
        <w:t>cisplatin</w:t>
      </w:r>
      <w:proofErr w:type="spellEnd"/>
      <w:r w:rsidRPr="00B63CD0">
        <w:rPr>
          <w:sz w:val="24"/>
          <w:szCs w:val="24"/>
        </w:rPr>
        <w:t xml:space="preserve">) og/eller med nedsat nyrefunktion. De indledende doser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i disse patientgrupper bør reduceres til passende niveau (se pkt. 4.2), og virkningen bør kontrolleres omhyggeligt med hyppige blodbilleder mellem behandlingsforløbene.</w:t>
      </w:r>
    </w:p>
    <w:p w14:paraId="5735630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Myelosuppressive</w:t>
      </w:r>
      <w:proofErr w:type="spellEnd"/>
      <w:r w:rsidRPr="00B63CD0">
        <w:rPr>
          <w:sz w:val="24"/>
          <w:szCs w:val="24"/>
        </w:rPr>
        <w:t xml:space="preserve"> virkninger kan være </w:t>
      </w:r>
      <w:proofErr w:type="spellStart"/>
      <w:r w:rsidRPr="00B63CD0">
        <w:rPr>
          <w:sz w:val="24"/>
          <w:szCs w:val="24"/>
        </w:rPr>
        <w:t>additive</w:t>
      </w:r>
      <w:proofErr w:type="spellEnd"/>
      <w:r w:rsidRPr="00B63CD0">
        <w:rPr>
          <w:sz w:val="24"/>
          <w:szCs w:val="24"/>
        </w:rPr>
        <w:t xml:space="preserve"> til virkningerne af samtidig kemoterapi. Patienter med svær og vedvarende </w:t>
      </w:r>
      <w:proofErr w:type="spellStart"/>
      <w:r w:rsidRPr="00B63CD0">
        <w:rPr>
          <w:sz w:val="24"/>
          <w:szCs w:val="24"/>
        </w:rPr>
        <w:t>myelosuppression</w:t>
      </w:r>
      <w:proofErr w:type="spellEnd"/>
      <w:r w:rsidRPr="00B63CD0">
        <w:rPr>
          <w:sz w:val="24"/>
          <w:szCs w:val="24"/>
        </w:rPr>
        <w:t xml:space="preserve"> har en høj risiko for infektiøse komplikationer, herunder dødelige udfald (se </w:t>
      </w:r>
      <w:proofErr w:type="spellStart"/>
      <w:r w:rsidRPr="00B63CD0">
        <w:rPr>
          <w:sz w:val="24"/>
          <w:szCs w:val="24"/>
        </w:rPr>
        <w:t>pkt</w:t>
      </w:r>
      <w:proofErr w:type="spellEnd"/>
      <w:r w:rsidRPr="00B63CD0">
        <w:rPr>
          <w:sz w:val="24"/>
          <w:szCs w:val="24"/>
        </w:rPr>
        <w:t xml:space="preserve"> 4.8.). Hvis der opstår nogle af disse hændelser, skal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-doseringen afbrydes, og det bør overvejes at modificere eller seponere dosis. Kombinationsbehandling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og andre </w:t>
      </w:r>
      <w:proofErr w:type="spellStart"/>
      <w:r w:rsidRPr="00B63CD0">
        <w:rPr>
          <w:sz w:val="24"/>
          <w:szCs w:val="24"/>
        </w:rPr>
        <w:t>myelosuppressive</w:t>
      </w:r>
      <w:proofErr w:type="spellEnd"/>
      <w:r w:rsidRPr="00B63CD0">
        <w:rPr>
          <w:sz w:val="24"/>
          <w:szCs w:val="24"/>
        </w:rPr>
        <w:t xml:space="preserve"> behandlingsformer skal planlægges meget omhyggeligt med hensyn til doser og timing, for at minimere </w:t>
      </w:r>
      <w:proofErr w:type="spellStart"/>
      <w:r w:rsidRPr="00B63CD0">
        <w:rPr>
          <w:sz w:val="24"/>
          <w:szCs w:val="24"/>
        </w:rPr>
        <w:t>additive</w:t>
      </w:r>
      <w:proofErr w:type="spellEnd"/>
      <w:r w:rsidRPr="00B63CD0">
        <w:rPr>
          <w:sz w:val="24"/>
          <w:szCs w:val="24"/>
        </w:rPr>
        <w:t xml:space="preserve"> virkninger.</w:t>
      </w:r>
    </w:p>
    <w:p w14:paraId="4788CB7A" w14:textId="242D7D7E" w:rsidR="004D0D42" w:rsidRDefault="004D0D42" w:rsidP="004D0D42">
      <w:pPr>
        <w:autoSpaceDE w:val="0"/>
        <w:autoSpaceDN w:val="0"/>
        <w:adjustRightInd w:val="0"/>
        <w:ind w:left="851"/>
        <w:rPr>
          <w:rFonts w:cs="Mangal"/>
          <w:sz w:val="24"/>
          <w:szCs w:val="24"/>
        </w:rPr>
      </w:pPr>
      <w:r w:rsidRPr="00B63CD0">
        <w:rPr>
          <w:sz w:val="24"/>
          <w:szCs w:val="24"/>
        </w:rPr>
        <w:t xml:space="preserve">Akut </w:t>
      </w:r>
      <w:proofErr w:type="spellStart"/>
      <w:r w:rsidRPr="00B63CD0">
        <w:rPr>
          <w:sz w:val="24"/>
          <w:szCs w:val="24"/>
        </w:rPr>
        <w:t>promyelocistisk</w:t>
      </w:r>
      <w:proofErr w:type="spellEnd"/>
      <w:r w:rsidRPr="00B63CD0">
        <w:rPr>
          <w:sz w:val="24"/>
          <w:szCs w:val="24"/>
        </w:rPr>
        <w:t xml:space="preserve"> leukæmi og </w:t>
      </w:r>
      <w:proofErr w:type="spellStart"/>
      <w:r w:rsidRPr="00B63CD0">
        <w:rPr>
          <w:sz w:val="24"/>
          <w:szCs w:val="24"/>
        </w:rPr>
        <w:t>myelodysplastisk</w:t>
      </w:r>
      <w:proofErr w:type="spellEnd"/>
      <w:r w:rsidRPr="00B63CD0">
        <w:rPr>
          <w:sz w:val="24"/>
          <w:szCs w:val="24"/>
        </w:rPr>
        <w:t xml:space="preserve"> syndrom (MDS)/akut </w:t>
      </w:r>
      <w:proofErr w:type="spellStart"/>
      <w:r w:rsidRPr="00B63CD0">
        <w:rPr>
          <w:sz w:val="24"/>
          <w:szCs w:val="24"/>
        </w:rPr>
        <w:t>myeloid</w:t>
      </w:r>
      <w:proofErr w:type="spellEnd"/>
      <w:r w:rsidRPr="00B63CD0">
        <w:rPr>
          <w:sz w:val="24"/>
          <w:szCs w:val="24"/>
        </w:rPr>
        <w:t xml:space="preserve"> leukæmi (AML) er blevet rapporteret flere år efter 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og andre </w:t>
      </w:r>
      <w:proofErr w:type="spellStart"/>
      <w:r w:rsidRPr="00B63CD0">
        <w:rPr>
          <w:sz w:val="24"/>
          <w:szCs w:val="24"/>
        </w:rPr>
        <w:t>antineoplastiske</w:t>
      </w:r>
      <w:proofErr w:type="spellEnd"/>
      <w:r w:rsidRPr="00B63CD0">
        <w:rPr>
          <w:sz w:val="24"/>
          <w:szCs w:val="24"/>
        </w:rPr>
        <w:t xml:space="preserve"> behandlinger.</w:t>
      </w:r>
    </w:p>
    <w:p w14:paraId="003409A4" w14:textId="77777777" w:rsidR="004D0D42" w:rsidRPr="004D0D42" w:rsidRDefault="004D0D42" w:rsidP="004D0D42">
      <w:pPr>
        <w:autoSpaceDE w:val="0"/>
        <w:autoSpaceDN w:val="0"/>
        <w:adjustRightInd w:val="0"/>
        <w:ind w:left="851"/>
        <w:rPr>
          <w:rFonts w:cs="Mangal"/>
          <w:sz w:val="24"/>
          <w:szCs w:val="24"/>
        </w:rPr>
      </w:pPr>
    </w:p>
    <w:p w14:paraId="65F2EAAC" w14:textId="77777777" w:rsidR="004D0D42" w:rsidRPr="00B63CD0" w:rsidRDefault="004D0D42" w:rsidP="004D0D42">
      <w:pPr>
        <w:keepLines/>
        <w:autoSpaceDE w:val="0"/>
        <w:autoSpaceDN w:val="0"/>
        <w:adjustRightInd w:val="0"/>
        <w:ind w:left="851"/>
        <w:rPr>
          <w:i/>
          <w:sz w:val="24"/>
          <w:szCs w:val="24"/>
        </w:rPr>
      </w:pPr>
      <w:proofErr w:type="spellStart"/>
      <w:r w:rsidRPr="00B63CD0">
        <w:rPr>
          <w:i/>
          <w:sz w:val="24"/>
          <w:szCs w:val="24"/>
        </w:rPr>
        <w:t>Hæmolytisk</w:t>
      </w:r>
      <w:proofErr w:type="spellEnd"/>
      <w:r w:rsidRPr="00B63CD0">
        <w:rPr>
          <w:i/>
          <w:sz w:val="24"/>
          <w:szCs w:val="24"/>
        </w:rPr>
        <w:t xml:space="preserve"> uræmisk syndrom (HUS)</w:t>
      </w:r>
    </w:p>
    <w:p w14:paraId="3321C325" w14:textId="77777777" w:rsidR="004D0D42" w:rsidRPr="00B63CD0" w:rsidRDefault="004D0D42" w:rsidP="004D0D42">
      <w:pPr>
        <w:keepLines/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Hæmolytisk</w:t>
      </w:r>
      <w:proofErr w:type="spellEnd"/>
      <w:r w:rsidRPr="00B63CD0">
        <w:rPr>
          <w:sz w:val="24"/>
          <w:szCs w:val="24"/>
        </w:rPr>
        <w:t xml:space="preserve"> uræmisk syndrom (HUS) er en livstruende bivirkning.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bør seponeres ved de første tegn på nogen evidens for </w:t>
      </w:r>
      <w:proofErr w:type="spellStart"/>
      <w:r w:rsidRPr="00B63CD0">
        <w:rPr>
          <w:sz w:val="24"/>
          <w:szCs w:val="24"/>
        </w:rPr>
        <w:t>mikroangiopatisk</w:t>
      </w:r>
      <w:proofErr w:type="spellEnd"/>
      <w:r w:rsidRPr="00B63CD0">
        <w:rPr>
          <w:sz w:val="24"/>
          <w:szCs w:val="24"/>
        </w:rPr>
        <w:t xml:space="preserve"> </w:t>
      </w:r>
      <w:proofErr w:type="spellStart"/>
      <w:r w:rsidRPr="00B63CD0">
        <w:rPr>
          <w:sz w:val="24"/>
          <w:szCs w:val="24"/>
        </w:rPr>
        <w:t>hæmolytisk</w:t>
      </w:r>
      <w:proofErr w:type="spellEnd"/>
      <w:r w:rsidRPr="00B63CD0">
        <w:rPr>
          <w:sz w:val="24"/>
          <w:szCs w:val="24"/>
        </w:rPr>
        <w:t xml:space="preserve"> anæmi, såsom hurtigt faldende hæmoglobin med samtidig </w:t>
      </w:r>
      <w:proofErr w:type="spellStart"/>
      <w:r w:rsidRPr="00B63CD0">
        <w:rPr>
          <w:sz w:val="24"/>
          <w:szCs w:val="24"/>
        </w:rPr>
        <w:t>trombocytopeni</w:t>
      </w:r>
      <w:proofErr w:type="spellEnd"/>
      <w:r w:rsidRPr="00B63CD0">
        <w:rPr>
          <w:sz w:val="24"/>
          <w:szCs w:val="24"/>
        </w:rPr>
        <w:t>, forhøjet serum-bilirubin, serum-</w:t>
      </w:r>
      <w:proofErr w:type="spellStart"/>
      <w:r w:rsidRPr="00B63CD0">
        <w:rPr>
          <w:sz w:val="24"/>
          <w:szCs w:val="24"/>
        </w:rPr>
        <w:t>kreatinin</w:t>
      </w:r>
      <w:proofErr w:type="spellEnd"/>
      <w:r w:rsidRPr="00B63CD0">
        <w:rPr>
          <w:sz w:val="24"/>
          <w:szCs w:val="24"/>
        </w:rPr>
        <w:t xml:space="preserve">, blod-urinstof-nitrogen eller LDH. Nyresvigt er måske ikke reversibel med </w:t>
      </w:r>
      <w:proofErr w:type="spellStart"/>
      <w:r w:rsidRPr="00B63CD0">
        <w:rPr>
          <w:sz w:val="24"/>
          <w:szCs w:val="24"/>
        </w:rPr>
        <w:t>seponering</w:t>
      </w:r>
      <w:proofErr w:type="spellEnd"/>
      <w:r w:rsidRPr="00B63CD0">
        <w:rPr>
          <w:sz w:val="24"/>
          <w:szCs w:val="24"/>
        </w:rPr>
        <w:t xml:space="preserve"> af behandlingen, og dialyse kan være nødvendigt.</w:t>
      </w:r>
    </w:p>
    <w:p w14:paraId="3148232E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377A7327" w14:textId="77777777" w:rsidR="004D0D42" w:rsidRPr="00B63CD0" w:rsidRDefault="004D0D42" w:rsidP="004D0D42">
      <w:pPr>
        <w:keepNext/>
        <w:keepLines/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a-DK"/>
        </w:rPr>
      </w:pPr>
      <w:r w:rsidRPr="00B63CD0">
        <w:rPr>
          <w:bCs/>
          <w:sz w:val="24"/>
          <w:szCs w:val="24"/>
          <w:u w:val="single"/>
        </w:rPr>
        <w:t>Allergiske reaktioner</w:t>
      </w:r>
    </w:p>
    <w:p w14:paraId="6FA07808" w14:textId="77777777" w:rsidR="004D0D42" w:rsidRPr="00B63CD0" w:rsidRDefault="004D0D42" w:rsidP="004D0D42">
      <w:pPr>
        <w:keepNext/>
        <w:keepLines/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Som for andre platinbaserede aktive stoffer kan der forekomme allergiske reaktioner, som hyppigst opstår i løbet af infusionen, og nødvendiggøre </w:t>
      </w:r>
      <w:proofErr w:type="spellStart"/>
      <w:r w:rsidRPr="00B63CD0">
        <w:rPr>
          <w:sz w:val="24"/>
          <w:szCs w:val="24"/>
        </w:rPr>
        <w:t>seponering</w:t>
      </w:r>
      <w:proofErr w:type="spellEnd"/>
      <w:r w:rsidRPr="00B63CD0">
        <w:rPr>
          <w:sz w:val="24"/>
          <w:szCs w:val="24"/>
        </w:rPr>
        <w:t xml:space="preserve"> af infusionen og iværksættelse af hensigtsmæssig symptomatisk behandling. Krydsreaktioner, i nogle tilfælde dødelige, er blevet rapporteret med alle platinbaserede stoffer (se pkt. 4.3 og 4.8).</w:t>
      </w:r>
    </w:p>
    <w:p w14:paraId="7A29B51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Der er blevet indberettet overfølsomhedsreaktioner med progression til </w:t>
      </w:r>
      <w:proofErr w:type="spellStart"/>
      <w:r w:rsidRPr="00B63CD0">
        <w:rPr>
          <w:sz w:val="24"/>
          <w:szCs w:val="24"/>
          <w:lang w:eastAsia="de-DE"/>
        </w:rPr>
        <w:t>Kounis</w:t>
      </w:r>
      <w:proofErr w:type="spellEnd"/>
      <w:r w:rsidRPr="00B63CD0">
        <w:rPr>
          <w:sz w:val="24"/>
          <w:szCs w:val="24"/>
          <w:lang w:eastAsia="de-DE"/>
        </w:rPr>
        <w:t xml:space="preserve"> syndrom (akut allergisk </w:t>
      </w:r>
      <w:proofErr w:type="spellStart"/>
      <w:r w:rsidRPr="00B63CD0">
        <w:rPr>
          <w:sz w:val="24"/>
          <w:szCs w:val="24"/>
          <w:lang w:eastAsia="de-DE"/>
        </w:rPr>
        <w:t>koronararteriospasme</w:t>
      </w:r>
      <w:proofErr w:type="spellEnd"/>
      <w:r w:rsidRPr="00B63CD0">
        <w:rPr>
          <w:sz w:val="24"/>
          <w:szCs w:val="24"/>
          <w:lang w:eastAsia="de-DE"/>
        </w:rPr>
        <w:t>, som kan føre til myokardieinfarkt, se pkt. 4.8).</w:t>
      </w:r>
    </w:p>
    <w:p w14:paraId="2D14A8F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0CA1F5F4" w14:textId="77777777" w:rsidR="004D0D42" w:rsidRPr="00B63CD0" w:rsidRDefault="004D0D42" w:rsidP="004D0D42">
      <w:pPr>
        <w:keepNext/>
        <w:autoSpaceDE w:val="0"/>
        <w:autoSpaceDN w:val="0"/>
        <w:adjustRightInd w:val="0"/>
        <w:ind w:left="851"/>
        <w:rPr>
          <w:bCs/>
          <w:sz w:val="24"/>
          <w:szCs w:val="24"/>
          <w:u w:val="single"/>
        </w:rPr>
      </w:pPr>
      <w:r w:rsidRPr="00B63CD0">
        <w:rPr>
          <w:bCs/>
          <w:sz w:val="24"/>
          <w:szCs w:val="24"/>
          <w:u w:val="single"/>
        </w:rPr>
        <w:t>Nyretoksicitet</w:t>
      </w:r>
    </w:p>
    <w:p w14:paraId="3C65414C" w14:textId="77777777" w:rsidR="004D0D42" w:rsidRPr="004D0D42" w:rsidRDefault="004D0D42" w:rsidP="004D0D42">
      <w:pPr>
        <w:keepNext/>
        <w:autoSpaceDE w:val="0"/>
        <w:autoSpaceDN w:val="0"/>
        <w:adjustRightInd w:val="0"/>
        <w:ind w:left="851"/>
        <w:rPr>
          <w:bCs/>
          <w:sz w:val="24"/>
          <w:szCs w:val="24"/>
          <w:lang w:eastAsia="da-DK"/>
        </w:rPr>
      </w:pPr>
      <w:r w:rsidRPr="004D0D42">
        <w:rPr>
          <w:bCs/>
          <w:sz w:val="24"/>
          <w:szCs w:val="24"/>
          <w:lang w:eastAsia="da-DK"/>
        </w:rPr>
        <w:t xml:space="preserve">Forekomsten og sværhedsgraden af </w:t>
      </w:r>
      <w:proofErr w:type="spellStart"/>
      <w:r w:rsidRPr="004D0D42">
        <w:rPr>
          <w:bCs/>
          <w:sz w:val="24"/>
          <w:szCs w:val="24"/>
          <w:lang w:eastAsia="da-DK"/>
        </w:rPr>
        <w:t>nefrotoksicitet</w:t>
      </w:r>
      <w:proofErr w:type="spellEnd"/>
      <w:r w:rsidRPr="004D0D42">
        <w:rPr>
          <w:bCs/>
          <w:sz w:val="24"/>
          <w:szCs w:val="24"/>
          <w:lang w:eastAsia="da-DK"/>
        </w:rPr>
        <w:t xml:space="preserve"> kan forøges hos patienter, der har nedsat nyrefunktion før behandlingen med </w:t>
      </w:r>
      <w:proofErr w:type="spellStart"/>
      <w:r w:rsidRPr="004D0D42">
        <w:rPr>
          <w:bCs/>
          <w:sz w:val="24"/>
          <w:szCs w:val="24"/>
          <w:lang w:eastAsia="da-DK"/>
        </w:rPr>
        <w:t>carboplatin</w:t>
      </w:r>
      <w:proofErr w:type="spellEnd"/>
      <w:r w:rsidRPr="004D0D42">
        <w:rPr>
          <w:bCs/>
          <w:sz w:val="24"/>
          <w:szCs w:val="24"/>
          <w:lang w:eastAsia="da-DK"/>
        </w:rPr>
        <w:t xml:space="preserve">. Det er uklart, hvorvidt et hensigtsmæssigt hydreringsprogram eventuelt kan opveje en sådan virkning, men dosisreduktion eller </w:t>
      </w:r>
      <w:proofErr w:type="spellStart"/>
      <w:r w:rsidRPr="004D0D42">
        <w:rPr>
          <w:bCs/>
          <w:sz w:val="24"/>
          <w:szCs w:val="24"/>
          <w:lang w:eastAsia="da-DK"/>
        </w:rPr>
        <w:t>seponering</w:t>
      </w:r>
      <w:proofErr w:type="spellEnd"/>
      <w:r w:rsidRPr="004D0D42">
        <w:rPr>
          <w:bCs/>
          <w:sz w:val="24"/>
          <w:szCs w:val="24"/>
          <w:lang w:eastAsia="da-DK"/>
        </w:rPr>
        <w:t xml:space="preserve"> af behandlingen er nødvendigt i tilfælde af moderat ændring af nyrefunktionen.</w:t>
      </w:r>
    </w:p>
    <w:p w14:paraId="1386C82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Hos patienter med nedsat nyrefunktion er virkningen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på det </w:t>
      </w:r>
      <w:proofErr w:type="spellStart"/>
      <w:r w:rsidRPr="00B63CD0">
        <w:rPr>
          <w:sz w:val="24"/>
          <w:szCs w:val="24"/>
        </w:rPr>
        <w:t>hæmatopoietiske</w:t>
      </w:r>
      <w:proofErr w:type="spellEnd"/>
      <w:r w:rsidRPr="00B63CD0">
        <w:rPr>
          <w:sz w:val="24"/>
          <w:szCs w:val="24"/>
        </w:rPr>
        <w:t xml:space="preserve"> system mere udpræget og længerevarende end hos patienter med normal nyrefunktion. I denne risikogruppe skal behandlingen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udføres med særlig forsigtighed (se pkt. 4.2).</w:t>
      </w:r>
    </w:p>
    <w:p w14:paraId="34B9DF0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9AD0AD8" w14:textId="77777777" w:rsidR="004D0D42" w:rsidRPr="00B63CD0" w:rsidRDefault="004D0D42" w:rsidP="004D0D42">
      <w:pPr>
        <w:keepNext/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a-DK"/>
        </w:rPr>
      </w:pPr>
      <w:r w:rsidRPr="00B63CD0">
        <w:rPr>
          <w:bCs/>
          <w:sz w:val="24"/>
          <w:szCs w:val="24"/>
          <w:u w:val="single"/>
        </w:rPr>
        <w:t>Neurologisk toksicitet</w:t>
      </w:r>
    </w:p>
    <w:p w14:paraId="5E85E65F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Selvom perifer neurologisk toksicitet normalt er almindelig og mild, begrænset til </w:t>
      </w:r>
      <w:proofErr w:type="spellStart"/>
      <w:r w:rsidRPr="00B63CD0">
        <w:rPr>
          <w:sz w:val="24"/>
          <w:szCs w:val="24"/>
        </w:rPr>
        <w:t>paræstesi</w:t>
      </w:r>
      <w:proofErr w:type="spellEnd"/>
      <w:r w:rsidRPr="00B63CD0">
        <w:rPr>
          <w:sz w:val="24"/>
          <w:szCs w:val="24"/>
        </w:rPr>
        <w:t xml:space="preserve"> og nedsatte dybe </w:t>
      </w:r>
      <w:proofErr w:type="spellStart"/>
      <w:r w:rsidRPr="00B63CD0">
        <w:rPr>
          <w:sz w:val="24"/>
          <w:szCs w:val="24"/>
        </w:rPr>
        <w:t>senereflekser</w:t>
      </w:r>
      <w:proofErr w:type="spellEnd"/>
      <w:r w:rsidRPr="00B63CD0">
        <w:rPr>
          <w:sz w:val="24"/>
          <w:szCs w:val="24"/>
        </w:rPr>
        <w:t xml:space="preserve">, øges hyppigheden hos patienter over 65 år og/eller hos patienter, der tidligere har fået behandling med </w:t>
      </w:r>
      <w:proofErr w:type="spellStart"/>
      <w:r w:rsidRPr="00B63CD0">
        <w:rPr>
          <w:sz w:val="24"/>
          <w:szCs w:val="24"/>
        </w:rPr>
        <w:t>cisplatin</w:t>
      </w:r>
      <w:proofErr w:type="spellEnd"/>
      <w:r w:rsidRPr="00B63CD0">
        <w:rPr>
          <w:sz w:val="24"/>
          <w:szCs w:val="24"/>
        </w:rPr>
        <w:t>. Overvågning og neurologiske undersøgelser skal udføres med regelmæssige intervaller.</w:t>
      </w:r>
    </w:p>
    <w:p w14:paraId="51E3A58C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2552E04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Synsforstyrrelser, herunder synstab, er blevet rapporteret efter anvendelse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-injektioner i højere doser end dem, der anbefales til patienter med nedsat nyrefunktion. Det ser ud til, at synet bedres helt eller i betydelig grad i løbet af nogle uger efter disse høje doser seponeres.</w:t>
      </w:r>
    </w:p>
    <w:p w14:paraId="7773A7C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14:paraId="2AF8C49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rFonts w:cs="Mangal"/>
          <w:bCs/>
          <w:sz w:val="24"/>
          <w:szCs w:val="24"/>
          <w:u w:val="single"/>
        </w:rPr>
      </w:pPr>
      <w:bookmarkStart w:id="0" w:name="_Hlk128647347"/>
      <w:proofErr w:type="spellStart"/>
      <w:r w:rsidRPr="00B63CD0">
        <w:rPr>
          <w:rFonts w:cs="Mangal"/>
          <w:bCs/>
          <w:sz w:val="24"/>
          <w:szCs w:val="24"/>
          <w:u w:val="single"/>
        </w:rPr>
        <w:t>Gastrointestinale</w:t>
      </w:r>
      <w:proofErr w:type="spellEnd"/>
      <w:r w:rsidRPr="00B63CD0">
        <w:rPr>
          <w:rFonts w:cs="Mangal"/>
          <w:bCs/>
          <w:sz w:val="24"/>
          <w:szCs w:val="24"/>
          <w:u w:val="single"/>
        </w:rPr>
        <w:t xml:space="preserve"> virkninger</w:t>
      </w:r>
    </w:p>
    <w:p w14:paraId="249B2815" w14:textId="7047759B" w:rsidR="004D0D42" w:rsidRPr="004D0D42" w:rsidRDefault="004D0D42" w:rsidP="004D0D42">
      <w:pPr>
        <w:autoSpaceDE w:val="0"/>
        <w:autoSpaceDN w:val="0"/>
        <w:adjustRightInd w:val="0"/>
        <w:ind w:left="851"/>
        <w:rPr>
          <w:rFonts w:cs="Mangal"/>
          <w:bCs/>
          <w:sz w:val="24"/>
          <w:szCs w:val="24"/>
        </w:rPr>
      </w:pPr>
      <w:proofErr w:type="spellStart"/>
      <w:r w:rsidRPr="004D0D42">
        <w:rPr>
          <w:rFonts w:cs="Mangal"/>
          <w:bCs/>
          <w:sz w:val="24"/>
          <w:szCs w:val="24"/>
        </w:rPr>
        <w:t>Carboplatin</w:t>
      </w:r>
      <w:proofErr w:type="spellEnd"/>
      <w:r w:rsidRPr="004D0D42">
        <w:rPr>
          <w:rFonts w:cs="Mangal"/>
          <w:bCs/>
          <w:sz w:val="24"/>
          <w:szCs w:val="24"/>
        </w:rPr>
        <w:t xml:space="preserve"> fremkalder </w:t>
      </w:r>
      <w:r w:rsidRPr="00B63CD0">
        <w:rPr>
          <w:rFonts w:cs="Mangal"/>
          <w:bCs/>
          <w:sz w:val="24"/>
          <w:szCs w:val="24"/>
        </w:rPr>
        <w:t>opkastning</w:t>
      </w:r>
      <w:r w:rsidRPr="004D0D42">
        <w:rPr>
          <w:rFonts w:cs="Mangal"/>
          <w:bCs/>
          <w:sz w:val="24"/>
          <w:szCs w:val="24"/>
        </w:rPr>
        <w:t xml:space="preserve">. Forekomsten og sværhedsgraden af </w:t>
      </w:r>
      <w:r w:rsidRPr="00B63CD0">
        <w:rPr>
          <w:rFonts w:cs="Mangal"/>
          <w:bCs/>
          <w:sz w:val="24"/>
          <w:szCs w:val="24"/>
        </w:rPr>
        <w:t>opkastning</w:t>
      </w:r>
      <w:r w:rsidRPr="004D0D42">
        <w:rPr>
          <w:rFonts w:cs="Mangal"/>
          <w:bCs/>
          <w:sz w:val="24"/>
          <w:szCs w:val="24"/>
        </w:rPr>
        <w:t xml:space="preserve"> kan reduceres ved hjælp af forudgående behandling med </w:t>
      </w:r>
      <w:proofErr w:type="spellStart"/>
      <w:r w:rsidRPr="004D0D42">
        <w:rPr>
          <w:rFonts w:cs="Mangal"/>
          <w:bCs/>
          <w:sz w:val="24"/>
          <w:szCs w:val="24"/>
        </w:rPr>
        <w:t>antiemetika</w:t>
      </w:r>
      <w:proofErr w:type="spellEnd"/>
      <w:r w:rsidRPr="004D0D42">
        <w:rPr>
          <w:rFonts w:cs="Mangal"/>
          <w:bCs/>
          <w:sz w:val="24"/>
          <w:szCs w:val="24"/>
        </w:rPr>
        <w:t xml:space="preserve">, ved kontinuerlig infusion af </w:t>
      </w:r>
      <w:proofErr w:type="spellStart"/>
      <w:r w:rsidRPr="004D0D42">
        <w:rPr>
          <w:rFonts w:cs="Mangal"/>
          <w:bCs/>
          <w:sz w:val="24"/>
          <w:szCs w:val="24"/>
        </w:rPr>
        <w:t>carboplatin</w:t>
      </w:r>
      <w:proofErr w:type="spellEnd"/>
      <w:r w:rsidRPr="004D0D42">
        <w:rPr>
          <w:rFonts w:cs="Mangal"/>
          <w:bCs/>
          <w:sz w:val="24"/>
          <w:szCs w:val="24"/>
        </w:rPr>
        <w:t xml:space="preserve"> over 24 timer eller ved infusion af separate doser over 5 dage frem for en enkelt dosis. Selektive type 3 (5-HT3) </w:t>
      </w:r>
      <w:proofErr w:type="spellStart"/>
      <w:r w:rsidRPr="004D0D42">
        <w:rPr>
          <w:rFonts w:cs="Mangal"/>
          <w:bCs/>
          <w:sz w:val="24"/>
          <w:szCs w:val="24"/>
        </w:rPr>
        <w:t>serotonerge</w:t>
      </w:r>
      <w:proofErr w:type="spellEnd"/>
      <w:r w:rsidRPr="004D0D42">
        <w:rPr>
          <w:rFonts w:cs="Mangal"/>
          <w:bCs/>
          <w:sz w:val="24"/>
          <w:szCs w:val="24"/>
        </w:rPr>
        <w:t xml:space="preserve"> </w:t>
      </w:r>
      <w:proofErr w:type="spellStart"/>
      <w:r w:rsidRPr="004D0D42">
        <w:rPr>
          <w:rFonts w:cs="Mangal"/>
          <w:bCs/>
          <w:sz w:val="24"/>
          <w:szCs w:val="24"/>
        </w:rPr>
        <w:t>receptorhæmmere</w:t>
      </w:r>
      <w:proofErr w:type="spellEnd"/>
      <w:r w:rsidRPr="004D0D42">
        <w:rPr>
          <w:rFonts w:cs="Mangal"/>
          <w:bCs/>
          <w:sz w:val="24"/>
          <w:szCs w:val="24"/>
        </w:rPr>
        <w:t xml:space="preserve"> (f.eks. </w:t>
      </w:r>
      <w:proofErr w:type="spellStart"/>
      <w:r w:rsidRPr="004D0D42">
        <w:rPr>
          <w:rFonts w:cs="Mangal"/>
          <w:bCs/>
          <w:sz w:val="24"/>
          <w:szCs w:val="24"/>
        </w:rPr>
        <w:t>ondansetron</w:t>
      </w:r>
      <w:proofErr w:type="spellEnd"/>
      <w:r w:rsidRPr="004D0D42">
        <w:rPr>
          <w:rFonts w:cs="Mangal"/>
          <w:bCs/>
          <w:sz w:val="24"/>
          <w:szCs w:val="24"/>
        </w:rPr>
        <w:t xml:space="preserve">) eller substituerede benzamider (f.eks. </w:t>
      </w:r>
      <w:proofErr w:type="spellStart"/>
      <w:r w:rsidRPr="004D0D42">
        <w:rPr>
          <w:rFonts w:cs="Mangal"/>
          <w:bCs/>
          <w:sz w:val="24"/>
          <w:szCs w:val="24"/>
        </w:rPr>
        <w:t>metoclopramid</w:t>
      </w:r>
      <w:proofErr w:type="spellEnd"/>
      <w:r w:rsidRPr="004D0D42">
        <w:rPr>
          <w:rFonts w:cs="Mangal"/>
          <w:bCs/>
          <w:sz w:val="24"/>
          <w:szCs w:val="24"/>
        </w:rPr>
        <w:t xml:space="preserve">) kan især være effektive </w:t>
      </w:r>
      <w:proofErr w:type="spellStart"/>
      <w:r w:rsidRPr="004D0D42">
        <w:rPr>
          <w:rFonts w:cs="Mangal"/>
          <w:bCs/>
          <w:sz w:val="24"/>
          <w:szCs w:val="24"/>
        </w:rPr>
        <w:t>antiemetika</w:t>
      </w:r>
      <w:proofErr w:type="spellEnd"/>
      <w:r w:rsidRPr="004D0D42">
        <w:rPr>
          <w:rFonts w:cs="Mangal"/>
          <w:bCs/>
          <w:sz w:val="24"/>
          <w:szCs w:val="24"/>
        </w:rPr>
        <w:t xml:space="preserve">, og hos patienter med </w:t>
      </w:r>
      <w:proofErr w:type="spellStart"/>
      <w:r w:rsidRPr="004D0D42">
        <w:rPr>
          <w:rFonts w:cs="Mangal"/>
          <w:bCs/>
          <w:sz w:val="24"/>
          <w:szCs w:val="24"/>
        </w:rPr>
        <w:t>refraktoriske</w:t>
      </w:r>
      <w:proofErr w:type="spellEnd"/>
      <w:r w:rsidRPr="004D0D42">
        <w:rPr>
          <w:rFonts w:cs="Mangal"/>
          <w:bCs/>
          <w:sz w:val="24"/>
          <w:szCs w:val="24"/>
        </w:rPr>
        <w:t xml:space="preserve"> eller svære </w:t>
      </w:r>
      <w:proofErr w:type="spellStart"/>
      <w:r w:rsidRPr="004D0D42">
        <w:rPr>
          <w:rFonts w:cs="Mangal"/>
          <w:bCs/>
          <w:sz w:val="24"/>
          <w:szCs w:val="24"/>
        </w:rPr>
        <w:t>emetiske</w:t>
      </w:r>
      <w:proofErr w:type="spellEnd"/>
      <w:r w:rsidRPr="004D0D42">
        <w:rPr>
          <w:rFonts w:cs="Mangal"/>
          <w:bCs/>
          <w:sz w:val="24"/>
          <w:szCs w:val="24"/>
        </w:rPr>
        <w:t xml:space="preserve"> virkninger kan kombinationsbehandling overvejes.</w:t>
      </w:r>
      <w:bookmarkEnd w:id="0"/>
    </w:p>
    <w:p w14:paraId="6F5D62D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rFonts w:cs="Mangal"/>
          <w:bCs/>
          <w:sz w:val="24"/>
          <w:szCs w:val="24"/>
          <w:u w:val="single"/>
        </w:rPr>
      </w:pPr>
    </w:p>
    <w:p w14:paraId="6CA5378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</w:rPr>
      </w:pPr>
      <w:r w:rsidRPr="00B63CD0">
        <w:rPr>
          <w:bCs/>
          <w:sz w:val="24"/>
          <w:szCs w:val="24"/>
          <w:u w:val="single"/>
        </w:rPr>
        <w:t xml:space="preserve">Reversibelt </w:t>
      </w:r>
      <w:proofErr w:type="spellStart"/>
      <w:r w:rsidRPr="00B63CD0">
        <w:rPr>
          <w:bCs/>
          <w:sz w:val="24"/>
          <w:szCs w:val="24"/>
          <w:u w:val="single"/>
        </w:rPr>
        <w:t>posteriort</w:t>
      </w:r>
      <w:proofErr w:type="spellEnd"/>
      <w:r w:rsidRPr="00B63CD0">
        <w:rPr>
          <w:bCs/>
          <w:sz w:val="24"/>
          <w:szCs w:val="24"/>
          <w:u w:val="single"/>
        </w:rPr>
        <w:t xml:space="preserve"> </w:t>
      </w:r>
      <w:proofErr w:type="spellStart"/>
      <w:r w:rsidRPr="00B63CD0">
        <w:rPr>
          <w:bCs/>
          <w:sz w:val="24"/>
          <w:szCs w:val="24"/>
          <w:u w:val="single"/>
        </w:rPr>
        <w:t>leukoencefalopati</w:t>
      </w:r>
      <w:proofErr w:type="spellEnd"/>
      <w:r w:rsidRPr="00B63CD0">
        <w:rPr>
          <w:bCs/>
          <w:sz w:val="24"/>
          <w:szCs w:val="24"/>
          <w:u w:val="single"/>
        </w:rPr>
        <w:t>-syndrom (RPLS)</w:t>
      </w:r>
    </w:p>
    <w:p w14:paraId="194F3DA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Der er blevet indberettet om tilfælde af reversibelt </w:t>
      </w:r>
      <w:proofErr w:type="spellStart"/>
      <w:r w:rsidRPr="00B63CD0">
        <w:rPr>
          <w:sz w:val="24"/>
          <w:szCs w:val="24"/>
        </w:rPr>
        <w:t>posteriort</w:t>
      </w:r>
      <w:proofErr w:type="spellEnd"/>
      <w:r w:rsidRPr="00B63CD0">
        <w:rPr>
          <w:sz w:val="24"/>
          <w:szCs w:val="24"/>
        </w:rPr>
        <w:t xml:space="preserve"> </w:t>
      </w:r>
      <w:proofErr w:type="spellStart"/>
      <w:r w:rsidRPr="00B63CD0">
        <w:rPr>
          <w:sz w:val="24"/>
          <w:szCs w:val="24"/>
        </w:rPr>
        <w:t>leukoencefalopati</w:t>
      </w:r>
      <w:proofErr w:type="spellEnd"/>
      <w:r w:rsidRPr="00B63CD0">
        <w:rPr>
          <w:sz w:val="24"/>
          <w:szCs w:val="24"/>
        </w:rPr>
        <w:t xml:space="preserve">-syndrom (RPLS) hos patienter, der fik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i kombinationskemoterapi. RPLS er en sjælden, hurtigt udviklende neurologisk tilstand, som er reversibel efter </w:t>
      </w:r>
      <w:proofErr w:type="spellStart"/>
      <w:r w:rsidRPr="00B63CD0">
        <w:rPr>
          <w:sz w:val="24"/>
          <w:szCs w:val="24"/>
        </w:rPr>
        <w:t>behandlingsseponering</w:t>
      </w:r>
      <w:proofErr w:type="spellEnd"/>
      <w:r w:rsidRPr="00B63CD0">
        <w:rPr>
          <w:sz w:val="24"/>
          <w:szCs w:val="24"/>
        </w:rPr>
        <w:t xml:space="preserve"> og kan omfatte krampeanfald, hypertension, hovedpine, forvirring, blindhed og andre visuelle og neurologiske forstyrrelser (se pkt. 4.8). Diagnose af RPLS er baseret på bekræftelse ved hjernescanning, helst MR-scanning (magnetisk resonansscanning).</w:t>
      </w:r>
    </w:p>
    <w:p w14:paraId="0FFC4DB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D3F15F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B63CD0">
        <w:rPr>
          <w:sz w:val="24"/>
          <w:szCs w:val="24"/>
          <w:u w:val="single"/>
        </w:rPr>
        <w:t>Venookklusiv</w:t>
      </w:r>
      <w:proofErr w:type="spellEnd"/>
      <w:r w:rsidRPr="00B63CD0">
        <w:rPr>
          <w:sz w:val="24"/>
          <w:szCs w:val="24"/>
          <w:u w:val="single"/>
        </w:rPr>
        <w:t xml:space="preserve"> leversvigt</w:t>
      </w:r>
    </w:p>
    <w:p w14:paraId="583B6BF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Tilfælde med </w:t>
      </w:r>
      <w:proofErr w:type="spellStart"/>
      <w:r w:rsidRPr="00B63CD0">
        <w:rPr>
          <w:sz w:val="24"/>
          <w:szCs w:val="24"/>
        </w:rPr>
        <w:t>hepatisk</w:t>
      </w:r>
      <w:proofErr w:type="spellEnd"/>
      <w:r w:rsidRPr="00B63CD0">
        <w:rPr>
          <w:sz w:val="24"/>
          <w:szCs w:val="24"/>
        </w:rPr>
        <w:t xml:space="preserve"> </w:t>
      </w:r>
      <w:proofErr w:type="spellStart"/>
      <w:r w:rsidRPr="00B63CD0">
        <w:rPr>
          <w:sz w:val="24"/>
          <w:szCs w:val="24"/>
        </w:rPr>
        <w:t>venookklusiv</w:t>
      </w:r>
      <w:proofErr w:type="spellEnd"/>
      <w:r w:rsidRPr="00B63CD0">
        <w:rPr>
          <w:sz w:val="24"/>
          <w:szCs w:val="24"/>
        </w:rPr>
        <w:t xml:space="preserve"> svigt (sinus-obstruktion syndrom) er blevet rapporteret, hvoraf nogle var fatale. Patienterne bør overvåges for tegn og symptomer på </w:t>
      </w:r>
      <w:r w:rsidRPr="00B63CD0">
        <w:rPr>
          <w:sz w:val="24"/>
          <w:szCs w:val="24"/>
        </w:rPr>
        <w:lastRenderedPageBreak/>
        <w:t>unormal leverfunktion eller portal hypertension, som ikke åbenlyst er et resultat af lever-metastaser.</w:t>
      </w:r>
    </w:p>
    <w:p w14:paraId="7AA8DF0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B801D2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Tumorlysesyndrom (TLS)</w:t>
      </w:r>
    </w:p>
    <w:p w14:paraId="3CEA46E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Erfaringer indhentet efter markedsføring har rapporteret tumorlysesyndrom (TLS) hos patienter efter brug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alene eller sammen med andre kemoterapimidler. Patienter med høj risiko for TLS, som f.eks. patienter med en høj </w:t>
      </w:r>
      <w:proofErr w:type="spellStart"/>
      <w:r w:rsidRPr="00B63CD0">
        <w:rPr>
          <w:sz w:val="24"/>
          <w:szCs w:val="24"/>
        </w:rPr>
        <w:t>proliferationsrate</w:t>
      </w:r>
      <w:proofErr w:type="spellEnd"/>
      <w:r w:rsidRPr="00B63CD0">
        <w:rPr>
          <w:sz w:val="24"/>
          <w:szCs w:val="24"/>
        </w:rPr>
        <w:t xml:space="preserve">, høj tumorbyrde og høj følsomhed overfor </w:t>
      </w:r>
      <w:proofErr w:type="spellStart"/>
      <w:r w:rsidRPr="00B63CD0">
        <w:rPr>
          <w:sz w:val="24"/>
          <w:szCs w:val="24"/>
        </w:rPr>
        <w:t>cytotoksiske</w:t>
      </w:r>
      <w:proofErr w:type="spellEnd"/>
      <w:r w:rsidRPr="00B63CD0">
        <w:rPr>
          <w:sz w:val="24"/>
          <w:szCs w:val="24"/>
        </w:rPr>
        <w:t xml:space="preserve"> midler, bør overvåges tæt, og de relevante forholdsregler bør træffes.</w:t>
      </w:r>
    </w:p>
    <w:p w14:paraId="02AE72BF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974BBA9" w14:textId="77777777" w:rsidR="004D0D42" w:rsidRPr="00B63CD0" w:rsidRDefault="004D0D42" w:rsidP="004D0D42">
      <w:pPr>
        <w:keepNext/>
        <w:keepLines/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 xml:space="preserve">Dosering af </w:t>
      </w:r>
      <w:proofErr w:type="spellStart"/>
      <w:r w:rsidRPr="00B63CD0">
        <w:rPr>
          <w:sz w:val="24"/>
          <w:szCs w:val="24"/>
          <w:u w:val="single"/>
        </w:rPr>
        <w:t>carboplatin</w:t>
      </w:r>
      <w:proofErr w:type="spellEnd"/>
    </w:p>
    <w:p w14:paraId="0E503E08" w14:textId="77777777" w:rsidR="004D0D42" w:rsidRPr="00B63CD0" w:rsidRDefault="004D0D42" w:rsidP="004D0D42">
      <w:pPr>
        <w:keepNext/>
        <w:keepLines/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Nogle undergrupper af patienter (f.eks. alder 40 – 59, BMI 20 – 25) er i særlig risiko for underbehandling, hvis GFR vurderes ved brug af </w:t>
      </w:r>
      <w:proofErr w:type="spellStart"/>
      <w:r w:rsidRPr="00B63CD0">
        <w:rPr>
          <w:sz w:val="24"/>
          <w:szCs w:val="24"/>
        </w:rPr>
        <w:t>Cockroft</w:t>
      </w:r>
      <w:proofErr w:type="spellEnd"/>
      <w:r w:rsidRPr="00B63CD0">
        <w:rPr>
          <w:sz w:val="24"/>
          <w:szCs w:val="24"/>
        </w:rPr>
        <w:t>-</w:t>
      </w:r>
      <w:proofErr w:type="spellStart"/>
      <w:r w:rsidRPr="00B63CD0">
        <w:rPr>
          <w:sz w:val="24"/>
          <w:szCs w:val="24"/>
        </w:rPr>
        <w:t>Gault</w:t>
      </w:r>
      <w:proofErr w:type="spellEnd"/>
      <w:r w:rsidRPr="00B63CD0">
        <w:rPr>
          <w:sz w:val="24"/>
          <w:szCs w:val="24"/>
        </w:rPr>
        <w:t>-formlen. Da en nøjagtig vurdering af GFR er afgørende ved kurativ behandling, bør GFR i disse tilfælde fortrinsvis vurderes ved brug af en standardiseret målemetode (</w:t>
      </w:r>
      <w:proofErr w:type="spellStart"/>
      <w:r w:rsidRPr="00B63CD0">
        <w:rPr>
          <w:sz w:val="24"/>
          <w:szCs w:val="24"/>
        </w:rPr>
        <w:t>inulin</w:t>
      </w:r>
      <w:proofErr w:type="spellEnd"/>
      <w:r w:rsidRPr="00B63CD0">
        <w:rPr>
          <w:sz w:val="24"/>
          <w:szCs w:val="24"/>
        </w:rPr>
        <w:t xml:space="preserve">, </w:t>
      </w:r>
      <w:r w:rsidRPr="00B63CD0">
        <w:rPr>
          <w:sz w:val="24"/>
          <w:szCs w:val="24"/>
          <w:vertAlign w:val="superscript"/>
        </w:rPr>
        <w:t>51</w:t>
      </w:r>
      <w:r w:rsidRPr="00B63CD0">
        <w:rPr>
          <w:sz w:val="24"/>
          <w:szCs w:val="24"/>
        </w:rPr>
        <w:t xml:space="preserve">Cr-EDTA, </w:t>
      </w:r>
      <w:r w:rsidRPr="00B63CD0">
        <w:rPr>
          <w:sz w:val="24"/>
          <w:szCs w:val="24"/>
          <w:vertAlign w:val="superscript"/>
        </w:rPr>
        <w:t>99m</w:t>
      </w:r>
      <w:r w:rsidRPr="00B63CD0">
        <w:rPr>
          <w:sz w:val="24"/>
          <w:szCs w:val="24"/>
        </w:rPr>
        <w:t xml:space="preserve">Tc-DTPA, </w:t>
      </w:r>
      <w:r w:rsidRPr="00B63CD0">
        <w:rPr>
          <w:sz w:val="24"/>
          <w:szCs w:val="24"/>
          <w:vertAlign w:val="superscript"/>
        </w:rPr>
        <w:t>125</w:t>
      </w:r>
      <w:r w:rsidRPr="00B63CD0">
        <w:rPr>
          <w:sz w:val="24"/>
          <w:szCs w:val="24"/>
        </w:rPr>
        <w:t xml:space="preserve">I-iothalamat eller </w:t>
      </w:r>
      <w:proofErr w:type="spellStart"/>
      <w:r w:rsidRPr="00B63CD0">
        <w:rPr>
          <w:sz w:val="24"/>
          <w:szCs w:val="24"/>
        </w:rPr>
        <w:t>iohexol</w:t>
      </w:r>
      <w:proofErr w:type="spellEnd"/>
      <w:r w:rsidRPr="00B63CD0">
        <w:rPr>
          <w:sz w:val="24"/>
          <w:szCs w:val="24"/>
        </w:rPr>
        <w:t>), hvor det kan lade sig gøre.</w:t>
      </w:r>
    </w:p>
    <w:p w14:paraId="3768783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3DD8E8D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a-DK"/>
        </w:rPr>
      </w:pPr>
      <w:r w:rsidRPr="00B63CD0">
        <w:rPr>
          <w:bCs/>
          <w:sz w:val="24"/>
          <w:szCs w:val="24"/>
          <w:u w:val="single"/>
        </w:rPr>
        <w:t>Ældre</w:t>
      </w:r>
    </w:p>
    <w:p w14:paraId="45695A8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I studier, der omfatter kombinationsbehandling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og </w:t>
      </w:r>
      <w:proofErr w:type="spellStart"/>
      <w:r w:rsidRPr="00B63CD0">
        <w:rPr>
          <w:sz w:val="24"/>
          <w:szCs w:val="24"/>
        </w:rPr>
        <w:t>cyclophosphamid</w:t>
      </w:r>
      <w:proofErr w:type="spellEnd"/>
      <w:r w:rsidRPr="00B63CD0">
        <w:rPr>
          <w:sz w:val="24"/>
          <w:szCs w:val="24"/>
        </w:rPr>
        <w:t xml:space="preserve"> var det mere sandsynligt, at ældre patienter i 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udviklede svær </w:t>
      </w:r>
      <w:proofErr w:type="spellStart"/>
      <w:r w:rsidRPr="00B63CD0">
        <w:rPr>
          <w:sz w:val="24"/>
          <w:szCs w:val="24"/>
        </w:rPr>
        <w:t>trombocytopeni</w:t>
      </w:r>
      <w:proofErr w:type="spellEnd"/>
      <w:r w:rsidRPr="00B63CD0">
        <w:rPr>
          <w:sz w:val="24"/>
          <w:szCs w:val="24"/>
        </w:rPr>
        <w:t xml:space="preserve"> end at yngre patienter gjorde det. Da nyrefunktionen ofte er nedsat hos ældre, bør nyrefunktionen vurderes, når dosis bestemmes (se pkt. 4.2).</w:t>
      </w:r>
    </w:p>
    <w:p w14:paraId="75C3698C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64B52501" w14:textId="77777777" w:rsidR="004D0D42" w:rsidRPr="00B63CD0" w:rsidRDefault="004D0D42" w:rsidP="004D0D42">
      <w:pPr>
        <w:keepNext/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a-DK"/>
        </w:rPr>
      </w:pPr>
      <w:r w:rsidRPr="00B63CD0">
        <w:rPr>
          <w:bCs/>
          <w:sz w:val="24"/>
          <w:szCs w:val="24"/>
          <w:u w:val="single"/>
        </w:rPr>
        <w:t>Andet</w:t>
      </w:r>
    </w:p>
    <w:p w14:paraId="14598F0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Høreskader er blevet rapporteret i løbet af 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. </w:t>
      </w:r>
      <w:proofErr w:type="spellStart"/>
      <w:r w:rsidRPr="00B63CD0">
        <w:rPr>
          <w:sz w:val="24"/>
          <w:szCs w:val="24"/>
        </w:rPr>
        <w:t>Ototoksicitet</w:t>
      </w:r>
      <w:proofErr w:type="spellEnd"/>
      <w:r w:rsidRPr="00B63CD0">
        <w:rPr>
          <w:sz w:val="24"/>
          <w:szCs w:val="24"/>
        </w:rPr>
        <w:t xml:space="preserve"> kan være mere udpræget hos børn. Tilfælde med nedsat hørelse med en forsinket start er blevet rapporteret hos pædiatriske patienter. Det anbefales at udføres langvarig audiometrisk opfølgning hos denne population.</w:t>
      </w:r>
    </w:p>
    <w:p w14:paraId="4AD0B61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43E67330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63CD0">
        <w:rPr>
          <w:sz w:val="24"/>
          <w:szCs w:val="24"/>
        </w:rPr>
        <w:t>Administration af levende eller levende-</w:t>
      </w:r>
      <w:proofErr w:type="spellStart"/>
      <w:r w:rsidRPr="00B63CD0">
        <w:rPr>
          <w:sz w:val="24"/>
          <w:szCs w:val="24"/>
        </w:rPr>
        <w:t>attenuerede</w:t>
      </w:r>
      <w:proofErr w:type="spellEnd"/>
      <w:r w:rsidRPr="00B63CD0">
        <w:rPr>
          <w:sz w:val="24"/>
          <w:szCs w:val="24"/>
        </w:rPr>
        <w:t xml:space="preserve"> vacciner til patienter, som er immunkompromitterede på grund af kemoterapeutika, herunder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, kan forårsage alvorlige eller dødelige infektioner. Vaccination med en levende vaccine bør undgås hos patienter, der får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. Dræbte eller inaktiverede vacciner kan administreres. Responset på sådanne vacciner kan imidlertid være nedsat.</w:t>
      </w:r>
    </w:p>
    <w:p w14:paraId="7ADDC250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28747B03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Carboplatins</w:t>
      </w:r>
      <w:proofErr w:type="spellEnd"/>
      <w:r w:rsidRPr="00B63CD0">
        <w:rPr>
          <w:sz w:val="24"/>
          <w:szCs w:val="24"/>
        </w:rPr>
        <w:t xml:space="preserve"> kræftfremkaldende potentiale er ikke undersøgt, men forbindelser med lignende virkningsmekanismer og lignende </w:t>
      </w:r>
      <w:proofErr w:type="spellStart"/>
      <w:r w:rsidRPr="00B63CD0">
        <w:rPr>
          <w:sz w:val="24"/>
          <w:szCs w:val="24"/>
        </w:rPr>
        <w:t>mutagenicitet</w:t>
      </w:r>
      <w:proofErr w:type="spellEnd"/>
      <w:r w:rsidRPr="00B63CD0">
        <w:rPr>
          <w:sz w:val="24"/>
          <w:szCs w:val="24"/>
        </w:rPr>
        <w:t xml:space="preserve"> er blevet indberettet som værende kræftfremkaldende.</w:t>
      </w:r>
    </w:p>
    <w:p w14:paraId="179FF6FD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6ED2F3AA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Der skal træffes egnede foranstaltninger for at undgå graviditet under og i mindst 6 måneder efter behandlingen. Mænd skal også træffe svangerskabsforebyggende foranstaltninger under og i mindst 3 måneder efter behandlingen, da kromosomerne i humane spermatozoer kan blive ødelagt på grund af </w:t>
      </w:r>
      <w:proofErr w:type="spellStart"/>
      <w:r w:rsidRPr="00B63CD0">
        <w:rPr>
          <w:sz w:val="24"/>
          <w:szCs w:val="24"/>
        </w:rPr>
        <w:t>carboplatins</w:t>
      </w:r>
      <w:proofErr w:type="spellEnd"/>
      <w:r w:rsidRPr="00B63CD0">
        <w:rPr>
          <w:sz w:val="24"/>
          <w:szCs w:val="24"/>
        </w:rPr>
        <w:t xml:space="preserve"> mutagene potentiale.</w:t>
      </w:r>
    </w:p>
    <w:p w14:paraId="2DDAC3F5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Ved ønske om at få børn anbefales rådgivning om opbevaring af sæd før påbegyndelse af behandlingen. Gravide kvinder bør undgå at håndtere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.</w:t>
      </w:r>
    </w:p>
    <w:p w14:paraId="3C9C69F1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57991785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Pædiatrisk population</w:t>
      </w:r>
    </w:p>
    <w:p w14:paraId="27282268" w14:textId="77777777" w:rsidR="004D0D42" w:rsidRPr="00B63CD0" w:rsidRDefault="004D0D42" w:rsidP="004D0D42">
      <w:pPr>
        <w:tabs>
          <w:tab w:val="left" w:pos="851"/>
        </w:tabs>
        <w:rPr>
          <w:sz w:val="24"/>
          <w:szCs w:val="24"/>
        </w:rPr>
      </w:pPr>
      <w:r w:rsidRPr="00B63CD0">
        <w:rPr>
          <w:sz w:val="24"/>
          <w:szCs w:val="24"/>
        </w:rPr>
        <w:tab/>
        <w:t>Sikkerhed og virkning hos børn er ikke klarlagt.</w:t>
      </w:r>
    </w:p>
    <w:p w14:paraId="2C1A7A92" w14:textId="77777777" w:rsidR="009260DE" w:rsidRPr="00BF022F" w:rsidRDefault="009260DE" w:rsidP="00674613">
      <w:pPr>
        <w:tabs>
          <w:tab w:val="left" w:pos="851"/>
        </w:tabs>
        <w:ind w:left="851"/>
        <w:rPr>
          <w:sz w:val="24"/>
          <w:szCs w:val="24"/>
        </w:rPr>
      </w:pPr>
    </w:p>
    <w:p w14:paraId="0EDCF2CE" w14:textId="77777777" w:rsidR="009260DE" w:rsidRPr="00BF022F" w:rsidRDefault="009260DE" w:rsidP="004D0D4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lastRenderedPageBreak/>
        <w:t>4.5</w:t>
      </w:r>
      <w:r w:rsidRPr="00BF022F">
        <w:rPr>
          <w:b/>
          <w:sz w:val="24"/>
          <w:szCs w:val="24"/>
        </w:rPr>
        <w:tab/>
        <w:t>Interaktion med andre lægemidler og andre former for interaktion</w:t>
      </w:r>
    </w:p>
    <w:p w14:paraId="50C342D7" w14:textId="77777777" w:rsidR="004D0D42" w:rsidRPr="00B63CD0" w:rsidRDefault="004D0D42" w:rsidP="004D0D42">
      <w:pPr>
        <w:keepNext/>
        <w:keepLines/>
        <w:ind w:left="851"/>
        <w:rPr>
          <w:sz w:val="24"/>
          <w:szCs w:val="24"/>
        </w:rPr>
      </w:pPr>
      <w:bookmarkStart w:id="1" w:name="_Hlk128647383"/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anvendes for det meste i kombination med </w:t>
      </w:r>
      <w:proofErr w:type="spellStart"/>
      <w:r w:rsidRPr="00B63CD0">
        <w:rPr>
          <w:sz w:val="24"/>
          <w:szCs w:val="24"/>
        </w:rPr>
        <w:t>antineoplastiske</w:t>
      </w:r>
      <w:proofErr w:type="spellEnd"/>
      <w:r w:rsidRPr="00B63CD0">
        <w:rPr>
          <w:sz w:val="24"/>
          <w:szCs w:val="24"/>
        </w:rPr>
        <w:t xml:space="preserve"> lægemidler med lignende </w:t>
      </w:r>
      <w:proofErr w:type="spellStart"/>
      <w:r w:rsidRPr="00B63CD0">
        <w:rPr>
          <w:sz w:val="24"/>
          <w:szCs w:val="24"/>
        </w:rPr>
        <w:t>cytotoksiske</w:t>
      </w:r>
      <w:proofErr w:type="spellEnd"/>
      <w:r w:rsidRPr="00B63CD0">
        <w:rPr>
          <w:sz w:val="24"/>
          <w:szCs w:val="24"/>
        </w:rPr>
        <w:t xml:space="preserve"> virkninger. Under disse omstændigheder kan der forekomme additiv toksicitet.</w:t>
      </w:r>
    </w:p>
    <w:p w14:paraId="6DE81B3A" w14:textId="00538548" w:rsidR="004D0D42" w:rsidRPr="00B63CD0" w:rsidRDefault="004D0D42" w:rsidP="004D0D42">
      <w:pPr>
        <w:keepNext/>
        <w:keepLines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Når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kombineres med andre </w:t>
      </w:r>
      <w:proofErr w:type="spellStart"/>
      <w:r w:rsidRPr="00B63CD0">
        <w:rPr>
          <w:sz w:val="24"/>
          <w:szCs w:val="24"/>
        </w:rPr>
        <w:t>myelosuppressive</w:t>
      </w:r>
      <w:proofErr w:type="spellEnd"/>
      <w:r w:rsidRPr="00B63CD0">
        <w:rPr>
          <w:sz w:val="24"/>
          <w:szCs w:val="24"/>
        </w:rPr>
        <w:t xml:space="preserve"> lægemidler, kan </w:t>
      </w:r>
      <w:proofErr w:type="spellStart"/>
      <w:r w:rsidRPr="00B63CD0">
        <w:rPr>
          <w:sz w:val="24"/>
          <w:szCs w:val="24"/>
        </w:rPr>
        <w:t>carboplatins</w:t>
      </w:r>
      <w:proofErr w:type="spellEnd"/>
      <w:r w:rsidRPr="00B63CD0">
        <w:rPr>
          <w:sz w:val="24"/>
          <w:szCs w:val="24"/>
        </w:rPr>
        <w:t xml:space="preserve"> og/eller de øvrige ordinerede lægemidlers virkning på knoglemarven blive forstærket. Hos patienter, der får samtidig behandling med andre </w:t>
      </w:r>
      <w:proofErr w:type="spellStart"/>
      <w:r w:rsidRPr="00B63CD0">
        <w:rPr>
          <w:sz w:val="24"/>
          <w:szCs w:val="24"/>
        </w:rPr>
        <w:t>nefrotoksiske</w:t>
      </w:r>
      <w:proofErr w:type="spellEnd"/>
      <w:r w:rsidRPr="00B63CD0">
        <w:rPr>
          <w:sz w:val="24"/>
          <w:szCs w:val="24"/>
        </w:rPr>
        <w:t xml:space="preserve"> stoffer, er der større mulighed for en mere udtalt og længerevarende </w:t>
      </w:r>
      <w:proofErr w:type="spellStart"/>
      <w:r w:rsidRPr="00B63CD0">
        <w:rPr>
          <w:sz w:val="24"/>
          <w:szCs w:val="24"/>
        </w:rPr>
        <w:t>myelotoksicitet</w:t>
      </w:r>
      <w:proofErr w:type="spellEnd"/>
      <w:r w:rsidRPr="00B63CD0">
        <w:rPr>
          <w:sz w:val="24"/>
          <w:szCs w:val="24"/>
        </w:rPr>
        <w:t xml:space="preserve"> på grund af den nedsatte </w:t>
      </w:r>
      <w:proofErr w:type="spellStart"/>
      <w:r w:rsidRPr="00B63CD0">
        <w:rPr>
          <w:sz w:val="24"/>
          <w:szCs w:val="24"/>
        </w:rPr>
        <w:t>renale</w:t>
      </w:r>
      <w:proofErr w:type="spellEnd"/>
      <w:r w:rsidRPr="00B63CD0">
        <w:rPr>
          <w:sz w:val="24"/>
          <w:szCs w:val="24"/>
        </w:rPr>
        <w:t xml:space="preserve"> </w:t>
      </w:r>
      <w:proofErr w:type="spellStart"/>
      <w:r w:rsidRPr="00B63CD0">
        <w:rPr>
          <w:sz w:val="24"/>
          <w:szCs w:val="24"/>
        </w:rPr>
        <w:t>clearance</w:t>
      </w:r>
      <w:proofErr w:type="spellEnd"/>
      <w:r w:rsidRPr="00B63CD0">
        <w:rPr>
          <w:sz w:val="24"/>
          <w:szCs w:val="24"/>
        </w:rPr>
        <w:t xml:space="preserve">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.</w:t>
      </w:r>
      <w:bookmarkEnd w:id="1"/>
    </w:p>
    <w:p w14:paraId="7C697A33" w14:textId="77777777" w:rsidR="004D0D42" w:rsidRPr="00B63CD0" w:rsidRDefault="004D0D42" w:rsidP="004D0D42">
      <w:pPr>
        <w:keepNext/>
        <w:keepLines/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Da tromboserisikoen ved tumorsygdomme er forhøjet, anvendes der hyppigt </w:t>
      </w:r>
      <w:proofErr w:type="spellStart"/>
      <w:r w:rsidRPr="00B63CD0">
        <w:rPr>
          <w:sz w:val="24"/>
          <w:szCs w:val="24"/>
        </w:rPr>
        <w:t>antikoagulationsbehandling</w:t>
      </w:r>
      <w:proofErr w:type="spellEnd"/>
      <w:r w:rsidRPr="00B63CD0">
        <w:rPr>
          <w:sz w:val="24"/>
          <w:szCs w:val="24"/>
        </w:rPr>
        <w:t xml:space="preserve">. Den høje intraindividuelle variabilitet af koagulationsevnen under sygdom, samt muligheden for interaktion mellem orale </w:t>
      </w:r>
      <w:proofErr w:type="spellStart"/>
      <w:r w:rsidRPr="00B63CD0">
        <w:rPr>
          <w:sz w:val="24"/>
          <w:szCs w:val="24"/>
        </w:rPr>
        <w:t>antikoagulantia</w:t>
      </w:r>
      <w:proofErr w:type="spellEnd"/>
      <w:r w:rsidRPr="00B63CD0">
        <w:rPr>
          <w:sz w:val="24"/>
          <w:szCs w:val="24"/>
        </w:rPr>
        <w:t xml:space="preserve"> og anticancer kemoterapi kræver hyppigere overvågning af INR, hvis det besluttes at behandle patienten med orale </w:t>
      </w:r>
      <w:proofErr w:type="spellStart"/>
      <w:r w:rsidRPr="00B63CD0">
        <w:rPr>
          <w:sz w:val="24"/>
          <w:szCs w:val="24"/>
        </w:rPr>
        <w:t>antikoagulantia</w:t>
      </w:r>
      <w:proofErr w:type="spellEnd"/>
      <w:r w:rsidRPr="00B63CD0">
        <w:rPr>
          <w:sz w:val="24"/>
          <w:szCs w:val="24"/>
        </w:rPr>
        <w:t>.</w:t>
      </w:r>
    </w:p>
    <w:p w14:paraId="7581F9B9" w14:textId="77777777" w:rsidR="004D0D42" w:rsidRPr="00B63CD0" w:rsidRDefault="004D0D42" w:rsidP="004D0D42">
      <w:pPr>
        <w:ind w:left="851"/>
        <w:rPr>
          <w:sz w:val="24"/>
          <w:szCs w:val="24"/>
          <w:lang w:eastAsia="de-DE"/>
        </w:rPr>
      </w:pPr>
    </w:p>
    <w:p w14:paraId="16563083" w14:textId="77777777" w:rsidR="004D0D42" w:rsidRPr="00B63CD0" w:rsidRDefault="004D0D42" w:rsidP="004D0D42">
      <w:pPr>
        <w:keepNext/>
        <w:ind w:left="851"/>
        <w:rPr>
          <w:sz w:val="24"/>
          <w:szCs w:val="24"/>
          <w:u w:val="single"/>
          <w:lang w:eastAsia="da-DK"/>
        </w:rPr>
      </w:pPr>
      <w:r w:rsidRPr="00B63CD0">
        <w:rPr>
          <w:sz w:val="24"/>
          <w:szCs w:val="24"/>
          <w:u w:val="single"/>
        </w:rPr>
        <w:t>Samtidig anvendelse kontraindiceret</w:t>
      </w:r>
    </w:p>
    <w:p w14:paraId="038FC046" w14:textId="77777777" w:rsidR="004D0D42" w:rsidRPr="00B63CD0" w:rsidRDefault="004D0D42" w:rsidP="004D0D42">
      <w:pPr>
        <w:keepNext/>
        <w:ind w:left="1134" w:hanging="283"/>
        <w:rPr>
          <w:sz w:val="24"/>
          <w:szCs w:val="24"/>
        </w:rPr>
      </w:pPr>
      <w:r w:rsidRPr="00B63CD0">
        <w:rPr>
          <w:b/>
          <w:bCs/>
          <w:sz w:val="24"/>
          <w:szCs w:val="24"/>
        </w:rPr>
        <w:t>•</w:t>
      </w:r>
      <w:r w:rsidRPr="00B63CD0">
        <w:rPr>
          <w:sz w:val="24"/>
          <w:szCs w:val="24"/>
        </w:rPr>
        <w:tab/>
        <w:t>Vaccine mod gul feber</w:t>
      </w:r>
      <w:r w:rsidRPr="00B63CD0">
        <w:rPr>
          <w:bCs/>
          <w:sz w:val="24"/>
          <w:szCs w:val="24"/>
        </w:rPr>
        <w:t>:</w:t>
      </w:r>
      <w:r w:rsidRPr="00B63CD0">
        <w:rPr>
          <w:b/>
          <w:bCs/>
          <w:sz w:val="24"/>
          <w:szCs w:val="24"/>
        </w:rPr>
        <w:t xml:space="preserve"> </w:t>
      </w:r>
      <w:r w:rsidRPr="00B63CD0">
        <w:rPr>
          <w:sz w:val="24"/>
          <w:szCs w:val="24"/>
        </w:rPr>
        <w:t>Risiko for generaliseret fatal vaccinesygdom (se pkt. 4.3).</w:t>
      </w:r>
    </w:p>
    <w:p w14:paraId="3CCFF720" w14:textId="77777777" w:rsidR="004D0D42" w:rsidRPr="00B63CD0" w:rsidRDefault="004D0D42" w:rsidP="004D0D42">
      <w:pPr>
        <w:ind w:left="851"/>
        <w:rPr>
          <w:sz w:val="24"/>
          <w:szCs w:val="24"/>
          <w:lang w:eastAsia="de-DE"/>
        </w:rPr>
      </w:pPr>
    </w:p>
    <w:p w14:paraId="11485B39" w14:textId="77777777" w:rsidR="004D0D42" w:rsidRPr="00B63CD0" w:rsidRDefault="004D0D42" w:rsidP="004D0D42">
      <w:pPr>
        <w:ind w:left="851"/>
        <w:rPr>
          <w:sz w:val="24"/>
          <w:szCs w:val="24"/>
          <w:u w:val="single"/>
          <w:lang w:eastAsia="da-DK"/>
        </w:rPr>
      </w:pPr>
      <w:r w:rsidRPr="00B63CD0">
        <w:rPr>
          <w:sz w:val="24"/>
          <w:szCs w:val="24"/>
          <w:u w:val="single"/>
        </w:rPr>
        <w:t>Samtidig anvendelse ikke anbefalet</w:t>
      </w:r>
    </w:p>
    <w:p w14:paraId="1FE04FF5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b/>
          <w:bCs/>
          <w:sz w:val="24"/>
          <w:szCs w:val="24"/>
        </w:rPr>
        <w:t>•</w:t>
      </w:r>
      <w:r w:rsidRPr="00B63CD0">
        <w:rPr>
          <w:sz w:val="24"/>
          <w:szCs w:val="24"/>
        </w:rPr>
        <w:tab/>
        <w:t xml:space="preserve">Levende </w:t>
      </w:r>
      <w:proofErr w:type="spellStart"/>
      <w:r w:rsidRPr="00B63CD0">
        <w:rPr>
          <w:sz w:val="24"/>
          <w:szCs w:val="24"/>
        </w:rPr>
        <w:t>attenuerede</w:t>
      </w:r>
      <w:proofErr w:type="spellEnd"/>
      <w:r w:rsidRPr="00B63CD0">
        <w:rPr>
          <w:sz w:val="24"/>
          <w:szCs w:val="24"/>
        </w:rPr>
        <w:t xml:space="preserve"> vacciner (undtagen gul feber): Risiko for systemisk, muligvis dødelig sygdom. Denne risiko er forhøjet hos personer, der allerede er </w:t>
      </w:r>
      <w:proofErr w:type="spellStart"/>
      <w:r w:rsidRPr="00B63CD0">
        <w:rPr>
          <w:sz w:val="24"/>
          <w:szCs w:val="24"/>
        </w:rPr>
        <w:t>immunosupprimerede</w:t>
      </w:r>
      <w:proofErr w:type="spellEnd"/>
      <w:r w:rsidRPr="00B63CD0">
        <w:rPr>
          <w:sz w:val="24"/>
          <w:szCs w:val="24"/>
        </w:rPr>
        <w:t xml:space="preserve"> pga. deres underliggende sygdom. Anvend en inaktiveret vaccine, når en sådan eksisterer (poliomyelitis).</w:t>
      </w:r>
    </w:p>
    <w:p w14:paraId="7B6830F5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b/>
          <w:bCs/>
          <w:sz w:val="24"/>
          <w:szCs w:val="24"/>
        </w:rPr>
        <w:t>•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Phenytoin</w:t>
      </w:r>
      <w:proofErr w:type="spellEnd"/>
      <w:r w:rsidRPr="00B63CD0">
        <w:rPr>
          <w:sz w:val="24"/>
          <w:szCs w:val="24"/>
        </w:rPr>
        <w:t xml:space="preserve">, </w:t>
      </w:r>
      <w:proofErr w:type="spellStart"/>
      <w:r w:rsidRPr="00B63CD0">
        <w:rPr>
          <w:sz w:val="24"/>
          <w:szCs w:val="24"/>
        </w:rPr>
        <w:t>fosphenytoin</w:t>
      </w:r>
      <w:proofErr w:type="spellEnd"/>
      <w:r w:rsidRPr="00B63CD0">
        <w:rPr>
          <w:sz w:val="24"/>
          <w:szCs w:val="24"/>
        </w:rPr>
        <w:t xml:space="preserve">: Risiko for forværring af krampeanfald, et resultat af den nedsatte fordøjelsesabsorption af </w:t>
      </w:r>
      <w:proofErr w:type="spellStart"/>
      <w:r w:rsidRPr="00B63CD0">
        <w:rPr>
          <w:sz w:val="24"/>
          <w:szCs w:val="24"/>
        </w:rPr>
        <w:t>phenytoin</w:t>
      </w:r>
      <w:proofErr w:type="spellEnd"/>
      <w:r w:rsidRPr="00B63CD0">
        <w:rPr>
          <w:sz w:val="24"/>
          <w:szCs w:val="24"/>
        </w:rPr>
        <w:t xml:space="preserve"> fra det </w:t>
      </w:r>
      <w:proofErr w:type="spellStart"/>
      <w:r w:rsidRPr="00B63CD0">
        <w:rPr>
          <w:sz w:val="24"/>
          <w:szCs w:val="24"/>
        </w:rPr>
        <w:t>cytotoksiske</w:t>
      </w:r>
      <w:proofErr w:type="spellEnd"/>
      <w:r w:rsidRPr="00B63CD0">
        <w:rPr>
          <w:sz w:val="24"/>
          <w:szCs w:val="24"/>
        </w:rPr>
        <w:t xml:space="preserve"> aktive stof eller risiko for øget toksicitet eller nedsat virkning af det </w:t>
      </w:r>
      <w:proofErr w:type="spellStart"/>
      <w:r w:rsidRPr="00B63CD0">
        <w:rPr>
          <w:sz w:val="24"/>
          <w:szCs w:val="24"/>
        </w:rPr>
        <w:t>cytotoksiske</w:t>
      </w:r>
      <w:proofErr w:type="spellEnd"/>
      <w:r w:rsidRPr="00B63CD0">
        <w:rPr>
          <w:sz w:val="24"/>
          <w:szCs w:val="24"/>
        </w:rPr>
        <w:t xml:space="preserve"> aktive stof, der skyldes en øget levermetabolisme af </w:t>
      </w:r>
      <w:proofErr w:type="spellStart"/>
      <w:r w:rsidRPr="00B63CD0">
        <w:rPr>
          <w:sz w:val="24"/>
          <w:szCs w:val="24"/>
        </w:rPr>
        <w:t>phenytoin</w:t>
      </w:r>
      <w:proofErr w:type="spellEnd"/>
      <w:r w:rsidRPr="00B63CD0">
        <w:rPr>
          <w:sz w:val="24"/>
          <w:szCs w:val="24"/>
        </w:rPr>
        <w:t>.</w:t>
      </w:r>
    </w:p>
    <w:p w14:paraId="672B27BB" w14:textId="592BB2FB" w:rsidR="004D0D42" w:rsidRPr="00B63CD0" w:rsidRDefault="004D0D42" w:rsidP="004D0D42">
      <w:pPr>
        <w:ind w:left="1134" w:hanging="283"/>
        <w:rPr>
          <w:sz w:val="24"/>
          <w:szCs w:val="24"/>
          <w:u w:val="single"/>
          <w:lang w:eastAsia="de-DE"/>
        </w:rPr>
      </w:pPr>
      <w:r w:rsidRPr="004D0D42">
        <w:rPr>
          <w:b/>
          <w:bCs/>
          <w:sz w:val="24"/>
          <w:szCs w:val="24"/>
          <w:lang w:eastAsia="de-DE"/>
        </w:rPr>
        <w:t>•</w:t>
      </w:r>
      <w:r w:rsidRPr="004D0D42">
        <w:rPr>
          <w:b/>
          <w:bCs/>
          <w:sz w:val="24"/>
          <w:szCs w:val="24"/>
          <w:lang w:eastAsia="de-DE"/>
        </w:rPr>
        <w:tab/>
      </w:r>
      <w:r w:rsidRPr="004D0D42">
        <w:rPr>
          <w:sz w:val="24"/>
          <w:szCs w:val="24"/>
          <w:lang w:eastAsia="de-DE"/>
        </w:rPr>
        <w:t xml:space="preserve">Administration sammen med </w:t>
      </w:r>
      <w:proofErr w:type="spellStart"/>
      <w:r w:rsidRPr="004D0D42">
        <w:rPr>
          <w:sz w:val="24"/>
          <w:szCs w:val="24"/>
          <w:lang w:eastAsia="de-DE"/>
        </w:rPr>
        <w:t>nefrotoksiske</w:t>
      </w:r>
      <w:proofErr w:type="spellEnd"/>
      <w:r w:rsidRPr="004D0D42">
        <w:rPr>
          <w:sz w:val="24"/>
          <w:szCs w:val="24"/>
          <w:lang w:eastAsia="de-DE"/>
        </w:rPr>
        <w:t xml:space="preserve"> eller </w:t>
      </w:r>
      <w:proofErr w:type="spellStart"/>
      <w:r w:rsidRPr="004D0D42">
        <w:rPr>
          <w:sz w:val="24"/>
          <w:szCs w:val="24"/>
          <w:lang w:eastAsia="de-DE"/>
        </w:rPr>
        <w:t>ototoksiske</w:t>
      </w:r>
      <w:proofErr w:type="spellEnd"/>
      <w:r w:rsidRPr="004D0D42">
        <w:rPr>
          <w:sz w:val="24"/>
          <w:szCs w:val="24"/>
          <w:lang w:eastAsia="de-DE"/>
        </w:rPr>
        <w:t xml:space="preserve"> lægemidler, såsom </w:t>
      </w:r>
      <w:proofErr w:type="spellStart"/>
      <w:r w:rsidRPr="004D0D42">
        <w:rPr>
          <w:sz w:val="24"/>
          <w:szCs w:val="24"/>
          <w:lang w:eastAsia="de-DE"/>
        </w:rPr>
        <w:t>aminoglycosider</w:t>
      </w:r>
      <w:proofErr w:type="spellEnd"/>
      <w:r w:rsidRPr="004D0D42">
        <w:rPr>
          <w:sz w:val="24"/>
          <w:szCs w:val="24"/>
          <w:lang w:eastAsia="de-DE"/>
        </w:rPr>
        <w:t xml:space="preserve">, </w:t>
      </w:r>
      <w:proofErr w:type="spellStart"/>
      <w:r w:rsidRPr="004D0D42">
        <w:rPr>
          <w:sz w:val="24"/>
          <w:szCs w:val="24"/>
          <w:lang w:eastAsia="de-DE"/>
        </w:rPr>
        <w:t>vancomycin</w:t>
      </w:r>
      <w:proofErr w:type="spellEnd"/>
      <w:r w:rsidRPr="004D0D42">
        <w:rPr>
          <w:sz w:val="24"/>
          <w:szCs w:val="24"/>
          <w:lang w:eastAsia="de-DE"/>
        </w:rPr>
        <w:t xml:space="preserve">, </w:t>
      </w:r>
      <w:proofErr w:type="spellStart"/>
      <w:r w:rsidRPr="004D0D42">
        <w:rPr>
          <w:sz w:val="24"/>
          <w:szCs w:val="24"/>
          <w:lang w:eastAsia="de-DE"/>
        </w:rPr>
        <w:t>capreomycin</w:t>
      </w:r>
      <w:proofErr w:type="spellEnd"/>
      <w:r w:rsidRPr="004D0D42">
        <w:rPr>
          <w:sz w:val="24"/>
          <w:szCs w:val="24"/>
          <w:lang w:eastAsia="de-DE"/>
        </w:rPr>
        <w:t xml:space="preserve"> og </w:t>
      </w:r>
      <w:proofErr w:type="spellStart"/>
      <w:r w:rsidRPr="004D0D42">
        <w:rPr>
          <w:sz w:val="24"/>
          <w:szCs w:val="24"/>
          <w:lang w:eastAsia="de-DE"/>
        </w:rPr>
        <w:t>diuretika</w:t>
      </w:r>
      <w:proofErr w:type="spellEnd"/>
      <w:r w:rsidRPr="004D0D42">
        <w:rPr>
          <w:sz w:val="24"/>
          <w:szCs w:val="24"/>
          <w:lang w:eastAsia="de-DE"/>
        </w:rPr>
        <w:t xml:space="preserve"> frarådes, da samtidig administration kan medføre øget eller forstærket toksicitet på grund af </w:t>
      </w:r>
      <w:proofErr w:type="spellStart"/>
      <w:r w:rsidRPr="004D0D42">
        <w:rPr>
          <w:sz w:val="24"/>
          <w:szCs w:val="24"/>
          <w:lang w:eastAsia="de-DE"/>
        </w:rPr>
        <w:t>carboplatin</w:t>
      </w:r>
      <w:proofErr w:type="spellEnd"/>
      <w:r w:rsidRPr="004D0D42">
        <w:rPr>
          <w:sz w:val="24"/>
          <w:szCs w:val="24"/>
          <w:lang w:eastAsia="de-DE"/>
        </w:rPr>
        <w:t xml:space="preserve">-inducerede ændringer i disse lægemidlers </w:t>
      </w:r>
      <w:proofErr w:type="spellStart"/>
      <w:r w:rsidRPr="00B63CD0">
        <w:rPr>
          <w:sz w:val="24"/>
          <w:szCs w:val="24"/>
          <w:lang w:eastAsia="de-DE"/>
        </w:rPr>
        <w:t>renale</w:t>
      </w:r>
      <w:proofErr w:type="spellEnd"/>
      <w:r w:rsidRPr="00B63CD0">
        <w:rPr>
          <w:sz w:val="24"/>
          <w:szCs w:val="24"/>
          <w:lang w:eastAsia="de-DE"/>
        </w:rPr>
        <w:t xml:space="preserve"> </w:t>
      </w:r>
      <w:proofErr w:type="spellStart"/>
      <w:r w:rsidRPr="004D0D42">
        <w:rPr>
          <w:sz w:val="24"/>
          <w:szCs w:val="24"/>
          <w:lang w:eastAsia="de-DE"/>
        </w:rPr>
        <w:t>clearance</w:t>
      </w:r>
      <w:proofErr w:type="spellEnd"/>
      <w:r w:rsidRPr="004D0D42">
        <w:rPr>
          <w:sz w:val="24"/>
          <w:szCs w:val="24"/>
          <w:lang w:eastAsia="de-DE"/>
        </w:rPr>
        <w:t>, især hos patienter med nedsat nyrefunktion.</w:t>
      </w:r>
    </w:p>
    <w:p w14:paraId="7DA00D2B" w14:textId="77777777" w:rsidR="004D0D42" w:rsidRPr="00B63CD0" w:rsidRDefault="004D0D42" w:rsidP="004D0D42">
      <w:pPr>
        <w:ind w:left="851"/>
        <w:rPr>
          <w:sz w:val="24"/>
          <w:szCs w:val="24"/>
          <w:u w:val="single"/>
          <w:lang w:eastAsia="de-DE"/>
        </w:rPr>
      </w:pPr>
    </w:p>
    <w:p w14:paraId="00261B7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63CD0">
        <w:rPr>
          <w:sz w:val="24"/>
          <w:szCs w:val="24"/>
          <w:u w:val="single"/>
        </w:rPr>
        <w:t>Samtidig brug til at tage med i overvejelserne</w:t>
      </w:r>
    </w:p>
    <w:p w14:paraId="6579E7B2" w14:textId="7C7E19FA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b/>
          <w:bCs/>
          <w:sz w:val="24"/>
          <w:szCs w:val="24"/>
        </w:rPr>
        <w:t>•</w:t>
      </w:r>
      <w:r w:rsidRPr="00B63CD0">
        <w:rPr>
          <w:sz w:val="24"/>
          <w:szCs w:val="24"/>
        </w:rPr>
        <w:tab/>
      </w:r>
      <w:proofErr w:type="spellStart"/>
      <w:r w:rsidRPr="00B63CD0">
        <w:rPr>
          <w:sz w:val="24"/>
          <w:szCs w:val="24"/>
        </w:rPr>
        <w:t>Ciclosporin</w:t>
      </w:r>
      <w:proofErr w:type="spellEnd"/>
      <w:r w:rsidRPr="00B63CD0">
        <w:rPr>
          <w:sz w:val="24"/>
          <w:szCs w:val="24"/>
        </w:rPr>
        <w:t xml:space="preserve"> (og ved ekstrapolation </w:t>
      </w:r>
      <w:proofErr w:type="spellStart"/>
      <w:r w:rsidRPr="00B63CD0">
        <w:rPr>
          <w:sz w:val="24"/>
          <w:szCs w:val="24"/>
        </w:rPr>
        <w:t>tacrolimus</w:t>
      </w:r>
      <w:proofErr w:type="spellEnd"/>
      <w:r w:rsidRPr="00B63CD0">
        <w:rPr>
          <w:sz w:val="24"/>
          <w:szCs w:val="24"/>
        </w:rPr>
        <w:t xml:space="preserve"> og </w:t>
      </w:r>
      <w:proofErr w:type="spellStart"/>
      <w:r w:rsidRPr="00B63CD0">
        <w:rPr>
          <w:sz w:val="24"/>
          <w:szCs w:val="24"/>
        </w:rPr>
        <w:t>sirolimus</w:t>
      </w:r>
      <w:proofErr w:type="spellEnd"/>
      <w:r w:rsidRPr="00B63CD0">
        <w:rPr>
          <w:sz w:val="24"/>
          <w:szCs w:val="24"/>
        </w:rPr>
        <w:t xml:space="preserve">): Udtalt </w:t>
      </w:r>
      <w:proofErr w:type="spellStart"/>
      <w:r w:rsidRPr="00B63CD0">
        <w:rPr>
          <w:sz w:val="24"/>
          <w:szCs w:val="24"/>
        </w:rPr>
        <w:t>immunosuppression</w:t>
      </w:r>
      <w:proofErr w:type="spellEnd"/>
      <w:r w:rsidRPr="00B63CD0">
        <w:rPr>
          <w:sz w:val="24"/>
          <w:szCs w:val="24"/>
        </w:rPr>
        <w:t xml:space="preserve"> med risiko for </w:t>
      </w:r>
      <w:proofErr w:type="spellStart"/>
      <w:r w:rsidRPr="00B63CD0">
        <w:rPr>
          <w:sz w:val="24"/>
          <w:szCs w:val="24"/>
        </w:rPr>
        <w:t>lymfeproliferation</w:t>
      </w:r>
      <w:proofErr w:type="spellEnd"/>
    </w:p>
    <w:p w14:paraId="7EBC1444" w14:textId="77777777" w:rsidR="004D0D42" w:rsidRPr="00B63CD0" w:rsidRDefault="004D0D42" w:rsidP="004D0D42">
      <w:pPr>
        <w:pStyle w:val="Listeafsnit"/>
        <w:numPr>
          <w:ilvl w:val="0"/>
          <w:numId w:val="7"/>
        </w:numPr>
        <w:ind w:left="1134" w:hanging="283"/>
      </w:pPr>
      <w:proofErr w:type="spellStart"/>
      <w:r w:rsidRPr="00B63CD0">
        <w:t>Loopdiuretika</w:t>
      </w:r>
      <w:proofErr w:type="spellEnd"/>
      <w:r w:rsidRPr="00B63CD0">
        <w:t xml:space="preserve">: Samtidig anvendelse af </w:t>
      </w:r>
      <w:proofErr w:type="spellStart"/>
      <w:r w:rsidRPr="00B63CD0">
        <w:t>carboplatin</w:t>
      </w:r>
      <w:proofErr w:type="spellEnd"/>
      <w:r w:rsidRPr="00B63CD0">
        <w:t xml:space="preserve"> og </w:t>
      </w:r>
      <w:proofErr w:type="spellStart"/>
      <w:r w:rsidRPr="00B63CD0">
        <w:t>loopdiuretika</w:t>
      </w:r>
      <w:proofErr w:type="spellEnd"/>
      <w:r w:rsidRPr="00B63CD0">
        <w:t xml:space="preserve"> skal tages med i overvejelserne grundet den kumulative </w:t>
      </w:r>
      <w:proofErr w:type="spellStart"/>
      <w:r w:rsidRPr="00B63CD0">
        <w:t>nefrotoksicitet</w:t>
      </w:r>
      <w:proofErr w:type="spellEnd"/>
      <w:r w:rsidRPr="00B63CD0">
        <w:t xml:space="preserve"> og øretoksicitet.</w:t>
      </w:r>
    </w:p>
    <w:p w14:paraId="106273EF" w14:textId="77777777" w:rsidR="004D0D42" w:rsidRPr="00B63CD0" w:rsidRDefault="004D0D42" w:rsidP="004D0D42">
      <w:pPr>
        <w:ind w:left="1134" w:hanging="283"/>
        <w:rPr>
          <w:sz w:val="24"/>
          <w:szCs w:val="24"/>
        </w:rPr>
      </w:pPr>
      <w:r w:rsidRPr="00B63CD0">
        <w:rPr>
          <w:b/>
          <w:bCs/>
          <w:sz w:val="24"/>
          <w:szCs w:val="24"/>
        </w:rPr>
        <w:t>•</w:t>
      </w:r>
      <w:r w:rsidRPr="00B63CD0">
        <w:rPr>
          <w:sz w:val="24"/>
          <w:szCs w:val="24"/>
        </w:rPr>
        <w:tab/>
        <w:t xml:space="preserve">Samtidig administration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og </w:t>
      </w:r>
      <w:proofErr w:type="spellStart"/>
      <w:r w:rsidRPr="00B63CD0">
        <w:rPr>
          <w:sz w:val="24"/>
          <w:szCs w:val="24"/>
        </w:rPr>
        <w:t>kelerende</w:t>
      </w:r>
      <w:proofErr w:type="spellEnd"/>
      <w:r w:rsidRPr="00B63CD0">
        <w:rPr>
          <w:sz w:val="24"/>
          <w:szCs w:val="24"/>
        </w:rPr>
        <w:t xml:space="preserve"> stoffer bør undgås, da det teoretisk kan føre til en nedsat </w:t>
      </w:r>
      <w:proofErr w:type="spellStart"/>
      <w:r w:rsidRPr="00B63CD0">
        <w:rPr>
          <w:sz w:val="24"/>
          <w:szCs w:val="24"/>
        </w:rPr>
        <w:t>antineoplastisk</w:t>
      </w:r>
      <w:proofErr w:type="spellEnd"/>
      <w:r w:rsidRPr="00B63CD0">
        <w:rPr>
          <w:sz w:val="24"/>
          <w:szCs w:val="24"/>
        </w:rPr>
        <w:t xml:space="preserve"> virkning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. Den </w:t>
      </w:r>
      <w:proofErr w:type="spellStart"/>
      <w:r w:rsidRPr="00B63CD0">
        <w:rPr>
          <w:sz w:val="24"/>
          <w:szCs w:val="24"/>
        </w:rPr>
        <w:t>antineoplastiske</w:t>
      </w:r>
      <w:proofErr w:type="spellEnd"/>
      <w:r w:rsidRPr="00B63CD0">
        <w:rPr>
          <w:sz w:val="24"/>
          <w:szCs w:val="24"/>
        </w:rPr>
        <w:t xml:space="preserve"> virkning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blev imidlertid ikke påvirket af </w:t>
      </w:r>
      <w:proofErr w:type="spellStart"/>
      <w:r w:rsidRPr="00B63CD0">
        <w:rPr>
          <w:sz w:val="24"/>
          <w:szCs w:val="24"/>
        </w:rPr>
        <w:t>diethyl-dithiocarbamat</w:t>
      </w:r>
      <w:proofErr w:type="spellEnd"/>
      <w:r w:rsidRPr="00B63CD0">
        <w:rPr>
          <w:sz w:val="24"/>
          <w:szCs w:val="24"/>
        </w:rPr>
        <w:t xml:space="preserve"> i dyreeksperimenter eller ved klinisk anvendelse.</w:t>
      </w:r>
    </w:p>
    <w:p w14:paraId="4D0CD495" w14:textId="77777777" w:rsidR="009260DE" w:rsidRPr="00BF022F" w:rsidRDefault="009260DE" w:rsidP="00BF022F">
      <w:pPr>
        <w:tabs>
          <w:tab w:val="left" w:pos="851"/>
        </w:tabs>
        <w:ind w:left="851"/>
        <w:rPr>
          <w:sz w:val="24"/>
          <w:szCs w:val="24"/>
        </w:rPr>
      </w:pPr>
    </w:p>
    <w:p w14:paraId="00443D70" w14:textId="77777777" w:rsidR="009260DE" w:rsidRPr="00BF022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4.6</w:t>
      </w:r>
      <w:r w:rsidRPr="00BF022F">
        <w:rPr>
          <w:b/>
          <w:sz w:val="24"/>
          <w:szCs w:val="24"/>
        </w:rPr>
        <w:tab/>
      </w:r>
      <w:r w:rsidR="0071241E" w:rsidRPr="00BF022F">
        <w:rPr>
          <w:b/>
          <w:sz w:val="24"/>
          <w:szCs w:val="24"/>
        </w:rPr>
        <w:t>Fertilitet, g</w:t>
      </w:r>
      <w:r w:rsidRPr="00BF022F">
        <w:rPr>
          <w:b/>
          <w:sz w:val="24"/>
          <w:szCs w:val="24"/>
        </w:rPr>
        <w:t>raviditet og amning</w:t>
      </w:r>
    </w:p>
    <w:p w14:paraId="6133C71E" w14:textId="77777777" w:rsidR="002A7D51" w:rsidRPr="002A7D51" w:rsidRDefault="002A7D51" w:rsidP="002A7D51">
      <w:pPr>
        <w:tabs>
          <w:tab w:val="left" w:pos="851"/>
        </w:tabs>
        <w:ind w:left="851"/>
        <w:rPr>
          <w:sz w:val="24"/>
          <w:szCs w:val="24"/>
        </w:rPr>
      </w:pPr>
    </w:p>
    <w:p w14:paraId="79D9FB82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Graviditet</w:t>
      </w:r>
    </w:p>
    <w:p w14:paraId="3A92A7F5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kan forårsage fosterskade, når det administreres under graviditeten.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har vist sig at være embryotoksiske og </w:t>
      </w:r>
      <w:proofErr w:type="spellStart"/>
      <w:r w:rsidRPr="00B63CD0">
        <w:rPr>
          <w:sz w:val="24"/>
          <w:szCs w:val="24"/>
        </w:rPr>
        <w:t>teratogene</w:t>
      </w:r>
      <w:proofErr w:type="spellEnd"/>
      <w:r w:rsidRPr="00B63CD0">
        <w:rPr>
          <w:sz w:val="24"/>
          <w:szCs w:val="24"/>
        </w:rPr>
        <w:t xml:space="preserve"> hos rotter, der fik lægemidlet under </w:t>
      </w:r>
      <w:proofErr w:type="spellStart"/>
      <w:r w:rsidRPr="00B63CD0">
        <w:rPr>
          <w:sz w:val="24"/>
          <w:szCs w:val="24"/>
        </w:rPr>
        <w:t>organogenese</w:t>
      </w:r>
      <w:proofErr w:type="spellEnd"/>
      <w:r w:rsidRPr="00B63CD0">
        <w:rPr>
          <w:sz w:val="24"/>
          <w:szCs w:val="24"/>
        </w:rPr>
        <w:t xml:space="preserve">. Der er ikke udført nogen kontrollerede studier med gravide kvinder. Hvis dette lægemiddel anvendes under graviditeten, eller hvis patienten bliver gravid i løbet af behandlingen med lægemidlet, skal patienten advares om den </w:t>
      </w:r>
      <w:r w:rsidRPr="00B63CD0">
        <w:rPr>
          <w:sz w:val="24"/>
          <w:szCs w:val="24"/>
        </w:rPr>
        <w:lastRenderedPageBreak/>
        <w:t xml:space="preserve">potentielle risiko for fosteret. Kvinder i den fertile alder skal anvende sikker </w:t>
      </w:r>
      <w:proofErr w:type="spellStart"/>
      <w:r w:rsidRPr="00B63CD0">
        <w:rPr>
          <w:sz w:val="24"/>
          <w:szCs w:val="24"/>
        </w:rPr>
        <w:t>kontraception</w:t>
      </w:r>
      <w:proofErr w:type="spellEnd"/>
      <w:r w:rsidRPr="00B63CD0">
        <w:rPr>
          <w:sz w:val="24"/>
          <w:szCs w:val="24"/>
        </w:rPr>
        <w:t xml:space="preserve"> under og i mindst 6 måneder efter behandlingen.</w:t>
      </w:r>
    </w:p>
    <w:p w14:paraId="2742340D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31D3AC97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Amning</w:t>
      </w:r>
    </w:p>
    <w:p w14:paraId="754091BA" w14:textId="7ADAC57C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Det er ikke fuldt klarlagt, om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eller dets platinholdige metabolitter udskilles i human</w:t>
      </w:r>
      <w:r w:rsidRPr="00B63CD0" w:rsidDel="00E34C8C">
        <w:rPr>
          <w:sz w:val="24"/>
          <w:szCs w:val="24"/>
        </w:rPr>
        <w:t xml:space="preserve"> </w:t>
      </w:r>
      <w:r w:rsidRPr="00B63CD0">
        <w:rPr>
          <w:sz w:val="24"/>
          <w:szCs w:val="24"/>
        </w:rPr>
        <w:t>mælk. Men på grund af muligheden for alvorlige bivirkninger hos spædbørn i tilfælde af overførsel til human</w:t>
      </w:r>
      <w:r w:rsidRPr="00B63CD0" w:rsidDel="00E34C8C">
        <w:rPr>
          <w:sz w:val="24"/>
          <w:szCs w:val="24"/>
        </w:rPr>
        <w:t xml:space="preserve"> </w:t>
      </w:r>
      <w:r w:rsidRPr="00B63CD0">
        <w:rPr>
          <w:sz w:val="24"/>
          <w:szCs w:val="24"/>
        </w:rPr>
        <w:t xml:space="preserve">mælk, skal amning </w:t>
      </w:r>
      <w:r w:rsidRPr="00B63CD0">
        <w:rPr>
          <w:snapToGrid w:val="0"/>
          <w:szCs w:val="24"/>
        </w:rPr>
        <w:t>ophøre</w:t>
      </w:r>
      <w:r w:rsidRPr="00B63CD0">
        <w:rPr>
          <w:sz w:val="24"/>
          <w:szCs w:val="24"/>
        </w:rPr>
        <w:t xml:space="preserve"> under 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(se pkt. 4.3).</w:t>
      </w:r>
    </w:p>
    <w:p w14:paraId="492393AA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</w:p>
    <w:p w14:paraId="74E4CDC7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Fertilitet</w:t>
      </w:r>
    </w:p>
    <w:p w14:paraId="08B73026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Gonadal</w:t>
      </w:r>
      <w:proofErr w:type="spellEnd"/>
      <w:r w:rsidRPr="00B63CD0">
        <w:rPr>
          <w:sz w:val="24"/>
          <w:szCs w:val="24"/>
        </w:rPr>
        <w:t xml:space="preserve"> suppression, der fører til </w:t>
      </w:r>
      <w:proofErr w:type="spellStart"/>
      <w:r w:rsidRPr="00B63CD0">
        <w:rPr>
          <w:sz w:val="24"/>
          <w:szCs w:val="24"/>
        </w:rPr>
        <w:t>amenorré</w:t>
      </w:r>
      <w:proofErr w:type="spellEnd"/>
      <w:r w:rsidRPr="00B63CD0">
        <w:rPr>
          <w:sz w:val="24"/>
          <w:szCs w:val="24"/>
        </w:rPr>
        <w:t xml:space="preserve"> eller </w:t>
      </w:r>
      <w:proofErr w:type="spellStart"/>
      <w:r w:rsidRPr="00B63CD0">
        <w:rPr>
          <w:sz w:val="24"/>
          <w:szCs w:val="24"/>
        </w:rPr>
        <w:t>azospermi</w:t>
      </w:r>
      <w:proofErr w:type="spellEnd"/>
      <w:r w:rsidRPr="00B63CD0">
        <w:rPr>
          <w:sz w:val="24"/>
          <w:szCs w:val="24"/>
        </w:rPr>
        <w:t xml:space="preserve">, kan opstå hos patienter, der får </w:t>
      </w:r>
      <w:proofErr w:type="spellStart"/>
      <w:r w:rsidRPr="00B63CD0">
        <w:rPr>
          <w:sz w:val="24"/>
          <w:szCs w:val="24"/>
        </w:rPr>
        <w:t>antineoplastisk</w:t>
      </w:r>
      <w:proofErr w:type="spellEnd"/>
      <w:r w:rsidRPr="00B63CD0">
        <w:rPr>
          <w:sz w:val="24"/>
          <w:szCs w:val="24"/>
        </w:rPr>
        <w:t xml:space="preserve"> behandling. Disse virkninger forekommer at være relateret til dosis og behandlingens varighed og kan være irreversible. Den forventede grad af nedsat </w:t>
      </w:r>
      <w:proofErr w:type="spellStart"/>
      <w:r w:rsidRPr="00B63CD0">
        <w:rPr>
          <w:sz w:val="24"/>
          <w:szCs w:val="24"/>
        </w:rPr>
        <w:t>testikulær</w:t>
      </w:r>
      <w:proofErr w:type="spellEnd"/>
      <w:r w:rsidRPr="00B63CD0">
        <w:rPr>
          <w:sz w:val="24"/>
          <w:szCs w:val="24"/>
        </w:rPr>
        <w:t xml:space="preserve"> funktion eller ovariefunktion kompliceres af den almindelige anvendelse af kombinationer af flere </w:t>
      </w:r>
      <w:proofErr w:type="spellStart"/>
      <w:r w:rsidRPr="00B63CD0">
        <w:rPr>
          <w:sz w:val="24"/>
          <w:szCs w:val="24"/>
        </w:rPr>
        <w:t>antineoplastiske</w:t>
      </w:r>
      <w:proofErr w:type="spellEnd"/>
      <w:r w:rsidRPr="00B63CD0">
        <w:rPr>
          <w:sz w:val="24"/>
          <w:szCs w:val="24"/>
        </w:rPr>
        <w:t xml:space="preserve"> stoffer, hvilket gør det svært at vurdere virkningen af individuelle stoffer.</w:t>
      </w:r>
    </w:p>
    <w:p w14:paraId="56D279DF" w14:textId="1BA3A2D3" w:rsidR="002A7D51" w:rsidRPr="002A7D51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er genotoksisk. Det anbefales, at mænd i den kønsmodne alder, der behandles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, undgår at fostre børn under og i mindst 3 måneder efter behandlingen, samt til at søge råd om sædopbevaring, før behandlingen påbegyndes, på grund af muligheden for irreversibel </w:t>
      </w:r>
      <w:proofErr w:type="spellStart"/>
      <w:r w:rsidRPr="00B63CD0">
        <w:rPr>
          <w:sz w:val="24"/>
          <w:szCs w:val="24"/>
        </w:rPr>
        <w:t>infertilitet</w:t>
      </w:r>
      <w:proofErr w:type="spellEnd"/>
      <w:r w:rsidRPr="00B63CD0">
        <w:rPr>
          <w:sz w:val="24"/>
          <w:szCs w:val="24"/>
        </w:rPr>
        <w:t xml:space="preserve"> som følge af behandlingen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.</w:t>
      </w:r>
    </w:p>
    <w:p w14:paraId="6C6129DD" w14:textId="77777777" w:rsidR="009260DE" w:rsidRPr="00BF022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8FF2DA" w14:textId="77777777" w:rsidR="009260DE" w:rsidRPr="00BF022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4.7</w:t>
      </w:r>
      <w:r w:rsidRPr="00BF022F">
        <w:rPr>
          <w:b/>
          <w:sz w:val="24"/>
          <w:szCs w:val="24"/>
        </w:rPr>
        <w:tab/>
        <w:t xml:space="preserve">Virkning på evnen til at føre motorkøretøj </w:t>
      </w:r>
      <w:r w:rsidR="0071241E" w:rsidRPr="00BF022F">
        <w:rPr>
          <w:b/>
          <w:sz w:val="24"/>
          <w:szCs w:val="24"/>
        </w:rPr>
        <w:t>og</w:t>
      </w:r>
      <w:r w:rsidRPr="00BF022F">
        <w:rPr>
          <w:b/>
          <w:sz w:val="24"/>
          <w:szCs w:val="24"/>
        </w:rPr>
        <w:t xml:space="preserve"> betjene maskiner</w:t>
      </w:r>
    </w:p>
    <w:p w14:paraId="00A57CA0" w14:textId="77777777" w:rsidR="008833CC" w:rsidRPr="008833CC" w:rsidRDefault="008833CC" w:rsidP="008833CC">
      <w:pPr>
        <w:tabs>
          <w:tab w:val="left" w:pos="851"/>
        </w:tabs>
        <w:ind w:left="851"/>
        <w:rPr>
          <w:sz w:val="24"/>
          <w:szCs w:val="24"/>
        </w:rPr>
      </w:pPr>
      <w:r w:rsidRPr="008833CC">
        <w:rPr>
          <w:sz w:val="24"/>
          <w:szCs w:val="24"/>
        </w:rPr>
        <w:t>Ikke mærkning.</w:t>
      </w:r>
    </w:p>
    <w:p w14:paraId="67AAC596" w14:textId="77777777" w:rsidR="008833CC" w:rsidRPr="008833CC" w:rsidRDefault="008833CC" w:rsidP="008833CC">
      <w:pPr>
        <w:tabs>
          <w:tab w:val="left" w:pos="851"/>
        </w:tabs>
        <w:ind w:left="851"/>
        <w:rPr>
          <w:sz w:val="24"/>
          <w:szCs w:val="24"/>
        </w:rPr>
      </w:pPr>
      <w:r w:rsidRPr="008833CC">
        <w:rPr>
          <w:sz w:val="24"/>
          <w:szCs w:val="24"/>
        </w:rPr>
        <w:t>Der er ikke udført studier af virkninger på evnen til at føre motorkøretøj eller betjene maskiner.</w:t>
      </w:r>
    </w:p>
    <w:p w14:paraId="1D6B05EE" w14:textId="77777777" w:rsidR="008833CC" w:rsidRPr="008833CC" w:rsidRDefault="008833CC" w:rsidP="008833C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833CC">
        <w:rPr>
          <w:sz w:val="24"/>
          <w:szCs w:val="24"/>
        </w:rPr>
        <w:t>Carboplatin</w:t>
      </w:r>
      <w:proofErr w:type="spellEnd"/>
      <w:r w:rsidRPr="008833CC">
        <w:rPr>
          <w:sz w:val="24"/>
          <w:szCs w:val="24"/>
        </w:rPr>
        <w:t xml:space="preserve"> kan imidlertid medføre kvalme, opkastning, synsforstyrrelser og </w:t>
      </w:r>
      <w:proofErr w:type="spellStart"/>
      <w:r w:rsidRPr="008833CC">
        <w:rPr>
          <w:sz w:val="24"/>
          <w:szCs w:val="24"/>
        </w:rPr>
        <w:t>ototoksicitet</w:t>
      </w:r>
      <w:proofErr w:type="spellEnd"/>
      <w:r w:rsidRPr="008833CC">
        <w:rPr>
          <w:sz w:val="24"/>
          <w:szCs w:val="24"/>
        </w:rPr>
        <w:t>. Derfor skal patienterne advares om disse hændelsers mulige indvirkning på evnen til at føre motorkøretøj eller betjene maskiner.</w:t>
      </w:r>
    </w:p>
    <w:p w14:paraId="19B09F2A" w14:textId="77777777" w:rsidR="009260DE" w:rsidRPr="00BF022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D6D1EB" w14:textId="4F636E05" w:rsidR="009260D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4.8</w:t>
      </w:r>
      <w:r w:rsidRPr="00BF022F">
        <w:rPr>
          <w:b/>
          <w:sz w:val="24"/>
          <w:szCs w:val="24"/>
        </w:rPr>
        <w:tab/>
        <w:t>Bivirkninger</w:t>
      </w:r>
    </w:p>
    <w:p w14:paraId="5C4FFE1A" w14:textId="77777777" w:rsidR="004D0D42" w:rsidRPr="00B63CD0" w:rsidRDefault="004D0D42" w:rsidP="004D0D42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Hyppigheden af rapporterede bivirkninger er baseret på en kumulativ database med 1.893 patienter, der fik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>-injektioner som enkeltstof og erfaring efter markedsføring.</w:t>
      </w:r>
    </w:p>
    <w:p w14:paraId="03D41CF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B67EA52" w14:textId="77777777" w:rsidR="004D0D42" w:rsidRPr="00B63CD0" w:rsidRDefault="004D0D42" w:rsidP="004D0D42">
      <w:pPr>
        <w:ind w:left="851"/>
        <w:rPr>
          <w:rFonts w:cs="Mangal"/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Tabel over bivirkninger</w:t>
      </w:r>
    </w:p>
    <w:p w14:paraId="5C954DA3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Følgende bivirkninger er observeret og indberettet under behandling med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med følgende hyppigheder: </w:t>
      </w:r>
    </w:p>
    <w:p w14:paraId="66D05E2C" w14:textId="77777777" w:rsidR="004D0D42" w:rsidRPr="00B63CD0" w:rsidRDefault="004D0D42" w:rsidP="004D0D42">
      <w:pPr>
        <w:ind w:left="851"/>
        <w:rPr>
          <w:sz w:val="24"/>
          <w:szCs w:val="24"/>
        </w:rPr>
      </w:pPr>
    </w:p>
    <w:p w14:paraId="62B9B6C4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>Meget almindelig (≥ 1/10)</w:t>
      </w:r>
    </w:p>
    <w:p w14:paraId="09A575EB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>Almindelig (≥ 1/100 til &lt; 1/10)</w:t>
      </w:r>
    </w:p>
    <w:p w14:paraId="2BA95D63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>Ikke almindelig (≥ 1/1.000 til &lt; 1/100)</w:t>
      </w:r>
    </w:p>
    <w:p w14:paraId="1B706E77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>Sjælden (≥ 1/10.000 til &lt; 1/1.000)</w:t>
      </w:r>
    </w:p>
    <w:p w14:paraId="434A9A5B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>Meget sjælden (&lt; 1/10.000)</w:t>
      </w:r>
    </w:p>
    <w:p w14:paraId="201067B5" w14:textId="77777777" w:rsidR="004D0D42" w:rsidRPr="00B63CD0" w:rsidRDefault="004D0D42" w:rsidP="004D0D42">
      <w:pPr>
        <w:ind w:left="851"/>
        <w:rPr>
          <w:sz w:val="24"/>
          <w:szCs w:val="24"/>
        </w:rPr>
      </w:pPr>
      <w:r w:rsidRPr="00B63CD0">
        <w:rPr>
          <w:sz w:val="24"/>
          <w:szCs w:val="24"/>
        </w:rPr>
        <w:t>Ikke kendt (kan ikke estimeres ud fra forhåndenværende data).</w:t>
      </w:r>
    </w:p>
    <w:p w14:paraId="30674BA5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2619"/>
        <w:gridCol w:w="3394"/>
      </w:tblGrid>
      <w:tr w:rsidR="004D0D42" w:rsidRPr="00B63CD0" w14:paraId="3DFE70EB" w14:textId="77777777" w:rsidTr="004D0D42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B7F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de-DE"/>
              </w:rPr>
            </w:pPr>
            <w:r w:rsidRPr="00B63CD0">
              <w:rPr>
                <w:b/>
                <w:sz w:val="22"/>
                <w:szCs w:val="22"/>
                <w:lang w:eastAsia="de-DE"/>
              </w:rPr>
              <w:t>Systemorganklasse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02A1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b/>
                <w:lang w:eastAsia="de-DE"/>
              </w:rPr>
            </w:pPr>
            <w:r w:rsidRPr="00B63CD0">
              <w:rPr>
                <w:b/>
                <w:sz w:val="22"/>
                <w:szCs w:val="22"/>
                <w:lang w:eastAsia="de-DE"/>
              </w:rPr>
              <w:t>Hyppighed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9F0C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b/>
                <w:lang w:eastAsia="de-DE"/>
              </w:rPr>
            </w:pPr>
            <w:proofErr w:type="spellStart"/>
            <w:r w:rsidRPr="00B63CD0">
              <w:rPr>
                <w:b/>
                <w:sz w:val="22"/>
                <w:szCs w:val="22"/>
                <w:lang w:eastAsia="de-DE"/>
              </w:rPr>
              <w:t>MedDRA</w:t>
            </w:r>
            <w:proofErr w:type="spellEnd"/>
            <w:r w:rsidRPr="00B63CD0">
              <w:rPr>
                <w:b/>
                <w:sz w:val="22"/>
                <w:szCs w:val="22"/>
                <w:lang w:eastAsia="de-DE"/>
              </w:rPr>
              <w:t>-terminologi</w:t>
            </w:r>
          </w:p>
        </w:tc>
      </w:tr>
      <w:tr w:rsidR="004D0D42" w:rsidRPr="00B63CD0" w14:paraId="4BF25D57" w14:textId="77777777" w:rsidTr="004D0D42"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ADE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Infektioner og parasitære sygdomme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67A8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667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Infektioner*</w:t>
            </w:r>
          </w:p>
        </w:tc>
      </w:tr>
      <w:tr w:rsidR="004D0D42" w:rsidRPr="00B63CD0" w14:paraId="20E96AAD" w14:textId="77777777" w:rsidTr="004D0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B896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E23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1EA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Pneumoni</w:t>
            </w:r>
          </w:p>
        </w:tc>
      </w:tr>
      <w:tr w:rsidR="004D0D42" w:rsidRPr="00B63CD0" w14:paraId="220FEE61" w14:textId="77777777" w:rsidTr="004D0D42"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3F8C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Benigne, maligne og uspecificerede tumorer (inkl. cyster og polypper)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A96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Meget sjælden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867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Akut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promyelocytisk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leukæmi</w:t>
            </w:r>
          </w:p>
        </w:tc>
      </w:tr>
      <w:tr w:rsidR="004D0D42" w:rsidRPr="00B63CD0" w14:paraId="52D2E298" w14:textId="77777777" w:rsidTr="004D0D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8B33D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74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DECA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Behandlingsrelateret sekundær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malignitet</w:t>
            </w:r>
            <w:proofErr w:type="spellEnd"/>
          </w:p>
        </w:tc>
      </w:tr>
      <w:tr w:rsidR="004D0D42" w:rsidRPr="00B63CD0" w14:paraId="4DADE9C0" w14:textId="77777777" w:rsidTr="004D0D42">
        <w:trPr>
          <w:trHeight w:val="170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BAAE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lastRenderedPageBreak/>
              <w:t>Blod og lymfesystem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0C5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Meget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6D45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Trombocytopeni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neutropeni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leukopeni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, anæmi</w:t>
            </w:r>
          </w:p>
        </w:tc>
      </w:tr>
      <w:tr w:rsidR="004D0D42" w:rsidRPr="00B63CD0" w14:paraId="697808ED" w14:textId="77777777" w:rsidTr="004D0D42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43FE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278F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934E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Blødning*</w:t>
            </w:r>
          </w:p>
        </w:tc>
      </w:tr>
      <w:tr w:rsidR="004D0D42" w:rsidRPr="00B63CD0" w14:paraId="2693FF69" w14:textId="77777777" w:rsidTr="004D0D42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5406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418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>Sjælden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9C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 xml:space="preserve">Febril </w:t>
            </w:r>
            <w:proofErr w:type="spellStart"/>
            <w:r w:rsidRPr="00B63CD0">
              <w:rPr>
                <w:sz w:val="22"/>
                <w:szCs w:val="22"/>
              </w:rPr>
              <w:t>neutropeni</w:t>
            </w:r>
            <w:proofErr w:type="spellEnd"/>
            <w:r w:rsidRPr="00B63CD0">
              <w:rPr>
                <w:sz w:val="22"/>
                <w:szCs w:val="22"/>
              </w:rPr>
              <w:t xml:space="preserve">, sepsis/septisk </w:t>
            </w:r>
            <w:proofErr w:type="spellStart"/>
            <w:r w:rsidRPr="00B63CD0">
              <w:rPr>
                <w:sz w:val="22"/>
                <w:szCs w:val="22"/>
              </w:rPr>
              <w:t>shock</w:t>
            </w:r>
            <w:proofErr w:type="spellEnd"/>
          </w:p>
        </w:tc>
      </w:tr>
      <w:tr w:rsidR="004D0D42" w:rsidRPr="00B63CD0" w14:paraId="6CA4F7B6" w14:textId="77777777" w:rsidTr="004D0D42">
        <w:trPr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2102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1699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F9B9" w14:textId="4CBC94F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</w:rPr>
              <w:t>Hæmolytisk</w:t>
            </w:r>
            <w:proofErr w:type="spellEnd"/>
            <w:r w:rsidRPr="00B63CD0">
              <w:rPr>
                <w:sz w:val="22"/>
                <w:szCs w:val="22"/>
              </w:rPr>
              <w:t xml:space="preserve"> anæmi (inklusive dødelige tilfælde), </w:t>
            </w:r>
            <w:r w:rsidRPr="00B63CD0">
              <w:rPr>
                <w:sz w:val="22"/>
                <w:szCs w:val="22"/>
                <w:lang w:eastAsia="de-DE"/>
              </w:rPr>
              <w:t xml:space="preserve">knoglemarvssvigt,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hæmolytisk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-uræmisk syndrom</w:t>
            </w:r>
          </w:p>
        </w:tc>
      </w:tr>
      <w:tr w:rsidR="004D0D42" w:rsidRPr="00B63CD0" w14:paraId="3BD54E0E" w14:textId="77777777" w:rsidTr="004D0D42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E23A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Immunsystemet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8E21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77A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Overfølsomhed (f.eks. hududslæt,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urticaria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erytem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feber uden nogen åbenlys årsag eller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pruritus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),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anafylaktoid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type reaktion (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angioødem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ansigtsødem, dyspnø,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takykardi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lavt blodtryk,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urticaria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anafylaktisk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shock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bronkospasme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)</w:t>
            </w:r>
          </w:p>
        </w:tc>
      </w:tr>
      <w:tr w:rsidR="004D0D42" w:rsidRPr="00B63CD0" w14:paraId="01AF4F83" w14:textId="77777777" w:rsidTr="004D0D42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3E84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Metabolisme og ernæring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EFBF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4928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Dehydrering, anoreksi,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hyponatriæmi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, tumorlysesyndrom</w:t>
            </w:r>
          </w:p>
        </w:tc>
      </w:tr>
      <w:tr w:rsidR="004D0D42" w:rsidRPr="00B63CD0" w14:paraId="0BA79771" w14:textId="77777777" w:rsidTr="004D0D42">
        <w:trPr>
          <w:trHeight w:val="128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F1C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Nervesystemet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79B1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67F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Perifer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neuropati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paræstesi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nedsatte dybe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senereflekser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sensoriske forstyrrelser,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dysgeusi</w:t>
            </w:r>
            <w:proofErr w:type="spellEnd"/>
          </w:p>
        </w:tc>
      </w:tr>
      <w:tr w:rsidR="004D0D42" w:rsidRPr="00B63CD0" w14:paraId="2FE57F97" w14:textId="77777777" w:rsidTr="004D0D42">
        <w:trPr>
          <w:trHeight w:val="128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C7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BFA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>Ikke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71D" w14:textId="79ABB426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 xml:space="preserve">CNS-påvirkning (ofte associeret med </w:t>
            </w:r>
            <w:proofErr w:type="spellStart"/>
            <w:r w:rsidRPr="00B63CD0">
              <w:rPr>
                <w:sz w:val="22"/>
                <w:szCs w:val="22"/>
              </w:rPr>
              <w:t>antiemetika</w:t>
            </w:r>
            <w:proofErr w:type="spellEnd"/>
            <w:r w:rsidRPr="00B63CD0">
              <w:rPr>
                <w:sz w:val="22"/>
                <w:szCs w:val="22"/>
              </w:rPr>
              <w:t>)</w:t>
            </w:r>
          </w:p>
        </w:tc>
      </w:tr>
      <w:tr w:rsidR="004D0D42" w:rsidRPr="00B63CD0" w14:paraId="2F038E2E" w14:textId="77777777" w:rsidTr="004D0D42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59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515F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592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Cerebrovaskulært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anfald*, reversibelt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posteriort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leukoencefalopati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-syndrom (RPLS), </w:t>
            </w:r>
            <w:r w:rsidRPr="00B63CD0">
              <w:rPr>
                <w:sz w:val="22"/>
                <w:szCs w:val="22"/>
              </w:rPr>
              <w:t>encefalopati</w:t>
            </w:r>
          </w:p>
        </w:tc>
      </w:tr>
      <w:tr w:rsidR="004D0D42" w:rsidRPr="00B63CD0" w14:paraId="74D0B13F" w14:textId="77777777" w:rsidTr="004D0D42">
        <w:trPr>
          <w:trHeight w:val="255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725719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Øjne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327F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18DC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Synsforstyrrelse</w:t>
            </w:r>
          </w:p>
        </w:tc>
      </w:tr>
      <w:tr w:rsidR="004D0D42" w:rsidRPr="00B63CD0" w14:paraId="61DCA1A7" w14:textId="77777777" w:rsidTr="004D0D4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CAB83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6A2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Sjælden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12E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Tilfælde med synstab</w:t>
            </w:r>
          </w:p>
        </w:tc>
      </w:tr>
      <w:tr w:rsidR="004D0D42" w:rsidRPr="00B63CD0" w14:paraId="13AA19AC" w14:textId="77777777" w:rsidTr="004D0D4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D2A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DADE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 w:rsidRPr="00B63CD0">
              <w:rPr>
                <w:sz w:val="22"/>
                <w:szCs w:val="22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6518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 xml:space="preserve">Optisk </w:t>
            </w:r>
            <w:proofErr w:type="spellStart"/>
            <w:r w:rsidRPr="00B63CD0">
              <w:rPr>
                <w:sz w:val="22"/>
                <w:szCs w:val="22"/>
              </w:rPr>
              <w:t>neuritis</w:t>
            </w:r>
            <w:proofErr w:type="spellEnd"/>
          </w:p>
        </w:tc>
      </w:tr>
      <w:tr w:rsidR="004D0D42" w:rsidRPr="00B63CD0" w14:paraId="58FDB29B" w14:textId="77777777" w:rsidTr="004D0D42">
        <w:trPr>
          <w:trHeight w:val="12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87B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Øre og labyrint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7195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4AB3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Ototoksicitet</w:t>
            </w:r>
            <w:proofErr w:type="spellEnd"/>
          </w:p>
        </w:tc>
      </w:tr>
      <w:tr w:rsidR="004D0D42" w:rsidRPr="00B63CD0" w14:paraId="40428EF4" w14:textId="77777777" w:rsidTr="004D0D42">
        <w:trPr>
          <w:trHeight w:val="128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CEA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Hjerte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D0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E6A7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Hjerte-kar-sygdomme*</w:t>
            </w:r>
          </w:p>
        </w:tc>
      </w:tr>
      <w:tr w:rsidR="004D0D42" w:rsidRPr="00B63CD0" w14:paraId="48531B9B" w14:textId="77777777" w:rsidTr="004D0D42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EAE6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59A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9BF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Hjerteinsufficiens*, </w:t>
            </w:r>
            <w:r w:rsidRPr="00B63CD0">
              <w:rPr>
                <w:sz w:val="22"/>
                <w:szCs w:val="22"/>
              </w:rPr>
              <w:t xml:space="preserve">iskæmisk </w:t>
            </w:r>
            <w:proofErr w:type="spellStart"/>
            <w:r w:rsidRPr="00B63CD0">
              <w:rPr>
                <w:sz w:val="22"/>
                <w:szCs w:val="22"/>
              </w:rPr>
              <w:t>koronar</w:t>
            </w:r>
            <w:proofErr w:type="spellEnd"/>
            <w:r w:rsidRPr="00B63CD0">
              <w:rPr>
                <w:sz w:val="22"/>
                <w:szCs w:val="22"/>
              </w:rPr>
              <w:t xml:space="preserve"> hjertesygdom (f.eks. myokardieinfarkt, hjertestop, angina pectoris, </w:t>
            </w:r>
            <w:proofErr w:type="spellStart"/>
            <w:r w:rsidRPr="00B63CD0">
              <w:rPr>
                <w:sz w:val="22"/>
                <w:szCs w:val="22"/>
              </w:rPr>
              <w:t>myokardieiskæmi</w:t>
            </w:r>
            <w:proofErr w:type="spellEnd"/>
            <w:r w:rsidRPr="00B63CD0">
              <w:rPr>
                <w:sz w:val="22"/>
                <w:szCs w:val="22"/>
              </w:rPr>
              <w:t>),</w:t>
            </w:r>
            <w:r w:rsidRPr="00B63CD0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63CD0">
              <w:rPr>
                <w:sz w:val="22"/>
                <w:szCs w:val="22"/>
              </w:rPr>
              <w:t>Kounis</w:t>
            </w:r>
            <w:proofErr w:type="spellEnd"/>
            <w:r w:rsidRPr="00B63CD0">
              <w:rPr>
                <w:sz w:val="22"/>
                <w:szCs w:val="22"/>
              </w:rPr>
              <w:t xml:space="preserve"> syndrom</w:t>
            </w:r>
          </w:p>
        </w:tc>
      </w:tr>
      <w:tr w:rsidR="004D0D42" w:rsidRPr="00B63CD0" w14:paraId="4362A2A4" w14:textId="77777777" w:rsidTr="004D0D42">
        <w:trPr>
          <w:trHeight w:val="12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E5D9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Vaskulære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sygdomme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5D3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D7C7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Embolisme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*, hypertension, hypotension</w:t>
            </w:r>
          </w:p>
        </w:tc>
      </w:tr>
      <w:tr w:rsidR="004D0D42" w:rsidRPr="00B63CD0" w14:paraId="6B5DDAC1" w14:textId="77777777" w:rsidTr="004D0D42">
        <w:trPr>
          <w:trHeight w:val="127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5401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Luftveje, thorax og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mediastinum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8FD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1C84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Luftvejssygdomme,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interstitiel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lungesygdom,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bronkospasme</w:t>
            </w:r>
            <w:proofErr w:type="spellEnd"/>
          </w:p>
        </w:tc>
      </w:tr>
      <w:tr w:rsidR="004D0D42" w:rsidRPr="00B63CD0" w14:paraId="158DF328" w14:textId="77777777" w:rsidTr="004D0D42">
        <w:trPr>
          <w:trHeight w:val="128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000C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Mave-tarm-kanalen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8F6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Meget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EB84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Opkastning, kvalme,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abdominalsmerter</w:t>
            </w:r>
            <w:proofErr w:type="spellEnd"/>
          </w:p>
        </w:tc>
      </w:tr>
      <w:tr w:rsidR="004D0D42" w:rsidRPr="00B63CD0" w14:paraId="2C1B9B47" w14:textId="77777777" w:rsidTr="004D0D4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14F6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C329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2A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Diarré, forstoppelse, slimhindesygdom</w:t>
            </w:r>
          </w:p>
        </w:tc>
      </w:tr>
      <w:tr w:rsidR="004D0D42" w:rsidRPr="00B63CD0" w14:paraId="496E732B" w14:textId="77777777" w:rsidTr="004D0D4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AC43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6C65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14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Stomatitis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pankreatitis</w:t>
            </w:r>
            <w:proofErr w:type="spellEnd"/>
          </w:p>
        </w:tc>
      </w:tr>
      <w:tr w:rsidR="004D0D42" w:rsidRPr="00B63CD0" w14:paraId="565325EA" w14:textId="77777777" w:rsidTr="004D0D42">
        <w:trPr>
          <w:trHeight w:val="255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1D8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Lever og galdeveje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776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6157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Alvorlig leverdysfunktion (herunder akut levernekrose)</w:t>
            </w:r>
          </w:p>
        </w:tc>
      </w:tr>
      <w:tr w:rsidR="004D0D42" w:rsidRPr="00B63CD0" w14:paraId="675D13B4" w14:textId="77777777" w:rsidTr="004D0D42">
        <w:trPr>
          <w:trHeight w:val="255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5DA5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Hud og subkutane væv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626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CCA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Alopeci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, hudsygdom</w:t>
            </w:r>
          </w:p>
        </w:tc>
      </w:tr>
      <w:tr w:rsidR="004D0D42" w:rsidRPr="00B63CD0" w14:paraId="63D7A32D" w14:textId="77777777" w:rsidTr="004D0D42">
        <w:trPr>
          <w:trHeight w:val="255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AB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9EA7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>Sjælden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44A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</w:rPr>
              <w:t>Eksfoliativ</w:t>
            </w:r>
            <w:proofErr w:type="spellEnd"/>
            <w:r w:rsidRPr="00B63CD0">
              <w:rPr>
                <w:sz w:val="22"/>
                <w:szCs w:val="22"/>
              </w:rPr>
              <w:t xml:space="preserve"> </w:t>
            </w:r>
            <w:proofErr w:type="spellStart"/>
            <w:r w:rsidRPr="00B63CD0">
              <w:rPr>
                <w:sz w:val="22"/>
                <w:szCs w:val="22"/>
              </w:rPr>
              <w:t>dermatitis</w:t>
            </w:r>
            <w:proofErr w:type="spellEnd"/>
          </w:p>
        </w:tc>
      </w:tr>
      <w:tr w:rsidR="004D0D42" w:rsidRPr="00B63CD0" w14:paraId="2FA6F1B7" w14:textId="77777777" w:rsidTr="004D0D4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DEC5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B3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B2D1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Urticaria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udslæt,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erytem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pruritus</w:t>
            </w:r>
            <w:proofErr w:type="spellEnd"/>
          </w:p>
        </w:tc>
      </w:tr>
      <w:tr w:rsidR="004D0D42" w:rsidRPr="00B63CD0" w14:paraId="4A647C59" w14:textId="77777777" w:rsidTr="004D0D42">
        <w:trPr>
          <w:trHeight w:val="255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3C1A3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Knogler, led, muskler og bindevæv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60FB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640F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proofErr w:type="spellStart"/>
            <w:r w:rsidRPr="00B63CD0">
              <w:rPr>
                <w:sz w:val="22"/>
                <w:szCs w:val="22"/>
                <w:lang w:eastAsia="de-DE"/>
              </w:rPr>
              <w:t>Muscoloskeletale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sygdomme</w:t>
            </w:r>
          </w:p>
        </w:tc>
      </w:tr>
      <w:tr w:rsidR="004D0D42" w:rsidRPr="00B63CD0" w14:paraId="36D3675B" w14:textId="77777777" w:rsidTr="004D0D42">
        <w:trPr>
          <w:trHeight w:val="255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790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1FF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a-DK"/>
              </w:rPr>
            </w:pPr>
            <w:r w:rsidRPr="00B63CD0">
              <w:rPr>
                <w:sz w:val="22"/>
                <w:szCs w:val="22"/>
              </w:rPr>
              <w:t>Ikke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6C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 xml:space="preserve">Myalgi, </w:t>
            </w:r>
            <w:proofErr w:type="spellStart"/>
            <w:r w:rsidRPr="00B63CD0">
              <w:rPr>
                <w:sz w:val="22"/>
                <w:szCs w:val="22"/>
              </w:rPr>
              <w:t>arthralgi</w:t>
            </w:r>
            <w:proofErr w:type="spellEnd"/>
          </w:p>
        </w:tc>
      </w:tr>
      <w:tr w:rsidR="004D0D42" w:rsidRPr="00B63CD0" w14:paraId="0FB534B3" w14:textId="77777777" w:rsidTr="004D0D42">
        <w:trPr>
          <w:trHeight w:val="255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0E293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Nyrer og urinveje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1D68" w14:textId="77777777" w:rsidR="004D0D42" w:rsidRPr="00B63CD0" w:rsidRDefault="004D0D42" w:rsidP="004D0D42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Meget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039" w14:textId="77777777" w:rsidR="004D0D42" w:rsidRPr="00B63CD0" w:rsidRDefault="004D0D42" w:rsidP="004D0D42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  <w:lang w:eastAsia="de-DE"/>
              </w:rPr>
            </w:pPr>
            <w:r w:rsidRPr="00B63CD0">
              <w:rPr>
                <w:sz w:val="22"/>
                <w:szCs w:val="22"/>
              </w:rPr>
              <w:t>Nedsat nyrefunktion</w:t>
            </w:r>
          </w:p>
        </w:tc>
      </w:tr>
      <w:tr w:rsidR="004D0D42" w:rsidRPr="00B63CD0" w14:paraId="4EA8F06D" w14:textId="77777777" w:rsidTr="004D0D42">
        <w:trPr>
          <w:trHeight w:val="255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7046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E94" w14:textId="77777777" w:rsidR="004D0D42" w:rsidRPr="00B63CD0" w:rsidRDefault="004D0D42" w:rsidP="004D0D42">
            <w:pPr>
              <w:keepNext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42BE" w14:textId="77777777" w:rsidR="004D0D42" w:rsidRPr="00B63CD0" w:rsidRDefault="004D0D42" w:rsidP="004D0D42">
            <w:pPr>
              <w:keepNext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Urogenital sygdom, </w:t>
            </w:r>
            <w:proofErr w:type="spellStart"/>
            <w:r w:rsidRPr="00B63CD0">
              <w:rPr>
                <w:sz w:val="22"/>
                <w:szCs w:val="22"/>
              </w:rPr>
              <w:t>hyperurikæmi</w:t>
            </w:r>
            <w:proofErr w:type="spellEnd"/>
          </w:p>
          <w:p w14:paraId="602A37BB" w14:textId="77777777" w:rsidR="004D0D42" w:rsidRPr="00B63CD0" w:rsidRDefault="004D0D42" w:rsidP="004D0D42">
            <w:pPr>
              <w:keepNext/>
              <w:autoSpaceDE w:val="0"/>
              <w:autoSpaceDN w:val="0"/>
              <w:adjustRightInd w:val="0"/>
              <w:rPr>
                <w:lang w:eastAsia="de-DE"/>
              </w:rPr>
            </w:pPr>
          </w:p>
        </w:tc>
      </w:tr>
      <w:tr w:rsidR="004D0D42" w:rsidRPr="00B63CD0" w14:paraId="0F87B5FD" w14:textId="77777777" w:rsidTr="004D0D42">
        <w:trPr>
          <w:trHeight w:val="255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6A3A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Almene symptomer og reaktioner på administrationsstedet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0ABC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BC12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Asteni</w:t>
            </w:r>
          </w:p>
        </w:tc>
      </w:tr>
      <w:tr w:rsidR="004D0D42" w:rsidRPr="00B63CD0" w14:paraId="6888D698" w14:textId="77777777" w:rsidTr="004D0D4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6E45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3238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706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Feber og kulderystelser uden evidens for infektion</w:t>
            </w:r>
          </w:p>
        </w:tc>
      </w:tr>
      <w:tr w:rsidR="004D0D42" w:rsidRPr="00B63CD0" w14:paraId="21D58399" w14:textId="77777777" w:rsidTr="004D0D4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6C9E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DCB8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Ikke kendt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20DD" w14:textId="77777777" w:rsidR="004D0D42" w:rsidRPr="00B63CD0" w:rsidRDefault="004D0D42" w:rsidP="004D0D42">
            <w:pPr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Nekrose på injektionsstedet, reaktioner på injektionsstedet,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ekstravasation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på injektionsstedet,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erytem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på injektionsstedet, utilpashed</w:t>
            </w:r>
          </w:p>
        </w:tc>
      </w:tr>
      <w:tr w:rsidR="004D0D42" w:rsidRPr="00B63CD0" w14:paraId="2BC3DDB8" w14:textId="77777777" w:rsidTr="004D0D42">
        <w:trPr>
          <w:trHeight w:val="128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38BC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Undersøgelser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47F5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Meget 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5CAB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Nedsat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renal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kreatininclearance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, forhøjet urinstof i blodet, øget basisk fosfatase i blodet, øget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aspartataminotransferase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>, unormale leverfunktionsprøver, nedsat natriumniveau i blodet, nedsat kaliumniveau i blodet, nedsat calciumniveau i blodet, nedsat magnesiumniveau i blodet</w:t>
            </w:r>
          </w:p>
        </w:tc>
      </w:tr>
      <w:tr w:rsidR="004D0D42" w:rsidRPr="00B63CD0" w14:paraId="1D6C7BF2" w14:textId="77777777" w:rsidTr="004D0D42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AE45" w14:textId="77777777" w:rsidR="004D0D42" w:rsidRPr="00B63CD0" w:rsidRDefault="004D0D42" w:rsidP="004D0D42">
            <w:pPr>
              <w:rPr>
                <w:sz w:val="24"/>
                <w:szCs w:val="24"/>
                <w:lang w:eastAsia="de-DE" w:bidi="mr-I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390C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>Almindelig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319" w14:textId="77777777" w:rsidR="004D0D42" w:rsidRPr="00B63CD0" w:rsidRDefault="004D0D42" w:rsidP="004D0D42">
            <w:pPr>
              <w:keepNext/>
              <w:keepLines/>
              <w:autoSpaceDE w:val="0"/>
              <w:autoSpaceDN w:val="0"/>
              <w:adjustRightInd w:val="0"/>
              <w:rPr>
                <w:lang w:eastAsia="de-DE"/>
              </w:rPr>
            </w:pPr>
            <w:r w:rsidRPr="00B63CD0">
              <w:rPr>
                <w:sz w:val="22"/>
                <w:szCs w:val="22"/>
                <w:lang w:eastAsia="de-DE"/>
              </w:rPr>
              <w:t xml:space="preserve">Øget bilirubin i blodet, øget </w:t>
            </w:r>
            <w:proofErr w:type="spellStart"/>
            <w:r w:rsidRPr="00B63CD0">
              <w:rPr>
                <w:sz w:val="22"/>
                <w:szCs w:val="22"/>
                <w:lang w:eastAsia="de-DE"/>
              </w:rPr>
              <w:t>kreatinin</w:t>
            </w:r>
            <w:proofErr w:type="spellEnd"/>
            <w:r w:rsidRPr="00B63CD0">
              <w:rPr>
                <w:sz w:val="22"/>
                <w:szCs w:val="22"/>
                <w:lang w:eastAsia="de-DE"/>
              </w:rPr>
              <w:t xml:space="preserve"> i blodet, øget urinsyre i blodet</w:t>
            </w:r>
          </w:p>
        </w:tc>
      </w:tr>
    </w:tbl>
    <w:p w14:paraId="65DBC209" w14:textId="77777777" w:rsidR="004D0D42" w:rsidRPr="00B63CD0" w:rsidRDefault="004D0D42" w:rsidP="004D0D42">
      <w:pPr>
        <w:autoSpaceDE w:val="0"/>
        <w:autoSpaceDN w:val="0"/>
        <w:adjustRightInd w:val="0"/>
        <w:rPr>
          <w:sz w:val="22"/>
          <w:szCs w:val="22"/>
          <w:lang w:eastAsia="da-DK" w:bidi="mr-IN"/>
        </w:rPr>
      </w:pPr>
      <w:r w:rsidRPr="00B63CD0">
        <w:rPr>
          <w:sz w:val="22"/>
          <w:szCs w:val="22"/>
        </w:rPr>
        <w:t xml:space="preserve">*Dødelig i &lt; 1 %, dødelige </w:t>
      </w:r>
      <w:proofErr w:type="spellStart"/>
      <w:r w:rsidRPr="00B63CD0">
        <w:rPr>
          <w:sz w:val="22"/>
          <w:szCs w:val="22"/>
        </w:rPr>
        <w:t>kardiovaskulære</w:t>
      </w:r>
      <w:proofErr w:type="spellEnd"/>
      <w:r w:rsidRPr="00B63CD0">
        <w:rPr>
          <w:sz w:val="22"/>
          <w:szCs w:val="22"/>
        </w:rPr>
        <w:t xml:space="preserve"> hændelser hos &lt; 1 % omfattede kombineret hjerteinsufficiens, </w:t>
      </w:r>
      <w:proofErr w:type="spellStart"/>
      <w:r w:rsidRPr="00B63CD0">
        <w:rPr>
          <w:sz w:val="22"/>
          <w:szCs w:val="22"/>
        </w:rPr>
        <w:t>embolisme</w:t>
      </w:r>
      <w:proofErr w:type="spellEnd"/>
      <w:r w:rsidRPr="00B63CD0">
        <w:rPr>
          <w:sz w:val="22"/>
          <w:szCs w:val="22"/>
        </w:rPr>
        <w:t xml:space="preserve"> og </w:t>
      </w:r>
      <w:proofErr w:type="spellStart"/>
      <w:r w:rsidRPr="00B63CD0">
        <w:rPr>
          <w:sz w:val="22"/>
          <w:szCs w:val="22"/>
        </w:rPr>
        <w:t>cerebrovaskulært</w:t>
      </w:r>
      <w:proofErr w:type="spellEnd"/>
      <w:r w:rsidRPr="00B63CD0">
        <w:rPr>
          <w:sz w:val="22"/>
          <w:szCs w:val="22"/>
        </w:rPr>
        <w:t xml:space="preserve"> anfald.</w:t>
      </w:r>
    </w:p>
    <w:p w14:paraId="3AAFCC4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053CA70C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Blod og lymfesystem</w:t>
      </w:r>
    </w:p>
    <w:p w14:paraId="02E1366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t>Myelosuppression</w:t>
      </w:r>
      <w:proofErr w:type="spellEnd"/>
      <w:r w:rsidRPr="00B63CD0">
        <w:rPr>
          <w:sz w:val="24"/>
          <w:szCs w:val="24"/>
          <w:lang w:eastAsia="de-DE"/>
        </w:rPr>
        <w:t xml:space="preserve"> er den dosisbegrænsende toksicitet af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-injektionen. Hos patienter med normale baselineværdier forekommer </w:t>
      </w:r>
      <w:proofErr w:type="spellStart"/>
      <w:r w:rsidRPr="00B63CD0">
        <w:rPr>
          <w:sz w:val="24"/>
          <w:szCs w:val="24"/>
          <w:lang w:eastAsia="de-DE"/>
        </w:rPr>
        <w:t>trombocytopeni</w:t>
      </w:r>
      <w:proofErr w:type="spellEnd"/>
      <w:r w:rsidRPr="00B63CD0">
        <w:rPr>
          <w:sz w:val="24"/>
          <w:szCs w:val="24"/>
          <w:lang w:eastAsia="de-DE"/>
        </w:rPr>
        <w:t xml:space="preserve"> med </w:t>
      </w:r>
      <w:proofErr w:type="spellStart"/>
      <w:r w:rsidRPr="00B63CD0">
        <w:rPr>
          <w:sz w:val="24"/>
          <w:szCs w:val="24"/>
          <w:lang w:eastAsia="de-DE"/>
        </w:rPr>
        <w:t>trombocyttal</w:t>
      </w:r>
      <w:proofErr w:type="spellEnd"/>
      <w:r w:rsidRPr="00B63CD0">
        <w:rPr>
          <w:sz w:val="24"/>
          <w:szCs w:val="24"/>
          <w:lang w:eastAsia="de-DE"/>
        </w:rPr>
        <w:t xml:space="preserve"> under 50.000/mm³ hos 25 % af patienterne, </w:t>
      </w:r>
      <w:proofErr w:type="spellStart"/>
      <w:r w:rsidRPr="00B63CD0">
        <w:rPr>
          <w:sz w:val="24"/>
          <w:szCs w:val="24"/>
          <w:lang w:eastAsia="de-DE"/>
        </w:rPr>
        <w:t>neutropeni</w:t>
      </w:r>
      <w:proofErr w:type="spellEnd"/>
      <w:r w:rsidRPr="00B63CD0">
        <w:rPr>
          <w:sz w:val="24"/>
          <w:szCs w:val="24"/>
          <w:lang w:eastAsia="de-DE"/>
        </w:rPr>
        <w:t xml:space="preserve"> med granulocyttal under 1.000/mm³ hos 18 % af patienterne og </w:t>
      </w:r>
      <w:proofErr w:type="spellStart"/>
      <w:r w:rsidRPr="00B63CD0">
        <w:rPr>
          <w:sz w:val="24"/>
          <w:szCs w:val="24"/>
          <w:lang w:eastAsia="de-DE"/>
        </w:rPr>
        <w:t>leukopeni</w:t>
      </w:r>
      <w:proofErr w:type="spellEnd"/>
      <w:r w:rsidRPr="00B63CD0">
        <w:rPr>
          <w:sz w:val="24"/>
          <w:szCs w:val="24"/>
          <w:lang w:eastAsia="de-DE"/>
        </w:rPr>
        <w:t xml:space="preserve"> med tal for hvide blodlegemer under 2.000/mm³ hos 14 % af patienterne. Nadir forekommer normalt på dag 21. </w:t>
      </w:r>
      <w:proofErr w:type="spellStart"/>
      <w:r w:rsidRPr="00B63CD0">
        <w:rPr>
          <w:sz w:val="24"/>
          <w:szCs w:val="24"/>
          <w:lang w:eastAsia="de-DE"/>
        </w:rPr>
        <w:t>Myelosuppression</w:t>
      </w:r>
      <w:proofErr w:type="spellEnd"/>
      <w:r w:rsidRPr="00B63CD0">
        <w:rPr>
          <w:sz w:val="24"/>
          <w:szCs w:val="24"/>
          <w:lang w:eastAsia="de-DE"/>
        </w:rPr>
        <w:t xml:space="preserve"> kan forværres ved at kombinere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-injektioner med andre </w:t>
      </w:r>
      <w:proofErr w:type="spellStart"/>
      <w:r w:rsidRPr="00B63CD0">
        <w:rPr>
          <w:sz w:val="24"/>
          <w:szCs w:val="24"/>
          <w:lang w:eastAsia="de-DE"/>
        </w:rPr>
        <w:t>myelosuppressive</w:t>
      </w:r>
      <w:proofErr w:type="spellEnd"/>
      <w:r w:rsidRPr="00B63CD0">
        <w:rPr>
          <w:sz w:val="24"/>
          <w:szCs w:val="24"/>
          <w:lang w:eastAsia="de-DE"/>
        </w:rPr>
        <w:t xml:space="preserve"> stoffer eller behandlingsformer.</w:t>
      </w:r>
    </w:p>
    <w:p w14:paraId="14EFD180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4F44E010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t>Myelotoksicitet</w:t>
      </w:r>
      <w:proofErr w:type="spellEnd"/>
      <w:r w:rsidRPr="00B63CD0">
        <w:rPr>
          <w:sz w:val="24"/>
          <w:szCs w:val="24"/>
          <w:lang w:eastAsia="de-DE"/>
        </w:rPr>
        <w:t xml:space="preserve"> er mere alvorlig hos tidligere behandlede patienter, især hos patienter, der tidligere blev behandlet med </w:t>
      </w:r>
      <w:proofErr w:type="spellStart"/>
      <w:r w:rsidRPr="00B63CD0">
        <w:rPr>
          <w:sz w:val="24"/>
          <w:szCs w:val="24"/>
          <w:lang w:eastAsia="de-DE"/>
        </w:rPr>
        <w:t>cisplatin</w:t>
      </w:r>
      <w:proofErr w:type="spellEnd"/>
      <w:r w:rsidRPr="00B63CD0">
        <w:rPr>
          <w:sz w:val="24"/>
          <w:szCs w:val="24"/>
          <w:lang w:eastAsia="de-DE"/>
        </w:rPr>
        <w:t xml:space="preserve">, og til patienter med nedsat nyrefunktion. Patienter med dårlig præstationsstatus har også oplevet øget </w:t>
      </w:r>
      <w:proofErr w:type="spellStart"/>
      <w:r w:rsidRPr="00B63CD0">
        <w:rPr>
          <w:sz w:val="24"/>
          <w:szCs w:val="24"/>
          <w:lang w:eastAsia="de-DE"/>
        </w:rPr>
        <w:t>leukopeni</w:t>
      </w:r>
      <w:proofErr w:type="spellEnd"/>
      <w:r w:rsidRPr="00B63CD0">
        <w:rPr>
          <w:sz w:val="24"/>
          <w:szCs w:val="24"/>
          <w:lang w:eastAsia="de-DE"/>
        </w:rPr>
        <w:t xml:space="preserve"> og </w:t>
      </w:r>
      <w:proofErr w:type="spellStart"/>
      <w:r w:rsidRPr="00B63CD0">
        <w:rPr>
          <w:sz w:val="24"/>
          <w:szCs w:val="24"/>
          <w:lang w:eastAsia="de-DE"/>
        </w:rPr>
        <w:t>trombocytopeni</w:t>
      </w:r>
      <w:proofErr w:type="spellEnd"/>
      <w:r w:rsidRPr="00B63CD0">
        <w:rPr>
          <w:sz w:val="24"/>
          <w:szCs w:val="24"/>
          <w:lang w:eastAsia="de-DE"/>
        </w:rPr>
        <w:t xml:space="preserve">. Disse virkninger har, selvom de normalt er reversible, ført til infektioner og blødningskomplikationer hos hhv. 4 % og 5 % af patienter, der får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-injektioner. Disse komplikationer har ført til døden hos færre end 1 % af patienterne.</w:t>
      </w:r>
    </w:p>
    <w:p w14:paraId="2054980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68586887" w14:textId="4B2B0FA3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Anæmi med hæmoglobinværdier under 8 g/dl er blevet observeret hos 15 % af patienterne med normale baselineværdier. Forekomsten af anæmi øges med øget eksponering over for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22AF012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t>Myelosuppression</w:t>
      </w:r>
      <w:proofErr w:type="spellEnd"/>
      <w:r w:rsidRPr="00B63CD0">
        <w:rPr>
          <w:sz w:val="24"/>
          <w:szCs w:val="24"/>
          <w:lang w:eastAsia="de-DE"/>
        </w:rPr>
        <w:t xml:space="preserve"> kan være sværere og mere langvarig hos patienter med nedsat nyrefunktion, omfattende forudgående behandling, dårlig performancestatus og alder over 65 år.</w:t>
      </w:r>
    </w:p>
    <w:p w14:paraId="2ECBDD2E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DF1076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Ved maksimale tolererede doser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, administreret som enkeltlægemiddel, forekommer der </w:t>
      </w:r>
      <w:proofErr w:type="spellStart"/>
      <w:r w:rsidRPr="00B63CD0">
        <w:rPr>
          <w:sz w:val="24"/>
          <w:szCs w:val="24"/>
          <w:lang w:eastAsia="de-DE"/>
        </w:rPr>
        <w:t>trombocytopeni</w:t>
      </w:r>
      <w:proofErr w:type="spellEnd"/>
      <w:r w:rsidRPr="00B63CD0">
        <w:rPr>
          <w:sz w:val="24"/>
          <w:szCs w:val="24"/>
          <w:lang w:eastAsia="de-DE"/>
        </w:rPr>
        <w:t xml:space="preserve"> med nadir-blodpladetællinger på mindre end 50 x 10</w:t>
      </w:r>
      <w:r w:rsidRPr="00B63CD0">
        <w:rPr>
          <w:sz w:val="24"/>
          <w:szCs w:val="24"/>
          <w:vertAlign w:val="superscript"/>
          <w:lang w:eastAsia="de-DE"/>
        </w:rPr>
        <w:t>9</w:t>
      </w:r>
      <w:r w:rsidRPr="00B63CD0">
        <w:rPr>
          <w:sz w:val="24"/>
          <w:szCs w:val="24"/>
          <w:lang w:eastAsia="de-DE"/>
        </w:rPr>
        <w:t>/l hos omkring en tredjedel af patienterne. Nadir indtræffer som regel mellem dag 14 and 21 med bedring inden for 35 dage efter behandlingsstart.</w:t>
      </w:r>
    </w:p>
    <w:p w14:paraId="02B5BE2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lastRenderedPageBreak/>
        <w:t>Leukopeni</w:t>
      </w:r>
      <w:proofErr w:type="spellEnd"/>
      <w:r w:rsidRPr="00B63CD0">
        <w:rPr>
          <w:sz w:val="24"/>
          <w:szCs w:val="24"/>
          <w:lang w:eastAsia="de-DE"/>
        </w:rPr>
        <w:t xml:space="preserve"> har også forekommet hos ca. 20 % af patienterne, men bedring fra nadir-dagen (dag 14-28) kan være langsommere og indtræder som regel inden for 42 dage efter behandlingsstart. </w:t>
      </w:r>
      <w:proofErr w:type="spellStart"/>
      <w:r w:rsidRPr="00B63CD0">
        <w:rPr>
          <w:sz w:val="24"/>
          <w:szCs w:val="24"/>
          <w:lang w:eastAsia="de-DE"/>
        </w:rPr>
        <w:t>Neutropeni</w:t>
      </w:r>
      <w:proofErr w:type="spellEnd"/>
      <w:r w:rsidRPr="00B63CD0">
        <w:rPr>
          <w:sz w:val="24"/>
          <w:szCs w:val="24"/>
          <w:lang w:eastAsia="de-DE"/>
        </w:rPr>
        <w:t xml:space="preserve"> med granulocyttællinger under 1 x 10</w:t>
      </w:r>
      <w:r w:rsidRPr="00B63CD0">
        <w:rPr>
          <w:sz w:val="24"/>
          <w:szCs w:val="24"/>
          <w:vertAlign w:val="superscript"/>
          <w:lang w:eastAsia="de-DE"/>
        </w:rPr>
        <w:t>9</w:t>
      </w:r>
      <w:r w:rsidRPr="00B63CD0">
        <w:rPr>
          <w:sz w:val="24"/>
          <w:szCs w:val="24"/>
          <w:lang w:eastAsia="de-DE"/>
        </w:rPr>
        <w:t xml:space="preserve">/l forekommer hos ca. en femtedel af patienterne. Hæmoglobinværdier under 9,5 mg/100 ml er blevet observeret hos 48 % af patienterne med normale </w:t>
      </w:r>
      <w:r w:rsidRPr="00B63CD0">
        <w:rPr>
          <w:i/>
          <w:iCs/>
          <w:sz w:val="24"/>
          <w:szCs w:val="24"/>
          <w:lang w:eastAsia="de-DE"/>
        </w:rPr>
        <w:t>baseline</w:t>
      </w:r>
      <w:r w:rsidRPr="00B63CD0">
        <w:rPr>
          <w:sz w:val="24"/>
          <w:szCs w:val="24"/>
          <w:lang w:eastAsia="de-DE"/>
        </w:rPr>
        <w:t>-værdier.</w:t>
      </w:r>
    </w:p>
    <w:p w14:paraId="114CBFC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4866E8F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 xml:space="preserve">Luftveje, thorax og </w:t>
      </w:r>
      <w:proofErr w:type="spellStart"/>
      <w:r w:rsidRPr="00B63CD0">
        <w:rPr>
          <w:sz w:val="24"/>
          <w:szCs w:val="24"/>
          <w:u w:val="single"/>
          <w:lang w:eastAsia="de-DE"/>
        </w:rPr>
        <w:t>mediastinum</w:t>
      </w:r>
      <w:proofErr w:type="spellEnd"/>
    </w:p>
    <w:p w14:paraId="2F039C1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Meget sjælden: Lungefibrose manifesteret ved trykken for brystet og dyspnø. Dette skal tages i betragtning, hvis en tilstand af lungehypersensitivitet er blevet udelukket.</w:t>
      </w:r>
    </w:p>
    <w:p w14:paraId="3887710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3F07D12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Mave-tarm-kanalen</w:t>
      </w:r>
    </w:p>
    <w:p w14:paraId="29EF236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Opkastning forekommer hos 65 % af patienterne, og er alvorlig hos en tredjedel af dem. Kvalme forekommer hos yderligere 15 %. Tidligere behandlede patienter (især patienter, der tidligere blev behandlet med </w:t>
      </w:r>
      <w:proofErr w:type="spellStart"/>
      <w:r w:rsidRPr="00B63CD0">
        <w:rPr>
          <w:sz w:val="24"/>
          <w:szCs w:val="24"/>
          <w:lang w:eastAsia="de-DE"/>
        </w:rPr>
        <w:t>cisplatin</w:t>
      </w:r>
      <w:proofErr w:type="spellEnd"/>
      <w:r w:rsidRPr="00B63CD0">
        <w:rPr>
          <w:sz w:val="24"/>
          <w:szCs w:val="24"/>
          <w:lang w:eastAsia="de-DE"/>
        </w:rPr>
        <w:t xml:space="preserve">) forekommer at være mere modtagelige for opkastning. Disse virkninger forsvinder normalt i løbet af 24 timer efter behandlingen, og de responderer normalt på eller kan forebygges med </w:t>
      </w:r>
      <w:proofErr w:type="spellStart"/>
      <w:r w:rsidRPr="00B63CD0">
        <w:rPr>
          <w:sz w:val="24"/>
          <w:szCs w:val="24"/>
          <w:lang w:eastAsia="de-DE"/>
        </w:rPr>
        <w:t>antiemetika</w:t>
      </w:r>
      <w:proofErr w:type="spellEnd"/>
      <w:r w:rsidRPr="00B63CD0">
        <w:rPr>
          <w:sz w:val="24"/>
          <w:szCs w:val="24"/>
          <w:lang w:eastAsia="de-DE"/>
        </w:rPr>
        <w:t xml:space="preserve">. Opkastning er mere sandsynligt, når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-injektioner gives i kombination med andre </w:t>
      </w:r>
      <w:proofErr w:type="spellStart"/>
      <w:r w:rsidRPr="00B63CD0">
        <w:rPr>
          <w:sz w:val="24"/>
          <w:szCs w:val="24"/>
          <w:lang w:eastAsia="de-DE"/>
        </w:rPr>
        <w:t>emetogene</w:t>
      </w:r>
      <w:proofErr w:type="spellEnd"/>
      <w:r w:rsidRPr="00B63CD0">
        <w:rPr>
          <w:sz w:val="24"/>
          <w:szCs w:val="24"/>
          <w:lang w:eastAsia="de-DE"/>
        </w:rPr>
        <w:t xml:space="preserve"> stoffer.</w:t>
      </w:r>
    </w:p>
    <w:p w14:paraId="562CF6C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16045FDA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De andre mave-tarm-problemer svarede til smerter hos 8 % af patienterne, og diarré og forstoppelse hos 6 % af patienterne.</w:t>
      </w:r>
    </w:p>
    <w:p w14:paraId="40DDF81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1E82CE7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Nervesystemet</w:t>
      </w:r>
    </w:p>
    <w:p w14:paraId="1B38663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Perifer </w:t>
      </w:r>
      <w:proofErr w:type="spellStart"/>
      <w:r w:rsidRPr="00B63CD0">
        <w:rPr>
          <w:sz w:val="24"/>
          <w:szCs w:val="24"/>
          <w:lang w:eastAsia="de-DE"/>
        </w:rPr>
        <w:t>neuropati</w:t>
      </w:r>
      <w:proofErr w:type="spellEnd"/>
      <w:r w:rsidRPr="00B63CD0">
        <w:rPr>
          <w:sz w:val="24"/>
          <w:szCs w:val="24"/>
          <w:lang w:eastAsia="de-DE"/>
        </w:rPr>
        <w:t xml:space="preserve"> (primært </w:t>
      </w:r>
      <w:proofErr w:type="spellStart"/>
      <w:r w:rsidRPr="00B63CD0">
        <w:rPr>
          <w:sz w:val="24"/>
          <w:szCs w:val="24"/>
          <w:lang w:eastAsia="de-DE"/>
        </w:rPr>
        <w:t>paræstesi</w:t>
      </w:r>
      <w:proofErr w:type="spellEnd"/>
      <w:r w:rsidRPr="00B63CD0">
        <w:rPr>
          <w:sz w:val="24"/>
          <w:szCs w:val="24"/>
          <w:lang w:eastAsia="de-DE"/>
        </w:rPr>
        <w:t xml:space="preserve"> og nedsatte dybe </w:t>
      </w:r>
      <w:proofErr w:type="spellStart"/>
      <w:r w:rsidRPr="00B63CD0">
        <w:rPr>
          <w:sz w:val="24"/>
          <w:szCs w:val="24"/>
          <w:lang w:eastAsia="de-DE"/>
        </w:rPr>
        <w:t>senereflekser</w:t>
      </w:r>
      <w:proofErr w:type="spellEnd"/>
      <w:r w:rsidRPr="00B63CD0">
        <w:rPr>
          <w:sz w:val="24"/>
          <w:szCs w:val="24"/>
          <w:lang w:eastAsia="de-DE"/>
        </w:rPr>
        <w:t xml:space="preserve">) forekom hos 4 % af patienterne, der fik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-injektioner. Patienter over 65 år og patienter, der tidligere blev behandlet med </w:t>
      </w:r>
      <w:proofErr w:type="spellStart"/>
      <w:r w:rsidRPr="00B63CD0">
        <w:rPr>
          <w:sz w:val="24"/>
          <w:szCs w:val="24"/>
          <w:lang w:eastAsia="de-DE"/>
        </w:rPr>
        <w:t>cisplatin</w:t>
      </w:r>
      <w:proofErr w:type="spellEnd"/>
      <w:r w:rsidRPr="00B63CD0">
        <w:rPr>
          <w:sz w:val="24"/>
          <w:szCs w:val="24"/>
          <w:lang w:eastAsia="de-DE"/>
        </w:rPr>
        <w:t xml:space="preserve">, samt patienter, der fik langvarig behandling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-injektioner, synes at have en forhøjet risiko. </w:t>
      </w:r>
      <w:proofErr w:type="spellStart"/>
      <w:r w:rsidRPr="00B63CD0">
        <w:rPr>
          <w:sz w:val="24"/>
          <w:szCs w:val="24"/>
          <w:lang w:eastAsia="de-DE"/>
        </w:rPr>
        <w:t>Paræstesi</w:t>
      </w:r>
      <w:proofErr w:type="spellEnd"/>
      <w:r w:rsidRPr="00B63CD0">
        <w:rPr>
          <w:sz w:val="24"/>
          <w:szCs w:val="24"/>
          <w:lang w:eastAsia="de-DE"/>
        </w:rPr>
        <w:t xml:space="preserve">, der er til stede før behandling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påbegyndes, især hvis det er forbundet med tidligere </w:t>
      </w:r>
      <w:proofErr w:type="spellStart"/>
      <w:r w:rsidRPr="00B63CD0">
        <w:rPr>
          <w:sz w:val="24"/>
          <w:szCs w:val="24"/>
          <w:lang w:eastAsia="de-DE"/>
        </w:rPr>
        <w:t>cisplatin</w:t>
      </w:r>
      <w:proofErr w:type="spellEnd"/>
      <w:r w:rsidRPr="00B63CD0">
        <w:rPr>
          <w:sz w:val="24"/>
          <w:szCs w:val="24"/>
          <w:lang w:eastAsia="de-DE"/>
        </w:rPr>
        <w:t xml:space="preserve">-behandling, kan vare ved eller forværres under behandlingen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5DB6B09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44A14B7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Klinisk signifikante sensoriske forstyrrelser (dvs. synsforstyrrelser og smagsmodifikationer) er forekommet hos 1 % af patienterne.</w:t>
      </w:r>
    </w:p>
    <w:p w14:paraId="7AD8564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872403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Symptomer fra centralnervesystemet er blevet rapporteret med en hyppighed på ikke almindelig, men de forbindes ofte med samtidige </w:t>
      </w:r>
      <w:proofErr w:type="spellStart"/>
      <w:r w:rsidRPr="00B63CD0">
        <w:rPr>
          <w:sz w:val="24"/>
          <w:szCs w:val="24"/>
          <w:lang w:eastAsia="de-DE"/>
        </w:rPr>
        <w:t>antiemetika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3216BC8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2D4B372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Den samlede hyppighed af neurologiske bivirkninger ser ud til at være øget hos patienter, der får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-injektioner som kombinationsbehandling. Dette kan også være relateret til længere kumulativ eksponering.</w:t>
      </w:r>
    </w:p>
    <w:p w14:paraId="398F77CF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4FF4133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e-DE"/>
        </w:rPr>
      </w:pPr>
      <w:r w:rsidRPr="00B63CD0">
        <w:rPr>
          <w:bCs/>
          <w:sz w:val="24"/>
          <w:szCs w:val="24"/>
          <w:u w:val="single"/>
          <w:lang w:eastAsia="de-DE"/>
        </w:rPr>
        <w:t>Øjne</w:t>
      </w:r>
    </w:p>
    <w:p w14:paraId="61922F12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Forbigående synsforstyrrelser, som til tider omfatter forbigående synstab, er blevet rapporteret med platinbehandling. Dette forbindes normalt med højdosisbehandling hos patienter med nedsat nyrefunktion.</w:t>
      </w:r>
    </w:p>
    <w:p w14:paraId="4024BCA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C670B5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Øre og labyrint</w:t>
      </w:r>
    </w:p>
    <w:p w14:paraId="782B084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Høredefekter uden for </w:t>
      </w:r>
      <w:proofErr w:type="spellStart"/>
      <w:r w:rsidRPr="00B63CD0">
        <w:rPr>
          <w:sz w:val="24"/>
          <w:szCs w:val="24"/>
          <w:lang w:eastAsia="de-DE"/>
        </w:rPr>
        <w:t>taleområdet</w:t>
      </w:r>
      <w:proofErr w:type="spellEnd"/>
      <w:r w:rsidRPr="00B63CD0">
        <w:rPr>
          <w:sz w:val="24"/>
          <w:szCs w:val="24"/>
          <w:lang w:eastAsia="de-DE"/>
        </w:rPr>
        <w:t xml:space="preserve"> med hæmninger i det højfrekvente område (4.000 – 8.000 Hz) blev fundet i serielle audiometriske undersøgelser med en hyppighed på 15 %. Meget sjældne tilfælde af </w:t>
      </w:r>
      <w:proofErr w:type="spellStart"/>
      <w:r w:rsidRPr="00B63CD0">
        <w:rPr>
          <w:sz w:val="24"/>
          <w:szCs w:val="24"/>
          <w:lang w:eastAsia="de-DE"/>
        </w:rPr>
        <w:t>hypoakusi</w:t>
      </w:r>
      <w:proofErr w:type="spellEnd"/>
      <w:r w:rsidRPr="00B63CD0">
        <w:rPr>
          <w:sz w:val="24"/>
          <w:szCs w:val="24"/>
          <w:lang w:eastAsia="de-DE"/>
        </w:rPr>
        <w:t xml:space="preserve"> er rapporteret. Kun 1 % af patienterne havde kliniske symptomer, der i størstedelen af tilfældene manifesterede sig som tinnitus.</w:t>
      </w:r>
    </w:p>
    <w:p w14:paraId="25E99FC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0EA3653F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lastRenderedPageBreak/>
        <w:t xml:space="preserve">Hos patienter, hvor høreorganet allerede var beskadiget på grund af </w:t>
      </w:r>
      <w:proofErr w:type="spellStart"/>
      <w:r w:rsidRPr="00B63CD0">
        <w:rPr>
          <w:sz w:val="24"/>
          <w:szCs w:val="24"/>
          <w:lang w:eastAsia="de-DE"/>
        </w:rPr>
        <w:t>cisplatin</w:t>
      </w:r>
      <w:proofErr w:type="spellEnd"/>
      <w:r w:rsidRPr="00B63CD0">
        <w:rPr>
          <w:sz w:val="24"/>
          <w:szCs w:val="24"/>
          <w:lang w:eastAsia="de-DE"/>
        </w:rPr>
        <w:t xml:space="preserve">, kan der i nogle tilfælde forekomme en yderligere forværring under behandlingen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2D6FCE1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35424F0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Ved højere end de anbefalede doser i kombination med andre </w:t>
      </w:r>
      <w:proofErr w:type="spellStart"/>
      <w:r w:rsidRPr="00B63CD0">
        <w:rPr>
          <w:sz w:val="24"/>
          <w:szCs w:val="24"/>
          <w:lang w:eastAsia="de-DE"/>
        </w:rPr>
        <w:t>ototoksiske</w:t>
      </w:r>
      <w:proofErr w:type="spellEnd"/>
      <w:r w:rsidRPr="00B63CD0">
        <w:rPr>
          <w:sz w:val="24"/>
          <w:szCs w:val="24"/>
          <w:lang w:eastAsia="de-DE"/>
        </w:rPr>
        <w:t xml:space="preserve"> stoffer, er der blevet rapporteret klinisk signifikant høretab hos pædiatriske patienter ved administration af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4BDD9C80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</w:p>
    <w:p w14:paraId="0FC9AAC0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Nyrer og urinveje</w:t>
      </w:r>
    </w:p>
    <w:p w14:paraId="46A84FD5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Nyretoksicitet er normalt ikke dosisbegrænsende hos patienter, der får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, og der kræves heller ikke forebyggende forholdsregler, såsom højvolumen væskehydrering eller forceret diurese. Der kan imidlertid stadig opstå forhøjet urinstof i blodet eller forhøjede serum-</w:t>
      </w:r>
      <w:proofErr w:type="spellStart"/>
      <w:r w:rsidRPr="00B63CD0">
        <w:rPr>
          <w:sz w:val="24"/>
          <w:szCs w:val="24"/>
          <w:lang w:eastAsia="de-DE"/>
        </w:rPr>
        <w:t>kreatinin</w:t>
      </w:r>
      <w:proofErr w:type="spellEnd"/>
      <w:r w:rsidRPr="00B63CD0">
        <w:rPr>
          <w:sz w:val="24"/>
          <w:szCs w:val="24"/>
          <w:lang w:eastAsia="de-DE"/>
        </w:rPr>
        <w:t>-niveauer.</w:t>
      </w:r>
    </w:p>
    <w:p w14:paraId="420B6E2E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Nedsat nyrefunktion, defineret som en reduktion i </w:t>
      </w:r>
      <w:proofErr w:type="spellStart"/>
      <w:r w:rsidRPr="00B63CD0">
        <w:rPr>
          <w:sz w:val="24"/>
          <w:szCs w:val="24"/>
          <w:lang w:eastAsia="de-DE"/>
        </w:rPr>
        <w:t>kreatininclearance</w:t>
      </w:r>
      <w:proofErr w:type="spellEnd"/>
      <w:r w:rsidRPr="00B63CD0">
        <w:rPr>
          <w:sz w:val="24"/>
          <w:szCs w:val="24"/>
          <w:lang w:eastAsia="de-DE"/>
        </w:rPr>
        <w:t xml:space="preserve"> til under 60 ml/min kan også observeres. Forekomsten og sværhedsgraden af </w:t>
      </w:r>
      <w:proofErr w:type="spellStart"/>
      <w:r w:rsidRPr="00B63CD0">
        <w:rPr>
          <w:sz w:val="24"/>
          <w:szCs w:val="24"/>
          <w:lang w:eastAsia="de-DE"/>
        </w:rPr>
        <w:t>nefrotoksicitet</w:t>
      </w:r>
      <w:proofErr w:type="spellEnd"/>
      <w:r w:rsidRPr="00B63CD0">
        <w:rPr>
          <w:sz w:val="24"/>
          <w:szCs w:val="24"/>
          <w:lang w:eastAsia="de-DE"/>
        </w:rPr>
        <w:t xml:space="preserve"> kan stige hos patienter, som har nedsat nyrefunktion før behandling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. Det er uklart om en passende hydrering kan udligne en sådan virkning, men der kræves dosisreduktion eller </w:t>
      </w:r>
      <w:proofErr w:type="spellStart"/>
      <w:r w:rsidRPr="00B63CD0">
        <w:rPr>
          <w:sz w:val="24"/>
          <w:szCs w:val="24"/>
          <w:lang w:eastAsia="de-DE"/>
        </w:rPr>
        <w:t>seponering</w:t>
      </w:r>
      <w:proofErr w:type="spellEnd"/>
      <w:r w:rsidRPr="00B63CD0">
        <w:rPr>
          <w:sz w:val="24"/>
          <w:szCs w:val="24"/>
          <w:lang w:eastAsia="de-DE"/>
        </w:rPr>
        <w:t xml:space="preserve"> af behandlingen, hvis der er en moderat ændring i nyrefunktionen (</w:t>
      </w:r>
      <w:proofErr w:type="spellStart"/>
      <w:r w:rsidRPr="00B63CD0">
        <w:rPr>
          <w:sz w:val="24"/>
          <w:szCs w:val="24"/>
          <w:lang w:eastAsia="de-DE"/>
        </w:rPr>
        <w:t>kreatininclearance</w:t>
      </w:r>
      <w:proofErr w:type="spellEnd"/>
      <w:r w:rsidRPr="00B63CD0">
        <w:rPr>
          <w:sz w:val="24"/>
          <w:szCs w:val="24"/>
          <w:lang w:eastAsia="de-DE"/>
        </w:rPr>
        <w:t xml:space="preserve"> 30 – 59 ml/min).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er kontraindiceret til patienter med en </w:t>
      </w:r>
      <w:proofErr w:type="spellStart"/>
      <w:r w:rsidRPr="00B63CD0">
        <w:rPr>
          <w:sz w:val="24"/>
          <w:szCs w:val="24"/>
          <w:lang w:eastAsia="de-DE"/>
        </w:rPr>
        <w:t>kreatininclearance</w:t>
      </w:r>
      <w:proofErr w:type="spellEnd"/>
      <w:r w:rsidRPr="00B63CD0">
        <w:rPr>
          <w:sz w:val="24"/>
          <w:szCs w:val="24"/>
          <w:lang w:eastAsia="de-DE"/>
        </w:rPr>
        <w:t xml:space="preserve"> &lt; 30 ml/min</w:t>
      </w:r>
      <w:r w:rsidRPr="00B63CD0">
        <w:rPr>
          <w:sz w:val="22"/>
          <w:szCs w:val="22"/>
        </w:rPr>
        <w:t xml:space="preserve"> </w:t>
      </w:r>
      <w:r w:rsidRPr="00B63CD0">
        <w:rPr>
          <w:sz w:val="24"/>
          <w:szCs w:val="24"/>
          <w:lang w:eastAsia="de-DE"/>
        </w:rPr>
        <w:t>(se pkt. 4.2 og 4.3).</w:t>
      </w:r>
    </w:p>
    <w:p w14:paraId="4B8E9F5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3983DB7F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Ved de sædvanlige doser er det ikke almindeligt at se udvikling af unormal nyrefunktion, på trods af, at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-injektionen er blevet administreret uden højvolumen væskehydrering og/eller forceret diurese. Øget serum-</w:t>
      </w:r>
      <w:proofErr w:type="spellStart"/>
      <w:r w:rsidRPr="00B63CD0">
        <w:rPr>
          <w:sz w:val="24"/>
          <w:szCs w:val="24"/>
          <w:lang w:eastAsia="de-DE"/>
        </w:rPr>
        <w:t>kreatinin</w:t>
      </w:r>
      <w:proofErr w:type="spellEnd"/>
      <w:r w:rsidRPr="00B63CD0">
        <w:rPr>
          <w:sz w:val="24"/>
          <w:szCs w:val="24"/>
          <w:lang w:eastAsia="de-DE"/>
        </w:rPr>
        <w:t xml:space="preserve"> forekommer hos 6 % af patienterne, øget blod-urin-nitrogen hos 14 % og øget urinsyre hos 5 % af patienterne. Disse er normalt lette og reversible hos ca. halvdelen af patienterne. </w:t>
      </w:r>
      <w:proofErr w:type="spellStart"/>
      <w:r w:rsidRPr="00B63CD0">
        <w:rPr>
          <w:sz w:val="24"/>
          <w:szCs w:val="24"/>
          <w:lang w:eastAsia="de-DE"/>
        </w:rPr>
        <w:t>Kreatinin-clearance</w:t>
      </w:r>
      <w:proofErr w:type="spellEnd"/>
      <w:r w:rsidRPr="00B63CD0">
        <w:rPr>
          <w:sz w:val="24"/>
          <w:szCs w:val="24"/>
          <w:lang w:eastAsia="de-DE"/>
        </w:rPr>
        <w:t xml:space="preserve"> har vist sig at være det mest følsomme mål for nyrefunktionen hos patienter, der får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-injektioner. Syvogtyve procent (27 %) af patienterne, som har en baselineværdi på 60 ml/min eller derover oplever en reduktion i </w:t>
      </w:r>
      <w:proofErr w:type="spellStart"/>
      <w:r w:rsidRPr="00B63CD0">
        <w:rPr>
          <w:sz w:val="24"/>
          <w:szCs w:val="24"/>
          <w:lang w:eastAsia="de-DE"/>
        </w:rPr>
        <w:t>kreatininclearance</w:t>
      </w:r>
      <w:proofErr w:type="spellEnd"/>
      <w:r w:rsidRPr="00B63CD0">
        <w:rPr>
          <w:sz w:val="24"/>
          <w:szCs w:val="24"/>
          <w:lang w:eastAsia="de-DE"/>
        </w:rPr>
        <w:t xml:space="preserve"> i løbet af behandlingen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-injektioner.</w:t>
      </w:r>
    </w:p>
    <w:p w14:paraId="1288598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13DF40F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Undersøgelser</w:t>
      </w:r>
    </w:p>
    <w:p w14:paraId="76CC5B62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Reduktioner i serum-natrium, -kalium, -calcium og -magnesium forekommer hos hhv. 29 %, 20 %, 22 % og 29 % af patienterne. Især er der blevet rapporteret tilfælde af tidlig </w:t>
      </w:r>
      <w:proofErr w:type="spellStart"/>
      <w:r w:rsidRPr="00B63CD0">
        <w:rPr>
          <w:sz w:val="24"/>
          <w:szCs w:val="24"/>
          <w:lang w:eastAsia="de-DE"/>
        </w:rPr>
        <w:t>hyponatriæmi</w:t>
      </w:r>
      <w:proofErr w:type="spellEnd"/>
      <w:r w:rsidRPr="00B63CD0">
        <w:rPr>
          <w:sz w:val="24"/>
          <w:szCs w:val="24"/>
          <w:lang w:eastAsia="de-DE"/>
        </w:rPr>
        <w:t>. Elektrolyttabet er af mindre betydning og forløber for det meste uden nogen kliniske symptomer.</w:t>
      </w:r>
    </w:p>
    <w:p w14:paraId="18DAB105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18C5CE62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Lever og galdeveje</w:t>
      </w:r>
    </w:p>
    <w:p w14:paraId="778B369A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Modifikation af leverfunktionen hos patienter med normale baselineværdier blev observeret, herunder forhøjet totalt bilirubin hos 5 %, SGOT hos 15 % og basisk fosfatase hos 24 % af patienterne. Disse modifikationer var normalt lette og reversible hos ca. halvdelen af patienterne.</w:t>
      </w:r>
    </w:p>
    <w:p w14:paraId="32BAAA35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Hos en begrænset andel af patienterne, der får meget høje doser af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-injektioner og autolog knoglemarvstransplantation, er der forekommet svære forhøjelser af leverfunktionsprøver.</w:t>
      </w:r>
    </w:p>
    <w:p w14:paraId="3E207B4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7F25822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Tilfælde af akut, fulminant levercellenekrose forekom efter højdosis administration af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5CFF9ABD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4E02CE2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Immunsystemet</w:t>
      </w:r>
    </w:p>
    <w:p w14:paraId="3726CD5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lastRenderedPageBreak/>
        <w:t xml:space="preserve">Allergiske reaktioner over for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er blevet rapporteret hos færre end 2 % af patienterne, f.eks. hududslæt, </w:t>
      </w:r>
      <w:proofErr w:type="spellStart"/>
      <w:r w:rsidRPr="00B63CD0">
        <w:rPr>
          <w:sz w:val="24"/>
          <w:szCs w:val="24"/>
          <w:lang w:eastAsia="de-DE"/>
        </w:rPr>
        <w:t>urticaria</w:t>
      </w:r>
      <w:proofErr w:type="spellEnd"/>
      <w:r w:rsidRPr="00B63CD0">
        <w:rPr>
          <w:sz w:val="24"/>
          <w:szCs w:val="24"/>
          <w:lang w:eastAsia="de-DE"/>
        </w:rPr>
        <w:t xml:space="preserve">, </w:t>
      </w:r>
      <w:proofErr w:type="spellStart"/>
      <w:r w:rsidRPr="00B63CD0">
        <w:rPr>
          <w:sz w:val="24"/>
          <w:szCs w:val="24"/>
          <w:lang w:eastAsia="de-DE"/>
        </w:rPr>
        <w:t>erytem</w:t>
      </w:r>
      <w:proofErr w:type="spellEnd"/>
      <w:r w:rsidRPr="00B63CD0">
        <w:rPr>
          <w:sz w:val="24"/>
          <w:szCs w:val="24"/>
          <w:lang w:eastAsia="de-DE"/>
        </w:rPr>
        <w:t xml:space="preserve">, feber uden nogen tilsyneladende årsag eller </w:t>
      </w:r>
      <w:proofErr w:type="spellStart"/>
      <w:r w:rsidRPr="00B63CD0">
        <w:rPr>
          <w:sz w:val="24"/>
          <w:szCs w:val="24"/>
          <w:lang w:eastAsia="de-DE"/>
        </w:rPr>
        <w:t>pruritus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66A06A61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Reaktioner af den </w:t>
      </w:r>
      <w:proofErr w:type="spellStart"/>
      <w:r w:rsidRPr="00B63CD0">
        <w:rPr>
          <w:sz w:val="24"/>
          <w:szCs w:val="24"/>
          <w:lang w:eastAsia="de-DE"/>
        </w:rPr>
        <w:t>anafylaktoide</w:t>
      </w:r>
      <w:proofErr w:type="spellEnd"/>
      <w:r w:rsidRPr="00B63CD0">
        <w:rPr>
          <w:sz w:val="24"/>
          <w:szCs w:val="24"/>
          <w:lang w:eastAsia="de-DE"/>
        </w:rPr>
        <w:t xml:space="preserve"> type, til tider fatale, kan forekomme i minutterne efter injektion af præparatet: </w:t>
      </w:r>
      <w:proofErr w:type="spellStart"/>
      <w:r w:rsidRPr="00B63CD0">
        <w:rPr>
          <w:sz w:val="24"/>
          <w:szCs w:val="24"/>
          <w:lang w:eastAsia="de-DE"/>
        </w:rPr>
        <w:t>angioødem</w:t>
      </w:r>
      <w:proofErr w:type="spellEnd"/>
      <w:r w:rsidRPr="00B63CD0">
        <w:rPr>
          <w:sz w:val="24"/>
          <w:szCs w:val="24"/>
          <w:lang w:eastAsia="de-DE"/>
        </w:rPr>
        <w:t xml:space="preserve">, ansigtsødem, dyspnø, </w:t>
      </w:r>
      <w:proofErr w:type="spellStart"/>
      <w:r w:rsidRPr="00B63CD0">
        <w:rPr>
          <w:sz w:val="24"/>
          <w:szCs w:val="24"/>
          <w:lang w:eastAsia="de-DE"/>
        </w:rPr>
        <w:t>takykardi</w:t>
      </w:r>
      <w:proofErr w:type="spellEnd"/>
      <w:r w:rsidRPr="00B63CD0">
        <w:rPr>
          <w:sz w:val="24"/>
          <w:szCs w:val="24"/>
          <w:lang w:eastAsia="de-DE"/>
        </w:rPr>
        <w:t xml:space="preserve">, lavt blodtryk, </w:t>
      </w:r>
      <w:proofErr w:type="spellStart"/>
      <w:r w:rsidRPr="00B63CD0">
        <w:rPr>
          <w:sz w:val="24"/>
          <w:szCs w:val="24"/>
          <w:lang w:eastAsia="de-DE"/>
        </w:rPr>
        <w:t>urticaria</w:t>
      </w:r>
      <w:proofErr w:type="spellEnd"/>
      <w:r w:rsidRPr="00B63CD0">
        <w:rPr>
          <w:sz w:val="24"/>
          <w:szCs w:val="24"/>
          <w:lang w:eastAsia="de-DE"/>
        </w:rPr>
        <w:t xml:space="preserve">, </w:t>
      </w:r>
      <w:proofErr w:type="spellStart"/>
      <w:r w:rsidRPr="00B63CD0">
        <w:rPr>
          <w:sz w:val="24"/>
          <w:szCs w:val="24"/>
          <w:lang w:eastAsia="de-DE"/>
        </w:rPr>
        <w:t>anafylaktisk</w:t>
      </w:r>
      <w:proofErr w:type="spellEnd"/>
      <w:r w:rsidRPr="00B63CD0">
        <w:rPr>
          <w:sz w:val="24"/>
          <w:szCs w:val="24"/>
          <w:lang w:eastAsia="de-DE"/>
        </w:rPr>
        <w:t xml:space="preserve"> </w:t>
      </w:r>
      <w:proofErr w:type="spellStart"/>
      <w:r w:rsidRPr="00B63CD0">
        <w:rPr>
          <w:sz w:val="24"/>
          <w:szCs w:val="24"/>
          <w:lang w:eastAsia="de-DE"/>
        </w:rPr>
        <w:t>shock</w:t>
      </w:r>
      <w:proofErr w:type="spellEnd"/>
      <w:r w:rsidRPr="00B63CD0">
        <w:rPr>
          <w:sz w:val="24"/>
          <w:szCs w:val="24"/>
          <w:lang w:eastAsia="de-DE"/>
        </w:rPr>
        <w:t xml:space="preserve">, </w:t>
      </w:r>
      <w:proofErr w:type="spellStart"/>
      <w:r w:rsidRPr="00B63CD0">
        <w:rPr>
          <w:sz w:val="24"/>
          <w:szCs w:val="24"/>
          <w:lang w:eastAsia="de-DE"/>
        </w:rPr>
        <w:t>bronkospasme</w:t>
      </w:r>
      <w:proofErr w:type="spellEnd"/>
      <w:r w:rsidRPr="00B63CD0">
        <w:rPr>
          <w:sz w:val="24"/>
          <w:szCs w:val="24"/>
          <w:lang w:eastAsia="de-DE"/>
        </w:rPr>
        <w:t>.</w:t>
      </w:r>
    </w:p>
    <w:p w14:paraId="331DFB0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20343C0C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e-DE"/>
        </w:rPr>
      </w:pPr>
      <w:r w:rsidRPr="00B63CD0">
        <w:rPr>
          <w:bCs/>
          <w:sz w:val="24"/>
          <w:szCs w:val="24"/>
          <w:u w:val="single"/>
          <w:lang w:eastAsia="de-DE"/>
        </w:rPr>
        <w:t>Andre bivirkninger</w:t>
      </w:r>
    </w:p>
    <w:p w14:paraId="0EF05F8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Sekundære akutte </w:t>
      </w:r>
      <w:proofErr w:type="spellStart"/>
      <w:r w:rsidRPr="00B63CD0">
        <w:rPr>
          <w:sz w:val="24"/>
          <w:szCs w:val="24"/>
          <w:lang w:eastAsia="de-DE"/>
        </w:rPr>
        <w:t>maligniteter</w:t>
      </w:r>
      <w:proofErr w:type="spellEnd"/>
      <w:r w:rsidRPr="00B63CD0">
        <w:rPr>
          <w:sz w:val="24"/>
          <w:szCs w:val="24"/>
          <w:lang w:eastAsia="de-DE"/>
        </w:rPr>
        <w:t xml:space="preserve"> efter </w:t>
      </w:r>
      <w:proofErr w:type="spellStart"/>
      <w:r w:rsidRPr="00B63CD0">
        <w:rPr>
          <w:sz w:val="24"/>
          <w:szCs w:val="24"/>
          <w:lang w:eastAsia="de-DE"/>
        </w:rPr>
        <w:t>cytostatiske</w:t>
      </w:r>
      <w:proofErr w:type="spellEnd"/>
      <w:r w:rsidRPr="00B63CD0">
        <w:rPr>
          <w:sz w:val="24"/>
          <w:szCs w:val="24"/>
          <w:lang w:eastAsia="de-DE"/>
        </w:rPr>
        <w:t xml:space="preserve"> kombinationsbehandlinger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er blevet rapporteret.</w:t>
      </w:r>
    </w:p>
    <w:p w14:paraId="368E206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057DDF25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Akut </w:t>
      </w:r>
      <w:proofErr w:type="spellStart"/>
      <w:r w:rsidRPr="00B63CD0">
        <w:rPr>
          <w:sz w:val="24"/>
          <w:szCs w:val="24"/>
          <w:lang w:eastAsia="de-DE"/>
        </w:rPr>
        <w:t>promyelocytisk</w:t>
      </w:r>
      <w:proofErr w:type="spellEnd"/>
      <w:r w:rsidRPr="00B63CD0">
        <w:rPr>
          <w:sz w:val="24"/>
          <w:szCs w:val="24"/>
          <w:lang w:eastAsia="de-DE"/>
        </w:rPr>
        <w:t xml:space="preserve"> leukæmi 6 år efter monoterapi med </w:t>
      </w:r>
      <w:proofErr w:type="spellStart"/>
      <w:r w:rsidRPr="00B63CD0">
        <w:rPr>
          <w:sz w:val="24"/>
          <w:szCs w:val="24"/>
          <w:lang w:eastAsia="de-DE"/>
        </w:rPr>
        <w:t>carboplatin</w:t>
      </w:r>
      <w:proofErr w:type="spellEnd"/>
      <w:r w:rsidRPr="00B63CD0">
        <w:rPr>
          <w:sz w:val="24"/>
          <w:szCs w:val="24"/>
          <w:lang w:eastAsia="de-DE"/>
        </w:rPr>
        <w:t xml:space="preserve"> og tidligere radioterapi er blevet rapporteret.</w:t>
      </w:r>
    </w:p>
    <w:p w14:paraId="48E64C1B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4602947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proofErr w:type="spellStart"/>
      <w:r w:rsidRPr="00B63CD0">
        <w:rPr>
          <w:sz w:val="24"/>
          <w:szCs w:val="24"/>
          <w:lang w:eastAsia="de-DE"/>
        </w:rPr>
        <w:t>Alopeci</w:t>
      </w:r>
      <w:proofErr w:type="spellEnd"/>
      <w:r w:rsidRPr="00B63CD0">
        <w:rPr>
          <w:sz w:val="24"/>
          <w:szCs w:val="24"/>
          <w:lang w:eastAsia="de-DE"/>
        </w:rPr>
        <w:t xml:space="preserve">, feber og kulderystelser, </w:t>
      </w:r>
      <w:proofErr w:type="spellStart"/>
      <w:r w:rsidRPr="00B63CD0">
        <w:rPr>
          <w:sz w:val="24"/>
          <w:szCs w:val="24"/>
          <w:lang w:eastAsia="de-DE"/>
        </w:rPr>
        <w:t>mukositis</w:t>
      </w:r>
      <w:proofErr w:type="spellEnd"/>
      <w:r w:rsidRPr="00B63CD0">
        <w:rPr>
          <w:sz w:val="24"/>
          <w:szCs w:val="24"/>
          <w:lang w:eastAsia="de-DE"/>
        </w:rPr>
        <w:t xml:space="preserve">, asteni, utilpashed samt </w:t>
      </w:r>
      <w:proofErr w:type="spellStart"/>
      <w:r w:rsidRPr="00B63CD0">
        <w:rPr>
          <w:sz w:val="24"/>
          <w:szCs w:val="24"/>
          <w:lang w:eastAsia="de-DE"/>
        </w:rPr>
        <w:t>dysgeusi</w:t>
      </w:r>
      <w:proofErr w:type="spellEnd"/>
      <w:r w:rsidRPr="00B63CD0">
        <w:rPr>
          <w:sz w:val="24"/>
          <w:szCs w:val="24"/>
          <w:lang w:eastAsia="de-DE"/>
        </w:rPr>
        <w:t xml:space="preserve"> er lejlighedsvist blevet observeret.</w:t>
      </w:r>
    </w:p>
    <w:p w14:paraId="6C060E8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3F67B8C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I isolerede tilfælde forekom der et </w:t>
      </w:r>
      <w:proofErr w:type="spellStart"/>
      <w:r w:rsidRPr="00B63CD0">
        <w:rPr>
          <w:sz w:val="24"/>
          <w:szCs w:val="24"/>
          <w:lang w:eastAsia="de-DE"/>
        </w:rPr>
        <w:t>hæmolytisk</w:t>
      </w:r>
      <w:proofErr w:type="spellEnd"/>
      <w:r w:rsidRPr="00B63CD0">
        <w:rPr>
          <w:sz w:val="24"/>
          <w:szCs w:val="24"/>
          <w:lang w:eastAsia="de-DE"/>
        </w:rPr>
        <w:t>-uræmisk syndrom.</w:t>
      </w:r>
    </w:p>
    <w:p w14:paraId="092816BE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61FD1AD6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Isolerede tilfælde af </w:t>
      </w:r>
      <w:proofErr w:type="spellStart"/>
      <w:r w:rsidRPr="00B63CD0">
        <w:rPr>
          <w:sz w:val="24"/>
          <w:szCs w:val="24"/>
          <w:lang w:eastAsia="de-DE"/>
        </w:rPr>
        <w:t>kardiovaskulære</w:t>
      </w:r>
      <w:proofErr w:type="spellEnd"/>
      <w:r w:rsidRPr="00B63CD0">
        <w:rPr>
          <w:sz w:val="24"/>
          <w:szCs w:val="24"/>
          <w:lang w:eastAsia="de-DE"/>
        </w:rPr>
        <w:t xml:space="preserve"> hændelser (hjerteinsufficiens, </w:t>
      </w:r>
      <w:proofErr w:type="spellStart"/>
      <w:r w:rsidRPr="00B63CD0">
        <w:rPr>
          <w:sz w:val="24"/>
          <w:szCs w:val="24"/>
          <w:lang w:eastAsia="de-DE"/>
        </w:rPr>
        <w:t>embolisme</w:t>
      </w:r>
      <w:proofErr w:type="spellEnd"/>
      <w:r w:rsidRPr="00B63CD0">
        <w:rPr>
          <w:sz w:val="24"/>
          <w:szCs w:val="24"/>
          <w:lang w:eastAsia="de-DE"/>
        </w:rPr>
        <w:t xml:space="preserve">) samt isolerede tilfælde af </w:t>
      </w:r>
      <w:proofErr w:type="spellStart"/>
      <w:r w:rsidRPr="00B63CD0">
        <w:rPr>
          <w:sz w:val="24"/>
          <w:szCs w:val="24"/>
          <w:lang w:eastAsia="de-DE"/>
        </w:rPr>
        <w:t>kardiovaskulære</w:t>
      </w:r>
      <w:proofErr w:type="spellEnd"/>
      <w:r w:rsidRPr="00B63CD0">
        <w:rPr>
          <w:sz w:val="24"/>
          <w:szCs w:val="24"/>
          <w:lang w:eastAsia="de-DE"/>
        </w:rPr>
        <w:t xml:space="preserve"> anfald er blevet rapporteret.</w:t>
      </w:r>
    </w:p>
    <w:p w14:paraId="45FB7D3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5BFEF83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Der er blevet rapporteret tilfælde af hypertension.</w:t>
      </w:r>
    </w:p>
    <w:p w14:paraId="5F8595B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</w:p>
    <w:p w14:paraId="22CDAD14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Almene symptomer og reaktioner på administrationsstedet</w:t>
      </w:r>
    </w:p>
    <w:p w14:paraId="4775AE0F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Reaktioner på injektionsstedet (brændende smerter, rødme, hævelse, </w:t>
      </w:r>
      <w:proofErr w:type="spellStart"/>
      <w:r w:rsidRPr="00B63CD0">
        <w:rPr>
          <w:sz w:val="24"/>
          <w:szCs w:val="24"/>
          <w:lang w:eastAsia="de-DE"/>
        </w:rPr>
        <w:t>urticaria</w:t>
      </w:r>
      <w:proofErr w:type="spellEnd"/>
      <w:r w:rsidRPr="00B63CD0">
        <w:rPr>
          <w:sz w:val="24"/>
          <w:szCs w:val="24"/>
          <w:lang w:eastAsia="de-DE"/>
        </w:rPr>
        <w:t xml:space="preserve">, nekrose i forbindelse med </w:t>
      </w:r>
      <w:proofErr w:type="spellStart"/>
      <w:r w:rsidRPr="00B63CD0">
        <w:rPr>
          <w:sz w:val="24"/>
          <w:szCs w:val="24"/>
          <w:lang w:eastAsia="de-DE"/>
        </w:rPr>
        <w:t>ekstravasation</w:t>
      </w:r>
      <w:proofErr w:type="spellEnd"/>
      <w:r w:rsidRPr="00B63CD0">
        <w:rPr>
          <w:sz w:val="24"/>
          <w:szCs w:val="24"/>
          <w:lang w:eastAsia="de-DE"/>
        </w:rPr>
        <w:t>) er blevet rapporteret.</w:t>
      </w:r>
    </w:p>
    <w:p w14:paraId="08A34E78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7C05FCF9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e-DE"/>
        </w:rPr>
      </w:pPr>
      <w:r w:rsidRPr="00B63CD0">
        <w:rPr>
          <w:sz w:val="24"/>
          <w:szCs w:val="24"/>
          <w:u w:val="single"/>
          <w:lang w:eastAsia="de-DE"/>
        </w:rPr>
        <w:t>Indberetning af formodede bivirkninger</w:t>
      </w:r>
    </w:p>
    <w:p w14:paraId="0CC6E32E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Når lægemidlet er godkendt, er indberetning af formodede bivirkninger vigtig. Det muliggør løbende overvågning af benefit/</w:t>
      </w:r>
      <w:proofErr w:type="spellStart"/>
      <w:r w:rsidRPr="00B63CD0">
        <w:rPr>
          <w:sz w:val="24"/>
          <w:szCs w:val="24"/>
          <w:lang w:eastAsia="de-DE"/>
        </w:rPr>
        <w:t>risk</w:t>
      </w:r>
      <w:proofErr w:type="spellEnd"/>
      <w:r w:rsidRPr="00B63CD0">
        <w:rPr>
          <w:sz w:val="24"/>
          <w:szCs w:val="24"/>
          <w:lang w:eastAsia="de-DE"/>
        </w:rPr>
        <w:t>-forholdet for lægemidlet. Sundhedspersoner anmodes om at indberette alle formodede bivirkninger via:</w:t>
      </w:r>
    </w:p>
    <w:p w14:paraId="450625F7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17EB4ECC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Lægemiddelstyrelsen</w:t>
      </w:r>
    </w:p>
    <w:p w14:paraId="393AA853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Axel Heides Gade 1</w:t>
      </w:r>
    </w:p>
    <w:p w14:paraId="1A58452E" w14:textId="77777777" w:rsidR="004D0D42" w:rsidRPr="00B63CD0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>DK-2300 København S</w:t>
      </w:r>
    </w:p>
    <w:p w14:paraId="4762C50F" w14:textId="59ECEDB3" w:rsidR="004D0D42" w:rsidRDefault="004D0D42" w:rsidP="004D0D42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  <w:r w:rsidRPr="00B63CD0">
        <w:rPr>
          <w:sz w:val="24"/>
          <w:szCs w:val="24"/>
          <w:lang w:eastAsia="de-DE"/>
        </w:rPr>
        <w:t xml:space="preserve">Websted: </w:t>
      </w:r>
      <w:hyperlink r:id="rId8" w:history="1">
        <w:r w:rsidR="001118CD" w:rsidRPr="001E6646">
          <w:rPr>
            <w:rStyle w:val="Hyperlink"/>
            <w:sz w:val="24"/>
            <w:szCs w:val="24"/>
            <w:lang w:eastAsia="de-DE"/>
          </w:rPr>
          <w:t>www.meldenbivirkning.dk</w:t>
        </w:r>
      </w:hyperlink>
    </w:p>
    <w:p w14:paraId="642C2AB6" w14:textId="77777777" w:rsidR="00224E2C" w:rsidRPr="00B16277" w:rsidRDefault="00224E2C" w:rsidP="00224E2C">
      <w:pPr>
        <w:autoSpaceDE w:val="0"/>
        <w:autoSpaceDN w:val="0"/>
        <w:adjustRightInd w:val="0"/>
        <w:ind w:left="851"/>
        <w:rPr>
          <w:sz w:val="24"/>
          <w:szCs w:val="24"/>
          <w:lang w:eastAsia="de-DE"/>
        </w:rPr>
      </w:pPr>
    </w:p>
    <w:p w14:paraId="2B119025" w14:textId="77777777" w:rsidR="009260DE" w:rsidRPr="00B1627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6277">
        <w:rPr>
          <w:b/>
          <w:sz w:val="24"/>
          <w:szCs w:val="24"/>
        </w:rPr>
        <w:t>4.9</w:t>
      </w:r>
      <w:r w:rsidRPr="00B16277">
        <w:rPr>
          <w:b/>
          <w:sz w:val="24"/>
          <w:szCs w:val="24"/>
        </w:rPr>
        <w:tab/>
        <w:t>Overdosering</w:t>
      </w:r>
    </w:p>
    <w:p w14:paraId="4E6D1778" w14:textId="77777777" w:rsidR="00610CE7" w:rsidRPr="00610CE7" w:rsidRDefault="00610CE7" w:rsidP="00610CE7">
      <w:pPr>
        <w:tabs>
          <w:tab w:val="left" w:pos="851"/>
        </w:tabs>
        <w:ind w:left="851"/>
        <w:rPr>
          <w:sz w:val="24"/>
          <w:szCs w:val="24"/>
        </w:rPr>
      </w:pPr>
    </w:p>
    <w:p w14:paraId="4A2A48DC" w14:textId="77777777" w:rsidR="00610CE7" w:rsidRPr="00610CE7" w:rsidRDefault="00610CE7" w:rsidP="00610CE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10CE7">
        <w:rPr>
          <w:sz w:val="24"/>
          <w:szCs w:val="24"/>
          <w:u w:val="single"/>
        </w:rPr>
        <w:t>Symptomer på overdosering</w:t>
      </w:r>
    </w:p>
    <w:p w14:paraId="72325F61" w14:textId="77777777" w:rsidR="00610CE7" w:rsidRPr="00610CE7" w:rsidRDefault="00610CE7" w:rsidP="00610CE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10CE7">
        <w:rPr>
          <w:sz w:val="24"/>
          <w:szCs w:val="24"/>
        </w:rPr>
        <w:t>Carboplatin</w:t>
      </w:r>
      <w:proofErr w:type="spellEnd"/>
      <w:r w:rsidRPr="00610CE7">
        <w:rPr>
          <w:sz w:val="24"/>
          <w:szCs w:val="24"/>
        </w:rPr>
        <w:t xml:space="preserve"> blev administreret i fase I-forsøg ved intravenøs indgift af en dosis på op til 1.600 mg/m² pr. forløb. Ved denne dosis blev der observeret livstruende hæmatologiske uønskede virkninger med </w:t>
      </w:r>
      <w:proofErr w:type="spellStart"/>
      <w:r w:rsidRPr="00610CE7">
        <w:rPr>
          <w:sz w:val="24"/>
          <w:szCs w:val="24"/>
        </w:rPr>
        <w:t>granulocytopeni</w:t>
      </w:r>
      <w:proofErr w:type="spellEnd"/>
      <w:r w:rsidRPr="00610CE7">
        <w:rPr>
          <w:sz w:val="24"/>
          <w:szCs w:val="24"/>
        </w:rPr>
        <w:t xml:space="preserve">, </w:t>
      </w:r>
      <w:proofErr w:type="spellStart"/>
      <w:r w:rsidRPr="00610CE7">
        <w:rPr>
          <w:sz w:val="24"/>
          <w:szCs w:val="24"/>
        </w:rPr>
        <w:t>trombocytopeni</w:t>
      </w:r>
      <w:proofErr w:type="spellEnd"/>
      <w:r w:rsidRPr="00610CE7">
        <w:rPr>
          <w:sz w:val="24"/>
          <w:szCs w:val="24"/>
        </w:rPr>
        <w:t xml:space="preserve"> og anæmi. Nadir for granulocytter, </w:t>
      </w:r>
      <w:proofErr w:type="spellStart"/>
      <w:r w:rsidRPr="00610CE7">
        <w:rPr>
          <w:sz w:val="24"/>
          <w:szCs w:val="24"/>
        </w:rPr>
        <w:t>trombocytter</w:t>
      </w:r>
      <w:proofErr w:type="spellEnd"/>
      <w:r w:rsidRPr="00610CE7">
        <w:rPr>
          <w:sz w:val="24"/>
          <w:szCs w:val="24"/>
        </w:rPr>
        <w:t xml:space="preserve"> og hæmoglobin blev observeret mellem dag 9 – 25 (median: dag 12 – 17). Granulocytterne nåede værdier på ≥ 500/</w:t>
      </w:r>
      <w:proofErr w:type="spellStart"/>
      <w:r w:rsidRPr="00610CE7">
        <w:rPr>
          <w:sz w:val="24"/>
          <w:szCs w:val="24"/>
        </w:rPr>
        <w:t>μl</w:t>
      </w:r>
      <w:proofErr w:type="spellEnd"/>
      <w:r w:rsidRPr="00610CE7">
        <w:rPr>
          <w:sz w:val="24"/>
          <w:szCs w:val="24"/>
        </w:rPr>
        <w:t xml:space="preserve"> efter 8 – 14 dage (median: 11), og </w:t>
      </w:r>
      <w:proofErr w:type="spellStart"/>
      <w:r w:rsidRPr="00610CE7">
        <w:rPr>
          <w:sz w:val="24"/>
          <w:szCs w:val="24"/>
        </w:rPr>
        <w:t>trombocytterne</w:t>
      </w:r>
      <w:proofErr w:type="spellEnd"/>
      <w:r w:rsidRPr="00610CE7">
        <w:rPr>
          <w:sz w:val="24"/>
          <w:szCs w:val="24"/>
        </w:rPr>
        <w:t xml:space="preserve"> nåede værdier på ≥ 25.000/</w:t>
      </w:r>
      <w:proofErr w:type="spellStart"/>
      <w:r w:rsidRPr="00610CE7">
        <w:rPr>
          <w:sz w:val="24"/>
          <w:szCs w:val="24"/>
        </w:rPr>
        <w:t>μl</w:t>
      </w:r>
      <w:proofErr w:type="spellEnd"/>
      <w:r w:rsidRPr="00610CE7">
        <w:rPr>
          <w:sz w:val="24"/>
          <w:szCs w:val="24"/>
        </w:rPr>
        <w:t xml:space="preserve"> efter 3 – 8 dage (median: 7). Følgende ikke-hæmatologiske uønskede virkninger forekom også: nyrefunktionsforstyrrelser med et fald på 50 % i </w:t>
      </w:r>
      <w:proofErr w:type="spellStart"/>
      <w:r w:rsidRPr="00610CE7">
        <w:rPr>
          <w:sz w:val="24"/>
          <w:szCs w:val="24"/>
        </w:rPr>
        <w:t>glomerulær</w:t>
      </w:r>
      <w:proofErr w:type="spellEnd"/>
      <w:r w:rsidRPr="00610CE7">
        <w:rPr>
          <w:sz w:val="24"/>
          <w:szCs w:val="24"/>
        </w:rPr>
        <w:t xml:space="preserve"> filtrationsrate, </w:t>
      </w:r>
      <w:proofErr w:type="spellStart"/>
      <w:r w:rsidRPr="00610CE7">
        <w:rPr>
          <w:sz w:val="24"/>
          <w:szCs w:val="24"/>
        </w:rPr>
        <w:t>neuropati</w:t>
      </w:r>
      <w:proofErr w:type="spellEnd"/>
      <w:r w:rsidRPr="00610CE7">
        <w:rPr>
          <w:sz w:val="24"/>
          <w:szCs w:val="24"/>
        </w:rPr>
        <w:t xml:space="preserve">, </w:t>
      </w:r>
      <w:proofErr w:type="spellStart"/>
      <w:r w:rsidRPr="00610CE7">
        <w:rPr>
          <w:sz w:val="24"/>
          <w:szCs w:val="24"/>
        </w:rPr>
        <w:t>ototoksicitet</w:t>
      </w:r>
      <w:proofErr w:type="spellEnd"/>
      <w:r w:rsidRPr="00610CE7">
        <w:rPr>
          <w:sz w:val="24"/>
          <w:szCs w:val="24"/>
        </w:rPr>
        <w:t xml:space="preserve">, synstab, </w:t>
      </w:r>
      <w:proofErr w:type="spellStart"/>
      <w:r w:rsidRPr="00610CE7">
        <w:rPr>
          <w:sz w:val="24"/>
          <w:szCs w:val="24"/>
        </w:rPr>
        <w:t>hyperbilirubinæmi</w:t>
      </w:r>
      <w:proofErr w:type="spellEnd"/>
      <w:r w:rsidRPr="00610CE7">
        <w:rPr>
          <w:sz w:val="24"/>
          <w:szCs w:val="24"/>
        </w:rPr>
        <w:t xml:space="preserve">, </w:t>
      </w:r>
      <w:proofErr w:type="spellStart"/>
      <w:r w:rsidRPr="00610CE7">
        <w:rPr>
          <w:sz w:val="24"/>
          <w:szCs w:val="24"/>
        </w:rPr>
        <w:t>mucositis</w:t>
      </w:r>
      <w:proofErr w:type="spellEnd"/>
      <w:r w:rsidRPr="00610CE7">
        <w:rPr>
          <w:sz w:val="24"/>
          <w:szCs w:val="24"/>
        </w:rPr>
        <w:t xml:space="preserve">, diarré, kvalme og opkastning med hovedpine, </w:t>
      </w:r>
      <w:proofErr w:type="spellStart"/>
      <w:r w:rsidRPr="00610CE7">
        <w:rPr>
          <w:sz w:val="24"/>
          <w:szCs w:val="24"/>
        </w:rPr>
        <w:t>erytem</w:t>
      </w:r>
      <w:proofErr w:type="spellEnd"/>
      <w:r w:rsidRPr="00610CE7">
        <w:rPr>
          <w:sz w:val="24"/>
          <w:szCs w:val="24"/>
        </w:rPr>
        <w:t xml:space="preserve"> og svær infektion. I de </w:t>
      </w:r>
      <w:r w:rsidRPr="00610CE7">
        <w:rPr>
          <w:sz w:val="24"/>
          <w:szCs w:val="24"/>
        </w:rPr>
        <w:lastRenderedPageBreak/>
        <w:t xml:space="preserve">fleste tilfælde var høreforstyrrelser forbigående og reversible. Brug af højere doser af </w:t>
      </w:r>
      <w:proofErr w:type="spellStart"/>
      <w:r w:rsidRPr="00610CE7">
        <w:rPr>
          <w:sz w:val="24"/>
          <w:szCs w:val="24"/>
        </w:rPr>
        <w:t>carboplatin</w:t>
      </w:r>
      <w:proofErr w:type="spellEnd"/>
      <w:r w:rsidRPr="00610CE7">
        <w:rPr>
          <w:sz w:val="24"/>
          <w:szCs w:val="24"/>
        </w:rPr>
        <w:t xml:space="preserve"> end de anbefalede er blevet forbundet med synstab (se pkt. 4.4).</w:t>
      </w:r>
    </w:p>
    <w:p w14:paraId="118207E0" w14:textId="7167DB4B" w:rsidR="00610CE7" w:rsidRDefault="00610CE7">
      <w:pPr>
        <w:rPr>
          <w:sz w:val="24"/>
          <w:szCs w:val="24"/>
        </w:rPr>
      </w:pPr>
    </w:p>
    <w:p w14:paraId="1C399429" w14:textId="77777777" w:rsidR="00610CE7" w:rsidRPr="00610CE7" w:rsidRDefault="00610CE7" w:rsidP="00610CE7">
      <w:pPr>
        <w:tabs>
          <w:tab w:val="left" w:pos="851"/>
        </w:tabs>
        <w:ind w:left="851"/>
        <w:rPr>
          <w:sz w:val="24"/>
          <w:szCs w:val="24"/>
        </w:rPr>
      </w:pPr>
    </w:p>
    <w:p w14:paraId="4474C4C3" w14:textId="77777777" w:rsidR="00610CE7" w:rsidRPr="00610CE7" w:rsidRDefault="00610CE7" w:rsidP="00610CE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10CE7">
        <w:rPr>
          <w:sz w:val="24"/>
          <w:szCs w:val="24"/>
          <w:u w:val="single"/>
        </w:rPr>
        <w:t>Behandling af overdosering</w:t>
      </w:r>
    </w:p>
    <w:p w14:paraId="67F07938" w14:textId="77777777" w:rsidR="00610CE7" w:rsidRPr="00610CE7" w:rsidRDefault="00610CE7" w:rsidP="00610CE7">
      <w:pPr>
        <w:tabs>
          <w:tab w:val="left" w:pos="851"/>
        </w:tabs>
        <w:ind w:left="851"/>
        <w:rPr>
          <w:sz w:val="24"/>
          <w:szCs w:val="24"/>
        </w:rPr>
      </w:pPr>
      <w:r w:rsidRPr="00610CE7">
        <w:rPr>
          <w:sz w:val="24"/>
          <w:szCs w:val="24"/>
        </w:rPr>
        <w:t xml:space="preserve">Der er ingen kendt </w:t>
      </w:r>
      <w:proofErr w:type="spellStart"/>
      <w:r w:rsidRPr="00610CE7">
        <w:rPr>
          <w:sz w:val="24"/>
          <w:szCs w:val="24"/>
        </w:rPr>
        <w:t>antidot</w:t>
      </w:r>
      <w:proofErr w:type="spellEnd"/>
      <w:r w:rsidRPr="00610CE7">
        <w:rPr>
          <w:sz w:val="24"/>
          <w:szCs w:val="24"/>
        </w:rPr>
        <w:t xml:space="preserve"> ved overdosering af </w:t>
      </w:r>
      <w:proofErr w:type="spellStart"/>
      <w:r w:rsidRPr="00610CE7">
        <w:rPr>
          <w:sz w:val="24"/>
          <w:szCs w:val="24"/>
        </w:rPr>
        <w:t>carboplatin</w:t>
      </w:r>
      <w:proofErr w:type="spellEnd"/>
      <w:r w:rsidRPr="00610CE7">
        <w:rPr>
          <w:sz w:val="24"/>
          <w:szCs w:val="24"/>
        </w:rPr>
        <w:t xml:space="preserve">. De forventede komplikationer i forbindelse med overdosering er relateret til </w:t>
      </w:r>
      <w:proofErr w:type="spellStart"/>
      <w:r w:rsidRPr="00610CE7">
        <w:rPr>
          <w:sz w:val="24"/>
          <w:szCs w:val="24"/>
        </w:rPr>
        <w:t>myelosuppression</w:t>
      </w:r>
      <w:proofErr w:type="spellEnd"/>
      <w:r w:rsidRPr="00610CE7">
        <w:rPr>
          <w:sz w:val="24"/>
          <w:szCs w:val="24"/>
        </w:rPr>
        <w:t xml:space="preserve"> samt nedsat lever- og nyrefunktion samt nedsat hørelse. Knoglemarvstransplantation og transfusioner (</w:t>
      </w:r>
      <w:proofErr w:type="spellStart"/>
      <w:r w:rsidRPr="00610CE7">
        <w:rPr>
          <w:sz w:val="24"/>
          <w:szCs w:val="24"/>
        </w:rPr>
        <w:t>trombocytter</w:t>
      </w:r>
      <w:proofErr w:type="spellEnd"/>
      <w:r w:rsidRPr="00610CE7">
        <w:rPr>
          <w:sz w:val="24"/>
          <w:szCs w:val="24"/>
        </w:rPr>
        <w:t>, blod) kan være effektive foranstaltninger i forbindelse med uønskede hæmatologiske virkninger.</w:t>
      </w:r>
    </w:p>
    <w:p w14:paraId="63CD1D9A" w14:textId="77777777" w:rsidR="009260DE" w:rsidRPr="00BF022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F58F0F" w14:textId="77777777" w:rsidR="009260DE" w:rsidRPr="00BF022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4.10</w:t>
      </w:r>
      <w:r w:rsidRPr="00BF022F">
        <w:rPr>
          <w:b/>
          <w:sz w:val="24"/>
          <w:szCs w:val="24"/>
        </w:rPr>
        <w:tab/>
        <w:t>Udlevering</w:t>
      </w:r>
    </w:p>
    <w:p w14:paraId="3D7E24CA" w14:textId="2A1ED721" w:rsidR="009260DE" w:rsidRPr="00BF022F" w:rsidRDefault="002F320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B563A44" w14:textId="77777777" w:rsidR="009260DE" w:rsidRPr="00BF022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061739" w14:textId="77777777" w:rsidR="009260DE" w:rsidRPr="00BF022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B5BB59" w14:textId="77777777" w:rsidR="009260DE" w:rsidRPr="00BF022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5.</w:t>
      </w:r>
      <w:r w:rsidRPr="00BF022F">
        <w:rPr>
          <w:b/>
          <w:sz w:val="24"/>
          <w:szCs w:val="24"/>
        </w:rPr>
        <w:tab/>
        <w:t>FARMAKOLOGISKE EGENSKABER</w:t>
      </w:r>
    </w:p>
    <w:p w14:paraId="20E136C7" w14:textId="77777777" w:rsidR="009260DE" w:rsidRPr="00BF022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FF23EA" w14:textId="77777777" w:rsidR="009260DE" w:rsidRPr="00BF022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5.1</w:t>
      </w:r>
      <w:r w:rsidRPr="00BF022F">
        <w:rPr>
          <w:b/>
          <w:sz w:val="24"/>
          <w:szCs w:val="24"/>
        </w:rPr>
        <w:tab/>
      </w:r>
      <w:proofErr w:type="spellStart"/>
      <w:r w:rsidRPr="00BF022F">
        <w:rPr>
          <w:b/>
          <w:sz w:val="24"/>
          <w:szCs w:val="24"/>
        </w:rPr>
        <w:t>Farmakodynamiske</w:t>
      </w:r>
      <w:proofErr w:type="spellEnd"/>
      <w:r w:rsidRPr="00BF022F">
        <w:rPr>
          <w:b/>
          <w:sz w:val="24"/>
          <w:szCs w:val="24"/>
        </w:rPr>
        <w:t xml:space="preserve"> egenskaber</w:t>
      </w:r>
    </w:p>
    <w:p w14:paraId="385FAFEA" w14:textId="087A12BE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A10BF">
        <w:rPr>
          <w:sz w:val="24"/>
          <w:szCs w:val="24"/>
        </w:rPr>
        <w:t>Farmakoterapeutisk</w:t>
      </w:r>
      <w:proofErr w:type="spellEnd"/>
      <w:r w:rsidRPr="00FA10BF">
        <w:rPr>
          <w:sz w:val="24"/>
          <w:szCs w:val="24"/>
        </w:rPr>
        <w:t xml:space="preserve"> klassifikation: Platinforbindelser</w:t>
      </w:r>
      <w:r>
        <w:rPr>
          <w:sz w:val="24"/>
          <w:szCs w:val="24"/>
        </w:rPr>
        <w:t>,</w:t>
      </w:r>
      <w:r w:rsidRPr="00FA10BF">
        <w:rPr>
          <w:sz w:val="24"/>
          <w:szCs w:val="24"/>
        </w:rPr>
        <w:t xml:space="preserve"> ATC-kode: L01XA02.</w:t>
      </w:r>
    </w:p>
    <w:p w14:paraId="7C07D414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</w:p>
    <w:p w14:paraId="535FF455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A10BF">
        <w:rPr>
          <w:sz w:val="24"/>
          <w:szCs w:val="24"/>
          <w:u w:val="single"/>
        </w:rPr>
        <w:t>Virkningsmekanisme</w:t>
      </w:r>
    </w:p>
    <w:p w14:paraId="19C2300D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A10BF">
        <w:rPr>
          <w:sz w:val="24"/>
          <w:szCs w:val="24"/>
        </w:rPr>
        <w:t>Carboplatin</w:t>
      </w:r>
      <w:proofErr w:type="spellEnd"/>
      <w:r w:rsidRPr="00FA10BF">
        <w:rPr>
          <w:sz w:val="24"/>
          <w:szCs w:val="24"/>
        </w:rPr>
        <w:t xml:space="preserve"> er et </w:t>
      </w:r>
      <w:proofErr w:type="spellStart"/>
      <w:r w:rsidRPr="00FA10BF">
        <w:rPr>
          <w:sz w:val="24"/>
          <w:szCs w:val="24"/>
        </w:rPr>
        <w:t>antineoplastisk</w:t>
      </w:r>
      <w:proofErr w:type="spellEnd"/>
      <w:r w:rsidRPr="00FA10BF">
        <w:rPr>
          <w:sz w:val="24"/>
          <w:szCs w:val="24"/>
        </w:rPr>
        <w:t xml:space="preserve"> stof. Stoffets aktivitet er blevet påvist på baggrund af flere </w:t>
      </w:r>
      <w:proofErr w:type="spellStart"/>
      <w:r w:rsidRPr="00FA10BF">
        <w:rPr>
          <w:sz w:val="24"/>
          <w:szCs w:val="24"/>
        </w:rPr>
        <w:t>murine</w:t>
      </w:r>
      <w:proofErr w:type="spellEnd"/>
      <w:r w:rsidRPr="00FA10BF">
        <w:rPr>
          <w:sz w:val="24"/>
          <w:szCs w:val="24"/>
        </w:rPr>
        <w:t xml:space="preserve"> og humane cellelinjer.</w:t>
      </w:r>
    </w:p>
    <w:p w14:paraId="49BA2DE0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</w:p>
    <w:p w14:paraId="067ECB56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FA10BF">
        <w:rPr>
          <w:sz w:val="24"/>
          <w:szCs w:val="24"/>
          <w:u w:val="single"/>
        </w:rPr>
        <w:t>Farmakodynamisk</w:t>
      </w:r>
      <w:proofErr w:type="spellEnd"/>
      <w:r w:rsidRPr="00FA10BF">
        <w:rPr>
          <w:sz w:val="24"/>
          <w:szCs w:val="24"/>
          <w:u w:val="single"/>
        </w:rPr>
        <w:t xml:space="preserve"> virkning</w:t>
      </w:r>
    </w:p>
    <w:p w14:paraId="6A6382AB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A10BF">
        <w:rPr>
          <w:sz w:val="24"/>
          <w:szCs w:val="24"/>
        </w:rPr>
        <w:t>Carboplatin</w:t>
      </w:r>
      <w:proofErr w:type="spellEnd"/>
      <w:r w:rsidRPr="00FA10BF">
        <w:rPr>
          <w:sz w:val="24"/>
          <w:szCs w:val="24"/>
        </w:rPr>
        <w:t xml:space="preserve"> har biokemiske egenskaber, der ligner </w:t>
      </w:r>
      <w:proofErr w:type="spellStart"/>
      <w:r w:rsidRPr="00FA10BF">
        <w:rPr>
          <w:sz w:val="24"/>
          <w:szCs w:val="24"/>
        </w:rPr>
        <w:t>cisplatins</w:t>
      </w:r>
      <w:proofErr w:type="spellEnd"/>
      <w:r w:rsidRPr="00FA10BF">
        <w:rPr>
          <w:sz w:val="24"/>
          <w:szCs w:val="24"/>
        </w:rPr>
        <w:t xml:space="preserve"> biokemiske egenskaber, og medfører derfor overvejende dannelse af tværforbindelser mellem eller inden i dna-strengene ("</w:t>
      </w:r>
      <w:proofErr w:type="spellStart"/>
      <w:r w:rsidRPr="00FA10BF">
        <w:rPr>
          <w:sz w:val="24"/>
          <w:szCs w:val="24"/>
        </w:rPr>
        <w:t>interstrand</w:t>
      </w:r>
      <w:proofErr w:type="spellEnd"/>
      <w:r w:rsidRPr="00FA10BF">
        <w:rPr>
          <w:sz w:val="24"/>
          <w:szCs w:val="24"/>
        </w:rPr>
        <w:t xml:space="preserve">" eller "intrastrand" "dna-crosslinks"). </w:t>
      </w:r>
      <w:proofErr w:type="spellStart"/>
      <w:r w:rsidRPr="00FA10BF">
        <w:rPr>
          <w:sz w:val="24"/>
          <w:szCs w:val="24"/>
        </w:rPr>
        <w:t>Carboplatin</w:t>
      </w:r>
      <w:proofErr w:type="spellEnd"/>
      <w:r w:rsidRPr="00FA10BF">
        <w:rPr>
          <w:sz w:val="24"/>
          <w:szCs w:val="24"/>
        </w:rPr>
        <w:t xml:space="preserve"> viste en aktivitet, der lignede </w:t>
      </w:r>
      <w:proofErr w:type="spellStart"/>
      <w:r w:rsidRPr="00FA10BF">
        <w:rPr>
          <w:sz w:val="24"/>
          <w:szCs w:val="24"/>
        </w:rPr>
        <w:t>cisplatins</w:t>
      </w:r>
      <w:proofErr w:type="spellEnd"/>
      <w:r w:rsidRPr="00FA10BF">
        <w:rPr>
          <w:sz w:val="24"/>
          <w:szCs w:val="24"/>
        </w:rPr>
        <w:t xml:space="preserve"> aktivitet, over for en lang række tumorer uanset implantatstedet. I forsøg med alkalisk </w:t>
      </w:r>
      <w:proofErr w:type="spellStart"/>
      <w:r w:rsidRPr="00FA10BF">
        <w:rPr>
          <w:sz w:val="24"/>
          <w:szCs w:val="24"/>
        </w:rPr>
        <w:t>elueringsteknik</w:t>
      </w:r>
      <w:proofErr w:type="spellEnd"/>
      <w:r w:rsidRPr="00FA10BF">
        <w:rPr>
          <w:sz w:val="24"/>
          <w:szCs w:val="24"/>
        </w:rPr>
        <w:t xml:space="preserve"> og dna-bindinger er det påvist, at </w:t>
      </w:r>
      <w:proofErr w:type="spellStart"/>
      <w:r w:rsidRPr="00FA10BF">
        <w:rPr>
          <w:sz w:val="24"/>
          <w:szCs w:val="24"/>
        </w:rPr>
        <w:t>carboplatin</w:t>
      </w:r>
      <w:proofErr w:type="spellEnd"/>
      <w:r w:rsidRPr="00FA10BF">
        <w:rPr>
          <w:sz w:val="24"/>
          <w:szCs w:val="24"/>
        </w:rPr>
        <w:t xml:space="preserve"> og </w:t>
      </w:r>
      <w:proofErr w:type="spellStart"/>
      <w:r w:rsidRPr="00FA10BF">
        <w:rPr>
          <w:sz w:val="24"/>
          <w:szCs w:val="24"/>
        </w:rPr>
        <w:t>cisplatin</w:t>
      </w:r>
      <w:proofErr w:type="spellEnd"/>
      <w:r w:rsidRPr="00FA10BF">
        <w:rPr>
          <w:sz w:val="24"/>
          <w:szCs w:val="24"/>
        </w:rPr>
        <w:t xml:space="preserve"> har kvalitativt ens virkningsmåder. I lighed med </w:t>
      </w:r>
      <w:proofErr w:type="spellStart"/>
      <w:r w:rsidRPr="00FA10BF">
        <w:rPr>
          <w:sz w:val="24"/>
          <w:szCs w:val="24"/>
        </w:rPr>
        <w:t>cisplatin</w:t>
      </w:r>
      <w:proofErr w:type="spellEnd"/>
      <w:r w:rsidRPr="00FA10BF">
        <w:rPr>
          <w:sz w:val="24"/>
          <w:szCs w:val="24"/>
        </w:rPr>
        <w:t xml:space="preserve"> inducerer </w:t>
      </w:r>
      <w:proofErr w:type="spellStart"/>
      <w:r w:rsidRPr="00FA10BF">
        <w:rPr>
          <w:sz w:val="24"/>
          <w:szCs w:val="24"/>
        </w:rPr>
        <w:t>carboplatin</w:t>
      </w:r>
      <w:proofErr w:type="spellEnd"/>
      <w:r w:rsidRPr="00FA10BF">
        <w:rPr>
          <w:sz w:val="24"/>
          <w:szCs w:val="24"/>
        </w:rPr>
        <w:t xml:space="preserve"> ændringer i dna'ets </w:t>
      </w:r>
      <w:proofErr w:type="spellStart"/>
      <w:r w:rsidRPr="00FA10BF">
        <w:rPr>
          <w:sz w:val="24"/>
          <w:szCs w:val="24"/>
        </w:rPr>
        <w:t>supercoil</w:t>
      </w:r>
      <w:proofErr w:type="spellEnd"/>
      <w:r w:rsidRPr="00FA10BF">
        <w:rPr>
          <w:sz w:val="24"/>
          <w:szCs w:val="24"/>
        </w:rPr>
        <w:t>-form, som er konsistent med en "dna-forkortende effekt".</w:t>
      </w:r>
    </w:p>
    <w:p w14:paraId="0698CBF1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</w:p>
    <w:p w14:paraId="2ED48CA8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A10BF">
        <w:rPr>
          <w:sz w:val="24"/>
          <w:szCs w:val="24"/>
          <w:u w:val="single"/>
        </w:rPr>
        <w:t>Pædiatrisk population</w:t>
      </w:r>
    </w:p>
    <w:p w14:paraId="3EE7304A" w14:textId="77777777" w:rsidR="00FA10BF" w:rsidRPr="00FA10BF" w:rsidRDefault="00FA10BF" w:rsidP="00FA10BF">
      <w:pPr>
        <w:tabs>
          <w:tab w:val="left" w:pos="851"/>
        </w:tabs>
        <w:ind w:left="851"/>
        <w:rPr>
          <w:sz w:val="24"/>
          <w:szCs w:val="24"/>
        </w:rPr>
      </w:pPr>
      <w:r w:rsidRPr="00FA10BF">
        <w:rPr>
          <w:sz w:val="24"/>
          <w:szCs w:val="24"/>
        </w:rPr>
        <w:t>Sikkerhed og virkning hos børn er ikke klarlagt.</w:t>
      </w:r>
    </w:p>
    <w:p w14:paraId="1CFFD697" w14:textId="77777777" w:rsidR="00FA10BF" w:rsidRPr="00BF022F" w:rsidRDefault="00FA10BF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1276DA" w14:textId="77777777" w:rsidR="009260DE" w:rsidRPr="00BF022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5.2</w:t>
      </w:r>
      <w:r w:rsidRPr="00BF022F">
        <w:rPr>
          <w:b/>
          <w:sz w:val="24"/>
          <w:szCs w:val="24"/>
        </w:rPr>
        <w:tab/>
      </w:r>
      <w:proofErr w:type="spellStart"/>
      <w:r w:rsidRPr="00BF022F">
        <w:rPr>
          <w:b/>
          <w:sz w:val="24"/>
          <w:szCs w:val="24"/>
        </w:rPr>
        <w:t>Farmakokinetiske</w:t>
      </w:r>
      <w:proofErr w:type="spellEnd"/>
      <w:r w:rsidRPr="00BF022F">
        <w:rPr>
          <w:b/>
          <w:sz w:val="24"/>
          <w:szCs w:val="24"/>
        </w:rPr>
        <w:t xml:space="preserve"> egenskaber</w:t>
      </w:r>
    </w:p>
    <w:p w14:paraId="400B5483" w14:textId="77777777" w:rsidR="007129C6" w:rsidRPr="007129C6" w:rsidRDefault="007129C6" w:rsidP="007129C6">
      <w:pPr>
        <w:tabs>
          <w:tab w:val="left" w:pos="851"/>
        </w:tabs>
        <w:ind w:left="851"/>
        <w:rPr>
          <w:sz w:val="24"/>
          <w:szCs w:val="24"/>
        </w:rPr>
      </w:pPr>
    </w:p>
    <w:p w14:paraId="3D9D63BC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t>Fordeling</w:t>
      </w:r>
    </w:p>
    <w:p w14:paraId="5A0801B5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Gentagen dosering i fire på hinanden følgende dage resulterede ikke i en akkumulering af platin i plasma.</w:t>
      </w:r>
    </w:p>
    <w:p w14:paraId="3EE15FAF" w14:textId="59436EF4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Efter en 1-times infusion (20</w:t>
      </w:r>
      <w:r w:rsidRPr="00B63CD0">
        <w:rPr>
          <w:sz w:val="24"/>
          <w:szCs w:val="24"/>
        </w:rPr>
        <w:noBreakHyphen/>
        <w:t xml:space="preserve">520 mg/m²) falder plasmaniveauerne af totalt platin og frit (ultrafiltrerbart) platin </w:t>
      </w:r>
      <w:proofErr w:type="spellStart"/>
      <w:r w:rsidRPr="00B63CD0">
        <w:rPr>
          <w:sz w:val="24"/>
          <w:szCs w:val="24"/>
        </w:rPr>
        <w:t>bifasisk</w:t>
      </w:r>
      <w:proofErr w:type="spellEnd"/>
      <w:r w:rsidRPr="00B63CD0">
        <w:rPr>
          <w:sz w:val="24"/>
          <w:szCs w:val="24"/>
        </w:rPr>
        <w:t xml:space="preserve"> efter førsteordenskinetik. </w:t>
      </w:r>
    </w:p>
    <w:p w14:paraId="6720A1A7" w14:textId="0DA8EB54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For frit platin er halveringstiden i den initiale fase (t alfa) ca. 90 minutter og halveringstiden i den senere fase (t beta) ca. 6 timer.</w:t>
      </w:r>
    </w:p>
    <w:p w14:paraId="69E66D2A" w14:textId="6F469C7D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Alt det frie platin findes i form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i de første 4 timer efter administration.</w:t>
      </w:r>
    </w:p>
    <w:p w14:paraId="47F6DADE" w14:textId="1ACB9FCA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Proteinbinding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når ca. 87 % inden for 24 timer efter administration, men i løbet af de første 4 timer er det dog kun 29 % af dosen, der er proteinbundet.</w:t>
      </w:r>
    </w:p>
    <w:p w14:paraId="64376517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</w:p>
    <w:p w14:paraId="3C2E1985" w14:textId="77777777" w:rsidR="001118CD" w:rsidRPr="00B63CD0" w:rsidRDefault="001118CD" w:rsidP="001118CD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B63CD0">
        <w:rPr>
          <w:sz w:val="24"/>
          <w:szCs w:val="24"/>
          <w:u w:val="single"/>
        </w:rPr>
        <w:lastRenderedPageBreak/>
        <w:t>Elimination</w:t>
      </w:r>
    </w:p>
    <w:p w14:paraId="4F95C7F3" w14:textId="10BDD70D" w:rsidR="001118CD" w:rsidRPr="00B63CD0" w:rsidRDefault="001118CD" w:rsidP="001118CD">
      <w:pPr>
        <w:keepNext/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udskilles primært i urinen med en genfinding af ca. 70 % af </w:t>
      </w:r>
      <w:proofErr w:type="gramStart"/>
      <w:r w:rsidRPr="00B63CD0">
        <w:rPr>
          <w:sz w:val="24"/>
          <w:szCs w:val="24"/>
        </w:rPr>
        <w:t>den administrerede platin</w:t>
      </w:r>
      <w:proofErr w:type="gramEnd"/>
      <w:r w:rsidRPr="00B63CD0">
        <w:rPr>
          <w:sz w:val="24"/>
          <w:szCs w:val="24"/>
        </w:rPr>
        <w:t xml:space="preserve"> inden for 24 timer. Størstedelen af stoffet udskilles i de første 6 timer. Ca. 32 % af en given dosis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udskilles uforandret.</w:t>
      </w:r>
    </w:p>
    <w:p w14:paraId="40249DCD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Den totale krops- og </w:t>
      </w:r>
      <w:proofErr w:type="spellStart"/>
      <w:r w:rsidRPr="00B63CD0">
        <w:rPr>
          <w:sz w:val="24"/>
          <w:szCs w:val="24"/>
        </w:rPr>
        <w:t>nyreclearance</w:t>
      </w:r>
      <w:proofErr w:type="spellEnd"/>
      <w:r w:rsidRPr="00B63CD0">
        <w:rPr>
          <w:sz w:val="24"/>
          <w:szCs w:val="24"/>
        </w:rPr>
        <w:t xml:space="preserve"> af frit ultrafiltrerbart platin korrelerer med den </w:t>
      </w:r>
      <w:proofErr w:type="spellStart"/>
      <w:r w:rsidRPr="00B63CD0">
        <w:rPr>
          <w:sz w:val="24"/>
          <w:szCs w:val="24"/>
        </w:rPr>
        <w:t>glomerulære</w:t>
      </w:r>
      <w:proofErr w:type="spellEnd"/>
      <w:r w:rsidRPr="00B63CD0">
        <w:rPr>
          <w:sz w:val="24"/>
          <w:szCs w:val="24"/>
        </w:rPr>
        <w:t xml:space="preserve"> filtrationsrate, men ikke med den </w:t>
      </w:r>
      <w:proofErr w:type="spellStart"/>
      <w:r w:rsidRPr="00B63CD0">
        <w:rPr>
          <w:sz w:val="24"/>
          <w:szCs w:val="24"/>
        </w:rPr>
        <w:t>tubulære</w:t>
      </w:r>
      <w:proofErr w:type="spellEnd"/>
      <w:r w:rsidRPr="00B63CD0">
        <w:rPr>
          <w:sz w:val="24"/>
          <w:szCs w:val="24"/>
        </w:rPr>
        <w:t xml:space="preserve"> sekretion.</w:t>
      </w:r>
    </w:p>
    <w:p w14:paraId="57C6AA39" w14:textId="77777777" w:rsidR="001118CD" w:rsidRPr="00B63CD0" w:rsidRDefault="001118CD" w:rsidP="001118CD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14:paraId="7B7D23FF" w14:textId="77777777" w:rsidR="001118CD" w:rsidRPr="001118CD" w:rsidRDefault="001118CD" w:rsidP="001118CD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118CD">
        <w:rPr>
          <w:sz w:val="24"/>
          <w:szCs w:val="24"/>
          <w:u w:val="single"/>
        </w:rPr>
        <w:t>Nedsat nyrefunktion</w:t>
      </w:r>
    </w:p>
    <w:p w14:paraId="0ADADEEF" w14:textId="77777777" w:rsidR="001118CD" w:rsidRPr="001118CD" w:rsidRDefault="001118CD" w:rsidP="001118CD">
      <w:pPr>
        <w:keepNext/>
        <w:tabs>
          <w:tab w:val="left" w:pos="851"/>
        </w:tabs>
        <w:ind w:left="851"/>
        <w:rPr>
          <w:sz w:val="24"/>
          <w:szCs w:val="24"/>
        </w:rPr>
      </w:pPr>
      <w:r w:rsidRPr="001118CD">
        <w:rPr>
          <w:sz w:val="24"/>
          <w:szCs w:val="24"/>
        </w:rPr>
        <w:t xml:space="preserve">Patienter med dårlig nyrefunktion kan have behov for dosisjustering på grund af </w:t>
      </w:r>
      <w:proofErr w:type="spellStart"/>
      <w:r w:rsidRPr="001118CD">
        <w:rPr>
          <w:sz w:val="24"/>
          <w:szCs w:val="24"/>
        </w:rPr>
        <w:t>carboplatins</w:t>
      </w:r>
      <w:proofErr w:type="spellEnd"/>
      <w:r w:rsidRPr="001118CD">
        <w:rPr>
          <w:sz w:val="24"/>
          <w:szCs w:val="24"/>
        </w:rPr>
        <w:t xml:space="preserve"> ændrede farmakokinetik.</w:t>
      </w:r>
    </w:p>
    <w:p w14:paraId="09A71C84" w14:textId="77777777" w:rsidR="001118CD" w:rsidRPr="00B63CD0" w:rsidRDefault="001118CD" w:rsidP="001118CD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14:paraId="6AFDB570" w14:textId="77777777" w:rsidR="001118CD" w:rsidRPr="00B63CD0" w:rsidRDefault="001118CD" w:rsidP="001118CD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B63CD0">
        <w:rPr>
          <w:bCs/>
          <w:sz w:val="24"/>
          <w:szCs w:val="24"/>
          <w:u w:val="single"/>
        </w:rPr>
        <w:t>Linearitet/non-linearitet</w:t>
      </w:r>
    </w:p>
    <w:p w14:paraId="22268073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Efter administration af </w:t>
      </w:r>
      <w:proofErr w:type="spellStart"/>
      <w:r w:rsidRPr="00B63CD0">
        <w:rPr>
          <w:sz w:val="24"/>
          <w:szCs w:val="24"/>
        </w:rPr>
        <w:t>carboplatin</w:t>
      </w:r>
      <w:proofErr w:type="spellEnd"/>
      <w:r w:rsidRPr="00B63CD0">
        <w:rPr>
          <w:sz w:val="24"/>
          <w:szCs w:val="24"/>
        </w:rPr>
        <w:t xml:space="preserve"> hos mennesker er der lineære forhold mellem dosis og plasmakoncentrationer af totalt og frit ultrafiltrerbart platin.</w:t>
      </w:r>
    </w:p>
    <w:p w14:paraId="3A1A91DF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</w:p>
    <w:p w14:paraId="285AE68A" w14:textId="77777777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Arealet under plasmakoncentrationskurven over for tidskurven for totalt platin viser også et lineært forhold til dosen, når </w:t>
      </w:r>
      <w:proofErr w:type="spellStart"/>
      <w:r w:rsidRPr="00B63CD0">
        <w:rPr>
          <w:sz w:val="24"/>
          <w:szCs w:val="24"/>
        </w:rPr>
        <w:t>kreatininclearancen</w:t>
      </w:r>
      <w:proofErr w:type="spellEnd"/>
      <w:r w:rsidRPr="00B63CD0">
        <w:rPr>
          <w:sz w:val="24"/>
          <w:szCs w:val="24"/>
        </w:rPr>
        <w:t xml:space="preserve"> er ≥ 60 ml/min.</w:t>
      </w:r>
    </w:p>
    <w:p w14:paraId="424AFD65" w14:textId="77777777" w:rsidR="001118CD" w:rsidRPr="00B63CD0" w:rsidRDefault="001118CD" w:rsidP="001118CD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51E7ED8C" w14:textId="77777777" w:rsidR="001118CD" w:rsidRPr="00B63CD0" w:rsidRDefault="001118CD" w:rsidP="001118CD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B63CD0">
        <w:rPr>
          <w:bCs/>
          <w:sz w:val="24"/>
          <w:szCs w:val="24"/>
          <w:u w:val="single"/>
        </w:rPr>
        <w:t>Pædiatrisk population</w:t>
      </w:r>
    </w:p>
    <w:p w14:paraId="4990F63D" w14:textId="77777777" w:rsidR="001118CD" w:rsidRPr="00B63CD0" w:rsidRDefault="001118CD" w:rsidP="001118CD">
      <w:pPr>
        <w:tabs>
          <w:tab w:val="left" w:pos="851"/>
        </w:tabs>
        <w:ind w:left="851"/>
        <w:rPr>
          <w:bCs/>
          <w:sz w:val="24"/>
          <w:szCs w:val="24"/>
        </w:rPr>
      </w:pPr>
      <w:r w:rsidRPr="00B63CD0">
        <w:rPr>
          <w:bCs/>
          <w:sz w:val="24"/>
          <w:szCs w:val="24"/>
        </w:rPr>
        <w:t xml:space="preserve">Det er rapporteret, at </w:t>
      </w:r>
      <w:proofErr w:type="spellStart"/>
      <w:r w:rsidRPr="00B63CD0">
        <w:rPr>
          <w:bCs/>
          <w:sz w:val="24"/>
          <w:szCs w:val="24"/>
        </w:rPr>
        <w:t>carboplatin-clearance</w:t>
      </w:r>
      <w:proofErr w:type="spellEnd"/>
      <w:r w:rsidRPr="00B63CD0">
        <w:rPr>
          <w:bCs/>
          <w:sz w:val="24"/>
          <w:szCs w:val="24"/>
        </w:rPr>
        <w:t xml:space="preserve"> varierer 3</w:t>
      </w:r>
      <w:r w:rsidRPr="00B63CD0">
        <w:rPr>
          <w:bCs/>
          <w:sz w:val="24"/>
          <w:szCs w:val="24"/>
        </w:rPr>
        <w:noBreakHyphen/>
        <w:t xml:space="preserve"> til 4</w:t>
      </w:r>
      <w:r w:rsidRPr="00B63CD0">
        <w:rPr>
          <w:bCs/>
          <w:sz w:val="24"/>
          <w:szCs w:val="24"/>
        </w:rPr>
        <w:noBreakHyphen/>
        <w:t xml:space="preserve">foldigt ved pædiatriske patienter. Hvad angår voksne patienter synes litteraturen at pege på, at nyrefunktion kan bidrage til variationen i </w:t>
      </w:r>
      <w:proofErr w:type="spellStart"/>
      <w:r w:rsidRPr="00B63CD0">
        <w:rPr>
          <w:bCs/>
          <w:sz w:val="24"/>
          <w:szCs w:val="24"/>
        </w:rPr>
        <w:t>carboplatin-clearance</w:t>
      </w:r>
      <w:proofErr w:type="spellEnd"/>
      <w:r w:rsidRPr="00B63CD0">
        <w:rPr>
          <w:bCs/>
          <w:sz w:val="24"/>
          <w:szCs w:val="24"/>
        </w:rPr>
        <w:t>.</w:t>
      </w:r>
    </w:p>
    <w:p w14:paraId="6CD07F2C" w14:textId="77777777" w:rsidR="007129C6" w:rsidRPr="00BF022F" w:rsidRDefault="007129C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5016CC" w14:textId="77777777" w:rsidR="009260DE" w:rsidRPr="00BF022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022F">
        <w:rPr>
          <w:b/>
          <w:sz w:val="24"/>
          <w:szCs w:val="24"/>
        </w:rPr>
        <w:t>5.3</w:t>
      </w:r>
      <w:r w:rsidRPr="00BF022F">
        <w:rPr>
          <w:b/>
          <w:sz w:val="24"/>
          <w:szCs w:val="24"/>
        </w:rPr>
        <w:tab/>
      </w:r>
      <w:r w:rsidR="00BD7931" w:rsidRPr="00BF022F">
        <w:rPr>
          <w:b/>
          <w:sz w:val="24"/>
          <w:szCs w:val="24"/>
        </w:rPr>
        <w:t>Non-</w:t>
      </w:r>
      <w:r w:rsidRPr="00BF022F">
        <w:rPr>
          <w:b/>
          <w:sz w:val="24"/>
          <w:szCs w:val="24"/>
        </w:rPr>
        <w:t>kliniske sikkerhedsdata</w:t>
      </w:r>
    </w:p>
    <w:p w14:paraId="2D2D6634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06817">
        <w:rPr>
          <w:sz w:val="24"/>
          <w:szCs w:val="24"/>
        </w:rPr>
        <w:t>Carboplatin</w:t>
      </w:r>
      <w:proofErr w:type="spellEnd"/>
      <w:r w:rsidRPr="00906817">
        <w:rPr>
          <w:sz w:val="24"/>
          <w:szCs w:val="24"/>
        </w:rPr>
        <w:t xml:space="preserve"> har vist sig at være embryotoksisk og </w:t>
      </w:r>
      <w:proofErr w:type="spellStart"/>
      <w:r w:rsidRPr="00906817">
        <w:rPr>
          <w:sz w:val="24"/>
          <w:szCs w:val="24"/>
        </w:rPr>
        <w:t>teratogent</w:t>
      </w:r>
      <w:proofErr w:type="spellEnd"/>
      <w:r w:rsidRPr="00906817">
        <w:rPr>
          <w:sz w:val="24"/>
          <w:szCs w:val="24"/>
        </w:rPr>
        <w:t xml:space="preserve"> hos rotter (se pkt. 4.6). Det er mutagent </w:t>
      </w:r>
      <w:r w:rsidRPr="00906817">
        <w:rPr>
          <w:i/>
          <w:iCs/>
          <w:sz w:val="24"/>
          <w:szCs w:val="24"/>
        </w:rPr>
        <w:t xml:space="preserve">in </w:t>
      </w:r>
      <w:proofErr w:type="spellStart"/>
      <w:r w:rsidRPr="00906817">
        <w:rPr>
          <w:i/>
          <w:iCs/>
          <w:sz w:val="24"/>
          <w:szCs w:val="24"/>
        </w:rPr>
        <w:t>vivo</w:t>
      </w:r>
      <w:proofErr w:type="spellEnd"/>
      <w:r w:rsidRPr="00906817">
        <w:rPr>
          <w:sz w:val="24"/>
          <w:szCs w:val="24"/>
        </w:rPr>
        <w:t xml:space="preserve"> og </w:t>
      </w:r>
      <w:r w:rsidRPr="00906817">
        <w:rPr>
          <w:i/>
          <w:iCs/>
          <w:sz w:val="24"/>
          <w:szCs w:val="24"/>
        </w:rPr>
        <w:t xml:space="preserve">in </w:t>
      </w:r>
      <w:proofErr w:type="spellStart"/>
      <w:r w:rsidRPr="00906817">
        <w:rPr>
          <w:i/>
          <w:iCs/>
          <w:sz w:val="24"/>
          <w:szCs w:val="24"/>
        </w:rPr>
        <w:t>vitro</w:t>
      </w:r>
      <w:proofErr w:type="spellEnd"/>
      <w:r w:rsidRPr="00906817">
        <w:rPr>
          <w:sz w:val="24"/>
          <w:szCs w:val="24"/>
        </w:rPr>
        <w:t xml:space="preserve">, og selv om </w:t>
      </w:r>
      <w:proofErr w:type="spellStart"/>
      <w:r w:rsidRPr="00906817">
        <w:rPr>
          <w:sz w:val="24"/>
          <w:szCs w:val="24"/>
        </w:rPr>
        <w:t>carboplatins</w:t>
      </w:r>
      <w:proofErr w:type="spellEnd"/>
      <w:r w:rsidRPr="00906817">
        <w:rPr>
          <w:sz w:val="24"/>
          <w:szCs w:val="24"/>
        </w:rPr>
        <w:t xml:space="preserve"> </w:t>
      </w:r>
      <w:proofErr w:type="spellStart"/>
      <w:r w:rsidRPr="00906817">
        <w:rPr>
          <w:sz w:val="24"/>
          <w:szCs w:val="24"/>
        </w:rPr>
        <w:t>karcinogenicitet</w:t>
      </w:r>
      <w:proofErr w:type="spellEnd"/>
      <w:r w:rsidRPr="00906817">
        <w:rPr>
          <w:sz w:val="24"/>
          <w:szCs w:val="24"/>
        </w:rPr>
        <w:t xml:space="preserve"> ikke er blevet undersøgt, er forbindelser med lignende virkningsmekanismer og </w:t>
      </w:r>
      <w:proofErr w:type="spellStart"/>
      <w:r w:rsidRPr="00906817">
        <w:rPr>
          <w:sz w:val="24"/>
          <w:szCs w:val="24"/>
        </w:rPr>
        <w:t>mutagenicitet</w:t>
      </w:r>
      <w:proofErr w:type="spellEnd"/>
      <w:r w:rsidRPr="00906817">
        <w:rPr>
          <w:sz w:val="24"/>
          <w:szCs w:val="24"/>
        </w:rPr>
        <w:t xml:space="preserve"> rapporteret som værende </w:t>
      </w:r>
      <w:proofErr w:type="spellStart"/>
      <w:r w:rsidRPr="00906817">
        <w:rPr>
          <w:sz w:val="24"/>
          <w:szCs w:val="24"/>
        </w:rPr>
        <w:t>karcinogene</w:t>
      </w:r>
      <w:proofErr w:type="spellEnd"/>
      <w:r w:rsidRPr="00906817">
        <w:rPr>
          <w:sz w:val="24"/>
          <w:szCs w:val="24"/>
        </w:rPr>
        <w:t>.</w:t>
      </w:r>
    </w:p>
    <w:p w14:paraId="09E826C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24DDB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5A702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1F8D4443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808BBF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0CADE5C0" w14:textId="77777777" w:rsidR="00906817" w:rsidRPr="00906817" w:rsidRDefault="00906817" w:rsidP="00906817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06817">
        <w:rPr>
          <w:sz w:val="24"/>
          <w:szCs w:val="24"/>
        </w:rPr>
        <w:t>Vand til injektionsvæsker.</w:t>
      </w:r>
    </w:p>
    <w:p w14:paraId="2ACF552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0222D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19C48355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  <w:r w:rsidRPr="00906817">
        <w:rPr>
          <w:sz w:val="24"/>
          <w:szCs w:val="24"/>
        </w:rPr>
        <w:t xml:space="preserve">Der må ikke bruges </w:t>
      </w:r>
      <w:proofErr w:type="spellStart"/>
      <w:r w:rsidRPr="00906817">
        <w:rPr>
          <w:sz w:val="24"/>
          <w:szCs w:val="24"/>
        </w:rPr>
        <w:t>aluminium-holdige</w:t>
      </w:r>
      <w:proofErr w:type="spellEnd"/>
      <w:r w:rsidRPr="00906817">
        <w:rPr>
          <w:sz w:val="24"/>
          <w:szCs w:val="24"/>
        </w:rPr>
        <w:t xml:space="preserve"> infusionssamlinger, sprøjter og kanyler til administration af </w:t>
      </w:r>
      <w:proofErr w:type="spellStart"/>
      <w:r w:rsidRPr="00906817">
        <w:rPr>
          <w:sz w:val="24"/>
          <w:szCs w:val="24"/>
        </w:rPr>
        <w:t>carboplatin</w:t>
      </w:r>
      <w:proofErr w:type="spellEnd"/>
      <w:r w:rsidRPr="00906817">
        <w:rPr>
          <w:sz w:val="24"/>
          <w:szCs w:val="24"/>
        </w:rPr>
        <w:t xml:space="preserve">, da </w:t>
      </w:r>
      <w:proofErr w:type="spellStart"/>
      <w:r w:rsidRPr="00906817">
        <w:rPr>
          <w:sz w:val="24"/>
          <w:szCs w:val="24"/>
        </w:rPr>
        <w:t>carboplatin</w:t>
      </w:r>
      <w:proofErr w:type="spellEnd"/>
      <w:r w:rsidRPr="00906817">
        <w:rPr>
          <w:sz w:val="24"/>
          <w:szCs w:val="24"/>
        </w:rPr>
        <w:t xml:space="preserve"> reagerer med aluminium. Dette kan medføre udfældning og dermed nedsat </w:t>
      </w:r>
      <w:proofErr w:type="spellStart"/>
      <w:r w:rsidRPr="00906817">
        <w:rPr>
          <w:sz w:val="24"/>
          <w:szCs w:val="24"/>
        </w:rPr>
        <w:t>antineoplastisk</w:t>
      </w:r>
      <w:proofErr w:type="spellEnd"/>
      <w:r w:rsidRPr="00906817">
        <w:rPr>
          <w:sz w:val="24"/>
          <w:szCs w:val="24"/>
        </w:rPr>
        <w:t xml:space="preserve"> aktivitet.</w:t>
      </w:r>
    </w:p>
    <w:p w14:paraId="22EF00FD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</w:p>
    <w:p w14:paraId="53B22DAA" w14:textId="00F8734C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>Dette lægemiddel må ikke blandes med andre lægemidler end dem, der er anført under pkt. 4.2.</w:t>
      </w:r>
    </w:p>
    <w:p w14:paraId="441F3D3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7B8AF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4294406E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  <w:r w:rsidRPr="00906817">
        <w:rPr>
          <w:sz w:val="24"/>
          <w:szCs w:val="24"/>
        </w:rPr>
        <w:t>2 år.</w:t>
      </w:r>
    </w:p>
    <w:p w14:paraId="4C7890DB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</w:p>
    <w:p w14:paraId="4859F3AE" w14:textId="76B6322C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06817">
        <w:rPr>
          <w:sz w:val="24"/>
          <w:szCs w:val="24"/>
          <w:u w:val="single"/>
        </w:rPr>
        <w:t>Opbevaringstid efter åbning af beholderen og præpareringen af infusionsvæske, opløsningen, så den er klar til brug</w:t>
      </w:r>
    </w:p>
    <w:p w14:paraId="43DAA339" w14:textId="268DA60C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  <w:r w:rsidRPr="00906817">
        <w:rPr>
          <w:sz w:val="24"/>
          <w:szCs w:val="24"/>
        </w:rPr>
        <w:t xml:space="preserve">Kemisk og fysisk brugsstabilitet er påvist i 50 mg/ml (5 %) </w:t>
      </w:r>
      <w:proofErr w:type="spellStart"/>
      <w:r w:rsidRPr="00906817">
        <w:rPr>
          <w:sz w:val="24"/>
          <w:szCs w:val="24"/>
        </w:rPr>
        <w:t>glucoseinfusionsvæske</w:t>
      </w:r>
      <w:proofErr w:type="spellEnd"/>
      <w:r w:rsidRPr="00906817">
        <w:rPr>
          <w:sz w:val="24"/>
          <w:szCs w:val="24"/>
        </w:rPr>
        <w:t xml:space="preserve">, opløsning, i 72 timer ved stuetemperatur og i 9 mg/ml (0,9 %) </w:t>
      </w:r>
      <w:proofErr w:type="spellStart"/>
      <w:proofErr w:type="gramStart"/>
      <w:r w:rsidRPr="00906817">
        <w:rPr>
          <w:sz w:val="24"/>
          <w:szCs w:val="24"/>
        </w:rPr>
        <w:t>natriumchloridinfusionsvæske,opløsning</w:t>
      </w:r>
      <w:proofErr w:type="spellEnd"/>
      <w:proofErr w:type="gramEnd"/>
      <w:r w:rsidRPr="00906817">
        <w:rPr>
          <w:sz w:val="24"/>
          <w:szCs w:val="24"/>
        </w:rPr>
        <w:t xml:space="preserve">, i 24 timer ved opbevaring ved 2 til 8 °C beskyttet </w:t>
      </w:r>
      <w:r w:rsidRPr="00906817">
        <w:rPr>
          <w:sz w:val="24"/>
          <w:szCs w:val="24"/>
        </w:rPr>
        <w:lastRenderedPageBreak/>
        <w:t xml:space="preserve">mod lys. Det anbefales dog, at en infusionsvæske, opløsning, der er </w:t>
      </w:r>
      <w:proofErr w:type="spellStart"/>
      <w:r w:rsidRPr="00906817">
        <w:rPr>
          <w:sz w:val="24"/>
          <w:szCs w:val="24"/>
        </w:rPr>
        <w:t>rekonstitueret</w:t>
      </w:r>
      <w:proofErr w:type="spellEnd"/>
      <w:r w:rsidRPr="00906817">
        <w:rPr>
          <w:sz w:val="24"/>
          <w:szCs w:val="24"/>
        </w:rPr>
        <w:t xml:space="preserve"> med 9 mg/ml (0,9 %) </w:t>
      </w:r>
      <w:proofErr w:type="spellStart"/>
      <w:r w:rsidRPr="00906817">
        <w:rPr>
          <w:sz w:val="24"/>
          <w:szCs w:val="24"/>
        </w:rPr>
        <w:t>natrium</w:t>
      </w:r>
      <w:r w:rsidR="00B16277">
        <w:rPr>
          <w:sz w:val="24"/>
          <w:szCs w:val="24"/>
        </w:rPr>
        <w:t>ch</w:t>
      </w:r>
      <w:r w:rsidRPr="00906817">
        <w:rPr>
          <w:sz w:val="24"/>
          <w:szCs w:val="24"/>
        </w:rPr>
        <w:t>loridinfusionsvæske</w:t>
      </w:r>
      <w:proofErr w:type="spellEnd"/>
      <w:r w:rsidRPr="00906817">
        <w:rPr>
          <w:sz w:val="24"/>
          <w:szCs w:val="24"/>
        </w:rPr>
        <w:t xml:space="preserve">, opløsning, bruges straks efter </w:t>
      </w:r>
      <w:proofErr w:type="spellStart"/>
      <w:r w:rsidRPr="00906817">
        <w:rPr>
          <w:sz w:val="24"/>
          <w:szCs w:val="24"/>
        </w:rPr>
        <w:t>rekonstitueringen</w:t>
      </w:r>
      <w:proofErr w:type="spellEnd"/>
      <w:r w:rsidRPr="00906817">
        <w:rPr>
          <w:sz w:val="24"/>
          <w:szCs w:val="24"/>
        </w:rPr>
        <w:t>.</w:t>
      </w:r>
    </w:p>
    <w:p w14:paraId="35B48FB5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</w:p>
    <w:p w14:paraId="6AF9EFF6" w14:textId="77777777" w:rsidR="00906817" w:rsidRPr="00906817" w:rsidRDefault="00906817" w:rsidP="00906817">
      <w:pPr>
        <w:tabs>
          <w:tab w:val="left" w:pos="851"/>
        </w:tabs>
        <w:ind w:left="851"/>
        <w:rPr>
          <w:sz w:val="24"/>
          <w:szCs w:val="24"/>
        </w:rPr>
      </w:pPr>
      <w:r w:rsidRPr="00906817">
        <w:rPr>
          <w:sz w:val="24"/>
          <w:szCs w:val="24"/>
        </w:rPr>
        <w:t xml:space="preserve">Ud fra et mikrobiologisk synspunkt bør produktet anvendes med det samme. Hvis det ikke anvendes med det samme, er opbevaringstider og -forhold før ibrugtagning brugerens ansvar. Opbevaringstiden er normalt ikke længere end 24 timer ved 2 til 8 °C, medmindre </w:t>
      </w:r>
      <w:proofErr w:type="spellStart"/>
      <w:r w:rsidRPr="00906817">
        <w:rPr>
          <w:sz w:val="24"/>
          <w:szCs w:val="24"/>
        </w:rPr>
        <w:t>rekonstituering</w:t>
      </w:r>
      <w:proofErr w:type="spellEnd"/>
      <w:r w:rsidRPr="00906817">
        <w:rPr>
          <w:sz w:val="24"/>
          <w:szCs w:val="24"/>
        </w:rPr>
        <w:t>/fortynding har fundet sted under kontrollerede og validerede aseptiske betingelser.</w:t>
      </w:r>
    </w:p>
    <w:p w14:paraId="195E973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DB137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3A123DC6" w14:textId="77777777" w:rsidR="00A76901" w:rsidRPr="00A76901" w:rsidRDefault="00A76901" w:rsidP="00A76901">
      <w:pPr>
        <w:tabs>
          <w:tab w:val="left" w:pos="851"/>
        </w:tabs>
        <w:ind w:left="851"/>
        <w:rPr>
          <w:sz w:val="24"/>
          <w:szCs w:val="24"/>
        </w:rPr>
      </w:pPr>
      <w:r w:rsidRPr="00A76901">
        <w:rPr>
          <w:sz w:val="24"/>
          <w:szCs w:val="24"/>
        </w:rPr>
        <w:t>Må ikke opbevares ved temperaturer over 25 °C.</w:t>
      </w:r>
    </w:p>
    <w:p w14:paraId="58EF8D2E" w14:textId="77777777" w:rsidR="00A76901" w:rsidRPr="00A76901" w:rsidRDefault="00A76901" w:rsidP="00A76901">
      <w:pPr>
        <w:tabs>
          <w:tab w:val="left" w:pos="851"/>
        </w:tabs>
        <w:ind w:left="851"/>
        <w:rPr>
          <w:sz w:val="24"/>
          <w:szCs w:val="24"/>
        </w:rPr>
      </w:pPr>
      <w:r w:rsidRPr="00A76901">
        <w:rPr>
          <w:sz w:val="24"/>
          <w:szCs w:val="24"/>
        </w:rPr>
        <w:t>Må ikke nedfryses.</w:t>
      </w:r>
    </w:p>
    <w:p w14:paraId="79080B8D" w14:textId="77777777" w:rsidR="00A76901" w:rsidRPr="00A76901" w:rsidRDefault="00A76901" w:rsidP="00A76901">
      <w:pPr>
        <w:tabs>
          <w:tab w:val="left" w:pos="851"/>
        </w:tabs>
        <w:ind w:left="851"/>
        <w:rPr>
          <w:sz w:val="24"/>
          <w:szCs w:val="24"/>
        </w:rPr>
      </w:pPr>
    </w:p>
    <w:p w14:paraId="44B02B5D" w14:textId="77777777" w:rsidR="00A76901" w:rsidRPr="00A76901" w:rsidRDefault="00A76901" w:rsidP="00A76901">
      <w:pPr>
        <w:tabs>
          <w:tab w:val="left" w:pos="851"/>
        </w:tabs>
        <w:ind w:left="851"/>
        <w:rPr>
          <w:sz w:val="24"/>
          <w:szCs w:val="24"/>
        </w:rPr>
      </w:pPr>
      <w:r w:rsidRPr="00A76901">
        <w:rPr>
          <w:sz w:val="24"/>
          <w:szCs w:val="24"/>
        </w:rPr>
        <w:t>Opbevar hætteglasset i den ydre karton for at beskytte mod lys.</w:t>
      </w:r>
    </w:p>
    <w:p w14:paraId="357C7477" w14:textId="77777777" w:rsidR="00A76901" w:rsidRPr="00A76901" w:rsidRDefault="00A76901" w:rsidP="00A76901">
      <w:pPr>
        <w:tabs>
          <w:tab w:val="left" w:pos="851"/>
        </w:tabs>
        <w:ind w:left="851"/>
        <w:rPr>
          <w:sz w:val="24"/>
          <w:szCs w:val="24"/>
        </w:rPr>
      </w:pPr>
    </w:p>
    <w:p w14:paraId="028CBF5E" w14:textId="77777777" w:rsidR="00A76901" w:rsidRPr="00A76901" w:rsidRDefault="00A76901" w:rsidP="00A76901">
      <w:pPr>
        <w:tabs>
          <w:tab w:val="left" w:pos="851"/>
        </w:tabs>
        <w:ind w:left="851"/>
        <w:rPr>
          <w:sz w:val="24"/>
          <w:szCs w:val="24"/>
        </w:rPr>
      </w:pPr>
      <w:r w:rsidRPr="00A76901">
        <w:rPr>
          <w:sz w:val="24"/>
          <w:szCs w:val="24"/>
        </w:rPr>
        <w:t>Opbevaringsforhold efter fortynding af lægemidlet, se pkt. 6.3.</w:t>
      </w:r>
    </w:p>
    <w:p w14:paraId="4B8A31B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A11D4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0208D11F" w14:textId="0AA2F929" w:rsidR="001118CD" w:rsidRPr="00B63CD0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  <w:r w:rsidRPr="00B63CD0">
        <w:rPr>
          <w:sz w:val="24"/>
          <w:szCs w:val="24"/>
        </w:rPr>
        <w:t xml:space="preserve">Kartonæske indeholdende et ravfarvet hætteglas med </w:t>
      </w:r>
      <w:proofErr w:type="spellStart"/>
      <w:r w:rsidRPr="00B63CD0">
        <w:rPr>
          <w:sz w:val="24"/>
          <w:szCs w:val="24"/>
        </w:rPr>
        <w:t>brombutylgummiprop</w:t>
      </w:r>
      <w:proofErr w:type="spellEnd"/>
      <w:r w:rsidRPr="00B63CD0">
        <w:rPr>
          <w:sz w:val="24"/>
          <w:szCs w:val="24"/>
        </w:rPr>
        <w:t xml:space="preserve"> dækket med en </w:t>
      </w:r>
      <w:proofErr w:type="spellStart"/>
      <w:r w:rsidRPr="00B63CD0">
        <w:rPr>
          <w:sz w:val="24"/>
          <w:szCs w:val="24"/>
        </w:rPr>
        <w:t>fluoropolymer</w:t>
      </w:r>
      <w:proofErr w:type="spellEnd"/>
      <w:r w:rsidRPr="00B63CD0">
        <w:rPr>
          <w:sz w:val="24"/>
          <w:szCs w:val="24"/>
        </w:rPr>
        <w:t xml:space="preserve"> film og krympelåg i aluminium med plastictop.</w:t>
      </w:r>
    </w:p>
    <w:p w14:paraId="27AFE4AD" w14:textId="77777777" w:rsidR="00660D8D" w:rsidRPr="00660D8D" w:rsidRDefault="00660D8D" w:rsidP="00660D8D">
      <w:pPr>
        <w:tabs>
          <w:tab w:val="left" w:pos="851"/>
        </w:tabs>
        <w:ind w:left="851"/>
        <w:rPr>
          <w:sz w:val="24"/>
          <w:szCs w:val="24"/>
        </w:rPr>
      </w:pPr>
    </w:p>
    <w:p w14:paraId="21E49572" w14:textId="633A3D0B" w:rsidR="00660D8D" w:rsidRPr="00660D8D" w:rsidRDefault="00660D8D" w:rsidP="00660D8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60D8D">
        <w:rPr>
          <w:sz w:val="24"/>
          <w:szCs w:val="24"/>
          <w:u w:val="single"/>
        </w:rPr>
        <w:t>Pakningsstørrelser</w:t>
      </w:r>
    </w:p>
    <w:p w14:paraId="5945ECA9" w14:textId="77777777" w:rsidR="00660D8D" w:rsidRPr="00660D8D" w:rsidRDefault="00660D8D" w:rsidP="00660D8D">
      <w:pPr>
        <w:tabs>
          <w:tab w:val="left" w:pos="851"/>
        </w:tabs>
        <w:ind w:left="851"/>
        <w:rPr>
          <w:sz w:val="24"/>
          <w:szCs w:val="24"/>
        </w:rPr>
      </w:pPr>
      <w:r w:rsidRPr="00660D8D">
        <w:rPr>
          <w:sz w:val="24"/>
          <w:szCs w:val="24"/>
        </w:rPr>
        <w:t>Pakker med 1 hætteglas a 5 ml, 15 ml, 45 ml, 60 ml og 100 ml koncentrat til infusionsvæske, opløsning.</w:t>
      </w:r>
    </w:p>
    <w:p w14:paraId="6A94FCB6" w14:textId="77777777" w:rsidR="00660D8D" w:rsidRPr="00660D8D" w:rsidRDefault="00660D8D" w:rsidP="00660D8D">
      <w:pPr>
        <w:tabs>
          <w:tab w:val="left" w:pos="851"/>
        </w:tabs>
        <w:ind w:left="851"/>
        <w:rPr>
          <w:sz w:val="24"/>
          <w:szCs w:val="24"/>
        </w:rPr>
      </w:pPr>
      <w:r w:rsidRPr="00660D8D">
        <w:rPr>
          <w:sz w:val="24"/>
          <w:szCs w:val="24"/>
        </w:rPr>
        <w:t>Pakker med 10 hætteglas a 5 ml, 15 ml, 45 ml, 60 ml og 100 ml koncentrat til infusionsvæske, opløsning.</w:t>
      </w:r>
    </w:p>
    <w:p w14:paraId="70AFD2D7" w14:textId="77777777" w:rsidR="00660D8D" w:rsidRPr="00660D8D" w:rsidRDefault="00660D8D" w:rsidP="00660D8D">
      <w:pPr>
        <w:tabs>
          <w:tab w:val="left" w:pos="851"/>
        </w:tabs>
        <w:ind w:left="851"/>
        <w:rPr>
          <w:sz w:val="24"/>
          <w:szCs w:val="24"/>
        </w:rPr>
      </w:pPr>
    </w:p>
    <w:p w14:paraId="2438848F" w14:textId="77777777" w:rsidR="00660D8D" w:rsidRPr="00660D8D" w:rsidRDefault="00660D8D" w:rsidP="00660D8D">
      <w:pPr>
        <w:tabs>
          <w:tab w:val="left" w:pos="851"/>
        </w:tabs>
        <w:ind w:left="851"/>
        <w:rPr>
          <w:sz w:val="24"/>
          <w:szCs w:val="24"/>
        </w:rPr>
      </w:pPr>
      <w:r w:rsidRPr="00660D8D">
        <w:rPr>
          <w:sz w:val="24"/>
          <w:szCs w:val="24"/>
        </w:rPr>
        <w:t>Ikke alle pakningsstørrelser er nødvendigvis markedsført.</w:t>
      </w:r>
    </w:p>
    <w:p w14:paraId="2940E15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10D25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6C254989" w14:textId="77777777" w:rsidR="003539AB" w:rsidRPr="003539AB" w:rsidRDefault="003539AB" w:rsidP="003539A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539AB">
        <w:rPr>
          <w:sz w:val="24"/>
          <w:szCs w:val="24"/>
        </w:rPr>
        <w:t>Carboplatin</w:t>
      </w:r>
      <w:proofErr w:type="spellEnd"/>
      <w:r w:rsidRPr="003539AB">
        <w:rPr>
          <w:sz w:val="24"/>
          <w:szCs w:val="24"/>
        </w:rPr>
        <w:t xml:space="preserve"> er et mutagent og potentielt </w:t>
      </w:r>
      <w:proofErr w:type="spellStart"/>
      <w:r w:rsidRPr="003539AB">
        <w:rPr>
          <w:sz w:val="24"/>
          <w:szCs w:val="24"/>
        </w:rPr>
        <w:t>karcinogent</w:t>
      </w:r>
      <w:proofErr w:type="spellEnd"/>
      <w:r w:rsidRPr="003539AB">
        <w:rPr>
          <w:sz w:val="24"/>
          <w:szCs w:val="24"/>
        </w:rPr>
        <w:t xml:space="preserve"> stof. Ved tilberedning og brug skal der træffes sikkerhedsmæssige foranstaltninger for håndtering af farlige stoffer. Tilberedningen skal foretages af oplært personale, der bærer passende beskyttelseshandsker, engangsskjorter og -masker.</w:t>
      </w:r>
    </w:p>
    <w:p w14:paraId="6D82FB70" w14:textId="77777777" w:rsidR="003539AB" w:rsidRPr="003539AB" w:rsidRDefault="003539AB" w:rsidP="003539AB">
      <w:pPr>
        <w:tabs>
          <w:tab w:val="left" w:pos="851"/>
        </w:tabs>
        <w:ind w:left="851"/>
        <w:rPr>
          <w:sz w:val="24"/>
          <w:szCs w:val="24"/>
        </w:rPr>
      </w:pPr>
    </w:p>
    <w:p w14:paraId="1081C72C" w14:textId="31C7F06C" w:rsidR="009260DE" w:rsidRDefault="003539AB" w:rsidP="001118CD">
      <w:pPr>
        <w:tabs>
          <w:tab w:val="left" w:pos="851"/>
        </w:tabs>
        <w:ind w:left="851"/>
        <w:rPr>
          <w:sz w:val="24"/>
          <w:szCs w:val="24"/>
        </w:rPr>
      </w:pPr>
      <w:r w:rsidRPr="003539AB">
        <w:rPr>
          <w:sz w:val="24"/>
          <w:szCs w:val="24"/>
        </w:rPr>
        <w:t>Ikke anvendt lægemiddel samt affald heraf skal bortskaffes i henhold til lokale retningslinjer.</w:t>
      </w:r>
    </w:p>
    <w:p w14:paraId="5E5F3C38" w14:textId="77777777" w:rsidR="001118CD" w:rsidRDefault="001118CD" w:rsidP="001118CD">
      <w:pPr>
        <w:tabs>
          <w:tab w:val="left" w:pos="851"/>
        </w:tabs>
        <w:ind w:left="851"/>
        <w:rPr>
          <w:sz w:val="24"/>
          <w:szCs w:val="24"/>
        </w:rPr>
      </w:pPr>
    </w:p>
    <w:p w14:paraId="66B6B737" w14:textId="77777777" w:rsidR="003539AB" w:rsidRPr="00C84483" w:rsidRDefault="003539AB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DC2900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7026DA8B" w14:textId="5D51CF13" w:rsidR="00D81C44" w:rsidRPr="00D81C44" w:rsidRDefault="00D81C44" w:rsidP="008C1AC1">
      <w:pPr>
        <w:tabs>
          <w:tab w:val="left" w:pos="851"/>
          <w:tab w:val="left" w:pos="3540"/>
        </w:tabs>
        <w:ind w:left="851"/>
        <w:rPr>
          <w:sz w:val="24"/>
          <w:szCs w:val="24"/>
        </w:rPr>
      </w:pPr>
      <w:proofErr w:type="spellStart"/>
      <w:r w:rsidRPr="00D81C44">
        <w:rPr>
          <w:sz w:val="24"/>
          <w:szCs w:val="24"/>
        </w:rPr>
        <w:t>Medac</w:t>
      </w:r>
      <w:proofErr w:type="spellEnd"/>
      <w:r w:rsidR="008C1AC1">
        <w:rPr>
          <w:sz w:val="24"/>
          <w:szCs w:val="24"/>
        </w:rPr>
        <w:t xml:space="preserve"> </w:t>
      </w:r>
      <w:proofErr w:type="spellStart"/>
      <w:r w:rsidRPr="00D81C44">
        <w:rPr>
          <w:sz w:val="24"/>
          <w:szCs w:val="24"/>
        </w:rPr>
        <w:t>Gesellschaft</w:t>
      </w:r>
      <w:proofErr w:type="spellEnd"/>
      <w:r w:rsidRPr="00D81C44">
        <w:rPr>
          <w:sz w:val="24"/>
          <w:szCs w:val="24"/>
        </w:rPr>
        <w:t xml:space="preserve"> </w:t>
      </w:r>
      <w:proofErr w:type="spellStart"/>
      <w:r w:rsidRPr="00D81C44">
        <w:rPr>
          <w:sz w:val="24"/>
          <w:szCs w:val="24"/>
        </w:rPr>
        <w:t>für</w:t>
      </w:r>
      <w:proofErr w:type="spellEnd"/>
      <w:r w:rsidRPr="00D81C44">
        <w:rPr>
          <w:sz w:val="24"/>
          <w:szCs w:val="24"/>
        </w:rPr>
        <w:t xml:space="preserve"> </w:t>
      </w:r>
      <w:proofErr w:type="spellStart"/>
      <w:r w:rsidRPr="00D81C44">
        <w:rPr>
          <w:sz w:val="24"/>
          <w:szCs w:val="24"/>
        </w:rPr>
        <w:t>klinische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81C44">
        <w:rPr>
          <w:sz w:val="24"/>
          <w:szCs w:val="24"/>
        </w:rPr>
        <w:t>Spezialpräparate</w:t>
      </w:r>
      <w:proofErr w:type="spellEnd"/>
      <w:r w:rsidRPr="00D81C44">
        <w:rPr>
          <w:sz w:val="24"/>
          <w:szCs w:val="24"/>
        </w:rPr>
        <w:t xml:space="preserve"> </w:t>
      </w:r>
      <w:proofErr w:type="spellStart"/>
      <w:r w:rsidRPr="00D81C44">
        <w:rPr>
          <w:sz w:val="24"/>
          <w:szCs w:val="24"/>
        </w:rPr>
        <w:t>mbH</w:t>
      </w:r>
      <w:proofErr w:type="spellEnd"/>
    </w:p>
    <w:p w14:paraId="1D9AF53E" w14:textId="77777777" w:rsidR="00D81C44" w:rsidRPr="00D81C44" w:rsidRDefault="00D81C44" w:rsidP="00D81C4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81C44">
        <w:rPr>
          <w:sz w:val="24"/>
          <w:szCs w:val="24"/>
        </w:rPr>
        <w:t>Theaterstrasse</w:t>
      </w:r>
      <w:proofErr w:type="spellEnd"/>
      <w:r w:rsidRPr="00D81C44">
        <w:rPr>
          <w:sz w:val="24"/>
          <w:szCs w:val="24"/>
        </w:rPr>
        <w:t xml:space="preserve"> 6</w:t>
      </w:r>
    </w:p>
    <w:p w14:paraId="5CBF10FB" w14:textId="77777777" w:rsidR="00D81C44" w:rsidRPr="00D81C44" w:rsidRDefault="00D81C44" w:rsidP="00D81C44">
      <w:pPr>
        <w:tabs>
          <w:tab w:val="left" w:pos="851"/>
        </w:tabs>
        <w:ind w:left="851"/>
        <w:rPr>
          <w:sz w:val="24"/>
          <w:szCs w:val="24"/>
        </w:rPr>
      </w:pPr>
      <w:r w:rsidRPr="00D81C44">
        <w:rPr>
          <w:sz w:val="24"/>
          <w:szCs w:val="24"/>
        </w:rPr>
        <w:t>22880 Wedel</w:t>
      </w:r>
    </w:p>
    <w:p w14:paraId="28FB55A3" w14:textId="77777777" w:rsidR="00D81C44" w:rsidRPr="00D81C44" w:rsidRDefault="00D81C44" w:rsidP="00D81C44">
      <w:pPr>
        <w:tabs>
          <w:tab w:val="left" w:pos="851"/>
        </w:tabs>
        <w:ind w:left="851"/>
        <w:rPr>
          <w:sz w:val="24"/>
          <w:szCs w:val="24"/>
        </w:rPr>
      </w:pPr>
      <w:r w:rsidRPr="00D81C44">
        <w:rPr>
          <w:sz w:val="24"/>
          <w:szCs w:val="24"/>
        </w:rPr>
        <w:t>Tyskland</w:t>
      </w:r>
    </w:p>
    <w:p w14:paraId="21143AED" w14:textId="77777777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690C7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0110D7C7" w14:textId="38E33559" w:rsidR="009260DE" w:rsidRPr="00C84483" w:rsidRDefault="008D592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67706</w:t>
      </w:r>
    </w:p>
    <w:p w14:paraId="7E32A1E4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779954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4C598685" w14:textId="4775C333" w:rsidR="00D13CD0" w:rsidRDefault="00B16277" w:rsidP="001118C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</w:t>
      </w:r>
      <w:r w:rsidR="009041FE">
        <w:rPr>
          <w:sz w:val="24"/>
          <w:szCs w:val="24"/>
        </w:rPr>
        <w:t>.</w:t>
      </w:r>
      <w:r w:rsidR="008D5929">
        <w:rPr>
          <w:sz w:val="24"/>
          <w:szCs w:val="24"/>
        </w:rPr>
        <w:t xml:space="preserve"> marts 2023</w:t>
      </w:r>
    </w:p>
    <w:p w14:paraId="4D1E98C7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8A6DF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56AA5C4C" w14:textId="26C782E1" w:rsidR="009260DE" w:rsidRPr="00C84483" w:rsidRDefault="004D0D42" w:rsidP="009260DE">
      <w:pPr>
        <w:tabs>
          <w:tab w:val="left" w:pos="851"/>
        </w:tabs>
        <w:ind w:left="851"/>
        <w:rPr>
          <w:sz w:val="24"/>
          <w:szCs w:val="24"/>
        </w:rPr>
      </w:pPr>
      <w:r w:rsidRPr="004D0D42">
        <w:rPr>
          <w:sz w:val="24"/>
          <w:szCs w:val="24"/>
        </w:rPr>
        <w:t>21. december 2023</w:t>
      </w:r>
      <w:bookmarkStart w:id="2" w:name="_GoBack"/>
      <w:bookmarkEnd w:id="2"/>
    </w:p>
    <w:sectPr w:rsidR="009260DE" w:rsidRPr="00C8448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7B0FD" w14:textId="77777777" w:rsidR="004D0D42" w:rsidRDefault="004D0D42">
      <w:r>
        <w:separator/>
      </w:r>
    </w:p>
  </w:endnote>
  <w:endnote w:type="continuationSeparator" w:id="0">
    <w:p w14:paraId="37F035B4" w14:textId="77777777" w:rsidR="004D0D42" w:rsidRDefault="004D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759DB" w14:textId="77777777" w:rsidR="004D0D42" w:rsidRDefault="004D0D42">
    <w:pPr>
      <w:pStyle w:val="Sidefod"/>
      <w:pBdr>
        <w:bottom w:val="single" w:sz="6" w:space="1" w:color="auto"/>
      </w:pBdr>
    </w:pPr>
  </w:p>
  <w:p w14:paraId="33FEE008" w14:textId="77777777" w:rsidR="004D0D42" w:rsidRDefault="004D0D4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3E55298" w14:textId="47B54F9E" w:rsidR="004D0D42" w:rsidRPr="00B373D7" w:rsidRDefault="004D0D4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Carbomedac, koncentrat til infusionsvæske, opløsning 10 mg-ml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C275" w14:textId="77777777" w:rsidR="004D0D42" w:rsidRDefault="004D0D42">
      <w:r>
        <w:separator/>
      </w:r>
    </w:p>
  </w:footnote>
  <w:footnote w:type="continuationSeparator" w:id="0">
    <w:p w14:paraId="521FFD29" w14:textId="77777777" w:rsidR="004D0D42" w:rsidRDefault="004D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F3E"/>
    <w:multiLevelType w:val="hybridMultilevel"/>
    <w:tmpl w:val="DDFED94E"/>
    <w:lvl w:ilvl="0" w:tplc="0F1E759C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9624BF1"/>
    <w:multiLevelType w:val="hybridMultilevel"/>
    <w:tmpl w:val="53729E9A"/>
    <w:lvl w:ilvl="0" w:tplc="9A5C5D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0E"/>
    <w:rsid w:val="000161DF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118CD"/>
    <w:rsid w:val="0011685D"/>
    <w:rsid w:val="001454E2"/>
    <w:rsid w:val="00187022"/>
    <w:rsid w:val="00206CE8"/>
    <w:rsid w:val="0021526C"/>
    <w:rsid w:val="00224E2C"/>
    <w:rsid w:val="00283A2B"/>
    <w:rsid w:val="002A7D51"/>
    <w:rsid w:val="002B30AD"/>
    <w:rsid w:val="002B77CC"/>
    <w:rsid w:val="002C1EC0"/>
    <w:rsid w:val="002C2C01"/>
    <w:rsid w:val="002F320F"/>
    <w:rsid w:val="003539AB"/>
    <w:rsid w:val="003A29AE"/>
    <w:rsid w:val="003A32D7"/>
    <w:rsid w:val="003B4074"/>
    <w:rsid w:val="003C769A"/>
    <w:rsid w:val="003D3A90"/>
    <w:rsid w:val="003D4CE1"/>
    <w:rsid w:val="003E4276"/>
    <w:rsid w:val="003F1838"/>
    <w:rsid w:val="0045746C"/>
    <w:rsid w:val="0049104B"/>
    <w:rsid w:val="004D0D42"/>
    <w:rsid w:val="004E3B12"/>
    <w:rsid w:val="004F46D8"/>
    <w:rsid w:val="00532310"/>
    <w:rsid w:val="005466E6"/>
    <w:rsid w:val="00565F0F"/>
    <w:rsid w:val="00594A86"/>
    <w:rsid w:val="00596D86"/>
    <w:rsid w:val="00610CE7"/>
    <w:rsid w:val="00637F5A"/>
    <w:rsid w:val="00641C65"/>
    <w:rsid w:val="006560B1"/>
    <w:rsid w:val="00660D8D"/>
    <w:rsid w:val="00667223"/>
    <w:rsid w:val="00674613"/>
    <w:rsid w:val="006756DD"/>
    <w:rsid w:val="006D235A"/>
    <w:rsid w:val="0071241E"/>
    <w:rsid w:val="007129C6"/>
    <w:rsid w:val="00737275"/>
    <w:rsid w:val="00740EEC"/>
    <w:rsid w:val="0078011A"/>
    <w:rsid w:val="00782AF4"/>
    <w:rsid w:val="00790EE7"/>
    <w:rsid w:val="007B5CB3"/>
    <w:rsid w:val="007B6649"/>
    <w:rsid w:val="0082576E"/>
    <w:rsid w:val="008833CC"/>
    <w:rsid w:val="008C1AC1"/>
    <w:rsid w:val="008D5929"/>
    <w:rsid w:val="009041FE"/>
    <w:rsid w:val="00906817"/>
    <w:rsid w:val="00907F75"/>
    <w:rsid w:val="009260DE"/>
    <w:rsid w:val="0093258A"/>
    <w:rsid w:val="009C7BA3"/>
    <w:rsid w:val="009D1F5A"/>
    <w:rsid w:val="00A10294"/>
    <w:rsid w:val="00A76901"/>
    <w:rsid w:val="00AA0C2A"/>
    <w:rsid w:val="00AA7EE1"/>
    <w:rsid w:val="00AD6ED0"/>
    <w:rsid w:val="00B003BF"/>
    <w:rsid w:val="00B16277"/>
    <w:rsid w:val="00B373D7"/>
    <w:rsid w:val="00B55271"/>
    <w:rsid w:val="00BB1F88"/>
    <w:rsid w:val="00BD7931"/>
    <w:rsid w:val="00BF022F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13CD0"/>
    <w:rsid w:val="00D237F6"/>
    <w:rsid w:val="00D34D98"/>
    <w:rsid w:val="00D366CF"/>
    <w:rsid w:val="00D520FA"/>
    <w:rsid w:val="00D81C44"/>
    <w:rsid w:val="00D93992"/>
    <w:rsid w:val="00DD45F8"/>
    <w:rsid w:val="00E108AA"/>
    <w:rsid w:val="00E33F0E"/>
    <w:rsid w:val="00E3749A"/>
    <w:rsid w:val="00E70D04"/>
    <w:rsid w:val="00E7437F"/>
    <w:rsid w:val="00E865B8"/>
    <w:rsid w:val="00EC0B9B"/>
    <w:rsid w:val="00ED5E9F"/>
    <w:rsid w:val="00F66D4F"/>
    <w:rsid w:val="00FA10BF"/>
    <w:rsid w:val="00FA7BCE"/>
    <w:rsid w:val="00FB6D01"/>
    <w:rsid w:val="00FE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091A"/>
  <w15:chartTrackingRefBased/>
  <w15:docId w15:val="{6F40D522-3077-4BD7-A44B-6CFC852A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8833CC"/>
    <w:rPr>
      <w:rFonts w:ascii="Times New Roman" w:hAnsi="Times New Roman" w:cs="Times New Roman" w:hint="default"/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24E2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D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10</TotalTime>
  <Pages>16</Pages>
  <Words>5152</Words>
  <Characters>34803</Characters>
  <Application>Microsoft Office Word</Application>
  <DocSecurity>0</DocSecurity>
  <Lines>290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39876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SPC Hum skabelon</dc:title>
  <dc:subject/>
  <dc:creator>Victoria Becker</dc:creator>
  <cp:keywords/>
  <dc:description>2023013084 2023023919_x000d_
SPC pkt. 4.2, 4.3, 4.4, 4.5, 4.6, 4.8, 5.2, 6.2, 6.5, 6.6</dc:description>
  <cp:lastModifiedBy>Victoria Becker</cp:lastModifiedBy>
  <cp:revision>3</cp:revision>
  <cp:lastPrinted>2012-08-22T08:53:00Z</cp:lastPrinted>
  <dcterms:created xsi:type="dcterms:W3CDTF">2023-12-19T10:08:00Z</dcterms:created>
  <dcterms:modified xsi:type="dcterms:W3CDTF">2023-12-19T10:19:00Z</dcterms:modified>
</cp:coreProperties>
</file>