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190DD" w14:textId="77777777" w:rsidR="004A3BF4" w:rsidRPr="00243CC4" w:rsidRDefault="00056601" w:rsidP="004A3BF4">
      <w:pPr>
        <w:rPr>
          <w:sz w:val="24"/>
          <w:szCs w:val="24"/>
          <w:lang w:val="en-GB"/>
        </w:rPr>
      </w:pPr>
      <w:bookmarkStart w:id="0" w:name="_GoBack"/>
      <w:bookmarkEnd w:id="0"/>
      <w:r w:rsidRPr="00243CC4">
        <w:rPr>
          <w:noProof/>
          <w:sz w:val="24"/>
          <w:szCs w:val="24"/>
          <w:lang w:val="en-GB"/>
        </w:rPr>
        <w:drawing>
          <wp:inline distT="0" distB="0" distL="0" distR="0" wp14:anchorId="5A3BAC7D" wp14:editId="3E55106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01F7C6D" w14:textId="77777777" w:rsidR="006B3847" w:rsidRPr="00243CC4" w:rsidRDefault="006B3847" w:rsidP="006B3847">
      <w:pPr>
        <w:rPr>
          <w:sz w:val="24"/>
          <w:szCs w:val="24"/>
          <w:lang w:val="en-GB"/>
        </w:rPr>
      </w:pPr>
    </w:p>
    <w:p w14:paraId="12F52B1B" w14:textId="31350033" w:rsidR="006B3847" w:rsidRPr="00054F55" w:rsidRDefault="006B3847" w:rsidP="006B3847">
      <w:pPr>
        <w:tabs>
          <w:tab w:val="right" w:pos="9356"/>
        </w:tabs>
        <w:rPr>
          <w:b/>
          <w:sz w:val="24"/>
          <w:szCs w:val="24"/>
          <w:lang w:val="en-US"/>
        </w:rPr>
      </w:pPr>
      <w:r w:rsidRPr="00243CC4">
        <w:rPr>
          <w:b/>
          <w:sz w:val="24"/>
          <w:szCs w:val="24"/>
          <w:lang w:val="en-GB"/>
        </w:rPr>
        <w:tab/>
      </w:r>
      <w:r w:rsidR="00054F55" w:rsidRPr="00054F55">
        <w:rPr>
          <w:b/>
          <w:sz w:val="24"/>
          <w:szCs w:val="24"/>
          <w:lang w:val="en-US"/>
        </w:rPr>
        <w:t>15 J</w:t>
      </w:r>
      <w:r w:rsidR="00054F55">
        <w:rPr>
          <w:b/>
          <w:sz w:val="24"/>
          <w:szCs w:val="24"/>
          <w:lang w:val="en-US"/>
        </w:rPr>
        <w:t>uly 2024</w:t>
      </w:r>
    </w:p>
    <w:p w14:paraId="6283658D" w14:textId="77777777" w:rsidR="006B3847" w:rsidRPr="00054F55" w:rsidRDefault="006B3847" w:rsidP="006B3847">
      <w:pPr>
        <w:rPr>
          <w:sz w:val="24"/>
          <w:szCs w:val="24"/>
          <w:lang w:val="en-US"/>
        </w:rPr>
      </w:pPr>
    </w:p>
    <w:p w14:paraId="39BA9896" w14:textId="65ABD8DC" w:rsidR="007C5D2A" w:rsidRPr="00054F55" w:rsidRDefault="007C5D2A" w:rsidP="007C5D2A">
      <w:pPr>
        <w:rPr>
          <w:sz w:val="24"/>
          <w:szCs w:val="24"/>
          <w:lang w:val="en-US"/>
        </w:rPr>
      </w:pPr>
    </w:p>
    <w:p w14:paraId="0CAB6663" w14:textId="77777777" w:rsidR="00054F55" w:rsidRPr="00054F55" w:rsidRDefault="00054F55" w:rsidP="007C5D2A">
      <w:pPr>
        <w:rPr>
          <w:sz w:val="24"/>
          <w:szCs w:val="24"/>
          <w:lang w:val="en-US"/>
        </w:rPr>
      </w:pPr>
    </w:p>
    <w:p w14:paraId="467C7EB2" w14:textId="77777777" w:rsidR="007C5D2A" w:rsidRPr="00243CC4" w:rsidRDefault="007C5D2A" w:rsidP="007C5D2A">
      <w:pPr>
        <w:jc w:val="center"/>
        <w:rPr>
          <w:b/>
          <w:sz w:val="24"/>
          <w:szCs w:val="24"/>
          <w:lang w:val="en-GB"/>
        </w:rPr>
      </w:pPr>
      <w:bookmarkStart w:id="1" w:name="_Hlk49158549"/>
      <w:r w:rsidRPr="00243CC4">
        <w:rPr>
          <w:b/>
          <w:sz w:val="24"/>
          <w:szCs w:val="24"/>
          <w:lang w:val="en-GB"/>
        </w:rPr>
        <w:t>SUMMARY OF PRODUCT CHARACTERISTICS</w:t>
      </w:r>
    </w:p>
    <w:bookmarkEnd w:id="1"/>
    <w:p w14:paraId="31154217" w14:textId="77777777" w:rsidR="007C5D2A" w:rsidRPr="00243CC4" w:rsidRDefault="007C5D2A" w:rsidP="007C5D2A">
      <w:pPr>
        <w:jc w:val="center"/>
        <w:rPr>
          <w:sz w:val="24"/>
          <w:szCs w:val="24"/>
          <w:lang w:val="en-GB"/>
        </w:rPr>
      </w:pPr>
    </w:p>
    <w:p w14:paraId="17953484" w14:textId="77777777" w:rsidR="007C5D2A" w:rsidRPr="00243CC4" w:rsidRDefault="007C5D2A" w:rsidP="007C5D2A">
      <w:pPr>
        <w:jc w:val="center"/>
        <w:rPr>
          <w:b/>
          <w:sz w:val="24"/>
          <w:szCs w:val="24"/>
          <w:lang w:val="en-GB"/>
        </w:rPr>
      </w:pPr>
      <w:r w:rsidRPr="00243CC4">
        <w:rPr>
          <w:b/>
          <w:sz w:val="24"/>
          <w:szCs w:val="24"/>
          <w:lang w:val="en-GB"/>
        </w:rPr>
        <w:t>for</w:t>
      </w:r>
    </w:p>
    <w:p w14:paraId="520C5C5B" w14:textId="77777777" w:rsidR="007C5D2A" w:rsidRPr="00243CC4" w:rsidRDefault="007C5D2A" w:rsidP="007C5D2A">
      <w:pPr>
        <w:jc w:val="center"/>
        <w:rPr>
          <w:sz w:val="24"/>
          <w:szCs w:val="24"/>
          <w:lang w:val="en-GB"/>
        </w:rPr>
      </w:pPr>
    </w:p>
    <w:p w14:paraId="5823C77D" w14:textId="4D55B959" w:rsidR="003B36A9" w:rsidRPr="00243CC4" w:rsidRDefault="003B36A9" w:rsidP="003B36A9">
      <w:pPr>
        <w:jc w:val="center"/>
        <w:rPr>
          <w:b/>
          <w:sz w:val="24"/>
          <w:szCs w:val="24"/>
          <w:lang w:val="en-US"/>
        </w:rPr>
      </w:pPr>
      <w:r w:rsidRPr="00243CC4">
        <w:rPr>
          <w:b/>
          <w:sz w:val="24"/>
          <w:szCs w:val="24"/>
          <w:lang w:val="en-US"/>
        </w:rPr>
        <w:t>Carboplatin "Actavis", concentrate for solution for infusion</w:t>
      </w:r>
    </w:p>
    <w:p w14:paraId="13CABABA" w14:textId="77777777" w:rsidR="007C5D2A" w:rsidRPr="00243CC4" w:rsidRDefault="007C5D2A" w:rsidP="007C5D2A">
      <w:pPr>
        <w:jc w:val="both"/>
        <w:rPr>
          <w:sz w:val="24"/>
          <w:szCs w:val="24"/>
          <w:lang w:val="en-US"/>
        </w:rPr>
      </w:pPr>
    </w:p>
    <w:p w14:paraId="636A306F" w14:textId="77777777" w:rsidR="0042292D" w:rsidRPr="00243CC4" w:rsidRDefault="0042292D" w:rsidP="007C5D2A">
      <w:pPr>
        <w:jc w:val="both"/>
        <w:rPr>
          <w:sz w:val="24"/>
          <w:szCs w:val="24"/>
          <w:lang w:val="en-US"/>
        </w:rPr>
      </w:pPr>
    </w:p>
    <w:p w14:paraId="7BD0FB5F" w14:textId="77777777" w:rsidR="008F2F8C" w:rsidRPr="00243CC4" w:rsidRDefault="008F2F8C" w:rsidP="008F2F8C">
      <w:pPr>
        <w:tabs>
          <w:tab w:val="left" w:pos="8222"/>
        </w:tabs>
        <w:ind w:left="851" w:hanging="851"/>
        <w:rPr>
          <w:b/>
          <w:sz w:val="24"/>
          <w:szCs w:val="24"/>
          <w:lang w:val="en-GB"/>
        </w:rPr>
      </w:pPr>
      <w:r w:rsidRPr="00243CC4">
        <w:rPr>
          <w:b/>
          <w:sz w:val="24"/>
          <w:szCs w:val="24"/>
          <w:lang w:val="en-GB"/>
        </w:rPr>
        <w:t>0.</w:t>
      </w:r>
      <w:r w:rsidRPr="00243CC4">
        <w:rPr>
          <w:b/>
          <w:sz w:val="24"/>
          <w:szCs w:val="24"/>
          <w:lang w:val="en-GB"/>
        </w:rPr>
        <w:tab/>
      </w:r>
      <w:proofErr w:type="gramStart"/>
      <w:r w:rsidRPr="00243CC4">
        <w:rPr>
          <w:b/>
          <w:sz w:val="24"/>
          <w:szCs w:val="24"/>
          <w:lang w:val="en-GB"/>
        </w:rPr>
        <w:t>D.SP.NO</w:t>
      </w:r>
      <w:proofErr w:type="gramEnd"/>
      <w:r w:rsidRPr="00243CC4">
        <w:rPr>
          <w:b/>
          <w:sz w:val="24"/>
          <w:szCs w:val="24"/>
          <w:lang w:val="en-GB"/>
        </w:rPr>
        <w:t>.</w:t>
      </w:r>
    </w:p>
    <w:p w14:paraId="48654A52" w14:textId="2FF0C8E1" w:rsidR="003B36A9" w:rsidRPr="00243CC4" w:rsidRDefault="003B36A9" w:rsidP="00A02E32">
      <w:pPr>
        <w:tabs>
          <w:tab w:val="left" w:pos="851"/>
        </w:tabs>
        <w:ind w:left="851"/>
        <w:rPr>
          <w:sz w:val="24"/>
          <w:szCs w:val="24"/>
          <w:lang w:val="en-US"/>
        </w:rPr>
      </w:pPr>
      <w:r w:rsidRPr="00243CC4">
        <w:rPr>
          <w:sz w:val="24"/>
          <w:szCs w:val="24"/>
          <w:lang w:val="en-US"/>
        </w:rPr>
        <w:t>25903</w:t>
      </w:r>
    </w:p>
    <w:p w14:paraId="4264F3BB" w14:textId="77777777" w:rsidR="007C5D2A" w:rsidRPr="00243CC4" w:rsidRDefault="007C5D2A" w:rsidP="007C5D2A">
      <w:pPr>
        <w:tabs>
          <w:tab w:val="left" w:pos="851"/>
        </w:tabs>
        <w:jc w:val="both"/>
        <w:rPr>
          <w:sz w:val="24"/>
          <w:szCs w:val="24"/>
          <w:lang w:val="en-GB"/>
        </w:rPr>
      </w:pPr>
    </w:p>
    <w:p w14:paraId="35E72174" w14:textId="77777777" w:rsidR="007C5D2A" w:rsidRPr="00243CC4" w:rsidRDefault="009925C9" w:rsidP="007C5D2A">
      <w:pPr>
        <w:tabs>
          <w:tab w:val="left" w:pos="851"/>
        </w:tabs>
        <w:ind w:left="851" w:hanging="851"/>
        <w:rPr>
          <w:sz w:val="24"/>
          <w:szCs w:val="24"/>
          <w:lang w:val="en-GB"/>
        </w:rPr>
      </w:pPr>
      <w:r w:rsidRPr="00243CC4">
        <w:rPr>
          <w:b/>
          <w:sz w:val="24"/>
          <w:szCs w:val="24"/>
          <w:lang w:val="en-GB"/>
        </w:rPr>
        <w:t>1.</w:t>
      </w:r>
      <w:r w:rsidR="007C5D2A" w:rsidRPr="00243CC4">
        <w:rPr>
          <w:b/>
          <w:sz w:val="24"/>
          <w:szCs w:val="24"/>
          <w:lang w:val="en-GB"/>
        </w:rPr>
        <w:tab/>
        <w:t>NAME OF THE MEDICINAL PRODUCT</w:t>
      </w:r>
    </w:p>
    <w:p w14:paraId="5799F221" w14:textId="5D76427E" w:rsidR="003B36A9" w:rsidRPr="00243CC4" w:rsidRDefault="003B36A9" w:rsidP="003B36A9">
      <w:pPr>
        <w:tabs>
          <w:tab w:val="left" w:pos="851"/>
        </w:tabs>
        <w:rPr>
          <w:sz w:val="24"/>
          <w:szCs w:val="24"/>
          <w:lang w:val="en-US"/>
        </w:rPr>
      </w:pPr>
      <w:r w:rsidRPr="00243CC4">
        <w:rPr>
          <w:sz w:val="24"/>
          <w:szCs w:val="24"/>
          <w:lang w:val="en-US"/>
        </w:rPr>
        <w:tab/>
        <w:t xml:space="preserve">Carboplatin </w:t>
      </w:r>
      <w:r w:rsidR="00A02E32" w:rsidRPr="00243CC4">
        <w:rPr>
          <w:sz w:val="24"/>
          <w:szCs w:val="24"/>
          <w:lang w:val="en-US"/>
        </w:rPr>
        <w:t>"</w:t>
      </w:r>
      <w:r w:rsidRPr="00243CC4">
        <w:rPr>
          <w:sz w:val="24"/>
          <w:szCs w:val="24"/>
          <w:lang w:val="en-US"/>
        </w:rPr>
        <w:t>Actavis</w:t>
      </w:r>
      <w:r w:rsidR="00A02E32" w:rsidRPr="00243CC4">
        <w:rPr>
          <w:sz w:val="24"/>
          <w:szCs w:val="24"/>
          <w:lang w:val="en-US"/>
        </w:rPr>
        <w:t>"</w:t>
      </w:r>
    </w:p>
    <w:p w14:paraId="0624CE1A" w14:textId="77777777" w:rsidR="007C5D2A" w:rsidRPr="00243CC4" w:rsidRDefault="007C5D2A" w:rsidP="004A3BF4">
      <w:pPr>
        <w:tabs>
          <w:tab w:val="left" w:pos="851"/>
        </w:tabs>
        <w:ind w:left="851"/>
        <w:rPr>
          <w:sz w:val="24"/>
          <w:szCs w:val="24"/>
          <w:lang w:val="en-GB"/>
        </w:rPr>
      </w:pPr>
    </w:p>
    <w:p w14:paraId="4D036F38" w14:textId="77777777" w:rsidR="007C5D2A" w:rsidRPr="00243CC4" w:rsidRDefault="009925C9" w:rsidP="007C5D2A">
      <w:pPr>
        <w:ind w:left="851" w:hanging="851"/>
        <w:rPr>
          <w:b/>
          <w:sz w:val="24"/>
          <w:szCs w:val="24"/>
          <w:lang w:val="en-GB"/>
        </w:rPr>
      </w:pPr>
      <w:r w:rsidRPr="00243CC4">
        <w:rPr>
          <w:b/>
          <w:sz w:val="24"/>
          <w:szCs w:val="24"/>
          <w:lang w:val="en-GB"/>
        </w:rPr>
        <w:t>2.</w:t>
      </w:r>
      <w:r w:rsidR="007C5D2A" w:rsidRPr="00243CC4">
        <w:rPr>
          <w:b/>
          <w:sz w:val="24"/>
          <w:szCs w:val="24"/>
          <w:lang w:val="en-GB"/>
        </w:rPr>
        <w:tab/>
        <w:t>QUALITATIVE AND QUANTITATIVE COMPOSITION</w:t>
      </w:r>
    </w:p>
    <w:p w14:paraId="21478E9E" w14:textId="6DF45A90" w:rsidR="003B36A9" w:rsidRPr="00243CC4" w:rsidRDefault="003B36A9" w:rsidP="00286E2A">
      <w:pPr>
        <w:ind w:left="851"/>
        <w:rPr>
          <w:sz w:val="24"/>
          <w:szCs w:val="24"/>
          <w:lang w:val="en-US"/>
        </w:rPr>
      </w:pPr>
      <w:r w:rsidRPr="00243CC4">
        <w:rPr>
          <w:sz w:val="24"/>
          <w:szCs w:val="24"/>
          <w:lang w:val="en-US"/>
        </w:rPr>
        <w:t>Each ml of concentrate contains</w:t>
      </w:r>
      <w:r w:rsidR="00243CC4" w:rsidRPr="00243CC4">
        <w:rPr>
          <w:sz w:val="24"/>
          <w:szCs w:val="24"/>
          <w:lang w:val="en-US"/>
        </w:rPr>
        <w:t xml:space="preserve"> </w:t>
      </w:r>
      <w:r w:rsidRPr="00243CC4">
        <w:rPr>
          <w:sz w:val="24"/>
          <w:szCs w:val="24"/>
          <w:lang w:val="en-US"/>
        </w:rPr>
        <w:t>10 mg carboplatin.</w:t>
      </w:r>
    </w:p>
    <w:p w14:paraId="5136F959" w14:textId="77777777" w:rsidR="003B36A9" w:rsidRPr="00243CC4" w:rsidRDefault="003B36A9" w:rsidP="00286E2A">
      <w:pPr>
        <w:ind w:left="851"/>
        <w:rPr>
          <w:sz w:val="24"/>
          <w:szCs w:val="24"/>
          <w:lang w:val="en-US"/>
        </w:rPr>
      </w:pPr>
    </w:p>
    <w:p w14:paraId="45089CC7" w14:textId="77777777" w:rsidR="003B36A9" w:rsidRPr="00243CC4" w:rsidRDefault="003B36A9" w:rsidP="00286E2A">
      <w:pPr>
        <w:ind w:left="851"/>
        <w:rPr>
          <w:sz w:val="24"/>
          <w:szCs w:val="24"/>
          <w:lang w:val="en-US"/>
        </w:rPr>
      </w:pPr>
      <w:r w:rsidRPr="00243CC4">
        <w:rPr>
          <w:sz w:val="24"/>
          <w:szCs w:val="24"/>
          <w:lang w:val="en-US"/>
        </w:rPr>
        <w:t>Each 5 ml vial contains 50 mg carboplatin.</w:t>
      </w:r>
    </w:p>
    <w:p w14:paraId="76736923" w14:textId="77777777" w:rsidR="003B36A9" w:rsidRPr="00243CC4" w:rsidRDefault="003B36A9" w:rsidP="00286E2A">
      <w:pPr>
        <w:ind w:left="851"/>
        <w:rPr>
          <w:sz w:val="24"/>
          <w:szCs w:val="24"/>
          <w:lang w:val="en-US"/>
        </w:rPr>
      </w:pPr>
      <w:r w:rsidRPr="00243CC4">
        <w:rPr>
          <w:sz w:val="24"/>
          <w:szCs w:val="24"/>
          <w:lang w:val="en-US"/>
        </w:rPr>
        <w:t>Each 15 ml vial contains 150 mg carboplatin.</w:t>
      </w:r>
    </w:p>
    <w:p w14:paraId="449564AB" w14:textId="77777777" w:rsidR="003B36A9" w:rsidRPr="00243CC4" w:rsidRDefault="003B36A9" w:rsidP="00286E2A">
      <w:pPr>
        <w:ind w:left="851"/>
        <w:rPr>
          <w:sz w:val="24"/>
          <w:szCs w:val="24"/>
          <w:lang w:val="en-US"/>
        </w:rPr>
      </w:pPr>
      <w:r w:rsidRPr="00243CC4">
        <w:rPr>
          <w:sz w:val="24"/>
          <w:szCs w:val="24"/>
          <w:lang w:val="en-US"/>
        </w:rPr>
        <w:t>Each 45 ml vial contains 450 mg carboplatin.</w:t>
      </w:r>
    </w:p>
    <w:p w14:paraId="3243BED3" w14:textId="77777777" w:rsidR="003B36A9" w:rsidRPr="00243CC4" w:rsidRDefault="003B36A9" w:rsidP="00286E2A">
      <w:pPr>
        <w:ind w:left="851"/>
        <w:rPr>
          <w:sz w:val="24"/>
          <w:szCs w:val="24"/>
          <w:lang w:val="en-US"/>
        </w:rPr>
      </w:pPr>
      <w:r w:rsidRPr="00243CC4">
        <w:rPr>
          <w:sz w:val="24"/>
          <w:szCs w:val="24"/>
          <w:lang w:val="en-US"/>
        </w:rPr>
        <w:t>Each 60 ml vial contains 600 mg carboplatin.</w:t>
      </w:r>
    </w:p>
    <w:p w14:paraId="6BFC8229" w14:textId="77777777" w:rsidR="003B36A9" w:rsidRPr="00243CC4" w:rsidRDefault="003B36A9" w:rsidP="00286E2A">
      <w:pPr>
        <w:ind w:left="851"/>
        <w:rPr>
          <w:sz w:val="24"/>
          <w:szCs w:val="24"/>
          <w:lang w:val="en-US"/>
        </w:rPr>
      </w:pPr>
    </w:p>
    <w:p w14:paraId="511A531C" w14:textId="77777777" w:rsidR="003B36A9" w:rsidRPr="00243CC4" w:rsidRDefault="003B36A9" w:rsidP="00286E2A">
      <w:pPr>
        <w:ind w:left="851"/>
        <w:rPr>
          <w:sz w:val="24"/>
          <w:szCs w:val="24"/>
          <w:lang w:val="en-US"/>
        </w:rPr>
      </w:pPr>
      <w:r w:rsidRPr="00243CC4">
        <w:rPr>
          <w:sz w:val="24"/>
          <w:szCs w:val="24"/>
          <w:lang w:val="en-US"/>
        </w:rPr>
        <w:t>For the full list of excipients, see section 6.1.</w:t>
      </w:r>
    </w:p>
    <w:p w14:paraId="6D9887BB" w14:textId="77777777" w:rsidR="007C5D2A" w:rsidRPr="00243CC4" w:rsidRDefault="007C5D2A" w:rsidP="004A3BF4">
      <w:pPr>
        <w:tabs>
          <w:tab w:val="left" w:pos="851"/>
        </w:tabs>
        <w:ind w:left="851"/>
        <w:rPr>
          <w:sz w:val="24"/>
          <w:szCs w:val="24"/>
          <w:lang w:val="en-GB"/>
        </w:rPr>
      </w:pPr>
    </w:p>
    <w:p w14:paraId="0F9C0706" w14:textId="77777777" w:rsidR="007C5D2A" w:rsidRPr="00243CC4" w:rsidRDefault="007C5D2A" w:rsidP="007C5D2A">
      <w:pPr>
        <w:tabs>
          <w:tab w:val="left" w:pos="851"/>
        </w:tabs>
        <w:ind w:left="851" w:hanging="851"/>
        <w:rPr>
          <w:b/>
          <w:sz w:val="24"/>
          <w:szCs w:val="24"/>
          <w:lang w:val="en-GB"/>
        </w:rPr>
      </w:pPr>
      <w:r w:rsidRPr="00243CC4">
        <w:rPr>
          <w:b/>
          <w:sz w:val="24"/>
          <w:szCs w:val="24"/>
          <w:lang w:val="en-GB"/>
        </w:rPr>
        <w:t>3.</w:t>
      </w:r>
      <w:r w:rsidRPr="00243CC4">
        <w:rPr>
          <w:b/>
          <w:sz w:val="24"/>
          <w:szCs w:val="24"/>
          <w:lang w:val="en-GB"/>
        </w:rPr>
        <w:tab/>
        <w:t>PHARMACEUTICAL FORM</w:t>
      </w:r>
    </w:p>
    <w:p w14:paraId="6D9E0D8D" w14:textId="5243265F" w:rsidR="003B36A9" w:rsidRPr="00243CC4" w:rsidRDefault="003B36A9" w:rsidP="00286E2A">
      <w:pPr>
        <w:ind w:left="851"/>
        <w:rPr>
          <w:sz w:val="24"/>
          <w:szCs w:val="24"/>
          <w:lang w:val="en-US"/>
        </w:rPr>
      </w:pPr>
      <w:r w:rsidRPr="00243CC4">
        <w:rPr>
          <w:sz w:val="24"/>
          <w:szCs w:val="24"/>
          <w:lang w:val="en-US"/>
        </w:rPr>
        <w:t>Concentrate for solution for infusion (sterile concentrate)</w:t>
      </w:r>
    </w:p>
    <w:p w14:paraId="637ACD63" w14:textId="77777777" w:rsidR="003B36A9" w:rsidRPr="00243CC4" w:rsidRDefault="003B36A9" w:rsidP="00286E2A">
      <w:pPr>
        <w:ind w:left="851"/>
        <w:rPr>
          <w:sz w:val="24"/>
          <w:szCs w:val="24"/>
          <w:lang w:val="en-US"/>
        </w:rPr>
      </w:pPr>
    </w:p>
    <w:p w14:paraId="79262FD8" w14:textId="77777777" w:rsidR="003B36A9" w:rsidRPr="00243CC4" w:rsidRDefault="003B36A9" w:rsidP="00286E2A">
      <w:pPr>
        <w:ind w:left="851"/>
        <w:rPr>
          <w:sz w:val="24"/>
          <w:szCs w:val="24"/>
          <w:lang w:val="en-US"/>
        </w:rPr>
      </w:pPr>
      <w:r w:rsidRPr="00243CC4">
        <w:rPr>
          <w:sz w:val="24"/>
          <w:szCs w:val="24"/>
          <w:lang w:val="en-US"/>
        </w:rPr>
        <w:t xml:space="preserve">A clear, </w:t>
      </w:r>
      <w:proofErr w:type="spellStart"/>
      <w:r w:rsidRPr="00243CC4">
        <w:rPr>
          <w:sz w:val="24"/>
          <w:szCs w:val="24"/>
          <w:lang w:val="en-US"/>
        </w:rPr>
        <w:t>colourless</w:t>
      </w:r>
      <w:proofErr w:type="spellEnd"/>
      <w:r w:rsidRPr="00243CC4">
        <w:rPr>
          <w:sz w:val="24"/>
          <w:szCs w:val="24"/>
          <w:lang w:val="en-US"/>
        </w:rPr>
        <w:t xml:space="preserve"> to slightly yellow solution free from particles.</w:t>
      </w:r>
    </w:p>
    <w:p w14:paraId="2100011E" w14:textId="77777777" w:rsidR="007C5D2A" w:rsidRPr="00243CC4" w:rsidRDefault="007C5D2A" w:rsidP="004A3BF4">
      <w:pPr>
        <w:tabs>
          <w:tab w:val="left" w:pos="851"/>
        </w:tabs>
        <w:ind w:left="851"/>
        <w:rPr>
          <w:sz w:val="24"/>
          <w:szCs w:val="24"/>
          <w:lang w:val="en-GB"/>
        </w:rPr>
      </w:pPr>
    </w:p>
    <w:p w14:paraId="18379E10" w14:textId="77777777" w:rsidR="007C5D2A" w:rsidRPr="00243CC4" w:rsidRDefault="007C5D2A" w:rsidP="004A3BF4">
      <w:pPr>
        <w:tabs>
          <w:tab w:val="left" w:pos="851"/>
        </w:tabs>
        <w:ind w:left="851"/>
        <w:rPr>
          <w:sz w:val="24"/>
          <w:szCs w:val="24"/>
          <w:lang w:val="en-GB"/>
        </w:rPr>
      </w:pPr>
    </w:p>
    <w:p w14:paraId="28B78E33" w14:textId="77777777" w:rsidR="007C5D2A" w:rsidRPr="00243CC4" w:rsidRDefault="007C5D2A" w:rsidP="007C5D2A">
      <w:pPr>
        <w:ind w:left="851" w:hanging="851"/>
        <w:rPr>
          <w:b/>
          <w:sz w:val="24"/>
          <w:szCs w:val="24"/>
          <w:lang w:val="en-GB"/>
        </w:rPr>
      </w:pPr>
      <w:r w:rsidRPr="00243CC4">
        <w:rPr>
          <w:b/>
          <w:sz w:val="24"/>
          <w:szCs w:val="24"/>
          <w:lang w:val="en-GB"/>
        </w:rPr>
        <w:t>4.</w:t>
      </w:r>
      <w:r w:rsidRPr="00243CC4">
        <w:rPr>
          <w:b/>
          <w:sz w:val="24"/>
          <w:szCs w:val="24"/>
          <w:lang w:val="en-GB"/>
        </w:rPr>
        <w:tab/>
        <w:t>CLINICAL PARTICULARS</w:t>
      </w:r>
    </w:p>
    <w:p w14:paraId="24D711D2" w14:textId="77777777" w:rsidR="007C5D2A" w:rsidRPr="00243CC4" w:rsidRDefault="007C5D2A" w:rsidP="004A3BF4">
      <w:pPr>
        <w:tabs>
          <w:tab w:val="left" w:pos="851"/>
        </w:tabs>
        <w:ind w:left="851"/>
        <w:rPr>
          <w:sz w:val="24"/>
          <w:szCs w:val="24"/>
          <w:lang w:val="en-GB"/>
        </w:rPr>
      </w:pPr>
    </w:p>
    <w:p w14:paraId="69D37037" w14:textId="77777777" w:rsidR="007C5D2A" w:rsidRPr="00243CC4" w:rsidRDefault="007C5D2A" w:rsidP="007C5D2A">
      <w:pPr>
        <w:ind w:left="851" w:hanging="851"/>
        <w:rPr>
          <w:b/>
          <w:sz w:val="24"/>
          <w:szCs w:val="24"/>
          <w:u w:val="single"/>
          <w:lang w:val="en-GB"/>
        </w:rPr>
      </w:pPr>
      <w:r w:rsidRPr="00243CC4">
        <w:rPr>
          <w:b/>
          <w:sz w:val="24"/>
          <w:szCs w:val="24"/>
          <w:lang w:val="en-GB"/>
        </w:rPr>
        <w:t>4.1</w:t>
      </w:r>
      <w:r w:rsidRPr="00243CC4">
        <w:rPr>
          <w:b/>
          <w:sz w:val="24"/>
          <w:szCs w:val="24"/>
          <w:lang w:val="en-GB"/>
        </w:rPr>
        <w:tab/>
        <w:t>Therapeutic indications</w:t>
      </w:r>
    </w:p>
    <w:p w14:paraId="01107EF4" w14:textId="05091685" w:rsidR="003B36A9" w:rsidRPr="00243CC4" w:rsidRDefault="00A02E32" w:rsidP="00286E2A">
      <w:pPr>
        <w:ind w:left="851"/>
        <w:rPr>
          <w:snapToGrid w:val="0"/>
          <w:sz w:val="24"/>
          <w:szCs w:val="24"/>
          <w:lang w:val="en-US"/>
        </w:rPr>
      </w:pPr>
      <w:r w:rsidRPr="00243CC4">
        <w:rPr>
          <w:sz w:val="24"/>
          <w:szCs w:val="24"/>
          <w:lang w:val="en-US"/>
        </w:rPr>
        <w:t>Carboplatin "Actavis"</w:t>
      </w:r>
      <w:r w:rsidR="003B36A9" w:rsidRPr="00243CC4">
        <w:rPr>
          <w:sz w:val="24"/>
          <w:szCs w:val="24"/>
          <w:lang w:val="en-US"/>
        </w:rPr>
        <w:t xml:space="preserve"> </w:t>
      </w:r>
      <w:r w:rsidR="003B36A9" w:rsidRPr="00243CC4">
        <w:rPr>
          <w:snapToGrid w:val="0"/>
          <w:sz w:val="24"/>
          <w:szCs w:val="24"/>
          <w:lang w:val="en-US"/>
        </w:rPr>
        <w:t>is indicated for the treatment of</w:t>
      </w:r>
    </w:p>
    <w:p w14:paraId="70E2F7AE" w14:textId="77777777" w:rsidR="003B36A9" w:rsidRPr="00243CC4" w:rsidRDefault="003B36A9" w:rsidP="00286E2A">
      <w:pPr>
        <w:ind w:left="851"/>
        <w:rPr>
          <w:sz w:val="24"/>
          <w:szCs w:val="24"/>
          <w:lang w:val="en-US"/>
        </w:rPr>
      </w:pPr>
      <w:r w:rsidRPr="00243CC4">
        <w:rPr>
          <w:sz w:val="24"/>
          <w:szCs w:val="24"/>
          <w:lang w:val="en-US"/>
        </w:rPr>
        <w:t>1.</w:t>
      </w:r>
      <w:r w:rsidRPr="00243CC4">
        <w:rPr>
          <w:sz w:val="24"/>
          <w:szCs w:val="24"/>
          <w:lang w:val="en-US"/>
        </w:rPr>
        <w:tab/>
        <w:t>Advanced ovarian carcinoma of epithelial origin in:</w:t>
      </w:r>
    </w:p>
    <w:p w14:paraId="4E44D263" w14:textId="77777777" w:rsidR="003B36A9" w:rsidRPr="00243CC4" w:rsidRDefault="003B36A9" w:rsidP="00286E2A">
      <w:pPr>
        <w:ind w:left="851"/>
        <w:rPr>
          <w:sz w:val="24"/>
          <w:szCs w:val="24"/>
          <w:lang w:val="en-US"/>
        </w:rPr>
      </w:pPr>
      <w:r w:rsidRPr="00243CC4">
        <w:rPr>
          <w:sz w:val="24"/>
          <w:szCs w:val="24"/>
          <w:lang w:val="en-US"/>
        </w:rPr>
        <w:tab/>
        <w:t>(a) first line therapy</w:t>
      </w:r>
    </w:p>
    <w:p w14:paraId="4147EEDD" w14:textId="77777777" w:rsidR="003B36A9" w:rsidRPr="00243CC4" w:rsidRDefault="003B36A9" w:rsidP="00286E2A">
      <w:pPr>
        <w:ind w:left="851"/>
        <w:rPr>
          <w:sz w:val="24"/>
          <w:szCs w:val="24"/>
          <w:lang w:val="en-US"/>
        </w:rPr>
      </w:pPr>
      <w:r w:rsidRPr="00243CC4">
        <w:rPr>
          <w:sz w:val="24"/>
          <w:szCs w:val="24"/>
          <w:lang w:val="en-US"/>
        </w:rPr>
        <w:tab/>
        <w:t>(b) second line therapy, after other treatments have failed</w:t>
      </w:r>
    </w:p>
    <w:p w14:paraId="7FA37863" w14:textId="77777777" w:rsidR="003B36A9" w:rsidRPr="00243CC4" w:rsidRDefault="003B36A9" w:rsidP="00286E2A">
      <w:pPr>
        <w:ind w:left="851"/>
        <w:rPr>
          <w:sz w:val="24"/>
          <w:szCs w:val="24"/>
          <w:lang w:val="en-US"/>
        </w:rPr>
      </w:pPr>
      <w:r w:rsidRPr="00243CC4">
        <w:rPr>
          <w:sz w:val="24"/>
          <w:szCs w:val="24"/>
          <w:lang w:val="en-US"/>
        </w:rPr>
        <w:t>2.</w:t>
      </w:r>
      <w:r w:rsidRPr="00243CC4">
        <w:rPr>
          <w:sz w:val="24"/>
          <w:szCs w:val="24"/>
          <w:lang w:val="en-US"/>
        </w:rPr>
        <w:tab/>
        <w:t>Small-cell carcinoma of the lung</w:t>
      </w:r>
    </w:p>
    <w:p w14:paraId="57A16A8A" w14:textId="7523DF41" w:rsidR="00243CC4" w:rsidRDefault="00243CC4">
      <w:pPr>
        <w:rPr>
          <w:sz w:val="24"/>
          <w:szCs w:val="24"/>
          <w:lang w:val="en-GB"/>
        </w:rPr>
      </w:pPr>
      <w:r>
        <w:rPr>
          <w:sz w:val="24"/>
          <w:szCs w:val="24"/>
          <w:lang w:val="en-GB"/>
        </w:rPr>
        <w:br w:type="page"/>
      </w:r>
    </w:p>
    <w:p w14:paraId="7C38AB28" w14:textId="77777777" w:rsidR="007C5D2A" w:rsidRPr="00243CC4" w:rsidRDefault="007C5D2A" w:rsidP="00A85D26">
      <w:pPr>
        <w:tabs>
          <w:tab w:val="left" w:pos="851"/>
        </w:tabs>
        <w:ind w:left="851"/>
        <w:rPr>
          <w:sz w:val="24"/>
          <w:szCs w:val="24"/>
          <w:lang w:val="en-GB"/>
        </w:rPr>
      </w:pPr>
    </w:p>
    <w:p w14:paraId="6681270B" w14:textId="77777777" w:rsidR="007C5D2A" w:rsidRPr="00243CC4" w:rsidRDefault="009925C9" w:rsidP="007C5D2A">
      <w:pPr>
        <w:tabs>
          <w:tab w:val="left" w:pos="851"/>
        </w:tabs>
        <w:ind w:left="851" w:hanging="851"/>
        <w:rPr>
          <w:sz w:val="24"/>
          <w:szCs w:val="24"/>
          <w:lang w:val="en-GB"/>
        </w:rPr>
      </w:pPr>
      <w:r w:rsidRPr="00243CC4">
        <w:rPr>
          <w:b/>
          <w:sz w:val="24"/>
          <w:szCs w:val="24"/>
          <w:lang w:val="en-GB"/>
        </w:rPr>
        <w:t>4.2</w:t>
      </w:r>
      <w:r w:rsidR="007C5D2A" w:rsidRPr="00243CC4">
        <w:rPr>
          <w:b/>
          <w:sz w:val="24"/>
          <w:szCs w:val="24"/>
          <w:lang w:val="en-GB"/>
        </w:rPr>
        <w:tab/>
        <w:t>Posology and method of administration</w:t>
      </w:r>
    </w:p>
    <w:p w14:paraId="1E4B284F" w14:textId="77777777" w:rsidR="00A02E32" w:rsidRPr="00243CC4" w:rsidRDefault="00A02E32" w:rsidP="00286E2A">
      <w:pPr>
        <w:ind w:left="851"/>
        <w:rPr>
          <w:sz w:val="24"/>
          <w:szCs w:val="24"/>
          <w:lang w:val="en-US"/>
        </w:rPr>
      </w:pPr>
      <w:bookmarkStart w:id="2" w:name="OLE_LINK137"/>
    </w:p>
    <w:p w14:paraId="661B9517" w14:textId="1CE1D23D" w:rsidR="003B36A9" w:rsidRPr="00243CC4" w:rsidRDefault="003B36A9" w:rsidP="00286E2A">
      <w:pPr>
        <w:ind w:left="851"/>
        <w:rPr>
          <w:sz w:val="24"/>
          <w:szCs w:val="24"/>
          <w:lang w:val="en-US"/>
        </w:rPr>
      </w:pPr>
      <w:r w:rsidRPr="00243CC4">
        <w:rPr>
          <w:sz w:val="24"/>
          <w:szCs w:val="24"/>
          <w:lang w:val="en-US"/>
        </w:rPr>
        <w:t>Posology</w:t>
      </w:r>
    </w:p>
    <w:p w14:paraId="4B338180" w14:textId="77777777" w:rsidR="003B36A9" w:rsidRPr="00243CC4" w:rsidRDefault="003B36A9" w:rsidP="00286E2A">
      <w:pPr>
        <w:ind w:left="851"/>
        <w:rPr>
          <w:sz w:val="24"/>
          <w:szCs w:val="24"/>
          <w:lang w:val="en-US"/>
        </w:rPr>
      </w:pPr>
    </w:p>
    <w:bookmarkEnd w:id="2"/>
    <w:p w14:paraId="11FBE5CB" w14:textId="2EAEC2C0" w:rsidR="003B36A9" w:rsidRPr="00243CC4" w:rsidRDefault="003B36A9" w:rsidP="00286E2A">
      <w:pPr>
        <w:ind w:left="851"/>
        <w:rPr>
          <w:sz w:val="24"/>
          <w:szCs w:val="24"/>
          <w:lang w:val="en-GB"/>
        </w:rPr>
      </w:pPr>
      <w:r w:rsidRPr="00243CC4">
        <w:rPr>
          <w:sz w:val="24"/>
          <w:szCs w:val="24"/>
          <w:lang w:val="en-US"/>
        </w:rPr>
        <w:t xml:space="preserve">The recommended dosage of </w:t>
      </w:r>
      <w:r w:rsidR="00A02E32" w:rsidRPr="00243CC4">
        <w:rPr>
          <w:sz w:val="24"/>
          <w:szCs w:val="24"/>
          <w:lang w:val="en-US"/>
        </w:rPr>
        <w:t>Carboplatin "Actavis"</w:t>
      </w:r>
      <w:r w:rsidRPr="00243CC4">
        <w:rPr>
          <w:sz w:val="24"/>
          <w:szCs w:val="24"/>
          <w:lang w:val="en-US"/>
        </w:rPr>
        <w:t xml:space="preserve"> in previously untreated adult patients with normal kidney function, i.e. creatinine clearance &gt; 60 ml/min is 400 mg/m² as a single </w:t>
      </w:r>
      <w:proofErr w:type="gramStart"/>
      <w:r w:rsidRPr="00243CC4">
        <w:rPr>
          <w:sz w:val="24"/>
          <w:szCs w:val="24"/>
          <w:lang w:val="en-US"/>
        </w:rPr>
        <w:t>short term IV</w:t>
      </w:r>
      <w:proofErr w:type="gramEnd"/>
      <w:r w:rsidRPr="00243CC4">
        <w:rPr>
          <w:sz w:val="24"/>
          <w:szCs w:val="24"/>
          <w:lang w:val="en-US"/>
        </w:rPr>
        <w:t xml:space="preserve"> dose administered by a 15 to 60 minutes infusion. Alternatively, the Calvert formula shown below may be used to determine dosage:</w:t>
      </w:r>
    </w:p>
    <w:p w14:paraId="07AB4B81" w14:textId="77777777" w:rsidR="003B36A9" w:rsidRPr="00243CC4" w:rsidRDefault="003B36A9" w:rsidP="00286E2A">
      <w:pPr>
        <w:ind w:left="851"/>
        <w:rPr>
          <w:sz w:val="24"/>
          <w:szCs w:val="24"/>
          <w:lang w:val="en-US"/>
        </w:rPr>
      </w:pPr>
    </w:p>
    <w:p w14:paraId="517C5487" w14:textId="77777777" w:rsidR="003B36A9" w:rsidRPr="00243CC4" w:rsidRDefault="003B36A9" w:rsidP="00286E2A">
      <w:pPr>
        <w:ind w:left="851"/>
        <w:rPr>
          <w:sz w:val="24"/>
          <w:szCs w:val="24"/>
          <w:lang w:val="de-DE"/>
        </w:rPr>
      </w:pPr>
      <w:r w:rsidRPr="00243CC4">
        <w:rPr>
          <w:sz w:val="24"/>
          <w:szCs w:val="24"/>
          <w:lang w:val="de-DE"/>
        </w:rPr>
        <w:t xml:space="preserve">Dose (mg) = </w:t>
      </w:r>
      <w:proofErr w:type="spellStart"/>
      <w:r w:rsidRPr="00243CC4">
        <w:rPr>
          <w:sz w:val="24"/>
          <w:szCs w:val="24"/>
          <w:lang w:val="de-DE"/>
        </w:rPr>
        <w:t>target</w:t>
      </w:r>
      <w:proofErr w:type="spellEnd"/>
      <w:r w:rsidRPr="00243CC4">
        <w:rPr>
          <w:sz w:val="24"/>
          <w:szCs w:val="24"/>
          <w:lang w:val="de-DE"/>
        </w:rPr>
        <w:t xml:space="preserve"> AUC (mg/ml x min) x [GFR ml/min + 25]</w:t>
      </w:r>
    </w:p>
    <w:p w14:paraId="29C38F85" w14:textId="77777777" w:rsidR="003B36A9" w:rsidRPr="00243CC4" w:rsidRDefault="003B36A9" w:rsidP="003B36A9">
      <w:pPr>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2977"/>
      </w:tblGrid>
      <w:tr w:rsidR="003B36A9" w:rsidRPr="00243CC4" w14:paraId="6C3DE414" w14:textId="77777777" w:rsidTr="00286E2A">
        <w:trPr>
          <w:trHeight w:val="397"/>
        </w:trPr>
        <w:tc>
          <w:tcPr>
            <w:tcW w:w="2405" w:type="dxa"/>
            <w:tcBorders>
              <w:top w:val="single" w:sz="4" w:space="0" w:color="auto"/>
              <w:left w:val="single" w:sz="4" w:space="0" w:color="auto"/>
              <w:bottom w:val="single" w:sz="4" w:space="0" w:color="auto"/>
              <w:right w:val="single" w:sz="4" w:space="0" w:color="auto"/>
            </w:tcBorders>
            <w:hideMark/>
          </w:tcPr>
          <w:p w14:paraId="4E6597F0" w14:textId="77777777" w:rsidR="003B36A9" w:rsidRPr="00243CC4" w:rsidRDefault="003B36A9">
            <w:pPr>
              <w:rPr>
                <w:b/>
                <w:sz w:val="24"/>
                <w:szCs w:val="24"/>
                <w:lang w:val="en-GB"/>
              </w:rPr>
            </w:pPr>
            <w:r w:rsidRPr="00243CC4">
              <w:rPr>
                <w:b/>
                <w:sz w:val="24"/>
                <w:szCs w:val="24"/>
              </w:rPr>
              <w:t>Target AUC</w:t>
            </w:r>
          </w:p>
        </w:tc>
        <w:tc>
          <w:tcPr>
            <w:tcW w:w="2835" w:type="dxa"/>
            <w:tcBorders>
              <w:top w:val="single" w:sz="4" w:space="0" w:color="auto"/>
              <w:left w:val="single" w:sz="4" w:space="0" w:color="auto"/>
              <w:bottom w:val="single" w:sz="4" w:space="0" w:color="auto"/>
              <w:right w:val="single" w:sz="4" w:space="0" w:color="auto"/>
            </w:tcBorders>
            <w:hideMark/>
          </w:tcPr>
          <w:p w14:paraId="2A82BBFD" w14:textId="77777777" w:rsidR="003B36A9" w:rsidRPr="00243CC4" w:rsidRDefault="003B36A9">
            <w:pPr>
              <w:rPr>
                <w:b/>
                <w:sz w:val="24"/>
                <w:szCs w:val="24"/>
              </w:rPr>
            </w:pPr>
            <w:proofErr w:type="spellStart"/>
            <w:r w:rsidRPr="00243CC4">
              <w:rPr>
                <w:b/>
                <w:sz w:val="24"/>
                <w:szCs w:val="24"/>
              </w:rPr>
              <w:t>Planned</w:t>
            </w:r>
            <w:proofErr w:type="spellEnd"/>
            <w:r w:rsidRPr="00243CC4">
              <w:rPr>
                <w:b/>
                <w:sz w:val="24"/>
                <w:szCs w:val="24"/>
              </w:rPr>
              <w:t xml:space="preserve"> </w:t>
            </w:r>
            <w:proofErr w:type="spellStart"/>
            <w:r w:rsidRPr="00243CC4">
              <w:rPr>
                <w:b/>
                <w:sz w:val="24"/>
                <w:szCs w:val="24"/>
              </w:rPr>
              <w:t>chemotherapy</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74729EAA" w14:textId="77777777" w:rsidR="003B36A9" w:rsidRPr="00243CC4" w:rsidRDefault="003B36A9">
            <w:pPr>
              <w:rPr>
                <w:b/>
                <w:sz w:val="24"/>
                <w:szCs w:val="24"/>
              </w:rPr>
            </w:pPr>
            <w:r w:rsidRPr="00243CC4">
              <w:rPr>
                <w:b/>
                <w:sz w:val="24"/>
                <w:szCs w:val="24"/>
              </w:rPr>
              <w:t xml:space="preserve">Patient </w:t>
            </w:r>
            <w:proofErr w:type="spellStart"/>
            <w:r w:rsidRPr="00243CC4">
              <w:rPr>
                <w:b/>
                <w:sz w:val="24"/>
                <w:szCs w:val="24"/>
              </w:rPr>
              <w:t>treatment</w:t>
            </w:r>
            <w:proofErr w:type="spellEnd"/>
            <w:r w:rsidRPr="00243CC4">
              <w:rPr>
                <w:b/>
                <w:sz w:val="24"/>
                <w:szCs w:val="24"/>
              </w:rPr>
              <w:t xml:space="preserve"> status</w:t>
            </w:r>
          </w:p>
        </w:tc>
      </w:tr>
      <w:tr w:rsidR="003B36A9" w:rsidRPr="00243CC4" w14:paraId="4F217020" w14:textId="77777777" w:rsidTr="00286E2A">
        <w:trPr>
          <w:trHeight w:val="397"/>
        </w:trPr>
        <w:tc>
          <w:tcPr>
            <w:tcW w:w="2405" w:type="dxa"/>
            <w:tcBorders>
              <w:top w:val="single" w:sz="4" w:space="0" w:color="auto"/>
              <w:left w:val="single" w:sz="4" w:space="0" w:color="auto"/>
              <w:bottom w:val="single" w:sz="4" w:space="0" w:color="auto"/>
              <w:right w:val="single" w:sz="4" w:space="0" w:color="auto"/>
            </w:tcBorders>
            <w:hideMark/>
          </w:tcPr>
          <w:p w14:paraId="1D63CB14" w14:textId="77777777" w:rsidR="003B36A9" w:rsidRPr="00243CC4" w:rsidRDefault="003B36A9">
            <w:pPr>
              <w:rPr>
                <w:sz w:val="24"/>
                <w:szCs w:val="24"/>
              </w:rPr>
            </w:pPr>
            <w:r w:rsidRPr="00243CC4">
              <w:rPr>
                <w:sz w:val="24"/>
                <w:szCs w:val="24"/>
              </w:rPr>
              <w:t>5 – 7 mg/ml x min</w:t>
            </w:r>
          </w:p>
        </w:tc>
        <w:tc>
          <w:tcPr>
            <w:tcW w:w="2835" w:type="dxa"/>
            <w:tcBorders>
              <w:top w:val="single" w:sz="4" w:space="0" w:color="auto"/>
              <w:left w:val="single" w:sz="4" w:space="0" w:color="auto"/>
              <w:bottom w:val="single" w:sz="4" w:space="0" w:color="auto"/>
              <w:right w:val="single" w:sz="4" w:space="0" w:color="auto"/>
            </w:tcBorders>
            <w:hideMark/>
          </w:tcPr>
          <w:p w14:paraId="187282D4" w14:textId="77777777" w:rsidR="003B36A9" w:rsidRPr="00243CC4" w:rsidRDefault="003B36A9">
            <w:pPr>
              <w:rPr>
                <w:sz w:val="24"/>
                <w:szCs w:val="24"/>
              </w:rPr>
            </w:pPr>
            <w:r w:rsidRPr="00243CC4">
              <w:rPr>
                <w:sz w:val="24"/>
                <w:szCs w:val="24"/>
              </w:rPr>
              <w:t xml:space="preserve">single-agent </w:t>
            </w:r>
            <w:proofErr w:type="spellStart"/>
            <w:r w:rsidRPr="00243CC4">
              <w:rPr>
                <w:sz w:val="24"/>
                <w:szCs w:val="24"/>
              </w:rPr>
              <w:t>carboplatin</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7C11BA35" w14:textId="77777777" w:rsidR="003B36A9" w:rsidRPr="00243CC4" w:rsidRDefault="003B36A9">
            <w:pPr>
              <w:rPr>
                <w:sz w:val="24"/>
                <w:szCs w:val="24"/>
              </w:rPr>
            </w:pPr>
            <w:proofErr w:type="spellStart"/>
            <w:r w:rsidRPr="00243CC4">
              <w:rPr>
                <w:sz w:val="24"/>
                <w:szCs w:val="24"/>
              </w:rPr>
              <w:t>Previously</w:t>
            </w:r>
            <w:proofErr w:type="spellEnd"/>
            <w:r w:rsidRPr="00243CC4">
              <w:rPr>
                <w:sz w:val="24"/>
                <w:szCs w:val="24"/>
              </w:rPr>
              <w:t xml:space="preserve"> </w:t>
            </w:r>
            <w:proofErr w:type="spellStart"/>
            <w:r w:rsidRPr="00243CC4">
              <w:rPr>
                <w:sz w:val="24"/>
                <w:szCs w:val="24"/>
              </w:rPr>
              <w:t>untreated</w:t>
            </w:r>
            <w:proofErr w:type="spellEnd"/>
          </w:p>
        </w:tc>
      </w:tr>
      <w:tr w:rsidR="003B36A9" w:rsidRPr="00243CC4" w14:paraId="2CE7F74C" w14:textId="77777777" w:rsidTr="00286E2A">
        <w:trPr>
          <w:trHeight w:val="397"/>
        </w:trPr>
        <w:tc>
          <w:tcPr>
            <w:tcW w:w="2405" w:type="dxa"/>
            <w:tcBorders>
              <w:top w:val="single" w:sz="4" w:space="0" w:color="auto"/>
              <w:left w:val="single" w:sz="4" w:space="0" w:color="auto"/>
              <w:bottom w:val="single" w:sz="4" w:space="0" w:color="auto"/>
              <w:right w:val="single" w:sz="4" w:space="0" w:color="auto"/>
            </w:tcBorders>
            <w:hideMark/>
          </w:tcPr>
          <w:p w14:paraId="50D7529E" w14:textId="77777777" w:rsidR="003B36A9" w:rsidRPr="00243CC4" w:rsidRDefault="003B36A9">
            <w:pPr>
              <w:rPr>
                <w:sz w:val="24"/>
                <w:szCs w:val="24"/>
              </w:rPr>
            </w:pPr>
            <w:r w:rsidRPr="00243CC4">
              <w:rPr>
                <w:sz w:val="24"/>
                <w:szCs w:val="24"/>
              </w:rPr>
              <w:t>4 – 6 mg/ml x min</w:t>
            </w:r>
          </w:p>
        </w:tc>
        <w:tc>
          <w:tcPr>
            <w:tcW w:w="2835" w:type="dxa"/>
            <w:tcBorders>
              <w:top w:val="single" w:sz="4" w:space="0" w:color="auto"/>
              <w:left w:val="single" w:sz="4" w:space="0" w:color="auto"/>
              <w:bottom w:val="single" w:sz="4" w:space="0" w:color="auto"/>
              <w:right w:val="single" w:sz="4" w:space="0" w:color="auto"/>
            </w:tcBorders>
            <w:hideMark/>
          </w:tcPr>
          <w:p w14:paraId="6F894CD0" w14:textId="77777777" w:rsidR="003B36A9" w:rsidRPr="00243CC4" w:rsidRDefault="003B36A9">
            <w:pPr>
              <w:rPr>
                <w:sz w:val="24"/>
                <w:szCs w:val="24"/>
              </w:rPr>
            </w:pPr>
            <w:r w:rsidRPr="00243CC4">
              <w:rPr>
                <w:sz w:val="24"/>
                <w:szCs w:val="24"/>
              </w:rPr>
              <w:t xml:space="preserve">single-agent </w:t>
            </w:r>
            <w:proofErr w:type="spellStart"/>
            <w:r w:rsidRPr="00243CC4">
              <w:rPr>
                <w:sz w:val="24"/>
                <w:szCs w:val="24"/>
              </w:rPr>
              <w:t>carboplatin</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0154CA77" w14:textId="77777777" w:rsidR="003B36A9" w:rsidRPr="00243CC4" w:rsidRDefault="003B36A9">
            <w:pPr>
              <w:rPr>
                <w:sz w:val="24"/>
                <w:szCs w:val="24"/>
              </w:rPr>
            </w:pPr>
            <w:proofErr w:type="spellStart"/>
            <w:r w:rsidRPr="00243CC4">
              <w:rPr>
                <w:sz w:val="24"/>
                <w:szCs w:val="24"/>
              </w:rPr>
              <w:t>Previously</w:t>
            </w:r>
            <w:proofErr w:type="spellEnd"/>
            <w:r w:rsidRPr="00243CC4">
              <w:rPr>
                <w:sz w:val="24"/>
                <w:szCs w:val="24"/>
              </w:rPr>
              <w:t xml:space="preserve"> </w:t>
            </w:r>
            <w:proofErr w:type="spellStart"/>
            <w:r w:rsidRPr="00243CC4">
              <w:rPr>
                <w:sz w:val="24"/>
                <w:szCs w:val="24"/>
              </w:rPr>
              <w:t>treated</w:t>
            </w:r>
            <w:proofErr w:type="spellEnd"/>
          </w:p>
        </w:tc>
      </w:tr>
      <w:tr w:rsidR="003B36A9" w:rsidRPr="00243CC4" w14:paraId="3B01039D" w14:textId="77777777" w:rsidTr="00286E2A">
        <w:trPr>
          <w:trHeight w:val="397"/>
        </w:trPr>
        <w:tc>
          <w:tcPr>
            <w:tcW w:w="2405" w:type="dxa"/>
            <w:tcBorders>
              <w:top w:val="single" w:sz="4" w:space="0" w:color="auto"/>
              <w:left w:val="single" w:sz="4" w:space="0" w:color="auto"/>
              <w:bottom w:val="single" w:sz="4" w:space="0" w:color="auto"/>
              <w:right w:val="single" w:sz="4" w:space="0" w:color="auto"/>
            </w:tcBorders>
            <w:hideMark/>
          </w:tcPr>
          <w:p w14:paraId="5A06DDB3" w14:textId="77777777" w:rsidR="003B36A9" w:rsidRPr="00243CC4" w:rsidRDefault="003B36A9">
            <w:pPr>
              <w:rPr>
                <w:sz w:val="24"/>
                <w:szCs w:val="24"/>
              </w:rPr>
            </w:pPr>
            <w:r w:rsidRPr="00243CC4">
              <w:rPr>
                <w:sz w:val="24"/>
                <w:szCs w:val="24"/>
              </w:rPr>
              <w:t>4 – 6 mg/ml x min</w:t>
            </w:r>
          </w:p>
        </w:tc>
        <w:tc>
          <w:tcPr>
            <w:tcW w:w="2835" w:type="dxa"/>
            <w:tcBorders>
              <w:top w:val="single" w:sz="4" w:space="0" w:color="auto"/>
              <w:left w:val="single" w:sz="4" w:space="0" w:color="auto"/>
              <w:bottom w:val="single" w:sz="4" w:space="0" w:color="auto"/>
              <w:right w:val="single" w:sz="4" w:space="0" w:color="auto"/>
            </w:tcBorders>
            <w:hideMark/>
          </w:tcPr>
          <w:p w14:paraId="5473FF1E" w14:textId="77777777" w:rsidR="003B36A9" w:rsidRPr="00243CC4" w:rsidRDefault="003B36A9">
            <w:pPr>
              <w:rPr>
                <w:sz w:val="24"/>
                <w:szCs w:val="24"/>
              </w:rPr>
            </w:pPr>
            <w:proofErr w:type="spellStart"/>
            <w:r w:rsidRPr="00243CC4">
              <w:rPr>
                <w:sz w:val="24"/>
                <w:szCs w:val="24"/>
              </w:rPr>
              <w:t>Carboplatin</w:t>
            </w:r>
            <w:proofErr w:type="spellEnd"/>
            <w:r w:rsidRPr="00243CC4">
              <w:rPr>
                <w:sz w:val="24"/>
                <w:szCs w:val="24"/>
              </w:rPr>
              <w:t xml:space="preserve"> plus </w:t>
            </w:r>
            <w:proofErr w:type="spellStart"/>
            <w:r w:rsidRPr="00243CC4">
              <w:rPr>
                <w:sz w:val="24"/>
                <w:szCs w:val="24"/>
              </w:rPr>
              <w:t>cyclophosphamide</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010F1764" w14:textId="77777777" w:rsidR="003B36A9" w:rsidRPr="00243CC4" w:rsidRDefault="003B36A9">
            <w:pPr>
              <w:rPr>
                <w:sz w:val="24"/>
                <w:szCs w:val="24"/>
              </w:rPr>
            </w:pPr>
            <w:proofErr w:type="spellStart"/>
            <w:r w:rsidRPr="00243CC4">
              <w:rPr>
                <w:sz w:val="24"/>
                <w:szCs w:val="24"/>
              </w:rPr>
              <w:t>Previously</w:t>
            </w:r>
            <w:proofErr w:type="spellEnd"/>
            <w:r w:rsidRPr="00243CC4">
              <w:rPr>
                <w:sz w:val="24"/>
                <w:szCs w:val="24"/>
              </w:rPr>
              <w:t xml:space="preserve"> </w:t>
            </w:r>
            <w:proofErr w:type="spellStart"/>
            <w:r w:rsidRPr="00243CC4">
              <w:rPr>
                <w:sz w:val="24"/>
                <w:szCs w:val="24"/>
              </w:rPr>
              <w:t>untreated</w:t>
            </w:r>
            <w:proofErr w:type="spellEnd"/>
          </w:p>
        </w:tc>
      </w:tr>
    </w:tbl>
    <w:p w14:paraId="30F45EED" w14:textId="77777777" w:rsidR="003B36A9" w:rsidRPr="00243CC4" w:rsidRDefault="003B36A9" w:rsidP="003B36A9">
      <w:pPr>
        <w:rPr>
          <w:sz w:val="24"/>
          <w:szCs w:val="24"/>
          <w:lang w:val="fr-FR" w:eastAsia="en-US"/>
        </w:rPr>
      </w:pPr>
    </w:p>
    <w:p w14:paraId="29EA7494" w14:textId="31FE399D" w:rsidR="003B36A9" w:rsidRPr="00243CC4" w:rsidRDefault="003B36A9" w:rsidP="00286E2A">
      <w:pPr>
        <w:ind w:left="851"/>
        <w:rPr>
          <w:sz w:val="24"/>
          <w:szCs w:val="24"/>
          <w:lang w:val="en-GB"/>
        </w:rPr>
      </w:pPr>
      <w:bookmarkStart w:id="3" w:name="OLE_LINK139"/>
      <w:r w:rsidRPr="00243CC4">
        <w:rPr>
          <w:sz w:val="24"/>
          <w:szCs w:val="24"/>
          <w:lang w:val="en-US"/>
        </w:rPr>
        <w:t xml:space="preserve">Note: With the Calvert formula, the total dose of </w:t>
      </w:r>
      <w:r w:rsidR="00A02E32" w:rsidRPr="00243CC4">
        <w:rPr>
          <w:sz w:val="24"/>
          <w:szCs w:val="24"/>
          <w:lang w:val="en-US"/>
        </w:rPr>
        <w:t>Carboplatin "Actavis"</w:t>
      </w:r>
      <w:r w:rsidRPr="00243CC4">
        <w:rPr>
          <w:sz w:val="24"/>
          <w:szCs w:val="24"/>
          <w:lang w:val="en-US"/>
        </w:rPr>
        <w:t xml:space="preserve"> is calculated in mg, not mg/m². Calvert’s formula should not be used in patients who have received extensive pretreatment.</w:t>
      </w:r>
    </w:p>
    <w:p w14:paraId="22871A60" w14:textId="77777777" w:rsidR="003B36A9" w:rsidRPr="00243CC4" w:rsidRDefault="003B36A9" w:rsidP="00286E2A">
      <w:pPr>
        <w:ind w:left="851"/>
        <w:rPr>
          <w:sz w:val="24"/>
          <w:szCs w:val="24"/>
          <w:lang w:val="en-US"/>
        </w:rPr>
      </w:pPr>
      <w:bookmarkStart w:id="4" w:name="OLE_LINK140"/>
      <w:bookmarkEnd w:id="3"/>
    </w:p>
    <w:p w14:paraId="340B88BA" w14:textId="77777777" w:rsidR="003B36A9" w:rsidRPr="00243CC4" w:rsidRDefault="003B36A9" w:rsidP="00286E2A">
      <w:pPr>
        <w:ind w:left="851"/>
        <w:rPr>
          <w:color w:val="000000"/>
          <w:sz w:val="24"/>
          <w:szCs w:val="24"/>
          <w:lang w:val="en-US"/>
        </w:rPr>
      </w:pPr>
      <w:r w:rsidRPr="00243CC4">
        <w:rPr>
          <w:sz w:val="24"/>
          <w:szCs w:val="24"/>
          <w:lang w:val="en-US"/>
        </w:rPr>
        <w:t>Patients are considered heavily pretreated if they have received any of the following:</w:t>
      </w:r>
    </w:p>
    <w:p w14:paraId="398915B9" w14:textId="08F28C71" w:rsidR="003B36A9" w:rsidRPr="00243CC4" w:rsidRDefault="003B36A9" w:rsidP="00A02E32">
      <w:pPr>
        <w:pStyle w:val="Listeafsnit"/>
        <w:numPr>
          <w:ilvl w:val="0"/>
          <w:numId w:val="7"/>
        </w:numPr>
        <w:ind w:left="1276" w:hanging="425"/>
        <w:rPr>
          <w:color w:val="000000"/>
          <w:sz w:val="24"/>
          <w:szCs w:val="24"/>
          <w:lang w:val="en-US"/>
        </w:rPr>
      </w:pPr>
      <w:r w:rsidRPr="00243CC4">
        <w:rPr>
          <w:sz w:val="24"/>
          <w:szCs w:val="24"/>
          <w:lang w:val="en-US"/>
        </w:rPr>
        <w:t>Mitomycin C</w:t>
      </w:r>
    </w:p>
    <w:p w14:paraId="5B131EFD" w14:textId="0C03B847" w:rsidR="003B36A9" w:rsidRPr="00243CC4" w:rsidRDefault="003B36A9" w:rsidP="00A02E32">
      <w:pPr>
        <w:pStyle w:val="Listeafsnit"/>
        <w:numPr>
          <w:ilvl w:val="0"/>
          <w:numId w:val="7"/>
        </w:numPr>
        <w:ind w:left="1276" w:hanging="425"/>
        <w:rPr>
          <w:color w:val="000000"/>
          <w:sz w:val="24"/>
          <w:szCs w:val="24"/>
          <w:lang w:val="en-GB"/>
        </w:rPr>
      </w:pPr>
      <w:r w:rsidRPr="00243CC4">
        <w:rPr>
          <w:sz w:val="24"/>
          <w:szCs w:val="24"/>
          <w:lang w:val="en-US"/>
        </w:rPr>
        <w:t>Nitrosourea</w:t>
      </w:r>
    </w:p>
    <w:p w14:paraId="0798C660" w14:textId="1EA0AF92" w:rsidR="003B36A9" w:rsidRPr="00243CC4" w:rsidRDefault="003B36A9" w:rsidP="00A02E32">
      <w:pPr>
        <w:pStyle w:val="Listeafsnit"/>
        <w:numPr>
          <w:ilvl w:val="0"/>
          <w:numId w:val="7"/>
        </w:numPr>
        <w:ind w:left="1276" w:hanging="425"/>
        <w:rPr>
          <w:color w:val="000000"/>
          <w:sz w:val="24"/>
          <w:szCs w:val="24"/>
          <w:lang w:val="en-US"/>
        </w:rPr>
      </w:pPr>
      <w:r w:rsidRPr="00243CC4">
        <w:rPr>
          <w:sz w:val="24"/>
          <w:szCs w:val="24"/>
          <w:lang w:val="en-US"/>
        </w:rPr>
        <w:t>Combination therapy with doxorubicin/ cyclophosphamide/cisplatin,</w:t>
      </w:r>
    </w:p>
    <w:p w14:paraId="0AFF0B06" w14:textId="6C5A3F9C" w:rsidR="003B36A9" w:rsidRPr="00243CC4" w:rsidRDefault="003B36A9" w:rsidP="00A02E32">
      <w:pPr>
        <w:pStyle w:val="Listeafsnit"/>
        <w:numPr>
          <w:ilvl w:val="0"/>
          <w:numId w:val="7"/>
        </w:numPr>
        <w:ind w:left="1276" w:hanging="425"/>
        <w:rPr>
          <w:color w:val="000000"/>
          <w:sz w:val="24"/>
          <w:szCs w:val="24"/>
          <w:lang w:val="en-US"/>
        </w:rPr>
      </w:pPr>
      <w:r w:rsidRPr="00243CC4">
        <w:rPr>
          <w:sz w:val="24"/>
          <w:szCs w:val="24"/>
          <w:lang w:val="en-US"/>
        </w:rPr>
        <w:t>Combination therapy with 5 or more agents,</w:t>
      </w:r>
    </w:p>
    <w:p w14:paraId="755696DB" w14:textId="3E507A4B" w:rsidR="003B36A9" w:rsidRPr="00243CC4" w:rsidRDefault="003B36A9" w:rsidP="00A02E32">
      <w:pPr>
        <w:pStyle w:val="Listeafsnit"/>
        <w:numPr>
          <w:ilvl w:val="0"/>
          <w:numId w:val="7"/>
        </w:numPr>
        <w:ind w:left="1276" w:hanging="425"/>
        <w:rPr>
          <w:color w:val="000000" w:themeColor="text1"/>
          <w:sz w:val="24"/>
          <w:szCs w:val="24"/>
          <w:lang w:val="en-US"/>
        </w:rPr>
      </w:pPr>
      <w:r w:rsidRPr="00243CC4">
        <w:rPr>
          <w:color w:val="000000" w:themeColor="text1"/>
          <w:sz w:val="24"/>
          <w:szCs w:val="24"/>
          <w:lang w:val="en-US"/>
        </w:rPr>
        <w:t xml:space="preserve">Radiotherapy </w:t>
      </w:r>
      <w:r w:rsidRPr="00243CC4">
        <w:rPr>
          <w:sz w:val="24"/>
          <w:szCs w:val="24"/>
        </w:rPr>
        <w:sym w:font="Symbol" w:char="F0B3"/>
      </w:r>
      <w:r w:rsidRPr="00243CC4">
        <w:rPr>
          <w:color w:val="000000" w:themeColor="text1"/>
          <w:sz w:val="24"/>
          <w:szCs w:val="24"/>
          <w:lang w:val="en-US"/>
        </w:rPr>
        <w:t xml:space="preserve"> 4500 rad, focused on a 20 x 20 cm field or on more than one field of therapy.</w:t>
      </w:r>
    </w:p>
    <w:p w14:paraId="15E639CF" w14:textId="77777777" w:rsidR="003B36A9" w:rsidRPr="00243CC4" w:rsidRDefault="003B36A9" w:rsidP="00286E2A">
      <w:pPr>
        <w:ind w:left="851"/>
        <w:rPr>
          <w:color w:val="000000"/>
          <w:sz w:val="24"/>
          <w:szCs w:val="24"/>
          <w:lang w:val="en-US"/>
        </w:rPr>
      </w:pPr>
    </w:p>
    <w:p w14:paraId="3C44838E" w14:textId="77777777" w:rsidR="003B36A9" w:rsidRPr="00915539" w:rsidRDefault="003B36A9" w:rsidP="00286E2A">
      <w:pPr>
        <w:ind w:left="851"/>
        <w:rPr>
          <w:sz w:val="24"/>
          <w:szCs w:val="24"/>
          <w:lang w:val="en-US"/>
        </w:rPr>
      </w:pPr>
      <w:r w:rsidRPr="00915539">
        <w:rPr>
          <w:sz w:val="24"/>
          <w:szCs w:val="24"/>
          <w:lang w:val="en-US"/>
        </w:rPr>
        <w:t>Therapy with carboplatin should be discontinued in the case of an unresponsive tumour, progressive disease and/or occurrence of not tolerable side effects.</w:t>
      </w:r>
    </w:p>
    <w:p w14:paraId="2B77B1C2" w14:textId="77777777" w:rsidR="003B36A9" w:rsidRPr="00243CC4" w:rsidRDefault="003B36A9" w:rsidP="00286E2A">
      <w:pPr>
        <w:ind w:left="851"/>
        <w:rPr>
          <w:sz w:val="24"/>
          <w:szCs w:val="24"/>
          <w:lang w:val="en-US"/>
        </w:rPr>
      </w:pPr>
    </w:p>
    <w:p w14:paraId="29EB2AC8" w14:textId="54638EE9" w:rsidR="003B36A9" w:rsidRPr="00243CC4" w:rsidRDefault="003B36A9" w:rsidP="00286E2A">
      <w:pPr>
        <w:ind w:left="851"/>
        <w:rPr>
          <w:sz w:val="24"/>
          <w:szCs w:val="24"/>
          <w:lang w:val="en-US"/>
        </w:rPr>
      </w:pPr>
      <w:r w:rsidRPr="00243CC4">
        <w:rPr>
          <w:sz w:val="24"/>
          <w:szCs w:val="24"/>
          <w:lang w:val="en-US"/>
        </w:rPr>
        <w:t xml:space="preserve">Therapy should not be repeated until four weeks after the previous </w:t>
      </w:r>
      <w:r w:rsidR="00A02E32" w:rsidRPr="00243CC4">
        <w:rPr>
          <w:sz w:val="24"/>
          <w:szCs w:val="24"/>
          <w:lang w:val="en-US"/>
        </w:rPr>
        <w:t>Carboplatin "Actavis"</w:t>
      </w:r>
      <w:r w:rsidRPr="00243CC4">
        <w:rPr>
          <w:sz w:val="24"/>
          <w:szCs w:val="24"/>
          <w:lang w:val="en-US"/>
        </w:rPr>
        <w:t xml:space="preserve"> course and/or until the neutrophil count is at least 2,000 cells/mm³ and the platelet count is at least 100,000 cells/mm³.</w:t>
      </w:r>
    </w:p>
    <w:p w14:paraId="3DD50330" w14:textId="77777777" w:rsidR="003B36A9" w:rsidRPr="00243CC4" w:rsidRDefault="003B36A9" w:rsidP="00286E2A">
      <w:pPr>
        <w:ind w:left="851"/>
        <w:rPr>
          <w:sz w:val="24"/>
          <w:szCs w:val="24"/>
          <w:u w:val="single"/>
          <w:lang w:val="en-US"/>
        </w:rPr>
      </w:pPr>
    </w:p>
    <w:p w14:paraId="2FE81BAF" w14:textId="71108C7C" w:rsidR="003B36A9" w:rsidRPr="00243CC4" w:rsidRDefault="003B36A9" w:rsidP="00286E2A">
      <w:pPr>
        <w:ind w:left="851"/>
        <w:rPr>
          <w:sz w:val="24"/>
          <w:szCs w:val="24"/>
          <w:lang w:val="en-US"/>
        </w:rPr>
      </w:pPr>
      <w:r w:rsidRPr="00243CC4">
        <w:rPr>
          <w:sz w:val="24"/>
          <w:szCs w:val="24"/>
          <w:lang w:val="en-US"/>
        </w:rPr>
        <w:t>Reduction of the initial dosage by 20</w:t>
      </w:r>
      <w:r w:rsidRPr="00243CC4">
        <w:rPr>
          <w:sz w:val="24"/>
          <w:szCs w:val="24"/>
          <w:lang w:val="en-US"/>
        </w:rPr>
        <w:noBreakHyphen/>
        <w:t>25</w:t>
      </w:r>
      <w:r w:rsidR="00243CC4" w:rsidRPr="00243CC4">
        <w:rPr>
          <w:sz w:val="24"/>
          <w:szCs w:val="24"/>
          <w:lang w:val="en-US"/>
        </w:rPr>
        <w:t xml:space="preserve"> %</w:t>
      </w:r>
      <w:r w:rsidRPr="00243CC4">
        <w:rPr>
          <w:sz w:val="24"/>
          <w:szCs w:val="24"/>
          <w:lang w:val="en-US"/>
        </w:rPr>
        <w:t xml:space="preserve"> is recommended for those patients who present with risk factors such as prior myelosuppressive treatment and low performance status (ECOG-</w:t>
      </w:r>
      <w:proofErr w:type="spellStart"/>
      <w:r w:rsidRPr="00243CC4">
        <w:rPr>
          <w:sz w:val="24"/>
          <w:szCs w:val="24"/>
          <w:lang w:val="en-US"/>
        </w:rPr>
        <w:t>Zubrod</w:t>
      </w:r>
      <w:proofErr w:type="spellEnd"/>
      <w:r w:rsidRPr="00243CC4">
        <w:rPr>
          <w:sz w:val="24"/>
          <w:szCs w:val="24"/>
          <w:lang w:val="en-US"/>
        </w:rPr>
        <w:t xml:space="preserve"> 2</w:t>
      </w:r>
      <w:r w:rsidRPr="00243CC4">
        <w:rPr>
          <w:sz w:val="24"/>
          <w:szCs w:val="24"/>
          <w:lang w:val="en-US"/>
        </w:rPr>
        <w:noBreakHyphen/>
        <w:t xml:space="preserve">4 or </w:t>
      </w:r>
      <w:proofErr w:type="spellStart"/>
      <w:r w:rsidRPr="00243CC4">
        <w:rPr>
          <w:sz w:val="24"/>
          <w:szCs w:val="24"/>
          <w:lang w:val="en-US"/>
        </w:rPr>
        <w:t>Karnofsky</w:t>
      </w:r>
      <w:proofErr w:type="spellEnd"/>
      <w:r w:rsidRPr="00243CC4">
        <w:rPr>
          <w:sz w:val="24"/>
          <w:szCs w:val="24"/>
          <w:lang w:val="en-US"/>
        </w:rPr>
        <w:t xml:space="preserve"> below 80).</w:t>
      </w:r>
    </w:p>
    <w:p w14:paraId="767ADAD8" w14:textId="77777777" w:rsidR="003B36A9" w:rsidRPr="00243CC4" w:rsidRDefault="003B36A9" w:rsidP="00286E2A">
      <w:pPr>
        <w:ind w:left="851"/>
        <w:rPr>
          <w:sz w:val="24"/>
          <w:szCs w:val="24"/>
          <w:lang w:val="en-US"/>
        </w:rPr>
      </w:pPr>
    </w:p>
    <w:p w14:paraId="622A7B3D" w14:textId="46A36368" w:rsidR="003B36A9" w:rsidRPr="00243CC4" w:rsidRDefault="003B36A9" w:rsidP="00286E2A">
      <w:pPr>
        <w:ind w:left="851"/>
        <w:rPr>
          <w:color w:val="000000" w:themeColor="text1"/>
          <w:sz w:val="24"/>
          <w:szCs w:val="24"/>
          <w:lang w:val="en-US"/>
        </w:rPr>
      </w:pPr>
      <w:r w:rsidRPr="00243CC4">
        <w:rPr>
          <w:sz w:val="24"/>
          <w:szCs w:val="24"/>
          <w:lang w:val="en-US"/>
        </w:rPr>
        <w:t xml:space="preserve">Determination of the </w:t>
      </w:r>
      <w:proofErr w:type="spellStart"/>
      <w:r w:rsidRPr="00243CC4">
        <w:rPr>
          <w:sz w:val="24"/>
          <w:szCs w:val="24"/>
          <w:lang w:val="en-US"/>
        </w:rPr>
        <w:t>haematological</w:t>
      </w:r>
      <w:proofErr w:type="spellEnd"/>
      <w:r w:rsidRPr="00243CC4">
        <w:rPr>
          <w:sz w:val="24"/>
          <w:szCs w:val="24"/>
          <w:lang w:val="en-US"/>
        </w:rPr>
        <w:t xml:space="preserve"> nadir by weekly blood counts during the initial courses of treatment </w:t>
      </w:r>
      <w:r w:rsidRPr="00243CC4">
        <w:rPr>
          <w:color w:val="000000" w:themeColor="text1"/>
          <w:sz w:val="24"/>
          <w:szCs w:val="24"/>
          <w:lang w:val="en-US"/>
        </w:rPr>
        <w:t xml:space="preserve">with </w:t>
      </w:r>
      <w:r w:rsidR="00A02E32" w:rsidRPr="00243CC4">
        <w:rPr>
          <w:color w:val="000000" w:themeColor="text1"/>
          <w:sz w:val="24"/>
          <w:szCs w:val="24"/>
          <w:lang w:val="en-US"/>
        </w:rPr>
        <w:t>Carboplatin "Actavis"</w:t>
      </w:r>
      <w:r w:rsidRPr="00243CC4">
        <w:rPr>
          <w:color w:val="000000" w:themeColor="text1"/>
          <w:sz w:val="24"/>
          <w:szCs w:val="24"/>
          <w:lang w:val="en-US"/>
        </w:rPr>
        <w:t xml:space="preserve"> is recommended for dosage adjustment for subsequent courses of therapy.</w:t>
      </w:r>
    </w:p>
    <w:p w14:paraId="12C6CD39" w14:textId="77777777" w:rsidR="003B36A9" w:rsidRPr="00243CC4" w:rsidRDefault="003B36A9" w:rsidP="00286E2A">
      <w:pPr>
        <w:ind w:left="851"/>
        <w:rPr>
          <w:color w:val="000000" w:themeColor="text1"/>
          <w:sz w:val="24"/>
          <w:szCs w:val="24"/>
          <w:lang w:val="en-US"/>
        </w:rPr>
      </w:pPr>
    </w:p>
    <w:bookmarkEnd w:id="4"/>
    <w:p w14:paraId="6FBBB30F" w14:textId="77777777" w:rsidR="003B36A9" w:rsidRPr="00243CC4" w:rsidRDefault="003B36A9" w:rsidP="00286E2A">
      <w:pPr>
        <w:ind w:left="851"/>
        <w:rPr>
          <w:color w:val="000000" w:themeColor="text1"/>
          <w:sz w:val="24"/>
          <w:szCs w:val="24"/>
          <w:lang w:val="en-GB"/>
        </w:rPr>
      </w:pPr>
      <w:r w:rsidRPr="00243CC4">
        <w:rPr>
          <w:color w:val="000000" w:themeColor="text1"/>
          <w:sz w:val="24"/>
          <w:szCs w:val="24"/>
          <w:lang w:val="en-US"/>
        </w:rPr>
        <w:t>Needles or intravenous sets containing aluminum parts that may come in contact with carboplatin should not be used for preparation or administration. Aluminum reacts with carboplatin causing precipitate formation and/or loss of potency.</w:t>
      </w:r>
    </w:p>
    <w:p w14:paraId="0ED13EDD" w14:textId="77777777" w:rsidR="003B36A9" w:rsidRPr="00243CC4" w:rsidRDefault="003B36A9" w:rsidP="00286E2A">
      <w:pPr>
        <w:ind w:left="851"/>
        <w:rPr>
          <w:color w:val="000000" w:themeColor="text1"/>
          <w:sz w:val="24"/>
          <w:szCs w:val="24"/>
          <w:lang w:val="en-US"/>
        </w:rPr>
      </w:pPr>
    </w:p>
    <w:p w14:paraId="0C6553DE" w14:textId="77777777" w:rsidR="003B36A9" w:rsidRPr="00243CC4" w:rsidRDefault="003B36A9" w:rsidP="00286E2A">
      <w:pPr>
        <w:ind w:left="851"/>
        <w:rPr>
          <w:color w:val="000000" w:themeColor="text1"/>
          <w:sz w:val="24"/>
          <w:szCs w:val="24"/>
          <w:lang w:val="en-US"/>
        </w:rPr>
      </w:pPr>
      <w:r w:rsidRPr="00243CC4">
        <w:rPr>
          <w:color w:val="000000" w:themeColor="text1"/>
          <w:sz w:val="24"/>
          <w:szCs w:val="24"/>
          <w:lang w:val="en-US"/>
        </w:rPr>
        <w:lastRenderedPageBreak/>
        <w:t>The safety measures for dangerous substances are to be complied with preparation and administration.</w:t>
      </w:r>
    </w:p>
    <w:p w14:paraId="264F2C3D" w14:textId="77777777" w:rsidR="003B36A9" w:rsidRPr="00243CC4" w:rsidRDefault="003B36A9" w:rsidP="00286E2A">
      <w:pPr>
        <w:ind w:left="851"/>
        <w:rPr>
          <w:color w:val="000000" w:themeColor="text1"/>
          <w:sz w:val="24"/>
          <w:szCs w:val="24"/>
          <w:lang w:val="en-US"/>
        </w:rPr>
      </w:pPr>
    </w:p>
    <w:p w14:paraId="4660E9AA" w14:textId="77777777" w:rsidR="003B36A9" w:rsidRPr="00243CC4" w:rsidRDefault="003B36A9" w:rsidP="00286E2A">
      <w:pPr>
        <w:ind w:left="851"/>
        <w:rPr>
          <w:color w:val="000000" w:themeColor="text1"/>
          <w:sz w:val="24"/>
          <w:szCs w:val="24"/>
          <w:lang w:val="en-US"/>
        </w:rPr>
      </w:pPr>
      <w:r w:rsidRPr="00243CC4">
        <w:rPr>
          <w:color w:val="000000" w:themeColor="text1"/>
          <w:sz w:val="24"/>
          <w:szCs w:val="24"/>
          <w:lang w:val="en-US"/>
        </w:rPr>
        <w:t>Preparation must be carried out by personnel who have been trained in the safe use while wearing protective gloves, face mask and protective clothes.</w:t>
      </w:r>
    </w:p>
    <w:p w14:paraId="0EF0FFDE" w14:textId="77777777" w:rsidR="003B36A9" w:rsidRPr="00243CC4" w:rsidRDefault="003B36A9" w:rsidP="00286E2A">
      <w:pPr>
        <w:ind w:left="851"/>
        <w:rPr>
          <w:color w:val="000000" w:themeColor="text1"/>
          <w:sz w:val="24"/>
          <w:szCs w:val="24"/>
          <w:lang w:val="en-US"/>
        </w:rPr>
      </w:pPr>
    </w:p>
    <w:p w14:paraId="4E94AAB5" w14:textId="77777777" w:rsidR="003B36A9" w:rsidRPr="00243CC4" w:rsidRDefault="003B36A9" w:rsidP="00286E2A">
      <w:pPr>
        <w:ind w:left="851"/>
        <w:rPr>
          <w:i/>
          <w:color w:val="000000" w:themeColor="text1"/>
          <w:sz w:val="24"/>
          <w:szCs w:val="24"/>
          <w:lang w:val="en-US"/>
        </w:rPr>
      </w:pPr>
      <w:bookmarkStart w:id="5" w:name="OLE_LINK141"/>
      <w:r w:rsidRPr="00243CC4">
        <w:rPr>
          <w:i/>
          <w:color w:val="000000" w:themeColor="text1"/>
          <w:sz w:val="24"/>
          <w:szCs w:val="24"/>
          <w:lang w:val="en-US"/>
        </w:rPr>
        <w:t>Renal impairment</w:t>
      </w:r>
    </w:p>
    <w:p w14:paraId="3865D166" w14:textId="6BE49046" w:rsidR="003B36A9" w:rsidRPr="00243CC4" w:rsidRDefault="003B36A9" w:rsidP="00286E2A">
      <w:pPr>
        <w:ind w:left="851"/>
        <w:rPr>
          <w:sz w:val="24"/>
          <w:szCs w:val="24"/>
          <w:lang w:val="en-US"/>
        </w:rPr>
      </w:pPr>
      <w:r w:rsidRPr="00243CC4">
        <w:rPr>
          <w:sz w:val="24"/>
          <w:szCs w:val="24"/>
          <w:lang w:val="en-US"/>
        </w:rPr>
        <w:t xml:space="preserve">Patients with </w:t>
      </w:r>
      <w:bookmarkStart w:id="6" w:name="OLE_LINK115"/>
      <w:r w:rsidRPr="00243CC4">
        <w:rPr>
          <w:sz w:val="24"/>
          <w:szCs w:val="24"/>
          <w:lang w:val="en-US"/>
        </w:rPr>
        <w:t>creatinine clearance</w:t>
      </w:r>
      <w:bookmarkEnd w:id="6"/>
      <w:r w:rsidRPr="00243CC4">
        <w:rPr>
          <w:sz w:val="24"/>
          <w:szCs w:val="24"/>
          <w:lang w:val="en-US"/>
        </w:rPr>
        <w:t xml:space="preserve"> values of less than 60 ml/min are at increased risk of severe myelosuppression. The frequency of severe leukopenia, neutropenia, or thrombocytopenia has been maintained at about 25</w:t>
      </w:r>
      <w:r w:rsidR="00243CC4">
        <w:rPr>
          <w:sz w:val="24"/>
          <w:szCs w:val="24"/>
          <w:lang w:val="en-US"/>
        </w:rPr>
        <w:t xml:space="preserve"> %</w:t>
      </w:r>
      <w:r w:rsidRPr="00243CC4">
        <w:rPr>
          <w:sz w:val="24"/>
          <w:szCs w:val="24"/>
          <w:lang w:val="en-US"/>
        </w:rPr>
        <w:t xml:space="preserve"> with the following dosage recommendations:</w:t>
      </w:r>
    </w:p>
    <w:p w14:paraId="351F0242" w14:textId="77777777" w:rsidR="003B36A9" w:rsidRPr="00243CC4" w:rsidRDefault="003B36A9" w:rsidP="00286E2A">
      <w:pPr>
        <w:ind w:left="851"/>
        <w:rPr>
          <w:sz w:val="24"/>
          <w:szCs w:val="24"/>
          <w:lang w:val="en-US"/>
        </w:rPr>
      </w:pPr>
    </w:p>
    <w:p w14:paraId="01A66D68" w14:textId="77777777" w:rsidR="003B36A9" w:rsidRPr="00243CC4" w:rsidRDefault="003B36A9" w:rsidP="00286E2A">
      <w:pPr>
        <w:ind w:left="851"/>
        <w:rPr>
          <w:sz w:val="24"/>
          <w:szCs w:val="24"/>
          <w:lang w:val="en-US"/>
        </w:rPr>
      </w:pPr>
      <w:r w:rsidRPr="00243CC4">
        <w:rPr>
          <w:sz w:val="24"/>
          <w:szCs w:val="24"/>
          <w:lang w:val="en-US"/>
        </w:rPr>
        <w:t>Baseline Creatinine Clearance Initial Dose (Day 1)</w:t>
      </w:r>
    </w:p>
    <w:p w14:paraId="68BFD092" w14:textId="77777777" w:rsidR="003B36A9" w:rsidRPr="00243CC4" w:rsidRDefault="003B36A9" w:rsidP="00286E2A">
      <w:pPr>
        <w:ind w:left="851"/>
        <w:rPr>
          <w:sz w:val="24"/>
          <w:szCs w:val="24"/>
          <w:lang w:val="nl-NL"/>
        </w:rPr>
      </w:pPr>
      <w:r w:rsidRPr="00243CC4">
        <w:rPr>
          <w:sz w:val="24"/>
          <w:szCs w:val="24"/>
          <w:lang w:val="nl-NL"/>
        </w:rPr>
        <w:t>41</w:t>
      </w:r>
      <w:r w:rsidRPr="00243CC4">
        <w:rPr>
          <w:sz w:val="24"/>
          <w:szCs w:val="24"/>
          <w:lang w:val="nl-NL"/>
        </w:rPr>
        <w:noBreakHyphen/>
        <w:t>59 mL/min 250 mg/m</w:t>
      </w:r>
      <w:r w:rsidRPr="00243CC4">
        <w:rPr>
          <w:sz w:val="24"/>
          <w:szCs w:val="24"/>
          <w:vertAlign w:val="superscript"/>
          <w:lang w:val="nl-NL"/>
        </w:rPr>
        <w:t>2</w:t>
      </w:r>
      <w:r w:rsidRPr="00243CC4">
        <w:rPr>
          <w:sz w:val="24"/>
          <w:szCs w:val="24"/>
          <w:lang w:val="nl-NL"/>
        </w:rPr>
        <w:t xml:space="preserve"> I.V.</w:t>
      </w:r>
    </w:p>
    <w:p w14:paraId="21B16E2C" w14:textId="77777777" w:rsidR="003B36A9" w:rsidRPr="00243CC4" w:rsidRDefault="003B36A9" w:rsidP="00286E2A">
      <w:pPr>
        <w:ind w:left="851"/>
        <w:rPr>
          <w:sz w:val="24"/>
          <w:szCs w:val="24"/>
          <w:lang w:val="nl-NL"/>
        </w:rPr>
      </w:pPr>
      <w:r w:rsidRPr="00243CC4">
        <w:rPr>
          <w:sz w:val="24"/>
          <w:szCs w:val="24"/>
          <w:lang w:val="nl-NL"/>
        </w:rPr>
        <w:t>16</w:t>
      </w:r>
      <w:r w:rsidRPr="00243CC4">
        <w:rPr>
          <w:sz w:val="24"/>
          <w:szCs w:val="24"/>
          <w:lang w:val="nl-NL"/>
        </w:rPr>
        <w:noBreakHyphen/>
        <w:t>40 mL/min 200 mg/m</w:t>
      </w:r>
      <w:r w:rsidRPr="00243CC4">
        <w:rPr>
          <w:sz w:val="24"/>
          <w:szCs w:val="24"/>
          <w:vertAlign w:val="superscript"/>
          <w:lang w:val="nl-NL"/>
        </w:rPr>
        <w:t>2</w:t>
      </w:r>
      <w:r w:rsidRPr="00243CC4">
        <w:rPr>
          <w:sz w:val="24"/>
          <w:szCs w:val="24"/>
          <w:lang w:val="nl-NL"/>
        </w:rPr>
        <w:t xml:space="preserve"> I.V.</w:t>
      </w:r>
    </w:p>
    <w:p w14:paraId="2EDC59F7" w14:textId="77777777" w:rsidR="003B36A9" w:rsidRPr="00243CC4" w:rsidRDefault="003B36A9" w:rsidP="00286E2A">
      <w:pPr>
        <w:ind w:left="851"/>
        <w:rPr>
          <w:sz w:val="24"/>
          <w:szCs w:val="24"/>
          <w:lang w:val="nl-NL"/>
        </w:rPr>
      </w:pPr>
    </w:p>
    <w:p w14:paraId="56741340" w14:textId="77777777" w:rsidR="003B36A9" w:rsidRPr="00243CC4" w:rsidRDefault="003B36A9" w:rsidP="00286E2A">
      <w:pPr>
        <w:ind w:left="851"/>
        <w:rPr>
          <w:sz w:val="24"/>
          <w:szCs w:val="24"/>
          <w:lang w:val="en-US"/>
        </w:rPr>
      </w:pPr>
      <w:r w:rsidRPr="00243CC4">
        <w:rPr>
          <w:sz w:val="24"/>
          <w:szCs w:val="24"/>
          <w:lang w:val="en-US"/>
        </w:rPr>
        <w:t>Insufficient data exist on the use of carboplatin in patients with creatinine clearance of 15 mL/min or less to permit a recommendation for treatment.</w:t>
      </w:r>
    </w:p>
    <w:p w14:paraId="3E1352C5" w14:textId="77777777" w:rsidR="003B36A9" w:rsidRPr="00243CC4" w:rsidRDefault="003B36A9" w:rsidP="00286E2A">
      <w:pPr>
        <w:ind w:left="851"/>
        <w:rPr>
          <w:sz w:val="24"/>
          <w:szCs w:val="24"/>
          <w:lang w:val="en-US"/>
        </w:rPr>
      </w:pPr>
    </w:p>
    <w:p w14:paraId="065B2537" w14:textId="77777777" w:rsidR="003B36A9" w:rsidRPr="00243CC4" w:rsidRDefault="003B36A9" w:rsidP="00286E2A">
      <w:pPr>
        <w:ind w:left="851"/>
        <w:rPr>
          <w:sz w:val="24"/>
          <w:szCs w:val="24"/>
          <w:u w:val="single"/>
          <w:lang w:val="en-US"/>
        </w:rPr>
      </w:pPr>
      <w:r w:rsidRPr="00243CC4">
        <w:rPr>
          <w:sz w:val="24"/>
          <w:szCs w:val="24"/>
          <w:lang w:val="en-US"/>
        </w:rPr>
        <w:t>All of the above dosing recommendations apply to the initial course of treatment. Subsequent dosages should be adjusted according to the patient’s tolerance and to the acceptable level of myelosuppression.</w:t>
      </w:r>
    </w:p>
    <w:p w14:paraId="71AF53B1" w14:textId="77777777" w:rsidR="003B36A9" w:rsidRPr="00243CC4" w:rsidRDefault="003B36A9" w:rsidP="00286E2A">
      <w:pPr>
        <w:ind w:left="851"/>
        <w:rPr>
          <w:sz w:val="24"/>
          <w:szCs w:val="24"/>
          <w:lang w:val="en-US"/>
        </w:rPr>
      </w:pPr>
    </w:p>
    <w:bookmarkEnd w:id="5"/>
    <w:p w14:paraId="6E2AADA7" w14:textId="77777777" w:rsidR="003B36A9" w:rsidRPr="00243CC4" w:rsidRDefault="003B36A9" w:rsidP="00286E2A">
      <w:pPr>
        <w:ind w:left="851"/>
        <w:rPr>
          <w:i/>
          <w:sz w:val="24"/>
          <w:szCs w:val="24"/>
          <w:lang w:val="en-US"/>
        </w:rPr>
      </w:pPr>
      <w:r w:rsidRPr="00243CC4">
        <w:rPr>
          <w:i/>
          <w:sz w:val="24"/>
          <w:szCs w:val="24"/>
          <w:lang w:val="en-US"/>
        </w:rPr>
        <w:t>Combination therapy</w:t>
      </w:r>
    </w:p>
    <w:p w14:paraId="7654BF59" w14:textId="21190A83" w:rsidR="003B36A9" w:rsidRPr="00243CC4" w:rsidRDefault="003B36A9" w:rsidP="00286E2A">
      <w:pPr>
        <w:ind w:left="851"/>
        <w:rPr>
          <w:sz w:val="24"/>
          <w:szCs w:val="24"/>
          <w:lang w:val="en-US"/>
        </w:rPr>
      </w:pPr>
      <w:r w:rsidRPr="00243CC4">
        <w:rPr>
          <w:sz w:val="24"/>
          <w:szCs w:val="24"/>
          <w:lang w:val="en-US"/>
        </w:rPr>
        <w:t xml:space="preserve">The optimal use of </w:t>
      </w:r>
      <w:r w:rsidR="00A02E32" w:rsidRPr="00243CC4">
        <w:rPr>
          <w:sz w:val="24"/>
          <w:szCs w:val="24"/>
          <w:lang w:val="en-US"/>
        </w:rPr>
        <w:t>Carboplatin "Actavis"</w:t>
      </w:r>
      <w:r w:rsidRPr="00243CC4">
        <w:rPr>
          <w:sz w:val="24"/>
          <w:szCs w:val="24"/>
          <w:lang w:val="en-US"/>
        </w:rPr>
        <w:t xml:space="preserve"> in combination with other myelosuppressive agents requires dosage adjustments according to the regimen and schedule to be adopted.</w:t>
      </w:r>
    </w:p>
    <w:p w14:paraId="2C3DB7E3" w14:textId="77777777" w:rsidR="003B36A9" w:rsidRPr="00243CC4" w:rsidRDefault="003B36A9" w:rsidP="00286E2A">
      <w:pPr>
        <w:ind w:left="851"/>
        <w:rPr>
          <w:sz w:val="24"/>
          <w:szCs w:val="24"/>
          <w:lang w:val="en-US"/>
        </w:rPr>
      </w:pPr>
    </w:p>
    <w:p w14:paraId="56C4515C" w14:textId="77777777" w:rsidR="003B36A9" w:rsidRPr="00243CC4" w:rsidRDefault="003B36A9" w:rsidP="00286E2A">
      <w:pPr>
        <w:ind w:left="851"/>
        <w:rPr>
          <w:bCs/>
          <w:i/>
          <w:sz w:val="24"/>
          <w:szCs w:val="24"/>
          <w:lang w:val="en-US"/>
        </w:rPr>
      </w:pPr>
      <w:r w:rsidRPr="00243CC4">
        <w:rPr>
          <w:bCs/>
          <w:i/>
          <w:sz w:val="24"/>
          <w:szCs w:val="24"/>
          <w:lang w:val="en-US"/>
        </w:rPr>
        <w:t>Paediatric population</w:t>
      </w:r>
    </w:p>
    <w:p w14:paraId="447224B7" w14:textId="77777777" w:rsidR="003B36A9" w:rsidRPr="00243CC4" w:rsidRDefault="003B36A9" w:rsidP="00286E2A">
      <w:pPr>
        <w:ind w:left="851"/>
        <w:rPr>
          <w:sz w:val="24"/>
          <w:szCs w:val="24"/>
          <w:lang w:val="en-US"/>
        </w:rPr>
      </w:pPr>
      <w:r w:rsidRPr="00243CC4">
        <w:rPr>
          <w:sz w:val="24"/>
          <w:szCs w:val="24"/>
          <w:lang w:val="en-US"/>
        </w:rPr>
        <w:t>There is insufficient information available to recommend a dosage in the paediatric population.</w:t>
      </w:r>
    </w:p>
    <w:p w14:paraId="69F768B4" w14:textId="77777777" w:rsidR="003B36A9" w:rsidRPr="00243CC4" w:rsidRDefault="003B36A9" w:rsidP="00286E2A">
      <w:pPr>
        <w:ind w:left="851"/>
        <w:rPr>
          <w:sz w:val="24"/>
          <w:szCs w:val="24"/>
          <w:u w:val="single"/>
          <w:lang w:val="en-US"/>
        </w:rPr>
      </w:pPr>
    </w:p>
    <w:p w14:paraId="5378B4A1" w14:textId="77777777" w:rsidR="003B36A9" w:rsidRPr="00243CC4" w:rsidRDefault="003B36A9" w:rsidP="00286E2A">
      <w:pPr>
        <w:ind w:left="851"/>
        <w:rPr>
          <w:i/>
          <w:sz w:val="24"/>
          <w:szCs w:val="24"/>
          <w:lang w:val="en-US"/>
        </w:rPr>
      </w:pPr>
      <w:r w:rsidRPr="00243CC4">
        <w:rPr>
          <w:i/>
          <w:sz w:val="24"/>
          <w:szCs w:val="24"/>
          <w:lang w:val="en-US"/>
        </w:rPr>
        <w:t>Elderly</w:t>
      </w:r>
    </w:p>
    <w:p w14:paraId="58B66C43" w14:textId="77777777" w:rsidR="003B36A9" w:rsidRPr="00243CC4" w:rsidRDefault="003B36A9" w:rsidP="00286E2A">
      <w:pPr>
        <w:ind w:left="851"/>
        <w:rPr>
          <w:sz w:val="24"/>
          <w:szCs w:val="24"/>
          <w:lang w:val="en-US"/>
        </w:rPr>
      </w:pPr>
      <w:r w:rsidRPr="00915539">
        <w:rPr>
          <w:sz w:val="24"/>
          <w:szCs w:val="24"/>
          <w:lang w:val="en-US"/>
        </w:rPr>
        <w:t>In patients of more than 65 years of age, adjustment of the carboplatin dose to the general condition is necessary during the first and the subsequent therapeutic courses.</w:t>
      </w:r>
    </w:p>
    <w:p w14:paraId="69643621" w14:textId="77777777" w:rsidR="003B36A9" w:rsidRPr="00243CC4" w:rsidRDefault="003B36A9" w:rsidP="00286E2A">
      <w:pPr>
        <w:ind w:left="851"/>
        <w:rPr>
          <w:sz w:val="24"/>
          <w:szCs w:val="24"/>
          <w:u w:val="single"/>
          <w:lang w:val="en-US"/>
        </w:rPr>
      </w:pPr>
    </w:p>
    <w:p w14:paraId="447D907E" w14:textId="77777777" w:rsidR="003B36A9" w:rsidRPr="00243CC4" w:rsidRDefault="003B36A9" w:rsidP="00286E2A">
      <w:pPr>
        <w:ind w:left="851"/>
        <w:rPr>
          <w:sz w:val="24"/>
          <w:szCs w:val="24"/>
          <w:u w:val="single"/>
          <w:lang w:val="en-US"/>
        </w:rPr>
      </w:pPr>
      <w:r w:rsidRPr="00243CC4">
        <w:rPr>
          <w:sz w:val="24"/>
          <w:szCs w:val="24"/>
          <w:u w:val="single"/>
          <w:lang w:val="en-US"/>
        </w:rPr>
        <w:t>Method of administration</w:t>
      </w:r>
    </w:p>
    <w:p w14:paraId="201CF8F5" w14:textId="77777777" w:rsidR="003B36A9" w:rsidRPr="00243CC4" w:rsidRDefault="003B36A9" w:rsidP="00286E2A">
      <w:pPr>
        <w:ind w:left="851"/>
        <w:rPr>
          <w:sz w:val="24"/>
          <w:szCs w:val="24"/>
          <w:lang w:val="en-GB"/>
        </w:rPr>
      </w:pPr>
    </w:p>
    <w:p w14:paraId="128797EA" w14:textId="34C712B3" w:rsidR="003B36A9" w:rsidRPr="00243CC4" w:rsidRDefault="00A02E32" w:rsidP="00286E2A">
      <w:pPr>
        <w:ind w:left="851"/>
        <w:rPr>
          <w:sz w:val="24"/>
          <w:szCs w:val="24"/>
          <w:lang w:val="en-US"/>
        </w:rPr>
      </w:pPr>
      <w:r w:rsidRPr="00243CC4">
        <w:rPr>
          <w:sz w:val="24"/>
          <w:szCs w:val="24"/>
          <w:lang w:val="en-US"/>
        </w:rPr>
        <w:t>Carboplatin "Actavis"</w:t>
      </w:r>
      <w:r w:rsidR="003B36A9" w:rsidRPr="00243CC4">
        <w:rPr>
          <w:sz w:val="24"/>
          <w:szCs w:val="24"/>
          <w:lang w:val="en-US"/>
        </w:rPr>
        <w:t xml:space="preserve"> should be used by the intravenous route only.</w:t>
      </w:r>
    </w:p>
    <w:p w14:paraId="76DB955D" w14:textId="77777777" w:rsidR="003B36A9" w:rsidRPr="00243CC4" w:rsidRDefault="003B36A9" w:rsidP="00286E2A">
      <w:pPr>
        <w:ind w:left="851"/>
        <w:rPr>
          <w:sz w:val="24"/>
          <w:szCs w:val="24"/>
          <w:u w:val="single"/>
          <w:lang w:val="en-US"/>
        </w:rPr>
      </w:pPr>
    </w:p>
    <w:p w14:paraId="60FE1B2D" w14:textId="77777777" w:rsidR="003B36A9" w:rsidRPr="00243CC4" w:rsidRDefault="003B36A9" w:rsidP="00286E2A">
      <w:pPr>
        <w:ind w:left="851"/>
        <w:rPr>
          <w:strike/>
          <w:sz w:val="24"/>
          <w:szCs w:val="24"/>
          <w:lang w:val="en-GB"/>
        </w:rPr>
      </w:pPr>
      <w:r w:rsidRPr="00243CC4">
        <w:rPr>
          <w:sz w:val="24"/>
          <w:szCs w:val="24"/>
          <w:lang w:val="en-US"/>
        </w:rPr>
        <w:t>The medicinal product must be diluted prior to infusion. For instruction on dilution before administration, see section 6.6.</w:t>
      </w:r>
    </w:p>
    <w:p w14:paraId="0601B3F5" w14:textId="77777777" w:rsidR="007C5D2A" w:rsidRPr="00243CC4" w:rsidRDefault="007C5D2A" w:rsidP="00A85D26">
      <w:pPr>
        <w:tabs>
          <w:tab w:val="left" w:pos="851"/>
        </w:tabs>
        <w:ind w:left="851"/>
        <w:rPr>
          <w:sz w:val="24"/>
          <w:szCs w:val="24"/>
          <w:lang w:val="en-GB"/>
        </w:rPr>
      </w:pPr>
    </w:p>
    <w:p w14:paraId="0A618424" w14:textId="77777777" w:rsidR="007C5D2A" w:rsidRPr="00243CC4" w:rsidRDefault="007C5D2A" w:rsidP="007C5D2A">
      <w:pPr>
        <w:tabs>
          <w:tab w:val="left" w:pos="851"/>
        </w:tabs>
        <w:ind w:left="851" w:hanging="851"/>
        <w:rPr>
          <w:b/>
          <w:sz w:val="24"/>
          <w:szCs w:val="24"/>
          <w:lang w:val="en-GB"/>
        </w:rPr>
      </w:pPr>
      <w:r w:rsidRPr="00243CC4">
        <w:rPr>
          <w:b/>
          <w:sz w:val="24"/>
          <w:szCs w:val="24"/>
          <w:lang w:val="en-GB"/>
        </w:rPr>
        <w:t>4.3</w:t>
      </w:r>
      <w:r w:rsidRPr="00243CC4">
        <w:rPr>
          <w:b/>
          <w:sz w:val="24"/>
          <w:szCs w:val="24"/>
          <w:lang w:val="en-GB"/>
        </w:rPr>
        <w:tab/>
        <w:t>Contraindications</w:t>
      </w:r>
    </w:p>
    <w:p w14:paraId="43B59E43" w14:textId="6A22DB75" w:rsidR="003B36A9" w:rsidRPr="00243CC4" w:rsidRDefault="003B36A9" w:rsidP="00A02E32">
      <w:pPr>
        <w:pStyle w:val="Listeafsnit"/>
        <w:numPr>
          <w:ilvl w:val="0"/>
          <w:numId w:val="8"/>
        </w:numPr>
        <w:ind w:left="1276" w:hanging="425"/>
        <w:rPr>
          <w:bCs/>
          <w:sz w:val="24"/>
          <w:szCs w:val="24"/>
          <w:lang w:val="en-US"/>
        </w:rPr>
      </w:pPr>
      <w:r w:rsidRPr="00243CC4">
        <w:rPr>
          <w:sz w:val="24"/>
          <w:szCs w:val="24"/>
          <w:lang w:val="en-US"/>
        </w:rPr>
        <w:t>Hypersensitivity to the active substance or to any of the excipients listed in section 6.1.</w:t>
      </w:r>
    </w:p>
    <w:p w14:paraId="29854E3A" w14:textId="2BBCB110" w:rsidR="003B36A9" w:rsidRPr="00243CC4" w:rsidRDefault="003B36A9" w:rsidP="00A02E32">
      <w:pPr>
        <w:pStyle w:val="Listeafsnit"/>
        <w:numPr>
          <w:ilvl w:val="0"/>
          <w:numId w:val="8"/>
        </w:numPr>
        <w:ind w:left="1276" w:hanging="425"/>
        <w:rPr>
          <w:sz w:val="24"/>
          <w:szCs w:val="24"/>
          <w:lang w:val="en-US"/>
        </w:rPr>
      </w:pPr>
      <w:r w:rsidRPr="00243CC4">
        <w:rPr>
          <w:sz w:val="24"/>
          <w:szCs w:val="24"/>
          <w:lang w:val="en-US"/>
        </w:rPr>
        <w:t>Severe myelosuppression.</w:t>
      </w:r>
    </w:p>
    <w:p w14:paraId="7A16D165" w14:textId="7406DBAB" w:rsidR="003B36A9" w:rsidRPr="00243CC4" w:rsidRDefault="003B36A9" w:rsidP="00A02E32">
      <w:pPr>
        <w:pStyle w:val="Listeafsnit"/>
        <w:numPr>
          <w:ilvl w:val="0"/>
          <w:numId w:val="8"/>
        </w:numPr>
        <w:ind w:left="1276" w:hanging="425"/>
        <w:rPr>
          <w:sz w:val="24"/>
          <w:szCs w:val="24"/>
          <w:lang w:val="en-US"/>
        </w:rPr>
      </w:pPr>
      <w:r w:rsidRPr="00243CC4">
        <w:rPr>
          <w:sz w:val="24"/>
          <w:szCs w:val="24"/>
          <w:lang w:val="en-US"/>
        </w:rPr>
        <w:t>Bleeding tumors.</w:t>
      </w:r>
    </w:p>
    <w:p w14:paraId="586C1716" w14:textId="03F3B613" w:rsidR="003B36A9" w:rsidRPr="00243CC4" w:rsidRDefault="003B36A9" w:rsidP="00A02E32">
      <w:pPr>
        <w:pStyle w:val="Listeafsnit"/>
        <w:numPr>
          <w:ilvl w:val="0"/>
          <w:numId w:val="8"/>
        </w:numPr>
        <w:ind w:left="1276" w:hanging="425"/>
        <w:rPr>
          <w:sz w:val="24"/>
          <w:szCs w:val="24"/>
          <w:lang w:val="en-US"/>
        </w:rPr>
      </w:pPr>
      <w:r w:rsidRPr="00243CC4">
        <w:rPr>
          <w:sz w:val="24"/>
          <w:szCs w:val="24"/>
          <w:lang w:val="en-US"/>
        </w:rPr>
        <w:t>Pre-existing severe renal impairment (with creatinine clearance of &lt;30 ml per minute) unless in the judgement of the physician and patient, the possible benefits of treatment outweigh the risks.</w:t>
      </w:r>
    </w:p>
    <w:p w14:paraId="45BE8986" w14:textId="4A2254F8" w:rsidR="003B36A9" w:rsidRPr="00243CC4" w:rsidRDefault="003B36A9" w:rsidP="00A02E32">
      <w:pPr>
        <w:pStyle w:val="Listeafsnit"/>
        <w:numPr>
          <w:ilvl w:val="0"/>
          <w:numId w:val="8"/>
        </w:numPr>
        <w:ind w:left="1276" w:hanging="425"/>
        <w:rPr>
          <w:sz w:val="24"/>
          <w:szCs w:val="24"/>
          <w:lang w:val="en-US"/>
        </w:rPr>
      </w:pPr>
      <w:r w:rsidRPr="00243CC4">
        <w:rPr>
          <w:sz w:val="24"/>
          <w:szCs w:val="24"/>
          <w:lang w:val="en-US"/>
        </w:rPr>
        <w:t>Concomitant use with yellow fever vaccine (</w:t>
      </w:r>
      <w:proofErr w:type="gramStart"/>
      <w:r w:rsidRPr="00243CC4">
        <w:rPr>
          <w:sz w:val="24"/>
          <w:szCs w:val="24"/>
          <w:lang w:val="en-US"/>
        </w:rPr>
        <w:t>see</w:t>
      </w:r>
      <w:proofErr w:type="gramEnd"/>
      <w:r w:rsidRPr="00243CC4">
        <w:rPr>
          <w:sz w:val="24"/>
          <w:szCs w:val="24"/>
          <w:lang w:val="en-US"/>
        </w:rPr>
        <w:t xml:space="preserve"> section 4.5.).</w:t>
      </w:r>
    </w:p>
    <w:p w14:paraId="41607439" w14:textId="77777777" w:rsidR="007C5D2A" w:rsidRPr="00243CC4" w:rsidRDefault="007C5D2A" w:rsidP="003E0341">
      <w:pPr>
        <w:tabs>
          <w:tab w:val="left" w:pos="851"/>
        </w:tabs>
        <w:ind w:left="851"/>
        <w:rPr>
          <w:sz w:val="24"/>
          <w:szCs w:val="24"/>
          <w:lang w:val="en-GB"/>
        </w:rPr>
      </w:pPr>
    </w:p>
    <w:p w14:paraId="2C578D7E" w14:textId="77777777" w:rsidR="007C5D2A" w:rsidRPr="00243CC4" w:rsidRDefault="007C5D2A" w:rsidP="007C5D2A">
      <w:pPr>
        <w:tabs>
          <w:tab w:val="left" w:pos="851"/>
        </w:tabs>
        <w:rPr>
          <w:b/>
          <w:sz w:val="24"/>
          <w:szCs w:val="24"/>
          <w:lang w:val="en-GB"/>
        </w:rPr>
      </w:pPr>
      <w:r w:rsidRPr="00243CC4">
        <w:rPr>
          <w:b/>
          <w:sz w:val="24"/>
          <w:szCs w:val="24"/>
          <w:lang w:val="en-GB"/>
        </w:rPr>
        <w:t>4.4</w:t>
      </w:r>
      <w:r w:rsidRPr="00243CC4">
        <w:rPr>
          <w:b/>
          <w:sz w:val="24"/>
          <w:szCs w:val="24"/>
          <w:lang w:val="en-GB"/>
        </w:rPr>
        <w:tab/>
        <w:t>Special warnings and precautions for use</w:t>
      </w:r>
    </w:p>
    <w:p w14:paraId="2FA9A0C8" w14:textId="77777777" w:rsidR="003B36A9" w:rsidRPr="00243CC4" w:rsidRDefault="003B36A9" w:rsidP="00A02E32">
      <w:pPr>
        <w:ind w:left="851"/>
        <w:rPr>
          <w:sz w:val="24"/>
          <w:szCs w:val="24"/>
          <w:lang w:val="en-US"/>
        </w:rPr>
      </w:pPr>
      <w:r w:rsidRPr="00243CC4">
        <w:rPr>
          <w:sz w:val="24"/>
          <w:szCs w:val="24"/>
          <w:lang w:val="en-US"/>
        </w:rPr>
        <w:t xml:space="preserve">Carboplatin should be used only by physicians experienced with cancer chemotherapeutic drugs. Blood counts as well as renal and hepatic function tests must be done regularly and the drug should be </w:t>
      </w:r>
      <w:bookmarkStart w:id="7" w:name="OLE_LINK116"/>
      <w:r w:rsidRPr="00243CC4">
        <w:rPr>
          <w:sz w:val="24"/>
          <w:szCs w:val="24"/>
          <w:lang w:val="en-US"/>
        </w:rPr>
        <w:t>discontinued if abnormal depression of the bone marrow or abnormal renal or hepatic function is seen.</w:t>
      </w:r>
      <w:bookmarkEnd w:id="7"/>
    </w:p>
    <w:p w14:paraId="1989E5FC" w14:textId="77777777" w:rsidR="003B36A9" w:rsidRPr="00243CC4" w:rsidRDefault="003B36A9" w:rsidP="00A02E32">
      <w:pPr>
        <w:ind w:left="851"/>
        <w:rPr>
          <w:sz w:val="24"/>
          <w:szCs w:val="24"/>
          <w:lang w:val="en-US"/>
        </w:rPr>
      </w:pPr>
    </w:p>
    <w:p w14:paraId="5A48B968" w14:textId="77777777" w:rsidR="003B36A9" w:rsidRPr="00243CC4" w:rsidRDefault="003B36A9" w:rsidP="00A02E32">
      <w:pPr>
        <w:ind w:left="851"/>
        <w:rPr>
          <w:bCs/>
          <w:sz w:val="24"/>
          <w:szCs w:val="24"/>
          <w:u w:val="single"/>
          <w:lang w:val="en-US"/>
        </w:rPr>
      </w:pPr>
      <w:bookmarkStart w:id="8" w:name="OLE_LINK144"/>
      <w:r w:rsidRPr="00243CC4">
        <w:rPr>
          <w:bCs/>
          <w:sz w:val="24"/>
          <w:szCs w:val="24"/>
          <w:u w:val="single"/>
          <w:lang w:val="en-US"/>
        </w:rPr>
        <w:t>Hematologic toxicity</w:t>
      </w:r>
    </w:p>
    <w:p w14:paraId="32FDA1D9" w14:textId="77777777" w:rsidR="003B36A9" w:rsidRPr="00243CC4" w:rsidRDefault="003B36A9" w:rsidP="00A02E32">
      <w:pPr>
        <w:ind w:left="851"/>
        <w:rPr>
          <w:sz w:val="24"/>
          <w:szCs w:val="24"/>
          <w:lang w:val="en-US"/>
        </w:rPr>
      </w:pPr>
      <w:r w:rsidRPr="00243CC4">
        <w:rPr>
          <w:sz w:val="24"/>
          <w:szCs w:val="24"/>
          <w:lang w:val="en-US"/>
        </w:rPr>
        <w:t>Leukopenia, neutropenia, and thrombocytopenia are dose-dependent and dose-limiting. Peripheral blood counts should be monitored during carboplatin treatment frequently and, in case of toxicity, until recovery is achieved. Median day of nadir is day 21 in patients receiving single agent carboplatin and day 15 in patients receiving carboplatin in combination with other chemotherapeutic agents. In general, single intermittent courses of carboplatin should not be repeated until leukocyte, neutrophil, and platelet counts have returned to normal. Therapy should not be repeated until 4 weeks after the previous carboplatin course and/or until the neutrophil count is at least 2,000 cells/mm</w:t>
      </w:r>
      <w:r w:rsidRPr="00243CC4">
        <w:rPr>
          <w:sz w:val="24"/>
          <w:szCs w:val="24"/>
          <w:vertAlign w:val="superscript"/>
          <w:lang w:val="en-US"/>
        </w:rPr>
        <w:t>3</w:t>
      </w:r>
      <w:r w:rsidRPr="00243CC4">
        <w:rPr>
          <w:sz w:val="24"/>
          <w:szCs w:val="24"/>
          <w:lang w:val="en-US"/>
        </w:rPr>
        <w:t xml:space="preserve"> and the platelet count is at least 100,000 cells/mm</w:t>
      </w:r>
      <w:r w:rsidRPr="00243CC4">
        <w:rPr>
          <w:sz w:val="24"/>
          <w:szCs w:val="24"/>
          <w:vertAlign w:val="superscript"/>
          <w:lang w:val="en-US"/>
        </w:rPr>
        <w:t>3</w:t>
      </w:r>
      <w:r w:rsidRPr="00243CC4">
        <w:rPr>
          <w:sz w:val="24"/>
          <w:szCs w:val="24"/>
          <w:lang w:val="en-US"/>
        </w:rPr>
        <w:t>.</w:t>
      </w:r>
    </w:p>
    <w:p w14:paraId="4736DE38" w14:textId="77777777" w:rsidR="003B36A9" w:rsidRPr="00243CC4" w:rsidRDefault="003B36A9" w:rsidP="00A02E32">
      <w:pPr>
        <w:ind w:left="851"/>
        <w:rPr>
          <w:sz w:val="24"/>
          <w:szCs w:val="24"/>
          <w:lang w:val="en-GB"/>
        </w:rPr>
      </w:pPr>
    </w:p>
    <w:p w14:paraId="1EF7E2C3" w14:textId="77777777" w:rsidR="003B36A9" w:rsidRPr="00915539" w:rsidRDefault="003B36A9" w:rsidP="00A02E32">
      <w:pPr>
        <w:ind w:left="851"/>
        <w:rPr>
          <w:sz w:val="24"/>
          <w:szCs w:val="24"/>
          <w:lang w:val="en-US"/>
        </w:rPr>
      </w:pPr>
      <w:r w:rsidRPr="00915539">
        <w:rPr>
          <w:sz w:val="24"/>
          <w:szCs w:val="24"/>
          <w:lang w:val="en-US"/>
        </w:rPr>
        <w:t xml:space="preserve">Hemolytic anemia with the presence of serologic drug-induced antibodies has been reported in patients treated with carboplatin. This event can be fatal. </w:t>
      </w:r>
    </w:p>
    <w:p w14:paraId="26C31335" w14:textId="77777777" w:rsidR="003B36A9" w:rsidRPr="00243CC4" w:rsidRDefault="003B36A9" w:rsidP="00A02E32">
      <w:pPr>
        <w:ind w:left="851"/>
        <w:rPr>
          <w:sz w:val="24"/>
          <w:szCs w:val="24"/>
          <w:lang w:val="en-GB"/>
        </w:rPr>
      </w:pPr>
    </w:p>
    <w:p w14:paraId="24C48CDB" w14:textId="77777777" w:rsidR="003B36A9" w:rsidRPr="00243CC4" w:rsidRDefault="003B36A9" w:rsidP="00A02E32">
      <w:pPr>
        <w:ind w:left="851"/>
        <w:rPr>
          <w:sz w:val="24"/>
          <w:szCs w:val="24"/>
          <w:u w:val="single"/>
          <w:lang w:val="en-US"/>
        </w:rPr>
      </w:pPr>
      <w:proofErr w:type="spellStart"/>
      <w:r w:rsidRPr="00243CC4">
        <w:rPr>
          <w:sz w:val="24"/>
          <w:szCs w:val="24"/>
          <w:u w:val="single"/>
          <w:lang w:val="en-US"/>
        </w:rPr>
        <w:t>Haemolytic</w:t>
      </w:r>
      <w:proofErr w:type="spellEnd"/>
      <w:r w:rsidRPr="00243CC4">
        <w:rPr>
          <w:sz w:val="24"/>
          <w:szCs w:val="24"/>
          <w:u w:val="single"/>
          <w:lang w:val="en-US"/>
        </w:rPr>
        <w:t>-uremic syndrome (HUS)</w:t>
      </w:r>
    </w:p>
    <w:p w14:paraId="235C74AB" w14:textId="77777777" w:rsidR="003B36A9" w:rsidRPr="00243CC4" w:rsidRDefault="003B36A9" w:rsidP="00A02E32">
      <w:pPr>
        <w:ind w:left="851"/>
        <w:rPr>
          <w:sz w:val="24"/>
          <w:szCs w:val="24"/>
          <w:lang w:val="en-US"/>
        </w:rPr>
      </w:pPr>
      <w:proofErr w:type="spellStart"/>
      <w:r w:rsidRPr="00243CC4">
        <w:rPr>
          <w:sz w:val="24"/>
          <w:szCs w:val="24"/>
          <w:lang w:val="en-US"/>
        </w:rPr>
        <w:t>Haemolytic</w:t>
      </w:r>
      <w:proofErr w:type="spellEnd"/>
      <w:r w:rsidRPr="00243CC4">
        <w:rPr>
          <w:sz w:val="24"/>
          <w:szCs w:val="24"/>
          <w:lang w:val="en-US"/>
        </w:rPr>
        <w:t xml:space="preserve">-uremic syndrome (HUS) is a life-threatening side effect. Carboplatin should be discontinued at the first signs of any evidence of microangiopathic </w:t>
      </w:r>
      <w:proofErr w:type="spellStart"/>
      <w:r w:rsidRPr="00243CC4">
        <w:rPr>
          <w:sz w:val="24"/>
          <w:szCs w:val="24"/>
          <w:lang w:val="en-US"/>
        </w:rPr>
        <w:t>haemolytic</w:t>
      </w:r>
      <w:proofErr w:type="spellEnd"/>
      <w:r w:rsidRPr="00243CC4">
        <w:rPr>
          <w:sz w:val="24"/>
          <w:szCs w:val="24"/>
          <w:lang w:val="en-US"/>
        </w:rPr>
        <w:t xml:space="preserve"> </w:t>
      </w:r>
      <w:proofErr w:type="spellStart"/>
      <w:r w:rsidRPr="00243CC4">
        <w:rPr>
          <w:sz w:val="24"/>
          <w:szCs w:val="24"/>
          <w:lang w:val="en-US"/>
        </w:rPr>
        <w:t>anaemia</w:t>
      </w:r>
      <w:proofErr w:type="spellEnd"/>
      <w:r w:rsidRPr="00243CC4">
        <w:rPr>
          <w:sz w:val="24"/>
          <w:szCs w:val="24"/>
          <w:lang w:val="en-US"/>
        </w:rPr>
        <w:t xml:space="preserve">, such as rapidly falling </w:t>
      </w:r>
      <w:proofErr w:type="spellStart"/>
      <w:r w:rsidRPr="00243CC4">
        <w:rPr>
          <w:sz w:val="24"/>
          <w:szCs w:val="24"/>
          <w:lang w:val="en-US"/>
        </w:rPr>
        <w:t>haemoglobin</w:t>
      </w:r>
      <w:proofErr w:type="spellEnd"/>
      <w:r w:rsidRPr="00243CC4">
        <w:rPr>
          <w:sz w:val="24"/>
          <w:szCs w:val="24"/>
          <w:lang w:val="en-US"/>
        </w:rPr>
        <w:t xml:space="preserve"> with concomitant thrombocytopenia, elevation of serum bilirubin, serum creatinine, blood urea nitrogen, or LDH. Renal failure may not be reversible with discontinuation of therapy and dialysis may be required.</w:t>
      </w:r>
    </w:p>
    <w:p w14:paraId="2CF4860F" w14:textId="77777777" w:rsidR="003B36A9" w:rsidRPr="00243CC4" w:rsidRDefault="003B36A9" w:rsidP="00A02E32">
      <w:pPr>
        <w:ind w:left="851"/>
        <w:rPr>
          <w:sz w:val="24"/>
          <w:szCs w:val="24"/>
          <w:lang w:val="en-US"/>
        </w:rPr>
      </w:pPr>
    </w:p>
    <w:p w14:paraId="3BC7C14B" w14:textId="250B2920" w:rsidR="003B36A9" w:rsidRPr="00243CC4" w:rsidRDefault="003B36A9" w:rsidP="00A02E32">
      <w:pPr>
        <w:ind w:left="851"/>
        <w:rPr>
          <w:sz w:val="24"/>
          <w:szCs w:val="24"/>
          <w:lang w:val="en-GB"/>
        </w:rPr>
      </w:pPr>
      <w:r w:rsidRPr="00243CC4">
        <w:rPr>
          <w:sz w:val="24"/>
          <w:szCs w:val="24"/>
          <w:lang w:val="en-US"/>
        </w:rPr>
        <w:t>Anemia is frequent and cumulative requiring very rarely a transfusion.</w:t>
      </w:r>
      <w:r w:rsidR="00243CC4">
        <w:rPr>
          <w:sz w:val="24"/>
          <w:szCs w:val="24"/>
          <w:lang w:val="en-US"/>
        </w:rPr>
        <w:t xml:space="preserve"> </w:t>
      </w:r>
      <w:r w:rsidRPr="00243CC4">
        <w:rPr>
          <w:sz w:val="24"/>
          <w:szCs w:val="24"/>
          <w:lang w:val="en-US"/>
        </w:rPr>
        <w:t xml:space="preserve">Severity of myelosuppression is increased in patients with prior treatment (in particular with cisplatin) and/or impaired kidney function. Initial carboplatin dosages in these groups of patients should be appropriately reduced (see section 4.2) and the effects carefully monitored through frequent blood counts between courses. Carboplatin combination therapy with other myelosuppressive forms of treatment must be planned very carefully with respect to dosages and timing in order to minimize additive effects. Supportive </w:t>
      </w:r>
      <w:proofErr w:type="spellStart"/>
      <w:r w:rsidRPr="00243CC4">
        <w:rPr>
          <w:sz w:val="24"/>
          <w:szCs w:val="24"/>
          <w:lang w:val="en-US"/>
        </w:rPr>
        <w:t>transfusional</w:t>
      </w:r>
      <w:proofErr w:type="spellEnd"/>
      <w:r w:rsidRPr="00243CC4">
        <w:rPr>
          <w:sz w:val="24"/>
          <w:szCs w:val="24"/>
          <w:lang w:val="en-US"/>
        </w:rPr>
        <w:t xml:space="preserve"> therapy may be required in patients who suffer severe myelosuppression.</w:t>
      </w:r>
    </w:p>
    <w:p w14:paraId="794F3DE6" w14:textId="77777777" w:rsidR="003B36A9" w:rsidRPr="00243CC4" w:rsidRDefault="003B36A9" w:rsidP="00A02E32">
      <w:pPr>
        <w:ind w:left="851"/>
        <w:rPr>
          <w:sz w:val="24"/>
          <w:szCs w:val="24"/>
          <w:lang w:val="en-US"/>
        </w:rPr>
      </w:pPr>
      <w:r w:rsidRPr="00243CC4">
        <w:rPr>
          <w:sz w:val="24"/>
          <w:szCs w:val="24"/>
          <w:lang w:val="en-US"/>
        </w:rPr>
        <w:t>Myelosuppressive effects may be additive to those of concomitant chemotherapy. Patients with severe and persistent myelosuppression are at high risk of infectious complications including fatal outcomes (see section 4.8.). If any of these events occurs, carboplatin dosing should be interrupted and dose modification or discontinuation should be considered.</w:t>
      </w:r>
    </w:p>
    <w:p w14:paraId="700690B8" w14:textId="77777777" w:rsidR="003B36A9" w:rsidRPr="00243CC4" w:rsidRDefault="003B36A9" w:rsidP="00A02E32">
      <w:pPr>
        <w:ind w:left="851"/>
        <w:rPr>
          <w:sz w:val="24"/>
          <w:szCs w:val="24"/>
          <w:lang w:val="en-US"/>
        </w:rPr>
      </w:pPr>
    </w:p>
    <w:p w14:paraId="46EADFE6" w14:textId="77777777" w:rsidR="003B36A9" w:rsidRPr="00243CC4" w:rsidRDefault="003B36A9" w:rsidP="00A02E32">
      <w:pPr>
        <w:ind w:left="851"/>
        <w:rPr>
          <w:sz w:val="24"/>
          <w:szCs w:val="24"/>
          <w:lang w:val="en-US"/>
        </w:rPr>
      </w:pPr>
      <w:r w:rsidRPr="00243CC4">
        <w:rPr>
          <w:sz w:val="24"/>
          <w:szCs w:val="24"/>
          <w:lang w:val="en-US"/>
        </w:rPr>
        <w:t xml:space="preserve">Acute promyelocytic </w:t>
      </w:r>
      <w:proofErr w:type="spellStart"/>
      <w:r w:rsidRPr="00243CC4">
        <w:rPr>
          <w:sz w:val="24"/>
          <w:szCs w:val="24"/>
          <w:lang w:val="en-US"/>
        </w:rPr>
        <w:t>leukaemia</w:t>
      </w:r>
      <w:proofErr w:type="spellEnd"/>
      <w:r w:rsidRPr="00243CC4">
        <w:rPr>
          <w:sz w:val="24"/>
          <w:szCs w:val="24"/>
          <w:lang w:val="en-US"/>
        </w:rPr>
        <w:t xml:space="preserve"> and myelodysplastic syndrome (MDS)/ acute myeloid leukemia (AML) have been reported years after therapy with carboplatin and other antineoplastic treatments.</w:t>
      </w:r>
    </w:p>
    <w:p w14:paraId="3B9C5A8A" w14:textId="77777777" w:rsidR="003B36A9" w:rsidRPr="00243CC4" w:rsidRDefault="003B36A9" w:rsidP="00A02E32">
      <w:pPr>
        <w:ind w:left="851"/>
        <w:rPr>
          <w:sz w:val="24"/>
          <w:szCs w:val="24"/>
          <w:lang w:val="en-US"/>
        </w:rPr>
      </w:pPr>
    </w:p>
    <w:p w14:paraId="784A2DC1" w14:textId="77777777" w:rsidR="003B36A9" w:rsidRPr="00243CC4" w:rsidRDefault="003B36A9" w:rsidP="00A02E32">
      <w:pPr>
        <w:ind w:left="851"/>
        <w:rPr>
          <w:sz w:val="24"/>
          <w:szCs w:val="24"/>
          <w:u w:val="single"/>
          <w:lang w:val="en-GB"/>
        </w:rPr>
      </w:pPr>
      <w:r w:rsidRPr="00243CC4">
        <w:rPr>
          <w:sz w:val="24"/>
          <w:szCs w:val="24"/>
          <w:u w:val="single"/>
          <w:lang w:val="en-US"/>
        </w:rPr>
        <w:t>Reversible Posterior Leukoencephalopathy Syndrome (RPLS)</w:t>
      </w:r>
    </w:p>
    <w:p w14:paraId="50CA4C35" w14:textId="77777777" w:rsidR="003B36A9" w:rsidRPr="00243CC4" w:rsidRDefault="003B36A9" w:rsidP="00A02E32">
      <w:pPr>
        <w:ind w:left="851"/>
        <w:rPr>
          <w:sz w:val="24"/>
          <w:szCs w:val="24"/>
          <w:lang w:val="en-US"/>
        </w:rPr>
      </w:pPr>
      <w:r w:rsidRPr="00243CC4">
        <w:rPr>
          <w:sz w:val="24"/>
          <w:szCs w:val="24"/>
          <w:lang w:val="en-US"/>
        </w:rPr>
        <w:t>Cases of Reversible Posterior Leukoencephalopathy Syndrome (RPLS) have been reported in patients receiving carboplatin in combination chemotherapy. RPLS is a rare, reversible after treatment discontinuation, rapidly evolving neurological condition, which can include seizure, hypertension, headache, confusion, blindness, and other visual and neurological disturbances (see section 4.8). Diagnosis of RPLS is based upon confirmation by brain imaging, preferably MRI (Magnetic Resonance Imaging).</w:t>
      </w:r>
    </w:p>
    <w:p w14:paraId="7BDA7A45" w14:textId="77777777" w:rsidR="003B36A9" w:rsidRPr="00243CC4" w:rsidRDefault="003B36A9" w:rsidP="00A02E32">
      <w:pPr>
        <w:ind w:left="851"/>
        <w:rPr>
          <w:sz w:val="24"/>
          <w:szCs w:val="24"/>
          <w:lang w:val="en-US"/>
        </w:rPr>
      </w:pPr>
    </w:p>
    <w:p w14:paraId="0791B449" w14:textId="77777777" w:rsidR="003B36A9" w:rsidRPr="00243CC4" w:rsidRDefault="003B36A9" w:rsidP="00A02E32">
      <w:pPr>
        <w:ind w:left="851"/>
        <w:rPr>
          <w:bCs/>
          <w:sz w:val="24"/>
          <w:szCs w:val="24"/>
          <w:u w:val="single"/>
          <w:lang w:val="en-US"/>
        </w:rPr>
      </w:pPr>
      <w:r w:rsidRPr="00243CC4">
        <w:rPr>
          <w:bCs/>
          <w:sz w:val="24"/>
          <w:szCs w:val="24"/>
          <w:u w:val="single"/>
          <w:lang w:val="en-US"/>
        </w:rPr>
        <w:t>Hypersensitivity reactions</w:t>
      </w:r>
    </w:p>
    <w:p w14:paraId="7BBE1AE0" w14:textId="7C1AD903" w:rsidR="003B36A9" w:rsidRPr="00243CC4" w:rsidRDefault="003B36A9" w:rsidP="00A02E32">
      <w:pPr>
        <w:ind w:left="851"/>
        <w:rPr>
          <w:sz w:val="24"/>
          <w:szCs w:val="24"/>
          <w:lang w:val="en-US"/>
        </w:rPr>
      </w:pPr>
      <w:r w:rsidRPr="00243CC4">
        <w:rPr>
          <w:sz w:val="24"/>
          <w:szCs w:val="24"/>
          <w:lang w:val="en-US"/>
        </w:rPr>
        <w:t>As with other platinum-based drugs, allergic reactions appearing most often during perfusion may occur and necessitate discontinuation of the perfusion and an appropriate symptomatic treatment. Infrequent allergic reactions to carboplatin have been reported, e.g. erythematous rash, fever with no apparent cause or pruritus. Rarely anaphylaxis, angio-</w:t>
      </w:r>
      <w:proofErr w:type="spellStart"/>
      <w:r w:rsidRPr="00243CC4">
        <w:rPr>
          <w:sz w:val="24"/>
          <w:szCs w:val="24"/>
          <w:lang w:val="en-US"/>
        </w:rPr>
        <w:t>oedema</w:t>
      </w:r>
      <w:proofErr w:type="spellEnd"/>
      <w:r w:rsidRPr="00243CC4">
        <w:rPr>
          <w:sz w:val="24"/>
          <w:szCs w:val="24"/>
          <w:lang w:val="en-US"/>
        </w:rPr>
        <w:t xml:space="preserve"> and anaphylactoid reactions including bronchospasm, urticaria and facial </w:t>
      </w:r>
      <w:proofErr w:type="spellStart"/>
      <w:r w:rsidRPr="00243CC4">
        <w:rPr>
          <w:sz w:val="24"/>
          <w:szCs w:val="24"/>
          <w:lang w:val="en-US"/>
        </w:rPr>
        <w:t>oedema</w:t>
      </w:r>
      <w:proofErr w:type="spellEnd"/>
      <w:r w:rsidRPr="00243CC4">
        <w:rPr>
          <w:sz w:val="24"/>
          <w:szCs w:val="24"/>
          <w:lang w:val="en-US"/>
        </w:rPr>
        <w:t xml:space="preserve"> have occurred. These reactions are similar to those observed after administration of other platinum containing compounds and may occur within minutes. The incidence of allergic reactions may increase with previous exposure to platinum therapy; however, allergic reactions have been observed upon initial exposure to carboplatin. Patients should be observed carefully for possible allergic reactions and managed with appropriate supportive therapy, including antihistamines, adrenaline and/or glucocorticoids. Cross reactions, sometimes fatal, have been reported with all the platinum compounds </w:t>
      </w:r>
      <w:r w:rsidR="00460482">
        <w:rPr>
          <w:szCs w:val="22"/>
          <w:lang w:val="en-US"/>
        </w:rPr>
        <w:t>(see sections 4.3 and 4.8)</w:t>
      </w:r>
      <w:r w:rsidRPr="00243CC4">
        <w:rPr>
          <w:sz w:val="24"/>
          <w:szCs w:val="24"/>
          <w:lang w:val="en-US"/>
        </w:rPr>
        <w:t>.</w:t>
      </w:r>
    </w:p>
    <w:p w14:paraId="4719F2B8" w14:textId="77777777" w:rsidR="003B36A9" w:rsidRPr="00243CC4" w:rsidRDefault="003B36A9" w:rsidP="00A02E32">
      <w:pPr>
        <w:ind w:left="851"/>
        <w:rPr>
          <w:sz w:val="24"/>
          <w:szCs w:val="24"/>
          <w:lang w:val="en-GB"/>
        </w:rPr>
      </w:pPr>
      <w:r w:rsidRPr="00243CC4">
        <w:rPr>
          <w:sz w:val="24"/>
          <w:szCs w:val="24"/>
          <w:lang w:val="en-US"/>
        </w:rPr>
        <w:t xml:space="preserve">There have been reports of hypersensitivity reactions which progressed to </w:t>
      </w:r>
      <w:proofErr w:type="spellStart"/>
      <w:r w:rsidRPr="00243CC4">
        <w:rPr>
          <w:sz w:val="24"/>
          <w:szCs w:val="24"/>
          <w:lang w:val="en-US"/>
        </w:rPr>
        <w:t>Kounis</w:t>
      </w:r>
      <w:proofErr w:type="spellEnd"/>
      <w:r w:rsidRPr="00243CC4">
        <w:rPr>
          <w:sz w:val="24"/>
          <w:szCs w:val="24"/>
          <w:lang w:val="en-US"/>
        </w:rPr>
        <w:t xml:space="preserve"> syndrome (acute allergic coronary </w:t>
      </w:r>
      <w:proofErr w:type="spellStart"/>
      <w:r w:rsidRPr="00243CC4">
        <w:rPr>
          <w:sz w:val="24"/>
          <w:szCs w:val="24"/>
          <w:lang w:val="en-US"/>
        </w:rPr>
        <w:t>arteriospasm</w:t>
      </w:r>
      <w:proofErr w:type="spellEnd"/>
      <w:r w:rsidRPr="00243CC4">
        <w:rPr>
          <w:sz w:val="24"/>
          <w:szCs w:val="24"/>
          <w:lang w:val="en-US"/>
        </w:rPr>
        <w:t xml:space="preserve"> that can result in myocardial infarction, see section 4.8).</w:t>
      </w:r>
    </w:p>
    <w:p w14:paraId="498153AF" w14:textId="77777777" w:rsidR="003B36A9" w:rsidRPr="00243CC4" w:rsidRDefault="003B36A9" w:rsidP="00A02E32">
      <w:pPr>
        <w:ind w:left="851"/>
        <w:rPr>
          <w:sz w:val="24"/>
          <w:szCs w:val="24"/>
          <w:lang w:val="en-US"/>
        </w:rPr>
      </w:pPr>
    </w:p>
    <w:p w14:paraId="01744E6C" w14:textId="77777777" w:rsidR="003B36A9" w:rsidRPr="00460482" w:rsidRDefault="003B36A9" w:rsidP="00A02E32">
      <w:pPr>
        <w:ind w:left="851"/>
        <w:rPr>
          <w:sz w:val="24"/>
          <w:szCs w:val="24"/>
          <w:u w:val="single"/>
          <w:lang w:val="en-US"/>
        </w:rPr>
      </w:pPr>
      <w:r w:rsidRPr="00460482">
        <w:rPr>
          <w:sz w:val="24"/>
          <w:szCs w:val="24"/>
          <w:u w:val="single"/>
          <w:lang w:val="en-US"/>
        </w:rPr>
        <w:t>Renal toxicity and hepatic function</w:t>
      </w:r>
      <w:bookmarkEnd w:id="8"/>
    </w:p>
    <w:p w14:paraId="65F143A6" w14:textId="77777777" w:rsidR="003B36A9" w:rsidRPr="00460482" w:rsidRDefault="003B36A9" w:rsidP="00A02E32">
      <w:pPr>
        <w:ind w:left="851"/>
        <w:rPr>
          <w:sz w:val="24"/>
          <w:szCs w:val="24"/>
          <w:lang w:val="en-US"/>
        </w:rPr>
      </w:pPr>
      <w:r w:rsidRPr="00915539">
        <w:rPr>
          <w:sz w:val="24"/>
          <w:szCs w:val="24"/>
          <w:lang w:val="en-US"/>
        </w:rPr>
        <w:t>Renal and hepatic function impairment may be encountered with carboplatin. Very high doses of Carboplatin (</w:t>
      </w:r>
      <w:r w:rsidRPr="00915539">
        <w:rPr>
          <w:sz w:val="24"/>
          <w:szCs w:val="24"/>
          <w:u w:val="single"/>
          <w:lang w:val="en-US"/>
        </w:rPr>
        <w:t>≥</w:t>
      </w:r>
      <w:r w:rsidRPr="00915539">
        <w:rPr>
          <w:sz w:val="24"/>
          <w:szCs w:val="24"/>
          <w:lang w:val="en-US"/>
        </w:rPr>
        <w:t xml:space="preserve"> 5 times single agent recommended dose) have resulted in severe abnormalities in hepatic and/or renal function.</w:t>
      </w:r>
      <w:r w:rsidRPr="00243CC4">
        <w:rPr>
          <w:sz w:val="24"/>
          <w:szCs w:val="24"/>
          <w:lang w:val="en-US"/>
        </w:rPr>
        <w:t xml:space="preserve"> </w:t>
      </w:r>
      <w:r w:rsidRPr="00915539">
        <w:rPr>
          <w:sz w:val="24"/>
          <w:szCs w:val="24"/>
          <w:lang w:val="en-US"/>
        </w:rPr>
        <w:t xml:space="preserve">It is not clear whether an appropriate hydration </w:t>
      </w:r>
      <w:proofErr w:type="spellStart"/>
      <w:r w:rsidRPr="00915539">
        <w:rPr>
          <w:sz w:val="24"/>
          <w:szCs w:val="24"/>
          <w:lang w:val="en-US"/>
        </w:rPr>
        <w:t>programme</w:t>
      </w:r>
      <w:proofErr w:type="spellEnd"/>
      <w:r w:rsidRPr="00915539">
        <w:rPr>
          <w:sz w:val="24"/>
          <w:szCs w:val="24"/>
          <w:lang w:val="en-US"/>
        </w:rPr>
        <w:t xml:space="preserve"> might overcome effects on renal function. Dose reduction or discontinuation of therapy is required in the presence of moderate to severe alteration in renal or hepatic function test. </w:t>
      </w:r>
      <w:r w:rsidRPr="00460482">
        <w:rPr>
          <w:sz w:val="24"/>
          <w:szCs w:val="24"/>
          <w:lang w:val="en-US"/>
        </w:rPr>
        <w:t xml:space="preserve">(see section 4.8). </w:t>
      </w:r>
    </w:p>
    <w:p w14:paraId="73BD1CE8" w14:textId="77777777" w:rsidR="003B36A9" w:rsidRPr="00460482" w:rsidRDefault="003B36A9" w:rsidP="00A02E32">
      <w:pPr>
        <w:ind w:left="851"/>
        <w:rPr>
          <w:sz w:val="24"/>
          <w:szCs w:val="24"/>
          <w:lang w:val="en-US"/>
        </w:rPr>
      </w:pPr>
    </w:p>
    <w:p w14:paraId="390AE146" w14:textId="77777777" w:rsidR="003B36A9" w:rsidRPr="00915539" w:rsidRDefault="003B36A9" w:rsidP="00A02E32">
      <w:pPr>
        <w:ind w:left="851"/>
        <w:rPr>
          <w:sz w:val="24"/>
          <w:szCs w:val="24"/>
          <w:lang w:val="en-US"/>
        </w:rPr>
      </w:pPr>
      <w:r w:rsidRPr="00915539">
        <w:rPr>
          <w:sz w:val="24"/>
          <w:szCs w:val="24"/>
          <w:lang w:val="en-US"/>
        </w:rPr>
        <w:t>The incidence and severity of nephrotoxicity may increase in patients who have impaired kidney function before carboplatin treatment. Impairment of renal function is also more likely in patients who have previously experienced nephrotoxicity as a result of Cisplatin therapy.</w:t>
      </w:r>
      <w:r w:rsidRPr="00243CC4">
        <w:rPr>
          <w:sz w:val="24"/>
          <w:szCs w:val="24"/>
          <w:lang w:val="en-US"/>
        </w:rPr>
        <w:t xml:space="preserve"> In this risk group, therapy with Carboplatin must be performed with special caution (see section 4.2). </w:t>
      </w:r>
      <w:r w:rsidRPr="00915539">
        <w:rPr>
          <w:sz w:val="24"/>
          <w:szCs w:val="24"/>
          <w:lang w:val="en-US"/>
        </w:rPr>
        <w:t>Although no clinical evidence on compounding nephrotoxicity has been accumulated, it is recommended not to combine carboplatin with aminoglycosides or other nephrotoxic compounds (see section 4.5).</w:t>
      </w:r>
    </w:p>
    <w:p w14:paraId="717110F8" w14:textId="77777777" w:rsidR="003B36A9" w:rsidRPr="00915539" w:rsidRDefault="003B36A9" w:rsidP="00A02E32">
      <w:pPr>
        <w:ind w:left="851"/>
        <w:rPr>
          <w:sz w:val="24"/>
          <w:szCs w:val="24"/>
          <w:lang w:val="en-US"/>
        </w:rPr>
      </w:pPr>
    </w:p>
    <w:p w14:paraId="19A4F26E" w14:textId="77777777" w:rsidR="003B36A9" w:rsidRPr="00915539" w:rsidRDefault="003B36A9" w:rsidP="00A02E32">
      <w:pPr>
        <w:ind w:left="851"/>
        <w:rPr>
          <w:sz w:val="24"/>
          <w:szCs w:val="24"/>
          <w:u w:val="single"/>
          <w:lang w:val="en-US"/>
        </w:rPr>
      </w:pPr>
      <w:proofErr w:type="spellStart"/>
      <w:r w:rsidRPr="00915539">
        <w:rPr>
          <w:sz w:val="24"/>
          <w:szCs w:val="24"/>
          <w:u w:val="single"/>
          <w:lang w:val="en-US"/>
        </w:rPr>
        <w:t>Venoocclusive</w:t>
      </w:r>
      <w:proofErr w:type="spellEnd"/>
      <w:r w:rsidRPr="00915539">
        <w:rPr>
          <w:sz w:val="24"/>
          <w:szCs w:val="24"/>
          <w:u w:val="single"/>
          <w:lang w:val="en-US"/>
        </w:rPr>
        <w:t xml:space="preserve"> liver disease</w:t>
      </w:r>
    </w:p>
    <w:p w14:paraId="67F53502" w14:textId="77777777" w:rsidR="003B36A9" w:rsidRPr="00915539" w:rsidRDefault="003B36A9" w:rsidP="00A02E32">
      <w:pPr>
        <w:ind w:left="851"/>
        <w:rPr>
          <w:sz w:val="24"/>
          <w:szCs w:val="24"/>
          <w:lang w:val="en-US"/>
        </w:rPr>
      </w:pPr>
      <w:r w:rsidRPr="00915539">
        <w:rPr>
          <w:sz w:val="24"/>
          <w:szCs w:val="24"/>
          <w:lang w:val="en-US"/>
        </w:rPr>
        <w:t xml:space="preserve">Cases of hepatic </w:t>
      </w:r>
      <w:proofErr w:type="spellStart"/>
      <w:r w:rsidRPr="00915539">
        <w:rPr>
          <w:sz w:val="24"/>
          <w:szCs w:val="24"/>
          <w:lang w:val="en-US"/>
        </w:rPr>
        <w:t>venoocclusive</w:t>
      </w:r>
      <w:proofErr w:type="spellEnd"/>
      <w:r w:rsidRPr="00915539">
        <w:rPr>
          <w:sz w:val="24"/>
          <w:szCs w:val="24"/>
          <w:lang w:val="en-US"/>
        </w:rPr>
        <w:t xml:space="preserve"> disease (sinusoidal obstruction syndrome) have been reported, some of which were fatal. Patients should be monitored for signs and symptoms of abnormal liver function or portal hypertension which do not obviously result from liver metastases.</w:t>
      </w:r>
    </w:p>
    <w:p w14:paraId="44FF7FC4" w14:textId="77777777" w:rsidR="003B36A9" w:rsidRPr="00243CC4" w:rsidRDefault="003B36A9" w:rsidP="00A02E32">
      <w:pPr>
        <w:ind w:left="851"/>
        <w:rPr>
          <w:sz w:val="24"/>
          <w:szCs w:val="24"/>
          <w:lang w:val="en-US"/>
        </w:rPr>
      </w:pPr>
    </w:p>
    <w:p w14:paraId="18D56D94" w14:textId="77777777" w:rsidR="003B36A9" w:rsidRPr="00243CC4" w:rsidRDefault="003B36A9" w:rsidP="00A02E32">
      <w:pPr>
        <w:ind w:left="851"/>
        <w:rPr>
          <w:bCs/>
          <w:sz w:val="24"/>
          <w:szCs w:val="24"/>
          <w:u w:val="single"/>
          <w:lang w:val="en-US"/>
        </w:rPr>
      </w:pPr>
      <w:r w:rsidRPr="00243CC4">
        <w:rPr>
          <w:bCs/>
          <w:sz w:val="24"/>
          <w:szCs w:val="24"/>
          <w:u w:val="single"/>
          <w:lang w:val="en-US"/>
        </w:rPr>
        <w:t>Neurologic toxicity</w:t>
      </w:r>
    </w:p>
    <w:p w14:paraId="4ED98568" w14:textId="77777777" w:rsidR="003B36A9" w:rsidRPr="00243CC4" w:rsidRDefault="003B36A9" w:rsidP="00A02E32">
      <w:pPr>
        <w:ind w:left="851"/>
        <w:rPr>
          <w:sz w:val="24"/>
          <w:szCs w:val="24"/>
          <w:lang w:val="en-US"/>
        </w:rPr>
      </w:pPr>
      <w:r w:rsidRPr="00243CC4">
        <w:rPr>
          <w:sz w:val="24"/>
          <w:szCs w:val="24"/>
          <w:lang w:val="en-US"/>
        </w:rPr>
        <w:t>Although peripheral neurologic toxicity is generally common and mild, limited to paresthesia and decrease of osteotendinous reflexes, its frequency is increased in patients older than 65 years and/or in patients previously treated with cisplatin. Monitoring and neurological examinations should be carried out at regular intervals.</w:t>
      </w:r>
    </w:p>
    <w:p w14:paraId="09DFBAEE" w14:textId="77777777" w:rsidR="003B36A9" w:rsidRPr="00243CC4" w:rsidRDefault="003B36A9" w:rsidP="00A02E32">
      <w:pPr>
        <w:ind w:left="851"/>
        <w:rPr>
          <w:sz w:val="24"/>
          <w:szCs w:val="24"/>
          <w:lang w:val="en-US"/>
        </w:rPr>
      </w:pPr>
    </w:p>
    <w:p w14:paraId="6712EF43" w14:textId="77777777" w:rsidR="003B36A9" w:rsidRPr="00243CC4" w:rsidRDefault="003B36A9" w:rsidP="00A02E32">
      <w:pPr>
        <w:ind w:left="851"/>
        <w:rPr>
          <w:sz w:val="24"/>
          <w:szCs w:val="24"/>
          <w:lang w:val="en-US"/>
        </w:rPr>
      </w:pPr>
      <w:r w:rsidRPr="00243CC4">
        <w:rPr>
          <w:sz w:val="24"/>
          <w:szCs w:val="24"/>
          <w:lang w:val="en-US"/>
        </w:rPr>
        <w:t>Visual disturbances, including loss of vision, have been reported after the use of carboplatin in doses higher than those recommended in patients with renal impairment. Vision appears to recover totally or to a significant extent within weeks of stopping these high doses.</w:t>
      </w:r>
    </w:p>
    <w:p w14:paraId="5C71BD06" w14:textId="77777777" w:rsidR="003B36A9" w:rsidRPr="00243CC4" w:rsidRDefault="003B36A9" w:rsidP="00A02E32">
      <w:pPr>
        <w:ind w:left="851"/>
        <w:rPr>
          <w:bCs/>
          <w:sz w:val="24"/>
          <w:szCs w:val="24"/>
          <w:lang w:val="en-US"/>
        </w:rPr>
      </w:pPr>
    </w:p>
    <w:p w14:paraId="126D674C" w14:textId="77777777" w:rsidR="003B36A9" w:rsidRPr="00915539" w:rsidRDefault="003B36A9" w:rsidP="00A02E32">
      <w:pPr>
        <w:ind w:left="851"/>
        <w:rPr>
          <w:bCs/>
          <w:sz w:val="24"/>
          <w:szCs w:val="24"/>
          <w:u w:val="single"/>
          <w:lang w:val="en-US"/>
        </w:rPr>
      </w:pPr>
      <w:r w:rsidRPr="00915539">
        <w:rPr>
          <w:bCs/>
          <w:sz w:val="24"/>
          <w:szCs w:val="24"/>
          <w:u w:val="single"/>
          <w:lang w:val="en-US"/>
        </w:rPr>
        <w:t>Tumour lysis syndrome (TLS)</w:t>
      </w:r>
    </w:p>
    <w:p w14:paraId="0A209977" w14:textId="77777777" w:rsidR="003B36A9" w:rsidRPr="00243CC4" w:rsidRDefault="003B36A9" w:rsidP="00A02E32">
      <w:pPr>
        <w:ind w:left="851"/>
        <w:rPr>
          <w:bCs/>
          <w:sz w:val="24"/>
          <w:szCs w:val="24"/>
          <w:lang w:val="en-US"/>
        </w:rPr>
      </w:pPr>
      <w:r w:rsidRPr="00243CC4">
        <w:rPr>
          <w:bCs/>
          <w:sz w:val="24"/>
          <w:szCs w:val="24"/>
          <w:lang w:val="en-US"/>
        </w:rPr>
        <w:t>In post marketing experience tumour lysis syndrome (TLS) has been reported in patients following the use of carboplatin alone or in combination with other chemotherapeutic agents. Patient at high risk of TLS, such as patients with high proliferative rate, high tumor burden, and high sensitivity to cytotoxic agents, should be monitored closely and appropriate precaution taken.</w:t>
      </w:r>
    </w:p>
    <w:p w14:paraId="1FAC2F51" w14:textId="77777777" w:rsidR="003B36A9" w:rsidRPr="00243CC4" w:rsidRDefault="003B36A9" w:rsidP="00A02E32">
      <w:pPr>
        <w:ind w:left="851"/>
        <w:rPr>
          <w:bCs/>
          <w:sz w:val="24"/>
          <w:szCs w:val="24"/>
          <w:lang w:val="en-US"/>
        </w:rPr>
      </w:pPr>
    </w:p>
    <w:p w14:paraId="2B9FFC09" w14:textId="77777777" w:rsidR="003B36A9" w:rsidRPr="00243CC4" w:rsidRDefault="003B36A9" w:rsidP="00A02E32">
      <w:pPr>
        <w:ind w:left="851"/>
        <w:rPr>
          <w:bCs/>
          <w:sz w:val="24"/>
          <w:szCs w:val="24"/>
          <w:u w:val="single"/>
          <w:lang w:val="en-US"/>
        </w:rPr>
      </w:pPr>
      <w:r w:rsidRPr="00243CC4">
        <w:rPr>
          <w:bCs/>
          <w:sz w:val="24"/>
          <w:szCs w:val="24"/>
          <w:u w:val="single"/>
          <w:lang w:val="en-US"/>
        </w:rPr>
        <w:t>Geriatric use</w:t>
      </w:r>
    </w:p>
    <w:p w14:paraId="3394B54B" w14:textId="77777777" w:rsidR="003B36A9" w:rsidRPr="00243CC4" w:rsidRDefault="003B36A9" w:rsidP="00A02E32">
      <w:pPr>
        <w:ind w:left="851"/>
        <w:rPr>
          <w:sz w:val="24"/>
          <w:szCs w:val="24"/>
          <w:lang w:val="en-US"/>
        </w:rPr>
      </w:pPr>
      <w:r w:rsidRPr="00243CC4">
        <w:rPr>
          <w:sz w:val="24"/>
          <w:szCs w:val="24"/>
          <w:lang w:val="en-US"/>
        </w:rPr>
        <w:t>In studies involving combination therapy with carboplatin and cyclophosphamide, elderly patients treated with carboplatin were more likely to develop severe thrombocytopenia than younger patients.</w:t>
      </w:r>
    </w:p>
    <w:p w14:paraId="6AFBD7C8" w14:textId="77777777" w:rsidR="003B36A9" w:rsidRPr="00243CC4" w:rsidRDefault="003B36A9" w:rsidP="00A02E32">
      <w:pPr>
        <w:ind w:left="851"/>
        <w:rPr>
          <w:sz w:val="24"/>
          <w:szCs w:val="24"/>
          <w:lang w:val="en-US"/>
        </w:rPr>
      </w:pPr>
    </w:p>
    <w:p w14:paraId="5A92162E" w14:textId="77777777" w:rsidR="003B36A9" w:rsidRPr="00243CC4" w:rsidRDefault="003B36A9" w:rsidP="00A02E32">
      <w:pPr>
        <w:ind w:left="851"/>
        <w:rPr>
          <w:sz w:val="24"/>
          <w:szCs w:val="24"/>
          <w:lang w:val="en-US"/>
        </w:rPr>
      </w:pPr>
      <w:r w:rsidRPr="00243CC4">
        <w:rPr>
          <w:sz w:val="24"/>
          <w:szCs w:val="24"/>
          <w:lang w:val="en-US"/>
        </w:rPr>
        <w:t>Because renal function is often decreased in the elderly, renal function should be considered when determining dosage (see section 4.2).</w:t>
      </w:r>
    </w:p>
    <w:p w14:paraId="3169CCBC" w14:textId="77777777" w:rsidR="003B36A9" w:rsidRPr="00243CC4" w:rsidRDefault="003B36A9" w:rsidP="00A02E32">
      <w:pPr>
        <w:ind w:left="851"/>
        <w:rPr>
          <w:sz w:val="24"/>
          <w:szCs w:val="24"/>
          <w:lang w:val="en-US"/>
        </w:rPr>
      </w:pPr>
    </w:p>
    <w:p w14:paraId="42E022F6" w14:textId="77777777" w:rsidR="003B36A9" w:rsidRPr="00243CC4" w:rsidRDefault="003B36A9" w:rsidP="00A02E32">
      <w:pPr>
        <w:ind w:left="851"/>
        <w:rPr>
          <w:sz w:val="24"/>
          <w:szCs w:val="24"/>
          <w:u w:val="single"/>
          <w:lang w:val="en-US"/>
        </w:rPr>
      </w:pPr>
      <w:r w:rsidRPr="00915539">
        <w:rPr>
          <w:sz w:val="24"/>
          <w:szCs w:val="24"/>
          <w:u w:val="single"/>
          <w:lang w:val="en-US"/>
        </w:rPr>
        <w:t>Ototoxicity</w:t>
      </w:r>
    </w:p>
    <w:p w14:paraId="2BAA08F7" w14:textId="77777777" w:rsidR="003B36A9" w:rsidRPr="00243CC4" w:rsidRDefault="003B36A9" w:rsidP="00A02E32">
      <w:pPr>
        <w:ind w:left="851"/>
        <w:rPr>
          <w:sz w:val="24"/>
          <w:szCs w:val="24"/>
          <w:lang w:val="en-US"/>
        </w:rPr>
      </w:pPr>
      <w:r w:rsidRPr="00243CC4">
        <w:rPr>
          <w:sz w:val="24"/>
          <w:szCs w:val="24"/>
          <w:lang w:val="en-US"/>
        </w:rPr>
        <w:t>Auditory defects have been reported during carboplatin therapy.</w:t>
      </w:r>
    </w:p>
    <w:p w14:paraId="3526BE27" w14:textId="77777777" w:rsidR="003B36A9" w:rsidRPr="00243CC4" w:rsidRDefault="003B36A9" w:rsidP="00A02E32">
      <w:pPr>
        <w:ind w:left="851"/>
        <w:rPr>
          <w:sz w:val="24"/>
          <w:szCs w:val="24"/>
          <w:lang w:val="en-US"/>
        </w:rPr>
      </w:pPr>
    </w:p>
    <w:p w14:paraId="2A59B084" w14:textId="77777777" w:rsidR="003B36A9" w:rsidRPr="00243CC4" w:rsidRDefault="003B36A9" w:rsidP="00A02E32">
      <w:pPr>
        <w:ind w:left="851"/>
        <w:rPr>
          <w:sz w:val="24"/>
          <w:szCs w:val="24"/>
          <w:u w:val="single"/>
          <w:lang w:val="en-US"/>
        </w:rPr>
      </w:pPr>
      <w:r w:rsidRPr="00243CC4">
        <w:rPr>
          <w:sz w:val="24"/>
          <w:szCs w:val="24"/>
          <w:u w:val="single"/>
          <w:lang w:val="en-US"/>
        </w:rPr>
        <w:t>Ototoxicity in children</w:t>
      </w:r>
    </w:p>
    <w:p w14:paraId="4DD58355" w14:textId="77777777" w:rsidR="003B36A9" w:rsidRPr="00243CC4" w:rsidRDefault="003B36A9" w:rsidP="00A02E32">
      <w:pPr>
        <w:ind w:left="851"/>
        <w:rPr>
          <w:sz w:val="24"/>
          <w:szCs w:val="24"/>
          <w:lang w:val="en-US"/>
        </w:rPr>
      </w:pPr>
      <w:r w:rsidRPr="00243CC4">
        <w:rPr>
          <w:sz w:val="24"/>
          <w:szCs w:val="24"/>
          <w:lang w:val="en-US"/>
        </w:rPr>
        <w:t xml:space="preserve">Ototoxicity may be more pronounced in children. Cases of hearing loss with a delayed onset have been reported in paediatric patients. A long-term audiometric follow-up in this population is recommended. </w:t>
      </w:r>
    </w:p>
    <w:p w14:paraId="131C2362" w14:textId="77777777" w:rsidR="003B36A9" w:rsidRPr="00243CC4" w:rsidRDefault="003B36A9" w:rsidP="00A02E32">
      <w:pPr>
        <w:ind w:left="851"/>
        <w:rPr>
          <w:sz w:val="24"/>
          <w:szCs w:val="24"/>
          <w:lang w:val="en-US"/>
        </w:rPr>
      </w:pPr>
    </w:p>
    <w:p w14:paraId="39860F5D" w14:textId="77777777" w:rsidR="003B36A9" w:rsidRPr="00243CC4" w:rsidRDefault="003B36A9" w:rsidP="00A02E32">
      <w:pPr>
        <w:ind w:left="851"/>
        <w:rPr>
          <w:sz w:val="24"/>
          <w:szCs w:val="24"/>
          <w:u w:val="single"/>
          <w:lang w:val="en-US"/>
        </w:rPr>
      </w:pPr>
      <w:r w:rsidRPr="00243CC4">
        <w:rPr>
          <w:sz w:val="24"/>
          <w:szCs w:val="24"/>
          <w:u w:val="single"/>
          <w:lang w:val="en-US"/>
        </w:rPr>
        <w:t>Vaccinations</w:t>
      </w:r>
    </w:p>
    <w:p w14:paraId="6708356E" w14:textId="77777777" w:rsidR="003B36A9" w:rsidRPr="00243CC4" w:rsidRDefault="003B36A9" w:rsidP="00A02E32">
      <w:pPr>
        <w:ind w:left="851"/>
        <w:rPr>
          <w:sz w:val="24"/>
          <w:szCs w:val="24"/>
          <w:lang w:val="en-US"/>
        </w:rPr>
      </w:pPr>
      <w:r w:rsidRPr="00243CC4">
        <w:rPr>
          <w:sz w:val="24"/>
          <w:szCs w:val="24"/>
          <w:lang w:val="en-US"/>
        </w:rPr>
        <w:t>Administration of live or live-attenuated vaccines in patients immunocompromised by chemotherapeutic agents including carboplatin, may result in serious or fatal infections. Vaccination with a live vaccine should be avoided in patients receiving carboplatin. Killed or inactivated vaccines may be administered; however, the response to such vaccines may be diminished.</w:t>
      </w:r>
    </w:p>
    <w:p w14:paraId="40F6A436" w14:textId="77777777" w:rsidR="003B36A9" w:rsidRPr="00243CC4" w:rsidRDefault="003B36A9" w:rsidP="00A02E32">
      <w:pPr>
        <w:ind w:left="851"/>
        <w:rPr>
          <w:sz w:val="24"/>
          <w:szCs w:val="24"/>
          <w:lang w:val="en-US"/>
        </w:rPr>
      </w:pPr>
    </w:p>
    <w:p w14:paraId="510690FF" w14:textId="77777777" w:rsidR="003B36A9" w:rsidRPr="00915539" w:rsidRDefault="003B36A9" w:rsidP="00A02E32">
      <w:pPr>
        <w:ind w:left="851"/>
        <w:rPr>
          <w:sz w:val="24"/>
          <w:szCs w:val="24"/>
          <w:u w:val="single"/>
          <w:lang w:val="en-US"/>
        </w:rPr>
      </w:pPr>
      <w:r w:rsidRPr="00243CC4">
        <w:rPr>
          <w:bCs/>
          <w:sz w:val="24"/>
          <w:szCs w:val="24"/>
          <w:u w:val="single"/>
          <w:lang w:val="en-US"/>
        </w:rPr>
        <w:t>Other</w:t>
      </w:r>
    </w:p>
    <w:p w14:paraId="03F55743" w14:textId="5B4F391D" w:rsidR="003B36A9" w:rsidRPr="00243CC4" w:rsidRDefault="003B36A9" w:rsidP="00A02E32">
      <w:pPr>
        <w:ind w:left="851"/>
        <w:rPr>
          <w:sz w:val="24"/>
          <w:szCs w:val="24"/>
          <w:lang w:val="en-US"/>
        </w:rPr>
      </w:pPr>
      <w:r w:rsidRPr="00243CC4">
        <w:rPr>
          <w:sz w:val="24"/>
          <w:szCs w:val="24"/>
          <w:lang w:val="en-US"/>
        </w:rPr>
        <w:t>The carcinogenic potential of carboplatin has not been studied but compounds with similar mechanisms of action and mutagenicity have been reported to be carcinogenic (see section 5.3)</w:t>
      </w:r>
      <w:r w:rsidR="00A02E32" w:rsidRPr="00243CC4">
        <w:rPr>
          <w:sz w:val="24"/>
          <w:szCs w:val="24"/>
          <w:lang w:val="en-US"/>
        </w:rPr>
        <w:t>.</w:t>
      </w:r>
    </w:p>
    <w:p w14:paraId="762169E5" w14:textId="77777777" w:rsidR="003B36A9" w:rsidRPr="00243CC4" w:rsidRDefault="003B36A9" w:rsidP="00A02E32">
      <w:pPr>
        <w:ind w:left="851"/>
        <w:rPr>
          <w:sz w:val="24"/>
          <w:szCs w:val="24"/>
          <w:lang w:val="en-US"/>
        </w:rPr>
      </w:pPr>
    </w:p>
    <w:p w14:paraId="7AE87E1C" w14:textId="77777777" w:rsidR="003B36A9" w:rsidRPr="00243CC4" w:rsidRDefault="003B36A9" w:rsidP="00A02E32">
      <w:pPr>
        <w:ind w:left="851"/>
        <w:rPr>
          <w:sz w:val="24"/>
          <w:szCs w:val="24"/>
          <w:u w:val="single"/>
          <w:lang w:val="en-US"/>
        </w:rPr>
      </w:pPr>
      <w:r w:rsidRPr="00243CC4">
        <w:rPr>
          <w:sz w:val="24"/>
          <w:szCs w:val="24"/>
          <w:lang w:val="en-US"/>
        </w:rPr>
        <w:t>Safety and effectiveness of carboplatin administration in children are not proven.</w:t>
      </w:r>
    </w:p>
    <w:p w14:paraId="443AE531" w14:textId="77777777" w:rsidR="003B36A9" w:rsidRPr="00243CC4" w:rsidRDefault="003B36A9" w:rsidP="00A02E32">
      <w:pPr>
        <w:ind w:left="851"/>
        <w:rPr>
          <w:sz w:val="24"/>
          <w:szCs w:val="24"/>
          <w:lang w:val="en-US"/>
        </w:rPr>
      </w:pPr>
    </w:p>
    <w:p w14:paraId="22776DBB" w14:textId="77777777" w:rsidR="003B36A9" w:rsidRPr="00243CC4" w:rsidRDefault="003B36A9" w:rsidP="00A02E32">
      <w:pPr>
        <w:ind w:left="851"/>
        <w:rPr>
          <w:sz w:val="24"/>
          <w:szCs w:val="24"/>
          <w:lang w:val="en-GB"/>
        </w:rPr>
      </w:pPr>
      <w:r w:rsidRPr="00243CC4">
        <w:rPr>
          <w:sz w:val="24"/>
          <w:szCs w:val="24"/>
          <w:lang w:val="en-US"/>
        </w:rPr>
        <w:t>Carboplatin can cause nausea and vomiting. Premedication with anti-emetics has been reported to be useful in reducing the incidence and intensity of these effects.</w:t>
      </w:r>
    </w:p>
    <w:p w14:paraId="5AB96C1C" w14:textId="77777777" w:rsidR="003B36A9" w:rsidRPr="00243CC4" w:rsidRDefault="003B36A9" w:rsidP="00A02E32">
      <w:pPr>
        <w:ind w:left="851"/>
        <w:rPr>
          <w:sz w:val="24"/>
          <w:szCs w:val="24"/>
          <w:lang w:val="en-US"/>
        </w:rPr>
      </w:pPr>
    </w:p>
    <w:p w14:paraId="16754B76" w14:textId="77777777" w:rsidR="003B36A9" w:rsidRPr="00243CC4" w:rsidRDefault="003B36A9" w:rsidP="00A02E32">
      <w:pPr>
        <w:ind w:left="851"/>
        <w:rPr>
          <w:sz w:val="24"/>
          <w:szCs w:val="24"/>
          <w:lang w:val="en-US"/>
        </w:rPr>
      </w:pPr>
      <w:proofErr w:type="spellStart"/>
      <w:r w:rsidRPr="00243CC4">
        <w:rPr>
          <w:sz w:val="24"/>
          <w:szCs w:val="24"/>
          <w:lang w:val="en-US"/>
        </w:rPr>
        <w:t>Aluminium</w:t>
      </w:r>
      <w:proofErr w:type="spellEnd"/>
      <w:r w:rsidRPr="00243CC4">
        <w:rPr>
          <w:sz w:val="24"/>
          <w:szCs w:val="24"/>
          <w:lang w:val="en-US"/>
        </w:rPr>
        <w:t xml:space="preserve"> containing equipment should not be used during preparation and administration of carboplatin (see section 6.2).</w:t>
      </w:r>
    </w:p>
    <w:p w14:paraId="50F96B94" w14:textId="77777777" w:rsidR="007C5D2A" w:rsidRPr="00243CC4" w:rsidRDefault="007C5D2A" w:rsidP="003E0341">
      <w:pPr>
        <w:tabs>
          <w:tab w:val="left" w:pos="851"/>
        </w:tabs>
        <w:ind w:left="851"/>
        <w:rPr>
          <w:sz w:val="24"/>
          <w:szCs w:val="24"/>
          <w:lang w:val="en-GB"/>
        </w:rPr>
      </w:pPr>
    </w:p>
    <w:p w14:paraId="0BA0F3B8" w14:textId="77777777" w:rsidR="007C5D2A" w:rsidRPr="00243CC4" w:rsidRDefault="007C5D2A" w:rsidP="007C5D2A">
      <w:pPr>
        <w:ind w:left="851" w:hanging="851"/>
        <w:rPr>
          <w:b/>
          <w:sz w:val="24"/>
          <w:szCs w:val="24"/>
          <w:lang w:val="en-GB"/>
        </w:rPr>
      </w:pPr>
      <w:r w:rsidRPr="00243CC4">
        <w:rPr>
          <w:b/>
          <w:sz w:val="24"/>
          <w:szCs w:val="24"/>
          <w:lang w:val="en-GB"/>
        </w:rPr>
        <w:t>4.5</w:t>
      </w:r>
      <w:r w:rsidRPr="00243CC4">
        <w:rPr>
          <w:b/>
          <w:sz w:val="24"/>
          <w:szCs w:val="24"/>
          <w:lang w:val="en-GB"/>
        </w:rPr>
        <w:tab/>
        <w:t>Interaction with other medicinal products and other forms of interaction</w:t>
      </w:r>
    </w:p>
    <w:p w14:paraId="1B7DE147" w14:textId="77777777" w:rsidR="003B36A9" w:rsidRPr="00243CC4" w:rsidRDefault="003B36A9" w:rsidP="00A02E32">
      <w:pPr>
        <w:ind w:left="851"/>
        <w:rPr>
          <w:sz w:val="24"/>
          <w:szCs w:val="24"/>
          <w:lang w:val="en-US"/>
        </w:rPr>
      </w:pPr>
      <w:r w:rsidRPr="00243CC4">
        <w:rPr>
          <w:sz w:val="24"/>
          <w:szCs w:val="24"/>
          <w:lang w:val="en-US"/>
        </w:rPr>
        <w:t xml:space="preserve">Due to the increase of thrombotic risk in case of tumoral diseases, the use of anticoagulative treatment is frequent. The high intra-individual variability of the </w:t>
      </w:r>
      <w:proofErr w:type="spellStart"/>
      <w:r w:rsidRPr="00243CC4">
        <w:rPr>
          <w:sz w:val="24"/>
          <w:szCs w:val="24"/>
          <w:lang w:val="en-US"/>
        </w:rPr>
        <w:t>coagulabilty</w:t>
      </w:r>
      <w:proofErr w:type="spellEnd"/>
      <w:r w:rsidRPr="00243CC4">
        <w:rPr>
          <w:sz w:val="24"/>
          <w:szCs w:val="24"/>
          <w:lang w:val="en-US"/>
        </w:rPr>
        <w:t xml:space="preserve"> during diseases, and the eventuality of interaction between oral anticoagulants and anticancer chemotherapy require, if it is decided to treat the patient with oral anticoagulants, to increase frequency of the control of the INR monitoring.</w:t>
      </w:r>
    </w:p>
    <w:p w14:paraId="47383443" w14:textId="77777777" w:rsidR="003B36A9" w:rsidRPr="00243CC4" w:rsidRDefault="003B36A9" w:rsidP="00A02E32">
      <w:pPr>
        <w:ind w:left="851"/>
        <w:rPr>
          <w:sz w:val="24"/>
          <w:szCs w:val="24"/>
          <w:lang w:val="en-US"/>
        </w:rPr>
      </w:pPr>
    </w:p>
    <w:p w14:paraId="5239D584" w14:textId="77777777" w:rsidR="003B36A9" w:rsidRPr="00243CC4" w:rsidRDefault="003B36A9" w:rsidP="00A02E32">
      <w:pPr>
        <w:ind w:left="851"/>
        <w:rPr>
          <w:sz w:val="24"/>
          <w:szCs w:val="24"/>
          <w:lang w:val="en-US"/>
        </w:rPr>
      </w:pPr>
      <w:r w:rsidRPr="00243CC4">
        <w:rPr>
          <w:sz w:val="24"/>
          <w:szCs w:val="24"/>
          <w:lang w:val="en-US"/>
        </w:rPr>
        <w:t>Concomitant use contraindicated</w:t>
      </w:r>
    </w:p>
    <w:p w14:paraId="0FC1075E" w14:textId="08215056" w:rsidR="003B36A9" w:rsidRPr="00243CC4" w:rsidRDefault="003B36A9" w:rsidP="00A02E32">
      <w:pPr>
        <w:pStyle w:val="Listeafsnit"/>
        <w:numPr>
          <w:ilvl w:val="0"/>
          <w:numId w:val="9"/>
        </w:numPr>
        <w:ind w:left="1276" w:hanging="425"/>
        <w:rPr>
          <w:sz w:val="24"/>
          <w:szCs w:val="24"/>
          <w:lang w:val="en-US"/>
        </w:rPr>
      </w:pPr>
      <w:r w:rsidRPr="00243CC4">
        <w:rPr>
          <w:sz w:val="24"/>
          <w:szCs w:val="24"/>
          <w:lang w:val="en-US"/>
        </w:rPr>
        <w:t xml:space="preserve">Yellow fever vaccine: risk of </w:t>
      </w:r>
      <w:proofErr w:type="spellStart"/>
      <w:r w:rsidRPr="00243CC4">
        <w:rPr>
          <w:sz w:val="24"/>
          <w:szCs w:val="24"/>
          <w:lang w:val="en-US"/>
        </w:rPr>
        <w:t>generalised</w:t>
      </w:r>
      <w:proofErr w:type="spellEnd"/>
      <w:r w:rsidRPr="00243CC4">
        <w:rPr>
          <w:sz w:val="24"/>
          <w:szCs w:val="24"/>
          <w:lang w:val="en-US"/>
        </w:rPr>
        <w:t xml:space="preserve"> vaccinal disease mortal (see section 4.3.)</w:t>
      </w:r>
    </w:p>
    <w:p w14:paraId="7B444F87" w14:textId="77777777" w:rsidR="003B36A9" w:rsidRPr="00243CC4" w:rsidRDefault="003B36A9" w:rsidP="00A02E32">
      <w:pPr>
        <w:ind w:left="851"/>
        <w:rPr>
          <w:sz w:val="24"/>
          <w:szCs w:val="24"/>
          <w:lang w:val="en-US"/>
        </w:rPr>
      </w:pPr>
    </w:p>
    <w:p w14:paraId="06ABD898" w14:textId="77777777" w:rsidR="003B36A9" w:rsidRPr="00243CC4" w:rsidRDefault="003B36A9" w:rsidP="00A02E32">
      <w:pPr>
        <w:ind w:left="851"/>
        <w:rPr>
          <w:sz w:val="24"/>
          <w:szCs w:val="24"/>
          <w:lang w:val="en-US"/>
        </w:rPr>
      </w:pPr>
      <w:r w:rsidRPr="00243CC4">
        <w:rPr>
          <w:sz w:val="24"/>
          <w:szCs w:val="24"/>
          <w:lang w:val="en-US"/>
        </w:rPr>
        <w:t>Concomitant use not recommended</w:t>
      </w:r>
    </w:p>
    <w:p w14:paraId="09A0FE16" w14:textId="72518131" w:rsidR="003B36A9" w:rsidRPr="00243CC4" w:rsidRDefault="003B36A9" w:rsidP="00A02E32">
      <w:pPr>
        <w:pStyle w:val="Listeafsnit"/>
        <w:numPr>
          <w:ilvl w:val="0"/>
          <w:numId w:val="9"/>
        </w:numPr>
        <w:ind w:left="1276" w:hanging="425"/>
        <w:rPr>
          <w:sz w:val="24"/>
          <w:szCs w:val="24"/>
          <w:lang w:val="en-US"/>
        </w:rPr>
      </w:pPr>
      <w:r w:rsidRPr="00243CC4">
        <w:rPr>
          <w:sz w:val="24"/>
          <w:szCs w:val="24"/>
          <w:lang w:val="en-US"/>
        </w:rPr>
        <w:t>Live attenuated vaccines (except yellow fever): risk of systemic, possible fatal disease. This risk is increased in subjects who are already immunosuppressed by their underlying disease. Use an inactivated vaccine where this exists (poliomyelitis).</w:t>
      </w:r>
    </w:p>
    <w:p w14:paraId="004054AF" w14:textId="1CEBFA72" w:rsidR="003B36A9" w:rsidRPr="00243CC4" w:rsidRDefault="003B36A9" w:rsidP="00A02E32">
      <w:pPr>
        <w:pStyle w:val="Listeafsnit"/>
        <w:numPr>
          <w:ilvl w:val="0"/>
          <w:numId w:val="9"/>
        </w:numPr>
        <w:ind w:left="1276" w:hanging="425"/>
        <w:rPr>
          <w:sz w:val="24"/>
          <w:szCs w:val="24"/>
          <w:lang w:val="en-US"/>
        </w:rPr>
      </w:pPr>
      <w:r w:rsidRPr="00243CC4">
        <w:rPr>
          <w:sz w:val="24"/>
          <w:szCs w:val="24"/>
          <w:lang w:val="en-US"/>
        </w:rPr>
        <w:t xml:space="preserve">Phenytoin, </w:t>
      </w:r>
      <w:proofErr w:type="spellStart"/>
      <w:r w:rsidRPr="00243CC4">
        <w:rPr>
          <w:sz w:val="24"/>
          <w:szCs w:val="24"/>
          <w:lang w:val="en-US"/>
        </w:rPr>
        <w:t>fosphenytoin</w:t>
      </w:r>
      <w:proofErr w:type="spellEnd"/>
      <w:r w:rsidRPr="00243CC4">
        <w:rPr>
          <w:sz w:val="24"/>
          <w:szCs w:val="24"/>
          <w:lang w:val="en-US"/>
        </w:rPr>
        <w:t>-Risk of exacerbation of convulsions resulting from the decrease of phenytoin digestive absorption by the cytotoxic drug or risk of toxicity enhancement or loss of efficacy of the cytotoxic drug due to increased hepatic metabolism by phenytoin.</w:t>
      </w:r>
    </w:p>
    <w:p w14:paraId="3EFD6403" w14:textId="77777777" w:rsidR="003B36A9" w:rsidRPr="00243CC4" w:rsidRDefault="003B36A9" w:rsidP="00A02E32">
      <w:pPr>
        <w:ind w:left="851"/>
        <w:rPr>
          <w:sz w:val="24"/>
          <w:szCs w:val="24"/>
          <w:lang w:val="en-US"/>
        </w:rPr>
      </w:pPr>
    </w:p>
    <w:p w14:paraId="19F2A7E7" w14:textId="77777777" w:rsidR="003B36A9" w:rsidRPr="00243CC4" w:rsidRDefault="003B36A9" w:rsidP="00A02E32">
      <w:pPr>
        <w:ind w:left="851"/>
        <w:rPr>
          <w:sz w:val="24"/>
          <w:szCs w:val="24"/>
          <w:lang w:val="en-US"/>
        </w:rPr>
      </w:pPr>
      <w:r w:rsidRPr="00243CC4">
        <w:rPr>
          <w:sz w:val="24"/>
          <w:szCs w:val="24"/>
          <w:lang w:val="en-US"/>
        </w:rPr>
        <w:t>Concomitant use to take into consideration</w:t>
      </w:r>
    </w:p>
    <w:p w14:paraId="0D1FFE7F" w14:textId="2534E0D4" w:rsidR="003B36A9" w:rsidRPr="00243CC4" w:rsidRDefault="003B36A9" w:rsidP="00A02E32">
      <w:pPr>
        <w:pStyle w:val="Listeafsnit"/>
        <w:numPr>
          <w:ilvl w:val="0"/>
          <w:numId w:val="9"/>
        </w:numPr>
        <w:ind w:left="1276" w:hanging="425"/>
        <w:rPr>
          <w:sz w:val="24"/>
          <w:szCs w:val="24"/>
          <w:lang w:val="en-US"/>
        </w:rPr>
      </w:pPr>
      <w:r w:rsidRPr="00243CC4">
        <w:rPr>
          <w:sz w:val="24"/>
          <w:szCs w:val="24"/>
          <w:lang w:val="en-US"/>
        </w:rPr>
        <w:t>Ciclosporin (and by extrapolation tacrolimus and sirolimus): Excessive immunosuppression with risk of lymphoproliferation.</w:t>
      </w:r>
    </w:p>
    <w:p w14:paraId="1F72FCBF" w14:textId="1398FCFA" w:rsidR="003B36A9" w:rsidRPr="00243CC4" w:rsidRDefault="003B36A9" w:rsidP="00A02E32">
      <w:pPr>
        <w:pStyle w:val="Listeafsnit"/>
        <w:numPr>
          <w:ilvl w:val="0"/>
          <w:numId w:val="9"/>
        </w:numPr>
        <w:ind w:left="1276" w:hanging="425"/>
        <w:rPr>
          <w:sz w:val="24"/>
          <w:szCs w:val="24"/>
          <w:lang w:val="en-US"/>
        </w:rPr>
      </w:pPr>
      <w:r w:rsidRPr="00243CC4">
        <w:rPr>
          <w:sz w:val="24"/>
          <w:szCs w:val="24"/>
          <w:lang w:val="en-US"/>
        </w:rPr>
        <w:t xml:space="preserve">Aminoglycosides: The concomitant use of carboplatin with aminoglycosides antibiotics should be </w:t>
      </w:r>
      <w:proofErr w:type="gramStart"/>
      <w:r w:rsidRPr="00243CC4">
        <w:rPr>
          <w:sz w:val="24"/>
          <w:szCs w:val="24"/>
          <w:lang w:val="en-US"/>
        </w:rPr>
        <w:t>taken into account</w:t>
      </w:r>
      <w:proofErr w:type="gramEnd"/>
      <w:r w:rsidRPr="00243CC4">
        <w:rPr>
          <w:sz w:val="24"/>
          <w:szCs w:val="24"/>
          <w:lang w:val="en-US"/>
        </w:rPr>
        <w:t xml:space="preserve"> due to the cumulative nephrotoxicity and ear toxicity, </w:t>
      </w:r>
      <w:proofErr w:type="spellStart"/>
      <w:r w:rsidRPr="00243CC4">
        <w:rPr>
          <w:sz w:val="24"/>
          <w:szCs w:val="24"/>
          <w:lang w:val="en-US"/>
        </w:rPr>
        <w:t>particulary</w:t>
      </w:r>
      <w:proofErr w:type="spellEnd"/>
      <w:r w:rsidRPr="00243CC4">
        <w:rPr>
          <w:sz w:val="24"/>
          <w:szCs w:val="24"/>
          <w:lang w:val="en-US"/>
        </w:rPr>
        <w:t xml:space="preserve"> in renal failure patient.</w:t>
      </w:r>
    </w:p>
    <w:p w14:paraId="1956DE1E" w14:textId="44014550" w:rsidR="003B36A9" w:rsidRPr="00243CC4" w:rsidRDefault="003B36A9" w:rsidP="00A02E32">
      <w:pPr>
        <w:pStyle w:val="Listeafsnit"/>
        <w:numPr>
          <w:ilvl w:val="0"/>
          <w:numId w:val="9"/>
        </w:numPr>
        <w:ind w:left="1276" w:hanging="425"/>
        <w:rPr>
          <w:sz w:val="24"/>
          <w:szCs w:val="24"/>
          <w:lang w:val="en-US"/>
        </w:rPr>
      </w:pPr>
      <w:r w:rsidRPr="00243CC4">
        <w:rPr>
          <w:sz w:val="24"/>
          <w:szCs w:val="24"/>
          <w:lang w:val="en-US"/>
        </w:rPr>
        <w:t xml:space="preserve">Loop diuretics: The concomitant use of </w:t>
      </w:r>
      <w:proofErr w:type="spellStart"/>
      <w:r w:rsidRPr="00243CC4">
        <w:rPr>
          <w:sz w:val="24"/>
          <w:szCs w:val="24"/>
          <w:lang w:val="en-US"/>
        </w:rPr>
        <w:t>carboplatine</w:t>
      </w:r>
      <w:proofErr w:type="spellEnd"/>
      <w:r w:rsidRPr="00243CC4">
        <w:rPr>
          <w:sz w:val="24"/>
          <w:szCs w:val="24"/>
          <w:lang w:val="en-US"/>
        </w:rPr>
        <w:t xml:space="preserve"> with loop diuretic should be </w:t>
      </w:r>
      <w:proofErr w:type="gramStart"/>
      <w:r w:rsidRPr="00243CC4">
        <w:rPr>
          <w:sz w:val="24"/>
          <w:szCs w:val="24"/>
          <w:lang w:val="en-US"/>
        </w:rPr>
        <w:t>taken into account</w:t>
      </w:r>
      <w:proofErr w:type="gramEnd"/>
      <w:r w:rsidRPr="00243CC4">
        <w:rPr>
          <w:sz w:val="24"/>
          <w:szCs w:val="24"/>
          <w:lang w:val="en-US"/>
        </w:rPr>
        <w:t xml:space="preserve"> due to the cumulative nephrotoxicity and ear toxicity.</w:t>
      </w:r>
    </w:p>
    <w:p w14:paraId="3493D740" w14:textId="5F04B998" w:rsidR="003B36A9" w:rsidRPr="00243CC4" w:rsidRDefault="003B36A9" w:rsidP="00A02E32">
      <w:pPr>
        <w:pStyle w:val="Listeafsnit"/>
        <w:numPr>
          <w:ilvl w:val="0"/>
          <w:numId w:val="9"/>
        </w:numPr>
        <w:ind w:left="1276" w:hanging="425"/>
        <w:rPr>
          <w:sz w:val="24"/>
          <w:szCs w:val="24"/>
          <w:lang w:val="en-US"/>
        </w:rPr>
      </w:pPr>
      <w:proofErr w:type="spellStart"/>
      <w:r w:rsidRPr="00243CC4">
        <w:rPr>
          <w:sz w:val="24"/>
          <w:szCs w:val="24"/>
          <w:lang w:val="en-US"/>
        </w:rPr>
        <w:t>Chealating</w:t>
      </w:r>
      <w:proofErr w:type="spellEnd"/>
      <w:r w:rsidRPr="00243CC4">
        <w:rPr>
          <w:sz w:val="24"/>
          <w:szCs w:val="24"/>
          <w:lang w:val="en-US"/>
        </w:rPr>
        <w:t xml:space="preserve"> agents: The concomitant use of carboplatin with chelating agents should be avoided as it can theoretically lead to a decrease of the antineoplastic effect of carboplatin.</w:t>
      </w:r>
    </w:p>
    <w:p w14:paraId="38316E71" w14:textId="77777777" w:rsidR="007C5D2A" w:rsidRPr="00243CC4" w:rsidRDefault="007C5D2A" w:rsidP="003E0341">
      <w:pPr>
        <w:tabs>
          <w:tab w:val="left" w:pos="851"/>
        </w:tabs>
        <w:ind w:left="851"/>
        <w:rPr>
          <w:sz w:val="24"/>
          <w:szCs w:val="24"/>
          <w:lang w:val="en-GB"/>
        </w:rPr>
      </w:pPr>
    </w:p>
    <w:p w14:paraId="5B66A81C" w14:textId="77777777" w:rsidR="007C5D2A" w:rsidRPr="00243CC4" w:rsidRDefault="007C5D2A" w:rsidP="007C5D2A">
      <w:pPr>
        <w:tabs>
          <w:tab w:val="left" w:pos="851"/>
        </w:tabs>
        <w:ind w:left="851" w:hanging="851"/>
        <w:rPr>
          <w:b/>
          <w:sz w:val="24"/>
          <w:szCs w:val="24"/>
          <w:lang w:val="en-GB"/>
        </w:rPr>
      </w:pPr>
      <w:r w:rsidRPr="00243CC4">
        <w:rPr>
          <w:b/>
          <w:sz w:val="24"/>
          <w:szCs w:val="24"/>
          <w:lang w:val="en-GB"/>
        </w:rPr>
        <w:t>4.6</w:t>
      </w:r>
      <w:r w:rsidRPr="00243CC4">
        <w:rPr>
          <w:b/>
          <w:sz w:val="24"/>
          <w:szCs w:val="24"/>
          <w:lang w:val="en-GB"/>
        </w:rPr>
        <w:tab/>
      </w:r>
      <w:r w:rsidR="004860D3" w:rsidRPr="00243CC4">
        <w:rPr>
          <w:b/>
          <w:sz w:val="24"/>
          <w:szCs w:val="24"/>
          <w:lang w:val="en-GB"/>
        </w:rPr>
        <w:t>Fertility, p</w:t>
      </w:r>
      <w:r w:rsidRPr="00243CC4">
        <w:rPr>
          <w:b/>
          <w:sz w:val="24"/>
          <w:szCs w:val="24"/>
          <w:lang w:val="en-GB"/>
        </w:rPr>
        <w:t>regnancy and lactation</w:t>
      </w:r>
    </w:p>
    <w:p w14:paraId="2EF0C183" w14:textId="77777777" w:rsidR="00A02E32" w:rsidRPr="00243CC4" w:rsidRDefault="00A02E32" w:rsidP="00A02E32">
      <w:pPr>
        <w:ind w:left="851"/>
        <w:rPr>
          <w:sz w:val="24"/>
          <w:szCs w:val="24"/>
          <w:lang w:val="en-US"/>
        </w:rPr>
      </w:pPr>
    </w:p>
    <w:p w14:paraId="77528D53" w14:textId="77777777" w:rsidR="00460482" w:rsidRPr="00054F55" w:rsidRDefault="00460482" w:rsidP="00054F55">
      <w:pPr>
        <w:ind w:left="851"/>
        <w:rPr>
          <w:sz w:val="24"/>
          <w:szCs w:val="24"/>
          <w:u w:val="single"/>
        </w:rPr>
      </w:pPr>
      <w:r w:rsidRPr="00054F55">
        <w:rPr>
          <w:sz w:val="24"/>
          <w:szCs w:val="24"/>
          <w:u w:val="single"/>
        </w:rPr>
        <w:t xml:space="preserve">Contraception in males and </w:t>
      </w:r>
      <w:proofErr w:type="spellStart"/>
      <w:r w:rsidRPr="00054F55">
        <w:rPr>
          <w:sz w:val="24"/>
          <w:szCs w:val="24"/>
          <w:u w:val="single"/>
        </w:rPr>
        <w:t>females</w:t>
      </w:r>
      <w:proofErr w:type="spellEnd"/>
    </w:p>
    <w:p w14:paraId="3504962D" w14:textId="77777777" w:rsidR="00460482" w:rsidRPr="00054F55" w:rsidRDefault="00460482" w:rsidP="00054F55">
      <w:pPr>
        <w:ind w:left="851"/>
        <w:rPr>
          <w:sz w:val="24"/>
          <w:szCs w:val="24"/>
        </w:rPr>
      </w:pPr>
      <w:r w:rsidRPr="00054F55">
        <w:rPr>
          <w:sz w:val="24"/>
          <w:szCs w:val="24"/>
        </w:rPr>
        <w:t>Due to the genotoxic potential of carboplatin (see section 5.3), women of childbearing potential should use effective contraceptive measures while being treated with carboplatin for 6 months following completion of treatment.</w:t>
      </w:r>
    </w:p>
    <w:p w14:paraId="0C01FAEB" w14:textId="77777777" w:rsidR="00460482" w:rsidRPr="00054F55" w:rsidRDefault="00460482" w:rsidP="00054F55">
      <w:pPr>
        <w:ind w:left="851"/>
        <w:rPr>
          <w:sz w:val="24"/>
          <w:szCs w:val="24"/>
        </w:rPr>
      </w:pPr>
      <w:r w:rsidRPr="00054F55">
        <w:rPr>
          <w:sz w:val="24"/>
          <w:szCs w:val="24"/>
        </w:rPr>
        <w:t>Men are recommended to use effective contraceptive measures and not to father a child while receiving carboplatin and for 3 months following completion of treatment.</w:t>
      </w:r>
    </w:p>
    <w:p w14:paraId="4303B02F" w14:textId="77777777" w:rsidR="00460482" w:rsidRPr="00054F55" w:rsidRDefault="00460482" w:rsidP="00054F55">
      <w:pPr>
        <w:ind w:left="851"/>
        <w:rPr>
          <w:sz w:val="24"/>
          <w:szCs w:val="24"/>
          <w:lang w:val="en-US"/>
        </w:rPr>
      </w:pPr>
    </w:p>
    <w:p w14:paraId="7F8AD85B" w14:textId="77777777" w:rsidR="00460482" w:rsidRPr="00054F55" w:rsidRDefault="00460482" w:rsidP="00054F55">
      <w:pPr>
        <w:ind w:left="851"/>
        <w:rPr>
          <w:sz w:val="24"/>
          <w:szCs w:val="24"/>
          <w:u w:val="single"/>
          <w:lang w:val="en-US"/>
        </w:rPr>
      </w:pPr>
      <w:r w:rsidRPr="00054F55">
        <w:rPr>
          <w:sz w:val="24"/>
          <w:szCs w:val="24"/>
          <w:u w:val="single"/>
          <w:lang w:val="en-US"/>
        </w:rPr>
        <w:t>Pregnancy</w:t>
      </w:r>
    </w:p>
    <w:p w14:paraId="0C9B20BC" w14:textId="77777777" w:rsidR="00460482" w:rsidRPr="00054F55" w:rsidRDefault="00460482" w:rsidP="00054F55">
      <w:pPr>
        <w:ind w:left="851"/>
        <w:rPr>
          <w:sz w:val="24"/>
          <w:szCs w:val="24"/>
          <w:lang w:val="en-US"/>
        </w:rPr>
      </w:pPr>
      <w:r w:rsidRPr="00054F55">
        <w:rPr>
          <w:sz w:val="24"/>
          <w:szCs w:val="24"/>
          <w:lang w:val="en-US"/>
        </w:rPr>
        <w:t xml:space="preserve">Carboplatin can cause </w:t>
      </w:r>
      <w:proofErr w:type="spellStart"/>
      <w:r w:rsidRPr="00054F55">
        <w:rPr>
          <w:sz w:val="24"/>
          <w:szCs w:val="24"/>
          <w:lang w:val="en-US"/>
        </w:rPr>
        <w:t>foetal</w:t>
      </w:r>
      <w:proofErr w:type="spellEnd"/>
      <w:r w:rsidRPr="00054F55">
        <w:rPr>
          <w:sz w:val="24"/>
          <w:szCs w:val="24"/>
          <w:lang w:val="en-US"/>
        </w:rPr>
        <w:t xml:space="preserve"> harm when administered to a pregnant woman. Carboplatin has been shown to be embryotoxic and teratogenic in rats receiving the drug during organogenesis. No controlled studies in pregnant women have been conducted. If this medicinal product is used during pregnancy, or if the patient becomes pregnant while taking this medicinal product, the patient should be apprised of the potential hazard to the </w:t>
      </w:r>
      <w:proofErr w:type="spellStart"/>
      <w:r w:rsidRPr="00054F55">
        <w:rPr>
          <w:sz w:val="24"/>
          <w:szCs w:val="24"/>
          <w:lang w:val="en-US"/>
        </w:rPr>
        <w:t>foetus</w:t>
      </w:r>
      <w:proofErr w:type="spellEnd"/>
      <w:r w:rsidRPr="00054F55">
        <w:rPr>
          <w:sz w:val="24"/>
          <w:szCs w:val="24"/>
          <w:lang w:val="en-US"/>
        </w:rPr>
        <w:t>. Women of child-bearing potential should be advised to avoid becoming pregnant.</w:t>
      </w:r>
    </w:p>
    <w:p w14:paraId="343E5ECE" w14:textId="77777777" w:rsidR="003B36A9" w:rsidRPr="00054F55" w:rsidRDefault="003B36A9" w:rsidP="00054F55">
      <w:pPr>
        <w:ind w:left="851"/>
        <w:rPr>
          <w:noProof/>
          <w:sz w:val="24"/>
          <w:szCs w:val="24"/>
          <w:lang w:val="en-US"/>
        </w:rPr>
      </w:pPr>
    </w:p>
    <w:p w14:paraId="57C7D874" w14:textId="77777777" w:rsidR="003B36A9" w:rsidRPr="00054F55" w:rsidRDefault="003B36A9" w:rsidP="00054F55">
      <w:pPr>
        <w:ind w:left="851"/>
        <w:rPr>
          <w:strike/>
          <w:sz w:val="24"/>
          <w:szCs w:val="24"/>
          <w:u w:val="single"/>
          <w:lang w:val="en-US"/>
        </w:rPr>
      </w:pPr>
      <w:r w:rsidRPr="00054F55">
        <w:rPr>
          <w:sz w:val="24"/>
          <w:szCs w:val="24"/>
          <w:u w:val="single"/>
          <w:lang w:val="en-US"/>
        </w:rPr>
        <w:t>Breast-feeding</w:t>
      </w:r>
    </w:p>
    <w:p w14:paraId="28C7CF41" w14:textId="77777777" w:rsidR="003B36A9" w:rsidRPr="00054F55" w:rsidRDefault="003B36A9" w:rsidP="00054F55">
      <w:pPr>
        <w:ind w:left="851"/>
        <w:rPr>
          <w:sz w:val="24"/>
          <w:szCs w:val="24"/>
          <w:lang w:val="en-US"/>
        </w:rPr>
      </w:pPr>
      <w:r w:rsidRPr="00054F55">
        <w:rPr>
          <w:sz w:val="24"/>
          <w:szCs w:val="24"/>
          <w:lang w:val="en-US"/>
        </w:rPr>
        <w:t>It is not known whether carboplatin is excreted in human milk. If treatment becomes necessary during the lactation period, breastfeeding must be stopped.</w:t>
      </w:r>
    </w:p>
    <w:p w14:paraId="1466C6C9" w14:textId="77777777" w:rsidR="003B36A9" w:rsidRPr="00054F55" w:rsidRDefault="003B36A9" w:rsidP="00054F55">
      <w:pPr>
        <w:ind w:left="851"/>
        <w:rPr>
          <w:noProof/>
          <w:sz w:val="24"/>
          <w:szCs w:val="24"/>
          <w:lang w:val="en-GB"/>
        </w:rPr>
      </w:pPr>
    </w:p>
    <w:p w14:paraId="45E4BC26" w14:textId="77777777" w:rsidR="003B36A9" w:rsidRPr="00054F55" w:rsidRDefault="003B36A9" w:rsidP="00054F55">
      <w:pPr>
        <w:ind w:left="851"/>
        <w:rPr>
          <w:sz w:val="24"/>
          <w:szCs w:val="24"/>
          <w:u w:val="single"/>
          <w:lang w:val="en-US"/>
        </w:rPr>
      </w:pPr>
      <w:r w:rsidRPr="00054F55">
        <w:rPr>
          <w:sz w:val="24"/>
          <w:szCs w:val="24"/>
          <w:u w:val="single"/>
          <w:lang w:val="en-US"/>
        </w:rPr>
        <w:t>Fertility</w:t>
      </w:r>
    </w:p>
    <w:p w14:paraId="445FF8CD" w14:textId="77777777" w:rsidR="00460482" w:rsidRPr="00054F55" w:rsidRDefault="00460482" w:rsidP="00054F55">
      <w:pPr>
        <w:ind w:left="851"/>
        <w:rPr>
          <w:sz w:val="24"/>
          <w:szCs w:val="24"/>
          <w:lang w:val="en-US"/>
        </w:rPr>
      </w:pPr>
      <w:r w:rsidRPr="00054F55">
        <w:rPr>
          <w:sz w:val="24"/>
          <w:szCs w:val="24"/>
          <w:lang w:val="en-US"/>
        </w:rPr>
        <w:t xml:space="preserve">Gonadal suppression resulting in amenorrhea or </w:t>
      </w:r>
      <w:proofErr w:type="spellStart"/>
      <w:r w:rsidRPr="00054F55">
        <w:rPr>
          <w:sz w:val="24"/>
          <w:szCs w:val="24"/>
          <w:lang w:val="en-US"/>
        </w:rPr>
        <w:t>azospermia</w:t>
      </w:r>
      <w:proofErr w:type="spellEnd"/>
      <w:r w:rsidRPr="00054F55">
        <w:rPr>
          <w:sz w:val="24"/>
          <w:szCs w:val="24"/>
          <w:lang w:val="en-US"/>
        </w:rPr>
        <w:t xml:space="preserve"> may occur in patients receiving antineoplastic therapy. These effects appear to be related to dose and length of therapy and may be irreversible. Prediction of the degree of testicular or ovarian function impairment is complicated by the common use of combinations of several </w:t>
      </w:r>
      <w:proofErr w:type="spellStart"/>
      <w:r w:rsidRPr="00054F55">
        <w:rPr>
          <w:sz w:val="24"/>
          <w:szCs w:val="24"/>
          <w:lang w:val="en-US"/>
        </w:rPr>
        <w:t>antineoplastics</w:t>
      </w:r>
      <w:proofErr w:type="spellEnd"/>
      <w:r w:rsidRPr="00054F55">
        <w:rPr>
          <w:sz w:val="24"/>
          <w:szCs w:val="24"/>
          <w:lang w:val="en-US"/>
        </w:rPr>
        <w:t>, which makes it difficult to assess the effects of individual medicinal products.</w:t>
      </w:r>
    </w:p>
    <w:p w14:paraId="30D8BB19" w14:textId="77777777" w:rsidR="00460482" w:rsidRPr="00054F55" w:rsidRDefault="00460482" w:rsidP="00054F55">
      <w:pPr>
        <w:ind w:left="851"/>
        <w:rPr>
          <w:sz w:val="24"/>
          <w:szCs w:val="24"/>
          <w:lang w:val="en-US"/>
        </w:rPr>
      </w:pPr>
    </w:p>
    <w:p w14:paraId="058E73C5" w14:textId="77777777" w:rsidR="00460482" w:rsidRPr="00054F55" w:rsidRDefault="00460482" w:rsidP="00054F55">
      <w:pPr>
        <w:ind w:left="851"/>
        <w:rPr>
          <w:sz w:val="24"/>
          <w:szCs w:val="24"/>
          <w:lang w:val="en-US"/>
        </w:rPr>
      </w:pPr>
      <w:r w:rsidRPr="00054F55">
        <w:rPr>
          <w:sz w:val="24"/>
          <w:szCs w:val="24"/>
          <w:lang w:val="en-US"/>
        </w:rPr>
        <w:t>Men of sexually mature age treated with Carboplatin are recommended to ask advice about spermatic preservation prior to initiation of the therapy because of the possibility of irreversible infertility due to therapy with carboplatin.</w:t>
      </w:r>
    </w:p>
    <w:p w14:paraId="60ED0320" w14:textId="77777777" w:rsidR="007C5D2A" w:rsidRPr="00054F55" w:rsidRDefault="007C5D2A" w:rsidP="00054F55">
      <w:pPr>
        <w:ind w:left="851"/>
        <w:rPr>
          <w:sz w:val="24"/>
          <w:szCs w:val="24"/>
          <w:lang w:val="en-US"/>
        </w:rPr>
      </w:pPr>
    </w:p>
    <w:p w14:paraId="7F9DD869" w14:textId="77777777" w:rsidR="007C5D2A" w:rsidRPr="00243CC4" w:rsidRDefault="007C5D2A" w:rsidP="007C5D2A">
      <w:pPr>
        <w:tabs>
          <w:tab w:val="left" w:pos="851"/>
        </w:tabs>
        <w:ind w:left="851" w:hanging="851"/>
        <w:rPr>
          <w:b/>
          <w:sz w:val="24"/>
          <w:szCs w:val="24"/>
          <w:lang w:val="en-GB"/>
        </w:rPr>
      </w:pPr>
      <w:r w:rsidRPr="00243CC4">
        <w:rPr>
          <w:b/>
          <w:sz w:val="24"/>
          <w:szCs w:val="24"/>
          <w:lang w:val="en-GB"/>
        </w:rPr>
        <w:t>4.7</w:t>
      </w:r>
      <w:r w:rsidRPr="00243CC4">
        <w:rPr>
          <w:b/>
          <w:sz w:val="24"/>
          <w:szCs w:val="24"/>
          <w:lang w:val="en-GB"/>
        </w:rPr>
        <w:tab/>
        <w:t>Effects on ability to drive and use machines</w:t>
      </w:r>
    </w:p>
    <w:p w14:paraId="658422A9" w14:textId="58CA3F89" w:rsidR="007C5D2A" w:rsidRPr="00243CC4" w:rsidRDefault="003B36A9" w:rsidP="00A02E32">
      <w:pPr>
        <w:ind w:left="851"/>
        <w:rPr>
          <w:sz w:val="24"/>
          <w:szCs w:val="24"/>
          <w:lang w:val="en-GB"/>
        </w:rPr>
      </w:pPr>
      <w:r w:rsidRPr="00243CC4">
        <w:rPr>
          <w:sz w:val="24"/>
          <w:szCs w:val="24"/>
          <w:lang w:val="en-GB"/>
        </w:rPr>
        <w:t>No traffic warning.</w:t>
      </w:r>
    </w:p>
    <w:p w14:paraId="48B1B286" w14:textId="38357363" w:rsidR="003B36A9" w:rsidRPr="00243CC4" w:rsidRDefault="003B36A9" w:rsidP="00A02E32">
      <w:pPr>
        <w:ind w:left="851"/>
        <w:rPr>
          <w:sz w:val="24"/>
          <w:szCs w:val="24"/>
          <w:lang w:val="en-US"/>
        </w:rPr>
      </w:pPr>
      <w:bookmarkStart w:id="9" w:name="OLE_LINK151"/>
      <w:r w:rsidRPr="00243CC4">
        <w:rPr>
          <w:sz w:val="24"/>
          <w:szCs w:val="24"/>
          <w:lang w:val="en-US"/>
        </w:rPr>
        <w:t>No studies on the effects on the ability to drive and use machines have been performed.</w:t>
      </w:r>
      <w:r w:rsidR="00243CC4">
        <w:rPr>
          <w:sz w:val="24"/>
          <w:szCs w:val="24"/>
          <w:lang w:val="en-US"/>
        </w:rPr>
        <w:t xml:space="preserve"> </w:t>
      </w:r>
      <w:r w:rsidRPr="00243CC4">
        <w:rPr>
          <w:sz w:val="24"/>
          <w:szCs w:val="24"/>
          <w:lang w:val="en-US"/>
        </w:rPr>
        <w:t>However, Carboplatin may cause nausea, vomiting, vision abnormalities and ototoxicity; therefore, patients should be warned on the potential effect of these events on the ability to drive or to use machines.</w:t>
      </w:r>
      <w:bookmarkEnd w:id="9"/>
    </w:p>
    <w:p w14:paraId="1932AA9A" w14:textId="77777777" w:rsidR="007C5D2A" w:rsidRPr="00243CC4" w:rsidRDefault="007C5D2A" w:rsidP="003E0341">
      <w:pPr>
        <w:tabs>
          <w:tab w:val="left" w:pos="851"/>
        </w:tabs>
        <w:ind w:left="851"/>
        <w:rPr>
          <w:sz w:val="24"/>
          <w:szCs w:val="24"/>
          <w:lang w:val="en-US"/>
        </w:rPr>
      </w:pPr>
    </w:p>
    <w:p w14:paraId="47C79D6D" w14:textId="77777777" w:rsidR="007C5D2A" w:rsidRPr="00243CC4" w:rsidRDefault="007C5D2A" w:rsidP="007C5D2A">
      <w:pPr>
        <w:tabs>
          <w:tab w:val="left" w:pos="851"/>
        </w:tabs>
        <w:ind w:left="851" w:hanging="851"/>
        <w:rPr>
          <w:b/>
          <w:sz w:val="24"/>
          <w:szCs w:val="24"/>
          <w:lang w:val="en-GB"/>
        </w:rPr>
      </w:pPr>
      <w:r w:rsidRPr="00243CC4">
        <w:rPr>
          <w:b/>
          <w:sz w:val="24"/>
          <w:szCs w:val="24"/>
          <w:lang w:val="en-GB"/>
        </w:rPr>
        <w:t>4.8</w:t>
      </w:r>
      <w:r w:rsidRPr="00243CC4">
        <w:rPr>
          <w:b/>
          <w:sz w:val="24"/>
          <w:szCs w:val="24"/>
          <w:lang w:val="en-GB"/>
        </w:rPr>
        <w:tab/>
        <w:t>Undesirable effects</w:t>
      </w:r>
    </w:p>
    <w:p w14:paraId="7DA7D099" w14:textId="77777777" w:rsidR="003B36A9" w:rsidRPr="00243CC4" w:rsidRDefault="003B36A9" w:rsidP="00A02E32">
      <w:pPr>
        <w:ind w:left="851"/>
        <w:rPr>
          <w:sz w:val="24"/>
          <w:szCs w:val="24"/>
          <w:lang w:val="en-US"/>
        </w:rPr>
      </w:pPr>
      <w:r w:rsidRPr="00243CC4">
        <w:rPr>
          <w:sz w:val="24"/>
          <w:szCs w:val="24"/>
          <w:lang w:val="en-US"/>
        </w:rPr>
        <w:t>The frequency of adverse reactions reported is based on a cumulative database of 1,893 patients receiving single agent carboplatin and post-marketing experience.</w:t>
      </w:r>
    </w:p>
    <w:p w14:paraId="29FA7133" w14:textId="77777777" w:rsidR="003B36A9" w:rsidRPr="00243CC4" w:rsidRDefault="003B36A9" w:rsidP="00A02E32">
      <w:pPr>
        <w:ind w:left="851"/>
        <w:rPr>
          <w:sz w:val="24"/>
          <w:szCs w:val="24"/>
          <w:lang w:val="en-US"/>
        </w:rPr>
      </w:pPr>
    </w:p>
    <w:p w14:paraId="07D56F7F" w14:textId="77777777" w:rsidR="003B36A9" w:rsidRPr="00243CC4" w:rsidRDefault="003B36A9" w:rsidP="00A02E32">
      <w:pPr>
        <w:ind w:left="851"/>
        <w:rPr>
          <w:sz w:val="24"/>
          <w:szCs w:val="24"/>
          <w:lang w:val="en-US"/>
        </w:rPr>
      </w:pPr>
      <w:r w:rsidRPr="00243CC4">
        <w:rPr>
          <w:sz w:val="24"/>
          <w:szCs w:val="24"/>
          <w:lang w:val="en-US"/>
        </w:rPr>
        <w:t>The list is presented by system organ class, MedDRA preferred term, and frequency using the following frequency categories:</w:t>
      </w:r>
    </w:p>
    <w:p w14:paraId="222316EF" w14:textId="77777777" w:rsidR="003B36A9" w:rsidRPr="00243CC4" w:rsidRDefault="003B36A9" w:rsidP="00A02E32">
      <w:pPr>
        <w:ind w:left="851"/>
        <w:rPr>
          <w:sz w:val="24"/>
          <w:szCs w:val="24"/>
          <w:lang w:val="en-GB"/>
        </w:rPr>
      </w:pPr>
      <w:r w:rsidRPr="00243CC4">
        <w:rPr>
          <w:sz w:val="24"/>
          <w:szCs w:val="24"/>
          <w:lang w:val="en-US"/>
        </w:rPr>
        <w:t>Very common (≥1/10);</w:t>
      </w:r>
    </w:p>
    <w:p w14:paraId="3733805A" w14:textId="77777777" w:rsidR="003B36A9" w:rsidRPr="00243CC4" w:rsidRDefault="003B36A9" w:rsidP="00A02E32">
      <w:pPr>
        <w:ind w:left="851"/>
        <w:rPr>
          <w:sz w:val="24"/>
          <w:szCs w:val="24"/>
          <w:lang w:val="en-US"/>
        </w:rPr>
      </w:pPr>
      <w:r w:rsidRPr="00243CC4">
        <w:rPr>
          <w:sz w:val="24"/>
          <w:szCs w:val="24"/>
          <w:lang w:val="en-US"/>
        </w:rPr>
        <w:t>Common (≥1/100 to &lt;1/10);</w:t>
      </w:r>
    </w:p>
    <w:p w14:paraId="4DCFD902" w14:textId="77777777" w:rsidR="003B36A9" w:rsidRPr="00243CC4" w:rsidRDefault="003B36A9" w:rsidP="00A02E32">
      <w:pPr>
        <w:ind w:left="851"/>
        <w:rPr>
          <w:sz w:val="24"/>
          <w:szCs w:val="24"/>
          <w:lang w:val="en-US"/>
        </w:rPr>
      </w:pPr>
      <w:r w:rsidRPr="00243CC4">
        <w:rPr>
          <w:sz w:val="24"/>
          <w:szCs w:val="24"/>
          <w:lang w:val="en-US"/>
        </w:rPr>
        <w:t>Uncommon (≥1/1,000 to &lt;1/100);</w:t>
      </w:r>
    </w:p>
    <w:p w14:paraId="39C4F32D" w14:textId="77777777" w:rsidR="003B36A9" w:rsidRPr="00243CC4" w:rsidRDefault="003B36A9" w:rsidP="00A02E32">
      <w:pPr>
        <w:ind w:left="851"/>
        <w:rPr>
          <w:sz w:val="24"/>
          <w:szCs w:val="24"/>
          <w:lang w:val="en-US"/>
        </w:rPr>
      </w:pPr>
      <w:r w:rsidRPr="00243CC4">
        <w:rPr>
          <w:sz w:val="24"/>
          <w:szCs w:val="24"/>
          <w:lang w:val="en-US"/>
        </w:rPr>
        <w:t>Rare (≥1/10,000 to &lt;1/1,000);</w:t>
      </w:r>
    </w:p>
    <w:p w14:paraId="53B1C9D5" w14:textId="77777777" w:rsidR="003B36A9" w:rsidRPr="00243CC4" w:rsidRDefault="003B36A9" w:rsidP="00A02E32">
      <w:pPr>
        <w:ind w:left="851"/>
        <w:rPr>
          <w:sz w:val="24"/>
          <w:szCs w:val="24"/>
          <w:lang w:val="en-US"/>
        </w:rPr>
      </w:pPr>
      <w:r w:rsidRPr="00243CC4">
        <w:rPr>
          <w:sz w:val="24"/>
          <w:szCs w:val="24"/>
          <w:lang w:val="en-US"/>
        </w:rPr>
        <w:t>Very rare (&lt;1/10,000);</w:t>
      </w:r>
    </w:p>
    <w:p w14:paraId="6698CAF7" w14:textId="77777777" w:rsidR="003B36A9" w:rsidRPr="00243CC4" w:rsidRDefault="003B36A9" w:rsidP="00A02E32">
      <w:pPr>
        <w:ind w:left="851"/>
        <w:rPr>
          <w:sz w:val="24"/>
          <w:szCs w:val="24"/>
          <w:lang w:val="en-US"/>
        </w:rPr>
      </w:pPr>
      <w:r w:rsidRPr="00243CC4">
        <w:rPr>
          <w:sz w:val="24"/>
          <w:szCs w:val="24"/>
          <w:lang w:val="en-US"/>
        </w:rPr>
        <w:t>Not known (cannot be estimated from the available data).</w:t>
      </w:r>
    </w:p>
    <w:p w14:paraId="0EAF56BA" w14:textId="77777777" w:rsidR="003B36A9" w:rsidRPr="00243CC4" w:rsidRDefault="003B36A9" w:rsidP="00A02E32">
      <w:pPr>
        <w:ind w:left="851"/>
        <w:rPr>
          <w:sz w:val="24"/>
          <w:szCs w:val="24"/>
          <w:lang w:val="en-US"/>
        </w:rPr>
      </w:pPr>
    </w:p>
    <w:tbl>
      <w:tblPr>
        <w:tblW w:w="5000" w:type="pct"/>
        <w:tblLook w:val="04A0" w:firstRow="1" w:lastRow="0" w:firstColumn="1" w:lastColumn="0" w:noHBand="0" w:noVBand="1"/>
      </w:tblPr>
      <w:tblGrid>
        <w:gridCol w:w="2954"/>
        <w:gridCol w:w="1781"/>
        <w:gridCol w:w="4890"/>
      </w:tblGrid>
      <w:tr w:rsidR="003B36A9" w:rsidRPr="00243CC4" w14:paraId="0B64A7A8" w14:textId="77777777" w:rsidTr="00A02E32">
        <w:trPr>
          <w:trHeight w:val="491"/>
          <w:tblHeader/>
        </w:trPr>
        <w:tc>
          <w:tcPr>
            <w:tcW w:w="1535" w:type="pct"/>
            <w:tcBorders>
              <w:top w:val="single" w:sz="4" w:space="0" w:color="000000"/>
              <w:left w:val="single" w:sz="6" w:space="0" w:color="000000"/>
              <w:bottom w:val="single" w:sz="4" w:space="0" w:color="000000"/>
              <w:right w:val="single" w:sz="6" w:space="0" w:color="000000"/>
            </w:tcBorders>
            <w:vAlign w:val="center"/>
            <w:hideMark/>
          </w:tcPr>
          <w:p w14:paraId="779ECDBF" w14:textId="77777777" w:rsidR="003B36A9" w:rsidRPr="00243CC4" w:rsidRDefault="003B36A9">
            <w:pPr>
              <w:pStyle w:val="Default"/>
              <w:tabs>
                <w:tab w:val="left" w:pos="567"/>
              </w:tabs>
              <w:rPr>
                <w:sz w:val="24"/>
                <w:szCs w:val="24"/>
              </w:rPr>
            </w:pPr>
            <w:r w:rsidRPr="00243CC4">
              <w:rPr>
                <w:b/>
                <w:bCs/>
                <w:sz w:val="24"/>
                <w:szCs w:val="24"/>
              </w:rPr>
              <w:t>System Organ Class</w:t>
            </w: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224810B9" w14:textId="77777777" w:rsidR="003B36A9" w:rsidRPr="00243CC4" w:rsidRDefault="003B36A9">
            <w:pPr>
              <w:pStyle w:val="Default"/>
              <w:ind w:right="360"/>
              <w:rPr>
                <w:sz w:val="24"/>
                <w:szCs w:val="24"/>
              </w:rPr>
            </w:pPr>
            <w:r w:rsidRPr="00243CC4">
              <w:rPr>
                <w:b/>
                <w:bCs/>
                <w:sz w:val="24"/>
                <w:szCs w:val="24"/>
              </w:rPr>
              <w:t>Frequency</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41B65842" w14:textId="77777777" w:rsidR="003B36A9" w:rsidRPr="00243CC4" w:rsidRDefault="003B36A9">
            <w:pPr>
              <w:pStyle w:val="Default"/>
              <w:ind w:right="360"/>
              <w:rPr>
                <w:sz w:val="24"/>
                <w:szCs w:val="24"/>
              </w:rPr>
            </w:pPr>
            <w:r w:rsidRPr="00243CC4">
              <w:rPr>
                <w:b/>
                <w:bCs/>
                <w:sz w:val="24"/>
                <w:szCs w:val="24"/>
              </w:rPr>
              <w:t>MedDRA Term</w:t>
            </w:r>
          </w:p>
        </w:tc>
      </w:tr>
      <w:tr w:rsidR="003B36A9" w:rsidRPr="00243CC4" w14:paraId="4894D4A9" w14:textId="77777777" w:rsidTr="00A02E32">
        <w:trPr>
          <w:trHeight w:val="272"/>
        </w:trPr>
        <w:tc>
          <w:tcPr>
            <w:tcW w:w="1535" w:type="pct"/>
            <w:vMerge w:val="restart"/>
            <w:tcBorders>
              <w:top w:val="single" w:sz="4" w:space="0" w:color="000000"/>
              <w:left w:val="single" w:sz="6" w:space="0" w:color="000000"/>
              <w:bottom w:val="single" w:sz="4" w:space="0" w:color="000000"/>
              <w:right w:val="single" w:sz="6" w:space="0" w:color="000000"/>
            </w:tcBorders>
            <w:vAlign w:val="center"/>
            <w:hideMark/>
          </w:tcPr>
          <w:p w14:paraId="2F809D0B" w14:textId="77777777" w:rsidR="003B36A9" w:rsidRPr="00243CC4" w:rsidRDefault="003B36A9">
            <w:pPr>
              <w:pStyle w:val="Default"/>
              <w:tabs>
                <w:tab w:val="left" w:pos="567"/>
              </w:tabs>
              <w:rPr>
                <w:b/>
                <w:bCs/>
                <w:sz w:val="24"/>
                <w:szCs w:val="24"/>
              </w:rPr>
            </w:pPr>
            <w:r w:rsidRPr="00243CC4">
              <w:rPr>
                <w:sz w:val="24"/>
                <w:szCs w:val="24"/>
              </w:rPr>
              <w:t>Infections and infestations</w:t>
            </w: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74156DA2" w14:textId="77777777" w:rsidR="003B36A9" w:rsidRPr="00243CC4" w:rsidRDefault="003B36A9">
            <w:pPr>
              <w:pStyle w:val="Default"/>
              <w:ind w:right="37"/>
              <w:rPr>
                <w:b/>
                <w:bCs/>
                <w:sz w:val="24"/>
                <w:szCs w:val="24"/>
              </w:rPr>
            </w:pPr>
            <w:r w:rsidRPr="00243CC4">
              <w:rPr>
                <w:sz w:val="24"/>
                <w:szCs w:val="24"/>
              </w:rPr>
              <w:t>Common</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751BDA5B" w14:textId="77777777" w:rsidR="003B36A9" w:rsidRPr="00243CC4" w:rsidRDefault="003B36A9">
            <w:pPr>
              <w:pStyle w:val="Default"/>
              <w:ind w:right="360"/>
              <w:rPr>
                <w:b/>
                <w:bCs/>
                <w:sz w:val="24"/>
                <w:szCs w:val="24"/>
              </w:rPr>
            </w:pPr>
            <w:r w:rsidRPr="00243CC4">
              <w:rPr>
                <w:sz w:val="24"/>
                <w:szCs w:val="24"/>
              </w:rPr>
              <w:t>Infections*</w:t>
            </w:r>
          </w:p>
        </w:tc>
      </w:tr>
      <w:tr w:rsidR="003B36A9" w:rsidRPr="00243CC4" w14:paraId="23C9F4A6" w14:textId="77777777" w:rsidTr="00A02E32">
        <w:trPr>
          <w:trHeight w:val="275"/>
        </w:trPr>
        <w:tc>
          <w:tcPr>
            <w:tcW w:w="1535" w:type="pct"/>
            <w:vMerge/>
            <w:tcBorders>
              <w:top w:val="single" w:sz="4" w:space="0" w:color="000000"/>
              <w:left w:val="single" w:sz="6" w:space="0" w:color="000000"/>
              <w:bottom w:val="single" w:sz="4" w:space="0" w:color="000000"/>
              <w:right w:val="single" w:sz="6" w:space="0" w:color="000000"/>
            </w:tcBorders>
            <w:vAlign w:val="center"/>
            <w:hideMark/>
          </w:tcPr>
          <w:p w14:paraId="10AF3E20" w14:textId="77777777" w:rsidR="003B36A9" w:rsidRPr="00243CC4" w:rsidRDefault="003B36A9">
            <w:pPr>
              <w:rPr>
                <w:b/>
                <w:bCs/>
                <w:sz w:val="24"/>
                <w:szCs w:val="24"/>
                <w:lang w:val="en-US" w:eastAsia="en-US"/>
              </w:rPr>
            </w:pP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2DEF063A" w14:textId="77777777" w:rsidR="003B36A9" w:rsidRPr="00243CC4" w:rsidRDefault="003B36A9">
            <w:pPr>
              <w:pStyle w:val="Default"/>
              <w:ind w:right="37"/>
              <w:rPr>
                <w:sz w:val="24"/>
                <w:szCs w:val="24"/>
              </w:rPr>
            </w:pPr>
            <w:r w:rsidRPr="00243CC4">
              <w:rPr>
                <w:sz w:val="24"/>
                <w:szCs w:val="24"/>
              </w:rPr>
              <w:t>Not known</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45CEA62D" w14:textId="77777777" w:rsidR="003B36A9" w:rsidRPr="00243CC4" w:rsidRDefault="003B36A9">
            <w:pPr>
              <w:pStyle w:val="Default"/>
              <w:ind w:right="360"/>
              <w:rPr>
                <w:sz w:val="24"/>
                <w:szCs w:val="24"/>
              </w:rPr>
            </w:pPr>
            <w:r w:rsidRPr="00243CC4">
              <w:rPr>
                <w:sz w:val="24"/>
                <w:szCs w:val="24"/>
              </w:rPr>
              <w:t>Pneumonia</w:t>
            </w:r>
          </w:p>
        </w:tc>
      </w:tr>
      <w:tr w:rsidR="003B36A9" w:rsidRPr="00243CC4" w14:paraId="7108EA19" w14:textId="77777777" w:rsidTr="00A02E32">
        <w:trPr>
          <w:trHeight w:val="705"/>
        </w:trPr>
        <w:tc>
          <w:tcPr>
            <w:tcW w:w="1535" w:type="pct"/>
            <w:tcBorders>
              <w:top w:val="single" w:sz="4" w:space="0" w:color="000000"/>
              <w:left w:val="single" w:sz="6" w:space="0" w:color="000000"/>
              <w:bottom w:val="single" w:sz="4" w:space="0" w:color="000000"/>
              <w:right w:val="single" w:sz="6" w:space="0" w:color="000000"/>
            </w:tcBorders>
            <w:vAlign w:val="center"/>
            <w:hideMark/>
          </w:tcPr>
          <w:p w14:paraId="15BB5827" w14:textId="77777777" w:rsidR="003B36A9" w:rsidRPr="00243CC4" w:rsidRDefault="003B36A9">
            <w:pPr>
              <w:pStyle w:val="Default"/>
              <w:rPr>
                <w:sz w:val="24"/>
                <w:szCs w:val="24"/>
              </w:rPr>
            </w:pPr>
            <w:r w:rsidRPr="00243CC4">
              <w:rPr>
                <w:sz w:val="24"/>
                <w:szCs w:val="24"/>
              </w:rPr>
              <w:t>Neoplasms, benign, malignant and unspecified (incl cysts and polyps)</w:t>
            </w: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4F318D75" w14:textId="77777777" w:rsidR="003B36A9" w:rsidRPr="00243CC4" w:rsidRDefault="003B36A9">
            <w:pPr>
              <w:pStyle w:val="Default"/>
              <w:ind w:right="37"/>
              <w:rPr>
                <w:sz w:val="24"/>
                <w:szCs w:val="24"/>
              </w:rPr>
            </w:pPr>
            <w:r w:rsidRPr="00243CC4">
              <w:rPr>
                <w:sz w:val="24"/>
                <w:szCs w:val="24"/>
              </w:rPr>
              <w:t>Uncommon</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3B0CB1AC" w14:textId="77777777" w:rsidR="003B36A9" w:rsidRPr="00243CC4" w:rsidRDefault="003B36A9">
            <w:pPr>
              <w:pStyle w:val="Default"/>
              <w:ind w:right="360"/>
              <w:rPr>
                <w:sz w:val="24"/>
                <w:szCs w:val="24"/>
              </w:rPr>
            </w:pPr>
            <w:r w:rsidRPr="00243CC4">
              <w:rPr>
                <w:sz w:val="24"/>
                <w:szCs w:val="24"/>
              </w:rPr>
              <w:t>Treatment related secondary malignancy</w:t>
            </w:r>
          </w:p>
        </w:tc>
      </w:tr>
      <w:tr w:rsidR="003B36A9" w:rsidRPr="00243CC4" w14:paraId="6D3F915A" w14:textId="77777777" w:rsidTr="00A02E32">
        <w:trPr>
          <w:trHeight w:val="257"/>
        </w:trPr>
        <w:tc>
          <w:tcPr>
            <w:tcW w:w="1535" w:type="pct"/>
            <w:vMerge w:val="restart"/>
            <w:tcBorders>
              <w:top w:val="single" w:sz="4" w:space="0" w:color="000000"/>
              <w:left w:val="single" w:sz="6" w:space="0" w:color="000000"/>
              <w:bottom w:val="nil"/>
              <w:right w:val="single" w:sz="6" w:space="0" w:color="000000"/>
            </w:tcBorders>
            <w:vAlign w:val="center"/>
            <w:hideMark/>
          </w:tcPr>
          <w:p w14:paraId="7E09C062" w14:textId="77777777" w:rsidR="003B36A9" w:rsidRPr="00243CC4" w:rsidRDefault="003B36A9">
            <w:pPr>
              <w:pStyle w:val="Default"/>
              <w:rPr>
                <w:sz w:val="24"/>
                <w:szCs w:val="24"/>
              </w:rPr>
            </w:pPr>
            <w:r w:rsidRPr="00243CC4">
              <w:rPr>
                <w:sz w:val="24"/>
                <w:szCs w:val="24"/>
              </w:rPr>
              <w:t>Blood and lymphatic system disorders</w:t>
            </w: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572660D1" w14:textId="77777777" w:rsidR="003B36A9" w:rsidRPr="00243CC4" w:rsidRDefault="003B36A9">
            <w:pPr>
              <w:pStyle w:val="Default"/>
              <w:ind w:right="37"/>
              <w:rPr>
                <w:sz w:val="24"/>
                <w:szCs w:val="24"/>
              </w:rPr>
            </w:pPr>
            <w:r w:rsidRPr="00243CC4">
              <w:rPr>
                <w:sz w:val="24"/>
                <w:szCs w:val="24"/>
              </w:rPr>
              <w:t>Very common</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765D1D72" w14:textId="77777777" w:rsidR="003B36A9" w:rsidRPr="00243CC4" w:rsidRDefault="003B36A9">
            <w:pPr>
              <w:pStyle w:val="Default"/>
              <w:ind w:right="360"/>
              <w:rPr>
                <w:sz w:val="24"/>
                <w:szCs w:val="24"/>
              </w:rPr>
            </w:pPr>
            <w:r w:rsidRPr="00243CC4">
              <w:rPr>
                <w:sz w:val="24"/>
                <w:szCs w:val="24"/>
              </w:rPr>
              <w:t xml:space="preserve">Thrombocytopenia, neutropenia, leukopenia, </w:t>
            </w:r>
            <w:proofErr w:type="spellStart"/>
            <w:r w:rsidRPr="00243CC4">
              <w:rPr>
                <w:sz w:val="24"/>
                <w:szCs w:val="24"/>
              </w:rPr>
              <w:t>anaemia</w:t>
            </w:r>
            <w:proofErr w:type="spellEnd"/>
          </w:p>
        </w:tc>
      </w:tr>
      <w:tr w:rsidR="003B36A9" w:rsidRPr="00243CC4" w14:paraId="3C8081AD" w14:textId="77777777" w:rsidTr="00A02E32">
        <w:trPr>
          <w:trHeight w:val="270"/>
        </w:trPr>
        <w:tc>
          <w:tcPr>
            <w:tcW w:w="1535" w:type="pct"/>
            <w:vMerge/>
            <w:tcBorders>
              <w:top w:val="single" w:sz="4" w:space="0" w:color="000000"/>
              <w:left w:val="single" w:sz="6" w:space="0" w:color="000000"/>
              <w:bottom w:val="nil"/>
              <w:right w:val="single" w:sz="6" w:space="0" w:color="000000"/>
            </w:tcBorders>
            <w:vAlign w:val="center"/>
            <w:hideMark/>
          </w:tcPr>
          <w:p w14:paraId="3AB81C1D" w14:textId="77777777" w:rsidR="003B36A9" w:rsidRPr="00243CC4" w:rsidRDefault="003B36A9">
            <w:pPr>
              <w:rPr>
                <w:sz w:val="24"/>
                <w:szCs w:val="24"/>
                <w:lang w:val="en-US" w:eastAsia="en-US"/>
              </w:rPr>
            </w:pP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441B4619" w14:textId="77777777" w:rsidR="003B36A9" w:rsidRPr="00243CC4" w:rsidRDefault="003B36A9">
            <w:pPr>
              <w:pStyle w:val="Default"/>
              <w:ind w:right="37"/>
              <w:rPr>
                <w:sz w:val="24"/>
                <w:szCs w:val="24"/>
              </w:rPr>
            </w:pPr>
            <w:r w:rsidRPr="00243CC4">
              <w:rPr>
                <w:sz w:val="24"/>
                <w:szCs w:val="24"/>
              </w:rPr>
              <w:t>Common</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655D0472" w14:textId="77777777" w:rsidR="003B36A9" w:rsidRPr="00243CC4" w:rsidRDefault="003B36A9">
            <w:pPr>
              <w:pStyle w:val="Default"/>
              <w:ind w:right="360"/>
              <w:rPr>
                <w:sz w:val="24"/>
                <w:szCs w:val="24"/>
              </w:rPr>
            </w:pPr>
            <w:proofErr w:type="spellStart"/>
            <w:r w:rsidRPr="00243CC4">
              <w:rPr>
                <w:sz w:val="24"/>
                <w:szCs w:val="24"/>
              </w:rPr>
              <w:t>Haemorrhage</w:t>
            </w:r>
            <w:proofErr w:type="spellEnd"/>
            <w:r w:rsidRPr="00243CC4">
              <w:rPr>
                <w:sz w:val="24"/>
                <w:szCs w:val="24"/>
              </w:rPr>
              <w:t>*</w:t>
            </w:r>
          </w:p>
        </w:tc>
      </w:tr>
      <w:tr w:rsidR="003B36A9" w:rsidRPr="00243CC4" w14:paraId="50CA0D93" w14:textId="77777777" w:rsidTr="00A02E32">
        <w:trPr>
          <w:trHeight w:val="273"/>
        </w:trPr>
        <w:tc>
          <w:tcPr>
            <w:tcW w:w="1535" w:type="pct"/>
            <w:vMerge/>
            <w:tcBorders>
              <w:top w:val="single" w:sz="4" w:space="0" w:color="000000"/>
              <w:left w:val="single" w:sz="6" w:space="0" w:color="000000"/>
              <w:bottom w:val="nil"/>
              <w:right w:val="single" w:sz="6" w:space="0" w:color="000000"/>
            </w:tcBorders>
            <w:vAlign w:val="center"/>
            <w:hideMark/>
          </w:tcPr>
          <w:p w14:paraId="28FB91C8" w14:textId="77777777" w:rsidR="003B36A9" w:rsidRPr="00243CC4" w:rsidRDefault="003B36A9">
            <w:pPr>
              <w:rPr>
                <w:sz w:val="24"/>
                <w:szCs w:val="24"/>
                <w:lang w:val="en-US" w:eastAsia="en-US"/>
              </w:rPr>
            </w:pPr>
          </w:p>
        </w:tc>
        <w:tc>
          <w:tcPr>
            <w:tcW w:w="925" w:type="pct"/>
            <w:tcBorders>
              <w:top w:val="single" w:sz="4" w:space="0" w:color="000000"/>
              <w:left w:val="single" w:sz="6" w:space="0" w:color="000000"/>
              <w:bottom w:val="single" w:sz="4" w:space="0" w:color="auto"/>
              <w:right w:val="single" w:sz="6" w:space="0" w:color="000000"/>
            </w:tcBorders>
            <w:vAlign w:val="center"/>
            <w:hideMark/>
          </w:tcPr>
          <w:p w14:paraId="56146784" w14:textId="77777777" w:rsidR="003B36A9" w:rsidRPr="00243CC4" w:rsidRDefault="003B36A9">
            <w:pPr>
              <w:pStyle w:val="Default"/>
              <w:ind w:right="37"/>
              <w:rPr>
                <w:sz w:val="24"/>
                <w:szCs w:val="24"/>
              </w:rPr>
            </w:pPr>
            <w:r w:rsidRPr="00243CC4">
              <w:rPr>
                <w:sz w:val="24"/>
                <w:szCs w:val="24"/>
              </w:rPr>
              <w:t>Rare</w:t>
            </w:r>
          </w:p>
        </w:tc>
        <w:tc>
          <w:tcPr>
            <w:tcW w:w="2541" w:type="pct"/>
            <w:tcBorders>
              <w:top w:val="single" w:sz="4" w:space="0" w:color="000000"/>
              <w:left w:val="single" w:sz="6" w:space="0" w:color="000000"/>
              <w:bottom w:val="single" w:sz="4" w:space="0" w:color="auto"/>
              <w:right w:val="single" w:sz="4" w:space="0" w:color="000000"/>
            </w:tcBorders>
            <w:vAlign w:val="center"/>
            <w:hideMark/>
          </w:tcPr>
          <w:p w14:paraId="67D42631" w14:textId="77777777" w:rsidR="003B36A9" w:rsidRPr="00243CC4" w:rsidRDefault="003B36A9">
            <w:pPr>
              <w:pStyle w:val="Default"/>
              <w:ind w:right="360"/>
              <w:rPr>
                <w:sz w:val="24"/>
                <w:szCs w:val="24"/>
              </w:rPr>
            </w:pPr>
            <w:r w:rsidRPr="00243CC4">
              <w:rPr>
                <w:sz w:val="24"/>
                <w:szCs w:val="24"/>
              </w:rPr>
              <w:t>Febrile neutropenia</w:t>
            </w:r>
          </w:p>
        </w:tc>
      </w:tr>
      <w:tr w:rsidR="003B36A9" w:rsidRPr="00460482" w14:paraId="52785A2B" w14:textId="77777777" w:rsidTr="00A02E32">
        <w:trPr>
          <w:trHeight w:val="518"/>
        </w:trPr>
        <w:tc>
          <w:tcPr>
            <w:tcW w:w="1535" w:type="pct"/>
            <w:vMerge/>
            <w:tcBorders>
              <w:top w:val="single" w:sz="4" w:space="0" w:color="000000"/>
              <w:left w:val="single" w:sz="6" w:space="0" w:color="000000"/>
              <w:bottom w:val="nil"/>
              <w:right w:val="single" w:sz="6" w:space="0" w:color="000000"/>
            </w:tcBorders>
            <w:vAlign w:val="center"/>
            <w:hideMark/>
          </w:tcPr>
          <w:p w14:paraId="7277B031" w14:textId="77777777" w:rsidR="003B36A9" w:rsidRPr="00243CC4" w:rsidRDefault="003B36A9">
            <w:pPr>
              <w:rPr>
                <w:sz w:val="24"/>
                <w:szCs w:val="24"/>
                <w:lang w:val="en-US" w:eastAsia="en-US"/>
              </w:rPr>
            </w:pPr>
          </w:p>
        </w:tc>
        <w:tc>
          <w:tcPr>
            <w:tcW w:w="925" w:type="pct"/>
            <w:tcBorders>
              <w:top w:val="single" w:sz="4" w:space="0" w:color="auto"/>
              <w:left w:val="single" w:sz="6" w:space="0" w:color="000000"/>
              <w:bottom w:val="nil"/>
              <w:right w:val="single" w:sz="6" w:space="0" w:color="000000"/>
            </w:tcBorders>
            <w:vAlign w:val="center"/>
            <w:hideMark/>
          </w:tcPr>
          <w:p w14:paraId="74AF484D" w14:textId="77777777" w:rsidR="003B36A9" w:rsidRPr="00243CC4" w:rsidRDefault="003B36A9">
            <w:pPr>
              <w:pStyle w:val="Default"/>
              <w:ind w:right="37"/>
              <w:rPr>
                <w:sz w:val="24"/>
                <w:szCs w:val="24"/>
              </w:rPr>
            </w:pPr>
            <w:r w:rsidRPr="00243CC4">
              <w:rPr>
                <w:sz w:val="24"/>
                <w:szCs w:val="24"/>
              </w:rPr>
              <w:t>Not known</w:t>
            </w:r>
          </w:p>
        </w:tc>
        <w:tc>
          <w:tcPr>
            <w:tcW w:w="2541" w:type="pct"/>
            <w:tcBorders>
              <w:top w:val="single" w:sz="4" w:space="0" w:color="auto"/>
              <w:left w:val="single" w:sz="6" w:space="0" w:color="000000"/>
              <w:bottom w:val="nil"/>
              <w:right w:val="single" w:sz="4" w:space="0" w:color="000000"/>
            </w:tcBorders>
            <w:vAlign w:val="center"/>
            <w:hideMark/>
          </w:tcPr>
          <w:p w14:paraId="03759F99" w14:textId="77777777" w:rsidR="003B36A9" w:rsidRPr="00243CC4" w:rsidRDefault="003B36A9">
            <w:pPr>
              <w:pStyle w:val="Default"/>
              <w:ind w:right="360"/>
              <w:rPr>
                <w:sz w:val="24"/>
                <w:szCs w:val="24"/>
              </w:rPr>
            </w:pPr>
            <w:r w:rsidRPr="00243CC4">
              <w:rPr>
                <w:sz w:val="24"/>
                <w:szCs w:val="24"/>
              </w:rPr>
              <w:t>hemolytic-</w:t>
            </w:r>
            <w:proofErr w:type="spellStart"/>
            <w:r w:rsidRPr="00243CC4">
              <w:rPr>
                <w:sz w:val="24"/>
                <w:szCs w:val="24"/>
              </w:rPr>
              <w:t>uraemic</w:t>
            </w:r>
            <w:proofErr w:type="spellEnd"/>
            <w:r w:rsidRPr="00243CC4">
              <w:rPr>
                <w:sz w:val="24"/>
                <w:szCs w:val="24"/>
              </w:rPr>
              <w:t xml:space="preserve"> syndrome, bone marrow failure, promyelocytic </w:t>
            </w:r>
            <w:proofErr w:type="spellStart"/>
            <w:r w:rsidRPr="00243CC4">
              <w:rPr>
                <w:sz w:val="24"/>
                <w:szCs w:val="24"/>
              </w:rPr>
              <w:t>leukaemia</w:t>
            </w:r>
            <w:proofErr w:type="spellEnd"/>
          </w:p>
        </w:tc>
      </w:tr>
      <w:tr w:rsidR="003B36A9" w:rsidRPr="00243CC4" w14:paraId="6B53DB1B" w14:textId="77777777" w:rsidTr="00A02E32">
        <w:trPr>
          <w:trHeight w:val="257"/>
        </w:trPr>
        <w:tc>
          <w:tcPr>
            <w:tcW w:w="1535" w:type="pct"/>
            <w:vMerge w:val="restart"/>
            <w:tcBorders>
              <w:top w:val="single" w:sz="4" w:space="0" w:color="000000"/>
              <w:left w:val="single" w:sz="6" w:space="0" w:color="000000"/>
              <w:bottom w:val="single" w:sz="4" w:space="0" w:color="000000"/>
              <w:right w:val="single" w:sz="6" w:space="0" w:color="000000"/>
            </w:tcBorders>
            <w:vAlign w:val="center"/>
            <w:hideMark/>
          </w:tcPr>
          <w:p w14:paraId="6E27F631" w14:textId="77777777" w:rsidR="003B36A9" w:rsidRPr="00243CC4" w:rsidRDefault="003B36A9">
            <w:pPr>
              <w:pStyle w:val="Default"/>
              <w:rPr>
                <w:sz w:val="24"/>
                <w:szCs w:val="24"/>
              </w:rPr>
            </w:pPr>
            <w:r w:rsidRPr="00243CC4">
              <w:rPr>
                <w:sz w:val="24"/>
                <w:szCs w:val="24"/>
              </w:rPr>
              <w:t>Immune system disorders</w:t>
            </w: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0E1C9616" w14:textId="77777777" w:rsidR="003B36A9" w:rsidRPr="00243CC4" w:rsidRDefault="003B36A9">
            <w:pPr>
              <w:pStyle w:val="Default"/>
              <w:ind w:right="37"/>
              <w:rPr>
                <w:sz w:val="24"/>
                <w:szCs w:val="24"/>
              </w:rPr>
            </w:pPr>
            <w:r w:rsidRPr="00243CC4">
              <w:rPr>
                <w:sz w:val="24"/>
                <w:szCs w:val="24"/>
              </w:rPr>
              <w:t>Common</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79B68D33" w14:textId="77777777" w:rsidR="003B36A9" w:rsidRPr="00243CC4" w:rsidRDefault="003B36A9">
            <w:pPr>
              <w:pStyle w:val="Default"/>
              <w:ind w:right="360"/>
              <w:rPr>
                <w:sz w:val="24"/>
                <w:szCs w:val="24"/>
              </w:rPr>
            </w:pPr>
            <w:r w:rsidRPr="00243CC4">
              <w:rPr>
                <w:sz w:val="24"/>
                <w:szCs w:val="24"/>
              </w:rPr>
              <w:t>Hypersensitivity, anaphylactoid type reaction</w:t>
            </w:r>
          </w:p>
        </w:tc>
      </w:tr>
      <w:tr w:rsidR="003B36A9" w:rsidRPr="00460482" w14:paraId="212B8958" w14:textId="77777777" w:rsidTr="00A02E32">
        <w:trPr>
          <w:trHeight w:val="257"/>
        </w:trPr>
        <w:tc>
          <w:tcPr>
            <w:tcW w:w="1535" w:type="pct"/>
            <w:vMerge/>
            <w:tcBorders>
              <w:top w:val="single" w:sz="4" w:space="0" w:color="000000"/>
              <w:left w:val="single" w:sz="6" w:space="0" w:color="000000"/>
              <w:bottom w:val="single" w:sz="4" w:space="0" w:color="000000"/>
              <w:right w:val="single" w:sz="6" w:space="0" w:color="000000"/>
            </w:tcBorders>
            <w:vAlign w:val="center"/>
            <w:hideMark/>
          </w:tcPr>
          <w:p w14:paraId="0B098523" w14:textId="77777777" w:rsidR="003B36A9" w:rsidRPr="00243CC4" w:rsidRDefault="003B36A9">
            <w:pPr>
              <w:rPr>
                <w:sz w:val="24"/>
                <w:szCs w:val="24"/>
                <w:lang w:val="en-US" w:eastAsia="en-US"/>
              </w:rPr>
            </w:pP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0745399B" w14:textId="77777777" w:rsidR="003B36A9" w:rsidRPr="00243CC4" w:rsidRDefault="003B36A9">
            <w:pPr>
              <w:pStyle w:val="Default"/>
              <w:ind w:right="37"/>
              <w:rPr>
                <w:sz w:val="24"/>
                <w:szCs w:val="24"/>
              </w:rPr>
            </w:pPr>
            <w:r w:rsidRPr="00243CC4">
              <w:rPr>
                <w:sz w:val="24"/>
                <w:szCs w:val="24"/>
              </w:rPr>
              <w:t>Rare</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05BF9108" w14:textId="77777777" w:rsidR="003B36A9" w:rsidRPr="00243CC4" w:rsidRDefault="003B36A9">
            <w:pPr>
              <w:pStyle w:val="Default"/>
              <w:ind w:right="360"/>
              <w:rPr>
                <w:sz w:val="24"/>
                <w:szCs w:val="24"/>
              </w:rPr>
            </w:pPr>
            <w:r w:rsidRPr="00243CC4">
              <w:rPr>
                <w:sz w:val="24"/>
                <w:szCs w:val="24"/>
              </w:rPr>
              <w:t>Anaphylaxis, anaphylactic shock, angio-</w:t>
            </w:r>
            <w:proofErr w:type="spellStart"/>
            <w:r w:rsidRPr="00243CC4">
              <w:rPr>
                <w:sz w:val="24"/>
                <w:szCs w:val="24"/>
              </w:rPr>
              <w:t>oedema</w:t>
            </w:r>
            <w:proofErr w:type="spellEnd"/>
          </w:p>
        </w:tc>
      </w:tr>
      <w:tr w:rsidR="003B36A9" w:rsidRPr="00243CC4" w14:paraId="12435443" w14:textId="77777777" w:rsidTr="00A02E32">
        <w:trPr>
          <w:trHeight w:val="257"/>
        </w:trPr>
        <w:tc>
          <w:tcPr>
            <w:tcW w:w="1535" w:type="pct"/>
            <w:vMerge w:val="restart"/>
            <w:tcBorders>
              <w:top w:val="nil"/>
              <w:left w:val="single" w:sz="6" w:space="0" w:color="000000"/>
              <w:bottom w:val="single" w:sz="4" w:space="0" w:color="000000"/>
              <w:right w:val="single" w:sz="6" w:space="0" w:color="000000"/>
            </w:tcBorders>
            <w:vAlign w:val="center"/>
            <w:hideMark/>
          </w:tcPr>
          <w:p w14:paraId="1E40B99B" w14:textId="77777777" w:rsidR="003B36A9" w:rsidRPr="00243CC4" w:rsidRDefault="003B36A9">
            <w:pPr>
              <w:pStyle w:val="Default"/>
              <w:rPr>
                <w:sz w:val="24"/>
                <w:szCs w:val="24"/>
              </w:rPr>
            </w:pPr>
            <w:r w:rsidRPr="00243CC4">
              <w:rPr>
                <w:sz w:val="24"/>
                <w:szCs w:val="24"/>
              </w:rPr>
              <w:t>Metabolism and nutrition disorders</w:t>
            </w: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341D3179" w14:textId="77777777" w:rsidR="003B36A9" w:rsidRPr="00243CC4" w:rsidRDefault="003B36A9">
            <w:pPr>
              <w:pStyle w:val="Default"/>
              <w:ind w:right="37"/>
              <w:rPr>
                <w:sz w:val="24"/>
                <w:szCs w:val="24"/>
              </w:rPr>
            </w:pPr>
            <w:r w:rsidRPr="00243CC4">
              <w:rPr>
                <w:sz w:val="24"/>
                <w:szCs w:val="24"/>
              </w:rPr>
              <w:t>Very common</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5EFFB158" w14:textId="77777777" w:rsidR="003B36A9" w:rsidRPr="00243CC4" w:rsidRDefault="003B36A9">
            <w:pPr>
              <w:pStyle w:val="Default"/>
              <w:ind w:right="360"/>
              <w:rPr>
                <w:sz w:val="24"/>
                <w:szCs w:val="24"/>
              </w:rPr>
            </w:pPr>
            <w:r w:rsidRPr="00243CC4">
              <w:rPr>
                <w:bCs/>
                <w:sz w:val="24"/>
                <w:szCs w:val="24"/>
                <w:lang w:val="en-GB"/>
              </w:rPr>
              <w:t>Hyperuricaemia</w:t>
            </w:r>
          </w:p>
        </w:tc>
      </w:tr>
      <w:tr w:rsidR="003B36A9" w:rsidRPr="00243CC4" w14:paraId="693EDC25" w14:textId="77777777" w:rsidTr="00A02E32">
        <w:trPr>
          <w:trHeight w:val="257"/>
        </w:trPr>
        <w:tc>
          <w:tcPr>
            <w:tcW w:w="1535" w:type="pct"/>
            <w:vMerge/>
            <w:tcBorders>
              <w:top w:val="nil"/>
              <w:left w:val="single" w:sz="6" w:space="0" w:color="000000"/>
              <w:bottom w:val="single" w:sz="4" w:space="0" w:color="000000"/>
              <w:right w:val="single" w:sz="6" w:space="0" w:color="000000"/>
            </w:tcBorders>
            <w:vAlign w:val="center"/>
            <w:hideMark/>
          </w:tcPr>
          <w:p w14:paraId="3C045945" w14:textId="77777777" w:rsidR="003B36A9" w:rsidRPr="00243CC4" w:rsidRDefault="003B36A9">
            <w:pPr>
              <w:rPr>
                <w:sz w:val="24"/>
                <w:szCs w:val="24"/>
                <w:lang w:val="en-US" w:eastAsia="en-US"/>
              </w:rPr>
            </w:pP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0DE1781F" w14:textId="77777777" w:rsidR="003B36A9" w:rsidRPr="00243CC4" w:rsidRDefault="003B36A9">
            <w:pPr>
              <w:pStyle w:val="Default"/>
              <w:ind w:right="37"/>
              <w:rPr>
                <w:sz w:val="24"/>
                <w:szCs w:val="24"/>
              </w:rPr>
            </w:pPr>
            <w:r w:rsidRPr="00243CC4">
              <w:rPr>
                <w:sz w:val="24"/>
                <w:szCs w:val="24"/>
              </w:rPr>
              <w:t>Rare</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1DC9FEC0" w14:textId="77777777" w:rsidR="003B36A9" w:rsidRPr="00243CC4" w:rsidRDefault="003B36A9">
            <w:pPr>
              <w:pStyle w:val="Default"/>
              <w:ind w:right="360"/>
              <w:rPr>
                <w:sz w:val="24"/>
                <w:szCs w:val="24"/>
              </w:rPr>
            </w:pPr>
            <w:r w:rsidRPr="00243CC4">
              <w:rPr>
                <w:bCs/>
                <w:sz w:val="24"/>
                <w:szCs w:val="24"/>
                <w:lang w:val="en-GB"/>
              </w:rPr>
              <w:t>Hyponatraemia, anorexia</w:t>
            </w:r>
          </w:p>
        </w:tc>
      </w:tr>
      <w:tr w:rsidR="003B36A9" w:rsidRPr="00243CC4" w14:paraId="3E437F7B" w14:textId="77777777" w:rsidTr="00A02E32">
        <w:trPr>
          <w:trHeight w:val="257"/>
        </w:trPr>
        <w:tc>
          <w:tcPr>
            <w:tcW w:w="1535" w:type="pct"/>
            <w:vMerge/>
            <w:tcBorders>
              <w:top w:val="nil"/>
              <w:left w:val="single" w:sz="6" w:space="0" w:color="000000"/>
              <w:bottom w:val="single" w:sz="4" w:space="0" w:color="000000"/>
              <w:right w:val="single" w:sz="6" w:space="0" w:color="000000"/>
            </w:tcBorders>
            <w:vAlign w:val="center"/>
            <w:hideMark/>
          </w:tcPr>
          <w:p w14:paraId="2B9073D3" w14:textId="77777777" w:rsidR="003B36A9" w:rsidRPr="00243CC4" w:rsidRDefault="003B36A9">
            <w:pPr>
              <w:rPr>
                <w:sz w:val="24"/>
                <w:szCs w:val="24"/>
                <w:lang w:val="en-US" w:eastAsia="en-US"/>
              </w:rPr>
            </w:pP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5FB82D35" w14:textId="77777777" w:rsidR="003B36A9" w:rsidRPr="00243CC4" w:rsidRDefault="003B36A9">
            <w:pPr>
              <w:pStyle w:val="Default"/>
              <w:ind w:right="37"/>
              <w:rPr>
                <w:sz w:val="24"/>
                <w:szCs w:val="24"/>
              </w:rPr>
            </w:pPr>
            <w:r w:rsidRPr="00243CC4">
              <w:rPr>
                <w:sz w:val="24"/>
                <w:szCs w:val="24"/>
              </w:rPr>
              <w:t>Not known</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37AB3600" w14:textId="77777777" w:rsidR="003B36A9" w:rsidRPr="00243CC4" w:rsidRDefault="003B36A9">
            <w:pPr>
              <w:pStyle w:val="Default"/>
              <w:ind w:right="360"/>
              <w:rPr>
                <w:sz w:val="24"/>
                <w:szCs w:val="24"/>
              </w:rPr>
            </w:pPr>
            <w:r w:rsidRPr="00243CC4">
              <w:rPr>
                <w:sz w:val="24"/>
                <w:szCs w:val="24"/>
              </w:rPr>
              <w:t>Dehydration, tumour lysis syndrome</w:t>
            </w:r>
          </w:p>
        </w:tc>
      </w:tr>
      <w:tr w:rsidR="003B36A9" w:rsidRPr="00460482" w14:paraId="4D1675DD" w14:textId="77777777" w:rsidTr="00A02E32">
        <w:trPr>
          <w:trHeight w:val="759"/>
        </w:trPr>
        <w:tc>
          <w:tcPr>
            <w:tcW w:w="1535" w:type="pct"/>
            <w:vMerge w:val="restart"/>
            <w:tcBorders>
              <w:top w:val="single" w:sz="4" w:space="0" w:color="000000"/>
              <w:left w:val="single" w:sz="6" w:space="0" w:color="000000"/>
              <w:bottom w:val="single" w:sz="4" w:space="0" w:color="000000"/>
              <w:right w:val="single" w:sz="6" w:space="0" w:color="000000"/>
            </w:tcBorders>
            <w:vAlign w:val="center"/>
            <w:hideMark/>
          </w:tcPr>
          <w:p w14:paraId="3E7E7796" w14:textId="77777777" w:rsidR="003B36A9" w:rsidRPr="00243CC4" w:rsidRDefault="003B36A9">
            <w:pPr>
              <w:pStyle w:val="Default"/>
              <w:rPr>
                <w:sz w:val="24"/>
                <w:szCs w:val="24"/>
              </w:rPr>
            </w:pPr>
            <w:r w:rsidRPr="00243CC4">
              <w:rPr>
                <w:sz w:val="24"/>
                <w:szCs w:val="24"/>
              </w:rPr>
              <w:t>Nervous system disorders</w:t>
            </w:r>
          </w:p>
        </w:tc>
        <w:tc>
          <w:tcPr>
            <w:tcW w:w="925" w:type="pct"/>
            <w:tcBorders>
              <w:top w:val="single" w:sz="4" w:space="0" w:color="000000"/>
              <w:left w:val="single" w:sz="6" w:space="0" w:color="000000"/>
              <w:bottom w:val="nil"/>
              <w:right w:val="single" w:sz="6" w:space="0" w:color="000000"/>
            </w:tcBorders>
            <w:vAlign w:val="center"/>
            <w:hideMark/>
          </w:tcPr>
          <w:p w14:paraId="14BE9088" w14:textId="77777777" w:rsidR="003B36A9" w:rsidRPr="00243CC4" w:rsidRDefault="003B36A9">
            <w:pPr>
              <w:pStyle w:val="Default"/>
              <w:ind w:right="37"/>
              <w:rPr>
                <w:sz w:val="24"/>
                <w:szCs w:val="24"/>
              </w:rPr>
            </w:pPr>
            <w:r w:rsidRPr="00243CC4">
              <w:rPr>
                <w:sz w:val="24"/>
                <w:szCs w:val="24"/>
              </w:rPr>
              <w:t>Common</w:t>
            </w:r>
          </w:p>
        </w:tc>
        <w:tc>
          <w:tcPr>
            <w:tcW w:w="2541" w:type="pct"/>
            <w:tcBorders>
              <w:top w:val="single" w:sz="4" w:space="0" w:color="000000"/>
              <w:left w:val="single" w:sz="6" w:space="0" w:color="000000"/>
              <w:bottom w:val="nil"/>
              <w:right w:val="single" w:sz="4" w:space="0" w:color="000000"/>
            </w:tcBorders>
            <w:vAlign w:val="center"/>
            <w:hideMark/>
          </w:tcPr>
          <w:p w14:paraId="6DBB7F7B" w14:textId="77777777" w:rsidR="003B36A9" w:rsidRPr="00243CC4" w:rsidRDefault="003B36A9">
            <w:pPr>
              <w:pStyle w:val="Default"/>
              <w:ind w:right="360"/>
              <w:rPr>
                <w:sz w:val="24"/>
                <w:szCs w:val="24"/>
              </w:rPr>
            </w:pPr>
            <w:r w:rsidRPr="00243CC4">
              <w:rPr>
                <w:sz w:val="24"/>
                <w:szCs w:val="24"/>
              </w:rPr>
              <w:t xml:space="preserve">Neuropathy peripheral, </w:t>
            </w:r>
            <w:proofErr w:type="spellStart"/>
            <w:r w:rsidRPr="00243CC4">
              <w:rPr>
                <w:sz w:val="24"/>
                <w:szCs w:val="24"/>
              </w:rPr>
              <w:t>paraesthesia</w:t>
            </w:r>
            <w:proofErr w:type="spellEnd"/>
            <w:r w:rsidRPr="00243CC4">
              <w:rPr>
                <w:sz w:val="24"/>
                <w:szCs w:val="24"/>
              </w:rPr>
              <w:t>, decrease of osteotendinous reflexes, sensory disturbance, dysgeusia</w:t>
            </w:r>
          </w:p>
        </w:tc>
      </w:tr>
      <w:tr w:rsidR="003B36A9" w:rsidRPr="00243CC4" w14:paraId="6EA56A38" w14:textId="77777777" w:rsidTr="00A02E32">
        <w:trPr>
          <w:trHeight w:val="131"/>
        </w:trPr>
        <w:tc>
          <w:tcPr>
            <w:tcW w:w="1535" w:type="pct"/>
            <w:vMerge/>
            <w:tcBorders>
              <w:top w:val="single" w:sz="4" w:space="0" w:color="000000"/>
              <w:left w:val="single" w:sz="6" w:space="0" w:color="000000"/>
              <w:bottom w:val="single" w:sz="4" w:space="0" w:color="000000"/>
              <w:right w:val="single" w:sz="6" w:space="0" w:color="000000"/>
            </w:tcBorders>
            <w:vAlign w:val="center"/>
            <w:hideMark/>
          </w:tcPr>
          <w:p w14:paraId="71B47394" w14:textId="77777777" w:rsidR="003B36A9" w:rsidRPr="00243CC4" w:rsidRDefault="003B36A9">
            <w:pPr>
              <w:rPr>
                <w:sz w:val="24"/>
                <w:szCs w:val="24"/>
                <w:lang w:val="en-US" w:eastAsia="en-US"/>
              </w:rPr>
            </w:pP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32C2DBDE" w14:textId="77777777" w:rsidR="003B36A9" w:rsidRPr="00243CC4" w:rsidRDefault="003B36A9">
            <w:pPr>
              <w:pStyle w:val="Default"/>
              <w:ind w:right="37"/>
              <w:rPr>
                <w:sz w:val="24"/>
                <w:szCs w:val="24"/>
              </w:rPr>
            </w:pPr>
            <w:r w:rsidRPr="00243CC4">
              <w:rPr>
                <w:sz w:val="24"/>
                <w:szCs w:val="24"/>
              </w:rPr>
              <w:t>Very rare</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7879AB16" w14:textId="77777777" w:rsidR="003B36A9" w:rsidRPr="00243CC4" w:rsidRDefault="003B36A9">
            <w:pPr>
              <w:pStyle w:val="Default"/>
              <w:ind w:right="360"/>
              <w:rPr>
                <w:sz w:val="24"/>
                <w:szCs w:val="24"/>
              </w:rPr>
            </w:pPr>
            <w:r w:rsidRPr="00243CC4">
              <w:rPr>
                <w:sz w:val="24"/>
                <w:szCs w:val="24"/>
              </w:rPr>
              <w:t>Cerebrovascular accident*</w:t>
            </w:r>
          </w:p>
        </w:tc>
      </w:tr>
      <w:tr w:rsidR="003B36A9" w:rsidRPr="00460482" w14:paraId="51760B04" w14:textId="77777777" w:rsidTr="00A02E32">
        <w:trPr>
          <w:trHeight w:val="131"/>
        </w:trPr>
        <w:tc>
          <w:tcPr>
            <w:tcW w:w="1535" w:type="pct"/>
            <w:vMerge/>
            <w:tcBorders>
              <w:top w:val="single" w:sz="4" w:space="0" w:color="000000"/>
              <w:left w:val="single" w:sz="6" w:space="0" w:color="000000"/>
              <w:bottom w:val="single" w:sz="4" w:space="0" w:color="000000"/>
              <w:right w:val="single" w:sz="6" w:space="0" w:color="000000"/>
            </w:tcBorders>
            <w:vAlign w:val="center"/>
            <w:hideMark/>
          </w:tcPr>
          <w:p w14:paraId="5AE8D0AA" w14:textId="77777777" w:rsidR="003B36A9" w:rsidRPr="00243CC4" w:rsidRDefault="003B36A9">
            <w:pPr>
              <w:rPr>
                <w:sz w:val="24"/>
                <w:szCs w:val="24"/>
                <w:lang w:val="en-US" w:eastAsia="en-US"/>
              </w:rPr>
            </w:pP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309A005F" w14:textId="77777777" w:rsidR="003B36A9" w:rsidRPr="00243CC4" w:rsidRDefault="003B36A9">
            <w:pPr>
              <w:pStyle w:val="Default"/>
              <w:ind w:right="37"/>
              <w:rPr>
                <w:sz w:val="24"/>
                <w:szCs w:val="24"/>
              </w:rPr>
            </w:pPr>
            <w:r w:rsidRPr="00243CC4">
              <w:rPr>
                <w:sz w:val="24"/>
                <w:szCs w:val="24"/>
              </w:rPr>
              <w:t>Not known</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1F0D0498" w14:textId="77777777" w:rsidR="003B36A9" w:rsidRPr="00243CC4" w:rsidRDefault="003B36A9">
            <w:pPr>
              <w:pStyle w:val="Default"/>
              <w:ind w:right="360"/>
              <w:rPr>
                <w:sz w:val="24"/>
                <w:szCs w:val="24"/>
              </w:rPr>
            </w:pPr>
            <w:r w:rsidRPr="00243CC4">
              <w:rPr>
                <w:sz w:val="24"/>
                <w:szCs w:val="24"/>
              </w:rPr>
              <w:t>Reversible Posterior Leukoencephalopathy Syndrome (RPLS)</w:t>
            </w:r>
          </w:p>
        </w:tc>
      </w:tr>
      <w:tr w:rsidR="003B36A9" w:rsidRPr="00460482" w14:paraId="3D63CD80" w14:textId="77777777" w:rsidTr="00A02E32">
        <w:trPr>
          <w:trHeight w:val="257"/>
        </w:trPr>
        <w:tc>
          <w:tcPr>
            <w:tcW w:w="1535" w:type="pct"/>
            <w:vMerge w:val="restart"/>
            <w:tcBorders>
              <w:top w:val="single" w:sz="4" w:space="0" w:color="000000"/>
              <w:left w:val="single" w:sz="6" w:space="0" w:color="000000"/>
              <w:bottom w:val="single" w:sz="4" w:space="0" w:color="000000"/>
              <w:right w:val="single" w:sz="6" w:space="0" w:color="000000"/>
            </w:tcBorders>
            <w:vAlign w:val="center"/>
            <w:hideMark/>
          </w:tcPr>
          <w:p w14:paraId="38918374" w14:textId="77777777" w:rsidR="003B36A9" w:rsidRPr="00243CC4" w:rsidRDefault="003B36A9">
            <w:pPr>
              <w:pStyle w:val="Default"/>
              <w:rPr>
                <w:sz w:val="24"/>
                <w:szCs w:val="24"/>
              </w:rPr>
            </w:pPr>
            <w:r w:rsidRPr="00243CC4">
              <w:rPr>
                <w:sz w:val="24"/>
                <w:szCs w:val="24"/>
              </w:rPr>
              <w:t>Eye disorders</w:t>
            </w: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416CBB4D" w14:textId="77777777" w:rsidR="003B36A9" w:rsidRPr="00243CC4" w:rsidRDefault="003B36A9">
            <w:pPr>
              <w:pStyle w:val="Default"/>
              <w:ind w:right="37"/>
              <w:rPr>
                <w:sz w:val="24"/>
                <w:szCs w:val="24"/>
              </w:rPr>
            </w:pPr>
            <w:r w:rsidRPr="00243CC4">
              <w:rPr>
                <w:sz w:val="24"/>
                <w:szCs w:val="24"/>
              </w:rPr>
              <w:t>Common</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035A61BA" w14:textId="77777777" w:rsidR="003B36A9" w:rsidRPr="00243CC4" w:rsidRDefault="003B36A9">
            <w:pPr>
              <w:pStyle w:val="Default"/>
              <w:ind w:right="360"/>
              <w:rPr>
                <w:sz w:val="24"/>
                <w:szCs w:val="24"/>
              </w:rPr>
            </w:pPr>
            <w:r w:rsidRPr="00243CC4">
              <w:rPr>
                <w:sz w:val="24"/>
                <w:szCs w:val="24"/>
              </w:rPr>
              <w:t>Visual disturbance, rare cases of loss of vision</w:t>
            </w:r>
          </w:p>
        </w:tc>
      </w:tr>
      <w:tr w:rsidR="003B36A9" w:rsidRPr="00243CC4" w14:paraId="2DA961F3" w14:textId="77777777" w:rsidTr="00A02E32">
        <w:trPr>
          <w:trHeight w:val="257"/>
        </w:trPr>
        <w:tc>
          <w:tcPr>
            <w:tcW w:w="1535" w:type="pct"/>
            <w:vMerge/>
            <w:tcBorders>
              <w:top w:val="single" w:sz="4" w:space="0" w:color="000000"/>
              <w:left w:val="single" w:sz="6" w:space="0" w:color="000000"/>
              <w:bottom w:val="single" w:sz="4" w:space="0" w:color="000000"/>
              <w:right w:val="single" w:sz="6" w:space="0" w:color="000000"/>
            </w:tcBorders>
            <w:vAlign w:val="center"/>
            <w:hideMark/>
          </w:tcPr>
          <w:p w14:paraId="38CF726E" w14:textId="77777777" w:rsidR="003B36A9" w:rsidRPr="00243CC4" w:rsidRDefault="003B36A9">
            <w:pPr>
              <w:rPr>
                <w:sz w:val="24"/>
                <w:szCs w:val="24"/>
                <w:lang w:val="en-US" w:eastAsia="en-US"/>
              </w:rPr>
            </w:pP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0965B204" w14:textId="77777777" w:rsidR="003B36A9" w:rsidRPr="00243CC4" w:rsidRDefault="003B36A9">
            <w:pPr>
              <w:pStyle w:val="Default"/>
              <w:ind w:right="37"/>
              <w:rPr>
                <w:sz w:val="24"/>
                <w:szCs w:val="24"/>
              </w:rPr>
            </w:pPr>
            <w:r w:rsidRPr="00243CC4">
              <w:rPr>
                <w:sz w:val="24"/>
                <w:szCs w:val="24"/>
              </w:rPr>
              <w:t>Rare</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1D6B04F1" w14:textId="77777777" w:rsidR="003B36A9" w:rsidRPr="00243CC4" w:rsidRDefault="003B36A9">
            <w:pPr>
              <w:pStyle w:val="Default"/>
              <w:ind w:right="360"/>
              <w:rPr>
                <w:sz w:val="24"/>
                <w:szCs w:val="24"/>
              </w:rPr>
            </w:pPr>
            <w:r w:rsidRPr="00243CC4">
              <w:rPr>
                <w:sz w:val="24"/>
                <w:szCs w:val="24"/>
                <w:lang w:val="en-GB"/>
              </w:rPr>
              <w:t>Optic neuritis</w:t>
            </w:r>
          </w:p>
        </w:tc>
      </w:tr>
      <w:tr w:rsidR="003B36A9" w:rsidRPr="00460482" w14:paraId="4D3036D8" w14:textId="77777777" w:rsidTr="00A02E32">
        <w:trPr>
          <w:trHeight w:val="132"/>
        </w:trPr>
        <w:tc>
          <w:tcPr>
            <w:tcW w:w="1535" w:type="pct"/>
            <w:vMerge w:val="restart"/>
            <w:tcBorders>
              <w:top w:val="single" w:sz="4" w:space="0" w:color="000000"/>
              <w:left w:val="single" w:sz="6" w:space="0" w:color="000000"/>
              <w:bottom w:val="single" w:sz="4" w:space="0" w:color="auto"/>
              <w:right w:val="single" w:sz="6" w:space="0" w:color="000000"/>
            </w:tcBorders>
            <w:vAlign w:val="center"/>
            <w:hideMark/>
          </w:tcPr>
          <w:p w14:paraId="561F7D4B" w14:textId="77777777" w:rsidR="003B36A9" w:rsidRPr="00243CC4" w:rsidRDefault="003B36A9">
            <w:pPr>
              <w:pStyle w:val="Default"/>
              <w:tabs>
                <w:tab w:val="left" w:pos="567"/>
              </w:tabs>
              <w:rPr>
                <w:sz w:val="24"/>
                <w:szCs w:val="24"/>
              </w:rPr>
            </w:pPr>
            <w:r w:rsidRPr="00243CC4">
              <w:rPr>
                <w:sz w:val="24"/>
                <w:szCs w:val="24"/>
              </w:rPr>
              <w:t>Ear and labyrinth disorders</w:t>
            </w: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1116942B" w14:textId="77777777" w:rsidR="003B36A9" w:rsidRPr="00243CC4" w:rsidRDefault="003B36A9">
            <w:pPr>
              <w:pStyle w:val="Default"/>
              <w:ind w:right="37"/>
              <w:rPr>
                <w:sz w:val="24"/>
                <w:szCs w:val="24"/>
              </w:rPr>
            </w:pPr>
            <w:r w:rsidRPr="00243CC4">
              <w:rPr>
                <w:sz w:val="24"/>
                <w:szCs w:val="24"/>
              </w:rPr>
              <w:t>Very common</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2A3EFB02" w14:textId="77777777" w:rsidR="003B36A9" w:rsidRPr="00243CC4" w:rsidRDefault="003B36A9">
            <w:pPr>
              <w:pStyle w:val="Default"/>
              <w:ind w:right="360"/>
              <w:rPr>
                <w:sz w:val="24"/>
                <w:szCs w:val="24"/>
              </w:rPr>
            </w:pPr>
            <w:r w:rsidRPr="00243CC4">
              <w:rPr>
                <w:sz w:val="24"/>
                <w:szCs w:val="24"/>
                <w:lang w:val="en-GB"/>
              </w:rPr>
              <w:t>Subclinical decrease in hearing acuity, consisting of high-frequency (4000-8000 Hz) hearing loss</w:t>
            </w:r>
          </w:p>
        </w:tc>
      </w:tr>
      <w:tr w:rsidR="003B36A9" w:rsidRPr="00243CC4" w14:paraId="0C3E93CB" w14:textId="77777777" w:rsidTr="00A02E32">
        <w:trPr>
          <w:trHeight w:val="132"/>
        </w:trPr>
        <w:tc>
          <w:tcPr>
            <w:tcW w:w="1535" w:type="pct"/>
            <w:vMerge/>
            <w:tcBorders>
              <w:top w:val="single" w:sz="4" w:space="0" w:color="000000"/>
              <w:left w:val="single" w:sz="6" w:space="0" w:color="000000"/>
              <w:bottom w:val="single" w:sz="4" w:space="0" w:color="auto"/>
              <w:right w:val="single" w:sz="6" w:space="0" w:color="000000"/>
            </w:tcBorders>
            <w:vAlign w:val="center"/>
            <w:hideMark/>
          </w:tcPr>
          <w:p w14:paraId="4DB4E25F" w14:textId="77777777" w:rsidR="003B36A9" w:rsidRPr="00243CC4" w:rsidRDefault="003B36A9">
            <w:pPr>
              <w:rPr>
                <w:sz w:val="24"/>
                <w:szCs w:val="24"/>
                <w:lang w:val="en-US" w:eastAsia="en-US"/>
              </w:rPr>
            </w:pP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2F5D318D" w14:textId="77777777" w:rsidR="003B36A9" w:rsidRPr="00243CC4" w:rsidRDefault="003B36A9">
            <w:pPr>
              <w:pStyle w:val="Default"/>
              <w:ind w:right="37"/>
              <w:rPr>
                <w:sz w:val="24"/>
                <w:szCs w:val="24"/>
              </w:rPr>
            </w:pPr>
            <w:r w:rsidRPr="00243CC4">
              <w:rPr>
                <w:sz w:val="24"/>
                <w:szCs w:val="24"/>
              </w:rPr>
              <w:t>Common</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2542BC4D" w14:textId="77777777" w:rsidR="003B36A9" w:rsidRPr="00243CC4" w:rsidRDefault="003B36A9">
            <w:pPr>
              <w:pStyle w:val="Default"/>
              <w:ind w:right="360"/>
              <w:rPr>
                <w:sz w:val="24"/>
                <w:szCs w:val="24"/>
              </w:rPr>
            </w:pPr>
            <w:r w:rsidRPr="00243CC4">
              <w:rPr>
                <w:sz w:val="24"/>
                <w:szCs w:val="24"/>
              </w:rPr>
              <w:t>Tinnitus, ototoxicity</w:t>
            </w:r>
          </w:p>
        </w:tc>
      </w:tr>
      <w:tr w:rsidR="003B36A9" w:rsidRPr="00243CC4" w14:paraId="0B43E382" w14:textId="77777777" w:rsidTr="00A02E32">
        <w:trPr>
          <w:trHeight w:val="131"/>
        </w:trPr>
        <w:tc>
          <w:tcPr>
            <w:tcW w:w="1535" w:type="pct"/>
            <w:vMerge w:val="restart"/>
            <w:tcBorders>
              <w:top w:val="single" w:sz="4" w:space="0" w:color="auto"/>
              <w:left w:val="single" w:sz="6" w:space="0" w:color="000000"/>
              <w:bottom w:val="single" w:sz="4" w:space="0" w:color="000000"/>
              <w:right w:val="single" w:sz="6" w:space="0" w:color="000000"/>
            </w:tcBorders>
            <w:vAlign w:val="center"/>
            <w:hideMark/>
          </w:tcPr>
          <w:p w14:paraId="57B8809A" w14:textId="77777777" w:rsidR="003B36A9" w:rsidRPr="00243CC4" w:rsidRDefault="003B36A9">
            <w:pPr>
              <w:pStyle w:val="Default"/>
              <w:tabs>
                <w:tab w:val="left" w:pos="567"/>
              </w:tabs>
              <w:rPr>
                <w:sz w:val="24"/>
                <w:szCs w:val="24"/>
              </w:rPr>
            </w:pPr>
            <w:r w:rsidRPr="00243CC4">
              <w:rPr>
                <w:sz w:val="24"/>
                <w:szCs w:val="24"/>
              </w:rPr>
              <w:t>Cardiac disorders</w:t>
            </w: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5C2A7414" w14:textId="77777777" w:rsidR="003B36A9" w:rsidRPr="00243CC4" w:rsidRDefault="003B36A9">
            <w:pPr>
              <w:pStyle w:val="Default"/>
              <w:ind w:right="37"/>
              <w:rPr>
                <w:sz w:val="24"/>
                <w:szCs w:val="24"/>
              </w:rPr>
            </w:pPr>
            <w:r w:rsidRPr="00243CC4">
              <w:rPr>
                <w:sz w:val="24"/>
                <w:szCs w:val="24"/>
              </w:rPr>
              <w:t>Common</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63B3FED3" w14:textId="77777777" w:rsidR="003B36A9" w:rsidRPr="00243CC4" w:rsidRDefault="003B36A9">
            <w:pPr>
              <w:pStyle w:val="Default"/>
              <w:ind w:right="360"/>
              <w:rPr>
                <w:sz w:val="24"/>
                <w:szCs w:val="24"/>
              </w:rPr>
            </w:pPr>
            <w:r w:rsidRPr="00243CC4">
              <w:rPr>
                <w:sz w:val="24"/>
                <w:szCs w:val="24"/>
              </w:rPr>
              <w:t>Cardiovascular disorder*</w:t>
            </w:r>
          </w:p>
        </w:tc>
      </w:tr>
      <w:tr w:rsidR="003B36A9" w:rsidRPr="00243CC4" w14:paraId="3D671DD9" w14:textId="77777777" w:rsidTr="00A02E32">
        <w:trPr>
          <w:trHeight w:val="132"/>
        </w:trPr>
        <w:tc>
          <w:tcPr>
            <w:tcW w:w="1535" w:type="pct"/>
            <w:vMerge/>
            <w:tcBorders>
              <w:top w:val="single" w:sz="4" w:space="0" w:color="auto"/>
              <w:left w:val="single" w:sz="6" w:space="0" w:color="000000"/>
              <w:bottom w:val="single" w:sz="4" w:space="0" w:color="000000"/>
              <w:right w:val="single" w:sz="6" w:space="0" w:color="000000"/>
            </w:tcBorders>
            <w:vAlign w:val="center"/>
            <w:hideMark/>
          </w:tcPr>
          <w:p w14:paraId="467BB98F" w14:textId="77777777" w:rsidR="003B36A9" w:rsidRPr="00243CC4" w:rsidRDefault="003B36A9">
            <w:pPr>
              <w:rPr>
                <w:sz w:val="24"/>
                <w:szCs w:val="24"/>
                <w:lang w:val="en-US" w:eastAsia="en-US"/>
              </w:rPr>
            </w:pP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138A79CB" w14:textId="77777777" w:rsidR="003B36A9" w:rsidRPr="00243CC4" w:rsidRDefault="003B36A9">
            <w:pPr>
              <w:pStyle w:val="Default"/>
              <w:ind w:right="37"/>
              <w:rPr>
                <w:sz w:val="24"/>
                <w:szCs w:val="24"/>
              </w:rPr>
            </w:pPr>
            <w:r w:rsidRPr="00243CC4">
              <w:rPr>
                <w:sz w:val="24"/>
                <w:szCs w:val="24"/>
              </w:rPr>
              <w:t>Very rare</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426F283A" w14:textId="77777777" w:rsidR="003B36A9" w:rsidRPr="00243CC4" w:rsidRDefault="003B36A9">
            <w:pPr>
              <w:pStyle w:val="Default"/>
              <w:ind w:right="360"/>
              <w:rPr>
                <w:sz w:val="24"/>
                <w:szCs w:val="24"/>
              </w:rPr>
            </w:pPr>
            <w:r w:rsidRPr="00243CC4">
              <w:rPr>
                <w:sz w:val="24"/>
                <w:szCs w:val="24"/>
              </w:rPr>
              <w:t>Cardiac failure*</w:t>
            </w:r>
          </w:p>
        </w:tc>
      </w:tr>
      <w:tr w:rsidR="003B36A9" w:rsidRPr="00243CC4" w14:paraId="2B7151CC" w14:textId="77777777" w:rsidTr="00A02E32">
        <w:trPr>
          <w:trHeight w:val="132"/>
        </w:trPr>
        <w:tc>
          <w:tcPr>
            <w:tcW w:w="1535" w:type="pct"/>
            <w:vMerge/>
            <w:tcBorders>
              <w:top w:val="single" w:sz="4" w:space="0" w:color="auto"/>
              <w:left w:val="single" w:sz="6" w:space="0" w:color="000000"/>
              <w:bottom w:val="single" w:sz="4" w:space="0" w:color="000000"/>
              <w:right w:val="single" w:sz="6" w:space="0" w:color="000000"/>
            </w:tcBorders>
            <w:vAlign w:val="center"/>
            <w:hideMark/>
          </w:tcPr>
          <w:p w14:paraId="37F0F370" w14:textId="77777777" w:rsidR="003B36A9" w:rsidRPr="00243CC4" w:rsidRDefault="003B36A9">
            <w:pPr>
              <w:rPr>
                <w:sz w:val="24"/>
                <w:szCs w:val="24"/>
                <w:lang w:val="en-US" w:eastAsia="en-US"/>
              </w:rPr>
            </w:pP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31B7CEDA" w14:textId="77777777" w:rsidR="003B36A9" w:rsidRPr="00243CC4" w:rsidRDefault="003B36A9">
            <w:pPr>
              <w:pStyle w:val="Default"/>
              <w:ind w:right="37"/>
              <w:rPr>
                <w:sz w:val="24"/>
                <w:szCs w:val="24"/>
              </w:rPr>
            </w:pPr>
            <w:r w:rsidRPr="00243CC4">
              <w:rPr>
                <w:sz w:val="24"/>
                <w:szCs w:val="24"/>
              </w:rPr>
              <w:t>Not known</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73875FC1" w14:textId="77777777" w:rsidR="003B36A9" w:rsidRPr="00243CC4" w:rsidRDefault="003B36A9">
            <w:pPr>
              <w:pStyle w:val="Default"/>
              <w:ind w:right="360"/>
              <w:rPr>
                <w:sz w:val="24"/>
                <w:szCs w:val="24"/>
              </w:rPr>
            </w:pPr>
            <w:proofErr w:type="spellStart"/>
            <w:r w:rsidRPr="00243CC4">
              <w:rPr>
                <w:sz w:val="24"/>
                <w:szCs w:val="24"/>
              </w:rPr>
              <w:t>Kounis</w:t>
            </w:r>
            <w:proofErr w:type="spellEnd"/>
            <w:r w:rsidRPr="00243CC4">
              <w:rPr>
                <w:sz w:val="24"/>
                <w:szCs w:val="24"/>
              </w:rPr>
              <w:t xml:space="preserve"> syndrome</w:t>
            </w:r>
          </w:p>
        </w:tc>
      </w:tr>
      <w:tr w:rsidR="003B36A9" w:rsidRPr="00243CC4" w14:paraId="361A9FA5" w14:textId="77777777" w:rsidTr="00A02E32">
        <w:trPr>
          <w:trHeight w:val="131"/>
        </w:trPr>
        <w:tc>
          <w:tcPr>
            <w:tcW w:w="1535" w:type="pct"/>
            <w:tcBorders>
              <w:top w:val="single" w:sz="4" w:space="0" w:color="000000"/>
              <w:left w:val="single" w:sz="6" w:space="0" w:color="000000"/>
              <w:bottom w:val="single" w:sz="4" w:space="0" w:color="000000"/>
              <w:right w:val="single" w:sz="6" w:space="0" w:color="000000"/>
            </w:tcBorders>
            <w:vAlign w:val="center"/>
            <w:hideMark/>
          </w:tcPr>
          <w:p w14:paraId="355BBB21" w14:textId="77777777" w:rsidR="003B36A9" w:rsidRPr="00243CC4" w:rsidRDefault="003B36A9">
            <w:pPr>
              <w:pStyle w:val="Default"/>
              <w:rPr>
                <w:sz w:val="24"/>
                <w:szCs w:val="24"/>
              </w:rPr>
            </w:pPr>
            <w:r w:rsidRPr="00243CC4">
              <w:rPr>
                <w:sz w:val="24"/>
                <w:szCs w:val="24"/>
              </w:rPr>
              <w:t>Vascular disorders</w:t>
            </w: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1B26A76C" w14:textId="77777777" w:rsidR="003B36A9" w:rsidRPr="00243CC4" w:rsidRDefault="003B36A9">
            <w:pPr>
              <w:pStyle w:val="Default"/>
              <w:ind w:right="37"/>
              <w:rPr>
                <w:sz w:val="24"/>
                <w:szCs w:val="24"/>
              </w:rPr>
            </w:pPr>
            <w:r w:rsidRPr="00243CC4">
              <w:rPr>
                <w:sz w:val="24"/>
                <w:szCs w:val="24"/>
              </w:rPr>
              <w:t>Very rare</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34F1AA2F" w14:textId="77777777" w:rsidR="003B36A9" w:rsidRPr="00243CC4" w:rsidRDefault="003B36A9">
            <w:pPr>
              <w:pStyle w:val="Default"/>
              <w:ind w:right="360"/>
              <w:rPr>
                <w:sz w:val="24"/>
                <w:szCs w:val="24"/>
              </w:rPr>
            </w:pPr>
            <w:r w:rsidRPr="00243CC4">
              <w:rPr>
                <w:sz w:val="24"/>
                <w:szCs w:val="24"/>
              </w:rPr>
              <w:t>Embolism*, hypertension, hypotension</w:t>
            </w:r>
          </w:p>
        </w:tc>
      </w:tr>
      <w:tr w:rsidR="003B36A9" w:rsidRPr="00460482" w14:paraId="448D1EF2" w14:textId="77777777" w:rsidTr="00A02E32">
        <w:trPr>
          <w:trHeight w:val="419"/>
        </w:trPr>
        <w:tc>
          <w:tcPr>
            <w:tcW w:w="1535" w:type="pct"/>
            <w:tcBorders>
              <w:top w:val="single" w:sz="4" w:space="0" w:color="000000"/>
              <w:left w:val="single" w:sz="6" w:space="0" w:color="000000"/>
              <w:bottom w:val="single" w:sz="4" w:space="0" w:color="000000"/>
              <w:right w:val="single" w:sz="6" w:space="0" w:color="000000"/>
            </w:tcBorders>
            <w:vAlign w:val="center"/>
            <w:hideMark/>
          </w:tcPr>
          <w:p w14:paraId="366B5D3A" w14:textId="77777777" w:rsidR="003B36A9" w:rsidRPr="00243CC4" w:rsidRDefault="003B36A9">
            <w:pPr>
              <w:pStyle w:val="Default"/>
              <w:rPr>
                <w:sz w:val="24"/>
                <w:szCs w:val="24"/>
              </w:rPr>
            </w:pPr>
            <w:r w:rsidRPr="00243CC4">
              <w:rPr>
                <w:sz w:val="24"/>
                <w:szCs w:val="24"/>
              </w:rPr>
              <w:t>Respiratory, thoracic and mediastinal disorders</w:t>
            </w: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4FE43D35" w14:textId="77777777" w:rsidR="003B36A9" w:rsidRPr="00243CC4" w:rsidRDefault="003B36A9">
            <w:pPr>
              <w:pStyle w:val="Default"/>
              <w:ind w:right="37"/>
              <w:rPr>
                <w:sz w:val="24"/>
                <w:szCs w:val="24"/>
              </w:rPr>
            </w:pPr>
            <w:r w:rsidRPr="00243CC4">
              <w:rPr>
                <w:sz w:val="24"/>
                <w:szCs w:val="24"/>
              </w:rPr>
              <w:t>Common</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020CEA82" w14:textId="77777777" w:rsidR="003B36A9" w:rsidRPr="00243CC4" w:rsidRDefault="003B36A9">
            <w:pPr>
              <w:pStyle w:val="Default"/>
              <w:ind w:right="360"/>
              <w:rPr>
                <w:sz w:val="24"/>
                <w:szCs w:val="24"/>
              </w:rPr>
            </w:pPr>
            <w:r w:rsidRPr="00243CC4">
              <w:rPr>
                <w:sz w:val="24"/>
                <w:szCs w:val="24"/>
              </w:rPr>
              <w:t>Respiratory disorder, Interstitial lung disease, bronchospasm</w:t>
            </w:r>
          </w:p>
        </w:tc>
      </w:tr>
      <w:tr w:rsidR="003B36A9" w:rsidRPr="00243CC4" w14:paraId="523DF781" w14:textId="77777777" w:rsidTr="00A02E32">
        <w:trPr>
          <w:trHeight w:val="132"/>
        </w:trPr>
        <w:tc>
          <w:tcPr>
            <w:tcW w:w="1535" w:type="pct"/>
            <w:vMerge w:val="restart"/>
            <w:tcBorders>
              <w:top w:val="single" w:sz="4" w:space="0" w:color="000000"/>
              <w:left w:val="single" w:sz="6" w:space="0" w:color="000000"/>
              <w:bottom w:val="single" w:sz="4" w:space="0" w:color="000000"/>
              <w:right w:val="single" w:sz="6" w:space="0" w:color="000000"/>
            </w:tcBorders>
            <w:vAlign w:val="center"/>
            <w:hideMark/>
          </w:tcPr>
          <w:p w14:paraId="74E8F9B6" w14:textId="77777777" w:rsidR="003B36A9" w:rsidRPr="00243CC4" w:rsidRDefault="003B36A9">
            <w:pPr>
              <w:pStyle w:val="Default"/>
              <w:rPr>
                <w:sz w:val="24"/>
                <w:szCs w:val="24"/>
              </w:rPr>
            </w:pPr>
            <w:r w:rsidRPr="00243CC4">
              <w:rPr>
                <w:sz w:val="24"/>
                <w:szCs w:val="24"/>
              </w:rPr>
              <w:t>Gastrointestinal disorders</w:t>
            </w: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28C0BD1F" w14:textId="77777777" w:rsidR="003B36A9" w:rsidRPr="00243CC4" w:rsidRDefault="003B36A9">
            <w:pPr>
              <w:pStyle w:val="Default"/>
              <w:ind w:right="37"/>
              <w:rPr>
                <w:sz w:val="24"/>
                <w:szCs w:val="24"/>
              </w:rPr>
            </w:pPr>
            <w:r w:rsidRPr="00243CC4">
              <w:rPr>
                <w:sz w:val="24"/>
                <w:szCs w:val="24"/>
              </w:rPr>
              <w:t>Very common</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05240770" w14:textId="77777777" w:rsidR="003B36A9" w:rsidRPr="00243CC4" w:rsidRDefault="003B36A9">
            <w:pPr>
              <w:pStyle w:val="Default"/>
              <w:ind w:right="360"/>
              <w:rPr>
                <w:sz w:val="24"/>
                <w:szCs w:val="24"/>
              </w:rPr>
            </w:pPr>
            <w:r w:rsidRPr="00243CC4">
              <w:rPr>
                <w:sz w:val="24"/>
                <w:szCs w:val="24"/>
              </w:rPr>
              <w:t>Vomiting, nausea, abdominal pain</w:t>
            </w:r>
          </w:p>
        </w:tc>
      </w:tr>
      <w:tr w:rsidR="003B36A9" w:rsidRPr="00460482" w14:paraId="3ACA39DE" w14:textId="77777777" w:rsidTr="00A02E32">
        <w:trPr>
          <w:trHeight w:val="449"/>
        </w:trPr>
        <w:tc>
          <w:tcPr>
            <w:tcW w:w="1535" w:type="pct"/>
            <w:vMerge/>
            <w:tcBorders>
              <w:top w:val="single" w:sz="4" w:space="0" w:color="000000"/>
              <w:left w:val="single" w:sz="6" w:space="0" w:color="000000"/>
              <w:bottom w:val="single" w:sz="4" w:space="0" w:color="000000"/>
              <w:right w:val="single" w:sz="6" w:space="0" w:color="000000"/>
            </w:tcBorders>
            <w:vAlign w:val="center"/>
            <w:hideMark/>
          </w:tcPr>
          <w:p w14:paraId="2E4CE2F6" w14:textId="77777777" w:rsidR="003B36A9" w:rsidRPr="00243CC4" w:rsidRDefault="003B36A9">
            <w:pPr>
              <w:rPr>
                <w:sz w:val="24"/>
                <w:szCs w:val="24"/>
                <w:lang w:val="en-US" w:eastAsia="en-US"/>
              </w:rPr>
            </w:pPr>
          </w:p>
        </w:tc>
        <w:tc>
          <w:tcPr>
            <w:tcW w:w="925" w:type="pct"/>
            <w:tcBorders>
              <w:top w:val="single" w:sz="4" w:space="0" w:color="000000"/>
              <w:left w:val="single" w:sz="6" w:space="0" w:color="000000"/>
              <w:bottom w:val="nil"/>
              <w:right w:val="single" w:sz="6" w:space="0" w:color="000000"/>
            </w:tcBorders>
            <w:vAlign w:val="center"/>
            <w:hideMark/>
          </w:tcPr>
          <w:p w14:paraId="56ABBBB3" w14:textId="77777777" w:rsidR="003B36A9" w:rsidRPr="00243CC4" w:rsidRDefault="003B36A9">
            <w:pPr>
              <w:pStyle w:val="Default"/>
              <w:ind w:right="37"/>
              <w:rPr>
                <w:sz w:val="24"/>
                <w:szCs w:val="24"/>
              </w:rPr>
            </w:pPr>
            <w:r w:rsidRPr="00243CC4">
              <w:rPr>
                <w:sz w:val="24"/>
                <w:szCs w:val="24"/>
              </w:rPr>
              <w:t>Common</w:t>
            </w:r>
          </w:p>
        </w:tc>
        <w:tc>
          <w:tcPr>
            <w:tcW w:w="2541" w:type="pct"/>
            <w:tcBorders>
              <w:top w:val="single" w:sz="4" w:space="0" w:color="000000"/>
              <w:left w:val="single" w:sz="6" w:space="0" w:color="000000"/>
              <w:bottom w:val="nil"/>
              <w:right w:val="single" w:sz="4" w:space="0" w:color="000000"/>
            </w:tcBorders>
            <w:vAlign w:val="center"/>
            <w:hideMark/>
          </w:tcPr>
          <w:p w14:paraId="154CB50C" w14:textId="77777777" w:rsidR="003B36A9" w:rsidRPr="00243CC4" w:rsidRDefault="003B36A9">
            <w:pPr>
              <w:pStyle w:val="Default"/>
              <w:ind w:right="360"/>
              <w:rPr>
                <w:sz w:val="24"/>
                <w:szCs w:val="24"/>
              </w:rPr>
            </w:pPr>
            <w:proofErr w:type="spellStart"/>
            <w:r w:rsidRPr="00243CC4">
              <w:rPr>
                <w:sz w:val="24"/>
                <w:szCs w:val="24"/>
              </w:rPr>
              <w:t>Diarrhoea</w:t>
            </w:r>
            <w:proofErr w:type="spellEnd"/>
            <w:r w:rsidRPr="00243CC4">
              <w:rPr>
                <w:sz w:val="24"/>
                <w:szCs w:val="24"/>
              </w:rPr>
              <w:t>, constipation, mucous membrane disorder</w:t>
            </w:r>
          </w:p>
        </w:tc>
      </w:tr>
      <w:tr w:rsidR="003B36A9" w:rsidRPr="00243CC4" w14:paraId="2CDB1A18" w14:textId="77777777" w:rsidTr="00A02E32">
        <w:trPr>
          <w:trHeight w:val="132"/>
        </w:trPr>
        <w:tc>
          <w:tcPr>
            <w:tcW w:w="1535" w:type="pct"/>
            <w:vMerge/>
            <w:tcBorders>
              <w:top w:val="single" w:sz="4" w:space="0" w:color="000000"/>
              <w:left w:val="single" w:sz="6" w:space="0" w:color="000000"/>
              <w:bottom w:val="single" w:sz="4" w:space="0" w:color="000000"/>
              <w:right w:val="single" w:sz="6" w:space="0" w:color="000000"/>
            </w:tcBorders>
            <w:vAlign w:val="center"/>
            <w:hideMark/>
          </w:tcPr>
          <w:p w14:paraId="7B1ACF70" w14:textId="77777777" w:rsidR="003B36A9" w:rsidRPr="00243CC4" w:rsidRDefault="003B36A9">
            <w:pPr>
              <w:rPr>
                <w:sz w:val="24"/>
                <w:szCs w:val="24"/>
                <w:lang w:val="en-US" w:eastAsia="en-US"/>
              </w:rPr>
            </w:pP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4E94FB11" w14:textId="77777777" w:rsidR="003B36A9" w:rsidRPr="00243CC4" w:rsidRDefault="003B36A9">
            <w:pPr>
              <w:pStyle w:val="Default"/>
              <w:ind w:right="37"/>
              <w:rPr>
                <w:sz w:val="24"/>
                <w:szCs w:val="24"/>
              </w:rPr>
            </w:pPr>
            <w:r w:rsidRPr="00243CC4">
              <w:rPr>
                <w:sz w:val="24"/>
                <w:szCs w:val="24"/>
              </w:rPr>
              <w:t>Not known</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44708CEC" w14:textId="77777777" w:rsidR="003B36A9" w:rsidRPr="00243CC4" w:rsidRDefault="003B36A9">
            <w:pPr>
              <w:pStyle w:val="Default"/>
              <w:ind w:right="360"/>
              <w:rPr>
                <w:sz w:val="24"/>
                <w:szCs w:val="24"/>
              </w:rPr>
            </w:pPr>
            <w:r w:rsidRPr="00243CC4">
              <w:rPr>
                <w:sz w:val="24"/>
                <w:szCs w:val="24"/>
              </w:rPr>
              <w:t>Stomatitis, pancreatitis</w:t>
            </w:r>
          </w:p>
        </w:tc>
      </w:tr>
      <w:tr w:rsidR="003B36A9" w:rsidRPr="00243CC4" w14:paraId="28989FD0" w14:textId="77777777" w:rsidTr="00A02E32">
        <w:trPr>
          <w:trHeight w:val="132"/>
        </w:trPr>
        <w:tc>
          <w:tcPr>
            <w:tcW w:w="1535" w:type="pct"/>
            <w:tcBorders>
              <w:top w:val="single" w:sz="4" w:space="0" w:color="000000"/>
              <w:left w:val="single" w:sz="6" w:space="0" w:color="000000"/>
              <w:bottom w:val="single" w:sz="4" w:space="0" w:color="000000"/>
              <w:right w:val="single" w:sz="6" w:space="0" w:color="000000"/>
            </w:tcBorders>
            <w:vAlign w:val="center"/>
            <w:hideMark/>
          </w:tcPr>
          <w:p w14:paraId="6C84D4D2" w14:textId="77777777" w:rsidR="003B36A9" w:rsidRPr="00243CC4" w:rsidRDefault="003B36A9">
            <w:pPr>
              <w:pStyle w:val="Default"/>
              <w:tabs>
                <w:tab w:val="left" w:pos="567"/>
              </w:tabs>
              <w:rPr>
                <w:sz w:val="24"/>
                <w:szCs w:val="24"/>
              </w:rPr>
            </w:pPr>
            <w:r w:rsidRPr="00243CC4">
              <w:rPr>
                <w:sz w:val="24"/>
                <w:szCs w:val="24"/>
              </w:rPr>
              <w:t>Hepatobiliary disorders</w:t>
            </w: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3EE56EC8" w14:textId="77777777" w:rsidR="003B36A9" w:rsidRPr="00243CC4" w:rsidRDefault="003B36A9">
            <w:pPr>
              <w:pStyle w:val="Default"/>
              <w:ind w:right="37"/>
              <w:rPr>
                <w:sz w:val="24"/>
                <w:szCs w:val="24"/>
              </w:rPr>
            </w:pPr>
            <w:r w:rsidRPr="00243CC4">
              <w:rPr>
                <w:sz w:val="24"/>
                <w:szCs w:val="24"/>
              </w:rPr>
              <w:t>Rare</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02D7B71E" w14:textId="77777777" w:rsidR="003B36A9" w:rsidRPr="00243CC4" w:rsidRDefault="003B36A9">
            <w:pPr>
              <w:pStyle w:val="Default"/>
              <w:ind w:right="360"/>
              <w:rPr>
                <w:sz w:val="24"/>
                <w:szCs w:val="24"/>
              </w:rPr>
            </w:pPr>
            <w:r w:rsidRPr="00243CC4">
              <w:rPr>
                <w:sz w:val="24"/>
                <w:szCs w:val="24"/>
              </w:rPr>
              <w:t>Severe hepatic dysfunction</w:t>
            </w:r>
          </w:p>
        </w:tc>
      </w:tr>
      <w:tr w:rsidR="003B36A9" w:rsidRPr="00460482" w14:paraId="1D7447B9" w14:textId="77777777" w:rsidTr="00A02E32">
        <w:trPr>
          <w:trHeight w:val="566"/>
        </w:trPr>
        <w:tc>
          <w:tcPr>
            <w:tcW w:w="1535" w:type="pct"/>
            <w:tcBorders>
              <w:top w:val="single" w:sz="4" w:space="0" w:color="000000"/>
              <w:left w:val="single" w:sz="6" w:space="0" w:color="000000"/>
              <w:bottom w:val="single" w:sz="4" w:space="0" w:color="auto"/>
              <w:right w:val="single" w:sz="6" w:space="0" w:color="000000"/>
            </w:tcBorders>
            <w:vAlign w:val="center"/>
            <w:hideMark/>
          </w:tcPr>
          <w:p w14:paraId="0237C4F6" w14:textId="77777777" w:rsidR="003B36A9" w:rsidRPr="00243CC4" w:rsidRDefault="003B36A9">
            <w:pPr>
              <w:pStyle w:val="Default"/>
              <w:rPr>
                <w:sz w:val="24"/>
                <w:szCs w:val="24"/>
              </w:rPr>
            </w:pPr>
            <w:r w:rsidRPr="00243CC4">
              <w:rPr>
                <w:sz w:val="24"/>
                <w:szCs w:val="24"/>
              </w:rPr>
              <w:t>Skin and subcutaneous tissue disorders</w:t>
            </w:r>
          </w:p>
        </w:tc>
        <w:tc>
          <w:tcPr>
            <w:tcW w:w="925" w:type="pct"/>
            <w:tcBorders>
              <w:top w:val="single" w:sz="4" w:space="0" w:color="000000"/>
              <w:left w:val="single" w:sz="6" w:space="0" w:color="000000"/>
              <w:bottom w:val="single" w:sz="4" w:space="0" w:color="auto"/>
              <w:right w:val="single" w:sz="6" w:space="0" w:color="000000"/>
            </w:tcBorders>
            <w:vAlign w:val="center"/>
            <w:hideMark/>
          </w:tcPr>
          <w:p w14:paraId="308BC60B" w14:textId="77777777" w:rsidR="003B36A9" w:rsidRPr="00243CC4" w:rsidRDefault="003B36A9">
            <w:pPr>
              <w:pStyle w:val="Default"/>
              <w:ind w:right="37"/>
              <w:rPr>
                <w:sz w:val="24"/>
                <w:szCs w:val="24"/>
              </w:rPr>
            </w:pPr>
            <w:r w:rsidRPr="00243CC4">
              <w:rPr>
                <w:sz w:val="24"/>
                <w:szCs w:val="24"/>
              </w:rPr>
              <w:t>Common</w:t>
            </w:r>
          </w:p>
        </w:tc>
        <w:tc>
          <w:tcPr>
            <w:tcW w:w="2541" w:type="pct"/>
            <w:tcBorders>
              <w:top w:val="single" w:sz="4" w:space="0" w:color="000000"/>
              <w:left w:val="single" w:sz="6" w:space="0" w:color="000000"/>
              <w:bottom w:val="single" w:sz="4" w:space="0" w:color="auto"/>
              <w:right w:val="single" w:sz="4" w:space="0" w:color="000000"/>
            </w:tcBorders>
            <w:vAlign w:val="center"/>
            <w:hideMark/>
          </w:tcPr>
          <w:p w14:paraId="7D396212" w14:textId="77777777" w:rsidR="003B36A9" w:rsidRPr="00243CC4" w:rsidRDefault="003B36A9">
            <w:pPr>
              <w:pStyle w:val="Default"/>
              <w:ind w:right="360"/>
              <w:rPr>
                <w:sz w:val="24"/>
                <w:szCs w:val="24"/>
              </w:rPr>
            </w:pPr>
            <w:r w:rsidRPr="00243CC4">
              <w:rPr>
                <w:sz w:val="24"/>
                <w:szCs w:val="24"/>
              </w:rPr>
              <w:t>Alopecia, skin disorder, urticaria, rash erythematous, pruritus</w:t>
            </w:r>
          </w:p>
        </w:tc>
      </w:tr>
      <w:tr w:rsidR="003B36A9" w:rsidRPr="00243CC4" w14:paraId="01CF0A2C" w14:textId="77777777" w:rsidTr="00A02E32">
        <w:trPr>
          <w:trHeight w:val="257"/>
        </w:trPr>
        <w:tc>
          <w:tcPr>
            <w:tcW w:w="1535" w:type="pct"/>
            <w:tcBorders>
              <w:top w:val="single" w:sz="4" w:space="0" w:color="auto"/>
              <w:left w:val="single" w:sz="6" w:space="0" w:color="000000"/>
              <w:bottom w:val="single" w:sz="4" w:space="0" w:color="000000"/>
              <w:right w:val="single" w:sz="6" w:space="0" w:color="000000"/>
            </w:tcBorders>
            <w:vAlign w:val="center"/>
            <w:hideMark/>
          </w:tcPr>
          <w:p w14:paraId="10F04F5D" w14:textId="77777777" w:rsidR="003B36A9" w:rsidRPr="00243CC4" w:rsidRDefault="003B36A9">
            <w:pPr>
              <w:pStyle w:val="Default"/>
              <w:rPr>
                <w:sz w:val="24"/>
                <w:szCs w:val="24"/>
              </w:rPr>
            </w:pPr>
            <w:r w:rsidRPr="00243CC4">
              <w:rPr>
                <w:sz w:val="24"/>
                <w:szCs w:val="24"/>
              </w:rPr>
              <w:t>Musculoskeletal and connective tissue disorders</w:t>
            </w:r>
          </w:p>
        </w:tc>
        <w:tc>
          <w:tcPr>
            <w:tcW w:w="925" w:type="pct"/>
            <w:tcBorders>
              <w:top w:val="single" w:sz="4" w:space="0" w:color="auto"/>
              <w:left w:val="single" w:sz="6" w:space="0" w:color="000000"/>
              <w:bottom w:val="single" w:sz="4" w:space="0" w:color="000000"/>
              <w:right w:val="single" w:sz="6" w:space="0" w:color="000000"/>
            </w:tcBorders>
            <w:vAlign w:val="center"/>
            <w:hideMark/>
          </w:tcPr>
          <w:p w14:paraId="6E215D60" w14:textId="77777777" w:rsidR="003B36A9" w:rsidRPr="00243CC4" w:rsidRDefault="003B36A9">
            <w:pPr>
              <w:pStyle w:val="Default"/>
              <w:ind w:right="37"/>
              <w:rPr>
                <w:sz w:val="24"/>
                <w:szCs w:val="24"/>
              </w:rPr>
            </w:pPr>
            <w:r w:rsidRPr="00243CC4">
              <w:rPr>
                <w:sz w:val="24"/>
                <w:szCs w:val="24"/>
              </w:rPr>
              <w:t>Common</w:t>
            </w:r>
          </w:p>
        </w:tc>
        <w:tc>
          <w:tcPr>
            <w:tcW w:w="2541" w:type="pct"/>
            <w:tcBorders>
              <w:top w:val="single" w:sz="4" w:space="0" w:color="auto"/>
              <w:left w:val="single" w:sz="6" w:space="0" w:color="000000"/>
              <w:bottom w:val="single" w:sz="4" w:space="0" w:color="000000"/>
              <w:right w:val="single" w:sz="4" w:space="0" w:color="000000"/>
            </w:tcBorders>
            <w:vAlign w:val="center"/>
            <w:hideMark/>
          </w:tcPr>
          <w:p w14:paraId="11082DBB" w14:textId="77777777" w:rsidR="003B36A9" w:rsidRPr="00243CC4" w:rsidRDefault="003B36A9">
            <w:pPr>
              <w:pStyle w:val="Default"/>
              <w:ind w:right="360"/>
              <w:rPr>
                <w:sz w:val="24"/>
                <w:szCs w:val="24"/>
              </w:rPr>
            </w:pPr>
            <w:r w:rsidRPr="00243CC4">
              <w:rPr>
                <w:sz w:val="24"/>
                <w:szCs w:val="24"/>
              </w:rPr>
              <w:t>Musculoskeletal disorder</w:t>
            </w:r>
          </w:p>
        </w:tc>
      </w:tr>
      <w:tr w:rsidR="003B36A9" w:rsidRPr="00243CC4" w14:paraId="6EC08320" w14:textId="77777777" w:rsidTr="00A02E32">
        <w:trPr>
          <w:trHeight w:val="131"/>
        </w:trPr>
        <w:tc>
          <w:tcPr>
            <w:tcW w:w="1535" w:type="pct"/>
            <w:tcBorders>
              <w:top w:val="single" w:sz="4" w:space="0" w:color="000000"/>
              <w:left w:val="single" w:sz="6" w:space="0" w:color="000000"/>
              <w:bottom w:val="single" w:sz="4" w:space="0" w:color="000000"/>
              <w:right w:val="single" w:sz="6" w:space="0" w:color="000000"/>
            </w:tcBorders>
            <w:vAlign w:val="center"/>
            <w:hideMark/>
          </w:tcPr>
          <w:p w14:paraId="7EC5E60A" w14:textId="77777777" w:rsidR="003B36A9" w:rsidRPr="00243CC4" w:rsidRDefault="003B36A9">
            <w:pPr>
              <w:pStyle w:val="Default"/>
              <w:rPr>
                <w:sz w:val="24"/>
                <w:szCs w:val="24"/>
              </w:rPr>
            </w:pPr>
            <w:r w:rsidRPr="00243CC4">
              <w:rPr>
                <w:sz w:val="24"/>
                <w:szCs w:val="24"/>
              </w:rPr>
              <w:t>Renal and urinary disorders</w:t>
            </w: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09170659" w14:textId="77777777" w:rsidR="003B36A9" w:rsidRPr="00243CC4" w:rsidRDefault="003B36A9">
            <w:pPr>
              <w:pStyle w:val="Default"/>
              <w:ind w:right="37"/>
              <w:rPr>
                <w:sz w:val="24"/>
                <w:szCs w:val="24"/>
              </w:rPr>
            </w:pPr>
            <w:r w:rsidRPr="00243CC4">
              <w:rPr>
                <w:sz w:val="24"/>
                <w:szCs w:val="24"/>
              </w:rPr>
              <w:t>Common</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535B4059" w14:textId="77777777" w:rsidR="003B36A9" w:rsidRPr="00243CC4" w:rsidRDefault="003B36A9">
            <w:pPr>
              <w:pStyle w:val="Default"/>
              <w:ind w:right="360"/>
              <w:rPr>
                <w:sz w:val="24"/>
                <w:szCs w:val="24"/>
              </w:rPr>
            </w:pPr>
            <w:r w:rsidRPr="00243CC4">
              <w:rPr>
                <w:sz w:val="24"/>
                <w:szCs w:val="24"/>
              </w:rPr>
              <w:t>Urogenital disorder</w:t>
            </w:r>
          </w:p>
        </w:tc>
      </w:tr>
      <w:tr w:rsidR="003B36A9" w:rsidRPr="00243CC4" w14:paraId="2F4CD8DE" w14:textId="77777777" w:rsidTr="00A02E32">
        <w:trPr>
          <w:trHeight w:val="343"/>
        </w:trPr>
        <w:tc>
          <w:tcPr>
            <w:tcW w:w="1535" w:type="pct"/>
            <w:vMerge w:val="restart"/>
            <w:tcBorders>
              <w:top w:val="single" w:sz="4" w:space="0" w:color="000000"/>
              <w:left w:val="single" w:sz="6" w:space="0" w:color="000000"/>
              <w:bottom w:val="single" w:sz="4" w:space="0" w:color="000000"/>
              <w:right w:val="single" w:sz="6" w:space="0" w:color="000000"/>
            </w:tcBorders>
            <w:vAlign w:val="center"/>
            <w:hideMark/>
          </w:tcPr>
          <w:p w14:paraId="6A7358EF" w14:textId="77777777" w:rsidR="003B36A9" w:rsidRPr="00243CC4" w:rsidRDefault="003B36A9">
            <w:pPr>
              <w:pStyle w:val="Default"/>
              <w:rPr>
                <w:sz w:val="24"/>
                <w:szCs w:val="24"/>
              </w:rPr>
            </w:pPr>
            <w:r w:rsidRPr="00243CC4">
              <w:rPr>
                <w:sz w:val="24"/>
                <w:szCs w:val="24"/>
              </w:rPr>
              <w:t>General disorders and administration site conditions</w:t>
            </w:r>
          </w:p>
        </w:tc>
        <w:tc>
          <w:tcPr>
            <w:tcW w:w="925" w:type="pct"/>
            <w:tcBorders>
              <w:top w:val="single" w:sz="4" w:space="0" w:color="000000"/>
              <w:left w:val="single" w:sz="6" w:space="0" w:color="000000"/>
              <w:bottom w:val="nil"/>
              <w:right w:val="single" w:sz="6" w:space="0" w:color="000000"/>
            </w:tcBorders>
            <w:vAlign w:val="center"/>
            <w:hideMark/>
          </w:tcPr>
          <w:p w14:paraId="6627C1D5" w14:textId="77777777" w:rsidR="003B36A9" w:rsidRPr="00243CC4" w:rsidRDefault="003B36A9">
            <w:pPr>
              <w:pStyle w:val="Default"/>
              <w:ind w:right="37"/>
              <w:rPr>
                <w:sz w:val="24"/>
                <w:szCs w:val="24"/>
              </w:rPr>
            </w:pPr>
            <w:r w:rsidRPr="00243CC4">
              <w:rPr>
                <w:sz w:val="24"/>
                <w:szCs w:val="24"/>
              </w:rPr>
              <w:t>Very common</w:t>
            </w:r>
          </w:p>
        </w:tc>
        <w:tc>
          <w:tcPr>
            <w:tcW w:w="2541" w:type="pct"/>
            <w:tcBorders>
              <w:top w:val="single" w:sz="4" w:space="0" w:color="000000"/>
              <w:left w:val="single" w:sz="6" w:space="0" w:color="000000"/>
              <w:bottom w:val="nil"/>
              <w:right w:val="single" w:sz="4" w:space="0" w:color="000000"/>
            </w:tcBorders>
            <w:vAlign w:val="center"/>
            <w:hideMark/>
          </w:tcPr>
          <w:p w14:paraId="1E43EFA2" w14:textId="77777777" w:rsidR="003B36A9" w:rsidRPr="00243CC4" w:rsidRDefault="003B36A9">
            <w:pPr>
              <w:pStyle w:val="Default"/>
              <w:ind w:right="360"/>
              <w:rPr>
                <w:sz w:val="24"/>
                <w:szCs w:val="24"/>
              </w:rPr>
            </w:pPr>
            <w:r w:rsidRPr="00243CC4">
              <w:rPr>
                <w:sz w:val="24"/>
                <w:szCs w:val="24"/>
              </w:rPr>
              <w:t>Asthenia</w:t>
            </w:r>
          </w:p>
        </w:tc>
      </w:tr>
      <w:tr w:rsidR="003B36A9" w:rsidRPr="00243CC4" w14:paraId="55E64B1A" w14:textId="77777777" w:rsidTr="00A02E32">
        <w:trPr>
          <w:trHeight w:val="278"/>
        </w:trPr>
        <w:tc>
          <w:tcPr>
            <w:tcW w:w="1535" w:type="pct"/>
            <w:vMerge/>
            <w:tcBorders>
              <w:top w:val="single" w:sz="4" w:space="0" w:color="000000"/>
              <w:left w:val="single" w:sz="6" w:space="0" w:color="000000"/>
              <w:bottom w:val="single" w:sz="4" w:space="0" w:color="000000"/>
              <w:right w:val="single" w:sz="6" w:space="0" w:color="000000"/>
            </w:tcBorders>
            <w:vAlign w:val="center"/>
            <w:hideMark/>
          </w:tcPr>
          <w:p w14:paraId="32288D46" w14:textId="77777777" w:rsidR="003B36A9" w:rsidRPr="00243CC4" w:rsidRDefault="003B36A9">
            <w:pPr>
              <w:rPr>
                <w:sz w:val="24"/>
                <w:szCs w:val="24"/>
                <w:lang w:val="en-US" w:eastAsia="en-US"/>
              </w:rPr>
            </w:pPr>
          </w:p>
        </w:tc>
        <w:tc>
          <w:tcPr>
            <w:tcW w:w="925" w:type="pct"/>
            <w:tcBorders>
              <w:top w:val="single" w:sz="4" w:space="0" w:color="000000"/>
              <w:left w:val="single" w:sz="6" w:space="0" w:color="000000"/>
              <w:bottom w:val="nil"/>
              <w:right w:val="single" w:sz="6" w:space="0" w:color="000000"/>
            </w:tcBorders>
            <w:vAlign w:val="center"/>
            <w:hideMark/>
          </w:tcPr>
          <w:p w14:paraId="58C07AFD" w14:textId="77777777" w:rsidR="003B36A9" w:rsidRPr="00243CC4" w:rsidRDefault="003B36A9">
            <w:pPr>
              <w:pStyle w:val="Default"/>
              <w:ind w:right="37"/>
              <w:rPr>
                <w:sz w:val="24"/>
                <w:szCs w:val="24"/>
              </w:rPr>
            </w:pPr>
            <w:r w:rsidRPr="00243CC4">
              <w:rPr>
                <w:sz w:val="24"/>
                <w:szCs w:val="24"/>
              </w:rPr>
              <w:t>Common</w:t>
            </w:r>
          </w:p>
        </w:tc>
        <w:tc>
          <w:tcPr>
            <w:tcW w:w="2541" w:type="pct"/>
            <w:tcBorders>
              <w:top w:val="single" w:sz="4" w:space="0" w:color="000000"/>
              <w:left w:val="single" w:sz="6" w:space="0" w:color="000000"/>
              <w:bottom w:val="nil"/>
              <w:right w:val="single" w:sz="4" w:space="0" w:color="000000"/>
            </w:tcBorders>
            <w:vAlign w:val="center"/>
            <w:hideMark/>
          </w:tcPr>
          <w:p w14:paraId="6B3B1D77" w14:textId="77777777" w:rsidR="003B36A9" w:rsidRPr="00243CC4" w:rsidRDefault="003B36A9">
            <w:pPr>
              <w:pStyle w:val="Default"/>
              <w:ind w:right="360"/>
              <w:rPr>
                <w:sz w:val="24"/>
                <w:szCs w:val="24"/>
              </w:rPr>
            </w:pPr>
            <w:r w:rsidRPr="00243CC4">
              <w:rPr>
                <w:sz w:val="24"/>
                <w:szCs w:val="24"/>
              </w:rPr>
              <w:t>Flu-like syndrome</w:t>
            </w:r>
          </w:p>
        </w:tc>
      </w:tr>
      <w:tr w:rsidR="003B36A9" w:rsidRPr="00460482" w14:paraId="33F95352" w14:textId="77777777" w:rsidTr="00A02E32">
        <w:trPr>
          <w:trHeight w:val="976"/>
        </w:trPr>
        <w:tc>
          <w:tcPr>
            <w:tcW w:w="1535" w:type="pct"/>
            <w:vMerge/>
            <w:tcBorders>
              <w:top w:val="single" w:sz="4" w:space="0" w:color="000000"/>
              <w:left w:val="single" w:sz="6" w:space="0" w:color="000000"/>
              <w:bottom w:val="single" w:sz="4" w:space="0" w:color="000000"/>
              <w:right w:val="single" w:sz="6" w:space="0" w:color="000000"/>
            </w:tcBorders>
            <w:vAlign w:val="center"/>
            <w:hideMark/>
          </w:tcPr>
          <w:p w14:paraId="7EDBFB6F" w14:textId="77777777" w:rsidR="003B36A9" w:rsidRPr="00243CC4" w:rsidRDefault="003B36A9">
            <w:pPr>
              <w:rPr>
                <w:sz w:val="24"/>
                <w:szCs w:val="24"/>
                <w:lang w:val="en-US" w:eastAsia="en-US"/>
              </w:rPr>
            </w:pP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5849CD1B" w14:textId="77777777" w:rsidR="003B36A9" w:rsidRPr="00243CC4" w:rsidRDefault="003B36A9">
            <w:pPr>
              <w:pStyle w:val="Default"/>
              <w:ind w:right="37"/>
              <w:rPr>
                <w:sz w:val="24"/>
                <w:szCs w:val="24"/>
              </w:rPr>
            </w:pPr>
            <w:r w:rsidRPr="00243CC4">
              <w:rPr>
                <w:sz w:val="24"/>
                <w:szCs w:val="24"/>
              </w:rPr>
              <w:t>Uncommon</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224E6159" w14:textId="77777777" w:rsidR="003B36A9" w:rsidRPr="00243CC4" w:rsidRDefault="003B36A9">
            <w:pPr>
              <w:pStyle w:val="Default"/>
              <w:ind w:right="360"/>
              <w:rPr>
                <w:bCs/>
                <w:sz w:val="24"/>
                <w:szCs w:val="24"/>
                <w:lang w:val="en-GB"/>
              </w:rPr>
            </w:pPr>
            <w:r w:rsidRPr="00243CC4">
              <w:rPr>
                <w:sz w:val="24"/>
                <w:szCs w:val="24"/>
                <w:lang w:val="en-GB"/>
              </w:rPr>
              <w:t>Fever and chills without evidence of infection, injection</w:t>
            </w:r>
            <w:r w:rsidRPr="00243CC4">
              <w:rPr>
                <w:sz w:val="24"/>
                <w:szCs w:val="24"/>
              </w:rPr>
              <w:t xml:space="preserve"> site necrosis, injection site reaction, injection site extravasation, injection site erythema, malaise</w:t>
            </w:r>
          </w:p>
        </w:tc>
      </w:tr>
      <w:tr w:rsidR="003B36A9" w:rsidRPr="00460482" w14:paraId="56A0E564" w14:textId="77777777" w:rsidTr="00A02E32">
        <w:trPr>
          <w:trHeight w:val="890"/>
        </w:trPr>
        <w:tc>
          <w:tcPr>
            <w:tcW w:w="1535" w:type="pct"/>
            <w:vMerge w:val="restart"/>
            <w:tcBorders>
              <w:top w:val="single" w:sz="4" w:space="0" w:color="000000"/>
              <w:left w:val="single" w:sz="6" w:space="0" w:color="000000"/>
              <w:bottom w:val="single" w:sz="4" w:space="0" w:color="auto"/>
              <w:right w:val="single" w:sz="6" w:space="0" w:color="000000"/>
            </w:tcBorders>
            <w:vAlign w:val="center"/>
            <w:hideMark/>
          </w:tcPr>
          <w:p w14:paraId="7EFE4F45" w14:textId="77777777" w:rsidR="003B36A9" w:rsidRPr="00243CC4" w:rsidRDefault="003B36A9">
            <w:pPr>
              <w:pStyle w:val="Default"/>
              <w:rPr>
                <w:sz w:val="24"/>
                <w:szCs w:val="24"/>
              </w:rPr>
            </w:pPr>
            <w:r w:rsidRPr="00243CC4">
              <w:rPr>
                <w:sz w:val="24"/>
                <w:szCs w:val="24"/>
              </w:rPr>
              <w:t>Investigations</w:t>
            </w:r>
          </w:p>
        </w:tc>
        <w:tc>
          <w:tcPr>
            <w:tcW w:w="925" w:type="pct"/>
            <w:tcBorders>
              <w:top w:val="single" w:sz="4" w:space="0" w:color="000000"/>
              <w:left w:val="single" w:sz="6" w:space="0" w:color="000000"/>
              <w:bottom w:val="single" w:sz="4" w:space="0" w:color="000000"/>
              <w:right w:val="single" w:sz="6" w:space="0" w:color="000000"/>
            </w:tcBorders>
            <w:vAlign w:val="center"/>
            <w:hideMark/>
          </w:tcPr>
          <w:p w14:paraId="7D340C23" w14:textId="77777777" w:rsidR="003B36A9" w:rsidRPr="00243CC4" w:rsidRDefault="003B36A9">
            <w:pPr>
              <w:pStyle w:val="Default"/>
              <w:ind w:right="37"/>
              <w:rPr>
                <w:sz w:val="24"/>
                <w:szCs w:val="24"/>
              </w:rPr>
            </w:pPr>
            <w:r w:rsidRPr="00243CC4">
              <w:rPr>
                <w:sz w:val="24"/>
                <w:szCs w:val="24"/>
              </w:rPr>
              <w:t>Very Common</w:t>
            </w:r>
          </w:p>
        </w:tc>
        <w:tc>
          <w:tcPr>
            <w:tcW w:w="2541" w:type="pct"/>
            <w:tcBorders>
              <w:top w:val="single" w:sz="4" w:space="0" w:color="000000"/>
              <w:left w:val="single" w:sz="6" w:space="0" w:color="000000"/>
              <w:bottom w:val="single" w:sz="4" w:space="0" w:color="000000"/>
              <w:right w:val="single" w:sz="4" w:space="0" w:color="000000"/>
            </w:tcBorders>
            <w:vAlign w:val="center"/>
            <w:hideMark/>
          </w:tcPr>
          <w:p w14:paraId="50C2A781" w14:textId="77777777" w:rsidR="003B36A9" w:rsidRPr="00243CC4" w:rsidRDefault="003B36A9">
            <w:pPr>
              <w:pStyle w:val="Default"/>
              <w:ind w:right="360"/>
              <w:rPr>
                <w:sz w:val="24"/>
                <w:szCs w:val="24"/>
              </w:rPr>
            </w:pPr>
            <w:r w:rsidRPr="00243CC4">
              <w:rPr>
                <w:sz w:val="24"/>
                <w:szCs w:val="24"/>
              </w:rPr>
              <w:t xml:space="preserve">Creatinine renal clearance decreased, blood urea increased, blood alkaline phosphatase increased, aspartate aminotransferase increased, liver </w:t>
            </w:r>
            <w:proofErr w:type="spellStart"/>
            <w:r w:rsidRPr="00243CC4">
              <w:rPr>
                <w:sz w:val="24"/>
                <w:szCs w:val="24"/>
              </w:rPr>
              <w:t>funtion</w:t>
            </w:r>
            <w:proofErr w:type="spellEnd"/>
            <w:r w:rsidRPr="00243CC4">
              <w:rPr>
                <w:sz w:val="24"/>
                <w:szCs w:val="24"/>
              </w:rPr>
              <w:t xml:space="preserve"> test abnormal, blood sodium decreased, blood potassium decreased, blood calcium decreased, blood magnesium decreased.</w:t>
            </w:r>
          </w:p>
        </w:tc>
      </w:tr>
      <w:tr w:rsidR="003B36A9" w:rsidRPr="00460482" w14:paraId="0BC39417" w14:textId="77777777" w:rsidTr="00A02E32">
        <w:trPr>
          <w:trHeight w:val="577"/>
        </w:trPr>
        <w:tc>
          <w:tcPr>
            <w:tcW w:w="1535" w:type="pct"/>
            <w:vMerge/>
            <w:tcBorders>
              <w:top w:val="single" w:sz="4" w:space="0" w:color="000000"/>
              <w:left w:val="single" w:sz="6" w:space="0" w:color="000000"/>
              <w:bottom w:val="single" w:sz="4" w:space="0" w:color="auto"/>
              <w:right w:val="single" w:sz="6" w:space="0" w:color="000000"/>
            </w:tcBorders>
            <w:vAlign w:val="center"/>
            <w:hideMark/>
          </w:tcPr>
          <w:p w14:paraId="758D0BE2" w14:textId="77777777" w:rsidR="003B36A9" w:rsidRPr="00243CC4" w:rsidRDefault="003B36A9">
            <w:pPr>
              <w:rPr>
                <w:sz w:val="24"/>
                <w:szCs w:val="24"/>
                <w:lang w:val="en-US" w:eastAsia="en-US"/>
              </w:rPr>
            </w:pPr>
          </w:p>
        </w:tc>
        <w:tc>
          <w:tcPr>
            <w:tcW w:w="925" w:type="pct"/>
            <w:tcBorders>
              <w:top w:val="single" w:sz="4" w:space="0" w:color="000000"/>
              <w:left w:val="single" w:sz="6" w:space="0" w:color="000000"/>
              <w:bottom w:val="single" w:sz="4" w:space="0" w:color="auto"/>
              <w:right w:val="single" w:sz="6" w:space="0" w:color="000000"/>
            </w:tcBorders>
            <w:vAlign w:val="center"/>
            <w:hideMark/>
          </w:tcPr>
          <w:p w14:paraId="3F0DE625" w14:textId="77777777" w:rsidR="003B36A9" w:rsidRPr="00243CC4" w:rsidRDefault="003B36A9">
            <w:pPr>
              <w:pStyle w:val="Default"/>
              <w:ind w:right="37"/>
              <w:rPr>
                <w:sz w:val="24"/>
                <w:szCs w:val="24"/>
              </w:rPr>
            </w:pPr>
            <w:r w:rsidRPr="00243CC4">
              <w:rPr>
                <w:sz w:val="24"/>
                <w:szCs w:val="24"/>
              </w:rPr>
              <w:t>Common</w:t>
            </w:r>
          </w:p>
        </w:tc>
        <w:tc>
          <w:tcPr>
            <w:tcW w:w="2541" w:type="pct"/>
            <w:tcBorders>
              <w:top w:val="single" w:sz="4" w:space="0" w:color="000000"/>
              <w:left w:val="single" w:sz="6" w:space="0" w:color="000000"/>
              <w:bottom w:val="single" w:sz="4" w:space="0" w:color="auto"/>
              <w:right w:val="single" w:sz="4" w:space="0" w:color="000000"/>
            </w:tcBorders>
            <w:vAlign w:val="center"/>
            <w:hideMark/>
          </w:tcPr>
          <w:p w14:paraId="1342FBD3" w14:textId="77777777" w:rsidR="003B36A9" w:rsidRPr="00243CC4" w:rsidRDefault="003B36A9">
            <w:pPr>
              <w:pStyle w:val="Default"/>
              <w:ind w:right="360"/>
              <w:rPr>
                <w:sz w:val="24"/>
                <w:szCs w:val="24"/>
              </w:rPr>
            </w:pPr>
            <w:r w:rsidRPr="00243CC4">
              <w:rPr>
                <w:sz w:val="24"/>
                <w:szCs w:val="24"/>
              </w:rPr>
              <w:t>Blood bilirubin increased, blood creatinine increased, blood uric acid increased</w:t>
            </w:r>
          </w:p>
        </w:tc>
      </w:tr>
    </w:tbl>
    <w:p w14:paraId="60DFF31F" w14:textId="63D48985" w:rsidR="003B36A9" w:rsidRPr="00243CC4" w:rsidRDefault="003B36A9" w:rsidP="00A02E32">
      <w:pPr>
        <w:ind w:left="284" w:hanging="284"/>
        <w:rPr>
          <w:sz w:val="24"/>
          <w:szCs w:val="24"/>
          <w:lang w:val="en-US"/>
        </w:rPr>
      </w:pPr>
      <w:r w:rsidRPr="00243CC4">
        <w:rPr>
          <w:sz w:val="24"/>
          <w:szCs w:val="24"/>
          <w:lang w:val="en-US"/>
        </w:rPr>
        <w:t>*</w:t>
      </w:r>
      <w:r w:rsidR="00A02E32" w:rsidRPr="00243CC4">
        <w:rPr>
          <w:sz w:val="24"/>
          <w:szCs w:val="24"/>
          <w:lang w:val="en-US"/>
        </w:rPr>
        <w:tab/>
      </w:r>
      <w:r w:rsidRPr="00243CC4">
        <w:rPr>
          <w:sz w:val="24"/>
          <w:szCs w:val="24"/>
          <w:lang w:val="en-US"/>
        </w:rPr>
        <w:t>Fatal in &lt;1</w:t>
      </w:r>
      <w:r w:rsidR="00243CC4">
        <w:rPr>
          <w:sz w:val="24"/>
          <w:szCs w:val="24"/>
          <w:lang w:val="en-US"/>
        </w:rPr>
        <w:t xml:space="preserve"> %</w:t>
      </w:r>
      <w:r w:rsidRPr="00243CC4">
        <w:rPr>
          <w:sz w:val="24"/>
          <w:szCs w:val="24"/>
          <w:lang w:val="en-US"/>
        </w:rPr>
        <w:t>, fatal cardiovascular events in &lt;1</w:t>
      </w:r>
      <w:r w:rsidR="00243CC4">
        <w:rPr>
          <w:sz w:val="24"/>
          <w:szCs w:val="24"/>
          <w:lang w:val="en-US"/>
        </w:rPr>
        <w:t xml:space="preserve"> %</w:t>
      </w:r>
      <w:r w:rsidRPr="00243CC4">
        <w:rPr>
          <w:sz w:val="24"/>
          <w:szCs w:val="24"/>
          <w:lang w:val="en-US"/>
        </w:rPr>
        <w:t xml:space="preserve"> included cardiac failure, embolism, and cerebrovascular accident combined.</w:t>
      </w:r>
    </w:p>
    <w:p w14:paraId="0A7ECC8C" w14:textId="59557958" w:rsidR="00054F55" w:rsidRDefault="00054F55">
      <w:pPr>
        <w:rPr>
          <w:sz w:val="24"/>
          <w:szCs w:val="24"/>
          <w:lang w:val="en-US"/>
        </w:rPr>
      </w:pPr>
      <w:r>
        <w:rPr>
          <w:sz w:val="24"/>
          <w:szCs w:val="24"/>
          <w:lang w:val="en-US"/>
        </w:rPr>
        <w:br w:type="page"/>
      </w:r>
    </w:p>
    <w:p w14:paraId="3F1D167C" w14:textId="77777777" w:rsidR="003B36A9" w:rsidRPr="00243CC4" w:rsidRDefault="003B36A9" w:rsidP="00A02E32">
      <w:pPr>
        <w:ind w:left="851"/>
        <w:rPr>
          <w:sz w:val="24"/>
          <w:szCs w:val="24"/>
          <w:lang w:val="en-US"/>
        </w:rPr>
      </w:pPr>
    </w:p>
    <w:p w14:paraId="3D79D9FF" w14:textId="77777777" w:rsidR="003B36A9" w:rsidRPr="00243CC4" w:rsidRDefault="003B36A9" w:rsidP="00A02E32">
      <w:pPr>
        <w:ind w:left="851"/>
        <w:rPr>
          <w:bCs/>
          <w:sz w:val="24"/>
          <w:szCs w:val="24"/>
          <w:u w:val="single"/>
          <w:lang w:val="en-US"/>
        </w:rPr>
      </w:pPr>
      <w:proofErr w:type="spellStart"/>
      <w:r w:rsidRPr="00243CC4">
        <w:rPr>
          <w:bCs/>
          <w:sz w:val="24"/>
          <w:szCs w:val="24"/>
          <w:u w:val="single"/>
          <w:lang w:val="en-US"/>
        </w:rPr>
        <w:t>Haematologic</w:t>
      </w:r>
      <w:proofErr w:type="spellEnd"/>
    </w:p>
    <w:p w14:paraId="06ACDBE4" w14:textId="31E2F4AA" w:rsidR="003B36A9" w:rsidRPr="00243CC4" w:rsidRDefault="003B36A9" w:rsidP="00A02E32">
      <w:pPr>
        <w:ind w:left="851"/>
        <w:rPr>
          <w:sz w:val="24"/>
          <w:szCs w:val="24"/>
          <w:lang w:val="en-US"/>
        </w:rPr>
      </w:pPr>
      <w:r w:rsidRPr="00243CC4">
        <w:rPr>
          <w:sz w:val="24"/>
          <w:szCs w:val="24"/>
          <w:lang w:val="en-US"/>
        </w:rPr>
        <w:t>Myelosuppression is the dose-limiting toxicity of carboplatin</w:t>
      </w:r>
      <w:r w:rsidRPr="00243CC4">
        <w:rPr>
          <w:rFonts w:eastAsia="SimSun"/>
          <w:sz w:val="24"/>
          <w:szCs w:val="24"/>
          <w:lang w:val="en-US" w:eastAsia="zh-CN"/>
        </w:rPr>
        <w:t>. In patients with normal baseline values, thrombocytopenia with platelet counts below 50,000/mm</w:t>
      </w:r>
      <w:r w:rsidRPr="00243CC4">
        <w:rPr>
          <w:rFonts w:eastAsia="SimSun"/>
          <w:sz w:val="24"/>
          <w:szCs w:val="24"/>
          <w:vertAlign w:val="superscript"/>
          <w:lang w:val="en-US" w:eastAsia="zh-CN"/>
        </w:rPr>
        <w:t>3</w:t>
      </w:r>
      <w:r w:rsidRPr="00243CC4">
        <w:rPr>
          <w:rFonts w:eastAsia="SimSun"/>
          <w:sz w:val="24"/>
          <w:szCs w:val="24"/>
          <w:lang w:val="en-US" w:eastAsia="zh-CN"/>
        </w:rPr>
        <w:t xml:space="preserve"> occurs in 25</w:t>
      </w:r>
      <w:r w:rsidR="00243CC4">
        <w:rPr>
          <w:rFonts w:eastAsia="SimSun"/>
          <w:sz w:val="24"/>
          <w:szCs w:val="24"/>
          <w:lang w:val="en-US" w:eastAsia="zh-CN"/>
        </w:rPr>
        <w:t xml:space="preserve"> %</w:t>
      </w:r>
      <w:r w:rsidRPr="00243CC4">
        <w:rPr>
          <w:rFonts w:eastAsia="SimSun"/>
          <w:sz w:val="24"/>
          <w:szCs w:val="24"/>
          <w:lang w:val="en-US" w:eastAsia="zh-CN"/>
        </w:rPr>
        <w:t xml:space="preserve"> of patients</w:t>
      </w:r>
      <w:r w:rsidRPr="00243CC4">
        <w:rPr>
          <w:sz w:val="24"/>
          <w:szCs w:val="24"/>
          <w:lang w:val="en-US"/>
        </w:rPr>
        <w:t>, neutropenia with granulocyte counts below 1,000/mm</w:t>
      </w:r>
      <w:r w:rsidRPr="00243CC4">
        <w:rPr>
          <w:sz w:val="24"/>
          <w:szCs w:val="24"/>
          <w:vertAlign w:val="superscript"/>
          <w:lang w:val="en-US"/>
        </w:rPr>
        <w:t>3</w:t>
      </w:r>
      <w:r w:rsidRPr="00243CC4">
        <w:rPr>
          <w:sz w:val="24"/>
          <w:szCs w:val="24"/>
          <w:lang w:val="en-US"/>
        </w:rPr>
        <w:t xml:space="preserve"> in 18</w:t>
      </w:r>
      <w:r w:rsidR="00243CC4">
        <w:rPr>
          <w:sz w:val="24"/>
          <w:szCs w:val="24"/>
          <w:lang w:val="en-US"/>
        </w:rPr>
        <w:t xml:space="preserve"> %</w:t>
      </w:r>
      <w:r w:rsidRPr="00243CC4">
        <w:rPr>
          <w:sz w:val="24"/>
          <w:szCs w:val="24"/>
          <w:lang w:val="en-US"/>
        </w:rPr>
        <w:t xml:space="preserve"> of patients, and leukopenia with WBC counts below 2,000/mm</w:t>
      </w:r>
      <w:r w:rsidRPr="00243CC4">
        <w:rPr>
          <w:sz w:val="24"/>
          <w:szCs w:val="24"/>
          <w:vertAlign w:val="superscript"/>
          <w:lang w:val="en-US"/>
        </w:rPr>
        <w:t>3</w:t>
      </w:r>
      <w:r w:rsidRPr="00243CC4">
        <w:rPr>
          <w:sz w:val="24"/>
          <w:szCs w:val="24"/>
          <w:lang w:val="en-US"/>
        </w:rPr>
        <w:t xml:space="preserve"> in 14</w:t>
      </w:r>
      <w:r w:rsidR="00243CC4">
        <w:rPr>
          <w:sz w:val="24"/>
          <w:szCs w:val="24"/>
          <w:lang w:val="en-US"/>
        </w:rPr>
        <w:t xml:space="preserve"> %</w:t>
      </w:r>
      <w:r w:rsidRPr="00243CC4">
        <w:rPr>
          <w:sz w:val="24"/>
          <w:szCs w:val="24"/>
          <w:lang w:val="en-US"/>
        </w:rPr>
        <w:t xml:space="preserve"> of patients. The nadir usually occurs on day 21. Myelosuppression can be worsened by combination of carboplatin with other myelosuppressive compounds or forms of treatment.</w:t>
      </w:r>
    </w:p>
    <w:p w14:paraId="307C5B8C" w14:textId="77777777" w:rsidR="003B36A9" w:rsidRPr="00243CC4" w:rsidRDefault="003B36A9" w:rsidP="00A02E32">
      <w:pPr>
        <w:ind w:left="851"/>
        <w:rPr>
          <w:sz w:val="24"/>
          <w:szCs w:val="24"/>
          <w:lang w:val="en-US"/>
        </w:rPr>
      </w:pPr>
    </w:p>
    <w:p w14:paraId="2DD0D9A9" w14:textId="73A79E22" w:rsidR="003B36A9" w:rsidRPr="00243CC4" w:rsidRDefault="003B36A9" w:rsidP="00A02E32">
      <w:pPr>
        <w:ind w:left="851"/>
        <w:rPr>
          <w:sz w:val="24"/>
          <w:szCs w:val="24"/>
          <w:lang w:val="en-US"/>
        </w:rPr>
      </w:pPr>
      <w:r w:rsidRPr="00243CC4">
        <w:rPr>
          <w:sz w:val="24"/>
          <w:szCs w:val="24"/>
          <w:lang w:val="en-US"/>
        </w:rPr>
        <w:t>Myelotoxicity is more severe in previously treated patients, in particular in patients previously treated with cisplatin and in patients with impaired kidney function. Patients with poor performance status have also experienced increased leukopenia and thrombocytopenia. These effects, although usually reversible, have resulted in infectious and hemorrhagic complications in 4</w:t>
      </w:r>
      <w:r w:rsidR="00243CC4">
        <w:rPr>
          <w:sz w:val="24"/>
          <w:szCs w:val="24"/>
          <w:lang w:val="en-US"/>
        </w:rPr>
        <w:t xml:space="preserve"> %</w:t>
      </w:r>
      <w:r w:rsidRPr="00243CC4">
        <w:rPr>
          <w:sz w:val="24"/>
          <w:szCs w:val="24"/>
          <w:lang w:val="en-US"/>
        </w:rPr>
        <w:t xml:space="preserve"> and 5</w:t>
      </w:r>
      <w:r w:rsidR="00243CC4">
        <w:rPr>
          <w:sz w:val="24"/>
          <w:szCs w:val="24"/>
          <w:lang w:val="en-US"/>
        </w:rPr>
        <w:t xml:space="preserve"> %</w:t>
      </w:r>
      <w:r w:rsidRPr="00243CC4">
        <w:rPr>
          <w:sz w:val="24"/>
          <w:szCs w:val="24"/>
          <w:lang w:val="en-US"/>
        </w:rPr>
        <w:t xml:space="preserve"> of patients given carboplatin, respectively. These complications have led to death in less than 1</w:t>
      </w:r>
      <w:r w:rsidR="00243CC4">
        <w:rPr>
          <w:sz w:val="24"/>
          <w:szCs w:val="24"/>
          <w:lang w:val="en-US"/>
        </w:rPr>
        <w:t xml:space="preserve"> %</w:t>
      </w:r>
      <w:r w:rsidRPr="00243CC4">
        <w:rPr>
          <w:sz w:val="24"/>
          <w:szCs w:val="24"/>
          <w:lang w:val="en-US"/>
        </w:rPr>
        <w:t xml:space="preserve"> of patients. </w:t>
      </w:r>
    </w:p>
    <w:p w14:paraId="403AED07" w14:textId="77777777" w:rsidR="003B36A9" w:rsidRPr="00243CC4" w:rsidRDefault="003B36A9" w:rsidP="00A02E32">
      <w:pPr>
        <w:ind w:left="851"/>
        <w:rPr>
          <w:sz w:val="24"/>
          <w:szCs w:val="24"/>
          <w:lang w:val="en-US"/>
        </w:rPr>
      </w:pPr>
    </w:p>
    <w:p w14:paraId="2FA40E12" w14:textId="0C2D714F" w:rsidR="003B36A9" w:rsidRPr="00243CC4" w:rsidRDefault="003B36A9" w:rsidP="00A02E32">
      <w:pPr>
        <w:ind w:left="851"/>
        <w:rPr>
          <w:sz w:val="24"/>
          <w:szCs w:val="24"/>
          <w:lang w:val="en-US"/>
        </w:rPr>
      </w:pPr>
      <w:proofErr w:type="spellStart"/>
      <w:r w:rsidRPr="00243CC4">
        <w:rPr>
          <w:sz w:val="24"/>
          <w:szCs w:val="24"/>
          <w:lang w:val="en-US"/>
        </w:rPr>
        <w:t>Anaemia</w:t>
      </w:r>
      <w:proofErr w:type="spellEnd"/>
      <w:r w:rsidRPr="00243CC4">
        <w:rPr>
          <w:sz w:val="24"/>
          <w:szCs w:val="24"/>
          <w:lang w:val="en-US"/>
        </w:rPr>
        <w:t xml:space="preserve"> with </w:t>
      </w:r>
      <w:proofErr w:type="spellStart"/>
      <w:r w:rsidRPr="00243CC4">
        <w:rPr>
          <w:sz w:val="24"/>
          <w:szCs w:val="24"/>
          <w:lang w:val="en-US"/>
        </w:rPr>
        <w:t>haemoglobin</w:t>
      </w:r>
      <w:proofErr w:type="spellEnd"/>
      <w:r w:rsidRPr="00243CC4">
        <w:rPr>
          <w:sz w:val="24"/>
          <w:szCs w:val="24"/>
          <w:lang w:val="en-US"/>
        </w:rPr>
        <w:t xml:space="preserve"> values below 8 g/dL has been observed in 15</w:t>
      </w:r>
      <w:r w:rsidR="00243CC4">
        <w:rPr>
          <w:sz w:val="24"/>
          <w:szCs w:val="24"/>
          <w:lang w:val="en-US"/>
        </w:rPr>
        <w:t xml:space="preserve"> %</w:t>
      </w:r>
      <w:r w:rsidRPr="00243CC4">
        <w:rPr>
          <w:sz w:val="24"/>
          <w:szCs w:val="24"/>
          <w:lang w:val="en-US"/>
        </w:rPr>
        <w:t xml:space="preserve"> of patients with normal baseline values. The incidence of </w:t>
      </w:r>
      <w:proofErr w:type="spellStart"/>
      <w:r w:rsidRPr="00243CC4">
        <w:rPr>
          <w:sz w:val="24"/>
          <w:szCs w:val="24"/>
          <w:lang w:val="en-US"/>
        </w:rPr>
        <w:t>anaemia</w:t>
      </w:r>
      <w:proofErr w:type="spellEnd"/>
      <w:r w:rsidRPr="00243CC4">
        <w:rPr>
          <w:sz w:val="24"/>
          <w:szCs w:val="24"/>
          <w:lang w:val="en-US"/>
        </w:rPr>
        <w:t xml:space="preserve"> is increased with increasing exposure to carboplatin.</w:t>
      </w:r>
    </w:p>
    <w:p w14:paraId="43BC8AED" w14:textId="77777777" w:rsidR="003B36A9" w:rsidRPr="00243CC4" w:rsidRDefault="003B36A9" w:rsidP="00A02E32">
      <w:pPr>
        <w:ind w:left="851"/>
        <w:rPr>
          <w:sz w:val="24"/>
          <w:szCs w:val="24"/>
          <w:lang w:val="en-US"/>
        </w:rPr>
      </w:pPr>
    </w:p>
    <w:p w14:paraId="332A7D64" w14:textId="77777777" w:rsidR="003B36A9" w:rsidRPr="00243CC4" w:rsidRDefault="003B36A9" w:rsidP="00A02E32">
      <w:pPr>
        <w:ind w:left="851"/>
        <w:rPr>
          <w:sz w:val="24"/>
          <w:szCs w:val="24"/>
          <w:u w:val="single"/>
          <w:lang w:val="en-US"/>
        </w:rPr>
      </w:pPr>
      <w:r w:rsidRPr="00243CC4">
        <w:rPr>
          <w:sz w:val="24"/>
          <w:szCs w:val="24"/>
          <w:u w:val="single"/>
          <w:lang w:val="en-US"/>
        </w:rPr>
        <w:t>Gastrointestinal</w:t>
      </w:r>
    </w:p>
    <w:p w14:paraId="00193043" w14:textId="2BA99EC8" w:rsidR="003B36A9" w:rsidRPr="00243CC4" w:rsidRDefault="003B36A9" w:rsidP="00A02E32">
      <w:pPr>
        <w:ind w:left="851"/>
        <w:rPr>
          <w:sz w:val="24"/>
          <w:szCs w:val="24"/>
          <w:lang w:val="en-US"/>
        </w:rPr>
      </w:pPr>
      <w:r w:rsidRPr="00243CC4">
        <w:rPr>
          <w:sz w:val="24"/>
          <w:szCs w:val="24"/>
          <w:lang w:val="en-US"/>
        </w:rPr>
        <w:t>Vomiting occurs in 65</w:t>
      </w:r>
      <w:r w:rsidR="00243CC4">
        <w:rPr>
          <w:sz w:val="24"/>
          <w:szCs w:val="24"/>
          <w:lang w:val="en-US"/>
        </w:rPr>
        <w:t xml:space="preserve"> %</w:t>
      </w:r>
      <w:r w:rsidRPr="00243CC4">
        <w:rPr>
          <w:sz w:val="24"/>
          <w:szCs w:val="24"/>
          <w:lang w:val="en-US"/>
        </w:rPr>
        <w:t xml:space="preserve"> of patients, in one-third of whom it is severe. Nausea occurs in an additional 15</w:t>
      </w:r>
      <w:r w:rsidR="00243CC4">
        <w:rPr>
          <w:sz w:val="24"/>
          <w:szCs w:val="24"/>
          <w:lang w:val="en-US"/>
        </w:rPr>
        <w:t xml:space="preserve"> %</w:t>
      </w:r>
      <w:r w:rsidRPr="00243CC4">
        <w:rPr>
          <w:sz w:val="24"/>
          <w:szCs w:val="24"/>
          <w:lang w:val="en-US"/>
        </w:rPr>
        <w:t>. Previously treated patients (in particular patients previously treated with cisplatin) appear to be more prone to vomiting. These effects usually disappear within 24 hours after treatment and are generally responsive to or prevented by antiemetic medication. Vomiting is more likely when carboplatin is given in combination with other emetogenic compounds. The other gastro-intestinal complaints corresponded to pain in 8</w:t>
      </w:r>
      <w:r w:rsidR="00243CC4">
        <w:rPr>
          <w:sz w:val="24"/>
          <w:szCs w:val="24"/>
          <w:lang w:val="en-US"/>
        </w:rPr>
        <w:t> %</w:t>
      </w:r>
      <w:r w:rsidRPr="00243CC4">
        <w:rPr>
          <w:sz w:val="24"/>
          <w:szCs w:val="24"/>
          <w:lang w:val="en-US"/>
        </w:rPr>
        <w:t xml:space="preserve"> of patients, </w:t>
      </w:r>
      <w:proofErr w:type="spellStart"/>
      <w:r w:rsidRPr="00243CC4">
        <w:rPr>
          <w:sz w:val="24"/>
          <w:szCs w:val="24"/>
          <w:lang w:val="en-US"/>
        </w:rPr>
        <w:t>diarrhoea</w:t>
      </w:r>
      <w:proofErr w:type="spellEnd"/>
      <w:r w:rsidRPr="00243CC4">
        <w:rPr>
          <w:sz w:val="24"/>
          <w:szCs w:val="24"/>
          <w:lang w:val="en-US"/>
        </w:rPr>
        <w:t>, and constipation in 6</w:t>
      </w:r>
      <w:r w:rsidR="00243CC4">
        <w:rPr>
          <w:sz w:val="24"/>
          <w:szCs w:val="24"/>
          <w:lang w:val="en-US"/>
        </w:rPr>
        <w:t xml:space="preserve"> %</w:t>
      </w:r>
      <w:r w:rsidRPr="00243CC4">
        <w:rPr>
          <w:sz w:val="24"/>
          <w:szCs w:val="24"/>
          <w:lang w:val="en-US"/>
        </w:rPr>
        <w:t xml:space="preserve"> of patients.</w:t>
      </w:r>
    </w:p>
    <w:p w14:paraId="615D2007" w14:textId="77777777" w:rsidR="003B36A9" w:rsidRPr="00243CC4" w:rsidRDefault="003B36A9" w:rsidP="00A02E32">
      <w:pPr>
        <w:ind w:left="851"/>
        <w:rPr>
          <w:bCs/>
          <w:sz w:val="24"/>
          <w:szCs w:val="24"/>
          <w:lang w:val="en-US"/>
        </w:rPr>
      </w:pPr>
    </w:p>
    <w:p w14:paraId="4CA29465" w14:textId="77777777" w:rsidR="003B36A9" w:rsidRPr="00243CC4" w:rsidRDefault="003B36A9" w:rsidP="00A02E32">
      <w:pPr>
        <w:ind w:left="851"/>
        <w:rPr>
          <w:bCs/>
          <w:sz w:val="24"/>
          <w:szCs w:val="24"/>
          <w:u w:val="single"/>
          <w:lang w:val="en-US"/>
        </w:rPr>
      </w:pPr>
      <w:r w:rsidRPr="00243CC4">
        <w:rPr>
          <w:bCs/>
          <w:sz w:val="24"/>
          <w:szCs w:val="24"/>
          <w:u w:val="single"/>
          <w:lang w:val="en-US"/>
        </w:rPr>
        <w:t>Neurologic</w:t>
      </w:r>
    </w:p>
    <w:p w14:paraId="1423C4BB" w14:textId="481DEE21" w:rsidR="003B36A9" w:rsidRPr="00243CC4" w:rsidRDefault="003B36A9" w:rsidP="00A02E32">
      <w:pPr>
        <w:ind w:left="851"/>
        <w:rPr>
          <w:sz w:val="24"/>
          <w:szCs w:val="24"/>
          <w:lang w:val="en-US"/>
        </w:rPr>
      </w:pPr>
      <w:r w:rsidRPr="00243CC4">
        <w:rPr>
          <w:sz w:val="24"/>
          <w:szCs w:val="24"/>
          <w:lang w:val="en-US"/>
        </w:rPr>
        <w:t xml:space="preserve">Peripheral neuropathy (mainly </w:t>
      </w:r>
      <w:proofErr w:type="spellStart"/>
      <w:r w:rsidRPr="00243CC4">
        <w:rPr>
          <w:sz w:val="24"/>
          <w:szCs w:val="24"/>
          <w:lang w:val="en-US"/>
        </w:rPr>
        <w:t>paresthesias</w:t>
      </w:r>
      <w:proofErr w:type="spellEnd"/>
      <w:r w:rsidRPr="00243CC4">
        <w:rPr>
          <w:sz w:val="24"/>
          <w:szCs w:val="24"/>
          <w:lang w:val="en-US"/>
        </w:rPr>
        <w:t xml:space="preserve"> and decrease of osteotendinous reflexes) has occurred in 4</w:t>
      </w:r>
      <w:r w:rsidR="00243CC4">
        <w:rPr>
          <w:sz w:val="24"/>
          <w:szCs w:val="24"/>
          <w:lang w:val="en-US"/>
        </w:rPr>
        <w:t xml:space="preserve"> %</w:t>
      </w:r>
      <w:r w:rsidRPr="00243CC4">
        <w:rPr>
          <w:sz w:val="24"/>
          <w:szCs w:val="24"/>
          <w:lang w:val="en-US"/>
        </w:rPr>
        <w:t xml:space="preserve"> of patients administered carboplatin. Patients older than 65 years and patients previously treated with cisplatin, as well as those receiving prolonged treatment with carboplatin, appear to be at increased risk. Clinically significant sensory disturbances (</w:t>
      </w:r>
      <w:proofErr w:type="spellStart"/>
      <w:r w:rsidRPr="00243CC4">
        <w:rPr>
          <w:sz w:val="24"/>
          <w:szCs w:val="24"/>
          <w:lang w:val="en-US"/>
        </w:rPr>
        <w:t>ie</w:t>
      </w:r>
      <w:proofErr w:type="spellEnd"/>
      <w:r w:rsidRPr="00243CC4">
        <w:rPr>
          <w:sz w:val="24"/>
          <w:szCs w:val="24"/>
          <w:lang w:val="en-US"/>
        </w:rPr>
        <w:t>, visual disturbances and taste modifications) have occurred in 1</w:t>
      </w:r>
      <w:r w:rsidR="00243CC4">
        <w:rPr>
          <w:sz w:val="24"/>
          <w:szCs w:val="24"/>
          <w:lang w:val="en-US"/>
        </w:rPr>
        <w:t xml:space="preserve"> %</w:t>
      </w:r>
      <w:r w:rsidRPr="00243CC4">
        <w:rPr>
          <w:sz w:val="24"/>
          <w:szCs w:val="24"/>
          <w:lang w:val="en-US"/>
        </w:rPr>
        <w:t xml:space="preserve"> of patients. The overall frequency of neurologic side effects seems to be increased in patients receiving carboplatin in combination. This may also be related to longer cumulative exposure.</w:t>
      </w:r>
    </w:p>
    <w:p w14:paraId="3B3EEBD6" w14:textId="77777777" w:rsidR="003B36A9" w:rsidRPr="00243CC4" w:rsidRDefault="003B36A9" w:rsidP="00A02E32">
      <w:pPr>
        <w:ind w:left="851"/>
        <w:rPr>
          <w:bCs/>
          <w:sz w:val="24"/>
          <w:szCs w:val="24"/>
          <w:lang w:val="en-US"/>
        </w:rPr>
      </w:pPr>
    </w:p>
    <w:p w14:paraId="77EA4987" w14:textId="77777777" w:rsidR="003B36A9" w:rsidRPr="00243CC4" w:rsidRDefault="003B36A9" w:rsidP="00A02E32">
      <w:pPr>
        <w:ind w:left="851"/>
        <w:rPr>
          <w:bCs/>
          <w:sz w:val="24"/>
          <w:szCs w:val="24"/>
          <w:u w:val="single"/>
          <w:lang w:val="en-US"/>
        </w:rPr>
      </w:pPr>
      <w:r w:rsidRPr="00243CC4">
        <w:rPr>
          <w:bCs/>
          <w:sz w:val="24"/>
          <w:szCs w:val="24"/>
          <w:u w:val="single"/>
          <w:lang w:val="en-US"/>
        </w:rPr>
        <w:t>Ototoxicity</w:t>
      </w:r>
    </w:p>
    <w:p w14:paraId="7213C99C" w14:textId="609C00EF" w:rsidR="003B36A9" w:rsidRPr="00243CC4" w:rsidRDefault="003B36A9" w:rsidP="00A02E32">
      <w:pPr>
        <w:ind w:left="851"/>
        <w:rPr>
          <w:sz w:val="24"/>
          <w:szCs w:val="24"/>
          <w:lang w:val="en-US"/>
        </w:rPr>
      </w:pPr>
      <w:r w:rsidRPr="00243CC4">
        <w:rPr>
          <w:sz w:val="24"/>
          <w:szCs w:val="24"/>
          <w:lang w:val="en-US"/>
        </w:rPr>
        <w:t>Auditory defects out of the speech range with impairments in the high-frequency range (4,000</w:t>
      </w:r>
      <w:r w:rsidRPr="00243CC4">
        <w:rPr>
          <w:sz w:val="24"/>
          <w:szCs w:val="24"/>
          <w:lang w:val="en-US"/>
        </w:rPr>
        <w:noBreakHyphen/>
        <w:t>8,000 Hz) were found in serial audiometric investigations with a frequency of 15</w:t>
      </w:r>
      <w:r w:rsidR="00243CC4">
        <w:rPr>
          <w:sz w:val="24"/>
          <w:szCs w:val="24"/>
          <w:lang w:val="en-US"/>
        </w:rPr>
        <w:t xml:space="preserve"> %</w:t>
      </w:r>
      <w:r w:rsidRPr="00243CC4">
        <w:rPr>
          <w:sz w:val="24"/>
          <w:szCs w:val="24"/>
          <w:lang w:val="en-US"/>
        </w:rPr>
        <w:t xml:space="preserve">. Very rare cases of </w:t>
      </w:r>
      <w:proofErr w:type="spellStart"/>
      <w:r w:rsidRPr="00243CC4">
        <w:rPr>
          <w:sz w:val="24"/>
          <w:szCs w:val="24"/>
          <w:lang w:val="en-US"/>
        </w:rPr>
        <w:t>hypoacusia</w:t>
      </w:r>
      <w:proofErr w:type="spellEnd"/>
      <w:r w:rsidRPr="00243CC4">
        <w:rPr>
          <w:sz w:val="24"/>
          <w:szCs w:val="24"/>
          <w:lang w:val="en-US"/>
        </w:rPr>
        <w:t xml:space="preserve"> have been reported. In patients with a hearing organ </w:t>
      </w:r>
      <w:proofErr w:type="spellStart"/>
      <w:r w:rsidRPr="00243CC4">
        <w:rPr>
          <w:sz w:val="24"/>
          <w:szCs w:val="24"/>
          <w:lang w:val="en-US"/>
        </w:rPr>
        <w:t>predamaged</w:t>
      </w:r>
      <w:proofErr w:type="spellEnd"/>
      <w:r w:rsidRPr="00243CC4">
        <w:rPr>
          <w:sz w:val="24"/>
          <w:szCs w:val="24"/>
          <w:lang w:val="en-US"/>
        </w:rPr>
        <w:t xml:space="preserve"> due to cisplatin, a further exacerbation in the hearing function sometimes occurs during treatment with carboplatin.</w:t>
      </w:r>
    </w:p>
    <w:p w14:paraId="7C2A5264" w14:textId="77777777" w:rsidR="003B36A9" w:rsidRPr="00243CC4" w:rsidRDefault="003B36A9" w:rsidP="00A02E32">
      <w:pPr>
        <w:ind w:left="851"/>
        <w:rPr>
          <w:bCs/>
          <w:sz w:val="24"/>
          <w:szCs w:val="24"/>
          <w:lang w:val="en-US"/>
        </w:rPr>
      </w:pPr>
    </w:p>
    <w:p w14:paraId="7EA7B5BE" w14:textId="77777777" w:rsidR="003B36A9" w:rsidRPr="00243CC4" w:rsidRDefault="003B36A9" w:rsidP="00A02E32">
      <w:pPr>
        <w:ind w:left="851"/>
        <w:rPr>
          <w:bCs/>
          <w:sz w:val="24"/>
          <w:szCs w:val="24"/>
          <w:u w:val="single"/>
          <w:lang w:val="en-US"/>
        </w:rPr>
      </w:pPr>
      <w:r w:rsidRPr="00243CC4">
        <w:rPr>
          <w:bCs/>
          <w:sz w:val="24"/>
          <w:szCs w:val="24"/>
          <w:u w:val="single"/>
          <w:lang w:val="en-US"/>
        </w:rPr>
        <w:t>Renal</w:t>
      </w:r>
    </w:p>
    <w:p w14:paraId="02F43E20" w14:textId="6BF23A11" w:rsidR="003B36A9" w:rsidRPr="00243CC4" w:rsidRDefault="003B36A9" w:rsidP="00A02E32">
      <w:pPr>
        <w:ind w:left="851"/>
        <w:rPr>
          <w:sz w:val="24"/>
          <w:szCs w:val="24"/>
          <w:lang w:val="en-GB"/>
        </w:rPr>
      </w:pPr>
      <w:r w:rsidRPr="00243CC4">
        <w:rPr>
          <w:sz w:val="24"/>
          <w:szCs w:val="24"/>
          <w:lang w:val="en-US"/>
        </w:rPr>
        <w:t>When given in usual doses, development of abnormal renal function has been uncommon, despite the fact that carboplatin has been administered without high-volume fluid hydration and/or forced diuresis. Elevation of serum creatinine occurs in 6</w:t>
      </w:r>
      <w:r w:rsidR="00243CC4">
        <w:rPr>
          <w:sz w:val="24"/>
          <w:szCs w:val="24"/>
          <w:lang w:val="en-US"/>
        </w:rPr>
        <w:t xml:space="preserve"> %</w:t>
      </w:r>
      <w:r w:rsidRPr="00243CC4">
        <w:rPr>
          <w:sz w:val="24"/>
          <w:szCs w:val="24"/>
          <w:lang w:val="en-US"/>
        </w:rPr>
        <w:t xml:space="preserve"> of patients, elevation of blood urea nitrogen in 14</w:t>
      </w:r>
      <w:r w:rsidR="00243CC4">
        <w:rPr>
          <w:sz w:val="24"/>
          <w:szCs w:val="24"/>
          <w:lang w:val="en-US"/>
        </w:rPr>
        <w:t xml:space="preserve"> %</w:t>
      </w:r>
      <w:r w:rsidRPr="00243CC4">
        <w:rPr>
          <w:sz w:val="24"/>
          <w:szCs w:val="24"/>
          <w:lang w:val="en-US"/>
        </w:rPr>
        <w:t>, and of uric acid in 5</w:t>
      </w:r>
      <w:r w:rsidR="00243CC4">
        <w:rPr>
          <w:sz w:val="24"/>
          <w:szCs w:val="24"/>
          <w:lang w:val="en-US"/>
        </w:rPr>
        <w:t xml:space="preserve"> %</w:t>
      </w:r>
      <w:r w:rsidRPr="00243CC4">
        <w:rPr>
          <w:sz w:val="24"/>
          <w:szCs w:val="24"/>
          <w:lang w:val="en-US"/>
        </w:rPr>
        <w:t xml:space="preserve"> of patients. These are usually mild and are reversible in about one-half the patients. Creatinine clearance has proven to be the most sensitive renal function measure in patients receiving carboplatin. Twenty-seven percent (27</w:t>
      </w:r>
      <w:r w:rsidR="00243CC4">
        <w:rPr>
          <w:sz w:val="24"/>
          <w:szCs w:val="24"/>
          <w:lang w:val="en-US"/>
        </w:rPr>
        <w:t xml:space="preserve"> %</w:t>
      </w:r>
      <w:r w:rsidRPr="00243CC4">
        <w:rPr>
          <w:sz w:val="24"/>
          <w:szCs w:val="24"/>
          <w:lang w:val="en-US"/>
        </w:rPr>
        <w:t>) of patients who have a baseline value of 60 mL/min or greater, experience a reduction in creatinine clearance during carboplatin therapy.</w:t>
      </w:r>
      <w:r w:rsidR="00243CC4">
        <w:rPr>
          <w:sz w:val="24"/>
          <w:szCs w:val="24"/>
          <w:lang w:val="en-US"/>
        </w:rPr>
        <w:t xml:space="preserve"> </w:t>
      </w:r>
      <w:r w:rsidRPr="00243CC4">
        <w:rPr>
          <w:sz w:val="24"/>
          <w:szCs w:val="24"/>
          <w:lang w:val="en-US"/>
        </w:rPr>
        <w:t xml:space="preserve">The incidence and severity of nephrotoxicity may increase in patients who have impaired kidney function before carboplatin treatment. It is not clear whether an appropriate hydration </w:t>
      </w:r>
      <w:proofErr w:type="spellStart"/>
      <w:r w:rsidRPr="00243CC4">
        <w:rPr>
          <w:sz w:val="24"/>
          <w:szCs w:val="24"/>
          <w:lang w:val="en-US"/>
        </w:rPr>
        <w:t>programme</w:t>
      </w:r>
      <w:proofErr w:type="spellEnd"/>
      <w:r w:rsidRPr="00243CC4">
        <w:rPr>
          <w:sz w:val="24"/>
          <w:szCs w:val="24"/>
          <w:lang w:val="en-US"/>
        </w:rPr>
        <w:t xml:space="preserve"> might overcome such an effect, but dosage reduction or discontinuation of therapy is required in the presence of moderate alteration of renal function (creatinine clearance 41</w:t>
      </w:r>
      <w:r w:rsidRPr="00243CC4">
        <w:rPr>
          <w:sz w:val="24"/>
          <w:szCs w:val="24"/>
          <w:lang w:val="en-US"/>
        </w:rPr>
        <w:noBreakHyphen/>
        <w:t>59 ml/min) or severe renal impairment (creatinine clearance 21</w:t>
      </w:r>
      <w:r w:rsidRPr="00243CC4">
        <w:rPr>
          <w:sz w:val="24"/>
          <w:szCs w:val="24"/>
          <w:lang w:val="en-US"/>
        </w:rPr>
        <w:noBreakHyphen/>
        <w:t xml:space="preserve">40 ml/min). Carboplatin is contra-indicated in patients with a creatinine clearance at or below 20 ml/min. </w:t>
      </w:r>
    </w:p>
    <w:p w14:paraId="49FFA842" w14:textId="77777777" w:rsidR="003B36A9" w:rsidRPr="00243CC4" w:rsidRDefault="003B36A9" w:rsidP="00A02E32">
      <w:pPr>
        <w:ind w:left="851"/>
        <w:rPr>
          <w:sz w:val="24"/>
          <w:szCs w:val="24"/>
          <w:lang w:val="en-US"/>
        </w:rPr>
      </w:pPr>
    </w:p>
    <w:p w14:paraId="70297899" w14:textId="77777777" w:rsidR="003B36A9" w:rsidRPr="00243CC4" w:rsidRDefault="003B36A9" w:rsidP="00A02E32">
      <w:pPr>
        <w:ind w:left="851"/>
        <w:rPr>
          <w:bCs/>
          <w:sz w:val="24"/>
          <w:szCs w:val="24"/>
          <w:u w:val="single"/>
          <w:lang w:val="en-US"/>
        </w:rPr>
      </w:pPr>
      <w:r w:rsidRPr="00243CC4">
        <w:rPr>
          <w:bCs/>
          <w:sz w:val="24"/>
          <w:szCs w:val="24"/>
          <w:u w:val="single"/>
          <w:lang w:val="en-US"/>
        </w:rPr>
        <w:t>Electrolytes</w:t>
      </w:r>
    </w:p>
    <w:p w14:paraId="02047A40" w14:textId="55BC1E31" w:rsidR="003B36A9" w:rsidRPr="00243CC4" w:rsidRDefault="003B36A9" w:rsidP="00A02E32">
      <w:pPr>
        <w:ind w:left="851"/>
        <w:rPr>
          <w:sz w:val="24"/>
          <w:szCs w:val="24"/>
          <w:lang w:val="en-US"/>
        </w:rPr>
      </w:pPr>
      <w:r w:rsidRPr="00243CC4">
        <w:rPr>
          <w:sz w:val="24"/>
          <w:szCs w:val="24"/>
          <w:lang w:val="en-US"/>
        </w:rPr>
        <w:t>Decreases in serum sodium, potassium, calcium, and magnesium occur in 29</w:t>
      </w:r>
      <w:r w:rsidR="00243CC4">
        <w:rPr>
          <w:sz w:val="24"/>
          <w:szCs w:val="24"/>
          <w:lang w:val="en-US"/>
        </w:rPr>
        <w:t xml:space="preserve"> %</w:t>
      </w:r>
      <w:r w:rsidRPr="00243CC4">
        <w:rPr>
          <w:sz w:val="24"/>
          <w:szCs w:val="24"/>
          <w:lang w:val="en-US"/>
        </w:rPr>
        <w:t>, 20</w:t>
      </w:r>
      <w:r w:rsidR="00243CC4">
        <w:rPr>
          <w:sz w:val="24"/>
          <w:szCs w:val="24"/>
          <w:lang w:val="en-US"/>
        </w:rPr>
        <w:t xml:space="preserve"> %</w:t>
      </w:r>
      <w:r w:rsidRPr="00243CC4">
        <w:rPr>
          <w:sz w:val="24"/>
          <w:szCs w:val="24"/>
          <w:lang w:val="en-US"/>
        </w:rPr>
        <w:t>, 22</w:t>
      </w:r>
      <w:r w:rsidR="00243CC4">
        <w:rPr>
          <w:sz w:val="24"/>
          <w:szCs w:val="24"/>
          <w:lang w:val="en-US"/>
        </w:rPr>
        <w:t> %</w:t>
      </w:r>
      <w:r w:rsidRPr="00243CC4">
        <w:rPr>
          <w:sz w:val="24"/>
          <w:szCs w:val="24"/>
          <w:lang w:val="en-US"/>
        </w:rPr>
        <w:t>, and 29</w:t>
      </w:r>
      <w:r w:rsidR="00243CC4">
        <w:rPr>
          <w:sz w:val="24"/>
          <w:szCs w:val="24"/>
          <w:lang w:val="en-US"/>
        </w:rPr>
        <w:t xml:space="preserve"> %</w:t>
      </w:r>
      <w:r w:rsidRPr="00243CC4">
        <w:rPr>
          <w:sz w:val="24"/>
          <w:szCs w:val="24"/>
          <w:lang w:val="en-US"/>
        </w:rPr>
        <w:t xml:space="preserve"> of patients, respectively. In particular, cases of early </w:t>
      </w:r>
      <w:proofErr w:type="spellStart"/>
      <w:r w:rsidRPr="00243CC4">
        <w:rPr>
          <w:sz w:val="24"/>
          <w:szCs w:val="24"/>
          <w:lang w:val="en-US"/>
        </w:rPr>
        <w:t>hyponatraemia</w:t>
      </w:r>
      <w:proofErr w:type="spellEnd"/>
      <w:r w:rsidRPr="00243CC4">
        <w:rPr>
          <w:sz w:val="24"/>
          <w:szCs w:val="24"/>
          <w:lang w:val="en-US"/>
        </w:rPr>
        <w:t xml:space="preserve"> have been reported. The electrolyte losses are minor and mostly take a course without any clinical symptoms.</w:t>
      </w:r>
    </w:p>
    <w:p w14:paraId="00D295B0" w14:textId="77777777" w:rsidR="003B36A9" w:rsidRPr="00243CC4" w:rsidRDefault="003B36A9" w:rsidP="00A02E32">
      <w:pPr>
        <w:ind w:left="851"/>
        <w:rPr>
          <w:bCs/>
          <w:sz w:val="24"/>
          <w:szCs w:val="24"/>
          <w:lang w:val="en-US"/>
        </w:rPr>
      </w:pPr>
    </w:p>
    <w:p w14:paraId="29C52967" w14:textId="77777777" w:rsidR="003B36A9" w:rsidRPr="00243CC4" w:rsidRDefault="003B36A9" w:rsidP="00A02E32">
      <w:pPr>
        <w:ind w:left="851"/>
        <w:rPr>
          <w:bCs/>
          <w:sz w:val="24"/>
          <w:szCs w:val="24"/>
          <w:u w:val="single"/>
          <w:lang w:val="en-US"/>
        </w:rPr>
      </w:pPr>
      <w:r w:rsidRPr="00243CC4">
        <w:rPr>
          <w:bCs/>
          <w:sz w:val="24"/>
          <w:szCs w:val="24"/>
          <w:u w:val="single"/>
          <w:lang w:val="en-US"/>
        </w:rPr>
        <w:t>Hepatic</w:t>
      </w:r>
    </w:p>
    <w:p w14:paraId="0BD22231" w14:textId="3440A4C4" w:rsidR="003B36A9" w:rsidRPr="00243CC4" w:rsidRDefault="003B36A9" w:rsidP="00A02E32">
      <w:pPr>
        <w:ind w:left="851"/>
        <w:rPr>
          <w:sz w:val="24"/>
          <w:szCs w:val="24"/>
          <w:lang w:val="en-US"/>
        </w:rPr>
      </w:pPr>
      <w:r w:rsidRPr="00243CC4">
        <w:rPr>
          <w:sz w:val="24"/>
          <w:szCs w:val="24"/>
          <w:lang w:val="en-US"/>
        </w:rPr>
        <w:t>Modification of liver function in patients with normal baseline values was observed, including elevation of total bilirubin in 5</w:t>
      </w:r>
      <w:r w:rsidR="00243CC4">
        <w:rPr>
          <w:sz w:val="24"/>
          <w:szCs w:val="24"/>
          <w:lang w:val="en-US"/>
        </w:rPr>
        <w:t xml:space="preserve"> %</w:t>
      </w:r>
      <w:r w:rsidRPr="00243CC4">
        <w:rPr>
          <w:sz w:val="24"/>
          <w:szCs w:val="24"/>
          <w:lang w:val="en-US"/>
        </w:rPr>
        <w:t>, SGOT in 15</w:t>
      </w:r>
      <w:r w:rsidR="00243CC4">
        <w:rPr>
          <w:sz w:val="24"/>
          <w:szCs w:val="24"/>
          <w:lang w:val="en-US"/>
        </w:rPr>
        <w:t xml:space="preserve"> %</w:t>
      </w:r>
      <w:r w:rsidRPr="00243CC4">
        <w:rPr>
          <w:sz w:val="24"/>
          <w:szCs w:val="24"/>
          <w:lang w:val="en-US"/>
        </w:rPr>
        <w:t>, and alkaline phosphatase in 24</w:t>
      </w:r>
      <w:r w:rsidR="00243CC4">
        <w:rPr>
          <w:sz w:val="24"/>
          <w:szCs w:val="24"/>
          <w:lang w:val="en-US"/>
        </w:rPr>
        <w:t> %</w:t>
      </w:r>
      <w:r w:rsidRPr="00243CC4">
        <w:rPr>
          <w:sz w:val="24"/>
          <w:szCs w:val="24"/>
          <w:lang w:val="en-US"/>
        </w:rPr>
        <w:t xml:space="preserve"> of patients. These modifications were generally mild and reversible in about one-half the patients. In a limited series of patients receiving very high dosages of carboplatin and autologous bone marrow transplantation, severe elevation of liver function tests has occurred. Cases of an acute, fulminant liver cell necrosis occurred after high-dosed administration of carboplatin.</w:t>
      </w:r>
    </w:p>
    <w:p w14:paraId="177666F7" w14:textId="77777777" w:rsidR="003B36A9" w:rsidRPr="00243CC4" w:rsidRDefault="003B36A9" w:rsidP="00A02E32">
      <w:pPr>
        <w:ind w:left="851"/>
        <w:rPr>
          <w:sz w:val="24"/>
          <w:szCs w:val="24"/>
          <w:lang w:val="en-US"/>
        </w:rPr>
      </w:pPr>
    </w:p>
    <w:p w14:paraId="3458D38E" w14:textId="77777777" w:rsidR="003B36A9" w:rsidRPr="00243CC4" w:rsidRDefault="003B36A9" w:rsidP="00A02E32">
      <w:pPr>
        <w:ind w:left="851"/>
        <w:rPr>
          <w:bCs/>
          <w:sz w:val="24"/>
          <w:szCs w:val="24"/>
          <w:u w:val="single"/>
          <w:lang w:val="en-US"/>
        </w:rPr>
      </w:pPr>
      <w:r w:rsidRPr="00243CC4">
        <w:rPr>
          <w:bCs/>
          <w:sz w:val="24"/>
          <w:szCs w:val="24"/>
          <w:u w:val="single"/>
          <w:lang w:val="en-US"/>
        </w:rPr>
        <w:t>Allergic reactions</w:t>
      </w:r>
    </w:p>
    <w:p w14:paraId="4EB8CB29" w14:textId="77777777" w:rsidR="003B36A9" w:rsidRPr="00243CC4" w:rsidRDefault="003B36A9" w:rsidP="00A02E32">
      <w:pPr>
        <w:ind w:left="851"/>
        <w:rPr>
          <w:sz w:val="24"/>
          <w:szCs w:val="24"/>
          <w:lang w:val="en-US"/>
        </w:rPr>
      </w:pPr>
      <w:r w:rsidRPr="00243CC4">
        <w:rPr>
          <w:i/>
          <w:sz w:val="24"/>
          <w:szCs w:val="24"/>
          <w:lang w:val="en-US"/>
        </w:rPr>
        <w:t xml:space="preserve">Anaphylactic-type reactions, sometimes fatal, may occur in the minutes following injection of the product: </w:t>
      </w:r>
      <w:r w:rsidRPr="00243CC4">
        <w:rPr>
          <w:sz w:val="24"/>
          <w:szCs w:val="24"/>
          <w:lang w:val="en-US"/>
        </w:rPr>
        <w:t xml:space="preserve">facial </w:t>
      </w:r>
      <w:proofErr w:type="spellStart"/>
      <w:r w:rsidRPr="00243CC4">
        <w:rPr>
          <w:sz w:val="24"/>
          <w:szCs w:val="24"/>
          <w:lang w:val="en-US"/>
        </w:rPr>
        <w:t>oedema</w:t>
      </w:r>
      <w:proofErr w:type="spellEnd"/>
      <w:r w:rsidRPr="00243CC4">
        <w:rPr>
          <w:sz w:val="24"/>
          <w:szCs w:val="24"/>
          <w:lang w:val="en-US"/>
        </w:rPr>
        <w:t xml:space="preserve">, </w:t>
      </w:r>
      <w:proofErr w:type="spellStart"/>
      <w:r w:rsidRPr="00243CC4">
        <w:rPr>
          <w:sz w:val="24"/>
          <w:szCs w:val="24"/>
          <w:lang w:val="en-US"/>
        </w:rPr>
        <w:t>dyspnoea</w:t>
      </w:r>
      <w:proofErr w:type="spellEnd"/>
      <w:r w:rsidRPr="00243CC4">
        <w:rPr>
          <w:sz w:val="24"/>
          <w:szCs w:val="24"/>
          <w:lang w:val="en-US"/>
        </w:rPr>
        <w:t>, tachycardia, low blood pressure, urticaria, anaphylactic shock, bronchospasm.</w:t>
      </w:r>
    </w:p>
    <w:p w14:paraId="2256BA8D" w14:textId="77777777" w:rsidR="003B36A9" w:rsidRPr="00243CC4" w:rsidRDefault="003B36A9" w:rsidP="00A02E32">
      <w:pPr>
        <w:ind w:left="851"/>
        <w:rPr>
          <w:bCs/>
          <w:sz w:val="24"/>
          <w:szCs w:val="24"/>
          <w:lang w:val="en-US"/>
        </w:rPr>
      </w:pPr>
    </w:p>
    <w:p w14:paraId="743F7C80" w14:textId="77777777" w:rsidR="003B36A9" w:rsidRPr="00243CC4" w:rsidRDefault="003B36A9" w:rsidP="00A02E32">
      <w:pPr>
        <w:ind w:left="851"/>
        <w:rPr>
          <w:bCs/>
          <w:sz w:val="24"/>
          <w:szCs w:val="24"/>
          <w:u w:val="single"/>
          <w:lang w:val="en-US"/>
        </w:rPr>
      </w:pPr>
      <w:r w:rsidRPr="00243CC4">
        <w:rPr>
          <w:bCs/>
          <w:sz w:val="24"/>
          <w:szCs w:val="24"/>
          <w:u w:val="single"/>
          <w:lang w:val="en-US"/>
        </w:rPr>
        <w:t>Other undesirable effects</w:t>
      </w:r>
    </w:p>
    <w:p w14:paraId="42982D11" w14:textId="77777777" w:rsidR="003B36A9" w:rsidRPr="00243CC4" w:rsidRDefault="003B36A9" w:rsidP="00A02E32">
      <w:pPr>
        <w:ind w:left="851"/>
        <w:rPr>
          <w:sz w:val="24"/>
          <w:szCs w:val="24"/>
          <w:lang w:val="en-US"/>
        </w:rPr>
      </w:pPr>
      <w:r w:rsidRPr="00243CC4">
        <w:rPr>
          <w:sz w:val="24"/>
          <w:szCs w:val="24"/>
          <w:lang w:val="en-US"/>
        </w:rPr>
        <w:t xml:space="preserve">Secondary acute malignancies after cytostatic combination therapies containing carboplatin have been reported. Alopecia, fever and chills, mucositis, asthenia, malaise as well as dysgeusia have occasionally been observed. In isolated cases, a </w:t>
      </w:r>
      <w:proofErr w:type="spellStart"/>
      <w:r w:rsidRPr="00243CC4">
        <w:rPr>
          <w:sz w:val="24"/>
          <w:szCs w:val="24"/>
          <w:lang w:val="en-US"/>
        </w:rPr>
        <w:t>haemolytic-uraemic</w:t>
      </w:r>
      <w:proofErr w:type="spellEnd"/>
      <w:r w:rsidRPr="00243CC4">
        <w:rPr>
          <w:sz w:val="24"/>
          <w:szCs w:val="24"/>
          <w:lang w:val="en-US"/>
        </w:rPr>
        <w:t xml:space="preserve"> syndrome occurred. Isolated cases of cardiovascular incidents (cardiac insufficiency, embolism) as well as isolated cases of cerebrovascular accidents have been reported. Cases of hypertension have been reported.</w:t>
      </w:r>
    </w:p>
    <w:p w14:paraId="6305B4AC" w14:textId="77777777" w:rsidR="003B36A9" w:rsidRPr="00243CC4" w:rsidRDefault="003B36A9" w:rsidP="00A02E32">
      <w:pPr>
        <w:ind w:left="851"/>
        <w:rPr>
          <w:bCs/>
          <w:sz w:val="24"/>
          <w:szCs w:val="24"/>
          <w:lang w:val="en-US"/>
        </w:rPr>
      </w:pPr>
    </w:p>
    <w:p w14:paraId="6CF11FF8" w14:textId="77777777" w:rsidR="003B36A9" w:rsidRPr="00243CC4" w:rsidRDefault="003B36A9" w:rsidP="00A02E32">
      <w:pPr>
        <w:ind w:left="851"/>
        <w:rPr>
          <w:bCs/>
          <w:sz w:val="24"/>
          <w:szCs w:val="24"/>
          <w:u w:val="single"/>
          <w:lang w:val="en-US"/>
        </w:rPr>
      </w:pPr>
      <w:r w:rsidRPr="00243CC4">
        <w:rPr>
          <w:bCs/>
          <w:sz w:val="24"/>
          <w:szCs w:val="24"/>
          <w:u w:val="single"/>
          <w:lang w:val="en-US"/>
        </w:rPr>
        <w:t>Local reactions</w:t>
      </w:r>
    </w:p>
    <w:p w14:paraId="7964661A" w14:textId="77777777" w:rsidR="003B36A9" w:rsidRPr="00243CC4" w:rsidRDefault="003B36A9" w:rsidP="00A02E32">
      <w:pPr>
        <w:ind w:left="851"/>
        <w:rPr>
          <w:sz w:val="24"/>
          <w:szCs w:val="24"/>
          <w:lang w:val="en-US"/>
        </w:rPr>
      </w:pPr>
      <w:r w:rsidRPr="00243CC4">
        <w:rPr>
          <w:sz w:val="24"/>
          <w:szCs w:val="24"/>
          <w:lang w:val="en-US"/>
        </w:rPr>
        <w:t>Reactions at the site of injection (burning, pain, reddening, swelling, urticaria, necrosis in connection with extravasation) have been reported.</w:t>
      </w:r>
    </w:p>
    <w:p w14:paraId="1BADDAC6" w14:textId="77777777" w:rsidR="003B36A9" w:rsidRPr="00243CC4" w:rsidRDefault="003B36A9" w:rsidP="00A02E32">
      <w:pPr>
        <w:ind w:left="851"/>
        <w:rPr>
          <w:noProof/>
          <w:sz w:val="24"/>
          <w:szCs w:val="24"/>
          <w:lang w:val="en-US"/>
        </w:rPr>
      </w:pPr>
    </w:p>
    <w:p w14:paraId="43EAEB35" w14:textId="77777777" w:rsidR="00A02E32" w:rsidRPr="00243CC4" w:rsidRDefault="00A02E32" w:rsidP="00A02E32">
      <w:pPr>
        <w:ind w:left="851"/>
        <w:rPr>
          <w:sz w:val="24"/>
          <w:szCs w:val="24"/>
          <w:u w:val="single"/>
          <w:lang w:val="en-GB"/>
        </w:rPr>
      </w:pPr>
      <w:r w:rsidRPr="00243CC4">
        <w:rPr>
          <w:sz w:val="24"/>
          <w:szCs w:val="24"/>
          <w:u w:val="single"/>
          <w:lang w:val="en-GB"/>
        </w:rPr>
        <w:t>Reporting of suspected adverse reactions</w:t>
      </w:r>
    </w:p>
    <w:p w14:paraId="264E27D9" w14:textId="77777777" w:rsidR="00A02E32" w:rsidRPr="00243CC4" w:rsidRDefault="00A02E32" w:rsidP="00A02E32">
      <w:pPr>
        <w:ind w:left="851"/>
        <w:rPr>
          <w:sz w:val="24"/>
          <w:szCs w:val="24"/>
          <w:lang w:val="en-GB"/>
        </w:rPr>
      </w:pPr>
      <w:r w:rsidRPr="00243CC4">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1F5B7046" w14:textId="77777777" w:rsidR="00A02E32" w:rsidRPr="00243CC4" w:rsidRDefault="00A02E32" w:rsidP="00A02E32">
      <w:pPr>
        <w:ind w:left="851"/>
        <w:rPr>
          <w:sz w:val="24"/>
          <w:szCs w:val="24"/>
          <w:lang w:val="en-GB"/>
        </w:rPr>
      </w:pPr>
    </w:p>
    <w:p w14:paraId="11EEE900" w14:textId="77777777" w:rsidR="00A02E32" w:rsidRPr="00243CC4" w:rsidRDefault="00A02E32" w:rsidP="00A02E32">
      <w:pPr>
        <w:ind w:left="851"/>
        <w:rPr>
          <w:sz w:val="24"/>
          <w:szCs w:val="24"/>
        </w:rPr>
      </w:pPr>
      <w:r w:rsidRPr="00243CC4">
        <w:rPr>
          <w:sz w:val="24"/>
          <w:szCs w:val="24"/>
        </w:rPr>
        <w:t>Lægemiddelstyrelsen</w:t>
      </w:r>
    </w:p>
    <w:p w14:paraId="156D67FD" w14:textId="77777777" w:rsidR="00A02E32" w:rsidRPr="00243CC4" w:rsidRDefault="00A02E32" w:rsidP="00A02E32">
      <w:pPr>
        <w:ind w:left="851"/>
        <w:rPr>
          <w:sz w:val="24"/>
          <w:szCs w:val="24"/>
        </w:rPr>
      </w:pPr>
      <w:r w:rsidRPr="00243CC4">
        <w:rPr>
          <w:sz w:val="24"/>
          <w:szCs w:val="24"/>
        </w:rPr>
        <w:t>Axel Heides Gade 1</w:t>
      </w:r>
    </w:p>
    <w:p w14:paraId="213B1739" w14:textId="77777777" w:rsidR="00A02E32" w:rsidRPr="00243CC4" w:rsidRDefault="00A02E32" w:rsidP="00A02E32">
      <w:pPr>
        <w:ind w:left="851"/>
        <w:rPr>
          <w:sz w:val="24"/>
          <w:szCs w:val="24"/>
        </w:rPr>
      </w:pPr>
      <w:r w:rsidRPr="00243CC4">
        <w:rPr>
          <w:sz w:val="24"/>
          <w:szCs w:val="24"/>
        </w:rPr>
        <w:t>DK-2300 København S</w:t>
      </w:r>
    </w:p>
    <w:p w14:paraId="72F6B607" w14:textId="77777777" w:rsidR="00A02E32" w:rsidRPr="00915539" w:rsidRDefault="00A02E32" w:rsidP="00A02E32">
      <w:pPr>
        <w:ind w:left="851"/>
        <w:rPr>
          <w:sz w:val="24"/>
          <w:szCs w:val="24"/>
          <w:lang w:val="en-US"/>
        </w:rPr>
      </w:pPr>
      <w:r w:rsidRPr="00915539">
        <w:rPr>
          <w:sz w:val="24"/>
          <w:szCs w:val="24"/>
          <w:lang w:val="en-US"/>
        </w:rPr>
        <w:t>Website: www.meldenbivirkning.dk</w:t>
      </w:r>
    </w:p>
    <w:p w14:paraId="28F89F7B" w14:textId="77777777" w:rsidR="007C5D2A" w:rsidRPr="00243CC4" w:rsidRDefault="007C5D2A" w:rsidP="007A4CC6">
      <w:pPr>
        <w:tabs>
          <w:tab w:val="left" w:pos="851"/>
        </w:tabs>
        <w:ind w:left="851"/>
        <w:rPr>
          <w:sz w:val="24"/>
          <w:szCs w:val="24"/>
          <w:lang w:val="en-GB"/>
        </w:rPr>
      </w:pPr>
    </w:p>
    <w:p w14:paraId="650AF0D9" w14:textId="77777777" w:rsidR="007C5D2A" w:rsidRPr="00243CC4" w:rsidRDefault="007C5D2A" w:rsidP="007C5D2A">
      <w:pPr>
        <w:tabs>
          <w:tab w:val="left" w:pos="851"/>
        </w:tabs>
        <w:ind w:left="851" w:hanging="851"/>
        <w:rPr>
          <w:b/>
          <w:sz w:val="24"/>
          <w:szCs w:val="24"/>
          <w:lang w:val="en-GB"/>
        </w:rPr>
      </w:pPr>
      <w:r w:rsidRPr="00243CC4">
        <w:rPr>
          <w:b/>
          <w:sz w:val="24"/>
          <w:szCs w:val="24"/>
          <w:lang w:val="en-GB"/>
        </w:rPr>
        <w:t>4.9</w:t>
      </w:r>
      <w:r w:rsidRPr="00243CC4">
        <w:rPr>
          <w:b/>
          <w:sz w:val="24"/>
          <w:szCs w:val="24"/>
          <w:lang w:val="en-GB"/>
        </w:rPr>
        <w:tab/>
        <w:t>Overdose</w:t>
      </w:r>
    </w:p>
    <w:p w14:paraId="02F7F79E" w14:textId="77777777" w:rsidR="00A02E32" w:rsidRPr="00243CC4" w:rsidRDefault="00A02E32" w:rsidP="00A02E32">
      <w:pPr>
        <w:ind w:left="851"/>
        <w:rPr>
          <w:sz w:val="24"/>
          <w:szCs w:val="24"/>
          <w:lang w:val="en-US"/>
        </w:rPr>
      </w:pPr>
    </w:p>
    <w:p w14:paraId="11652069" w14:textId="3A199864" w:rsidR="003B36A9" w:rsidRPr="00243CC4" w:rsidRDefault="003B36A9" w:rsidP="00A02E32">
      <w:pPr>
        <w:ind w:left="851"/>
        <w:rPr>
          <w:sz w:val="24"/>
          <w:szCs w:val="24"/>
          <w:u w:val="single"/>
          <w:lang w:val="en-US"/>
        </w:rPr>
      </w:pPr>
      <w:r w:rsidRPr="00243CC4">
        <w:rPr>
          <w:sz w:val="24"/>
          <w:szCs w:val="24"/>
          <w:u w:val="single"/>
          <w:lang w:val="en-US"/>
        </w:rPr>
        <w:t>Symptoms of overdose</w:t>
      </w:r>
    </w:p>
    <w:p w14:paraId="6F992892" w14:textId="77777777" w:rsidR="003B36A9" w:rsidRPr="00243CC4" w:rsidRDefault="003B36A9" w:rsidP="00A02E32">
      <w:pPr>
        <w:ind w:left="851"/>
        <w:rPr>
          <w:sz w:val="24"/>
          <w:szCs w:val="24"/>
          <w:lang w:val="en-US"/>
        </w:rPr>
      </w:pPr>
      <w:r w:rsidRPr="00243CC4">
        <w:rPr>
          <w:sz w:val="24"/>
          <w:szCs w:val="24"/>
          <w:lang w:val="en-US"/>
        </w:rPr>
        <w:t>Carboplatin was administered in Phase I studies at a dosage of up to 1600 mg/m</w:t>
      </w:r>
      <w:r w:rsidRPr="00243CC4">
        <w:rPr>
          <w:sz w:val="24"/>
          <w:szCs w:val="24"/>
          <w:vertAlign w:val="superscript"/>
          <w:lang w:val="en-US"/>
        </w:rPr>
        <w:t>2</w:t>
      </w:r>
      <w:r w:rsidRPr="00243CC4">
        <w:rPr>
          <w:sz w:val="24"/>
          <w:szCs w:val="24"/>
          <w:lang w:val="en-US"/>
        </w:rPr>
        <w:t xml:space="preserve"> </w:t>
      </w:r>
      <w:proofErr w:type="spellStart"/>
      <w:r w:rsidRPr="00243CC4">
        <w:rPr>
          <w:sz w:val="24"/>
          <w:szCs w:val="24"/>
          <w:lang w:val="en-US"/>
        </w:rPr>
        <w:t>i.v.</w:t>
      </w:r>
      <w:proofErr w:type="spellEnd"/>
      <w:r w:rsidRPr="00243CC4">
        <w:rPr>
          <w:sz w:val="24"/>
          <w:szCs w:val="24"/>
          <w:lang w:val="en-US"/>
        </w:rPr>
        <w:t xml:space="preserve"> per course. At this dosage, life-threatening </w:t>
      </w:r>
      <w:proofErr w:type="spellStart"/>
      <w:r w:rsidRPr="00243CC4">
        <w:rPr>
          <w:sz w:val="24"/>
          <w:szCs w:val="24"/>
          <w:lang w:val="en-US"/>
        </w:rPr>
        <w:t>haematological</w:t>
      </w:r>
      <w:proofErr w:type="spellEnd"/>
      <w:r w:rsidRPr="00243CC4">
        <w:rPr>
          <w:sz w:val="24"/>
          <w:szCs w:val="24"/>
          <w:lang w:val="en-US"/>
        </w:rPr>
        <w:t xml:space="preserve"> side effects with </w:t>
      </w:r>
      <w:proofErr w:type="spellStart"/>
      <w:r w:rsidRPr="00243CC4">
        <w:rPr>
          <w:sz w:val="24"/>
          <w:szCs w:val="24"/>
          <w:lang w:val="en-US"/>
        </w:rPr>
        <w:t>granulocytopenia</w:t>
      </w:r>
      <w:proofErr w:type="spellEnd"/>
      <w:r w:rsidRPr="00243CC4">
        <w:rPr>
          <w:sz w:val="24"/>
          <w:szCs w:val="24"/>
          <w:lang w:val="en-US"/>
        </w:rPr>
        <w:t xml:space="preserve">, thrombocytopenia and </w:t>
      </w:r>
      <w:proofErr w:type="spellStart"/>
      <w:r w:rsidRPr="00243CC4">
        <w:rPr>
          <w:sz w:val="24"/>
          <w:szCs w:val="24"/>
          <w:lang w:val="en-US"/>
        </w:rPr>
        <w:t>anaemia</w:t>
      </w:r>
      <w:proofErr w:type="spellEnd"/>
      <w:r w:rsidRPr="00243CC4">
        <w:rPr>
          <w:sz w:val="24"/>
          <w:szCs w:val="24"/>
          <w:lang w:val="en-US"/>
        </w:rPr>
        <w:t xml:space="preserve"> were observed. The granulocyte, thrombocyte and </w:t>
      </w:r>
      <w:proofErr w:type="spellStart"/>
      <w:r w:rsidRPr="00243CC4">
        <w:rPr>
          <w:sz w:val="24"/>
          <w:szCs w:val="24"/>
          <w:lang w:val="en-US"/>
        </w:rPr>
        <w:t>haemoglobin</w:t>
      </w:r>
      <w:proofErr w:type="spellEnd"/>
      <w:r w:rsidRPr="00243CC4">
        <w:rPr>
          <w:sz w:val="24"/>
          <w:szCs w:val="24"/>
          <w:lang w:val="en-US"/>
        </w:rPr>
        <w:t xml:space="preserve"> nadir were observed between days 9 - 25 (median: days 12 - 17). The granulocytes had reached values of ≥ 500 / µl after 8 </w:t>
      </w:r>
      <w:r w:rsidRPr="00243CC4">
        <w:rPr>
          <w:sz w:val="24"/>
          <w:szCs w:val="24"/>
          <w:lang w:val="en-US"/>
        </w:rPr>
        <w:noBreakHyphen/>
        <w:t> 14 days (median: 11) and the thrombocytes values of ≥ 25.000/ µl after 3 - 8 days (median: 7).</w:t>
      </w:r>
    </w:p>
    <w:p w14:paraId="61B64D5E" w14:textId="77777777" w:rsidR="003B36A9" w:rsidRPr="00243CC4" w:rsidRDefault="003B36A9" w:rsidP="00A02E32">
      <w:pPr>
        <w:ind w:left="851"/>
        <w:rPr>
          <w:sz w:val="24"/>
          <w:szCs w:val="24"/>
          <w:lang w:val="en-US"/>
        </w:rPr>
      </w:pPr>
    </w:p>
    <w:p w14:paraId="29C2F162" w14:textId="1247A904" w:rsidR="003B36A9" w:rsidRPr="00243CC4" w:rsidRDefault="003B36A9" w:rsidP="00A02E32">
      <w:pPr>
        <w:ind w:left="851"/>
        <w:rPr>
          <w:sz w:val="24"/>
          <w:szCs w:val="24"/>
          <w:lang w:val="en-US"/>
        </w:rPr>
      </w:pPr>
      <w:r w:rsidRPr="00243CC4">
        <w:rPr>
          <w:sz w:val="24"/>
          <w:szCs w:val="24"/>
          <w:lang w:val="en-US"/>
        </w:rPr>
        <w:t>The following non-</w:t>
      </w:r>
      <w:proofErr w:type="spellStart"/>
      <w:r w:rsidRPr="00243CC4">
        <w:rPr>
          <w:sz w:val="24"/>
          <w:szCs w:val="24"/>
          <w:lang w:val="en-US"/>
        </w:rPr>
        <w:t>haematological</w:t>
      </w:r>
      <w:proofErr w:type="spellEnd"/>
      <w:r w:rsidRPr="00243CC4">
        <w:rPr>
          <w:sz w:val="24"/>
          <w:szCs w:val="24"/>
          <w:lang w:val="en-US"/>
        </w:rPr>
        <w:t xml:space="preserve"> side effects also occurred: renal function disturbances with a 50</w:t>
      </w:r>
      <w:r w:rsidR="00243CC4">
        <w:rPr>
          <w:sz w:val="24"/>
          <w:szCs w:val="24"/>
          <w:lang w:val="en-US"/>
        </w:rPr>
        <w:t xml:space="preserve"> %</w:t>
      </w:r>
      <w:r w:rsidRPr="00243CC4">
        <w:rPr>
          <w:sz w:val="24"/>
          <w:szCs w:val="24"/>
          <w:lang w:val="en-US"/>
        </w:rPr>
        <w:t xml:space="preserve"> drop in the glomerular filtration rate, neuropathy, ototoxicity, sight loss, </w:t>
      </w:r>
      <w:proofErr w:type="spellStart"/>
      <w:r w:rsidRPr="00243CC4">
        <w:rPr>
          <w:sz w:val="24"/>
          <w:szCs w:val="24"/>
          <w:lang w:val="en-US"/>
        </w:rPr>
        <w:t>hyperbilirubinaemia</w:t>
      </w:r>
      <w:proofErr w:type="spellEnd"/>
      <w:r w:rsidRPr="00243CC4">
        <w:rPr>
          <w:sz w:val="24"/>
          <w:szCs w:val="24"/>
          <w:lang w:val="en-US"/>
        </w:rPr>
        <w:t xml:space="preserve">, mucositis, </w:t>
      </w:r>
      <w:proofErr w:type="spellStart"/>
      <w:r w:rsidRPr="00243CC4">
        <w:rPr>
          <w:sz w:val="24"/>
          <w:szCs w:val="24"/>
          <w:lang w:val="en-US"/>
        </w:rPr>
        <w:t>diarrhoea</w:t>
      </w:r>
      <w:proofErr w:type="spellEnd"/>
      <w:r w:rsidRPr="00243CC4">
        <w:rPr>
          <w:sz w:val="24"/>
          <w:szCs w:val="24"/>
          <w:lang w:val="en-US"/>
        </w:rPr>
        <w:t>, nausea and vomiting with headache, erythema, and severe infection. In the majority of cases, hearing disturbances were transient and reversible.</w:t>
      </w:r>
    </w:p>
    <w:p w14:paraId="36B2F519" w14:textId="77777777" w:rsidR="003B36A9" w:rsidRPr="00243CC4" w:rsidRDefault="003B36A9" w:rsidP="00A02E32">
      <w:pPr>
        <w:ind w:left="851"/>
        <w:rPr>
          <w:sz w:val="24"/>
          <w:szCs w:val="24"/>
          <w:lang w:val="en-US"/>
        </w:rPr>
      </w:pPr>
    </w:p>
    <w:p w14:paraId="0A719847" w14:textId="77777777" w:rsidR="003B36A9" w:rsidRPr="00243CC4" w:rsidRDefault="003B36A9" w:rsidP="00A02E32">
      <w:pPr>
        <w:ind w:left="851"/>
        <w:rPr>
          <w:sz w:val="24"/>
          <w:szCs w:val="24"/>
          <w:u w:val="single"/>
          <w:lang w:val="en-GB"/>
        </w:rPr>
      </w:pPr>
      <w:bookmarkStart w:id="10" w:name="OLE_LINK155"/>
      <w:r w:rsidRPr="00243CC4">
        <w:rPr>
          <w:sz w:val="24"/>
          <w:szCs w:val="24"/>
          <w:u w:val="single"/>
          <w:lang w:val="en-US"/>
        </w:rPr>
        <w:t>Treatment of overdose</w:t>
      </w:r>
    </w:p>
    <w:p w14:paraId="42EB8740" w14:textId="5B8070EF" w:rsidR="003B36A9" w:rsidRPr="00243CC4" w:rsidRDefault="003B36A9" w:rsidP="00A02E32">
      <w:pPr>
        <w:ind w:left="851"/>
        <w:rPr>
          <w:sz w:val="24"/>
          <w:szCs w:val="24"/>
          <w:lang w:val="en-US"/>
        </w:rPr>
      </w:pPr>
      <w:r w:rsidRPr="00243CC4">
        <w:rPr>
          <w:sz w:val="24"/>
          <w:szCs w:val="24"/>
          <w:lang w:val="en-US"/>
        </w:rPr>
        <w:t xml:space="preserve">There is no known antidote for carboplatin over dosage. The anticipated complications of over dosage would be related to myelosuppression as well as impairment of hepatic and renal and auditory function. Bone marrow transplantation and transfusions (thrombocytes, blood) can be effective measures of managing </w:t>
      </w:r>
      <w:proofErr w:type="spellStart"/>
      <w:r w:rsidRPr="00243CC4">
        <w:rPr>
          <w:sz w:val="24"/>
          <w:szCs w:val="24"/>
          <w:lang w:val="en-US"/>
        </w:rPr>
        <w:t>haematological</w:t>
      </w:r>
      <w:proofErr w:type="spellEnd"/>
      <w:r w:rsidRPr="00243CC4">
        <w:rPr>
          <w:sz w:val="24"/>
          <w:szCs w:val="24"/>
          <w:lang w:val="en-US"/>
        </w:rPr>
        <w:t xml:space="preserve"> side effects.</w:t>
      </w:r>
      <w:bookmarkEnd w:id="10"/>
      <w:r w:rsidRPr="00243CC4">
        <w:rPr>
          <w:sz w:val="24"/>
          <w:szCs w:val="24"/>
          <w:lang w:val="en-US"/>
        </w:rPr>
        <w:t xml:space="preserve"> Use of higher than recommended doses of carboplatin ha</w:t>
      </w:r>
      <w:r w:rsidR="00243CC4">
        <w:rPr>
          <w:sz w:val="24"/>
          <w:szCs w:val="24"/>
          <w:lang w:val="en-US"/>
        </w:rPr>
        <w:t>ve</w:t>
      </w:r>
      <w:r w:rsidRPr="00243CC4">
        <w:rPr>
          <w:sz w:val="24"/>
          <w:szCs w:val="24"/>
          <w:lang w:val="en-US"/>
        </w:rPr>
        <w:t xml:space="preserve"> been associated with loss of vision (see section 4.4).</w:t>
      </w:r>
    </w:p>
    <w:p w14:paraId="30114603" w14:textId="77777777" w:rsidR="007C5D2A" w:rsidRPr="00243CC4" w:rsidRDefault="007C5D2A" w:rsidP="003E0341">
      <w:pPr>
        <w:tabs>
          <w:tab w:val="left" w:pos="851"/>
        </w:tabs>
        <w:ind w:left="851"/>
        <w:rPr>
          <w:sz w:val="24"/>
          <w:szCs w:val="24"/>
          <w:lang w:val="en-GB"/>
        </w:rPr>
      </w:pPr>
    </w:p>
    <w:p w14:paraId="21B79D1C" w14:textId="77777777" w:rsidR="008F2F8C" w:rsidRPr="00243CC4" w:rsidRDefault="0042292D" w:rsidP="0042292D">
      <w:pPr>
        <w:tabs>
          <w:tab w:val="left" w:pos="851"/>
        </w:tabs>
        <w:rPr>
          <w:b/>
          <w:sz w:val="24"/>
          <w:szCs w:val="24"/>
          <w:lang w:val="en-GB"/>
        </w:rPr>
      </w:pPr>
      <w:r w:rsidRPr="00243CC4">
        <w:rPr>
          <w:b/>
          <w:sz w:val="24"/>
          <w:szCs w:val="24"/>
          <w:lang w:val="en-GB"/>
        </w:rPr>
        <w:t>4.10</w:t>
      </w:r>
      <w:r w:rsidRPr="00243CC4">
        <w:rPr>
          <w:b/>
          <w:sz w:val="24"/>
          <w:szCs w:val="24"/>
          <w:lang w:val="en-GB"/>
        </w:rPr>
        <w:tab/>
        <w:t>Legal status</w:t>
      </w:r>
    </w:p>
    <w:p w14:paraId="1C13019B" w14:textId="722FAF65" w:rsidR="00AD2E36" w:rsidRPr="00243CC4" w:rsidRDefault="003B36A9" w:rsidP="00AD2E36">
      <w:pPr>
        <w:tabs>
          <w:tab w:val="left" w:pos="851"/>
        </w:tabs>
        <w:ind w:left="851"/>
        <w:rPr>
          <w:sz w:val="24"/>
          <w:szCs w:val="24"/>
          <w:lang w:val="en-GB"/>
        </w:rPr>
      </w:pPr>
      <w:r w:rsidRPr="00243CC4">
        <w:rPr>
          <w:sz w:val="24"/>
          <w:szCs w:val="24"/>
          <w:lang w:val="en-GB"/>
        </w:rPr>
        <w:t>A</w:t>
      </w:r>
    </w:p>
    <w:p w14:paraId="20316742" w14:textId="77777777" w:rsidR="007C5D2A" w:rsidRPr="00243CC4" w:rsidRDefault="007C5D2A" w:rsidP="003E0341">
      <w:pPr>
        <w:tabs>
          <w:tab w:val="left" w:pos="851"/>
        </w:tabs>
        <w:ind w:left="851"/>
        <w:rPr>
          <w:sz w:val="24"/>
          <w:szCs w:val="24"/>
          <w:lang w:val="en-GB"/>
        </w:rPr>
      </w:pPr>
    </w:p>
    <w:p w14:paraId="2253218D" w14:textId="77777777" w:rsidR="00AD2E36" w:rsidRPr="00243CC4" w:rsidRDefault="00AD2E36" w:rsidP="003E0341">
      <w:pPr>
        <w:tabs>
          <w:tab w:val="left" w:pos="851"/>
        </w:tabs>
        <w:ind w:left="851"/>
        <w:rPr>
          <w:sz w:val="24"/>
          <w:szCs w:val="24"/>
          <w:lang w:val="en-GB"/>
        </w:rPr>
      </w:pPr>
    </w:p>
    <w:p w14:paraId="6A3AD824" w14:textId="77777777" w:rsidR="007C5D2A" w:rsidRPr="00243CC4" w:rsidRDefault="007C5D2A" w:rsidP="007C5D2A">
      <w:pPr>
        <w:tabs>
          <w:tab w:val="left" w:pos="851"/>
        </w:tabs>
        <w:rPr>
          <w:b/>
          <w:sz w:val="24"/>
          <w:szCs w:val="24"/>
          <w:lang w:val="en-GB"/>
        </w:rPr>
      </w:pPr>
      <w:r w:rsidRPr="00243CC4">
        <w:rPr>
          <w:b/>
          <w:sz w:val="24"/>
          <w:szCs w:val="24"/>
          <w:lang w:val="en-GB"/>
        </w:rPr>
        <w:t>5.</w:t>
      </w:r>
      <w:r w:rsidRPr="00243CC4">
        <w:rPr>
          <w:b/>
          <w:sz w:val="24"/>
          <w:szCs w:val="24"/>
          <w:lang w:val="en-GB"/>
        </w:rPr>
        <w:tab/>
        <w:t>PHARMACOLOGICAL PROPERTIES</w:t>
      </w:r>
    </w:p>
    <w:p w14:paraId="6E82C693" w14:textId="77777777" w:rsidR="007C5D2A" w:rsidRPr="00243CC4" w:rsidRDefault="007C5D2A" w:rsidP="003E0341">
      <w:pPr>
        <w:tabs>
          <w:tab w:val="left" w:pos="851"/>
        </w:tabs>
        <w:ind w:left="851"/>
        <w:rPr>
          <w:sz w:val="24"/>
          <w:szCs w:val="24"/>
          <w:lang w:val="en-GB"/>
        </w:rPr>
      </w:pPr>
    </w:p>
    <w:p w14:paraId="2A08EC04" w14:textId="77777777" w:rsidR="007C5D2A" w:rsidRPr="00243CC4" w:rsidRDefault="007C5D2A" w:rsidP="007C5D2A">
      <w:pPr>
        <w:tabs>
          <w:tab w:val="left" w:pos="851"/>
        </w:tabs>
        <w:ind w:left="851" w:hanging="851"/>
        <w:rPr>
          <w:b/>
          <w:sz w:val="24"/>
          <w:szCs w:val="24"/>
          <w:lang w:val="en-GB"/>
        </w:rPr>
      </w:pPr>
      <w:r w:rsidRPr="00243CC4">
        <w:rPr>
          <w:b/>
          <w:sz w:val="24"/>
          <w:szCs w:val="24"/>
          <w:lang w:val="en-GB"/>
        </w:rPr>
        <w:t>5.1</w:t>
      </w:r>
      <w:r w:rsidRPr="00243CC4">
        <w:rPr>
          <w:b/>
          <w:sz w:val="24"/>
          <w:szCs w:val="24"/>
          <w:lang w:val="en-GB"/>
        </w:rPr>
        <w:tab/>
        <w:t>Pharmacodynamic properties</w:t>
      </w:r>
      <w:r w:rsidRPr="00243CC4">
        <w:rPr>
          <w:b/>
          <w:sz w:val="24"/>
          <w:szCs w:val="24"/>
          <w:lang w:val="en-GB"/>
        </w:rPr>
        <w:tab/>
      </w:r>
    </w:p>
    <w:p w14:paraId="35009E38" w14:textId="7DE32037" w:rsidR="003B36A9" w:rsidRPr="00243CC4" w:rsidRDefault="003B36A9" w:rsidP="00A02E32">
      <w:pPr>
        <w:ind w:left="851"/>
        <w:rPr>
          <w:sz w:val="24"/>
          <w:szCs w:val="24"/>
          <w:lang w:val="en-US"/>
        </w:rPr>
      </w:pPr>
      <w:r w:rsidRPr="00243CC4">
        <w:rPr>
          <w:sz w:val="24"/>
          <w:szCs w:val="24"/>
          <w:lang w:val="en-US"/>
        </w:rPr>
        <w:t>Pharmacotherapeutic group: Antineoplastic agents, platinum compounds</w:t>
      </w:r>
      <w:r w:rsidRPr="00243CC4">
        <w:rPr>
          <w:bCs/>
          <w:sz w:val="24"/>
          <w:szCs w:val="24"/>
          <w:lang w:val="en-US"/>
        </w:rPr>
        <w:t>, ATC code:</w:t>
      </w:r>
      <w:r w:rsidRPr="00243CC4">
        <w:rPr>
          <w:sz w:val="24"/>
          <w:szCs w:val="24"/>
          <w:lang w:val="en-US"/>
        </w:rPr>
        <w:t xml:space="preserve"> L01XA02</w:t>
      </w:r>
    </w:p>
    <w:p w14:paraId="73C29558" w14:textId="77777777" w:rsidR="003B36A9" w:rsidRPr="00243CC4" w:rsidRDefault="003B36A9" w:rsidP="00A02E32">
      <w:pPr>
        <w:ind w:left="851"/>
        <w:rPr>
          <w:sz w:val="24"/>
          <w:szCs w:val="24"/>
          <w:lang w:val="en-US"/>
        </w:rPr>
      </w:pPr>
    </w:p>
    <w:p w14:paraId="0AE84A5B" w14:textId="77777777" w:rsidR="003B36A9" w:rsidRPr="00243CC4" w:rsidRDefault="003B36A9" w:rsidP="00A02E32">
      <w:pPr>
        <w:ind w:left="851"/>
        <w:rPr>
          <w:sz w:val="24"/>
          <w:szCs w:val="24"/>
          <w:lang w:val="en-US"/>
        </w:rPr>
      </w:pPr>
      <w:r w:rsidRPr="00243CC4">
        <w:rPr>
          <w:sz w:val="24"/>
          <w:szCs w:val="24"/>
          <w:lang w:val="en-US"/>
        </w:rPr>
        <w:t>Carboplatin is an antineoplastic agent. Its activity has been demonstrated against several murine and human cell lines.</w:t>
      </w:r>
    </w:p>
    <w:p w14:paraId="0C79426E" w14:textId="77777777" w:rsidR="003B36A9" w:rsidRPr="00243CC4" w:rsidRDefault="003B36A9" w:rsidP="00A02E32">
      <w:pPr>
        <w:ind w:left="851"/>
        <w:rPr>
          <w:sz w:val="24"/>
          <w:szCs w:val="24"/>
          <w:lang w:val="en-US"/>
        </w:rPr>
      </w:pPr>
      <w:r w:rsidRPr="00243CC4">
        <w:rPr>
          <w:sz w:val="24"/>
          <w:szCs w:val="24"/>
          <w:lang w:val="en-US"/>
        </w:rPr>
        <w:t>Carboplatin exhibited comparable activity to cisplatin against a wide range of tumours regardless of implant site.</w:t>
      </w:r>
    </w:p>
    <w:p w14:paraId="22F6205F" w14:textId="77777777" w:rsidR="003B36A9" w:rsidRPr="00243CC4" w:rsidRDefault="003B36A9" w:rsidP="00A02E32">
      <w:pPr>
        <w:ind w:left="851"/>
        <w:rPr>
          <w:sz w:val="24"/>
          <w:szCs w:val="24"/>
          <w:lang w:val="en-US"/>
        </w:rPr>
      </w:pPr>
    </w:p>
    <w:p w14:paraId="5744AF02" w14:textId="77777777" w:rsidR="003B36A9" w:rsidRPr="00243CC4" w:rsidRDefault="003B36A9" w:rsidP="00A02E32">
      <w:pPr>
        <w:ind w:left="851"/>
        <w:rPr>
          <w:sz w:val="24"/>
          <w:szCs w:val="24"/>
          <w:lang w:val="en-US"/>
        </w:rPr>
      </w:pPr>
      <w:r w:rsidRPr="00243CC4">
        <w:rPr>
          <w:sz w:val="24"/>
          <w:szCs w:val="24"/>
          <w:u w:val="single"/>
          <w:lang w:val="en-US"/>
        </w:rPr>
        <w:t>Mechanism of action</w:t>
      </w:r>
    </w:p>
    <w:p w14:paraId="00FAB90C" w14:textId="77777777" w:rsidR="003B36A9" w:rsidRPr="00915539" w:rsidRDefault="003B36A9" w:rsidP="00A02E32">
      <w:pPr>
        <w:ind w:left="851"/>
        <w:rPr>
          <w:sz w:val="24"/>
          <w:szCs w:val="24"/>
          <w:lang w:val="en-US"/>
        </w:rPr>
      </w:pPr>
      <w:r w:rsidRPr="00915539">
        <w:rPr>
          <w:sz w:val="24"/>
          <w:szCs w:val="24"/>
          <w:lang w:val="en-US"/>
        </w:rPr>
        <w:t xml:space="preserve">Alkaline elution techniques and DNA binding studies have demonstrated the qualitatively similar modes of action of carboplatin and cisplatin. Carboplatin, like cisplatin, induces changes in the </w:t>
      </w:r>
      <w:proofErr w:type="spellStart"/>
      <w:r w:rsidRPr="00915539">
        <w:rPr>
          <w:sz w:val="24"/>
          <w:szCs w:val="24"/>
          <w:lang w:val="en-US"/>
        </w:rPr>
        <w:t>superhelical</w:t>
      </w:r>
      <w:proofErr w:type="spellEnd"/>
      <w:r w:rsidRPr="00915539">
        <w:rPr>
          <w:sz w:val="24"/>
          <w:szCs w:val="24"/>
          <w:lang w:val="en-US"/>
        </w:rPr>
        <w:t xml:space="preserve"> conformation of DNA, which is consistent with a “DNA shortening effect”.</w:t>
      </w:r>
    </w:p>
    <w:p w14:paraId="2D99A241" w14:textId="77777777" w:rsidR="003B36A9" w:rsidRPr="00915539" w:rsidRDefault="003B36A9" w:rsidP="00A02E32">
      <w:pPr>
        <w:ind w:left="851"/>
        <w:rPr>
          <w:bCs/>
          <w:iCs/>
          <w:sz w:val="24"/>
          <w:szCs w:val="24"/>
          <w:u w:val="single"/>
          <w:lang w:val="en-US"/>
        </w:rPr>
      </w:pPr>
    </w:p>
    <w:p w14:paraId="79F2677C" w14:textId="77777777" w:rsidR="003B36A9" w:rsidRPr="00915539" w:rsidRDefault="003B36A9" w:rsidP="00A02E32">
      <w:pPr>
        <w:ind w:left="851"/>
        <w:rPr>
          <w:sz w:val="24"/>
          <w:szCs w:val="24"/>
          <w:lang w:val="en-US"/>
        </w:rPr>
      </w:pPr>
      <w:r w:rsidRPr="00915539">
        <w:rPr>
          <w:bCs/>
          <w:iCs/>
          <w:sz w:val="24"/>
          <w:szCs w:val="24"/>
          <w:u w:val="single"/>
          <w:lang w:val="en-US"/>
        </w:rPr>
        <w:t>Paediatric population</w:t>
      </w:r>
    </w:p>
    <w:p w14:paraId="6378FD83" w14:textId="77777777" w:rsidR="003B36A9" w:rsidRPr="00915539" w:rsidRDefault="003B36A9" w:rsidP="00A02E32">
      <w:pPr>
        <w:ind w:left="851"/>
        <w:rPr>
          <w:sz w:val="24"/>
          <w:szCs w:val="24"/>
          <w:lang w:val="en-US"/>
        </w:rPr>
      </w:pPr>
      <w:r w:rsidRPr="00915539">
        <w:rPr>
          <w:sz w:val="24"/>
          <w:szCs w:val="24"/>
          <w:lang w:val="en-US"/>
        </w:rPr>
        <w:t>Paediatric patients: safety and efficacy in children have not been established.</w:t>
      </w:r>
    </w:p>
    <w:p w14:paraId="16A3C071" w14:textId="121325DB" w:rsidR="00054F55" w:rsidRDefault="00054F55">
      <w:pPr>
        <w:rPr>
          <w:sz w:val="24"/>
          <w:szCs w:val="24"/>
          <w:lang w:val="en-GB"/>
        </w:rPr>
      </w:pPr>
      <w:r>
        <w:rPr>
          <w:sz w:val="24"/>
          <w:szCs w:val="24"/>
          <w:lang w:val="en-GB"/>
        </w:rPr>
        <w:br w:type="page"/>
      </w:r>
    </w:p>
    <w:p w14:paraId="039FEDB9" w14:textId="77777777" w:rsidR="007C5D2A" w:rsidRPr="00243CC4" w:rsidRDefault="007C5D2A" w:rsidP="003E0341">
      <w:pPr>
        <w:tabs>
          <w:tab w:val="left" w:pos="851"/>
        </w:tabs>
        <w:ind w:left="851"/>
        <w:rPr>
          <w:sz w:val="24"/>
          <w:szCs w:val="24"/>
          <w:lang w:val="en-GB"/>
        </w:rPr>
      </w:pPr>
    </w:p>
    <w:p w14:paraId="231A6F91" w14:textId="0D57EA8D" w:rsidR="007C5D2A" w:rsidRPr="00243CC4" w:rsidRDefault="007C5D2A" w:rsidP="007C5D2A">
      <w:pPr>
        <w:tabs>
          <w:tab w:val="left" w:pos="851"/>
        </w:tabs>
        <w:ind w:left="851" w:hanging="851"/>
        <w:rPr>
          <w:b/>
          <w:sz w:val="24"/>
          <w:szCs w:val="24"/>
          <w:lang w:val="en-GB"/>
        </w:rPr>
      </w:pPr>
      <w:r w:rsidRPr="00243CC4">
        <w:rPr>
          <w:b/>
          <w:sz w:val="24"/>
          <w:szCs w:val="24"/>
          <w:lang w:val="en-GB"/>
        </w:rPr>
        <w:t>5.2</w:t>
      </w:r>
      <w:r w:rsidRPr="00243CC4">
        <w:rPr>
          <w:b/>
          <w:sz w:val="24"/>
          <w:szCs w:val="24"/>
          <w:lang w:val="en-GB"/>
        </w:rPr>
        <w:tab/>
        <w:t>Pharmacokinetic properties</w:t>
      </w:r>
    </w:p>
    <w:p w14:paraId="6AB20888" w14:textId="77777777" w:rsidR="00AD5991" w:rsidRPr="00243CC4" w:rsidRDefault="00AD5991" w:rsidP="00A02E32">
      <w:pPr>
        <w:ind w:left="851"/>
        <w:rPr>
          <w:noProof/>
          <w:sz w:val="24"/>
          <w:szCs w:val="24"/>
          <w:lang w:val="en-US"/>
        </w:rPr>
      </w:pPr>
    </w:p>
    <w:p w14:paraId="515F9247" w14:textId="61C20120" w:rsidR="003B36A9" w:rsidRPr="00243CC4" w:rsidRDefault="003B36A9" w:rsidP="00A02E32">
      <w:pPr>
        <w:ind w:left="851"/>
        <w:rPr>
          <w:sz w:val="24"/>
          <w:szCs w:val="24"/>
          <w:u w:val="single"/>
          <w:lang w:val="en-US"/>
        </w:rPr>
      </w:pPr>
      <w:r w:rsidRPr="00243CC4">
        <w:rPr>
          <w:noProof/>
          <w:sz w:val="24"/>
          <w:szCs w:val="24"/>
          <w:u w:val="single"/>
          <w:lang w:val="en-US"/>
        </w:rPr>
        <w:t>Distribution</w:t>
      </w:r>
    </w:p>
    <w:p w14:paraId="5A7B9352" w14:textId="77777777" w:rsidR="003B36A9" w:rsidRPr="00915539" w:rsidRDefault="003B36A9" w:rsidP="00A02E32">
      <w:pPr>
        <w:ind w:left="851"/>
        <w:rPr>
          <w:sz w:val="24"/>
          <w:szCs w:val="24"/>
          <w:lang w:val="en-US"/>
        </w:rPr>
      </w:pPr>
      <w:r w:rsidRPr="00915539">
        <w:rPr>
          <w:sz w:val="24"/>
          <w:szCs w:val="24"/>
          <w:lang w:val="en-US"/>
        </w:rPr>
        <w:t>Repeated dosing during four consecutive days did not produce an accumulation of platinum in plasma.</w:t>
      </w:r>
    </w:p>
    <w:p w14:paraId="51CF8F59" w14:textId="77777777" w:rsidR="003B36A9" w:rsidRPr="00915539" w:rsidRDefault="003B36A9" w:rsidP="00A02E32">
      <w:pPr>
        <w:ind w:left="851"/>
        <w:rPr>
          <w:sz w:val="24"/>
          <w:szCs w:val="24"/>
          <w:lang w:val="en-US"/>
        </w:rPr>
      </w:pPr>
    </w:p>
    <w:p w14:paraId="22BB2C04" w14:textId="77777777" w:rsidR="003B36A9" w:rsidRPr="00915539" w:rsidRDefault="003B36A9" w:rsidP="00A02E32">
      <w:pPr>
        <w:ind w:left="851"/>
        <w:rPr>
          <w:sz w:val="24"/>
          <w:szCs w:val="24"/>
          <w:u w:val="single"/>
          <w:lang w:val="en-US"/>
        </w:rPr>
      </w:pPr>
      <w:r w:rsidRPr="00915539">
        <w:rPr>
          <w:sz w:val="24"/>
          <w:szCs w:val="24"/>
          <w:u w:val="single"/>
          <w:lang w:val="en-US"/>
        </w:rPr>
        <w:t>Biotransformation</w:t>
      </w:r>
    </w:p>
    <w:p w14:paraId="01945166" w14:textId="0F2087C7" w:rsidR="003B36A9" w:rsidRPr="00243CC4" w:rsidRDefault="003B36A9" w:rsidP="00A02E32">
      <w:pPr>
        <w:ind w:left="851"/>
        <w:rPr>
          <w:sz w:val="24"/>
          <w:szCs w:val="24"/>
          <w:lang w:val="en-US"/>
        </w:rPr>
      </w:pPr>
      <w:r w:rsidRPr="00915539">
        <w:rPr>
          <w:sz w:val="24"/>
          <w:szCs w:val="24"/>
          <w:lang w:val="en-US"/>
        </w:rPr>
        <w:t xml:space="preserve">Following the administration of carboplatin reported values for the terminal elimination of half-lives of free </w:t>
      </w:r>
      <w:proofErr w:type="spellStart"/>
      <w:r w:rsidRPr="00915539">
        <w:rPr>
          <w:sz w:val="24"/>
          <w:szCs w:val="24"/>
          <w:lang w:val="en-US"/>
        </w:rPr>
        <w:t>ultrafilterable</w:t>
      </w:r>
      <w:proofErr w:type="spellEnd"/>
      <w:r w:rsidRPr="00915539">
        <w:rPr>
          <w:sz w:val="24"/>
          <w:szCs w:val="24"/>
          <w:lang w:val="en-US"/>
        </w:rPr>
        <w:t xml:space="preserve"> platinum and carboplatin in man are approximately 6 hours and 1.5 hours respectively. During the initial phase, most of the free </w:t>
      </w:r>
      <w:proofErr w:type="spellStart"/>
      <w:r w:rsidRPr="00915539">
        <w:rPr>
          <w:sz w:val="24"/>
          <w:szCs w:val="24"/>
          <w:lang w:val="en-US"/>
        </w:rPr>
        <w:t>ultrafilterable</w:t>
      </w:r>
      <w:proofErr w:type="spellEnd"/>
      <w:r w:rsidRPr="00915539">
        <w:rPr>
          <w:sz w:val="24"/>
          <w:szCs w:val="24"/>
          <w:lang w:val="en-US"/>
        </w:rPr>
        <w:t xml:space="preserve"> platinum is present as carboplatin. The terminal half-life for total plasma platinum is 24 hours. </w:t>
      </w:r>
      <w:r w:rsidRPr="00243CC4">
        <w:rPr>
          <w:sz w:val="24"/>
          <w:szCs w:val="24"/>
          <w:lang w:val="en-US"/>
        </w:rPr>
        <w:t>Approximately 87</w:t>
      </w:r>
      <w:r w:rsidR="00243CC4">
        <w:rPr>
          <w:sz w:val="24"/>
          <w:szCs w:val="24"/>
          <w:lang w:val="en-US"/>
        </w:rPr>
        <w:t xml:space="preserve"> %</w:t>
      </w:r>
      <w:r w:rsidRPr="00243CC4">
        <w:rPr>
          <w:sz w:val="24"/>
          <w:szCs w:val="24"/>
          <w:lang w:val="en-US"/>
        </w:rPr>
        <w:t xml:space="preserve"> of plasma platinum is protein bound within 24 hours following administration. </w:t>
      </w:r>
    </w:p>
    <w:p w14:paraId="32037585" w14:textId="77777777" w:rsidR="003B36A9" w:rsidRPr="00243CC4" w:rsidRDefault="003B36A9" w:rsidP="00A02E32">
      <w:pPr>
        <w:ind w:left="851"/>
        <w:rPr>
          <w:sz w:val="24"/>
          <w:szCs w:val="24"/>
          <w:lang w:val="en-US"/>
        </w:rPr>
      </w:pPr>
    </w:p>
    <w:p w14:paraId="49C04363" w14:textId="77777777" w:rsidR="003B36A9" w:rsidRPr="00915539" w:rsidRDefault="003B36A9" w:rsidP="00A02E32">
      <w:pPr>
        <w:ind w:left="851"/>
        <w:rPr>
          <w:sz w:val="24"/>
          <w:szCs w:val="24"/>
          <w:u w:val="single"/>
          <w:lang w:val="en-US"/>
        </w:rPr>
      </w:pPr>
      <w:r w:rsidRPr="00915539">
        <w:rPr>
          <w:sz w:val="24"/>
          <w:szCs w:val="24"/>
          <w:u w:val="single"/>
          <w:lang w:val="en-US"/>
        </w:rPr>
        <w:t>Elimination</w:t>
      </w:r>
    </w:p>
    <w:p w14:paraId="6FE60AA9" w14:textId="6564B4B0" w:rsidR="003B36A9" w:rsidRPr="00243CC4" w:rsidRDefault="003B36A9" w:rsidP="00A02E32">
      <w:pPr>
        <w:ind w:left="851"/>
        <w:rPr>
          <w:sz w:val="24"/>
          <w:szCs w:val="24"/>
          <w:lang w:val="en-US" w:eastAsia="en-US"/>
        </w:rPr>
      </w:pPr>
      <w:r w:rsidRPr="00243CC4">
        <w:rPr>
          <w:sz w:val="24"/>
          <w:szCs w:val="24"/>
          <w:lang w:val="en-US"/>
        </w:rPr>
        <w:t>Carboplatin is excreted primarily in the urine, with recovery of approximately 70</w:t>
      </w:r>
      <w:r w:rsidR="00243CC4">
        <w:rPr>
          <w:sz w:val="24"/>
          <w:szCs w:val="24"/>
          <w:lang w:val="en-US"/>
        </w:rPr>
        <w:t xml:space="preserve"> %</w:t>
      </w:r>
      <w:r w:rsidRPr="00243CC4">
        <w:rPr>
          <w:sz w:val="24"/>
          <w:szCs w:val="24"/>
          <w:lang w:val="en-US"/>
        </w:rPr>
        <w:t xml:space="preserve"> of the administered platinum within 24 hours. </w:t>
      </w:r>
      <w:r w:rsidRPr="00915539">
        <w:rPr>
          <w:sz w:val="24"/>
          <w:szCs w:val="24"/>
          <w:lang w:val="en-US"/>
        </w:rPr>
        <w:t xml:space="preserve">Most of the drug is excreted in the first 6 hours. Total body and renal clearances of free </w:t>
      </w:r>
      <w:proofErr w:type="spellStart"/>
      <w:r w:rsidRPr="00915539">
        <w:rPr>
          <w:sz w:val="24"/>
          <w:szCs w:val="24"/>
          <w:lang w:val="en-US"/>
        </w:rPr>
        <w:t>ultrafilterable</w:t>
      </w:r>
      <w:proofErr w:type="spellEnd"/>
      <w:r w:rsidRPr="00915539">
        <w:rPr>
          <w:sz w:val="24"/>
          <w:szCs w:val="24"/>
          <w:lang w:val="en-US"/>
        </w:rPr>
        <w:t xml:space="preserve"> platinum correlate with the rate of glomerular filtration, but not tubular secretion.</w:t>
      </w:r>
    </w:p>
    <w:p w14:paraId="6733E7E2" w14:textId="77777777" w:rsidR="003B36A9" w:rsidRPr="00915539" w:rsidRDefault="003B36A9" w:rsidP="00A02E32">
      <w:pPr>
        <w:ind w:left="851"/>
        <w:rPr>
          <w:bCs/>
          <w:sz w:val="24"/>
          <w:szCs w:val="24"/>
          <w:lang w:val="en-US"/>
        </w:rPr>
      </w:pPr>
    </w:p>
    <w:p w14:paraId="4D53B7EC" w14:textId="77777777" w:rsidR="003B36A9" w:rsidRPr="00243CC4" w:rsidRDefault="003B36A9" w:rsidP="00A02E32">
      <w:pPr>
        <w:ind w:left="851"/>
        <w:rPr>
          <w:sz w:val="24"/>
          <w:szCs w:val="24"/>
          <w:lang w:val="en-US" w:eastAsia="en-US"/>
        </w:rPr>
      </w:pPr>
      <w:r w:rsidRPr="00915539">
        <w:rPr>
          <w:sz w:val="24"/>
          <w:szCs w:val="24"/>
          <w:lang w:val="en-US"/>
        </w:rPr>
        <w:t>Carboplatin clearance has been reported to vary by 3- to 4- fold in paediatric patients. As for adult patients, literature data suggest that renal function may contribute to the variation in carboplatin clearance.</w:t>
      </w:r>
    </w:p>
    <w:p w14:paraId="1FC3A503" w14:textId="77777777" w:rsidR="003B36A9" w:rsidRPr="00243CC4" w:rsidRDefault="003B36A9" w:rsidP="00A02E32">
      <w:pPr>
        <w:ind w:left="851"/>
        <w:rPr>
          <w:noProof/>
          <w:sz w:val="24"/>
          <w:szCs w:val="24"/>
          <w:lang w:val="en-GB" w:eastAsia="en-US"/>
        </w:rPr>
      </w:pPr>
    </w:p>
    <w:p w14:paraId="2F9E3A7C" w14:textId="77777777" w:rsidR="003B36A9" w:rsidRPr="00243CC4" w:rsidRDefault="003B36A9" w:rsidP="00A02E32">
      <w:pPr>
        <w:ind w:left="851"/>
        <w:rPr>
          <w:noProof/>
          <w:sz w:val="24"/>
          <w:szCs w:val="24"/>
          <w:u w:val="single"/>
          <w:lang w:val="en-US"/>
        </w:rPr>
      </w:pPr>
      <w:r w:rsidRPr="00243CC4">
        <w:rPr>
          <w:noProof/>
          <w:sz w:val="24"/>
          <w:szCs w:val="24"/>
          <w:u w:val="single"/>
          <w:lang w:val="en-US"/>
        </w:rPr>
        <w:t>Linearity/non-linearity</w:t>
      </w:r>
    </w:p>
    <w:p w14:paraId="64366B14" w14:textId="77777777" w:rsidR="003B36A9" w:rsidRPr="00243CC4" w:rsidRDefault="003B36A9" w:rsidP="00A02E32">
      <w:pPr>
        <w:ind w:left="851"/>
        <w:rPr>
          <w:sz w:val="24"/>
          <w:szCs w:val="24"/>
          <w:lang w:val="en-US"/>
        </w:rPr>
      </w:pPr>
      <w:r w:rsidRPr="00243CC4">
        <w:rPr>
          <w:sz w:val="24"/>
          <w:szCs w:val="24"/>
          <w:lang w:val="en-US"/>
        </w:rPr>
        <w:t xml:space="preserve">Following administration of carboplatin in man, linear relationships exist between dose and plasma concentrations of total and free </w:t>
      </w:r>
      <w:proofErr w:type="spellStart"/>
      <w:r w:rsidRPr="00243CC4">
        <w:rPr>
          <w:sz w:val="24"/>
          <w:szCs w:val="24"/>
          <w:lang w:val="en-US"/>
        </w:rPr>
        <w:t>ultrafilterable</w:t>
      </w:r>
      <w:proofErr w:type="spellEnd"/>
      <w:r w:rsidRPr="00243CC4">
        <w:rPr>
          <w:sz w:val="24"/>
          <w:szCs w:val="24"/>
          <w:lang w:val="en-US"/>
        </w:rPr>
        <w:t xml:space="preserve"> platinum. The area under the plasma concentration versus time curve for total platinum also shows a linear relationship with the dose when creatinine clearance ≥ 60 ml/min.</w:t>
      </w:r>
    </w:p>
    <w:p w14:paraId="79DE8CD8" w14:textId="77777777" w:rsidR="007C5D2A" w:rsidRPr="00243CC4" w:rsidRDefault="007C5D2A" w:rsidP="003E0341">
      <w:pPr>
        <w:tabs>
          <w:tab w:val="left" w:pos="851"/>
        </w:tabs>
        <w:ind w:left="851"/>
        <w:rPr>
          <w:sz w:val="24"/>
          <w:szCs w:val="24"/>
          <w:lang w:val="en-GB"/>
        </w:rPr>
      </w:pPr>
    </w:p>
    <w:p w14:paraId="69CE2384" w14:textId="77777777" w:rsidR="007C5D2A" w:rsidRPr="00243CC4" w:rsidRDefault="00180A12" w:rsidP="007C5D2A">
      <w:pPr>
        <w:tabs>
          <w:tab w:val="left" w:pos="851"/>
        </w:tabs>
        <w:ind w:left="851" w:hanging="851"/>
        <w:rPr>
          <w:b/>
          <w:sz w:val="24"/>
          <w:szCs w:val="24"/>
          <w:lang w:val="en-GB"/>
        </w:rPr>
      </w:pPr>
      <w:r w:rsidRPr="00243CC4">
        <w:rPr>
          <w:b/>
          <w:sz w:val="24"/>
          <w:szCs w:val="24"/>
          <w:lang w:val="en-GB"/>
        </w:rPr>
        <w:t>5.3</w:t>
      </w:r>
      <w:r w:rsidRPr="00243CC4">
        <w:rPr>
          <w:b/>
          <w:sz w:val="24"/>
          <w:szCs w:val="24"/>
          <w:lang w:val="en-GB"/>
        </w:rPr>
        <w:tab/>
        <w:t>Preclinical safety data</w:t>
      </w:r>
    </w:p>
    <w:p w14:paraId="2079584A" w14:textId="77777777" w:rsidR="003B36A9" w:rsidRPr="00243CC4" w:rsidRDefault="003B36A9" w:rsidP="00A02E32">
      <w:pPr>
        <w:ind w:left="851"/>
        <w:rPr>
          <w:sz w:val="24"/>
          <w:szCs w:val="24"/>
          <w:lang w:val="en-US"/>
        </w:rPr>
      </w:pPr>
      <w:bookmarkStart w:id="11" w:name="OLE_LINK158"/>
      <w:r w:rsidRPr="00243CC4">
        <w:rPr>
          <w:sz w:val="24"/>
          <w:szCs w:val="24"/>
          <w:lang w:val="en-US"/>
        </w:rPr>
        <w:t xml:space="preserve">Carboplatin has been shown to be embryotoxic and teratogenic in rats. It is mutagenic </w:t>
      </w:r>
      <w:r w:rsidRPr="00243CC4">
        <w:rPr>
          <w:i/>
          <w:iCs/>
          <w:sz w:val="24"/>
          <w:szCs w:val="24"/>
          <w:lang w:val="en-US"/>
        </w:rPr>
        <w:t>in vivo</w:t>
      </w:r>
      <w:r w:rsidRPr="00243CC4">
        <w:rPr>
          <w:sz w:val="24"/>
          <w:szCs w:val="24"/>
          <w:lang w:val="en-US"/>
        </w:rPr>
        <w:t xml:space="preserve"> and </w:t>
      </w:r>
      <w:r w:rsidRPr="00243CC4">
        <w:rPr>
          <w:i/>
          <w:iCs/>
          <w:sz w:val="24"/>
          <w:szCs w:val="24"/>
          <w:lang w:val="en-US"/>
        </w:rPr>
        <w:t>in vitro</w:t>
      </w:r>
      <w:r w:rsidRPr="00243CC4">
        <w:rPr>
          <w:sz w:val="24"/>
          <w:szCs w:val="24"/>
          <w:lang w:val="en-US"/>
        </w:rPr>
        <w:t xml:space="preserve"> and although the carcinogenic potential of carboplatin has not been studied, compounds with similar mechanisms of action and mutagenicity have been reported to be carcinogenic.</w:t>
      </w:r>
      <w:bookmarkEnd w:id="11"/>
    </w:p>
    <w:p w14:paraId="316D8973" w14:textId="77777777" w:rsidR="007C5D2A" w:rsidRPr="00243CC4" w:rsidRDefault="007C5D2A" w:rsidP="003E0341">
      <w:pPr>
        <w:tabs>
          <w:tab w:val="left" w:pos="851"/>
        </w:tabs>
        <w:ind w:left="851"/>
        <w:rPr>
          <w:sz w:val="24"/>
          <w:szCs w:val="24"/>
          <w:lang w:val="en-GB"/>
        </w:rPr>
      </w:pPr>
    </w:p>
    <w:p w14:paraId="523EC616" w14:textId="77777777" w:rsidR="007C5D2A" w:rsidRPr="00243CC4" w:rsidRDefault="007C5D2A" w:rsidP="003E0341">
      <w:pPr>
        <w:tabs>
          <w:tab w:val="left" w:pos="851"/>
        </w:tabs>
        <w:ind w:left="851"/>
        <w:rPr>
          <w:sz w:val="24"/>
          <w:szCs w:val="24"/>
          <w:lang w:val="en-GB"/>
        </w:rPr>
      </w:pPr>
    </w:p>
    <w:p w14:paraId="4D421481" w14:textId="77777777" w:rsidR="007C5D2A" w:rsidRPr="00243CC4" w:rsidRDefault="009925C9" w:rsidP="007C5D2A">
      <w:pPr>
        <w:ind w:left="851" w:hanging="851"/>
        <w:rPr>
          <w:b/>
          <w:sz w:val="24"/>
          <w:szCs w:val="24"/>
          <w:lang w:val="en-GB"/>
        </w:rPr>
      </w:pPr>
      <w:r w:rsidRPr="00243CC4">
        <w:rPr>
          <w:b/>
          <w:sz w:val="24"/>
          <w:szCs w:val="24"/>
          <w:lang w:val="en-GB"/>
        </w:rPr>
        <w:t>6.</w:t>
      </w:r>
      <w:r w:rsidR="007C5D2A" w:rsidRPr="00243CC4">
        <w:rPr>
          <w:b/>
          <w:sz w:val="24"/>
          <w:szCs w:val="24"/>
          <w:lang w:val="en-GB"/>
        </w:rPr>
        <w:tab/>
        <w:t>PHARMACEUTICAL PARTICULARS</w:t>
      </w:r>
    </w:p>
    <w:p w14:paraId="7B1982E2" w14:textId="77777777" w:rsidR="007C5D2A" w:rsidRPr="00243CC4" w:rsidRDefault="007C5D2A" w:rsidP="003E0341">
      <w:pPr>
        <w:tabs>
          <w:tab w:val="left" w:pos="851"/>
        </w:tabs>
        <w:ind w:left="851"/>
        <w:rPr>
          <w:sz w:val="24"/>
          <w:szCs w:val="24"/>
          <w:lang w:val="en-GB"/>
        </w:rPr>
      </w:pPr>
    </w:p>
    <w:p w14:paraId="1CBF1921" w14:textId="77777777" w:rsidR="007C5D2A" w:rsidRPr="00243CC4" w:rsidRDefault="007C5D2A" w:rsidP="007C5D2A">
      <w:pPr>
        <w:ind w:left="851" w:hanging="851"/>
        <w:rPr>
          <w:b/>
          <w:sz w:val="24"/>
          <w:szCs w:val="24"/>
          <w:lang w:val="en-GB"/>
        </w:rPr>
      </w:pPr>
      <w:r w:rsidRPr="00243CC4">
        <w:rPr>
          <w:b/>
          <w:sz w:val="24"/>
          <w:szCs w:val="24"/>
          <w:lang w:val="en-GB"/>
        </w:rPr>
        <w:t>6.1</w:t>
      </w:r>
      <w:r w:rsidRPr="00243CC4">
        <w:rPr>
          <w:b/>
          <w:sz w:val="24"/>
          <w:szCs w:val="24"/>
          <w:lang w:val="en-GB"/>
        </w:rPr>
        <w:tab/>
        <w:t>List of excipients</w:t>
      </w:r>
    </w:p>
    <w:p w14:paraId="5848FB7C" w14:textId="77777777" w:rsidR="003B36A9" w:rsidRPr="00243CC4" w:rsidRDefault="003B36A9" w:rsidP="00A02E32">
      <w:pPr>
        <w:ind w:left="851"/>
        <w:rPr>
          <w:sz w:val="24"/>
          <w:szCs w:val="24"/>
          <w:lang w:val="en-US"/>
        </w:rPr>
      </w:pPr>
      <w:r w:rsidRPr="00243CC4">
        <w:rPr>
          <w:sz w:val="24"/>
          <w:szCs w:val="24"/>
          <w:lang w:val="en-US"/>
        </w:rPr>
        <w:t>Water for injections.</w:t>
      </w:r>
    </w:p>
    <w:p w14:paraId="620E84A7" w14:textId="77777777" w:rsidR="007C5D2A" w:rsidRPr="00243CC4" w:rsidRDefault="007C5D2A" w:rsidP="003D727E">
      <w:pPr>
        <w:tabs>
          <w:tab w:val="left" w:pos="851"/>
        </w:tabs>
        <w:ind w:left="851"/>
        <w:rPr>
          <w:sz w:val="24"/>
          <w:szCs w:val="24"/>
          <w:lang w:val="en-GB"/>
        </w:rPr>
      </w:pPr>
    </w:p>
    <w:p w14:paraId="6203EB22" w14:textId="77777777" w:rsidR="007C5D2A" w:rsidRPr="00243CC4" w:rsidRDefault="007C5D2A" w:rsidP="007C5D2A">
      <w:pPr>
        <w:ind w:left="851" w:hanging="851"/>
        <w:rPr>
          <w:b/>
          <w:sz w:val="24"/>
          <w:szCs w:val="24"/>
          <w:lang w:val="en-GB"/>
        </w:rPr>
      </w:pPr>
      <w:r w:rsidRPr="00243CC4">
        <w:rPr>
          <w:b/>
          <w:sz w:val="24"/>
          <w:szCs w:val="24"/>
          <w:lang w:val="en-GB"/>
        </w:rPr>
        <w:t>6.2</w:t>
      </w:r>
      <w:r w:rsidRPr="00243CC4">
        <w:rPr>
          <w:b/>
          <w:sz w:val="24"/>
          <w:szCs w:val="24"/>
          <w:lang w:val="en-GB"/>
        </w:rPr>
        <w:tab/>
        <w:t>Incompatibilities</w:t>
      </w:r>
    </w:p>
    <w:p w14:paraId="02935C79" w14:textId="77777777" w:rsidR="003B36A9" w:rsidRPr="00243CC4" w:rsidRDefault="003B36A9" w:rsidP="00A02E32">
      <w:pPr>
        <w:ind w:left="851"/>
        <w:rPr>
          <w:sz w:val="24"/>
          <w:szCs w:val="24"/>
          <w:lang w:val="en-US"/>
        </w:rPr>
      </w:pPr>
      <w:r w:rsidRPr="00243CC4">
        <w:rPr>
          <w:sz w:val="24"/>
          <w:szCs w:val="24"/>
          <w:lang w:val="en-US"/>
        </w:rPr>
        <w:t>This medicinal product must not be mixed with other medicinal products except those mentioned in section 6.6.</w:t>
      </w:r>
    </w:p>
    <w:p w14:paraId="6A4F2FD3" w14:textId="77777777" w:rsidR="003B36A9" w:rsidRPr="00243CC4" w:rsidRDefault="003B36A9" w:rsidP="00A02E32">
      <w:pPr>
        <w:ind w:left="851"/>
        <w:rPr>
          <w:color w:val="000000"/>
          <w:sz w:val="24"/>
          <w:szCs w:val="24"/>
          <w:lang w:val="en-US"/>
        </w:rPr>
      </w:pPr>
    </w:p>
    <w:p w14:paraId="7AEA8F63" w14:textId="77777777" w:rsidR="003B36A9" w:rsidRPr="00243CC4" w:rsidRDefault="003B36A9" w:rsidP="00A02E32">
      <w:pPr>
        <w:ind w:left="851"/>
        <w:rPr>
          <w:color w:val="000000"/>
          <w:sz w:val="24"/>
          <w:szCs w:val="24"/>
          <w:lang w:val="en-US"/>
        </w:rPr>
      </w:pPr>
      <w:r w:rsidRPr="00243CC4">
        <w:rPr>
          <w:color w:val="000000"/>
          <w:sz w:val="24"/>
          <w:szCs w:val="24"/>
          <w:lang w:val="en-US"/>
        </w:rPr>
        <w:t xml:space="preserve">Carboplatin may interact with </w:t>
      </w:r>
      <w:proofErr w:type="spellStart"/>
      <w:r w:rsidRPr="00243CC4">
        <w:rPr>
          <w:color w:val="000000"/>
          <w:sz w:val="24"/>
          <w:szCs w:val="24"/>
          <w:lang w:val="en-US"/>
        </w:rPr>
        <w:t>aluminium</w:t>
      </w:r>
      <w:proofErr w:type="spellEnd"/>
      <w:r w:rsidRPr="00243CC4">
        <w:rPr>
          <w:color w:val="000000"/>
          <w:sz w:val="24"/>
          <w:szCs w:val="24"/>
          <w:lang w:val="en-US"/>
        </w:rPr>
        <w:t xml:space="preserve"> to form a black precipitate. Needles, syringes, catheters or intravenous sets containing </w:t>
      </w:r>
      <w:proofErr w:type="spellStart"/>
      <w:r w:rsidRPr="00243CC4">
        <w:rPr>
          <w:color w:val="000000"/>
          <w:sz w:val="24"/>
          <w:szCs w:val="24"/>
          <w:lang w:val="en-US"/>
        </w:rPr>
        <w:t>aluminium</w:t>
      </w:r>
      <w:proofErr w:type="spellEnd"/>
      <w:r w:rsidRPr="00243CC4">
        <w:rPr>
          <w:color w:val="000000"/>
          <w:sz w:val="24"/>
          <w:szCs w:val="24"/>
          <w:lang w:val="en-US"/>
        </w:rPr>
        <w:t xml:space="preserve"> parts that may come into contact with carboplatin should not be used for preparation or administration of carboplatin.</w:t>
      </w:r>
      <w:r w:rsidRPr="00243CC4">
        <w:rPr>
          <w:sz w:val="24"/>
          <w:szCs w:val="24"/>
          <w:lang w:val="en-US"/>
        </w:rPr>
        <w:t xml:space="preserve"> </w:t>
      </w:r>
      <w:r w:rsidRPr="00243CC4">
        <w:rPr>
          <w:color w:val="000000"/>
          <w:sz w:val="24"/>
          <w:szCs w:val="24"/>
          <w:lang w:val="en-US"/>
        </w:rPr>
        <w:t>Precipitation can lead to a reduction of the antineoplastic activity.</w:t>
      </w:r>
    </w:p>
    <w:p w14:paraId="4CC94BED" w14:textId="77777777" w:rsidR="007C5D2A" w:rsidRPr="00243CC4" w:rsidRDefault="007C5D2A" w:rsidP="003E0341">
      <w:pPr>
        <w:tabs>
          <w:tab w:val="left" w:pos="851"/>
        </w:tabs>
        <w:ind w:left="851"/>
        <w:rPr>
          <w:sz w:val="24"/>
          <w:szCs w:val="24"/>
          <w:lang w:val="en-GB"/>
        </w:rPr>
      </w:pPr>
    </w:p>
    <w:p w14:paraId="61728F5F" w14:textId="77777777" w:rsidR="007C5D2A" w:rsidRPr="00243CC4" w:rsidRDefault="007C5D2A" w:rsidP="007C5D2A">
      <w:pPr>
        <w:ind w:left="851" w:hanging="851"/>
        <w:rPr>
          <w:b/>
          <w:sz w:val="24"/>
          <w:szCs w:val="24"/>
          <w:lang w:val="en-GB"/>
        </w:rPr>
      </w:pPr>
      <w:r w:rsidRPr="00243CC4">
        <w:rPr>
          <w:b/>
          <w:sz w:val="24"/>
          <w:szCs w:val="24"/>
          <w:lang w:val="en-GB"/>
        </w:rPr>
        <w:t>6.3</w:t>
      </w:r>
      <w:r w:rsidRPr="00243CC4">
        <w:rPr>
          <w:b/>
          <w:sz w:val="24"/>
          <w:szCs w:val="24"/>
          <w:lang w:val="en-GB"/>
        </w:rPr>
        <w:tab/>
        <w:t>Shelf</w:t>
      </w:r>
      <w:r w:rsidR="00B45DC5" w:rsidRPr="00243CC4">
        <w:rPr>
          <w:b/>
          <w:sz w:val="24"/>
          <w:szCs w:val="24"/>
          <w:lang w:val="en-GB"/>
        </w:rPr>
        <w:t xml:space="preserve"> </w:t>
      </w:r>
      <w:r w:rsidRPr="00243CC4">
        <w:rPr>
          <w:b/>
          <w:sz w:val="24"/>
          <w:szCs w:val="24"/>
          <w:lang w:val="en-GB"/>
        </w:rPr>
        <w:t>life</w:t>
      </w:r>
    </w:p>
    <w:p w14:paraId="157AD874" w14:textId="77777777" w:rsidR="00AD5991" w:rsidRPr="00243CC4" w:rsidRDefault="00AD5991" w:rsidP="00A02E32">
      <w:pPr>
        <w:ind w:left="851"/>
        <w:rPr>
          <w:sz w:val="24"/>
          <w:szCs w:val="24"/>
          <w:lang w:val="en-US"/>
        </w:rPr>
      </w:pPr>
    </w:p>
    <w:p w14:paraId="3FA37C30" w14:textId="4AFE366D" w:rsidR="003B36A9" w:rsidRPr="00243CC4" w:rsidRDefault="003B36A9" w:rsidP="00A02E32">
      <w:pPr>
        <w:ind w:left="851"/>
        <w:rPr>
          <w:sz w:val="24"/>
          <w:szCs w:val="24"/>
          <w:u w:val="single"/>
          <w:lang w:val="en-US"/>
        </w:rPr>
      </w:pPr>
      <w:r w:rsidRPr="00243CC4">
        <w:rPr>
          <w:sz w:val="24"/>
          <w:szCs w:val="24"/>
          <w:u w:val="single"/>
          <w:lang w:val="en-US"/>
        </w:rPr>
        <w:t>Unopened vial</w:t>
      </w:r>
    </w:p>
    <w:p w14:paraId="7DE016E6" w14:textId="77777777" w:rsidR="003B36A9" w:rsidRPr="00243CC4" w:rsidRDefault="003B36A9" w:rsidP="00A02E32">
      <w:pPr>
        <w:ind w:left="851"/>
        <w:rPr>
          <w:sz w:val="24"/>
          <w:szCs w:val="24"/>
          <w:lang w:val="en-US"/>
        </w:rPr>
      </w:pPr>
      <w:r w:rsidRPr="00243CC4">
        <w:rPr>
          <w:sz w:val="24"/>
          <w:szCs w:val="24"/>
          <w:lang w:val="en-US"/>
        </w:rPr>
        <w:t>18 months</w:t>
      </w:r>
    </w:p>
    <w:p w14:paraId="18DB711D" w14:textId="77777777" w:rsidR="003B36A9" w:rsidRPr="00243CC4" w:rsidRDefault="003B36A9" w:rsidP="00A02E32">
      <w:pPr>
        <w:ind w:left="851"/>
        <w:rPr>
          <w:sz w:val="24"/>
          <w:szCs w:val="24"/>
          <w:lang w:val="en-US"/>
        </w:rPr>
      </w:pPr>
    </w:p>
    <w:p w14:paraId="358F2D3E" w14:textId="77777777" w:rsidR="003B36A9" w:rsidRPr="00243CC4" w:rsidRDefault="003B36A9" w:rsidP="00A02E32">
      <w:pPr>
        <w:ind w:left="851"/>
        <w:rPr>
          <w:sz w:val="24"/>
          <w:szCs w:val="24"/>
          <w:u w:val="single"/>
          <w:lang w:val="en-US"/>
        </w:rPr>
      </w:pPr>
      <w:r w:rsidRPr="00243CC4">
        <w:rPr>
          <w:sz w:val="24"/>
          <w:szCs w:val="24"/>
          <w:u w:val="single"/>
          <w:lang w:val="en-US"/>
        </w:rPr>
        <w:t>Diluted solution</w:t>
      </w:r>
    </w:p>
    <w:p w14:paraId="50C776D8" w14:textId="77777777" w:rsidR="003B36A9" w:rsidRPr="00243CC4" w:rsidRDefault="003B36A9" w:rsidP="00A02E32">
      <w:pPr>
        <w:ind w:left="851"/>
        <w:rPr>
          <w:noProof/>
          <w:sz w:val="24"/>
          <w:szCs w:val="24"/>
          <w:lang w:val="en-US"/>
        </w:rPr>
      </w:pPr>
      <w:r w:rsidRPr="00243CC4">
        <w:rPr>
          <w:noProof/>
          <w:sz w:val="24"/>
          <w:szCs w:val="24"/>
          <w:lang w:val="en-US"/>
        </w:rPr>
        <w:t>Chemical and physical in-use stability has been demonstrated for 8 hours at 25 °C.</w:t>
      </w:r>
    </w:p>
    <w:p w14:paraId="0F2715B6" w14:textId="77777777" w:rsidR="003B36A9" w:rsidRPr="00243CC4" w:rsidRDefault="003B36A9" w:rsidP="00A02E32">
      <w:pPr>
        <w:ind w:left="851"/>
        <w:rPr>
          <w:noProof/>
          <w:sz w:val="24"/>
          <w:szCs w:val="24"/>
          <w:lang w:val="en-US"/>
        </w:rPr>
      </w:pPr>
      <w:r w:rsidRPr="00243CC4">
        <w:rPr>
          <w:noProof/>
          <w:sz w:val="24"/>
          <w:szCs w:val="24"/>
          <w:lang w:val="en-US"/>
        </w:rPr>
        <w:t>From a microbiological point of view,</w:t>
      </w:r>
      <w:r w:rsidRPr="00243CC4">
        <w:rPr>
          <w:sz w:val="24"/>
          <w:szCs w:val="24"/>
          <w:lang w:val="en-US"/>
        </w:rPr>
        <w:t xml:space="preserve"> </w:t>
      </w:r>
      <w:r w:rsidRPr="00243CC4">
        <w:rPr>
          <w:noProof/>
          <w:sz w:val="24"/>
          <w:szCs w:val="24"/>
          <w:lang w:val="en-US"/>
        </w:rPr>
        <w:t>unless the method of dilution precludes the risk of microbial contamination, the product must be used immediately. If not used immediately, in-use storage times and conditions prior to use are the responsibility of the user.</w:t>
      </w:r>
    </w:p>
    <w:p w14:paraId="45F6171A" w14:textId="77777777" w:rsidR="007C5D2A" w:rsidRPr="00243CC4" w:rsidRDefault="007C5D2A" w:rsidP="003E0341">
      <w:pPr>
        <w:tabs>
          <w:tab w:val="left" w:pos="851"/>
        </w:tabs>
        <w:ind w:left="851"/>
        <w:rPr>
          <w:sz w:val="24"/>
          <w:szCs w:val="24"/>
          <w:lang w:val="en-GB"/>
        </w:rPr>
      </w:pPr>
    </w:p>
    <w:p w14:paraId="0CE11798" w14:textId="77777777" w:rsidR="007C5D2A" w:rsidRPr="00243CC4" w:rsidRDefault="007C5D2A" w:rsidP="007C5D2A">
      <w:pPr>
        <w:ind w:left="851" w:hanging="851"/>
        <w:rPr>
          <w:b/>
          <w:sz w:val="24"/>
          <w:szCs w:val="24"/>
          <w:lang w:val="en-GB"/>
        </w:rPr>
      </w:pPr>
      <w:r w:rsidRPr="00243CC4">
        <w:rPr>
          <w:b/>
          <w:sz w:val="24"/>
          <w:szCs w:val="24"/>
          <w:lang w:val="en-GB"/>
        </w:rPr>
        <w:t>6.4</w:t>
      </w:r>
      <w:r w:rsidRPr="00243CC4">
        <w:rPr>
          <w:b/>
          <w:sz w:val="24"/>
          <w:szCs w:val="24"/>
          <w:lang w:val="en-GB"/>
        </w:rPr>
        <w:tab/>
        <w:t>Special precautions for storage</w:t>
      </w:r>
    </w:p>
    <w:p w14:paraId="3B657D18" w14:textId="77777777" w:rsidR="003B36A9" w:rsidRPr="00243CC4" w:rsidRDefault="003B36A9" w:rsidP="00A02E32">
      <w:pPr>
        <w:ind w:left="851"/>
        <w:rPr>
          <w:noProof/>
          <w:sz w:val="24"/>
          <w:szCs w:val="24"/>
          <w:lang w:val="en-US"/>
        </w:rPr>
      </w:pPr>
      <w:r w:rsidRPr="00243CC4">
        <w:rPr>
          <w:noProof/>
          <w:sz w:val="24"/>
          <w:szCs w:val="24"/>
          <w:lang w:val="en-US"/>
        </w:rPr>
        <w:t xml:space="preserve">Unopened vials: Store below 25 °C. Keep the container in the outer carton in order to protect from light. </w:t>
      </w:r>
    </w:p>
    <w:p w14:paraId="3F7CCCA6" w14:textId="77777777" w:rsidR="003B36A9" w:rsidRPr="00243CC4" w:rsidRDefault="003B36A9" w:rsidP="00A02E32">
      <w:pPr>
        <w:ind w:left="851"/>
        <w:rPr>
          <w:noProof/>
          <w:sz w:val="24"/>
          <w:szCs w:val="24"/>
          <w:lang w:val="en-US"/>
        </w:rPr>
      </w:pPr>
    </w:p>
    <w:p w14:paraId="31C3C85C" w14:textId="77777777" w:rsidR="003B36A9" w:rsidRPr="00243CC4" w:rsidRDefault="003B36A9" w:rsidP="00A02E32">
      <w:pPr>
        <w:ind w:left="851"/>
        <w:rPr>
          <w:noProof/>
          <w:sz w:val="24"/>
          <w:szCs w:val="24"/>
          <w:lang w:val="en-US"/>
        </w:rPr>
      </w:pPr>
      <w:r w:rsidRPr="00243CC4">
        <w:rPr>
          <w:sz w:val="24"/>
          <w:szCs w:val="24"/>
          <w:lang w:val="en-US"/>
        </w:rPr>
        <w:t>For storage conditions after dilution of the medicinal product, see section 6.3.</w:t>
      </w:r>
    </w:p>
    <w:p w14:paraId="2DFCA96D" w14:textId="77777777" w:rsidR="007C5D2A" w:rsidRPr="00243CC4" w:rsidRDefault="007C5D2A" w:rsidP="003E0341">
      <w:pPr>
        <w:tabs>
          <w:tab w:val="left" w:pos="851"/>
        </w:tabs>
        <w:ind w:left="851"/>
        <w:rPr>
          <w:sz w:val="24"/>
          <w:szCs w:val="24"/>
          <w:lang w:val="en-GB"/>
        </w:rPr>
      </w:pPr>
    </w:p>
    <w:p w14:paraId="50FC7C29" w14:textId="77777777" w:rsidR="007C5D2A" w:rsidRPr="00243CC4" w:rsidRDefault="007C5D2A" w:rsidP="007C5D2A">
      <w:pPr>
        <w:ind w:left="851" w:hanging="851"/>
        <w:rPr>
          <w:b/>
          <w:sz w:val="24"/>
          <w:szCs w:val="24"/>
          <w:lang w:val="en-GB"/>
        </w:rPr>
      </w:pPr>
      <w:r w:rsidRPr="00243CC4">
        <w:rPr>
          <w:b/>
          <w:sz w:val="24"/>
          <w:szCs w:val="24"/>
          <w:lang w:val="en-GB"/>
        </w:rPr>
        <w:t>6.5</w:t>
      </w:r>
      <w:r w:rsidRPr="00243CC4">
        <w:rPr>
          <w:b/>
          <w:sz w:val="24"/>
          <w:szCs w:val="24"/>
          <w:lang w:val="en-GB"/>
        </w:rPr>
        <w:tab/>
        <w:t>Nature and contents of container</w:t>
      </w:r>
    </w:p>
    <w:p w14:paraId="6A48F13F" w14:textId="77777777" w:rsidR="003B36A9" w:rsidRPr="00243CC4" w:rsidRDefault="003B36A9" w:rsidP="00A02E32">
      <w:pPr>
        <w:ind w:left="851"/>
        <w:rPr>
          <w:sz w:val="24"/>
          <w:szCs w:val="24"/>
          <w:lang w:val="en-US"/>
        </w:rPr>
      </w:pPr>
      <w:proofErr w:type="spellStart"/>
      <w:r w:rsidRPr="00243CC4">
        <w:rPr>
          <w:sz w:val="24"/>
          <w:szCs w:val="24"/>
          <w:lang w:val="en-US"/>
        </w:rPr>
        <w:t>Colourless</w:t>
      </w:r>
      <w:proofErr w:type="spellEnd"/>
      <w:r w:rsidRPr="00243CC4">
        <w:rPr>
          <w:sz w:val="24"/>
          <w:szCs w:val="24"/>
          <w:lang w:val="en-US"/>
        </w:rPr>
        <w:t xml:space="preserve"> type I glass vial with </w:t>
      </w:r>
      <w:proofErr w:type="spellStart"/>
      <w:r w:rsidRPr="00243CC4">
        <w:rPr>
          <w:sz w:val="24"/>
          <w:szCs w:val="24"/>
          <w:lang w:val="en-US"/>
        </w:rPr>
        <w:t>bromobutyl</w:t>
      </w:r>
      <w:proofErr w:type="spellEnd"/>
      <w:r w:rsidRPr="00243CC4">
        <w:rPr>
          <w:sz w:val="24"/>
          <w:szCs w:val="24"/>
          <w:lang w:val="en-US"/>
        </w:rPr>
        <w:t xml:space="preserve"> rubber stoppers and </w:t>
      </w:r>
      <w:proofErr w:type="spellStart"/>
      <w:r w:rsidRPr="00243CC4">
        <w:rPr>
          <w:sz w:val="24"/>
          <w:szCs w:val="24"/>
          <w:lang w:val="en-US"/>
        </w:rPr>
        <w:t>aluminium</w:t>
      </w:r>
      <w:proofErr w:type="spellEnd"/>
      <w:r w:rsidRPr="00243CC4">
        <w:rPr>
          <w:sz w:val="24"/>
          <w:szCs w:val="24"/>
          <w:lang w:val="en-US"/>
        </w:rPr>
        <w:t xml:space="preserve"> cap with polypropylene disk.</w:t>
      </w:r>
    </w:p>
    <w:p w14:paraId="0B5BF999" w14:textId="77777777" w:rsidR="003B36A9" w:rsidRPr="00243CC4" w:rsidRDefault="003B36A9" w:rsidP="00A02E32">
      <w:pPr>
        <w:ind w:left="851"/>
        <w:rPr>
          <w:sz w:val="24"/>
          <w:szCs w:val="24"/>
          <w:lang w:val="en-US"/>
        </w:rPr>
      </w:pPr>
    </w:p>
    <w:p w14:paraId="628311C9" w14:textId="77777777" w:rsidR="003B36A9" w:rsidRPr="00243CC4" w:rsidRDefault="003B36A9" w:rsidP="00A02E32">
      <w:pPr>
        <w:ind w:left="851"/>
        <w:rPr>
          <w:sz w:val="24"/>
          <w:szCs w:val="24"/>
          <w:lang w:val="en-US"/>
        </w:rPr>
      </w:pPr>
      <w:r w:rsidRPr="00243CC4">
        <w:rPr>
          <w:sz w:val="24"/>
          <w:szCs w:val="24"/>
          <w:lang w:val="en-US"/>
        </w:rPr>
        <w:t>The vial will be packed with or without a protective plastic overwrap.</w:t>
      </w:r>
    </w:p>
    <w:p w14:paraId="594E367E" w14:textId="77777777" w:rsidR="003B36A9" w:rsidRPr="00243CC4" w:rsidRDefault="003B36A9" w:rsidP="00A02E32">
      <w:pPr>
        <w:ind w:left="851"/>
        <w:rPr>
          <w:sz w:val="24"/>
          <w:szCs w:val="24"/>
          <w:lang w:val="en-US"/>
        </w:rPr>
      </w:pPr>
    </w:p>
    <w:p w14:paraId="288D5DE3" w14:textId="194CC26D" w:rsidR="003B36A9" w:rsidRPr="00243CC4" w:rsidRDefault="003B36A9" w:rsidP="00A02E32">
      <w:pPr>
        <w:ind w:left="851"/>
        <w:rPr>
          <w:sz w:val="24"/>
          <w:szCs w:val="24"/>
          <w:lang w:val="en-US"/>
        </w:rPr>
      </w:pPr>
      <w:r w:rsidRPr="00243CC4">
        <w:rPr>
          <w:sz w:val="24"/>
          <w:szCs w:val="24"/>
          <w:lang w:val="en-US"/>
        </w:rPr>
        <w:t>Pack sizes: 1</w:t>
      </w:r>
      <w:r w:rsidR="00AD5991" w:rsidRPr="00243CC4">
        <w:rPr>
          <w:sz w:val="24"/>
          <w:szCs w:val="24"/>
          <w:lang w:val="en-US"/>
        </w:rPr>
        <w:t>×</w:t>
      </w:r>
      <w:r w:rsidRPr="00243CC4">
        <w:rPr>
          <w:sz w:val="24"/>
          <w:szCs w:val="24"/>
          <w:lang w:val="en-US"/>
        </w:rPr>
        <w:t>5 ml, 5</w:t>
      </w:r>
      <w:r w:rsidR="00AD5991" w:rsidRPr="00243CC4">
        <w:rPr>
          <w:sz w:val="24"/>
          <w:szCs w:val="24"/>
          <w:lang w:val="en-US"/>
        </w:rPr>
        <w:t>×</w:t>
      </w:r>
      <w:r w:rsidRPr="00243CC4">
        <w:rPr>
          <w:sz w:val="24"/>
          <w:szCs w:val="24"/>
          <w:lang w:val="en-US"/>
        </w:rPr>
        <w:t>5 ml, 1</w:t>
      </w:r>
      <w:r w:rsidR="00AD5991" w:rsidRPr="00243CC4">
        <w:rPr>
          <w:sz w:val="24"/>
          <w:szCs w:val="24"/>
          <w:lang w:val="en-US"/>
        </w:rPr>
        <w:t>×</w:t>
      </w:r>
      <w:r w:rsidRPr="00243CC4">
        <w:rPr>
          <w:sz w:val="24"/>
          <w:szCs w:val="24"/>
          <w:lang w:val="en-US"/>
        </w:rPr>
        <w:t>15 ml, 1</w:t>
      </w:r>
      <w:r w:rsidR="00AD5991" w:rsidRPr="00243CC4">
        <w:rPr>
          <w:sz w:val="24"/>
          <w:szCs w:val="24"/>
          <w:lang w:val="en-US"/>
        </w:rPr>
        <w:t>×</w:t>
      </w:r>
      <w:r w:rsidRPr="00243CC4">
        <w:rPr>
          <w:sz w:val="24"/>
          <w:szCs w:val="24"/>
          <w:lang w:val="en-US"/>
        </w:rPr>
        <w:t>45 ml, 1</w:t>
      </w:r>
      <w:r w:rsidR="00AD5991" w:rsidRPr="00243CC4">
        <w:rPr>
          <w:sz w:val="24"/>
          <w:szCs w:val="24"/>
          <w:lang w:val="en-US"/>
        </w:rPr>
        <w:t>×</w:t>
      </w:r>
      <w:r w:rsidRPr="00243CC4">
        <w:rPr>
          <w:sz w:val="24"/>
          <w:szCs w:val="24"/>
          <w:lang w:val="en-US"/>
        </w:rPr>
        <w:t>60 ml</w:t>
      </w:r>
    </w:p>
    <w:p w14:paraId="52578656" w14:textId="77777777" w:rsidR="003B36A9" w:rsidRPr="00243CC4" w:rsidRDefault="003B36A9" w:rsidP="00A02E32">
      <w:pPr>
        <w:ind w:left="851"/>
        <w:rPr>
          <w:sz w:val="24"/>
          <w:szCs w:val="24"/>
          <w:lang w:val="en-US"/>
        </w:rPr>
      </w:pPr>
    </w:p>
    <w:p w14:paraId="02C965EA" w14:textId="77777777" w:rsidR="003B36A9" w:rsidRPr="00243CC4" w:rsidRDefault="003B36A9" w:rsidP="00A02E32">
      <w:pPr>
        <w:ind w:left="851"/>
        <w:rPr>
          <w:sz w:val="24"/>
          <w:szCs w:val="24"/>
          <w:lang w:val="en-US"/>
        </w:rPr>
      </w:pPr>
      <w:r w:rsidRPr="00243CC4">
        <w:rPr>
          <w:sz w:val="24"/>
          <w:szCs w:val="24"/>
          <w:lang w:val="en-US"/>
        </w:rPr>
        <w:t>Not all pack sizes may be marketed.</w:t>
      </w:r>
    </w:p>
    <w:p w14:paraId="442DC43D" w14:textId="77777777" w:rsidR="007C5D2A" w:rsidRPr="00243CC4" w:rsidRDefault="007C5D2A" w:rsidP="003E0341">
      <w:pPr>
        <w:tabs>
          <w:tab w:val="left" w:pos="851"/>
        </w:tabs>
        <w:ind w:left="851"/>
        <w:rPr>
          <w:sz w:val="24"/>
          <w:szCs w:val="24"/>
          <w:lang w:val="en-GB"/>
        </w:rPr>
      </w:pPr>
    </w:p>
    <w:p w14:paraId="2ACE2018" w14:textId="77777777" w:rsidR="007C5D2A" w:rsidRPr="00243CC4" w:rsidRDefault="007C5D2A" w:rsidP="007C5D2A">
      <w:pPr>
        <w:ind w:left="851" w:hanging="851"/>
        <w:rPr>
          <w:b/>
          <w:sz w:val="24"/>
          <w:szCs w:val="24"/>
          <w:lang w:val="en-GB"/>
        </w:rPr>
      </w:pPr>
      <w:r w:rsidRPr="00243CC4">
        <w:rPr>
          <w:b/>
          <w:sz w:val="24"/>
          <w:szCs w:val="24"/>
          <w:lang w:val="en-GB"/>
        </w:rPr>
        <w:t>6.6</w:t>
      </w:r>
      <w:r w:rsidRPr="00243CC4">
        <w:rPr>
          <w:b/>
          <w:sz w:val="24"/>
          <w:szCs w:val="24"/>
          <w:lang w:val="en-GB"/>
        </w:rPr>
        <w:tab/>
        <w:t>Special precautions for disposal and other handling</w:t>
      </w:r>
    </w:p>
    <w:p w14:paraId="0FEF2B53" w14:textId="77777777" w:rsidR="003B36A9" w:rsidRPr="00243CC4" w:rsidRDefault="003B36A9" w:rsidP="00A02E32">
      <w:pPr>
        <w:ind w:left="851"/>
        <w:rPr>
          <w:sz w:val="24"/>
          <w:szCs w:val="24"/>
          <w:lang w:val="en-US"/>
        </w:rPr>
      </w:pPr>
      <w:r w:rsidRPr="00243CC4">
        <w:rPr>
          <w:sz w:val="24"/>
          <w:szCs w:val="24"/>
          <w:lang w:val="en-US"/>
        </w:rPr>
        <w:t>This product is for single dose use only.</w:t>
      </w:r>
    </w:p>
    <w:p w14:paraId="655DD00A" w14:textId="77777777" w:rsidR="003B36A9" w:rsidRPr="00243CC4" w:rsidRDefault="003B36A9" w:rsidP="00A02E32">
      <w:pPr>
        <w:ind w:left="851"/>
        <w:rPr>
          <w:sz w:val="24"/>
          <w:szCs w:val="24"/>
          <w:lang w:val="en-US"/>
        </w:rPr>
      </w:pPr>
    </w:p>
    <w:p w14:paraId="5B02F502" w14:textId="77777777" w:rsidR="003B36A9" w:rsidRPr="00915539" w:rsidRDefault="003B36A9" w:rsidP="00A02E32">
      <w:pPr>
        <w:ind w:left="851"/>
        <w:rPr>
          <w:sz w:val="24"/>
          <w:szCs w:val="24"/>
          <w:u w:val="single"/>
          <w:lang w:val="en-US"/>
        </w:rPr>
      </w:pPr>
      <w:r w:rsidRPr="00915539">
        <w:rPr>
          <w:sz w:val="24"/>
          <w:szCs w:val="24"/>
          <w:u w:val="single"/>
          <w:lang w:val="en-US"/>
        </w:rPr>
        <w:t>Contamination</w:t>
      </w:r>
    </w:p>
    <w:p w14:paraId="1B7E44B7" w14:textId="3BBBBD2C" w:rsidR="003B36A9" w:rsidRPr="00915539" w:rsidRDefault="003B36A9" w:rsidP="00A02E32">
      <w:pPr>
        <w:ind w:left="851"/>
        <w:rPr>
          <w:sz w:val="24"/>
          <w:szCs w:val="24"/>
          <w:lang w:val="en-US"/>
        </w:rPr>
      </w:pPr>
      <w:r w:rsidRPr="00243CC4">
        <w:rPr>
          <w:sz w:val="24"/>
          <w:szCs w:val="24"/>
          <w:lang w:val="en-US"/>
        </w:rPr>
        <w:t xml:space="preserve">In the event of contact of </w:t>
      </w:r>
      <w:r w:rsidR="00A02E32" w:rsidRPr="00243CC4">
        <w:rPr>
          <w:sz w:val="24"/>
          <w:szCs w:val="24"/>
          <w:lang w:val="en-US"/>
        </w:rPr>
        <w:t>Carboplatin "Actavis"</w:t>
      </w:r>
      <w:r w:rsidRPr="00243CC4">
        <w:rPr>
          <w:sz w:val="24"/>
          <w:szCs w:val="24"/>
          <w:lang w:val="en-US"/>
        </w:rPr>
        <w:t xml:space="preserve"> with eyes or skin, wash affected area with copious amounts of water or normal saline. </w:t>
      </w:r>
      <w:r w:rsidRPr="00915539">
        <w:rPr>
          <w:sz w:val="24"/>
          <w:szCs w:val="24"/>
          <w:lang w:val="en-US"/>
        </w:rPr>
        <w:t>A bland cream may be used to treat transient stinging of skin. Medical advice should be sought if the eyes are affected.</w:t>
      </w:r>
    </w:p>
    <w:p w14:paraId="561EE50A" w14:textId="77777777" w:rsidR="003B36A9" w:rsidRPr="00915539" w:rsidRDefault="003B36A9" w:rsidP="00A02E32">
      <w:pPr>
        <w:ind w:left="851"/>
        <w:rPr>
          <w:i/>
          <w:sz w:val="24"/>
          <w:szCs w:val="24"/>
          <w:lang w:val="en-US"/>
        </w:rPr>
      </w:pPr>
      <w:bookmarkStart w:id="12" w:name="OLE_LINK164"/>
    </w:p>
    <w:p w14:paraId="7A459230" w14:textId="77777777" w:rsidR="003B36A9" w:rsidRPr="00915539" w:rsidRDefault="003B36A9" w:rsidP="00A02E32">
      <w:pPr>
        <w:ind w:left="851"/>
        <w:rPr>
          <w:i/>
          <w:sz w:val="24"/>
          <w:szCs w:val="24"/>
          <w:u w:val="single"/>
          <w:lang w:val="en-US"/>
        </w:rPr>
      </w:pPr>
      <w:r w:rsidRPr="00915539">
        <w:rPr>
          <w:i/>
          <w:sz w:val="24"/>
          <w:szCs w:val="24"/>
          <w:u w:val="single"/>
          <w:lang w:val="en-US"/>
        </w:rPr>
        <w:t>Disposal</w:t>
      </w:r>
    </w:p>
    <w:p w14:paraId="5A06284F" w14:textId="77777777" w:rsidR="003B36A9" w:rsidRPr="00243CC4" w:rsidRDefault="003B36A9" w:rsidP="00A02E32">
      <w:pPr>
        <w:ind w:left="851"/>
        <w:rPr>
          <w:sz w:val="24"/>
          <w:szCs w:val="24"/>
          <w:lang w:val="en-US"/>
        </w:rPr>
      </w:pPr>
      <w:r w:rsidRPr="00243CC4">
        <w:rPr>
          <w:sz w:val="24"/>
          <w:szCs w:val="24"/>
          <w:lang w:val="en-US"/>
        </w:rPr>
        <w:t>Any unused medicinal product or waste material should be disposed of in accordance with local requirement.</w:t>
      </w:r>
    </w:p>
    <w:p w14:paraId="394535B1" w14:textId="77777777" w:rsidR="003B36A9" w:rsidRPr="00243CC4" w:rsidRDefault="003B36A9" w:rsidP="00A02E32">
      <w:pPr>
        <w:ind w:left="851"/>
        <w:rPr>
          <w:sz w:val="24"/>
          <w:szCs w:val="24"/>
          <w:lang w:val="en-US"/>
        </w:rPr>
      </w:pPr>
    </w:p>
    <w:p w14:paraId="2F299CB8" w14:textId="77777777" w:rsidR="003B36A9" w:rsidRPr="00243CC4" w:rsidRDefault="003B36A9" w:rsidP="00A02E32">
      <w:pPr>
        <w:ind w:left="851"/>
        <w:rPr>
          <w:bCs/>
          <w:sz w:val="24"/>
          <w:szCs w:val="24"/>
          <w:u w:val="single"/>
          <w:lang w:val="en-US"/>
        </w:rPr>
      </w:pPr>
      <w:r w:rsidRPr="00243CC4">
        <w:rPr>
          <w:bCs/>
          <w:sz w:val="24"/>
          <w:szCs w:val="24"/>
          <w:u w:val="single"/>
          <w:lang w:val="en-US"/>
        </w:rPr>
        <w:t>Dilution</w:t>
      </w:r>
    </w:p>
    <w:p w14:paraId="6A6E1B61" w14:textId="56C71985" w:rsidR="003B36A9" w:rsidRPr="00243CC4" w:rsidRDefault="003B36A9" w:rsidP="00A02E32">
      <w:pPr>
        <w:ind w:left="851"/>
        <w:rPr>
          <w:sz w:val="24"/>
          <w:szCs w:val="24"/>
          <w:lang w:val="en-GB"/>
        </w:rPr>
      </w:pPr>
      <w:r w:rsidRPr="00243CC4">
        <w:rPr>
          <w:sz w:val="24"/>
          <w:szCs w:val="24"/>
          <w:lang w:val="en-US"/>
        </w:rPr>
        <w:t>The product must be diluted prior to infusion, with 5</w:t>
      </w:r>
      <w:r w:rsidR="00243CC4">
        <w:rPr>
          <w:sz w:val="24"/>
          <w:szCs w:val="24"/>
          <w:lang w:val="en-US"/>
        </w:rPr>
        <w:t xml:space="preserve"> %</w:t>
      </w:r>
      <w:r w:rsidRPr="00243CC4">
        <w:rPr>
          <w:sz w:val="24"/>
          <w:szCs w:val="24"/>
          <w:lang w:val="en-US"/>
        </w:rPr>
        <w:t xml:space="preserve"> dextrose solution or 0.9</w:t>
      </w:r>
      <w:r w:rsidR="00243CC4">
        <w:rPr>
          <w:sz w:val="24"/>
          <w:szCs w:val="24"/>
          <w:lang w:val="en-US"/>
        </w:rPr>
        <w:t xml:space="preserve"> %</w:t>
      </w:r>
      <w:r w:rsidRPr="00243CC4">
        <w:rPr>
          <w:sz w:val="24"/>
          <w:szCs w:val="24"/>
          <w:lang w:val="en-US"/>
        </w:rPr>
        <w:t xml:space="preserve"> sodium chloride solution, to concentrates as low as 0.5 mg/ml.</w:t>
      </w:r>
    </w:p>
    <w:p w14:paraId="1D1D3E98" w14:textId="77777777" w:rsidR="003B36A9" w:rsidRPr="00243CC4" w:rsidRDefault="003B36A9" w:rsidP="00A02E32">
      <w:pPr>
        <w:ind w:left="851"/>
        <w:rPr>
          <w:sz w:val="24"/>
          <w:szCs w:val="24"/>
          <w:lang w:val="en-US"/>
        </w:rPr>
      </w:pPr>
    </w:p>
    <w:p w14:paraId="05F70558" w14:textId="77777777" w:rsidR="003B36A9" w:rsidRPr="00243CC4" w:rsidRDefault="003B36A9" w:rsidP="00A02E32">
      <w:pPr>
        <w:ind w:left="851"/>
        <w:rPr>
          <w:sz w:val="24"/>
          <w:szCs w:val="24"/>
          <w:lang w:val="en-US"/>
        </w:rPr>
      </w:pPr>
      <w:r w:rsidRPr="00243CC4">
        <w:rPr>
          <w:sz w:val="24"/>
          <w:szCs w:val="24"/>
          <w:lang w:val="en-US"/>
        </w:rPr>
        <w:t>Guidelines for the safe handling of anti-neoplastic agents:</w:t>
      </w:r>
      <w:bookmarkEnd w:id="12"/>
    </w:p>
    <w:p w14:paraId="7094B651" w14:textId="77777777" w:rsidR="003B36A9" w:rsidRPr="00243CC4" w:rsidRDefault="003B36A9" w:rsidP="00A02E32">
      <w:pPr>
        <w:ind w:left="851"/>
        <w:rPr>
          <w:sz w:val="24"/>
          <w:szCs w:val="24"/>
          <w:lang w:val="en-US"/>
        </w:rPr>
      </w:pPr>
    </w:p>
    <w:p w14:paraId="142327DB" w14:textId="2C148F96" w:rsidR="003B36A9" w:rsidRPr="00243CC4" w:rsidRDefault="00A02E32" w:rsidP="00AD5991">
      <w:pPr>
        <w:pStyle w:val="Listeafsnit"/>
        <w:numPr>
          <w:ilvl w:val="0"/>
          <w:numId w:val="11"/>
        </w:numPr>
        <w:ind w:left="1276" w:hanging="425"/>
        <w:rPr>
          <w:sz w:val="24"/>
          <w:szCs w:val="24"/>
          <w:lang w:val="en-US"/>
        </w:rPr>
      </w:pPr>
      <w:r w:rsidRPr="00243CC4">
        <w:rPr>
          <w:sz w:val="24"/>
          <w:szCs w:val="24"/>
          <w:lang w:val="en-US"/>
        </w:rPr>
        <w:t>Carboplatin "Actavis"</w:t>
      </w:r>
      <w:r w:rsidR="003B36A9" w:rsidRPr="00243CC4">
        <w:rPr>
          <w:sz w:val="24"/>
          <w:szCs w:val="24"/>
          <w:lang w:val="en-US"/>
        </w:rPr>
        <w:t xml:space="preserve"> should be prepared for administration only by professionals who have been trained in the safe use of chemotherapeutic agents</w:t>
      </w:r>
    </w:p>
    <w:p w14:paraId="23BCBBBA" w14:textId="74D4B411" w:rsidR="003B36A9" w:rsidRPr="00243CC4" w:rsidRDefault="003B36A9" w:rsidP="00AD5991">
      <w:pPr>
        <w:pStyle w:val="Listeafsnit"/>
        <w:numPr>
          <w:ilvl w:val="0"/>
          <w:numId w:val="11"/>
        </w:numPr>
        <w:ind w:left="1276" w:hanging="425"/>
        <w:rPr>
          <w:sz w:val="24"/>
          <w:szCs w:val="24"/>
          <w:lang w:val="en-US"/>
        </w:rPr>
      </w:pPr>
      <w:r w:rsidRPr="00243CC4">
        <w:rPr>
          <w:sz w:val="24"/>
          <w:szCs w:val="24"/>
          <w:lang w:val="en-US"/>
        </w:rPr>
        <w:t>This should be performed in a designated area.</w:t>
      </w:r>
    </w:p>
    <w:p w14:paraId="1A7A86C5" w14:textId="65C6DE8E" w:rsidR="003B36A9" w:rsidRPr="00243CC4" w:rsidRDefault="003B36A9" w:rsidP="00AD5991">
      <w:pPr>
        <w:pStyle w:val="Listeafsnit"/>
        <w:numPr>
          <w:ilvl w:val="0"/>
          <w:numId w:val="11"/>
        </w:numPr>
        <w:ind w:left="1276" w:hanging="425"/>
        <w:rPr>
          <w:sz w:val="24"/>
          <w:szCs w:val="24"/>
          <w:lang w:val="en-US"/>
        </w:rPr>
      </w:pPr>
      <w:r w:rsidRPr="00243CC4">
        <w:rPr>
          <w:sz w:val="24"/>
          <w:szCs w:val="24"/>
          <w:lang w:val="en-US"/>
        </w:rPr>
        <w:t>Adequate protective gloves should be worn.</w:t>
      </w:r>
    </w:p>
    <w:p w14:paraId="6990EFE2" w14:textId="47BDF9E8" w:rsidR="003B36A9" w:rsidRPr="00243CC4" w:rsidRDefault="003B36A9" w:rsidP="00AD5991">
      <w:pPr>
        <w:pStyle w:val="Listeafsnit"/>
        <w:numPr>
          <w:ilvl w:val="0"/>
          <w:numId w:val="11"/>
        </w:numPr>
        <w:ind w:left="1276" w:hanging="425"/>
        <w:rPr>
          <w:sz w:val="24"/>
          <w:szCs w:val="24"/>
          <w:lang w:val="en-US"/>
        </w:rPr>
      </w:pPr>
      <w:r w:rsidRPr="00243CC4">
        <w:rPr>
          <w:sz w:val="24"/>
          <w:szCs w:val="24"/>
          <w:lang w:val="en-US"/>
        </w:rPr>
        <w:t>Precautions should be taken to avoid the drug accidentally coming into contact with the eyes. In the event of contact with the eyes, wash with water and/or saline.</w:t>
      </w:r>
    </w:p>
    <w:p w14:paraId="784F9368" w14:textId="1F77CC8F" w:rsidR="003B36A9" w:rsidRPr="00243CC4" w:rsidRDefault="003B36A9" w:rsidP="00AD5991">
      <w:pPr>
        <w:pStyle w:val="Listeafsnit"/>
        <w:numPr>
          <w:ilvl w:val="0"/>
          <w:numId w:val="11"/>
        </w:numPr>
        <w:ind w:left="1276" w:hanging="425"/>
        <w:rPr>
          <w:sz w:val="24"/>
          <w:szCs w:val="24"/>
          <w:lang w:val="en-US"/>
        </w:rPr>
      </w:pPr>
      <w:r w:rsidRPr="00243CC4">
        <w:rPr>
          <w:sz w:val="24"/>
          <w:szCs w:val="24"/>
          <w:lang w:val="en-US"/>
        </w:rPr>
        <w:t>The cytotoxic preparation should not be handled by pregnant staff.</w:t>
      </w:r>
    </w:p>
    <w:p w14:paraId="1FD6E29C" w14:textId="2FCF0C27" w:rsidR="003B36A9" w:rsidRPr="00243CC4" w:rsidRDefault="003B36A9" w:rsidP="00AD5991">
      <w:pPr>
        <w:pStyle w:val="Listeafsnit"/>
        <w:numPr>
          <w:ilvl w:val="0"/>
          <w:numId w:val="11"/>
        </w:numPr>
        <w:ind w:left="1276" w:hanging="425"/>
        <w:rPr>
          <w:sz w:val="24"/>
          <w:szCs w:val="24"/>
          <w:lang w:val="en-US"/>
        </w:rPr>
      </w:pPr>
      <w:r w:rsidRPr="00243CC4">
        <w:rPr>
          <w:sz w:val="24"/>
          <w:szCs w:val="24"/>
          <w:lang w:val="en-US"/>
        </w:rPr>
        <w:t>Adequate care and precautions should be taken in the disposal of items (syringes, needles, etc.) used to reconstitute cytotoxic drugs. Excess material and body waste may be disposed of by placing in double sealed polythene bags and incinerating at a temperature of 1,000 °C. Liquid waste may be flushed with copious amounts of water.</w:t>
      </w:r>
    </w:p>
    <w:p w14:paraId="11C04ED2" w14:textId="00C64237" w:rsidR="003B36A9" w:rsidRPr="00243CC4" w:rsidRDefault="003B36A9" w:rsidP="00AD5991">
      <w:pPr>
        <w:pStyle w:val="Listeafsnit"/>
        <w:numPr>
          <w:ilvl w:val="0"/>
          <w:numId w:val="11"/>
        </w:numPr>
        <w:ind w:left="1276" w:hanging="425"/>
        <w:rPr>
          <w:sz w:val="24"/>
          <w:szCs w:val="24"/>
          <w:lang w:val="en-US"/>
        </w:rPr>
      </w:pPr>
      <w:bookmarkStart w:id="13" w:name="OLE_LINK165"/>
      <w:r w:rsidRPr="00243CC4">
        <w:rPr>
          <w:sz w:val="24"/>
          <w:szCs w:val="24"/>
          <w:lang w:val="en-US"/>
        </w:rPr>
        <w:t>The work surface should be covered with disposable plastic-backed absorbent paper.</w:t>
      </w:r>
    </w:p>
    <w:p w14:paraId="199C8118" w14:textId="1CB40AF0" w:rsidR="003B36A9" w:rsidRPr="00243CC4" w:rsidRDefault="003B36A9" w:rsidP="00AD5991">
      <w:pPr>
        <w:pStyle w:val="Listeafsnit"/>
        <w:numPr>
          <w:ilvl w:val="0"/>
          <w:numId w:val="11"/>
        </w:numPr>
        <w:ind w:left="1276" w:hanging="425"/>
        <w:rPr>
          <w:sz w:val="24"/>
          <w:szCs w:val="24"/>
          <w:lang w:val="en-US"/>
        </w:rPr>
      </w:pPr>
      <w:r w:rsidRPr="00243CC4">
        <w:rPr>
          <w:sz w:val="24"/>
          <w:szCs w:val="24"/>
          <w:lang w:val="en-US"/>
        </w:rPr>
        <w:t xml:space="preserve">Use </w:t>
      </w:r>
      <w:proofErr w:type="spellStart"/>
      <w:r w:rsidRPr="00243CC4">
        <w:rPr>
          <w:sz w:val="24"/>
          <w:szCs w:val="24"/>
          <w:lang w:val="en-US"/>
        </w:rPr>
        <w:t>Luer</w:t>
      </w:r>
      <w:proofErr w:type="spellEnd"/>
      <w:r w:rsidRPr="00243CC4">
        <w:rPr>
          <w:sz w:val="24"/>
          <w:szCs w:val="24"/>
          <w:lang w:val="en-US"/>
        </w:rPr>
        <w:t xml:space="preserve">-Lock fittings on all syringes and sets. Large bore needles are recommended to </w:t>
      </w:r>
      <w:proofErr w:type="spellStart"/>
      <w:r w:rsidRPr="00243CC4">
        <w:rPr>
          <w:sz w:val="24"/>
          <w:szCs w:val="24"/>
          <w:lang w:val="en-US"/>
        </w:rPr>
        <w:t>minimise</w:t>
      </w:r>
      <w:proofErr w:type="spellEnd"/>
      <w:r w:rsidRPr="00243CC4">
        <w:rPr>
          <w:sz w:val="24"/>
          <w:szCs w:val="24"/>
          <w:lang w:val="en-US"/>
        </w:rPr>
        <w:t xml:space="preserve"> pressure and the possible formation of aerosols. The latter may also be reduced by the use of a venting needle.</w:t>
      </w:r>
      <w:bookmarkEnd w:id="13"/>
    </w:p>
    <w:p w14:paraId="089EBF39" w14:textId="77777777" w:rsidR="007C5D2A" w:rsidRPr="00243CC4" w:rsidRDefault="007C5D2A" w:rsidP="00AB4376">
      <w:pPr>
        <w:tabs>
          <w:tab w:val="left" w:pos="851"/>
        </w:tabs>
        <w:ind w:left="851"/>
        <w:rPr>
          <w:sz w:val="24"/>
          <w:szCs w:val="24"/>
          <w:lang w:val="en-GB"/>
        </w:rPr>
      </w:pPr>
    </w:p>
    <w:p w14:paraId="4D1A9E69" w14:textId="77777777" w:rsidR="007C5D2A" w:rsidRPr="00243CC4" w:rsidRDefault="007C5D2A" w:rsidP="007C5D2A">
      <w:pPr>
        <w:tabs>
          <w:tab w:val="left" w:pos="851"/>
        </w:tabs>
        <w:ind w:left="851" w:hanging="851"/>
        <w:jc w:val="both"/>
        <w:rPr>
          <w:b/>
          <w:sz w:val="24"/>
          <w:szCs w:val="24"/>
          <w:lang w:val="en-GB"/>
        </w:rPr>
      </w:pPr>
      <w:r w:rsidRPr="00243CC4">
        <w:rPr>
          <w:b/>
          <w:sz w:val="24"/>
          <w:szCs w:val="24"/>
          <w:lang w:val="en-GB"/>
        </w:rPr>
        <w:t>7.</w:t>
      </w:r>
      <w:r w:rsidRPr="00243CC4">
        <w:rPr>
          <w:b/>
          <w:sz w:val="24"/>
          <w:szCs w:val="24"/>
          <w:lang w:val="en-GB"/>
        </w:rPr>
        <w:tab/>
        <w:t>MARKETING AUTHORISATION HOLDER</w:t>
      </w:r>
    </w:p>
    <w:p w14:paraId="5E64D6F2" w14:textId="47932AB3" w:rsidR="003B36A9" w:rsidRPr="00243CC4" w:rsidRDefault="003B36A9" w:rsidP="00AD5991">
      <w:pPr>
        <w:ind w:left="851"/>
        <w:rPr>
          <w:sz w:val="24"/>
          <w:szCs w:val="24"/>
          <w:lang w:val="en-US"/>
        </w:rPr>
      </w:pPr>
      <w:r w:rsidRPr="00243CC4">
        <w:rPr>
          <w:sz w:val="24"/>
          <w:szCs w:val="24"/>
          <w:lang w:val="en-US"/>
        </w:rPr>
        <w:t xml:space="preserve">Actavis Group PTC </w:t>
      </w:r>
      <w:proofErr w:type="spellStart"/>
      <w:r w:rsidRPr="00243CC4">
        <w:rPr>
          <w:sz w:val="24"/>
          <w:szCs w:val="24"/>
          <w:lang w:val="en-US"/>
        </w:rPr>
        <w:t>ehf</w:t>
      </w:r>
      <w:proofErr w:type="spellEnd"/>
      <w:r w:rsidRPr="00243CC4">
        <w:rPr>
          <w:sz w:val="24"/>
          <w:szCs w:val="24"/>
          <w:lang w:val="en-US"/>
        </w:rPr>
        <w:t>.</w:t>
      </w:r>
    </w:p>
    <w:p w14:paraId="5D96DA8E" w14:textId="73D9EDF7" w:rsidR="003B36A9" w:rsidRPr="00243CC4" w:rsidRDefault="003B36A9" w:rsidP="00AD5991">
      <w:pPr>
        <w:ind w:left="851"/>
        <w:rPr>
          <w:sz w:val="24"/>
          <w:szCs w:val="24"/>
          <w:lang w:val="en-US"/>
        </w:rPr>
      </w:pPr>
      <w:proofErr w:type="spellStart"/>
      <w:r w:rsidRPr="00243CC4">
        <w:rPr>
          <w:sz w:val="24"/>
          <w:szCs w:val="24"/>
          <w:lang w:val="en-US"/>
        </w:rPr>
        <w:t>Dalshraun</w:t>
      </w:r>
      <w:proofErr w:type="spellEnd"/>
      <w:r w:rsidRPr="00243CC4">
        <w:rPr>
          <w:sz w:val="24"/>
          <w:szCs w:val="24"/>
          <w:lang w:val="en-US"/>
        </w:rPr>
        <w:t xml:space="preserve"> 1 </w:t>
      </w:r>
    </w:p>
    <w:p w14:paraId="7F4B4EDA" w14:textId="0A8B0DE0" w:rsidR="003B36A9" w:rsidRPr="00243CC4" w:rsidRDefault="003B36A9" w:rsidP="00AD5991">
      <w:pPr>
        <w:ind w:left="851"/>
        <w:rPr>
          <w:sz w:val="24"/>
          <w:szCs w:val="24"/>
          <w:lang w:val="en-US"/>
        </w:rPr>
      </w:pPr>
      <w:r w:rsidRPr="00243CC4">
        <w:rPr>
          <w:sz w:val="24"/>
          <w:szCs w:val="24"/>
          <w:lang w:val="en-US"/>
        </w:rPr>
        <w:t xml:space="preserve">220 </w:t>
      </w:r>
      <w:proofErr w:type="spellStart"/>
      <w:r w:rsidRPr="00243CC4">
        <w:rPr>
          <w:sz w:val="24"/>
          <w:szCs w:val="24"/>
          <w:lang w:val="en-US"/>
        </w:rPr>
        <w:t>Hafnarfjörður</w:t>
      </w:r>
      <w:proofErr w:type="spellEnd"/>
    </w:p>
    <w:p w14:paraId="071CF62A" w14:textId="13A008A5" w:rsidR="003B36A9" w:rsidRPr="00243CC4" w:rsidRDefault="003B36A9" w:rsidP="00AD5991">
      <w:pPr>
        <w:ind w:left="851"/>
        <w:rPr>
          <w:sz w:val="24"/>
          <w:szCs w:val="24"/>
          <w:lang w:val="en-US"/>
        </w:rPr>
      </w:pPr>
      <w:r w:rsidRPr="00243CC4">
        <w:rPr>
          <w:sz w:val="24"/>
          <w:szCs w:val="24"/>
          <w:lang w:val="en-US"/>
        </w:rPr>
        <w:t>Island</w:t>
      </w:r>
    </w:p>
    <w:p w14:paraId="7D1C4B32" w14:textId="77777777" w:rsidR="003B36A9" w:rsidRPr="00243CC4" w:rsidRDefault="003B36A9" w:rsidP="00AD5991">
      <w:pPr>
        <w:ind w:left="851"/>
        <w:rPr>
          <w:sz w:val="24"/>
          <w:szCs w:val="24"/>
          <w:lang w:val="en-US"/>
        </w:rPr>
      </w:pPr>
    </w:p>
    <w:p w14:paraId="417DC83B" w14:textId="7893EDA3" w:rsidR="003B36A9" w:rsidRPr="00243CC4" w:rsidRDefault="003B36A9" w:rsidP="00AD5991">
      <w:pPr>
        <w:ind w:left="851"/>
        <w:rPr>
          <w:b/>
          <w:sz w:val="24"/>
          <w:szCs w:val="24"/>
          <w:lang w:val="en-US"/>
        </w:rPr>
      </w:pPr>
      <w:r w:rsidRPr="00243CC4">
        <w:rPr>
          <w:b/>
          <w:sz w:val="24"/>
          <w:szCs w:val="24"/>
          <w:lang w:val="en-US"/>
        </w:rPr>
        <w:t>Repr</w:t>
      </w:r>
      <w:r w:rsidR="00AD5991" w:rsidRPr="00243CC4">
        <w:rPr>
          <w:b/>
          <w:sz w:val="24"/>
          <w:szCs w:val="24"/>
          <w:lang w:val="en-US"/>
        </w:rPr>
        <w:t>esentative</w:t>
      </w:r>
    </w:p>
    <w:p w14:paraId="11775E12" w14:textId="77777777" w:rsidR="003B36A9" w:rsidRPr="00243CC4" w:rsidRDefault="003B36A9" w:rsidP="00AD5991">
      <w:pPr>
        <w:ind w:left="851"/>
        <w:rPr>
          <w:sz w:val="24"/>
          <w:szCs w:val="24"/>
          <w:lang w:val="en-US"/>
        </w:rPr>
      </w:pPr>
      <w:r w:rsidRPr="00243CC4">
        <w:rPr>
          <w:sz w:val="24"/>
          <w:szCs w:val="24"/>
          <w:lang w:val="en-US"/>
        </w:rPr>
        <w:t>Teva Denmark A/S</w:t>
      </w:r>
    </w:p>
    <w:p w14:paraId="2B609BD4" w14:textId="77777777" w:rsidR="003B36A9" w:rsidRPr="00243CC4" w:rsidRDefault="003B36A9" w:rsidP="00AD5991">
      <w:pPr>
        <w:ind w:left="851"/>
        <w:rPr>
          <w:sz w:val="24"/>
          <w:szCs w:val="24"/>
          <w:lang w:val="en-US"/>
        </w:rPr>
      </w:pPr>
      <w:proofErr w:type="spellStart"/>
      <w:r w:rsidRPr="00243CC4">
        <w:rPr>
          <w:sz w:val="24"/>
          <w:szCs w:val="24"/>
          <w:lang w:val="en-US"/>
        </w:rPr>
        <w:t>Vandtårnsvej</w:t>
      </w:r>
      <w:proofErr w:type="spellEnd"/>
      <w:r w:rsidRPr="00243CC4">
        <w:rPr>
          <w:sz w:val="24"/>
          <w:szCs w:val="24"/>
          <w:lang w:val="en-US"/>
        </w:rPr>
        <w:t xml:space="preserve"> 83A</w:t>
      </w:r>
    </w:p>
    <w:p w14:paraId="3446CBD7" w14:textId="0C1E5F4C" w:rsidR="003B36A9" w:rsidRPr="00915539" w:rsidRDefault="003B36A9" w:rsidP="00AD5991">
      <w:pPr>
        <w:ind w:left="851"/>
        <w:rPr>
          <w:sz w:val="24"/>
          <w:szCs w:val="24"/>
          <w:lang w:val="en-US"/>
        </w:rPr>
      </w:pPr>
      <w:r w:rsidRPr="00915539">
        <w:rPr>
          <w:sz w:val="24"/>
          <w:szCs w:val="24"/>
          <w:lang w:val="en-US"/>
        </w:rPr>
        <w:t xml:space="preserve">2860 </w:t>
      </w:r>
      <w:proofErr w:type="spellStart"/>
      <w:r w:rsidRPr="00915539">
        <w:rPr>
          <w:sz w:val="24"/>
          <w:szCs w:val="24"/>
          <w:lang w:val="en-US"/>
        </w:rPr>
        <w:t>Søborg</w:t>
      </w:r>
      <w:proofErr w:type="spellEnd"/>
    </w:p>
    <w:p w14:paraId="538C05FA" w14:textId="77777777" w:rsidR="008A24F6" w:rsidRPr="00243CC4" w:rsidRDefault="008A24F6" w:rsidP="003E0341">
      <w:pPr>
        <w:tabs>
          <w:tab w:val="left" w:pos="851"/>
        </w:tabs>
        <w:ind w:left="851"/>
        <w:jc w:val="both"/>
        <w:rPr>
          <w:sz w:val="24"/>
          <w:szCs w:val="24"/>
          <w:lang w:val="en-GB"/>
        </w:rPr>
      </w:pPr>
    </w:p>
    <w:p w14:paraId="3DCE3032" w14:textId="77777777" w:rsidR="007C5D2A" w:rsidRPr="00243CC4" w:rsidRDefault="007C5D2A" w:rsidP="007C5D2A">
      <w:pPr>
        <w:ind w:left="851" w:hanging="851"/>
        <w:jc w:val="both"/>
        <w:rPr>
          <w:b/>
          <w:sz w:val="24"/>
          <w:szCs w:val="24"/>
          <w:lang w:val="en-GB"/>
        </w:rPr>
      </w:pPr>
      <w:r w:rsidRPr="00243CC4">
        <w:rPr>
          <w:b/>
          <w:sz w:val="24"/>
          <w:szCs w:val="24"/>
          <w:lang w:val="en-GB"/>
        </w:rPr>
        <w:t>8.</w:t>
      </w:r>
      <w:r w:rsidRPr="00243CC4">
        <w:rPr>
          <w:b/>
          <w:sz w:val="24"/>
          <w:szCs w:val="24"/>
          <w:lang w:val="en-GB"/>
        </w:rPr>
        <w:tab/>
        <w:t>MARKETING AUTHORISATION NUMBER(S)</w:t>
      </w:r>
    </w:p>
    <w:p w14:paraId="70743AAF" w14:textId="77777777" w:rsidR="003B36A9" w:rsidRPr="00915539" w:rsidRDefault="003B36A9" w:rsidP="003B36A9">
      <w:pPr>
        <w:tabs>
          <w:tab w:val="left" w:pos="851"/>
        </w:tabs>
        <w:ind w:left="851" w:hanging="851"/>
        <w:rPr>
          <w:sz w:val="24"/>
          <w:szCs w:val="24"/>
          <w:lang w:val="en-US"/>
        </w:rPr>
      </w:pPr>
      <w:r w:rsidRPr="00915539">
        <w:rPr>
          <w:sz w:val="24"/>
          <w:szCs w:val="24"/>
          <w:lang w:val="en-US"/>
        </w:rPr>
        <w:tab/>
        <w:t>43174</w:t>
      </w:r>
    </w:p>
    <w:p w14:paraId="06F9FE5C" w14:textId="77777777" w:rsidR="007C5D2A" w:rsidRPr="00243CC4" w:rsidRDefault="007C5D2A" w:rsidP="00180A12">
      <w:pPr>
        <w:tabs>
          <w:tab w:val="left" w:pos="851"/>
        </w:tabs>
        <w:ind w:left="851"/>
        <w:jc w:val="both"/>
        <w:rPr>
          <w:sz w:val="24"/>
          <w:szCs w:val="24"/>
          <w:lang w:val="en-GB"/>
        </w:rPr>
      </w:pPr>
    </w:p>
    <w:p w14:paraId="3F9FB33D" w14:textId="77777777" w:rsidR="007C5D2A" w:rsidRPr="00243CC4" w:rsidRDefault="007C5D2A" w:rsidP="007C5D2A">
      <w:pPr>
        <w:tabs>
          <w:tab w:val="left" w:pos="851"/>
        </w:tabs>
        <w:jc w:val="both"/>
        <w:rPr>
          <w:sz w:val="24"/>
          <w:szCs w:val="24"/>
          <w:lang w:val="en-GB"/>
        </w:rPr>
      </w:pPr>
      <w:r w:rsidRPr="00243CC4">
        <w:rPr>
          <w:b/>
          <w:sz w:val="24"/>
          <w:szCs w:val="24"/>
          <w:lang w:val="en-GB"/>
        </w:rPr>
        <w:t>9.</w:t>
      </w:r>
      <w:r w:rsidRPr="00243CC4">
        <w:rPr>
          <w:b/>
          <w:sz w:val="24"/>
          <w:szCs w:val="24"/>
          <w:lang w:val="en-GB"/>
        </w:rPr>
        <w:tab/>
        <w:t>DATE OF FIRST AUTHORISATION</w:t>
      </w:r>
    </w:p>
    <w:p w14:paraId="338C5D43" w14:textId="01ADBEE6" w:rsidR="003B36A9" w:rsidRPr="00915539" w:rsidRDefault="003B36A9" w:rsidP="003B36A9">
      <w:pPr>
        <w:tabs>
          <w:tab w:val="left" w:pos="851"/>
        </w:tabs>
        <w:rPr>
          <w:sz w:val="24"/>
          <w:szCs w:val="24"/>
          <w:lang w:val="en-US"/>
        </w:rPr>
      </w:pPr>
      <w:r w:rsidRPr="00915539">
        <w:rPr>
          <w:sz w:val="24"/>
          <w:szCs w:val="24"/>
          <w:lang w:val="en-US"/>
        </w:rPr>
        <w:tab/>
        <w:t>2 July 2010</w:t>
      </w:r>
    </w:p>
    <w:p w14:paraId="1D45EE50" w14:textId="77777777" w:rsidR="007C5D2A" w:rsidRPr="00243CC4" w:rsidRDefault="007C5D2A" w:rsidP="003E0341">
      <w:pPr>
        <w:tabs>
          <w:tab w:val="left" w:pos="851"/>
        </w:tabs>
        <w:ind w:left="851"/>
        <w:jc w:val="both"/>
        <w:rPr>
          <w:sz w:val="24"/>
          <w:szCs w:val="24"/>
          <w:lang w:val="en-GB"/>
        </w:rPr>
      </w:pPr>
    </w:p>
    <w:p w14:paraId="1ED43FB7" w14:textId="77777777" w:rsidR="007C5D2A" w:rsidRPr="00243CC4" w:rsidRDefault="007C5D2A" w:rsidP="007C5D2A">
      <w:pPr>
        <w:tabs>
          <w:tab w:val="left" w:pos="851"/>
        </w:tabs>
        <w:jc w:val="both"/>
        <w:rPr>
          <w:sz w:val="24"/>
          <w:szCs w:val="24"/>
          <w:lang w:val="en-GB"/>
        </w:rPr>
      </w:pPr>
      <w:r w:rsidRPr="00243CC4">
        <w:rPr>
          <w:b/>
          <w:sz w:val="24"/>
          <w:szCs w:val="24"/>
          <w:lang w:val="en-GB"/>
        </w:rPr>
        <w:t>10.</w:t>
      </w:r>
      <w:r w:rsidRPr="00243CC4">
        <w:rPr>
          <w:b/>
          <w:sz w:val="24"/>
          <w:szCs w:val="24"/>
          <w:lang w:val="en-GB"/>
        </w:rPr>
        <w:tab/>
        <w:t>DATE OF REVISION OF THE TEXT</w:t>
      </w:r>
    </w:p>
    <w:p w14:paraId="4F9D225A" w14:textId="69C5DD79" w:rsidR="007C5D2A" w:rsidRPr="00243CC4" w:rsidRDefault="00054F55" w:rsidP="003E0341">
      <w:pPr>
        <w:tabs>
          <w:tab w:val="left" w:pos="851"/>
        </w:tabs>
        <w:ind w:left="851"/>
        <w:jc w:val="both"/>
        <w:rPr>
          <w:sz w:val="24"/>
          <w:szCs w:val="24"/>
          <w:lang w:val="en-GB"/>
        </w:rPr>
      </w:pPr>
      <w:r>
        <w:rPr>
          <w:sz w:val="24"/>
          <w:szCs w:val="24"/>
          <w:lang w:val="en-GB"/>
        </w:rPr>
        <w:t>15 July 2024</w:t>
      </w:r>
    </w:p>
    <w:sectPr w:rsidR="007C5D2A" w:rsidRPr="00243CC4" w:rsidSect="00BF5CC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D2070" w14:textId="77777777" w:rsidR="00286E2A" w:rsidRDefault="00286E2A">
      <w:r>
        <w:separator/>
      </w:r>
    </w:p>
  </w:endnote>
  <w:endnote w:type="continuationSeparator" w:id="0">
    <w:p w14:paraId="64AC6728" w14:textId="77777777" w:rsidR="00286E2A" w:rsidRDefault="0028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Condense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E86C2" w14:textId="77777777" w:rsidR="00286E2A" w:rsidRDefault="00286E2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287BE" w14:textId="77777777" w:rsidR="00286E2A" w:rsidRDefault="00286E2A">
    <w:pPr>
      <w:pStyle w:val="Sidefod"/>
      <w:pBdr>
        <w:bottom w:val="single" w:sz="6" w:space="1" w:color="auto"/>
      </w:pBdr>
    </w:pPr>
  </w:p>
  <w:p w14:paraId="773E7204" w14:textId="77777777" w:rsidR="00286E2A" w:rsidRDefault="00286E2A">
    <w:pPr>
      <w:pStyle w:val="Sidefod"/>
      <w:tabs>
        <w:tab w:val="clear" w:pos="4819"/>
        <w:tab w:val="left" w:pos="8647"/>
      </w:tabs>
      <w:rPr>
        <w:i/>
        <w:snapToGrid w:val="0"/>
        <w:sz w:val="18"/>
      </w:rPr>
    </w:pPr>
  </w:p>
  <w:p w14:paraId="31A8F62B" w14:textId="1A001E61" w:rsidR="00286E2A" w:rsidRDefault="00286E2A"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243CC4">
      <w:rPr>
        <w:i/>
        <w:noProof/>
        <w:snapToGrid w:val="0"/>
        <w:sz w:val="18"/>
      </w:rPr>
      <w:t>Carboplatin Actavis, koncentrat til infusionsvæske, opløsning 10 mg-ml.docx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DC4A4" w14:textId="77777777" w:rsidR="00286E2A" w:rsidRDefault="00286E2A">
    <w:pPr>
      <w:pStyle w:val="Sidefod"/>
      <w:pBdr>
        <w:bottom w:val="single" w:sz="6" w:space="1" w:color="auto"/>
      </w:pBdr>
      <w:tabs>
        <w:tab w:val="clear" w:pos="4819"/>
        <w:tab w:val="left" w:pos="8789"/>
      </w:tabs>
      <w:rPr>
        <w:i/>
        <w:snapToGrid w:val="0"/>
        <w:sz w:val="18"/>
      </w:rPr>
    </w:pPr>
  </w:p>
  <w:p w14:paraId="386D83BF" w14:textId="77777777" w:rsidR="00286E2A" w:rsidRDefault="00286E2A">
    <w:pPr>
      <w:pStyle w:val="Sidefod"/>
      <w:tabs>
        <w:tab w:val="clear" w:pos="4819"/>
        <w:tab w:val="left" w:pos="8789"/>
      </w:tabs>
      <w:rPr>
        <w:i/>
        <w:snapToGrid w:val="0"/>
        <w:sz w:val="18"/>
      </w:rPr>
    </w:pPr>
  </w:p>
  <w:p w14:paraId="5C640AC1" w14:textId="62D64545" w:rsidR="00286E2A" w:rsidRDefault="00286E2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243CC4">
      <w:rPr>
        <w:i/>
        <w:noProof/>
        <w:snapToGrid w:val="0"/>
        <w:sz w:val="18"/>
      </w:rPr>
      <w:t>Carboplatin Actavis, koncentrat til infusionsvæske, opløsning 10 mg-ml.docx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D39B4" w14:textId="77777777" w:rsidR="00286E2A" w:rsidRDefault="00286E2A">
      <w:r>
        <w:separator/>
      </w:r>
    </w:p>
  </w:footnote>
  <w:footnote w:type="continuationSeparator" w:id="0">
    <w:p w14:paraId="4B9FFA58" w14:textId="77777777" w:rsidR="00286E2A" w:rsidRDefault="00286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371B6" w14:textId="77777777" w:rsidR="00286E2A" w:rsidRDefault="00286E2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8753B" w14:textId="77777777" w:rsidR="00286E2A" w:rsidRDefault="00286E2A">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3DF56" w14:textId="77777777" w:rsidR="00286E2A" w:rsidRDefault="00286E2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882417"/>
    <w:multiLevelType w:val="hybridMultilevel"/>
    <w:tmpl w:val="82AEEFB8"/>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BD42F68"/>
    <w:multiLevelType w:val="hybridMultilevel"/>
    <w:tmpl w:val="E3FA7C2E"/>
    <w:lvl w:ilvl="0" w:tplc="07B882B6">
      <w:start w:val="1"/>
      <w:numFmt w:val="decimal"/>
      <w:lvlText w:val="%1"/>
      <w:lvlJc w:val="left"/>
      <w:pPr>
        <w:ind w:left="1307" w:hanging="456"/>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5" w15:restartNumberingAfterBreak="0">
    <w:nsid w:val="3DAC22C4"/>
    <w:multiLevelType w:val="hybridMultilevel"/>
    <w:tmpl w:val="CC8459A4"/>
    <w:lvl w:ilvl="0" w:tplc="70143BAE">
      <w:numFmt w:val="bullet"/>
      <w:lvlText w:val="-"/>
      <w:lvlJc w:val="left"/>
      <w:pPr>
        <w:ind w:left="1571" w:hanging="360"/>
      </w:pPr>
      <w:rPr>
        <w:rFonts w:ascii="Times New Roman" w:eastAsia="Times New Roman" w:hAnsi="Times New Roman" w:cs="Times New Roman" w:hint="default"/>
        <w:color w:val="auto"/>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4ACF2C03"/>
    <w:multiLevelType w:val="hybridMultilevel"/>
    <w:tmpl w:val="9F02B434"/>
    <w:lvl w:ilvl="0" w:tplc="70143BAE">
      <w:numFmt w:val="bullet"/>
      <w:lvlText w:val="-"/>
      <w:lvlJc w:val="left"/>
      <w:pPr>
        <w:ind w:left="1571" w:hanging="360"/>
      </w:pPr>
      <w:rPr>
        <w:rFonts w:ascii="Times New Roman" w:eastAsia="Times New Roman" w:hAnsi="Times New Roman" w:cs="Times New Roman" w:hint="default"/>
        <w:color w:val="auto"/>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C0164AB"/>
    <w:multiLevelType w:val="hybridMultilevel"/>
    <w:tmpl w:val="102E34D6"/>
    <w:lvl w:ilvl="0" w:tplc="70143BAE">
      <w:numFmt w:val="bullet"/>
      <w:lvlText w:val="-"/>
      <w:lvlJc w:val="left"/>
      <w:pPr>
        <w:ind w:left="1307" w:hanging="456"/>
      </w:pPr>
      <w:rPr>
        <w:rFonts w:ascii="Times New Roman" w:eastAsia="Times New Roman" w:hAnsi="Times New Roman" w:cs="Times New Roman" w:hint="default"/>
        <w:color w:val="auto"/>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9" w15:restartNumberingAfterBreak="0">
    <w:nsid w:val="6BAF5433"/>
    <w:multiLevelType w:val="hybridMultilevel"/>
    <w:tmpl w:val="00B22074"/>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0" w15:restartNumberingAfterBreak="0">
    <w:nsid w:val="6BD22BB7"/>
    <w:multiLevelType w:val="hybridMultilevel"/>
    <w:tmpl w:val="9562588E"/>
    <w:lvl w:ilvl="0" w:tplc="70143BAE">
      <w:numFmt w:val="bullet"/>
      <w:lvlText w:val="-"/>
      <w:lvlJc w:val="left"/>
      <w:pPr>
        <w:ind w:left="1571" w:hanging="360"/>
      </w:pPr>
      <w:rPr>
        <w:rFonts w:ascii="Times New Roman" w:eastAsia="Times New Roman" w:hAnsi="Times New Roman" w:cs="Times New Roman" w:hint="default"/>
        <w:color w:val="auto"/>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79E10B21"/>
    <w:multiLevelType w:val="hybridMultilevel"/>
    <w:tmpl w:val="611CD814"/>
    <w:lvl w:ilvl="0" w:tplc="70143BAE">
      <w:numFmt w:val="bullet"/>
      <w:lvlText w:val="-"/>
      <w:lvlJc w:val="left"/>
      <w:pPr>
        <w:ind w:left="1571" w:hanging="360"/>
      </w:pPr>
      <w:rPr>
        <w:rFonts w:ascii="Times New Roman" w:eastAsia="Times New Roman" w:hAnsi="Times New Roman" w:cs="Times New Roman" w:hint="default"/>
        <w:color w:val="auto"/>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2"/>
  </w:num>
  <w:num w:numId="2">
    <w:abstractNumId w:val="0"/>
  </w:num>
  <w:num w:numId="3">
    <w:abstractNumId w:val="8"/>
  </w:num>
  <w:num w:numId="4">
    <w:abstractNumId w:val="1"/>
  </w:num>
  <w:num w:numId="5">
    <w:abstractNumId w:val="3"/>
  </w:num>
  <w:num w:numId="6">
    <w:abstractNumId w:val="7"/>
  </w:num>
  <w:num w:numId="7">
    <w:abstractNumId w:val="11"/>
  </w:num>
  <w:num w:numId="8">
    <w:abstractNumId w:val="10"/>
  </w:num>
  <w:num w:numId="9">
    <w:abstractNumId w:val="6"/>
  </w:num>
  <w:num w:numId="10">
    <w:abstractNumId w:val="5"/>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AF"/>
    <w:rsid w:val="00054F55"/>
    <w:rsid w:val="00056601"/>
    <w:rsid w:val="000C3846"/>
    <w:rsid w:val="000C6218"/>
    <w:rsid w:val="000D3C9D"/>
    <w:rsid w:val="000F0D47"/>
    <w:rsid w:val="001242DE"/>
    <w:rsid w:val="0013708D"/>
    <w:rsid w:val="00180A12"/>
    <w:rsid w:val="00214331"/>
    <w:rsid w:val="00214CF4"/>
    <w:rsid w:val="00243CC4"/>
    <w:rsid w:val="00281F03"/>
    <w:rsid w:val="00286E2A"/>
    <w:rsid w:val="0029458A"/>
    <w:rsid w:val="002A1587"/>
    <w:rsid w:val="002B27C5"/>
    <w:rsid w:val="002F6D9C"/>
    <w:rsid w:val="00303008"/>
    <w:rsid w:val="00373B55"/>
    <w:rsid w:val="003B36A9"/>
    <w:rsid w:val="003D727E"/>
    <w:rsid w:val="003E0341"/>
    <w:rsid w:val="003E3402"/>
    <w:rsid w:val="003F4736"/>
    <w:rsid w:val="00401B49"/>
    <w:rsid w:val="0042292D"/>
    <w:rsid w:val="00437D5B"/>
    <w:rsid w:val="00440254"/>
    <w:rsid w:val="00460482"/>
    <w:rsid w:val="004860D3"/>
    <w:rsid w:val="004A3BF4"/>
    <w:rsid w:val="004A5DB3"/>
    <w:rsid w:val="005152D9"/>
    <w:rsid w:val="00533AD4"/>
    <w:rsid w:val="00534849"/>
    <w:rsid w:val="00560102"/>
    <w:rsid w:val="00562EA1"/>
    <w:rsid w:val="005A498B"/>
    <w:rsid w:val="005B28AF"/>
    <w:rsid w:val="005C1A60"/>
    <w:rsid w:val="00617BB8"/>
    <w:rsid w:val="006207FF"/>
    <w:rsid w:val="00680052"/>
    <w:rsid w:val="00683267"/>
    <w:rsid w:val="006844E9"/>
    <w:rsid w:val="006B3847"/>
    <w:rsid w:val="0075453D"/>
    <w:rsid w:val="007A4CC6"/>
    <w:rsid w:val="007C3623"/>
    <w:rsid w:val="007C5D2A"/>
    <w:rsid w:val="007F1E00"/>
    <w:rsid w:val="00827444"/>
    <w:rsid w:val="008400E3"/>
    <w:rsid w:val="00864538"/>
    <w:rsid w:val="00873B4F"/>
    <w:rsid w:val="008A24F6"/>
    <w:rsid w:val="008E51AE"/>
    <w:rsid w:val="008F2F8C"/>
    <w:rsid w:val="00915539"/>
    <w:rsid w:val="009925C9"/>
    <w:rsid w:val="00A02E32"/>
    <w:rsid w:val="00A179D0"/>
    <w:rsid w:val="00A358A3"/>
    <w:rsid w:val="00A46747"/>
    <w:rsid w:val="00A80446"/>
    <w:rsid w:val="00A85D26"/>
    <w:rsid w:val="00A9153A"/>
    <w:rsid w:val="00AB4376"/>
    <w:rsid w:val="00AC033C"/>
    <w:rsid w:val="00AD2E36"/>
    <w:rsid w:val="00AD5991"/>
    <w:rsid w:val="00B45DC5"/>
    <w:rsid w:val="00BD3490"/>
    <w:rsid w:val="00BF5CC4"/>
    <w:rsid w:val="00C26226"/>
    <w:rsid w:val="00C3571D"/>
    <w:rsid w:val="00C54F0B"/>
    <w:rsid w:val="00C82621"/>
    <w:rsid w:val="00CB1423"/>
    <w:rsid w:val="00D02508"/>
    <w:rsid w:val="00D778CC"/>
    <w:rsid w:val="00D82FE9"/>
    <w:rsid w:val="00D97B77"/>
    <w:rsid w:val="00DB6A85"/>
    <w:rsid w:val="00E06B32"/>
    <w:rsid w:val="00E1290F"/>
    <w:rsid w:val="00E36A80"/>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EF7A1E"/>
  <w15:chartTrackingRefBased/>
  <w15:docId w15:val="{2080C395-4425-4A82-9B75-6E4D0101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5">
    <w:name w:val="heading 5"/>
    <w:basedOn w:val="Normal"/>
    <w:next w:val="Normal"/>
    <w:link w:val="Overskrift5Tegn"/>
    <w:uiPriority w:val="99"/>
    <w:semiHidden/>
    <w:unhideWhenUsed/>
    <w:qFormat/>
    <w:rsid w:val="003B36A9"/>
    <w:pPr>
      <w:keepNext/>
      <w:tabs>
        <w:tab w:val="left" w:pos="567"/>
      </w:tabs>
      <w:spacing w:line="260" w:lineRule="exact"/>
      <w:jc w:val="both"/>
      <w:outlineLvl w:val="4"/>
    </w:pPr>
    <w:rPr>
      <w:noProof/>
      <w:sz w:val="22"/>
      <w:lang w:val="en-GB" w:eastAsia="en-US"/>
    </w:rPr>
  </w:style>
  <w:style w:type="paragraph" w:styleId="Overskrift6">
    <w:name w:val="heading 6"/>
    <w:basedOn w:val="Normal"/>
    <w:next w:val="Normal"/>
    <w:link w:val="Overskrift6Tegn"/>
    <w:uiPriority w:val="99"/>
    <w:semiHidden/>
    <w:unhideWhenUsed/>
    <w:qFormat/>
    <w:rsid w:val="003B36A9"/>
    <w:pPr>
      <w:keepNext/>
      <w:tabs>
        <w:tab w:val="left" w:pos="-720"/>
        <w:tab w:val="left" w:pos="567"/>
        <w:tab w:val="left" w:pos="4536"/>
      </w:tabs>
      <w:suppressAutoHyphens/>
      <w:spacing w:line="260" w:lineRule="exact"/>
      <w:outlineLvl w:val="5"/>
    </w:pPr>
    <w:rPr>
      <w:i/>
      <w:sz w:val="22"/>
      <w:lang w:val="en-GB"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link w:val="SidehovedTegn"/>
    <w:uiPriority w:val="99"/>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MEAEnBodyText">
    <w:name w:val="EMEA En Body Text"/>
    <w:basedOn w:val="Normal"/>
    <w:uiPriority w:val="99"/>
    <w:rsid w:val="003B36A9"/>
    <w:pPr>
      <w:spacing w:before="120" w:after="120"/>
      <w:jc w:val="both"/>
    </w:pPr>
    <w:rPr>
      <w:sz w:val="22"/>
      <w:lang w:val="en-US" w:eastAsia="en-US"/>
    </w:rPr>
  </w:style>
  <w:style w:type="paragraph" w:styleId="NormalWeb">
    <w:name w:val="Normal (Web)"/>
    <w:basedOn w:val="Normal"/>
    <w:uiPriority w:val="99"/>
    <w:semiHidden/>
    <w:unhideWhenUsed/>
    <w:rsid w:val="003B36A9"/>
    <w:pPr>
      <w:spacing w:before="100" w:beforeAutospacing="1" w:after="100" w:afterAutospacing="1"/>
    </w:pPr>
    <w:rPr>
      <w:rFonts w:eastAsia="SimSun"/>
      <w:sz w:val="24"/>
      <w:szCs w:val="24"/>
      <w:lang w:eastAsia="zh-CN"/>
    </w:rPr>
  </w:style>
  <w:style w:type="paragraph" w:styleId="Slutnotetekst">
    <w:name w:val="endnote text"/>
    <w:basedOn w:val="Normal"/>
    <w:link w:val="SlutnotetekstTegn"/>
    <w:uiPriority w:val="99"/>
    <w:semiHidden/>
    <w:unhideWhenUsed/>
    <w:rsid w:val="003B36A9"/>
    <w:pPr>
      <w:tabs>
        <w:tab w:val="left" w:pos="567"/>
      </w:tabs>
    </w:pPr>
    <w:rPr>
      <w:sz w:val="22"/>
      <w:lang w:val="en-GB" w:eastAsia="en-US"/>
    </w:rPr>
  </w:style>
  <w:style w:type="character" w:customStyle="1" w:styleId="SlutnotetekstTegn">
    <w:name w:val="Slutnotetekst Tegn"/>
    <w:basedOn w:val="Standardskrifttypeiafsnit"/>
    <w:link w:val="Slutnotetekst"/>
    <w:uiPriority w:val="99"/>
    <w:semiHidden/>
    <w:rsid w:val="003B36A9"/>
    <w:rPr>
      <w:sz w:val="22"/>
      <w:lang w:val="en-GB" w:eastAsia="en-US"/>
    </w:rPr>
  </w:style>
  <w:style w:type="paragraph" w:styleId="Brdtekstindrykning">
    <w:name w:val="Body Text Indent"/>
    <w:basedOn w:val="Normal"/>
    <w:link w:val="BrdtekstindrykningTegn"/>
    <w:uiPriority w:val="99"/>
    <w:semiHidden/>
    <w:unhideWhenUsed/>
    <w:rsid w:val="003B36A9"/>
    <w:pPr>
      <w:autoSpaceDE w:val="0"/>
      <w:autoSpaceDN w:val="0"/>
      <w:adjustRightInd w:val="0"/>
      <w:ind w:left="720"/>
      <w:jc w:val="both"/>
    </w:pPr>
    <w:rPr>
      <w:sz w:val="22"/>
      <w:szCs w:val="22"/>
      <w:lang w:val="en-GB" w:eastAsia="en-GB"/>
    </w:rPr>
  </w:style>
  <w:style w:type="character" w:customStyle="1" w:styleId="BrdtekstindrykningTegn">
    <w:name w:val="Brødtekstindrykning Tegn"/>
    <w:basedOn w:val="Standardskrifttypeiafsnit"/>
    <w:link w:val="Brdtekstindrykning"/>
    <w:uiPriority w:val="99"/>
    <w:semiHidden/>
    <w:rsid w:val="003B36A9"/>
    <w:rPr>
      <w:sz w:val="22"/>
      <w:szCs w:val="22"/>
      <w:lang w:val="en-GB" w:eastAsia="en-GB"/>
    </w:rPr>
  </w:style>
  <w:style w:type="paragraph" w:styleId="Brdtekst3">
    <w:name w:val="Body Text 3"/>
    <w:basedOn w:val="Normal"/>
    <w:link w:val="Brdtekst3Tegn"/>
    <w:uiPriority w:val="99"/>
    <w:semiHidden/>
    <w:unhideWhenUsed/>
    <w:rsid w:val="003B36A9"/>
    <w:pPr>
      <w:autoSpaceDE w:val="0"/>
      <w:autoSpaceDN w:val="0"/>
      <w:adjustRightInd w:val="0"/>
      <w:jc w:val="both"/>
    </w:pPr>
    <w:rPr>
      <w:color w:val="0000FF"/>
      <w:sz w:val="22"/>
      <w:szCs w:val="22"/>
      <w:lang w:val="en-GB" w:eastAsia="en-GB"/>
    </w:rPr>
  </w:style>
  <w:style w:type="character" w:customStyle="1" w:styleId="Brdtekst3Tegn">
    <w:name w:val="Brødtekst 3 Tegn"/>
    <w:basedOn w:val="Standardskrifttypeiafsnit"/>
    <w:link w:val="Brdtekst3"/>
    <w:uiPriority w:val="99"/>
    <w:semiHidden/>
    <w:rsid w:val="003B36A9"/>
    <w:rPr>
      <w:color w:val="0000FF"/>
      <w:sz w:val="22"/>
      <w:szCs w:val="22"/>
      <w:lang w:val="en-GB" w:eastAsia="en-GB"/>
    </w:rPr>
  </w:style>
  <w:style w:type="paragraph" w:styleId="Bloktekst">
    <w:name w:val="Block Text"/>
    <w:basedOn w:val="Normal"/>
    <w:uiPriority w:val="99"/>
    <w:semiHidden/>
    <w:unhideWhenUsed/>
    <w:rsid w:val="003B36A9"/>
    <w:pPr>
      <w:widowControl w:val="0"/>
      <w:autoSpaceDE w:val="0"/>
      <w:autoSpaceDN w:val="0"/>
      <w:adjustRightInd w:val="0"/>
      <w:spacing w:line="235" w:lineRule="exact"/>
      <w:ind w:left="1425" w:right="332"/>
      <w:jc w:val="both"/>
    </w:pPr>
    <w:rPr>
      <w:sz w:val="24"/>
      <w:szCs w:val="24"/>
      <w:lang w:val="en-US" w:eastAsia="en-US"/>
    </w:rPr>
  </w:style>
  <w:style w:type="paragraph" w:customStyle="1" w:styleId="Default">
    <w:name w:val="Default"/>
    <w:uiPriority w:val="99"/>
    <w:rsid w:val="003B36A9"/>
    <w:pPr>
      <w:autoSpaceDE w:val="0"/>
      <w:autoSpaceDN w:val="0"/>
      <w:adjustRightInd w:val="0"/>
    </w:pPr>
    <w:rPr>
      <w:lang w:val="en-US" w:eastAsia="en-US"/>
    </w:rPr>
  </w:style>
  <w:style w:type="paragraph" w:customStyle="1" w:styleId="B">
    <w:name w:val="_ B"/>
    <w:basedOn w:val="Normal"/>
    <w:uiPriority w:val="99"/>
    <w:rsid w:val="003B36A9"/>
    <w:pPr>
      <w:spacing w:line="288" w:lineRule="auto"/>
      <w:ind w:left="170"/>
      <w:jc w:val="both"/>
    </w:pPr>
    <w:rPr>
      <w:rFonts w:ascii="Arial" w:hAnsi="Arial" w:cs="Arial"/>
      <w:sz w:val="14"/>
      <w:szCs w:val="14"/>
      <w:lang w:val="en-GB" w:eastAsia="en-GB"/>
    </w:rPr>
  </w:style>
  <w:style w:type="paragraph" w:customStyle="1" w:styleId="Bullet2">
    <w:name w:val="_ Bullet 2"/>
    <w:basedOn w:val="Normal"/>
    <w:uiPriority w:val="99"/>
    <w:rsid w:val="003B36A9"/>
    <w:pPr>
      <w:spacing w:line="288" w:lineRule="auto"/>
      <w:ind w:left="850" w:hanging="510"/>
      <w:jc w:val="both"/>
    </w:pPr>
    <w:rPr>
      <w:rFonts w:ascii="Arial" w:hAnsi="Arial" w:cs="Arial"/>
      <w:sz w:val="14"/>
      <w:szCs w:val="14"/>
      <w:lang w:val="en-GB" w:eastAsia="en-GB"/>
    </w:rPr>
  </w:style>
  <w:style w:type="paragraph" w:styleId="Brdtekstindrykning2">
    <w:name w:val="Body Text Indent 2"/>
    <w:basedOn w:val="Normal"/>
    <w:link w:val="Brdtekstindrykning2Tegn"/>
    <w:uiPriority w:val="99"/>
    <w:semiHidden/>
    <w:unhideWhenUsed/>
    <w:rsid w:val="003B36A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3B36A9"/>
    <w:rPr>
      <w:sz w:val="23"/>
    </w:rPr>
  </w:style>
  <w:style w:type="character" w:styleId="Hyperlink">
    <w:name w:val="Hyperlink"/>
    <w:basedOn w:val="Standardskrifttypeiafsnit"/>
    <w:uiPriority w:val="99"/>
    <w:semiHidden/>
    <w:unhideWhenUsed/>
    <w:rsid w:val="003B36A9"/>
    <w:rPr>
      <w:color w:val="0563C1" w:themeColor="hyperlink"/>
      <w:u w:val="single"/>
    </w:rPr>
  </w:style>
  <w:style w:type="paragraph" w:customStyle="1" w:styleId="Bulletfollow-on">
    <w:name w:val="_ Bullet follow-on"/>
    <w:basedOn w:val="Normal"/>
    <w:uiPriority w:val="99"/>
    <w:rsid w:val="003B36A9"/>
    <w:pPr>
      <w:spacing w:line="288" w:lineRule="auto"/>
      <w:ind w:left="340"/>
      <w:jc w:val="both"/>
    </w:pPr>
    <w:rPr>
      <w:rFonts w:ascii="Arial" w:hAnsi="Arial" w:cs="Arial"/>
      <w:sz w:val="14"/>
      <w:szCs w:val="14"/>
      <w:lang w:val="en-GB" w:eastAsia="en-GB"/>
    </w:rPr>
  </w:style>
  <w:style w:type="character" w:customStyle="1" w:styleId="Overskrift5Tegn">
    <w:name w:val="Overskrift 5 Tegn"/>
    <w:basedOn w:val="Standardskrifttypeiafsnit"/>
    <w:link w:val="Overskrift5"/>
    <w:uiPriority w:val="99"/>
    <w:semiHidden/>
    <w:rsid w:val="003B36A9"/>
    <w:rPr>
      <w:noProof/>
      <w:sz w:val="22"/>
      <w:lang w:val="en-GB" w:eastAsia="en-US"/>
    </w:rPr>
  </w:style>
  <w:style w:type="character" w:customStyle="1" w:styleId="Overskrift6Tegn">
    <w:name w:val="Overskrift 6 Tegn"/>
    <w:basedOn w:val="Standardskrifttypeiafsnit"/>
    <w:link w:val="Overskrift6"/>
    <w:uiPriority w:val="99"/>
    <w:semiHidden/>
    <w:rsid w:val="003B36A9"/>
    <w:rPr>
      <w:i/>
      <w:sz w:val="22"/>
      <w:lang w:val="en-GB" w:eastAsia="en-US"/>
    </w:rPr>
  </w:style>
  <w:style w:type="character" w:customStyle="1" w:styleId="SidehovedTegn">
    <w:name w:val="Sidehoved Tegn"/>
    <w:basedOn w:val="Standardskrifttypeiafsnit"/>
    <w:link w:val="Sidehoved"/>
    <w:uiPriority w:val="99"/>
    <w:rsid w:val="003B36A9"/>
    <w:rPr>
      <w:sz w:val="24"/>
    </w:rPr>
  </w:style>
  <w:style w:type="paragraph" w:customStyle="1" w:styleId="Pa2">
    <w:name w:val="Pa2"/>
    <w:basedOn w:val="Default"/>
    <w:next w:val="Default"/>
    <w:uiPriority w:val="99"/>
    <w:rsid w:val="003B36A9"/>
    <w:pPr>
      <w:spacing w:line="98" w:lineRule="auto"/>
    </w:pPr>
    <w:rPr>
      <w:rFonts w:ascii="Helvetica-Condensed-Bold" w:hAnsi="Helvetica-Condensed-Bold"/>
    </w:rPr>
  </w:style>
  <w:style w:type="paragraph" w:styleId="Listeafsnit">
    <w:name w:val="List Paragraph"/>
    <w:basedOn w:val="Normal"/>
    <w:uiPriority w:val="34"/>
    <w:qFormat/>
    <w:rsid w:val="00A02E32"/>
    <w:pPr>
      <w:ind w:left="720"/>
      <w:contextualSpacing/>
    </w:pPr>
  </w:style>
  <w:style w:type="paragraph" w:customStyle="1" w:styleId="BodyText31">
    <w:name w:val="Body Text 31"/>
    <w:basedOn w:val="Normal"/>
    <w:rsid w:val="00460482"/>
    <w:pPr>
      <w:jc w:val="both"/>
    </w:pPr>
    <w:rPr>
      <w:i/>
      <w:sz w:val="26"/>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6175">
      <w:bodyDiv w:val="1"/>
      <w:marLeft w:val="0"/>
      <w:marRight w:val="0"/>
      <w:marTop w:val="0"/>
      <w:marBottom w:val="0"/>
      <w:divBdr>
        <w:top w:val="none" w:sz="0" w:space="0" w:color="auto"/>
        <w:left w:val="none" w:sz="0" w:space="0" w:color="auto"/>
        <w:bottom w:val="none" w:sz="0" w:space="0" w:color="auto"/>
        <w:right w:val="none" w:sz="0" w:space="0" w:color="auto"/>
      </w:divBdr>
    </w:div>
    <w:div w:id="60564150">
      <w:bodyDiv w:val="1"/>
      <w:marLeft w:val="0"/>
      <w:marRight w:val="0"/>
      <w:marTop w:val="0"/>
      <w:marBottom w:val="0"/>
      <w:divBdr>
        <w:top w:val="none" w:sz="0" w:space="0" w:color="auto"/>
        <w:left w:val="none" w:sz="0" w:space="0" w:color="auto"/>
        <w:bottom w:val="none" w:sz="0" w:space="0" w:color="auto"/>
        <w:right w:val="none" w:sz="0" w:space="0" w:color="auto"/>
      </w:divBdr>
    </w:div>
    <w:div w:id="191070056">
      <w:bodyDiv w:val="1"/>
      <w:marLeft w:val="0"/>
      <w:marRight w:val="0"/>
      <w:marTop w:val="0"/>
      <w:marBottom w:val="0"/>
      <w:divBdr>
        <w:top w:val="none" w:sz="0" w:space="0" w:color="auto"/>
        <w:left w:val="none" w:sz="0" w:space="0" w:color="auto"/>
        <w:bottom w:val="none" w:sz="0" w:space="0" w:color="auto"/>
        <w:right w:val="none" w:sz="0" w:space="0" w:color="auto"/>
      </w:divBdr>
    </w:div>
    <w:div w:id="300044090">
      <w:bodyDiv w:val="1"/>
      <w:marLeft w:val="0"/>
      <w:marRight w:val="0"/>
      <w:marTop w:val="0"/>
      <w:marBottom w:val="0"/>
      <w:divBdr>
        <w:top w:val="none" w:sz="0" w:space="0" w:color="auto"/>
        <w:left w:val="none" w:sz="0" w:space="0" w:color="auto"/>
        <w:bottom w:val="none" w:sz="0" w:space="0" w:color="auto"/>
        <w:right w:val="none" w:sz="0" w:space="0" w:color="auto"/>
      </w:divBdr>
    </w:div>
    <w:div w:id="304504712">
      <w:bodyDiv w:val="1"/>
      <w:marLeft w:val="0"/>
      <w:marRight w:val="0"/>
      <w:marTop w:val="0"/>
      <w:marBottom w:val="0"/>
      <w:divBdr>
        <w:top w:val="none" w:sz="0" w:space="0" w:color="auto"/>
        <w:left w:val="none" w:sz="0" w:space="0" w:color="auto"/>
        <w:bottom w:val="none" w:sz="0" w:space="0" w:color="auto"/>
        <w:right w:val="none" w:sz="0" w:space="0" w:color="auto"/>
      </w:divBdr>
    </w:div>
    <w:div w:id="365183338">
      <w:bodyDiv w:val="1"/>
      <w:marLeft w:val="0"/>
      <w:marRight w:val="0"/>
      <w:marTop w:val="0"/>
      <w:marBottom w:val="0"/>
      <w:divBdr>
        <w:top w:val="none" w:sz="0" w:space="0" w:color="auto"/>
        <w:left w:val="none" w:sz="0" w:space="0" w:color="auto"/>
        <w:bottom w:val="none" w:sz="0" w:space="0" w:color="auto"/>
        <w:right w:val="none" w:sz="0" w:space="0" w:color="auto"/>
      </w:divBdr>
    </w:div>
    <w:div w:id="400828818">
      <w:bodyDiv w:val="1"/>
      <w:marLeft w:val="0"/>
      <w:marRight w:val="0"/>
      <w:marTop w:val="0"/>
      <w:marBottom w:val="0"/>
      <w:divBdr>
        <w:top w:val="none" w:sz="0" w:space="0" w:color="auto"/>
        <w:left w:val="none" w:sz="0" w:space="0" w:color="auto"/>
        <w:bottom w:val="none" w:sz="0" w:space="0" w:color="auto"/>
        <w:right w:val="none" w:sz="0" w:space="0" w:color="auto"/>
      </w:divBdr>
    </w:div>
    <w:div w:id="428503006">
      <w:bodyDiv w:val="1"/>
      <w:marLeft w:val="0"/>
      <w:marRight w:val="0"/>
      <w:marTop w:val="0"/>
      <w:marBottom w:val="0"/>
      <w:divBdr>
        <w:top w:val="none" w:sz="0" w:space="0" w:color="auto"/>
        <w:left w:val="none" w:sz="0" w:space="0" w:color="auto"/>
        <w:bottom w:val="none" w:sz="0" w:space="0" w:color="auto"/>
        <w:right w:val="none" w:sz="0" w:space="0" w:color="auto"/>
      </w:divBdr>
    </w:div>
    <w:div w:id="444665875">
      <w:bodyDiv w:val="1"/>
      <w:marLeft w:val="0"/>
      <w:marRight w:val="0"/>
      <w:marTop w:val="0"/>
      <w:marBottom w:val="0"/>
      <w:divBdr>
        <w:top w:val="none" w:sz="0" w:space="0" w:color="auto"/>
        <w:left w:val="none" w:sz="0" w:space="0" w:color="auto"/>
        <w:bottom w:val="none" w:sz="0" w:space="0" w:color="auto"/>
        <w:right w:val="none" w:sz="0" w:space="0" w:color="auto"/>
      </w:divBdr>
    </w:div>
    <w:div w:id="550699068">
      <w:bodyDiv w:val="1"/>
      <w:marLeft w:val="0"/>
      <w:marRight w:val="0"/>
      <w:marTop w:val="0"/>
      <w:marBottom w:val="0"/>
      <w:divBdr>
        <w:top w:val="none" w:sz="0" w:space="0" w:color="auto"/>
        <w:left w:val="none" w:sz="0" w:space="0" w:color="auto"/>
        <w:bottom w:val="none" w:sz="0" w:space="0" w:color="auto"/>
        <w:right w:val="none" w:sz="0" w:space="0" w:color="auto"/>
      </w:divBdr>
    </w:div>
    <w:div w:id="730885659">
      <w:bodyDiv w:val="1"/>
      <w:marLeft w:val="0"/>
      <w:marRight w:val="0"/>
      <w:marTop w:val="0"/>
      <w:marBottom w:val="0"/>
      <w:divBdr>
        <w:top w:val="none" w:sz="0" w:space="0" w:color="auto"/>
        <w:left w:val="none" w:sz="0" w:space="0" w:color="auto"/>
        <w:bottom w:val="none" w:sz="0" w:space="0" w:color="auto"/>
        <w:right w:val="none" w:sz="0" w:space="0" w:color="auto"/>
      </w:divBdr>
    </w:div>
    <w:div w:id="803960563">
      <w:bodyDiv w:val="1"/>
      <w:marLeft w:val="0"/>
      <w:marRight w:val="0"/>
      <w:marTop w:val="0"/>
      <w:marBottom w:val="0"/>
      <w:divBdr>
        <w:top w:val="none" w:sz="0" w:space="0" w:color="auto"/>
        <w:left w:val="none" w:sz="0" w:space="0" w:color="auto"/>
        <w:bottom w:val="none" w:sz="0" w:space="0" w:color="auto"/>
        <w:right w:val="none" w:sz="0" w:space="0" w:color="auto"/>
      </w:divBdr>
    </w:div>
    <w:div w:id="884099442">
      <w:bodyDiv w:val="1"/>
      <w:marLeft w:val="0"/>
      <w:marRight w:val="0"/>
      <w:marTop w:val="0"/>
      <w:marBottom w:val="0"/>
      <w:divBdr>
        <w:top w:val="none" w:sz="0" w:space="0" w:color="auto"/>
        <w:left w:val="none" w:sz="0" w:space="0" w:color="auto"/>
        <w:bottom w:val="none" w:sz="0" w:space="0" w:color="auto"/>
        <w:right w:val="none" w:sz="0" w:space="0" w:color="auto"/>
      </w:divBdr>
    </w:div>
    <w:div w:id="999114642">
      <w:bodyDiv w:val="1"/>
      <w:marLeft w:val="0"/>
      <w:marRight w:val="0"/>
      <w:marTop w:val="0"/>
      <w:marBottom w:val="0"/>
      <w:divBdr>
        <w:top w:val="none" w:sz="0" w:space="0" w:color="auto"/>
        <w:left w:val="none" w:sz="0" w:space="0" w:color="auto"/>
        <w:bottom w:val="none" w:sz="0" w:space="0" w:color="auto"/>
        <w:right w:val="none" w:sz="0" w:space="0" w:color="auto"/>
      </w:divBdr>
    </w:div>
    <w:div w:id="1055008365">
      <w:bodyDiv w:val="1"/>
      <w:marLeft w:val="0"/>
      <w:marRight w:val="0"/>
      <w:marTop w:val="0"/>
      <w:marBottom w:val="0"/>
      <w:divBdr>
        <w:top w:val="none" w:sz="0" w:space="0" w:color="auto"/>
        <w:left w:val="none" w:sz="0" w:space="0" w:color="auto"/>
        <w:bottom w:val="none" w:sz="0" w:space="0" w:color="auto"/>
        <w:right w:val="none" w:sz="0" w:space="0" w:color="auto"/>
      </w:divBdr>
    </w:div>
    <w:div w:id="1183520533">
      <w:bodyDiv w:val="1"/>
      <w:marLeft w:val="0"/>
      <w:marRight w:val="0"/>
      <w:marTop w:val="0"/>
      <w:marBottom w:val="0"/>
      <w:divBdr>
        <w:top w:val="none" w:sz="0" w:space="0" w:color="auto"/>
        <w:left w:val="none" w:sz="0" w:space="0" w:color="auto"/>
        <w:bottom w:val="none" w:sz="0" w:space="0" w:color="auto"/>
        <w:right w:val="none" w:sz="0" w:space="0" w:color="auto"/>
      </w:divBdr>
    </w:div>
    <w:div w:id="1275138754">
      <w:bodyDiv w:val="1"/>
      <w:marLeft w:val="0"/>
      <w:marRight w:val="0"/>
      <w:marTop w:val="0"/>
      <w:marBottom w:val="0"/>
      <w:divBdr>
        <w:top w:val="none" w:sz="0" w:space="0" w:color="auto"/>
        <w:left w:val="none" w:sz="0" w:space="0" w:color="auto"/>
        <w:bottom w:val="none" w:sz="0" w:space="0" w:color="auto"/>
        <w:right w:val="none" w:sz="0" w:space="0" w:color="auto"/>
      </w:divBdr>
    </w:div>
    <w:div w:id="1321618558">
      <w:bodyDiv w:val="1"/>
      <w:marLeft w:val="0"/>
      <w:marRight w:val="0"/>
      <w:marTop w:val="0"/>
      <w:marBottom w:val="0"/>
      <w:divBdr>
        <w:top w:val="none" w:sz="0" w:space="0" w:color="auto"/>
        <w:left w:val="none" w:sz="0" w:space="0" w:color="auto"/>
        <w:bottom w:val="none" w:sz="0" w:space="0" w:color="auto"/>
        <w:right w:val="none" w:sz="0" w:space="0" w:color="auto"/>
      </w:divBdr>
    </w:div>
    <w:div w:id="1333528747">
      <w:bodyDiv w:val="1"/>
      <w:marLeft w:val="0"/>
      <w:marRight w:val="0"/>
      <w:marTop w:val="0"/>
      <w:marBottom w:val="0"/>
      <w:divBdr>
        <w:top w:val="none" w:sz="0" w:space="0" w:color="auto"/>
        <w:left w:val="none" w:sz="0" w:space="0" w:color="auto"/>
        <w:bottom w:val="none" w:sz="0" w:space="0" w:color="auto"/>
        <w:right w:val="none" w:sz="0" w:space="0" w:color="auto"/>
      </w:divBdr>
    </w:div>
    <w:div w:id="1504008769">
      <w:bodyDiv w:val="1"/>
      <w:marLeft w:val="0"/>
      <w:marRight w:val="0"/>
      <w:marTop w:val="0"/>
      <w:marBottom w:val="0"/>
      <w:divBdr>
        <w:top w:val="none" w:sz="0" w:space="0" w:color="auto"/>
        <w:left w:val="none" w:sz="0" w:space="0" w:color="auto"/>
        <w:bottom w:val="none" w:sz="0" w:space="0" w:color="auto"/>
        <w:right w:val="none" w:sz="0" w:space="0" w:color="auto"/>
      </w:divBdr>
    </w:div>
    <w:div w:id="1569656430">
      <w:bodyDiv w:val="1"/>
      <w:marLeft w:val="0"/>
      <w:marRight w:val="0"/>
      <w:marTop w:val="0"/>
      <w:marBottom w:val="0"/>
      <w:divBdr>
        <w:top w:val="none" w:sz="0" w:space="0" w:color="auto"/>
        <w:left w:val="none" w:sz="0" w:space="0" w:color="auto"/>
        <w:bottom w:val="none" w:sz="0" w:space="0" w:color="auto"/>
        <w:right w:val="none" w:sz="0" w:space="0" w:color="auto"/>
      </w:divBdr>
    </w:div>
    <w:div w:id="1587953093">
      <w:bodyDiv w:val="1"/>
      <w:marLeft w:val="0"/>
      <w:marRight w:val="0"/>
      <w:marTop w:val="0"/>
      <w:marBottom w:val="0"/>
      <w:divBdr>
        <w:top w:val="none" w:sz="0" w:space="0" w:color="auto"/>
        <w:left w:val="none" w:sz="0" w:space="0" w:color="auto"/>
        <w:bottom w:val="none" w:sz="0" w:space="0" w:color="auto"/>
        <w:right w:val="none" w:sz="0" w:space="0" w:color="auto"/>
      </w:divBdr>
    </w:div>
    <w:div w:id="1638486116">
      <w:bodyDiv w:val="1"/>
      <w:marLeft w:val="0"/>
      <w:marRight w:val="0"/>
      <w:marTop w:val="0"/>
      <w:marBottom w:val="0"/>
      <w:divBdr>
        <w:top w:val="none" w:sz="0" w:space="0" w:color="auto"/>
        <w:left w:val="none" w:sz="0" w:space="0" w:color="auto"/>
        <w:bottom w:val="none" w:sz="0" w:space="0" w:color="auto"/>
        <w:right w:val="none" w:sz="0" w:space="0" w:color="auto"/>
      </w:divBdr>
    </w:div>
    <w:div w:id="1735590646">
      <w:bodyDiv w:val="1"/>
      <w:marLeft w:val="0"/>
      <w:marRight w:val="0"/>
      <w:marTop w:val="0"/>
      <w:marBottom w:val="0"/>
      <w:divBdr>
        <w:top w:val="none" w:sz="0" w:space="0" w:color="auto"/>
        <w:left w:val="none" w:sz="0" w:space="0" w:color="auto"/>
        <w:bottom w:val="none" w:sz="0" w:space="0" w:color="auto"/>
        <w:right w:val="none" w:sz="0" w:space="0" w:color="auto"/>
      </w:divBdr>
    </w:div>
    <w:div w:id="1777629404">
      <w:bodyDiv w:val="1"/>
      <w:marLeft w:val="0"/>
      <w:marRight w:val="0"/>
      <w:marTop w:val="0"/>
      <w:marBottom w:val="0"/>
      <w:divBdr>
        <w:top w:val="none" w:sz="0" w:space="0" w:color="auto"/>
        <w:left w:val="none" w:sz="0" w:space="0" w:color="auto"/>
        <w:bottom w:val="none" w:sz="0" w:space="0" w:color="auto"/>
        <w:right w:val="none" w:sz="0" w:space="0" w:color="auto"/>
      </w:divBdr>
    </w:div>
    <w:div w:id="1886989293">
      <w:bodyDiv w:val="1"/>
      <w:marLeft w:val="0"/>
      <w:marRight w:val="0"/>
      <w:marTop w:val="0"/>
      <w:marBottom w:val="0"/>
      <w:divBdr>
        <w:top w:val="none" w:sz="0" w:space="0" w:color="auto"/>
        <w:left w:val="none" w:sz="0" w:space="0" w:color="auto"/>
        <w:bottom w:val="none" w:sz="0" w:space="0" w:color="auto"/>
        <w:right w:val="none" w:sz="0" w:space="0" w:color="auto"/>
      </w:divBdr>
    </w:div>
    <w:div w:id="1909457072">
      <w:bodyDiv w:val="1"/>
      <w:marLeft w:val="0"/>
      <w:marRight w:val="0"/>
      <w:marTop w:val="0"/>
      <w:marBottom w:val="0"/>
      <w:divBdr>
        <w:top w:val="none" w:sz="0" w:space="0" w:color="auto"/>
        <w:left w:val="none" w:sz="0" w:space="0" w:color="auto"/>
        <w:bottom w:val="none" w:sz="0" w:space="0" w:color="auto"/>
        <w:right w:val="none" w:sz="0" w:space="0" w:color="auto"/>
      </w:divBdr>
    </w:div>
    <w:div w:id="2034111938">
      <w:bodyDiv w:val="1"/>
      <w:marLeft w:val="0"/>
      <w:marRight w:val="0"/>
      <w:marTop w:val="0"/>
      <w:marBottom w:val="0"/>
      <w:divBdr>
        <w:top w:val="none" w:sz="0" w:space="0" w:color="auto"/>
        <w:left w:val="none" w:sz="0" w:space="0" w:color="auto"/>
        <w:bottom w:val="none" w:sz="0" w:space="0" w:color="auto"/>
        <w:right w:val="none" w:sz="0" w:space="0" w:color="auto"/>
      </w:divBdr>
    </w:div>
    <w:div w:id="213537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6</TotalTime>
  <Pages>15</Pages>
  <Words>5007</Words>
  <Characters>30360</Characters>
  <Application>Microsoft Office Word</Application>
  <DocSecurity>0</DocSecurity>
  <Lines>253</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2023111460, var. 8, pkt. 4.4 og 4.6</dc:description>
  <cp:lastModifiedBy>Gitte Jørgensen</cp:lastModifiedBy>
  <cp:revision>5</cp:revision>
  <cp:lastPrinted>2006-02-24T09:31:00Z</cp:lastPrinted>
  <dcterms:created xsi:type="dcterms:W3CDTF">2024-07-15T10:39:00Z</dcterms:created>
  <dcterms:modified xsi:type="dcterms:W3CDTF">2024-07-15T10:52:00Z</dcterms:modified>
</cp:coreProperties>
</file>