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6E1CB" w14:textId="77777777" w:rsidR="009260DE" w:rsidRPr="00EC5C36" w:rsidRDefault="0021526C" w:rsidP="009260DE">
      <w:pPr>
        <w:rPr>
          <w:sz w:val="24"/>
          <w:szCs w:val="24"/>
        </w:rPr>
      </w:pPr>
      <w:bookmarkStart w:id="0" w:name="_GoBack"/>
      <w:bookmarkEnd w:id="0"/>
      <w:r w:rsidRPr="00EC5C3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4C8B7C6" wp14:editId="033F0D9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EC5C36">
        <w:rPr>
          <w:sz w:val="24"/>
          <w:szCs w:val="24"/>
        </w:rPr>
        <w:br w:type="textWrapping" w:clear="all"/>
      </w:r>
    </w:p>
    <w:p w14:paraId="1660221A" w14:textId="3997AF31" w:rsidR="009260DE" w:rsidRPr="00EC5C36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EC5C36">
        <w:rPr>
          <w:b w:val="0"/>
          <w:szCs w:val="24"/>
          <w:lang w:eastAsia="en-US"/>
        </w:rPr>
        <w:tab/>
      </w:r>
      <w:r w:rsidR="00072069">
        <w:rPr>
          <w:szCs w:val="24"/>
        </w:rPr>
        <w:t>5</w:t>
      </w:r>
      <w:r w:rsidR="00CE0725">
        <w:rPr>
          <w:szCs w:val="24"/>
        </w:rPr>
        <w:t>. november 2024</w:t>
      </w:r>
    </w:p>
    <w:p w14:paraId="0108FA45" w14:textId="77777777" w:rsidR="009260DE" w:rsidRPr="00EC5C36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075CCBB" w14:textId="77777777" w:rsidR="009260DE" w:rsidRPr="00EC5C36" w:rsidRDefault="009260DE" w:rsidP="009260DE">
      <w:pPr>
        <w:pStyle w:val="Titel"/>
        <w:jc w:val="left"/>
        <w:rPr>
          <w:b w:val="0"/>
          <w:szCs w:val="24"/>
        </w:rPr>
      </w:pPr>
    </w:p>
    <w:p w14:paraId="523C0D75" w14:textId="77777777" w:rsidR="009260DE" w:rsidRPr="00EC5C36" w:rsidRDefault="009260DE" w:rsidP="009260DE">
      <w:pPr>
        <w:pStyle w:val="Titel"/>
        <w:jc w:val="left"/>
        <w:rPr>
          <w:b w:val="0"/>
          <w:szCs w:val="24"/>
        </w:rPr>
      </w:pPr>
    </w:p>
    <w:p w14:paraId="64DD198B" w14:textId="77777777" w:rsidR="009260DE" w:rsidRPr="00072069" w:rsidRDefault="009260DE" w:rsidP="009260DE">
      <w:pPr>
        <w:jc w:val="center"/>
        <w:rPr>
          <w:b/>
          <w:sz w:val="24"/>
          <w:szCs w:val="24"/>
        </w:rPr>
      </w:pPr>
      <w:r w:rsidRPr="00072069">
        <w:rPr>
          <w:b/>
          <w:sz w:val="24"/>
          <w:szCs w:val="24"/>
        </w:rPr>
        <w:t>PRODUKTRESUMÉ</w:t>
      </w:r>
    </w:p>
    <w:p w14:paraId="1129D3BF" w14:textId="77777777" w:rsidR="009260DE" w:rsidRPr="00072069" w:rsidRDefault="009260DE" w:rsidP="009260DE">
      <w:pPr>
        <w:jc w:val="center"/>
        <w:rPr>
          <w:b/>
          <w:sz w:val="24"/>
          <w:szCs w:val="24"/>
        </w:rPr>
      </w:pPr>
    </w:p>
    <w:p w14:paraId="0CAD0F98" w14:textId="77777777" w:rsidR="009260DE" w:rsidRPr="00072069" w:rsidRDefault="009260DE" w:rsidP="009260DE">
      <w:pPr>
        <w:jc w:val="center"/>
        <w:rPr>
          <w:b/>
          <w:sz w:val="24"/>
          <w:szCs w:val="24"/>
        </w:rPr>
      </w:pPr>
      <w:r w:rsidRPr="00072069">
        <w:rPr>
          <w:b/>
          <w:sz w:val="24"/>
          <w:szCs w:val="24"/>
        </w:rPr>
        <w:t>for</w:t>
      </w:r>
    </w:p>
    <w:p w14:paraId="663BFF73" w14:textId="77777777" w:rsidR="000B058C" w:rsidRPr="00072069" w:rsidRDefault="000B058C" w:rsidP="009260DE">
      <w:pPr>
        <w:jc w:val="center"/>
        <w:rPr>
          <w:b/>
          <w:sz w:val="24"/>
          <w:szCs w:val="24"/>
        </w:rPr>
      </w:pPr>
    </w:p>
    <w:p w14:paraId="26C3D8B0" w14:textId="0939C0B2" w:rsidR="009260DE" w:rsidRPr="00072069" w:rsidRDefault="007A4A10" w:rsidP="009260DE">
      <w:pPr>
        <w:jc w:val="center"/>
        <w:rPr>
          <w:b/>
          <w:sz w:val="24"/>
          <w:szCs w:val="24"/>
        </w:rPr>
      </w:pPr>
      <w:proofErr w:type="spellStart"/>
      <w:r w:rsidRPr="00072069">
        <w:rPr>
          <w:b/>
          <w:sz w:val="24"/>
          <w:szCs w:val="24"/>
        </w:rPr>
        <w:t>Cargluminsyre</w:t>
      </w:r>
      <w:proofErr w:type="spellEnd"/>
      <w:r w:rsidRPr="00072069">
        <w:rPr>
          <w:b/>
          <w:sz w:val="24"/>
          <w:szCs w:val="24"/>
        </w:rPr>
        <w:t xml:space="preserve"> "</w:t>
      </w:r>
      <w:proofErr w:type="spellStart"/>
      <w:r w:rsidRPr="00072069">
        <w:rPr>
          <w:b/>
          <w:sz w:val="24"/>
          <w:szCs w:val="24"/>
        </w:rPr>
        <w:t>Waymade</w:t>
      </w:r>
      <w:proofErr w:type="spellEnd"/>
      <w:r w:rsidRPr="00072069">
        <w:rPr>
          <w:b/>
          <w:sz w:val="24"/>
          <w:szCs w:val="24"/>
        </w:rPr>
        <w:t xml:space="preserve">", </w:t>
      </w:r>
      <w:proofErr w:type="spellStart"/>
      <w:r w:rsidRPr="00072069">
        <w:rPr>
          <w:b/>
          <w:sz w:val="24"/>
          <w:szCs w:val="24"/>
        </w:rPr>
        <w:t>disper</w:t>
      </w:r>
      <w:r w:rsidR="008146C7" w:rsidRPr="00072069">
        <w:rPr>
          <w:b/>
          <w:sz w:val="24"/>
          <w:szCs w:val="24"/>
        </w:rPr>
        <w:t>gible</w:t>
      </w:r>
      <w:proofErr w:type="spellEnd"/>
      <w:r w:rsidRPr="00072069">
        <w:rPr>
          <w:b/>
          <w:sz w:val="24"/>
          <w:szCs w:val="24"/>
        </w:rPr>
        <w:t xml:space="preserve"> tablet</w:t>
      </w:r>
      <w:r w:rsidR="008146C7" w:rsidRPr="00072069">
        <w:rPr>
          <w:b/>
          <w:sz w:val="24"/>
          <w:szCs w:val="24"/>
        </w:rPr>
        <w:t>ter</w:t>
      </w:r>
    </w:p>
    <w:p w14:paraId="425C9FB8" w14:textId="77777777" w:rsidR="009260DE" w:rsidRPr="00072069" w:rsidRDefault="009260DE" w:rsidP="009260DE">
      <w:pPr>
        <w:jc w:val="both"/>
        <w:rPr>
          <w:sz w:val="24"/>
          <w:szCs w:val="24"/>
        </w:rPr>
      </w:pPr>
    </w:p>
    <w:p w14:paraId="76683021" w14:textId="77777777" w:rsidR="009260DE" w:rsidRPr="00072069" w:rsidRDefault="009260DE" w:rsidP="009260DE">
      <w:pPr>
        <w:jc w:val="both"/>
        <w:rPr>
          <w:sz w:val="24"/>
          <w:szCs w:val="24"/>
        </w:rPr>
      </w:pPr>
    </w:p>
    <w:p w14:paraId="160B5D79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0.</w:t>
      </w:r>
      <w:r w:rsidRPr="00EC5C36">
        <w:rPr>
          <w:b/>
          <w:sz w:val="24"/>
          <w:szCs w:val="24"/>
        </w:rPr>
        <w:tab/>
        <w:t>D.SP.NR.</w:t>
      </w:r>
    </w:p>
    <w:p w14:paraId="29A9D128" w14:textId="77777777" w:rsidR="007A4A10" w:rsidRPr="00EC5C36" w:rsidRDefault="007A4A10" w:rsidP="007A4A10">
      <w:pPr>
        <w:tabs>
          <w:tab w:val="left" w:pos="8222"/>
        </w:tabs>
        <w:ind w:left="851"/>
        <w:rPr>
          <w:sz w:val="24"/>
          <w:szCs w:val="24"/>
        </w:rPr>
      </w:pPr>
      <w:r w:rsidRPr="00EC5C36">
        <w:rPr>
          <w:sz w:val="24"/>
          <w:szCs w:val="24"/>
        </w:rPr>
        <w:t>33362</w:t>
      </w:r>
    </w:p>
    <w:p w14:paraId="207DC33D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B7B1C9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1.</w:t>
      </w:r>
      <w:r w:rsidRPr="00EC5C36">
        <w:rPr>
          <w:b/>
          <w:sz w:val="24"/>
          <w:szCs w:val="24"/>
        </w:rPr>
        <w:tab/>
        <w:t>LÆGEMIDLETS NAVN</w:t>
      </w:r>
    </w:p>
    <w:p w14:paraId="0649198E" w14:textId="77777777" w:rsidR="007A4A10" w:rsidRPr="00EC5C36" w:rsidRDefault="007A4A10" w:rsidP="007A4A1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"</w:t>
      </w:r>
      <w:proofErr w:type="spellStart"/>
      <w:r w:rsidRPr="00EC5C36">
        <w:rPr>
          <w:sz w:val="24"/>
          <w:szCs w:val="24"/>
        </w:rPr>
        <w:t>Waymade</w:t>
      </w:r>
      <w:proofErr w:type="spellEnd"/>
      <w:r w:rsidRPr="00EC5C36">
        <w:rPr>
          <w:sz w:val="24"/>
          <w:szCs w:val="24"/>
        </w:rPr>
        <w:t>"</w:t>
      </w:r>
    </w:p>
    <w:p w14:paraId="7F256142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11254C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2.</w:t>
      </w:r>
      <w:r w:rsidRPr="00EC5C36">
        <w:rPr>
          <w:b/>
          <w:sz w:val="24"/>
          <w:szCs w:val="24"/>
        </w:rPr>
        <w:tab/>
        <w:t>KVALITATIV OG KVANTITATIV SAMMENSÆTNING</w:t>
      </w:r>
    </w:p>
    <w:p w14:paraId="4CBDE319" w14:textId="77777777" w:rsidR="007162C5" w:rsidRPr="00EC5C36" w:rsidRDefault="007162C5" w:rsidP="00B84EC1">
      <w:pPr>
        <w:spacing w:line="260" w:lineRule="exact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Hver tablet indeholder 200 mg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. </w:t>
      </w:r>
    </w:p>
    <w:p w14:paraId="2BBE07D5" w14:textId="77777777" w:rsidR="007162C5" w:rsidRPr="00EC5C36" w:rsidRDefault="007162C5" w:rsidP="00B84EC1">
      <w:pPr>
        <w:spacing w:line="260" w:lineRule="exact"/>
        <w:ind w:left="851"/>
        <w:rPr>
          <w:sz w:val="24"/>
          <w:szCs w:val="24"/>
        </w:rPr>
      </w:pPr>
    </w:p>
    <w:p w14:paraId="343F3060" w14:textId="77777777" w:rsidR="007162C5" w:rsidRPr="00EC5C36" w:rsidRDefault="007162C5" w:rsidP="00B84EC1">
      <w:pPr>
        <w:spacing w:line="260" w:lineRule="exact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Hjælpestof(r) med kendt effekt</w:t>
      </w:r>
    </w:p>
    <w:p w14:paraId="772F9CFA" w14:textId="77777777" w:rsidR="007162C5" w:rsidRPr="00EC5C36" w:rsidRDefault="007162C5" w:rsidP="00B84EC1">
      <w:pPr>
        <w:spacing w:line="260" w:lineRule="exact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Hver tablet indeholder op til 3 mg natrium (se pkt. 4.4).</w:t>
      </w:r>
    </w:p>
    <w:p w14:paraId="78A6154F" w14:textId="77777777" w:rsidR="007162C5" w:rsidRPr="00EC5C36" w:rsidRDefault="007162C5" w:rsidP="00B84EC1">
      <w:pPr>
        <w:spacing w:line="260" w:lineRule="exact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Alle hjælpestoffer er anført under pkt. 6.1.</w:t>
      </w:r>
    </w:p>
    <w:p w14:paraId="793F0FB7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4AE070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3.</w:t>
      </w:r>
      <w:r w:rsidRPr="00EC5C36">
        <w:rPr>
          <w:b/>
          <w:sz w:val="24"/>
          <w:szCs w:val="24"/>
        </w:rPr>
        <w:tab/>
        <w:t>LÆGEMIDDELFORM</w:t>
      </w:r>
    </w:p>
    <w:p w14:paraId="573B9159" w14:textId="6D6CE986" w:rsidR="008C3D90" w:rsidRPr="00EC5C36" w:rsidRDefault="008C3D90" w:rsidP="00B84EC1">
      <w:pPr>
        <w:suppressAutoHyphens/>
        <w:ind w:left="851"/>
        <w:rPr>
          <w:spacing w:val="-3"/>
          <w:sz w:val="24"/>
          <w:szCs w:val="24"/>
        </w:rPr>
      </w:pPr>
      <w:proofErr w:type="spellStart"/>
      <w:r w:rsidRPr="00EC5C36">
        <w:rPr>
          <w:spacing w:val="-3"/>
          <w:sz w:val="24"/>
          <w:szCs w:val="24"/>
        </w:rPr>
        <w:t>Dispergib</w:t>
      </w:r>
      <w:r w:rsidR="00EC5C36">
        <w:rPr>
          <w:spacing w:val="-3"/>
          <w:sz w:val="24"/>
          <w:szCs w:val="24"/>
        </w:rPr>
        <w:t>le</w:t>
      </w:r>
      <w:proofErr w:type="spellEnd"/>
      <w:r w:rsidRPr="00EC5C36">
        <w:rPr>
          <w:spacing w:val="-3"/>
          <w:sz w:val="24"/>
          <w:szCs w:val="24"/>
        </w:rPr>
        <w:t xml:space="preserve"> tablet</w:t>
      </w:r>
      <w:r w:rsidR="00EC5C36">
        <w:rPr>
          <w:spacing w:val="-3"/>
          <w:sz w:val="24"/>
          <w:szCs w:val="24"/>
        </w:rPr>
        <w:t>ter</w:t>
      </w:r>
    </w:p>
    <w:p w14:paraId="2343F7D9" w14:textId="77777777" w:rsidR="008C3D90" w:rsidRPr="00EC5C36" w:rsidRDefault="008C3D90" w:rsidP="00B84EC1">
      <w:pPr>
        <w:suppressAutoHyphens/>
        <w:ind w:left="851"/>
        <w:rPr>
          <w:sz w:val="24"/>
          <w:szCs w:val="24"/>
        </w:rPr>
      </w:pPr>
    </w:p>
    <w:p w14:paraId="0188049F" w14:textId="77777777" w:rsidR="008C3D90" w:rsidRPr="00EC5C36" w:rsidRDefault="008C3D90" w:rsidP="00B84EC1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Tabletten er en hvid til råhvid, aflang </w:t>
      </w:r>
      <w:proofErr w:type="spellStart"/>
      <w:r w:rsidRPr="00EC5C36">
        <w:rPr>
          <w:sz w:val="24"/>
          <w:szCs w:val="24"/>
        </w:rPr>
        <w:t>dispergibel</w:t>
      </w:r>
      <w:proofErr w:type="spellEnd"/>
      <w:r w:rsidRPr="00EC5C36">
        <w:rPr>
          <w:sz w:val="24"/>
          <w:szCs w:val="24"/>
        </w:rPr>
        <w:t xml:space="preserve"> tablet, 18 mm×6 mm, med tre delekærve på begge sider og indgraverede 'N'er på den ene side.</w:t>
      </w:r>
    </w:p>
    <w:p w14:paraId="5A25F17F" w14:textId="77777777" w:rsidR="008C3D90" w:rsidRPr="00EC5C36" w:rsidRDefault="008C3D90" w:rsidP="00B84EC1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Tabletten kan deles i to lige store doser.</w:t>
      </w:r>
    </w:p>
    <w:p w14:paraId="5016630E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E2F4F1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DB87C2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</w:t>
      </w:r>
      <w:r w:rsidRPr="00EC5C36">
        <w:rPr>
          <w:b/>
          <w:sz w:val="24"/>
          <w:szCs w:val="24"/>
        </w:rPr>
        <w:tab/>
        <w:t>KLINISKE OPLYSNINGER</w:t>
      </w:r>
    </w:p>
    <w:p w14:paraId="76F3FEE1" w14:textId="77777777" w:rsidR="009260DE" w:rsidRPr="00EC5C3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986030A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C5C36">
        <w:rPr>
          <w:b/>
          <w:sz w:val="24"/>
          <w:szCs w:val="24"/>
        </w:rPr>
        <w:t>4.1</w:t>
      </w:r>
      <w:r w:rsidRPr="00EC5C36">
        <w:rPr>
          <w:b/>
          <w:sz w:val="24"/>
          <w:szCs w:val="24"/>
        </w:rPr>
        <w:tab/>
        <w:t>Terapeutiske indikationer</w:t>
      </w:r>
    </w:p>
    <w:p w14:paraId="45D814E9" w14:textId="0BFDBD20" w:rsidR="008C3D90" w:rsidRPr="00EC5C36" w:rsidRDefault="008C3D90" w:rsidP="00B84EC1">
      <w:pPr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</w:t>
      </w:r>
      <w:r w:rsidR="003054BA">
        <w:rPr>
          <w:sz w:val="24"/>
          <w:szCs w:val="24"/>
        </w:rPr>
        <w:t>"</w:t>
      </w:r>
      <w:proofErr w:type="spellStart"/>
      <w:r w:rsidR="003054BA">
        <w:rPr>
          <w:sz w:val="24"/>
          <w:szCs w:val="24"/>
        </w:rPr>
        <w:t>Waymade</w:t>
      </w:r>
      <w:proofErr w:type="spellEnd"/>
      <w:r w:rsidR="003054BA">
        <w:rPr>
          <w:sz w:val="24"/>
          <w:szCs w:val="24"/>
        </w:rPr>
        <w:t>"</w:t>
      </w:r>
      <w:r w:rsidRPr="00EC5C36">
        <w:rPr>
          <w:sz w:val="24"/>
          <w:szCs w:val="24"/>
        </w:rPr>
        <w:t xml:space="preserve"> er indiceret til behandling af:</w:t>
      </w:r>
    </w:p>
    <w:p w14:paraId="0DA6FB00" w14:textId="77777777" w:rsidR="008C3D90" w:rsidRPr="00EC5C36" w:rsidRDefault="008C3D90" w:rsidP="00B84EC1">
      <w:pPr>
        <w:pStyle w:val="Default"/>
        <w:numPr>
          <w:ilvl w:val="0"/>
          <w:numId w:val="6"/>
        </w:numPr>
        <w:ind w:left="1276" w:hanging="425"/>
        <w:rPr>
          <w:rFonts w:ascii="Times New Roman" w:hAnsi="Times New Roman" w:cs="Times New Roman"/>
          <w:lang w:val="da-DK"/>
        </w:rPr>
      </w:pPr>
      <w:proofErr w:type="spellStart"/>
      <w:r w:rsidRPr="00EC5C36">
        <w:rPr>
          <w:rFonts w:ascii="Times New Roman" w:hAnsi="Times New Roman" w:cs="Times New Roman"/>
          <w:lang w:val="da-DK"/>
        </w:rPr>
        <w:t>Hyperammonæmi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 på grund af primær N-</w:t>
      </w:r>
      <w:proofErr w:type="spellStart"/>
      <w:r w:rsidRPr="00EC5C36">
        <w:rPr>
          <w:rFonts w:ascii="Times New Roman" w:hAnsi="Times New Roman" w:cs="Times New Roman"/>
          <w:lang w:val="da-DK"/>
        </w:rPr>
        <w:t>acetylglutamatsyntasemangel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. </w:t>
      </w:r>
    </w:p>
    <w:p w14:paraId="59F7E5FF" w14:textId="77777777" w:rsidR="008C3D90" w:rsidRPr="00EC5C36" w:rsidRDefault="008C3D90" w:rsidP="00B84EC1">
      <w:pPr>
        <w:pStyle w:val="Default"/>
        <w:numPr>
          <w:ilvl w:val="0"/>
          <w:numId w:val="6"/>
        </w:numPr>
        <w:ind w:left="1276" w:hanging="425"/>
        <w:rPr>
          <w:rFonts w:ascii="Times New Roman" w:hAnsi="Times New Roman" w:cs="Times New Roman"/>
          <w:lang w:val="da-DK"/>
        </w:rPr>
      </w:pPr>
      <w:proofErr w:type="spellStart"/>
      <w:r w:rsidRPr="00EC5C36">
        <w:rPr>
          <w:rFonts w:ascii="Times New Roman" w:hAnsi="Times New Roman" w:cs="Times New Roman"/>
          <w:lang w:val="da-DK"/>
        </w:rPr>
        <w:t>Hyperammonæmi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 på grund af </w:t>
      </w:r>
      <w:proofErr w:type="spellStart"/>
      <w:r w:rsidRPr="00EC5C36">
        <w:rPr>
          <w:rFonts w:ascii="Times New Roman" w:hAnsi="Times New Roman" w:cs="Times New Roman"/>
          <w:lang w:val="da-DK"/>
        </w:rPr>
        <w:t>isovalerianeacidæmi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. </w:t>
      </w:r>
    </w:p>
    <w:p w14:paraId="163F4DEB" w14:textId="77777777" w:rsidR="008C3D90" w:rsidRPr="00EC5C36" w:rsidRDefault="008C3D90" w:rsidP="00B84EC1">
      <w:pPr>
        <w:pStyle w:val="Default"/>
        <w:numPr>
          <w:ilvl w:val="0"/>
          <w:numId w:val="6"/>
        </w:numPr>
        <w:ind w:left="1276" w:hanging="425"/>
        <w:rPr>
          <w:rFonts w:ascii="Times New Roman" w:hAnsi="Times New Roman" w:cs="Times New Roman"/>
          <w:lang w:val="da-DK"/>
        </w:rPr>
      </w:pPr>
      <w:proofErr w:type="spellStart"/>
      <w:r w:rsidRPr="00EC5C36">
        <w:rPr>
          <w:rFonts w:ascii="Times New Roman" w:hAnsi="Times New Roman" w:cs="Times New Roman"/>
          <w:lang w:val="da-DK"/>
        </w:rPr>
        <w:t>Hyperammonæmi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 på grund af </w:t>
      </w:r>
      <w:proofErr w:type="spellStart"/>
      <w:r w:rsidRPr="00EC5C36">
        <w:rPr>
          <w:rFonts w:ascii="Times New Roman" w:hAnsi="Times New Roman" w:cs="Times New Roman"/>
          <w:lang w:val="da-DK"/>
        </w:rPr>
        <w:t>methylmalonacidæmi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. </w:t>
      </w:r>
    </w:p>
    <w:p w14:paraId="159CE187" w14:textId="77777777" w:rsidR="008C3D90" w:rsidRPr="00EC5C36" w:rsidRDefault="008C3D90" w:rsidP="00B84EC1">
      <w:pPr>
        <w:pStyle w:val="Default"/>
        <w:numPr>
          <w:ilvl w:val="0"/>
          <w:numId w:val="6"/>
        </w:numPr>
        <w:ind w:left="1276" w:hanging="425"/>
        <w:rPr>
          <w:rFonts w:ascii="Times New Roman" w:hAnsi="Times New Roman" w:cs="Times New Roman"/>
          <w:lang w:val="da-DK"/>
        </w:rPr>
      </w:pPr>
      <w:proofErr w:type="spellStart"/>
      <w:r w:rsidRPr="00EC5C36">
        <w:rPr>
          <w:rFonts w:ascii="Times New Roman" w:hAnsi="Times New Roman" w:cs="Times New Roman"/>
          <w:lang w:val="da-DK"/>
        </w:rPr>
        <w:t>Hyperammonæmi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 på grund af </w:t>
      </w:r>
      <w:proofErr w:type="spellStart"/>
      <w:r w:rsidRPr="00EC5C36">
        <w:rPr>
          <w:rFonts w:ascii="Times New Roman" w:hAnsi="Times New Roman" w:cs="Times New Roman"/>
          <w:lang w:val="da-DK"/>
        </w:rPr>
        <w:t>propionacidæmi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. </w:t>
      </w:r>
    </w:p>
    <w:p w14:paraId="3309DC89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5E3123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4.2</w:t>
      </w:r>
      <w:r w:rsidRPr="00EC5C36">
        <w:rPr>
          <w:b/>
          <w:sz w:val="24"/>
          <w:szCs w:val="24"/>
        </w:rPr>
        <w:tab/>
        <w:t xml:space="preserve">Dosering og </w:t>
      </w:r>
      <w:r w:rsidR="002C1EC0" w:rsidRPr="00EC5C36">
        <w:rPr>
          <w:b/>
          <w:sz w:val="24"/>
          <w:szCs w:val="24"/>
        </w:rPr>
        <w:t>administration</w:t>
      </w:r>
    </w:p>
    <w:p w14:paraId="61D29BB5" w14:textId="4BEE34C5" w:rsidR="008C3D90" w:rsidRPr="00EC5C36" w:rsidRDefault="008C3D90" w:rsidP="00B84EC1">
      <w:pPr>
        <w:tabs>
          <w:tab w:val="left" w:pos="-720"/>
        </w:tabs>
        <w:suppressAutoHyphens/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</w:t>
      </w:r>
      <w:r w:rsidR="003054BA">
        <w:rPr>
          <w:sz w:val="24"/>
          <w:szCs w:val="24"/>
        </w:rPr>
        <w:t>"</w:t>
      </w:r>
      <w:proofErr w:type="spellStart"/>
      <w:r w:rsidR="003054BA">
        <w:rPr>
          <w:sz w:val="24"/>
          <w:szCs w:val="24"/>
        </w:rPr>
        <w:t>Waymade</w:t>
      </w:r>
      <w:proofErr w:type="spellEnd"/>
      <w:r w:rsidR="003054BA">
        <w:rPr>
          <w:sz w:val="24"/>
          <w:szCs w:val="24"/>
        </w:rPr>
        <w:t>"</w:t>
      </w:r>
      <w:r w:rsidRPr="00EC5C36">
        <w:rPr>
          <w:sz w:val="24"/>
          <w:szCs w:val="24"/>
        </w:rPr>
        <w:t xml:space="preserve"> skal initieres under overvågning af en læge med erfaring i behandling af metaboliske sygdomme.</w:t>
      </w:r>
    </w:p>
    <w:p w14:paraId="67AC5E05" w14:textId="7ED81BDC" w:rsidR="003054BA" w:rsidRDefault="003054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3B1C061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A9FDBE7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u w:val="single"/>
          <w:lang w:eastAsia="en-GB"/>
        </w:rPr>
        <w:t>Dosering</w:t>
      </w:r>
    </w:p>
    <w:p w14:paraId="41C410F3" w14:textId="77777777" w:rsidR="008C3D90" w:rsidRPr="00EC5C36" w:rsidRDefault="008C3D90" w:rsidP="00B84EC1">
      <w:pPr>
        <w:pStyle w:val="Listeafsnit"/>
        <w:numPr>
          <w:ilvl w:val="0"/>
          <w:numId w:val="7"/>
        </w:numPr>
        <w:adjustRightInd w:val="0"/>
        <w:ind w:left="1276" w:hanging="425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>N-</w:t>
      </w:r>
      <w:proofErr w:type="spellStart"/>
      <w:r w:rsidRPr="00EC5C36">
        <w:rPr>
          <w:color w:val="000000"/>
          <w:sz w:val="24"/>
          <w:szCs w:val="24"/>
          <w:lang w:eastAsia="en-GB"/>
        </w:rPr>
        <w:t>acetylglutamatsyntasemangel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: </w:t>
      </w:r>
    </w:p>
    <w:p w14:paraId="19CB0090" w14:textId="77777777" w:rsidR="008C3D90" w:rsidRPr="00EC5C36" w:rsidRDefault="008C3D90" w:rsidP="00EC5C36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</w:p>
    <w:p w14:paraId="1BE15654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 xml:space="preserve">Baseret på klinisk erfaring kan behandlingen begynde så tidligt som første </w:t>
      </w:r>
      <w:proofErr w:type="spellStart"/>
      <w:r w:rsidRPr="00EC5C36">
        <w:rPr>
          <w:color w:val="000000"/>
          <w:sz w:val="24"/>
          <w:szCs w:val="24"/>
          <w:lang w:eastAsia="en-GB"/>
        </w:rPr>
        <w:t>levedag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. </w:t>
      </w:r>
    </w:p>
    <w:p w14:paraId="2EB988F8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 xml:space="preserve">Den indledende daglige dosis bør være 100 mg/kg, op til 250 mg/kg, om nødvendigt. </w:t>
      </w:r>
    </w:p>
    <w:p w14:paraId="1EC84B44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 xml:space="preserve">Den bør derefter justeres individuelt med henblik på at opretholde normale ammoniak plasmaniveauer (se pkt. 4.4). </w:t>
      </w:r>
    </w:p>
    <w:p w14:paraId="04FC39E3" w14:textId="288E2AB6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color w:val="000000"/>
          <w:sz w:val="24"/>
          <w:szCs w:val="24"/>
          <w:lang w:eastAsia="en-GB"/>
        </w:rPr>
        <w:t>I det lange løb behøver det ikke at være nødvendigt at øge dosis i henhold til legemsvægt, så længe tilstrækkelig metabolisk kontrol opnås; daglige dosisområde fra 10 mg/kg til 100</w:t>
      </w:r>
      <w:r w:rsidR="003054BA">
        <w:rPr>
          <w:color w:val="000000"/>
          <w:sz w:val="24"/>
          <w:szCs w:val="24"/>
          <w:lang w:eastAsia="en-GB"/>
        </w:rPr>
        <w:t> </w:t>
      </w:r>
      <w:r w:rsidRPr="00EC5C36">
        <w:rPr>
          <w:color w:val="000000"/>
          <w:sz w:val="24"/>
          <w:szCs w:val="24"/>
          <w:lang w:eastAsia="en-GB"/>
        </w:rPr>
        <w:t>mg/kg.</w:t>
      </w:r>
    </w:p>
    <w:p w14:paraId="5B456632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</w:p>
    <w:p w14:paraId="106E76DD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proofErr w:type="spellStart"/>
      <w:r w:rsidRPr="00EC5C36">
        <w:rPr>
          <w:i/>
          <w:iCs/>
          <w:color w:val="000000"/>
          <w:sz w:val="24"/>
          <w:szCs w:val="24"/>
          <w:lang w:eastAsia="en-GB"/>
        </w:rPr>
        <w:t>Cargluminsyre</w:t>
      </w:r>
      <w:proofErr w:type="spellEnd"/>
      <w:r w:rsidRPr="00EC5C36">
        <w:rPr>
          <w:i/>
          <w:iCs/>
          <w:color w:val="000000"/>
          <w:sz w:val="24"/>
          <w:szCs w:val="24"/>
          <w:lang w:eastAsia="en-GB"/>
        </w:rPr>
        <w:t xml:space="preserve">-responstest </w:t>
      </w:r>
    </w:p>
    <w:p w14:paraId="78D2C8EF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 xml:space="preserve">Det anbefales at teste individuelt respons på </w:t>
      </w:r>
      <w:proofErr w:type="spellStart"/>
      <w:r w:rsidRPr="00EC5C36">
        <w:rPr>
          <w:color w:val="000000"/>
          <w:sz w:val="24"/>
          <w:szCs w:val="24"/>
          <w:lang w:eastAsia="en-GB"/>
        </w:rPr>
        <w:t>cargluminsyre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, inden der indledes længevarende behandling. Som for eksempel: </w:t>
      </w:r>
    </w:p>
    <w:p w14:paraId="4973720F" w14:textId="0C4A6455" w:rsidR="008C3D90" w:rsidRPr="00EC5C36" w:rsidRDefault="008C3D90" w:rsidP="00B84EC1">
      <w:pPr>
        <w:pStyle w:val="Listeafsnit"/>
        <w:numPr>
          <w:ilvl w:val="0"/>
          <w:numId w:val="8"/>
        </w:numPr>
        <w:adjustRightInd w:val="0"/>
        <w:ind w:left="1276" w:hanging="425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 xml:space="preserve">Hos et komatøst barn startes med en dosis på 100 til 250 mg/kg/dag og ammoniak plasmakoncentration måles i det mindste før hver indgivelse; den skulle normaliseres indenfor et par timer efter start med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</w:t>
      </w:r>
      <w:r w:rsidR="003054BA">
        <w:rPr>
          <w:sz w:val="24"/>
          <w:szCs w:val="24"/>
        </w:rPr>
        <w:t>"</w:t>
      </w:r>
      <w:proofErr w:type="spellStart"/>
      <w:r w:rsidR="003054BA">
        <w:rPr>
          <w:sz w:val="24"/>
          <w:szCs w:val="24"/>
        </w:rPr>
        <w:t>Waymade</w:t>
      </w:r>
      <w:proofErr w:type="spellEnd"/>
      <w:r w:rsidR="003054BA">
        <w:rPr>
          <w:sz w:val="24"/>
          <w:szCs w:val="24"/>
        </w:rPr>
        <w:t>"</w:t>
      </w:r>
      <w:r w:rsidRPr="00EC5C36">
        <w:rPr>
          <w:sz w:val="24"/>
          <w:szCs w:val="24"/>
        </w:rPr>
        <w:t>.</w:t>
      </w:r>
    </w:p>
    <w:p w14:paraId="6CEB7F64" w14:textId="0E5658D2" w:rsidR="008C3D90" w:rsidRPr="00EC5C36" w:rsidRDefault="008C3D90" w:rsidP="00B84EC1">
      <w:pPr>
        <w:pStyle w:val="Listeafsnit"/>
        <w:numPr>
          <w:ilvl w:val="0"/>
          <w:numId w:val="8"/>
        </w:numPr>
        <w:adjustRightInd w:val="0"/>
        <w:ind w:left="1276" w:hanging="425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 xml:space="preserve">Hos en patient med moderat </w:t>
      </w:r>
      <w:proofErr w:type="spellStart"/>
      <w:r w:rsidRPr="00EC5C36">
        <w:rPr>
          <w:color w:val="000000"/>
          <w:sz w:val="24"/>
          <w:szCs w:val="24"/>
          <w:lang w:eastAsia="en-GB"/>
        </w:rPr>
        <w:t>hyperammonæmi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 gives en testdosis på 100 til 200</w:t>
      </w:r>
      <w:r w:rsidR="003054BA">
        <w:rPr>
          <w:color w:val="000000"/>
          <w:sz w:val="24"/>
          <w:szCs w:val="24"/>
          <w:lang w:eastAsia="en-GB"/>
        </w:rPr>
        <w:t> </w:t>
      </w:r>
      <w:r w:rsidRPr="00EC5C36">
        <w:rPr>
          <w:color w:val="000000"/>
          <w:sz w:val="24"/>
          <w:szCs w:val="24"/>
          <w:lang w:eastAsia="en-GB"/>
        </w:rPr>
        <w:t>mg/kg/dag i 3 dage med en konstant proteinindtagelse og udførelse af gentagne bestemmelser af ammoniak plasmakoncentration (før og 1 time efter et måltid). Justér dosis for at kunne opretholde normale ammoniak plasmaniveauer.</w:t>
      </w:r>
    </w:p>
    <w:p w14:paraId="21830648" w14:textId="77777777" w:rsidR="008C3D90" w:rsidRPr="00EC5C36" w:rsidRDefault="008C3D90" w:rsidP="008C3D90">
      <w:pPr>
        <w:pStyle w:val="Default"/>
        <w:rPr>
          <w:rFonts w:ascii="Times New Roman" w:hAnsi="Times New Roman" w:cs="Times New Roman"/>
          <w:lang w:val="da-DK"/>
        </w:rPr>
      </w:pPr>
    </w:p>
    <w:p w14:paraId="3A94C1D0" w14:textId="77777777" w:rsidR="008C3D90" w:rsidRPr="00EC5C36" w:rsidRDefault="008C3D90" w:rsidP="00B84EC1">
      <w:pPr>
        <w:pStyle w:val="Default"/>
        <w:numPr>
          <w:ilvl w:val="0"/>
          <w:numId w:val="9"/>
        </w:numPr>
        <w:ind w:left="1276" w:hanging="425"/>
        <w:rPr>
          <w:rFonts w:ascii="Times New Roman" w:hAnsi="Times New Roman" w:cs="Times New Roman"/>
          <w:lang w:val="da-DK"/>
        </w:rPr>
      </w:pPr>
      <w:proofErr w:type="spellStart"/>
      <w:r w:rsidRPr="00EC5C36">
        <w:rPr>
          <w:rFonts w:ascii="Times New Roman" w:hAnsi="Times New Roman" w:cs="Times New Roman"/>
          <w:lang w:val="da-DK"/>
        </w:rPr>
        <w:t>Isovaleriansyreæmi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, </w:t>
      </w:r>
      <w:proofErr w:type="spellStart"/>
      <w:r w:rsidRPr="00EC5C36">
        <w:rPr>
          <w:rFonts w:ascii="Times New Roman" w:hAnsi="Times New Roman" w:cs="Times New Roman"/>
          <w:lang w:val="da-DK"/>
        </w:rPr>
        <w:t>methylmalonsyreæmi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 og </w:t>
      </w:r>
      <w:proofErr w:type="spellStart"/>
      <w:r w:rsidRPr="00EC5C36">
        <w:rPr>
          <w:rFonts w:ascii="Times New Roman" w:hAnsi="Times New Roman" w:cs="Times New Roman"/>
          <w:lang w:val="da-DK"/>
        </w:rPr>
        <w:t>propionacidæmi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: </w:t>
      </w:r>
    </w:p>
    <w:p w14:paraId="77DC113D" w14:textId="77777777" w:rsidR="008C3D90" w:rsidRPr="00EC5C36" w:rsidRDefault="008C3D90" w:rsidP="008C3D90">
      <w:pPr>
        <w:pStyle w:val="Default"/>
        <w:rPr>
          <w:rFonts w:ascii="Times New Roman" w:hAnsi="Times New Roman" w:cs="Times New Roman"/>
          <w:lang w:val="da-DK"/>
        </w:rPr>
      </w:pPr>
    </w:p>
    <w:p w14:paraId="508E58B4" w14:textId="77777777" w:rsidR="008C3D90" w:rsidRPr="00EC5C36" w:rsidRDefault="008C3D90" w:rsidP="00B84EC1">
      <w:pPr>
        <w:pStyle w:val="Default"/>
        <w:ind w:left="851"/>
        <w:rPr>
          <w:rFonts w:ascii="Times New Roman" w:hAnsi="Times New Roman" w:cs="Times New Roman"/>
          <w:lang w:val="da-DK"/>
        </w:rPr>
      </w:pPr>
      <w:r w:rsidRPr="00EC5C36">
        <w:rPr>
          <w:rFonts w:ascii="Times New Roman" w:hAnsi="Times New Roman" w:cs="Times New Roman"/>
          <w:lang w:val="da-DK"/>
        </w:rPr>
        <w:t xml:space="preserve">Behandlingen skal starte ved </w:t>
      </w:r>
      <w:proofErr w:type="spellStart"/>
      <w:r w:rsidRPr="00EC5C36">
        <w:rPr>
          <w:rFonts w:ascii="Times New Roman" w:hAnsi="Times New Roman" w:cs="Times New Roman"/>
          <w:lang w:val="da-DK"/>
        </w:rPr>
        <w:t>hyperammonæmi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 hos patienter med organisk </w:t>
      </w:r>
      <w:proofErr w:type="spellStart"/>
      <w:r w:rsidRPr="00EC5C36">
        <w:rPr>
          <w:rFonts w:ascii="Times New Roman" w:hAnsi="Times New Roman" w:cs="Times New Roman"/>
          <w:lang w:val="da-DK"/>
        </w:rPr>
        <w:t>acidæmi</w:t>
      </w:r>
      <w:proofErr w:type="spellEnd"/>
      <w:r w:rsidRPr="00EC5C36">
        <w:rPr>
          <w:rFonts w:ascii="Times New Roman" w:hAnsi="Times New Roman" w:cs="Times New Roman"/>
          <w:lang w:val="da-DK"/>
        </w:rPr>
        <w:t xml:space="preserve">. Den initiale daglige dosis skal være 100 mg/kg, op til 250 mg/kg hvis nødvendigt. </w:t>
      </w:r>
    </w:p>
    <w:p w14:paraId="7FEDE1DB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Dosis skal dernæst justeres individuelt for at opretholde normale plasmaniveauer af ammoniak (se pkt. 4.4).</w:t>
      </w:r>
    </w:p>
    <w:p w14:paraId="63FE810C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35A9982E" w14:textId="77777777" w:rsidR="008C3D90" w:rsidRPr="00EC5C36" w:rsidRDefault="008C3D90" w:rsidP="00B84EC1">
      <w:pPr>
        <w:ind w:left="851"/>
        <w:rPr>
          <w:i/>
          <w:iCs/>
          <w:sz w:val="24"/>
          <w:szCs w:val="24"/>
        </w:rPr>
      </w:pPr>
      <w:r w:rsidRPr="00EC5C36">
        <w:rPr>
          <w:i/>
          <w:iCs/>
          <w:sz w:val="24"/>
          <w:szCs w:val="24"/>
        </w:rPr>
        <w:t>Nedsat nyrefunktion:</w:t>
      </w:r>
    </w:p>
    <w:p w14:paraId="463FE8FD" w14:textId="69DE1597" w:rsidR="008C3D90" w:rsidRPr="00EC5C36" w:rsidRDefault="008C3D90" w:rsidP="00B84EC1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Forsigtighed tilrådes ved administration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</w:t>
      </w:r>
      <w:r w:rsidR="003054BA">
        <w:rPr>
          <w:sz w:val="24"/>
          <w:szCs w:val="24"/>
        </w:rPr>
        <w:t>"</w:t>
      </w:r>
      <w:proofErr w:type="spellStart"/>
      <w:r w:rsidR="003054BA">
        <w:rPr>
          <w:sz w:val="24"/>
          <w:szCs w:val="24"/>
        </w:rPr>
        <w:t>Waymade</w:t>
      </w:r>
      <w:proofErr w:type="spellEnd"/>
      <w:r w:rsidR="003054BA">
        <w:rPr>
          <w:sz w:val="24"/>
          <w:szCs w:val="24"/>
        </w:rPr>
        <w:t>"</w:t>
      </w:r>
      <w:r w:rsidRPr="00EC5C36">
        <w:rPr>
          <w:sz w:val="24"/>
          <w:szCs w:val="24"/>
        </w:rPr>
        <w:t xml:space="preserve"> til patienter med nedsat nyrefunktion.</w:t>
      </w:r>
    </w:p>
    <w:p w14:paraId="1CDA084E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Dosisjustering er nødvendig i henhold til GFR.</w:t>
      </w:r>
    </w:p>
    <w:p w14:paraId="737D5C5E" w14:textId="77777777" w:rsidR="008C3D90" w:rsidRPr="00EC5C36" w:rsidRDefault="008C3D90" w:rsidP="00B84EC1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C5C36">
        <w:rPr>
          <w:sz w:val="24"/>
          <w:szCs w:val="24"/>
        </w:rPr>
        <w:t>Patienter med nedsat nyrefunktion (GFR 30-59 ml/min)</w:t>
      </w:r>
    </w:p>
    <w:p w14:paraId="2B4D7FA8" w14:textId="77777777" w:rsidR="008C3D90" w:rsidRPr="00EC5C36" w:rsidRDefault="008C3D90" w:rsidP="00B84EC1">
      <w:pPr>
        <w:pStyle w:val="Listeafsnit"/>
        <w:numPr>
          <w:ilvl w:val="0"/>
          <w:numId w:val="11"/>
        </w:numPr>
        <w:ind w:left="1701" w:hanging="425"/>
        <w:rPr>
          <w:sz w:val="24"/>
          <w:szCs w:val="24"/>
        </w:rPr>
      </w:pPr>
      <w:r w:rsidRPr="00EC5C36">
        <w:rPr>
          <w:sz w:val="24"/>
          <w:szCs w:val="24"/>
        </w:rPr>
        <w:t xml:space="preserve">Den anbefalede startdosis er 50 mg/kg/dag til 125 mg/kg/dag for patienter med </w:t>
      </w:r>
      <w:proofErr w:type="spellStart"/>
      <w:r w:rsidRPr="00EC5C36">
        <w:rPr>
          <w:sz w:val="24"/>
          <w:szCs w:val="24"/>
        </w:rPr>
        <w:t>hyperammonæmi</w:t>
      </w:r>
      <w:proofErr w:type="spellEnd"/>
      <w:r w:rsidRPr="00EC5C36">
        <w:rPr>
          <w:sz w:val="24"/>
          <w:szCs w:val="24"/>
        </w:rPr>
        <w:t xml:space="preserve"> på grund af NAGS-mangel eller organisk </w:t>
      </w:r>
      <w:proofErr w:type="spellStart"/>
      <w:r w:rsidRPr="00EC5C36">
        <w:rPr>
          <w:sz w:val="24"/>
          <w:szCs w:val="24"/>
        </w:rPr>
        <w:t>acidæmi</w:t>
      </w:r>
      <w:proofErr w:type="spellEnd"/>
    </w:p>
    <w:p w14:paraId="57270D19" w14:textId="30B9EF1E" w:rsidR="008C3D90" w:rsidRPr="00EC5C36" w:rsidRDefault="008C3D90" w:rsidP="00B84EC1">
      <w:pPr>
        <w:pStyle w:val="Listeafsnit"/>
        <w:numPr>
          <w:ilvl w:val="0"/>
          <w:numId w:val="11"/>
        </w:numPr>
        <w:ind w:left="1701" w:hanging="425"/>
        <w:rPr>
          <w:sz w:val="24"/>
          <w:szCs w:val="24"/>
        </w:rPr>
      </w:pPr>
      <w:r w:rsidRPr="00EC5C36">
        <w:rPr>
          <w:sz w:val="24"/>
          <w:szCs w:val="24"/>
        </w:rPr>
        <w:t>Ved langtidsbrug vil den daglige dosis være i området fra 5 mg/kg/dag til 50</w:t>
      </w:r>
      <w:r w:rsidR="003054BA">
        <w:rPr>
          <w:sz w:val="24"/>
          <w:szCs w:val="24"/>
        </w:rPr>
        <w:t> </w:t>
      </w:r>
      <w:r w:rsidRPr="00EC5C36">
        <w:rPr>
          <w:sz w:val="24"/>
          <w:szCs w:val="24"/>
        </w:rPr>
        <w:t>mg/kg/dag og bør justeres individuelt for at opretholde normale ammoniak plasmaniveauer</w:t>
      </w:r>
    </w:p>
    <w:p w14:paraId="102E5359" w14:textId="77777777" w:rsidR="008C3D90" w:rsidRPr="00EC5C36" w:rsidRDefault="008C3D90" w:rsidP="00B84EC1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EC5C36">
        <w:rPr>
          <w:sz w:val="24"/>
          <w:szCs w:val="24"/>
        </w:rPr>
        <w:t>Patienter med svært nedsat nyrefunktion (GFR ≤ 29 ml/min)</w:t>
      </w:r>
    </w:p>
    <w:p w14:paraId="5C4039F3" w14:textId="77777777" w:rsidR="008C3D90" w:rsidRPr="00EC5C36" w:rsidRDefault="008C3D90" w:rsidP="00B84EC1">
      <w:pPr>
        <w:pStyle w:val="Listeafsnit"/>
        <w:numPr>
          <w:ilvl w:val="0"/>
          <w:numId w:val="12"/>
        </w:numPr>
        <w:ind w:left="1701" w:hanging="425"/>
        <w:rPr>
          <w:sz w:val="24"/>
          <w:szCs w:val="24"/>
        </w:rPr>
      </w:pPr>
      <w:r w:rsidRPr="00EC5C36">
        <w:rPr>
          <w:sz w:val="24"/>
          <w:szCs w:val="24"/>
        </w:rPr>
        <w:t xml:space="preserve">Den anbefalede startdosis er 15 mg/kg/dag til 40 mg/kg/dag for patienter med </w:t>
      </w:r>
      <w:proofErr w:type="spellStart"/>
      <w:r w:rsidRPr="00EC5C36">
        <w:rPr>
          <w:sz w:val="24"/>
          <w:szCs w:val="24"/>
        </w:rPr>
        <w:t>hyperammonæmi</w:t>
      </w:r>
      <w:proofErr w:type="spellEnd"/>
      <w:r w:rsidRPr="00EC5C36">
        <w:rPr>
          <w:sz w:val="24"/>
          <w:szCs w:val="24"/>
        </w:rPr>
        <w:t xml:space="preserve"> på grund af NAGS-mangel eller organisk </w:t>
      </w:r>
      <w:proofErr w:type="spellStart"/>
      <w:r w:rsidRPr="00EC5C36">
        <w:rPr>
          <w:sz w:val="24"/>
          <w:szCs w:val="24"/>
        </w:rPr>
        <w:t>acidæmi</w:t>
      </w:r>
      <w:proofErr w:type="spellEnd"/>
    </w:p>
    <w:p w14:paraId="26FBF718" w14:textId="5BFB8312" w:rsidR="008C3D90" w:rsidRPr="00EC5C36" w:rsidRDefault="008C3D90" w:rsidP="00B84EC1">
      <w:pPr>
        <w:pStyle w:val="Listeafsnit"/>
        <w:numPr>
          <w:ilvl w:val="0"/>
          <w:numId w:val="12"/>
        </w:numPr>
        <w:ind w:left="1701" w:hanging="425"/>
        <w:rPr>
          <w:sz w:val="24"/>
          <w:szCs w:val="24"/>
        </w:rPr>
      </w:pPr>
      <w:r w:rsidRPr="00EC5C36">
        <w:rPr>
          <w:sz w:val="24"/>
          <w:szCs w:val="24"/>
        </w:rPr>
        <w:t>Ved langtidsbrug vil den daglige dosis være i området fra 2 mg/kg/dag til 20</w:t>
      </w:r>
      <w:r w:rsidR="003054BA">
        <w:rPr>
          <w:sz w:val="24"/>
          <w:szCs w:val="24"/>
        </w:rPr>
        <w:t> </w:t>
      </w:r>
      <w:r w:rsidRPr="00EC5C36">
        <w:rPr>
          <w:sz w:val="24"/>
          <w:szCs w:val="24"/>
        </w:rPr>
        <w:t>mg/kg/dag og bør justeres individuelt for at opretholde normale ammoniak plasmaniveauer.</w:t>
      </w:r>
    </w:p>
    <w:p w14:paraId="2B432910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4A8B2061" w14:textId="77777777" w:rsidR="008C3D90" w:rsidRPr="00EC5C36" w:rsidRDefault="008C3D90" w:rsidP="00B84EC1">
      <w:pPr>
        <w:ind w:left="851"/>
        <w:rPr>
          <w:i/>
          <w:iCs/>
          <w:sz w:val="24"/>
          <w:szCs w:val="24"/>
        </w:rPr>
      </w:pPr>
      <w:r w:rsidRPr="00EC5C36">
        <w:rPr>
          <w:i/>
          <w:iCs/>
          <w:sz w:val="24"/>
          <w:szCs w:val="24"/>
        </w:rPr>
        <w:t>Pædiatrisk population</w:t>
      </w:r>
    </w:p>
    <w:p w14:paraId="566613B6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Sikkerheden og effektiviteten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til behandling af pædiatriske patienter (fra fødsel til 17 år) med akut eller kronisk </w:t>
      </w:r>
      <w:proofErr w:type="spellStart"/>
      <w:r w:rsidRPr="00EC5C36">
        <w:rPr>
          <w:sz w:val="24"/>
          <w:szCs w:val="24"/>
        </w:rPr>
        <w:t>hyperammonæmi</w:t>
      </w:r>
      <w:proofErr w:type="spellEnd"/>
      <w:r w:rsidRPr="00EC5C36">
        <w:rPr>
          <w:sz w:val="24"/>
          <w:szCs w:val="24"/>
        </w:rPr>
        <w:t xml:space="preserve"> på grund af NAGS-mangel og </w:t>
      </w:r>
      <w:r w:rsidRPr="00EC5C36">
        <w:rPr>
          <w:sz w:val="24"/>
          <w:szCs w:val="24"/>
        </w:rPr>
        <w:lastRenderedPageBreak/>
        <w:t xml:space="preserve">akut </w:t>
      </w:r>
      <w:proofErr w:type="spellStart"/>
      <w:r w:rsidRPr="00EC5C36">
        <w:rPr>
          <w:sz w:val="24"/>
          <w:szCs w:val="24"/>
        </w:rPr>
        <w:t>hyperammonæmi</w:t>
      </w:r>
      <w:proofErr w:type="spellEnd"/>
      <w:r w:rsidRPr="00EC5C36">
        <w:rPr>
          <w:sz w:val="24"/>
          <w:szCs w:val="24"/>
        </w:rPr>
        <w:t xml:space="preserve"> på grund af IVA, PA eller MMA er blevet fastslået, og baseret på disse data. Dosisjusteringer hos nyfødte skønnes ikke nødvendige.</w:t>
      </w:r>
    </w:p>
    <w:p w14:paraId="250F0B3B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4D2E8F4E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  <w:u w:val="single"/>
        </w:rPr>
        <w:t>Administration</w:t>
      </w:r>
    </w:p>
    <w:p w14:paraId="0E3C7802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Dette lægemiddel er KUN til oral anvendelse (indtagelse eller via </w:t>
      </w:r>
      <w:proofErr w:type="spellStart"/>
      <w:r w:rsidRPr="00EC5C36">
        <w:rPr>
          <w:sz w:val="24"/>
          <w:szCs w:val="24"/>
        </w:rPr>
        <w:t>nasogastrisk</w:t>
      </w:r>
      <w:proofErr w:type="spellEnd"/>
      <w:r w:rsidRPr="00EC5C36">
        <w:rPr>
          <w:sz w:val="24"/>
          <w:szCs w:val="24"/>
        </w:rPr>
        <w:t xml:space="preserve"> sonde vha. en sprøjte, hvis det er nødvendigt).</w:t>
      </w:r>
    </w:p>
    <w:p w14:paraId="40D4A1F1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385583C0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Baseret på </w:t>
      </w:r>
      <w:proofErr w:type="spellStart"/>
      <w:r w:rsidRPr="00EC5C36">
        <w:rPr>
          <w:sz w:val="24"/>
          <w:szCs w:val="24"/>
        </w:rPr>
        <w:t>farmakokinetiske</w:t>
      </w:r>
      <w:proofErr w:type="spellEnd"/>
      <w:r w:rsidRPr="00EC5C36">
        <w:rPr>
          <w:sz w:val="24"/>
          <w:szCs w:val="24"/>
        </w:rPr>
        <w:t xml:space="preserve"> data og klinisk erfaring anbefales det, at opdele den totale daglige dosis i to til fire doser, der gives inden måltider eller madning. Opdeling af tabletterne i halve muliggør de fleste af de påkrævede doseringsjusteringer. En gang imellem kan brugen af kvarte tabletter også være anvendelig for at justere doseringen, ordineret af lægen.</w:t>
      </w:r>
    </w:p>
    <w:p w14:paraId="43AC377D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Tabletterne skal dispergeres i et minimum af 5-10 ml vand og straks indtages eller gives ved et hurtigt tryk gennem en sprøjte via en </w:t>
      </w:r>
      <w:proofErr w:type="spellStart"/>
      <w:r w:rsidRPr="00EC5C36">
        <w:rPr>
          <w:sz w:val="24"/>
          <w:szCs w:val="24"/>
        </w:rPr>
        <w:t>nasogastrisk</w:t>
      </w:r>
      <w:proofErr w:type="spellEnd"/>
      <w:r w:rsidRPr="00EC5C36">
        <w:rPr>
          <w:sz w:val="24"/>
          <w:szCs w:val="24"/>
        </w:rPr>
        <w:t xml:space="preserve"> tube.</w:t>
      </w:r>
    </w:p>
    <w:p w14:paraId="40D98EFA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754EDB1E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Suspensionen har en let syrlig smag.</w:t>
      </w:r>
    </w:p>
    <w:p w14:paraId="7E0A79E7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F39298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4.3</w:t>
      </w:r>
      <w:r w:rsidRPr="00EC5C36">
        <w:rPr>
          <w:b/>
          <w:sz w:val="24"/>
          <w:szCs w:val="24"/>
        </w:rPr>
        <w:tab/>
        <w:t>Kontraindikationer</w:t>
      </w:r>
    </w:p>
    <w:p w14:paraId="0F8D72C1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Overfølsomhed over for det aktive stof eller over for et eller flere af hjælpestofferne anført i pkt. 6.1. </w:t>
      </w:r>
    </w:p>
    <w:p w14:paraId="40780C23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Amning under brug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er kontraindiceret (se pkt. 4.6 og 5.3).</w:t>
      </w:r>
    </w:p>
    <w:p w14:paraId="45E50E0E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5901A7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4.4</w:t>
      </w:r>
      <w:r w:rsidRPr="00EC5C36">
        <w:rPr>
          <w:b/>
          <w:sz w:val="24"/>
          <w:szCs w:val="24"/>
        </w:rPr>
        <w:tab/>
        <w:t>Særlige advarsler og forsigtighedsregler vedrørende brugen</w:t>
      </w:r>
    </w:p>
    <w:p w14:paraId="4CF5688C" w14:textId="77777777" w:rsidR="00EC5C36" w:rsidRDefault="00EC5C36" w:rsidP="00B84EC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14:paraId="59EAA386" w14:textId="2DF5E23F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 xml:space="preserve">Terapeutisk monitorering </w:t>
      </w:r>
    </w:p>
    <w:p w14:paraId="19902512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Plasmaniveauer af ammoniak og aminosyrer bør opretholdes indenfor de normale grænser. Da der foreligger meget få data om sikkerheden ved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, anbefales systematisk overvågning af lever- og nyreparametre, </w:t>
      </w:r>
      <w:proofErr w:type="spellStart"/>
      <w:r w:rsidRPr="00EC5C36">
        <w:rPr>
          <w:sz w:val="24"/>
          <w:szCs w:val="24"/>
        </w:rPr>
        <w:t>kardielle</w:t>
      </w:r>
      <w:proofErr w:type="spellEnd"/>
      <w:r w:rsidRPr="00EC5C36">
        <w:rPr>
          <w:sz w:val="24"/>
          <w:szCs w:val="24"/>
        </w:rPr>
        <w:t xml:space="preserve"> funktioner og hæmatologiske parametre. </w:t>
      </w:r>
    </w:p>
    <w:p w14:paraId="49EAF1C4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549B7F4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Ernæringsstyring</w:t>
      </w:r>
    </w:p>
    <w:p w14:paraId="0822FDFC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Proteinrestriktion og tilskud af </w:t>
      </w:r>
      <w:proofErr w:type="spellStart"/>
      <w:r w:rsidRPr="00EC5C36">
        <w:rPr>
          <w:sz w:val="24"/>
          <w:szCs w:val="24"/>
        </w:rPr>
        <w:t>arginin</w:t>
      </w:r>
      <w:proofErr w:type="spellEnd"/>
      <w:r w:rsidRPr="00EC5C36">
        <w:rPr>
          <w:sz w:val="24"/>
          <w:szCs w:val="24"/>
        </w:rPr>
        <w:t xml:space="preserve"> kan være indiceret i tilfælde af lav proteintolerance.</w:t>
      </w:r>
    </w:p>
    <w:p w14:paraId="41766711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65CCBB1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Dette lægemiddel indeholder op til 3 mg natrium pr. tablet, svarende til 0,15 % af WHO's anbefalede maksimale daglige indtag af natrium.</w:t>
      </w:r>
    </w:p>
    <w:p w14:paraId="60FF414E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B793EDA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Den maksimale daglige dosis af dette produkt svarer til 20 % af </w:t>
      </w:r>
      <w:proofErr w:type="spellStart"/>
      <w:r w:rsidRPr="00EC5C36">
        <w:rPr>
          <w:sz w:val="24"/>
          <w:szCs w:val="24"/>
        </w:rPr>
        <w:t>WHOs</w:t>
      </w:r>
      <w:proofErr w:type="spellEnd"/>
      <w:r w:rsidRPr="00EC5C36">
        <w:rPr>
          <w:sz w:val="24"/>
          <w:szCs w:val="24"/>
        </w:rPr>
        <w:t xml:space="preserve"> anbefalede maksimale daglige indtag af natrium.</w:t>
      </w:r>
    </w:p>
    <w:p w14:paraId="356D1227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45E3DA8" w14:textId="7B8A8762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</w:t>
      </w:r>
      <w:r w:rsidR="003054BA">
        <w:rPr>
          <w:sz w:val="24"/>
          <w:szCs w:val="24"/>
        </w:rPr>
        <w:t>"</w:t>
      </w:r>
      <w:proofErr w:type="spellStart"/>
      <w:r w:rsidR="003054BA">
        <w:rPr>
          <w:sz w:val="24"/>
          <w:szCs w:val="24"/>
        </w:rPr>
        <w:t>Waymade</w:t>
      </w:r>
      <w:proofErr w:type="spellEnd"/>
      <w:r w:rsidR="003054BA">
        <w:rPr>
          <w:sz w:val="24"/>
          <w:szCs w:val="24"/>
        </w:rPr>
        <w:t>"</w:t>
      </w:r>
      <w:r w:rsidRPr="00EC5C36">
        <w:rPr>
          <w:sz w:val="24"/>
          <w:szCs w:val="24"/>
        </w:rPr>
        <w:t xml:space="preserve"> anses for at have et højt natriumindhold. Dette bør især tages i betragtning for dem på en saltfattig diæt.</w:t>
      </w:r>
    </w:p>
    <w:p w14:paraId="1E70278E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4FAA3E0A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Anvendes til patienter med nedsat nyrefunktion</w:t>
      </w:r>
    </w:p>
    <w:p w14:paraId="511ADC19" w14:textId="682C5EB2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Dosis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</w:t>
      </w:r>
      <w:r w:rsidR="003054BA">
        <w:rPr>
          <w:sz w:val="24"/>
          <w:szCs w:val="24"/>
        </w:rPr>
        <w:t>"</w:t>
      </w:r>
      <w:proofErr w:type="spellStart"/>
      <w:r w:rsidR="003054BA">
        <w:rPr>
          <w:sz w:val="24"/>
          <w:szCs w:val="24"/>
        </w:rPr>
        <w:t>Waymade</w:t>
      </w:r>
      <w:proofErr w:type="spellEnd"/>
      <w:r w:rsidR="003054BA">
        <w:rPr>
          <w:sz w:val="24"/>
          <w:szCs w:val="24"/>
        </w:rPr>
        <w:t>"</w:t>
      </w:r>
      <w:r w:rsidRPr="00EC5C36">
        <w:rPr>
          <w:sz w:val="24"/>
          <w:szCs w:val="24"/>
        </w:rPr>
        <w:t xml:space="preserve"> skal reduceres hos patienter med nedsat nyrefunktion (se </w:t>
      </w:r>
      <w:r w:rsidR="003054BA">
        <w:rPr>
          <w:sz w:val="24"/>
          <w:szCs w:val="24"/>
        </w:rPr>
        <w:t>pkt.</w:t>
      </w:r>
      <w:r w:rsidRPr="00EC5C36">
        <w:rPr>
          <w:sz w:val="24"/>
          <w:szCs w:val="24"/>
        </w:rPr>
        <w:t xml:space="preserve"> 4.2).</w:t>
      </w:r>
    </w:p>
    <w:p w14:paraId="0F7868A4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530C6F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4.5</w:t>
      </w:r>
      <w:r w:rsidRPr="00EC5C36">
        <w:rPr>
          <w:b/>
          <w:sz w:val="24"/>
          <w:szCs w:val="24"/>
        </w:rPr>
        <w:tab/>
        <w:t>Interaktion med andre lægemidler og andre former for interaktion</w:t>
      </w:r>
    </w:p>
    <w:p w14:paraId="37D97F4B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Der er ikke udført interaktionsstudier.</w:t>
      </w:r>
    </w:p>
    <w:p w14:paraId="77FA3AB1" w14:textId="0939BDBE" w:rsidR="003054BA" w:rsidRDefault="003054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30C4CB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AA7FC7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4.6</w:t>
      </w:r>
      <w:r w:rsidRPr="00EC5C36">
        <w:rPr>
          <w:b/>
          <w:sz w:val="24"/>
          <w:szCs w:val="24"/>
        </w:rPr>
        <w:tab/>
      </w:r>
      <w:r w:rsidR="0071241E" w:rsidRPr="00EC5C36">
        <w:rPr>
          <w:b/>
          <w:sz w:val="24"/>
          <w:szCs w:val="24"/>
        </w:rPr>
        <w:t>Fertilitet, g</w:t>
      </w:r>
      <w:r w:rsidRPr="00EC5C36">
        <w:rPr>
          <w:b/>
          <w:sz w:val="24"/>
          <w:szCs w:val="24"/>
        </w:rPr>
        <w:t>raviditet og amning</w:t>
      </w:r>
    </w:p>
    <w:p w14:paraId="2EAB0D57" w14:textId="77777777" w:rsidR="00EC5C36" w:rsidRDefault="00EC5C36" w:rsidP="00B84EC1">
      <w:pPr>
        <w:ind w:left="851"/>
        <w:rPr>
          <w:sz w:val="24"/>
          <w:szCs w:val="24"/>
          <w:u w:val="single"/>
        </w:rPr>
      </w:pPr>
    </w:p>
    <w:p w14:paraId="2936AE2D" w14:textId="7DB89EA5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 xml:space="preserve">Graviditet </w:t>
      </w:r>
    </w:p>
    <w:p w14:paraId="31C4BEC1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Der foreligger ingen kliniske data om eksponering for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under graviditet. </w:t>
      </w:r>
    </w:p>
    <w:p w14:paraId="63D6B3C0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Dyreforsøg har påvist minimal udviklingstoksicitet (se pkt. 5.3). Der bør udvises forsigtighed ved ordination til gravide kvinder. </w:t>
      </w:r>
    </w:p>
    <w:p w14:paraId="3EBAAB16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1A4238C5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 xml:space="preserve">Amning </w:t>
      </w:r>
    </w:p>
    <w:p w14:paraId="7988A5DE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Selvom det ikke vides, om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udskilles i human brystmælk, er stoffet blevet påvist i mælken fra ammende rotter (se pkt. 5.3). Derfor er det kontraindiceret at amme under brug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(se pkt. 4.3).</w:t>
      </w:r>
    </w:p>
    <w:p w14:paraId="0A5040B8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</w:p>
    <w:p w14:paraId="43CF8B1D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Fertilitet</w:t>
      </w:r>
    </w:p>
    <w:p w14:paraId="0C18C130" w14:textId="74FA5E02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Der foreligger ingen humane data vedrørende virkningen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på fertiliteten. Hos rotter er der ikke blevet observeret nogle bivirkninger på den mandlige- eller kvindelige fertilitet med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behandling (se pkt.</w:t>
      </w:r>
      <w:r w:rsidR="003054BA">
        <w:rPr>
          <w:sz w:val="24"/>
          <w:szCs w:val="24"/>
        </w:rPr>
        <w:t xml:space="preserve"> </w:t>
      </w:r>
      <w:r w:rsidRPr="00EC5C36">
        <w:rPr>
          <w:sz w:val="24"/>
          <w:szCs w:val="24"/>
        </w:rPr>
        <w:t>5.3).</w:t>
      </w:r>
    </w:p>
    <w:p w14:paraId="31DAE71D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E10519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4.7</w:t>
      </w:r>
      <w:r w:rsidRPr="00EC5C36">
        <w:rPr>
          <w:b/>
          <w:sz w:val="24"/>
          <w:szCs w:val="24"/>
        </w:rPr>
        <w:tab/>
        <w:t xml:space="preserve">Virkning på evnen til at føre motorkøretøj </w:t>
      </w:r>
      <w:r w:rsidR="0071241E" w:rsidRPr="00EC5C36">
        <w:rPr>
          <w:b/>
          <w:sz w:val="24"/>
          <w:szCs w:val="24"/>
        </w:rPr>
        <w:t>og</w:t>
      </w:r>
      <w:r w:rsidRPr="00EC5C36">
        <w:rPr>
          <w:b/>
          <w:sz w:val="24"/>
          <w:szCs w:val="24"/>
        </w:rPr>
        <w:t xml:space="preserve"> betjene maskiner</w:t>
      </w:r>
    </w:p>
    <w:p w14:paraId="71B04EDA" w14:textId="77777777" w:rsidR="00EC5C36" w:rsidRDefault="00EC5C36" w:rsidP="00B84EC1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3E2CB925" w14:textId="079EC9CC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Der er ikke foretaget undersøgelser af indflydelsen på evnen til at føre bil eller betjene maskiner.</w:t>
      </w:r>
    </w:p>
    <w:p w14:paraId="0FC678AD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104CC7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4.8</w:t>
      </w:r>
      <w:r w:rsidRPr="00EC5C36">
        <w:rPr>
          <w:b/>
          <w:sz w:val="24"/>
          <w:szCs w:val="24"/>
        </w:rPr>
        <w:tab/>
        <w:t>Bivirkninger</w:t>
      </w:r>
    </w:p>
    <w:p w14:paraId="347599BA" w14:textId="39F38A09" w:rsidR="008C3D90" w:rsidRPr="00EC5C36" w:rsidRDefault="008C3D90" w:rsidP="003054BA">
      <w:pPr>
        <w:pStyle w:val="Brdtekst"/>
        <w:spacing w:line="228" w:lineRule="auto"/>
        <w:ind w:left="851"/>
        <w:rPr>
          <w:spacing w:val="1"/>
          <w:sz w:val="24"/>
          <w:szCs w:val="24"/>
        </w:rPr>
      </w:pPr>
      <w:r w:rsidRPr="00EC5C36">
        <w:rPr>
          <w:sz w:val="24"/>
          <w:szCs w:val="24"/>
        </w:rPr>
        <w:t>De</w:t>
      </w:r>
      <w:r w:rsidRPr="00EC5C36">
        <w:rPr>
          <w:spacing w:val="-1"/>
          <w:sz w:val="24"/>
          <w:szCs w:val="24"/>
        </w:rPr>
        <w:t xml:space="preserve"> </w:t>
      </w:r>
      <w:r w:rsidRPr="00EC5C36">
        <w:rPr>
          <w:sz w:val="24"/>
          <w:szCs w:val="24"/>
        </w:rPr>
        <w:t>rapporterede</w:t>
      </w:r>
      <w:r w:rsidRPr="00EC5C36">
        <w:rPr>
          <w:spacing w:val="-1"/>
          <w:sz w:val="24"/>
          <w:szCs w:val="24"/>
        </w:rPr>
        <w:t xml:space="preserve"> </w:t>
      </w:r>
      <w:r w:rsidRPr="00EC5C36">
        <w:rPr>
          <w:sz w:val="24"/>
          <w:szCs w:val="24"/>
        </w:rPr>
        <w:t>bivirkninger er anført nedenfor efter systemorganklasse</w:t>
      </w:r>
      <w:r w:rsidRPr="00EC5C36">
        <w:rPr>
          <w:spacing w:val="-1"/>
          <w:sz w:val="24"/>
          <w:szCs w:val="24"/>
        </w:rPr>
        <w:t xml:space="preserve"> </w:t>
      </w:r>
      <w:r w:rsidRPr="00EC5C36">
        <w:rPr>
          <w:sz w:val="24"/>
          <w:szCs w:val="24"/>
        </w:rPr>
        <w:t>og</w:t>
      </w:r>
      <w:r w:rsidRPr="00EC5C36">
        <w:rPr>
          <w:spacing w:val="-4"/>
          <w:sz w:val="24"/>
          <w:szCs w:val="24"/>
        </w:rPr>
        <w:t xml:space="preserve"> </w:t>
      </w:r>
      <w:r w:rsidRPr="00EC5C36">
        <w:rPr>
          <w:sz w:val="24"/>
          <w:szCs w:val="24"/>
        </w:rPr>
        <w:t>hyppighed.</w:t>
      </w:r>
      <w:r w:rsidRPr="00EC5C36">
        <w:rPr>
          <w:spacing w:val="-1"/>
          <w:sz w:val="24"/>
          <w:szCs w:val="24"/>
        </w:rPr>
        <w:t xml:space="preserve"> </w:t>
      </w:r>
      <w:r w:rsidRPr="00EC5C36">
        <w:rPr>
          <w:sz w:val="24"/>
          <w:szCs w:val="24"/>
        </w:rPr>
        <w:t>Hyppigheder defineres som: meget almindelig (≥ 1/10), almindelig (≥1/100 til &lt;1/10) ikke almindelig (≥1/1.000 til</w:t>
      </w:r>
      <w:r w:rsidR="003054BA">
        <w:rPr>
          <w:sz w:val="24"/>
          <w:szCs w:val="24"/>
        </w:rPr>
        <w:t xml:space="preserve"> </w:t>
      </w:r>
      <w:r w:rsidRPr="00EC5C36">
        <w:rPr>
          <w:sz w:val="24"/>
          <w:szCs w:val="24"/>
        </w:rPr>
        <w:t>&lt;1/100)</w:t>
      </w:r>
      <w:r w:rsidRPr="00EC5C36">
        <w:rPr>
          <w:spacing w:val="1"/>
          <w:sz w:val="24"/>
          <w:szCs w:val="24"/>
        </w:rPr>
        <w:t xml:space="preserve">. </w:t>
      </w:r>
    </w:p>
    <w:p w14:paraId="1E9737A2" w14:textId="77777777" w:rsidR="008C3D90" w:rsidRPr="00EC5C36" w:rsidRDefault="008C3D90" w:rsidP="00B84EC1">
      <w:pPr>
        <w:pStyle w:val="Brdtekst"/>
        <w:spacing w:line="262" w:lineRule="exact"/>
        <w:ind w:left="851"/>
        <w:rPr>
          <w:spacing w:val="1"/>
          <w:sz w:val="24"/>
          <w:szCs w:val="24"/>
        </w:rPr>
      </w:pPr>
      <w:r w:rsidRPr="00EC5C36">
        <w:rPr>
          <w:color w:val="000000"/>
          <w:sz w:val="24"/>
          <w:szCs w:val="24"/>
          <w:lang w:eastAsia="en-GB"/>
        </w:rPr>
        <w:t>Inden for hver enkelt frekvensgruppe er bivirkningerne opstillet efter, hvor alvorlige de er. De alvorligste bivirkninger er anført først.</w:t>
      </w:r>
    </w:p>
    <w:p w14:paraId="2A3E0B22" w14:textId="77777777" w:rsidR="008C3D90" w:rsidRPr="00EC5C36" w:rsidRDefault="008C3D90" w:rsidP="008C3D90">
      <w:pPr>
        <w:suppressAutoHyphens/>
        <w:ind w:left="567" w:hanging="567"/>
        <w:rPr>
          <w:sz w:val="24"/>
          <w:szCs w:val="24"/>
        </w:rPr>
      </w:pPr>
    </w:p>
    <w:p w14:paraId="293DE38E" w14:textId="77777777" w:rsidR="008C3D90" w:rsidRPr="00EC5C36" w:rsidRDefault="008C3D90" w:rsidP="00B84EC1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EC5C36">
        <w:rPr>
          <w:sz w:val="24"/>
          <w:szCs w:val="24"/>
        </w:rPr>
        <w:t>Bivirkninger</w:t>
      </w:r>
      <w:r w:rsidRPr="00EC5C36">
        <w:rPr>
          <w:spacing w:val="-8"/>
          <w:sz w:val="24"/>
          <w:szCs w:val="24"/>
        </w:rPr>
        <w:t xml:space="preserve"> </w:t>
      </w:r>
      <w:r w:rsidRPr="00EC5C36">
        <w:rPr>
          <w:sz w:val="24"/>
          <w:szCs w:val="24"/>
        </w:rPr>
        <w:t>ved</w:t>
      </w:r>
      <w:r w:rsidRPr="00EC5C36">
        <w:rPr>
          <w:spacing w:val="-7"/>
          <w:sz w:val="24"/>
          <w:szCs w:val="24"/>
        </w:rPr>
        <w:t xml:space="preserve"> </w:t>
      </w:r>
      <w:r w:rsidRPr="00EC5C36">
        <w:rPr>
          <w:sz w:val="24"/>
          <w:szCs w:val="24"/>
        </w:rPr>
        <w:t>N-</w:t>
      </w:r>
      <w:proofErr w:type="spellStart"/>
      <w:r w:rsidRPr="00EC5C36">
        <w:rPr>
          <w:spacing w:val="-2"/>
          <w:sz w:val="24"/>
          <w:szCs w:val="24"/>
        </w:rPr>
        <w:t>acetylglutamatsyntasemangel</w:t>
      </w:r>
      <w:proofErr w:type="spellEnd"/>
    </w:p>
    <w:p w14:paraId="464F8E03" w14:textId="77777777" w:rsidR="008C3D90" w:rsidRPr="00EC5C36" w:rsidRDefault="008C3D90" w:rsidP="008C3D90">
      <w:pPr>
        <w:tabs>
          <w:tab w:val="left" w:pos="578"/>
        </w:tabs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6"/>
        <w:gridCol w:w="3996"/>
      </w:tblGrid>
      <w:tr w:rsidR="008C3D90" w:rsidRPr="006C4703" w14:paraId="5837D1B1" w14:textId="77777777" w:rsidTr="00B84EC1">
        <w:trPr>
          <w:trHeight w:val="897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D13E" w14:textId="77777777" w:rsidR="008C3D90" w:rsidRPr="006C4703" w:rsidRDefault="008C3D90">
            <w:pPr>
              <w:pStyle w:val="TableParagraph"/>
              <w:ind w:left="69"/>
              <w:rPr>
                <w:sz w:val="24"/>
                <w:szCs w:val="24"/>
              </w:rPr>
            </w:pPr>
            <w:r w:rsidRPr="006C4703">
              <w:rPr>
                <w:spacing w:val="-2"/>
                <w:sz w:val="24"/>
                <w:szCs w:val="24"/>
              </w:rPr>
              <w:t>Undersøgelser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334A7" w14:textId="77777777" w:rsidR="008C3D90" w:rsidRPr="006C4703" w:rsidRDefault="008C3D90">
            <w:pPr>
              <w:pStyle w:val="TableParagraph"/>
              <w:spacing w:line="242" w:lineRule="auto"/>
              <w:ind w:left="64" w:right="95"/>
              <w:rPr>
                <w:sz w:val="24"/>
                <w:szCs w:val="24"/>
              </w:rPr>
            </w:pPr>
            <w:r w:rsidRPr="006C4703">
              <w:rPr>
                <w:i/>
                <w:sz w:val="24"/>
                <w:szCs w:val="24"/>
              </w:rPr>
              <w:t>Ikke</w:t>
            </w:r>
            <w:r w:rsidRPr="006C4703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C4703">
              <w:rPr>
                <w:i/>
                <w:sz w:val="24"/>
                <w:szCs w:val="24"/>
              </w:rPr>
              <w:t>almindelig</w:t>
            </w:r>
            <w:r w:rsidRPr="006C4703">
              <w:rPr>
                <w:sz w:val="24"/>
                <w:szCs w:val="24"/>
              </w:rPr>
              <w:t>:</w:t>
            </w:r>
            <w:r w:rsidRPr="006C4703">
              <w:rPr>
                <w:spacing w:val="-8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 xml:space="preserve">forhøjede </w:t>
            </w:r>
            <w:proofErr w:type="spellStart"/>
            <w:r w:rsidRPr="006C4703">
              <w:rPr>
                <w:spacing w:val="-2"/>
                <w:sz w:val="24"/>
                <w:szCs w:val="24"/>
              </w:rPr>
              <w:t>aminotransferaser</w:t>
            </w:r>
            <w:proofErr w:type="spellEnd"/>
          </w:p>
        </w:tc>
      </w:tr>
      <w:tr w:rsidR="008C3D90" w:rsidRPr="006C4703" w14:paraId="25C2FBA5" w14:textId="77777777" w:rsidTr="00B84EC1">
        <w:trPr>
          <w:trHeight w:val="638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6A22" w14:textId="77777777" w:rsidR="008C3D90" w:rsidRPr="006C4703" w:rsidRDefault="008C3D90">
            <w:pPr>
              <w:pStyle w:val="TableParagraph"/>
              <w:ind w:left="69"/>
              <w:rPr>
                <w:sz w:val="24"/>
                <w:szCs w:val="24"/>
              </w:rPr>
            </w:pPr>
            <w:r w:rsidRPr="006C4703">
              <w:rPr>
                <w:sz w:val="24"/>
                <w:szCs w:val="24"/>
              </w:rPr>
              <w:t>Hud</w:t>
            </w:r>
            <w:r w:rsidRPr="006C4703">
              <w:rPr>
                <w:spacing w:val="-2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>og</w:t>
            </w:r>
            <w:r w:rsidRPr="006C4703">
              <w:rPr>
                <w:spacing w:val="-4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>subkutane</w:t>
            </w:r>
            <w:r w:rsidRPr="006C4703">
              <w:rPr>
                <w:spacing w:val="-1"/>
                <w:sz w:val="24"/>
                <w:szCs w:val="24"/>
              </w:rPr>
              <w:t xml:space="preserve"> </w:t>
            </w:r>
            <w:r w:rsidRPr="006C4703">
              <w:rPr>
                <w:spacing w:val="-5"/>
                <w:sz w:val="24"/>
                <w:szCs w:val="24"/>
              </w:rPr>
              <w:t>væv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89DB4" w14:textId="77777777" w:rsidR="008C3D90" w:rsidRPr="006C4703" w:rsidRDefault="008C3D90">
            <w:pPr>
              <w:pStyle w:val="TableParagraph"/>
              <w:ind w:left="71"/>
              <w:rPr>
                <w:sz w:val="24"/>
                <w:szCs w:val="24"/>
              </w:rPr>
            </w:pPr>
            <w:r w:rsidRPr="006C4703">
              <w:rPr>
                <w:i/>
                <w:sz w:val="24"/>
                <w:szCs w:val="24"/>
              </w:rPr>
              <w:t>Almindelig</w:t>
            </w:r>
            <w:r w:rsidRPr="006C4703">
              <w:rPr>
                <w:sz w:val="24"/>
                <w:szCs w:val="24"/>
              </w:rPr>
              <w:t>:</w:t>
            </w:r>
            <w:r w:rsidRPr="006C4703">
              <w:rPr>
                <w:spacing w:val="-1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 xml:space="preserve">øget </w:t>
            </w:r>
            <w:r w:rsidRPr="006C4703">
              <w:rPr>
                <w:spacing w:val="-2"/>
                <w:sz w:val="24"/>
                <w:szCs w:val="24"/>
              </w:rPr>
              <w:t>svedtendens</w:t>
            </w:r>
          </w:p>
          <w:p w14:paraId="7466C5E6" w14:textId="77777777" w:rsidR="008C3D90" w:rsidRPr="006C4703" w:rsidRDefault="008C3D90">
            <w:pPr>
              <w:pStyle w:val="TableParagraph"/>
              <w:spacing w:before="66"/>
              <w:ind w:left="71"/>
              <w:rPr>
                <w:sz w:val="24"/>
                <w:szCs w:val="24"/>
              </w:rPr>
            </w:pPr>
            <w:r w:rsidRPr="006C4703">
              <w:rPr>
                <w:i/>
                <w:sz w:val="24"/>
                <w:szCs w:val="24"/>
              </w:rPr>
              <w:t xml:space="preserve">Ikke </w:t>
            </w:r>
            <w:r w:rsidRPr="006C4703">
              <w:rPr>
                <w:i/>
                <w:spacing w:val="-2"/>
                <w:sz w:val="24"/>
                <w:szCs w:val="24"/>
              </w:rPr>
              <w:t xml:space="preserve">kendt: </w:t>
            </w:r>
            <w:r w:rsidRPr="006C4703">
              <w:rPr>
                <w:spacing w:val="-2"/>
                <w:sz w:val="24"/>
                <w:szCs w:val="24"/>
              </w:rPr>
              <w:t>udslæt</w:t>
            </w:r>
          </w:p>
        </w:tc>
      </w:tr>
    </w:tbl>
    <w:p w14:paraId="443CC2C8" w14:textId="77777777" w:rsidR="008C3D90" w:rsidRPr="00EC5C36" w:rsidRDefault="008C3D90" w:rsidP="008C3D90">
      <w:pPr>
        <w:suppressAutoHyphens/>
        <w:ind w:left="567" w:hanging="567"/>
        <w:rPr>
          <w:sz w:val="24"/>
          <w:szCs w:val="24"/>
        </w:rPr>
      </w:pPr>
    </w:p>
    <w:p w14:paraId="6A094453" w14:textId="77777777" w:rsidR="008C3D90" w:rsidRPr="00EC5C36" w:rsidRDefault="008C3D90" w:rsidP="00B84EC1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EC5C36">
        <w:rPr>
          <w:sz w:val="24"/>
          <w:szCs w:val="24"/>
        </w:rPr>
        <w:t>Bivirkninger</w:t>
      </w:r>
      <w:r w:rsidRPr="00EC5C36">
        <w:rPr>
          <w:spacing w:val="-4"/>
          <w:sz w:val="24"/>
          <w:szCs w:val="24"/>
        </w:rPr>
        <w:t xml:space="preserve"> </w:t>
      </w:r>
      <w:r w:rsidRPr="00EC5C36">
        <w:rPr>
          <w:sz w:val="24"/>
          <w:szCs w:val="24"/>
        </w:rPr>
        <w:t>ved</w:t>
      </w:r>
      <w:r w:rsidRPr="00EC5C36">
        <w:rPr>
          <w:spacing w:val="-4"/>
          <w:sz w:val="24"/>
          <w:szCs w:val="24"/>
        </w:rPr>
        <w:t xml:space="preserve"> </w:t>
      </w:r>
      <w:r w:rsidRPr="00EC5C36">
        <w:rPr>
          <w:sz w:val="24"/>
          <w:szCs w:val="24"/>
        </w:rPr>
        <w:t>organisk</w:t>
      </w:r>
      <w:r w:rsidRPr="00EC5C36">
        <w:rPr>
          <w:spacing w:val="-6"/>
          <w:sz w:val="24"/>
          <w:szCs w:val="24"/>
        </w:rPr>
        <w:t xml:space="preserve"> </w:t>
      </w:r>
      <w:proofErr w:type="spellStart"/>
      <w:r w:rsidRPr="00EC5C36">
        <w:rPr>
          <w:spacing w:val="-2"/>
          <w:sz w:val="24"/>
          <w:szCs w:val="24"/>
        </w:rPr>
        <w:t>acidæmi</w:t>
      </w:r>
      <w:proofErr w:type="spellEnd"/>
    </w:p>
    <w:p w14:paraId="008F23E9" w14:textId="77777777" w:rsidR="008C3D90" w:rsidRPr="00EC5C36" w:rsidRDefault="008C3D90" w:rsidP="008C3D90">
      <w:pPr>
        <w:tabs>
          <w:tab w:val="left" w:pos="578"/>
        </w:tabs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4004"/>
      </w:tblGrid>
      <w:tr w:rsidR="008C3D90" w:rsidRPr="006C4703" w14:paraId="549733A9" w14:textId="77777777" w:rsidTr="00B84EC1">
        <w:trPr>
          <w:trHeight w:val="51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14982" w14:textId="77777777" w:rsidR="008C3D90" w:rsidRPr="006C4703" w:rsidRDefault="008C3D90">
            <w:pPr>
              <w:pStyle w:val="TableParagraph"/>
              <w:rPr>
                <w:sz w:val="24"/>
                <w:szCs w:val="24"/>
              </w:rPr>
            </w:pPr>
            <w:r w:rsidRPr="006C4703">
              <w:rPr>
                <w:spacing w:val="-2"/>
                <w:sz w:val="24"/>
                <w:szCs w:val="24"/>
              </w:rPr>
              <w:t>Hjerte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DCBFB" w14:textId="77777777" w:rsidR="008C3D90" w:rsidRPr="006C4703" w:rsidRDefault="008C3D90">
            <w:pPr>
              <w:pStyle w:val="TableParagraph"/>
              <w:rPr>
                <w:sz w:val="24"/>
                <w:szCs w:val="24"/>
              </w:rPr>
            </w:pPr>
            <w:r w:rsidRPr="006C4703">
              <w:rPr>
                <w:i/>
                <w:sz w:val="24"/>
                <w:szCs w:val="24"/>
              </w:rPr>
              <w:t>Ikke almindelig</w:t>
            </w:r>
            <w:r w:rsidRPr="006C4703">
              <w:rPr>
                <w:sz w:val="24"/>
                <w:szCs w:val="24"/>
              </w:rPr>
              <w:t>:</w:t>
            </w:r>
            <w:r w:rsidRPr="006C4703">
              <w:rPr>
                <w:spacing w:val="2"/>
                <w:sz w:val="24"/>
                <w:szCs w:val="24"/>
              </w:rPr>
              <w:t xml:space="preserve"> </w:t>
            </w:r>
            <w:r w:rsidRPr="006C4703">
              <w:rPr>
                <w:spacing w:val="-2"/>
                <w:sz w:val="24"/>
                <w:szCs w:val="24"/>
              </w:rPr>
              <w:t>bradykardi</w:t>
            </w:r>
          </w:p>
        </w:tc>
      </w:tr>
      <w:tr w:rsidR="008C3D90" w:rsidRPr="006C4703" w14:paraId="0F40E663" w14:textId="77777777" w:rsidTr="00B84EC1">
        <w:trPr>
          <w:trHeight w:val="51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5C9E3" w14:textId="77777777" w:rsidR="008C3D90" w:rsidRPr="006C4703" w:rsidRDefault="008C3D90">
            <w:pPr>
              <w:pStyle w:val="TableParagraph"/>
              <w:rPr>
                <w:sz w:val="24"/>
                <w:szCs w:val="24"/>
              </w:rPr>
            </w:pPr>
            <w:r w:rsidRPr="006C4703">
              <w:rPr>
                <w:spacing w:val="-2"/>
                <w:sz w:val="24"/>
                <w:szCs w:val="24"/>
              </w:rPr>
              <w:t>Mave-tarm-kanalen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EE18" w14:textId="77777777" w:rsidR="008C3D90" w:rsidRPr="006C4703" w:rsidRDefault="008C3D90">
            <w:pPr>
              <w:pStyle w:val="TableParagraph"/>
              <w:rPr>
                <w:sz w:val="24"/>
                <w:szCs w:val="24"/>
              </w:rPr>
            </w:pPr>
            <w:r w:rsidRPr="006C4703">
              <w:rPr>
                <w:i/>
                <w:sz w:val="24"/>
                <w:szCs w:val="24"/>
              </w:rPr>
              <w:t>Ikke almindelig:</w:t>
            </w:r>
            <w:r w:rsidRPr="006C4703">
              <w:rPr>
                <w:i/>
                <w:spacing w:val="2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>diarré,</w:t>
            </w:r>
            <w:r w:rsidRPr="006C4703">
              <w:rPr>
                <w:spacing w:val="1"/>
                <w:sz w:val="24"/>
                <w:szCs w:val="24"/>
              </w:rPr>
              <w:t xml:space="preserve"> </w:t>
            </w:r>
            <w:r w:rsidRPr="006C4703">
              <w:rPr>
                <w:spacing w:val="-2"/>
                <w:sz w:val="24"/>
                <w:szCs w:val="24"/>
              </w:rPr>
              <w:t>opkastning</w:t>
            </w:r>
          </w:p>
        </w:tc>
      </w:tr>
      <w:tr w:rsidR="008C3D90" w:rsidRPr="006C4703" w14:paraId="5A596883" w14:textId="77777777" w:rsidTr="00B84EC1">
        <w:trPr>
          <w:trHeight w:val="777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2B5F" w14:textId="77777777" w:rsidR="008C3D90" w:rsidRPr="006C4703" w:rsidRDefault="008C3D90">
            <w:pPr>
              <w:pStyle w:val="TableParagraph"/>
              <w:spacing w:line="242" w:lineRule="auto"/>
              <w:ind w:right="139"/>
              <w:rPr>
                <w:sz w:val="24"/>
                <w:szCs w:val="24"/>
              </w:rPr>
            </w:pPr>
            <w:r w:rsidRPr="006C4703">
              <w:rPr>
                <w:sz w:val="24"/>
                <w:szCs w:val="24"/>
              </w:rPr>
              <w:t>Almene</w:t>
            </w:r>
            <w:r w:rsidRPr="006C4703">
              <w:rPr>
                <w:spacing w:val="-12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>symptomer</w:t>
            </w:r>
            <w:r w:rsidRPr="006C4703">
              <w:rPr>
                <w:spacing w:val="-11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>og</w:t>
            </w:r>
            <w:r w:rsidRPr="006C4703">
              <w:rPr>
                <w:spacing w:val="-14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>reaktioner på administrationsstedet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3B953" w14:textId="77777777" w:rsidR="008C3D90" w:rsidRPr="006C4703" w:rsidRDefault="008C3D90">
            <w:pPr>
              <w:pStyle w:val="TableParagraph"/>
              <w:rPr>
                <w:sz w:val="24"/>
                <w:szCs w:val="24"/>
              </w:rPr>
            </w:pPr>
            <w:r w:rsidRPr="006C4703">
              <w:rPr>
                <w:i/>
                <w:sz w:val="24"/>
                <w:szCs w:val="24"/>
              </w:rPr>
              <w:t>Ikke almindelig:</w:t>
            </w:r>
            <w:r w:rsidRPr="006C4703">
              <w:rPr>
                <w:i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C4703">
              <w:rPr>
                <w:spacing w:val="-2"/>
                <w:sz w:val="24"/>
                <w:szCs w:val="24"/>
              </w:rPr>
              <w:t>pyreksi</w:t>
            </w:r>
            <w:proofErr w:type="spellEnd"/>
          </w:p>
        </w:tc>
      </w:tr>
      <w:tr w:rsidR="008C3D90" w:rsidRPr="006C4703" w14:paraId="3B0F29BB" w14:textId="77777777" w:rsidTr="00B84EC1">
        <w:trPr>
          <w:trHeight w:val="25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4EBF" w14:textId="77777777" w:rsidR="008C3D90" w:rsidRPr="006C4703" w:rsidRDefault="008C3D9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6C4703">
              <w:rPr>
                <w:sz w:val="24"/>
                <w:szCs w:val="24"/>
              </w:rPr>
              <w:t>Hud</w:t>
            </w:r>
            <w:r w:rsidRPr="006C4703">
              <w:rPr>
                <w:spacing w:val="-2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>og</w:t>
            </w:r>
            <w:r w:rsidRPr="006C4703">
              <w:rPr>
                <w:spacing w:val="-4"/>
                <w:sz w:val="24"/>
                <w:szCs w:val="24"/>
              </w:rPr>
              <w:t xml:space="preserve"> </w:t>
            </w:r>
            <w:r w:rsidRPr="006C4703">
              <w:rPr>
                <w:sz w:val="24"/>
                <w:szCs w:val="24"/>
              </w:rPr>
              <w:t>subkutane</w:t>
            </w:r>
            <w:r w:rsidRPr="006C4703">
              <w:rPr>
                <w:spacing w:val="-1"/>
                <w:sz w:val="24"/>
                <w:szCs w:val="24"/>
              </w:rPr>
              <w:t xml:space="preserve"> </w:t>
            </w:r>
            <w:r w:rsidRPr="006C4703">
              <w:rPr>
                <w:spacing w:val="-5"/>
                <w:sz w:val="24"/>
                <w:szCs w:val="24"/>
              </w:rPr>
              <w:t>væv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8B11B" w14:textId="77777777" w:rsidR="008C3D90" w:rsidRPr="006C4703" w:rsidRDefault="008C3D90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6C4703">
              <w:rPr>
                <w:i/>
                <w:sz w:val="24"/>
                <w:szCs w:val="24"/>
              </w:rPr>
              <w:t xml:space="preserve">Ikke </w:t>
            </w:r>
            <w:r w:rsidRPr="006C4703">
              <w:rPr>
                <w:i/>
                <w:spacing w:val="-2"/>
                <w:sz w:val="24"/>
                <w:szCs w:val="24"/>
              </w:rPr>
              <w:t xml:space="preserve">kendt: </w:t>
            </w:r>
            <w:r w:rsidRPr="006C4703">
              <w:rPr>
                <w:spacing w:val="-2"/>
                <w:sz w:val="24"/>
                <w:szCs w:val="24"/>
              </w:rPr>
              <w:t>udslæt</w:t>
            </w:r>
          </w:p>
        </w:tc>
      </w:tr>
    </w:tbl>
    <w:p w14:paraId="4FC0CB5E" w14:textId="2C285B4F" w:rsidR="00D96900" w:rsidRDefault="00D96900" w:rsidP="008C3D90">
      <w:pPr>
        <w:rPr>
          <w:sz w:val="24"/>
          <w:szCs w:val="24"/>
        </w:rPr>
      </w:pPr>
    </w:p>
    <w:p w14:paraId="2343AFA8" w14:textId="77777777" w:rsidR="00D96900" w:rsidRDefault="00D969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AF8FB2" w14:textId="77777777" w:rsidR="008C3D90" w:rsidRPr="00D96900" w:rsidRDefault="008C3D90" w:rsidP="008C3D90">
      <w:pPr>
        <w:rPr>
          <w:sz w:val="24"/>
          <w:szCs w:val="24"/>
        </w:rPr>
      </w:pPr>
    </w:p>
    <w:p w14:paraId="3246A639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Indberetning af formodede bivirkninger</w:t>
      </w:r>
    </w:p>
    <w:p w14:paraId="5B63A0B6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EC5C36">
        <w:rPr>
          <w:sz w:val="24"/>
          <w:szCs w:val="24"/>
        </w:rPr>
        <w:t>risk</w:t>
      </w:r>
      <w:proofErr w:type="spellEnd"/>
      <w:r w:rsidRPr="00EC5C36">
        <w:rPr>
          <w:sz w:val="24"/>
          <w:szCs w:val="24"/>
        </w:rPr>
        <w:t xml:space="preserve">-forholdet for lægemidlet. Sundhedspersoner anmodes om at indberette alle formodede bivirkninger via: </w:t>
      </w:r>
    </w:p>
    <w:p w14:paraId="18195550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1EEAA6D2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Lægemiddelstyrelsen</w:t>
      </w:r>
    </w:p>
    <w:p w14:paraId="2B0E8814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Axel Heides Gade 1</w:t>
      </w:r>
    </w:p>
    <w:p w14:paraId="67872D2C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DK-2300 København S</w:t>
      </w:r>
    </w:p>
    <w:p w14:paraId="47DCDCE2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Websted: www.meldenbivirkning.dk</w:t>
      </w:r>
    </w:p>
    <w:p w14:paraId="4629F931" w14:textId="77777777" w:rsidR="009260DE" w:rsidRPr="00EC5C36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5349B493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4.9</w:t>
      </w:r>
      <w:r w:rsidRPr="00EC5C36">
        <w:rPr>
          <w:b/>
          <w:sz w:val="24"/>
          <w:szCs w:val="24"/>
        </w:rPr>
        <w:tab/>
        <w:t>Overdosering</w:t>
      </w:r>
    </w:p>
    <w:p w14:paraId="7BA43649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Hos en patient behandlet med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, hvor dosis blev øget op til 750 mg/kg/dag, forekom der forgiftningssymptomer, som kan karakteriseres som en </w:t>
      </w:r>
      <w:proofErr w:type="spellStart"/>
      <w:r w:rsidRPr="00EC5C36">
        <w:rPr>
          <w:sz w:val="24"/>
          <w:szCs w:val="24"/>
        </w:rPr>
        <w:t>sympatomimetisk</w:t>
      </w:r>
      <w:proofErr w:type="spellEnd"/>
      <w:r w:rsidRPr="00EC5C36">
        <w:rPr>
          <w:sz w:val="24"/>
          <w:szCs w:val="24"/>
        </w:rPr>
        <w:t xml:space="preserve"> reaktion: </w:t>
      </w:r>
      <w:proofErr w:type="spellStart"/>
      <w:r w:rsidRPr="00EC5C36">
        <w:rPr>
          <w:sz w:val="24"/>
          <w:szCs w:val="24"/>
        </w:rPr>
        <w:t>Tachycardi</w:t>
      </w:r>
      <w:proofErr w:type="spellEnd"/>
      <w:r w:rsidRPr="00EC5C36">
        <w:rPr>
          <w:sz w:val="24"/>
          <w:szCs w:val="24"/>
        </w:rPr>
        <w:t xml:space="preserve">, kraftig sveden, øget </w:t>
      </w:r>
      <w:proofErr w:type="spellStart"/>
      <w:r w:rsidRPr="00EC5C36">
        <w:rPr>
          <w:sz w:val="24"/>
          <w:szCs w:val="24"/>
        </w:rPr>
        <w:t>bronchial</w:t>
      </w:r>
      <w:proofErr w:type="spellEnd"/>
      <w:r w:rsidRPr="00EC5C36">
        <w:rPr>
          <w:sz w:val="24"/>
          <w:szCs w:val="24"/>
        </w:rPr>
        <w:t xml:space="preserve"> sekretion, øget legemstemperatur og hvileløshed. Disse symptomer fortog sig, da først dosis blev sat ned.</w:t>
      </w:r>
    </w:p>
    <w:p w14:paraId="4234674E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6BE284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4.10</w:t>
      </w:r>
      <w:r w:rsidRPr="00EC5C36">
        <w:rPr>
          <w:b/>
          <w:sz w:val="24"/>
          <w:szCs w:val="24"/>
        </w:rPr>
        <w:tab/>
        <w:t>Udlevering</w:t>
      </w:r>
    </w:p>
    <w:p w14:paraId="73FAA6DA" w14:textId="61F70A35" w:rsidR="007A4A10" w:rsidRPr="00EC5C36" w:rsidRDefault="007A4A10" w:rsidP="007A4A10">
      <w:pPr>
        <w:tabs>
          <w:tab w:val="left" w:pos="851"/>
        </w:tabs>
        <w:ind w:left="851"/>
        <w:rPr>
          <w:sz w:val="24"/>
          <w:szCs w:val="24"/>
        </w:rPr>
      </w:pPr>
      <w:r w:rsidRPr="00EC5C36">
        <w:rPr>
          <w:sz w:val="24"/>
          <w:szCs w:val="24"/>
        </w:rPr>
        <w:t>BEGR (</w:t>
      </w:r>
      <w:r w:rsidR="00B84EC1" w:rsidRPr="00EC5C36">
        <w:rPr>
          <w:sz w:val="24"/>
          <w:szCs w:val="24"/>
        </w:rPr>
        <w:t xml:space="preserve">kun til </w:t>
      </w:r>
      <w:r w:rsidR="00D96900">
        <w:rPr>
          <w:sz w:val="24"/>
          <w:szCs w:val="24"/>
        </w:rPr>
        <w:t>sygehuse</w:t>
      </w:r>
      <w:r w:rsidRPr="00EC5C36">
        <w:rPr>
          <w:sz w:val="24"/>
          <w:szCs w:val="24"/>
        </w:rPr>
        <w:t>)</w:t>
      </w:r>
    </w:p>
    <w:p w14:paraId="10B04782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B40ADC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118272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5.</w:t>
      </w:r>
      <w:r w:rsidRPr="00EC5C36">
        <w:rPr>
          <w:b/>
          <w:sz w:val="24"/>
          <w:szCs w:val="24"/>
        </w:rPr>
        <w:tab/>
        <w:t>FARMAKOLOGISKE EGENSKABER</w:t>
      </w:r>
    </w:p>
    <w:p w14:paraId="75C63829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657AB3" w14:textId="77777777" w:rsidR="009260DE" w:rsidRPr="00EC5C36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5.1</w:t>
      </w:r>
      <w:r w:rsidRPr="00EC5C36">
        <w:rPr>
          <w:b/>
          <w:sz w:val="24"/>
          <w:szCs w:val="24"/>
        </w:rPr>
        <w:tab/>
      </w:r>
      <w:proofErr w:type="spellStart"/>
      <w:r w:rsidRPr="00EC5C36">
        <w:rPr>
          <w:b/>
          <w:sz w:val="24"/>
          <w:szCs w:val="24"/>
        </w:rPr>
        <w:t>Farmakodynamiske</w:t>
      </w:r>
      <w:proofErr w:type="spellEnd"/>
      <w:r w:rsidRPr="00EC5C36">
        <w:rPr>
          <w:b/>
          <w:sz w:val="24"/>
          <w:szCs w:val="24"/>
        </w:rPr>
        <w:t xml:space="preserve"> egenskaber</w:t>
      </w:r>
    </w:p>
    <w:p w14:paraId="75F7C3CA" w14:textId="36DE6FCF" w:rsidR="008C3D90" w:rsidRPr="00EC5C36" w:rsidRDefault="008C3D90" w:rsidP="00B84EC1">
      <w:pPr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Farmakoterapeutisk</w:t>
      </w:r>
      <w:proofErr w:type="spellEnd"/>
      <w:r w:rsidRPr="00EC5C36">
        <w:rPr>
          <w:sz w:val="24"/>
          <w:szCs w:val="24"/>
        </w:rPr>
        <w:t xml:space="preserve"> klassifikation: Aminosyrer og derivater</w:t>
      </w:r>
      <w:r w:rsidR="00D96900">
        <w:rPr>
          <w:sz w:val="24"/>
          <w:szCs w:val="24"/>
        </w:rPr>
        <w:t>,</w:t>
      </w:r>
      <w:r w:rsidRPr="00EC5C36">
        <w:rPr>
          <w:sz w:val="24"/>
          <w:szCs w:val="24"/>
        </w:rPr>
        <w:t xml:space="preserve"> ATC</w:t>
      </w:r>
      <w:r w:rsidR="00D96900">
        <w:rPr>
          <w:sz w:val="24"/>
          <w:szCs w:val="24"/>
        </w:rPr>
        <w:t>-k</w:t>
      </w:r>
      <w:r w:rsidRPr="00EC5C36">
        <w:rPr>
          <w:sz w:val="24"/>
          <w:szCs w:val="24"/>
        </w:rPr>
        <w:t>ode: A16AA05</w:t>
      </w:r>
      <w:r w:rsidR="00072069">
        <w:rPr>
          <w:sz w:val="24"/>
          <w:szCs w:val="24"/>
        </w:rPr>
        <w:t>.</w:t>
      </w:r>
      <w:r w:rsidRPr="00EC5C36">
        <w:rPr>
          <w:sz w:val="24"/>
          <w:szCs w:val="24"/>
        </w:rPr>
        <w:t xml:space="preserve"> </w:t>
      </w:r>
    </w:p>
    <w:p w14:paraId="3D1F25A7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6EF44883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 xml:space="preserve">Virkningsmekanisme </w:t>
      </w:r>
    </w:p>
    <w:p w14:paraId="2C8EC96B" w14:textId="1A109FCD" w:rsidR="008C3D90" w:rsidRPr="00EC5C36" w:rsidRDefault="008C3D90" w:rsidP="00B84EC1">
      <w:pPr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er en strukturel analog til N-acetylglutamat, som er den naturligt forekommende </w:t>
      </w:r>
      <w:proofErr w:type="spellStart"/>
      <w:r w:rsidRPr="00EC5C36">
        <w:rPr>
          <w:sz w:val="24"/>
          <w:szCs w:val="24"/>
        </w:rPr>
        <w:t>aktivator</w:t>
      </w:r>
      <w:proofErr w:type="spellEnd"/>
      <w:r w:rsidRPr="00EC5C36">
        <w:rPr>
          <w:sz w:val="24"/>
          <w:szCs w:val="24"/>
        </w:rPr>
        <w:t xml:space="preserve"> af </w:t>
      </w:r>
      <w:proofErr w:type="spellStart"/>
      <w:r w:rsidRPr="00EC5C36">
        <w:rPr>
          <w:sz w:val="24"/>
          <w:szCs w:val="24"/>
        </w:rPr>
        <w:t>carbamoylfosfatsyntetase</w:t>
      </w:r>
      <w:proofErr w:type="spellEnd"/>
      <w:r w:rsidRPr="00EC5C36">
        <w:rPr>
          <w:sz w:val="24"/>
          <w:szCs w:val="24"/>
        </w:rPr>
        <w:t xml:space="preserve">, det første enzym i </w:t>
      </w:r>
      <w:proofErr w:type="spellStart"/>
      <w:r w:rsidRPr="00EC5C36">
        <w:rPr>
          <w:sz w:val="24"/>
          <w:szCs w:val="24"/>
        </w:rPr>
        <w:t>ureacyklussen</w:t>
      </w:r>
      <w:proofErr w:type="spellEnd"/>
      <w:r w:rsidRPr="00EC5C36">
        <w:rPr>
          <w:sz w:val="24"/>
          <w:szCs w:val="24"/>
        </w:rPr>
        <w:t xml:space="preserve">.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har vist sig </w:t>
      </w:r>
      <w:r w:rsidRPr="00EC5C36">
        <w:rPr>
          <w:i/>
          <w:iCs/>
          <w:sz w:val="24"/>
          <w:szCs w:val="24"/>
        </w:rPr>
        <w:t xml:space="preserve">in </w:t>
      </w:r>
      <w:proofErr w:type="spellStart"/>
      <w:r w:rsidRPr="00EC5C36">
        <w:rPr>
          <w:i/>
          <w:iCs/>
          <w:sz w:val="24"/>
          <w:szCs w:val="24"/>
        </w:rPr>
        <w:t>vitro</w:t>
      </w:r>
      <w:proofErr w:type="spellEnd"/>
      <w:r w:rsidRPr="00EC5C36">
        <w:rPr>
          <w:sz w:val="24"/>
          <w:szCs w:val="24"/>
        </w:rPr>
        <w:t xml:space="preserve"> at aktivere leverens </w:t>
      </w:r>
      <w:proofErr w:type="spellStart"/>
      <w:r w:rsidRPr="00EC5C36">
        <w:rPr>
          <w:sz w:val="24"/>
          <w:szCs w:val="24"/>
        </w:rPr>
        <w:t>carbamoylfosfatsyntetase</w:t>
      </w:r>
      <w:proofErr w:type="spellEnd"/>
      <w:r w:rsidRPr="00EC5C36">
        <w:rPr>
          <w:sz w:val="24"/>
          <w:szCs w:val="24"/>
        </w:rPr>
        <w:t xml:space="preserve">. På trods af en lavere affinitet for </w:t>
      </w:r>
      <w:proofErr w:type="spellStart"/>
      <w:r w:rsidRPr="00EC5C36">
        <w:rPr>
          <w:sz w:val="24"/>
          <w:szCs w:val="24"/>
        </w:rPr>
        <w:t>carbamoylfosfatasesyntetase</w:t>
      </w:r>
      <w:proofErr w:type="spellEnd"/>
      <w:r w:rsidRPr="00EC5C36">
        <w:rPr>
          <w:sz w:val="24"/>
          <w:szCs w:val="24"/>
        </w:rPr>
        <w:t xml:space="preserve"> overfor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end overfor N-acetylglutamat, har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</w:t>
      </w:r>
      <w:r w:rsidRPr="00EC5C36">
        <w:rPr>
          <w:i/>
          <w:iCs/>
          <w:sz w:val="24"/>
          <w:szCs w:val="24"/>
        </w:rPr>
        <w:t xml:space="preserve">in </w:t>
      </w:r>
      <w:proofErr w:type="spellStart"/>
      <w:r w:rsidRPr="00EC5C36">
        <w:rPr>
          <w:i/>
          <w:iCs/>
          <w:sz w:val="24"/>
          <w:szCs w:val="24"/>
        </w:rPr>
        <w:t>vivo</w:t>
      </w:r>
      <w:proofErr w:type="spellEnd"/>
      <w:r w:rsidRPr="00EC5C36">
        <w:rPr>
          <w:sz w:val="24"/>
          <w:szCs w:val="24"/>
        </w:rPr>
        <w:t xml:space="preserve"> vist sig at stimulere </w:t>
      </w:r>
      <w:proofErr w:type="spellStart"/>
      <w:r w:rsidRPr="00EC5C36">
        <w:rPr>
          <w:sz w:val="24"/>
          <w:szCs w:val="24"/>
        </w:rPr>
        <w:t>carbamoylfosfatasesyntetase</w:t>
      </w:r>
      <w:proofErr w:type="spellEnd"/>
      <w:r w:rsidRPr="00EC5C36">
        <w:rPr>
          <w:sz w:val="24"/>
          <w:szCs w:val="24"/>
        </w:rPr>
        <w:t xml:space="preserve"> og at være langt mere effektiv end N-acetylglutamat til at beskytte mod ammoniak</w:t>
      </w:r>
      <w:r w:rsidR="005A2A79">
        <w:rPr>
          <w:sz w:val="24"/>
          <w:szCs w:val="24"/>
        </w:rPr>
        <w:softHyphen/>
      </w:r>
      <w:r w:rsidRPr="00EC5C36">
        <w:rPr>
          <w:sz w:val="24"/>
          <w:szCs w:val="24"/>
        </w:rPr>
        <w:t xml:space="preserve">forgiftning hos rotter. Dette kunne forklares ved følgende iagttagelser: </w:t>
      </w:r>
    </w:p>
    <w:p w14:paraId="7CD1E336" w14:textId="77777777" w:rsidR="008C3D90" w:rsidRPr="00EC5C36" w:rsidRDefault="008C3D90" w:rsidP="00B84EC1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Mitochondriemembranen</w:t>
      </w:r>
      <w:proofErr w:type="spellEnd"/>
      <w:r w:rsidRPr="00EC5C36">
        <w:rPr>
          <w:sz w:val="24"/>
          <w:szCs w:val="24"/>
        </w:rPr>
        <w:t xml:space="preserve"> gennemtrænges lettere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end af N-acetylglutamat </w:t>
      </w:r>
    </w:p>
    <w:p w14:paraId="1B068A8D" w14:textId="77777777" w:rsidR="008C3D90" w:rsidRPr="00EC5C36" w:rsidRDefault="008C3D90" w:rsidP="00B84EC1">
      <w:pPr>
        <w:pStyle w:val="Listeafsnit"/>
        <w:numPr>
          <w:ilvl w:val="0"/>
          <w:numId w:val="15"/>
        </w:numPr>
        <w:ind w:left="1276" w:hanging="425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er mere resistent end N-acetylglutamat overfor hydrolyse med </w:t>
      </w:r>
      <w:proofErr w:type="spellStart"/>
      <w:r w:rsidRPr="00EC5C36">
        <w:rPr>
          <w:sz w:val="24"/>
          <w:szCs w:val="24"/>
        </w:rPr>
        <w:t>aminoacylase</w:t>
      </w:r>
      <w:proofErr w:type="spellEnd"/>
      <w:r w:rsidRPr="00EC5C36">
        <w:rPr>
          <w:sz w:val="24"/>
          <w:szCs w:val="24"/>
        </w:rPr>
        <w:t xml:space="preserve"> til stede i </w:t>
      </w:r>
      <w:proofErr w:type="spellStart"/>
      <w:r w:rsidRPr="00EC5C36">
        <w:rPr>
          <w:sz w:val="24"/>
          <w:szCs w:val="24"/>
        </w:rPr>
        <w:t>cytosolen</w:t>
      </w:r>
      <w:proofErr w:type="spellEnd"/>
      <w:r w:rsidRPr="00EC5C36">
        <w:rPr>
          <w:sz w:val="24"/>
          <w:szCs w:val="24"/>
        </w:rPr>
        <w:t>.</w:t>
      </w:r>
    </w:p>
    <w:p w14:paraId="64FE077B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0071E5BC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proofErr w:type="spellStart"/>
      <w:r w:rsidRPr="00EC5C36">
        <w:rPr>
          <w:sz w:val="24"/>
          <w:szCs w:val="24"/>
          <w:u w:val="single"/>
        </w:rPr>
        <w:t>Farmakodynamisk</w:t>
      </w:r>
      <w:proofErr w:type="spellEnd"/>
      <w:r w:rsidRPr="00EC5C36">
        <w:rPr>
          <w:sz w:val="24"/>
          <w:szCs w:val="24"/>
          <w:u w:val="single"/>
        </w:rPr>
        <w:t xml:space="preserve"> virkning</w:t>
      </w:r>
    </w:p>
    <w:p w14:paraId="2C870DED" w14:textId="4557DCCA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Andre undersøgelser er blevet gennemført på rotter under forskellige eksperimentelle tilstande, ledende til øget tilgængelighed af ammoniak (sulttilstand, proteinfri eller højprotein kost).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viste sig at nedsætte ammoniakniveauerne i blodet og øge </w:t>
      </w:r>
      <w:proofErr w:type="spellStart"/>
      <w:r w:rsidRPr="00EC5C36">
        <w:rPr>
          <w:sz w:val="24"/>
          <w:szCs w:val="24"/>
        </w:rPr>
        <w:t>ureaniveauerne</w:t>
      </w:r>
      <w:proofErr w:type="spellEnd"/>
      <w:r w:rsidRPr="00EC5C36">
        <w:rPr>
          <w:sz w:val="24"/>
          <w:szCs w:val="24"/>
        </w:rPr>
        <w:t xml:space="preserve"> i blod og urin, medens leverens indhold af </w:t>
      </w:r>
      <w:proofErr w:type="spellStart"/>
      <w:r w:rsidRPr="00EC5C36">
        <w:rPr>
          <w:sz w:val="24"/>
          <w:szCs w:val="24"/>
        </w:rPr>
        <w:t>carbamoylfosfatsyntetase</w:t>
      </w:r>
      <w:r w:rsidR="00D96900">
        <w:rPr>
          <w:sz w:val="24"/>
          <w:szCs w:val="24"/>
        </w:rPr>
        <w:softHyphen/>
      </w:r>
      <w:r w:rsidRPr="00EC5C36">
        <w:rPr>
          <w:sz w:val="24"/>
          <w:szCs w:val="24"/>
        </w:rPr>
        <w:t>aktivatorer</w:t>
      </w:r>
      <w:proofErr w:type="spellEnd"/>
      <w:r w:rsidRPr="00EC5C36">
        <w:rPr>
          <w:sz w:val="24"/>
          <w:szCs w:val="24"/>
        </w:rPr>
        <w:t xml:space="preserve"> var signifikant øgede.</w:t>
      </w:r>
    </w:p>
    <w:p w14:paraId="542E1284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068939FF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 xml:space="preserve">Klinisk virkning og sikkerhed </w:t>
      </w:r>
    </w:p>
    <w:p w14:paraId="598293F2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Hos patienter med N-</w:t>
      </w:r>
      <w:proofErr w:type="spellStart"/>
      <w:r w:rsidRPr="00EC5C36">
        <w:rPr>
          <w:sz w:val="24"/>
          <w:szCs w:val="24"/>
        </w:rPr>
        <w:t>acetylglutamatsyntase</w:t>
      </w:r>
      <w:proofErr w:type="spellEnd"/>
      <w:r w:rsidRPr="00EC5C36">
        <w:rPr>
          <w:sz w:val="24"/>
          <w:szCs w:val="24"/>
        </w:rPr>
        <w:t xml:space="preserve"> mangel, viste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sig at inducere en hurtig normalisering af plasma ammoniakniveauer, sædvanligvis indenfor 24 timer. Når behandlingen blev igangsat inden nogen permanent hjerneskade, udviste patienterne normal vækst og </w:t>
      </w:r>
      <w:proofErr w:type="spellStart"/>
      <w:r w:rsidRPr="00EC5C36">
        <w:rPr>
          <w:sz w:val="24"/>
          <w:szCs w:val="24"/>
        </w:rPr>
        <w:t>psykomotorisk</w:t>
      </w:r>
      <w:proofErr w:type="spellEnd"/>
      <w:r w:rsidRPr="00EC5C36">
        <w:rPr>
          <w:sz w:val="24"/>
          <w:szCs w:val="24"/>
        </w:rPr>
        <w:t xml:space="preserve"> udvikling. </w:t>
      </w:r>
    </w:p>
    <w:p w14:paraId="0172A07B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Hos patienter med organisk </w:t>
      </w:r>
      <w:proofErr w:type="spellStart"/>
      <w:r w:rsidRPr="00EC5C36">
        <w:rPr>
          <w:sz w:val="24"/>
          <w:szCs w:val="24"/>
        </w:rPr>
        <w:t>acidæmi</w:t>
      </w:r>
      <w:proofErr w:type="spellEnd"/>
      <w:r w:rsidRPr="00EC5C36">
        <w:rPr>
          <w:sz w:val="24"/>
          <w:szCs w:val="24"/>
        </w:rPr>
        <w:t xml:space="preserve"> (nyfødte og ikke-nyfødte) inducerede behandling med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en hurtig reduktion af plasmaniveauet af ammoniak, hvilket reducerer risikoen for neurologiske komplikationer.</w:t>
      </w:r>
    </w:p>
    <w:p w14:paraId="6CBBDDDF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3B987D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5.2</w:t>
      </w:r>
      <w:r w:rsidRPr="00EC5C36">
        <w:rPr>
          <w:b/>
          <w:sz w:val="24"/>
          <w:szCs w:val="24"/>
        </w:rPr>
        <w:tab/>
      </w:r>
      <w:proofErr w:type="spellStart"/>
      <w:r w:rsidRPr="00EC5C36">
        <w:rPr>
          <w:b/>
          <w:sz w:val="24"/>
          <w:szCs w:val="24"/>
        </w:rPr>
        <w:t>Farmakokinetiske</w:t>
      </w:r>
      <w:proofErr w:type="spellEnd"/>
      <w:r w:rsidRPr="00EC5C36">
        <w:rPr>
          <w:b/>
          <w:sz w:val="24"/>
          <w:szCs w:val="24"/>
        </w:rPr>
        <w:t xml:space="preserve"> egenskaber</w:t>
      </w:r>
    </w:p>
    <w:p w14:paraId="258EAB56" w14:textId="77777777" w:rsidR="008C3D90" w:rsidRPr="00EC5C36" w:rsidRDefault="008C3D90" w:rsidP="00B84EC1">
      <w:pPr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Cargluminsyres</w:t>
      </w:r>
      <w:proofErr w:type="spellEnd"/>
      <w:r w:rsidRPr="00EC5C36">
        <w:rPr>
          <w:sz w:val="24"/>
          <w:szCs w:val="24"/>
        </w:rPr>
        <w:t xml:space="preserve"> farmakokinetik er blevet undersøgt hos raske, mandlige frivillige ved anvendelse af både radioaktivt mærket og umærket stof. </w:t>
      </w:r>
    </w:p>
    <w:p w14:paraId="6D4FCBE5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</w:p>
    <w:p w14:paraId="294DFF3D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  <w:u w:val="single"/>
        </w:rPr>
        <w:t>Absorption</w:t>
      </w:r>
      <w:r w:rsidRPr="00EC5C36">
        <w:rPr>
          <w:sz w:val="24"/>
          <w:szCs w:val="24"/>
        </w:rPr>
        <w:t xml:space="preserve"> </w:t>
      </w:r>
    </w:p>
    <w:p w14:paraId="30458221" w14:textId="77777777" w:rsidR="008C3D90" w:rsidRPr="00EC5C36" w:rsidRDefault="008C3D90" w:rsidP="00B84EC1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Efter en enkelt oral dosis på 100 mg/kg kropsvægt estimeres det, at omtrent 30 %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absorberes. Ved dette dosisniveau, givet som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tabletter til 12 frivillige, blev der opnået maksimale plasmakoncentrationer på 2,6 µg/ml (median; værdier mellem 1,8 og 4,8) efter 3 timer (median; værdier mellem 2 og 4).</w:t>
      </w:r>
    </w:p>
    <w:p w14:paraId="759E03F3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4A0A8AEC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Fordeling</w:t>
      </w:r>
    </w:p>
    <w:p w14:paraId="11804D23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Plasmaeliminationskurven for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er </w:t>
      </w:r>
      <w:proofErr w:type="spellStart"/>
      <w:r w:rsidRPr="00EC5C36">
        <w:rPr>
          <w:sz w:val="24"/>
          <w:szCs w:val="24"/>
        </w:rPr>
        <w:t>bifasisk</w:t>
      </w:r>
      <w:proofErr w:type="spellEnd"/>
      <w:r w:rsidRPr="00EC5C36">
        <w:rPr>
          <w:sz w:val="24"/>
          <w:szCs w:val="24"/>
        </w:rPr>
        <w:t xml:space="preserve"> med en hurtig fase over de første 12 timer efter administrering efterfulgt af en langsom fase (terminal halveringstid op til 28 timer). Diffusion ind i </w:t>
      </w:r>
      <w:proofErr w:type="spellStart"/>
      <w:r w:rsidRPr="00EC5C36">
        <w:rPr>
          <w:sz w:val="24"/>
          <w:szCs w:val="24"/>
        </w:rPr>
        <w:t>erythrocytter</w:t>
      </w:r>
      <w:proofErr w:type="spellEnd"/>
      <w:r w:rsidRPr="00EC5C36">
        <w:rPr>
          <w:sz w:val="24"/>
          <w:szCs w:val="24"/>
        </w:rPr>
        <w:t xml:space="preserve"> forekommer ikke. Proteinbinding er ikke fastlagt.</w:t>
      </w:r>
    </w:p>
    <w:p w14:paraId="021C038C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07C0BE72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  <w:u w:val="single"/>
        </w:rPr>
        <w:t>Biotransformation</w:t>
      </w:r>
    </w:p>
    <w:p w14:paraId="0856D1D1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 xml:space="preserve">En del af </w:t>
      </w:r>
      <w:proofErr w:type="spellStart"/>
      <w:r w:rsidRPr="00EC5C36">
        <w:rPr>
          <w:color w:val="000000"/>
          <w:sz w:val="24"/>
          <w:szCs w:val="24"/>
          <w:lang w:eastAsia="en-GB"/>
        </w:rPr>
        <w:t>cargluminsyre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 </w:t>
      </w:r>
      <w:proofErr w:type="spellStart"/>
      <w:r w:rsidRPr="00EC5C36">
        <w:rPr>
          <w:color w:val="000000"/>
          <w:sz w:val="24"/>
          <w:szCs w:val="24"/>
          <w:lang w:eastAsia="en-GB"/>
        </w:rPr>
        <w:t>metaboliseres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. Det er antydet, at afhængig af aktiviteten kan den </w:t>
      </w:r>
      <w:proofErr w:type="spellStart"/>
      <w:r w:rsidRPr="00EC5C36">
        <w:rPr>
          <w:color w:val="000000"/>
          <w:sz w:val="24"/>
          <w:szCs w:val="24"/>
          <w:lang w:eastAsia="en-GB"/>
        </w:rPr>
        <w:t>intestinale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 bakterielle flora bidrage til initieringen af nedbrydningsprocessen, hvilket medfører en variabel grad af metabolisme af molekylet. </w:t>
      </w:r>
      <w:proofErr w:type="spellStart"/>
      <w:r w:rsidRPr="00EC5C36">
        <w:rPr>
          <w:color w:val="000000"/>
          <w:sz w:val="24"/>
          <w:szCs w:val="24"/>
          <w:lang w:eastAsia="en-GB"/>
        </w:rPr>
        <w:t>Glutaminsyre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 er en metabolit, der er identificeret i fæces. Metabolitter kan måles i plasma i maksimale niveauer efter 36-48 timer og med en meget langsom nedbrydning (halveringstid omkring 100 timer). </w:t>
      </w:r>
    </w:p>
    <w:p w14:paraId="05BC0474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color w:val="000000"/>
          <w:sz w:val="24"/>
          <w:szCs w:val="24"/>
          <w:lang w:eastAsia="en-GB"/>
        </w:rPr>
        <w:t xml:space="preserve">Slutproduktet af </w:t>
      </w:r>
      <w:proofErr w:type="spellStart"/>
      <w:r w:rsidRPr="00EC5C36">
        <w:rPr>
          <w:color w:val="000000"/>
          <w:sz w:val="24"/>
          <w:szCs w:val="24"/>
          <w:lang w:eastAsia="en-GB"/>
        </w:rPr>
        <w:t>cargluminsyremetabolisme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 er carbondioxid, som elimineres gennem lungerne.</w:t>
      </w:r>
    </w:p>
    <w:p w14:paraId="19038FF1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</w:p>
    <w:p w14:paraId="38B5CD29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  <w:lang w:eastAsia="en-GB"/>
        </w:rPr>
      </w:pPr>
      <w:r w:rsidRPr="00EC5C36">
        <w:rPr>
          <w:color w:val="000000"/>
          <w:sz w:val="24"/>
          <w:szCs w:val="24"/>
          <w:u w:val="single"/>
          <w:lang w:eastAsia="en-GB"/>
        </w:rPr>
        <w:t>Elimination</w:t>
      </w:r>
    </w:p>
    <w:p w14:paraId="318C6677" w14:textId="77777777" w:rsidR="008C3D90" w:rsidRPr="00EC5C36" w:rsidRDefault="008C3D90" w:rsidP="00B84EC1">
      <w:pPr>
        <w:ind w:left="851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 xml:space="preserve">Efter en enkelt oral dosis på 100 mg/kg kropsvægt udskilles 9 % af dosen </w:t>
      </w:r>
      <w:proofErr w:type="spellStart"/>
      <w:r w:rsidRPr="00EC5C36">
        <w:rPr>
          <w:color w:val="000000"/>
          <w:sz w:val="24"/>
          <w:szCs w:val="24"/>
          <w:lang w:eastAsia="en-GB"/>
        </w:rPr>
        <w:t>uomdannet</w:t>
      </w:r>
      <w:proofErr w:type="spellEnd"/>
      <w:r w:rsidRPr="00EC5C36">
        <w:rPr>
          <w:color w:val="000000"/>
          <w:sz w:val="24"/>
          <w:szCs w:val="24"/>
          <w:lang w:eastAsia="en-GB"/>
        </w:rPr>
        <w:t xml:space="preserve"> i urinen og op til 60 % i fæces.</w:t>
      </w:r>
    </w:p>
    <w:p w14:paraId="7243A6D0" w14:textId="77777777" w:rsidR="008C3D90" w:rsidRPr="00EC5C36" w:rsidRDefault="008C3D90" w:rsidP="00B84EC1">
      <w:pPr>
        <w:ind w:left="851"/>
        <w:rPr>
          <w:color w:val="000000"/>
          <w:sz w:val="24"/>
          <w:szCs w:val="24"/>
          <w:lang w:eastAsia="en-GB"/>
        </w:rPr>
      </w:pPr>
    </w:p>
    <w:p w14:paraId="2863739F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Plasmaniveauer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blev målt hos patienter i alle aldersgrupper, fra nyfødte spædbørn til halvvoksne, behandlet med forskellige daglige doser (7 – 122 mg/kg/dag). Deres område var konsistent med dem, der blev målt hos raske voksne, selv hos nyfødte spædbørn. Uanset den daglige dosis gik de langsomt ned i løbet af 15 timer til niveauer omkring 100 </w:t>
      </w:r>
      <w:proofErr w:type="spellStart"/>
      <w:r w:rsidRPr="00EC5C36">
        <w:rPr>
          <w:sz w:val="24"/>
          <w:szCs w:val="24"/>
        </w:rPr>
        <w:t>ng</w:t>
      </w:r>
      <w:proofErr w:type="spellEnd"/>
      <w:r w:rsidRPr="00EC5C36">
        <w:rPr>
          <w:sz w:val="24"/>
          <w:szCs w:val="24"/>
        </w:rPr>
        <w:t>/ml.</w:t>
      </w:r>
    </w:p>
    <w:p w14:paraId="0A57708F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5785D09A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EC5C36">
        <w:rPr>
          <w:color w:val="000000"/>
          <w:sz w:val="24"/>
          <w:szCs w:val="24"/>
          <w:lang w:eastAsia="en-GB"/>
        </w:rPr>
        <w:t xml:space="preserve">Særlige populationer </w:t>
      </w:r>
    </w:p>
    <w:p w14:paraId="43A075B1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EC5C36">
        <w:rPr>
          <w:i/>
          <w:iCs/>
          <w:color w:val="000000"/>
          <w:sz w:val="24"/>
          <w:szCs w:val="24"/>
          <w:lang w:eastAsia="en-GB"/>
        </w:rPr>
        <w:t xml:space="preserve">Patienter med nedsat nyrefunkton </w:t>
      </w:r>
    </w:p>
    <w:p w14:paraId="7DCFE7A8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EC5C36">
        <w:rPr>
          <w:color w:val="000000" w:themeColor="text1"/>
          <w:sz w:val="24"/>
          <w:szCs w:val="24"/>
          <w:lang w:eastAsia="en-GB"/>
        </w:rPr>
        <w:t xml:space="preserve">Farmakokinetikken af </w:t>
      </w:r>
      <w:proofErr w:type="spellStart"/>
      <w:r w:rsidRPr="00EC5C36">
        <w:rPr>
          <w:color w:val="000000" w:themeColor="text1"/>
          <w:sz w:val="24"/>
          <w:szCs w:val="24"/>
          <w:lang w:eastAsia="en-GB"/>
        </w:rPr>
        <w:t>cargluminsyre</w:t>
      </w:r>
      <w:proofErr w:type="spellEnd"/>
      <w:r w:rsidRPr="00EC5C36">
        <w:rPr>
          <w:color w:val="000000" w:themeColor="text1"/>
          <w:sz w:val="24"/>
          <w:szCs w:val="24"/>
          <w:lang w:eastAsia="en-GB"/>
        </w:rPr>
        <w:t xml:space="preserve"> hos personer med nedsat nyrefunktion blev sammenlignet med personer med normal nyrefunktion efter oral administration af en enkelt dosis </w:t>
      </w:r>
      <w:proofErr w:type="spellStart"/>
      <w:r w:rsidRPr="00EC5C36">
        <w:rPr>
          <w:color w:val="000000" w:themeColor="text1"/>
          <w:sz w:val="24"/>
          <w:szCs w:val="24"/>
          <w:lang w:eastAsia="en-GB"/>
        </w:rPr>
        <w:t>cargluminsyre</w:t>
      </w:r>
      <w:proofErr w:type="spellEnd"/>
      <w:r w:rsidRPr="00EC5C36">
        <w:rPr>
          <w:color w:val="000000" w:themeColor="text1"/>
          <w:sz w:val="24"/>
          <w:szCs w:val="24"/>
          <w:lang w:eastAsia="en-GB"/>
        </w:rPr>
        <w:t xml:space="preserve"> 40 mg/kg eller 80 mg/kg. </w:t>
      </w:r>
      <w:proofErr w:type="spellStart"/>
      <w:r w:rsidRPr="00EC5C36">
        <w:rPr>
          <w:color w:val="000000" w:themeColor="text1"/>
          <w:sz w:val="24"/>
          <w:szCs w:val="24"/>
          <w:lang w:eastAsia="en-GB"/>
        </w:rPr>
        <w:t>C</w:t>
      </w:r>
      <w:r w:rsidRPr="00EC5C36">
        <w:rPr>
          <w:color w:val="000000" w:themeColor="text1"/>
          <w:sz w:val="24"/>
          <w:szCs w:val="24"/>
          <w:vertAlign w:val="subscript"/>
          <w:lang w:eastAsia="en-GB"/>
        </w:rPr>
        <w:t>max</w:t>
      </w:r>
      <w:proofErr w:type="spellEnd"/>
      <w:r w:rsidRPr="00EC5C36">
        <w:rPr>
          <w:color w:val="000000" w:themeColor="text1"/>
          <w:sz w:val="24"/>
          <w:szCs w:val="24"/>
          <w:lang w:eastAsia="en-GB"/>
        </w:rPr>
        <w:t xml:space="preserve"> og AUC0-T for </w:t>
      </w:r>
      <w:proofErr w:type="spellStart"/>
      <w:r w:rsidRPr="00EC5C36">
        <w:rPr>
          <w:color w:val="000000" w:themeColor="text1"/>
          <w:sz w:val="24"/>
          <w:szCs w:val="24"/>
          <w:lang w:eastAsia="en-GB"/>
        </w:rPr>
        <w:t>cargluminsyre</w:t>
      </w:r>
      <w:proofErr w:type="spellEnd"/>
      <w:r w:rsidRPr="00EC5C36">
        <w:rPr>
          <w:color w:val="000000" w:themeColor="text1"/>
          <w:sz w:val="24"/>
          <w:szCs w:val="24"/>
          <w:lang w:eastAsia="en-GB"/>
        </w:rPr>
        <w:t xml:space="preserve"> er opsummeret i nedenstående tabel. Det geometriske middelforhold (90 % CI) af AUC0-T hos personer med let, moderat og svær nyreinsufficiens i forhold til dem hos deres matchede kontrolpersoner med normal nyrefunktion var ca. 1,8 (1,34, 2,47), 2,8 (2,17, 3,65) hhv. 6,9 (4,79, 9,96). </w:t>
      </w:r>
      <w:proofErr w:type="spellStart"/>
      <w:r w:rsidRPr="00EC5C36">
        <w:rPr>
          <w:color w:val="000000" w:themeColor="text1"/>
          <w:sz w:val="24"/>
          <w:szCs w:val="24"/>
          <w:lang w:eastAsia="en-GB"/>
        </w:rPr>
        <w:t>Renal</w:t>
      </w:r>
      <w:proofErr w:type="spellEnd"/>
      <w:r w:rsidRPr="00EC5C36">
        <w:rPr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 w:rsidRPr="00EC5C36">
        <w:rPr>
          <w:color w:val="000000" w:themeColor="text1"/>
          <w:sz w:val="24"/>
          <w:szCs w:val="24"/>
          <w:lang w:eastAsia="en-GB"/>
        </w:rPr>
        <w:t>clearance</w:t>
      </w:r>
      <w:proofErr w:type="spellEnd"/>
      <w:r w:rsidRPr="00EC5C36">
        <w:rPr>
          <w:color w:val="000000" w:themeColor="text1"/>
          <w:sz w:val="24"/>
          <w:szCs w:val="24"/>
          <w:lang w:eastAsia="en-GB"/>
        </w:rPr>
        <w:t xml:space="preserve"> (</w:t>
      </w:r>
      <w:proofErr w:type="spellStart"/>
      <w:r w:rsidRPr="00EC5C36">
        <w:rPr>
          <w:color w:val="000000" w:themeColor="text1"/>
          <w:sz w:val="24"/>
          <w:szCs w:val="24"/>
          <w:lang w:eastAsia="en-GB"/>
        </w:rPr>
        <w:t>CLr</w:t>
      </w:r>
      <w:proofErr w:type="spellEnd"/>
      <w:r w:rsidRPr="00EC5C36">
        <w:rPr>
          <w:color w:val="000000" w:themeColor="text1"/>
          <w:sz w:val="24"/>
          <w:szCs w:val="24"/>
          <w:lang w:eastAsia="en-GB"/>
        </w:rPr>
        <w:t xml:space="preserve">) faldt med 0,79-, 0,53- og 0,15 gange hos henholdsvis let, moderat og svært nedsat nyrefunktion sammenlignet med personer med normal nyrefunktion. Det vurderes, at </w:t>
      </w:r>
      <w:proofErr w:type="spellStart"/>
      <w:r w:rsidRPr="00EC5C36">
        <w:rPr>
          <w:color w:val="000000" w:themeColor="text1"/>
          <w:sz w:val="24"/>
          <w:szCs w:val="24"/>
          <w:lang w:eastAsia="en-GB"/>
        </w:rPr>
        <w:t>farmakokinetiske</w:t>
      </w:r>
      <w:proofErr w:type="spellEnd"/>
      <w:r w:rsidRPr="00EC5C36">
        <w:rPr>
          <w:color w:val="000000" w:themeColor="text1"/>
          <w:sz w:val="24"/>
          <w:szCs w:val="24"/>
          <w:lang w:eastAsia="en-GB"/>
        </w:rPr>
        <w:t xml:space="preserve"> ændringer af </w:t>
      </w:r>
      <w:proofErr w:type="spellStart"/>
      <w:r w:rsidRPr="00EC5C36">
        <w:rPr>
          <w:color w:val="000000" w:themeColor="text1"/>
          <w:sz w:val="24"/>
          <w:szCs w:val="24"/>
          <w:lang w:eastAsia="en-GB"/>
        </w:rPr>
        <w:t>cargluminsyre</w:t>
      </w:r>
      <w:proofErr w:type="spellEnd"/>
      <w:r w:rsidRPr="00EC5C36">
        <w:rPr>
          <w:color w:val="000000" w:themeColor="text1"/>
          <w:sz w:val="24"/>
          <w:szCs w:val="24"/>
          <w:lang w:eastAsia="en-GB"/>
        </w:rPr>
        <w:t xml:space="preserve"> ledsaget af nedsat nyrefunktion er klinisk relevante, og dosisjustering af dosis vil være berettiget hos personer med moderat og svært nedsat nyrefunktion [se Dosering og indgivelsesmåde (4.2)]. </w:t>
      </w:r>
    </w:p>
    <w:p w14:paraId="2BF70880" w14:textId="77777777" w:rsidR="008C3D90" w:rsidRPr="00EC5C36" w:rsidRDefault="008C3D90" w:rsidP="00B84EC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</w:p>
    <w:p w14:paraId="3F0DE2B4" w14:textId="77777777" w:rsidR="008C3D90" w:rsidRPr="00EC5C36" w:rsidRDefault="008C3D90" w:rsidP="008C3D90">
      <w:pPr>
        <w:rPr>
          <w:b/>
          <w:bCs/>
          <w:color w:val="000000"/>
          <w:sz w:val="24"/>
          <w:szCs w:val="24"/>
          <w:lang w:eastAsia="en-GB"/>
        </w:rPr>
      </w:pPr>
      <w:r w:rsidRPr="00EC5C36">
        <w:rPr>
          <w:b/>
          <w:bCs/>
          <w:color w:val="000000" w:themeColor="text1"/>
          <w:sz w:val="24"/>
          <w:szCs w:val="24"/>
          <w:lang w:eastAsia="en-GB"/>
        </w:rPr>
        <w:t xml:space="preserve">Gennemsnitlig (± SD) </w:t>
      </w:r>
      <w:proofErr w:type="spellStart"/>
      <w:r w:rsidRPr="00EC5C36">
        <w:rPr>
          <w:b/>
          <w:bCs/>
          <w:color w:val="000000" w:themeColor="text1"/>
          <w:sz w:val="24"/>
          <w:szCs w:val="24"/>
          <w:lang w:eastAsia="en-GB"/>
        </w:rPr>
        <w:t>C</w:t>
      </w:r>
      <w:r w:rsidRPr="00EC5C36">
        <w:rPr>
          <w:b/>
          <w:bCs/>
          <w:color w:val="000000" w:themeColor="text1"/>
          <w:sz w:val="24"/>
          <w:szCs w:val="24"/>
          <w:vertAlign w:val="subscript"/>
          <w:lang w:eastAsia="en-GB"/>
        </w:rPr>
        <w:t>max</w:t>
      </w:r>
      <w:proofErr w:type="spellEnd"/>
      <w:r w:rsidRPr="00EC5C36">
        <w:rPr>
          <w:b/>
          <w:bCs/>
          <w:color w:val="000000" w:themeColor="text1"/>
          <w:sz w:val="24"/>
          <w:szCs w:val="24"/>
          <w:vertAlign w:val="subscript"/>
          <w:lang w:eastAsia="en-GB"/>
        </w:rPr>
        <w:t xml:space="preserve"> </w:t>
      </w:r>
      <w:r w:rsidRPr="00EC5C36">
        <w:rPr>
          <w:b/>
          <w:bCs/>
          <w:color w:val="000000" w:themeColor="text1"/>
          <w:sz w:val="24"/>
          <w:szCs w:val="24"/>
          <w:lang w:eastAsia="en-GB"/>
        </w:rPr>
        <w:t xml:space="preserve">og AUC0-T for </w:t>
      </w:r>
      <w:proofErr w:type="spellStart"/>
      <w:r w:rsidRPr="00EC5C36">
        <w:rPr>
          <w:b/>
          <w:bCs/>
          <w:color w:val="000000" w:themeColor="text1"/>
          <w:sz w:val="24"/>
          <w:szCs w:val="24"/>
          <w:lang w:eastAsia="en-GB"/>
        </w:rPr>
        <w:t>cargluminsyre</w:t>
      </w:r>
      <w:proofErr w:type="spellEnd"/>
      <w:r w:rsidRPr="00EC5C36">
        <w:rPr>
          <w:b/>
          <w:bCs/>
          <w:color w:val="000000" w:themeColor="text1"/>
          <w:sz w:val="24"/>
          <w:szCs w:val="24"/>
          <w:lang w:eastAsia="en-GB"/>
        </w:rPr>
        <w:t xml:space="preserve"> efter en enkelt oral dosis administration af </w:t>
      </w:r>
      <w:proofErr w:type="spellStart"/>
      <w:r w:rsidRPr="00EC5C36">
        <w:rPr>
          <w:b/>
          <w:bCs/>
          <w:color w:val="000000" w:themeColor="text1"/>
          <w:sz w:val="24"/>
          <w:szCs w:val="24"/>
          <w:lang w:eastAsia="en-GB"/>
        </w:rPr>
        <w:t>cargluminsyre</w:t>
      </w:r>
      <w:proofErr w:type="spellEnd"/>
      <w:r w:rsidRPr="00EC5C36">
        <w:rPr>
          <w:b/>
          <w:bCs/>
          <w:color w:val="000000" w:themeColor="text1"/>
          <w:sz w:val="24"/>
          <w:szCs w:val="24"/>
          <w:lang w:eastAsia="en-GB"/>
        </w:rPr>
        <w:t xml:space="preserve"> 80 mg/kg eller 40 mg/kg hos forsøgspersoner med nedsat nyrefunktion og matchede kontrolpersoner med normal nyrefunktion</w:t>
      </w:r>
    </w:p>
    <w:p w14:paraId="12BEE2D1" w14:textId="77777777" w:rsidR="008C3D90" w:rsidRPr="00EC5C36" w:rsidRDefault="008C3D90" w:rsidP="008C3D90">
      <w:pPr>
        <w:rPr>
          <w:b/>
          <w:bCs/>
          <w:color w:val="000000"/>
          <w:sz w:val="24"/>
          <w:szCs w:val="24"/>
          <w:lang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604"/>
        <w:gridCol w:w="1604"/>
        <w:gridCol w:w="1604"/>
        <w:gridCol w:w="1604"/>
        <w:gridCol w:w="1606"/>
        <w:gridCol w:w="1606"/>
      </w:tblGrid>
      <w:tr w:rsidR="008C3D90" w:rsidRPr="00EC5C36" w14:paraId="1DCED3CF" w14:textId="77777777" w:rsidTr="00B84EC1"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3415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PK </w:t>
            </w:r>
            <w:proofErr w:type="spellStart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>parametre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E065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Normal </w:t>
            </w:r>
            <w:proofErr w:type="spellStart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>funktion</w:t>
            </w:r>
            <w:proofErr w:type="spellEnd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(la) N=8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991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Let </w:t>
            </w:r>
            <w:proofErr w:type="spellStart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>nedsat</w:t>
            </w:r>
            <w:proofErr w:type="spellEnd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N=7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C893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>Moderat</w:t>
            </w:r>
            <w:proofErr w:type="spellEnd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>nedsat</w:t>
            </w:r>
            <w:proofErr w:type="spellEnd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N=6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94A1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Normal </w:t>
            </w:r>
            <w:proofErr w:type="spellStart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>funktion</w:t>
            </w:r>
            <w:proofErr w:type="spellEnd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(lb) </w:t>
            </w:r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N=8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CD9E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>Svært</w:t>
            </w:r>
            <w:proofErr w:type="spellEnd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t>nedsat</w:t>
            </w:r>
            <w:proofErr w:type="spellEnd"/>
            <w:r w:rsidRPr="00EC5C36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N=6</w:t>
            </w:r>
          </w:p>
        </w:tc>
      </w:tr>
      <w:tr w:rsidR="008C3D90" w:rsidRPr="00EC5C36" w14:paraId="42F929C2" w14:textId="77777777" w:rsidTr="00B84EC1"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6286" w14:textId="77777777" w:rsidR="008C3D90" w:rsidRPr="00EC5C36" w:rsidRDefault="008C3D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7C9A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80 mg/kg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1C8E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40 mg/kg</w:t>
            </w:r>
          </w:p>
        </w:tc>
      </w:tr>
      <w:tr w:rsidR="008C3D90" w:rsidRPr="00EC5C36" w14:paraId="68437A51" w14:textId="77777777" w:rsidTr="00B84EC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DDD4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Pr="00EC5C36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>max</w:t>
            </w:r>
            <w:proofErr w:type="spellEnd"/>
            <w:r w:rsidRPr="00EC5C36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 </w:t>
            </w: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(ng/ml)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EC80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2982,9 (552,1)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C64A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5056,1 (2074,7)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CBEA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6018,8 (2041,0)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B158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1890,4 (900,6)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C2E93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8841,8 (4307,3)</w:t>
            </w:r>
          </w:p>
        </w:tc>
      </w:tr>
      <w:tr w:rsidR="008C3D90" w:rsidRPr="00EC5C36" w14:paraId="5EC06E98" w14:textId="77777777" w:rsidTr="00B84EC1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691D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AUC</w:t>
            </w:r>
            <w:r w:rsidRPr="00EC5C36">
              <w:rPr>
                <w:rFonts w:ascii="Times New Roman" w:hAnsi="Times New Roman" w:cs="Times New Roman"/>
                <w:bCs/>
                <w:sz w:val="18"/>
                <w:szCs w:val="18"/>
                <w:vertAlign w:val="subscript"/>
              </w:rPr>
              <w:t xml:space="preserve">0-T </w:t>
            </w: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(ng</w:t>
            </w:r>
            <w:r w:rsidRPr="00EC5C36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</w:rPr>
              <w:t>*</w:t>
            </w: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h/ml)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68C2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28312,7 </w:t>
            </w:r>
          </w:p>
          <w:p w14:paraId="44B0B19E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(6204,1)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DDC1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53559,3 (20267,2)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0968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80543,3 (22587,6)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C1E2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20212,0 </w:t>
            </w:r>
          </w:p>
          <w:p w14:paraId="2925D28B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(6185,7)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F75D" w14:textId="77777777" w:rsidR="008C3D90" w:rsidRPr="00EC5C36" w:rsidRDefault="008C3D90">
            <w:pPr>
              <w:tabs>
                <w:tab w:val="left" w:pos="6379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5C36">
              <w:rPr>
                <w:rFonts w:ascii="Times New Roman" w:hAnsi="Times New Roman" w:cs="Times New Roman"/>
                <w:bCs/>
                <w:sz w:val="18"/>
                <w:szCs w:val="18"/>
              </w:rPr>
              <w:t>144924,6 (65576,0)</w:t>
            </w:r>
          </w:p>
        </w:tc>
      </w:tr>
    </w:tbl>
    <w:p w14:paraId="2D087B76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75176A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5.3</w:t>
      </w:r>
      <w:r w:rsidRPr="00EC5C36">
        <w:rPr>
          <w:b/>
          <w:sz w:val="24"/>
          <w:szCs w:val="24"/>
        </w:rPr>
        <w:tab/>
      </w:r>
      <w:r w:rsidR="00BD7931" w:rsidRPr="00EC5C36">
        <w:rPr>
          <w:b/>
          <w:sz w:val="24"/>
          <w:szCs w:val="24"/>
        </w:rPr>
        <w:t>Non-</w:t>
      </w:r>
      <w:r w:rsidRPr="00EC5C36">
        <w:rPr>
          <w:b/>
          <w:sz w:val="24"/>
          <w:szCs w:val="24"/>
        </w:rPr>
        <w:t>kliniske sikkerhedsdata</w:t>
      </w:r>
    </w:p>
    <w:p w14:paraId="37CCAD57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Sikkerhedsmæssige farmakologiske undersøgelser har vist, at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administreret oralt i doser på 250, 500, 1000 mg/kg ikke havde nogen statistisk signifikant virkning på respiration, centralnervesystem og </w:t>
      </w:r>
      <w:proofErr w:type="spellStart"/>
      <w:r w:rsidRPr="00EC5C36">
        <w:rPr>
          <w:sz w:val="24"/>
          <w:szCs w:val="24"/>
        </w:rPr>
        <w:t>kardiovaskulære</w:t>
      </w:r>
      <w:proofErr w:type="spellEnd"/>
      <w:r w:rsidRPr="00EC5C36">
        <w:rPr>
          <w:sz w:val="24"/>
          <w:szCs w:val="24"/>
        </w:rPr>
        <w:t xml:space="preserve"> system. </w:t>
      </w:r>
    </w:p>
    <w:p w14:paraId="4222A478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460C5C78" w14:textId="77777777" w:rsidR="008C3D90" w:rsidRPr="00EC5C36" w:rsidRDefault="008C3D90" w:rsidP="00B84EC1">
      <w:pPr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viste ingen signifikant mutagen aktivitet i et batteri af genotoksiske tests udført </w:t>
      </w:r>
      <w:r w:rsidRPr="00EC5C36">
        <w:rPr>
          <w:i/>
          <w:iCs/>
          <w:sz w:val="24"/>
          <w:szCs w:val="24"/>
        </w:rPr>
        <w:t xml:space="preserve">in </w:t>
      </w:r>
      <w:proofErr w:type="spellStart"/>
      <w:r w:rsidRPr="00EC5C36">
        <w:rPr>
          <w:i/>
          <w:iCs/>
          <w:sz w:val="24"/>
          <w:szCs w:val="24"/>
        </w:rPr>
        <w:t>vitro</w:t>
      </w:r>
      <w:proofErr w:type="spellEnd"/>
      <w:r w:rsidRPr="00EC5C36">
        <w:rPr>
          <w:sz w:val="24"/>
          <w:szCs w:val="24"/>
        </w:rPr>
        <w:t xml:space="preserve"> (</w:t>
      </w:r>
      <w:proofErr w:type="spellStart"/>
      <w:r w:rsidRPr="00EC5C36">
        <w:rPr>
          <w:sz w:val="24"/>
          <w:szCs w:val="24"/>
        </w:rPr>
        <w:t>Ames</w:t>
      </w:r>
      <w:proofErr w:type="spellEnd"/>
      <w:r w:rsidRPr="00EC5C36">
        <w:rPr>
          <w:sz w:val="24"/>
          <w:szCs w:val="24"/>
        </w:rPr>
        <w:t xml:space="preserve"> test, human lymfocyt metafase analyse) og </w:t>
      </w:r>
      <w:r w:rsidRPr="00EC5C36">
        <w:rPr>
          <w:i/>
          <w:iCs/>
          <w:sz w:val="24"/>
          <w:szCs w:val="24"/>
        </w:rPr>
        <w:t xml:space="preserve">in </w:t>
      </w:r>
      <w:proofErr w:type="spellStart"/>
      <w:r w:rsidRPr="00EC5C36">
        <w:rPr>
          <w:i/>
          <w:iCs/>
          <w:sz w:val="24"/>
          <w:szCs w:val="24"/>
        </w:rPr>
        <w:t>vivo</w:t>
      </w:r>
      <w:proofErr w:type="spellEnd"/>
      <w:r w:rsidRPr="00EC5C36">
        <w:rPr>
          <w:sz w:val="24"/>
          <w:szCs w:val="24"/>
        </w:rPr>
        <w:t xml:space="preserve"> (</w:t>
      </w:r>
      <w:proofErr w:type="spellStart"/>
      <w:r w:rsidRPr="00EC5C36">
        <w:rPr>
          <w:sz w:val="24"/>
          <w:szCs w:val="24"/>
        </w:rPr>
        <w:t>mikronucleustest</w:t>
      </w:r>
      <w:proofErr w:type="spellEnd"/>
      <w:r w:rsidRPr="00EC5C36">
        <w:rPr>
          <w:sz w:val="24"/>
          <w:szCs w:val="24"/>
        </w:rPr>
        <w:t xml:space="preserve"> på rotter). </w:t>
      </w:r>
    </w:p>
    <w:p w14:paraId="63444F5E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4EA5B8F1" w14:textId="5420371C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Enkeltdosis af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op til 2800 mg/kg oralt og 239 mg/kg intravenøst inducerede ikke nogen mortalitet eller abnorme kliniske tegn hos voksne rotter. Hos nyfødte rotter, der fik daglig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ved oral </w:t>
      </w:r>
      <w:proofErr w:type="spellStart"/>
      <w:r w:rsidRPr="00EC5C36">
        <w:rPr>
          <w:sz w:val="24"/>
          <w:szCs w:val="24"/>
        </w:rPr>
        <w:t>gavage</w:t>
      </w:r>
      <w:proofErr w:type="spellEnd"/>
      <w:r w:rsidRPr="00EC5C36">
        <w:rPr>
          <w:sz w:val="24"/>
          <w:szCs w:val="24"/>
        </w:rPr>
        <w:t xml:space="preserve"> i 18 dage såvel som hos unge rotter, der fik daglig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i 26 uger, blev der fastlagt en No </w:t>
      </w:r>
      <w:proofErr w:type="spellStart"/>
      <w:r w:rsidRPr="00EC5C36">
        <w:rPr>
          <w:sz w:val="24"/>
          <w:szCs w:val="24"/>
        </w:rPr>
        <w:t>Observed</w:t>
      </w:r>
      <w:proofErr w:type="spellEnd"/>
      <w:r w:rsidRPr="00EC5C36">
        <w:rPr>
          <w:sz w:val="24"/>
          <w:szCs w:val="24"/>
        </w:rPr>
        <w:t xml:space="preserve"> </w:t>
      </w:r>
      <w:proofErr w:type="spellStart"/>
      <w:r w:rsidRPr="00EC5C36">
        <w:rPr>
          <w:sz w:val="24"/>
          <w:szCs w:val="24"/>
        </w:rPr>
        <w:t>Effect</w:t>
      </w:r>
      <w:proofErr w:type="spellEnd"/>
      <w:r w:rsidRPr="00EC5C36">
        <w:rPr>
          <w:sz w:val="24"/>
          <w:szCs w:val="24"/>
        </w:rPr>
        <w:t xml:space="preserve"> Level (NOEL) ved 500 mg/kg/dag og en No </w:t>
      </w:r>
      <w:proofErr w:type="spellStart"/>
      <w:r w:rsidRPr="00EC5C36">
        <w:rPr>
          <w:sz w:val="24"/>
          <w:szCs w:val="24"/>
        </w:rPr>
        <w:t>Observed</w:t>
      </w:r>
      <w:proofErr w:type="spellEnd"/>
      <w:r w:rsidRPr="00EC5C36">
        <w:rPr>
          <w:sz w:val="24"/>
          <w:szCs w:val="24"/>
        </w:rPr>
        <w:t xml:space="preserve"> </w:t>
      </w:r>
      <w:proofErr w:type="spellStart"/>
      <w:r w:rsidRPr="00EC5C36">
        <w:rPr>
          <w:sz w:val="24"/>
          <w:szCs w:val="24"/>
        </w:rPr>
        <w:t>Adverse</w:t>
      </w:r>
      <w:proofErr w:type="spellEnd"/>
      <w:r w:rsidRPr="00EC5C36">
        <w:rPr>
          <w:sz w:val="24"/>
          <w:szCs w:val="24"/>
        </w:rPr>
        <w:t xml:space="preserve"> </w:t>
      </w:r>
      <w:proofErr w:type="spellStart"/>
      <w:r w:rsidRPr="00EC5C36">
        <w:rPr>
          <w:sz w:val="24"/>
          <w:szCs w:val="24"/>
        </w:rPr>
        <w:t>Effect</w:t>
      </w:r>
      <w:proofErr w:type="spellEnd"/>
      <w:r w:rsidRPr="00EC5C36">
        <w:rPr>
          <w:sz w:val="24"/>
          <w:szCs w:val="24"/>
        </w:rPr>
        <w:t xml:space="preserve"> Level (NOAEL) blev fastlagt ved 1000</w:t>
      </w:r>
      <w:r w:rsidR="00D96900">
        <w:rPr>
          <w:sz w:val="24"/>
          <w:szCs w:val="24"/>
        </w:rPr>
        <w:t> </w:t>
      </w:r>
      <w:r w:rsidRPr="00EC5C36">
        <w:rPr>
          <w:sz w:val="24"/>
          <w:szCs w:val="24"/>
        </w:rPr>
        <w:t>mg/kg/dag.</w:t>
      </w:r>
    </w:p>
    <w:p w14:paraId="46B4CFB0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2190807C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Der er ikke observeret nogen bivirkninger på den mandlige eller den kvindelige fertilitet. Hos rotter og kaniner var der ingen tegn på embryotoksicitet, </w:t>
      </w:r>
      <w:proofErr w:type="spellStart"/>
      <w:r w:rsidRPr="00EC5C36">
        <w:rPr>
          <w:sz w:val="24"/>
          <w:szCs w:val="24"/>
        </w:rPr>
        <w:t>føtotoksicitet</w:t>
      </w:r>
      <w:proofErr w:type="spellEnd"/>
      <w:r w:rsidRPr="00EC5C36">
        <w:rPr>
          <w:sz w:val="24"/>
          <w:szCs w:val="24"/>
        </w:rPr>
        <w:t xml:space="preserve"> eller </w:t>
      </w:r>
      <w:proofErr w:type="spellStart"/>
      <w:r w:rsidRPr="00EC5C36">
        <w:rPr>
          <w:sz w:val="24"/>
          <w:szCs w:val="24"/>
        </w:rPr>
        <w:t>teratogenicitet</w:t>
      </w:r>
      <w:proofErr w:type="spellEnd"/>
      <w:r w:rsidRPr="00EC5C36">
        <w:rPr>
          <w:sz w:val="24"/>
          <w:szCs w:val="24"/>
        </w:rPr>
        <w:t xml:space="preserve"> ved op til modertoksiske doser, der for rotter gav halvtreds ganges eksponering sammenlignet med humane doser og syv gange for kaniner.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 xml:space="preserve"> udskilles i mælken hos ammende rotter, og selvom udviklingsparametre var upåvirkede, var der somme tider en effekt på kropsvægt/forøgelse af kropsvægt hos unger, der diede ved mødre behandlet med 500 mg/kg/dag og en højere mortalitet hos unger af mødre behandlet med 2000 mg/kg/dag, en modertoksisk dosis. Den systemiske eksponering hos mødrene efter 500 og 2000 mg/kg/dag var 25 og 70 gange den forventede humane eksponering. </w:t>
      </w:r>
    </w:p>
    <w:p w14:paraId="3F9DDDF4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2658A95E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Der er ikke foretaget nogen </w:t>
      </w:r>
      <w:proofErr w:type="spellStart"/>
      <w:r w:rsidRPr="00EC5C36">
        <w:rPr>
          <w:sz w:val="24"/>
          <w:szCs w:val="24"/>
        </w:rPr>
        <w:t>carcinogenicitetsundersøgelse</w:t>
      </w:r>
      <w:proofErr w:type="spellEnd"/>
      <w:r w:rsidRPr="00EC5C36">
        <w:rPr>
          <w:sz w:val="24"/>
          <w:szCs w:val="24"/>
        </w:rPr>
        <w:t xml:space="preserve"> med </w:t>
      </w:r>
      <w:proofErr w:type="spellStart"/>
      <w:r w:rsidRPr="00EC5C36">
        <w:rPr>
          <w:sz w:val="24"/>
          <w:szCs w:val="24"/>
        </w:rPr>
        <w:t>cargluminsyre</w:t>
      </w:r>
      <w:proofErr w:type="spellEnd"/>
      <w:r w:rsidRPr="00EC5C36">
        <w:rPr>
          <w:sz w:val="24"/>
          <w:szCs w:val="24"/>
        </w:rPr>
        <w:t>.</w:t>
      </w:r>
    </w:p>
    <w:p w14:paraId="6D7CA41C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B0B2BE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C60481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6.</w:t>
      </w:r>
      <w:r w:rsidRPr="00EC5C36">
        <w:rPr>
          <w:b/>
          <w:sz w:val="24"/>
          <w:szCs w:val="24"/>
        </w:rPr>
        <w:tab/>
        <w:t>FARMACEUTISKE OPLYSNINGER</w:t>
      </w:r>
    </w:p>
    <w:p w14:paraId="11A7AEC5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E8703D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6.1</w:t>
      </w:r>
      <w:r w:rsidRPr="00EC5C36">
        <w:rPr>
          <w:b/>
          <w:sz w:val="24"/>
          <w:szCs w:val="24"/>
        </w:rPr>
        <w:tab/>
        <w:t>Hjælpestoffer</w:t>
      </w:r>
    </w:p>
    <w:p w14:paraId="285202E0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Mikrokrystallinsk cellulose</w:t>
      </w:r>
    </w:p>
    <w:p w14:paraId="6D450571" w14:textId="77777777" w:rsidR="008C3D90" w:rsidRPr="00EC5C36" w:rsidRDefault="008C3D90" w:rsidP="00B84EC1">
      <w:pPr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Croscarmelosenatrium</w:t>
      </w:r>
      <w:proofErr w:type="spellEnd"/>
    </w:p>
    <w:p w14:paraId="0BEEB77D" w14:textId="77777777" w:rsidR="008C3D90" w:rsidRPr="00EC5C36" w:rsidRDefault="008C3D90" w:rsidP="00B84EC1">
      <w:pPr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Natriumlaurilsulfat</w:t>
      </w:r>
      <w:proofErr w:type="spellEnd"/>
    </w:p>
    <w:p w14:paraId="6001FE91" w14:textId="77777777" w:rsidR="008C3D90" w:rsidRPr="00EC5C36" w:rsidRDefault="008C3D90" w:rsidP="00B84EC1">
      <w:pPr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Silica</w:t>
      </w:r>
      <w:proofErr w:type="spellEnd"/>
      <w:r w:rsidRPr="00EC5C36">
        <w:rPr>
          <w:sz w:val="24"/>
          <w:szCs w:val="24"/>
        </w:rPr>
        <w:t xml:space="preserve">, kolloid vandfri </w:t>
      </w:r>
    </w:p>
    <w:p w14:paraId="478FD771" w14:textId="77777777" w:rsidR="008C3D90" w:rsidRPr="00EC5C36" w:rsidRDefault="008C3D90" w:rsidP="00B84EC1">
      <w:pPr>
        <w:ind w:left="851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Natriumstearylfumarat</w:t>
      </w:r>
      <w:proofErr w:type="spellEnd"/>
    </w:p>
    <w:p w14:paraId="42EA79C3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4E020F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6.2</w:t>
      </w:r>
      <w:r w:rsidRPr="00EC5C36">
        <w:rPr>
          <w:b/>
          <w:sz w:val="24"/>
          <w:szCs w:val="24"/>
        </w:rPr>
        <w:tab/>
        <w:t>Uforligeligheder</w:t>
      </w:r>
    </w:p>
    <w:p w14:paraId="7DA92462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Ikke relevant.</w:t>
      </w:r>
    </w:p>
    <w:p w14:paraId="78F504B0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C1D2CA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6.3</w:t>
      </w:r>
      <w:r w:rsidRPr="00EC5C36">
        <w:rPr>
          <w:b/>
          <w:sz w:val="24"/>
          <w:szCs w:val="24"/>
        </w:rPr>
        <w:tab/>
        <w:t>Opbevaringstid</w:t>
      </w:r>
    </w:p>
    <w:p w14:paraId="38D1D111" w14:textId="77777777" w:rsidR="00EC5C36" w:rsidRDefault="00EC5C36" w:rsidP="00B84EC1">
      <w:pPr>
        <w:ind w:left="851"/>
        <w:rPr>
          <w:sz w:val="24"/>
          <w:szCs w:val="24"/>
          <w:u w:val="single"/>
        </w:rPr>
      </w:pPr>
    </w:p>
    <w:p w14:paraId="740AC909" w14:textId="7E5C5FBD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Beholderen</w:t>
      </w:r>
    </w:p>
    <w:p w14:paraId="5CCF47FE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3 år.</w:t>
      </w:r>
    </w:p>
    <w:p w14:paraId="1709C081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Efter den første åbning af tabletbeholderen: 1 måned.</w:t>
      </w:r>
    </w:p>
    <w:p w14:paraId="6C2AD78C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</w:p>
    <w:p w14:paraId="429C0906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Blister</w:t>
      </w:r>
    </w:p>
    <w:p w14:paraId="77130C0F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3 år.</w:t>
      </w:r>
    </w:p>
    <w:p w14:paraId="7B8E1EFA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47468C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6.4</w:t>
      </w:r>
      <w:r w:rsidRPr="00EC5C36">
        <w:rPr>
          <w:b/>
          <w:sz w:val="24"/>
          <w:szCs w:val="24"/>
        </w:rPr>
        <w:tab/>
        <w:t>Særlige opbevaringsforhold</w:t>
      </w:r>
    </w:p>
    <w:p w14:paraId="2CC50743" w14:textId="77777777" w:rsidR="00EC5C36" w:rsidRDefault="00EC5C36" w:rsidP="00B84EC1">
      <w:pPr>
        <w:ind w:left="851"/>
        <w:rPr>
          <w:sz w:val="24"/>
          <w:szCs w:val="24"/>
          <w:u w:val="single"/>
        </w:rPr>
      </w:pPr>
    </w:p>
    <w:p w14:paraId="61B5C7FD" w14:textId="644E594F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Beholderen</w:t>
      </w:r>
    </w:p>
    <w:p w14:paraId="15C617D2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Dette lægemiddel kræver ingen særlige forholdsregler vedrørende opbevaringen.</w:t>
      </w:r>
    </w:p>
    <w:p w14:paraId="6B8C7DC5" w14:textId="77777777" w:rsidR="008C3D90" w:rsidRPr="00EC5C36" w:rsidRDefault="008C3D90" w:rsidP="00B84EC1">
      <w:pPr>
        <w:ind w:left="851"/>
        <w:rPr>
          <w:sz w:val="24"/>
          <w:szCs w:val="24"/>
        </w:rPr>
      </w:pPr>
    </w:p>
    <w:p w14:paraId="07C1EE66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Efter den første åbning af tabletbeholderen: Må ikke opbevares i køleskab eller nedfryses.</w:t>
      </w:r>
    </w:p>
    <w:p w14:paraId="35E36E09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Hold beholderen tæt tillukket for at beskytte mod fugt.</w:t>
      </w:r>
    </w:p>
    <w:p w14:paraId="710124D6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</w:p>
    <w:p w14:paraId="53EF1037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Blister</w:t>
      </w:r>
    </w:p>
    <w:p w14:paraId="154DEC2B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Dette lægemiddel kræver ingen særlige forholdsregler vedrørende opbevaringen.</w:t>
      </w:r>
    </w:p>
    <w:p w14:paraId="4E82CD42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0929C8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6.5</w:t>
      </w:r>
      <w:r w:rsidRPr="00EC5C36">
        <w:rPr>
          <w:b/>
          <w:sz w:val="24"/>
          <w:szCs w:val="24"/>
        </w:rPr>
        <w:tab/>
        <w:t>Emballagetype og pakningsstørrelser</w:t>
      </w:r>
    </w:p>
    <w:p w14:paraId="2DE64BB6" w14:textId="77777777" w:rsidR="00EC5C36" w:rsidRDefault="00EC5C36" w:rsidP="00B84EC1">
      <w:pPr>
        <w:ind w:left="851"/>
        <w:rPr>
          <w:sz w:val="24"/>
          <w:szCs w:val="24"/>
          <w:u w:val="single"/>
        </w:rPr>
      </w:pPr>
    </w:p>
    <w:p w14:paraId="279282A4" w14:textId="1DB46DD5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r w:rsidRPr="00EC5C36">
        <w:rPr>
          <w:sz w:val="24"/>
          <w:szCs w:val="24"/>
          <w:u w:val="single"/>
        </w:rPr>
        <w:t>Beholderen</w:t>
      </w:r>
    </w:p>
    <w:p w14:paraId="3AAAA548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 xml:space="preserve">En højdensitets </w:t>
      </w:r>
      <w:proofErr w:type="spellStart"/>
      <w:r w:rsidRPr="00EC5C36">
        <w:rPr>
          <w:sz w:val="24"/>
          <w:szCs w:val="24"/>
        </w:rPr>
        <w:t>polyethylenbeholder</w:t>
      </w:r>
      <w:proofErr w:type="spellEnd"/>
      <w:r w:rsidRPr="00EC5C36">
        <w:rPr>
          <w:sz w:val="24"/>
          <w:szCs w:val="24"/>
        </w:rPr>
        <w:t xml:space="preserve"> med en børnesikret polypropylenhætte med en foring og en tørremiddelenhed.</w:t>
      </w:r>
    </w:p>
    <w:p w14:paraId="3F93993B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Pakningsstørrelser: 5, 15 og 60 tabletter.</w:t>
      </w:r>
    </w:p>
    <w:p w14:paraId="1C6A34F7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</w:p>
    <w:p w14:paraId="317EBAFA" w14:textId="77777777" w:rsidR="008C3D90" w:rsidRPr="00EC5C36" w:rsidRDefault="008C3D90" w:rsidP="00B84EC1">
      <w:pPr>
        <w:ind w:left="851"/>
        <w:rPr>
          <w:sz w:val="24"/>
          <w:szCs w:val="24"/>
          <w:u w:val="single"/>
        </w:rPr>
      </w:pPr>
      <w:proofErr w:type="spellStart"/>
      <w:r w:rsidRPr="00EC5C36">
        <w:rPr>
          <w:bCs/>
          <w:sz w:val="24"/>
          <w:szCs w:val="24"/>
          <w:u w:val="single"/>
        </w:rPr>
        <w:t>Alu</w:t>
      </w:r>
      <w:proofErr w:type="spellEnd"/>
      <w:r w:rsidRPr="00EC5C36">
        <w:rPr>
          <w:bCs/>
          <w:sz w:val="24"/>
          <w:szCs w:val="24"/>
          <w:u w:val="single"/>
        </w:rPr>
        <w:t>/</w:t>
      </w:r>
      <w:proofErr w:type="spellStart"/>
      <w:r w:rsidRPr="00EC5C36">
        <w:rPr>
          <w:bCs/>
          <w:sz w:val="24"/>
          <w:szCs w:val="24"/>
          <w:u w:val="single"/>
        </w:rPr>
        <w:t>Alu</w:t>
      </w:r>
      <w:proofErr w:type="spellEnd"/>
      <w:r w:rsidRPr="00EC5C36">
        <w:rPr>
          <w:bCs/>
          <w:sz w:val="24"/>
          <w:szCs w:val="24"/>
          <w:u w:val="single"/>
        </w:rPr>
        <w:t>-blister</w:t>
      </w:r>
    </w:p>
    <w:p w14:paraId="65D7DB17" w14:textId="77777777" w:rsidR="008C3D90" w:rsidRPr="00EC5C36" w:rsidRDefault="008C3D90" w:rsidP="00B84EC1">
      <w:pPr>
        <w:suppressAutoHyphens/>
        <w:ind w:left="851"/>
        <w:rPr>
          <w:sz w:val="24"/>
          <w:szCs w:val="24"/>
        </w:rPr>
      </w:pPr>
      <w:r w:rsidRPr="00EC5C36">
        <w:rPr>
          <w:sz w:val="24"/>
          <w:szCs w:val="24"/>
        </w:rPr>
        <w:t>Pakningsstørrelser: 5, 15 og 60 tabletter.</w:t>
      </w:r>
    </w:p>
    <w:p w14:paraId="24FCEC21" w14:textId="77777777" w:rsidR="008C3D90" w:rsidRPr="00EC5C36" w:rsidRDefault="008C3D90" w:rsidP="00B84EC1">
      <w:pPr>
        <w:suppressAutoHyphens/>
        <w:ind w:left="851"/>
        <w:rPr>
          <w:sz w:val="24"/>
          <w:szCs w:val="24"/>
        </w:rPr>
      </w:pPr>
    </w:p>
    <w:p w14:paraId="15FB819C" w14:textId="77777777" w:rsidR="008C3D90" w:rsidRPr="00EC5C36" w:rsidRDefault="008C3D90" w:rsidP="00B84EC1">
      <w:pPr>
        <w:suppressAutoHyphens/>
        <w:ind w:left="851"/>
        <w:rPr>
          <w:bCs/>
          <w:sz w:val="24"/>
          <w:szCs w:val="24"/>
        </w:rPr>
      </w:pPr>
      <w:r w:rsidRPr="00EC5C36">
        <w:rPr>
          <w:bCs/>
          <w:sz w:val="24"/>
          <w:szCs w:val="24"/>
        </w:rPr>
        <w:t>Ikke alle pakningsstørrelser er nødvendigvis markedsført.</w:t>
      </w:r>
    </w:p>
    <w:p w14:paraId="549BEAFF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931279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6.6</w:t>
      </w:r>
      <w:r w:rsidRPr="00EC5C36">
        <w:rPr>
          <w:b/>
          <w:sz w:val="24"/>
          <w:szCs w:val="24"/>
        </w:rPr>
        <w:tab/>
        <w:t xml:space="preserve">Regler for </w:t>
      </w:r>
      <w:r w:rsidR="00BD7931" w:rsidRPr="00EC5C36">
        <w:rPr>
          <w:b/>
          <w:sz w:val="24"/>
          <w:szCs w:val="24"/>
        </w:rPr>
        <w:t>bortskaffelse</w:t>
      </w:r>
      <w:r w:rsidRPr="00EC5C36">
        <w:rPr>
          <w:b/>
          <w:sz w:val="24"/>
          <w:szCs w:val="24"/>
        </w:rPr>
        <w:t xml:space="preserve"> og anden håndtering</w:t>
      </w:r>
    </w:p>
    <w:p w14:paraId="0B381559" w14:textId="77777777" w:rsidR="008C3D90" w:rsidRPr="00EC5C36" w:rsidRDefault="008C3D90" w:rsidP="00B84EC1">
      <w:pPr>
        <w:ind w:left="851"/>
        <w:rPr>
          <w:sz w:val="24"/>
          <w:szCs w:val="24"/>
        </w:rPr>
      </w:pPr>
      <w:r w:rsidRPr="00EC5C36">
        <w:rPr>
          <w:sz w:val="24"/>
          <w:szCs w:val="24"/>
        </w:rPr>
        <w:t>Ingen særlige forholdsregler.</w:t>
      </w:r>
    </w:p>
    <w:p w14:paraId="64F820D0" w14:textId="77777777" w:rsidR="009260DE" w:rsidRPr="00EC5C36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1E0FA7BA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7.</w:t>
      </w:r>
      <w:r w:rsidRPr="00EC5C36">
        <w:rPr>
          <w:b/>
          <w:sz w:val="24"/>
          <w:szCs w:val="24"/>
        </w:rPr>
        <w:tab/>
        <w:t>INDEHAVER AF MARKEDSFØRINGSTILLADELSEN</w:t>
      </w:r>
    </w:p>
    <w:p w14:paraId="4D1AF490" w14:textId="77777777" w:rsidR="007A4A10" w:rsidRPr="00EC5C36" w:rsidRDefault="007A4A10" w:rsidP="007A4A10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 w:rsidRPr="00EC5C36">
        <w:rPr>
          <w:sz w:val="24"/>
          <w:szCs w:val="24"/>
        </w:rPr>
        <w:t>Waymade</w:t>
      </w:r>
      <w:proofErr w:type="spellEnd"/>
      <w:r w:rsidRPr="00EC5C36">
        <w:rPr>
          <w:sz w:val="24"/>
          <w:szCs w:val="24"/>
        </w:rPr>
        <w:t xml:space="preserve"> B.V.</w:t>
      </w:r>
    </w:p>
    <w:p w14:paraId="1E2527BC" w14:textId="77777777" w:rsidR="007A4A10" w:rsidRPr="00072069" w:rsidRDefault="007A4A10" w:rsidP="007A4A10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 w:rsidRPr="00072069">
        <w:rPr>
          <w:sz w:val="24"/>
          <w:szCs w:val="24"/>
        </w:rPr>
        <w:t>Herikerbergweg</w:t>
      </w:r>
      <w:proofErr w:type="spellEnd"/>
      <w:r w:rsidRPr="00072069">
        <w:rPr>
          <w:sz w:val="24"/>
          <w:szCs w:val="24"/>
        </w:rPr>
        <w:t xml:space="preserve"> 88</w:t>
      </w:r>
    </w:p>
    <w:p w14:paraId="12720E99" w14:textId="77777777" w:rsidR="007A4A10" w:rsidRPr="00072069" w:rsidRDefault="007A4A10" w:rsidP="007A4A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072069">
        <w:rPr>
          <w:sz w:val="24"/>
          <w:szCs w:val="24"/>
        </w:rPr>
        <w:t>1101 CM Amsterdam</w:t>
      </w:r>
    </w:p>
    <w:p w14:paraId="3CA6B902" w14:textId="77777777" w:rsidR="007A4A10" w:rsidRPr="00072069" w:rsidRDefault="007A4A10" w:rsidP="007A4A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072069">
        <w:rPr>
          <w:sz w:val="24"/>
          <w:szCs w:val="24"/>
        </w:rPr>
        <w:t>Holland</w:t>
      </w:r>
    </w:p>
    <w:p w14:paraId="429A485B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D6A4E6" w14:textId="77777777" w:rsidR="00641C65" w:rsidRPr="00EC5C36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  <w:r w:rsidRPr="00EC5C36">
        <w:rPr>
          <w:b/>
          <w:sz w:val="24"/>
          <w:szCs w:val="24"/>
        </w:rPr>
        <w:t>Repræsentant</w:t>
      </w:r>
    </w:p>
    <w:p w14:paraId="1BBD9CBB" w14:textId="77777777" w:rsidR="007A4A10" w:rsidRPr="00EC5C36" w:rsidRDefault="007A4A10" w:rsidP="007A4A10">
      <w:pPr>
        <w:tabs>
          <w:tab w:val="left" w:pos="851"/>
        </w:tabs>
        <w:ind w:left="851"/>
        <w:jc w:val="both"/>
        <w:rPr>
          <w:sz w:val="24"/>
          <w:szCs w:val="24"/>
          <w:lang w:val="en-US"/>
        </w:rPr>
      </w:pPr>
      <w:proofErr w:type="spellStart"/>
      <w:r w:rsidRPr="00EC5C36">
        <w:rPr>
          <w:sz w:val="24"/>
          <w:szCs w:val="24"/>
          <w:lang w:val="en-US"/>
        </w:rPr>
        <w:t>Waymade</w:t>
      </w:r>
      <w:proofErr w:type="spellEnd"/>
      <w:r w:rsidRPr="00EC5C36">
        <w:rPr>
          <w:sz w:val="24"/>
          <w:szCs w:val="24"/>
          <w:lang w:val="en-US"/>
        </w:rPr>
        <w:t xml:space="preserve"> PLC</w:t>
      </w:r>
    </w:p>
    <w:p w14:paraId="543262A3" w14:textId="77777777" w:rsidR="007A4A10" w:rsidRPr="00EC5C36" w:rsidRDefault="007A4A10" w:rsidP="007A4A10">
      <w:pPr>
        <w:tabs>
          <w:tab w:val="left" w:pos="851"/>
        </w:tabs>
        <w:ind w:left="851"/>
        <w:jc w:val="both"/>
        <w:rPr>
          <w:sz w:val="24"/>
          <w:szCs w:val="24"/>
          <w:lang w:val="en-US"/>
        </w:rPr>
      </w:pPr>
      <w:r w:rsidRPr="00EC5C36">
        <w:rPr>
          <w:sz w:val="24"/>
          <w:szCs w:val="24"/>
          <w:lang w:val="en-US"/>
        </w:rPr>
        <w:t>Sovereign House, Miles Gray Road</w:t>
      </w:r>
    </w:p>
    <w:p w14:paraId="2BFEE39A" w14:textId="77777777" w:rsidR="007A4A10" w:rsidRPr="00EC5C36" w:rsidRDefault="007A4A10" w:rsidP="007A4A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C5C36">
        <w:rPr>
          <w:sz w:val="24"/>
          <w:szCs w:val="24"/>
        </w:rPr>
        <w:t xml:space="preserve">SS14 3FR </w:t>
      </w:r>
      <w:proofErr w:type="spellStart"/>
      <w:r w:rsidRPr="00EC5C36">
        <w:rPr>
          <w:sz w:val="24"/>
          <w:szCs w:val="24"/>
        </w:rPr>
        <w:t>Basildon</w:t>
      </w:r>
      <w:proofErr w:type="spellEnd"/>
      <w:r w:rsidRPr="00EC5C36">
        <w:rPr>
          <w:sz w:val="24"/>
          <w:szCs w:val="24"/>
        </w:rPr>
        <w:t>, Essex</w:t>
      </w:r>
    </w:p>
    <w:p w14:paraId="6C6E635C" w14:textId="77777777" w:rsidR="007A4A10" w:rsidRPr="00EC5C36" w:rsidRDefault="007A4A10" w:rsidP="007A4A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C5C36">
        <w:rPr>
          <w:sz w:val="24"/>
          <w:szCs w:val="24"/>
        </w:rPr>
        <w:t>Storbritannien</w:t>
      </w:r>
    </w:p>
    <w:p w14:paraId="06B3D377" w14:textId="77777777" w:rsidR="00641C65" w:rsidRPr="00EC5C36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C42418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8.</w:t>
      </w:r>
      <w:r w:rsidRPr="00EC5C36">
        <w:rPr>
          <w:b/>
          <w:sz w:val="24"/>
          <w:szCs w:val="24"/>
        </w:rPr>
        <w:tab/>
        <w:t>MARKEDSFØRINGSTILLADELSESNUMMER (</w:t>
      </w:r>
      <w:r w:rsidR="00BF6243" w:rsidRPr="00EC5C36">
        <w:rPr>
          <w:b/>
          <w:sz w:val="24"/>
          <w:szCs w:val="24"/>
        </w:rPr>
        <w:t>-</w:t>
      </w:r>
      <w:r w:rsidRPr="00EC5C36">
        <w:rPr>
          <w:b/>
          <w:sz w:val="24"/>
          <w:szCs w:val="24"/>
        </w:rPr>
        <w:t>NUMRE)</w:t>
      </w:r>
    </w:p>
    <w:p w14:paraId="7216278B" w14:textId="77777777" w:rsidR="007A4A10" w:rsidRPr="00EC5C36" w:rsidRDefault="007A4A10" w:rsidP="007A4A10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EC5C36">
        <w:rPr>
          <w:sz w:val="24"/>
          <w:szCs w:val="24"/>
        </w:rPr>
        <w:t>69184</w:t>
      </w:r>
    </w:p>
    <w:p w14:paraId="767F85EE" w14:textId="77777777" w:rsidR="009260DE" w:rsidRPr="00EC5C3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54202DC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9.</w:t>
      </w:r>
      <w:r w:rsidRPr="00EC5C36">
        <w:rPr>
          <w:b/>
          <w:sz w:val="24"/>
          <w:szCs w:val="24"/>
        </w:rPr>
        <w:tab/>
        <w:t>DATO FOR FØRSTE MARKEDSFØRINGSTILLADELSE</w:t>
      </w:r>
    </w:p>
    <w:p w14:paraId="6104A42E" w14:textId="5ADE8301" w:rsidR="007A4A10" w:rsidRPr="00EC5C36" w:rsidRDefault="007A4A10" w:rsidP="007A4A10">
      <w:pPr>
        <w:ind w:left="851"/>
        <w:jc w:val="both"/>
        <w:rPr>
          <w:sz w:val="24"/>
          <w:szCs w:val="24"/>
        </w:rPr>
      </w:pPr>
      <w:r w:rsidRPr="00EC5C36">
        <w:rPr>
          <w:sz w:val="24"/>
          <w:szCs w:val="24"/>
        </w:rPr>
        <w:t>12. juni 2023</w:t>
      </w:r>
    </w:p>
    <w:p w14:paraId="2DB03CBA" w14:textId="77777777" w:rsidR="009260DE" w:rsidRPr="00EC5C3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167346" w14:textId="77777777" w:rsidR="009260DE" w:rsidRPr="00EC5C3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5C36">
        <w:rPr>
          <w:b/>
          <w:sz w:val="24"/>
          <w:szCs w:val="24"/>
        </w:rPr>
        <w:t>10.</w:t>
      </w:r>
      <w:r w:rsidRPr="00EC5C36">
        <w:rPr>
          <w:b/>
          <w:sz w:val="24"/>
          <w:szCs w:val="24"/>
        </w:rPr>
        <w:tab/>
        <w:t>DATO FOR ÆNDRING AF TEKSTEN</w:t>
      </w:r>
    </w:p>
    <w:p w14:paraId="41513E1D" w14:textId="1B88119C" w:rsidR="009260DE" w:rsidRPr="00EC5C36" w:rsidRDefault="0007206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</w:t>
      </w:r>
      <w:r w:rsidR="00CE0725">
        <w:rPr>
          <w:sz w:val="24"/>
          <w:szCs w:val="24"/>
        </w:rPr>
        <w:t>. november 2024</w:t>
      </w:r>
    </w:p>
    <w:sectPr w:rsidR="009260DE" w:rsidRPr="00EC5C36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D7FF" w14:textId="77777777" w:rsidR="00673B83" w:rsidRDefault="00673B83">
      <w:r>
        <w:separator/>
      </w:r>
    </w:p>
  </w:endnote>
  <w:endnote w:type="continuationSeparator" w:id="0">
    <w:p w14:paraId="44AE79B6" w14:textId="77777777" w:rsidR="00673B83" w:rsidRDefault="0067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21AE" w14:textId="77777777" w:rsidR="000259B9" w:rsidRDefault="000259B9">
    <w:pPr>
      <w:pStyle w:val="Sidefod"/>
      <w:pBdr>
        <w:bottom w:val="single" w:sz="6" w:space="1" w:color="auto"/>
      </w:pBdr>
    </w:pPr>
  </w:p>
  <w:p w14:paraId="670A0B04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7558D92" w14:textId="0E01D643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146C7">
      <w:rPr>
        <w:i/>
        <w:noProof/>
        <w:sz w:val="18"/>
        <w:szCs w:val="18"/>
      </w:rPr>
      <w:t>Cargluminsyre Waymade, dispergible tabletter 200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EE2C3" w14:textId="77777777" w:rsidR="00673B83" w:rsidRDefault="00673B83">
      <w:r>
        <w:separator/>
      </w:r>
    </w:p>
  </w:footnote>
  <w:footnote w:type="continuationSeparator" w:id="0">
    <w:p w14:paraId="706FEE63" w14:textId="77777777" w:rsidR="00673B83" w:rsidRDefault="0067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5E93A04"/>
    <w:multiLevelType w:val="hybridMultilevel"/>
    <w:tmpl w:val="D352743C"/>
    <w:lvl w:ilvl="0" w:tplc="E27E82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46E7"/>
    <w:multiLevelType w:val="hybridMultilevel"/>
    <w:tmpl w:val="170EF6B2"/>
    <w:lvl w:ilvl="0" w:tplc="E27E8262">
      <w:start w:val="14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672AF"/>
    <w:multiLevelType w:val="hybridMultilevel"/>
    <w:tmpl w:val="C83642F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5E45"/>
    <w:multiLevelType w:val="hybridMultilevel"/>
    <w:tmpl w:val="8F600278"/>
    <w:lvl w:ilvl="0" w:tplc="45C88D84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1976EF8"/>
    <w:multiLevelType w:val="hybridMultilevel"/>
    <w:tmpl w:val="F84AF0D0"/>
    <w:lvl w:ilvl="0" w:tplc="E27E82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2DAD"/>
    <w:multiLevelType w:val="hybridMultilevel"/>
    <w:tmpl w:val="F3BE7A1E"/>
    <w:lvl w:ilvl="0" w:tplc="6B4A574E">
      <w:numFmt w:val="bullet"/>
      <w:lvlText w:val="-"/>
      <w:lvlJc w:val="left"/>
      <w:pPr>
        <w:ind w:left="785" w:hanging="207"/>
      </w:pPr>
      <w:rPr>
        <w:rFonts w:ascii="Calibri" w:eastAsiaTheme="minorHAns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1626" w:hanging="207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473" w:hanging="207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3319" w:hanging="207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4166" w:hanging="207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013" w:hanging="207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859" w:hanging="207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706" w:hanging="207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553" w:hanging="207"/>
      </w:pPr>
      <w:rPr>
        <w:lang w:eastAsia="en-US" w:bidi="ar-SA"/>
      </w:rPr>
    </w:lvl>
  </w:abstractNum>
  <w:abstractNum w:abstractNumId="10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64EB688B"/>
    <w:multiLevelType w:val="hybridMultilevel"/>
    <w:tmpl w:val="BBF0730E"/>
    <w:lvl w:ilvl="0" w:tplc="6B4A574E">
      <w:numFmt w:val="bullet"/>
      <w:lvlText w:val="-"/>
      <w:lvlJc w:val="left"/>
      <w:pPr>
        <w:ind w:left="785" w:hanging="207"/>
      </w:pPr>
      <w:rPr>
        <w:rFonts w:ascii="Calibri" w:eastAsiaTheme="minorHAns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FFFFFFF">
      <w:numFmt w:val="bullet"/>
      <w:lvlText w:val="•"/>
      <w:lvlJc w:val="left"/>
      <w:pPr>
        <w:ind w:left="1626" w:hanging="207"/>
      </w:pPr>
      <w:rPr>
        <w:lang w:eastAsia="en-US" w:bidi="ar-SA"/>
      </w:rPr>
    </w:lvl>
    <w:lvl w:ilvl="2" w:tplc="FFFFFFFF">
      <w:numFmt w:val="bullet"/>
      <w:lvlText w:val="•"/>
      <w:lvlJc w:val="left"/>
      <w:pPr>
        <w:ind w:left="2473" w:hanging="207"/>
      </w:pPr>
      <w:rPr>
        <w:lang w:eastAsia="en-US" w:bidi="ar-SA"/>
      </w:rPr>
    </w:lvl>
    <w:lvl w:ilvl="3" w:tplc="FFFFFFFF">
      <w:numFmt w:val="bullet"/>
      <w:lvlText w:val="•"/>
      <w:lvlJc w:val="left"/>
      <w:pPr>
        <w:ind w:left="3319" w:hanging="207"/>
      </w:pPr>
      <w:rPr>
        <w:lang w:eastAsia="en-US" w:bidi="ar-SA"/>
      </w:rPr>
    </w:lvl>
    <w:lvl w:ilvl="4" w:tplc="FFFFFFFF">
      <w:numFmt w:val="bullet"/>
      <w:lvlText w:val="•"/>
      <w:lvlJc w:val="left"/>
      <w:pPr>
        <w:ind w:left="4166" w:hanging="207"/>
      </w:pPr>
      <w:rPr>
        <w:lang w:eastAsia="en-US" w:bidi="ar-SA"/>
      </w:rPr>
    </w:lvl>
    <w:lvl w:ilvl="5" w:tplc="FFFFFFFF">
      <w:numFmt w:val="bullet"/>
      <w:lvlText w:val="•"/>
      <w:lvlJc w:val="left"/>
      <w:pPr>
        <w:ind w:left="5013" w:hanging="207"/>
      </w:pPr>
      <w:rPr>
        <w:lang w:eastAsia="en-US" w:bidi="ar-SA"/>
      </w:rPr>
    </w:lvl>
    <w:lvl w:ilvl="6" w:tplc="FFFFFFFF">
      <w:numFmt w:val="bullet"/>
      <w:lvlText w:val="•"/>
      <w:lvlJc w:val="left"/>
      <w:pPr>
        <w:ind w:left="5859" w:hanging="207"/>
      </w:pPr>
      <w:rPr>
        <w:lang w:eastAsia="en-US" w:bidi="ar-SA"/>
      </w:rPr>
    </w:lvl>
    <w:lvl w:ilvl="7" w:tplc="FFFFFFFF">
      <w:numFmt w:val="bullet"/>
      <w:lvlText w:val="•"/>
      <w:lvlJc w:val="left"/>
      <w:pPr>
        <w:ind w:left="6706" w:hanging="207"/>
      </w:pPr>
      <w:rPr>
        <w:lang w:eastAsia="en-US" w:bidi="ar-SA"/>
      </w:rPr>
    </w:lvl>
    <w:lvl w:ilvl="8" w:tplc="FFFFFFFF">
      <w:numFmt w:val="bullet"/>
      <w:lvlText w:val="•"/>
      <w:lvlJc w:val="left"/>
      <w:pPr>
        <w:ind w:left="7553" w:hanging="207"/>
      </w:pPr>
      <w:rPr>
        <w:lang w:eastAsia="en-US" w:bidi="ar-SA"/>
      </w:rPr>
    </w:lvl>
  </w:abstractNum>
  <w:abstractNum w:abstractNumId="12" w15:restartNumberingAfterBreak="0">
    <w:nsid w:val="695B0DE0"/>
    <w:multiLevelType w:val="hybridMultilevel"/>
    <w:tmpl w:val="1EFE3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A791F"/>
    <w:multiLevelType w:val="hybridMultilevel"/>
    <w:tmpl w:val="B97084AE"/>
    <w:lvl w:ilvl="0" w:tplc="6B4A57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16F73"/>
    <w:multiLevelType w:val="hybridMultilevel"/>
    <w:tmpl w:val="D58873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4"/>
  </w:num>
  <w:num w:numId="13">
    <w:abstractNumId w:val="11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83"/>
    <w:rsid w:val="000259B9"/>
    <w:rsid w:val="00041491"/>
    <w:rsid w:val="00050D16"/>
    <w:rsid w:val="00072069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3054BA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5A2A79"/>
    <w:rsid w:val="00637F5A"/>
    <w:rsid w:val="00641C65"/>
    <w:rsid w:val="006560B1"/>
    <w:rsid w:val="00673B83"/>
    <w:rsid w:val="006756DD"/>
    <w:rsid w:val="006C4703"/>
    <w:rsid w:val="0071241E"/>
    <w:rsid w:val="007162C5"/>
    <w:rsid w:val="00737275"/>
    <w:rsid w:val="00740EEC"/>
    <w:rsid w:val="0078011A"/>
    <w:rsid w:val="00782AF4"/>
    <w:rsid w:val="00790EE7"/>
    <w:rsid w:val="007A4A10"/>
    <w:rsid w:val="007B6649"/>
    <w:rsid w:val="007E7333"/>
    <w:rsid w:val="008146C7"/>
    <w:rsid w:val="0082576E"/>
    <w:rsid w:val="0089346F"/>
    <w:rsid w:val="008C3D90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84EC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CE0725"/>
    <w:rsid w:val="00D020B0"/>
    <w:rsid w:val="00D11748"/>
    <w:rsid w:val="00D237F6"/>
    <w:rsid w:val="00D34D98"/>
    <w:rsid w:val="00D366CF"/>
    <w:rsid w:val="00D93992"/>
    <w:rsid w:val="00D96900"/>
    <w:rsid w:val="00E108AA"/>
    <w:rsid w:val="00E3749A"/>
    <w:rsid w:val="00E7437F"/>
    <w:rsid w:val="00E865B8"/>
    <w:rsid w:val="00EC0B9B"/>
    <w:rsid w:val="00EC5C36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7E51D"/>
  <w15:chartTrackingRefBased/>
  <w15:docId w15:val="{9DF90970-321D-4B59-9EEA-F00B65DF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Default">
    <w:name w:val="Default"/>
    <w:rsid w:val="008C3D9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GB" w:eastAsia="en-GB"/>
    </w:rPr>
  </w:style>
  <w:style w:type="paragraph" w:styleId="Listeafsnit">
    <w:name w:val="List Paragraph"/>
    <w:basedOn w:val="Normal"/>
    <w:uiPriority w:val="1"/>
    <w:qFormat/>
    <w:rsid w:val="008C3D90"/>
    <w:pPr>
      <w:widowControl w:val="0"/>
      <w:autoSpaceDE w:val="0"/>
      <w:autoSpaceDN w:val="0"/>
      <w:ind w:left="784" w:hanging="566"/>
    </w:pPr>
    <w:rPr>
      <w:sz w:val="22"/>
      <w:szCs w:val="22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8C3D90"/>
    <w:pPr>
      <w:widowControl w:val="0"/>
      <w:autoSpaceDE w:val="0"/>
      <w:autoSpaceDN w:val="0"/>
    </w:pPr>
    <w:rPr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8C3D90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C3D90"/>
    <w:pPr>
      <w:widowControl w:val="0"/>
      <w:autoSpaceDE w:val="0"/>
      <w:autoSpaceDN w:val="0"/>
      <w:spacing w:before="3"/>
      <w:ind w:left="107"/>
    </w:pPr>
    <w:rPr>
      <w:sz w:val="22"/>
      <w:szCs w:val="22"/>
    </w:rPr>
  </w:style>
  <w:style w:type="table" w:styleId="Tabel-Gitter">
    <w:name w:val="Table Grid"/>
    <w:basedOn w:val="Tabel-Normal"/>
    <w:uiPriority w:val="39"/>
    <w:rsid w:val="008C3D90"/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60</TotalTime>
  <Pages>9</Pages>
  <Words>2280</Words>
  <Characters>14605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</vt:lpstr>
    </vt:vector>
  </TitlesOfParts>
  <Company/>
  <LinksUpToDate>false</LinksUpToDate>
  <CharactersWithSpaces>16852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2024092482+2024062033, DK tekster+var. 19, opdatering iht reference produkt pkt. 4.2, 4.4, 4.6, 5.2</dc:description>
  <cp:lastModifiedBy>Gitte Jørgensen</cp:lastModifiedBy>
  <cp:revision>11</cp:revision>
  <cp:lastPrinted>2012-08-22T08:53:00Z</cp:lastPrinted>
  <dcterms:created xsi:type="dcterms:W3CDTF">2024-11-04T07:19:00Z</dcterms:created>
  <dcterms:modified xsi:type="dcterms:W3CDTF">2024-11-05T09:16:00Z</dcterms:modified>
</cp:coreProperties>
</file>